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Default="00771740" w:rsidP="007115F7">
            <w:pPr>
              <w:tabs>
                <w:tab w:val="center" w:pos="4680"/>
              </w:tabs>
              <w:suppressAutoHyphens/>
              <w:rPr>
                <w:spacing w:val="-2"/>
              </w:rPr>
            </w:pPr>
            <w:r>
              <w:rPr>
                <w:spacing w:val="-2"/>
              </w:rPr>
              <w:t>THOMAS O. CALDWELL</w:t>
            </w:r>
          </w:p>
          <w:p w:rsidR="00771740" w:rsidRDefault="00771740" w:rsidP="007115F7">
            <w:pPr>
              <w:tabs>
                <w:tab w:val="center" w:pos="4680"/>
              </w:tabs>
              <w:suppressAutoHyphens/>
              <w:rPr>
                <w:spacing w:val="-2"/>
              </w:rPr>
            </w:pPr>
          </w:p>
          <w:p w:rsidR="00771740" w:rsidRPr="007115F7" w:rsidRDefault="00771740" w:rsidP="007115F7">
            <w:pPr>
              <w:tabs>
                <w:tab w:val="center" w:pos="4680"/>
              </w:tabs>
              <w:suppressAutoHyphens/>
              <w:rPr>
                <w:spacing w:val="-2"/>
              </w:rPr>
            </w:pPr>
            <w:r>
              <w:rPr>
                <w:spacing w:val="-2"/>
              </w:rPr>
              <w:t>On Request for Inspection of Records</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771740">
            <w:pPr>
              <w:tabs>
                <w:tab w:val="center" w:pos="4680"/>
              </w:tabs>
              <w:suppressAutoHyphens/>
              <w:rPr>
                <w:spacing w:val="-2"/>
              </w:rPr>
            </w:pPr>
            <w:r>
              <w:rPr>
                <w:spacing w:val="-2"/>
              </w:rPr>
              <w:t>FOIA Control No</w:t>
            </w:r>
            <w:r w:rsidR="00D17953">
              <w:rPr>
                <w:spacing w:val="-2"/>
              </w:rPr>
              <w:t>s</w:t>
            </w:r>
            <w:r>
              <w:rPr>
                <w:spacing w:val="-2"/>
              </w:rPr>
              <w:t>. 2016-000568</w:t>
            </w:r>
            <w:r w:rsidR="00D17953">
              <w:rPr>
                <w:spacing w:val="-2"/>
              </w:rPr>
              <w:t xml:space="preserve"> and 2016-000678</w:t>
            </w:r>
          </w:p>
        </w:tc>
      </w:tr>
    </w:tbl>
    <w:p w:rsidR="004C2EE3" w:rsidRDefault="004C2EE3" w:rsidP="0070224F"/>
    <w:p w:rsidR="00841AB1" w:rsidRDefault="00771740" w:rsidP="00F021FA">
      <w:pPr>
        <w:pStyle w:val="StyleBoldCentered"/>
      </w:pPr>
      <w:r>
        <w:t>MEMORANDUM OPINION AND 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37607D">
        <w:rPr>
          <w:b/>
          <w:spacing w:val="-2"/>
        </w:rPr>
        <w:t>January 31, 2017</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1A4BE9">
        <w:rPr>
          <w:b/>
          <w:spacing w:val="-2"/>
        </w:rPr>
        <w:t>February 1, 2017</w:t>
      </w:r>
    </w:p>
    <w:p w:rsidR="00822CE0" w:rsidRDefault="00822CE0"/>
    <w:p w:rsidR="00822CE0" w:rsidRDefault="004C2EE3">
      <w:pPr>
        <w:rPr>
          <w:spacing w:val="-2"/>
        </w:rPr>
      </w:pPr>
      <w:r>
        <w:t xml:space="preserve">By </w:t>
      </w:r>
      <w:r w:rsidR="004E4A22">
        <w:t>the</w:t>
      </w:r>
      <w:r w:rsidR="002A2D2E">
        <w:t xml:space="preserve"> </w:t>
      </w:r>
      <w:r w:rsidR="00771740">
        <w:rPr>
          <w:spacing w:val="-2"/>
        </w:rPr>
        <w:t>Commission</w:t>
      </w:r>
      <w:r>
        <w:rPr>
          <w:spacing w:val="-2"/>
        </w:rPr>
        <w:t>:</w:t>
      </w:r>
    </w:p>
    <w:p w:rsidR="00FA76A6" w:rsidRDefault="00FA76A6">
      <w:pPr>
        <w:rPr>
          <w:spacing w:val="-2"/>
        </w:rPr>
      </w:pPr>
    </w:p>
    <w:p w:rsidR="00412FC5" w:rsidRDefault="00412FC5" w:rsidP="00412FC5"/>
    <w:p w:rsidR="002C00E8" w:rsidRDefault="00771740" w:rsidP="002C00E8">
      <w:pPr>
        <w:pStyle w:val="Heading1"/>
        <w:rPr>
          <w:b w:val="0"/>
        </w:rPr>
      </w:pPr>
      <w:r>
        <w:t>INTRODUCTION</w:t>
      </w:r>
    </w:p>
    <w:p w:rsidR="00771740" w:rsidRDefault="00771740" w:rsidP="00771740">
      <w:pPr>
        <w:pStyle w:val="ParaNum"/>
      </w:pPr>
      <w:r>
        <w:t xml:space="preserve">By this memorandum opinion and order, we deny </w:t>
      </w:r>
      <w:r w:rsidR="00D17953">
        <w:t xml:space="preserve">two </w:t>
      </w:r>
      <w:r>
        <w:t>application</w:t>
      </w:r>
      <w:r w:rsidR="00D17953">
        <w:t>s</w:t>
      </w:r>
      <w:r>
        <w:t xml:space="preserve"> for review by Thomas O. Caldwe</w:t>
      </w:r>
      <w:r w:rsidR="00AC7CD8">
        <w:t>ll</w:t>
      </w:r>
      <w:r>
        <w:t xml:space="preserve"> (Caldwell)</w:t>
      </w:r>
      <w:r w:rsidR="00D0017F">
        <w:rPr>
          <w:rStyle w:val="FootnoteReference"/>
        </w:rPr>
        <w:footnoteReference w:id="2"/>
      </w:r>
      <w:r>
        <w:t xml:space="preserve"> of decision</w:t>
      </w:r>
      <w:r w:rsidR="00D17953">
        <w:t>s</w:t>
      </w:r>
      <w:r>
        <w:t xml:space="preserve"> by the Enforcement Bureau (EB)</w:t>
      </w:r>
      <w:r w:rsidR="00D0017F">
        <w:rPr>
          <w:rStyle w:val="FootnoteReference"/>
        </w:rPr>
        <w:footnoteReference w:id="3"/>
      </w:r>
      <w:r>
        <w:t xml:space="preserve">  </w:t>
      </w:r>
      <w:r w:rsidR="00D17953">
        <w:t xml:space="preserve">ruling on </w:t>
      </w:r>
      <w:r>
        <w:t xml:space="preserve">Caldwell’s </w:t>
      </w:r>
      <w:r w:rsidR="001B161B">
        <w:t xml:space="preserve">two related </w:t>
      </w:r>
      <w:r>
        <w:t>Freedom of Information Act Request</w:t>
      </w:r>
      <w:r w:rsidR="00D17953">
        <w:t>s</w:t>
      </w:r>
      <w:r>
        <w:t>.</w:t>
      </w:r>
      <w:r w:rsidR="00D0017F">
        <w:rPr>
          <w:rStyle w:val="FootnoteReference"/>
        </w:rPr>
        <w:footnoteReference w:id="4"/>
      </w:r>
      <w:r>
        <w:t xml:space="preserve">  We find no error in EB’s decision</w:t>
      </w:r>
      <w:r w:rsidR="00D17953">
        <w:t>s</w:t>
      </w:r>
      <w:r>
        <w:t>.</w:t>
      </w:r>
    </w:p>
    <w:p w:rsidR="00771740" w:rsidRDefault="007B1BB0" w:rsidP="00771740">
      <w:pPr>
        <w:pStyle w:val="Heading1"/>
      </w:pPr>
      <w:r>
        <w:t xml:space="preserve">BACKGROUND </w:t>
      </w:r>
    </w:p>
    <w:p w:rsidR="00D17953" w:rsidRDefault="00AC7CD8" w:rsidP="00DF37C6">
      <w:pPr>
        <w:pStyle w:val="ParaNum"/>
      </w:pPr>
      <w:r>
        <w:t>Caldwell’s FOIA request</w:t>
      </w:r>
      <w:r w:rsidR="00D17953">
        <w:t>s</w:t>
      </w:r>
      <w:r>
        <w:t xml:space="preserve"> sought information concerning the termination of amateur radio license KG5IDD, issued to John D. </w:t>
      </w:r>
      <w:r w:rsidR="00D0017F">
        <w:t>Wa</w:t>
      </w:r>
      <w:r>
        <w:t>tkins III</w:t>
      </w:r>
      <w:r w:rsidR="00D0017F">
        <w:t xml:space="preserve"> (Watkins)</w:t>
      </w:r>
      <w:r>
        <w:t>.  Commission records indicate that the license was terminated by the Wireless Telecommunications Bureau on June 29, 2015.</w:t>
      </w:r>
      <w:r w:rsidR="00696122">
        <w:rPr>
          <w:rStyle w:val="FootnoteReference"/>
        </w:rPr>
        <w:footnoteReference w:id="5"/>
      </w:r>
      <w:r>
        <w:t xml:space="preserve">  </w:t>
      </w:r>
      <w:r w:rsidR="007B1BB0">
        <w:t>WTB issued Watkins’ license four days earlier</w:t>
      </w:r>
      <w:r w:rsidR="00A157F5">
        <w:t>,</w:t>
      </w:r>
      <w:r w:rsidR="007B1BB0">
        <w:t xml:space="preserve"> on June 24, 2015.  It set aside the license grant at the request of EB for enforcement review.</w:t>
      </w:r>
      <w:r w:rsidR="007B1BB0">
        <w:rPr>
          <w:rStyle w:val="FootnoteReference"/>
        </w:rPr>
        <w:footnoteReference w:id="6"/>
      </w:r>
      <w:r w:rsidR="007B1BB0">
        <w:t xml:space="preserve">  Under 47 C.F.R. § 1.113(a), Commission staff may, on its own motion, modify or set aside an action it has taken under delegated authority within 30 days.  The time period for Watkins to seek reconsideration or review of this action has long passed.</w:t>
      </w:r>
    </w:p>
    <w:p w:rsidR="00D0017F" w:rsidRDefault="005E0E03" w:rsidP="00D0017F">
      <w:pPr>
        <w:pStyle w:val="ParaNum"/>
      </w:pPr>
      <w:r>
        <w:rPr>
          <w:b/>
        </w:rPr>
        <w:t xml:space="preserve">April 20 Request. </w:t>
      </w:r>
      <w:r w:rsidR="00D0017F">
        <w:t xml:space="preserve">Caldwell’s </w:t>
      </w:r>
      <w:r w:rsidR="007B1BB0">
        <w:t xml:space="preserve">April 20 </w:t>
      </w:r>
      <w:r>
        <w:t>R</w:t>
      </w:r>
      <w:r w:rsidR="00D0017F">
        <w:t>equest stated: “I am trying to find the reason that Laura Smith terminated John David Watkins[</w:t>
      </w:r>
      <w:r w:rsidR="0073183D">
        <w:t>’</w:t>
      </w:r>
      <w:r w:rsidR="00D0017F">
        <w:t xml:space="preserve">] (kg5idd) license based on a complaint from bad </w:t>
      </w:r>
      <w:r w:rsidR="00D0017F">
        <w:lastRenderedPageBreak/>
        <w:t>information without contacting John Watkins.”</w:t>
      </w:r>
      <w:r w:rsidR="003D7BED">
        <w:rPr>
          <w:rStyle w:val="FootnoteReference"/>
        </w:rPr>
        <w:footnoteReference w:id="7"/>
      </w:r>
      <w:r w:rsidR="00D0017F">
        <w:t xml:space="preserve">  The request went on to recite further circumstances regarding Watkins.  Laura Smith (Smith), mentioned in the </w:t>
      </w:r>
      <w:r w:rsidR="007B1BB0">
        <w:t xml:space="preserve">April 20 </w:t>
      </w:r>
      <w:r w:rsidR="00D0017F">
        <w:t xml:space="preserve">request, is an EB </w:t>
      </w:r>
      <w:r w:rsidR="0043680C">
        <w:t>official</w:t>
      </w:r>
      <w:r w:rsidR="00D0017F">
        <w:t xml:space="preserve"> who worked on </w:t>
      </w:r>
      <w:r w:rsidR="0043680C">
        <w:t xml:space="preserve">matters concerning </w:t>
      </w:r>
      <w:r w:rsidR="00D0017F">
        <w:t>Watkins.</w:t>
      </w:r>
    </w:p>
    <w:p w:rsidR="0073183D" w:rsidRDefault="0073183D" w:rsidP="00D0017F">
      <w:pPr>
        <w:pStyle w:val="ParaNum"/>
      </w:pPr>
      <w:r>
        <w:t xml:space="preserve">EB responded that it had produced </w:t>
      </w:r>
      <w:r w:rsidR="00A2305A">
        <w:t xml:space="preserve">39 </w:t>
      </w:r>
      <w:r>
        <w:t xml:space="preserve">documents concerning the termination of Watkins’ license in response to two earlier FOIA requests by Caldwell.  </w:t>
      </w:r>
      <w:r w:rsidR="000241BA">
        <w:t>EB further indicated that “[i]n response to this request, we have searched Commission records and have not located any additional responsive information related to your request.”</w:t>
      </w:r>
      <w:r w:rsidR="003D7BED">
        <w:rPr>
          <w:rStyle w:val="FootnoteReference"/>
        </w:rPr>
        <w:footnoteReference w:id="8"/>
      </w:r>
    </w:p>
    <w:p w:rsidR="0089698F" w:rsidRDefault="0089698F" w:rsidP="00D0017F">
      <w:pPr>
        <w:pStyle w:val="ParaNum"/>
      </w:pPr>
      <w:r>
        <w:t xml:space="preserve">In his </w:t>
      </w:r>
      <w:r w:rsidR="005E0E03">
        <w:t xml:space="preserve">May 25 </w:t>
      </w:r>
      <w:r>
        <w:t>AFR</w:t>
      </w:r>
      <w:r w:rsidR="008A7E6D">
        <w:t xml:space="preserve"> of EB’s </w:t>
      </w:r>
      <w:r w:rsidR="004638B6">
        <w:t xml:space="preserve">response to the </w:t>
      </w:r>
      <w:r w:rsidR="008A7E6D">
        <w:t>April 20 Request</w:t>
      </w:r>
      <w:r>
        <w:t>, Caldwell set out a lengthy account of circumstances he apparently believes are relevant to the termination of Watkins’ license, including Smith’s alleged participation in the termination.  He concludes “I am asking you to provide me with any information justifying Mrs. Smith</w:t>
      </w:r>
      <w:r w:rsidR="0043680C">
        <w:t>[</w:t>
      </w:r>
      <w:r>
        <w:t>’</w:t>
      </w:r>
      <w:r w:rsidR="0043680C">
        <w:t>]</w:t>
      </w:r>
      <w:r>
        <w:t>s action terminating Mr. Watkins[’] license.”</w:t>
      </w:r>
      <w:r w:rsidR="000436B9">
        <w:rPr>
          <w:rStyle w:val="FootnoteReference"/>
        </w:rPr>
        <w:footnoteReference w:id="9"/>
      </w:r>
    </w:p>
    <w:p w:rsidR="005E0E03" w:rsidRDefault="005E0E03" w:rsidP="00D0017F">
      <w:pPr>
        <w:pStyle w:val="ParaNum"/>
      </w:pPr>
      <w:r>
        <w:rPr>
          <w:b/>
        </w:rPr>
        <w:t xml:space="preserve">June 10 Request.  </w:t>
      </w:r>
      <w:r>
        <w:t>In a similar vein, Caldwell’s June 10 Request requested a copy of “any statute, rule, authorization or law that Laura Smith used to terminate John Watkins[</w:t>
      </w:r>
      <w:r w:rsidR="00953ED9">
        <w:t>’</w:t>
      </w:r>
      <w:r>
        <w:t>] (kg5idd) without notice or hearing.”</w:t>
      </w:r>
      <w:r>
        <w:rPr>
          <w:rStyle w:val="FootnoteReference"/>
        </w:rPr>
        <w:footnoteReference w:id="10"/>
      </w:r>
    </w:p>
    <w:p w:rsidR="005E0E03" w:rsidRDefault="00917FA1" w:rsidP="00D0017F">
      <w:pPr>
        <w:pStyle w:val="ParaNum"/>
      </w:pPr>
      <w:r>
        <w:t xml:space="preserve">EB responded by reciting that WTB had terminated the license pursuant to 47 C.F.R. § 1.113(a), as discussed above at Paragraph 2.  EB noted that “[a] copy of the Commission’s rules can be found on-line at </w:t>
      </w:r>
      <w:hyperlink r:id="rId8" w:history="1">
        <w:r w:rsidR="002F04C3" w:rsidRPr="00182E75">
          <w:rPr>
            <w:rStyle w:val="Hyperlink"/>
          </w:rPr>
          <w:t>www.fcc.gov</w:t>
        </w:r>
      </w:hyperlink>
      <w:r>
        <w:t>.”</w:t>
      </w:r>
      <w:r w:rsidR="002F04C3">
        <w:rPr>
          <w:rStyle w:val="FootnoteReference"/>
        </w:rPr>
        <w:footnoteReference w:id="11"/>
      </w:r>
    </w:p>
    <w:p w:rsidR="002F04C3" w:rsidRDefault="002F04C3" w:rsidP="00D0017F">
      <w:pPr>
        <w:pStyle w:val="ParaNum"/>
      </w:pPr>
      <w:r>
        <w:t>In his August 2 AFR</w:t>
      </w:r>
      <w:r w:rsidR="008A7E6D">
        <w:t xml:space="preserve"> of EB’s </w:t>
      </w:r>
      <w:r w:rsidR="004638B6">
        <w:t xml:space="preserve">response to the </w:t>
      </w:r>
      <w:r w:rsidR="008A7E6D">
        <w:t>June 10 Request</w:t>
      </w:r>
      <w:r>
        <w:t xml:space="preserve">, </w:t>
      </w:r>
      <w:r w:rsidR="00953ED9">
        <w:t>Caldwell again engages in a lengthy discussion of the circumstances surrounding the termination of Watkins’ license.  He states: “The FCC refuses and continues to refuse to provide information on the source of Ms Smith[’s] misinformation regarding the alleged agreemen[t] that was the basis for her request  to terminate Mr. Watkins[’] license.  Did she make it up? At any rate I am still requesting information on where the misinformation originated.”</w:t>
      </w:r>
      <w:r w:rsidR="00953ED9">
        <w:rPr>
          <w:rStyle w:val="FootnoteReference"/>
        </w:rPr>
        <w:footnoteReference w:id="12"/>
      </w:r>
    </w:p>
    <w:p w:rsidR="007B1BB0" w:rsidRDefault="007B1BB0" w:rsidP="00F61FEA">
      <w:pPr>
        <w:pStyle w:val="Heading1"/>
      </w:pPr>
      <w:r>
        <w:t>DISCUSSION</w:t>
      </w:r>
    </w:p>
    <w:p w:rsidR="0089698F" w:rsidRDefault="0089698F" w:rsidP="00D0017F">
      <w:pPr>
        <w:pStyle w:val="ParaNum"/>
      </w:pPr>
      <w:r>
        <w:t>Caldwell’s AFR</w:t>
      </w:r>
      <w:r w:rsidR="004638B6">
        <w:t>s</w:t>
      </w:r>
      <w:r>
        <w:t xml:space="preserve"> points to no error in EB’s Decision</w:t>
      </w:r>
      <w:r w:rsidR="00953ED9">
        <w:t>s</w:t>
      </w:r>
      <w:r>
        <w:t xml:space="preserve">.  </w:t>
      </w:r>
      <w:r w:rsidR="00953ED9">
        <w:t>With respect to the May 25 Decision, w</w:t>
      </w:r>
      <w:r>
        <w:t xml:space="preserve">e </w:t>
      </w:r>
      <w:r w:rsidR="00FA45E7">
        <w:t xml:space="preserve">credit </w:t>
      </w:r>
      <w:r>
        <w:t>EB’s assert</w:t>
      </w:r>
      <w:r w:rsidR="00FA45E7">
        <w:t xml:space="preserve">ion that it </w:t>
      </w:r>
      <w:r>
        <w:t xml:space="preserve">searched its records and found no relevant documents in addition to the </w:t>
      </w:r>
      <w:r w:rsidR="000E57CF">
        <w:t xml:space="preserve">39 documents </w:t>
      </w:r>
      <w:r>
        <w:t>already disclosed.  Caldwell does not appear to be arguing th</w:t>
      </w:r>
      <w:r w:rsidR="00FA45E7">
        <w:t>at</w:t>
      </w:r>
      <w:r>
        <w:t xml:space="preserve"> EB’s response to his FOIA request is </w:t>
      </w:r>
      <w:r w:rsidR="00905711">
        <w:t xml:space="preserve">in any way </w:t>
      </w:r>
      <w:r>
        <w:t>defective but rather appears to be arguing th</w:t>
      </w:r>
      <w:r w:rsidR="00905711">
        <w:t>at W</w:t>
      </w:r>
      <w:r>
        <w:t>atkins’ license</w:t>
      </w:r>
      <w:r w:rsidR="00905711">
        <w:t xml:space="preserve"> was improperly terminated</w:t>
      </w:r>
      <w:r>
        <w:t xml:space="preserve">.   </w:t>
      </w:r>
      <w:r w:rsidR="00905711">
        <w:t xml:space="preserve">That is, he apparently seeks justification for the termination, not documents.  </w:t>
      </w:r>
      <w:r w:rsidR="00FA45E7">
        <w:t>A FOIA request is not, however, the proper vehicle for raising such questions, if, indeed, Caldwell has standing to raise them at all.  In responding to a FOIA request, an agency “has no duty either to answer questions unrelated to document requests or to create documents.”</w:t>
      </w:r>
      <w:r w:rsidR="00FA45E7">
        <w:rPr>
          <w:rStyle w:val="FootnoteReference"/>
        </w:rPr>
        <w:footnoteReference w:id="13"/>
      </w:r>
    </w:p>
    <w:p w:rsidR="00953ED9" w:rsidRDefault="00953ED9" w:rsidP="00D0017F">
      <w:pPr>
        <w:pStyle w:val="ParaNum"/>
      </w:pPr>
      <w:r>
        <w:t xml:space="preserve">With respect to the July 13 Decision, EB fully responded to Caldwell’s request by indicating that the text of 47 C.F.R. </w:t>
      </w:r>
      <w:r w:rsidR="00FC5FE9">
        <w:t xml:space="preserve">§ 1.113(a) is publicly available.  </w:t>
      </w:r>
      <w:r w:rsidR="00F61FEA">
        <w:t xml:space="preserve">Moreover, </w:t>
      </w:r>
      <w:r w:rsidR="00FC5FE9">
        <w:t xml:space="preserve">EB had already explained, in responding to Caldwell’s </w:t>
      </w:r>
      <w:r w:rsidR="005F31C6">
        <w:t xml:space="preserve">earlier FOIA </w:t>
      </w:r>
      <w:r w:rsidR="00FC5FE9">
        <w:t>requests, that it had disclosed all records that it had located relevant to the termination of Watkins’ license.  We credit these representations.</w:t>
      </w:r>
    </w:p>
    <w:p w:rsidR="00905711" w:rsidRDefault="00905711" w:rsidP="00905711">
      <w:pPr>
        <w:pStyle w:val="Heading1"/>
        <w:rPr>
          <w:b w:val="0"/>
        </w:rPr>
      </w:pPr>
      <w:r>
        <w:lastRenderedPageBreak/>
        <w:t>ORDERING CLAUSE</w:t>
      </w:r>
    </w:p>
    <w:p w:rsidR="00905711" w:rsidRDefault="00905711" w:rsidP="00905711">
      <w:pPr>
        <w:pStyle w:val="ParaNum"/>
      </w:pPr>
      <w:r>
        <w:t>Accordingly, IT IS ORDERED, That the application</w:t>
      </w:r>
      <w:r w:rsidR="00FC5FE9">
        <w:t>s</w:t>
      </w:r>
      <w:r>
        <w:t xml:space="preserve"> for review filed by Thomas O. Caldwell </w:t>
      </w:r>
      <w:r w:rsidR="008A7E6D">
        <w:t xml:space="preserve">ARE </w:t>
      </w:r>
      <w:r>
        <w:t>DENIED.</w:t>
      </w:r>
      <w:r w:rsidR="00B76A87">
        <w:t xml:space="preserve">  Caldwell may seek judicial review of this action pursuant to 5 U.S.C. § 552(a)(4)(B).</w:t>
      </w:r>
      <w:r w:rsidR="00B76A87" w:rsidRPr="00403C26">
        <w:rPr>
          <w:rStyle w:val="FootnoteReference"/>
          <w:szCs w:val="22"/>
        </w:rPr>
        <w:footnoteReference w:id="14"/>
      </w:r>
      <w:r w:rsidR="00B76A87">
        <w:t xml:space="preserve">  </w:t>
      </w:r>
    </w:p>
    <w:p w:rsidR="00905711" w:rsidRDefault="00905711" w:rsidP="00C97A5D">
      <w:pPr>
        <w:pStyle w:val="ParaNum"/>
        <w:numPr>
          <w:ilvl w:val="0"/>
          <w:numId w:val="0"/>
        </w:numPr>
        <w:tabs>
          <w:tab w:val="num" w:pos="1440"/>
        </w:tabs>
        <w:ind w:firstLine="720"/>
      </w:pPr>
      <w:r>
        <w:t xml:space="preserve">The Officials responsible for this action are: Chairman </w:t>
      </w:r>
      <w:r w:rsidR="009A5DA4">
        <w:t xml:space="preserve">Pai </w:t>
      </w:r>
      <w:r w:rsidR="00811179">
        <w:t>an</w:t>
      </w:r>
      <w:r>
        <w:t>d Commissioners Clyburn</w:t>
      </w:r>
      <w:r w:rsidR="00811179">
        <w:t xml:space="preserve"> </w:t>
      </w:r>
      <w:r>
        <w:t>and O’Rielly.</w:t>
      </w:r>
    </w:p>
    <w:p w:rsidR="00905711" w:rsidRDefault="00905711" w:rsidP="0017296B">
      <w:r>
        <w:tab/>
      </w:r>
      <w:r>
        <w:tab/>
      </w:r>
      <w:r>
        <w:tab/>
      </w:r>
      <w:r>
        <w:tab/>
      </w:r>
      <w:r>
        <w:tab/>
      </w:r>
      <w:r>
        <w:tab/>
        <w:t>FEDERAL COMMUNICATIONS COMMISSION</w:t>
      </w:r>
    </w:p>
    <w:p w:rsidR="00905711" w:rsidRDefault="00905711" w:rsidP="0017296B"/>
    <w:p w:rsidR="00905711" w:rsidRDefault="00905711" w:rsidP="0017296B"/>
    <w:p w:rsidR="00905711" w:rsidRDefault="00905711" w:rsidP="0017296B"/>
    <w:p w:rsidR="00905711" w:rsidRDefault="00905711" w:rsidP="0017296B"/>
    <w:p w:rsidR="00905711" w:rsidRDefault="00905711" w:rsidP="0017296B">
      <w:r>
        <w:tab/>
      </w:r>
      <w:r>
        <w:tab/>
      </w:r>
      <w:r>
        <w:tab/>
      </w:r>
      <w:r>
        <w:tab/>
      </w:r>
      <w:r>
        <w:tab/>
      </w:r>
      <w:r>
        <w:tab/>
        <w:t>Marlene H. Dortch</w:t>
      </w:r>
    </w:p>
    <w:p w:rsidR="00905711" w:rsidRPr="00905711" w:rsidRDefault="00905711" w:rsidP="00DB62C7">
      <w:r>
        <w:tab/>
      </w:r>
      <w:r>
        <w:tab/>
      </w:r>
      <w:r>
        <w:tab/>
      </w:r>
      <w:r>
        <w:tab/>
      </w:r>
      <w:r>
        <w:tab/>
      </w:r>
      <w:r>
        <w:tab/>
        <w:t>Secretary</w:t>
      </w:r>
    </w:p>
    <w:sectPr w:rsidR="00905711" w:rsidRPr="00905711"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6B5" w:rsidRDefault="00A066B5">
      <w:pPr>
        <w:spacing w:line="20" w:lineRule="exact"/>
      </w:pPr>
    </w:p>
  </w:endnote>
  <w:endnote w:type="continuationSeparator" w:id="0">
    <w:p w:rsidR="00A066B5" w:rsidRDefault="00A066B5">
      <w:r>
        <w:t xml:space="preserve"> </w:t>
      </w:r>
    </w:p>
  </w:endnote>
  <w:endnote w:type="continuationNotice" w:id="1">
    <w:p w:rsidR="00A066B5" w:rsidRDefault="00A066B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C14D2E">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6B5" w:rsidRDefault="00A066B5">
      <w:r>
        <w:separator/>
      </w:r>
    </w:p>
  </w:footnote>
  <w:footnote w:type="continuationSeparator" w:id="0">
    <w:p w:rsidR="00A066B5" w:rsidRDefault="00A066B5" w:rsidP="00C721AC">
      <w:pPr>
        <w:spacing w:before="120"/>
        <w:rPr>
          <w:sz w:val="20"/>
        </w:rPr>
      </w:pPr>
      <w:r>
        <w:rPr>
          <w:sz w:val="20"/>
        </w:rPr>
        <w:t xml:space="preserve">(Continued from previous page)  </w:t>
      </w:r>
      <w:r>
        <w:rPr>
          <w:sz w:val="20"/>
        </w:rPr>
        <w:separator/>
      </w:r>
    </w:p>
  </w:footnote>
  <w:footnote w:type="continuationNotice" w:id="1">
    <w:p w:rsidR="00A066B5" w:rsidRDefault="00A066B5" w:rsidP="00C721AC">
      <w:pPr>
        <w:jc w:val="right"/>
        <w:rPr>
          <w:sz w:val="20"/>
        </w:rPr>
      </w:pPr>
      <w:r>
        <w:rPr>
          <w:sz w:val="20"/>
        </w:rPr>
        <w:t>(continued….)</w:t>
      </w:r>
    </w:p>
  </w:footnote>
  <w:footnote w:id="2">
    <w:p w:rsidR="00D0017F" w:rsidRDefault="00D0017F">
      <w:pPr>
        <w:pStyle w:val="FootnoteText"/>
      </w:pPr>
      <w:r>
        <w:rPr>
          <w:rStyle w:val="FootnoteReference"/>
        </w:rPr>
        <w:footnoteRef/>
      </w:r>
      <w:r>
        <w:t xml:space="preserve"> </w:t>
      </w:r>
      <w:r w:rsidR="00C06310">
        <w:t xml:space="preserve">Email from </w:t>
      </w:r>
      <w:r w:rsidR="00810092">
        <w:t>Thomas O. C</w:t>
      </w:r>
      <w:r w:rsidR="00C06310">
        <w:t xml:space="preserve">aldwell to </w:t>
      </w:r>
      <w:hyperlink r:id="rId1" w:history="1">
        <w:r w:rsidR="00C06310" w:rsidRPr="00E3178D">
          <w:rPr>
            <w:rStyle w:val="Hyperlink"/>
          </w:rPr>
          <w:t>FOIA-Appeal@fcc.gov</w:t>
        </w:r>
      </w:hyperlink>
      <w:r w:rsidR="00C06310">
        <w:t xml:space="preserve"> (May 25, 2016) (</w:t>
      </w:r>
      <w:r w:rsidR="00D17953">
        <w:t xml:space="preserve">May 25 </w:t>
      </w:r>
      <w:r w:rsidR="00C06310">
        <w:t>AFR)</w:t>
      </w:r>
      <w:r w:rsidR="00D17953">
        <w:t xml:space="preserve">; </w:t>
      </w:r>
      <w:r w:rsidR="000A2974">
        <w:t>E</w:t>
      </w:r>
      <w:r w:rsidR="00D17953">
        <w:t xml:space="preserve">mail from </w:t>
      </w:r>
      <w:r w:rsidR="00810092">
        <w:t>Thomas O. C</w:t>
      </w:r>
      <w:r w:rsidR="00D17953">
        <w:t xml:space="preserve">aldwell to </w:t>
      </w:r>
      <w:hyperlink r:id="rId2" w:history="1">
        <w:r w:rsidR="00D17953" w:rsidRPr="00182E75">
          <w:rPr>
            <w:rStyle w:val="Hyperlink"/>
          </w:rPr>
          <w:t>FOIA-Appeal@fcc.gov</w:t>
        </w:r>
      </w:hyperlink>
      <w:r w:rsidR="00D17953">
        <w:t xml:space="preserve"> (</w:t>
      </w:r>
      <w:r w:rsidR="000A2974">
        <w:t>Aug. 2, 2016) (August 2 AFR)</w:t>
      </w:r>
      <w:r w:rsidR="00C06310">
        <w:t>.</w:t>
      </w:r>
      <w:r w:rsidR="0043680C">
        <w:t xml:space="preserve"> Caldwell </w:t>
      </w:r>
      <w:r w:rsidR="000A2974">
        <w:t xml:space="preserve">also </w:t>
      </w:r>
      <w:r w:rsidR="0043680C">
        <w:t>submitted a</w:t>
      </w:r>
      <w:r w:rsidR="000A2974">
        <w:t xml:space="preserve">n </w:t>
      </w:r>
      <w:r w:rsidR="0043680C">
        <w:t>email on July 12, 2016</w:t>
      </w:r>
      <w:r w:rsidR="000A2974">
        <w:t xml:space="preserve"> related to the May 25 AFR.</w:t>
      </w:r>
      <w:r w:rsidR="0043680C">
        <w:t xml:space="preserve">  </w:t>
      </w:r>
    </w:p>
  </w:footnote>
  <w:footnote w:id="3">
    <w:p w:rsidR="00D0017F" w:rsidRDefault="00D0017F">
      <w:pPr>
        <w:pStyle w:val="FootnoteText"/>
      </w:pPr>
      <w:r>
        <w:rPr>
          <w:rStyle w:val="FootnoteReference"/>
        </w:rPr>
        <w:footnoteRef/>
      </w:r>
      <w:r>
        <w:t xml:space="preserve"> </w:t>
      </w:r>
      <w:r w:rsidR="00C06310">
        <w:t xml:space="preserve">Letter from David C. Dombrowski, Regional </w:t>
      </w:r>
      <w:r w:rsidR="00355364">
        <w:t>D</w:t>
      </w:r>
      <w:r w:rsidR="00C06310">
        <w:t>irector, Region 1, Enforcement Bureau to Mr. Thomas O. Caldwell (May 12, 2016) (</w:t>
      </w:r>
      <w:r w:rsidR="000A2974">
        <w:t xml:space="preserve">May 12 </w:t>
      </w:r>
      <w:r w:rsidR="00C06310">
        <w:t>Decision)</w:t>
      </w:r>
      <w:r w:rsidR="000A2974">
        <w:t>; Letter from Ronald Ramage, Regional Director, Region 2, Enforcement Bureau to Mr. Thomas O. Caldwell (Jul. 13, 2016) (July 13 Decision).</w:t>
      </w:r>
    </w:p>
  </w:footnote>
  <w:footnote w:id="4">
    <w:p w:rsidR="00D0017F" w:rsidRDefault="00D0017F">
      <w:pPr>
        <w:pStyle w:val="FootnoteText"/>
      </w:pPr>
      <w:r>
        <w:rPr>
          <w:rStyle w:val="FootnoteReference"/>
        </w:rPr>
        <w:footnoteRef/>
      </w:r>
      <w:r w:rsidR="0043680C">
        <w:t xml:space="preserve"> Submitted electronically April 20, 2016 </w:t>
      </w:r>
      <w:r w:rsidR="003D7BED">
        <w:t>(</w:t>
      </w:r>
      <w:r w:rsidR="000A2974">
        <w:t xml:space="preserve">April 20 </w:t>
      </w:r>
      <w:r w:rsidR="003D7BED">
        <w:t>Request)</w:t>
      </w:r>
      <w:r w:rsidR="005E0E03">
        <w:t xml:space="preserve">; </w:t>
      </w:r>
      <w:r w:rsidR="004638B6">
        <w:t>s</w:t>
      </w:r>
      <w:r w:rsidR="000A2974">
        <w:t>ubmitted electronically June 10, 2016 (June 10 request)</w:t>
      </w:r>
      <w:r w:rsidR="003D7BED">
        <w:t>.</w:t>
      </w:r>
    </w:p>
  </w:footnote>
  <w:footnote w:id="5">
    <w:p w:rsidR="00696122" w:rsidRDefault="00696122">
      <w:pPr>
        <w:pStyle w:val="FootnoteText"/>
      </w:pPr>
      <w:r>
        <w:rPr>
          <w:rStyle w:val="FootnoteReference"/>
        </w:rPr>
        <w:footnoteRef/>
      </w:r>
      <w:r>
        <w:t xml:space="preserve"> </w:t>
      </w:r>
      <w:r>
        <w:rPr>
          <w:snapToGrid w:val="0"/>
        </w:rPr>
        <w:t>http://wireless2.fcc.gov/UlsApp/UlsSearch/license.jsp?licKey=3713340.</w:t>
      </w:r>
    </w:p>
  </w:footnote>
  <w:footnote w:id="6">
    <w:p w:rsidR="007B1BB0" w:rsidRDefault="007B1BB0" w:rsidP="007B1BB0">
      <w:pPr>
        <w:pStyle w:val="FootnoteText"/>
      </w:pPr>
      <w:r>
        <w:rPr>
          <w:rStyle w:val="FootnoteReference"/>
        </w:rPr>
        <w:footnoteRef/>
      </w:r>
      <w:r>
        <w:t xml:space="preserve"> </w:t>
      </w:r>
      <w:r>
        <w:rPr>
          <w:i/>
        </w:rPr>
        <w:t xml:space="preserve">See </w:t>
      </w:r>
      <w:r>
        <w:t>Letter from Terry Fishel, Associate Chief, Mobility Division, Wireless Telecommunications Bureau to John D. Watkins III (Jul</w:t>
      </w:r>
      <w:r w:rsidR="004638B6">
        <w:t>.</w:t>
      </w:r>
      <w:r>
        <w:t xml:space="preserve"> 11, 2015).  </w:t>
      </w:r>
    </w:p>
  </w:footnote>
  <w:footnote w:id="7">
    <w:p w:rsidR="003D7BED" w:rsidRDefault="003D7BED">
      <w:pPr>
        <w:pStyle w:val="FootnoteText"/>
      </w:pPr>
      <w:r>
        <w:rPr>
          <w:rStyle w:val="FootnoteReference"/>
        </w:rPr>
        <w:footnoteRef/>
      </w:r>
      <w:r>
        <w:t xml:space="preserve"> </w:t>
      </w:r>
      <w:r w:rsidR="007B1BB0">
        <w:t xml:space="preserve">April 20 </w:t>
      </w:r>
      <w:r>
        <w:t>Request at</w:t>
      </w:r>
      <w:r w:rsidR="0043680C">
        <w:t xml:space="preserve"> 1.</w:t>
      </w:r>
    </w:p>
  </w:footnote>
  <w:footnote w:id="8">
    <w:p w:rsidR="003D7BED" w:rsidRDefault="003D7BED">
      <w:pPr>
        <w:pStyle w:val="FootnoteText"/>
      </w:pPr>
      <w:r>
        <w:rPr>
          <w:rStyle w:val="FootnoteReference"/>
        </w:rPr>
        <w:footnoteRef/>
      </w:r>
      <w:r>
        <w:t xml:space="preserve"> </w:t>
      </w:r>
      <w:r w:rsidR="005E0E03">
        <w:t xml:space="preserve">May 12 </w:t>
      </w:r>
      <w:r>
        <w:t xml:space="preserve">Decision at </w:t>
      </w:r>
      <w:r w:rsidR="0043680C">
        <w:t>1.</w:t>
      </w:r>
    </w:p>
  </w:footnote>
  <w:footnote w:id="9">
    <w:p w:rsidR="000436B9" w:rsidRDefault="000436B9">
      <w:pPr>
        <w:pStyle w:val="FootnoteText"/>
      </w:pPr>
      <w:r>
        <w:rPr>
          <w:rStyle w:val="FootnoteReference"/>
        </w:rPr>
        <w:footnoteRef/>
      </w:r>
      <w:r>
        <w:t xml:space="preserve"> </w:t>
      </w:r>
      <w:r w:rsidR="005E0E03">
        <w:t xml:space="preserve">May 25 </w:t>
      </w:r>
      <w:r>
        <w:t xml:space="preserve">AFR at </w:t>
      </w:r>
      <w:r w:rsidR="0043680C">
        <w:t>1.</w:t>
      </w:r>
    </w:p>
  </w:footnote>
  <w:footnote w:id="10">
    <w:p w:rsidR="005E0E03" w:rsidRDefault="005E0E03">
      <w:pPr>
        <w:pStyle w:val="FootnoteText"/>
      </w:pPr>
      <w:r>
        <w:rPr>
          <w:rStyle w:val="FootnoteReference"/>
        </w:rPr>
        <w:footnoteRef/>
      </w:r>
      <w:r>
        <w:t xml:space="preserve"> June 10 Request at 1.</w:t>
      </w:r>
    </w:p>
  </w:footnote>
  <w:footnote w:id="11">
    <w:p w:rsidR="002F04C3" w:rsidRDefault="002F04C3">
      <w:pPr>
        <w:pStyle w:val="FootnoteText"/>
      </w:pPr>
      <w:r>
        <w:rPr>
          <w:rStyle w:val="FootnoteReference"/>
        </w:rPr>
        <w:footnoteRef/>
      </w:r>
      <w:r>
        <w:t xml:space="preserve"> July 13 Decision at 1.</w:t>
      </w:r>
    </w:p>
  </w:footnote>
  <w:footnote w:id="12">
    <w:p w:rsidR="00953ED9" w:rsidRDefault="00953ED9">
      <w:pPr>
        <w:pStyle w:val="FootnoteText"/>
      </w:pPr>
      <w:r>
        <w:rPr>
          <w:rStyle w:val="FootnoteReference"/>
        </w:rPr>
        <w:footnoteRef/>
      </w:r>
      <w:r>
        <w:t xml:space="preserve"> August 2 AFR at 1.</w:t>
      </w:r>
    </w:p>
  </w:footnote>
  <w:footnote w:id="13">
    <w:p w:rsidR="00FA45E7" w:rsidRPr="00FA45E7" w:rsidRDefault="00FA45E7">
      <w:pPr>
        <w:pStyle w:val="FootnoteText"/>
      </w:pPr>
      <w:r>
        <w:rPr>
          <w:rStyle w:val="FootnoteReference"/>
        </w:rPr>
        <w:footnoteRef/>
      </w:r>
      <w:r>
        <w:t xml:space="preserve"> </w:t>
      </w:r>
      <w:r>
        <w:rPr>
          <w:i/>
        </w:rPr>
        <w:t xml:space="preserve">Zemansky v. U.S. EPA, </w:t>
      </w:r>
      <w:r>
        <w:t>767 F.2d 569, 574 (9</w:t>
      </w:r>
      <w:r w:rsidRPr="00FA45E7">
        <w:t>th</w:t>
      </w:r>
      <w:r>
        <w:t xml:space="preserve"> Cir. 1985).</w:t>
      </w:r>
    </w:p>
  </w:footnote>
  <w:footnote w:id="14">
    <w:p w:rsidR="00B76A87" w:rsidRDefault="00B76A87" w:rsidP="00B76A87">
      <w:pPr>
        <w:pStyle w:val="NormalWeb"/>
        <w:spacing w:before="0" w:beforeAutospacing="0" w:after="120" w:afterAutospacing="0"/>
      </w:pPr>
      <w:r w:rsidRPr="00F10F9A">
        <w:rPr>
          <w:rStyle w:val="FootnoteReference"/>
        </w:rPr>
        <w:footnoteRef/>
      </w:r>
      <w:r w:rsidRPr="00F10F9A">
        <w:rPr>
          <w:sz w:val="20"/>
          <w:szCs w:val="20"/>
        </w:rPr>
        <w:t xml:space="preserve"> </w:t>
      </w:r>
      <w:r>
        <w:rPr>
          <w:sz w:val="20"/>
          <w:szCs w:val="20"/>
        </w:rPr>
        <w:t xml:space="preserve">We note that as part of the Open Government Act of 2007, the Office of Government Information Services (OGIS) was created to offer mediation services to resolve disputes between FOIA requesters and Federal agencies as a non-exclusive alternative to litigation.  Using OGIS services does not affect Caldwell’s right to pursue litigation.  Caldwell may contact OGIS in any of the following ways: </w:t>
      </w:r>
    </w:p>
    <w:p w:rsidR="00B76A87" w:rsidRDefault="00B76A87" w:rsidP="00B76A87">
      <w:pPr>
        <w:pStyle w:val="NormalWeb"/>
        <w:ind w:left="1440"/>
      </w:pPr>
      <w:r>
        <w:rPr>
          <w:sz w:val="20"/>
          <w:szCs w:val="20"/>
        </w:rPr>
        <w:t xml:space="preserve">Office of Government Information Services </w:t>
      </w:r>
      <w:r>
        <w:br/>
      </w:r>
      <w:r>
        <w:rPr>
          <w:sz w:val="20"/>
          <w:szCs w:val="20"/>
        </w:rPr>
        <w:t xml:space="preserve">National Archives and Records Administration </w:t>
      </w:r>
      <w:r>
        <w:br/>
      </w:r>
      <w:r>
        <w:rPr>
          <w:sz w:val="20"/>
          <w:szCs w:val="20"/>
        </w:rPr>
        <w:t xml:space="preserve">Room 2510 </w:t>
      </w:r>
      <w:r>
        <w:br/>
      </w:r>
      <w:r>
        <w:rPr>
          <w:sz w:val="20"/>
          <w:szCs w:val="20"/>
        </w:rPr>
        <w:t xml:space="preserve">8601 Adelphi Road </w:t>
      </w:r>
      <w:r>
        <w:br/>
      </w:r>
      <w:r>
        <w:rPr>
          <w:sz w:val="20"/>
          <w:szCs w:val="20"/>
        </w:rPr>
        <w:t xml:space="preserve">College Park, MD 20740-6001 </w:t>
      </w:r>
      <w:r>
        <w:br/>
      </w:r>
      <w:r>
        <w:rPr>
          <w:sz w:val="20"/>
          <w:szCs w:val="20"/>
        </w:rPr>
        <w:t xml:space="preserve">E-mail: ogis@nara.gov </w:t>
      </w:r>
      <w:r>
        <w:br/>
      </w:r>
      <w:r>
        <w:rPr>
          <w:sz w:val="20"/>
          <w:szCs w:val="20"/>
        </w:rPr>
        <w:t xml:space="preserve">Telephone: 301-837-1996 </w:t>
      </w:r>
      <w:r>
        <w:br/>
      </w:r>
      <w:r>
        <w:rPr>
          <w:sz w:val="20"/>
          <w:szCs w:val="20"/>
        </w:rPr>
        <w:t xml:space="preserve">Facsimile: 301-837-0348 </w:t>
      </w:r>
      <w:r>
        <w:br/>
      </w:r>
      <w:r>
        <w:rPr>
          <w:sz w:val="20"/>
          <w:szCs w:val="20"/>
        </w:rPr>
        <w:t>Toll-free: 1-877-684-6448.</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EC4" w:rsidRDefault="00286E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1A4BE9">
      <w:t>FCC 17-5</w:t>
    </w:r>
  </w:p>
  <w:p w:rsidR="00D25FB5" w:rsidRDefault="00771740">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AA703C2"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BE9" w:rsidRDefault="00771740" w:rsidP="001A4BE9">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6A3022"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1A4BE9">
      <w:rPr>
        <w:spacing w:val="-2"/>
      </w:rPr>
      <w:t>FCC 17-5</w:t>
    </w:r>
  </w:p>
  <w:p w:rsidR="00D25FB5" w:rsidRDefault="00D25FB5" w:rsidP="00810B6F">
    <w:pPr>
      <w:pStyle w:val="Header"/>
      <w:rPr>
        <w:b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740"/>
    <w:rsid w:val="000241BA"/>
    <w:rsid w:val="00036039"/>
    <w:rsid w:val="00037F90"/>
    <w:rsid w:val="000436B9"/>
    <w:rsid w:val="000875BF"/>
    <w:rsid w:val="00096D8C"/>
    <w:rsid w:val="000A17ED"/>
    <w:rsid w:val="000A2974"/>
    <w:rsid w:val="000C0B65"/>
    <w:rsid w:val="000E05FE"/>
    <w:rsid w:val="000E3D42"/>
    <w:rsid w:val="000E57CF"/>
    <w:rsid w:val="00107AA5"/>
    <w:rsid w:val="00122BD5"/>
    <w:rsid w:val="00133F79"/>
    <w:rsid w:val="00194A66"/>
    <w:rsid w:val="001A4BE9"/>
    <w:rsid w:val="001B161B"/>
    <w:rsid w:val="001D6BCF"/>
    <w:rsid w:val="001E01CA"/>
    <w:rsid w:val="00256206"/>
    <w:rsid w:val="00275CF5"/>
    <w:rsid w:val="0028301F"/>
    <w:rsid w:val="00285017"/>
    <w:rsid w:val="00286EC4"/>
    <w:rsid w:val="002A2D2E"/>
    <w:rsid w:val="002C00E8"/>
    <w:rsid w:val="002F04C3"/>
    <w:rsid w:val="00343749"/>
    <w:rsid w:val="00355364"/>
    <w:rsid w:val="003660ED"/>
    <w:rsid w:val="0037607D"/>
    <w:rsid w:val="00393235"/>
    <w:rsid w:val="003B0550"/>
    <w:rsid w:val="003B694F"/>
    <w:rsid w:val="003D7BED"/>
    <w:rsid w:val="003F171C"/>
    <w:rsid w:val="00412FC5"/>
    <w:rsid w:val="00422276"/>
    <w:rsid w:val="004242F1"/>
    <w:rsid w:val="0043680C"/>
    <w:rsid w:val="00445A00"/>
    <w:rsid w:val="00451B0F"/>
    <w:rsid w:val="004638B6"/>
    <w:rsid w:val="004C2EE3"/>
    <w:rsid w:val="004E4A22"/>
    <w:rsid w:val="00511968"/>
    <w:rsid w:val="0055614C"/>
    <w:rsid w:val="005E0E03"/>
    <w:rsid w:val="005E14C2"/>
    <w:rsid w:val="005F31C6"/>
    <w:rsid w:val="00607BA5"/>
    <w:rsid w:val="0061180A"/>
    <w:rsid w:val="00626EB6"/>
    <w:rsid w:val="00655D03"/>
    <w:rsid w:val="00683388"/>
    <w:rsid w:val="00683F84"/>
    <w:rsid w:val="00684760"/>
    <w:rsid w:val="00696122"/>
    <w:rsid w:val="006A6A81"/>
    <w:rsid w:val="006F7393"/>
    <w:rsid w:val="0070224F"/>
    <w:rsid w:val="007115F7"/>
    <w:rsid w:val="0073183D"/>
    <w:rsid w:val="00771740"/>
    <w:rsid w:val="00785689"/>
    <w:rsid w:val="0079754B"/>
    <w:rsid w:val="00797AC9"/>
    <w:rsid w:val="007A1E6D"/>
    <w:rsid w:val="007B0EB2"/>
    <w:rsid w:val="007B1BB0"/>
    <w:rsid w:val="00810092"/>
    <w:rsid w:val="00810B6F"/>
    <w:rsid w:val="00811179"/>
    <w:rsid w:val="00822CE0"/>
    <w:rsid w:val="00841AB1"/>
    <w:rsid w:val="0089698F"/>
    <w:rsid w:val="008A7E6D"/>
    <w:rsid w:val="008C68F1"/>
    <w:rsid w:val="00905711"/>
    <w:rsid w:val="00917FA1"/>
    <w:rsid w:val="00921803"/>
    <w:rsid w:val="00926503"/>
    <w:rsid w:val="00953ED9"/>
    <w:rsid w:val="009726D8"/>
    <w:rsid w:val="00983547"/>
    <w:rsid w:val="00987134"/>
    <w:rsid w:val="009A5DA4"/>
    <w:rsid w:val="009F76DB"/>
    <w:rsid w:val="00A066B5"/>
    <w:rsid w:val="00A157F5"/>
    <w:rsid w:val="00A2305A"/>
    <w:rsid w:val="00A32C3B"/>
    <w:rsid w:val="00A45F4F"/>
    <w:rsid w:val="00A47FFA"/>
    <w:rsid w:val="00A600A9"/>
    <w:rsid w:val="00A714E7"/>
    <w:rsid w:val="00AA55B7"/>
    <w:rsid w:val="00AA5B9E"/>
    <w:rsid w:val="00AB2407"/>
    <w:rsid w:val="00AB53DF"/>
    <w:rsid w:val="00AC7CD8"/>
    <w:rsid w:val="00B07E5C"/>
    <w:rsid w:val="00B24088"/>
    <w:rsid w:val="00B76086"/>
    <w:rsid w:val="00B76A87"/>
    <w:rsid w:val="00B811F7"/>
    <w:rsid w:val="00B81FB6"/>
    <w:rsid w:val="00BA5DC6"/>
    <w:rsid w:val="00BA6196"/>
    <w:rsid w:val="00BC6D8C"/>
    <w:rsid w:val="00C06310"/>
    <w:rsid w:val="00C14D2E"/>
    <w:rsid w:val="00C34006"/>
    <w:rsid w:val="00C426B1"/>
    <w:rsid w:val="00C50043"/>
    <w:rsid w:val="00C66160"/>
    <w:rsid w:val="00C721AC"/>
    <w:rsid w:val="00C90D6A"/>
    <w:rsid w:val="00CA247E"/>
    <w:rsid w:val="00CC72B6"/>
    <w:rsid w:val="00CE6E86"/>
    <w:rsid w:val="00D0017F"/>
    <w:rsid w:val="00D0218D"/>
    <w:rsid w:val="00D17953"/>
    <w:rsid w:val="00D25FB5"/>
    <w:rsid w:val="00D35A77"/>
    <w:rsid w:val="00D44223"/>
    <w:rsid w:val="00DA2529"/>
    <w:rsid w:val="00DB130A"/>
    <w:rsid w:val="00DB2EBB"/>
    <w:rsid w:val="00DB62C7"/>
    <w:rsid w:val="00DC10A1"/>
    <w:rsid w:val="00DC655F"/>
    <w:rsid w:val="00DD0B59"/>
    <w:rsid w:val="00DD679F"/>
    <w:rsid w:val="00DD7EBD"/>
    <w:rsid w:val="00DF62B6"/>
    <w:rsid w:val="00E07225"/>
    <w:rsid w:val="00E5409F"/>
    <w:rsid w:val="00ED4BD8"/>
    <w:rsid w:val="00EE6488"/>
    <w:rsid w:val="00F021FA"/>
    <w:rsid w:val="00F550CE"/>
    <w:rsid w:val="00F61FEA"/>
    <w:rsid w:val="00F62E97"/>
    <w:rsid w:val="00F64209"/>
    <w:rsid w:val="00F85757"/>
    <w:rsid w:val="00F9011D"/>
    <w:rsid w:val="00F93BF5"/>
    <w:rsid w:val="00FA45E7"/>
    <w:rsid w:val="00FA76A6"/>
    <w:rsid w:val="00FC5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4D2E"/>
    <w:pPr>
      <w:widowControl w:val="0"/>
    </w:pPr>
    <w:rPr>
      <w:snapToGrid w:val="0"/>
      <w:kern w:val="28"/>
      <w:sz w:val="22"/>
    </w:rPr>
  </w:style>
  <w:style w:type="paragraph" w:styleId="Heading1">
    <w:name w:val="heading 1"/>
    <w:basedOn w:val="Normal"/>
    <w:next w:val="ParaNum"/>
    <w:qFormat/>
    <w:rsid w:val="00C14D2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14D2E"/>
    <w:pPr>
      <w:keepNext/>
      <w:numPr>
        <w:ilvl w:val="1"/>
        <w:numId w:val="3"/>
      </w:numPr>
      <w:spacing w:after="120"/>
      <w:outlineLvl w:val="1"/>
    </w:pPr>
    <w:rPr>
      <w:b/>
    </w:rPr>
  </w:style>
  <w:style w:type="paragraph" w:styleId="Heading3">
    <w:name w:val="heading 3"/>
    <w:basedOn w:val="Normal"/>
    <w:next w:val="ParaNum"/>
    <w:qFormat/>
    <w:rsid w:val="00C14D2E"/>
    <w:pPr>
      <w:keepNext/>
      <w:numPr>
        <w:ilvl w:val="2"/>
        <w:numId w:val="3"/>
      </w:numPr>
      <w:tabs>
        <w:tab w:val="left" w:pos="2160"/>
      </w:tabs>
      <w:spacing w:after="120"/>
      <w:outlineLvl w:val="2"/>
    </w:pPr>
    <w:rPr>
      <w:b/>
    </w:rPr>
  </w:style>
  <w:style w:type="paragraph" w:styleId="Heading4">
    <w:name w:val="heading 4"/>
    <w:basedOn w:val="Normal"/>
    <w:next w:val="ParaNum"/>
    <w:qFormat/>
    <w:rsid w:val="00C14D2E"/>
    <w:pPr>
      <w:keepNext/>
      <w:numPr>
        <w:ilvl w:val="3"/>
        <w:numId w:val="3"/>
      </w:numPr>
      <w:tabs>
        <w:tab w:val="left" w:pos="2880"/>
      </w:tabs>
      <w:spacing w:after="120"/>
      <w:outlineLvl w:val="3"/>
    </w:pPr>
    <w:rPr>
      <w:b/>
    </w:rPr>
  </w:style>
  <w:style w:type="paragraph" w:styleId="Heading5">
    <w:name w:val="heading 5"/>
    <w:basedOn w:val="Normal"/>
    <w:next w:val="ParaNum"/>
    <w:qFormat/>
    <w:rsid w:val="00C14D2E"/>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C14D2E"/>
    <w:pPr>
      <w:numPr>
        <w:ilvl w:val="5"/>
        <w:numId w:val="3"/>
      </w:numPr>
      <w:tabs>
        <w:tab w:val="left" w:pos="4320"/>
      </w:tabs>
      <w:spacing w:after="120"/>
      <w:outlineLvl w:val="5"/>
    </w:pPr>
    <w:rPr>
      <w:b/>
    </w:rPr>
  </w:style>
  <w:style w:type="paragraph" w:styleId="Heading7">
    <w:name w:val="heading 7"/>
    <w:basedOn w:val="Normal"/>
    <w:next w:val="ParaNum"/>
    <w:qFormat/>
    <w:rsid w:val="00C14D2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14D2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C14D2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14D2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14D2E"/>
  </w:style>
  <w:style w:type="paragraph" w:customStyle="1" w:styleId="ParaNum">
    <w:name w:val="ParaNum"/>
    <w:basedOn w:val="Normal"/>
    <w:rsid w:val="00C14D2E"/>
    <w:pPr>
      <w:numPr>
        <w:numId w:val="2"/>
      </w:numPr>
      <w:tabs>
        <w:tab w:val="clear" w:pos="1080"/>
        <w:tab w:val="num" w:pos="1440"/>
      </w:tabs>
      <w:spacing w:after="120"/>
    </w:pPr>
  </w:style>
  <w:style w:type="paragraph" w:styleId="EndnoteText">
    <w:name w:val="endnote text"/>
    <w:basedOn w:val="Normal"/>
    <w:semiHidden/>
    <w:rsid w:val="00C14D2E"/>
    <w:rPr>
      <w:sz w:val="20"/>
    </w:rPr>
  </w:style>
  <w:style w:type="character" w:styleId="EndnoteReference">
    <w:name w:val="endnote reference"/>
    <w:semiHidden/>
    <w:rsid w:val="00C14D2E"/>
    <w:rPr>
      <w:vertAlign w:val="superscript"/>
    </w:rPr>
  </w:style>
  <w:style w:type="paragraph" w:styleId="FootnoteText">
    <w:name w:val="footnote text"/>
    <w:rsid w:val="00C14D2E"/>
    <w:pPr>
      <w:spacing w:after="120"/>
    </w:pPr>
  </w:style>
  <w:style w:type="character" w:styleId="FootnoteReference">
    <w:name w:val="footnote reference"/>
    <w:rsid w:val="00C14D2E"/>
    <w:rPr>
      <w:rFonts w:ascii="Times New Roman" w:hAnsi="Times New Roman"/>
      <w:dstrike w:val="0"/>
      <w:color w:val="auto"/>
      <w:sz w:val="20"/>
      <w:vertAlign w:val="superscript"/>
    </w:rPr>
  </w:style>
  <w:style w:type="paragraph" w:styleId="TOC1">
    <w:name w:val="toc 1"/>
    <w:basedOn w:val="Normal"/>
    <w:next w:val="Normal"/>
    <w:semiHidden/>
    <w:rsid w:val="00C14D2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14D2E"/>
    <w:pPr>
      <w:tabs>
        <w:tab w:val="left" w:pos="720"/>
        <w:tab w:val="right" w:leader="dot" w:pos="9360"/>
      </w:tabs>
      <w:suppressAutoHyphens/>
      <w:ind w:left="720" w:right="720" w:hanging="360"/>
    </w:pPr>
    <w:rPr>
      <w:noProof/>
    </w:rPr>
  </w:style>
  <w:style w:type="paragraph" w:styleId="TOC3">
    <w:name w:val="toc 3"/>
    <w:basedOn w:val="Normal"/>
    <w:next w:val="Normal"/>
    <w:semiHidden/>
    <w:rsid w:val="00C14D2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14D2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14D2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14D2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14D2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14D2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14D2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14D2E"/>
    <w:pPr>
      <w:tabs>
        <w:tab w:val="right" w:pos="9360"/>
      </w:tabs>
      <w:suppressAutoHyphens/>
    </w:pPr>
  </w:style>
  <w:style w:type="character" w:customStyle="1" w:styleId="EquationCaption">
    <w:name w:val="_Equation Caption"/>
    <w:rsid w:val="00C14D2E"/>
  </w:style>
  <w:style w:type="paragraph" w:styleId="Header">
    <w:name w:val="header"/>
    <w:basedOn w:val="Normal"/>
    <w:autoRedefine/>
    <w:rsid w:val="00C14D2E"/>
    <w:pPr>
      <w:tabs>
        <w:tab w:val="center" w:pos="4680"/>
        <w:tab w:val="right" w:pos="9360"/>
      </w:tabs>
    </w:pPr>
    <w:rPr>
      <w:b/>
    </w:rPr>
  </w:style>
  <w:style w:type="paragraph" w:styleId="Footer">
    <w:name w:val="footer"/>
    <w:basedOn w:val="Normal"/>
    <w:rsid w:val="00C14D2E"/>
    <w:pPr>
      <w:tabs>
        <w:tab w:val="center" w:pos="4320"/>
        <w:tab w:val="right" w:pos="8640"/>
      </w:tabs>
    </w:pPr>
  </w:style>
  <w:style w:type="character" w:styleId="PageNumber">
    <w:name w:val="page number"/>
    <w:basedOn w:val="DefaultParagraphFont"/>
    <w:rsid w:val="00C14D2E"/>
  </w:style>
  <w:style w:type="paragraph" w:styleId="BlockText">
    <w:name w:val="Block Text"/>
    <w:basedOn w:val="Normal"/>
    <w:rsid w:val="00C14D2E"/>
    <w:pPr>
      <w:spacing w:after="240"/>
      <w:ind w:left="1440" w:right="1440"/>
    </w:pPr>
  </w:style>
  <w:style w:type="paragraph" w:customStyle="1" w:styleId="Paratitle">
    <w:name w:val="Para title"/>
    <w:basedOn w:val="Normal"/>
    <w:rsid w:val="00C14D2E"/>
    <w:pPr>
      <w:tabs>
        <w:tab w:val="center" w:pos="9270"/>
      </w:tabs>
      <w:spacing w:after="240"/>
    </w:pPr>
    <w:rPr>
      <w:spacing w:val="-2"/>
    </w:rPr>
  </w:style>
  <w:style w:type="paragraph" w:customStyle="1" w:styleId="Bullet">
    <w:name w:val="Bullet"/>
    <w:basedOn w:val="Normal"/>
    <w:rsid w:val="00C14D2E"/>
    <w:pPr>
      <w:tabs>
        <w:tab w:val="left" w:pos="2160"/>
      </w:tabs>
      <w:spacing w:after="220"/>
      <w:ind w:left="2160" w:hanging="720"/>
    </w:pPr>
  </w:style>
  <w:style w:type="paragraph" w:customStyle="1" w:styleId="TableFormat">
    <w:name w:val="TableFormat"/>
    <w:basedOn w:val="Bullet"/>
    <w:rsid w:val="00C14D2E"/>
    <w:pPr>
      <w:tabs>
        <w:tab w:val="clear" w:pos="2160"/>
        <w:tab w:val="left" w:pos="5040"/>
      </w:tabs>
      <w:ind w:left="5040" w:hanging="3600"/>
    </w:pPr>
  </w:style>
  <w:style w:type="paragraph" w:customStyle="1" w:styleId="TOCTitle">
    <w:name w:val="TOC Title"/>
    <w:basedOn w:val="Normal"/>
    <w:rsid w:val="00C14D2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14D2E"/>
    <w:pPr>
      <w:jc w:val="center"/>
    </w:pPr>
    <w:rPr>
      <w:rFonts w:ascii="Times New Roman Bold" w:hAnsi="Times New Roman Bold"/>
      <w:b/>
      <w:bCs/>
      <w:caps/>
      <w:szCs w:val="22"/>
    </w:rPr>
  </w:style>
  <w:style w:type="character" w:styleId="Hyperlink">
    <w:name w:val="Hyperlink"/>
    <w:rsid w:val="00C14D2E"/>
    <w:rPr>
      <w:color w:val="0000FF"/>
      <w:u w:val="single"/>
    </w:rPr>
  </w:style>
  <w:style w:type="paragraph" w:styleId="BalloonText">
    <w:name w:val="Balloon Text"/>
    <w:basedOn w:val="Normal"/>
    <w:link w:val="BalloonTextChar"/>
    <w:rsid w:val="007B1BB0"/>
    <w:rPr>
      <w:rFonts w:ascii="Segoe UI" w:hAnsi="Segoe UI" w:cs="Segoe UI"/>
      <w:sz w:val="18"/>
      <w:szCs w:val="18"/>
    </w:rPr>
  </w:style>
  <w:style w:type="character" w:customStyle="1" w:styleId="BalloonTextChar">
    <w:name w:val="Balloon Text Char"/>
    <w:basedOn w:val="DefaultParagraphFont"/>
    <w:link w:val="BalloonText"/>
    <w:rsid w:val="007B1BB0"/>
    <w:rPr>
      <w:rFonts w:ascii="Segoe UI" w:hAnsi="Segoe UI" w:cs="Segoe UI"/>
      <w:snapToGrid w:val="0"/>
      <w:kern w:val="28"/>
      <w:sz w:val="18"/>
      <w:szCs w:val="18"/>
    </w:rPr>
  </w:style>
  <w:style w:type="paragraph" w:styleId="NormalWeb">
    <w:name w:val="Normal (Web)"/>
    <w:basedOn w:val="Normal"/>
    <w:uiPriority w:val="99"/>
    <w:unhideWhenUsed/>
    <w:rsid w:val="00B76A87"/>
    <w:pPr>
      <w:widowControl/>
      <w:spacing w:before="100" w:beforeAutospacing="1" w:after="100" w:afterAutospacing="1"/>
    </w:pPr>
    <w:rPr>
      <w:snapToGrid/>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4D2E"/>
    <w:pPr>
      <w:widowControl w:val="0"/>
    </w:pPr>
    <w:rPr>
      <w:snapToGrid w:val="0"/>
      <w:kern w:val="28"/>
      <w:sz w:val="22"/>
    </w:rPr>
  </w:style>
  <w:style w:type="paragraph" w:styleId="Heading1">
    <w:name w:val="heading 1"/>
    <w:basedOn w:val="Normal"/>
    <w:next w:val="ParaNum"/>
    <w:qFormat/>
    <w:rsid w:val="00C14D2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14D2E"/>
    <w:pPr>
      <w:keepNext/>
      <w:numPr>
        <w:ilvl w:val="1"/>
        <w:numId w:val="3"/>
      </w:numPr>
      <w:spacing w:after="120"/>
      <w:outlineLvl w:val="1"/>
    </w:pPr>
    <w:rPr>
      <w:b/>
    </w:rPr>
  </w:style>
  <w:style w:type="paragraph" w:styleId="Heading3">
    <w:name w:val="heading 3"/>
    <w:basedOn w:val="Normal"/>
    <w:next w:val="ParaNum"/>
    <w:qFormat/>
    <w:rsid w:val="00C14D2E"/>
    <w:pPr>
      <w:keepNext/>
      <w:numPr>
        <w:ilvl w:val="2"/>
        <w:numId w:val="3"/>
      </w:numPr>
      <w:tabs>
        <w:tab w:val="left" w:pos="2160"/>
      </w:tabs>
      <w:spacing w:after="120"/>
      <w:outlineLvl w:val="2"/>
    </w:pPr>
    <w:rPr>
      <w:b/>
    </w:rPr>
  </w:style>
  <w:style w:type="paragraph" w:styleId="Heading4">
    <w:name w:val="heading 4"/>
    <w:basedOn w:val="Normal"/>
    <w:next w:val="ParaNum"/>
    <w:qFormat/>
    <w:rsid w:val="00C14D2E"/>
    <w:pPr>
      <w:keepNext/>
      <w:numPr>
        <w:ilvl w:val="3"/>
        <w:numId w:val="3"/>
      </w:numPr>
      <w:tabs>
        <w:tab w:val="left" w:pos="2880"/>
      </w:tabs>
      <w:spacing w:after="120"/>
      <w:outlineLvl w:val="3"/>
    </w:pPr>
    <w:rPr>
      <w:b/>
    </w:rPr>
  </w:style>
  <w:style w:type="paragraph" w:styleId="Heading5">
    <w:name w:val="heading 5"/>
    <w:basedOn w:val="Normal"/>
    <w:next w:val="ParaNum"/>
    <w:qFormat/>
    <w:rsid w:val="00C14D2E"/>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C14D2E"/>
    <w:pPr>
      <w:numPr>
        <w:ilvl w:val="5"/>
        <w:numId w:val="3"/>
      </w:numPr>
      <w:tabs>
        <w:tab w:val="left" w:pos="4320"/>
      </w:tabs>
      <w:spacing w:after="120"/>
      <w:outlineLvl w:val="5"/>
    </w:pPr>
    <w:rPr>
      <w:b/>
    </w:rPr>
  </w:style>
  <w:style w:type="paragraph" w:styleId="Heading7">
    <w:name w:val="heading 7"/>
    <w:basedOn w:val="Normal"/>
    <w:next w:val="ParaNum"/>
    <w:qFormat/>
    <w:rsid w:val="00C14D2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14D2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C14D2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14D2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14D2E"/>
  </w:style>
  <w:style w:type="paragraph" w:customStyle="1" w:styleId="ParaNum">
    <w:name w:val="ParaNum"/>
    <w:basedOn w:val="Normal"/>
    <w:rsid w:val="00C14D2E"/>
    <w:pPr>
      <w:numPr>
        <w:numId w:val="2"/>
      </w:numPr>
      <w:tabs>
        <w:tab w:val="clear" w:pos="1080"/>
        <w:tab w:val="num" w:pos="1440"/>
      </w:tabs>
      <w:spacing w:after="120"/>
    </w:pPr>
  </w:style>
  <w:style w:type="paragraph" w:styleId="EndnoteText">
    <w:name w:val="endnote text"/>
    <w:basedOn w:val="Normal"/>
    <w:semiHidden/>
    <w:rsid w:val="00C14D2E"/>
    <w:rPr>
      <w:sz w:val="20"/>
    </w:rPr>
  </w:style>
  <w:style w:type="character" w:styleId="EndnoteReference">
    <w:name w:val="endnote reference"/>
    <w:semiHidden/>
    <w:rsid w:val="00C14D2E"/>
    <w:rPr>
      <w:vertAlign w:val="superscript"/>
    </w:rPr>
  </w:style>
  <w:style w:type="paragraph" w:styleId="FootnoteText">
    <w:name w:val="footnote text"/>
    <w:rsid w:val="00C14D2E"/>
    <w:pPr>
      <w:spacing w:after="120"/>
    </w:pPr>
  </w:style>
  <w:style w:type="character" w:styleId="FootnoteReference">
    <w:name w:val="footnote reference"/>
    <w:rsid w:val="00C14D2E"/>
    <w:rPr>
      <w:rFonts w:ascii="Times New Roman" w:hAnsi="Times New Roman"/>
      <w:dstrike w:val="0"/>
      <w:color w:val="auto"/>
      <w:sz w:val="20"/>
      <w:vertAlign w:val="superscript"/>
    </w:rPr>
  </w:style>
  <w:style w:type="paragraph" w:styleId="TOC1">
    <w:name w:val="toc 1"/>
    <w:basedOn w:val="Normal"/>
    <w:next w:val="Normal"/>
    <w:semiHidden/>
    <w:rsid w:val="00C14D2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14D2E"/>
    <w:pPr>
      <w:tabs>
        <w:tab w:val="left" w:pos="720"/>
        <w:tab w:val="right" w:leader="dot" w:pos="9360"/>
      </w:tabs>
      <w:suppressAutoHyphens/>
      <w:ind w:left="720" w:right="720" w:hanging="360"/>
    </w:pPr>
    <w:rPr>
      <w:noProof/>
    </w:rPr>
  </w:style>
  <w:style w:type="paragraph" w:styleId="TOC3">
    <w:name w:val="toc 3"/>
    <w:basedOn w:val="Normal"/>
    <w:next w:val="Normal"/>
    <w:semiHidden/>
    <w:rsid w:val="00C14D2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14D2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14D2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14D2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14D2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14D2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14D2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14D2E"/>
    <w:pPr>
      <w:tabs>
        <w:tab w:val="right" w:pos="9360"/>
      </w:tabs>
      <w:suppressAutoHyphens/>
    </w:pPr>
  </w:style>
  <w:style w:type="character" w:customStyle="1" w:styleId="EquationCaption">
    <w:name w:val="_Equation Caption"/>
    <w:rsid w:val="00C14D2E"/>
  </w:style>
  <w:style w:type="paragraph" w:styleId="Header">
    <w:name w:val="header"/>
    <w:basedOn w:val="Normal"/>
    <w:autoRedefine/>
    <w:rsid w:val="00C14D2E"/>
    <w:pPr>
      <w:tabs>
        <w:tab w:val="center" w:pos="4680"/>
        <w:tab w:val="right" w:pos="9360"/>
      </w:tabs>
    </w:pPr>
    <w:rPr>
      <w:b/>
    </w:rPr>
  </w:style>
  <w:style w:type="paragraph" w:styleId="Footer">
    <w:name w:val="footer"/>
    <w:basedOn w:val="Normal"/>
    <w:rsid w:val="00C14D2E"/>
    <w:pPr>
      <w:tabs>
        <w:tab w:val="center" w:pos="4320"/>
        <w:tab w:val="right" w:pos="8640"/>
      </w:tabs>
    </w:pPr>
  </w:style>
  <w:style w:type="character" w:styleId="PageNumber">
    <w:name w:val="page number"/>
    <w:basedOn w:val="DefaultParagraphFont"/>
    <w:rsid w:val="00C14D2E"/>
  </w:style>
  <w:style w:type="paragraph" w:styleId="BlockText">
    <w:name w:val="Block Text"/>
    <w:basedOn w:val="Normal"/>
    <w:rsid w:val="00C14D2E"/>
    <w:pPr>
      <w:spacing w:after="240"/>
      <w:ind w:left="1440" w:right="1440"/>
    </w:pPr>
  </w:style>
  <w:style w:type="paragraph" w:customStyle="1" w:styleId="Paratitle">
    <w:name w:val="Para title"/>
    <w:basedOn w:val="Normal"/>
    <w:rsid w:val="00C14D2E"/>
    <w:pPr>
      <w:tabs>
        <w:tab w:val="center" w:pos="9270"/>
      </w:tabs>
      <w:spacing w:after="240"/>
    </w:pPr>
    <w:rPr>
      <w:spacing w:val="-2"/>
    </w:rPr>
  </w:style>
  <w:style w:type="paragraph" w:customStyle="1" w:styleId="Bullet">
    <w:name w:val="Bullet"/>
    <w:basedOn w:val="Normal"/>
    <w:rsid w:val="00C14D2E"/>
    <w:pPr>
      <w:tabs>
        <w:tab w:val="left" w:pos="2160"/>
      </w:tabs>
      <w:spacing w:after="220"/>
      <w:ind w:left="2160" w:hanging="720"/>
    </w:pPr>
  </w:style>
  <w:style w:type="paragraph" w:customStyle="1" w:styleId="TableFormat">
    <w:name w:val="TableFormat"/>
    <w:basedOn w:val="Bullet"/>
    <w:rsid w:val="00C14D2E"/>
    <w:pPr>
      <w:tabs>
        <w:tab w:val="clear" w:pos="2160"/>
        <w:tab w:val="left" w:pos="5040"/>
      </w:tabs>
      <w:ind w:left="5040" w:hanging="3600"/>
    </w:pPr>
  </w:style>
  <w:style w:type="paragraph" w:customStyle="1" w:styleId="TOCTitle">
    <w:name w:val="TOC Title"/>
    <w:basedOn w:val="Normal"/>
    <w:rsid w:val="00C14D2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14D2E"/>
    <w:pPr>
      <w:jc w:val="center"/>
    </w:pPr>
    <w:rPr>
      <w:rFonts w:ascii="Times New Roman Bold" w:hAnsi="Times New Roman Bold"/>
      <w:b/>
      <w:bCs/>
      <w:caps/>
      <w:szCs w:val="22"/>
    </w:rPr>
  </w:style>
  <w:style w:type="character" w:styleId="Hyperlink">
    <w:name w:val="Hyperlink"/>
    <w:rsid w:val="00C14D2E"/>
    <w:rPr>
      <w:color w:val="0000FF"/>
      <w:u w:val="single"/>
    </w:rPr>
  </w:style>
  <w:style w:type="paragraph" w:styleId="BalloonText">
    <w:name w:val="Balloon Text"/>
    <w:basedOn w:val="Normal"/>
    <w:link w:val="BalloonTextChar"/>
    <w:rsid w:val="007B1BB0"/>
    <w:rPr>
      <w:rFonts w:ascii="Segoe UI" w:hAnsi="Segoe UI" w:cs="Segoe UI"/>
      <w:sz w:val="18"/>
      <w:szCs w:val="18"/>
    </w:rPr>
  </w:style>
  <w:style w:type="character" w:customStyle="1" w:styleId="BalloonTextChar">
    <w:name w:val="Balloon Text Char"/>
    <w:basedOn w:val="DefaultParagraphFont"/>
    <w:link w:val="BalloonText"/>
    <w:rsid w:val="007B1BB0"/>
    <w:rPr>
      <w:rFonts w:ascii="Segoe UI" w:hAnsi="Segoe UI" w:cs="Segoe UI"/>
      <w:snapToGrid w:val="0"/>
      <w:kern w:val="28"/>
      <w:sz w:val="18"/>
      <w:szCs w:val="18"/>
    </w:rPr>
  </w:style>
  <w:style w:type="paragraph" w:styleId="NormalWeb">
    <w:name w:val="Normal (Web)"/>
    <w:basedOn w:val="Normal"/>
    <w:uiPriority w:val="99"/>
    <w:unhideWhenUsed/>
    <w:rsid w:val="00B76A87"/>
    <w:pPr>
      <w:widowControl/>
      <w:spacing w:before="100" w:beforeAutospacing="1" w:after="100" w:afterAutospacing="1"/>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mailto:FOIA-Appeal@fcc.gov" TargetMode="External"/><Relationship Id="rId1" Type="http://schemas.openxmlformats.org/officeDocument/2006/relationships/hyperlink" Target="mailto:FOIA-Appeal@fcc.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778</Words>
  <Characters>4112</Characters>
  <Application>Microsoft Office Word</Application>
  <DocSecurity>0</DocSecurity>
  <Lines>94</Lines>
  <Paragraphs>38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4900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2017-02-01T18:07:00Z</dcterms:created>
  <dcterms:modified xsi:type="dcterms:W3CDTF">2017-02-01T18:07:00Z</dcterms:modified>
  <cp:category> </cp:category>
  <cp:contentStatus> </cp:contentStatus>
</cp:coreProperties>
</file>