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F4585" w14:textId="77777777" w:rsidR="00300DF8" w:rsidRDefault="00300DF8" w:rsidP="00300DF8">
      <w:pPr>
        <w:pStyle w:val="NormalWeb"/>
        <w:spacing w:before="0" w:beforeAutospacing="0" w:after="0" w:afterAutospacing="0"/>
        <w:jc w:val="center"/>
        <w:rPr>
          <w:b/>
          <w:color w:val="000000"/>
          <w:sz w:val="22"/>
        </w:rPr>
      </w:pPr>
      <w:bookmarkStart w:id="0" w:name="_GoBack"/>
      <w:bookmarkEnd w:id="0"/>
    </w:p>
    <w:p w14:paraId="7C4AC4C6" w14:textId="77777777" w:rsidR="00300DF8" w:rsidRDefault="00300DF8" w:rsidP="00300DF8">
      <w:pPr>
        <w:pStyle w:val="NormalWeb"/>
        <w:spacing w:before="0" w:beforeAutospacing="0" w:after="0" w:afterAutospacing="0"/>
        <w:jc w:val="center"/>
        <w:rPr>
          <w:b/>
          <w:color w:val="000000"/>
          <w:sz w:val="22"/>
        </w:rPr>
      </w:pPr>
    </w:p>
    <w:p w14:paraId="5B6BC861" w14:textId="77777777" w:rsidR="00300DF8" w:rsidRDefault="00300DF8" w:rsidP="00300DF8">
      <w:pPr>
        <w:pStyle w:val="NormalWeb"/>
        <w:spacing w:before="0" w:beforeAutospacing="0" w:after="0" w:afterAutospacing="0"/>
        <w:jc w:val="center"/>
        <w:rPr>
          <w:b/>
          <w:color w:val="000000"/>
          <w:sz w:val="22"/>
        </w:rPr>
      </w:pPr>
    </w:p>
    <w:p w14:paraId="50F3132B" w14:textId="77777777" w:rsidR="00300DF8" w:rsidRDefault="00300DF8" w:rsidP="00300DF8">
      <w:pPr>
        <w:pStyle w:val="NormalWeb"/>
        <w:spacing w:before="0" w:beforeAutospacing="0" w:after="0" w:afterAutospacing="0"/>
        <w:jc w:val="center"/>
        <w:rPr>
          <w:b/>
          <w:color w:val="000000"/>
          <w:sz w:val="22"/>
        </w:rPr>
      </w:pPr>
    </w:p>
    <w:p w14:paraId="183341F9" w14:textId="77777777" w:rsidR="00300DF8" w:rsidRDefault="00300DF8" w:rsidP="00300DF8">
      <w:pPr>
        <w:pStyle w:val="NormalWeb"/>
        <w:spacing w:before="0" w:beforeAutospacing="0" w:after="0" w:afterAutospacing="0"/>
        <w:jc w:val="center"/>
        <w:rPr>
          <w:b/>
          <w:color w:val="000000"/>
          <w:sz w:val="22"/>
        </w:rPr>
      </w:pPr>
    </w:p>
    <w:p w14:paraId="0176AFC6" w14:textId="77777777" w:rsidR="00300DF8" w:rsidRDefault="00300DF8" w:rsidP="00300DF8">
      <w:pPr>
        <w:pStyle w:val="NormalWeb"/>
        <w:spacing w:before="0" w:beforeAutospacing="0" w:after="0" w:afterAutospacing="0"/>
        <w:jc w:val="center"/>
        <w:rPr>
          <w:b/>
          <w:color w:val="000000"/>
          <w:sz w:val="22"/>
        </w:rPr>
      </w:pPr>
    </w:p>
    <w:p w14:paraId="4141E8E4" w14:textId="77777777" w:rsidR="00147964" w:rsidRPr="00300DF8" w:rsidRDefault="00147964" w:rsidP="00300DF8">
      <w:pPr>
        <w:pStyle w:val="NormalWeb"/>
        <w:spacing w:before="0" w:beforeAutospacing="0" w:after="0" w:afterAutospacing="0"/>
        <w:jc w:val="center"/>
        <w:rPr>
          <w:b/>
          <w:color w:val="000000"/>
          <w:sz w:val="22"/>
        </w:rPr>
      </w:pPr>
      <w:r w:rsidRPr="00300DF8">
        <w:rPr>
          <w:b/>
          <w:color w:val="000000"/>
          <w:sz w:val="22"/>
        </w:rPr>
        <w:t>FCC REPORT TO CONGRESS</w:t>
      </w:r>
    </w:p>
    <w:p w14:paraId="189041E2" w14:textId="77777777" w:rsidR="00147964" w:rsidRPr="00300DF8" w:rsidRDefault="00147964" w:rsidP="00300DF8">
      <w:pPr>
        <w:pStyle w:val="NormalWeb"/>
        <w:spacing w:before="0" w:beforeAutospacing="0" w:after="0" w:afterAutospacing="0"/>
        <w:jc w:val="center"/>
        <w:rPr>
          <w:b/>
          <w:color w:val="000000"/>
          <w:sz w:val="22"/>
        </w:rPr>
      </w:pPr>
      <w:r w:rsidRPr="00300DF8">
        <w:rPr>
          <w:b/>
          <w:color w:val="000000"/>
          <w:sz w:val="22"/>
        </w:rPr>
        <w:t>AS REQUIRED BY THE ORBIT ACT</w:t>
      </w:r>
    </w:p>
    <w:p w14:paraId="713C2BE1" w14:textId="77777777" w:rsidR="00147964" w:rsidRPr="00300DF8" w:rsidRDefault="00DD0998" w:rsidP="00300DF8">
      <w:pPr>
        <w:pStyle w:val="NormalWeb"/>
        <w:spacing w:before="0" w:beforeAutospacing="0" w:after="0" w:afterAutospacing="0"/>
        <w:jc w:val="center"/>
        <w:rPr>
          <w:b/>
          <w:color w:val="000000"/>
          <w:sz w:val="22"/>
        </w:rPr>
      </w:pPr>
      <w:r>
        <w:rPr>
          <w:b/>
          <w:color w:val="000000"/>
          <w:sz w:val="22"/>
        </w:rPr>
        <w:t xml:space="preserve">EIGHTEENTH </w:t>
      </w:r>
      <w:r w:rsidR="00147964" w:rsidRPr="00300DF8">
        <w:rPr>
          <w:b/>
          <w:color w:val="000000"/>
          <w:sz w:val="22"/>
        </w:rPr>
        <w:t>REPORT</w:t>
      </w:r>
    </w:p>
    <w:p w14:paraId="2C6C3A18" w14:textId="77777777" w:rsidR="00300DF8" w:rsidRDefault="00300DF8" w:rsidP="00300DF8">
      <w:pPr>
        <w:pStyle w:val="NormalWeb"/>
        <w:spacing w:before="0" w:beforeAutospacing="0" w:after="0" w:afterAutospacing="0"/>
        <w:jc w:val="center"/>
        <w:rPr>
          <w:b/>
          <w:color w:val="000000"/>
          <w:sz w:val="22"/>
        </w:rPr>
      </w:pPr>
    </w:p>
    <w:p w14:paraId="4EFD7F2A" w14:textId="77777777" w:rsidR="00300DF8" w:rsidRPr="00300DF8" w:rsidRDefault="00300DF8" w:rsidP="00300DF8">
      <w:pPr>
        <w:pStyle w:val="NormalWeb"/>
        <w:spacing w:before="0" w:beforeAutospacing="0" w:after="0" w:afterAutospacing="0"/>
        <w:jc w:val="center"/>
        <w:rPr>
          <w:b/>
          <w:color w:val="000000"/>
          <w:sz w:val="22"/>
        </w:rPr>
      </w:pPr>
    </w:p>
    <w:p w14:paraId="6E043CEE" w14:textId="77777777" w:rsidR="00147964" w:rsidRPr="00300DF8" w:rsidRDefault="00DD0998" w:rsidP="00300DF8">
      <w:pPr>
        <w:pStyle w:val="NormalWeb"/>
        <w:spacing w:before="0" w:beforeAutospacing="0" w:after="0" w:afterAutospacing="0"/>
        <w:jc w:val="center"/>
        <w:rPr>
          <w:b/>
          <w:color w:val="000000"/>
          <w:sz w:val="22"/>
        </w:rPr>
      </w:pPr>
      <w:r>
        <w:rPr>
          <w:b/>
          <w:color w:val="000000"/>
          <w:sz w:val="22"/>
        </w:rPr>
        <w:t>IB Docket No. 17-</w:t>
      </w:r>
      <w:r w:rsidR="003161EC">
        <w:rPr>
          <w:b/>
          <w:color w:val="000000"/>
          <w:sz w:val="22"/>
        </w:rPr>
        <w:t>50</w:t>
      </w:r>
      <w:r w:rsidR="003B1FDC">
        <w:rPr>
          <w:b/>
          <w:color w:val="000000"/>
          <w:sz w:val="22"/>
        </w:rPr>
        <w:t xml:space="preserve"> (Terminated)</w:t>
      </w:r>
    </w:p>
    <w:p w14:paraId="33A26C06" w14:textId="77777777" w:rsidR="000C2307" w:rsidRDefault="000C2307" w:rsidP="000C2307">
      <w:pPr>
        <w:pStyle w:val="Title"/>
        <w:keepNext/>
        <w:outlineLvl w:val="0"/>
        <w:rPr>
          <w:b/>
          <w:sz w:val="22"/>
        </w:rPr>
      </w:pPr>
    </w:p>
    <w:p w14:paraId="7916FBDE" w14:textId="77777777" w:rsidR="00147964" w:rsidRDefault="00147964" w:rsidP="000C2307">
      <w:pPr>
        <w:pStyle w:val="Title"/>
        <w:keepNext/>
        <w:outlineLvl w:val="0"/>
        <w:rPr>
          <w:b/>
          <w:sz w:val="22"/>
        </w:rPr>
      </w:pPr>
    </w:p>
    <w:p w14:paraId="01C95DC0" w14:textId="77777777" w:rsidR="000C2307" w:rsidRDefault="000C2307" w:rsidP="000C2307">
      <w:pPr>
        <w:pStyle w:val="Title"/>
        <w:keepNext/>
        <w:outlineLvl w:val="0"/>
        <w:rPr>
          <w:b/>
          <w:sz w:val="22"/>
        </w:rPr>
      </w:pPr>
    </w:p>
    <w:p w14:paraId="251E4A05" w14:textId="77777777" w:rsidR="00300DF8" w:rsidRDefault="00300DF8" w:rsidP="000C2307">
      <w:pPr>
        <w:pStyle w:val="Title"/>
        <w:keepNext/>
        <w:outlineLvl w:val="0"/>
        <w:rPr>
          <w:b/>
          <w:sz w:val="22"/>
        </w:rPr>
      </w:pPr>
    </w:p>
    <w:p w14:paraId="160A6F4C" w14:textId="77777777" w:rsidR="00300DF8" w:rsidRDefault="00300DF8" w:rsidP="000C2307">
      <w:pPr>
        <w:pStyle w:val="Title"/>
        <w:keepNext/>
        <w:outlineLvl w:val="0"/>
        <w:rPr>
          <w:b/>
          <w:sz w:val="22"/>
        </w:rPr>
      </w:pPr>
    </w:p>
    <w:p w14:paraId="295C7A0C" w14:textId="77777777" w:rsidR="00300DF8" w:rsidRDefault="00300DF8" w:rsidP="000C2307">
      <w:pPr>
        <w:pStyle w:val="Title"/>
        <w:keepNext/>
        <w:outlineLvl w:val="0"/>
        <w:rPr>
          <w:b/>
          <w:sz w:val="22"/>
        </w:rPr>
      </w:pPr>
    </w:p>
    <w:p w14:paraId="5BC2E41E" w14:textId="77777777" w:rsidR="00300DF8" w:rsidRDefault="00300DF8" w:rsidP="000C2307">
      <w:pPr>
        <w:pStyle w:val="Title"/>
        <w:keepNext/>
        <w:outlineLvl w:val="0"/>
        <w:rPr>
          <w:b/>
          <w:sz w:val="22"/>
        </w:rPr>
      </w:pPr>
    </w:p>
    <w:p w14:paraId="5EB630DB" w14:textId="77777777" w:rsidR="00300DF8" w:rsidRDefault="00300DF8" w:rsidP="000C2307">
      <w:pPr>
        <w:pStyle w:val="Title"/>
        <w:keepNext/>
        <w:outlineLvl w:val="0"/>
        <w:rPr>
          <w:b/>
          <w:sz w:val="22"/>
        </w:rPr>
      </w:pPr>
    </w:p>
    <w:p w14:paraId="0E7D3939" w14:textId="77777777" w:rsidR="00300DF8" w:rsidRDefault="00300DF8" w:rsidP="000C2307">
      <w:pPr>
        <w:pStyle w:val="Title"/>
        <w:keepNext/>
        <w:outlineLvl w:val="0"/>
        <w:rPr>
          <w:b/>
          <w:sz w:val="22"/>
        </w:rPr>
      </w:pPr>
    </w:p>
    <w:p w14:paraId="7508F640" w14:textId="77777777" w:rsidR="00300DF8" w:rsidRDefault="00300DF8" w:rsidP="000C2307">
      <w:pPr>
        <w:pStyle w:val="Title"/>
        <w:keepNext/>
        <w:outlineLvl w:val="0"/>
        <w:rPr>
          <w:b/>
          <w:sz w:val="22"/>
        </w:rPr>
      </w:pPr>
    </w:p>
    <w:p w14:paraId="73DBFE71" w14:textId="77777777" w:rsidR="00300DF8" w:rsidRDefault="00300DF8" w:rsidP="000C2307">
      <w:pPr>
        <w:pStyle w:val="Title"/>
        <w:keepNext/>
        <w:outlineLvl w:val="0"/>
        <w:rPr>
          <w:b/>
          <w:sz w:val="22"/>
        </w:rPr>
      </w:pPr>
    </w:p>
    <w:p w14:paraId="59BD255E" w14:textId="77777777" w:rsidR="00300DF8" w:rsidRPr="0013167C" w:rsidRDefault="00300DF8" w:rsidP="000C2307">
      <w:pPr>
        <w:pStyle w:val="Title"/>
        <w:keepNext/>
        <w:outlineLvl w:val="0"/>
        <w:rPr>
          <w:b/>
          <w:sz w:val="22"/>
        </w:rPr>
      </w:pPr>
    </w:p>
    <w:p w14:paraId="484F6BC7" w14:textId="0578889E" w:rsidR="004C2EE3" w:rsidRDefault="004C2EE3" w:rsidP="00133F79">
      <w:pPr>
        <w:tabs>
          <w:tab w:val="left" w:pos="720"/>
          <w:tab w:val="right" w:pos="9360"/>
        </w:tabs>
        <w:suppressAutoHyphens/>
        <w:spacing w:line="227" w:lineRule="auto"/>
        <w:rPr>
          <w:spacing w:val="-2"/>
        </w:rPr>
      </w:pPr>
      <w:r w:rsidRPr="00741647">
        <w:rPr>
          <w:b/>
          <w:bCs/>
          <w:spacing w:val="-2"/>
        </w:rPr>
        <w:t xml:space="preserve">Adopted:  </w:t>
      </w:r>
      <w:r w:rsidR="00873598" w:rsidRPr="00741647">
        <w:rPr>
          <w:b/>
          <w:bCs/>
          <w:spacing w:val="-2"/>
        </w:rPr>
        <w:t xml:space="preserve">June </w:t>
      </w:r>
      <w:r w:rsidR="00FA042B">
        <w:rPr>
          <w:b/>
          <w:bCs/>
          <w:spacing w:val="-2"/>
        </w:rPr>
        <w:t>5</w:t>
      </w:r>
      <w:r w:rsidR="00DD0998">
        <w:rPr>
          <w:b/>
          <w:bCs/>
          <w:spacing w:val="-2"/>
        </w:rPr>
        <w:t>, 2017</w:t>
      </w:r>
      <w:r>
        <w:rPr>
          <w:b/>
          <w:spacing w:val="-2"/>
        </w:rPr>
        <w:tab/>
      </w:r>
      <w:r w:rsidR="00822CE0" w:rsidRPr="00741647">
        <w:rPr>
          <w:b/>
          <w:bCs/>
          <w:spacing w:val="-2"/>
        </w:rPr>
        <w:t>Released</w:t>
      </w:r>
      <w:r w:rsidRPr="00741647">
        <w:rPr>
          <w:b/>
          <w:bCs/>
          <w:spacing w:val="-2"/>
        </w:rPr>
        <w:t>:</w:t>
      </w:r>
      <w:r w:rsidR="00822CE0" w:rsidRPr="00741647">
        <w:rPr>
          <w:b/>
          <w:bCs/>
          <w:spacing w:val="-2"/>
        </w:rPr>
        <w:t xml:space="preserve"> </w:t>
      </w:r>
      <w:r w:rsidRPr="00741647">
        <w:rPr>
          <w:b/>
          <w:bCs/>
          <w:spacing w:val="-2"/>
        </w:rPr>
        <w:t xml:space="preserve"> </w:t>
      </w:r>
      <w:r w:rsidR="00E21612" w:rsidRPr="00741647">
        <w:rPr>
          <w:b/>
          <w:bCs/>
          <w:spacing w:val="-2"/>
        </w:rPr>
        <w:t xml:space="preserve">June </w:t>
      </w:r>
      <w:r w:rsidR="00502EB2">
        <w:rPr>
          <w:b/>
          <w:bCs/>
          <w:spacing w:val="-2"/>
        </w:rPr>
        <w:t>8</w:t>
      </w:r>
      <w:r w:rsidR="00873598" w:rsidRPr="00741647">
        <w:rPr>
          <w:b/>
          <w:bCs/>
          <w:spacing w:val="-2"/>
        </w:rPr>
        <w:t>, 201</w:t>
      </w:r>
      <w:r w:rsidR="00DD0998">
        <w:rPr>
          <w:b/>
          <w:bCs/>
          <w:spacing w:val="-2"/>
        </w:rPr>
        <w:t>7</w:t>
      </w:r>
    </w:p>
    <w:p w14:paraId="29E688F6" w14:textId="77777777" w:rsidR="00822CE0" w:rsidRDefault="00822CE0"/>
    <w:p w14:paraId="5FE54AA9" w14:textId="7A6E2B07" w:rsidR="0089127D" w:rsidRDefault="00B546C8" w:rsidP="0089127D">
      <w:pPr>
        <w:rPr>
          <w:rFonts w:ascii="Calibri" w:hAnsi="Calibri"/>
          <w:snapToGrid/>
          <w:color w:val="1F497D"/>
          <w:kern w:val="0"/>
          <w:szCs w:val="22"/>
        </w:rPr>
      </w:pPr>
      <w:r>
        <w:t xml:space="preserve">By the </w:t>
      </w:r>
      <w:r>
        <w:rPr>
          <w:spacing w:val="-2"/>
        </w:rPr>
        <w:t>Commission:</w:t>
      </w:r>
      <w:r w:rsidRPr="00FA2657">
        <w:t xml:space="preserve"> </w:t>
      </w:r>
      <w:r w:rsidR="0089127D">
        <w:t xml:space="preserve"> Chairman Pai issuing a statement.</w:t>
      </w:r>
    </w:p>
    <w:p w14:paraId="0C210CC7" w14:textId="69BF030F" w:rsidR="00B546C8" w:rsidRDefault="00B546C8" w:rsidP="00B546C8"/>
    <w:p w14:paraId="3974F604" w14:textId="77777777" w:rsidR="006B4A3A" w:rsidRDefault="006B4A3A" w:rsidP="00C6782E">
      <w:pPr>
        <w:jc w:val="center"/>
        <w:rPr>
          <w:b/>
        </w:rPr>
        <w:sectPr w:rsidR="006B4A3A" w:rsidSect="0074164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2E0E30E1" w14:textId="77777777" w:rsidR="00147964" w:rsidRDefault="00147964" w:rsidP="00C6782E">
      <w:pPr>
        <w:jc w:val="center"/>
        <w:rPr>
          <w:b/>
        </w:rPr>
      </w:pPr>
      <w:r>
        <w:rPr>
          <w:b/>
        </w:rPr>
        <w:lastRenderedPageBreak/>
        <w:t xml:space="preserve">FCC REPORT TO CONGRESS AS REQUIRED BY THE ORBIT ACT </w:t>
      </w:r>
    </w:p>
    <w:p w14:paraId="7176035F" w14:textId="77777777" w:rsidR="005A7C62" w:rsidRDefault="00DD0998" w:rsidP="00C6782E">
      <w:pPr>
        <w:jc w:val="center"/>
        <w:rPr>
          <w:b/>
        </w:rPr>
      </w:pPr>
      <w:r>
        <w:rPr>
          <w:b/>
        </w:rPr>
        <w:t xml:space="preserve">EIGHTEENTH </w:t>
      </w:r>
      <w:r w:rsidR="19675093" w:rsidRPr="00C6782E">
        <w:rPr>
          <w:b/>
        </w:rPr>
        <w:t>REPORT</w:t>
      </w:r>
    </w:p>
    <w:p w14:paraId="576C5955" w14:textId="77777777" w:rsidR="00F7140B" w:rsidRPr="00C6782E" w:rsidRDefault="00F7140B" w:rsidP="00C6782E">
      <w:pPr>
        <w:jc w:val="center"/>
        <w:rPr>
          <w:b/>
        </w:rPr>
      </w:pPr>
    </w:p>
    <w:p w14:paraId="72ABFB9A" w14:textId="77777777" w:rsidR="0072043D" w:rsidRPr="00FA2657" w:rsidRDefault="19675093" w:rsidP="00C6782E">
      <w:pPr>
        <w:pStyle w:val="Heading1"/>
      </w:pPr>
      <w:r w:rsidRPr="19675093">
        <w:t>INTRODUCTION</w:t>
      </w:r>
    </w:p>
    <w:p w14:paraId="4AE02819" w14:textId="039893AB" w:rsidR="00B448F2" w:rsidRDefault="005A7C62" w:rsidP="00551D94">
      <w:pPr>
        <w:pStyle w:val="ParaNum"/>
      </w:pPr>
      <w:r w:rsidRPr="00741647">
        <w:t>This report is submitted in accordance with</w:t>
      </w:r>
      <w:r w:rsidR="0072043D">
        <w:t xml:space="preserve"> </w:t>
      </w:r>
      <w:r w:rsidR="0072043D" w:rsidRPr="19675093">
        <w:t>Section 646 of the Open-Market Reorganization for the Betterment of International Telecommunications Act (ORBIT Act)</w:t>
      </w:r>
      <w:r w:rsidR="00366C14">
        <w:t>.</w:t>
      </w:r>
      <w:r w:rsidR="0072043D" w:rsidRPr="19675093">
        <w:rPr>
          <w:rStyle w:val="FootnoteReference"/>
        </w:rPr>
        <w:footnoteReference w:id="2"/>
      </w:r>
      <w:r w:rsidR="00366C14">
        <w:t xml:space="preserve">  The </w:t>
      </w:r>
      <w:r w:rsidR="00A63A1D">
        <w:t xml:space="preserve">ORBIT </w:t>
      </w:r>
      <w:r w:rsidR="00366C14">
        <w:t>Act</w:t>
      </w:r>
      <w:r w:rsidR="0072043D" w:rsidRPr="19675093">
        <w:t xml:space="preserve"> requires the Federal Communication</w:t>
      </w:r>
      <w:r w:rsidR="00413B86">
        <w:t>s</w:t>
      </w:r>
      <w:r w:rsidR="0072043D" w:rsidRPr="19675093">
        <w:t xml:space="preserve"> Commission </w:t>
      </w:r>
      <w:r w:rsidR="00FC208D" w:rsidRPr="19675093">
        <w:t xml:space="preserve">(Commission) </w:t>
      </w:r>
      <w:r w:rsidR="0072043D" w:rsidRPr="19675093">
        <w:t>to report annually</w:t>
      </w:r>
      <w:r w:rsidR="00243EF7" w:rsidRPr="00243EF7">
        <w:t xml:space="preserve"> </w:t>
      </w:r>
      <w:r w:rsidR="00DC0CB1" w:rsidRPr="19675093">
        <w:t>to the Committees on Commerce and International Relations of the U.S. House of Representatives and the Committees on Commerce, Science, and Transportation and Foreign Relations of the U.S. Senate</w:t>
      </w:r>
      <w:r w:rsidR="00DC0CB1">
        <w:t xml:space="preserve"> </w:t>
      </w:r>
      <w:r w:rsidR="00B45B6F">
        <w:t xml:space="preserve">on </w:t>
      </w:r>
      <w:r w:rsidR="00243EF7" w:rsidRPr="00243EF7">
        <w:t xml:space="preserve">the </w:t>
      </w:r>
      <w:r w:rsidR="00243EF7">
        <w:t xml:space="preserve">progress made to achieve the </w:t>
      </w:r>
      <w:r w:rsidR="00243EF7" w:rsidRPr="00243EF7">
        <w:t>objectives</w:t>
      </w:r>
      <w:r w:rsidR="0072043D" w:rsidRPr="19675093">
        <w:t xml:space="preserve"> </w:t>
      </w:r>
      <w:r w:rsidR="00243EF7">
        <w:t>of the statute</w:t>
      </w:r>
      <w:r w:rsidR="0072043D" w:rsidRPr="19675093">
        <w:t>.</w:t>
      </w:r>
      <w:r w:rsidR="00992B9F">
        <w:rPr>
          <w:rStyle w:val="FootnoteReference"/>
        </w:rPr>
        <w:footnoteReference w:id="3"/>
      </w:r>
      <w:r w:rsidR="0072043D" w:rsidRPr="19675093">
        <w:t xml:space="preserve">  </w:t>
      </w:r>
      <w:r w:rsidR="001E193A" w:rsidRPr="00741647" w:rsidDel="0072043D">
        <w:t>The purpose of the ORBIT Act is “to promote a fully competitive global market for satellite communication services for the benefit of consumers and providers of satellite services and equipment by fully privatizing the intergovernmental satellite organizations, INTELSAT and Inmarsat.”</w:t>
      </w:r>
      <w:r w:rsidR="00992B9F">
        <w:rPr>
          <w:rStyle w:val="FootnoteReference"/>
        </w:rPr>
        <w:footnoteReference w:id="4"/>
      </w:r>
      <w:r w:rsidR="00203FA3">
        <w:t xml:space="preserve"> </w:t>
      </w:r>
      <w:r w:rsidR="00B30B75">
        <w:t xml:space="preserve"> </w:t>
      </w:r>
    </w:p>
    <w:p w14:paraId="146F2951" w14:textId="01178F60" w:rsidR="00A763BC" w:rsidRDefault="00B448F2" w:rsidP="00551D94">
      <w:pPr>
        <w:pStyle w:val="ParaNum"/>
      </w:pPr>
      <w:r>
        <w:t xml:space="preserve">Similar to prior reports, </w:t>
      </w:r>
      <w:r w:rsidR="00A92487">
        <w:t xml:space="preserve">this report </w:t>
      </w:r>
      <w:r w:rsidR="00AF1B99">
        <w:t>confirm</w:t>
      </w:r>
      <w:r w:rsidR="00A92487">
        <w:t>s</w:t>
      </w:r>
      <w:r w:rsidR="00D00225">
        <w:t xml:space="preserve"> </w:t>
      </w:r>
      <w:r w:rsidR="00A92487">
        <w:t xml:space="preserve">the successful transition of </w:t>
      </w:r>
      <w:r w:rsidR="00254379" w:rsidRPr="00254379">
        <w:t>INTELSAT</w:t>
      </w:r>
      <w:r>
        <w:t xml:space="preserve"> and</w:t>
      </w:r>
      <w:r w:rsidR="00254379" w:rsidRPr="00254379">
        <w:t xml:space="preserve"> </w:t>
      </w:r>
      <w:r w:rsidR="005937E9">
        <w:t>INMARSAT</w:t>
      </w:r>
      <w:r w:rsidR="00254379" w:rsidRPr="00254379">
        <w:t xml:space="preserve"> from intergovernmental organizations to </w:t>
      </w:r>
      <w:r w:rsidR="00A92487">
        <w:t xml:space="preserve">the </w:t>
      </w:r>
      <w:r w:rsidR="00254379" w:rsidRPr="00254379">
        <w:t>fully privatized entities</w:t>
      </w:r>
      <w:r w:rsidR="00A92487">
        <w:t xml:space="preserve"> Intelsat and Inmarsat</w:t>
      </w:r>
      <w:r w:rsidR="00203FA3">
        <w:t>.</w:t>
      </w:r>
      <w:r>
        <w:rPr>
          <w:rStyle w:val="FootnoteReference"/>
        </w:rPr>
        <w:footnoteReference w:id="5"/>
      </w:r>
      <w:r w:rsidR="00203FA3">
        <w:t xml:space="preserve">  We</w:t>
      </w:r>
      <w:r w:rsidR="00A763BC" w:rsidRPr="00D53D9D">
        <w:t xml:space="preserve"> </w:t>
      </w:r>
      <w:r w:rsidR="00863D5C">
        <w:t xml:space="preserve">note </w:t>
      </w:r>
      <w:r w:rsidR="00DA45B2">
        <w:t>that the</w:t>
      </w:r>
      <w:r w:rsidR="00A763BC" w:rsidRPr="00D53D9D">
        <w:t xml:space="preserve"> U.S. policy goals regarding the promotion of a fully competitive global market for satellite communications </w:t>
      </w:r>
      <w:r w:rsidR="00D5179C">
        <w:t>s</w:t>
      </w:r>
      <w:r w:rsidR="00A763BC" w:rsidRPr="00D53D9D">
        <w:t>ervices are being met in accordance with the ORBIT Act.</w:t>
      </w:r>
    </w:p>
    <w:p w14:paraId="0790C0ED" w14:textId="77777777" w:rsidR="00266579" w:rsidRPr="00FA2657" w:rsidRDefault="19675093" w:rsidP="00C6782E">
      <w:pPr>
        <w:pStyle w:val="Heading1"/>
      </w:pPr>
      <w:r w:rsidRPr="19675093">
        <w:t>BACKGROUND</w:t>
      </w:r>
    </w:p>
    <w:p w14:paraId="5745F5ED" w14:textId="07ECB61D" w:rsidR="00B26226" w:rsidRDefault="000B70CB" w:rsidP="00BA0E4E">
      <w:pPr>
        <w:pStyle w:val="ParaNum"/>
      </w:pPr>
      <w:r>
        <w:t>In 2000, t</w:t>
      </w:r>
      <w:r w:rsidR="005A7C62" w:rsidRPr="00741647">
        <w:t xml:space="preserve">he ORBIT Act </w:t>
      </w:r>
      <w:r>
        <w:t xml:space="preserve">required the Commission to:  </w:t>
      </w:r>
      <w:r w:rsidR="005A7C62" w:rsidRPr="00741647">
        <w:t>(1) mandate the privatization of INTELSAT</w:t>
      </w:r>
      <w:r w:rsidR="00702F42" w:rsidRPr="00741647" w:rsidDel="0072043D">
        <w:rPr>
          <w:rStyle w:val="FootnoteReference"/>
        </w:rPr>
        <w:footnoteReference w:id="6"/>
      </w:r>
      <w:r w:rsidR="005A7C62" w:rsidRPr="00741647">
        <w:t xml:space="preserve"> and </w:t>
      </w:r>
      <w:r w:rsidR="00EC3296">
        <w:t>INMARSAT</w:t>
      </w:r>
      <w:r>
        <w:t xml:space="preserve">; </w:t>
      </w:r>
      <w:r w:rsidR="005A7C62" w:rsidRPr="00741647">
        <w:t>(2) establish criteria to ensure a pro-competitive privatization</w:t>
      </w:r>
      <w:r>
        <w:t xml:space="preserve">; </w:t>
      </w:r>
      <w:r w:rsidR="005A7C62" w:rsidRPr="00741647">
        <w:t>(3) determine whether INTELSAT, I</w:t>
      </w:r>
      <w:r w:rsidR="00EC3296">
        <w:t>NMARSAT</w:t>
      </w:r>
      <w:r w:rsidR="005A7C62" w:rsidRPr="00741647">
        <w:t xml:space="preserve">, and </w:t>
      </w:r>
      <w:r w:rsidR="00B448F2" w:rsidRPr="00E6275D">
        <w:rPr>
          <w:spacing w:val="-2"/>
        </w:rPr>
        <w:t xml:space="preserve">INTELSAT spin-off New Skies Satellites N.V. </w:t>
      </w:r>
      <w:r w:rsidR="00B448F2">
        <w:rPr>
          <w:spacing w:val="-2"/>
        </w:rPr>
        <w:t>(</w:t>
      </w:r>
      <w:r w:rsidR="005A7C62" w:rsidRPr="00741647">
        <w:t>New Skies</w:t>
      </w:r>
      <w:r w:rsidR="00B448F2">
        <w:t>)</w:t>
      </w:r>
      <w:r w:rsidR="008C1329">
        <w:rPr>
          <w:rStyle w:val="FootnoteReference"/>
        </w:rPr>
        <w:footnoteReference w:id="7"/>
      </w:r>
      <w:r w:rsidR="005A7C62" w:rsidRPr="00741647">
        <w:t xml:space="preserve"> have been privatized in a manner that will </w:t>
      </w:r>
      <w:r w:rsidR="12BFEB83" w:rsidRPr="00741647">
        <w:t>not</w:t>
      </w:r>
      <w:r w:rsidR="12BFEB83" w:rsidRPr="00FA2657">
        <w:t xml:space="preserve"> </w:t>
      </w:r>
      <w:r w:rsidR="005A7C62" w:rsidRPr="00741647">
        <w:t>harm competition in the United States</w:t>
      </w:r>
      <w:r>
        <w:t xml:space="preserve">; </w:t>
      </w:r>
      <w:r w:rsidR="005A7C62" w:rsidRPr="00741647">
        <w:t>(4) use the privatization criteria specified in the ORBIT Act as a basis for making its competition determination</w:t>
      </w:r>
      <w:r>
        <w:t>;</w:t>
      </w:r>
      <w:r w:rsidR="005A7C62" w:rsidRPr="00741647">
        <w:t xml:space="preserve"> and (5) “limit through conditions or deny” applications or requests to provide “non-core” services to, from, or within the United States, if it finds that competition will be harmed.</w:t>
      </w:r>
      <w:r w:rsidR="005A7C62" w:rsidRPr="00741647">
        <w:rPr>
          <w:rStyle w:val="FootnoteReference"/>
        </w:rPr>
        <w:footnoteReference w:id="8"/>
      </w:r>
      <w:r w:rsidR="005A7C62" w:rsidRPr="00741647">
        <w:t xml:space="preserve">  </w:t>
      </w:r>
    </w:p>
    <w:p w14:paraId="31F856EC" w14:textId="77777777" w:rsidR="002C4238" w:rsidRDefault="002C4238" w:rsidP="00BA0E4E">
      <w:pPr>
        <w:pStyle w:val="ParaNum"/>
      </w:pPr>
      <w:r>
        <w:lastRenderedPageBreak/>
        <w:t>The ORBIT Act also required this annual report.</w:t>
      </w:r>
      <w:r w:rsidR="00F00A96">
        <w:rPr>
          <w:rStyle w:val="FootnoteReference"/>
        </w:rPr>
        <w:footnoteReference w:id="9"/>
      </w:r>
      <w:r>
        <w:t xml:space="preserve">  </w:t>
      </w:r>
      <w:r w:rsidR="004B72A5">
        <w:t xml:space="preserve">Specifically, it </w:t>
      </w:r>
      <w:r>
        <w:t>requires that the Commission report on the following:  (1) progress with respect to each objective since the mos</w:t>
      </w:r>
      <w:r w:rsidR="00B426F8">
        <w:t>t recent preceding report; (2) views of the Parties with respect to privatization; (3) views of the industry and consumers on privatization</w:t>
      </w:r>
      <w:r w:rsidR="00562835">
        <w:t>;</w:t>
      </w:r>
      <w:r w:rsidR="00B426F8">
        <w:t xml:space="preserve"> and (4) the impact </w:t>
      </w:r>
      <w:r w:rsidR="00070A62">
        <w:t>that</w:t>
      </w:r>
      <w:r w:rsidR="00B426F8">
        <w:t xml:space="preserve"> privatization has had on U.S. industry, jobs and industry’s access to the global marketplace.</w:t>
      </w:r>
      <w:r w:rsidR="00B426F8">
        <w:rPr>
          <w:rStyle w:val="FootnoteReference"/>
        </w:rPr>
        <w:footnoteReference w:id="10"/>
      </w:r>
      <w:r w:rsidR="00B426F8">
        <w:t xml:space="preserve"> </w:t>
      </w:r>
      <w:r>
        <w:t xml:space="preserve"> </w:t>
      </w:r>
    </w:p>
    <w:p w14:paraId="1F2B5CB3" w14:textId="36B5CACA" w:rsidR="00782D25" w:rsidRPr="00782D25" w:rsidRDefault="00DA00C5" w:rsidP="00564FC3">
      <w:pPr>
        <w:pStyle w:val="ParaNum"/>
        <w:rPr>
          <w:color w:val="1F497D"/>
        </w:rPr>
      </w:pPr>
      <w:r>
        <w:t>With regard to privatization, i</w:t>
      </w:r>
      <w:r w:rsidR="008C1329">
        <w:t>n 1998, p</w:t>
      </w:r>
      <w:r w:rsidR="00F85F16" w:rsidRPr="00F85F16">
        <w:t>rior to the enactment of the ORBIT Act, INTELSAT divested five of its 24 satellites to New Skies</w:t>
      </w:r>
      <w:r>
        <w:t>.</w:t>
      </w:r>
      <w:r w:rsidR="00C2183F">
        <w:rPr>
          <w:rStyle w:val="FootnoteReference"/>
        </w:rPr>
        <w:footnoteReference w:id="11"/>
      </w:r>
      <w:r w:rsidR="00F85F16" w:rsidRPr="00F85F16">
        <w:t xml:space="preserve">  In 1999, INMARSAT converted from an intergovernmental organization to a private company</w:t>
      </w:r>
      <w:r w:rsidR="00F4246A">
        <w:t>, Inmarsat</w:t>
      </w:r>
      <w:r w:rsidR="00F85F16" w:rsidRPr="00F85F16">
        <w:t>.</w:t>
      </w:r>
      <w:r w:rsidR="00C2183F">
        <w:rPr>
          <w:rStyle w:val="FootnoteReference"/>
        </w:rPr>
        <w:footnoteReference w:id="12"/>
      </w:r>
      <w:r w:rsidR="00C2183F">
        <w:t> </w:t>
      </w:r>
      <w:r w:rsidR="00F85F16" w:rsidRPr="00F85F16">
        <w:t xml:space="preserve"> </w:t>
      </w:r>
      <w:r w:rsidR="00186162">
        <w:t>INTELSAT</w:t>
      </w:r>
      <w:r w:rsidR="00186162" w:rsidRPr="00F85F16">
        <w:t xml:space="preserve"> </w:t>
      </w:r>
      <w:r w:rsidR="00F85F16" w:rsidRPr="00F85F16">
        <w:t>privatized and became a U.S. licensee</w:t>
      </w:r>
      <w:r w:rsidR="00FF3744">
        <w:t xml:space="preserve"> as of July 18, 2001</w:t>
      </w:r>
      <w:r w:rsidR="00562835">
        <w:t>,</w:t>
      </w:r>
      <w:r w:rsidR="00C2183F">
        <w:t xml:space="preserve"> t</w:t>
      </w:r>
      <w:r w:rsidR="00F85F16" w:rsidRPr="00F85F16">
        <w:t>ransferring its assets to a commercial corporation.</w:t>
      </w:r>
      <w:r w:rsidR="00C2183F" w:rsidRPr="00741647">
        <w:rPr>
          <w:rStyle w:val="FootnoteReference"/>
        </w:rPr>
        <w:footnoteReference w:id="13"/>
      </w:r>
      <w:r w:rsidR="00C2183F" w:rsidRPr="00741647">
        <w:t xml:space="preserve"> </w:t>
      </w:r>
      <w:r w:rsidR="00F85F16" w:rsidRPr="00F85F16">
        <w:t xml:space="preserve"> </w:t>
      </w:r>
    </w:p>
    <w:p w14:paraId="5D900502" w14:textId="50AAAA28" w:rsidR="00C069BD" w:rsidRPr="00782D25" w:rsidRDefault="00C069BD" w:rsidP="00564FC3">
      <w:pPr>
        <w:pStyle w:val="ParaNum"/>
        <w:rPr>
          <w:color w:val="1F497D"/>
        </w:rPr>
      </w:pPr>
      <w:r w:rsidRPr="00BD6A35">
        <w:t>On June 15, 2000, the Commission submitted its first annual report to Congress on its actions to implement the ORBIT</w:t>
      </w:r>
      <w:r>
        <w:t xml:space="preserve"> Act</w:t>
      </w:r>
      <w:r w:rsidR="00FF3744">
        <w:t>,</w:t>
      </w:r>
      <w:r w:rsidR="00F4246A">
        <w:rPr>
          <w:rStyle w:val="FootnoteReference"/>
        </w:rPr>
        <w:footnoteReference w:id="14"/>
      </w:r>
      <w:r w:rsidR="00F4246A">
        <w:t xml:space="preserve"> </w:t>
      </w:r>
      <w:r w:rsidR="00FF3744">
        <w:t>and submitted a</w:t>
      </w:r>
      <w:r w:rsidR="00F4246A">
        <w:t>nnual</w:t>
      </w:r>
      <w:r w:rsidR="00FF3744">
        <w:t xml:space="preserve"> reports every year since</w:t>
      </w:r>
      <w:r>
        <w:t>.</w:t>
      </w:r>
      <w:r w:rsidR="00F4246A">
        <w:rPr>
          <w:rStyle w:val="FootnoteReference"/>
        </w:rPr>
        <w:footnoteReference w:id="15"/>
      </w:r>
      <w:r>
        <w:t xml:space="preserve"> </w:t>
      </w:r>
      <w:r w:rsidR="00F4246A">
        <w:t xml:space="preserve"> </w:t>
      </w:r>
      <w:r w:rsidRPr="00C069BD">
        <w:t xml:space="preserve">Notably, </w:t>
      </w:r>
      <w:r w:rsidR="005C3293">
        <w:t>the Commission</w:t>
      </w:r>
      <w:r w:rsidR="005C3293" w:rsidRPr="00C069BD">
        <w:t xml:space="preserve"> </w:t>
      </w:r>
      <w:r w:rsidRPr="00C069BD">
        <w:t xml:space="preserve">acknowledged in </w:t>
      </w:r>
      <w:r>
        <w:t>several O</w:t>
      </w:r>
      <w:r w:rsidR="00070A62">
        <w:t xml:space="preserve">RBIT </w:t>
      </w:r>
      <w:r>
        <w:t>Act</w:t>
      </w:r>
      <w:r w:rsidR="006565DF">
        <w:t xml:space="preserve"> r</w:t>
      </w:r>
      <w:r>
        <w:t xml:space="preserve">eports that INTELSAT and </w:t>
      </w:r>
      <w:r w:rsidR="00AA3AF2">
        <w:t xml:space="preserve">INMARSAT </w:t>
      </w:r>
      <w:r>
        <w:t>successfully transitioned from intergovernmental organizations to fully privatized entities.</w:t>
      </w:r>
      <w:r w:rsidR="00E4673A">
        <w:rPr>
          <w:rStyle w:val="FootnoteReference"/>
        </w:rPr>
        <w:footnoteReference w:id="16"/>
      </w:r>
      <w:r w:rsidRPr="001F3F26">
        <w:t xml:space="preserve"> </w:t>
      </w:r>
    </w:p>
    <w:p w14:paraId="791D1097" w14:textId="77777777" w:rsidR="00E4673A" w:rsidRDefault="00E4673A" w:rsidP="00E4673A">
      <w:pPr>
        <w:pStyle w:val="ParaNum"/>
      </w:pPr>
      <w:r w:rsidRPr="00E4673A">
        <w:t xml:space="preserve">In anticipation of this </w:t>
      </w:r>
      <w:r w:rsidR="00DD0998">
        <w:t>Eighteenth</w:t>
      </w:r>
      <w:r w:rsidRPr="00E4673A">
        <w:t xml:space="preserve"> Report, the Commission issue</w:t>
      </w:r>
      <w:r w:rsidR="00AD2BC8">
        <w:t>d a Public Notice on February 21</w:t>
      </w:r>
      <w:r w:rsidR="00010FB9">
        <w:t>, 2017</w:t>
      </w:r>
      <w:r w:rsidRPr="00E4673A">
        <w:t xml:space="preserve"> inviting comments related to the development of this </w:t>
      </w:r>
      <w:r w:rsidR="00936FDC">
        <w:t>r</w:t>
      </w:r>
      <w:r w:rsidRPr="00E4673A">
        <w:t>eport.</w:t>
      </w:r>
      <w:r>
        <w:rPr>
          <w:rStyle w:val="FootnoteReference"/>
        </w:rPr>
        <w:footnoteReference w:id="17"/>
      </w:r>
      <w:r w:rsidRPr="00E4673A">
        <w:t xml:space="preserve">  </w:t>
      </w:r>
      <w:r w:rsidR="00010FB9">
        <w:t>No comments were filed</w:t>
      </w:r>
      <w:r w:rsidRPr="00E4673A">
        <w:t xml:space="preserve">.  </w:t>
      </w:r>
    </w:p>
    <w:p w14:paraId="7E4C22B2" w14:textId="77777777" w:rsidR="00AF1E65" w:rsidRDefault="00AF1E65" w:rsidP="00AF1E65">
      <w:pPr>
        <w:pStyle w:val="ParaNum"/>
        <w:numPr>
          <w:ilvl w:val="0"/>
          <w:numId w:val="0"/>
        </w:numPr>
        <w:ind w:firstLine="720"/>
      </w:pPr>
    </w:p>
    <w:p w14:paraId="49DC116E" w14:textId="77777777" w:rsidR="00AF1E65" w:rsidRDefault="00AF1E65" w:rsidP="00AF1E65">
      <w:pPr>
        <w:pStyle w:val="ParaNum"/>
        <w:numPr>
          <w:ilvl w:val="0"/>
          <w:numId w:val="0"/>
        </w:numPr>
        <w:ind w:firstLine="720"/>
      </w:pPr>
    </w:p>
    <w:p w14:paraId="1A959217" w14:textId="77777777" w:rsidR="00AF1E65" w:rsidRDefault="00AF1E65" w:rsidP="00AF1E65">
      <w:pPr>
        <w:pStyle w:val="ParaNum"/>
        <w:numPr>
          <w:ilvl w:val="0"/>
          <w:numId w:val="0"/>
        </w:numPr>
        <w:ind w:firstLine="720"/>
      </w:pPr>
    </w:p>
    <w:p w14:paraId="771229C2" w14:textId="77777777" w:rsidR="00AF1E65" w:rsidRDefault="00AF1E65" w:rsidP="00AF1E65">
      <w:pPr>
        <w:pStyle w:val="ParaNum"/>
        <w:numPr>
          <w:ilvl w:val="0"/>
          <w:numId w:val="0"/>
        </w:numPr>
        <w:ind w:firstLine="720"/>
      </w:pPr>
    </w:p>
    <w:p w14:paraId="3A662234" w14:textId="77777777" w:rsidR="00FC208D" w:rsidRDefault="19675093" w:rsidP="00AF1E65">
      <w:pPr>
        <w:pStyle w:val="Heading1"/>
        <w:keepNext w:val="0"/>
        <w:widowControl/>
        <w:rPr>
          <w:bCs/>
        </w:rPr>
      </w:pPr>
      <w:r w:rsidRPr="19675093">
        <w:rPr>
          <w:bCs/>
        </w:rPr>
        <w:t>DISCUSSION</w:t>
      </w:r>
    </w:p>
    <w:p w14:paraId="7B3AFD3A" w14:textId="77777777" w:rsidR="00D92FD2" w:rsidRPr="00C6782E" w:rsidRDefault="00FC208D" w:rsidP="00AF1E65">
      <w:pPr>
        <w:pStyle w:val="BodyTextIndent"/>
        <w:widowControl/>
        <w:spacing w:after="120"/>
        <w:ind w:left="720" w:firstLine="0"/>
        <w:rPr>
          <w:b/>
          <w:bCs/>
          <w:i/>
        </w:rPr>
      </w:pPr>
      <w:r>
        <w:rPr>
          <w:b/>
          <w:bCs/>
        </w:rPr>
        <w:t>A.</w:t>
      </w:r>
      <w:r>
        <w:rPr>
          <w:b/>
          <w:bCs/>
        </w:rPr>
        <w:tab/>
      </w:r>
      <w:r w:rsidR="00D92FD2">
        <w:rPr>
          <w:b/>
          <w:bCs/>
        </w:rPr>
        <w:t xml:space="preserve">Progress </w:t>
      </w:r>
      <w:r w:rsidR="00B16B14">
        <w:rPr>
          <w:b/>
          <w:bCs/>
        </w:rPr>
        <w:t>on</w:t>
      </w:r>
      <w:r w:rsidR="00D92FD2">
        <w:rPr>
          <w:b/>
          <w:bCs/>
        </w:rPr>
        <w:t xml:space="preserve"> t</w:t>
      </w:r>
      <w:r w:rsidR="00B16B14">
        <w:rPr>
          <w:b/>
          <w:bCs/>
        </w:rPr>
        <w:t>he</w:t>
      </w:r>
      <w:r w:rsidR="00D92FD2">
        <w:rPr>
          <w:b/>
          <w:bCs/>
        </w:rPr>
        <w:t xml:space="preserve"> Objectives and Pu</w:t>
      </w:r>
      <w:r w:rsidR="00426763">
        <w:rPr>
          <w:b/>
          <w:bCs/>
        </w:rPr>
        <w:t>r</w:t>
      </w:r>
      <w:r w:rsidR="00D92FD2">
        <w:rPr>
          <w:b/>
          <w:bCs/>
        </w:rPr>
        <w:t xml:space="preserve">poses Since the </w:t>
      </w:r>
      <w:r w:rsidR="00DD0998">
        <w:rPr>
          <w:b/>
          <w:bCs/>
          <w:i/>
        </w:rPr>
        <w:t>Seventeenth</w:t>
      </w:r>
      <w:r w:rsidR="00D92FD2">
        <w:rPr>
          <w:b/>
          <w:bCs/>
          <w:i/>
        </w:rPr>
        <w:t xml:space="preserve"> ORBIT Act Report</w:t>
      </w:r>
    </w:p>
    <w:p w14:paraId="2111A032" w14:textId="7BF5D4A0" w:rsidR="00AC6E30" w:rsidRDefault="006A0349" w:rsidP="004477A7">
      <w:pPr>
        <w:pStyle w:val="ParaNum"/>
        <w:widowControl/>
      </w:pPr>
      <w:r w:rsidRPr="00741647">
        <w:t xml:space="preserve">The Commission </w:t>
      </w:r>
      <w:r w:rsidR="00827947" w:rsidRPr="00741647">
        <w:t xml:space="preserve">took </w:t>
      </w:r>
      <w:r w:rsidRPr="00741647">
        <w:t xml:space="preserve">the following actions since the </w:t>
      </w:r>
      <w:r w:rsidR="00DD0998">
        <w:rPr>
          <w:i/>
          <w:iCs/>
        </w:rPr>
        <w:t>Seventeenth</w:t>
      </w:r>
      <w:r w:rsidR="008F11BC" w:rsidRPr="19675093">
        <w:rPr>
          <w:i/>
          <w:iCs/>
        </w:rPr>
        <w:t xml:space="preserve"> </w:t>
      </w:r>
      <w:r w:rsidR="00411D3C" w:rsidRPr="19675093">
        <w:rPr>
          <w:i/>
          <w:iCs/>
        </w:rPr>
        <w:t xml:space="preserve">ORBIT Act </w:t>
      </w:r>
      <w:r w:rsidRPr="19675093">
        <w:rPr>
          <w:i/>
          <w:iCs/>
        </w:rPr>
        <w:t>Report</w:t>
      </w:r>
      <w:r w:rsidRPr="00D93B7D">
        <w:t xml:space="preserve"> to ensure that I</w:t>
      </w:r>
      <w:r w:rsidR="00557EB5">
        <w:t>ntelsat</w:t>
      </w:r>
      <w:r w:rsidRPr="00D93B7D">
        <w:t>, Inmarsat</w:t>
      </w:r>
      <w:r w:rsidR="00276008">
        <w:t>,</w:t>
      </w:r>
      <w:r w:rsidRPr="00D93B7D">
        <w:t xml:space="preserve"> and </w:t>
      </w:r>
      <w:r w:rsidR="00C069BD">
        <w:t>New Skies</w:t>
      </w:r>
      <w:r w:rsidRPr="00D93B7D">
        <w:t xml:space="preserve"> </w:t>
      </w:r>
      <w:r w:rsidR="005E768D" w:rsidRPr="00D93B7D">
        <w:t>remain</w:t>
      </w:r>
      <w:r w:rsidRPr="000B461F">
        <w:t xml:space="preserve"> privatized in a pro-competitive manner, consistent with the privatization criteria of the ORBIT Act.</w:t>
      </w:r>
      <w:r w:rsidRPr="000B461F">
        <w:rPr>
          <w:rStyle w:val="FootnoteReference"/>
        </w:rPr>
        <w:footnoteReference w:id="18"/>
      </w:r>
    </w:p>
    <w:p w14:paraId="3C3B5709" w14:textId="77777777" w:rsidR="006D5C0A" w:rsidRDefault="009D05C5" w:rsidP="000A3111">
      <w:pPr>
        <w:pStyle w:val="Heading3"/>
      </w:pPr>
      <w:r w:rsidRPr="009D05C5">
        <w:t>Intelsat</w:t>
      </w:r>
      <w:r>
        <w:t xml:space="preserve">  </w:t>
      </w:r>
    </w:p>
    <w:p w14:paraId="4B86C8F0" w14:textId="2F99F547" w:rsidR="005A7C62" w:rsidRDefault="005A7C62" w:rsidP="00C6782E">
      <w:pPr>
        <w:pStyle w:val="ParaNum"/>
      </w:pPr>
      <w:r w:rsidRPr="009D05C5">
        <w:t>Pursuant</w:t>
      </w:r>
      <w:r>
        <w:t xml:space="preserve"> to U.S. obligations as the notifying administration to the </w:t>
      </w:r>
      <w:r w:rsidR="00C219CA">
        <w:t>International Telecommunication Union (</w:t>
      </w:r>
      <w:r>
        <w:t>ITU</w:t>
      </w:r>
      <w:r w:rsidR="00C219CA">
        <w:t>)</w:t>
      </w:r>
      <w:r w:rsidRPr="00755CE0">
        <w:rPr>
          <w:rStyle w:val="FootnoteReference"/>
        </w:rPr>
        <w:footnoteReference w:id="19"/>
      </w:r>
      <w:r>
        <w:t xml:space="preserve"> for Intelsat’s F</w:t>
      </w:r>
      <w:r w:rsidR="00C219CA">
        <w:t xml:space="preserve">ixed </w:t>
      </w:r>
      <w:r>
        <w:t>S</w:t>
      </w:r>
      <w:r w:rsidR="00C219CA">
        <w:t>atellite</w:t>
      </w:r>
      <w:r w:rsidR="00215609">
        <w:t>-</w:t>
      </w:r>
      <w:r>
        <w:t>S</w:t>
      </w:r>
      <w:r w:rsidR="00C219CA">
        <w:t>ervice (FSS)</w:t>
      </w:r>
      <w:r>
        <w:t xml:space="preserve"> C</w:t>
      </w:r>
      <w:r w:rsidR="009F0D5C">
        <w:t>-</w:t>
      </w:r>
      <w:r w:rsidR="001F39F4">
        <w:t xml:space="preserve"> </w:t>
      </w:r>
      <w:r>
        <w:t xml:space="preserve">and Ku-band space station networks transferred at privatization, the Commission participated in a number of international satellite coordination negotiations as </w:t>
      </w:r>
      <w:r w:rsidR="00C219CA">
        <w:t xml:space="preserve">the </w:t>
      </w:r>
      <w:r>
        <w:t>licensing Administration</w:t>
      </w:r>
      <w:r w:rsidR="00C219CA">
        <w:t xml:space="preserve"> for Intelsat</w:t>
      </w:r>
      <w:r>
        <w:t xml:space="preserve">.  </w:t>
      </w:r>
      <w:r w:rsidRPr="00B85DC1">
        <w:t>Since the</w:t>
      </w:r>
      <w:r w:rsidR="008F11BC" w:rsidRPr="19675093">
        <w:rPr>
          <w:i/>
          <w:iCs/>
        </w:rPr>
        <w:t xml:space="preserve"> </w:t>
      </w:r>
      <w:r w:rsidR="00DD0998">
        <w:rPr>
          <w:i/>
          <w:iCs/>
        </w:rPr>
        <w:t>Seventeenth</w:t>
      </w:r>
      <w:r w:rsidRPr="19675093">
        <w:rPr>
          <w:i/>
          <w:iCs/>
        </w:rPr>
        <w:t xml:space="preserve"> ORBIT Act Report, </w:t>
      </w:r>
      <w:r w:rsidRPr="00B85DC1">
        <w:t>the Commission participated in coordination meetings with</w:t>
      </w:r>
      <w:r w:rsidR="00010FB9">
        <w:t xml:space="preserve"> </w:t>
      </w:r>
      <w:r w:rsidR="00895315" w:rsidRPr="00EA10CC">
        <w:t xml:space="preserve">Russia </w:t>
      </w:r>
      <w:r w:rsidRPr="00B85DC1">
        <w:t>on behalf of Intelsat and a number of other U.S. licensees</w:t>
      </w:r>
      <w:r w:rsidRPr="0015254B">
        <w:t>.</w:t>
      </w:r>
    </w:p>
    <w:p w14:paraId="0CD782C5" w14:textId="77777777" w:rsidR="005A7C62" w:rsidRPr="00B85DC1" w:rsidRDefault="19675093" w:rsidP="00A44B54">
      <w:pPr>
        <w:pStyle w:val="ParaNum"/>
      </w:pPr>
      <w:r w:rsidRPr="19675093">
        <w:t xml:space="preserve">The United States also uses a separate process whereby U.S. operators may reach operational arrangements with operators of other Administrations.  These operational arrangements are then submitted to the operators’ respective Administrations for approval.  Once approved by both Administrations, the operational arrangements become, or form the basis for, a coordination agreement between the Administrations under the ITU procedures.  Since the </w:t>
      </w:r>
      <w:r w:rsidR="00DD0998">
        <w:rPr>
          <w:i/>
          <w:iCs/>
        </w:rPr>
        <w:t>Seventeenth</w:t>
      </w:r>
      <w:r w:rsidRPr="19675093">
        <w:rPr>
          <w:i/>
          <w:iCs/>
        </w:rPr>
        <w:t xml:space="preserve"> ORBIT Act Report</w:t>
      </w:r>
      <w:r w:rsidRPr="19675093">
        <w:t>, Intelsat concluded operational arrangements with operators licensed by</w:t>
      </w:r>
      <w:r w:rsidR="00A44B54">
        <w:t xml:space="preserve"> </w:t>
      </w:r>
      <w:r w:rsidR="009C59D5" w:rsidRPr="00A44B54">
        <w:t>Brazil</w:t>
      </w:r>
      <w:r w:rsidR="009C59D5">
        <w:t>,</w:t>
      </w:r>
      <w:r w:rsidR="009C59D5" w:rsidRPr="00A44B54">
        <w:t xml:space="preserve"> Kazakhstan</w:t>
      </w:r>
      <w:r w:rsidR="009C59D5">
        <w:t>,</w:t>
      </w:r>
      <w:r w:rsidR="009C59D5" w:rsidRPr="00A44B54">
        <w:t xml:space="preserve"> </w:t>
      </w:r>
      <w:r w:rsidR="009C59D5">
        <w:t>Luxem</w:t>
      </w:r>
      <w:r w:rsidR="009C59D5" w:rsidRPr="00A44B54">
        <w:t>bourg</w:t>
      </w:r>
      <w:r w:rsidR="009C59D5">
        <w:t xml:space="preserve">, </w:t>
      </w:r>
      <w:r w:rsidR="009C59D5" w:rsidRPr="00A44B54">
        <w:t>Netherlands</w:t>
      </w:r>
      <w:r w:rsidR="009C59D5">
        <w:t xml:space="preserve">, </w:t>
      </w:r>
      <w:r w:rsidR="00A44B54" w:rsidRPr="00A44B54">
        <w:t>Papua New Guinea</w:t>
      </w:r>
      <w:r w:rsidR="00A44B54">
        <w:t xml:space="preserve">, </w:t>
      </w:r>
      <w:r w:rsidR="00A44B54" w:rsidRPr="00A44B54">
        <w:t>Spain</w:t>
      </w:r>
      <w:r w:rsidR="00A44B54">
        <w:t>,</w:t>
      </w:r>
      <w:r w:rsidR="009C59D5" w:rsidDel="009C59D5">
        <w:t xml:space="preserve"> </w:t>
      </w:r>
      <w:r w:rsidR="00A44B54">
        <w:t xml:space="preserve">and </w:t>
      </w:r>
      <w:r w:rsidR="009C59D5">
        <w:t xml:space="preserve">the </w:t>
      </w:r>
      <w:r w:rsidR="00A44B54" w:rsidRPr="00A44B54">
        <w:t>U</w:t>
      </w:r>
      <w:r w:rsidR="009C59D5">
        <w:t xml:space="preserve">nited </w:t>
      </w:r>
      <w:r w:rsidR="00A44B54" w:rsidRPr="00A44B54">
        <w:t>K</w:t>
      </w:r>
      <w:r w:rsidR="009C59D5">
        <w:t>ingdom</w:t>
      </w:r>
      <w:r w:rsidR="00A44B54">
        <w:t>.</w:t>
      </w:r>
      <w:r w:rsidR="00060A83">
        <w:t xml:space="preserve"> </w:t>
      </w:r>
      <w:r w:rsidR="009C59D5">
        <w:t xml:space="preserve"> </w:t>
      </w:r>
      <w:r w:rsidRPr="19675093">
        <w:t>In due course, this process will lead to coordination agreements between the United States and the pertinent foreign Administrations.</w:t>
      </w:r>
    </w:p>
    <w:p w14:paraId="42C08267" w14:textId="77777777" w:rsidR="005A7C62" w:rsidRDefault="005A7C62" w:rsidP="00C6782E">
      <w:pPr>
        <w:pStyle w:val="ParaNum"/>
      </w:pPr>
      <w:r w:rsidRPr="001071B3">
        <w:t xml:space="preserve">Since the </w:t>
      </w:r>
      <w:r w:rsidR="00DD0998">
        <w:rPr>
          <w:i/>
          <w:iCs/>
        </w:rPr>
        <w:t>Seventeenth</w:t>
      </w:r>
      <w:r w:rsidRPr="19675093">
        <w:rPr>
          <w:i/>
          <w:iCs/>
        </w:rPr>
        <w:t xml:space="preserve"> ORBIT Act Report</w:t>
      </w:r>
      <w:r w:rsidRPr="001071B3">
        <w:t>, Intelsat filed a number of requests for license authorizations and modifications.  The Commission reviewed these requests and acted on them consistent with the Commission’s licensing rules and processes.</w:t>
      </w:r>
      <w:r w:rsidRPr="00755CE0">
        <w:rPr>
          <w:rStyle w:val="FootnoteReference"/>
        </w:rPr>
        <w:footnoteReference w:id="20"/>
      </w:r>
    </w:p>
    <w:p w14:paraId="2E75CB19" w14:textId="77777777" w:rsidR="006D5C0A" w:rsidRPr="00985685" w:rsidRDefault="009D05C5" w:rsidP="000A3111">
      <w:pPr>
        <w:pStyle w:val="Heading3"/>
      </w:pPr>
      <w:r>
        <w:t xml:space="preserve">Inmarsat  </w:t>
      </w:r>
    </w:p>
    <w:p w14:paraId="77FD4C87" w14:textId="77777777" w:rsidR="005A7C62" w:rsidRDefault="005A7C62" w:rsidP="00AF1E65">
      <w:pPr>
        <w:pStyle w:val="ParaNum"/>
        <w:widowControl/>
      </w:pPr>
      <w:r w:rsidRPr="00741647">
        <w:t xml:space="preserve">Since the </w:t>
      </w:r>
      <w:r w:rsidR="00DD0998">
        <w:rPr>
          <w:i/>
          <w:iCs/>
        </w:rPr>
        <w:t>Seventeenth</w:t>
      </w:r>
      <w:r w:rsidRPr="19675093">
        <w:rPr>
          <w:i/>
          <w:iCs/>
        </w:rPr>
        <w:t xml:space="preserve"> ORBIT Act Report</w:t>
      </w:r>
      <w:r w:rsidRPr="00741647">
        <w:t>,</w:t>
      </w:r>
      <w:r w:rsidR="009C0955">
        <w:t xml:space="preserve"> </w:t>
      </w:r>
      <w:r w:rsidRPr="00741647">
        <w:t>the Commission granted several earth station applications to communicate with Inmarsat’s satellites as points of communication.</w:t>
      </w:r>
      <w:r w:rsidRPr="00741647">
        <w:rPr>
          <w:rStyle w:val="FootnoteReference"/>
        </w:rPr>
        <w:footnoteReference w:id="21"/>
      </w:r>
      <w:r w:rsidR="00433871">
        <w:t xml:space="preserve"> </w:t>
      </w:r>
    </w:p>
    <w:p w14:paraId="4B6DDE10" w14:textId="77777777" w:rsidR="006D5C0A" w:rsidRDefault="00F70373" w:rsidP="000A3111">
      <w:pPr>
        <w:pStyle w:val="Heading3"/>
      </w:pPr>
      <w:r>
        <w:t xml:space="preserve">New </w:t>
      </w:r>
      <w:r w:rsidRPr="00F70373">
        <w:t>Skies</w:t>
      </w:r>
      <w:r>
        <w:t xml:space="preserve">  </w:t>
      </w:r>
    </w:p>
    <w:p w14:paraId="50ECF1F0" w14:textId="77777777" w:rsidR="00C615B8" w:rsidRPr="00CD2A99" w:rsidRDefault="00AB6DCF" w:rsidP="000B2CBF">
      <w:pPr>
        <w:pStyle w:val="ParaNum"/>
      </w:pPr>
      <w:r>
        <w:t xml:space="preserve">Since the last report, </w:t>
      </w:r>
      <w:r w:rsidR="00CD2A99" w:rsidRPr="00CD2A99">
        <w:t>the Commission granted numerous earth stations specific authority to communicate with New Skies satellites</w:t>
      </w:r>
      <w:r w:rsidR="005A7C62" w:rsidRPr="000B461F">
        <w:t>.</w:t>
      </w:r>
      <w:r w:rsidR="005A7C62" w:rsidRPr="00D93B7D">
        <w:rPr>
          <w:rStyle w:val="FootnoteReference"/>
        </w:rPr>
        <w:footnoteReference w:id="22"/>
      </w:r>
      <w:r w:rsidR="00D7714A" w:rsidRPr="00D93B7D">
        <w:t xml:space="preserve"> </w:t>
      </w:r>
    </w:p>
    <w:p w14:paraId="2D0A7422" w14:textId="77777777" w:rsidR="005A7C62" w:rsidRDefault="005A7C62" w:rsidP="001C1C3A">
      <w:pPr>
        <w:pStyle w:val="Heading2"/>
      </w:pPr>
      <w:r w:rsidRPr="00741647">
        <w:t>Views of</w:t>
      </w:r>
      <w:r w:rsidR="001D4684">
        <w:t xml:space="preserve"> the </w:t>
      </w:r>
      <w:r w:rsidRPr="00741647">
        <w:t>Parties</w:t>
      </w:r>
      <w:r w:rsidR="009C0955">
        <w:t xml:space="preserve">, </w:t>
      </w:r>
      <w:r w:rsidR="00070A62">
        <w:t>I</w:t>
      </w:r>
      <w:r w:rsidR="002C4238">
        <w:t xml:space="preserve">ndustry and </w:t>
      </w:r>
      <w:r w:rsidR="00070A62">
        <w:t>C</w:t>
      </w:r>
      <w:r w:rsidR="002C4238">
        <w:t xml:space="preserve">onsumers </w:t>
      </w:r>
      <w:r w:rsidRPr="00741647">
        <w:t>on Privatization</w:t>
      </w:r>
    </w:p>
    <w:p w14:paraId="0515FE11" w14:textId="67F90651" w:rsidR="00286FB6" w:rsidRPr="00BA6291" w:rsidRDefault="00907660" w:rsidP="00BA6291">
      <w:pPr>
        <w:pStyle w:val="ParaNum"/>
        <w:rPr>
          <w:color w:val="000000"/>
        </w:rPr>
      </w:pPr>
      <w:r>
        <w:t>N</w:t>
      </w:r>
      <w:r w:rsidR="00060A83">
        <w:t xml:space="preserve">o parties filed </w:t>
      </w:r>
      <w:r w:rsidR="003C267E">
        <w:t>comments in this docket</w:t>
      </w:r>
      <w:r>
        <w:t>.</w:t>
      </w:r>
      <w:r w:rsidR="00BD4542">
        <w:t xml:space="preserve"> </w:t>
      </w:r>
      <w:r>
        <w:t xml:space="preserve"> </w:t>
      </w:r>
      <w:r w:rsidR="00BD4542">
        <w:t xml:space="preserve">Inmarsat </w:t>
      </w:r>
      <w:r w:rsidR="00F4246A">
        <w:t xml:space="preserve">was the only entity that filed comments </w:t>
      </w:r>
      <w:r w:rsidR="00BD4542">
        <w:t xml:space="preserve">in the </w:t>
      </w:r>
      <w:r w:rsidR="00BD4542" w:rsidRPr="00D31F4B">
        <w:rPr>
          <w:i/>
        </w:rPr>
        <w:t xml:space="preserve">Seventeenth </w:t>
      </w:r>
      <w:r w:rsidR="00BD4542" w:rsidRPr="0071110F">
        <w:rPr>
          <w:i/>
        </w:rPr>
        <w:t>O</w:t>
      </w:r>
      <w:r w:rsidR="00301776" w:rsidRPr="0071110F">
        <w:rPr>
          <w:i/>
        </w:rPr>
        <w:t>RBIT</w:t>
      </w:r>
      <w:r w:rsidR="00BD4542" w:rsidRPr="00D31F4B">
        <w:rPr>
          <w:i/>
        </w:rPr>
        <w:t xml:space="preserve"> Act Report</w:t>
      </w:r>
      <w:r w:rsidR="00BD4542">
        <w:t xml:space="preserve"> proceeding</w:t>
      </w:r>
      <w:r w:rsidR="00F4246A">
        <w:t xml:space="preserve">.  </w:t>
      </w:r>
      <w:r>
        <w:t xml:space="preserve">In that filing, </w:t>
      </w:r>
      <w:r w:rsidR="006948EB">
        <w:t>Inmarsat</w:t>
      </w:r>
      <w:r w:rsidR="008322D0">
        <w:t xml:space="preserve"> </w:t>
      </w:r>
      <w:r w:rsidR="003C267E">
        <w:t>stated</w:t>
      </w:r>
      <w:r w:rsidR="005A7C62" w:rsidRPr="00741647">
        <w:t xml:space="preserve"> that</w:t>
      </w:r>
      <w:r>
        <w:t>,</w:t>
      </w:r>
      <w:r w:rsidR="005A7C62" w:rsidRPr="00741647">
        <w:t xml:space="preserve"> in June 2005, the Commission found that Inmarsat </w:t>
      </w:r>
      <w:r>
        <w:t xml:space="preserve">had </w:t>
      </w:r>
      <w:r w:rsidR="005A7C62" w:rsidRPr="00741647">
        <w:t>satisfied the requirement to effectuate a substantial dilution of former Signatory</w:t>
      </w:r>
      <w:r w:rsidR="00B225A8" w:rsidRPr="00741647">
        <w:t xml:space="preserve"> </w:t>
      </w:r>
      <w:r w:rsidR="005A7C62" w:rsidRPr="00741647">
        <w:t>financial interests.</w:t>
      </w:r>
      <w:r w:rsidR="00992B9F">
        <w:rPr>
          <w:rStyle w:val="FootnoteReference"/>
        </w:rPr>
        <w:footnoteReference w:id="23"/>
      </w:r>
      <w:r w:rsidR="003C267E">
        <w:t xml:space="preserve">  Inmarsat further stated</w:t>
      </w:r>
      <w:r w:rsidR="005A7C62" w:rsidRPr="00741647">
        <w:t xml:space="preserve"> that </w:t>
      </w:r>
      <w:r w:rsidR="008B3187" w:rsidRPr="007862FE">
        <w:t xml:space="preserve">it </w:t>
      </w:r>
      <w:r>
        <w:t xml:space="preserve">had </w:t>
      </w:r>
      <w:r w:rsidR="003C267E">
        <w:t>completed a successful IPO</w:t>
      </w:r>
      <w:r w:rsidR="00A005DB">
        <w:t xml:space="preserve">, </w:t>
      </w:r>
      <w:r>
        <w:t xml:space="preserve">and </w:t>
      </w:r>
      <w:r w:rsidR="008B3187" w:rsidRPr="00D93B7D">
        <w:t xml:space="preserve">its </w:t>
      </w:r>
      <w:r w:rsidR="005A7C62" w:rsidRPr="00D93B7D">
        <w:t>shares are traded on the London Stock Exchange.</w:t>
      </w:r>
      <w:r w:rsidR="004717F7">
        <w:rPr>
          <w:rStyle w:val="FootnoteReference"/>
        </w:rPr>
        <w:footnoteReference w:id="24"/>
      </w:r>
    </w:p>
    <w:p w14:paraId="37C0911E" w14:textId="09867E44" w:rsidR="001C0DD7" w:rsidRPr="008322D0" w:rsidRDefault="005A7C62" w:rsidP="001C1C3A">
      <w:pPr>
        <w:pStyle w:val="Heading2"/>
      </w:pPr>
      <w:r w:rsidRPr="00741647">
        <w:t>Impact of Privatization</w:t>
      </w:r>
      <w:r w:rsidR="008322D0">
        <w:t xml:space="preserve"> on U.S. Industry, </w:t>
      </w:r>
      <w:r w:rsidR="00070A62">
        <w:t>J</w:t>
      </w:r>
      <w:r w:rsidR="008322D0">
        <w:t xml:space="preserve">obs, and </w:t>
      </w:r>
      <w:r w:rsidR="00070A62">
        <w:t>I</w:t>
      </w:r>
      <w:r w:rsidR="008322D0">
        <w:t xml:space="preserve">ndustry </w:t>
      </w:r>
      <w:r w:rsidR="00070A62">
        <w:t>A</w:t>
      </w:r>
      <w:r w:rsidR="008322D0">
        <w:t xml:space="preserve">ccess to the </w:t>
      </w:r>
      <w:r w:rsidR="00070A62">
        <w:t>G</w:t>
      </w:r>
      <w:r w:rsidR="008322D0">
        <w:t xml:space="preserve">lobal </w:t>
      </w:r>
      <w:r w:rsidR="00070A62">
        <w:t>M</w:t>
      </w:r>
      <w:r w:rsidR="008322D0">
        <w:t>arketplace</w:t>
      </w:r>
    </w:p>
    <w:p w14:paraId="718BF58D" w14:textId="77777777" w:rsidR="004717F7" w:rsidRPr="004717F7" w:rsidRDefault="00F70373" w:rsidP="000A3111">
      <w:pPr>
        <w:pStyle w:val="Heading3"/>
      </w:pPr>
      <w:r w:rsidRPr="004717F7">
        <w:t>Inmarsat</w:t>
      </w:r>
      <w:r>
        <w:rPr>
          <w:i/>
        </w:rPr>
        <w:t xml:space="preserve">  </w:t>
      </w:r>
    </w:p>
    <w:p w14:paraId="21581145" w14:textId="7230F805" w:rsidR="00D31F4B" w:rsidRPr="0098098E" w:rsidRDefault="00D31F4B" w:rsidP="00D31F4B">
      <w:pPr>
        <w:pStyle w:val="ParaNum"/>
      </w:pPr>
      <w:r>
        <w:t xml:space="preserve">In broad terms, Inmarsat’s current economic performance is consistent with the expectations of the ORBIT Act that privatization would foster competition in the global market for satellite communications services.  </w:t>
      </w:r>
      <w:r w:rsidR="00464557">
        <w:t xml:space="preserve">The </w:t>
      </w:r>
      <w:r>
        <w:t xml:space="preserve">privatization of </w:t>
      </w:r>
      <w:r w:rsidR="00515C85">
        <w:t>INMARSAT</w:t>
      </w:r>
      <w:r>
        <w:t xml:space="preserve"> in 1999 from a non-profit intergovernmental organization altered </w:t>
      </w:r>
      <w:r w:rsidR="00464557">
        <w:t xml:space="preserve">its </w:t>
      </w:r>
      <w:r>
        <w:t>operating and investment incentives.  The introduction of the profit motive provide</w:t>
      </w:r>
      <w:r w:rsidR="00681F27">
        <w:t>s</w:t>
      </w:r>
      <w:r>
        <w:t xml:space="preserve"> an incentive</w:t>
      </w:r>
      <w:r w:rsidR="00464557">
        <w:t xml:space="preserve"> for</w:t>
      </w:r>
      <w:r>
        <w:t xml:space="preserve"> improved operating efficiency, </w:t>
      </w:r>
      <w:r w:rsidR="001B6127">
        <w:t>e.</w:t>
      </w:r>
      <w:r w:rsidR="00475CA9">
        <w:t>g.</w:t>
      </w:r>
      <w:r w:rsidR="001B6127">
        <w:t xml:space="preserve">, </w:t>
      </w:r>
      <w:r>
        <w:t>reduc</w:t>
      </w:r>
      <w:r w:rsidR="001B6127">
        <w:t>tion in</w:t>
      </w:r>
      <w:r>
        <w:t xml:space="preserve"> costs</w:t>
      </w:r>
      <w:r w:rsidR="001B6127">
        <w:t>, which</w:t>
      </w:r>
      <w:r>
        <w:t xml:space="preserve"> increases profitability in both the short and longer term</w:t>
      </w:r>
      <w:r w:rsidR="001448B1">
        <w:t>,</w:t>
      </w:r>
      <w:r>
        <w:rPr>
          <w:rStyle w:val="FootnoteReference"/>
        </w:rPr>
        <w:footnoteReference w:id="25"/>
      </w:r>
      <w:r>
        <w:t xml:space="preserve"> and </w:t>
      </w:r>
      <w:r w:rsidR="00681F27">
        <w:t xml:space="preserve">for </w:t>
      </w:r>
      <w:r>
        <w:t xml:space="preserve">Inmarsat to </w:t>
      </w:r>
      <w:r w:rsidR="00DA3F5E">
        <w:t>introduce</w:t>
      </w:r>
      <w:r>
        <w:t xml:space="preserve"> </w:t>
      </w:r>
      <w:r w:rsidR="00DA3F5E">
        <w:t xml:space="preserve">FSS </w:t>
      </w:r>
      <w:r>
        <w:t>satellite services in direct competition with Intelsat and other FSS</w:t>
      </w:r>
      <w:r w:rsidR="002E1084">
        <w:t xml:space="preserve"> </w:t>
      </w:r>
      <w:r>
        <w:t>satellite operators</w:t>
      </w:r>
      <w:r w:rsidR="00392A22">
        <w:t>,</w:t>
      </w:r>
      <w:r>
        <w:t xml:space="preserve"> which intensified competitive rivalry in this segment of the global satellite communications industry.  </w:t>
      </w:r>
      <w:r w:rsidR="00464557">
        <w:t>Due to profit-oriented investment activitie</w:t>
      </w:r>
      <w:r>
        <w:t xml:space="preserve">s, privatized Inmarsat has invested steadily in new generations of spacecraft capable of offering improved voice and data services to customers in the public sector, the maritime industry, and the aviation industry, among other industrial market segments.  </w:t>
      </w:r>
    </w:p>
    <w:p w14:paraId="4A9B3F09" w14:textId="590EA164" w:rsidR="00D31F4B" w:rsidRPr="004C3777" w:rsidRDefault="00D31F4B" w:rsidP="00D31F4B">
      <w:pPr>
        <w:pStyle w:val="ParaNum"/>
      </w:pPr>
      <w:r>
        <w:t>In its comments filed in the prior proceeding, Inmarsat stated that, as the largest mobile satellite operator in the world, it provides critical services, for example, to military and civilian government agencies and the maritime and aviation communities that require access to ubiquitous, reliable, and secure communications.</w:t>
      </w:r>
      <w:r>
        <w:rPr>
          <w:rStyle w:val="FootnoteReference"/>
        </w:rPr>
        <w:footnoteReference w:id="26"/>
      </w:r>
      <w:r>
        <w:t xml:space="preserve">  Inmarsat added that it completed the </w:t>
      </w:r>
      <w:r w:rsidRPr="00FA2657">
        <w:t xml:space="preserve">I-4 </w:t>
      </w:r>
      <w:r>
        <w:t>satellite system, which is providing mobile satellite service (MSS) and FSS to the United States and globally through the Broadband Global Access Network (BGAN) system, but continues to adapt to support IP-based communications</w:t>
      </w:r>
      <w:r w:rsidRPr="00FA2657">
        <w:t>.</w:t>
      </w:r>
      <w:r w:rsidR="00626FAC">
        <w:rPr>
          <w:rStyle w:val="FootnoteReference"/>
        </w:rPr>
        <w:footnoteReference w:id="27"/>
      </w:r>
      <w:r w:rsidRPr="00FA2657">
        <w:t xml:space="preserve"> </w:t>
      </w:r>
      <w:r>
        <w:t xml:space="preserve"> The I-4 system supports newer services such as FleetBroadband, a maritime service, and SwiftBroadband, an aeronautical service.</w:t>
      </w:r>
      <w:r>
        <w:rPr>
          <w:rStyle w:val="FootnoteReference"/>
        </w:rPr>
        <w:footnoteReference w:id="28"/>
      </w:r>
      <w:r>
        <w:t xml:space="preserve">  Inmarsat stated that it also continues to expand, for example, in the area of low data rate services to provide tracking, monitoring, and machine-</w:t>
      </w:r>
      <w:r w:rsidR="00C6742A">
        <w:t>to</w:t>
      </w:r>
      <w:r>
        <w:t>-machine (M2M) applications.</w:t>
      </w:r>
      <w:r>
        <w:rPr>
          <w:rStyle w:val="FootnoteReference"/>
        </w:rPr>
        <w:footnoteReference w:id="29"/>
      </w:r>
      <w:r>
        <w:t xml:space="preserve">  Inmarsat’s Global Xpress high-speed Ka-band satellite broadband system also became fully operational in 2015.</w:t>
      </w:r>
      <w:r>
        <w:rPr>
          <w:rStyle w:val="FootnoteReference"/>
        </w:rPr>
        <w:footnoteReference w:id="30"/>
      </w:r>
      <w:r>
        <w:t xml:space="preserve">  Th</w:t>
      </w:r>
      <w:r w:rsidR="00681F27">
        <w:t>e</w:t>
      </w:r>
      <w:r>
        <w:t>s</w:t>
      </w:r>
      <w:r w:rsidR="00681F27">
        <w:t>e</w:t>
      </w:r>
      <w:r>
        <w:t xml:space="preserve"> ongoing investment</w:t>
      </w:r>
      <w:r w:rsidR="00681F27">
        <w:t>s</w:t>
      </w:r>
      <w:r>
        <w:t xml:space="preserve"> in innovative spacecraft capable of delivering improved satellite communications services reflects the profit incentives created by privatization and the stimulus for rivalrous behavior that privatization also creates.  </w:t>
      </w:r>
      <w:r w:rsidR="00166B21">
        <w:t>We remain of the view expressed in prior reports that</w:t>
      </w:r>
      <w:r>
        <w:t xml:space="preserve"> the economic performance of Inmarsat following privatization is consistent with the goals of the ORBIT Act</w:t>
      </w:r>
      <w:r w:rsidR="007C7521">
        <w:t>.</w:t>
      </w:r>
      <w:r>
        <w:t xml:space="preserve">  </w:t>
      </w:r>
      <w:r w:rsidR="007C7521">
        <w:t xml:space="preserve">Privatization </w:t>
      </w:r>
      <w:r>
        <w:t xml:space="preserve">has fostered a more competitive global satellite communications industry, encouraged new investment in improved spacecraft with enhanced technical capabilities, and provided commercial consumers with reliable, higher capacity satellite communications that are meeting the demand for modern broadband connectivity around the globe. </w:t>
      </w:r>
    </w:p>
    <w:p w14:paraId="40CE143C" w14:textId="77777777" w:rsidR="004717F7" w:rsidRPr="004717F7" w:rsidRDefault="00F70373" w:rsidP="000A3111">
      <w:pPr>
        <w:pStyle w:val="Heading3"/>
      </w:pPr>
      <w:r>
        <w:t xml:space="preserve">Intelsat and New Skies  </w:t>
      </w:r>
    </w:p>
    <w:p w14:paraId="3CEB2514" w14:textId="2389EB16" w:rsidR="0047641D" w:rsidRPr="0011270F" w:rsidRDefault="007C7521" w:rsidP="0047641D">
      <w:pPr>
        <w:pStyle w:val="ParaNum"/>
      </w:pPr>
      <w:r>
        <w:t>W</w:t>
      </w:r>
      <w:r w:rsidR="00C4430C" w:rsidRPr="00741647">
        <w:t xml:space="preserve">e </w:t>
      </w:r>
      <w:r w:rsidR="00934CA8">
        <w:t>did</w:t>
      </w:r>
      <w:r w:rsidR="00934CA8" w:rsidRPr="00741647">
        <w:t xml:space="preserve"> </w:t>
      </w:r>
      <w:r w:rsidR="00C4430C" w:rsidRPr="00741647">
        <w:t>not receive comments from Intelsat</w:t>
      </w:r>
      <w:r w:rsidR="009D05C5">
        <w:t xml:space="preserve"> and New Skies</w:t>
      </w:r>
      <w:r>
        <w:t>.</w:t>
      </w:r>
      <w:r w:rsidR="00C4430C" w:rsidRPr="00741647">
        <w:t xml:space="preserve"> </w:t>
      </w:r>
      <w:r>
        <w:t xml:space="preserve"> However, as </w:t>
      </w:r>
      <w:r w:rsidR="006E44DC">
        <w:t>the Commission has</w:t>
      </w:r>
      <w:r w:rsidR="00C4430C" w:rsidRPr="00741647">
        <w:t xml:space="preserve"> acknowledged i</w:t>
      </w:r>
      <w:r w:rsidR="005A7C62" w:rsidRPr="00741647">
        <w:t>n prior ORBIT Act reports</w:t>
      </w:r>
      <w:r>
        <w:t>,</w:t>
      </w:r>
      <w:r w:rsidR="005A7C62" w:rsidRPr="00741647">
        <w:t xml:space="preserve"> Intelsat successfully transitioned from an intergovernmental organization to a fully privatized entity, and that privatization enabled it to compete </w:t>
      </w:r>
      <w:r w:rsidR="00070A62">
        <w:t xml:space="preserve">more effectively </w:t>
      </w:r>
      <w:r w:rsidR="005A7C62" w:rsidRPr="00741647">
        <w:t>in providing</w:t>
      </w:r>
      <w:r w:rsidR="005A7C62" w:rsidRPr="0047641D">
        <w:rPr>
          <w:b/>
          <w:bCs/>
        </w:rPr>
        <w:t xml:space="preserve"> </w:t>
      </w:r>
      <w:r w:rsidR="005A7C62" w:rsidRPr="007862FE">
        <w:t>services to U.S. commercial and governmental customers.</w:t>
      </w:r>
      <w:r w:rsidR="00BD0CD8">
        <w:rPr>
          <w:rStyle w:val="FootnoteReference"/>
        </w:rPr>
        <w:footnoteReference w:id="31"/>
      </w:r>
      <w:r w:rsidR="005A7C62" w:rsidRPr="007862FE">
        <w:t xml:space="preserve">  </w:t>
      </w:r>
      <w:r w:rsidR="001A1C68" w:rsidRPr="00D93B7D">
        <w:t xml:space="preserve">Privatization has enabled Intelsat </w:t>
      </w:r>
      <w:r w:rsidR="005A7C62" w:rsidRPr="00D93B7D">
        <w:t xml:space="preserve">to compete freely for U.S. satellite business opportunities, </w:t>
      </w:r>
      <w:r w:rsidR="00CE5F31">
        <w:t xml:space="preserve">has </w:t>
      </w:r>
      <w:r w:rsidR="005A7C62" w:rsidRPr="00D93B7D">
        <w:t>led to more competitive choices in the U.S. market than existed before privatization, and continues to encourage the development of service offerings to U.S. customers.</w:t>
      </w:r>
    </w:p>
    <w:p w14:paraId="5219B514" w14:textId="77777777" w:rsidR="005A7C62" w:rsidRPr="0047641D" w:rsidRDefault="00BF76CD" w:rsidP="00E0777C">
      <w:pPr>
        <w:pStyle w:val="Heading1"/>
      </w:pPr>
      <w:r>
        <w:t>SUMMARY</w:t>
      </w:r>
    </w:p>
    <w:p w14:paraId="3F449755" w14:textId="77777777" w:rsidR="00D6764A" w:rsidRDefault="005D2848" w:rsidP="00F94853">
      <w:pPr>
        <w:pStyle w:val="ParaNum"/>
        <w:widowControl/>
      </w:pPr>
      <w:r>
        <w:t>Since the passage of the ORBIT Act, t</w:t>
      </w:r>
      <w:r w:rsidR="00D53D9D" w:rsidRPr="00D53D9D">
        <w:t>he Commission has undertaken a number of proceedings required by or related to the ORBIT Act.</w:t>
      </w:r>
      <w:r w:rsidR="007E43E5" w:rsidRPr="5F4EA5B7">
        <w:t xml:space="preserve"> </w:t>
      </w:r>
      <w:r w:rsidR="00D53D9D" w:rsidRPr="00D53D9D">
        <w:t xml:space="preserve"> On the whole, we believe that U.S. policy goals regarding the promotion of a fully competitive global market for satellite communications services are being met in accordance with the ORBIT Act.</w:t>
      </w:r>
      <w:r w:rsidR="007E43E5" w:rsidRPr="5F4EA5B7">
        <w:t xml:space="preserve"> </w:t>
      </w:r>
      <w:r w:rsidR="00D53D9D" w:rsidRPr="00D53D9D">
        <w:t xml:space="preserve"> The Commission will continue to inform Congress of the actions it takes to implement the requirements of the ORBIT Act and the impact of those actions in its next annual report.</w:t>
      </w:r>
      <w:r w:rsidR="00E14E3D">
        <w:rPr>
          <w:rStyle w:val="FootnoteReference"/>
        </w:rPr>
        <w:footnoteReference w:id="32"/>
      </w:r>
    </w:p>
    <w:p w14:paraId="456E7444" w14:textId="77777777" w:rsidR="00BF76CD" w:rsidRDefault="00BF76CD" w:rsidP="00C72D79">
      <w:pPr>
        <w:pStyle w:val="ParaNum"/>
      </w:pPr>
      <w:r>
        <w:t>The adoption and</w:t>
      </w:r>
      <w:r w:rsidRPr="00BF76CD">
        <w:t xml:space="preserve"> release of this Report fulfills the </w:t>
      </w:r>
      <w:r w:rsidR="001E5DB1">
        <w:t xml:space="preserve">Commission’s </w:t>
      </w:r>
      <w:r w:rsidRPr="00BF76CD">
        <w:t>obligation imposed by</w:t>
      </w:r>
      <w:r>
        <w:t xml:space="preserve"> </w:t>
      </w:r>
      <w:r w:rsidRPr="19675093">
        <w:t>Section 646 of the ORBIT Act</w:t>
      </w:r>
      <w:r>
        <w:t>.</w:t>
      </w:r>
      <w:r w:rsidRPr="19675093">
        <w:rPr>
          <w:rStyle w:val="FootnoteReference"/>
        </w:rPr>
        <w:footnoteReference w:id="33"/>
      </w:r>
      <w:r w:rsidRPr="19675093">
        <w:t xml:space="preserve"> </w:t>
      </w:r>
      <w:r w:rsidRPr="00BF76CD">
        <w:t xml:space="preserve"> </w:t>
      </w:r>
    </w:p>
    <w:p w14:paraId="396F2D1F" w14:textId="77777777" w:rsidR="00070A62" w:rsidRDefault="00070A62" w:rsidP="00422874">
      <w:pPr>
        <w:pStyle w:val="Heading1"/>
      </w:pPr>
      <w:r>
        <w:t>PROCEDURAL MATTERS</w:t>
      </w:r>
    </w:p>
    <w:p w14:paraId="403A792B" w14:textId="77777777" w:rsidR="00D56D1F" w:rsidRDefault="00BF76CD" w:rsidP="00D63C8C">
      <w:pPr>
        <w:pStyle w:val="ParaNum"/>
        <w:sectPr w:rsidR="00D56D1F" w:rsidSect="006B4A3A">
          <w:headerReference w:type="first" r:id="rId14"/>
          <w:footerReference w:type="first" r:id="rId15"/>
          <w:endnotePr>
            <w:numFmt w:val="decimal"/>
          </w:endnotePr>
          <w:pgSz w:w="12240" w:h="15840"/>
          <w:pgMar w:top="1440" w:right="1440" w:bottom="720" w:left="1440" w:header="720" w:footer="720" w:gutter="0"/>
          <w:pgNumType w:start="2"/>
          <w:cols w:space="720"/>
          <w:noEndnote/>
          <w:titlePg/>
        </w:sectPr>
      </w:pPr>
      <w:r w:rsidRPr="009E4240">
        <w:t xml:space="preserve">IT IS ORDERED that, pursuant to </w:t>
      </w:r>
      <w:r w:rsidRPr="19675093">
        <w:t>Section 646 of the Open-Market Reorganization for the Betterment of International Te</w:t>
      </w:r>
      <w:r>
        <w:t>lecommunications Act</w:t>
      </w:r>
      <w:r w:rsidR="00E13F0D">
        <w:t>,</w:t>
      </w:r>
      <w:r w:rsidRPr="19675093">
        <w:rPr>
          <w:rStyle w:val="FootnoteReference"/>
        </w:rPr>
        <w:footnoteReference w:id="34"/>
      </w:r>
      <w:r w:rsidRPr="19675093">
        <w:t xml:space="preserve"> </w:t>
      </w:r>
      <w:r w:rsidR="00E13F0D" w:rsidRPr="00E13F0D">
        <w:t xml:space="preserve">this Report </w:t>
      </w:r>
      <w:r w:rsidRPr="009E4240">
        <w:t>is ADOPTED</w:t>
      </w:r>
      <w:r w:rsidR="008B7258" w:rsidRPr="00C1745B">
        <w:t>, and IB Docket No. 1</w:t>
      </w:r>
      <w:r w:rsidR="00391618" w:rsidRPr="00C1745B">
        <w:t>7</w:t>
      </w:r>
      <w:r w:rsidR="008B7258" w:rsidRPr="00F458FE">
        <w:t xml:space="preserve">-50 </w:t>
      </w:r>
      <w:r w:rsidR="003E4156" w:rsidRPr="00F458FE">
        <w:t>is</w:t>
      </w:r>
      <w:r w:rsidR="003E4156" w:rsidRPr="008A3027">
        <w:t xml:space="preserve"> </w:t>
      </w:r>
      <w:r w:rsidR="008B7258" w:rsidRPr="008A3027">
        <w:t>TERMINATED</w:t>
      </w:r>
      <w:r w:rsidR="00751467" w:rsidRPr="009E4240">
        <w:t>.</w:t>
      </w:r>
    </w:p>
    <w:p w14:paraId="5EB82804" w14:textId="77777777" w:rsidR="00D56D1F" w:rsidRPr="00C55779" w:rsidRDefault="00D56D1F" w:rsidP="00C55779">
      <w:pPr>
        <w:jc w:val="center"/>
        <w:rPr>
          <w:b/>
        </w:rPr>
      </w:pPr>
      <w:r w:rsidRPr="00C55779">
        <w:rPr>
          <w:b/>
        </w:rPr>
        <w:t>STATEMENT OF</w:t>
      </w:r>
      <w:r w:rsidRPr="00C55779">
        <w:rPr>
          <w:b/>
        </w:rPr>
        <w:br/>
        <w:t>CHAIRMAN AJIT PAI</w:t>
      </w:r>
    </w:p>
    <w:p w14:paraId="4B5E824A" w14:textId="77777777" w:rsidR="00C55779" w:rsidRDefault="00C55779" w:rsidP="00C55779"/>
    <w:p w14:paraId="59E418E3" w14:textId="6B175199" w:rsidR="00D56D1F" w:rsidRDefault="00D56D1F" w:rsidP="00C55779">
      <w:pPr>
        <w:ind w:left="720" w:hanging="720"/>
      </w:pPr>
      <w:r>
        <w:t>Re:</w:t>
      </w:r>
      <w:r>
        <w:tab/>
      </w:r>
      <w:r w:rsidRPr="007D7611">
        <w:rPr>
          <w:i/>
        </w:rPr>
        <w:t>Report to Congress Regarding the Open-Market Reorganization for the Betterment of International Telecommunications Act (ORBIT Act)</w:t>
      </w:r>
      <w:r w:rsidRPr="00796F19">
        <w:t>,</w:t>
      </w:r>
      <w:r>
        <w:t xml:space="preserve"> IB Docket No. 17-</w:t>
      </w:r>
      <w:r w:rsidR="00D83BD7">
        <w:t>50</w:t>
      </w:r>
      <w:r w:rsidRPr="007D7611">
        <w:t>.</w:t>
      </w:r>
    </w:p>
    <w:p w14:paraId="2F51C308" w14:textId="77777777" w:rsidR="00D56D1F" w:rsidRDefault="00D56D1F" w:rsidP="00C55779"/>
    <w:p w14:paraId="1E9BAAD6" w14:textId="68E18900" w:rsidR="00D56D1F" w:rsidRDefault="00D56D1F" w:rsidP="00C55779">
      <w:pPr>
        <w:ind w:firstLine="720"/>
      </w:pPr>
      <w:r>
        <w:t>There’s no need to reinvent the wheel. I’ve said it before, time</w:t>
      </w:r>
      <w:r>
        <w:rPr>
          <w:rStyle w:val="FootnoteReference"/>
        </w:rPr>
        <w:footnoteReference w:id="35"/>
      </w:r>
      <w:r>
        <w:t xml:space="preserve"> and again</w:t>
      </w:r>
      <w:r>
        <w:rPr>
          <w:rStyle w:val="FootnoteReference"/>
        </w:rPr>
        <w:footnoteReference w:id="36"/>
      </w:r>
      <w:r>
        <w:t xml:space="preserve"> and again</w:t>
      </w:r>
      <w:r>
        <w:rPr>
          <w:rStyle w:val="FootnoteReference"/>
        </w:rPr>
        <w:footnoteReference w:id="37"/>
      </w:r>
      <w:r>
        <w:t xml:space="preserve"> and again.</w:t>
      </w:r>
      <w:r>
        <w:rPr>
          <w:rStyle w:val="FootnoteReference"/>
        </w:rPr>
        <w:footnoteReference w:id="38"/>
      </w:r>
    </w:p>
    <w:sectPr w:rsidR="00D56D1F" w:rsidSect="00707EF7">
      <w:footerReference w:type="default" r:id="rId16"/>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A2E1B" w14:textId="77777777" w:rsidR="00AC45CE" w:rsidRDefault="00AC45CE">
      <w:pPr>
        <w:spacing w:line="20" w:lineRule="exact"/>
      </w:pPr>
    </w:p>
  </w:endnote>
  <w:endnote w:type="continuationSeparator" w:id="0">
    <w:p w14:paraId="079D68B9" w14:textId="77777777" w:rsidR="00AC45CE" w:rsidRDefault="00AC45CE">
      <w:r>
        <w:t xml:space="preserve"> </w:t>
      </w:r>
    </w:p>
  </w:endnote>
  <w:endnote w:type="continuationNotice" w:id="1">
    <w:p w14:paraId="42BE1DEB" w14:textId="77777777" w:rsidR="00AC45CE" w:rsidRDefault="00AC45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47FBF" w14:textId="77777777" w:rsidR="00584FEB" w:rsidRDefault="00584FEB" w:rsidP="0055614C">
    <w:pPr>
      <w:pStyle w:val="Footer"/>
      <w:framePr w:wrap="around" w:vAnchor="text" w:hAnchor="margin" w:xAlign="center" w:y="1"/>
    </w:pPr>
    <w:r>
      <w:fldChar w:fldCharType="begin"/>
    </w:r>
    <w:r>
      <w:instrText xml:space="preserve">PAGE  </w:instrText>
    </w:r>
    <w:r>
      <w:fldChar w:fldCharType="end"/>
    </w:r>
  </w:p>
  <w:p w14:paraId="7AC58A8A" w14:textId="77777777" w:rsidR="00584FEB" w:rsidRDefault="00584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6A5E" w14:textId="0BF8FDC1" w:rsidR="00584FEB" w:rsidRDefault="00584FEB" w:rsidP="0055614C">
    <w:pPr>
      <w:pStyle w:val="Footer"/>
      <w:framePr w:wrap="around" w:vAnchor="text" w:hAnchor="margin" w:xAlign="center" w:y="1"/>
    </w:pPr>
    <w:r>
      <w:fldChar w:fldCharType="begin"/>
    </w:r>
    <w:r>
      <w:instrText xml:space="preserve">PAGE  </w:instrText>
    </w:r>
    <w:r>
      <w:fldChar w:fldCharType="separate"/>
    </w:r>
    <w:r w:rsidR="00D83BD7">
      <w:rPr>
        <w:noProof/>
      </w:rPr>
      <w:t>7</w:t>
    </w:r>
    <w:r>
      <w:fldChar w:fldCharType="end"/>
    </w:r>
  </w:p>
  <w:p w14:paraId="0F9068A0" w14:textId="77777777" w:rsidR="00584FEB" w:rsidRDefault="00584FE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29CEC" w14:textId="77777777" w:rsidR="00584FEB" w:rsidRDefault="00584FEB">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368835"/>
      <w:docPartObj>
        <w:docPartGallery w:val="Page Numbers (Bottom of Page)"/>
        <w:docPartUnique/>
      </w:docPartObj>
    </w:sdtPr>
    <w:sdtEndPr>
      <w:rPr>
        <w:noProof/>
      </w:rPr>
    </w:sdtEndPr>
    <w:sdtContent>
      <w:p w14:paraId="26E651EB" w14:textId="0A86D49E" w:rsidR="006B4A3A" w:rsidRDefault="006B4A3A">
        <w:pPr>
          <w:pStyle w:val="Footer"/>
          <w:jc w:val="center"/>
        </w:pPr>
        <w:r>
          <w:fldChar w:fldCharType="begin"/>
        </w:r>
        <w:r>
          <w:instrText xml:space="preserve"> PAGE   \* MERGEFORMAT </w:instrText>
        </w:r>
        <w:r>
          <w:fldChar w:fldCharType="separate"/>
        </w:r>
        <w:r w:rsidR="006E5AC4">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6A44BF52" w14:textId="77777777" w:rsidR="00707EF7" w:rsidRDefault="00C13C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B3941" w14:textId="77777777" w:rsidR="00AC45CE" w:rsidRDefault="00AC45CE">
      <w:r>
        <w:separator/>
      </w:r>
    </w:p>
  </w:footnote>
  <w:footnote w:type="continuationSeparator" w:id="0">
    <w:p w14:paraId="3CE03FB8" w14:textId="77777777" w:rsidR="00AC45CE" w:rsidRDefault="00AC45CE" w:rsidP="00C721AC">
      <w:pPr>
        <w:spacing w:before="120"/>
        <w:rPr>
          <w:sz w:val="20"/>
        </w:rPr>
      </w:pPr>
      <w:r>
        <w:rPr>
          <w:sz w:val="20"/>
        </w:rPr>
        <w:t xml:space="preserve">(Continued from previous page)  </w:t>
      </w:r>
      <w:r>
        <w:rPr>
          <w:sz w:val="20"/>
        </w:rPr>
        <w:separator/>
      </w:r>
    </w:p>
  </w:footnote>
  <w:footnote w:type="continuationNotice" w:id="1">
    <w:p w14:paraId="559DB0CC" w14:textId="77777777" w:rsidR="00AC45CE" w:rsidRDefault="00AC45CE" w:rsidP="00C721AC">
      <w:pPr>
        <w:jc w:val="right"/>
        <w:rPr>
          <w:sz w:val="20"/>
        </w:rPr>
      </w:pPr>
      <w:r>
        <w:rPr>
          <w:sz w:val="20"/>
        </w:rPr>
        <w:t>(continued….)</w:t>
      </w:r>
    </w:p>
  </w:footnote>
  <w:footnote w:id="2">
    <w:p w14:paraId="2612E1D4" w14:textId="77777777" w:rsidR="00584FEB" w:rsidRPr="00697AFD" w:rsidRDefault="00584FEB" w:rsidP="003B0F59">
      <w:pPr>
        <w:pStyle w:val="FootnoteText"/>
      </w:pPr>
      <w:r w:rsidRPr="00697AFD">
        <w:rPr>
          <w:rStyle w:val="FootnoteReference"/>
        </w:rPr>
        <w:footnoteRef/>
      </w:r>
      <w:r w:rsidRPr="00697AFD">
        <w:t xml:space="preserve"> </w:t>
      </w:r>
      <w:r w:rsidRPr="00697AFD">
        <w:rPr>
          <w:snapToGrid w:val="0"/>
          <w:kern w:val="28"/>
        </w:rPr>
        <w:t>O</w:t>
      </w:r>
      <w:r w:rsidRPr="00697AFD">
        <w:rPr>
          <w:snapToGrid w:val="0"/>
          <w:spacing w:val="1"/>
          <w:kern w:val="28"/>
        </w:rPr>
        <w:t>p</w:t>
      </w:r>
      <w:r w:rsidRPr="00697AFD">
        <w:rPr>
          <w:snapToGrid w:val="0"/>
          <w:kern w:val="28"/>
        </w:rPr>
        <w:t>e</w:t>
      </w:r>
      <w:r w:rsidRPr="00697AFD">
        <w:rPr>
          <w:snapToGrid w:val="0"/>
          <w:spacing w:val="-1"/>
          <w:kern w:val="28"/>
        </w:rPr>
        <w:t>n</w:t>
      </w:r>
      <w:r w:rsidRPr="00697AFD">
        <w:t>-</w:t>
      </w:r>
      <w:r w:rsidRPr="00697AFD">
        <w:rPr>
          <w:snapToGrid w:val="0"/>
          <w:kern w:val="28"/>
        </w:rPr>
        <w:t>M</w:t>
      </w:r>
      <w:r w:rsidRPr="00697AFD">
        <w:rPr>
          <w:snapToGrid w:val="0"/>
          <w:spacing w:val="1"/>
          <w:kern w:val="28"/>
        </w:rPr>
        <w:t>ar</w:t>
      </w:r>
      <w:r w:rsidRPr="00697AFD">
        <w:rPr>
          <w:snapToGrid w:val="0"/>
          <w:spacing w:val="-1"/>
          <w:kern w:val="28"/>
        </w:rPr>
        <w:t>k</w:t>
      </w:r>
      <w:r w:rsidRPr="00697AFD">
        <w:rPr>
          <w:snapToGrid w:val="0"/>
          <w:spacing w:val="3"/>
          <w:kern w:val="28"/>
        </w:rPr>
        <w:t>e</w:t>
      </w:r>
      <w:r w:rsidRPr="00697AFD">
        <w:rPr>
          <w:snapToGrid w:val="0"/>
          <w:kern w:val="28"/>
        </w:rPr>
        <w:t>t</w:t>
      </w:r>
      <w:r w:rsidRPr="00697AFD">
        <w:t xml:space="preserve"> </w:t>
      </w:r>
      <w:r w:rsidRPr="00697AFD">
        <w:rPr>
          <w:snapToGrid w:val="0"/>
          <w:kern w:val="28"/>
        </w:rPr>
        <w:t>Re</w:t>
      </w:r>
      <w:r w:rsidRPr="00697AFD">
        <w:rPr>
          <w:snapToGrid w:val="0"/>
          <w:spacing w:val="1"/>
          <w:kern w:val="28"/>
        </w:rPr>
        <w:t>or</w:t>
      </w:r>
      <w:r w:rsidRPr="00697AFD">
        <w:rPr>
          <w:snapToGrid w:val="0"/>
          <w:spacing w:val="-1"/>
          <w:kern w:val="28"/>
        </w:rPr>
        <w:t>g</w:t>
      </w:r>
      <w:r w:rsidRPr="00697AFD">
        <w:rPr>
          <w:snapToGrid w:val="0"/>
          <w:spacing w:val="3"/>
          <w:kern w:val="28"/>
        </w:rPr>
        <w:t>a</w:t>
      </w:r>
      <w:r w:rsidRPr="00697AFD">
        <w:rPr>
          <w:snapToGrid w:val="0"/>
          <w:spacing w:val="-1"/>
          <w:kern w:val="28"/>
        </w:rPr>
        <w:t>n</w:t>
      </w:r>
      <w:r w:rsidRPr="00697AFD">
        <w:rPr>
          <w:snapToGrid w:val="0"/>
          <w:kern w:val="28"/>
        </w:rPr>
        <w:t>izati</w:t>
      </w:r>
      <w:r w:rsidRPr="00697AFD">
        <w:rPr>
          <w:snapToGrid w:val="0"/>
          <w:spacing w:val="4"/>
          <w:kern w:val="28"/>
        </w:rPr>
        <w:t>o</w:t>
      </w:r>
      <w:r w:rsidRPr="00697AFD">
        <w:rPr>
          <w:snapToGrid w:val="0"/>
          <w:kern w:val="28"/>
        </w:rPr>
        <w:t>n</w:t>
      </w:r>
      <w:r w:rsidRPr="00697AFD">
        <w:t xml:space="preserve"> </w:t>
      </w:r>
      <w:r w:rsidRPr="00697AFD">
        <w:rPr>
          <w:snapToGrid w:val="0"/>
          <w:spacing w:val="-2"/>
          <w:kern w:val="28"/>
        </w:rPr>
        <w:t>f</w:t>
      </w:r>
      <w:r w:rsidRPr="00697AFD">
        <w:rPr>
          <w:snapToGrid w:val="0"/>
          <w:spacing w:val="1"/>
          <w:kern w:val="28"/>
        </w:rPr>
        <w:t>o</w:t>
      </w:r>
      <w:r w:rsidRPr="00697AFD">
        <w:rPr>
          <w:snapToGrid w:val="0"/>
          <w:kern w:val="28"/>
        </w:rPr>
        <w:t>r</w:t>
      </w:r>
      <w:r w:rsidRPr="00697AFD">
        <w:t xml:space="preserve"> </w:t>
      </w:r>
      <w:r w:rsidRPr="00697AFD">
        <w:rPr>
          <w:snapToGrid w:val="0"/>
          <w:kern w:val="28"/>
        </w:rPr>
        <w:t>t</w:t>
      </w:r>
      <w:r w:rsidRPr="00697AFD">
        <w:rPr>
          <w:snapToGrid w:val="0"/>
          <w:spacing w:val="-1"/>
          <w:kern w:val="28"/>
        </w:rPr>
        <w:t>h</w:t>
      </w:r>
      <w:r w:rsidRPr="00697AFD">
        <w:rPr>
          <w:snapToGrid w:val="0"/>
          <w:kern w:val="28"/>
        </w:rPr>
        <w:t>e</w:t>
      </w:r>
      <w:r w:rsidRPr="00697AFD">
        <w:t xml:space="preserve"> </w:t>
      </w:r>
      <w:r w:rsidRPr="00697AFD">
        <w:rPr>
          <w:snapToGrid w:val="0"/>
          <w:spacing w:val="1"/>
          <w:kern w:val="28"/>
        </w:rPr>
        <w:t>B</w:t>
      </w:r>
      <w:r w:rsidRPr="00697AFD">
        <w:rPr>
          <w:snapToGrid w:val="0"/>
          <w:kern w:val="28"/>
        </w:rPr>
        <w:t>ette</w:t>
      </w:r>
      <w:r w:rsidRPr="00697AFD">
        <w:rPr>
          <w:snapToGrid w:val="0"/>
          <w:spacing w:val="3"/>
          <w:kern w:val="28"/>
        </w:rPr>
        <w:t>r</w:t>
      </w:r>
      <w:r w:rsidRPr="00697AFD">
        <w:rPr>
          <w:snapToGrid w:val="0"/>
          <w:spacing w:val="-4"/>
          <w:kern w:val="28"/>
        </w:rPr>
        <w:t>m</w:t>
      </w:r>
      <w:r w:rsidRPr="00697AFD">
        <w:rPr>
          <w:snapToGrid w:val="0"/>
          <w:spacing w:val="3"/>
          <w:kern w:val="28"/>
        </w:rPr>
        <w:t>e</w:t>
      </w:r>
      <w:r w:rsidRPr="00697AFD">
        <w:rPr>
          <w:snapToGrid w:val="0"/>
          <w:spacing w:val="-1"/>
          <w:kern w:val="28"/>
        </w:rPr>
        <w:t>n</w:t>
      </w:r>
      <w:r w:rsidRPr="00697AFD">
        <w:rPr>
          <w:snapToGrid w:val="0"/>
          <w:kern w:val="28"/>
        </w:rPr>
        <w:t>t</w:t>
      </w:r>
      <w:r w:rsidRPr="00697AFD">
        <w:t xml:space="preserve"> </w:t>
      </w:r>
      <w:r w:rsidRPr="00697AFD">
        <w:rPr>
          <w:snapToGrid w:val="0"/>
          <w:spacing w:val="1"/>
          <w:kern w:val="28"/>
        </w:rPr>
        <w:t>o</w:t>
      </w:r>
      <w:r w:rsidRPr="00697AFD">
        <w:rPr>
          <w:snapToGrid w:val="0"/>
          <w:kern w:val="28"/>
        </w:rPr>
        <w:t>f</w:t>
      </w:r>
      <w:r w:rsidRPr="00697AFD">
        <w:t xml:space="preserve"> </w:t>
      </w:r>
      <w:r w:rsidRPr="00697AFD">
        <w:rPr>
          <w:snapToGrid w:val="0"/>
          <w:spacing w:val="1"/>
          <w:kern w:val="28"/>
        </w:rPr>
        <w:t>I</w:t>
      </w:r>
      <w:r w:rsidRPr="00697AFD">
        <w:rPr>
          <w:snapToGrid w:val="0"/>
          <w:spacing w:val="-1"/>
          <w:kern w:val="28"/>
        </w:rPr>
        <w:t>n</w:t>
      </w:r>
      <w:r w:rsidRPr="00697AFD">
        <w:rPr>
          <w:snapToGrid w:val="0"/>
          <w:kern w:val="28"/>
        </w:rPr>
        <w:t>te</w:t>
      </w:r>
      <w:r w:rsidRPr="00697AFD">
        <w:rPr>
          <w:snapToGrid w:val="0"/>
          <w:spacing w:val="3"/>
          <w:kern w:val="28"/>
        </w:rPr>
        <w:t>r</w:t>
      </w:r>
      <w:r w:rsidRPr="00697AFD">
        <w:rPr>
          <w:snapToGrid w:val="0"/>
          <w:spacing w:val="-1"/>
          <w:kern w:val="28"/>
        </w:rPr>
        <w:t>n</w:t>
      </w:r>
      <w:r w:rsidRPr="00697AFD">
        <w:rPr>
          <w:snapToGrid w:val="0"/>
          <w:kern w:val="28"/>
        </w:rPr>
        <w:t>a</w:t>
      </w:r>
      <w:r w:rsidRPr="00697AFD">
        <w:rPr>
          <w:snapToGrid w:val="0"/>
          <w:spacing w:val="2"/>
          <w:kern w:val="28"/>
        </w:rPr>
        <w:t>t</w:t>
      </w:r>
      <w:r w:rsidRPr="00697AFD">
        <w:rPr>
          <w:snapToGrid w:val="0"/>
          <w:kern w:val="28"/>
        </w:rPr>
        <w:t>i</w:t>
      </w:r>
      <w:r w:rsidRPr="00697AFD">
        <w:rPr>
          <w:snapToGrid w:val="0"/>
          <w:spacing w:val="1"/>
          <w:kern w:val="28"/>
        </w:rPr>
        <w:t>o</w:t>
      </w:r>
      <w:r w:rsidRPr="00697AFD">
        <w:rPr>
          <w:snapToGrid w:val="0"/>
          <w:spacing w:val="-1"/>
          <w:kern w:val="28"/>
        </w:rPr>
        <w:t>n</w:t>
      </w:r>
      <w:r w:rsidRPr="00697AFD">
        <w:rPr>
          <w:snapToGrid w:val="0"/>
          <w:kern w:val="28"/>
        </w:rPr>
        <w:t>al</w:t>
      </w:r>
      <w:r w:rsidRPr="00697AFD">
        <w:t xml:space="preserve"> </w:t>
      </w:r>
      <w:r w:rsidRPr="00697AFD">
        <w:rPr>
          <w:snapToGrid w:val="0"/>
          <w:spacing w:val="3"/>
          <w:kern w:val="28"/>
        </w:rPr>
        <w:t>T</w:t>
      </w:r>
      <w:r w:rsidRPr="00697AFD">
        <w:rPr>
          <w:snapToGrid w:val="0"/>
          <w:kern w:val="28"/>
        </w:rPr>
        <w:t>ele</w:t>
      </w:r>
      <w:r w:rsidRPr="00697AFD">
        <w:rPr>
          <w:snapToGrid w:val="0"/>
          <w:spacing w:val="1"/>
          <w:kern w:val="28"/>
        </w:rPr>
        <w:t>co</w:t>
      </w:r>
      <w:r w:rsidRPr="00697AFD">
        <w:rPr>
          <w:snapToGrid w:val="0"/>
          <w:spacing w:val="-1"/>
          <w:kern w:val="28"/>
        </w:rPr>
        <w:t>mm</w:t>
      </w:r>
      <w:r w:rsidRPr="00697AFD">
        <w:rPr>
          <w:snapToGrid w:val="0"/>
          <w:spacing w:val="1"/>
          <w:kern w:val="28"/>
        </w:rPr>
        <w:t>u</w:t>
      </w:r>
      <w:r w:rsidRPr="00697AFD">
        <w:rPr>
          <w:snapToGrid w:val="0"/>
          <w:spacing w:val="-1"/>
          <w:kern w:val="28"/>
        </w:rPr>
        <w:t>n</w:t>
      </w:r>
      <w:r w:rsidRPr="00697AFD">
        <w:rPr>
          <w:snapToGrid w:val="0"/>
          <w:kern w:val="28"/>
        </w:rPr>
        <w:t>ica</w:t>
      </w:r>
      <w:r w:rsidRPr="00697AFD">
        <w:rPr>
          <w:snapToGrid w:val="0"/>
          <w:spacing w:val="3"/>
          <w:kern w:val="28"/>
        </w:rPr>
        <w:t>t</w:t>
      </w:r>
      <w:r w:rsidRPr="00697AFD">
        <w:rPr>
          <w:snapToGrid w:val="0"/>
          <w:kern w:val="28"/>
        </w:rPr>
        <w:t>i</w:t>
      </w:r>
      <w:r w:rsidRPr="00697AFD">
        <w:rPr>
          <w:snapToGrid w:val="0"/>
          <w:spacing w:val="1"/>
          <w:kern w:val="28"/>
        </w:rPr>
        <w:t>o</w:t>
      </w:r>
      <w:r w:rsidRPr="00697AFD">
        <w:rPr>
          <w:snapToGrid w:val="0"/>
          <w:spacing w:val="-1"/>
          <w:kern w:val="28"/>
        </w:rPr>
        <w:t>n</w:t>
      </w:r>
      <w:r w:rsidRPr="00697AFD">
        <w:rPr>
          <w:snapToGrid w:val="0"/>
          <w:kern w:val="28"/>
        </w:rPr>
        <w:t>s</w:t>
      </w:r>
      <w:r w:rsidRPr="00697AFD">
        <w:t xml:space="preserve"> </w:t>
      </w:r>
      <w:r w:rsidRPr="00697AFD">
        <w:rPr>
          <w:snapToGrid w:val="0"/>
          <w:spacing w:val="-2"/>
          <w:kern w:val="28"/>
        </w:rPr>
        <w:t>A</w:t>
      </w:r>
      <w:r w:rsidRPr="00697AFD">
        <w:rPr>
          <w:snapToGrid w:val="0"/>
          <w:spacing w:val="3"/>
          <w:kern w:val="28"/>
        </w:rPr>
        <w:t>c</w:t>
      </w:r>
      <w:r w:rsidRPr="00697AFD">
        <w:rPr>
          <w:snapToGrid w:val="0"/>
          <w:kern w:val="28"/>
        </w:rPr>
        <w:t>t,</w:t>
      </w:r>
      <w:r w:rsidRPr="00697AFD">
        <w:t xml:space="preserve"> </w:t>
      </w:r>
      <w:r w:rsidRPr="00697AFD">
        <w:rPr>
          <w:snapToGrid w:val="0"/>
          <w:spacing w:val="2"/>
          <w:kern w:val="28"/>
        </w:rPr>
        <w:t>P</w:t>
      </w:r>
      <w:r w:rsidRPr="00697AFD">
        <w:rPr>
          <w:snapToGrid w:val="0"/>
          <w:spacing w:val="-1"/>
          <w:kern w:val="28"/>
        </w:rPr>
        <w:t>u</w:t>
      </w:r>
      <w:r w:rsidRPr="00697AFD">
        <w:rPr>
          <w:snapToGrid w:val="0"/>
          <w:spacing w:val="1"/>
          <w:kern w:val="28"/>
        </w:rPr>
        <w:t>b</w:t>
      </w:r>
      <w:r w:rsidRPr="00697AFD">
        <w:t xml:space="preserve">. </w:t>
      </w:r>
      <w:r w:rsidRPr="00697AFD">
        <w:rPr>
          <w:snapToGrid w:val="0"/>
          <w:spacing w:val="-2"/>
          <w:kern w:val="28"/>
        </w:rPr>
        <w:t>L</w:t>
      </w:r>
      <w:r w:rsidRPr="00697AFD">
        <w:t xml:space="preserve">. </w:t>
      </w:r>
      <w:r w:rsidRPr="00697AFD">
        <w:rPr>
          <w:snapToGrid w:val="0"/>
          <w:kern w:val="28"/>
        </w:rPr>
        <w:t>N</w:t>
      </w:r>
      <w:r w:rsidRPr="00697AFD">
        <w:rPr>
          <w:snapToGrid w:val="0"/>
          <w:spacing w:val="1"/>
          <w:kern w:val="28"/>
        </w:rPr>
        <w:t>o</w:t>
      </w:r>
      <w:r w:rsidRPr="00697AFD">
        <w:t xml:space="preserve">. </w:t>
      </w:r>
      <w:r w:rsidRPr="00697AFD">
        <w:rPr>
          <w:snapToGrid w:val="0"/>
          <w:spacing w:val="1"/>
          <w:kern w:val="28"/>
        </w:rPr>
        <w:t>1</w:t>
      </w:r>
      <w:r w:rsidRPr="00697AFD">
        <w:rPr>
          <w:snapToGrid w:val="0"/>
          <w:spacing w:val="-1"/>
          <w:kern w:val="28"/>
        </w:rPr>
        <w:t>0</w:t>
      </w:r>
      <w:r w:rsidRPr="00697AFD">
        <w:rPr>
          <w:snapToGrid w:val="0"/>
          <w:spacing w:val="2"/>
          <w:kern w:val="28"/>
        </w:rPr>
        <w:t>6</w:t>
      </w:r>
      <w:r w:rsidRPr="00697AFD">
        <w:t>-</w:t>
      </w:r>
      <w:r w:rsidRPr="00697AFD">
        <w:rPr>
          <w:snapToGrid w:val="0"/>
          <w:spacing w:val="1"/>
          <w:kern w:val="28"/>
        </w:rPr>
        <w:t>180</w:t>
      </w:r>
      <w:r w:rsidRPr="00697AFD">
        <w:t>,</w:t>
      </w:r>
      <w:r w:rsidRPr="00697AFD">
        <w:rPr>
          <w:snapToGrid w:val="0"/>
          <w:spacing w:val="1"/>
          <w:kern w:val="28"/>
        </w:rPr>
        <w:t xml:space="preserve"> 11</w:t>
      </w:r>
      <w:r w:rsidRPr="00697AFD">
        <w:rPr>
          <w:snapToGrid w:val="0"/>
          <w:kern w:val="28"/>
        </w:rPr>
        <w:t>4</w:t>
      </w:r>
      <w:r w:rsidRPr="00697AFD">
        <w:t xml:space="preserve"> </w:t>
      </w:r>
      <w:r w:rsidRPr="00697AFD">
        <w:rPr>
          <w:snapToGrid w:val="0"/>
          <w:kern w:val="28"/>
        </w:rPr>
        <w:t>Stat.</w:t>
      </w:r>
      <w:r w:rsidRPr="00697AFD">
        <w:t xml:space="preserve"> </w:t>
      </w:r>
      <w:r w:rsidRPr="00697AFD">
        <w:rPr>
          <w:snapToGrid w:val="0"/>
          <w:spacing w:val="1"/>
          <w:kern w:val="28"/>
        </w:rPr>
        <w:t>4</w:t>
      </w:r>
      <w:r w:rsidRPr="00697AFD">
        <w:rPr>
          <w:snapToGrid w:val="0"/>
          <w:kern w:val="28"/>
        </w:rPr>
        <w:t>8</w:t>
      </w:r>
      <w:r w:rsidRPr="00697AFD">
        <w:t xml:space="preserve"> (</w:t>
      </w:r>
      <w:r w:rsidRPr="00697AFD">
        <w:rPr>
          <w:snapToGrid w:val="0"/>
          <w:spacing w:val="-1"/>
          <w:kern w:val="28"/>
        </w:rPr>
        <w:t>2</w:t>
      </w:r>
      <w:r w:rsidRPr="00697AFD">
        <w:rPr>
          <w:snapToGrid w:val="0"/>
          <w:spacing w:val="1"/>
          <w:kern w:val="28"/>
        </w:rPr>
        <w:t>000</w:t>
      </w:r>
      <w:r w:rsidRPr="00697AFD">
        <w:t xml:space="preserve">), </w:t>
      </w:r>
      <w:r w:rsidRPr="00697AFD">
        <w:rPr>
          <w:i/>
          <w:iCs/>
          <w:snapToGrid w:val="0"/>
          <w:spacing w:val="1"/>
          <w:kern w:val="28"/>
        </w:rPr>
        <w:t>a</w:t>
      </w:r>
      <w:r w:rsidRPr="00697AFD">
        <w:rPr>
          <w:i/>
          <w:iCs/>
          <w:snapToGrid w:val="0"/>
          <w:kern w:val="28"/>
        </w:rPr>
        <w:t>s</w:t>
      </w:r>
      <w:r w:rsidRPr="00697AFD">
        <w:rPr>
          <w:i/>
          <w:iCs/>
          <w:snapToGrid w:val="0"/>
          <w:spacing w:val="-2"/>
          <w:kern w:val="28"/>
        </w:rPr>
        <w:t xml:space="preserve"> </w:t>
      </w:r>
      <w:r w:rsidRPr="00697AFD">
        <w:rPr>
          <w:i/>
          <w:iCs/>
          <w:snapToGrid w:val="0"/>
          <w:spacing w:val="1"/>
          <w:kern w:val="28"/>
        </w:rPr>
        <w:t>a</w:t>
      </w:r>
      <w:r w:rsidRPr="00697AFD">
        <w:rPr>
          <w:i/>
          <w:iCs/>
          <w:snapToGrid w:val="0"/>
          <w:kern w:val="28"/>
        </w:rPr>
        <w:t>me</w:t>
      </w:r>
      <w:r w:rsidRPr="00697AFD">
        <w:rPr>
          <w:i/>
          <w:iCs/>
          <w:snapToGrid w:val="0"/>
          <w:spacing w:val="-1"/>
          <w:kern w:val="28"/>
        </w:rPr>
        <w:t>nd</w:t>
      </w:r>
      <w:r w:rsidRPr="00697AFD">
        <w:rPr>
          <w:i/>
          <w:iCs/>
          <w:snapToGrid w:val="0"/>
          <w:kern w:val="28"/>
        </w:rPr>
        <w:t>e</w:t>
      </w:r>
      <w:r w:rsidRPr="00697AFD">
        <w:rPr>
          <w:i/>
          <w:iCs/>
          <w:snapToGrid w:val="0"/>
          <w:spacing w:val="3"/>
          <w:kern w:val="28"/>
        </w:rPr>
        <w:t>d</w:t>
      </w:r>
      <w:r w:rsidRPr="00697AFD">
        <w:t xml:space="preserve">, </w:t>
      </w:r>
      <w:r w:rsidRPr="00697AFD">
        <w:rPr>
          <w:snapToGrid w:val="0"/>
          <w:spacing w:val="2"/>
          <w:kern w:val="28"/>
        </w:rPr>
        <w:t>P</w:t>
      </w:r>
      <w:r w:rsidRPr="00697AFD">
        <w:rPr>
          <w:snapToGrid w:val="0"/>
          <w:spacing w:val="-1"/>
          <w:kern w:val="28"/>
        </w:rPr>
        <w:t>u</w:t>
      </w:r>
      <w:r w:rsidRPr="00697AFD">
        <w:rPr>
          <w:snapToGrid w:val="0"/>
          <w:spacing w:val="1"/>
          <w:kern w:val="28"/>
        </w:rPr>
        <w:t>b</w:t>
      </w:r>
      <w:r w:rsidRPr="00697AFD">
        <w:t xml:space="preserve">. </w:t>
      </w:r>
      <w:r w:rsidRPr="00697AFD">
        <w:rPr>
          <w:snapToGrid w:val="0"/>
          <w:spacing w:val="-2"/>
          <w:kern w:val="28"/>
        </w:rPr>
        <w:t>L</w:t>
      </w:r>
      <w:r w:rsidRPr="00697AFD">
        <w:t xml:space="preserve">. </w:t>
      </w:r>
      <w:r w:rsidRPr="00697AFD">
        <w:rPr>
          <w:snapToGrid w:val="0"/>
          <w:kern w:val="28"/>
        </w:rPr>
        <w:t>N</w:t>
      </w:r>
      <w:r w:rsidRPr="00697AFD">
        <w:rPr>
          <w:snapToGrid w:val="0"/>
          <w:spacing w:val="1"/>
          <w:kern w:val="28"/>
        </w:rPr>
        <w:t>o</w:t>
      </w:r>
      <w:r w:rsidRPr="00697AFD">
        <w:t xml:space="preserve">. </w:t>
      </w:r>
      <w:r w:rsidRPr="00697AFD">
        <w:rPr>
          <w:snapToGrid w:val="0"/>
          <w:spacing w:val="1"/>
          <w:kern w:val="28"/>
        </w:rPr>
        <w:t>10</w:t>
      </w:r>
      <w:r w:rsidRPr="00697AFD">
        <w:rPr>
          <w:snapToGrid w:val="0"/>
          <w:spacing w:val="4"/>
          <w:kern w:val="28"/>
        </w:rPr>
        <w:t>7</w:t>
      </w:r>
      <w:r w:rsidRPr="00697AFD">
        <w:t>-</w:t>
      </w:r>
      <w:r w:rsidRPr="00697AFD">
        <w:rPr>
          <w:snapToGrid w:val="0"/>
          <w:spacing w:val="1"/>
          <w:kern w:val="28"/>
        </w:rPr>
        <w:t>23</w:t>
      </w:r>
      <w:r w:rsidRPr="00697AFD">
        <w:rPr>
          <w:snapToGrid w:val="0"/>
          <w:spacing w:val="-1"/>
          <w:kern w:val="28"/>
        </w:rPr>
        <w:t>3</w:t>
      </w:r>
      <w:r w:rsidRPr="00697AFD">
        <w:t xml:space="preserve">, </w:t>
      </w:r>
      <w:r w:rsidRPr="00697AFD">
        <w:rPr>
          <w:snapToGrid w:val="0"/>
          <w:spacing w:val="1"/>
          <w:kern w:val="28"/>
        </w:rPr>
        <w:t>1</w:t>
      </w:r>
      <w:r w:rsidRPr="00697AFD">
        <w:rPr>
          <w:snapToGrid w:val="0"/>
          <w:spacing w:val="-1"/>
          <w:kern w:val="28"/>
        </w:rPr>
        <w:t>1</w:t>
      </w:r>
      <w:r w:rsidRPr="00697AFD">
        <w:rPr>
          <w:snapToGrid w:val="0"/>
          <w:kern w:val="28"/>
        </w:rPr>
        <w:t>6</w:t>
      </w:r>
      <w:r w:rsidRPr="00697AFD">
        <w:t xml:space="preserve"> </w:t>
      </w:r>
      <w:r w:rsidRPr="00697AFD">
        <w:rPr>
          <w:snapToGrid w:val="0"/>
          <w:kern w:val="28"/>
        </w:rPr>
        <w:t>Stat.</w:t>
      </w:r>
      <w:r w:rsidRPr="00697AFD">
        <w:t xml:space="preserve"> </w:t>
      </w:r>
      <w:r w:rsidRPr="00697AFD">
        <w:rPr>
          <w:snapToGrid w:val="0"/>
          <w:spacing w:val="1"/>
          <w:kern w:val="28"/>
        </w:rPr>
        <w:t>148</w:t>
      </w:r>
      <w:r w:rsidRPr="00697AFD">
        <w:rPr>
          <w:snapToGrid w:val="0"/>
          <w:kern w:val="28"/>
        </w:rPr>
        <w:t>0</w:t>
      </w:r>
      <w:r w:rsidRPr="00697AFD">
        <w:t xml:space="preserve"> (</w:t>
      </w:r>
      <w:r w:rsidRPr="00697AFD">
        <w:rPr>
          <w:snapToGrid w:val="0"/>
          <w:spacing w:val="1"/>
          <w:kern w:val="28"/>
        </w:rPr>
        <w:t>20</w:t>
      </w:r>
      <w:r w:rsidRPr="00697AFD">
        <w:rPr>
          <w:snapToGrid w:val="0"/>
          <w:spacing w:val="-1"/>
          <w:kern w:val="28"/>
        </w:rPr>
        <w:t>0</w:t>
      </w:r>
      <w:r w:rsidRPr="00697AFD">
        <w:rPr>
          <w:snapToGrid w:val="0"/>
          <w:spacing w:val="1"/>
          <w:kern w:val="28"/>
        </w:rPr>
        <w:t>2</w:t>
      </w:r>
      <w:r w:rsidRPr="00697AFD">
        <w:t xml:space="preserve">), </w:t>
      </w:r>
      <w:r w:rsidRPr="00EC3296">
        <w:rPr>
          <w:i/>
        </w:rPr>
        <w:t>as amended</w:t>
      </w:r>
      <w:r w:rsidRPr="00697AFD">
        <w:t xml:space="preserve">, Pub. L. No. 108-228, 118 Stat. 644 (2004), </w:t>
      </w:r>
      <w:r w:rsidRPr="00697AFD">
        <w:rPr>
          <w:i/>
        </w:rPr>
        <w:t>as amended</w:t>
      </w:r>
      <w:r w:rsidRPr="00697AFD">
        <w:t>, Pub. L. No. 108-371, 118 Stat. 1752 (2004) (</w:t>
      </w:r>
      <w:r w:rsidRPr="00697AFD">
        <w:rPr>
          <w:i/>
        </w:rPr>
        <w:t>2004 ORBIT Act Amendments</w:t>
      </w:r>
      <w:r w:rsidRPr="00697AFD">
        <w:t xml:space="preserve">), </w:t>
      </w:r>
      <w:r w:rsidRPr="00697AFD">
        <w:rPr>
          <w:i/>
        </w:rPr>
        <w:t>as amended</w:t>
      </w:r>
      <w:r w:rsidRPr="00697AFD">
        <w:t>, Pub. L. No. 109-34, 119 Stat. 377 (2005) (</w:t>
      </w:r>
      <w:r w:rsidRPr="00697AFD">
        <w:rPr>
          <w:i/>
        </w:rPr>
        <w:t>2005 ORBIT Act Amendment</w:t>
      </w:r>
      <w:r w:rsidRPr="00697AFD">
        <w:t xml:space="preserve">), </w:t>
      </w:r>
      <w:r w:rsidRPr="00697AFD">
        <w:rPr>
          <w:snapToGrid w:val="0"/>
          <w:spacing w:val="-2"/>
          <w:kern w:val="28"/>
        </w:rPr>
        <w:t>c</w:t>
      </w:r>
      <w:r w:rsidRPr="00697AFD">
        <w:rPr>
          <w:snapToGrid w:val="0"/>
          <w:spacing w:val="1"/>
          <w:kern w:val="28"/>
        </w:rPr>
        <w:t>od</w:t>
      </w:r>
      <w:r w:rsidRPr="00697AFD">
        <w:rPr>
          <w:snapToGrid w:val="0"/>
          <w:kern w:val="28"/>
        </w:rPr>
        <w:t>i</w:t>
      </w:r>
      <w:r w:rsidRPr="00697AFD">
        <w:rPr>
          <w:snapToGrid w:val="0"/>
          <w:spacing w:val="-2"/>
          <w:kern w:val="28"/>
        </w:rPr>
        <w:t>f</w:t>
      </w:r>
      <w:r w:rsidRPr="00697AFD">
        <w:rPr>
          <w:snapToGrid w:val="0"/>
          <w:kern w:val="28"/>
        </w:rPr>
        <w:t>ied</w:t>
      </w:r>
      <w:r w:rsidRPr="00697AFD">
        <w:t xml:space="preserve"> </w:t>
      </w:r>
      <w:r w:rsidRPr="00697AFD">
        <w:rPr>
          <w:snapToGrid w:val="0"/>
          <w:kern w:val="28"/>
        </w:rPr>
        <w:t>at</w:t>
      </w:r>
      <w:r w:rsidRPr="00697AFD">
        <w:t xml:space="preserve"> </w:t>
      </w:r>
      <w:r w:rsidRPr="00697AFD">
        <w:rPr>
          <w:snapToGrid w:val="0"/>
          <w:spacing w:val="1"/>
          <w:kern w:val="28"/>
        </w:rPr>
        <w:t>4</w:t>
      </w:r>
      <w:r w:rsidRPr="00697AFD">
        <w:rPr>
          <w:snapToGrid w:val="0"/>
          <w:kern w:val="28"/>
        </w:rPr>
        <w:t>7</w:t>
      </w:r>
      <w:r w:rsidRPr="00697AFD">
        <w:t xml:space="preserve"> </w:t>
      </w:r>
      <w:r w:rsidRPr="00697AFD">
        <w:rPr>
          <w:snapToGrid w:val="0"/>
          <w:kern w:val="28"/>
        </w:rPr>
        <w:t>U</w:t>
      </w:r>
      <w:r w:rsidRPr="00697AFD">
        <w:t>.</w:t>
      </w:r>
      <w:r w:rsidRPr="00697AFD">
        <w:rPr>
          <w:snapToGrid w:val="0"/>
          <w:kern w:val="28"/>
        </w:rPr>
        <w:t>S.</w:t>
      </w:r>
      <w:r w:rsidRPr="00697AFD">
        <w:rPr>
          <w:snapToGrid w:val="0"/>
          <w:spacing w:val="-1"/>
          <w:kern w:val="28"/>
        </w:rPr>
        <w:t>C</w:t>
      </w:r>
      <w:r w:rsidRPr="00697AFD">
        <w:t xml:space="preserve">. </w:t>
      </w:r>
      <w:r w:rsidRPr="00697AFD">
        <w:rPr>
          <w:snapToGrid w:val="0"/>
          <w:kern w:val="28"/>
        </w:rPr>
        <w:t xml:space="preserve">§ </w:t>
      </w:r>
      <w:r w:rsidRPr="00697AFD">
        <w:rPr>
          <w:snapToGrid w:val="0"/>
          <w:spacing w:val="-1"/>
          <w:kern w:val="28"/>
        </w:rPr>
        <w:t>7</w:t>
      </w:r>
      <w:r w:rsidRPr="00697AFD">
        <w:rPr>
          <w:snapToGrid w:val="0"/>
          <w:spacing w:val="1"/>
          <w:kern w:val="28"/>
        </w:rPr>
        <w:t>0</w:t>
      </w:r>
      <w:r w:rsidRPr="00697AFD">
        <w:rPr>
          <w:snapToGrid w:val="0"/>
          <w:kern w:val="28"/>
        </w:rPr>
        <w:t>1</w:t>
      </w:r>
      <w:r w:rsidRPr="00697AFD">
        <w:t xml:space="preserve"> </w:t>
      </w:r>
      <w:r w:rsidRPr="00697AFD">
        <w:rPr>
          <w:i/>
          <w:iCs/>
          <w:snapToGrid w:val="0"/>
          <w:kern w:val="28"/>
        </w:rPr>
        <w:t>et</w:t>
      </w:r>
      <w:r w:rsidRPr="00697AFD">
        <w:rPr>
          <w:i/>
          <w:iCs/>
          <w:snapToGrid w:val="0"/>
          <w:spacing w:val="-1"/>
          <w:kern w:val="28"/>
        </w:rPr>
        <w:t xml:space="preserve"> s</w:t>
      </w:r>
      <w:r w:rsidRPr="00697AFD">
        <w:rPr>
          <w:i/>
          <w:iCs/>
          <w:snapToGrid w:val="0"/>
          <w:kern w:val="28"/>
        </w:rPr>
        <w:t>e</w:t>
      </w:r>
      <w:r w:rsidRPr="00697AFD">
        <w:rPr>
          <w:i/>
          <w:iCs/>
          <w:snapToGrid w:val="0"/>
          <w:spacing w:val="1"/>
          <w:kern w:val="28"/>
        </w:rPr>
        <w:t>q.</w:t>
      </w:r>
      <w:r w:rsidRPr="00697AFD">
        <w:t xml:space="preserve">  </w:t>
      </w:r>
    </w:p>
  </w:footnote>
  <w:footnote w:id="3">
    <w:p w14:paraId="05325A97" w14:textId="107D1DF5" w:rsidR="00992B9F" w:rsidRDefault="00992B9F">
      <w:pPr>
        <w:pStyle w:val="FootnoteText"/>
      </w:pPr>
      <w:r>
        <w:rPr>
          <w:rStyle w:val="FootnoteReference"/>
        </w:rPr>
        <w:footnoteRef/>
      </w:r>
      <w:r>
        <w:t xml:space="preserve"> </w:t>
      </w:r>
      <w:r w:rsidRPr="00697AFD">
        <w:t xml:space="preserve">47 U.S.C. § 765e.  For previous ORBIT Act reports to Congress, </w:t>
      </w:r>
      <w:r>
        <w:t xml:space="preserve">please </w:t>
      </w:r>
      <w:r w:rsidRPr="00614223">
        <w:t xml:space="preserve">see the </w:t>
      </w:r>
      <w:r>
        <w:t xml:space="preserve">FCC’s website.  </w:t>
      </w:r>
      <w:r w:rsidRPr="00D63C8C">
        <w:rPr>
          <w:iCs/>
        </w:rPr>
        <w:t>Reports</w:t>
      </w:r>
      <w:r w:rsidRPr="000411AB">
        <w:rPr>
          <w:iCs/>
        </w:rPr>
        <w:t>,</w:t>
      </w:r>
      <w:r>
        <w:rPr>
          <w:iCs/>
        </w:rPr>
        <w:t xml:space="preserve"> </w:t>
      </w:r>
      <w:hyperlink r:id="rId1" w:history="1">
        <w:r w:rsidRPr="005A705D">
          <w:rPr>
            <w:rStyle w:val="Hyperlink"/>
            <w:iCs/>
          </w:rPr>
          <w:t>https://www.fcc.gov/reports-research/reports?field_report_series_tid[0]=1747</w:t>
        </w:r>
      </w:hyperlink>
      <w:r>
        <w:rPr>
          <w:iCs/>
        </w:rPr>
        <w:t>.</w:t>
      </w:r>
      <w:r>
        <w:t xml:space="preserve"> </w:t>
      </w:r>
    </w:p>
  </w:footnote>
  <w:footnote w:id="4">
    <w:p w14:paraId="5CE0FD84" w14:textId="280C86B5" w:rsidR="00992B9F" w:rsidRDefault="00992B9F">
      <w:pPr>
        <w:pStyle w:val="FootnoteText"/>
      </w:pPr>
      <w:r>
        <w:rPr>
          <w:rStyle w:val="FootnoteReference"/>
        </w:rPr>
        <w:footnoteRef/>
      </w:r>
      <w:r>
        <w:t xml:space="preserve"> </w:t>
      </w:r>
      <w:r w:rsidRPr="00697AFD">
        <w:t>47 U.S.C. § 761 Note, Pub. L. 106-180, 114 Stat</w:t>
      </w:r>
      <w:r>
        <w:t>.</w:t>
      </w:r>
      <w:r w:rsidRPr="00697AFD">
        <w:t xml:space="preserve"> 48 (2000).</w:t>
      </w:r>
    </w:p>
  </w:footnote>
  <w:footnote w:id="5">
    <w:p w14:paraId="6F49BDD9" w14:textId="77777777" w:rsidR="00584FEB" w:rsidRPr="00697AFD" w:rsidRDefault="00584FEB">
      <w:pPr>
        <w:pStyle w:val="FootnoteText"/>
      </w:pPr>
      <w:r w:rsidRPr="00697AFD">
        <w:rPr>
          <w:rStyle w:val="FootnoteReference"/>
        </w:rPr>
        <w:footnoteRef/>
      </w:r>
      <w:r w:rsidRPr="00697AFD">
        <w:t xml:space="preserve"> </w:t>
      </w:r>
      <w:r w:rsidRPr="00697AFD">
        <w:rPr>
          <w:i/>
        </w:rPr>
        <w:t>See</w:t>
      </w:r>
      <w:r w:rsidR="00B9726C" w:rsidRPr="00697AFD">
        <w:t>,</w:t>
      </w:r>
      <w:r w:rsidRPr="00697AFD">
        <w:rPr>
          <w:i/>
        </w:rPr>
        <w:t xml:space="preserve"> e.g.</w:t>
      </w:r>
      <w:r w:rsidRPr="00697AFD">
        <w:t xml:space="preserve">, </w:t>
      </w:r>
      <w:r w:rsidRPr="00697AFD">
        <w:rPr>
          <w:i/>
        </w:rPr>
        <w:t>F</w:t>
      </w:r>
      <w:r w:rsidRPr="00697AFD">
        <w:rPr>
          <w:i/>
          <w:iCs/>
        </w:rPr>
        <w:t>CC Report to Congress as Required by the ORBIT Act</w:t>
      </w:r>
      <w:r w:rsidRPr="00697AFD">
        <w:t xml:space="preserve">, </w:t>
      </w:r>
      <w:r w:rsidR="008243B0" w:rsidRPr="008A441D">
        <w:t>Seventeenth</w:t>
      </w:r>
      <w:r w:rsidR="008243B0">
        <w:rPr>
          <w:i/>
        </w:rPr>
        <w:t xml:space="preserve"> </w:t>
      </w:r>
      <w:r w:rsidR="00DD0998" w:rsidRPr="00697AFD">
        <w:t xml:space="preserve">Report, </w:t>
      </w:r>
      <w:r w:rsidR="00010FB9" w:rsidRPr="00697AFD">
        <w:t>31 FCC Rcd 7417</w:t>
      </w:r>
      <w:r w:rsidRPr="00697AFD">
        <w:t xml:space="preserve"> (</w:t>
      </w:r>
      <w:r w:rsidR="00DD0998" w:rsidRPr="00697AFD">
        <w:t>2016</w:t>
      </w:r>
      <w:r w:rsidRPr="00697AFD">
        <w:t>) (</w:t>
      </w:r>
      <w:r w:rsidR="00DD0998" w:rsidRPr="00697AFD">
        <w:rPr>
          <w:i/>
          <w:iCs/>
        </w:rPr>
        <w:t xml:space="preserve">Seventeenth </w:t>
      </w:r>
      <w:r w:rsidRPr="00697AFD">
        <w:rPr>
          <w:i/>
          <w:iCs/>
        </w:rPr>
        <w:t>ORBIT Act Report</w:t>
      </w:r>
      <w:r w:rsidRPr="00697AFD">
        <w:t>).</w:t>
      </w:r>
    </w:p>
  </w:footnote>
  <w:footnote w:id="6">
    <w:p w14:paraId="7B052C88" w14:textId="77777777" w:rsidR="00584FEB" w:rsidRPr="00697AFD" w:rsidRDefault="00584FEB" w:rsidP="00D44BC9">
      <w:pPr>
        <w:pStyle w:val="FootnoteText"/>
        <w:widowControl w:val="0"/>
      </w:pPr>
      <w:r w:rsidRPr="00697AFD">
        <w:rPr>
          <w:rStyle w:val="FootnoteReference"/>
        </w:rPr>
        <w:footnoteRef/>
      </w:r>
      <w:r w:rsidRPr="00697AFD">
        <w:t xml:space="preserve"> The intergovernmental satellite body INTELSAT later created Intelsat LLC, a privately-held U.S. entity that became the licensee of satellite assets formerly held by INTELSAT.  As a result of an internal reorganization consummated in January 2011, Intelsat LLC was eliminated as a subsidiary company, and the majority of licenses are now held by Intelsat License LLC (Intelsat). </w:t>
      </w:r>
    </w:p>
  </w:footnote>
  <w:footnote w:id="7">
    <w:p w14:paraId="108A639B" w14:textId="77777777" w:rsidR="00584FEB" w:rsidRPr="00697AFD" w:rsidRDefault="00584FEB">
      <w:pPr>
        <w:pStyle w:val="FootnoteText"/>
      </w:pPr>
      <w:r w:rsidRPr="00697AFD">
        <w:rPr>
          <w:rStyle w:val="FootnoteReference"/>
        </w:rPr>
        <w:footnoteRef/>
      </w:r>
      <w:r w:rsidRPr="00697AFD">
        <w:t xml:space="preserve"> New Skies is the Netherlands-based INTELSAT spin-off, created as its first step toward privatization.  The status of New Skies is summarized in the </w:t>
      </w:r>
      <w:r w:rsidRPr="00697AFD">
        <w:rPr>
          <w:i/>
        </w:rPr>
        <w:t>Fourteenth ORBIT Act Report</w:t>
      </w:r>
      <w:r w:rsidRPr="00697AFD">
        <w:t xml:space="preserve">.  </w:t>
      </w:r>
      <w:r w:rsidRPr="00697AFD">
        <w:rPr>
          <w:i/>
        </w:rPr>
        <w:t xml:space="preserve">FCC Report to Congress as Required by the ORBIT Act, </w:t>
      </w:r>
      <w:r w:rsidRPr="00697AFD">
        <w:t>Report, 28 FCC Rcd 8587, 8600-01 (2013) (</w:t>
      </w:r>
      <w:r w:rsidRPr="00697AFD">
        <w:rPr>
          <w:i/>
        </w:rPr>
        <w:t>Fourteenth ORBIT Act Report</w:t>
      </w:r>
      <w:r w:rsidRPr="00697AFD">
        <w:t>).</w:t>
      </w:r>
    </w:p>
  </w:footnote>
  <w:footnote w:id="8">
    <w:p w14:paraId="281BF113" w14:textId="77777777" w:rsidR="00584FEB" w:rsidRPr="00697AFD" w:rsidRDefault="00584FEB" w:rsidP="00D31F4B">
      <w:pPr>
        <w:pStyle w:val="FootnoteText"/>
      </w:pPr>
      <w:r w:rsidRPr="00697AFD">
        <w:rPr>
          <w:rStyle w:val="FootnoteReference"/>
        </w:rPr>
        <w:footnoteRef/>
      </w:r>
      <w:r w:rsidRPr="00697AFD">
        <w:t xml:space="preserve"> The ORBIT Act defines “non-core” services as “services other than public-switched network voice telephony and occasional-use television” with respect to INTELSAT, and as “services other than global maritime distress and safety services or other existing maritime or aeronautical services for which there are not alternative providers” with respect to Inmarsat.  47 U.S.C. § 769(a)(11).  Among other things, the ORBIT Act provides for certain exceptions to limitations on “non-core” services.  47 U.S.C. § 761.</w:t>
      </w:r>
    </w:p>
  </w:footnote>
  <w:footnote w:id="9">
    <w:p w14:paraId="52FC2F7B" w14:textId="77777777" w:rsidR="00584FEB" w:rsidRPr="00697AFD" w:rsidRDefault="00584FEB">
      <w:pPr>
        <w:pStyle w:val="FootnoteText"/>
      </w:pPr>
      <w:r w:rsidRPr="00697AFD">
        <w:rPr>
          <w:rStyle w:val="FootnoteReference"/>
        </w:rPr>
        <w:footnoteRef/>
      </w:r>
      <w:r w:rsidRPr="00697AFD">
        <w:t xml:space="preserve"> </w:t>
      </w:r>
      <w:r w:rsidR="00734ED7" w:rsidRPr="00734ED7">
        <w:t>47 U.S.C. § 765e</w:t>
      </w:r>
      <w:r w:rsidR="00734ED7">
        <w:t>.</w:t>
      </w:r>
      <w:r w:rsidR="00734ED7" w:rsidRPr="00734ED7">
        <w:t xml:space="preserve"> </w:t>
      </w:r>
      <w:r w:rsidR="00734ED7">
        <w:t xml:space="preserve"> </w:t>
      </w:r>
      <w:r w:rsidRPr="00697AFD">
        <w:t xml:space="preserve">In October 2004, Congress amended the ORBIT Act, adding Sections 621(5)(F) and (G), to provide a certification process as an alternative to the initial public offering (IPO) requirements under Sections 621(5)(A) and (B).  In July 2005, Congress further amended the ORBIT Act, striking certain privatization criteria for INTELSAT separated entities, and removing certain restrictions on separated entities and successors to INTELSAT </w:t>
      </w:r>
      <w:r w:rsidRPr="00F3570C">
        <w:t>and for other purposes.</w:t>
      </w:r>
      <w:r w:rsidRPr="00697AFD">
        <w:t xml:space="preserve"> </w:t>
      </w:r>
      <w:r w:rsidR="00BE6B04">
        <w:t xml:space="preserve"> </w:t>
      </w:r>
      <w:r w:rsidRPr="00697AFD">
        <w:rPr>
          <w:snapToGrid w:val="0"/>
          <w:spacing w:val="1"/>
          <w:kern w:val="28"/>
        </w:rPr>
        <w:t>4</w:t>
      </w:r>
      <w:r w:rsidRPr="00697AFD">
        <w:rPr>
          <w:snapToGrid w:val="0"/>
          <w:kern w:val="28"/>
        </w:rPr>
        <w:t>7</w:t>
      </w:r>
      <w:r w:rsidRPr="00697AFD">
        <w:t xml:space="preserve"> </w:t>
      </w:r>
      <w:r w:rsidRPr="00697AFD">
        <w:rPr>
          <w:snapToGrid w:val="0"/>
          <w:kern w:val="28"/>
        </w:rPr>
        <w:t>U</w:t>
      </w:r>
      <w:r w:rsidRPr="00697AFD">
        <w:t>.</w:t>
      </w:r>
      <w:r w:rsidRPr="00697AFD">
        <w:rPr>
          <w:snapToGrid w:val="0"/>
          <w:kern w:val="28"/>
        </w:rPr>
        <w:t>S.</w:t>
      </w:r>
      <w:r w:rsidRPr="00697AFD">
        <w:rPr>
          <w:snapToGrid w:val="0"/>
          <w:spacing w:val="-1"/>
          <w:kern w:val="28"/>
        </w:rPr>
        <w:t>C</w:t>
      </w:r>
      <w:r w:rsidRPr="00697AFD">
        <w:t xml:space="preserve">. </w:t>
      </w:r>
      <w:r w:rsidRPr="00697AFD">
        <w:rPr>
          <w:snapToGrid w:val="0"/>
          <w:kern w:val="28"/>
        </w:rPr>
        <w:t xml:space="preserve">§ </w:t>
      </w:r>
      <w:r w:rsidRPr="00697AFD">
        <w:rPr>
          <w:snapToGrid w:val="0"/>
          <w:spacing w:val="-1"/>
          <w:kern w:val="28"/>
        </w:rPr>
        <w:t>7</w:t>
      </w:r>
      <w:r w:rsidRPr="00697AFD">
        <w:rPr>
          <w:snapToGrid w:val="0"/>
          <w:spacing w:val="1"/>
          <w:kern w:val="28"/>
        </w:rPr>
        <w:t>0</w:t>
      </w:r>
      <w:r w:rsidRPr="00697AFD">
        <w:rPr>
          <w:snapToGrid w:val="0"/>
          <w:kern w:val="28"/>
        </w:rPr>
        <w:t>1</w:t>
      </w:r>
      <w:r w:rsidRPr="00697AFD">
        <w:t xml:space="preserve"> </w:t>
      </w:r>
      <w:r w:rsidRPr="00697AFD">
        <w:rPr>
          <w:i/>
          <w:iCs/>
          <w:snapToGrid w:val="0"/>
          <w:kern w:val="28"/>
        </w:rPr>
        <w:t>et</w:t>
      </w:r>
      <w:r w:rsidRPr="00697AFD">
        <w:rPr>
          <w:i/>
          <w:iCs/>
          <w:snapToGrid w:val="0"/>
          <w:spacing w:val="-1"/>
          <w:kern w:val="28"/>
        </w:rPr>
        <w:t xml:space="preserve"> s</w:t>
      </w:r>
      <w:r w:rsidRPr="00697AFD">
        <w:rPr>
          <w:i/>
          <w:iCs/>
          <w:snapToGrid w:val="0"/>
          <w:kern w:val="28"/>
        </w:rPr>
        <w:t>e</w:t>
      </w:r>
      <w:r w:rsidRPr="00697AFD">
        <w:rPr>
          <w:i/>
          <w:iCs/>
          <w:snapToGrid w:val="0"/>
          <w:spacing w:val="1"/>
          <w:kern w:val="28"/>
        </w:rPr>
        <w:t>q.</w:t>
      </w:r>
      <w:r w:rsidRPr="00697AFD">
        <w:t xml:space="preserve">   </w:t>
      </w:r>
    </w:p>
  </w:footnote>
  <w:footnote w:id="10">
    <w:p w14:paraId="2FB669C3" w14:textId="32ADF1B3" w:rsidR="00584FEB" w:rsidRPr="00697AFD" w:rsidRDefault="00584FEB">
      <w:pPr>
        <w:pStyle w:val="FootnoteText"/>
      </w:pPr>
      <w:r w:rsidRPr="00697AFD">
        <w:rPr>
          <w:rStyle w:val="FootnoteReference"/>
        </w:rPr>
        <w:footnoteRef/>
      </w:r>
      <w:r w:rsidRPr="00697AFD">
        <w:t xml:space="preserve"> </w:t>
      </w:r>
      <w:r w:rsidR="00BE6B04" w:rsidRPr="00734ED7">
        <w:t>47 U.S.C. § 765e</w:t>
      </w:r>
      <w:r w:rsidRPr="00697AFD">
        <w:rPr>
          <w:i/>
        </w:rPr>
        <w:t>.</w:t>
      </w:r>
    </w:p>
  </w:footnote>
  <w:footnote w:id="11">
    <w:p w14:paraId="04041CC9" w14:textId="77777777" w:rsidR="00584FEB" w:rsidRPr="00697AFD" w:rsidRDefault="00584FEB" w:rsidP="00E4673A">
      <w:pPr>
        <w:pStyle w:val="FootnoteText"/>
      </w:pPr>
      <w:r w:rsidRPr="00697AFD">
        <w:rPr>
          <w:rStyle w:val="FootnoteReference"/>
        </w:rPr>
        <w:footnoteRef/>
      </w:r>
      <w:r w:rsidRPr="00697AFD">
        <w:t xml:space="preserve"> </w:t>
      </w:r>
      <w:r w:rsidRPr="00697AFD">
        <w:rPr>
          <w:i/>
        </w:rPr>
        <w:t>See</w:t>
      </w:r>
      <w:r w:rsidRPr="00697AFD">
        <w:t>,</w:t>
      </w:r>
      <w:r w:rsidRPr="00697AFD">
        <w:rPr>
          <w:i/>
        </w:rPr>
        <w:t xml:space="preserve"> e.g.</w:t>
      </w:r>
      <w:r w:rsidRPr="00697AFD">
        <w:t xml:space="preserve">, </w:t>
      </w:r>
      <w:r w:rsidRPr="00697AFD">
        <w:rPr>
          <w:i/>
        </w:rPr>
        <w:t>Fourteenth ORBIT Act Report</w:t>
      </w:r>
      <w:r w:rsidRPr="00697AFD">
        <w:t>, 28 FCC Rcd at 8600-01.</w:t>
      </w:r>
    </w:p>
  </w:footnote>
  <w:footnote w:id="12">
    <w:p w14:paraId="2CD0EE50" w14:textId="77777777" w:rsidR="00584FEB" w:rsidRPr="00697AFD" w:rsidRDefault="00584FEB" w:rsidP="00C2183F">
      <w:pPr>
        <w:pStyle w:val="FootnoteText"/>
      </w:pPr>
      <w:r w:rsidRPr="00697AFD">
        <w:rPr>
          <w:rStyle w:val="FootnoteReference"/>
        </w:rPr>
        <w:footnoteRef/>
      </w:r>
      <w:r w:rsidRPr="00697AFD">
        <w:t xml:space="preserve"> </w:t>
      </w:r>
      <w:r w:rsidRPr="00697AFD">
        <w:rPr>
          <w:i/>
        </w:rPr>
        <w:t xml:space="preserve">Id. </w:t>
      </w:r>
      <w:r w:rsidRPr="00697AFD">
        <w:t>at 8596.</w:t>
      </w:r>
    </w:p>
  </w:footnote>
  <w:footnote w:id="13">
    <w:p w14:paraId="66533BBE" w14:textId="77777777" w:rsidR="00584FEB" w:rsidRPr="00697AFD" w:rsidRDefault="00584FEB" w:rsidP="00C2183F">
      <w:pPr>
        <w:pStyle w:val="FootnoteText"/>
      </w:pPr>
      <w:r w:rsidRPr="00697AFD">
        <w:rPr>
          <w:rStyle w:val="FootnoteReference"/>
        </w:rPr>
        <w:footnoteRef/>
      </w:r>
      <w:r w:rsidRPr="00697AFD">
        <w:t xml:space="preserve"> </w:t>
      </w:r>
      <w:r w:rsidRPr="00697AFD">
        <w:rPr>
          <w:i/>
        </w:rPr>
        <w:t xml:space="preserve">Id. </w:t>
      </w:r>
      <w:r w:rsidRPr="00697AFD">
        <w:t xml:space="preserve">at 8591.  As a result of privatization, and pursuant to international agreement, an intergovernmental organization known as the International Telecommunications Satellite Organization (ITSO) was created.  ITSO, through a “Public Services Agreement” with Intelsat, monitors the performance of the company’s public service obligations to maintain global connectivity and global coverage, provide non-discriminatory access to the system, and honor the lifeline connectivity obligation to certain customers, specifically, those customers in poor or underserved countries that have a high degree of dependence on Intelsat.  </w:t>
      </w:r>
      <w:r w:rsidRPr="00697AFD">
        <w:rPr>
          <w:i/>
          <w:iCs/>
        </w:rPr>
        <w:t>See INTELSAT Assembly of Parties Record of Decisions of the Twenty-Fifth (Extraordinary) Meeting,</w:t>
      </w:r>
      <w:r w:rsidRPr="00697AFD">
        <w:t xml:space="preserve"> AP-25-3E FINAL W/11/00, at paras. 6-8 (Nov. 27, 2000).  Under these commitments, the privatized Intelsat made capacity available to lifeline users at fixed pre-privatization costs for approximately 12 years.  ITSO has no operational or commercial role.</w:t>
      </w:r>
    </w:p>
  </w:footnote>
  <w:footnote w:id="14">
    <w:p w14:paraId="2227C935" w14:textId="7FC98A65" w:rsidR="00F4246A" w:rsidRPr="00697AFD" w:rsidRDefault="00F4246A" w:rsidP="00F4246A">
      <w:pPr>
        <w:pStyle w:val="FootnoteText"/>
      </w:pPr>
      <w:r w:rsidRPr="00697AFD">
        <w:rPr>
          <w:rStyle w:val="FootnoteReference"/>
        </w:rPr>
        <w:footnoteRef/>
      </w:r>
      <w:r w:rsidRPr="00697AFD">
        <w:t xml:space="preserve"> </w:t>
      </w:r>
      <w:r w:rsidRPr="00697AFD">
        <w:rPr>
          <w:i/>
        </w:rPr>
        <w:t>FCC Report to Congress as Required by the ORBIT Act</w:t>
      </w:r>
      <w:r w:rsidRPr="00697AFD">
        <w:t>, Re</w:t>
      </w:r>
      <w:r w:rsidR="00CD6ECD">
        <w:t>port, 15 FCC Rcd 11288 (2000).</w:t>
      </w:r>
    </w:p>
  </w:footnote>
  <w:footnote w:id="15">
    <w:p w14:paraId="6B5EC048" w14:textId="3356365B" w:rsidR="00F4246A" w:rsidRDefault="00F4246A">
      <w:pPr>
        <w:pStyle w:val="FootnoteText"/>
      </w:pPr>
      <w:r>
        <w:rPr>
          <w:rStyle w:val="FootnoteReference"/>
        </w:rPr>
        <w:footnoteRef/>
      </w:r>
      <w:r>
        <w:t xml:space="preserve"> </w:t>
      </w:r>
      <w:r w:rsidRPr="00697AFD">
        <w:t>The</w:t>
      </w:r>
      <w:r w:rsidR="00767BC6">
        <w:t xml:space="preserve"> Commission released its </w:t>
      </w:r>
      <w:r w:rsidR="00767BC6">
        <w:rPr>
          <w:i/>
        </w:rPr>
        <w:t xml:space="preserve">Seventeenth ORBIT Act Report </w:t>
      </w:r>
      <w:r w:rsidR="00767BC6">
        <w:t>in 2016, and in 2015 released its</w:t>
      </w:r>
      <w:r w:rsidRPr="00697AFD">
        <w:t xml:space="preserve"> </w:t>
      </w:r>
      <w:r w:rsidRPr="00697AFD">
        <w:rPr>
          <w:i/>
        </w:rPr>
        <w:t>Sixteenth ORBIT Act Report</w:t>
      </w:r>
      <w:r w:rsidR="00767BC6">
        <w:t>, which also</w:t>
      </w:r>
      <w:r w:rsidRPr="00697AFD">
        <w:t xml:space="preserve"> lists all prior reports.  </w:t>
      </w:r>
      <w:r w:rsidR="00032719">
        <w:rPr>
          <w:i/>
        </w:rPr>
        <w:t>Seventeenth ORBIT Act Report</w:t>
      </w:r>
      <w:r w:rsidR="00032719">
        <w:t xml:space="preserve">, </w:t>
      </w:r>
      <w:r w:rsidR="00032719" w:rsidRPr="00697AFD">
        <w:t>31 FCC Rcd 7417</w:t>
      </w:r>
      <w:r w:rsidR="00032719">
        <w:t>;</w:t>
      </w:r>
      <w:r w:rsidR="00032719" w:rsidRPr="00697AFD">
        <w:rPr>
          <w:i/>
        </w:rPr>
        <w:t xml:space="preserve"> </w:t>
      </w:r>
      <w:r w:rsidRPr="00697AFD">
        <w:rPr>
          <w:i/>
        </w:rPr>
        <w:t>F</w:t>
      </w:r>
      <w:r w:rsidRPr="00697AFD">
        <w:rPr>
          <w:i/>
          <w:iCs/>
        </w:rPr>
        <w:t>CC Report to Congress as Required by the ORBIT Act</w:t>
      </w:r>
      <w:r w:rsidRPr="00697AFD">
        <w:t xml:space="preserve">, </w:t>
      </w:r>
      <w:r>
        <w:t xml:space="preserve">Sixteenth </w:t>
      </w:r>
      <w:r w:rsidRPr="00697AFD">
        <w:t>Report, 30 FCC Rcd 6644, 6646-47, n.11 (2015) (</w:t>
      </w:r>
      <w:r w:rsidRPr="00697AFD">
        <w:rPr>
          <w:i/>
        </w:rPr>
        <w:t>Sixteenth ORBIT Act Report</w:t>
      </w:r>
      <w:r w:rsidRPr="00697AFD">
        <w:t>)</w:t>
      </w:r>
      <w:r w:rsidR="00767BC6">
        <w:t>.</w:t>
      </w:r>
    </w:p>
  </w:footnote>
  <w:footnote w:id="16">
    <w:p w14:paraId="78C660DC" w14:textId="393C93BC" w:rsidR="00584FEB" w:rsidRPr="00241172" w:rsidRDefault="00584FEB">
      <w:pPr>
        <w:pStyle w:val="FootnoteText"/>
      </w:pPr>
      <w:r w:rsidRPr="00697AFD">
        <w:rPr>
          <w:rStyle w:val="FootnoteReference"/>
        </w:rPr>
        <w:footnoteRef/>
      </w:r>
      <w:r w:rsidR="00060A83" w:rsidRPr="00697AFD">
        <w:t xml:space="preserve"> </w:t>
      </w:r>
      <w:r w:rsidR="000C384B">
        <w:rPr>
          <w:i/>
        </w:rPr>
        <w:t>See</w:t>
      </w:r>
      <w:r w:rsidR="000C384B" w:rsidRPr="00D31F4B">
        <w:t>,</w:t>
      </w:r>
      <w:r w:rsidR="000C384B">
        <w:rPr>
          <w:i/>
        </w:rPr>
        <w:t xml:space="preserve"> e.g.</w:t>
      </w:r>
      <w:r w:rsidR="00E26D7A" w:rsidRPr="0071110F">
        <w:t>,</w:t>
      </w:r>
      <w:r w:rsidR="000C384B">
        <w:rPr>
          <w:i/>
        </w:rPr>
        <w:t xml:space="preserve"> </w:t>
      </w:r>
      <w:r w:rsidR="001C6ACF" w:rsidRPr="00697AFD">
        <w:rPr>
          <w:i/>
        </w:rPr>
        <w:t>Sixteenth ORBIT Act Report</w:t>
      </w:r>
      <w:r w:rsidR="001C6ACF">
        <w:rPr>
          <w:i/>
        </w:rPr>
        <w:t xml:space="preserve"> </w:t>
      </w:r>
      <w:r w:rsidR="000C384B">
        <w:t xml:space="preserve">at 6646-47; </w:t>
      </w:r>
      <w:r w:rsidR="000C384B">
        <w:rPr>
          <w:i/>
        </w:rPr>
        <w:t>Seventeenth ORBIT Act Report</w:t>
      </w:r>
      <w:r w:rsidR="000C384B">
        <w:t xml:space="preserve"> at 74</w:t>
      </w:r>
      <w:r w:rsidR="000C384B" w:rsidRPr="00241172">
        <w:t>18</w:t>
      </w:r>
      <w:r w:rsidR="00241172" w:rsidRPr="00241172">
        <w:t>, para. 2.</w:t>
      </w:r>
    </w:p>
  </w:footnote>
  <w:footnote w:id="17">
    <w:p w14:paraId="6D7ED127" w14:textId="77777777" w:rsidR="00584FEB" w:rsidRPr="00697AFD" w:rsidRDefault="00584FEB">
      <w:pPr>
        <w:pStyle w:val="FootnoteText"/>
      </w:pPr>
      <w:r w:rsidRPr="00697AFD">
        <w:rPr>
          <w:rStyle w:val="FootnoteReference"/>
        </w:rPr>
        <w:footnoteRef/>
      </w:r>
      <w:r w:rsidRPr="00697AFD">
        <w:t xml:space="preserve"> </w:t>
      </w:r>
      <w:r w:rsidRPr="00697AFD">
        <w:rPr>
          <w:i/>
        </w:rPr>
        <w:t>International Bureau Seeks Comment on the Next Orbit Act Report</w:t>
      </w:r>
      <w:r w:rsidRPr="00697AFD">
        <w:t>, IB Do</w:t>
      </w:r>
      <w:r w:rsidR="00AD2BC8" w:rsidRPr="00697AFD">
        <w:t>cket No. 17-</w:t>
      </w:r>
      <w:r w:rsidR="00887DBB" w:rsidRPr="00697AFD">
        <w:t>50</w:t>
      </w:r>
      <w:r w:rsidRPr="00697AFD">
        <w:t>, Publ</w:t>
      </w:r>
      <w:r w:rsidR="00AD2BC8" w:rsidRPr="00697AFD">
        <w:t>ic Notice,</w:t>
      </w:r>
      <w:r w:rsidR="00060A83" w:rsidRPr="00697AFD">
        <w:rPr>
          <w:i/>
          <w:iCs/>
        </w:rPr>
        <w:t xml:space="preserve"> </w:t>
      </w:r>
      <w:r w:rsidR="00060A83" w:rsidRPr="00697AFD">
        <w:t>32 FCC Rcd 1402</w:t>
      </w:r>
      <w:r w:rsidR="00AD2BC8" w:rsidRPr="00697AFD">
        <w:t xml:space="preserve"> (</w:t>
      </w:r>
      <w:r w:rsidR="000C384B">
        <w:t xml:space="preserve">IB </w:t>
      </w:r>
      <w:r w:rsidR="00AD2BC8" w:rsidRPr="00697AFD">
        <w:t>2017</w:t>
      </w:r>
      <w:r w:rsidRPr="00697AFD">
        <w:t>).</w:t>
      </w:r>
    </w:p>
  </w:footnote>
  <w:footnote w:id="18">
    <w:p w14:paraId="352AC17A" w14:textId="77777777" w:rsidR="00584FEB" w:rsidRPr="00697AFD" w:rsidRDefault="00584FEB" w:rsidP="00D44BC9">
      <w:pPr>
        <w:pStyle w:val="FootnoteText"/>
        <w:widowControl w:val="0"/>
      </w:pPr>
      <w:r w:rsidRPr="00697AFD">
        <w:rPr>
          <w:rStyle w:val="FootnoteReference"/>
        </w:rPr>
        <w:footnoteRef/>
      </w:r>
      <w:r w:rsidRPr="00697AFD">
        <w:t xml:space="preserve"> 47 U.S.C. §§ 761, 763, 763a, 763c, and 765g.</w:t>
      </w:r>
    </w:p>
  </w:footnote>
  <w:footnote w:id="19">
    <w:p w14:paraId="444D25FC" w14:textId="77777777" w:rsidR="00584FEB" w:rsidRPr="00697AFD" w:rsidRDefault="00584FEB" w:rsidP="00D44BC9">
      <w:pPr>
        <w:pStyle w:val="FootnoteText"/>
        <w:widowControl w:val="0"/>
      </w:pPr>
      <w:r w:rsidRPr="00697AFD">
        <w:rPr>
          <w:rStyle w:val="FootnoteReference"/>
        </w:rPr>
        <w:footnoteRef/>
      </w:r>
      <w:r w:rsidRPr="00697AFD">
        <w:t xml:space="preserve"> </w:t>
      </w:r>
      <w:r w:rsidRPr="00697AFD">
        <w:rPr>
          <w:rStyle w:val="bestsection"/>
        </w:rPr>
        <w:t xml:space="preserve">As the </w:t>
      </w:r>
      <w:bookmarkStart w:id="1" w:name="SR;15233"/>
      <w:bookmarkStart w:id="2" w:name="SearchTerm"/>
      <w:bookmarkEnd w:id="1"/>
      <w:r w:rsidRPr="00697AFD">
        <w:rPr>
          <w:rStyle w:val="bestsection"/>
        </w:rPr>
        <w:t>N</w:t>
      </w:r>
      <w:r w:rsidRPr="00697AFD">
        <w:rPr>
          <w:rStyle w:val="searchterm"/>
        </w:rPr>
        <w:t>otifying</w:t>
      </w:r>
      <w:r w:rsidRPr="00697AFD">
        <w:rPr>
          <w:rStyle w:val="bestsection"/>
        </w:rPr>
        <w:t xml:space="preserve"> A</w:t>
      </w:r>
      <w:r w:rsidRPr="00697AFD">
        <w:rPr>
          <w:rStyle w:val="searchterm"/>
        </w:rPr>
        <w:t>dministration</w:t>
      </w:r>
      <w:bookmarkStart w:id="3" w:name="SR;15234"/>
      <w:bookmarkEnd w:id="3"/>
      <w:r w:rsidRPr="00697AFD">
        <w:rPr>
          <w:rStyle w:val="bestsection"/>
        </w:rPr>
        <w:t xml:space="preserve"> on behalf of Intelsat, the Commission is responsible for discharging the obligation undertaken in the Constitution of the ITU, in the Convention of the ITU, and in the Administrative regulations.  Article 1, Section 1.2, ITU Radio Regulations.</w:t>
      </w:r>
      <w:bookmarkStart w:id="4" w:name="SR;15254"/>
      <w:bookmarkStart w:id="5" w:name="SR;15279"/>
      <w:bookmarkStart w:id="6" w:name="SR;15298"/>
      <w:bookmarkStart w:id="7" w:name="SR;15312"/>
      <w:bookmarkEnd w:id="2"/>
      <w:bookmarkEnd w:id="4"/>
      <w:bookmarkEnd w:id="5"/>
      <w:bookmarkEnd w:id="6"/>
      <w:bookmarkEnd w:id="7"/>
    </w:p>
  </w:footnote>
  <w:footnote w:id="20">
    <w:p w14:paraId="5EB70505" w14:textId="561E409C" w:rsidR="00584FEB" w:rsidRPr="00697AFD" w:rsidRDefault="00584FEB" w:rsidP="00D44BC9">
      <w:pPr>
        <w:pStyle w:val="FootnoteText"/>
        <w:widowControl w:val="0"/>
        <w:rPr>
          <w:strike/>
          <w:color w:val="C00000"/>
        </w:rPr>
      </w:pPr>
      <w:r w:rsidRPr="00697AFD">
        <w:rPr>
          <w:rStyle w:val="FootnoteReference"/>
        </w:rPr>
        <w:footnoteRef/>
      </w:r>
      <w:r w:rsidRPr="00697AFD">
        <w:t xml:space="preserve"> </w:t>
      </w:r>
      <w:r w:rsidRPr="00697AFD">
        <w:rPr>
          <w:i/>
        </w:rPr>
        <w:t>See</w:t>
      </w:r>
      <w:r w:rsidR="000D20A9" w:rsidRPr="00697AFD">
        <w:t>,</w:t>
      </w:r>
      <w:r w:rsidRPr="00697AFD">
        <w:rPr>
          <w:i/>
        </w:rPr>
        <w:t xml:space="preserve"> e.g.,</w:t>
      </w:r>
      <w:r w:rsidR="009B5E62" w:rsidRPr="00697AFD">
        <w:t xml:space="preserve"> All Mobile Video Inc., Application for Modification, IBFS File No. </w:t>
      </w:r>
      <w:r w:rsidR="009B5E62" w:rsidRPr="00697AFD">
        <w:rPr>
          <w:bCs/>
        </w:rPr>
        <w:t>SES-MFS-20151217-00946 (grant of authority Jun</w:t>
      </w:r>
      <w:r w:rsidR="00BD4542">
        <w:rPr>
          <w:bCs/>
        </w:rPr>
        <w:t>e</w:t>
      </w:r>
      <w:r w:rsidR="009B5E62" w:rsidRPr="00697AFD">
        <w:rPr>
          <w:bCs/>
        </w:rPr>
        <w:t xml:space="preserve"> 15, 2016); </w:t>
      </w:r>
      <w:r w:rsidR="009B5E62" w:rsidRPr="00697AFD">
        <w:t xml:space="preserve">Intelsat License LLC, Application for Modification, IBFS File No. </w:t>
      </w:r>
      <w:r w:rsidR="009B5E62" w:rsidRPr="00697AFD">
        <w:rPr>
          <w:bCs/>
        </w:rPr>
        <w:t>SES-MFS-20160614-00499 (grant of authority Jun</w:t>
      </w:r>
      <w:r w:rsidR="00BD4542">
        <w:rPr>
          <w:bCs/>
        </w:rPr>
        <w:t>e</w:t>
      </w:r>
      <w:r w:rsidR="009B5E62" w:rsidRPr="00697AFD">
        <w:rPr>
          <w:bCs/>
        </w:rPr>
        <w:t xml:space="preserve"> 17, 2016);</w:t>
      </w:r>
      <w:r w:rsidR="009B5E62" w:rsidRPr="00697AFD">
        <w:rPr>
          <w:b/>
          <w:bCs/>
        </w:rPr>
        <w:t xml:space="preserve"> </w:t>
      </w:r>
      <w:r w:rsidR="009B5E62" w:rsidRPr="00697AFD">
        <w:t xml:space="preserve">Panasonic Avionics Corporation, Application for Modification, IBFS File No. </w:t>
      </w:r>
      <w:r w:rsidR="009B5E62" w:rsidRPr="00697AFD">
        <w:rPr>
          <w:bCs/>
        </w:rPr>
        <w:t>SES-MFS-20150609-00349 (grant of authority Jun</w:t>
      </w:r>
      <w:r w:rsidR="00BD4542">
        <w:rPr>
          <w:bCs/>
        </w:rPr>
        <w:t>e</w:t>
      </w:r>
      <w:r w:rsidR="009B5E62" w:rsidRPr="00697AFD">
        <w:rPr>
          <w:bCs/>
        </w:rPr>
        <w:t xml:space="preserve"> 30, 2016); Harris CapRock Communications, Inc., Application for Modification, IBFS File No. SES-MFS-20160214-00134 (grant of authority Jul</w:t>
      </w:r>
      <w:r w:rsidR="00BD4542">
        <w:rPr>
          <w:bCs/>
        </w:rPr>
        <w:t>y</w:t>
      </w:r>
      <w:r w:rsidR="009B5E62" w:rsidRPr="00697AFD">
        <w:rPr>
          <w:bCs/>
        </w:rPr>
        <w:t xml:space="preserve"> 7, 2016); </w:t>
      </w:r>
      <w:r w:rsidR="009B5E62" w:rsidRPr="00697AFD">
        <w:t xml:space="preserve">Intelsat License LLC, Application for Modification, IBFS File No. </w:t>
      </w:r>
      <w:r w:rsidR="009B5E62" w:rsidRPr="00697AFD">
        <w:rPr>
          <w:bCs/>
        </w:rPr>
        <w:t>SES-MFS-20160408-00325 (grant of authority Jul</w:t>
      </w:r>
      <w:r w:rsidR="00BD4542">
        <w:rPr>
          <w:bCs/>
        </w:rPr>
        <w:t>y</w:t>
      </w:r>
      <w:r w:rsidR="009B5E62" w:rsidRPr="00697AFD">
        <w:rPr>
          <w:bCs/>
        </w:rPr>
        <w:t xml:space="preserve"> 13, 2016); Intelsat License LLC, Application for Modification, IBFS File No. SES-MFS-20160408-00326 (grant of authority Jul</w:t>
      </w:r>
      <w:r w:rsidR="00BD4542">
        <w:rPr>
          <w:bCs/>
        </w:rPr>
        <w:t>y</w:t>
      </w:r>
      <w:r w:rsidR="009B5E62" w:rsidRPr="00697AFD">
        <w:rPr>
          <w:bCs/>
        </w:rPr>
        <w:t xml:space="preserve"> 13, 2016); Row 44 Inc., Application for Modification, IBFS File No. SES-MFS-20150928-00635 (grant of authority Aug. 19, 2016); </w:t>
      </w:r>
      <w:r w:rsidR="009B5E62" w:rsidRPr="00697AFD">
        <w:t xml:space="preserve">Panasonic Avionics Corporation, Application for Modification, IBFS File No. </w:t>
      </w:r>
      <w:r w:rsidR="009B5E62" w:rsidRPr="00697AFD">
        <w:rPr>
          <w:bCs/>
        </w:rPr>
        <w:t xml:space="preserve">SES-MFS-20160819-00730 (grant of authority Oct. 19, 2016); </w:t>
      </w:r>
      <w:r w:rsidR="009B5E62" w:rsidRPr="00697AFD">
        <w:t xml:space="preserve">Intelsat License LLC, Application for Modification, IBFS File No. </w:t>
      </w:r>
      <w:r w:rsidR="009B5E62" w:rsidRPr="00697AFD">
        <w:rPr>
          <w:bCs/>
        </w:rPr>
        <w:t xml:space="preserve">SES-MOD-20160712-00636 (grant of authority Oct. 25, 2016); </w:t>
      </w:r>
      <w:r w:rsidR="009B5E62" w:rsidRPr="00697AFD">
        <w:t xml:space="preserve">Kratos RT Logic, Application for Authority, IBFS File No. </w:t>
      </w:r>
      <w:r w:rsidR="009B5E62" w:rsidRPr="00697AFD">
        <w:rPr>
          <w:bCs/>
        </w:rPr>
        <w:t xml:space="preserve">SES-LIC-20160921-00798 (grant of authority Dec. 5, 2016); </w:t>
      </w:r>
      <w:r w:rsidR="009B5E62" w:rsidRPr="00697AFD">
        <w:t xml:space="preserve">AC BidCo LLC, Application for Modification, IBFS File No. </w:t>
      </w:r>
      <w:r w:rsidR="009B5E62" w:rsidRPr="00697AFD">
        <w:rPr>
          <w:bCs/>
        </w:rPr>
        <w:t xml:space="preserve">SES-MFS-20160824-00738 (grant of authority Dec. 13, 2016); </w:t>
      </w:r>
      <w:r w:rsidR="009B5E62" w:rsidRPr="00697AFD">
        <w:t xml:space="preserve">Astronics AeroSat Corporation, Application for Modification, IBFS File No. </w:t>
      </w:r>
      <w:r w:rsidR="009B5E62" w:rsidRPr="00697AFD">
        <w:rPr>
          <w:bCs/>
        </w:rPr>
        <w:t xml:space="preserve">SES-MFS-20161003-00823 (grant of authority Feb. 28, 2017); </w:t>
      </w:r>
      <w:r w:rsidR="009B5E62" w:rsidRPr="00697AFD">
        <w:t xml:space="preserve">Intelsat License LLC, Application for Modification, IBFS File No. </w:t>
      </w:r>
      <w:r w:rsidR="009B5E62" w:rsidRPr="00697AFD">
        <w:rPr>
          <w:bCs/>
        </w:rPr>
        <w:t xml:space="preserve">SES-MOD-20160620-00555 (grant of authority Mar. 31, 2017); </w:t>
      </w:r>
      <w:r w:rsidR="009B5E62" w:rsidRPr="00697AFD">
        <w:t xml:space="preserve">Denali 20020, LLC, Application for Modification, IBFS File No. </w:t>
      </w:r>
      <w:r w:rsidR="009B5E62" w:rsidRPr="00697AFD">
        <w:rPr>
          <w:bCs/>
        </w:rPr>
        <w:t xml:space="preserve">SES-MOD-20161215-00947 (grant of authority Mar. 13, 2017); </w:t>
      </w:r>
      <w:r w:rsidR="009B5E62" w:rsidRPr="00697AFD">
        <w:t xml:space="preserve">MCI Communications Services, Inc., Application for Renewal, IBFS File No. </w:t>
      </w:r>
      <w:r w:rsidR="009B5E62" w:rsidRPr="00697AFD">
        <w:rPr>
          <w:bCs/>
        </w:rPr>
        <w:t>SES-RWL-20170403-00347 (grant of authority Apr. 6, 2017).</w:t>
      </w:r>
      <w:r w:rsidRPr="00697AFD">
        <w:rPr>
          <w:i/>
        </w:rPr>
        <w:t xml:space="preserve"> </w:t>
      </w:r>
    </w:p>
  </w:footnote>
  <w:footnote w:id="21">
    <w:p w14:paraId="2E486DCE" w14:textId="77777777" w:rsidR="00584FEB" w:rsidRPr="00697AFD" w:rsidRDefault="00584FEB" w:rsidP="00614223">
      <w:pPr>
        <w:pStyle w:val="FootnoteText"/>
      </w:pPr>
      <w:r w:rsidRPr="00697AFD">
        <w:rPr>
          <w:rStyle w:val="FootnoteReference"/>
        </w:rPr>
        <w:footnoteRef/>
      </w:r>
      <w:r w:rsidRPr="00697AFD">
        <w:rPr>
          <w:b/>
          <w:bCs/>
        </w:rPr>
        <w:t xml:space="preserve"> </w:t>
      </w:r>
      <w:r w:rsidRPr="00697AFD">
        <w:rPr>
          <w:i/>
          <w:iCs/>
        </w:rPr>
        <w:t xml:space="preserve">See, e.g., </w:t>
      </w:r>
      <w:r w:rsidR="009B5E62" w:rsidRPr="00697AFD">
        <w:t xml:space="preserve">Comsat, Inc., Application for Modification, IBFS File No. </w:t>
      </w:r>
      <w:r w:rsidR="009B5E62" w:rsidRPr="00697AFD">
        <w:rPr>
          <w:bCs/>
        </w:rPr>
        <w:t>SES-MFS-20160222-00152 (grant of authority Jun</w:t>
      </w:r>
      <w:r w:rsidR="00BD4542">
        <w:rPr>
          <w:bCs/>
        </w:rPr>
        <w:t>e</w:t>
      </w:r>
      <w:r w:rsidR="009B5E62" w:rsidRPr="00697AFD">
        <w:rPr>
          <w:bCs/>
        </w:rPr>
        <w:t xml:space="preserve"> 27, 2016); ISAT US, Inc., Application for Modification, IBFS File No. SES-MFS-20160527-00458</w:t>
      </w:r>
      <w:r w:rsidR="009B5E62" w:rsidRPr="00697AFD">
        <w:rPr>
          <w:bCs/>
          <w:color w:val="C00000"/>
        </w:rPr>
        <w:t xml:space="preserve"> </w:t>
      </w:r>
      <w:r w:rsidR="009B5E62" w:rsidRPr="00697AFD">
        <w:rPr>
          <w:bCs/>
        </w:rPr>
        <w:t>(grant of authority Jul</w:t>
      </w:r>
      <w:r w:rsidR="00BD4542">
        <w:rPr>
          <w:bCs/>
        </w:rPr>
        <w:t>y</w:t>
      </w:r>
      <w:r w:rsidR="009B5E62" w:rsidRPr="00697AFD">
        <w:rPr>
          <w:bCs/>
        </w:rPr>
        <w:t xml:space="preserve"> 18, 2016); </w:t>
      </w:r>
      <w:r w:rsidR="009B5E62" w:rsidRPr="00697AFD">
        <w:t xml:space="preserve">Deere &amp; Company, Application for Modification, IBFS File No. </w:t>
      </w:r>
      <w:r w:rsidR="009B5E62" w:rsidRPr="00697AFD">
        <w:rPr>
          <w:bCs/>
        </w:rPr>
        <w:t>SES-MOD-20160602-00481 (grant of authority Jul</w:t>
      </w:r>
      <w:r w:rsidR="00BD4542">
        <w:rPr>
          <w:bCs/>
        </w:rPr>
        <w:t>y</w:t>
      </w:r>
      <w:r w:rsidR="009B5E62" w:rsidRPr="00697AFD">
        <w:rPr>
          <w:bCs/>
        </w:rPr>
        <w:t xml:space="preserve"> 25, 2016); </w:t>
      </w:r>
      <w:r w:rsidR="009B5E62" w:rsidRPr="00697AFD">
        <w:t xml:space="preserve">ISAT US Inc., Application for Modification, IBFS File No. </w:t>
      </w:r>
      <w:r w:rsidR="009B5E62" w:rsidRPr="00697AFD">
        <w:rPr>
          <w:bCs/>
        </w:rPr>
        <w:t>SES-MOD-20160720-00669 (grant of authority Sept. 7, 2016); Comsat</w:t>
      </w:r>
      <w:r w:rsidR="00BD4542">
        <w:rPr>
          <w:bCs/>
        </w:rPr>
        <w:t>,</w:t>
      </w:r>
      <w:r w:rsidR="009B5E62" w:rsidRPr="00697AFD">
        <w:rPr>
          <w:bCs/>
        </w:rPr>
        <w:t xml:space="preserve"> Inc., Application for Modification, IBFS File No. SES-MOD-20161209-00941 (grant of authority Feb. 22, 2017).</w:t>
      </w:r>
    </w:p>
  </w:footnote>
  <w:footnote w:id="22">
    <w:p w14:paraId="2BA93B46" w14:textId="25BD42B0" w:rsidR="00584FEB" w:rsidRPr="00697AFD" w:rsidRDefault="00584FEB" w:rsidP="00D44BC9">
      <w:pPr>
        <w:pStyle w:val="FootnoteText"/>
        <w:widowControl w:val="0"/>
      </w:pPr>
      <w:r w:rsidRPr="00697AFD">
        <w:rPr>
          <w:rStyle w:val="FootnoteReference"/>
        </w:rPr>
        <w:footnoteRef/>
      </w:r>
      <w:r w:rsidRPr="00697AFD">
        <w:t xml:space="preserve"> </w:t>
      </w:r>
      <w:r w:rsidRPr="00697AFD">
        <w:rPr>
          <w:i/>
          <w:iCs/>
        </w:rPr>
        <w:t>See, e.g.,</w:t>
      </w:r>
      <w:r w:rsidR="00060A83" w:rsidRPr="00697AFD">
        <w:rPr>
          <w:color w:val="C00000"/>
        </w:rPr>
        <w:t xml:space="preserve"> </w:t>
      </w:r>
      <w:r w:rsidR="009B5E62" w:rsidRPr="00697AFD">
        <w:t xml:space="preserve">All Mobile Video Inc., Application for Modification, IBFS File No. </w:t>
      </w:r>
      <w:r w:rsidR="009B5E62" w:rsidRPr="00697AFD">
        <w:rPr>
          <w:bCs/>
        </w:rPr>
        <w:t>SES-MFS-20151217-00946 (grant of authority Jun</w:t>
      </w:r>
      <w:r w:rsidR="00BD4542">
        <w:rPr>
          <w:bCs/>
        </w:rPr>
        <w:t>e</w:t>
      </w:r>
      <w:r w:rsidR="009B5E62" w:rsidRPr="00697AFD">
        <w:rPr>
          <w:bCs/>
        </w:rPr>
        <w:t xml:space="preserve"> 15, 2016</w:t>
      </w:r>
      <w:r w:rsidR="00392A22">
        <w:rPr>
          <w:bCs/>
        </w:rPr>
        <w:t>)</w:t>
      </w:r>
      <w:r w:rsidR="009B5E62" w:rsidRPr="00697AFD">
        <w:rPr>
          <w:bCs/>
        </w:rPr>
        <w:t xml:space="preserve">; </w:t>
      </w:r>
      <w:r w:rsidR="009B5E62" w:rsidRPr="00697AFD">
        <w:t xml:space="preserve">SES Americom, Inc., Application for Modification, IBFS File No. </w:t>
      </w:r>
      <w:r w:rsidR="009B5E62" w:rsidRPr="00697AFD">
        <w:rPr>
          <w:bCs/>
        </w:rPr>
        <w:t xml:space="preserve">SES-MFS-20160624-00607 (grant of authority Aug. 23, 2016); </w:t>
      </w:r>
      <w:r w:rsidR="009B5E62" w:rsidRPr="00697AFD">
        <w:t xml:space="preserve">Marlink, Inc., Application for Modification, IBFS File No. </w:t>
      </w:r>
      <w:r w:rsidR="009B5E62" w:rsidRPr="00697AFD">
        <w:rPr>
          <w:bCs/>
        </w:rPr>
        <w:t xml:space="preserve">SES-MOD-20160630-00625 (grant of authority Sept. 23, 2016); </w:t>
      </w:r>
      <w:r w:rsidR="009B5E62" w:rsidRPr="00697AFD">
        <w:t xml:space="preserve">UltiSat, Inc., Application for Authority, IBFS File No. </w:t>
      </w:r>
      <w:r w:rsidR="009B5E62" w:rsidRPr="00697AFD">
        <w:rPr>
          <w:bCs/>
        </w:rPr>
        <w:t xml:space="preserve">SES-LIC-20160712-00644 (grant of authority Oct. 5, 2016); </w:t>
      </w:r>
      <w:r w:rsidR="009B5E62" w:rsidRPr="00697AFD">
        <w:t xml:space="preserve">Panasonic Avionics Corporation, Application for Modification, IBFS File No. </w:t>
      </w:r>
      <w:r w:rsidR="009B5E62" w:rsidRPr="00697AFD">
        <w:rPr>
          <w:bCs/>
        </w:rPr>
        <w:t xml:space="preserve">SES-MFS-20160819-00730 (grant of authority Oct. 19, 2016); </w:t>
      </w:r>
      <w:r w:rsidR="009B5E62" w:rsidRPr="00697AFD">
        <w:t xml:space="preserve">Astronics AeroSat Corporation, Application for Modification, IBFS File No. </w:t>
      </w:r>
      <w:r w:rsidR="009B5E62" w:rsidRPr="00697AFD">
        <w:rPr>
          <w:bCs/>
        </w:rPr>
        <w:t xml:space="preserve">SES-MFS-20161003-00823 (grant of authority Feb. 28, 2017); SES Americom Inc., Application for Renewal, IBFS File No. SES-RWL-20170224-00202 (grant of authority Feb. 24, 2017); </w:t>
      </w:r>
      <w:r w:rsidR="009B5E62" w:rsidRPr="00697AFD">
        <w:t xml:space="preserve">Denali 20020, LLC, Application for Modification, IBFS File No. </w:t>
      </w:r>
      <w:r w:rsidR="009B5E62" w:rsidRPr="00697AFD">
        <w:rPr>
          <w:bCs/>
        </w:rPr>
        <w:t>SES-MOD-20161215-00947 (grant of authority Mar. 13, 2017</w:t>
      </w:r>
      <w:r w:rsidR="009B5E62" w:rsidRPr="00697AFD">
        <w:t>).</w:t>
      </w:r>
    </w:p>
  </w:footnote>
  <w:footnote w:id="23">
    <w:p w14:paraId="4B629073" w14:textId="2019628D" w:rsidR="00992B9F" w:rsidRDefault="00992B9F">
      <w:pPr>
        <w:pStyle w:val="FootnoteText"/>
      </w:pPr>
      <w:r>
        <w:rPr>
          <w:rStyle w:val="FootnoteReference"/>
        </w:rPr>
        <w:footnoteRef/>
      </w:r>
      <w:r>
        <w:t xml:space="preserve"> </w:t>
      </w:r>
      <w:r w:rsidRPr="00697AFD">
        <w:rPr>
          <w:i/>
        </w:rPr>
        <w:t xml:space="preserve">See Seventeenth </w:t>
      </w:r>
      <w:r w:rsidR="00D7547A">
        <w:rPr>
          <w:i/>
        </w:rPr>
        <w:t>ORBIT</w:t>
      </w:r>
      <w:r w:rsidRPr="00697AFD">
        <w:rPr>
          <w:i/>
        </w:rPr>
        <w:t xml:space="preserve"> Act Report</w:t>
      </w:r>
      <w:r w:rsidRPr="00697AFD">
        <w:t>, 31 FCC Rcd at 7421, para</w:t>
      </w:r>
      <w:r>
        <w:t>.</w:t>
      </w:r>
      <w:r w:rsidRPr="00697AFD">
        <w:t xml:space="preserve"> 14.</w:t>
      </w:r>
    </w:p>
  </w:footnote>
  <w:footnote w:id="24">
    <w:p w14:paraId="23E7B966" w14:textId="77777777" w:rsidR="00584FEB" w:rsidRPr="00697AFD" w:rsidRDefault="00584FEB">
      <w:pPr>
        <w:pStyle w:val="FootnoteText"/>
      </w:pPr>
      <w:r w:rsidRPr="00697AFD">
        <w:rPr>
          <w:rStyle w:val="FootnoteReference"/>
        </w:rPr>
        <w:footnoteRef/>
      </w:r>
      <w:r w:rsidRPr="00697AFD">
        <w:t xml:space="preserve"> </w:t>
      </w:r>
      <w:r w:rsidRPr="00697AFD">
        <w:rPr>
          <w:i/>
        </w:rPr>
        <w:t>Id</w:t>
      </w:r>
      <w:r w:rsidR="00355791" w:rsidRPr="00697AFD">
        <w:t>.</w:t>
      </w:r>
      <w:r w:rsidR="00286FB6" w:rsidRPr="00697AFD">
        <w:t xml:space="preserve"> </w:t>
      </w:r>
      <w:r w:rsidR="00355791" w:rsidRPr="00697AFD">
        <w:t xml:space="preserve"> </w:t>
      </w:r>
    </w:p>
  </w:footnote>
  <w:footnote w:id="25">
    <w:p w14:paraId="6BB10C9B" w14:textId="1CBB82FE" w:rsidR="00D31F4B" w:rsidRPr="00971EB0" w:rsidRDefault="00D31F4B" w:rsidP="00D31F4B">
      <w:pPr>
        <w:pStyle w:val="FootnoteText"/>
      </w:pPr>
      <w:r>
        <w:rPr>
          <w:rStyle w:val="FootnoteReference"/>
        </w:rPr>
        <w:footnoteRef/>
      </w:r>
      <w:r>
        <w:t xml:space="preserve"> </w:t>
      </w:r>
      <w:r w:rsidR="00A2529F">
        <w:t>For a</w:t>
      </w:r>
      <w:r>
        <w:t xml:space="preserve"> non-technical discussion of the effects of privatization on the operating efficiency of an enterprise</w:t>
      </w:r>
      <w:r w:rsidR="00A2529F">
        <w:t xml:space="preserve">, </w:t>
      </w:r>
      <w:r w:rsidR="00A2529F">
        <w:rPr>
          <w:i/>
        </w:rPr>
        <w:t>see</w:t>
      </w:r>
      <w:r>
        <w:t xml:space="preserve"> John Vickers </w:t>
      </w:r>
      <w:r w:rsidR="00A2529F">
        <w:t xml:space="preserve">&amp; </w:t>
      </w:r>
      <w:r>
        <w:t xml:space="preserve">George Yarrow, Economic Perspectives on Privatization, </w:t>
      </w:r>
      <w:r w:rsidRPr="00D63C8C">
        <w:t>The Journal of Economic Perspectives</w:t>
      </w:r>
      <w:r>
        <w:rPr>
          <w:i/>
        </w:rPr>
        <w:t xml:space="preserve"> </w:t>
      </w:r>
      <w:r w:rsidR="00AC7406">
        <w:t xml:space="preserve">111-132, at 113-118 </w:t>
      </w:r>
      <w:r>
        <w:t>(</w:t>
      </w:r>
      <w:r w:rsidR="00AC7406">
        <w:t xml:space="preserve">Vol. 5, No. 2, </w:t>
      </w:r>
      <w:r>
        <w:t xml:space="preserve">Spring 1991).  </w:t>
      </w:r>
      <w:r w:rsidR="00AC7406">
        <w:t>For a</w:t>
      </w:r>
      <w:r>
        <w:t xml:space="preserve"> standard treatise on the economic effects of privatization</w:t>
      </w:r>
      <w:r w:rsidR="00AC7406">
        <w:t xml:space="preserve">, </w:t>
      </w:r>
      <w:r w:rsidR="00AC7406">
        <w:rPr>
          <w:i/>
        </w:rPr>
        <w:t>see</w:t>
      </w:r>
      <w:r>
        <w:t xml:space="preserve"> John Vickers </w:t>
      </w:r>
      <w:r w:rsidR="00AC7406">
        <w:t>&amp;</w:t>
      </w:r>
      <w:r>
        <w:t xml:space="preserve"> George Yarrow, </w:t>
      </w:r>
      <w:r w:rsidRPr="00D63C8C">
        <w:t>Privatization: An Economic Analysis</w:t>
      </w:r>
      <w:r>
        <w:rPr>
          <w:i/>
        </w:rPr>
        <w:t xml:space="preserve"> </w:t>
      </w:r>
      <w:r>
        <w:t>(The MIT Press 1988).</w:t>
      </w:r>
    </w:p>
  </w:footnote>
  <w:footnote w:id="26">
    <w:p w14:paraId="023D7925" w14:textId="1ED19E2F" w:rsidR="00D31F4B" w:rsidRPr="00697AFD" w:rsidRDefault="00D31F4B" w:rsidP="00D31F4B">
      <w:pPr>
        <w:pStyle w:val="FootnoteText"/>
      </w:pPr>
      <w:r w:rsidRPr="00697AFD">
        <w:rPr>
          <w:rStyle w:val="FootnoteReference"/>
        </w:rPr>
        <w:footnoteRef/>
      </w:r>
      <w:r w:rsidRPr="00697AFD">
        <w:t xml:space="preserve"> </w:t>
      </w:r>
      <w:r w:rsidR="00AD27FF" w:rsidRPr="00697AFD">
        <w:rPr>
          <w:i/>
        </w:rPr>
        <w:t xml:space="preserve">Seventeenth </w:t>
      </w:r>
      <w:r w:rsidR="00F73FEC">
        <w:rPr>
          <w:i/>
        </w:rPr>
        <w:t>ORBIT</w:t>
      </w:r>
      <w:r w:rsidR="00AD27FF" w:rsidRPr="00697AFD">
        <w:rPr>
          <w:i/>
        </w:rPr>
        <w:t xml:space="preserve"> Act Report</w:t>
      </w:r>
      <w:r w:rsidR="00AD27FF" w:rsidRPr="00697AFD">
        <w:t xml:space="preserve">, 31 FCC Rcd at </w:t>
      </w:r>
      <w:r>
        <w:t>7421-22, para. 15.</w:t>
      </w:r>
    </w:p>
  </w:footnote>
  <w:footnote w:id="27">
    <w:p w14:paraId="234CEC18" w14:textId="5479A07C" w:rsidR="00626FAC" w:rsidRPr="00626FAC" w:rsidRDefault="00626FAC">
      <w:pPr>
        <w:pStyle w:val="FootnoteText"/>
      </w:pPr>
      <w:r>
        <w:rPr>
          <w:rStyle w:val="FootnoteReference"/>
        </w:rPr>
        <w:footnoteRef/>
      </w:r>
      <w:r>
        <w:t xml:space="preserve"> </w:t>
      </w:r>
      <w:r>
        <w:rPr>
          <w:i/>
        </w:rPr>
        <w:t>Id</w:t>
      </w:r>
      <w:r>
        <w:t>.</w:t>
      </w:r>
    </w:p>
  </w:footnote>
  <w:footnote w:id="28">
    <w:p w14:paraId="0F3C2B77" w14:textId="400548B1" w:rsidR="00D31F4B" w:rsidRPr="00C505EA" w:rsidRDefault="00D31F4B" w:rsidP="00D31F4B">
      <w:pPr>
        <w:pStyle w:val="FootnoteText"/>
      </w:pPr>
      <w:r>
        <w:rPr>
          <w:rStyle w:val="FootnoteReference"/>
        </w:rPr>
        <w:footnoteRef/>
      </w:r>
      <w:r>
        <w:t xml:space="preserve"> </w:t>
      </w:r>
      <w:r w:rsidRPr="00536466">
        <w:rPr>
          <w:i/>
        </w:rPr>
        <w:t>See generally</w:t>
      </w:r>
      <w:r>
        <w:t xml:space="preserve"> Inmarsat, </w:t>
      </w:r>
      <w:hyperlink r:id="rId2" w:history="1">
        <w:r w:rsidRPr="000C4D88">
          <w:rPr>
            <w:rStyle w:val="Hyperlink"/>
          </w:rPr>
          <w:t>http://www.inmarsat.com/</w:t>
        </w:r>
      </w:hyperlink>
      <w:r>
        <w:t xml:space="preserve"> (last visited May 9, 2017).</w:t>
      </w:r>
    </w:p>
  </w:footnote>
  <w:footnote w:id="29">
    <w:p w14:paraId="125C3590" w14:textId="3A04359F" w:rsidR="00D31F4B" w:rsidRPr="00697AFD" w:rsidRDefault="00D31F4B" w:rsidP="00D31F4B">
      <w:pPr>
        <w:pStyle w:val="FootnoteText"/>
      </w:pPr>
      <w:r w:rsidRPr="00697AFD">
        <w:rPr>
          <w:rStyle w:val="FootnoteReference"/>
        </w:rPr>
        <w:footnoteRef/>
      </w:r>
      <w:r w:rsidRPr="00697AFD">
        <w:t xml:space="preserve"> </w:t>
      </w:r>
      <w:r w:rsidR="00F73FEC">
        <w:rPr>
          <w:i/>
        </w:rPr>
        <w:t>Seventeenth ORBIT</w:t>
      </w:r>
      <w:r w:rsidR="008E6D33" w:rsidRPr="00697AFD">
        <w:rPr>
          <w:i/>
        </w:rPr>
        <w:t xml:space="preserve"> Act Report</w:t>
      </w:r>
      <w:r w:rsidR="008E6D33" w:rsidRPr="00697AFD">
        <w:t xml:space="preserve">, 31 FCC Rcd at </w:t>
      </w:r>
      <w:r w:rsidR="008E6D33">
        <w:t>7421-22, para. 15.</w:t>
      </w:r>
      <w:r w:rsidRPr="00697AFD">
        <w:t xml:space="preserve"> </w:t>
      </w:r>
    </w:p>
  </w:footnote>
  <w:footnote w:id="30">
    <w:p w14:paraId="767F8886" w14:textId="7FC531EB" w:rsidR="00D31F4B" w:rsidRDefault="00D31F4B" w:rsidP="00D31F4B">
      <w:pPr>
        <w:pStyle w:val="FootnoteText"/>
      </w:pPr>
      <w:r>
        <w:rPr>
          <w:rStyle w:val="FootnoteReference"/>
        </w:rPr>
        <w:footnoteRef/>
      </w:r>
      <w:r>
        <w:t xml:space="preserve"> </w:t>
      </w:r>
      <w:r w:rsidRPr="00E60362">
        <w:t>Global</w:t>
      </w:r>
      <w:r>
        <w:t xml:space="preserve"> Xpress is delivered through its Inmarsat-5</w:t>
      </w:r>
      <w:r w:rsidRPr="00E60362">
        <w:t> satellites, built by Boeing.</w:t>
      </w:r>
      <w:r>
        <w:t xml:space="preserve">  </w:t>
      </w:r>
      <w:r w:rsidRPr="00E60362">
        <w:t>The first Glo</w:t>
      </w:r>
      <w:r>
        <w:t xml:space="preserve">bal Xpress satellite </w:t>
      </w:r>
      <w:r w:rsidRPr="00E60362">
        <w:t>entered commercial service in July 2014, serving Europe, the Middle East, Africa</w:t>
      </w:r>
      <w:r>
        <w:t>,</w:t>
      </w:r>
      <w:r w:rsidRPr="00E60362">
        <w:t xml:space="preserve"> and Asia. </w:t>
      </w:r>
      <w:r>
        <w:t xml:space="preserve"> </w:t>
      </w:r>
      <w:r w:rsidRPr="00E60362">
        <w:t xml:space="preserve">The second satellite successfully launched from Kazakhstan in February 2015 to deliver regional services </w:t>
      </w:r>
      <w:r>
        <w:t>to</w:t>
      </w:r>
      <w:r w:rsidRPr="00E60362">
        <w:t xml:space="preserve"> the Americas and Atlantic Ocean </w:t>
      </w:r>
      <w:r>
        <w:t>r</w:t>
      </w:r>
      <w:r w:rsidRPr="00E60362">
        <w:t>egion</w:t>
      </w:r>
      <w:r>
        <w:t>,</w:t>
      </w:r>
      <w:r w:rsidRPr="00E60362">
        <w:t xml:space="preserve"> and the third satelli</w:t>
      </w:r>
      <w:r>
        <w:t>te in the constellation launched in August 2015</w:t>
      </w:r>
      <w:r w:rsidRPr="00E60362">
        <w:t xml:space="preserve"> to cover the Pacific Ocean </w:t>
      </w:r>
      <w:r>
        <w:t>r</w:t>
      </w:r>
      <w:r w:rsidRPr="00E60362">
        <w:t xml:space="preserve">egion. </w:t>
      </w:r>
      <w:r>
        <w:t xml:space="preserve"> A</w:t>
      </w:r>
      <w:r w:rsidRPr="00E60362">
        <w:t xml:space="preserve"> fourth Global Xpress satellite will be launched in 2017 to provide additional capacity.</w:t>
      </w:r>
      <w:r>
        <w:t xml:space="preserve">  </w:t>
      </w:r>
      <w:r>
        <w:rPr>
          <w:i/>
        </w:rPr>
        <w:t xml:space="preserve">See </w:t>
      </w:r>
      <w:r>
        <w:t xml:space="preserve">Inmarsat, Our satellites, </w:t>
      </w:r>
      <w:hyperlink r:id="rId3" w:history="1">
        <w:r w:rsidRPr="00DE1979">
          <w:rPr>
            <w:rStyle w:val="Hyperlink"/>
          </w:rPr>
          <w:t>http://www.inmarsat.com/about-us/our-satellites/</w:t>
        </w:r>
      </w:hyperlink>
      <w:r>
        <w:t xml:space="preserve"> (last visited May 4, 2017).  </w:t>
      </w:r>
    </w:p>
  </w:footnote>
  <w:footnote w:id="31">
    <w:p w14:paraId="15A56F83" w14:textId="77777777" w:rsidR="00584FEB" w:rsidRPr="00697AFD" w:rsidRDefault="00584FEB" w:rsidP="00D44BC9">
      <w:pPr>
        <w:pStyle w:val="FootnoteText"/>
      </w:pPr>
      <w:r w:rsidRPr="00697AFD">
        <w:rPr>
          <w:rStyle w:val="FootnoteReference"/>
        </w:rPr>
        <w:footnoteRef/>
      </w:r>
      <w:r w:rsidRPr="00697AFD">
        <w:t xml:space="preserve"> </w:t>
      </w:r>
      <w:r w:rsidRPr="00697AFD">
        <w:rPr>
          <w:i/>
        </w:rPr>
        <w:t xml:space="preserve">See generally, </w:t>
      </w:r>
      <w:r w:rsidR="00431643" w:rsidRPr="00697AFD">
        <w:rPr>
          <w:i/>
          <w:iCs/>
        </w:rPr>
        <w:t>Seventeenth</w:t>
      </w:r>
      <w:r w:rsidRPr="00697AFD">
        <w:rPr>
          <w:i/>
          <w:iCs/>
        </w:rPr>
        <w:t xml:space="preserve"> ORBIT Act Repor</w:t>
      </w:r>
      <w:r w:rsidRPr="00697AFD">
        <w:rPr>
          <w:i/>
        </w:rPr>
        <w:t>t</w:t>
      </w:r>
      <w:r w:rsidRPr="00697AFD">
        <w:t>.</w:t>
      </w:r>
      <w:r w:rsidRPr="00697AFD" w:rsidDel="00B74808">
        <w:rPr>
          <w:highlight w:val="yellow"/>
        </w:rPr>
        <w:t xml:space="preserve"> </w:t>
      </w:r>
    </w:p>
  </w:footnote>
  <w:footnote w:id="32">
    <w:p w14:paraId="4186267C" w14:textId="6E504FCF" w:rsidR="00584FEB" w:rsidRPr="00697AFD" w:rsidRDefault="00584FEB" w:rsidP="00EA10CC">
      <w:pPr>
        <w:pStyle w:val="FootnoteText"/>
        <w:rPr>
          <w:b/>
          <w:bCs/>
        </w:rPr>
      </w:pPr>
      <w:r w:rsidRPr="00697AFD">
        <w:rPr>
          <w:rStyle w:val="FootnoteReference"/>
        </w:rPr>
        <w:footnoteRef/>
      </w:r>
      <w:r w:rsidRPr="00697AFD">
        <w:t xml:space="preserve"> </w:t>
      </w:r>
      <w:r w:rsidR="005E2F72">
        <w:t>O</w:t>
      </w:r>
      <w:r w:rsidR="00443D4C" w:rsidRPr="00697AFD">
        <w:t>n January 23, 2017, the Unite</w:t>
      </w:r>
      <w:r w:rsidR="005D0A97">
        <w:t>d</w:t>
      </w:r>
      <w:r w:rsidR="00443D4C" w:rsidRPr="00697AFD">
        <w:t xml:space="preserve"> States House of Representatives passed</w:t>
      </w:r>
      <w:r w:rsidR="007D0554" w:rsidRPr="00697AFD">
        <w:t xml:space="preserve"> </w:t>
      </w:r>
      <w:r w:rsidR="009A2ECD">
        <w:t xml:space="preserve">H.R. 599 to, among other things, </w:t>
      </w:r>
      <w:r w:rsidR="009A2ECD" w:rsidRPr="00697AFD">
        <w:t xml:space="preserve">consolidate certain </w:t>
      </w:r>
      <w:r w:rsidR="009E4240">
        <w:t xml:space="preserve">Commission </w:t>
      </w:r>
      <w:r w:rsidR="009A2ECD" w:rsidRPr="00697AFD">
        <w:t xml:space="preserve">reporting obligations </w:t>
      </w:r>
      <w:r w:rsidR="009A2ECD">
        <w:t xml:space="preserve">and repeal the ORBIT Act Report.  </w:t>
      </w:r>
      <w:r w:rsidR="00443D4C" w:rsidRPr="00BE24D0">
        <w:rPr>
          <w:bCs/>
        </w:rPr>
        <w:t>Federal Communications Commission Consolidated Reporting Act of 2017</w:t>
      </w:r>
      <w:r w:rsidR="009A2ECD">
        <w:rPr>
          <w:bCs/>
        </w:rPr>
        <w:t>,</w:t>
      </w:r>
      <w:r w:rsidR="007D0554" w:rsidRPr="00BE24D0">
        <w:rPr>
          <w:bCs/>
        </w:rPr>
        <w:t xml:space="preserve"> </w:t>
      </w:r>
      <w:r w:rsidR="007D0554" w:rsidRPr="009A2ECD">
        <w:rPr>
          <w:bCs/>
        </w:rPr>
        <w:t>H.R.599, 115th Congres</w:t>
      </w:r>
      <w:r w:rsidR="007D0554" w:rsidRPr="00697AFD">
        <w:rPr>
          <w:bCs/>
        </w:rPr>
        <w:t>s</w:t>
      </w:r>
      <w:r w:rsidR="00F157CA">
        <w:rPr>
          <w:bCs/>
        </w:rPr>
        <w:t xml:space="preserve">. </w:t>
      </w:r>
      <w:r w:rsidR="007D0554" w:rsidRPr="00614223">
        <w:rPr>
          <w:b/>
        </w:rPr>
        <w:t xml:space="preserve"> </w:t>
      </w:r>
      <w:r w:rsidR="007D0554" w:rsidRPr="00697AFD">
        <w:t xml:space="preserve">On January 24, 2017, this bill was </w:t>
      </w:r>
      <w:r w:rsidR="00F157CA">
        <w:t>received in</w:t>
      </w:r>
      <w:r w:rsidR="007D0554" w:rsidRPr="00697AFD">
        <w:t xml:space="preserve"> the</w:t>
      </w:r>
      <w:r w:rsidR="00AE2894" w:rsidRPr="00697AFD">
        <w:t xml:space="preserve"> Senate</w:t>
      </w:r>
      <w:r w:rsidR="007D0554" w:rsidRPr="00697AFD">
        <w:t xml:space="preserve"> </w:t>
      </w:r>
      <w:r w:rsidR="00F157CA">
        <w:t xml:space="preserve">and referred to the </w:t>
      </w:r>
      <w:r w:rsidR="007D0554" w:rsidRPr="00697AFD">
        <w:t xml:space="preserve">Committee on Commerce, Science, and Transportation. </w:t>
      </w:r>
      <w:r w:rsidR="009A2ECD">
        <w:t xml:space="preserve"> </w:t>
      </w:r>
      <w:r w:rsidR="0081636B">
        <w:t>On January 17, 2017, a</w:t>
      </w:r>
      <w:r w:rsidR="009A2ECD">
        <w:t xml:space="preserve"> companion bill, S.174</w:t>
      </w:r>
      <w:r w:rsidR="00F157CA">
        <w:t>, was introduced in the Senate</w:t>
      </w:r>
      <w:r w:rsidR="0081636B">
        <w:t xml:space="preserve"> that </w:t>
      </w:r>
      <w:r w:rsidR="00F157CA">
        <w:t xml:space="preserve">would also </w:t>
      </w:r>
      <w:r w:rsidR="00F157CA" w:rsidRPr="00697AFD">
        <w:t xml:space="preserve">consolidate certain </w:t>
      </w:r>
      <w:r w:rsidR="009E4240">
        <w:t xml:space="preserve">Commission </w:t>
      </w:r>
      <w:r w:rsidR="00F157CA" w:rsidRPr="00697AFD">
        <w:t xml:space="preserve">reporting obligations </w:t>
      </w:r>
      <w:r w:rsidR="00F157CA">
        <w:t xml:space="preserve">and repeal the ORBIT Act Report.  </w:t>
      </w:r>
      <w:r w:rsidR="00F157CA" w:rsidRPr="008A091A">
        <w:rPr>
          <w:bCs/>
        </w:rPr>
        <w:t>Federal Communications Commission Consolidated Reporting Act of 2017</w:t>
      </w:r>
      <w:r w:rsidR="00F157CA">
        <w:rPr>
          <w:bCs/>
        </w:rPr>
        <w:t>,</w:t>
      </w:r>
      <w:r w:rsidR="00F157CA" w:rsidRPr="008A091A">
        <w:rPr>
          <w:bCs/>
        </w:rPr>
        <w:t xml:space="preserve"> </w:t>
      </w:r>
      <w:r w:rsidR="00F157CA">
        <w:rPr>
          <w:bCs/>
        </w:rPr>
        <w:t>S.174</w:t>
      </w:r>
      <w:r w:rsidR="00F157CA" w:rsidRPr="009A2ECD">
        <w:rPr>
          <w:bCs/>
        </w:rPr>
        <w:t>, 115th Congres</w:t>
      </w:r>
      <w:r w:rsidR="00F157CA" w:rsidRPr="00697AFD">
        <w:rPr>
          <w:bCs/>
        </w:rPr>
        <w:t>s</w:t>
      </w:r>
      <w:r w:rsidR="00F157CA">
        <w:rPr>
          <w:bCs/>
        </w:rPr>
        <w:t xml:space="preserve">. </w:t>
      </w:r>
      <w:r w:rsidR="00F157CA" w:rsidRPr="00BE24D0">
        <w:rPr>
          <w:bCs/>
        </w:rPr>
        <w:t xml:space="preserve"> </w:t>
      </w:r>
      <w:r w:rsidR="002E1084">
        <w:rPr>
          <w:bCs/>
        </w:rPr>
        <w:t>On May 11, 2017, S.174 was p</w:t>
      </w:r>
      <w:r w:rsidR="002E1084">
        <w:t xml:space="preserve">laced on the Senate Legislative Calendar under General Orders.  </w:t>
      </w:r>
      <w:r w:rsidRPr="00697AFD">
        <w:t xml:space="preserve">While the Commission will continue to submit the annual report, we believe this report is no longer necessary in light of the successful privatization of INTELSAT and </w:t>
      </w:r>
      <w:r w:rsidR="008F7B75">
        <w:t>INMARSAT</w:t>
      </w:r>
      <w:r w:rsidR="008F7B75" w:rsidRPr="00697AFD">
        <w:t xml:space="preserve"> </w:t>
      </w:r>
      <w:r w:rsidRPr="00697AFD">
        <w:t>many years ago in a manner consistent with the ORBIT Act.</w:t>
      </w:r>
    </w:p>
  </w:footnote>
  <w:footnote w:id="33">
    <w:p w14:paraId="527F431B" w14:textId="77777777" w:rsidR="00584FEB" w:rsidRPr="00697AFD" w:rsidRDefault="00584FEB" w:rsidP="00BF76CD">
      <w:pPr>
        <w:pStyle w:val="FootnoteText"/>
      </w:pPr>
      <w:r w:rsidRPr="00697AFD">
        <w:rPr>
          <w:rStyle w:val="FootnoteReference"/>
        </w:rPr>
        <w:footnoteRef/>
      </w:r>
      <w:r w:rsidRPr="00697AFD">
        <w:t xml:space="preserve"> </w:t>
      </w:r>
      <w:r w:rsidRPr="00697AFD">
        <w:rPr>
          <w:snapToGrid w:val="0"/>
          <w:spacing w:val="1"/>
          <w:kern w:val="28"/>
        </w:rPr>
        <w:t>4</w:t>
      </w:r>
      <w:r w:rsidRPr="00697AFD">
        <w:rPr>
          <w:snapToGrid w:val="0"/>
          <w:kern w:val="28"/>
        </w:rPr>
        <w:t>7</w:t>
      </w:r>
      <w:r w:rsidRPr="00697AFD">
        <w:t xml:space="preserve"> </w:t>
      </w:r>
      <w:r w:rsidRPr="00697AFD">
        <w:rPr>
          <w:snapToGrid w:val="0"/>
          <w:kern w:val="28"/>
        </w:rPr>
        <w:t>U</w:t>
      </w:r>
      <w:r w:rsidRPr="00697AFD">
        <w:t>.</w:t>
      </w:r>
      <w:r w:rsidRPr="00697AFD">
        <w:rPr>
          <w:snapToGrid w:val="0"/>
          <w:kern w:val="28"/>
        </w:rPr>
        <w:t>S.</w:t>
      </w:r>
      <w:r w:rsidRPr="00697AFD">
        <w:rPr>
          <w:snapToGrid w:val="0"/>
          <w:spacing w:val="-1"/>
          <w:kern w:val="28"/>
        </w:rPr>
        <w:t>C</w:t>
      </w:r>
      <w:r w:rsidRPr="00697AFD">
        <w:t xml:space="preserve">. </w:t>
      </w:r>
      <w:r w:rsidRPr="00697AFD">
        <w:rPr>
          <w:snapToGrid w:val="0"/>
          <w:kern w:val="28"/>
        </w:rPr>
        <w:t xml:space="preserve">§ </w:t>
      </w:r>
      <w:r w:rsidRPr="00697AFD">
        <w:rPr>
          <w:snapToGrid w:val="0"/>
          <w:spacing w:val="-1"/>
          <w:kern w:val="28"/>
        </w:rPr>
        <w:t>7</w:t>
      </w:r>
      <w:r w:rsidRPr="00697AFD">
        <w:rPr>
          <w:snapToGrid w:val="0"/>
          <w:spacing w:val="1"/>
          <w:kern w:val="28"/>
        </w:rPr>
        <w:t>0</w:t>
      </w:r>
      <w:r w:rsidRPr="00697AFD">
        <w:rPr>
          <w:snapToGrid w:val="0"/>
          <w:kern w:val="28"/>
        </w:rPr>
        <w:t>1</w:t>
      </w:r>
      <w:r w:rsidRPr="00697AFD">
        <w:t xml:space="preserve"> </w:t>
      </w:r>
      <w:r w:rsidRPr="00697AFD">
        <w:rPr>
          <w:i/>
          <w:iCs/>
          <w:snapToGrid w:val="0"/>
          <w:kern w:val="28"/>
        </w:rPr>
        <w:t>et</w:t>
      </w:r>
      <w:r w:rsidRPr="00697AFD">
        <w:rPr>
          <w:i/>
          <w:iCs/>
          <w:snapToGrid w:val="0"/>
          <w:spacing w:val="-1"/>
          <w:kern w:val="28"/>
        </w:rPr>
        <w:t xml:space="preserve"> s</w:t>
      </w:r>
      <w:r w:rsidRPr="00697AFD">
        <w:rPr>
          <w:i/>
          <w:iCs/>
          <w:snapToGrid w:val="0"/>
          <w:kern w:val="28"/>
        </w:rPr>
        <w:t>e</w:t>
      </w:r>
      <w:r w:rsidRPr="00697AFD">
        <w:rPr>
          <w:i/>
          <w:iCs/>
          <w:snapToGrid w:val="0"/>
          <w:spacing w:val="1"/>
          <w:kern w:val="28"/>
        </w:rPr>
        <w:t>q.</w:t>
      </w:r>
      <w:r w:rsidRPr="00697AFD">
        <w:t xml:space="preserve">  </w:t>
      </w:r>
    </w:p>
  </w:footnote>
  <w:footnote w:id="34">
    <w:p w14:paraId="773E3766" w14:textId="77777777" w:rsidR="00584FEB" w:rsidRPr="00697AFD" w:rsidRDefault="00584FEB" w:rsidP="00BF76CD">
      <w:pPr>
        <w:pStyle w:val="FootnoteText"/>
      </w:pPr>
      <w:r w:rsidRPr="00697AFD">
        <w:rPr>
          <w:rStyle w:val="FootnoteReference"/>
        </w:rPr>
        <w:footnoteRef/>
      </w:r>
      <w:r w:rsidRPr="00697AFD">
        <w:t xml:space="preserve"> </w:t>
      </w:r>
      <w:r w:rsidRPr="00697AFD">
        <w:rPr>
          <w:i/>
        </w:rPr>
        <w:t>Id.</w:t>
      </w:r>
    </w:p>
  </w:footnote>
  <w:footnote w:id="35">
    <w:p w14:paraId="54F59C92" w14:textId="30EA5930" w:rsidR="00D56D1F" w:rsidRDefault="00D56D1F" w:rsidP="00D56D1F">
      <w:pPr>
        <w:pStyle w:val="FootnoteText"/>
      </w:pPr>
      <w:r>
        <w:rPr>
          <w:rStyle w:val="FootnoteReference"/>
        </w:rPr>
        <w:footnoteRef/>
      </w:r>
      <w:r>
        <w:t xml:space="preserve"> Statement of Commissioner Ajit Pai, Fourteenth Orbit Act Report (2013), </w:t>
      </w:r>
      <w:hyperlink r:id="rId4" w:history="1">
        <w:r w:rsidRPr="0082337C">
          <w:rPr>
            <w:rStyle w:val="Hyperlink"/>
          </w:rPr>
          <w:t>http://go.usa.gov/chBuC</w:t>
        </w:r>
      </w:hyperlink>
      <w:r>
        <w:t>.</w:t>
      </w:r>
    </w:p>
  </w:footnote>
  <w:footnote w:id="36">
    <w:p w14:paraId="6D847C28" w14:textId="18A0D522" w:rsidR="00D56D1F" w:rsidRDefault="00D56D1F" w:rsidP="00D56D1F">
      <w:pPr>
        <w:pStyle w:val="FootnoteText"/>
      </w:pPr>
      <w:r>
        <w:rPr>
          <w:rStyle w:val="FootnoteReference"/>
        </w:rPr>
        <w:footnoteRef/>
      </w:r>
      <w:r>
        <w:t xml:space="preserve"> Statement of Commissioner Ajit Pai, Fifteenth Orbit Act Report (2014), </w:t>
      </w:r>
      <w:hyperlink r:id="rId5" w:history="1">
        <w:r w:rsidRPr="0082337C">
          <w:rPr>
            <w:rStyle w:val="Hyperlink"/>
          </w:rPr>
          <w:t>http://go.usa.gov/chBuF</w:t>
        </w:r>
      </w:hyperlink>
      <w:r>
        <w:t>.</w:t>
      </w:r>
    </w:p>
  </w:footnote>
  <w:footnote w:id="37">
    <w:p w14:paraId="0E9BF2AF" w14:textId="408DF1D3" w:rsidR="00D56D1F" w:rsidRDefault="00D56D1F" w:rsidP="00D56D1F">
      <w:pPr>
        <w:pStyle w:val="FootnoteText"/>
      </w:pPr>
      <w:r>
        <w:rPr>
          <w:rStyle w:val="FootnoteReference"/>
        </w:rPr>
        <w:footnoteRef/>
      </w:r>
      <w:r>
        <w:t xml:space="preserve"> Statement of Commissioner Ajit Pai, Sixteenth Orbit Act Report (2015), </w:t>
      </w:r>
      <w:hyperlink r:id="rId6" w:history="1">
        <w:r w:rsidRPr="0082337C">
          <w:rPr>
            <w:rStyle w:val="Hyperlink"/>
          </w:rPr>
          <w:t>http://go.usa.gov/chBJT</w:t>
        </w:r>
      </w:hyperlink>
      <w:r>
        <w:t xml:space="preserve">. </w:t>
      </w:r>
    </w:p>
  </w:footnote>
  <w:footnote w:id="38">
    <w:p w14:paraId="0FB9E9A3" w14:textId="13B60370" w:rsidR="00D56D1F" w:rsidRDefault="00D56D1F" w:rsidP="00D56D1F">
      <w:pPr>
        <w:pStyle w:val="FootnoteText"/>
      </w:pPr>
      <w:r>
        <w:rPr>
          <w:rStyle w:val="FootnoteReference"/>
        </w:rPr>
        <w:footnoteRef/>
      </w:r>
      <w:r>
        <w:t xml:space="preserve"> Statement of Commissioner Ajit Pai, </w:t>
      </w:r>
      <w:r w:rsidR="00CF56A9">
        <w:t>Seventeenth</w:t>
      </w:r>
      <w:r>
        <w:t xml:space="preserve"> Orbit Act Report (2016), </w:t>
      </w:r>
      <w:hyperlink r:id="rId7" w:history="1">
        <w:r w:rsidRPr="0082337C">
          <w:rPr>
            <w:rStyle w:val="Hyperlink"/>
          </w:rPr>
          <w:t>https://apps.fcc.gov/edocs_public/attachmatch/FCC-16-73A2.pdf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361E0" w14:textId="77777777" w:rsidR="00192DBD" w:rsidRDefault="00192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CBB2E" w14:textId="4AE1FF42" w:rsidR="00584FEB" w:rsidRDefault="00584FEB" w:rsidP="00810B6F">
    <w:pPr>
      <w:pStyle w:val="Header"/>
      <w:rPr>
        <w:b w:val="0"/>
      </w:rPr>
    </w:pPr>
    <w:r>
      <w:tab/>
      <w:t>Federal Communications Commission</w:t>
    </w:r>
    <w:r>
      <w:tab/>
      <w:t>FCC 1</w:t>
    </w:r>
    <w:r w:rsidR="00CA01E5">
      <w:t>7</w:t>
    </w:r>
    <w:r>
      <w:t>-</w:t>
    </w:r>
    <w:r w:rsidR="00FA042B">
      <w:t>69</w:t>
    </w:r>
  </w:p>
  <w:p w14:paraId="61559CFD" w14:textId="77777777" w:rsidR="00584FEB" w:rsidRDefault="00494539" w:rsidP="00985685">
    <w:pPr>
      <w:spacing w:after="389" w:line="100" w:lineRule="exact"/>
    </w:pPr>
    <w:r>
      <w:rPr>
        <w:noProof/>
      </w:rPr>
      <mc:AlternateContent>
        <mc:Choice Requires="wps">
          <w:drawing>
            <wp:anchor distT="0" distB="0" distL="114300" distR="114300" simplePos="0" relativeHeight="251656192" behindDoc="1" locked="0" layoutInCell="0" allowOverlap="1" wp14:anchorId="76A8B7CE" wp14:editId="41A05DC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92A3FF3" id="Rectangle 1"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sQ2/V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0F432" w14:textId="63EBA9BF" w:rsidR="00584FEB" w:rsidRDefault="00494539" w:rsidP="00C6782E">
    <w:pPr>
      <w:pStyle w:val="Header"/>
      <w:ind w:firstLine="2880"/>
      <w:rPr>
        <w:b w:val="0"/>
      </w:rPr>
    </w:pPr>
    <w:r>
      <w:rPr>
        <w:noProof/>
      </w:rPr>
      <mc:AlternateContent>
        <mc:Choice Requires="wps">
          <w:drawing>
            <wp:anchor distT="0" distB="0" distL="114300" distR="114300" simplePos="0" relativeHeight="251663360" behindDoc="1" locked="0" layoutInCell="0" allowOverlap="1" wp14:anchorId="403ABCEA" wp14:editId="286E2F22">
              <wp:simplePos x="0" y="0"/>
              <wp:positionH relativeFrom="margin">
                <wp:align>right</wp:align>
              </wp:positionH>
              <wp:positionV relativeFrom="paragraph">
                <wp:posOffset>144145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C41A9DF" id="Rectangle 3" o:spid="_x0000_s1026" style="position:absolute;margin-left:416.8pt;margin-top:11.35pt;width:468pt;height:.9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" o:allowincell="f" fillcolor="black" stroked="f">
              <w10:wrap anchorx="margin"/>
            </v:rect>
          </w:pict>
        </mc:Fallback>
      </mc:AlternateContent>
    </w:r>
    <w:r w:rsidR="00584FEB">
      <w:t>Federal Communications Commission</w:t>
    </w:r>
    <w:r w:rsidR="00584FEB">
      <w:tab/>
      <w:t>FCC</w:t>
    </w:r>
    <w:r w:rsidR="00584FEB" w:rsidRPr="00FA2657">
      <w:t xml:space="preserve"> </w:t>
    </w:r>
    <w:r w:rsidR="00DD0998">
      <w:rPr>
        <w:spacing w:val="-2"/>
      </w:rPr>
      <w:t>17</w:t>
    </w:r>
    <w:r w:rsidR="00584FEB">
      <w:rPr>
        <w:spacing w:val="-2"/>
      </w:rPr>
      <w:t>-</w:t>
    </w:r>
    <w:r w:rsidR="00FA042B">
      <w:rPr>
        <w:spacing w:val="-2"/>
      </w:rPr>
      <w:t>69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7055" w14:textId="77777777" w:rsidR="00FA042B" w:rsidRDefault="00FA042B" w:rsidP="00C6782E">
    <w:pPr>
      <w:pStyle w:val="Header"/>
      <w:ind w:firstLine="2880"/>
      <w:rPr>
        <w:b w:val="0"/>
      </w:rPr>
    </w:pPr>
    <w:r>
      <w:rPr>
        <w:noProof/>
      </w:rPr>
      <mc:AlternateContent>
        <mc:Choice Requires="wps">
          <w:drawing>
            <wp:anchor distT="0" distB="0" distL="114300" distR="114300" simplePos="0" relativeHeight="251665408" behindDoc="1" locked="0" layoutInCell="0" allowOverlap="1" wp14:anchorId="038B534F" wp14:editId="1307BCCB">
              <wp:simplePos x="0" y="0"/>
              <wp:positionH relativeFrom="margin">
                <wp:align>right</wp:align>
              </wp:positionH>
              <wp:positionV relativeFrom="paragraph">
                <wp:posOffset>144145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559FBCA" id="Rectangle 1" o:spid="_x0000_s1026" style="position:absolute;margin-left:416.8pt;margin-top:11.35pt;width:468pt;height:.9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McVw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" o:allowincell="f" fillcolor="black" stroked="f">
              <w10:wrap anchorx="margin"/>
            </v:rect>
          </w:pict>
        </mc:Fallback>
      </mc:AlternateContent>
    </w:r>
    <w:r>
      <w:t>Federal Communications Commission</w:t>
    </w:r>
    <w:r>
      <w:tab/>
      <w:t>FCC</w:t>
    </w:r>
    <w:r w:rsidRPr="00FA2657">
      <w:t xml:space="preserve"> </w:t>
    </w:r>
    <w:r>
      <w:rPr>
        <w:spacing w:val="-2"/>
      </w:rPr>
      <w:t>17-69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B090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0037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EC6CA1"/>
    <w:multiLevelType w:val="hybridMultilevel"/>
    <w:tmpl w:val="8B6E6294"/>
    <w:lvl w:ilvl="0" w:tplc="BB04F90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FA531CA"/>
    <w:multiLevelType w:val="hybridMultilevel"/>
    <w:tmpl w:val="5704C952"/>
    <w:lvl w:ilvl="0" w:tplc="143CB8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7865773"/>
    <w:multiLevelType w:val="hybridMultilevel"/>
    <w:tmpl w:val="0832C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D81129"/>
    <w:multiLevelType w:val="hybridMultilevel"/>
    <w:tmpl w:val="0180D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993C97"/>
    <w:multiLevelType w:val="singleLevel"/>
    <w:tmpl w:val="76F88838"/>
    <w:lvl w:ilvl="0">
      <w:start w:val="1"/>
      <w:numFmt w:val="upperRoman"/>
      <w:lvlText w:val="%1."/>
      <w:lvlJc w:val="left"/>
      <w:pPr>
        <w:tabs>
          <w:tab w:val="num" w:pos="720"/>
        </w:tabs>
        <w:ind w:left="720" w:hanging="720"/>
      </w:pPr>
    </w:lvl>
  </w:abstractNum>
  <w:abstractNum w:abstractNumId="11">
    <w:nsid w:val="3E8C3400"/>
    <w:multiLevelType w:val="singleLevel"/>
    <w:tmpl w:val="32CC4974"/>
    <w:lvl w:ilvl="0">
      <w:start w:val="1"/>
      <w:numFmt w:val="upperLetter"/>
      <w:lvlText w:val="%1."/>
      <w:lvlJc w:val="left"/>
      <w:pPr>
        <w:tabs>
          <w:tab w:val="num" w:pos="1800"/>
        </w:tabs>
        <w:ind w:left="1800" w:hanging="360"/>
      </w:pPr>
      <w:rPr>
        <w:rFonts w:hint="default"/>
        <w:b/>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7FB6E03"/>
    <w:multiLevelType w:val="multilevel"/>
    <w:tmpl w:val="577CACCC"/>
    <w:lvl w:ilvl="0">
      <w:start w:val="1"/>
      <w:numFmt w:val="upperRoman"/>
      <w:lvlText w:val="%1."/>
      <w:lvlJc w:val="left"/>
      <w:pPr>
        <w:tabs>
          <w:tab w:val="num" w:pos="1440"/>
        </w:tabs>
        <w:ind w:left="1440" w:hanging="720"/>
      </w:pPr>
      <w:rPr>
        <w:rFonts w:hint="default"/>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F075531"/>
    <w:multiLevelType w:val="hybridMultilevel"/>
    <w:tmpl w:val="12BAC4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3EB7437"/>
    <w:multiLevelType w:val="hybridMultilevel"/>
    <w:tmpl w:val="43F0B7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67BB4EB6"/>
    <w:multiLevelType w:val="hybridMultilevel"/>
    <w:tmpl w:val="D850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FC48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7418029B"/>
    <w:multiLevelType w:val="hybridMultilevel"/>
    <w:tmpl w:val="6A4C49E6"/>
    <w:lvl w:ilvl="0" w:tplc="6F86FE2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9B7F43"/>
    <w:multiLevelType w:val="hybridMultilevel"/>
    <w:tmpl w:val="186E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B58C4"/>
    <w:multiLevelType w:val="hybridMultilevel"/>
    <w:tmpl w:val="04CA32C6"/>
    <w:lvl w:ilvl="0" w:tplc="378C4998">
      <w:start w:val="1"/>
      <w:numFmt w:val="bullet"/>
      <w:lvlText w:val=""/>
      <w:lvlJc w:val="left"/>
      <w:pPr>
        <w:tabs>
          <w:tab w:val="num" w:pos="720"/>
        </w:tabs>
        <w:ind w:left="720" w:hanging="360"/>
      </w:pPr>
      <w:rPr>
        <w:rFonts w:ascii="Symbol" w:hAnsi="Symbol" w:hint="default"/>
        <w:color w:val="000000"/>
      </w:rPr>
    </w:lvl>
    <w:lvl w:ilvl="1" w:tplc="FFFFFFFF">
      <w:numFmt w:val="bullet"/>
      <w:lvlText w:val="-"/>
      <w:lvlJc w:val="left"/>
      <w:pPr>
        <w:tabs>
          <w:tab w:val="num" w:pos="1440"/>
        </w:tabs>
        <w:ind w:left="144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F6F17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5"/>
  </w:num>
  <w:num w:numId="3">
    <w:abstractNumId w:val="7"/>
  </w:num>
  <w:num w:numId="4">
    <w:abstractNumId w:val="12"/>
  </w:num>
  <w:num w:numId="5">
    <w:abstractNumId w:val="6"/>
  </w:num>
  <w:num w:numId="6">
    <w:abstractNumId w:val="1"/>
  </w:num>
  <w:num w:numId="7">
    <w:abstractNumId w:val="10"/>
  </w:num>
  <w:num w:numId="8">
    <w:abstractNumId w:val="2"/>
  </w:num>
  <w:num w:numId="9">
    <w:abstractNumId w:val="13"/>
  </w:num>
  <w:num w:numId="10">
    <w:abstractNumId w:val="22"/>
  </w:num>
  <w:num w:numId="11">
    <w:abstractNumId w:val="11"/>
  </w:num>
  <w:num w:numId="12">
    <w:abstractNumId w:val="16"/>
  </w:num>
  <w:num w:numId="13">
    <w:abstractNumId w:val="21"/>
  </w:num>
  <w:num w:numId="14">
    <w:abstractNumId w:val="18"/>
  </w:num>
  <w:num w:numId="15">
    <w:abstractNumId w:val="20"/>
  </w:num>
  <w:num w:numId="16">
    <w:abstractNumId w:val="17"/>
  </w:num>
  <w:num w:numId="17">
    <w:abstractNumId w:val="9"/>
  </w:num>
  <w:num w:numId="18">
    <w:abstractNumId w:val="14"/>
  </w:num>
  <w:num w:numId="19">
    <w:abstractNumId w:val="4"/>
  </w:num>
  <w:num w:numId="20">
    <w:abstractNumId w:val="19"/>
  </w:num>
  <w:num w:numId="21">
    <w:abstractNumId w:val="3"/>
  </w:num>
  <w:num w:numId="22">
    <w:abstractNumId w:val="15"/>
  </w:num>
  <w:num w:numId="23">
    <w:abstractNumId w:val="15"/>
  </w:num>
  <w:num w:numId="24">
    <w:abstractNumId w:val="15"/>
  </w:num>
  <w:num w:numId="25">
    <w:abstractNumId w:val="0"/>
  </w:num>
  <w:num w:numId="26">
    <w:abstractNumId w:val="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73A7"/>
    <w:rsid w:val="00010FB9"/>
    <w:rsid w:val="00017F60"/>
    <w:rsid w:val="0002051C"/>
    <w:rsid w:val="000251F8"/>
    <w:rsid w:val="00032719"/>
    <w:rsid w:val="0003350A"/>
    <w:rsid w:val="00035657"/>
    <w:rsid w:val="00036039"/>
    <w:rsid w:val="00037F90"/>
    <w:rsid w:val="000411AB"/>
    <w:rsid w:val="00043605"/>
    <w:rsid w:val="00043E4E"/>
    <w:rsid w:val="00047D18"/>
    <w:rsid w:val="00052715"/>
    <w:rsid w:val="00055176"/>
    <w:rsid w:val="00055F0F"/>
    <w:rsid w:val="00060A83"/>
    <w:rsid w:val="00065674"/>
    <w:rsid w:val="00065DF7"/>
    <w:rsid w:val="000668DB"/>
    <w:rsid w:val="0006731A"/>
    <w:rsid w:val="00070A62"/>
    <w:rsid w:val="00072F1B"/>
    <w:rsid w:val="00073091"/>
    <w:rsid w:val="0007343F"/>
    <w:rsid w:val="00076BF8"/>
    <w:rsid w:val="0007721E"/>
    <w:rsid w:val="0008319B"/>
    <w:rsid w:val="000872AB"/>
    <w:rsid w:val="000875BF"/>
    <w:rsid w:val="0009363A"/>
    <w:rsid w:val="00093C28"/>
    <w:rsid w:val="0009541A"/>
    <w:rsid w:val="00096D8C"/>
    <w:rsid w:val="000A0317"/>
    <w:rsid w:val="000A3111"/>
    <w:rsid w:val="000A7423"/>
    <w:rsid w:val="000B0079"/>
    <w:rsid w:val="000B20D7"/>
    <w:rsid w:val="000B216B"/>
    <w:rsid w:val="000B21AA"/>
    <w:rsid w:val="000B2CBF"/>
    <w:rsid w:val="000B461F"/>
    <w:rsid w:val="000B66D1"/>
    <w:rsid w:val="000B70CB"/>
    <w:rsid w:val="000C0B65"/>
    <w:rsid w:val="000C14A6"/>
    <w:rsid w:val="000C2307"/>
    <w:rsid w:val="000C384B"/>
    <w:rsid w:val="000C3AB9"/>
    <w:rsid w:val="000C6567"/>
    <w:rsid w:val="000D122D"/>
    <w:rsid w:val="000D20A9"/>
    <w:rsid w:val="000D6A19"/>
    <w:rsid w:val="000E05FE"/>
    <w:rsid w:val="000E2A70"/>
    <w:rsid w:val="000E3202"/>
    <w:rsid w:val="000E3D42"/>
    <w:rsid w:val="000E6E5B"/>
    <w:rsid w:val="000F09F0"/>
    <w:rsid w:val="000F0DA7"/>
    <w:rsid w:val="000F41A8"/>
    <w:rsid w:val="000F4499"/>
    <w:rsid w:val="000F6F65"/>
    <w:rsid w:val="001071B3"/>
    <w:rsid w:val="0011016B"/>
    <w:rsid w:val="0011270F"/>
    <w:rsid w:val="00112FD5"/>
    <w:rsid w:val="001209C6"/>
    <w:rsid w:val="00122BD5"/>
    <w:rsid w:val="001271EE"/>
    <w:rsid w:val="00127E17"/>
    <w:rsid w:val="001339E1"/>
    <w:rsid w:val="00133A9E"/>
    <w:rsid w:val="00133F79"/>
    <w:rsid w:val="00141664"/>
    <w:rsid w:val="001420AC"/>
    <w:rsid w:val="00143A34"/>
    <w:rsid w:val="001448B1"/>
    <w:rsid w:val="001466C3"/>
    <w:rsid w:val="001472C0"/>
    <w:rsid w:val="00147964"/>
    <w:rsid w:val="0015254B"/>
    <w:rsid w:val="00153357"/>
    <w:rsid w:val="00154D94"/>
    <w:rsid w:val="00156794"/>
    <w:rsid w:val="00156F27"/>
    <w:rsid w:val="00157925"/>
    <w:rsid w:val="00162755"/>
    <w:rsid w:val="00165194"/>
    <w:rsid w:val="00166B21"/>
    <w:rsid w:val="00170F14"/>
    <w:rsid w:val="0017278D"/>
    <w:rsid w:val="001730CA"/>
    <w:rsid w:val="00173FED"/>
    <w:rsid w:val="001850CE"/>
    <w:rsid w:val="00185B9E"/>
    <w:rsid w:val="00186162"/>
    <w:rsid w:val="00192022"/>
    <w:rsid w:val="00192DBD"/>
    <w:rsid w:val="00194A66"/>
    <w:rsid w:val="001969A3"/>
    <w:rsid w:val="0019767B"/>
    <w:rsid w:val="001A0431"/>
    <w:rsid w:val="001A1117"/>
    <w:rsid w:val="001A1C68"/>
    <w:rsid w:val="001A28E9"/>
    <w:rsid w:val="001A4203"/>
    <w:rsid w:val="001A4344"/>
    <w:rsid w:val="001B194A"/>
    <w:rsid w:val="001B56ED"/>
    <w:rsid w:val="001B6127"/>
    <w:rsid w:val="001B78DE"/>
    <w:rsid w:val="001C0DD7"/>
    <w:rsid w:val="001C1979"/>
    <w:rsid w:val="001C1C3A"/>
    <w:rsid w:val="001C3F7E"/>
    <w:rsid w:val="001C5BFF"/>
    <w:rsid w:val="001C6ACF"/>
    <w:rsid w:val="001D1F0C"/>
    <w:rsid w:val="001D3871"/>
    <w:rsid w:val="001D4684"/>
    <w:rsid w:val="001D6BCF"/>
    <w:rsid w:val="001E01CA"/>
    <w:rsid w:val="001E032E"/>
    <w:rsid w:val="001E0351"/>
    <w:rsid w:val="001E0A9D"/>
    <w:rsid w:val="001E17CE"/>
    <w:rsid w:val="001E193A"/>
    <w:rsid w:val="001E2E8D"/>
    <w:rsid w:val="001E5DB1"/>
    <w:rsid w:val="001E60D1"/>
    <w:rsid w:val="001F02FA"/>
    <w:rsid w:val="001F27B8"/>
    <w:rsid w:val="001F39F4"/>
    <w:rsid w:val="001F3EC7"/>
    <w:rsid w:val="001F3F26"/>
    <w:rsid w:val="002010A4"/>
    <w:rsid w:val="00203FA3"/>
    <w:rsid w:val="00207678"/>
    <w:rsid w:val="00207DBD"/>
    <w:rsid w:val="00213DA7"/>
    <w:rsid w:val="00215609"/>
    <w:rsid w:val="00216FA6"/>
    <w:rsid w:val="00220ADB"/>
    <w:rsid w:val="002211A2"/>
    <w:rsid w:val="002215A3"/>
    <w:rsid w:val="002215BB"/>
    <w:rsid w:val="00221EA8"/>
    <w:rsid w:val="002243F1"/>
    <w:rsid w:val="002278BD"/>
    <w:rsid w:val="00230B62"/>
    <w:rsid w:val="00231F8F"/>
    <w:rsid w:val="002402E8"/>
    <w:rsid w:val="00241172"/>
    <w:rsid w:val="0024288F"/>
    <w:rsid w:val="00243EF7"/>
    <w:rsid w:val="0024692E"/>
    <w:rsid w:val="00254379"/>
    <w:rsid w:val="002602D1"/>
    <w:rsid w:val="002607CB"/>
    <w:rsid w:val="002609D5"/>
    <w:rsid w:val="00261004"/>
    <w:rsid w:val="00264A96"/>
    <w:rsid w:val="00266579"/>
    <w:rsid w:val="00273E95"/>
    <w:rsid w:val="00275485"/>
    <w:rsid w:val="002758A3"/>
    <w:rsid w:val="00275CF5"/>
    <w:rsid w:val="00276008"/>
    <w:rsid w:val="00280BDD"/>
    <w:rsid w:val="00281C0E"/>
    <w:rsid w:val="00282DA7"/>
    <w:rsid w:val="0028301F"/>
    <w:rsid w:val="0028488F"/>
    <w:rsid w:val="00285017"/>
    <w:rsid w:val="00286FB6"/>
    <w:rsid w:val="00291FD1"/>
    <w:rsid w:val="002922CB"/>
    <w:rsid w:val="00296596"/>
    <w:rsid w:val="002A1304"/>
    <w:rsid w:val="002A2D2E"/>
    <w:rsid w:val="002A3080"/>
    <w:rsid w:val="002A5622"/>
    <w:rsid w:val="002A7060"/>
    <w:rsid w:val="002C00E8"/>
    <w:rsid w:val="002C1700"/>
    <w:rsid w:val="002C4238"/>
    <w:rsid w:val="002C767E"/>
    <w:rsid w:val="002D1887"/>
    <w:rsid w:val="002D58B2"/>
    <w:rsid w:val="002E0377"/>
    <w:rsid w:val="002E059A"/>
    <w:rsid w:val="002E08E6"/>
    <w:rsid w:val="002E1084"/>
    <w:rsid w:val="002E4095"/>
    <w:rsid w:val="002E674F"/>
    <w:rsid w:val="002F4A61"/>
    <w:rsid w:val="002F63F2"/>
    <w:rsid w:val="002F77D6"/>
    <w:rsid w:val="00300DF8"/>
    <w:rsid w:val="00301776"/>
    <w:rsid w:val="00301C02"/>
    <w:rsid w:val="00304EF9"/>
    <w:rsid w:val="003070CB"/>
    <w:rsid w:val="0031068E"/>
    <w:rsid w:val="00311ABB"/>
    <w:rsid w:val="003161EC"/>
    <w:rsid w:val="00324FE4"/>
    <w:rsid w:val="0032503F"/>
    <w:rsid w:val="00325BB2"/>
    <w:rsid w:val="00325E83"/>
    <w:rsid w:val="0032615D"/>
    <w:rsid w:val="003324F6"/>
    <w:rsid w:val="0033719F"/>
    <w:rsid w:val="00340941"/>
    <w:rsid w:val="00342788"/>
    <w:rsid w:val="00343749"/>
    <w:rsid w:val="003445AE"/>
    <w:rsid w:val="003465E3"/>
    <w:rsid w:val="00355791"/>
    <w:rsid w:val="00360708"/>
    <w:rsid w:val="00360B85"/>
    <w:rsid w:val="00361621"/>
    <w:rsid w:val="00363197"/>
    <w:rsid w:val="003644D8"/>
    <w:rsid w:val="003644EE"/>
    <w:rsid w:val="003645A2"/>
    <w:rsid w:val="003660ED"/>
    <w:rsid w:val="00366C14"/>
    <w:rsid w:val="00366E18"/>
    <w:rsid w:val="00373486"/>
    <w:rsid w:val="003759F2"/>
    <w:rsid w:val="00376EFA"/>
    <w:rsid w:val="003812C0"/>
    <w:rsid w:val="00387D59"/>
    <w:rsid w:val="00391618"/>
    <w:rsid w:val="00391D15"/>
    <w:rsid w:val="00392A22"/>
    <w:rsid w:val="00392CD4"/>
    <w:rsid w:val="00393CD0"/>
    <w:rsid w:val="00394BDC"/>
    <w:rsid w:val="00396EC7"/>
    <w:rsid w:val="003A6DEA"/>
    <w:rsid w:val="003A782F"/>
    <w:rsid w:val="003B0550"/>
    <w:rsid w:val="003B0F59"/>
    <w:rsid w:val="003B19D6"/>
    <w:rsid w:val="003B1FDC"/>
    <w:rsid w:val="003B694F"/>
    <w:rsid w:val="003B7760"/>
    <w:rsid w:val="003C22C6"/>
    <w:rsid w:val="003C267E"/>
    <w:rsid w:val="003C2757"/>
    <w:rsid w:val="003D1CC1"/>
    <w:rsid w:val="003D39D4"/>
    <w:rsid w:val="003E4156"/>
    <w:rsid w:val="003E49FD"/>
    <w:rsid w:val="003E4CF8"/>
    <w:rsid w:val="003F171C"/>
    <w:rsid w:val="003F6E44"/>
    <w:rsid w:val="003F729F"/>
    <w:rsid w:val="003F7A77"/>
    <w:rsid w:val="004005D9"/>
    <w:rsid w:val="00402341"/>
    <w:rsid w:val="0040285E"/>
    <w:rsid w:val="00405A80"/>
    <w:rsid w:val="00411D3C"/>
    <w:rsid w:val="00412E7B"/>
    <w:rsid w:val="00412FC5"/>
    <w:rsid w:val="00413B86"/>
    <w:rsid w:val="0041592D"/>
    <w:rsid w:val="00417B46"/>
    <w:rsid w:val="00417D50"/>
    <w:rsid w:val="00420BBD"/>
    <w:rsid w:val="0042177C"/>
    <w:rsid w:val="004218C0"/>
    <w:rsid w:val="00422276"/>
    <w:rsid w:val="00422874"/>
    <w:rsid w:val="004242F1"/>
    <w:rsid w:val="00426763"/>
    <w:rsid w:val="00426DA8"/>
    <w:rsid w:val="004273C6"/>
    <w:rsid w:val="00430B33"/>
    <w:rsid w:val="00431643"/>
    <w:rsid w:val="00433871"/>
    <w:rsid w:val="00433EAB"/>
    <w:rsid w:val="004369A7"/>
    <w:rsid w:val="00443AD0"/>
    <w:rsid w:val="00443D4C"/>
    <w:rsid w:val="00445A00"/>
    <w:rsid w:val="00445C0F"/>
    <w:rsid w:val="00446784"/>
    <w:rsid w:val="004477A7"/>
    <w:rsid w:val="004503A6"/>
    <w:rsid w:val="00451B0F"/>
    <w:rsid w:val="00452D32"/>
    <w:rsid w:val="004559BA"/>
    <w:rsid w:val="00455E7D"/>
    <w:rsid w:val="0046046E"/>
    <w:rsid w:val="00462B27"/>
    <w:rsid w:val="00462DC4"/>
    <w:rsid w:val="00464557"/>
    <w:rsid w:val="00464797"/>
    <w:rsid w:val="004710A4"/>
    <w:rsid w:val="004717F7"/>
    <w:rsid w:val="00471C28"/>
    <w:rsid w:val="00475CA9"/>
    <w:rsid w:val="0047641D"/>
    <w:rsid w:val="00476EB9"/>
    <w:rsid w:val="00483A37"/>
    <w:rsid w:val="00484213"/>
    <w:rsid w:val="00486E1D"/>
    <w:rsid w:val="00494539"/>
    <w:rsid w:val="00495E46"/>
    <w:rsid w:val="004A3491"/>
    <w:rsid w:val="004A40A8"/>
    <w:rsid w:val="004A434C"/>
    <w:rsid w:val="004A50D7"/>
    <w:rsid w:val="004A770B"/>
    <w:rsid w:val="004A7FD2"/>
    <w:rsid w:val="004B12B2"/>
    <w:rsid w:val="004B1C79"/>
    <w:rsid w:val="004B4E1E"/>
    <w:rsid w:val="004B72A5"/>
    <w:rsid w:val="004C0C2A"/>
    <w:rsid w:val="004C2EE3"/>
    <w:rsid w:val="004C5CB2"/>
    <w:rsid w:val="004D2D8D"/>
    <w:rsid w:val="004E1826"/>
    <w:rsid w:val="004E1864"/>
    <w:rsid w:val="004E186A"/>
    <w:rsid w:val="004E41BE"/>
    <w:rsid w:val="004E4A22"/>
    <w:rsid w:val="004F1457"/>
    <w:rsid w:val="004F2EF2"/>
    <w:rsid w:val="00500AE0"/>
    <w:rsid w:val="005019EA"/>
    <w:rsid w:val="00502EB2"/>
    <w:rsid w:val="005043CF"/>
    <w:rsid w:val="00504F39"/>
    <w:rsid w:val="00511968"/>
    <w:rsid w:val="00514912"/>
    <w:rsid w:val="00515C85"/>
    <w:rsid w:val="00516F62"/>
    <w:rsid w:val="00520C5B"/>
    <w:rsid w:val="00526F3C"/>
    <w:rsid w:val="0053074E"/>
    <w:rsid w:val="00532C5A"/>
    <w:rsid w:val="00535FE5"/>
    <w:rsid w:val="00537793"/>
    <w:rsid w:val="0054359D"/>
    <w:rsid w:val="00546628"/>
    <w:rsid w:val="00547439"/>
    <w:rsid w:val="005501DA"/>
    <w:rsid w:val="00550DB6"/>
    <w:rsid w:val="00551450"/>
    <w:rsid w:val="00551D94"/>
    <w:rsid w:val="00555985"/>
    <w:rsid w:val="0055614C"/>
    <w:rsid w:val="00556501"/>
    <w:rsid w:val="00557EB5"/>
    <w:rsid w:val="00562835"/>
    <w:rsid w:val="00564FC3"/>
    <w:rsid w:val="00581910"/>
    <w:rsid w:val="005842E0"/>
    <w:rsid w:val="00584FEB"/>
    <w:rsid w:val="00590A33"/>
    <w:rsid w:val="00591BE0"/>
    <w:rsid w:val="00591ECE"/>
    <w:rsid w:val="005929F9"/>
    <w:rsid w:val="005937E9"/>
    <w:rsid w:val="005A1099"/>
    <w:rsid w:val="005A500E"/>
    <w:rsid w:val="005A5C24"/>
    <w:rsid w:val="005A7C62"/>
    <w:rsid w:val="005B0DDA"/>
    <w:rsid w:val="005B25F1"/>
    <w:rsid w:val="005C0926"/>
    <w:rsid w:val="005C0A00"/>
    <w:rsid w:val="005C3293"/>
    <w:rsid w:val="005D0682"/>
    <w:rsid w:val="005D0A97"/>
    <w:rsid w:val="005D0FF2"/>
    <w:rsid w:val="005D2848"/>
    <w:rsid w:val="005D4568"/>
    <w:rsid w:val="005D786E"/>
    <w:rsid w:val="005E14C2"/>
    <w:rsid w:val="005E1A05"/>
    <w:rsid w:val="005E25DF"/>
    <w:rsid w:val="005E2F72"/>
    <w:rsid w:val="005E768D"/>
    <w:rsid w:val="005F50B7"/>
    <w:rsid w:val="005F6460"/>
    <w:rsid w:val="006000AC"/>
    <w:rsid w:val="006001AD"/>
    <w:rsid w:val="006027A9"/>
    <w:rsid w:val="00602AE9"/>
    <w:rsid w:val="00602B0A"/>
    <w:rsid w:val="0060430C"/>
    <w:rsid w:val="00605A79"/>
    <w:rsid w:val="0060615A"/>
    <w:rsid w:val="00606256"/>
    <w:rsid w:val="006064AC"/>
    <w:rsid w:val="0060653D"/>
    <w:rsid w:val="006069FE"/>
    <w:rsid w:val="00607BA5"/>
    <w:rsid w:val="006112EF"/>
    <w:rsid w:val="0061180A"/>
    <w:rsid w:val="00613318"/>
    <w:rsid w:val="00614223"/>
    <w:rsid w:val="00620D47"/>
    <w:rsid w:val="0062351B"/>
    <w:rsid w:val="00626EB6"/>
    <w:rsid w:val="00626FAC"/>
    <w:rsid w:val="00627A0F"/>
    <w:rsid w:val="00632B16"/>
    <w:rsid w:val="0064665C"/>
    <w:rsid w:val="00646CC7"/>
    <w:rsid w:val="006539D3"/>
    <w:rsid w:val="00655D03"/>
    <w:rsid w:val="006565DF"/>
    <w:rsid w:val="0066156E"/>
    <w:rsid w:val="00664BF7"/>
    <w:rsid w:val="00673757"/>
    <w:rsid w:val="0067657B"/>
    <w:rsid w:val="00681F27"/>
    <w:rsid w:val="00683388"/>
    <w:rsid w:val="00683BDB"/>
    <w:rsid w:val="00683F84"/>
    <w:rsid w:val="00687312"/>
    <w:rsid w:val="006948EB"/>
    <w:rsid w:val="006957AC"/>
    <w:rsid w:val="006957E7"/>
    <w:rsid w:val="00696521"/>
    <w:rsid w:val="00696646"/>
    <w:rsid w:val="00697AFD"/>
    <w:rsid w:val="006A0349"/>
    <w:rsid w:val="006A646B"/>
    <w:rsid w:val="006A6A81"/>
    <w:rsid w:val="006B4A3A"/>
    <w:rsid w:val="006B61E4"/>
    <w:rsid w:val="006B65EB"/>
    <w:rsid w:val="006C07E4"/>
    <w:rsid w:val="006C29E4"/>
    <w:rsid w:val="006C729A"/>
    <w:rsid w:val="006D1F2E"/>
    <w:rsid w:val="006D2292"/>
    <w:rsid w:val="006D5C0A"/>
    <w:rsid w:val="006E0F6E"/>
    <w:rsid w:val="006E44DC"/>
    <w:rsid w:val="006E4F54"/>
    <w:rsid w:val="006E5AC4"/>
    <w:rsid w:val="006E6E5E"/>
    <w:rsid w:val="006E707D"/>
    <w:rsid w:val="006F0F4C"/>
    <w:rsid w:val="006F1D2F"/>
    <w:rsid w:val="006F430D"/>
    <w:rsid w:val="006F7393"/>
    <w:rsid w:val="006F7C66"/>
    <w:rsid w:val="00700DF6"/>
    <w:rsid w:val="00701ADF"/>
    <w:rsid w:val="0070224F"/>
    <w:rsid w:val="00702F42"/>
    <w:rsid w:val="007030C4"/>
    <w:rsid w:val="00703799"/>
    <w:rsid w:val="007074FC"/>
    <w:rsid w:val="00707C4A"/>
    <w:rsid w:val="0071110F"/>
    <w:rsid w:val="007115F7"/>
    <w:rsid w:val="00711A51"/>
    <w:rsid w:val="007141B5"/>
    <w:rsid w:val="0072043D"/>
    <w:rsid w:val="00720F89"/>
    <w:rsid w:val="007231A2"/>
    <w:rsid w:val="00724B13"/>
    <w:rsid w:val="00727616"/>
    <w:rsid w:val="0072786A"/>
    <w:rsid w:val="00734ED7"/>
    <w:rsid w:val="00741647"/>
    <w:rsid w:val="00747DB1"/>
    <w:rsid w:val="00747E3B"/>
    <w:rsid w:val="0075129C"/>
    <w:rsid w:val="00751467"/>
    <w:rsid w:val="00755CE0"/>
    <w:rsid w:val="00757AFC"/>
    <w:rsid w:val="00762F08"/>
    <w:rsid w:val="00767BC6"/>
    <w:rsid w:val="00770370"/>
    <w:rsid w:val="00770456"/>
    <w:rsid w:val="007754A6"/>
    <w:rsid w:val="007828A2"/>
    <w:rsid w:val="00782B1F"/>
    <w:rsid w:val="00782D25"/>
    <w:rsid w:val="00785689"/>
    <w:rsid w:val="007862FE"/>
    <w:rsid w:val="00791252"/>
    <w:rsid w:val="00795289"/>
    <w:rsid w:val="0079754B"/>
    <w:rsid w:val="007A1DE4"/>
    <w:rsid w:val="007A1E6D"/>
    <w:rsid w:val="007B0EB2"/>
    <w:rsid w:val="007B213B"/>
    <w:rsid w:val="007B65C5"/>
    <w:rsid w:val="007B6868"/>
    <w:rsid w:val="007C4822"/>
    <w:rsid w:val="007C6189"/>
    <w:rsid w:val="007C7521"/>
    <w:rsid w:val="007D0554"/>
    <w:rsid w:val="007D0932"/>
    <w:rsid w:val="007D1F17"/>
    <w:rsid w:val="007D7F29"/>
    <w:rsid w:val="007E43E5"/>
    <w:rsid w:val="007E5A89"/>
    <w:rsid w:val="007E7F87"/>
    <w:rsid w:val="007F0995"/>
    <w:rsid w:val="007F151C"/>
    <w:rsid w:val="007F4B26"/>
    <w:rsid w:val="007F4DC8"/>
    <w:rsid w:val="007F7553"/>
    <w:rsid w:val="008000D7"/>
    <w:rsid w:val="00803A49"/>
    <w:rsid w:val="00806106"/>
    <w:rsid w:val="00806CA8"/>
    <w:rsid w:val="00810B6F"/>
    <w:rsid w:val="00810D4C"/>
    <w:rsid w:val="00812276"/>
    <w:rsid w:val="00812A61"/>
    <w:rsid w:val="0081636B"/>
    <w:rsid w:val="00820490"/>
    <w:rsid w:val="008211C0"/>
    <w:rsid w:val="008227E5"/>
    <w:rsid w:val="00822CE0"/>
    <w:rsid w:val="0082358C"/>
    <w:rsid w:val="008243B0"/>
    <w:rsid w:val="00827947"/>
    <w:rsid w:val="008322D0"/>
    <w:rsid w:val="00841AB1"/>
    <w:rsid w:val="00843036"/>
    <w:rsid w:val="00844149"/>
    <w:rsid w:val="00844CD9"/>
    <w:rsid w:val="00845928"/>
    <w:rsid w:val="00850500"/>
    <w:rsid w:val="00855C34"/>
    <w:rsid w:val="00861454"/>
    <w:rsid w:val="00863D5C"/>
    <w:rsid w:val="00863FB4"/>
    <w:rsid w:val="008640E2"/>
    <w:rsid w:val="00866203"/>
    <w:rsid w:val="00867983"/>
    <w:rsid w:val="00873598"/>
    <w:rsid w:val="00873A75"/>
    <w:rsid w:val="00885944"/>
    <w:rsid w:val="008873E9"/>
    <w:rsid w:val="00887DBB"/>
    <w:rsid w:val="0089127D"/>
    <w:rsid w:val="00891C0E"/>
    <w:rsid w:val="00895315"/>
    <w:rsid w:val="00895690"/>
    <w:rsid w:val="008A3027"/>
    <w:rsid w:val="008A4246"/>
    <w:rsid w:val="008A441D"/>
    <w:rsid w:val="008A48EC"/>
    <w:rsid w:val="008A512D"/>
    <w:rsid w:val="008B29A0"/>
    <w:rsid w:val="008B3187"/>
    <w:rsid w:val="008B4D82"/>
    <w:rsid w:val="008B7258"/>
    <w:rsid w:val="008C1329"/>
    <w:rsid w:val="008C2C24"/>
    <w:rsid w:val="008C2C50"/>
    <w:rsid w:val="008C2E9D"/>
    <w:rsid w:val="008C2F63"/>
    <w:rsid w:val="008C3BAF"/>
    <w:rsid w:val="008C5B99"/>
    <w:rsid w:val="008C651E"/>
    <w:rsid w:val="008C68F1"/>
    <w:rsid w:val="008D3B0B"/>
    <w:rsid w:val="008D4904"/>
    <w:rsid w:val="008D491D"/>
    <w:rsid w:val="008D592B"/>
    <w:rsid w:val="008D5BD8"/>
    <w:rsid w:val="008D756B"/>
    <w:rsid w:val="008E570E"/>
    <w:rsid w:val="008E6D33"/>
    <w:rsid w:val="008E71B3"/>
    <w:rsid w:val="008E76E8"/>
    <w:rsid w:val="008F07AD"/>
    <w:rsid w:val="008F11BC"/>
    <w:rsid w:val="008F49F5"/>
    <w:rsid w:val="008F4CF7"/>
    <w:rsid w:val="008F7B75"/>
    <w:rsid w:val="009005DB"/>
    <w:rsid w:val="009014ED"/>
    <w:rsid w:val="00905513"/>
    <w:rsid w:val="00906E7E"/>
    <w:rsid w:val="00907660"/>
    <w:rsid w:val="009115B8"/>
    <w:rsid w:val="00911A8A"/>
    <w:rsid w:val="009140E2"/>
    <w:rsid w:val="0091701D"/>
    <w:rsid w:val="00921222"/>
    <w:rsid w:val="00921803"/>
    <w:rsid w:val="00925AD1"/>
    <w:rsid w:val="00926503"/>
    <w:rsid w:val="00926909"/>
    <w:rsid w:val="0093141F"/>
    <w:rsid w:val="009314D8"/>
    <w:rsid w:val="00931EC3"/>
    <w:rsid w:val="00932103"/>
    <w:rsid w:val="009345FE"/>
    <w:rsid w:val="00934CA8"/>
    <w:rsid w:val="00936FDC"/>
    <w:rsid w:val="00937C91"/>
    <w:rsid w:val="00937DED"/>
    <w:rsid w:val="00943BBE"/>
    <w:rsid w:val="00951FBB"/>
    <w:rsid w:val="0095367E"/>
    <w:rsid w:val="00961006"/>
    <w:rsid w:val="00962466"/>
    <w:rsid w:val="0096583B"/>
    <w:rsid w:val="00967DE4"/>
    <w:rsid w:val="00971C0D"/>
    <w:rsid w:val="009726D8"/>
    <w:rsid w:val="00974223"/>
    <w:rsid w:val="00983BEF"/>
    <w:rsid w:val="00985685"/>
    <w:rsid w:val="00992B9F"/>
    <w:rsid w:val="009946CA"/>
    <w:rsid w:val="009A2ECD"/>
    <w:rsid w:val="009A31D1"/>
    <w:rsid w:val="009A52F6"/>
    <w:rsid w:val="009B3503"/>
    <w:rsid w:val="009B5E62"/>
    <w:rsid w:val="009C039F"/>
    <w:rsid w:val="009C04BA"/>
    <w:rsid w:val="009C0955"/>
    <w:rsid w:val="009C55A2"/>
    <w:rsid w:val="009C59D5"/>
    <w:rsid w:val="009D05C5"/>
    <w:rsid w:val="009E2F7B"/>
    <w:rsid w:val="009E341D"/>
    <w:rsid w:val="009E4240"/>
    <w:rsid w:val="009E4D20"/>
    <w:rsid w:val="009E6F7D"/>
    <w:rsid w:val="009F0D5C"/>
    <w:rsid w:val="009F13F5"/>
    <w:rsid w:val="009F1AF5"/>
    <w:rsid w:val="009F1EA6"/>
    <w:rsid w:val="009F264D"/>
    <w:rsid w:val="009F580D"/>
    <w:rsid w:val="009F76DB"/>
    <w:rsid w:val="00A005DB"/>
    <w:rsid w:val="00A007A1"/>
    <w:rsid w:val="00A00BA9"/>
    <w:rsid w:val="00A02F95"/>
    <w:rsid w:val="00A03087"/>
    <w:rsid w:val="00A06D7C"/>
    <w:rsid w:val="00A122BD"/>
    <w:rsid w:val="00A20AF5"/>
    <w:rsid w:val="00A20B61"/>
    <w:rsid w:val="00A2529F"/>
    <w:rsid w:val="00A32C3B"/>
    <w:rsid w:val="00A32E90"/>
    <w:rsid w:val="00A355DA"/>
    <w:rsid w:val="00A36169"/>
    <w:rsid w:val="00A4006D"/>
    <w:rsid w:val="00A431C8"/>
    <w:rsid w:val="00A44B54"/>
    <w:rsid w:val="00A45F4F"/>
    <w:rsid w:val="00A600A9"/>
    <w:rsid w:val="00A63992"/>
    <w:rsid w:val="00A63A1D"/>
    <w:rsid w:val="00A65FBB"/>
    <w:rsid w:val="00A67F9C"/>
    <w:rsid w:val="00A71465"/>
    <w:rsid w:val="00A71683"/>
    <w:rsid w:val="00A73E06"/>
    <w:rsid w:val="00A73F13"/>
    <w:rsid w:val="00A74AE7"/>
    <w:rsid w:val="00A763BC"/>
    <w:rsid w:val="00A852A4"/>
    <w:rsid w:val="00A873B2"/>
    <w:rsid w:val="00A92487"/>
    <w:rsid w:val="00A932D7"/>
    <w:rsid w:val="00A94232"/>
    <w:rsid w:val="00A9697C"/>
    <w:rsid w:val="00AA126D"/>
    <w:rsid w:val="00AA3AF2"/>
    <w:rsid w:val="00AA55B7"/>
    <w:rsid w:val="00AA5B9E"/>
    <w:rsid w:val="00AB0678"/>
    <w:rsid w:val="00AB0D2A"/>
    <w:rsid w:val="00AB2407"/>
    <w:rsid w:val="00AB27D7"/>
    <w:rsid w:val="00AB421D"/>
    <w:rsid w:val="00AB53DF"/>
    <w:rsid w:val="00AB6DCF"/>
    <w:rsid w:val="00AC2194"/>
    <w:rsid w:val="00AC4294"/>
    <w:rsid w:val="00AC45CE"/>
    <w:rsid w:val="00AC5143"/>
    <w:rsid w:val="00AC6E30"/>
    <w:rsid w:val="00AC7406"/>
    <w:rsid w:val="00AD27FF"/>
    <w:rsid w:val="00AD2BC8"/>
    <w:rsid w:val="00AD484A"/>
    <w:rsid w:val="00AD6439"/>
    <w:rsid w:val="00AE2894"/>
    <w:rsid w:val="00AE49E1"/>
    <w:rsid w:val="00AE79FE"/>
    <w:rsid w:val="00AF0F0E"/>
    <w:rsid w:val="00AF14D9"/>
    <w:rsid w:val="00AF1B99"/>
    <w:rsid w:val="00AF1E65"/>
    <w:rsid w:val="00B03801"/>
    <w:rsid w:val="00B05054"/>
    <w:rsid w:val="00B05B00"/>
    <w:rsid w:val="00B062E5"/>
    <w:rsid w:val="00B07E5C"/>
    <w:rsid w:val="00B15297"/>
    <w:rsid w:val="00B16B14"/>
    <w:rsid w:val="00B225A8"/>
    <w:rsid w:val="00B2449D"/>
    <w:rsid w:val="00B246E3"/>
    <w:rsid w:val="00B2575F"/>
    <w:rsid w:val="00B2577B"/>
    <w:rsid w:val="00B26226"/>
    <w:rsid w:val="00B30B75"/>
    <w:rsid w:val="00B32867"/>
    <w:rsid w:val="00B358A5"/>
    <w:rsid w:val="00B426F8"/>
    <w:rsid w:val="00B448F2"/>
    <w:rsid w:val="00B44BBD"/>
    <w:rsid w:val="00B457BD"/>
    <w:rsid w:val="00B45B6F"/>
    <w:rsid w:val="00B46551"/>
    <w:rsid w:val="00B5162B"/>
    <w:rsid w:val="00B543A0"/>
    <w:rsid w:val="00B546C8"/>
    <w:rsid w:val="00B54D42"/>
    <w:rsid w:val="00B57B96"/>
    <w:rsid w:val="00B74808"/>
    <w:rsid w:val="00B74ABC"/>
    <w:rsid w:val="00B751D5"/>
    <w:rsid w:val="00B7648F"/>
    <w:rsid w:val="00B77C35"/>
    <w:rsid w:val="00B811F7"/>
    <w:rsid w:val="00B84051"/>
    <w:rsid w:val="00B842EB"/>
    <w:rsid w:val="00B84F91"/>
    <w:rsid w:val="00B85DC1"/>
    <w:rsid w:val="00B9023B"/>
    <w:rsid w:val="00B92E65"/>
    <w:rsid w:val="00B9612F"/>
    <w:rsid w:val="00B96ECC"/>
    <w:rsid w:val="00B9726C"/>
    <w:rsid w:val="00BA0E4E"/>
    <w:rsid w:val="00BA1DC8"/>
    <w:rsid w:val="00BA41C8"/>
    <w:rsid w:val="00BA5DC6"/>
    <w:rsid w:val="00BA6196"/>
    <w:rsid w:val="00BA6291"/>
    <w:rsid w:val="00BB13A0"/>
    <w:rsid w:val="00BB1A6F"/>
    <w:rsid w:val="00BB757E"/>
    <w:rsid w:val="00BC2F2D"/>
    <w:rsid w:val="00BC4FB7"/>
    <w:rsid w:val="00BC62D9"/>
    <w:rsid w:val="00BC65D6"/>
    <w:rsid w:val="00BC6D8C"/>
    <w:rsid w:val="00BD0BDC"/>
    <w:rsid w:val="00BD0CD8"/>
    <w:rsid w:val="00BD1C3A"/>
    <w:rsid w:val="00BD4542"/>
    <w:rsid w:val="00BD646A"/>
    <w:rsid w:val="00BD6A35"/>
    <w:rsid w:val="00BD7F13"/>
    <w:rsid w:val="00BE24D0"/>
    <w:rsid w:val="00BE6B04"/>
    <w:rsid w:val="00BF3978"/>
    <w:rsid w:val="00BF76CD"/>
    <w:rsid w:val="00C05C94"/>
    <w:rsid w:val="00C069BD"/>
    <w:rsid w:val="00C1109C"/>
    <w:rsid w:val="00C12EC6"/>
    <w:rsid w:val="00C13C55"/>
    <w:rsid w:val="00C13F4E"/>
    <w:rsid w:val="00C14446"/>
    <w:rsid w:val="00C16602"/>
    <w:rsid w:val="00C1745B"/>
    <w:rsid w:val="00C2183F"/>
    <w:rsid w:val="00C219CA"/>
    <w:rsid w:val="00C27DB4"/>
    <w:rsid w:val="00C34006"/>
    <w:rsid w:val="00C426B1"/>
    <w:rsid w:val="00C4430C"/>
    <w:rsid w:val="00C462F3"/>
    <w:rsid w:val="00C523FF"/>
    <w:rsid w:val="00C55779"/>
    <w:rsid w:val="00C56080"/>
    <w:rsid w:val="00C57FDE"/>
    <w:rsid w:val="00C615B8"/>
    <w:rsid w:val="00C62138"/>
    <w:rsid w:val="00C64D71"/>
    <w:rsid w:val="00C66160"/>
    <w:rsid w:val="00C66D88"/>
    <w:rsid w:val="00C6742A"/>
    <w:rsid w:val="00C6782E"/>
    <w:rsid w:val="00C721AC"/>
    <w:rsid w:val="00C724CB"/>
    <w:rsid w:val="00C72D79"/>
    <w:rsid w:val="00C7649B"/>
    <w:rsid w:val="00C83D8B"/>
    <w:rsid w:val="00C90D6A"/>
    <w:rsid w:val="00C964E3"/>
    <w:rsid w:val="00CA01E5"/>
    <w:rsid w:val="00CA1BD1"/>
    <w:rsid w:val="00CA247E"/>
    <w:rsid w:val="00CB01FA"/>
    <w:rsid w:val="00CB0E9A"/>
    <w:rsid w:val="00CB3701"/>
    <w:rsid w:val="00CB4C28"/>
    <w:rsid w:val="00CB504C"/>
    <w:rsid w:val="00CB6B00"/>
    <w:rsid w:val="00CC72B6"/>
    <w:rsid w:val="00CD104A"/>
    <w:rsid w:val="00CD2A99"/>
    <w:rsid w:val="00CD36DF"/>
    <w:rsid w:val="00CD4227"/>
    <w:rsid w:val="00CD6ECD"/>
    <w:rsid w:val="00CE5F31"/>
    <w:rsid w:val="00CF02FC"/>
    <w:rsid w:val="00CF0D9D"/>
    <w:rsid w:val="00CF22B2"/>
    <w:rsid w:val="00CF3CBC"/>
    <w:rsid w:val="00CF4B4C"/>
    <w:rsid w:val="00CF56A9"/>
    <w:rsid w:val="00CF574F"/>
    <w:rsid w:val="00CF58C7"/>
    <w:rsid w:val="00D00225"/>
    <w:rsid w:val="00D0218D"/>
    <w:rsid w:val="00D05115"/>
    <w:rsid w:val="00D055D1"/>
    <w:rsid w:val="00D07ABF"/>
    <w:rsid w:val="00D07DFE"/>
    <w:rsid w:val="00D22492"/>
    <w:rsid w:val="00D22B73"/>
    <w:rsid w:val="00D2340D"/>
    <w:rsid w:val="00D25AE5"/>
    <w:rsid w:val="00D25FB5"/>
    <w:rsid w:val="00D27C8D"/>
    <w:rsid w:val="00D31F4B"/>
    <w:rsid w:val="00D43835"/>
    <w:rsid w:val="00D44223"/>
    <w:rsid w:val="00D44B18"/>
    <w:rsid w:val="00D44BC9"/>
    <w:rsid w:val="00D451A8"/>
    <w:rsid w:val="00D5179C"/>
    <w:rsid w:val="00D53D9D"/>
    <w:rsid w:val="00D56C99"/>
    <w:rsid w:val="00D56D1F"/>
    <w:rsid w:val="00D61AC7"/>
    <w:rsid w:val="00D63C8C"/>
    <w:rsid w:val="00D6764A"/>
    <w:rsid w:val="00D74F53"/>
    <w:rsid w:val="00D7547A"/>
    <w:rsid w:val="00D75FC4"/>
    <w:rsid w:val="00D7714A"/>
    <w:rsid w:val="00D77ABF"/>
    <w:rsid w:val="00D813EF"/>
    <w:rsid w:val="00D82B99"/>
    <w:rsid w:val="00D83BD7"/>
    <w:rsid w:val="00D845A0"/>
    <w:rsid w:val="00D8688E"/>
    <w:rsid w:val="00D90597"/>
    <w:rsid w:val="00D91382"/>
    <w:rsid w:val="00D92FD2"/>
    <w:rsid w:val="00D93B7D"/>
    <w:rsid w:val="00D94E68"/>
    <w:rsid w:val="00D97DDC"/>
    <w:rsid w:val="00DA00C5"/>
    <w:rsid w:val="00DA069F"/>
    <w:rsid w:val="00DA220D"/>
    <w:rsid w:val="00DA2377"/>
    <w:rsid w:val="00DA2529"/>
    <w:rsid w:val="00DA3F5E"/>
    <w:rsid w:val="00DA45B2"/>
    <w:rsid w:val="00DA49D0"/>
    <w:rsid w:val="00DB007C"/>
    <w:rsid w:val="00DB130A"/>
    <w:rsid w:val="00DB2EBB"/>
    <w:rsid w:val="00DB3246"/>
    <w:rsid w:val="00DC03ED"/>
    <w:rsid w:val="00DC0CB1"/>
    <w:rsid w:val="00DC10A1"/>
    <w:rsid w:val="00DC4D45"/>
    <w:rsid w:val="00DC655F"/>
    <w:rsid w:val="00DC7FDC"/>
    <w:rsid w:val="00DD0998"/>
    <w:rsid w:val="00DD0B59"/>
    <w:rsid w:val="00DD0BAC"/>
    <w:rsid w:val="00DD0F9A"/>
    <w:rsid w:val="00DD3CB3"/>
    <w:rsid w:val="00DD41C4"/>
    <w:rsid w:val="00DD7EBD"/>
    <w:rsid w:val="00DE0615"/>
    <w:rsid w:val="00DE2A15"/>
    <w:rsid w:val="00DE4BCB"/>
    <w:rsid w:val="00DE50B4"/>
    <w:rsid w:val="00DE6578"/>
    <w:rsid w:val="00DE7327"/>
    <w:rsid w:val="00DF07E6"/>
    <w:rsid w:val="00DF0AE8"/>
    <w:rsid w:val="00DF62B6"/>
    <w:rsid w:val="00DF6A5A"/>
    <w:rsid w:val="00E035EC"/>
    <w:rsid w:val="00E07225"/>
    <w:rsid w:val="00E0777C"/>
    <w:rsid w:val="00E1366E"/>
    <w:rsid w:val="00E13F0D"/>
    <w:rsid w:val="00E14E3D"/>
    <w:rsid w:val="00E17666"/>
    <w:rsid w:val="00E203E6"/>
    <w:rsid w:val="00E21612"/>
    <w:rsid w:val="00E25ECE"/>
    <w:rsid w:val="00E26C76"/>
    <w:rsid w:val="00E26D7A"/>
    <w:rsid w:val="00E3169C"/>
    <w:rsid w:val="00E324A5"/>
    <w:rsid w:val="00E4040E"/>
    <w:rsid w:val="00E40B8F"/>
    <w:rsid w:val="00E44F43"/>
    <w:rsid w:val="00E4673A"/>
    <w:rsid w:val="00E47BED"/>
    <w:rsid w:val="00E537EB"/>
    <w:rsid w:val="00E53D4C"/>
    <w:rsid w:val="00E53F6C"/>
    <w:rsid w:val="00E5409F"/>
    <w:rsid w:val="00E54957"/>
    <w:rsid w:val="00E55F6A"/>
    <w:rsid w:val="00E57E98"/>
    <w:rsid w:val="00E60362"/>
    <w:rsid w:val="00E603F2"/>
    <w:rsid w:val="00E6199D"/>
    <w:rsid w:val="00E6275D"/>
    <w:rsid w:val="00E64B6F"/>
    <w:rsid w:val="00E660F7"/>
    <w:rsid w:val="00E7041C"/>
    <w:rsid w:val="00E7348D"/>
    <w:rsid w:val="00E77389"/>
    <w:rsid w:val="00E84B15"/>
    <w:rsid w:val="00E859AA"/>
    <w:rsid w:val="00E866FF"/>
    <w:rsid w:val="00E9148E"/>
    <w:rsid w:val="00E9292A"/>
    <w:rsid w:val="00E94BF5"/>
    <w:rsid w:val="00E9532E"/>
    <w:rsid w:val="00EA10CC"/>
    <w:rsid w:val="00EA1352"/>
    <w:rsid w:val="00EB22B9"/>
    <w:rsid w:val="00EB255D"/>
    <w:rsid w:val="00EB3138"/>
    <w:rsid w:val="00EB37CE"/>
    <w:rsid w:val="00EB4727"/>
    <w:rsid w:val="00EB5049"/>
    <w:rsid w:val="00EC177E"/>
    <w:rsid w:val="00EC1A62"/>
    <w:rsid w:val="00EC2797"/>
    <w:rsid w:val="00EC3296"/>
    <w:rsid w:val="00EC4B1B"/>
    <w:rsid w:val="00EC7BC8"/>
    <w:rsid w:val="00EC7BCD"/>
    <w:rsid w:val="00EE0CAF"/>
    <w:rsid w:val="00EE2945"/>
    <w:rsid w:val="00EE34EE"/>
    <w:rsid w:val="00EE6488"/>
    <w:rsid w:val="00EF1C23"/>
    <w:rsid w:val="00EF4E2D"/>
    <w:rsid w:val="00EF5AF2"/>
    <w:rsid w:val="00F00A20"/>
    <w:rsid w:val="00F00A96"/>
    <w:rsid w:val="00F021FA"/>
    <w:rsid w:val="00F14388"/>
    <w:rsid w:val="00F157CA"/>
    <w:rsid w:val="00F162D4"/>
    <w:rsid w:val="00F179AC"/>
    <w:rsid w:val="00F20A9C"/>
    <w:rsid w:val="00F25EA8"/>
    <w:rsid w:val="00F33B49"/>
    <w:rsid w:val="00F345B2"/>
    <w:rsid w:val="00F3570C"/>
    <w:rsid w:val="00F3605B"/>
    <w:rsid w:val="00F4246A"/>
    <w:rsid w:val="00F458FE"/>
    <w:rsid w:val="00F45CE6"/>
    <w:rsid w:val="00F5502F"/>
    <w:rsid w:val="00F553E1"/>
    <w:rsid w:val="00F57CD9"/>
    <w:rsid w:val="00F6126A"/>
    <w:rsid w:val="00F62B90"/>
    <w:rsid w:val="00F62E97"/>
    <w:rsid w:val="00F64209"/>
    <w:rsid w:val="00F64D26"/>
    <w:rsid w:val="00F6589E"/>
    <w:rsid w:val="00F66E0D"/>
    <w:rsid w:val="00F70373"/>
    <w:rsid w:val="00F70475"/>
    <w:rsid w:val="00F7140B"/>
    <w:rsid w:val="00F7151E"/>
    <w:rsid w:val="00F721B7"/>
    <w:rsid w:val="00F73FEC"/>
    <w:rsid w:val="00F745F4"/>
    <w:rsid w:val="00F76724"/>
    <w:rsid w:val="00F772B3"/>
    <w:rsid w:val="00F80A2D"/>
    <w:rsid w:val="00F82924"/>
    <w:rsid w:val="00F85F16"/>
    <w:rsid w:val="00F86E8B"/>
    <w:rsid w:val="00F87BAC"/>
    <w:rsid w:val="00F92C08"/>
    <w:rsid w:val="00F92F31"/>
    <w:rsid w:val="00F93BF5"/>
    <w:rsid w:val="00F94853"/>
    <w:rsid w:val="00FA042B"/>
    <w:rsid w:val="00FA2657"/>
    <w:rsid w:val="00FA6BA2"/>
    <w:rsid w:val="00FB0E09"/>
    <w:rsid w:val="00FB1409"/>
    <w:rsid w:val="00FB53B3"/>
    <w:rsid w:val="00FB7541"/>
    <w:rsid w:val="00FC208D"/>
    <w:rsid w:val="00FC4C0F"/>
    <w:rsid w:val="00FC5C1A"/>
    <w:rsid w:val="00FD0875"/>
    <w:rsid w:val="00FD3CDC"/>
    <w:rsid w:val="00FD7D5E"/>
    <w:rsid w:val="00FE1A42"/>
    <w:rsid w:val="00FE533E"/>
    <w:rsid w:val="00FE5FBD"/>
    <w:rsid w:val="00FF0DCC"/>
    <w:rsid w:val="00FF1C01"/>
    <w:rsid w:val="00FF25B0"/>
    <w:rsid w:val="00FF3111"/>
    <w:rsid w:val="00FF3744"/>
    <w:rsid w:val="00FF6A9A"/>
    <w:rsid w:val="00FF71B0"/>
    <w:rsid w:val="014ACEEB"/>
    <w:rsid w:val="023CC4E5"/>
    <w:rsid w:val="0266FBD9"/>
    <w:rsid w:val="026D2B04"/>
    <w:rsid w:val="04F64F50"/>
    <w:rsid w:val="0574824D"/>
    <w:rsid w:val="0E9E08EB"/>
    <w:rsid w:val="12BFEB83"/>
    <w:rsid w:val="1881225A"/>
    <w:rsid w:val="195292C3"/>
    <w:rsid w:val="19675093"/>
    <w:rsid w:val="1A842936"/>
    <w:rsid w:val="1C100289"/>
    <w:rsid w:val="1C296A3B"/>
    <w:rsid w:val="1D71BFE0"/>
    <w:rsid w:val="233867FB"/>
    <w:rsid w:val="26F06683"/>
    <w:rsid w:val="2E85E062"/>
    <w:rsid w:val="2F64F461"/>
    <w:rsid w:val="30EC24CE"/>
    <w:rsid w:val="31B02BAE"/>
    <w:rsid w:val="35F4DE19"/>
    <w:rsid w:val="35F74E9E"/>
    <w:rsid w:val="36DF144B"/>
    <w:rsid w:val="373E42E1"/>
    <w:rsid w:val="393D47FF"/>
    <w:rsid w:val="394D708C"/>
    <w:rsid w:val="3BE3195D"/>
    <w:rsid w:val="439A0666"/>
    <w:rsid w:val="43D14335"/>
    <w:rsid w:val="44F0A8EA"/>
    <w:rsid w:val="45114EAA"/>
    <w:rsid w:val="459C443A"/>
    <w:rsid w:val="461862D6"/>
    <w:rsid w:val="4B9EAC9C"/>
    <w:rsid w:val="4BC403A3"/>
    <w:rsid w:val="4D12045B"/>
    <w:rsid w:val="4D2C8EFD"/>
    <w:rsid w:val="517257E8"/>
    <w:rsid w:val="522C3D11"/>
    <w:rsid w:val="52BB9D69"/>
    <w:rsid w:val="53863091"/>
    <w:rsid w:val="55595EF1"/>
    <w:rsid w:val="56255392"/>
    <w:rsid w:val="5918A7F7"/>
    <w:rsid w:val="5920E70A"/>
    <w:rsid w:val="5F4EA5B7"/>
    <w:rsid w:val="604E9BD2"/>
    <w:rsid w:val="67AD45B2"/>
    <w:rsid w:val="696451BF"/>
    <w:rsid w:val="69C13D89"/>
    <w:rsid w:val="6AEC17B6"/>
    <w:rsid w:val="6B5C2BD3"/>
    <w:rsid w:val="6C70CE7F"/>
    <w:rsid w:val="6D17EF7B"/>
    <w:rsid w:val="704C066D"/>
    <w:rsid w:val="7318999E"/>
    <w:rsid w:val="73E202E9"/>
    <w:rsid w:val="741B921E"/>
    <w:rsid w:val="75821FDC"/>
    <w:rsid w:val="76092E77"/>
    <w:rsid w:val="7788AEB3"/>
    <w:rsid w:val="77E51216"/>
    <w:rsid w:val="79F4B42E"/>
    <w:rsid w:val="7AEBA3D4"/>
    <w:rsid w:val="7C52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7BA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C4"/>
    <w:pPr>
      <w:widowControl w:val="0"/>
    </w:pPr>
    <w:rPr>
      <w:snapToGrid w:val="0"/>
      <w:kern w:val="28"/>
      <w:sz w:val="22"/>
    </w:rPr>
  </w:style>
  <w:style w:type="paragraph" w:styleId="Heading1">
    <w:name w:val="heading 1"/>
    <w:basedOn w:val="Normal"/>
    <w:next w:val="ParaNum"/>
    <w:qFormat/>
    <w:rsid w:val="006E5AC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E5AC4"/>
    <w:pPr>
      <w:keepNext/>
      <w:numPr>
        <w:ilvl w:val="1"/>
        <w:numId w:val="3"/>
      </w:numPr>
      <w:spacing w:after="120"/>
      <w:outlineLvl w:val="1"/>
    </w:pPr>
    <w:rPr>
      <w:b/>
    </w:rPr>
  </w:style>
  <w:style w:type="paragraph" w:styleId="Heading3">
    <w:name w:val="heading 3"/>
    <w:basedOn w:val="Normal"/>
    <w:next w:val="ParaNum"/>
    <w:link w:val="Heading3Char"/>
    <w:qFormat/>
    <w:rsid w:val="006E5AC4"/>
    <w:pPr>
      <w:keepNext/>
      <w:numPr>
        <w:ilvl w:val="2"/>
        <w:numId w:val="3"/>
      </w:numPr>
      <w:tabs>
        <w:tab w:val="left" w:pos="2160"/>
      </w:tabs>
      <w:spacing w:after="120"/>
      <w:outlineLvl w:val="2"/>
    </w:pPr>
    <w:rPr>
      <w:b/>
    </w:rPr>
  </w:style>
  <w:style w:type="paragraph" w:styleId="Heading4">
    <w:name w:val="heading 4"/>
    <w:basedOn w:val="Normal"/>
    <w:next w:val="ParaNum"/>
    <w:qFormat/>
    <w:rsid w:val="006E5AC4"/>
    <w:pPr>
      <w:keepNext/>
      <w:numPr>
        <w:ilvl w:val="3"/>
        <w:numId w:val="3"/>
      </w:numPr>
      <w:tabs>
        <w:tab w:val="left" w:pos="2880"/>
      </w:tabs>
      <w:spacing w:after="120"/>
      <w:outlineLvl w:val="3"/>
    </w:pPr>
    <w:rPr>
      <w:b/>
    </w:rPr>
  </w:style>
  <w:style w:type="paragraph" w:styleId="Heading5">
    <w:name w:val="heading 5"/>
    <w:basedOn w:val="Normal"/>
    <w:next w:val="ParaNum"/>
    <w:qFormat/>
    <w:rsid w:val="006E5AC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E5AC4"/>
    <w:pPr>
      <w:numPr>
        <w:ilvl w:val="5"/>
        <w:numId w:val="3"/>
      </w:numPr>
      <w:tabs>
        <w:tab w:val="left" w:pos="4320"/>
      </w:tabs>
      <w:spacing w:after="120"/>
      <w:outlineLvl w:val="5"/>
    </w:pPr>
    <w:rPr>
      <w:b/>
    </w:rPr>
  </w:style>
  <w:style w:type="paragraph" w:styleId="Heading7">
    <w:name w:val="heading 7"/>
    <w:basedOn w:val="Normal"/>
    <w:next w:val="ParaNum"/>
    <w:qFormat/>
    <w:rsid w:val="006E5AC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E5AC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E5AC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E5A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5AC4"/>
  </w:style>
  <w:style w:type="paragraph" w:customStyle="1" w:styleId="ParaNum">
    <w:name w:val="ParaNum"/>
    <w:basedOn w:val="Normal"/>
    <w:rsid w:val="006E5AC4"/>
    <w:pPr>
      <w:numPr>
        <w:numId w:val="2"/>
      </w:numPr>
      <w:tabs>
        <w:tab w:val="clear" w:pos="1080"/>
        <w:tab w:val="num" w:pos="1440"/>
      </w:tabs>
      <w:spacing w:after="120"/>
    </w:pPr>
  </w:style>
  <w:style w:type="paragraph" w:styleId="EndnoteText">
    <w:name w:val="endnote text"/>
    <w:basedOn w:val="Normal"/>
    <w:semiHidden/>
    <w:rsid w:val="006E5AC4"/>
    <w:rPr>
      <w:sz w:val="20"/>
    </w:rPr>
  </w:style>
  <w:style w:type="character" w:styleId="EndnoteReference">
    <w:name w:val="endnote reference"/>
    <w:semiHidden/>
    <w:rsid w:val="006E5AC4"/>
    <w:rPr>
      <w:vertAlign w:val="superscript"/>
    </w:rPr>
  </w:style>
  <w:style w:type="paragraph" w:styleId="FootnoteText">
    <w:name w:val="footnote text"/>
    <w:aliases w:val="ALTS FOOTNOTE,fn,Footnote Text Char,ALTS FOOTNOTE Char,fn Char,Footnote Text Char2 Char,Footnote Text Char1 Char Char,Footnote Text Char Char2 Char Char,Footnote Text Char3 Char Char2 Char Char,Footnote Text Char2 Char Char Char2 Char Char"/>
    <w:link w:val="FootnoteTextChar1"/>
    <w:rsid w:val="006E5AC4"/>
    <w:pPr>
      <w:spacing w:after="120"/>
    </w:pPr>
  </w:style>
  <w:style w:type="character" w:styleId="FootnoteReference">
    <w:name w:val="footnote reference"/>
    <w:rsid w:val="006E5AC4"/>
    <w:rPr>
      <w:rFonts w:ascii="Times New Roman" w:hAnsi="Times New Roman"/>
      <w:dstrike w:val="0"/>
      <w:color w:val="auto"/>
      <w:sz w:val="20"/>
      <w:vertAlign w:val="superscript"/>
    </w:rPr>
  </w:style>
  <w:style w:type="paragraph" w:styleId="TOC1">
    <w:name w:val="toc 1"/>
    <w:basedOn w:val="Normal"/>
    <w:next w:val="Normal"/>
    <w:semiHidden/>
    <w:rsid w:val="006E5AC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E5AC4"/>
    <w:pPr>
      <w:tabs>
        <w:tab w:val="left" w:pos="720"/>
        <w:tab w:val="right" w:leader="dot" w:pos="9360"/>
      </w:tabs>
      <w:suppressAutoHyphens/>
      <w:ind w:left="720" w:right="720" w:hanging="360"/>
    </w:pPr>
    <w:rPr>
      <w:noProof/>
    </w:rPr>
  </w:style>
  <w:style w:type="paragraph" w:styleId="TOC3">
    <w:name w:val="toc 3"/>
    <w:basedOn w:val="Normal"/>
    <w:next w:val="Normal"/>
    <w:semiHidden/>
    <w:rsid w:val="006E5AC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E5AC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E5AC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E5A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E5A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E5A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E5A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E5AC4"/>
    <w:pPr>
      <w:tabs>
        <w:tab w:val="right" w:pos="9360"/>
      </w:tabs>
      <w:suppressAutoHyphens/>
    </w:pPr>
  </w:style>
  <w:style w:type="character" w:customStyle="1" w:styleId="EquationCaption">
    <w:name w:val="_Equation Caption"/>
    <w:rsid w:val="006E5AC4"/>
  </w:style>
  <w:style w:type="paragraph" w:styleId="Header">
    <w:name w:val="header"/>
    <w:basedOn w:val="Normal"/>
    <w:link w:val="HeaderChar"/>
    <w:autoRedefine/>
    <w:rsid w:val="006E5AC4"/>
    <w:pPr>
      <w:tabs>
        <w:tab w:val="center" w:pos="4680"/>
        <w:tab w:val="right" w:pos="9360"/>
      </w:tabs>
    </w:pPr>
    <w:rPr>
      <w:b/>
    </w:rPr>
  </w:style>
  <w:style w:type="paragraph" w:styleId="Footer">
    <w:name w:val="footer"/>
    <w:basedOn w:val="Normal"/>
    <w:link w:val="FooterChar"/>
    <w:rsid w:val="006E5AC4"/>
    <w:pPr>
      <w:tabs>
        <w:tab w:val="center" w:pos="4320"/>
        <w:tab w:val="right" w:pos="8640"/>
      </w:tabs>
    </w:pPr>
  </w:style>
  <w:style w:type="character" w:styleId="PageNumber">
    <w:name w:val="page number"/>
    <w:basedOn w:val="DefaultParagraphFont"/>
    <w:rsid w:val="006E5AC4"/>
  </w:style>
  <w:style w:type="paragraph" w:styleId="BlockText">
    <w:name w:val="Block Text"/>
    <w:basedOn w:val="Normal"/>
    <w:rsid w:val="006E5AC4"/>
    <w:pPr>
      <w:spacing w:after="240"/>
      <w:ind w:left="1440" w:right="1440"/>
    </w:pPr>
  </w:style>
  <w:style w:type="paragraph" w:customStyle="1" w:styleId="Paratitle">
    <w:name w:val="Para title"/>
    <w:basedOn w:val="Normal"/>
    <w:rsid w:val="006E5AC4"/>
    <w:pPr>
      <w:tabs>
        <w:tab w:val="center" w:pos="9270"/>
      </w:tabs>
      <w:spacing w:after="240"/>
    </w:pPr>
    <w:rPr>
      <w:spacing w:val="-2"/>
    </w:rPr>
  </w:style>
  <w:style w:type="paragraph" w:customStyle="1" w:styleId="Bullet">
    <w:name w:val="Bullet"/>
    <w:basedOn w:val="Normal"/>
    <w:rsid w:val="006E5AC4"/>
    <w:pPr>
      <w:tabs>
        <w:tab w:val="left" w:pos="2160"/>
      </w:tabs>
      <w:spacing w:after="220"/>
      <w:ind w:left="2160" w:hanging="720"/>
    </w:pPr>
  </w:style>
  <w:style w:type="paragraph" w:customStyle="1" w:styleId="TableFormat">
    <w:name w:val="TableFormat"/>
    <w:basedOn w:val="Bullet"/>
    <w:rsid w:val="006E5AC4"/>
    <w:pPr>
      <w:tabs>
        <w:tab w:val="clear" w:pos="2160"/>
        <w:tab w:val="left" w:pos="5040"/>
      </w:tabs>
      <w:ind w:left="5040" w:hanging="3600"/>
    </w:pPr>
  </w:style>
  <w:style w:type="paragraph" w:customStyle="1" w:styleId="TOCTitle">
    <w:name w:val="TOC Title"/>
    <w:basedOn w:val="Normal"/>
    <w:rsid w:val="006E5A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E5AC4"/>
    <w:pPr>
      <w:jc w:val="center"/>
    </w:pPr>
    <w:rPr>
      <w:rFonts w:ascii="Times New Roman Bold" w:hAnsi="Times New Roman Bold"/>
      <w:b/>
      <w:bCs/>
      <w:caps/>
      <w:szCs w:val="22"/>
    </w:rPr>
  </w:style>
  <w:style w:type="character" w:styleId="Hyperlink">
    <w:name w:val="Hyperlink"/>
    <w:rsid w:val="006E5AC4"/>
    <w:rPr>
      <w:color w:val="0000FF"/>
      <w:u w:val="single"/>
    </w:rPr>
  </w:style>
  <w:style w:type="character" w:customStyle="1" w:styleId="FootnoteTextChar1">
    <w:name w:val="Footnote Text Char1"/>
    <w:aliases w:val="ALTS FOOTNOTE Char1,fn Char1,Footnote Text Char Char,ALTS FOOTNOTE Char Char,fn Char Char,Footnote Text Char2 Char Char,Footnote Text Char1 Char Char Char,Footnote Text Char Char2 Char Char Char"/>
    <w:link w:val="FootnoteText"/>
    <w:rsid w:val="005A7C62"/>
  </w:style>
  <w:style w:type="paragraph" w:customStyle="1" w:styleId="SignatureJobTitle">
    <w:name w:val="Signature Job Title"/>
    <w:rsid w:val="005A7C62"/>
    <w:pPr>
      <w:widowControl w:val="0"/>
      <w:tabs>
        <w:tab w:val="left" w:pos="-720"/>
      </w:tabs>
      <w:suppressAutoHyphens/>
    </w:pPr>
    <w:rPr>
      <w:rFonts w:ascii="Courier New" w:hAnsi="Courier New"/>
      <w:snapToGrid w:val="0"/>
    </w:rPr>
  </w:style>
  <w:style w:type="paragraph" w:styleId="BodyText2">
    <w:name w:val="Body Text 2"/>
    <w:basedOn w:val="Normal"/>
    <w:link w:val="BodyText2Char"/>
    <w:rsid w:val="005A7C62"/>
    <w:rPr>
      <w:snapToGrid/>
    </w:rPr>
  </w:style>
  <w:style w:type="character" w:customStyle="1" w:styleId="BodyText2Char">
    <w:name w:val="Body Text 2 Char"/>
    <w:link w:val="BodyText2"/>
    <w:rsid w:val="005A7C62"/>
    <w:rPr>
      <w:sz w:val="22"/>
    </w:rPr>
  </w:style>
  <w:style w:type="paragraph" w:styleId="List2">
    <w:name w:val="List 2"/>
    <w:basedOn w:val="Normal"/>
    <w:rsid w:val="005A7C62"/>
    <w:pPr>
      <w:ind w:left="720" w:hanging="360"/>
    </w:pPr>
    <w:rPr>
      <w:snapToGrid/>
      <w:sz w:val="24"/>
    </w:rPr>
  </w:style>
  <w:style w:type="paragraph" w:styleId="BodyTextIndent">
    <w:name w:val="Body Text Indent"/>
    <w:basedOn w:val="Normal"/>
    <w:link w:val="BodyTextIndentChar"/>
    <w:rsid w:val="005A7C62"/>
    <w:pPr>
      <w:ind w:firstLine="720"/>
    </w:pPr>
    <w:rPr>
      <w:snapToGrid/>
    </w:rPr>
  </w:style>
  <w:style w:type="character" w:customStyle="1" w:styleId="BodyTextIndentChar">
    <w:name w:val="Body Text Indent Char"/>
    <w:link w:val="BodyTextIndent"/>
    <w:rsid w:val="005A7C62"/>
    <w:rPr>
      <w:sz w:val="22"/>
    </w:rPr>
  </w:style>
  <w:style w:type="character" w:customStyle="1" w:styleId="documentbody1">
    <w:name w:val="documentbody1"/>
    <w:rsid w:val="005A7C62"/>
    <w:rPr>
      <w:rFonts w:ascii="Verdana" w:hAnsi="Verdana" w:hint="default"/>
      <w:sz w:val="19"/>
      <w:szCs w:val="19"/>
      <w:shd w:val="clear" w:color="auto" w:fill="FFFFFF"/>
    </w:rPr>
  </w:style>
  <w:style w:type="character" w:styleId="Strong">
    <w:name w:val="Strong"/>
    <w:uiPriority w:val="22"/>
    <w:qFormat/>
    <w:rsid w:val="005A7C62"/>
    <w:rPr>
      <w:b/>
      <w:bCs/>
    </w:rPr>
  </w:style>
  <w:style w:type="character" w:styleId="Emphasis">
    <w:name w:val="Emphasis"/>
    <w:qFormat/>
    <w:rsid w:val="005A7C62"/>
    <w:rPr>
      <w:i/>
      <w:iCs/>
    </w:rPr>
  </w:style>
  <w:style w:type="character" w:customStyle="1" w:styleId="documentbody">
    <w:name w:val="documentbody"/>
    <w:rsid w:val="005A7C62"/>
  </w:style>
  <w:style w:type="character" w:customStyle="1" w:styleId="bestsection">
    <w:name w:val="bestsection"/>
    <w:rsid w:val="005A7C62"/>
  </w:style>
  <w:style w:type="character" w:customStyle="1" w:styleId="searchterm">
    <w:name w:val="searchterm"/>
    <w:rsid w:val="005A7C62"/>
  </w:style>
  <w:style w:type="character" w:styleId="FollowedHyperlink">
    <w:name w:val="FollowedHyperlink"/>
    <w:rsid w:val="00B03801"/>
    <w:rPr>
      <w:color w:val="800080"/>
      <w:u w:val="single"/>
    </w:rPr>
  </w:style>
  <w:style w:type="paragraph" w:styleId="BalloonText">
    <w:name w:val="Balloon Text"/>
    <w:basedOn w:val="Normal"/>
    <w:link w:val="BalloonTextChar"/>
    <w:rsid w:val="004710A4"/>
    <w:rPr>
      <w:rFonts w:ascii="Tahoma" w:hAnsi="Tahoma" w:cs="Tahoma"/>
      <w:sz w:val="16"/>
      <w:szCs w:val="16"/>
    </w:rPr>
  </w:style>
  <w:style w:type="character" w:customStyle="1" w:styleId="BalloonTextChar">
    <w:name w:val="Balloon Text Char"/>
    <w:link w:val="BalloonText"/>
    <w:rsid w:val="004710A4"/>
    <w:rPr>
      <w:rFonts w:ascii="Tahoma" w:hAnsi="Tahoma" w:cs="Tahoma"/>
      <w:snapToGrid w:val="0"/>
      <w:kern w:val="28"/>
      <w:sz w:val="16"/>
      <w:szCs w:val="16"/>
    </w:rPr>
  </w:style>
  <w:style w:type="character" w:styleId="CommentReference">
    <w:name w:val="annotation reference"/>
    <w:rsid w:val="002758A3"/>
    <w:rPr>
      <w:sz w:val="16"/>
      <w:szCs w:val="16"/>
    </w:rPr>
  </w:style>
  <w:style w:type="paragraph" w:styleId="CommentText">
    <w:name w:val="annotation text"/>
    <w:basedOn w:val="Normal"/>
    <w:link w:val="CommentTextChar"/>
    <w:rsid w:val="002758A3"/>
    <w:rPr>
      <w:sz w:val="20"/>
    </w:rPr>
  </w:style>
  <w:style w:type="character" w:customStyle="1" w:styleId="CommentTextChar">
    <w:name w:val="Comment Text Char"/>
    <w:link w:val="CommentText"/>
    <w:rsid w:val="002758A3"/>
    <w:rPr>
      <w:snapToGrid w:val="0"/>
      <w:kern w:val="28"/>
    </w:rPr>
  </w:style>
  <w:style w:type="paragraph" w:styleId="CommentSubject">
    <w:name w:val="annotation subject"/>
    <w:basedOn w:val="CommentText"/>
    <w:next w:val="CommentText"/>
    <w:link w:val="CommentSubjectChar"/>
    <w:rsid w:val="002758A3"/>
    <w:rPr>
      <w:b/>
      <w:bCs/>
    </w:rPr>
  </w:style>
  <w:style w:type="character" w:customStyle="1" w:styleId="CommentSubjectChar">
    <w:name w:val="Comment Subject Char"/>
    <w:link w:val="CommentSubject"/>
    <w:rsid w:val="002758A3"/>
    <w:rPr>
      <w:b/>
      <w:bCs/>
      <w:snapToGrid w:val="0"/>
      <w:kern w:val="28"/>
    </w:rPr>
  </w:style>
  <w:style w:type="paragraph" w:customStyle="1" w:styleId="MediumList2-Accent41">
    <w:name w:val="Medium List 2 - Accent 41"/>
    <w:basedOn w:val="Normal"/>
    <w:uiPriority w:val="34"/>
    <w:qFormat/>
    <w:rsid w:val="007E5A89"/>
    <w:pPr>
      <w:ind w:left="720"/>
      <w:contextualSpacing/>
    </w:pPr>
  </w:style>
  <w:style w:type="character" w:customStyle="1" w:styleId="HeaderChar">
    <w:name w:val="Header Char"/>
    <w:link w:val="Header"/>
    <w:rsid w:val="00A355DA"/>
    <w:rPr>
      <w:b/>
      <w:snapToGrid w:val="0"/>
      <w:kern w:val="28"/>
      <w:sz w:val="22"/>
    </w:rPr>
  </w:style>
  <w:style w:type="paragraph" w:styleId="Title">
    <w:name w:val="Title"/>
    <w:basedOn w:val="Normal"/>
    <w:link w:val="TitleChar"/>
    <w:qFormat/>
    <w:rsid w:val="000C2307"/>
    <w:pPr>
      <w:jc w:val="center"/>
    </w:pPr>
    <w:rPr>
      <w:sz w:val="24"/>
    </w:rPr>
  </w:style>
  <w:style w:type="character" w:customStyle="1" w:styleId="TitleChar">
    <w:name w:val="Title Char"/>
    <w:link w:val="Title"/>
    <w:rsid w:val="000C2307"/>
    <w:rPr>
      <w:snapToGrid w:val="0"/>
      <w:kern w:val="28"/>
      <w:sz w:val="24"/>
    </w:rPr>
  </w:style>
  <w:style w:type="paragraph" w:customStyle="1" w:styleId="MediumList1-Accent41">
    <w:name w:val="Medium List 1 - Accent 41"/>
    <w:hidden/>
    <w:uiPriority w:val="99"/>
    <w:semiHidden/>
    <w:rsid w:val="00243EF7"/>
    <w:rPr>
      <w:snapToGrid w:val="0"/>
      <w:kern w:val="28"/>
      <w:sz w:val="22"/>
    </w:rPr>
  </w:style>
  <w:style w:type="paragraph" w:styleId="HTMLPreformatted">
    <w:name w:val="HTML Preformatted"/>
    <w:basedOn w:val="Normal"/>
    <w:link w:val="HTMLPreformattedChar"/>
    <w:uiPriority w:val="99"/>
    <w:unhideWhenUsed/>
    <w:rsid w:val="0082358C"/>
    <w:rPr>
      <w:rFonts w:ascii="Courier" w:hAnsi="Courier"/>
      <w:sz w:val="20"/>
    </w:rPr>
  </w:style>
  <w:style w:type="character" w:customStyle="1" w:styleId="HTMLPreformattedChar">
    <w:name w:val="HTML Preformatted Char"/>
    <w:link w:val="HTMLPreformatted"/>
    <w:uiPriority w:val="99"/>
    <w:rsid w:val="0082358C"/>
    <w:rPr>
      <w:rFonts w:ascii="Courier" w:hAnsi="Courier"/>
      <w:snapToGrid w:val="0"/>
      <w:kern w:val="28"/>
    </w:rPr>
  </w:style>
  <w:style w:type="paragraph" w:customStyle="1" w:styleId="DarkList-Accent31">
    <w:name w:val="Dark List - Accent 31"/>
    <w:hidden/>
    <w:uiPriority w:val="99"/>
    <w:semiHidden/>
    <w:rsid w:val="00C13F4E"/>
    <w:rPr>
      <w:snapToGrid w:val="0"/>
      <w:kern w:val="28"/>
      <w:sz w:val="22"/>
    </w:rPr>
  </w:style>
  <w:style w:type="paragraph" w:customStyle="1" w:styleId="LightList-Accent31">
    <w:name w:val="Light List - Accent 31"/>
    <w:hidden/>
    <w:uiPriority w:val="99"/>
    <w:semiHidden/>
    <w:rsid w:val="00810D4C"/>
    <w:rPr>
      <w:snapToGrid w:val="0"/>
      <w:kern w:val="28"/>
      <w:sz w:val="22"/>
    </w:rPr>
  </w:style>
  <w:style w:type="paragraph" w:styleId="NormalWeb">
    <w:name w:val="Normal (Web)"/>
    <w:basedOn w:val="Normal"/>
    <w:uiPriority w:val="99"/>
    <w:unhideWhenUsed/>
    <w:rsid w:val="00147964"/>
    <w:pPr>
      <w:spacing w:before="100" w:beforeAutospacing="1" w:after="100" w:afterAutospacing="1"/>
    </w:pPr>
    <w:rPr>
      <w:rFonts w:ascii="Times" w:hAnsi="Times"/>
      <w:snapToGrid/>
      <w:sz w:val="20"/>
    </w:rPr>
  </w:style>
  <w:style w:type="character" w:customStyle="1" w:styleId="Heading3Char">
    <w:name w:val="Heading 3 Char"/>
    <w:link w:val="Heading3"/>
    <w:rsid w:val="00433871"/>
    <w:rPr>
      <w:b/>
      <w:snapToGrid w:val="0"/>
      <w:kern w:val="28"/>
      <w:sz w:val="22"/>
    </w:rPr>
  </w:style>
  <w:style w:type="paragraph" w:styleId="ListParagraph">
    <w:name w:val="List Paragraph"/>
    <w:basedOn w:val="Normal"/>
    <w:uiPriority w:val="34"/>
    <w:qFormat/>
    <w:rsid w:val="00A44B54"/>
    <w:pPr>
      <w:ind w:left="720"/>
    </w:pPr>
  </w:style>
  <w:style w:type="paragraph" w:styleId="Revision">
    <w:name w:val="Revision"/>
    <w:hidden/>
    <w:uiPriority w:val="99"/>
    <w:semiHidden/>
    <w:rsid w:val="00887DBB"/>
    <w:rPr>
      <w:snapToGrid w:val="0"/>
      <w:kern w:val="28"/>
      <w:sz w:val="22"/>
    </w:rPr>
  </w:style>
  <w:style w:type="character" w:customStyle="1" w:styleId="FooterChar">
    <w:name w:val="Footer Char"/>
    <w:basedOn w:val="DefaultParagraphFont"/>
    <w:link w:val="Footer"/>
    <w:rsid w:val="006B4A3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C4"/>
    <w:pPr>
      <w:widowControl w:val="0"/>
    </w:pPr>
    <w:rPr>
      <w:snapToGrid w:val="0"/>
      <w:kern w:val="28"/>
      <w:sz w:val="22"/>
    </w:rPr>
  </w:style>
  <w:style w:type="paragraph" w:styleId="Heading1">
    <w:name w:val="heading 1"/>
    <w:basedOn w:val="Normal"/>
    <w:next w:val="ParaNum"/>
    <w:qFormat/>
    <w:rsid w:val="006E5AC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E5AC4"/>
    <w:pPr>
      <w:keepNext/>
      <w:numPr>
        <w:ilvl w:val="1"/>
        <w:numId w:val="3"/>
      </w:numPr>
      <w:spacing w:after="120"/>
      <w:outlineLvl w:val="1"/>
    </w:pPr>
    <w:rPr>
      <w:b/>
    </w:rPr>
  </w:style>
  <w:style w:type="paragraph" w:styleId="Heading3">
    <w:name w:val="heading 3"/>
    <w:basedOn w:val="Normal"/>
    <w:next w:val="ParaNum"/>
    <w:link w:val="Heading3Char"/>
    <w:qFormat/>
    <w:rsid w:val="006E5AC4"/>
    <w:pPr>
      <w:keepNext/>
      <w:numPr>
        <w:ilvl w:val="2"/>
        <w:numId w:val="3"/>
      </w:numPr>
      <w:tabs>
        <w:tab w:val="left" w:pos="2160"/>
      </w:tabs>
      <w:spacing w:after="120"/>
      <w:outlineLvl w:val="2"/>
    </w:pPr>
    <w:rPr>
      <w:b/>
    </w:rPr>
  </w:style>
  <w:style w:type="paragraph" w:styleId="Heading4">
    <w:name w:val="heading 4"/>
    <w:basedOn w:val="Normal"/>
    <w:next w:val="ParaNum"/>
    <w:qFormat/>
    <w:rsid w:val="006E5AC4"/>
    <w:pPr>
      <w:keepNext/>
      <w:numPr>
        <w:ilvl w:val="3"/>
        <w:numId w:val="3"/>
      </w:numPr>
      <w:tabs>
        <w:tab w:val="left" w:pos="2880"/>
      </w:tabs>
      <w:spacing w:after="120"/>
      <w:outlineLvl w:val="3"/>
    </w:pPr>
    <w:rPr>
      <w:b/>
    </w:rPr>
  </w:style>
  <w:style w:type="paragraph" w:styleId="Heading5">
    <w:name w:val="heading 5"/>
    <w:basedOn w:val="Normal"/>
    <w:next w:val="ParaNum"/>
    <w:qFormat/>
    <w:rsid w:val="006E5AC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E5AC4"/>
    <w:pPr>
      <w:numPr>
        <w:ilvl w:val="5"/>
        <w:numId w:val="3"/>
      </w:numPr>
      <w:tabs>
        <w:tab w:val="left" w:pos="4320"/>
      </w:tabs>
      <w:spacing w:after="120"/>
      <w:outlineLvl w:val="5"/>
    </w:pPr>
    <w:rPr>
      <w:b/>
    </w:rPr>
  </w:style>
  <w:style w:type="paragraph" w:styleId="Heading7">
    <w:name w:val="heading 7"/>
    <w:basedOn w:val="Normal"/>
    <w:next w:val="ParaNum"/>
    <w:qFormat/>
    <w:rsid w:val="006E5AC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E5AC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E5AC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E5A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5AC4"/>
  </w:style>
  <w:style w:type="paragraph" w:customStyle="1" w:styleId="ParaNum">
    <w:name w:val="ParaNum"/>
    <w:basedOn w:val="Normal"/>
    <w:rsid w:val="006E5AC4"/>
    <w:pPr>
      <w:numPr>
        <w:numId w:val="2"/>
      </w:numPr>
      <w:tabs>
        <w:tab w:val="clear" w:pos="1080"/>
        <w:tab w:val="num" w:pos="1440"/>
      </w:tabs>
      <w:spacing w:after="120"/>
    </w:pPr>
  </w:style>
  <w:style w:type="paragraph" w:styleId="EndnoteText">
    <w:name w:val="endnote text"/>
    <w:basedOn w:val="Normal"/>
    <w:semiHidden/>
    <w:rsid w:val="006E5AC4"/>
    <w:rPr>
      <w:sz w:val="20"/>
    </w:rPr>
  </w:style>
  <w:style w:type="character" w:styleId="EndnoteReference">
    <w:name w:val="endnote reference"/>
    <w:semiHidden/>
    <w:rsid w:val="006E5AC4"/>
    <w:rPr>
      <w:vertAlign w:val="superscript"/>
    </w:rPr>
  </w:style>
  <w:style w:type="paragraph" w:styleId="FootnoteText">
    <w:name w:val="footnote text"/>
    <w:aliases w:val="ALTS FOOTNOTE,fn,Footnote Text Char,ALTS FOOTNOTE Char,fn Char,Footnote Text Char2 Char,Footnote Text Char1 Char Char,Footnote Text Char Char2 Char Char,Footnote Text Char3 Char Char2 Char Char,Footnote Text Char2 Char Char Char2 Char Char"/>
    <w:link w:val="FootnoteTextChar1"/>
    <w:rsid w:val="006E5AC4"/>
    <w:pPr>
      <w:spacing w:after="120"/>
    </w:pPr>
  </w:style>
  <w:style w:type="character" w:styleId="FootnoteReference">
    <w:name w:val="footnote reference"/>
    <w:rsid w:val="006E5AC4"/>
    <w:rPr>
      <w:rFonts w:ascii="Times New Roman" w:hAnsi="Times New Roman"/>
      <w:dstrike w:val="0"/>
      <w:color w:val="auto"/>
      <w:sz w:val="20"/>
      <w:vertAlign w:val="superscript"/>
    </w:rPr>
  </w:style>
  <w:style w:type="paragraph" w:styleId="TOC1">
    <w:name w:val="toc 1"/>
    <w:basedOn w:val="Normal"/>
    <w:next w:val="Normal"/>
    <w:semiHidden/>
    <w:rsid w:val="006E5AC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E5AC4"/>
    <w:pPr>
      <w:tabs>
        <w:tab w:val="left" w:pos="720"/>
        <w:tab w:val="right" w:leader="dot" w:pos="9360"/>
      </w:tabs>
      <w:suppressAutoHyphens/>
      <w:ind w:left="720" w:right="720" w:hanging="360"/>
    </w:pPr>
    <w:rPr>
      <w:noProof/>
    </w:rPr>
  </w:style>
  <w:style w:type="paragraph" w:styleId="TOC3">
    <w:name w:val="toc 3"/>
    <w:basedOn w:val="Normal"/>
    <w:next w:val="Normal"/>
    <w:semiHidden/>
    <w:rsid w:val="006E5AC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E5AC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E5AC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E5A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E5A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E5A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E5A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E5AC4"/>
    <w:pPr>
      <w:tabs>
        <w:tab w:val="right" w:pos="9360"/>
      </w:tabs>
      <w:suppressAutoHyphens/>
    </w:pPr>
  </w:style>
  <w:style w:type="character" w:customStyle="1" w:styleId="EquationCaption">
    <w:name w:val="_Equation Caption"/>
    <w:rsid w:val="006E5AC4"/>
  </w:style>
  <w:style w:type="paragraph" w:styleId="Header">
    <w:name w:val="header"/>
    <w:basedOn w:val="Normal"/>
    <w:link w:val="HeaderChar"/>
    <w:autoRedefine/>
    <w:rsid w:val="006E5AC4"/>
    <w:pPr>
      <w:tabs>
        <w:tab w:val="center" w:pos="4680"/>
        <w:tab w:val="right" w:pos="9360"/>
      </w:tabs>
    </w:pPr>
    <w:rPr>
      <w:b/>
    </w:rPr>
  </w:style>
  <w:style w:type="paragraph" w:styleId="Footer">
    <w:name w:val="footer"/>
    <w:basedOn w:val="Normal"/>
    <w:link w:val="FooterChar"/>
    <w:rsid w:val="006E5AC4"/>
    <w:pPr>
      <w:tabs>
        <w:tab w:val="center" w:pos="4320"/>
        <w:tab w:val="right" w:pos="8640"/>
      </w:tabs>
    </w:pPr>
  </w:style>
  <w:style w:type="character" w:styleId="PageNumber">
    <w:name w:val="page number"/>
    <w:basedOn w:val="DefaultParagraphFont"/>
    <w:rsid w:val="006E5AC4"/>
  </w:style>
  <w:style w:type="paragraph" w:styleId="BlockText">
    <w:name w:val="Block Text"/>
    <w:basedOn w:val="Normal"/>
    <w:rsid w:val="006E5AC4"/>
    <w:pPr>
      <w:spacing w:after="240"/>
      <w:ind w:left="1440" w:right="1440"/>
    </w:pPr>
  </w:style>
  <w:style w:type="paragraph" w:customStyle="1" w:styleId="Paratitle">
    <w:name w:val="Para title"/>
    <w:basedOn w:val="Normal"/>
    <w:rsid w:val="006E5AC4"/>
    <w:pPr>
      <w:tabs>
        <w:tab w:val="center" w:pos="9270"/>
      </w:tabs>
      <w:spacing w:after="240"/>
    </w:pPr>
    <w:rPr>
      <w:spacing w:val="-2"/>
    </w:rPr>
  </w:style>
  <w:style w:type="paragraph" w:customStyle="1" w:styleId="Bullet">
    <w:name w:val="Bullet"/>
    <w:basedOn w:val="Normal"/>
    <w:rsid w:val="006E5AC4"/>
    <w:pPr>
      <w:tabs>
        <w:tab w:val="left" w:pos="2160"/>
      </w:tabs>
      <w:spacing w:after="220"/>
      <w:ind w:left="2160" w:hanging="720"/>
    </w:pPr>
  </w:style>
  <w:style w:type="paragraph" w:customStyle="1" w:styleId="TableFormat">
    <w:name w:val="TableFormat"/>
    <w:basedOn w:val="Bullet"/>
    <w:rsid w:val="006E5AC4"/>
    <w:pPr>
      <w:tabs>
        <w:tab w:val="clear" w:pos="2160"/>
        <w:tab w:val="left" w:pos="5040"/>
      </w:tabs>
      <w:ind w:left="5040" w:hanging="3600"/>
    </w:pPr>
  </w:style>
  <w:style w:type="paragraph" w:customStyle="1" w:styleId="TOCTitle">
    <w:name w:val="TOC Title"/>
    <w:basedOn w:val="Normal"/>
    <w:rsid w:val="006E5A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E5AC4"/>
    <w:pPr>
      <w:jc w:val="center"/>
    </w:pPr>
    <w:rPr>
      <w:rFonts w:ascii="Times New Roman Bold" w:hAnsi="Times New Roman Bold"/>
      <w:b/>
      <w:bCs/>
      <w:caps/>
      <w:szCs w:val="22"/>
    </w:rPr>
  </w:style>
  <w:style w:type="character" w:styleId="Hyperlink">
    <w:name w:val="Hyperlink"/>
    <w:rsid w:val="006E5AC4"/>
    <w:rPr>
      <w:color w:val="0000FF"/>
      <w:u w:val="single"/>
    </w:rPr>
  </w:style>
  <w:style w:type="character" w:customStyle="1" w:styleId="FootnoteTextChar1">
    <w:name w:val="Footnote Text Char1"/>
    <w:aliases w:val="ALTS FOOTNOTE Char1,fn Char1,Footnote Text Char Char,ALTS FOOTNOTE Char Char,fn Char Char,Footnote Text Char2 Char Char,Footnote Text Char1 Char Char Char,Footnote Text Char Char2 Char Char Char"/>
    <w:link w:val="FootnoteText"/>
    <w:rsid w:val="005A7C62"/>
  </w:style>
  <w:style w:type="paragraph" w:customStyle="1" w:styleId="SignatureJobTitle">
    <w:name w:val="Signature Job Title"/>
    <w:rsid w:val="005A7C62"/>
    <w:pPr>
      <w:widowControl w:val="0"/>
      <w:tabs>
        <w:tab w:val="left" w:pos="-720"/>
      </w:tabs>
      <w:suppressAutoHyphens/>
    </w:pPr>
    <w:rPr>
      <w:rFonts w:ascii="Courier New" w:hAnsi="Courier New"/>
      <w:snapToGrid w:val="0"/>
    </w:rPr>
  </w:style>
  <w:style w:type="paragraph" w:styleId="BodyText2">
    <w:name w:val="Body Text 2"/>
    <w:basedOn w:val="Normal"/>
    <w:link w:val="BodyText2Char"/>
    <w:rsid w:val="005A7C62"/>
    <w:rPr>
      <w:snapToGrid/>
    </w:rPr>
  </w:style>
  <w:style w:type="character" w:customStyle="1" w:styleId="BodyText2Char">
    <w:name w:val="Body Text 2 Char"/>
    <w:link w:val="BodyText2"/>
    <w:rsid w:val="005A7C62"/>
    <w:rPr>
      <w:sz w:val="22"/>
    </w:rPr>
  </w:style>
  <w:style w:type="paragraph" w:styleId="List2">
    <w:name w:val="List 2"/>
    <w:basedOn w:val="Normal"/>
    <w:rsid w:val="005A7C62"/>
    <w:pPr>
      <w:ind w:left="720" w:hanging="360"/>
    </w:pPr>
    <w:rPr>
      <w:snapToGrid/>
      <w:sz w:val="24"/>
    </w:rPr>
  </w:style>
  <w:style w:type="paragraph" w:styleId="BodyTextIndent">
    <w:name w:val="Body Text Indent"/>
    <w:basedOn w:val="Normal"/>
    <w:link w:val="BodyTextIndentChar"/>
    <w:rsid w:val="005A7C62"/>
    <w:pPr>
      <w:ind w:firstLine="720"/>
    </w:pPr>
    <w:rPr>
      <w:snapToGrid/>
    </w:rPr>
  </w:style>
  <w:style w:type="character" w:customStyle="1" w:styleId="BodyTextIndentChar">
    <w:name w:val="Body Text Indent Char"/>
    <w:link w:val="BodyTextIndent"/>
    <w:rsid w:val="005A7C62"/>
    <w:rPr>
      <w:sz w:val="22"/>
    </w:rPr>
  </w:style>
  <w:style w:type="character" w:customStyle="1" w:styleId="documentbody1">
    <w:name w:val="documentbody1"/>
    <w:rsid w:val="005A7C62"/>
    <w:rPr>
      <w:rFonts w:ascii="Verdana" w:hAnsi="Verdana" w:hint="default"/>
      <w:sz w:val="19"/>
      <w:szCs w:val="19"/>
      <w:shd w:val="clear" w:color="auto" w:fill="FFFFFF"/>
    </w:rPr>
  </w:style>
  <w:style w:type="character" w:styleId="Strong">
    <w:name w:val="Strong"/>
    <w:uiPriority w:val="22"/>
    <w:qFormat/>
    <w:rsid w:val="005A7C62"/>
    <w:rPr>
      <w:b/>
      <w:bCs/>
    </w:rPr>
  </w:style>
  <w:style w:type="character" w:styleId="Emphasis">
    <w:name w:val="Emphasis"/>
    <w:qFormat/>
    <w:rsid w:val="005A7C62"/>
    <w:rPr>
      <w:i/>
      <w:iCs/>
    </w:rPr>
  </w:style>
  <w:style w:type="character" w:customStyle="1" w:styleId="documentbody">
    <w:name w:val="documentbody"/>
    <w:rsid w:val="005A7C62"/>
  </w:style>
  <w:style w:type="character" w:customStyle="1" w:styleId="bestsection">
    <w:name w:val="bestsection"/>
    <w:rsid w:val="005A7C62"/>
  </w:style>
  <w:style w:type="character" w:customStyle="1" w:styleId="searchterm">
    <w:name w:val="searchterm"/>
    <w:rsid w:val="005A7C62"/>
  </w:style>
  <w:style w:type="character" w:styleId="FollowedHyperlink">
    <w:name w:val="FollowedHyperlink"/>
    <w:rsid w:val="00B03801"/>
    <w:rPr>
      <w:color w:val="800080"/>
      <w:u w:val="single"/>
    </w:rPr>
  </w:style>
  <w:style w:type="paragraph" w:styleId="BalloonText">
    <w:name w:val="Balloon Text"/>
    <w:basedOn w:val="Normal"/>
    <w:link w:val="BalloonTextChar"/>
    <w:rsid w:val="004710A4"/>
    <w:rPr>
      <w:rFonts w:ascii="Tahoma" w:hAnsi="Tahoma" w:cs="Tahoma"/>
      <w:sz w:val="16"/>
      <w:szCs w:val="16"/>
    </w:rPr>
  </w:style>
  <w:style w:type="character" w:customStyle="1" w:styleId="BalloonTextChar">
    <w:name w:val="Balloon Text Char"/>
    <w:link w:val="BalloonText"/>
    <w:rsid w:val="004710A4"/>
    <w:rPr>
      <w:rFonts w:ascii="Tahoma" w:hAnsi="Tahoma" w:cs="Tahoma"/>
      <w:snapToGrid w:val="0"/>
      <w:kern w:val="28"/>
      <w:sz w:val="16"/>
      <w:szCs w:val="16"/>
    </w:rPr>
  </w:style>
  <w:style w:type="character" w:styleId="CommentReference">
    <w:name w:val="annotation reference"/>
    <w:rsid w:val="002758A3"/>
    <w:rPr>
      <w:sz w:val="16"/>
      <w:szCs w:val="16"/>
    </w:rPr>
  </w:style>
  <w:style w:type="paragraph" w:styleId="CommentText">
    <w:name w:val="annotation text"/>
    <w:basedOn w:val="Normal"/>
    <w:link w:val="CommentTextChar"/>
    <w:rsid w:val="002758A3"/>
    <w:rPr>
      <w:sz w:val="20"/>
    </w:rPr>
  </w:style>
  <w:style w:type="character" w:customStyle="1" w:styleId="CommentTextChar">
    <w:name w:val="Comment Text Char"/>
    <w:link w:val="CommentText"/>
    <w:rsid w:val="002758A3"/>
    <w:rPr>
      <w:snapToGrid w:val="0"/>
      <w:kern w:val="28"/>
    </w:rPr>
  </w:style>
  <w:style w:type="paragraph" w:styleId="CommentSubject">
    <w:name w:val="annotation subject"/>
    <w:basedOn w:val="CommentText"/>
    <w:next w:val="CommentText"/>
    <w:link w:val="CommentSubjectChar"/>
    <w:rsid w:val="002758A3"/>
    <w:rPr>
      <w:b/>
      <w:bCs/>
    </w:rPr>
  </w:style>
  <w:style w:type="character" w:customStyle="1" w:styleId="CommentSubjectChar">
    <w:name w:val="Comment Subject Char"/>
    <w:link w:val="CommentSubject"/>
    <w:rsid w:val="002758A3"/>
    <w:rPr>
      <w:b/>
      <w:bCs/>
      <w:snapToGrid w:val="0"/>
      <w:kern w:val="28"/>
    </w:rPr>
  </w:style>
  <w:style w:type="paragraph" w:customStyle="1" w:styleId="MediumList2-Accent41">
    <w:name w:val="Medium List 2 - Accent 41"/>
    <w:basedOn w:val="Normal"/>
    <w:uiPriority w:val="34"/>
    <w:qFormat/>
    <w:rsid w:val="007E5A89"/>
    <w:pPr>
      <w:ind w:left="720"/>
      <w:contextualSpacing/>
    </w:pPr>
  </w:style>
  <w:style w:type="character" w:customStyle="1" w:styleId="HeaderChar">
    <w:name w:val="Header Char"/>
    <w:link w:val="Header"/>
    <w:rsid w:val="00A355DA"/>
    <w:rPr>
      <w:b/>
      <w:snapToGrid w:val="0"/>
      <w:kern w:val="28"/>
      <w:sz w:val="22"/>
    </w:rPr>
  </w:style>
  <w:style w:type="paragraph" w:styleId="Title">
    <w:name w:val="Title"/>
    <w:basedOn w:val="Normal"/>
    <w:link w:val="TitleChar"/>
    <w:qFormat/>
    <w:rsid w:val="000C2307"/>
    <w:pPr>
      <w:jc w:val="center"/>
    </w:pPr>
    <w:rPr>
      <w:sz w:val="24"/>
    </w:rPr>
  </w:style>
  <w:style w:type="character" w:customStyle="1" w:styleId="TitleChar">
    <w:name w:val="Title Char"/>
    <w:link w:val="Title"/>
    <w:rsid w:val="000C2307"/>
    <w:rPr>
      <w:snapToGrid w:val="0"/>
      <w:kern w:val="28"/>
      <w:sz w:val="24"/>
    </w:rPr>
  </w:style>
  <w:style w:type="paragraph" w:customStyle="1" w:styleId="MediumList1-Accent41">
    <w:name w:val="Medium List 1 - Accent 41"/>
    <w:hidden/>
    <w:uiPriority w:val="99"/>
    <w:semiHidden/>
    <w:rsid w:val="00243EF7"/>
    <w:rPr>
      <w:snapToGrid w:val="0"/>
      <w:kern w:val="28"/>
      <w:sz w:val="22"/>
    </w:rPr>
  </w:style>
  <w:style w:type="paragraph" w:styleId="HTMLPreformatted">
    <w:name w:val="HTML Preformatted"/>
    <w:basedOn w:val="Normal"/>
    <w:link w:val="HTMLPreformattedChar"/>
    <w:uiPriority w:val="99"/>
    <w:unhideWhenUsed/>
    <w:rsid w:val="0082358C"/>
    <w:rPr>
      <w:rFonts w:ascii="Courier" w:hAnsi="Courier"/>
      <w:sz w:val="20"/>
    </w:rPr>
  </w:style>
  <w:style w:type="character" w:customStyle="1" w:styleId="HTMLPreformattedChar">
    <w:name w:val="HTML Preformatted Char"/>
    <w:link w:val="HTMLPreformatted"/>
    <w:uiPriority w:val="99"/>
    <w:rsid w:val="0082358C"/>
    <w:rPr>
      <w:rFonts w:ascii="Courier" w:hAnsi="Courier"/>
      <w:snapToGrid w:val="0"/>
      <w:kern w:val="28"/>
    </w:rPr>
  </w:style>
  <w:style w:type="paragraph" w:customStyle="1" w:styleId="DarkList-Accent31">
    <w:name w:val="Dark List - Accent 31"/>
    <w:hidden/>
    <w:uiPriority w:val="99"/>
    <w:semiHidden/>
    <w:rsid w:val="00C13F4E"/>
    <w:rPr>
      <w:snapToGrid w:val="0"/>
      <w:kern w:val="28"/>
      <w:sz w:val="22"/>
    </w:rPr>
  </w:style>
  <w:style w:type="paragraph" w:customStyle="1" w:styleId="LightList-Accent31">
    <w:name w:val="Light List - Accent 31"/>
    <w:hidden/>
    <w:uiPriority w:val="99"/>
    <w:semiHidden/>
    <w:rsid w:val="00810D4C"/>
    <w:rPr>
      <w:snapToGrid w:val="0"/>
      <w:kern w:val="28"/>
      <w:sz w:val="22"/>
    </w:rPr>
  </w:style>
  <w:style w:type="paragraph" w:styleId="NormalWeb">
    <w:name w:val="Normal (Web)"/>
    <w:basedOn w:val="Normal"/>
    <w:uiPriority w:val="99"/>
    <w:unhideWhenUsed/>
    <w:rsid w:val="00147964"/>
    <w:pPr>
      <w:spacing w:before="100" w:beforeAutospacing="1" w:after="100" w:afterAutospacing="1"/>
    </w:pPr>
    <w:rPr>
      <w:rFonts w:ascii="Times" w:hAnsi="Times"/>
      <w:snapToGrid/>
      <w:sz w:val="20"/>
    </w:rPr>
  </w:style>
  <w:style w:type="character" w:customStyle="1" w:styleId="Heading3Char">
    <w:name w:val="Heading 3 Char"/>
    <w:link w:val="Heading3"/>
    <w:rsid w:val="00433871"/>
    <w:rPr>
      <w:b/>
      <w:snapToGrid w:val="0"/>
      <w:kern w:val="28"/>
      <w:sz w:val="22"/>
    </w:rPr>
  </w:style>
  <w:style w:type="paragraph" w:styleId="ListParagraph">
    <w:name w:val="List Paragraph"/>
    <w:basedOn w:val="Normal"/>
    <w:uiPriority w:val="34"/>
    <w:qFormat/>
    <w:rsid w:val="00A44B54"/>
    <w:pPr>
      <w:ind w:left="720"/>
    </w:pPr>
  </w:style>
  <w:style w:type="paragraph" w:styleId="Revision">
    <w:name w:val="Revision"/>
    <w:hidden/>
    <w:uiPriority w:val="99"/>
    <w:semiHidden/>
    <w:rsid w:val="00887DBB"/>
    <w:rPr>
      <w:snapToGrid w:val="0"/>
      <w:kern w:val="28"/>
      <w:sz w:val="22"/>
    </w:rPr>
  </w:style>
  <w:style w:type="character" w:customStyle="1" w:styleId="FooterChar">
    <w:name w:val="Footer Char"/>
    <w:basedOn w:val="DefaultParagraphFont"/>
    <w:link w:val="Footer"/>
    <w:rsid w:val="006B4A3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10">
      <w:bodyDiv w:val="1"/>
      <w:marLeft w:val="0"/>
      <w:marRight w:val="0"/>
      <w:marTop w:val="0"/>
      <w:marBottom w:val="0"/>
      <w:divBdr>
        <w:top w:val="none" w:sz="0" w:space="0" w:color="auto"/>
        <w:left w:val="none" w:sz="0" w:space="0" w:color="auto"/>
        <w:bottom w:val="none" w:sz="0" w:space="0" w:color="auto"/>
        <w:right w:val="none" w:sz="0" w:space="0" w:color="auto"/>
      </w:divBdr>
    </w:div>
    <w:div w:id="110977206">
      <w:bodyDiv w:val="1"/>
      <w:marLeft w:val="0"/>
      <w:marRight w:val="0"/>
      <w:marTop w:val="0"/>
      <w:marBottom w:val="0"/>
      <w:divBdr>
        <w:top w:val="none" w:sz="0" w:space="0" w:color="auto"/>
        <w:left w:val="none" w:sz="0" w:space="0" w:color="auto"/>
        <w:bottom w:val="none" w:sz="0" w:space="0" w:color="auto"/>
        <w:right w:val="none" w:sz="0" w:space="0" w:color="auto"/>
      </w:divBdr>
    </w:div>
    <w:div w:id="162358330">
      <w:bodyDiv w:val="1"/>
      <w:marLeft w:val="0"/>
      <w:marRight w:val="0"/>
      <w:marTop w:val="0"/>
      <w:marBottom w:val="0"/>
      <w:divBdr>
        <w:top w:val="none" w:sz="0" w:space="0" w:color="auto"/>
        <w:left w:val="none" w:sz="0" w:space="0" w:color="auto"/>
        <w:bottom w:val="none" w:sz="0" w:space="0" w:color="auto"/>
        <w:right w:val="none" w:sz="0" w:space="0" w:color="auto"/>
      </w:divBdr>
    </w:div>
    <w:div w:id="220948208">
      <w:bodyDiv w:val="1"/>
      <w:marLeft w:val="0"/>
      <w:marRight w:val="0"/>
      <w:marTop w:val="0"/>
      <w:marBottom w:val="0"/>
      <w:divBdr>
        <w:top w:val="none" w:sz="0" w:space="0" w:color="auto"/>
        <w:left w:val="none" w:sz="0" w:space="0" w:color="auto"/>
        <w:bottom w:val="none" w:sz="0" w:space="0" w:color="auto"/>
        <w:right w:val="none" w:sz="0" w:space="0" w:color="auto"/>
      </w:divBdr>
    </w:div>
    <w:div w:id="236522301">
      <w:bodyDiv w:val="1"/>
      <w:marLeft w:val="0"/>
      <w:marRight w:val="0"/>
      <w:marTop w:val="0"/>
      <w:marBottom w:val="0"/>
      <w:divBdr>
        <w:top w:val="none" w:sz="0" w:space="0" w:color="auto"/>
        <w:left w:val="none" w:sz="0" w:space="0" w:color="auto"/>
        <w:bottom w:val="none" w:sz="0" w:space="0" w:color="auto"/>
        <w:right w:val="none" w:sz="0" w:space="0" w:color="auto"/>
      </w:divBdr>
    </w:div>
    <w:div w:id="263340670">
      <w:bodyDiv w:val="1"/>
      <w:marLeft w:val="0"/>
      <w:marRight w:val="0"/>
      <w:marTop w:val="0"/>
      <w:marBottom w:val="0"/>
      <w:divBdr>
        <w:top w:val="none" w:sz="0" w:space="0" w:color="auto"/>
        <w:left w:val="none" w:sz="0" w:space="0" w:color="auto"/>
        <w:bottom w:val="none" w:sz="0" w:space="0" w:color="auto"/>
        <w:right w:val="none" w:sz="0" w:space="0" w:color="auto"/>
      </w:divBdr>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39815799">
      <w:bodyDiv w:val="1"/>
      <w:marLeft w:val="0"/>
      <w:marRight w:val="0"/>
      <w:marTop w:val="0"/>
      <w:marBottom w:val="0"/>
      <w:divBdr>
        <w:top w:val="none" w:sz="0" w:space="0" w:color="auto"/>
        <w:left w:val="none" w:sz="0" w:space="0" w:color="auto"/>
        <w:bottom w:val="none" w:sz="0" w:space="0" w:color="auto"/>
        <w:right w:val="none" w:sz="0" w:space="0" w:color="auto"/>
      </w:divBdr>
    </w:div>
    <w:div w:id="355891081">
      <w:bodyDiv w:val="1"/>
      <w:marLeft w:val="0"/>
      <w:marRight w:val="0"/>
      <w:marTop w:val="0"/>
      <w:marBottom w:val="0"/>
      <w:divBdr>
        <w:top w:val="none" w:sz="0" w:space="0" w:color="auto"/>
        <w:left w:val="none" w:sz="0" w:space="0" w:color="auto"/>
        <w:bottom w:val="none" w:sz="0" w:space="0" w:color="auto"/>
        <w:right w:val="none" w:sz="0" w:space="0" w:color="auto"/>
      </w:divBdr>
    </w:div>
    <w:div w:id="413011751">
      <w:bodyDiv w:val="1"/>
      <w:marLeft w:val="0"/>
      <w:marRight w:val="0"/>
      <w:marTop w:val="0"/>
      <w:marBottom w:val="0"/>
      <w:divBdr>
        <w:top w:val="none" w:sz="0" w:space="0" w:color="auto"/>
        <w:left w:val="none" w:sz="0" w:space="0" w:color="auto"/>
        <w:bottom w:val="none" w:sz="0" w:space="0" w:color="auto"/>
        <w:right w:val="none" w:sz="0" w:space="0" w:color="auto"/>
      </w:divBdr>
    </w:div>
    <w:div w:id="422382207">
      <w:bodyDiv w:val="1"/>
      <w:marLeft w:val="0"/>
      <w:marRight w:val="0"/>
      <w:marTop w:val="0"/>
      <w:marBottom w:val="0"/>
      <w:divBdr>
        <w:top w:val="none" w:sz="0" w:space="0" w:color="auto"/>
        <w:left w:val="none" w:sz="0" w:space="0" w:color="auto"/>
        <w:bottom w:val="none" w:sz="0" w:space="0" w:color="auto"/>
        <w:right w:val="none" w:sz="0" w:space="0" w:color="auto"/>
      </w:divBdr>
    </w:div>
    <w:div w:id="439952821">
      <w:bodyDiv w:val="1"/>
      <w:marLeft w:val="0"/>
      <w:marRight w:val="0"/>
      <w:marTop w:val="0"/>
      <w:marBottom w:val="0"/>
      <w:divBdr>
        <w:top w:val="none" w:sz="0" w:space="0" w:color="auto"/>
        <w:left w:val="none" w:sz="0" w:space="0" w:color="auto"/>
        <w:bottom w:val="none" w:sz="0" w:space="0" w:color="auto"/>
        <w:right w:val="none" w:sz="0" w:space="0" w:color="auto"/>
      </w:divBdr>
    </w:div>
    <w:div w:id="641035664">
      <w:bodyDiv w:val="1"/>
      <w:marLeft w:val="0"/>
      <w:marRight w:val="0"/>
      <w:marTop w:val="0"/>
      <w:marBottom w:val="0"/>
      <w:divBdr>
        <w:top w:val="none" w:sz="0" w:space="0" w:color="auto"/>
        <w:left w:val="none" w:sz="0" w:space="0" w:color="auto"/>
        <w:bottom w:val="none" w:sz="0" w:space="0" w:color="auto"/>
        <w:right w:val="none" w:sz="0" w:space="0" w:color="auto"/>
      </w:divBdr>
    </w:div>
    <w:div w:id="650906248">
      <w:bodyDiv w:val="1"/>
      <w:marLeft w:val="0"/>
      <w:marRight w:val="0"/>
      <w:marTop w:val="0"/>
      <w:marBottom w:val="0"/>
      <w:divBdr>
        <w:top w:val="none" w:sz="0" w:space="0" w:color="auto"/>
        <w:left w:val="none" w:sz="0" w:space="0" w:color="auto"/>
        <w:bottom w:val="none" w:sz="0" w:space="0" w:color="auto"/>
        <w:right w:val="none" w:sz="0" w:space="0" w:color="auto"/>
      </w:divBdr>
    </w:div>
    <w:div w:id="678459432">
      <w:bodyDiv w:val="1"/>
      <w:marLeft w:val="0"/>
      <w:marRight w:val="0"/>
      <w:marTop w:val="0"/>
      <w:marBottom w:val="0"/>
      <w:divBdr>
        <w:top w:val="none" w:sz="0" w:space="0" w:color="auto"/>
        <w:left w:val="none" w:sz="0" w:space="0" w:color="auto"/>
        <w:bottom w:val="none" w:sz="0" w:space="0" w:color="auto"/>
        <w:right w:val="none" w:sz="0" w:space="0" w:color="auto"/>
      </w:divBdr>
    </w:div>
    <w:div w:id="774399307">
      <w:bodyDiv w:val="1"/>
      <w:marLeft w:val="0"/>
      <w:marRight w:val="0"/>
      <w:marTop w:val="0"/>
      <w:marBottom w:val="0"/>
      <w:divBdr>
        <w:top w:val="none" w:sz="0" w:space="0" w:color="auto"/>
        <w:left w:val="none" w:sz="0" w:space="0" w:color="auto"/>
        <w:bottom w:val="none" w:sz="0" w:space="0" w:color="auto"/>
        <w:right w:val="none" w:sz="0" w:space="0" w:color="auto"/>
      </w:divBdr>
    </w:div>
    <w:div w:id="779026830">
      <w:bodyDiv w:val="1"/>
      <w:marLeft w:val="0"/>
      <w:marRight w:val="0"/>
      <w:marTop w:val="0"/>
      <w:marBottom w:val="0"/>
      <w:divBdr>
        <w:top w:val="none" w:sz="0" w:space="0" w:color="auto"/>
        <w:left w:val="none" w:sz="0" w:space="0" w:color="auto"/>
        <w:bottom w:val="none" w:sz="0" w:space="0" w:color="auto"/>
        <w:right w:val="none" w:sz="0" w:space="0" w:color="auto"/>
      </w:divBdr>
    </w:div>
    <w:div w:id="1011563969">
      <w:bodyDiv w:val="1"/>
      <w:marLeft w:val="0"/>
      <w:marRight w:val="0"/>
      <w:marTop w:val="0"/>
      <w:marBottom w:val="0"/>
      <w:divBdr>
        <w:top w:val="none" w:sz="0" w:space="0" w:color="auto"/>
        <w:left w:val="none" w:sz="0" w:space="0" w:color="auto"/>
        <w:bottom w:val="none" w:sz="0" w:space="0" w:color="auto"/>
        <w:right w:val="none" w:sz="0" w:space="0" w:color="auto"/>
      </w:divBdr>
    </w:div>
    <w:div w:id="1054504427">
      <w:bodyDiv w:val="1"/>
      <w:marLeft w:val="0"/>
      <w:marRight w:val="0"/>
      <w:marTop w:val="0"/>
      <w:marBottom w:val="0"/>
      <w:divBdr>
        <w:top w:val="none" w:sz="0" w:space="0" w:color="auto"/>
        <w:left w:val="none" w:sz="0" w:space="0" w:color="auto"/>
        <w:bottom w:val="none" w:sz="0" w:space="0" w:color="auto"/>
        <w:right w:val="none" w:sz="0" w:space="0" w:color="auto"/>
      </w:divBdr>
    </w:div>
    <w:div w:id="1396661898">
      <w:bodyDiv w:val="1"/>
      <w:marLeft w:val="0"/>
      <w:marRight w:val="0"/>
      <w:marTop w:val="0"/>
      <w:marBottom w:val="0"/>
      <w:divBdr>
        <w:top w:val="none" w:sz="0" w:space="0" w:color="auto"/>
        <w:left w:val="none" w:sz="0" w:space="0" w:color="auto"/>
        <w:bottom w:val="none" w:sz="0" w:space="0" w:color="auto"/>
        <w:right w:val="none" w:sz="0" w:space="0" w:color="auto"/>
      </w:divBdr>
    </w:div>
    <w:div w:id="1535380914">
      <w:bodyDiv w:val="1"/>
      <w:marLeft w:val="0"/>
      <w:marRight w:val="0"/>
      <w:marTop w:val="0"/>
      <w:marBottom w:val="0"/>
      <w:divBdr>
        <w:top w:val="none" w:sz="0" w:space="0" w:color="auto"/>
        <w:left w:val="none" w:sz="0" w:space="0" w:color="auto"/>
        <w:bottom w:val="none" w:sz="0" w:space="0" w:color="auto"/>
        <w:right w:val="none" w:sz="0" w:space="0" w:color="auto"/>
      </w:divBdr>
    </w:div>
    <w:div w:id="1765566223">
      <w:bodyDiv w:val="1"/>
      <w:marLeft w:val="0"/>
      <w:marRight w:val="0"/>
      <w:marTop w:val="0"/>
      <w:marBottom w:val="0"/>
      <w:divBdr>
        <w:top w:val="none" w:sz="0" w:space="0" w:color="auto"/>
        <w:left w:val="none" w:sz="0" w:space="0" w:color="auto"/>
        <w:bottom w:val="none" w:sz="0" w:space="0" w:color="auto"/>
        <w:right w:val="none" w:sz="0" w:space="0" w:color="auto"/>
      </w:divBdr>
    </w:div>
    <w:div w:id="1871868976">
      <w:bodyDiv w:val="1"/>
      <w:marLeft w:val="0"/>
      <w:marRight w:val="0"/>
      <w:marTop w:val="0"/>
      <w:marBottom w:val="0"/>
      <w:divBdr>
        <w:top w:val="none" w:sz="0" w:space="0" w:color="auto"/>
        <w:left w:val="none" w:sz="0" w:space="0" w:color="auto"/>
        <w:bottom w:val="none" w:sz="0" w:space="0" w:color="auto"/>
        <w:right w:val="none" w:sz="0" w:space="0" w:color="auto"/>
      </w:divBdr>
    </w:div>
    <w:div w:id="1902133294">
      <w:bodyDiv w:val="1"/>
      <w:marLeft w:val="0"/>
      <w:marRight w:val="0"/>
      <w:marTop w:val="0"/>
      <w:marBottom w:val="0"/>
      <w:divBdr>
        <w:top w:val="none" w:sz="0" w:space="0" w:color="auto"/>
        <w:left w:val="none" w:sz="0" w:space="0" w:color="auto"/>
        <w:bottom w:val="none" w:sz="0" w:space="0" w:color="auto"/>
        <w:right w:val="none" w:sz="0" w:space="0" w:color="auto"/>
      </w:divBdr>
    </w:div>
    <w:div w:id="1904215744">
      <w:bodyDiv w:val="1"/>
      <w:marLeft w:val="0"/>
      <w:marRight w:val="0"/>
      <w:marTop w:val="0"/>
      <w:marBottom w:val="0"/>
      <w:divBdr>
        <w:top w:val="none" w:sz="0" w:space="0" w:color="auto"/>
        <w:left w:val="none" w:sz="0" w:space="0" w:color="auto"/>
        <w:bottom w:val="none" w:sz="0" w:space="0" w:color="auto"/>
        <w:right w:val="none" w:sz="0" w:space="0" w:color="auto"/>
      </w:divBdr>
    </w:div>
    <w:div w:id="1964731673">
      <w:bodyDiv w:val="1"/>
      <w:marLeft w:val="0"/>
      <w:marRight w:val="0"/>
      <w:marTop w:val="0"/>
      <w:marBottom w:val="0"/>
      <w:divBdr>
        <w:top w:val="none" w:sz="0" w:space="0" w:color="auto"/>
        <w:left w:val="none" w:sz="0" w:space="0" w:color="auto"/>
        <w:bottom w:val="none" w:sz="0" w:space="0" w:color="auto"/>
        <w:right w:val="none" w:sz="0" w:space="0" w:color="auto"/>
      </w:divBdr>
    </w:div>
    <w:div w:id="2018076084">
      <w:bodyDiv w:val="1"/>
      <w:marLeft w:val="0"/>
      <w:marRight w:val="0"/>
      <w:marTop w:val="0"/>
      <w:marBottom w:val="0"/>
      <w:divBdr>
        <w:top w:val="none" w:sz="0" w:space="0" w:color="auto"/>
        <w:left w:val="none" w:sz="0" w:space="0" w:color="auto"/>
        <w:bottom w:val="none" w:sz="0" w:space="0" w:color="auto"/>
        <w:right w:val="none" w:sz="0" w:space="0" w:color="auto"/>
      </w:divBdr>
    </w:div>
    <w:div w:id="21083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inmarsat.com/about-us/our-satellites/" TargetMode="External"/><Relationship Id="rId7" Type="http://schemas.openxmlformats.org/officeDocument/2006/relationships/hyperlink" Target="https://apps.fcc.gov/edocs_public/attachmatch/FCC-16-73A2.pdf" TargetMode="External"/><Relationship Id="rId2" Type="http://schemas.openxmlformats.org/officeDocument/2006/relationships/hyperlink" Target="http://www.inmarsat.com/" TargetMode="External"/><Relationship Id="rId1" Type="http://schemas.openxmlformats.org/officeDocument/2006/relationships/hyperlink" Target="https://www.fcc.gov/reports-research/reports?field_report_series_tid%5b0%5d=1747" TargetMode="External"/><Relationship Id="rId6" Type="http://schemas.openxmlformats.org/officeDocument/2006/relationships/hyperlink" Target="http://go.usa.gov/chBJT" TargetMode="External"/><Relationship Id="rId5" Type="http://schemas.openxmlformats.org/officeDocument/2006/relationships/hyperlink" Target="http://go.usa.gov/chBuF" TargetMode="External"/><Relationship Id="rId4" Type="http://schemas.openxmlformats.org/officeDocument/2006/relationships/hyperlink" Target="http://go.usa.gov/chBu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1605</Words>
  <Characters>9440</Characters>
  <Application>Microsoft Office Word</Application>
  <DocSecurity>0</DocSecurity>
  <Lines>170</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11064</CharactersWithSpaces>
  <SharedDoc>false</SharedDoc>
  <HyperlinkBase> </HyperlinkBase>
  <HLinks>
    <vt:vector size="24" baseType="variant">
      <vt:variant>
        <vt:i4>2687036</vt:i4>
      </vt:variant>
      <vt:variant>
        <vt:i4>6</vt:i4>
      </vt:variant>
      <vt:variant>
        <vt:i4>0</vt:i4>
      </vt:variant>
      <vt:variant>
        <vt:i4>5</vt:i4>
      </vt:variant>
      <vt:variant>
        <vt:lpwstr>http://www.intelsat.com/news/press-release/intelsat-and-oneweb-announce-conditional-combination-agreement/</vt:lpwstr>
      </vt:variant>
      <vt:variant>
        <vt:lpwstr/>
      </vt:variant>
      <vt:variant>
        <vt:i4>1769561</vt:i4>
      </vt:variant>
      <vt:variant>
        <vt:i4>3</vt:i4>
      </vt:variant>
      <vt:variant>
        <vt:i4>0</vt:i4>
      </vt:variant>
      <vt:variant>
        <vt:i4>5</vt:i4>
      </vt:variant>
      <vt:variant>
        <vt:lpwstr>http://www.inmarsat.com/about-us/</vt:lpwstr>
      </vt:variant>
      <vt:variant>
        <vt:lpwstr/>
      </vt:variant>
      <vt:variant>
        <vt:i4>983135</vt:i4>
      </vt:variant>
      <vt:variant>
        <vt:i4>3</vt:i4>
      </vt:variant>
      <vt:variant>
        <vt:i4>0</vt:i4>
      </vt:variant>
      <vt:variant>
        <vt:i4>5</vt:i4>
      </vt:variant>
      <vt:variant>
        <vt:lpwstr>http://www.inmarsat.com/about-us/media-centre/press-releases/</vt:lpwstr>
      </vt:variant>
      <vt:variant>
        <vt:lpwstr/>
      </vt:variant>
      <vt:variant>
        <vt:i4>5111873</vt:i4>
      </vt:variant>
      <vt:variant>
        <vt:i4>0</vt:i4>
      </vt:variant>
      <vt:variant>
        <vt:i4>0</vt:i4>
      </vt:variant>
      <vt:variant>
        <vt:i4>5</vt:i4>
      </vt:variant>
      <vt:variant>
        <vt:lpwstr>http://www.inmarsat.com/about-us/our-satellites/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2017-06-08T14:26:00Z</dcterms:created>
  <dcterms:modified xsi:type="dcterms:W3CDTF">2017-06-08T14:26:00Z</dcterms:modified>
  <cp:category> </cp:category>
  <cp:contentStatus> </cp:contentStatus>
</cp:coreProperties>
</file>