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EE9C" w14:textId="77777777" w:rsidR="004C2EE3" w:rsidRPr="00DC78D2" w:rsidRDefault="004C2EE3">
      <w:pPr>
        <w:jc w:val="center"/>
        <w:rPr>
          <w:b/>
        </w:rPr>
      </w:pPr>
      <w:bookmarkStart w:id="0" w:name="_GoBack"/>
      <w:bookmarkEnd w:id="0"/>
      <w:r w:rsidRPr="00DC78D2">
        <w:rPr>
          <w:b/>
        </w:rPr>
        <w:t>Before the</w:t>
      </w:r>
    </w:p>
    <w:p w14:paraId="7984B5C1" w14:textId="77777777" w:rsidR="00921803" w:rsidRPr="00737AD1" w:rsidRDefault="00921803" w:rsidP="00921803">
      <w:pPr>
        <w:pStyle w:val="StyleBoldCentered"/>
        <w:rPr>
          <w:rFonts w:ascii="Times New Roman" w:hAnsi="Times New Roman"/>
        </w:rPr>
      </w:pPr>
      <w:r w:rsidRPr="00737AD1">
        <w:rPr>
          <w:rFonts w:ascii="Times New Roman" w:hAnsi="Times New Roman"/>
        </w:rPr>
        <w:t>F</w:t>
      </w:r>
      <w:r w:rsidRPr="00737AD1">
        <w:rPr>
          <w:rFonts w:ascii="Times New Roman" w:hAnsi="Times New Roman"/>
          <w:caps w:val="0"/>
        </w:rPr>
        <w:t>ederal Communications Commission</w:t>
      </w:r>
    </w:p>
    <w:p w14:paraId="733D9A35" w14:textId="77777777" w:rsidR="004C2EE3" w:rsidRPr="00737AD1" w:rsidRDefault="00810B6F" w:rsidP="00096D8C">
      <w:pPr>
        <w:pStyle w:val="StyleBoldCentered"/>
        <w:rPr>
          <w:rFonts w:ascii="Times New Roman" w:hAnsi="Times New Roman"/>
        </w:rPr>
      </w:pPr>
      <w:r w:rsidRPr="00737AD1">
        <w:rPr>
          <w:rFonts w:ascii="Times New Roman" w:hAnsi="Times New Roman"/>
          <w:caps w:val="0"/>
        </w:rPr>
        <w:t>Washington, D.C. 20554</w:t>
      </w:r>
    </w:p>
    <w:p w14:paraId="1D51CF14" w14:textId="77777777" w:rsidR="004C2EE3" w:rsidRPr="00DC78D2" w:rsidRDefault="004C2EE3" w:rsidP="0070224F"/>
    <w:p w14:paraId="6681F46D" w14:textId="77777777" w:rsidR="004C2EE3" w:rsidRPr="00DC78D2" w:rsidRDefault="004C2EE3" w:rsidP="0070224F"/>
    <w:tbl>
      <w:tblPr>
        <w:tblW w:w="0" w:type="auto"/>
        <w:tblLayout w:type="fixed"/>
        <w:tblLook w:val="0000" w:firstRow="0" w:lastRow="0" w:firstColumn="0" w:lastColumn="0" w:noHBand="0" w:noVBand="0"/>
      </w:tblPr>
      <w:tblGrid>
        <w:gridCol w:w="4698"/>
        <w:gridCol w:w="630"/>
        <w:gridCol w:w="4248"/>
      </w:tblGrid>
      <w:tr w:rsidR="004C2EE3" w:rsidRPr="00737AD1" w14:paraId="3A87EBA8" w14:textId="77777777">
        <w:tc>
          <w:tcPr>
            <w:tcW w:w="4698" w:type="dxa"/>
          </w:tcPr>
          <w:p w14:paraId="228AE259" w14:textId="77777777" w:rsidR="004C2EE3" w:rsidRPr="00737AD1" w:rsidRDefault="004C2EE3">
            <w:pPr>
              <w:tabs>
                <w:tab w:val="center" w:pos="4680"/>
              </w:tabs>
              <w:suppressAutoHyphens/>
              <w:rPr>
                <w:spacing w:val="-2"/>
              </w:rPr>
            </w:pPr>
            <w:r w:rsidRPr="00737AD1">
              <w:rPr>
                <w:spacing w:val="-2"/>
              </w:rPr>
              <w:t>In the Matter of</w:t>
            </w:r>
          </w:p>
          <w:p w14:paraId="451A47A0" w14:textId="77777777" w:rsidR="004C2EE3" w:rsidRPr="00737AD1" w:rsidRDefault="004C2EE3">
            <w:pPr>
              <w:tabs>
                <w:tab w:val="center" w:pos="4680"/>
              </w:tabs>
              <w:suppressAutoHyphens/>
              <w:rPr>
                <w:spacing w:val="-2"/>
              </w:rPr>
            </w:pPr>
          </w:p>
          <w:p w14:paraId="1C3A900E" w14:textId="77777777" w:rsidR="004C2EE3" w:rsidRPr="006E2773" w:rsidRDefault="000136DF" w:rsidP="007115F7">
            <w:pPr>
              <w:tabs>
                <w:tab w:val="center" w:pos="4680"/>
              </w:tabs>
              <w:suppressAutoHyphens/>
              <w:rPr>
                <w:rFonts w:ascii="Calibri" w:hAnsi="Calibri"/>
                <w:spacing w:val="-2"/>
              </w:rPr>
            </w:pPr>
            <w:r w:rsidRPr="00737AD1">
              <w:rPr>
                <w:spacing w:val="-2"/>
              </w:rPr>
              <w:t>Amendment of Part 11 of the Commission’s Rules Regarding Emergency Alert System</w:t>
            </w:r>
          </w:p>
        </w:tc>
        <w:tc>
          <w:tcPr>
            <w:tcW w:w="630" w:type="dxa"/>
          </w:tcPr>
          <w:p w14:paraId="0DB53524" w14:textId="77777777" w:rsidR="004C2EE3" w:rsidRPr="00DC78D2" w:rsidRDefault="004C2EE3">
            <w:pPr>
              <w:tabs>
                <w:tab w:val="center" w:pos="4680"/>
              </w:tabs>
              <w:suppressAutoHyphens/>
              <w:rPr>
                <w:b/>
                <w:spacing w:val="-2"/>
              </w:rPr>
            </w:pPr>
            <w:r w:rsidRPr="00DC78D2">
              <w:rPr>
                <w:b/>
                <w:spacing w:val="-2"/>
              </w:rPr>
              <w:t>)</w:t>
            </w:r>
          </w:p>
          <w:p w14:paraId="7BC46790" w14:textId="77777777" w:rsidR="004C2EE3" w:rsidRPr="00737AD1" w:rsidRDefault="004C2EE3">
            <w:pPr>
              <w:tabs>
                <w:tab w:val="center" w:pos="4680"/>
              </w:tabs>
              <w:suppressAutoHyphens/>
              <w:rPr>
                <w:b/>
                <w:spacing w:val="-2"/>
              </w:rPr>
            </w:pPr>
            <w:r w:rsidRPr="00737AD1">
              <w:rPr>
                <w:b/>
                <w:spacing w:val="-2"/>
              </w:rPr>
              <w:t>)</w:t>
            </w:r>
          </w:p>
          <w:p w14:paraId="38C5F613" w14:textId="77777777" w:rsidR="004C2EE3" w:rsidRPr="00737AD1" w:rsidRDefault="004C2EE3">
            <w:pPr>
              <w:tabs>
                <w:tab w:val="center" w:pos="4680"/>
              </w:tabs>
              <w:suppressAutoHyphens/>
              <w:rPr>
                <w:b/>
                <w:spacing w:val="-2"/>
              </w:rPr>
            </w:pPr>
            <w:r w:rsidRPr="00737AD1">
              <w:rPr>
                <w:b/>
                <w:spacing w:val="-2"/>
              </w:rPr>
              <w:t>)</w:t>
            </w:r>
          </w:p>
          <w:p w14:paraId="026E1E1C" w14:textId="7338767F" w:rsidR="003D612A" w:rsidRPr="00737AD1" w:rsidRDefault="004C2EE3">
            <w:pPr>
              <w:tabs>
                <w:tab w:val="center" w:pos="4680"/>
              </w:tabs>
              <w:suppressAutoHyphens/>
              <w:rPr>
                <w:b/>
                <w:spacing w:val="-2"/>
              </w:rPr>
            </w:pPr>
            <w:r w:rsidRPr="00737AD1">
              <w:rPr>
                <w:b/>
                <w:spacing w:val="-2"/>
              </w:rPr>
              <w:t>)</w:t>
            </w:r>
          </w:p>
          <w:p w14:paraId="07C5612A" w14:textId="77777777" w:rsidR="004C2EE3" w:rsidRPr="00737AD1" w:rsidRDefault="004C2EE3">
            <w:pPr>
              <w:tabs>
                <w:tab w:val="center" w:pos="4680"/>
              </w:tabs>
              <w:suppressAutoHyphens/>
              <w:rPr>
                <w:spacing w:val="-2"/>
              </w:rPr>
            </w:pPr>
          </w:p>
        </w:tc>
        <w:tc>
          <w:tcPr>
            <w:tcW w:w="4248" w:type="dxa"/>
          </w:tcPr>
          <w:p w14:paraId="3A2D4985" w14:textId="77777777" w:rsidR="004C2EE3" w:rsidRPr="00737AD1" w:rsidRDefault="004C2EE3">
            <w:pPr>
              <w:tabs>
                <w:tab w:val="center" w:pos="4680"/>
              </w:tabs>
              <w:suppressAutoHyphens/>
              <w:rPr>
                <w:spacing w:val="-2"/>
              </w:rPr>
            </w:pPr>
          </w:p>
          <w:p w14:paraId="766A552B" w14:textId="77777777" w:rsidR="004C2EE3" w:rsidRPr="00737AD1" w:rsidRDefault="004C2EE3">
            <w:pPr>
              <w:pStyle w:val="TOAHeading"/>
              <w:tabs>
                <w:tab w:val="clear" w:pos="9360"/>
                <w:tab w:val="center" w:pos="4680"/>
              </w:tabs>
              <w:rPr>
                <w:spacing w:val="-2"/>
              </w:rPr>
            </w:pPr>
          </w:p>
          <w:p w14:paraId="68525B5D" w14:textId="77777777" w:rsidR="004C2EE3" w:rsidRPr="00DC78D2" w:rsidRDefault="000136DF">
            <w:pPr>
              <w:tabs>
                <w:tab w:val="center" w:pos="4680"/>
              </w:tabs>
              <w:suppressAutoHyphens/>
              <w:rPr>
                <w:spacing w:val="-2"/>
              </w:rPr>
            </w:pPr>
            <w:r w:rsidRPr="00DC78D2">
              <w:rPr>
                <w:spacing w:val="-2"/>
              </w:rPr>
              <w:t>PS Docket No. 15-94</w:t>
            </w:r>
          </w:p>
        </w:tc>
      </w:tr>
    </w:tbl>
    <w:p w14:paraId="0B6862F4" w14:textId="77777777" w:rsidR="004C2EE3" w:rsidRPr="00DC78D2" w:rsidRDefault="004C2EE3" w:rsidP="0070224F"/>
    <w:p w14:paraId="3EA8D2BA" w14:textId="77777777" w:rsidR="00841AB1" w:rsidRPr="00737AD1" w:rsidRDefault="00E53F8F" w:rsidP="00F021FA">
      <w:pPr>
        <w:pStyle w:val="StyleBoldCentered"/>
        <w:rPr>
          <w:rFonts w:ascii="Times New Roman" w:hAnsi="Times New Roman"/>
        </w:rPr>
      </w:pPr>
      <w:r w:rsidRPr="00737AD1">
        <w:rPr>
          <w:rFonts w:ascii="Times New Roman" w:hAnsi="Times New Roman"/>
        </w:rPr>
        <w:t>Notice of proposed rulemaking</w:t>
      </w:r>
    </w:p>
    <w:p w14:paraId="6DA90A3A" w14:textId="77777777" w:rsidR="004C2EE3" w:rsidRPr="00DC78D2" w:rsidRDefault="004C2EE3">
      <w:pPr>
        <w:tabs>
          <w:tab w:val="left" w:pos="-720"/>
        </w:tabs>
        <w:suppressAutoHyphens/>
        <w:spacing w:line="227" w:lineRule="auto"/>
        <w:rPr>
          <w:spacing w:val="-2"/>
        </w:rPr>
      </w:pPr>
    </w:p>
    <w:p w14:paraId="08FA390D" w14:textId="7157F82C" w:rsidR="004C2EE3" w:rsidRPr="00737AD1" w:rsidRDefault="00FE4161" w:rsidP="00133F79">
      <w:pPr>
        <w:tabs>
          <w:tab w:val="left" w:pos="720"/>
          <w:tab w:val="right" w:pos="9360"/>
        </w:tabs>
        <w:suppressAutoHyphens/>
        <w:spacing w:line="227" w:lineRule="auto"/>
        <w:rPr>
          <w:spacing w:val="-2"/>
        </w:rPr>
      </w:pPr>
      <w:r>
        <w:rPr>
          <w:b/>
          <w:spacing w:val="-2"/>
        </w:rPr>
        <w:t xml:space="preserve">Adopted:  June </w:t>
      </w:r>
      <w:r w:rsidR="005543B3">
        <w:rPr>
          <w:b/>
          <w:spacing w:val="-2"/>
        </w:rPr>
        <w:t>22</w:t>
      </w:r>
      <w:r>
        <w:rPr>
          <w:b/>
          <w:spacing w:val="-2"/>
        </w:rPr>
        <w:t xml:space="preserve">, </w:t>
      </w:r>
      <w:r w:rsidR="005543B3">
        <w:rPr>
          <w:b/>
          <w:spacing w:val="-2"/>
        </w:rPr>
        <w:t>2017</w:t>
      </w:r>
      <w:r w:rsidR="004C2EE3" w:rsidRPr="00737AD1">
        <w:rPr>
          <w:b/>
          <w:spacing w:val="-2"/>
        </w:rPr>
        <w:tab/>
      </w:r>
      <w:r w:rsidR="00822CE0" w:rsidRPr="00737AD1">
        <w:rPr>
          <w:b/>
          <w:spacing w:val="-2"/>
        </w:rPr>
        <w:t>Released</w:t>
      </w:r>
      <w:r w:rsidR="004C2EE3" w:rsidRPr="00737AD1">
        <w:rPr>
          <w:b/>
          <w:spacing w:val="-2"/>
        </w:rPr>
        <w:t>:</w:t>
      </w:r>
      <w:r w:rsidR="00822CE0" w:rsidRPr="00737AD1">
        <w:rPr>
          <w:b/>
          <w:spacing w:val="-2"/>
        </w:rPr>
        <w:t xml:space="preserve"> </w:t>
      </w:r>
      <w:r w:rsidR="004C2EE3" w:rsidRPr="00737AD1">
        <w:rPr>
          <w:b/>
          <w:spacing w:val="-2"/>
        </w:rPr>
        <w:t xml:space="preserve"> </w:t>
      </w:r>
      <w:r>
        <w:rPr>
          <w:b/>
          <w:spacing w:val="-2"/>
        </w:rPr>
        <w:t xml:space="preserve">June </w:t>
      </w:r>
      <w:r w:rsidR="005543B3">
        <w:rPr>
          <w:b/>
          <w:spacing w:val="-2"/>
        </w:rPr>
        <w:t>22</w:t>
      </w:r>
      <w:r>
        <w:rPr>
          <w:b/>
          <w:spacing w:val="-2"/>
        </w:rPr>
        <w:t xml:space="preserve">, </w:t>
      </w:r>
      <w:r w:rsidR="005543B3">
        <w:rPr>
          <w:b/>
          <w:spacing w:val="-2"/>
        </w:rPr>
        <w:t>2017</w:t>
      </w:r>
    </w:p>
    <w:p w14:paraId="026B6372" w14:textId="77777777" w:rsidR="00822CE0" w:rsidRPr="00737AD1" w:rsidRDefault="00822CE0"/>
    <w:p w14:paraId="6CD2B6F9" w14:textId="6DA0F2E0" w:rsidR="004C2EE3" w:rsidRPr="006E2773" w:rsidRDefault="004C2EE3">
      <w:pPr>
        <w:rPr>
          <w:rFonts w:ascii="Calibri" w:hAnsi="Calibri"/>
          <w:spacing w:val="-2"/>
        </w:rPr>
      </w:pPr>
      <w:r w:rsidRPr="00737AD1">
        <w:t xml:space="preserve">By </w:t>
      </w:r>
      <w:r w:rsidR="004E4A22" w:rsidRPr="00737AD1">
        <w:t>the</w:t>
      </w:r>
      <w:r w:rsidR="002A2D2E" w:rsidRPr="00737AD1">
        <w:t xml:space="preserve"> </w:t>
      </w:r>
      <w:r w:rsidR="003856DF" w:rsidRPr="00737AD1">
        <w:rPr>
          <w:spacing w:val="-2"/>
        </w:rPr>
        <w:t>Commission:</w:t>
      </w:r>
      <w:r w:rsidR="005543B3">
        <w:rPr>
          <w:spacing w:val="-2"/>
        </w:rPr>
        <w:t xml:space="preserve"> </w:t>
      </w:r>
      <w:r w:rsidR="00CD698A">
        <w:rPr>
          <w:spacing w:val="-2"/>
        </w:rPr>
        <w:t>Chairman Pai and Commissioners Clyburn and O’Rielly issuing separate statements.</w:t>
      </w:r>
    </w:p>
    <w:p w14:paraId="6AC24EE4" w14:textId="77777777" w:rsidR="003856DF" w:rsidRPr="00737AD1" w:rsidRDefault="003856DF">
      <w:pPr>
        <w:rPr>
          <w:spacing w:val="-2"/>
        </w:rPr>
      </w:pPr>
    </w:p>
    <w:p w14:paraId="3B5968E7" w14:textId="77777777" w:rsidR="003856DF" w:rsidRPr="006E2773" w:rsidRDefault="003856DF">
      <w:pPr>
        <w:rPr>
          <w:rFonts w:ascii="Calibri" w:hAnsi="Calibri"/>
          <w:b/>
          <w:spacing w:val="-2"/>
        </w:rPr>
      </w:pPr>
      <w:r w:rsidRPr="00737AD1">
        <w:rPr>
          <w:b/>
          <w:spacing w:val="-2"/>
        </w:rPr>
        <w:t xml:space="preserve">Comment Date: </w:t>
      </w:r>
      <w:r w:rsidRPr="00A86188">
        <w:rPr>
          <w:b/>
          <w:spacing w:val="-2"/>
        </w:rPr>
        <w:t xml:space="preserve">(30 days after </w:t>
      </w:r>
      <w:r w:rsidR="00E64BCD" w:rsidRPr="00A86188">
        <w:rPr>
          <w:b/>
          <w:spacing w:val="-2"/>
        </w:rPr>
        <w:t xml:space="preserve">date of </w:t>
      </w:r>
      <w:r w:rsidRPr="00A86188">
        <w:rPr>
          <w:b/>
          <w:spacing w:val="-2"/>
        </w:rPr>
        <w:t>publication in the Federal Register)</w:t>
      </w:r>
    </w:p>
    <w:p w14:paraId="701A4B38" w14:textId="77777777" w:rsidR="003856DF" w:rsidRPr="006E2773" w:rsidRDefault="003856DF">
      <w:pPr>
        <w:rPr>
          <w:rFonts w:ascii="Calibri" w:hAnsi="Calibri"/>
          <w:b/>
          <w:spacing w:val="-2"/>
        </w:rPr>
      </w:pPr>
      <w:r w:rsidRPr="00737AD1">
        <w:rPr>
          <w:b/>
          <w:spacing w:val="-2"/>
        </w:rPr>
        <w:t xml:space="preserve">Reply Comment Date: </w:t>
      </w:r>
      <w:r w:rsidRPr="00A86188">
        <w:rPr>
          <w:b/>
          <w:spacing w:val="-2"/>
        </w:rPr>
        <w:t>(60 days after</w:t>
      </w:r>
      <w:r w:rsidR="00E64BCD" w:rsidRPr="00A86188">
        <w:rPr>
          <w:b/>
          <w:spacing w:val="-2"/>
        </w:rPr>
        <w:t xml:space="preserve"> date of</w:t>
      </w:r>
      <w:r w:rsidRPr="00A86188">
        <w:rPr>
          <w:b/>
          <w:spacing w:val="-2"/>
        </w:rPr>
        <w:t xml:space="preserve"> publication in the Federal Register)</w:t>
      </w:r>
    </w:p>
    <w:p w14:paraId="7F561F89" w14:textId="77777777" w:rsidR="00412FC5" w:rsidRPr="00737AD1" w:rsidRDefault="00412FC5" w:rsidP="00412FC5"/>
    <w:p w14:paraId="2604D949" w14:textId="77777777" w:rsidR="003856DF" w:rsidRPr="00737AD1" w:rsidRDefault="003856DF" w:rsidP="00350222">
      <w:pPr>
        <w:pStyle w:val="Heading1"/>
        <w:widowControl/>
        <w:numPr>
          <w:ilvl w:val="0"/>
          <w:numId w:val="3"/>
        </w:numPr>
        <w:suppressAutoHyphens w:val="0"/>
        <w:spacing w:line="259" w:lineRule="auto"/>
        <w:rPr>
          <w:rFonts w:ascii="Times New Roman" w:hAnsi="Times New Roman"/>
          <w:szCs w:val="22"/>
        </w:rPr>
      </w:pPr>
      <w:r w:rsidRPr="00737AD1">
        <w:rPr>
          <w:rFonts w:ascii="Times New Roman" w:hAnsi="Times New Roman"/>
          <w:szCs w:val="22"/>
        </w:rPr>
        <w:t>INTRODUCTION</w:t>
      </w:r>
    </w:p>
    <w:p w14:paraId="23108B94" w14:textId="77777777" w:rsidR="003856DF" w:rsidRPr="00737AD1" w:rsidRDefault="003856DF" w:rsidP="00350222">
      <w:pPr>
        <w:pStyle w:val="ParaNum"/>
      </w:pPr>
      <w:r w:rsidRPr="00737AD1">
        <w:t xml:space="preserve">In this </w:t>
      </w:r>
      <w:r w:rsidRPr="00737AD1">
        <w:rPr>
          <w:i/>
        </w:rPr>
        <w:t>Notice of Proposed Rulemaking</w:t>
      </w:r>
      <w:r w:rsidRPr="00737AD1">
        <w:t xml:space="preserve">, we </w:t>
      </w:r>
      <w:r w:rsidR="00994930" w:rsidRPr="00737AD1">
        <w:t>propose</w:t>
      </w:r>
      <w:r w:rsidRPr="00737AD1">
        <w:t xml:space="preserve"> to revise the Federal Communications Commission’s (Commission or FCC) Emergency Alert System (EAS) rules</w:t>
      </w:r>
      <w:r w:rsidR="00902847" w:rsidRPr="00737AD1">
        <w:rPr>
          <w:rStyle w:val="FootnoteReference"/>
          <w:rFonts w:eastAsia="Calibri"/>
        </w:rPr>
        <w:footnoteReference w:id="2"/>
      </w:r>
      <w:r w:rsidR="00994930" w:rsidRPr="00737AD1">
        <w:t xml:space="preserve"> to</w:t>
      </w:r>
      <w:r w:rsidR="00844154" w:rsidRPr="00737AD1">
        <w:t xml:space="preserve"> adopt a new EAS event code</w:t>
      </w:r>
      <w:r w:rsidR="00994930" w:rsidRPr="00737AD1">
        <w:t xml:space="preserve"> </w:t>
      </w:r>
      <w:r w:rsidR="00844154" w:rsidRPr="00737AD1">
        <w:t>that will allow</w:t>
      </w:r>
      <w:r w:rsidR="00994930" w:rsidRPr="00737AD1">
        <w:t xml:space="preserve"> the transmission of “Blue Alerts” to the public over the EAS.</w:t>
      </w:r>
      <w:r w:rsidRPr="00737AD1">
        <w:t xml:space="preserve"> </w:t>
      </w:r>
      <w:r w:rsidR="00994930" w:rsidRPr="00737AD1">
        <w:t xml:space="preserve"> </w:t>
      </w:r>
      <w:r w:rsidR="000453E6">
        <w:t xml:space="preserve">In doing so, </w:t>
      </w:r>
      <w:r w:rsidR="00902847" w:rsidRPr="00737AD1">
        <w:t xml:space="preserve">we </w:t>
      </w:r>
      <w:r w:rsidR="000453E6">
        <w:t xml:space="preserve">propose measures to advance </w:t>
      </w:r>
      <w:r w:rsidR="000453E6" w:rsidRPr="00350222">
        <w:t>the</w:t>
      </w:r>
      <w:r w:rsidR="000453E6">
        <w:t xml:space="preserve"> important public </w:t>
      </w:r>
      <w:r w:rsidR="000453E6" w:rsidRPr="00737AD1">
        <w:t>policy of protecting our nation’s law enforcement officials through facilitating the apprehension of suspects who pose an imminent and credible threat to law enforcement officials and aiding search efforts to locate missing officers</w:t>
      </w:r>
      <w:r w:rsidR="00A842D9">
        <w:t>.</w:t>
      </w:r>
      <w:r w:rsidR="000453E6" w:rsidRPr="00737AD1">
        <w:rPr>
          <w:rStyle w:val="FootnoteReference"/>
        </w:rPr>
        <w:footnoteReference w:id="3"/>
      </w:r>
      <w:r w:rsidR="000453E6" w:rsidRPr="00737AD1">
        <w:t xml:space="preserve"> </w:t>
      </w:r>
      <w:r w:rsidR="00D770AC" w:rsidRPr="00737AD1">
        <w:t xml:space="preserve"> </w:t>
      </w:r>
      <w:r w:rsidR="000453E6">
        <w:t xml:space="preserve">Further, </w:t>
      </w:r>
      <w:r w:rsidR="00B81595">
        <w:t>b</w:t>
      </w:r>
      <w:r w:rsidR="00A811F9" w:rsidRPr="00737AD1">
        <w:t xml:space="preserve">y initiating </w:t>
      </w:r>
      <w:r w:rsidR="00902847" w:rsidRPr="00737AD1">
        <w:t>this</w:t>
      </w:r>
      <w:r w:rsidR="00E254CB" w:rsidRPr="00737AD1">
        <w:t xml:space="preserve"> </w:t>
      </w:r>
      <w:r w:rsidR="00A811F9" w:rsidRPr="00737AD1">
        <w:t>proceeding</w:t>
      </w:r>
      <w:r w:rsidR="00902847" w:rsidRPr="00737AD1">
        <w:t xml:space="preserve">, </w:t>
      </w:r>
      <w:r w:rsidR="00E254CB" w:rsidRPr="00737AD1">
        <w:t xml:space="preserve">we </w:t>
      </w:r>
      <w:r w:rsidR="00692472" w:rsidRPr="00737AD1">
        <w:t xml:space="preserve">also </w:t>
      </w:r>
      <w:r w:rsidR="000453E6">
        <w:t xml:space="preserve">seek to promote the development of compatible and integrated Blue Alert plans throughout the United States, consistent with the </w:t>
      </w:r>
      <w:r w:rsidR="000453E6" w:rsidRPr="00737AD1">
        <w:t>Rafael Ramos and Wenjian Liu National Blue Alert Act of 2015 (Blue Alert Act)</w:t>
      </w:r>
      <w:r w:rsidR="000453E6" w:rsidRPr="00737AD1">
        <w:rPr>
          <w:rStyle w:val="FootnoteReference"/>
        </w:rPr>
        <w:footnoteReference w:id="4"/>
      </w:r>
      <w:r w:rsidR="00B81595">
        <w:t xml:space="preserve"> and the need articulated by </w:t>
      </w:r>
      <w:r w:rsidRPr="00737AD1">
        <w:t xml:space="preserve">the Office of Community Oriented Policing Service (COPS Office) </w:t>
      </w:r>
      <w:r w:rsidR="00A811F9" w:rsidRPr="00737AD1">
        <w:t>of</w:t>
      </w:r>
      <w:r w:rsidRPr="00737AD1">
        <w:t xml:space="preserve"> the United States Department of Justice (DOJ)</w:t>
      </w:r>
      <w:r w:rsidR="00B81595">
        <w:t xml:space="preserve"> to establish a dedicated EAS event code for Blue Alert</w:t>
      </w:r>
      <w:r w:rsidR="005C5C86">
        <w:t>s</w:t>
      </w:r>
      <w:r w:rsidR="00902847" w:rsidRPr="00737AD1">
        <w:t>.</w:t>
      </w:r>
      <w:r w:rsidRPr="00737AD1">
        <w:rPr>
          <w:rStyle w:val="FootnoteReference"/>
          <w:rFonts w:eastAsia="Calibri"/>
        </w:rPr>
        <w:footnoteReference w:id="5"/>
      </w:r>
      <w:r w:rsidR="00902847" w:rsidRPr="00737AD1">
        <w:t xml:space="preserve"> </w:t>
      </w:r>
      <w:r w:rsidR="0023040A" w:rsidRPr="00737AD1">
        <w:t xml:space="preserve"> </w:t>
      </w:r>
    </w:p>
    <w:p w14:paraId="4CC7803C" w14:textId="77777777" w:rsidR="003856DF" w:rsidRPr="00737AD1" w:rsidRDefault="003856DF" w:rsidP="00350222">
      <w:pPr>
        <w:pStyle w:val="Heading1"/>
        <w:widowControl/>
        <w:numPr>
          <w:ilvl w:val="0"/>
          <w:numId w:val="3"/>
        </w:numPr>
        <w:suppressAutoHyphens w:val="0"/>
        <w:spacing w:line="259" w:lineRule="auto"/>
        <w:rPr>
          <w:rFonts w:ascii="Times New Roman" w:hAnsi="Times New Roman"/>
          <w:szCs w:val="22"/>
        </w:rPr>
      </w:pPr>
      <w:r w:rsidRPr="00737AD1">
        <w:rPr>
          <w:rFonts w:ascii="Times New Roman" w:hAnsi="Times New Roman"/>
          <w:szCs w:val="22"/>
        </w:rPr>
        <w:t>BACKGROUND</w:t>
      </w:r>
    </w:p>
    <w:p w14:paraId="1C8F64FA" w14:textId="77777777" w:rsidR="003D2870" w:rsidRPr="00737AD1" w:rsidRDefault="003856DF" w:rsidP="00202382">
      <w:pPr>
        <w:pStyle w:val="ParaNum"/>
        <w:widowControl/>
      </w:pPr>
      <w:r w:rsidRPr="00737AD1">
        <w:rPr>
          <w:i/>
        </w:rPr>
        <w:t>The EAS</w:t>
      </w:r>
      <w:r w:rsidRPr="00737AD1">
        <w:t xml:space="preserve">.  The EAS is a national public warning system through which broadcasters, cable systems, and other service providers (EAS Participants) deliver alerts to the public to warn them of </w:t>
      </w:r>
      <w:r w:rsidRPr="00737AD1">
        <w:lastRenderedPageBreak/>
        <w:t>impending emergencies and dangers to life and property.</w:t>
      </w:r>
      <w:r w:rsidRPr="00737AD1">
        <w:rPr>
          <w:rStyle w:val="FootnoteReference"/>
          <w:rFonts w:eastAsia="Calibri"/>
        </w:rPr>
        <w:footnoteReference w:id="6"/>
      </w:r>
      <w:r w:rsidRPr="00737AD1">
        <w:t xml:space="preserve">  Although the primary purpose of the EAS is to </w:t>
      </w:r>
      <w:r w:rsidR="00E60B6A" w:rsidRPr="00737AD1">
        <w:t xml:space="preserve">equip </w:t>
      </w:r>
      <w:r w:rsidRPr="00737AD1">
        <w:t>the President with the capability to provide immediate communications and information to the general public during periods of national emergency,</w:t>
      </w:r>
      <w:r w:rsidRPr="00737AD1">
        <w:rPr>
          <w:rStyle w:val="FootnoteReference"/>
          <w:rFonts w:eastAsia="Calibri"/>
        </w:rPr>
        <w:footnoteReference w:id="7"/>
      </w:r>
      <w:r w:rsidRPr="00737AD1">
        <w:t xml:space="preserve"> the EAS also is used by other </w:t>
      </w:r>
      <w:r w:rsidR="00E60B6A" w:rsidRPr="00737AD1">
        <w:t xml:space="preserve">federal </w:t>
      </w:r>
      <w:r w:rsidRPr="00737AD1">
        <w:t>agencies</w:t>
      </w:r>
      <w:r w:rsidR="00E60B6A" w:rsidRPr="00737AD1">
        <w:t>,</w:t>
      </w:r>
      <w:r w:rsidRPr="00737AD1">
        <w:t xml:space="preserve"> such as the National Weather Service (NWS)</w:t>
      </w:r>
      <w:r w:rsidR="00F264B2">
        <w:t>,</w:t>
      </w:r>
      <w:r w:rsidR="00C67972" w:rsidRPr="00737AD1">
        <w:t xml:space="preserve"> to deliver weather-related alerts, </w:t>
      </w:r>
      <w:r w:rsidRPr="00737AD1">
        <w:t xml:space="preserve">as well as by state and local governments to distribute </w:t>
      </w:r>
      <w:r w:rsidR="00E60B6A" w:rsidRPr="00737AD1">
        <w:t xml:space="preserve">other </w:t>
      </w:r>
      <w:r w:rsidRPr="00737AD1">
        <w:t xml:space="preserve">alerts such as AMBER </w:t>
      </w:r>
      <w:r w:rsidR="00F264B2">
        <w:t>A</w:t>
      </w:r>
      <w:r w:rsidRPr="00737AD1">
        <w:t>lerts.</w:t>
      </w:r>
      <w:r w:rsidRPr="00737AD1">
        <w:rPr>
          <w:rStyle w:val="FootnoteReference"/>
          <w:rFonts w:eastAsia="Calibri"/>
        </w:rPr>
        <w:footnoteReference w:id="8"/>
      </w:r>
      <w:r w:rsidRPr="00737AD1">
        <w:t xml:space="preserve">  </w:t>
      </w:r>
      <w:r w:rsidR="00B25664" w:rsidRPr="00AA3A12">
        <w:rPr>
          <w:rFonts w:eastAsia="Calibri"/>
        </w:rPr>
        <w:t>EAS Partic</w:t>
      </w:r>
      <w:r w:rsidR="00537194">
        <w:rPr>
          <w:rFonts w:eastAsia="Calibri"/>
        </w:rPr>
        <w:t>ipants are required to deliver</w:t>
      </w:r>
      <w:r w:rsidR="00B25664" w:rsidRPr="00AA3A12">
        <w:rPr>
          <w:rFonts w:eastAsia="Calibri"/>
        </w:rPr>
        <w:t xml:space="preserve"> President</w:t>
      </w:r>
      <w:r w:rsidR="00D46007">
        <w:rPr>
          <w:rFonts w:eastAsia="Calibri"/>
        </w:rPr>
        <w:t>ial alerts;</w:t>
      </w:r>
      <w:r w:rsidR="007A43C3">
        <w:rPr>
          <w:rFonts w:eastAsia="Calibri"/>
        </w:rPr>
        <w:t xml:space="preserve"> </w:t>
      </w:r>
      <w:r w:rsidR="007205FD">
        <w:rPr>
          <w:rFonts w:eastAsia="Calibri"/>
        </w:rPr>
        <w:t xml:space="preserve">delivery of </w:t>
      </w:r>
      <w:r w:rsidR="002749A3">
        <w:rPr>
          <w:rFonts w:eastAsia="Calibri"/>
        </w:rPr>
        <w:t>all other alerts, including</w:t>
      </w:r>
      <w:r w:rsidR="00537194">
        <w:rPr>
          <w:rFonts w:eastAsia="Calibri"/>
        </w:rPr>
        <w:t xml:space="preserve"> NWS</w:t>
      </w:r>
      <w:r w:rsidR="007A43C3">
        <w:rPr>
          <w:rFonts w:eastAsia="Calibri"/>
        </w:rPr>
        <w:t xml:space="preserve"> weather alerts and</w:t>
      </w:r>
      <w:r w:rsidR="00B25664" w:rsidRPr="00AA3A12">
        <w:rPr>
          <w:rFonts w:eastAsia="Calibri"/>
        </w:rPr>
        <w:t xml:space="preserve"> state and local EAS alerts</w:t>
      </w:r>
      <w:r w:rsidR="007A43C3">
        <w:rPr>
          <w:rFonts w:eastAsia="Calibri"/>
        </w:rPr>
        <w:t>,</w:t>
      </w:r>
      <w:r w:rsidR="002749A3">
        <w:rPr>
          <w:rFonts w:eastAsia="Calibri"/>
        </w:rPr>
        <w:t xml:space="preserve"> </w:t>
      </w:r>
      <w:r w:rsidR="007205FD">
        <w:rPr>
          <w:rFonts w:eastAsia="Calibri"/>
        </w:rPr>
        <w:t xml:space="preserve">is </w:t>
      </w:r>
      <w:r w:rsidR="002749A3">
        <w:rPr>
          <w:rFonts w:eastAsia="Calibri"/>
        </w:rPr>
        <w:t>voluntary</w:t>
      </w:r>
      <w:r w:rsidR="00B25664" w:rsidRPr="00AA3A12">
        <w:rPr>
          <w:rFonts w:eastAsia="Calibri"/>
        </w:rPr>
        <w:t>.</w:t>
      </w:r>
      <w:r w:rsidR="00B25664">
        <w:rPr>
          <w:rStyle w:val="FootnoteReference"/>
          <w:rFonts w:eastAsia="Calibri"/>
        </w:rPr>
        <w:footnoteReference w:id="9"/>
      </w:r>
      <w:r w:rsidR="00B25664" w:rsidRPr="00AA3A12">
        <w:rPr>
          <w:rFonts w:eastAsia="Calibri"/>
        </w:rPr>
        <w:t xml:space="preserve">  </w:t>
      </w:r>
      <w:r w:rsidRPr="00737AD1">
        <w:t>EAS alerts are configured using the EAS Protocol, which utilizes fixed codes to identify the various elements of an EAS alert so that each alert can deliver accurate, secure</w:t>
      </w:r>
      <w:r w:rsidR="00E60B6A" w:rsidRPr="00737AD1">
        <w:t>,</w:t>
      </w:r>
      <w:r w:rsidRPr="00737AD1">
        <w:t xml:space="preserve"> and geographically</w:t>
      </w:r>
      <w:r w:rsidR="00E60B6A" w:rsidRPr="00737AD1">
        <w:t>-</w:t>
      </w:r>
      <w:r w:rsidRPr="00737AD1">
        <w:t xml:space="preserve">targeted alerts to the public.  </w:t>
      </w:r>
      <w:r w:rsidR="00C67972" w:rsidRPr="00737AD1">
        <w:t xml:space="preserve">Of particular relevance to this proceeding, </w:t>
      </w:r>
      <w:r w:rsidRPr="00737AD1">
        <w:t>the EAS Protocol utilizes a three-character “event code” to describe the nature of the alert (e.g., “CAE” signifies a Child Abduction Emergency, otherwise known as an AMBER Alert).</w:t>
      </w:r>
      <w:r w:rsidRPr="00737AD1">
        <w:rPr>
          <w:rStyle w:val="FootnoteReference"/>
          <w:rFonts w:eastAsia="Calibri"/>
        </w:rPr>
        <w:footnoteReference w:id="10"/>
      </w:r>
      <w:r w:rsidRPr="00737AD1">
        <w:t xml:space="preserve">  </w:t>
      </w:r>
      <w:r w:rsidR="00BC06DA" w:rsidRPr="00737AD1">
        <w:t xml:space="preserve">EAS alerts are distributed in two ways:  (1) over-the-air, through a hierarchical, broadcast-based </w:t>
      </w:r>
      <w:r w:rsidR="008B184A" w:rsidRPr="00737AD1">
        <w:t xml:space="preserve">“daisy chain” </w:t>
      </w:r>
      <w:r w:rsidR="00BC06DA" w:rsidRPr="00737AD1">
        <w:t>distribution system</w:t>
      </w:r>
      <w:r w:rsidR="00BC06DA" w:rsidRPr="00737AD1">
        <w:rPr>
          <w:szCs w:val="22"/>
        </w:rPr>
        <w:t>,</w:t>
      </w:r>
      <w:r w:rsidR="00BC06DA" w:rsidRPr="00737AD1">
        <w:rPr>
          <w:sz w:val="20"/>
          <w:szCs w:val="22"/>
          <w:vertAlign w:val="superscript"/>
        </w:rPr>
        <w:footnoteReference w:id="11"/>
      </w:r>
      <w:r w:rsidR="00BC06DA" w:rsidRPr="00737AD1">
        <w:rPr>
          <w:szCs w:val="22"/>
        </w:rPr>
        <w:t xml:space="preserve"> and (2) over the Internet, through the Federal Emergency Management Agency’s Integrated Public Alert and Warning System (IPAWS), which simultaneously </w:t>
      </w:r>
      <w:r w:rsidR="007205FD" w:rsidRPr="00737AD1">
        <w:rPr>
          <w:szCs w:val="22"/>
        </w:rPr>
        <w:t xml:space="preserve">sends data-rich alerts </w:t>
      </w:r>
      <w:r w:rsidR="007205FD">
        <w:rPr>
          <w:szCs w:val="22"/>
        </w:rPr>
        <w:t>in the Common Alerting Protocol (CAP) format to various public alerting systems.</w:t>
      </w:r>
      <w:r w:rsidR="00E94D01" w:rsidRPr="00E94D01">
        <w:rPr>
          <w:sz w:val="20"/>
          <w:vertAlign w:val="superscript"/>
        </w:rPr>
        <w:t xml:space="preserve"> </w:t>
      </w:r>
      <w:r w:rsidR="00E94D01" w:rsidRPr="00737AD1">
        <w:rPr>
          <w:sz w:val="20"/>
          <w:vertAlign w:val="superscript"/>
        </w:rPr>
        <w:footnoteReference w:id="12"/>
      </w:r>
      <w:r w:rsidR="00B25664">
        <w:rPr>
          <w:szCs w:val="22"/>
        </w:rPr>
        <w:t xml:space="preserve"> </w:t>
      </w:r>
    </w:p>
    <w:p w14:paraId="442182DE" w14:textId="77777777" w:rsidR="003A1744" w:rsidRDefault="003856DF" w:rsidP="00350222">
      <w:pPr>
        <w:pStyle w:val="ParaNum"/>
      </w:pPr>
      <w:r w:rsidRPr="00737AD1">
        <w:rPr>
          <w:i/>
        </w:rPr>
        <w:t>Blue Alerts</w:t>
      </w:r>
      <w:r w:rsidRPr="00737AD1">
        <w:t xml:space="preserve">.  The Blue Alert Act was enacted to </w:t>
      </w:r>
      <w:r w:rsidR="00DB40B9">
        <w:t>encourage, enhance</w:t>
      </w:r>
      <w:r w:rsidR="00542B26">
        <w:t>,</w:t>
      </w:r>
      <w:r w:rsidR="00DB40B9">
        <w:t xml:space="preserve"> and integrate the formation of voluntary </w:t>
      </w:r>
      <w:r w:rsidR="00B47AB6" w:rsidRPr="00737AD1">
        <w:rPr>
          <w:rFonts w:eastAsia="Calibri"/>
        </w:rPr>
        <w:t>“Blue Alert plans throughout the United States in order to disseminate information when a law enforcement officer is seriously injured or killed in the line of duty, is missing in connection with the officer’s official duties, or an imminent and credible threat that an individual intends to cause the serious injury or death of a law enforcement officer is received, and for other purposes.”</w:t>
      </w:r>
      <w:r w:rsidRPr="00737AD1">
        <w:rPr>
          <w:rStyle w:val="FootnoteReference"/>
          <w:rFonts w:eastAsia="Calibri"/>
        </w:rPr>
        <w:footnoteReference w:id="13"/>
      </w:r>
      <w:r w:rsidRPr="00737AD1">
        <w:t xml:space="preserve">  </w:t>
      </w:r>
      <w:r w:rsidR="00B00513" w:rsidRPr="00737AD1">
        <w:t xml:space="preserve">As required by the Blue Alert Act, DOJ has designated the COPS Office Director as the National Blue Alert Coordinator </w:t>
      </w:r>
      <w:r w:rsidR="00B00513" w:rsidRPr="00737AD1">
        <w:lastRenderedPageBreak/>
        <w:t>(National Blue Alert Coordinator).</w:t>
      </w:r>
      <w:r w:rsidR="00B00513" w:rsidRPr="00737AD1">
        <w:rPr>
          <w:rStyle w:val="FootnoteReference"/>
        </w:rPr>
        <w:footnoteReference w:id="14"/>
      </w:r>
      <w:r w:rsidR="00B00513" w:rsidRPr="00737AD1">
        <w:t xml:space="preserve">  </w:t>
      </w:r>
      <w:r w:rsidR="00D07802">
        <w:t>Accordingly, t</w:t>
      </w:r>
      <w:r w:rsidR="00B00513" w:rsidRPr="00737AD1">
        <w:t xml:space="preserve">he National Blue Alert Coordinator </w:t>
      </w:r>
      <w:r w:rsidR="00D06EA7" w:rsidRPr="00737AD1">
        <w:t>has developed</w:t>
      </w:r>
      <w:r w:rsidR="001F0F8F" w:rsidRPr="00737AD1">
        <w:t xml:space="preserve"> </w:t>
      </w:r>
      <w:r w:rsidR="00D06EA7" w:rsidRPr="00737AD1">
        <w:t xml:space="preserve">a set of </w:t>
      </w:r>
      <w:r w:rsidR="00B00513" w:rsidRPr="00737AD1">
        <w:t xml:space="preserve">voluntary guidelines </w:t>
      </w:r>
      <w:r w:rsidR="003D29DA" w:rsidRPr="00737AD1">
        <w:t xml:space="preserve">(Blue Alert Guidelines) </w:t>
      </w:r>
      <w:r w:rsidR="003D2870" w:rsidRPr="00737AD1">
        <w:t>for</w:t>
      </w:r>
      <w:r w:rsidR="00D06EA7" w:rsidRPr="00737AD1">
        <w:t xml:space="preserve"> states to </w:t>
      </w:r>
      <w:r w:rsidR="00B00513" w:rsidRPr="00737AD1">
        <w:t xml:space="preserve">use in developing </w:t>
      </w:r>
      <w:r w:rsidR="00D06EA7" w:rsidRPr="00737AD1">
        <w:t xml:space="preserve">their </w:t>
      </w:r>
      <w:r w:rsidR="00B00513" w:rsidRPr="00737AD1">
        <w:t xml:space="preserve">Blue Alert plans </w:t>
      </w:r>
      <w:r w:rsidR="00D06EA7" w:rsidRPr="00737AD1">
        <w:t xml:space="preserve">in a manner </w:t>
      </w:r>
      <w:r w:rsidR="00B00513" w:rsidRPr="00737AD1">
        <w:t>that will promote compatible and integrated Blue Alert plans throughout the United States.</w:t>
      </w:r>
      <w:r w:rsidR="00B00513" w:rsidRPr="00737AD1">
        <w:rPr>
          <w:rStyle w:val="FootnoteReference"/>
        </w:rPr>
        <w:footnoteReference w:id="15"/>
      </w:r>
      <w:r w:rsidR="00B00513" w:rsidRPr="00737AD1">
        <w:t xml:space="preserve">  </w:t>
      </w:r>
    </w:p>
    <w:p w14:paraId="54A65364" w14:textId="16967FB6" w:rsidR="003A1744" w:rsidRDefault="009B0664" w:rsidP="00350222">
      <w:pPr>
        <w:pStyle w:val="ParaNum"/>
      </w:pPr>
      <w:r>
        <w:t>Blue Alerts may be initiated by a law enforcement agency having primary jurisdiction over the incident.</w:t>
      </w:r>
      <w:r>
        <w:rPr>
          <w:rStyle w:val="FootnoteReference"/>
        </w:rPr>
        <w:footnoteReference w:id="16"/>
      </w:r>
      <w:r>
        <w:t xml:space="preserve">  </w:t>
      </w:r>
      <w:r w:rsidR="00E3128D" w:rsidRPr="00737AD1">
        <w:t>The Blue Alert Guidelines provide three criteria for Blue Alert issuance, any one of which should be met before a</w:t>
      </w:r>
      <w:r w:rsidR="00940CD4">
        <w:t xml:space="preserve"> </w:t>
      </w:r>
      <w:r w:rsidR="00E3128D" w:rsidRPr="00737AD1">
        <w:t>Blue Alert is issued.</w:t>
      </w:r>
      <w:r w:rsidR="00E3128D" w:rsidRPr="00737AD1">
        <w:rPr>
          <w:rStyle w:val="FootnoteReference"/>
        </w:rPr>
        <w:footnoteReference w:id="17"/>
      </w:r>
      <w:r w:rsidR="00E3128D" w:rsidRPr="00737AD1">
        <w:t xml:space="preserve">  First, an alert may be issued when “the agency confirms that a law enforcement officer has been killed, seriously injured, or attacked and with indications of death or serious injury.”</w:t>
      </w:r>
      <w:r w:rsidR="00E3128D" w:rsidRPr="00737AD1">
        <w:rPr>
          <w:rStyle w:val="FootnoteReference"/>
        </w:rPr>
        <w:footnoteReference w:id="18"/>
      </w:r>
      <w:r w:rsidR="00E3128D" w:rsidRPr="00737AD1">
        <w:t xml:space="preserve">  </w:t>
      </w:r>
      <w:r w:rsidR="00B43814" w:rsidRPr="00737AD1">
        <w:t xml:space="preserve">Second, an alert may be issued in </w:t>
      </w:r>
      <w:r w:rsidR="00B43814" w:rsidRPr="00350222">
        <w:rPr>
          <w:rFonts w:eastAsia="Calibri"/>
        </w:rPr>
        <w:t>the</w:t>
      </w:r>
      <w:r w:rsidR="00B43814" w:rsidRPr="00737AD1">
        <w:t xml:space="preserve"> event of a “threat to cause death or serious injury to a law enforcement officer</w:t>
      </w:r>
      <w:r w:rsidR="00C67972" w:rsidRPr="00737AD1">
        <w:t>.</w:t>
      </w:r>
      <w:r w:rsidR="00B43814" w:rsidRPr="00737AD1">
        <w:t>”</w:t>
      </w:r>
      <w:r w:rsidR="00C67972" w:rsidRPr="00737AD1">
        <w:rPr>
          <w:rStyle w:val="FootnoteReference"/>
        </w:rPr>
        <w:footnoteReference w:id="19"/>
      </w:r>
      <w:r w:rsidR="00C67972" w:rsidRPr="00737AD1">
        <w:t xml:space="preserve">  </w:t>
      </w:r>
      <w:r w:rsidR="007205FD">
        <w:t xml:space="preserve">Under this criterion, </w:t>
      </w:r>
      <w:r w:rsidR="00B43814" w:rsidRPr="00737AD1">
        <w:t xml:space="preserve">the agency </w:t>
      </w:r>
      <w:r w:rsidR="00C67972" w:rsidRPr="00737AD1">
        <w:t xml:space="preserve">initiating the Blue Alert </w:t>
      </w:r>
      <w:r w:rsidR="007205FD">
        <w:t xml:space="preserve">should </w:t>
      </w:r>
      <w:r w:rsidR="007205FD" w:rsidRPr="00737AD1">
        <w:t xml:space="preserve">confirm </w:t>
      </w:r>
      <w:r w:rsidR="00B43814" w:rsidRPr="00737AD1">
        <w:t xml:space="preserve">that the threat is </w:t>
      </w:r>
      <w:r w:rsidR="007205FD" w:rsidRPr="00737AD1">
        <w:t>“imminent and credible</w:t>
      </w:r>
      <w:r w:rsidR="007205FD">
        <w:t>,</w:t>
      </w:r>
      <w:r w:rsidR="007205FD" w:rsidRPr="00737AD1">
        <w:t>” and</w:t>
      </w:r>
      <w:r w:rsidR="007205FD">
        <w:t>, to the extent the threat arises from the acts of a suspect,</w:t>
      </w:r>
      <w:r w:rsidR="007205FD" w:rsidRPr="00737AD1">
        <w:t xml:space="preserve"> </w:t>
      </w:r>
      <w:r w:rsidR="007205FD">
        <w:t xml:space="preserve">such suspect, </w:t>
      </w:r>
      <w:r w:rsidR="007205FD" w:rsidRPr="00737AD1">
        <w:t xml:space="preserve">“at the time of </w:t>
      </w:r>
      <w:r w:rsidR="007205FD">
        <w:t xml:space="preserve">receipt of </w:t>
      </w:r>
      <w:r w:rsidR="007205FD" w:rsidRPr="00737AD1">
        <w:t>the threat,</w:t>
      </w:r>
      <w:r w:rsidR="007205FD">
        <w:t>”</w:t>
      </w:r>
      <w:r w:rsidR="007205FD" w:rsidRPr="00737AD1">
        <w:t xml:space="preserve"> </w:t>
      </w:r>
      <w:r w:rsidR="007205FD">
        <w:t xml:space="preserve">should be </w:t>
      </w:r>
      <w:r w:rsidR="00E94D01">
        <w:t>“</w:t>
      </w:r>
      <w:r w:rsidR="007205FD" w:rsidRPr="00737AD1">
        <w:t>wanted by a law enforcement agency.”</w:t>
      </w:r>
      <w:r w:rsidR="007205FD" w:rsidRPr="00737AD1">
        <w:rPr>
          <w:rStyle w:val="FootnoteReference"/>
        </w:rPr>
        <w:footnoteReference w:id="20"/>
      </w:r>
      <w:r w:rsidR="007205FD" w:rsidRPr="00737AD1">
        <w:t xml:space="preserve">  </w:t>
      </w:r>
      <w:r w:rsidR="00B43814" w:rsidRPr="00737AD1">
        <w:t xml:space="preserve">Third, </w:t>
      </w:r>
      <w:r w:rsidR="00C67972" w:rsidRPr="00737AD1">
        <w:t xml:space="preserve">where a </w:t>
      </w:r>
      <w:r w:rsidR="00181447" w:rsidRPr="00737AD1">
        <w:t>l</w:t>
      </w:r>
      <w:r w:rsidR="00C67972" w:rsidRPr="00737AD1">
        <w:t xml:space="preserve">aw </w:t>
      </w:r>
      <w:r w:rsidR="00181447" w:rsidRPr="00737AD1">
        <w:t>e</w:t>
      </w:r>
      <w:r w:rsidR="00C67972" w:rsidRPr="00737AD1">
        <w:t xml:space="preserve">nforcement </w:t>
      </w:r>
      <w:r w:rsidR="00181447" w:rsidRPr="00737AD1">
        <w:t>o</w:t>
      </w:r>
      <w:r w:rsidR="00C67972" w:rsidRPr="00737AD1">
        <w:t xml:space="preserve">fficer is reported </w:t>
      </w:r>
      <w:r w:rsidR="00B43814" w:rsidRPr="00737AD1">
        <w:t xml:space="preserve">missing, </w:t>
      </w:r>
      <w:r w:rsidR="00C67972" w:rsidRPr="00737AD1">
        <w:t xml:space="preserve">an </w:t>
      </w:r>
      <w:r w:rsidR="00B43814" w:rsidRPr="00737AD1">
        <w:t>agency may issue a</w:t>
      </w:r>
      <w:r w:rsidR="00C67972" w:rsidRPr="00737AD1">
        <w:t xml:space="preserve"> Blue A</w:t>
      </w:r>
      <w:r w:rsidR="00B43814" w:rsidRPr="00737AD1">
        <w:t xml:space="preserve">lert if it concludes that “the law enforcement officer is missing in connection with the officer’s official duties” and </w:t>
      </w:r>
      <w:r w:rsidR="00C67972" w:rsidRPr="00737AD1">
        <w:t xml:space="preserve">that </w:t>
      </w:r>
      <w:r w:rsidR="00B43814" w:rsidRPr="00737AD1">
        <w:t>“there is an indication of serious injury to or death of the law enforcement officer.”</w:t>
      </w:r>
      <w:r w:rsidR="00B43814" w:rsidRPr="00737AD1">
        <w:rPr>
          <w:rStyle w:val="FootnoteReference"/>
        </w:rPr>
        <w:footnoteReference w:id="21"/>
      </w:r>
      <w:r w:rsidR="00B43814" w:rsidRPr="00737AD1">
        <w:t xml:space="preserve">  </w:t>
      </w:r>
      <w:r w:rsidR="007205FD">
        <w:t xml:space="preserve">With respect to each of </w:t>
      </w:r>
      <w:r w:rsidR="007205FD" w:rsidRPr="00737AD1">
        <w:t>th</w:t>
      </w:r>
      <w:r w:rsidR="007205FD">
        <w:t>es</w:t>
      </w:r>
      <w:r w:rsidR="007205FD" w:rsidRPr="00737AD1">
        <w:t xml:space="preserve">e </w:t>
      </w:r>
      <w:r w:rsidR="007205FD">
        <w:t xml:space="preserve">three </w:t>
      </w:r>
      <w:r w:rsidR="007205FD" w:rsidRPr="00737AD1">
        <w:t xml:space="preserve">scenarios, the agency </w:t>
      </w:r>
      <w:r w:rsidR="007205FD">
        <w:t>should not issue the Blue Alert unless</w:t>
      </w:r>
      <w:r w:rsidR="007205FD" w:rsidRPr="00737AD1">
        <w:t xml:space="preserve"> </w:t>
      </w:r>
      <w:r w:rsidR="00B43814" w:rsidRPr="00737AD1">
        <w:t>“any suspect involved has not been apprehended” and “there is sufficient descriptive information of the suspect, including any vehicle and license tag information.”</w:t>
      </w:r>
      <w:r w:rsidR="00B43814" w:rsidRPr="00737AD1">
        <w:rPr>
          <w:rStyle w:val="FootnoteReference"/>
        </w:rPr>
        <w:footnoteReference w:id="22"/>
      </w:r>
      <w:r w:rsidR="00F72C00" w:rsidRPr="00737AD1">
        <w:t xml:space="preserve"> </w:t>
      </w:r>
      <w:r w:rsidR="0081659B" w:rsidRPr="00737AD1">
        <w:t xml:space="preserve"> </w:t>
      </w:r>
      <w:r w:rsidR="00F72C00" w:rsidRPr="00737AD1">
        <w:t>The Blue Alert Act also provide</w:t>
      </w:r>
      <w:r w:rsidR="0081659B" w:rsidRPr="00737AD1">
        <w:t>s</w:t>
      </w:r>
      <w:r w:rsidR="00F72C00" w:rsidRPr="00737AD1">
        <w:t xml:space="preserve"> that an alert should be issued only in those areas most likely to result in the apprehension of the suspect,</w:t>
      </w:r>
      <w:r w:rsidR="00F72C00" w:rsidRPr="00737AD1">
        <w:rPr>
          <w:rStyle w:val="FootnoteReference"/>
        </w:rPr>
        <w:footnoteReference w:id="23"/>
      </w:r>
      <w:r w:rsidR="00F72C00" w:rsidRPr="00737AD1">
        <w:t xml:space="preserve"> and that an alert should be suspended once the suspect is apprehended.</w:t>
      </w:r>
      <w:r w:rsidR="00F72C00" w:rsidRPr="00737AD1">
        <w:rPr>
          <w:rStyle w:val="FootnoteReference"/>
        </w:rPr>
        <w:footnoteReference w:id="24"/>
      </w:r>
      <w:r w:rsidR="00F72C00" w:rsidRPr="00737AD1">
        <w:t xml:space="preserve">  </w:t>
      </w:r>
    </w:p>
    <w:p w14:paraId="0BDA0DE1" w14:textId="77777777" w:rsidR="003856DF" w:rsidRPr="00737AD1" w:rsidRDefault="005C7EF8" w:rsidP="00350222">
      <w:pPr>
        <w:pStyle w:val="ParaNum"/>
      </w:pPr>
      <w:r w:rsidRPr="00737AD1">
        <w:t>Additionally</w:t>
      </w:r>
      <w:r w:rsidR="00642119" w:rsidRPr="00737AD1">
        <w:t xml:space="preserve">, </w:t>
      </w:r>
      <w:r w:rsidR="00DE2DAE" w:rsidRPr="00737AD1">
        <w:t xml:space="preserve">the National Blue Alert </w:t>
      </w:r>
      <w:r w:rsidR="00DE2DAE" w:rsidRPr="00350222">
        <w:rPr>
          <w:rFonts w:eastAsia="Calibri"/>
        </w:rPr>
        <w:t>Coordinator</w:t>
      </w:r>
      <w:r w:rsidR="005B3EF9" w:rsidRPr="00737AD1">
        <w:t xml:space="preserve"> </w:t>
      </w:r>
      <w:r w:rsidR="003856DF" w:rsidRPr="00737AD1">
        <w:t xml:space="preserve">is charged with cooperating with the Chairman of the FCC </w:t>
      </w:r>
      <w:r w:rsidR="008E20C2" w:rsidRPr="00737AD1">
        <w:t>to carry</w:t>
      </w:r>
      <w:r w:rsidR="003856DF" w:rsidRPr="00737AD1">
        <w:t xml:space="preserve"> out the Blue Alert Act.</w:t>
      </w:r>
      <w:r w:rsidR="003856DF" w:rsidRPr="00737AD1">
        <w:rPr>
          <w:rStyle w:val="FootnoteReference"/>
          <w:rFonts w:eastAsia="Calibri"/>
        </w:rPr>
        <w:footnoteReference w:id="25"/>
      </w:r>
      <w:r w:rsidR="003856DF" w:rsidRPr="00737AD1">
        <w:t xml:space="preserve">  </w:t>
      </w:r>
      <w:r w:rsidR="006B7F9F">
        <w:t>I</w:t>
      </w:r>
      <w:r w:rsidR="00452782">
        <w:t xml:space="preserve">n its 2017 Report to Congress, the COPS Office noted that it has </w:t>
      </w:r>
      <w:r w:rsidR="006B7F9F">
        <w:t xml:space="preserve">complied with this directive by </w:t>
      </w:r>
      <w:r w:rsidR="00452782">
        <w:t>establish</w:t>
      </w:r>
      <w:r w:rsidR="006B7F9F">
        <w:t xml:space="preserve">ing </w:t>
      </w:r>
      <w:r w:rsidR="00452782">
        <w:t xml:space="preserve">a point of contact with the FCC, and </w:t>
      </w:r>
      <w:r w:rsidR="006B7F9F">
        <w:t xml:space="preserve">by </w:t>
      </w:r>
      <w:r w:rsidR="00452782">
        <w:t>commenc</w:t>
      </w:r>
      <w:r w:rsidR="006B7F9F">
        <w:t>ing</w:t>
      </w:r>
      <w:r w:rsidR="00452782">
        <w:t xml:space="preserve"> outreach efforts to pursue a dedicated EAS event code.</w:t>
      </w:r>
      <w:r w:rsidR="00452782">
        <w:rPr>
          <w:rStyle w:val="FootnoteReference"/>
        </w:rPr>
        <w:footnoteReference w:id="26"/>
      </w:r>
    </w:p>
    <w:p w14:paraId="47532F74" w14:textId="77777777" w:rsidR="003856DF" w:rsidRPr="00737AD1" w:rsidRDefault="003856DF" w:rsidP="00350222">
      <w:pPr>
        <w:pStyle w:val="Heading1"/>
        <w:widowControl/>
        <w:numPr>
          <w:ilvl w:val="0"/>
          <w:numId w:val="3"/>
        </w:numPr>
        <w:suppressAutoHyphens w:val="0"/>
        <w:spacing w:line="259" w:lineRule="auto"/>
        <w:rPr>
          <w:rFonts w:ascii="Times New Roman" w:hAnsi="Times New Roman"/>
          <w:szCs w:val="22"/>
        </w:rPr>
      </w:pPr>
      <w:r w:rsidRPr="00737AD1">
        <w:rPr>
          <w:rFonts w:ascii="Times New Roman" w:hAnsi="Times New Roman"/>
          <w:szCs w:val="22"/>
        </w:rPr>
        <w:t>DISCUSSION</w:t>
      </w:r>
    </w:p>
    <w:p w14:paraId="5D505041" w14:textId="77777777" w:rsidR="00C566E7" w:rsidRPr="00737AD1" w:rsidRDefault="003856DF" w:rsidP="00350222">
      <w:pPr>
        <w:pStyle w:val="ParaNum"/>
      </w:pPr>
      <w:r w:rsidRPr="00737AD1">
        <w:t xml:space="preserve">We </w:t>
      </w:r>
      <w:r w:rsidR="006A1B56" w:rsidRPr="00737AD1">
        <w:t xml:space="preserve">propose to </w:t>
      </w:r>
      <w:r w:rsidR="00EA1A7E" w:rsidRPr="00737AD1">
        <w:t xml:space="preserve">revise the Commission’s EAS rules to </w:t>
      </w:r>
      <w:r w:rsidR="006A1B56" w:rsidRPr="00737AD1">
        <w:t>add</w:t>
      </w:r>
      <w:r w:rsidRPr="00737AD1">
        <w:t xml:space="preserve"> a </w:t>
      </w:r>
      <w:r w:rsidR="006A1B56" w:rsidRPr="00737AD1">
        <w:t xml:space="preserve">new </w:t>
      </w:r>
      <w:r w:rsidRPr="00737AD1">
        <w:t xml:space="preserve">“Blue Alert” </w:t>
      </w:r>
      <w:r w:rsidR="006A1B56" w:rsidRPr="00737AD1">
        <w:t xml:space="preserve">event </w:t>
      </w:r>
      <w:r w:rsidRPr="00737AD1">
        <w:t>code to the EAS</w:t>
      </w:r>
      <w:r w:rsidR="00EA1A7E" w:rsidRPr="00737AD1">
        <w:t xml:space="preserve"> and thus </w:t>
      </w:r>
      <w:r w:rsidR="008C429C" w:rsidRPr="00737AD1">
        <w:t>“promote compatible and integrated Blue Alert plans throughout the United States” as called for in the Blue Alert Act.</w:t>
      </w:r>
      <w:r w:rsidR="008C429C" w:rsidRPr="00737AD1">
        <w:rPr>
          <w:rStyle w:val="FootnoteReference"/>
        </w:rPr>
        <w:footnoteReference w:id="27"/>
      </w:r>
      <w:r w:rsidR="008C429C" w:rsidRPr="00737AD1">
        <w:t xml:space="preserve">  </w:t>
      </w:r>
      <w:r w:rsidR="003653DF" w:rsidRPr="00737AD1">
        <w:t>S</w:t>
      </w:r>
      <w:r w:rsidR="008C429C" w:rsidRPr="00737AD1">
        <w:t>everal developments support</w:t>
      </w:r>
      <w:r w:rsidR="00993F56" w:rsidRPr="00737AD1">
        <w:t xml:space="preserve"> </w:t>
      </w:r>
      <w:r w:rsidR="00465777" w:rsidRPr="00737AD1">
        <w:t>taki</w:t>
      </w:r>
      <w:r w:rsidR="008C429C" w:rsidRPr="00737AD1">
        <w:t xml:space="preserve">ng </w:t>
      </w:r>
      <w:r w:rsidR="00EA1A7E" w:rsidRPr="00737AD1">
        <w:t xml:space="preserve">this </w:t>
      </w:r>
      <w:r w:rsidR="008C429C" w:rsidRPr="00737AD1">
        <w:t>action</w:t>
      </w:r>
      <w:r w:rsidR="00465777" w:rsidRPr="00737AD1">
        <w:t xml:space="preserve"> today</w:t>
      </w:r>
      <w:r w:rsidR="008C429C" w:rsidRPr="00737AD1">
        <w:t xml:space="preserve">.  </w:t>
      </w:r>
      <w:r w:rsidR="00967C2D" w:rsidRPr="00737AD1">
        <w:t>The Blue Alert Act was adopted to help the states provide effective alerts to the public and law enforcement when police and other law enforcement officer</w:t>
      </w:r>
      <w:r w:rsidR="00F264B2">
        <w:t>s</w:t>
      </w:r>
      <w:r w:rsidR="00967C2D" w:rsidRPr="00737AD1">
        <w:t xml:space="preserve"> are killed or in danger.</w:t>
      </w:r>
      <w:r w:rsidR="00967C2D" w:rsidRPr="00737AD1">
        <w:rPr>
          <w:rStyle w:val="FootnoteReference"/>
        </w:rPr>
        <w:footnoteReference w:id="28"/>
      </w:r>
      <w:r w:rsidR="00967C2D" w:rsidRPr="00737AD1">
        <w:t xml:space="preserve"> </w:t>
      </w:r>
      <w:r w:rsidR="0009304D" w:rsidRPr="00737AD1">
        <w:t xml:space="preserve"> </w:t>
      </w:r>
      <w:r w:rsidR="008B13E0" w:rsidRPr="00737AD1">
        <w:t xml:space="preserve">In order to ensure that these </w:t>
      </w:r>
      <w:r w:rsidR="00896024">
        <w:t xml:space="preserve">state </w:t>
      </w:r>
      <w:r w:rsidR="008B13E0" w:rsidRPr="00737AD1">
        <w:t xml:space="preserve">plans are compatible and integrated throughout the United States as </w:t>
      </w:r>
      <w:r w:rsidR="00AE722C">
        <w:t>envisioned</w:t>
      </w:r>
      <w:r w:rsidR="00AE722C" w:rsidRPr="00737AD1">
        <w:t xml:space="preserve"> </w:t>
      </w:r>
      <w:r w:rsidR="008B13E0" w:rsidRPr="00737AD1">
        <w:t>by the Blue Alert Act,</w:t>
      </w:r>
      <w:r w:rsidR="008B13E0" w:rsidRPr="00737AD1">
        <w:rPr>
          <w:rStyle w:val="FootnoteReference"/>
        </w:rPr>
        <w:footnoteReference w:id="29"/>
      </w:r>
      <w:r w:rsidR="008B13E0" w:rsidRPr="00737AD1">
        <w:t xml:space="preserve"> </w:t>
      </w:r>
      <w:r w:rsidR="004C4C01" w:rsidRPr="00737AD1">
        <w:t>t</w:t>
      </w:r>
      <w:r w:rsidR="00EB52FC" w:rsidRPr="00737AD1">
        <w:t xml:space="preserve">he Blue Alert Coordinator has </w:t>
      </w:r>
      <w:r w:rsidR="004C4C01" w:rsidRPr="00737AD1">
        <w:t xml:space="preserve">made a series of </w:t>
      </w:r>
      <w:r w:rsidR="004C4C01" w:rsidRPr="00350222">
        <w:rPr>
          <w:rFonts w:eastAsia="Calibri"/>
        </w:rPr>
        <w:t>recommendations</w:t>
      </w:r>
      <w:r w:rsidR="004C4C01" w:rsidRPr="00737AD1">
        <w:t xml:space="preserve"> to C</w:t>
      </w:r>
      <w:r w:rsidR="00EB52FC" w:rsidRPr="00737AD1">
        <w:t>ongress</w:t>
      </w:r>
      <w:r w:rsidR="00AE722C">
        <w:t xml:space="preserve">.  Among them, the Blue Alert Coordinator </w:t>
      </w:r>
      <w:r w:rsidR="00AE722C" w:rsidRPr="00737AD1">
        <w:t xml:space="preserve">identified </w:t>
      </w:r>
      <w:r w:rsidR="00AE722C">
        <w:t xml:space="preserve">the need for </w:t>
      </w:r>
      <w:r w:rsidR="00AE722C" w:rsidRPr="00737AD1">
        <w:t>a dedicated EAS event code for Blue</w:t>
      </w:r>
      <w:r w:rsidR="00AE722C">
        <w:t xml:space="preserve"> Alerts</w:t>
      </w:r>
      <w:r w:rsidR="00AE722C" w:rsidRPr="00737AD1">
        <w:rPr>
          <w:rStyle w:val="FootnoteReference"/>
          <w:rFonts w:eastAsia="Calibri"/>
        </w:rPr>
        <w:footnoteReference w:id="30"/>
      </w:r>
      <w:r w:rsidR="00AE722C" w:rsidRPr="00737AD1">
        <w:t xml:space="preserve"> and</w:t>
      </w:r>
      <w:r w:rsidR="00AE722C">
        <w:t xml:space="preserve"> noted the alignment of the EAS with the implementation of the Blue Alert Act</w:t>
      </w:r>
      <w:r w:rsidR="00AE722C" w:rsidRPr="00737AD1">
        <w:t>.</w:t>
      </w:r>
      <w:r w:rsidR="00AE722C" w:rsidRPr="00737AD1">
        <w:rPr>
          <w:rStyle w:val="FootnoteReference"/>
        </w:rPr>
        <w:footnoteReference w:id="31"/>
      </w:r>
      <w:r w:rsidR="00AE722C" w:rsidRPr="00737AD1">
        <w:t xml:space="preserve">  </w:t>
      </w:r>
      <w:r w:rsidR="00AB712D" w:rsidRPr="00737AD1">
        <w:t xml:space="preserve">We propose that by </w:t>
      </w:r>
      <w:r w:rsidR="004C4C01" w:rsidRPr="00737AD1">
        <w:t xml:space="preserve">adopting a dedicated </w:t>
      </w:r>
      <w:r w:rsidR="00AB712D" w:rsidRPr="00737AD1">
        <w:t xml:space="preserve">EAS </w:t>
      </w:r>
      <w:r w:rsidR="004C4C01" w:rsidRPr="00737AD1">
        <w:t xml:space="preserve">event code </w:t>
      </w:r>
      <w:r w:rsidR="00AB712D" w:rsidRPr="00737AD1">
        <w:t xml:space="preserve">to deliver Blue Alerts, </w:t>
      </w:r>
      <w:r w:rsidR="004C4C01" w:rsidRPr="00737AD1">
        <w:t xml:space="preserve">our rules can help facilitate the delivery of Blue Alerts to the public in a uniform and consistent manner that promotes the compatible and integrated Blue Alert plans contemplated by the Blue Alert Act.  </w:t>
      </w:r>
      <w:r w:rsidR="00EA1EC7" w:rsidRPr="00737AD1">
        <w:t xml:space="preserve">We seek comment on this proposal below. </w:t>
      </w:r>
      <w:r w:rsidR="0034007F" w:rsidRPr="00737AD1">
        <w:t xml:space="preserve"> </w:t>
      </w:r>
      <w:r w:rsidR="00BF5C43" w:rsidRPr="00737AD1">
        <w:t xml:space="preserve"> </w:t>
      </w:r>
    </w:p>
    <w:p w14:paraId="6D23A2A8" w14:textId="77777777" w:rsidR="00F72C00" w:rsidRPr="00737AD1" w:rsidRDefault="00EA1EC7" w:rsidP="00350222">
      <w:pPr>
        <w:pStyle w:val="ParaNum"/>
      </w:pPr>
      <w:r w:rsidRPr="00737AD1">
        <w:t>We</w:t>
      </w:r>
      <w:r w:rsidR="00C566E7" w:rsidRPr="00737AD1">
        <w:t xml:space="preserve"> propose to amend Section 11.31(e) of the EAS rules to add a new “BLU” event code to the codes contained within the EAS Protocol.</w:t>
      </w:r>
      <w:r w:rsidR="00C566E7" w:rsidRPr="00737AD1">
        <w:rPr>
          <w:rStyle w:val="FootnoteReference"/>
        </w:rPr>
        <w:footnoteReference w:id="32"/>
      </w:r>
      <w:r w:rsidR="00C566E7" w:rsidRPr="00737AD1">
        <w:t xml:space="preserve">  Consistent with the guidance issued by the National Blue Alert Coordinator, we anticipate this code would be used by alert originators to disseminate information related to (1) the serious injury or death of a law </w:t>
      </w:r>
      <w:r w:rsidR="00C566E7" w:rsidRPr="00350222">
        <w:rPr>
          <w:rFonts w:eastAsia="Calibri"/>
        </w:rPr>
        <w:t>enforcement</w:t>
      </w:r>
      <w:r w:rsidR="00C566E7" w:rsidRPr="00737AD1">
        <w:t xml:space="preserve"> officer in the line of duty, (2)</w:t>
      </w:r>
      <w:r w:rsidR="003A1744">
        <w:t> </w:t>
      </w:r>
      <w:r w:rsidR="00C566E7" w:rsidRPr="00737AD1">
        <w:t>an officer who is missing in connection with their official duties, or (3) an imminent and credible threat that an individual intends to cause serious injury to, or kill, a law enforcement officer.</w:t>
      </w:r>
      <w:r w:rsidR="00C566E7" w:rsidRPr="00737AD1">
        <w:rPr>
          <w:rStyle w:val="FootnoteReference"/>
        </w:rPr>
        <w:footnoteReference w:id="33"/>
      </w:r>
      <w:r w:rsidR="00C566E7" w:rsidRPr="00737AD1">
        <w:t xml:space="preserve">  </w:t>
      </w:r>
      <w:r w:rsidR="005A09CA" w:rsidRPr="00737AD1">
        <w:t>We also propose that such alerts would be confined to those areas most likely to facilitate capture of the suspect,</w:t>
      </w:r>
      <w:r w:rsidR="005A09CA" w:rsidRPr="00737AD1">
        <w:rPr>
          <w:rStyle w:val="FootnoteReference"/>
        </w:rPr>
        <w:footnoteReference w:id="34"/>
      </w:r>
      <w:r w:rsidR="005A09CA" w:rsidRPr="00737AD1">
        <w:t xml:space="preserve"> and would </w:t>
      </w:r>
      <w:r w:rsidR="00C250A0" w:rsidRPr="00737AD1">
        <w:t xml:space="preserve">be </w:t>
      </w:r>
      <w:r w:rsidR="005A09CA" w:rsidRPr="00737AD1">
        <w:t>suspended when the suspect is apprehended.</w:t>
      </w:r>
      <w:r w:rsidR="00C250A0" w:rsidRPr="00737AD1">
        <w:rPr>
          <w:rStyle w:val="FootnoteReference"/>
        </w:rPr>
        <w:footnoteReference w:id="35"/>
      </w:r>
      <w:r w:rsidR="005A09CA" w:rsidRPr="00737AD1">
        <w:t xml:space="preserve">  </w:t>
      </w:r>
      <w:r w:rsidR="00C31EFE">
        <w:t xml:space="preserve">As with other non-Presidential alerts, carriage of Blue Alerts </w:t>
      </w:r>
      <w:r w:rsidR="00D46007">
        <w:t xml:space="preserve">and use of the Blue Alert event code </w:t>
      </w:r>
      <w:r w:rsidR="00C31EFE">
        <w:t>would be voluntary.</w:t>
      </w:r>
      <w:r w:rsidR="00EF7205">
        <w:rPr>
          <w:rStyle w:val="FootnoteReference"/>
        </w:rPr>
        <w:footnoteReference w:id="36"/>
      </w:r>
      <w:r w:rsidR="00C31EFE">
        <w:t xml:space="preserve">  </w:t>
      </w:r>
      <w:r w:rsidR="00C566E7" w:rsidRPr="00737AD1">
        <w:t>We seek comment on this proposal.</w:t>
      </w:r>
      <w:r w:rsidR="00B80D7E" w:rsidRPr="00737AD1">
        <w:t xml:space="preserve">  </w:t>
      </w:r>
    </w:p>
    <w:p w14:paraId="0B23E718" w14:textId="77777777" w:rsidR="003A1744" w:rsidRDefault="00EB4488" w:rsidP="00202382">
      <w:pPr>
        <w:pStyle w:val="ParaNum"/>
        <w:widowControl/>
      </w:pPr>
      <w:r w:rsidRPr="00DC78D2">
        <w:rPr>
          <w:i/>
        </w:rPr>
        <w:t xml:space="preserve">Efficacy of </w:t>
      </w:r>
      <w:r w:rsidR="00DB77ED">
        <w:rPr>
          <w:i/>
        </w:rPr>
        <w:t xml:space="preserve">the EAS as a mechanism for delivering </w:t>
      </w:r>
      <w:r w:rsidRPr="00DC78D2">
        <w:rPr>
          <w:i/>
        </w:rPr>
        <w:t>Blue Alerts.</w:t>
      </w:r>
      <w:r>
        <w:t xml:space="preserve">  </w:t>
      </w:r>
      <w:r w:rsidR="00F264B2">
        <w:t>W</w:t>
      </w:r>
      <w:r w:rsidR="00BB038E" w:rsidRPr="00737AD1">
        <w:t xml:space="preserve">e seek comment on the efficacy of the EAS as a mechanism for the delivery of Blue Alerts.  </w:t>
      </w:r>
      <w:r w:rsidR="00B80D7E" w:rsidRPr="00737AD1">
        <w:t xml:space="preserve">We note that, for over two decades, the EAS has proven to be an effective method of </w:t>
      </w:r>
      <w:r w:rsidR="00B80D7E" w:rsidRPr="00350222">
        <w:rPr>
          <w:rFonts w:eastAsia="Calibri"/>
        </w:rPr>
        <w:t>alerting</w:t>
      </w:r>
      <w:r w:rsidR="00B80D7E" w:rsidRPr="00737AD1">
        <w:t xml:space="preserve"> the public and saving lives and property.</w:t>
      </w:r>
      <w:r w:rsidR="00B80D7E" w:rsidRPr="00737AD1">
        <w:rPr>
          <w:rStyle w:val="FootnoteReference"/>
        </w:rPr>
        <w:footnoteReference w:id="37"/>
      </w:r>
      <w:r w:rsidR="004532A1">
        <w:t xml:space="preserve">  </w:t>
      </w:r>
      <w:r w:rsidR="00B80D7E" w:rsidRPr="00737AD1">
        <w:t>EAS Participants continue to voluntarily transmit thousands of alerts and warnings annually regarding severe weather threats, child abductions, and other local emergencies.</w:t>
      </w:r>
      <w:r w:rsidR="00B80D7E" w:rsidRPr="00737AD1">
        <w:rPr>
          <w:rStyle w:val="FootnoteReference"/>
        </w:rPr>
        <w:footnoteReference w:id="38"/>
      </w:r>
      <w:r w:rsidR="00B80D7E" w:rsidRPr="00737AD1">
        <w:t xml:space="preserve">  </w:t>
      </w:r>
    </w:p>
    <w:p w14:paraId="7B653219" w14:textId="77777777" w:rsidR="003A1744" w:rsidRDefault="007205FD" w:rsidP="00350222">
      <w:pPr>
        <w:pStyle w:val="ParaNum"/>
      </w:pPr>
      <w:r w:rsidRPr="00737AD1">
        <w:t>We seek comment on whether</w:t>
      </w:r>
      <w:r>
        <w:t xml:space="preserve"> the </w:t>
      </w:r>
      <w:r w:rsidRPr="00350222">
        <w:rPr>
          <w:rFonts w:eastAsia="Calibri"/>
        </w:rPr>
        <w:t>current</w:t>
      </w:r>
      <w:r>
        <w:t xml:space="preserve"> system could accommodate Blue Alerts as effectively as it does these other types of alerts.</w:t>
      </w:r>
      <w:r w:rsidR="003805DA">
        <w:t xml:space="preserve">  </w:t>
      </w:r>
      <w:r w:rsidR="008837B3" w:rsidRPr="00737AD1">
        <w:t xml:space="preserve">Are there </w:t>
      </w:r>
      <w:r w:rsidR="00817C91" w:rsidRPr="00737AD1">
        <w:t xml:space="preserve">constraints </w:t>
      </w:r>
      <w:r w:rsidR="008837B3" w:rsidRPr="00737AD1">
        <w:t xml:space="preserve">that </w:t>
      </w:r>
      <w:r w:rsidR="00085228" w:rsidRPr="00737AD1">
        <w:t xml:space="preserve">would impede the ability of the EAS to contain the information required under the </w:t>
      </w:r>
      <w:r w:rsidR="008B184A" w:rsidRPr="00737AD1">
        <w:t xml:space="preserve">Blue Alert </w:t>
      </w:r>
      <w:r w:rsidR="00085228" w:rsidRPr="00737AD1">
        <w:t xml:space="preserve">Guidelines?  </w:t>
      </w:r>
      <w:r w:rsidR="00B7666B">
        <w:t xml:space="preserve">For example, </w:t>
      </w:r>
      <w:r w:rsidR="00B7666B" w:rsidRPr="00737AD1">
        <w:t>EAS alerts are subject to a two</w:t>
      </w:r>
      <w:r w:rsidR="00B7666B">
        <w:t>-</w:t>
      </w:r>
      <w:r w:rsidR="00B7666B" w:rsidRPr="00737AD1">
        <w:t>minute time limit.</w:t>
      </w:r>
      <w:r w:rsidR="00B7666B" w:rsidRPr="00737AD1">
        <w:rPr>
          <w:rStyle w:val="FootnoteReference"/>
        </w:rPr>
        <w:footnoteReference w:id="39"/>
      </w:r>
      <w:r w:rsidR="00B7666B" w:rsidRPr="00737AD1">
        <w:t xml:space="preserve">  Can the information required by the Blue Alert Guidelines be communicated within a two</w:t>
      </w:r>
      <w:r w:rsidR="00B7666B">
        <w:t>-</w:t>
      </w:r>
      <w:r w:rsidR="00B7666B" w:rsidRPr="00737AD1">
        <w:t xml:space="preserve">minute time frame?  </w:t>
      </w:r>
      <w:r w:rsidR="00D95552" w:rsidRPr="00737AD1">
        <w:t xml:space="preserve">We note that EAS alerts delivered over the </w:t>
      </w:r>
      <w:r w:rsidR="00700DCF" w:rsidRPr="00737AD1">
        <w:t xml:space="preserve">IPAWS </w:t>
      </w:r>
      <w:r w:rsidR="00D95552" w:rsidRPr="00737AD1">
        <w:t xml:space="preserve">can </w:t>
      </w:r>
      <w:r w:rsidR="00085228" w:rsidRPr="00737AD1">
        <w:t xml:space="preserve">contain </w:t>
      </w:r>
      <w:r w:rsidR="00817C91" w:rsidRPr="00737AD1">
        <w:t>detailed text files, non-English alerts</w:t>
      </w:r>
      <w:r w:rsidR="00D95552" w:rsidRPr="00737AD1">
        <w:t>, or</w:t>
      </w:r>
      <w:r w:rsidR="00085228" w:rsidRPr="00737AD1">
        <w:t xml:space="preserve"> other </w:t>
      </w:r>
      <w:r w:rsidR="008B184A" w:rsidRPr="00350222">
        <w:rPr>
          <w:rFonts w:eastAsia="Calibri"/>
        </w:rPr>
        <w:t>content</w:t>
      </w:r>
      <w:r w:rsidR="008B184A" w:rsidRPr="00737AD1">
        <w:t>-</w:t>
      </w:r>
      <w:r w:rsidR="00085228" w:rsidRPr="00737AD1">
        <w:t xml:space="preserve">rich data that is not available to EAS alerts delivered via the </w:t>
      </w:r>
      <w:r w:rsidR="00B7666B">
        <w:t xml:space="preserve">broadcast-based </w:t>
      </w:r>
      <w:r w:rsidR="008B184A" w:rsidRPr="00737AD1">
        <w:t>d</w:t>
      </w:r>
      <w:r w:rsidR="00085228" w:rsidRPr="00737AD1">
        <w:t xml:space="preserve">aisy </w:t>
      </w:r>
      <w:r w:rsidR="008B184A" w:rsidRPr="00737AD1">
        <w:t>c</w:t>
      </w:r>
      <w:r w:rsidR="00085228" w:rsidRPr="00737AD1">
        <w:t>hain</w:t>
      </w:r>
      <w:r w:rsidR="00F264B2">
        <w:t>.</w:t>
      </w:r>
      <w:r w:rsidR="00817C91" w:rsidRPr="00737AD1">
        <w:rPr>
          <w:rStyle w:val="FootnoteReference"/>
        </w:rPr>
        <w:footnoteReference w:id="40"/>
      </w:r>
      <w:r w:rsidR="00085228" w:rsidRPr="00737AD1">
        <w:t xml:space="preserve">  </w:t>
      </w:r>
      <w:r w:rsidR="00D95552" w:rsidRPr="00737AD1">
        <w:t>Do Blue Alert</w:t>
      </w:r>
      <w:r w:rsidR="00F264B2">
        <w:t>s</w:t>
      </w:r>
      <w:r w:rsidR="00D95552" w:rsidRPr="00737AD1">
        <w:t xml:space="preserve"> contain extra text files or other </w:t>
      </w:r>
      <w:r w:rsidR="00F264B2">
        <w:t>data-</w:t>
      </w:r>
      <w:r w:rsidR="00D95552" w:rsidRPr="00737AD1">
        <w:t>rich content</w:t>
      </w:r>
      <w:r w:rsidR="00D3620C">
        <w:t xml:space="preserve"> that would benefit from IPAWS’ capabilities</w:t>
      </w:r>
      <w:r w:rsidR="00D95552" w:rsidRPr="00737AD1">
        <w:t>?  Would it have a negative impact on the value of an EAS Blue Alert that such</w:t>
      </w:r>
      <w:r w:rsidR="00D3620C">
        <w:t xml:space="preserve"> data-rich</w:t>
      </w:r>
      <w:r w:rsidR="00D95552" w:rsidRPr="00737AD1">
        <w:t xml:space="preserve"> content may not be delivered to all EAS Participants</w:t>
      </w:r>
      <w:r w:rsidR="00AE722C">
        <w:t xml:space="preserve">, depending on whether they receive the alert through </w:t>
      </w:r>
      <w:r w:rsidR="00B7666B">
        <w:t>IPAWS or through the broadcast-based daisy chain</w:t>
      </w:r>
      <w:r w:rsidR="00D95552" w:rsidRPr="00737AD1">
        <w:t xml:space="preserve">? </w:t>
      </w:r>
      <w:r w:rsidR="0065050B" w:rsidRPr="00737AD1">
        <w:t xml:space="preserve"> </w:t>
      </w:r>
    </w:p>
    <w:p w14:paraId="743FD3A1" w14:textId="77777777" w:rsidR="003D6C17" w:rsidRPr="00737AD1" w:rsidRDefault="00C60BA9" w:rsidP="00350222">
      <w:pPr>
        <w:pStyle w:val="ParaNum"/>
      </w:pPr>
      <w:r w:rsidRPr="003D324A">
        <w:t xml:space="preserve">Further, </w:t>
      </w:r>
      <w:r w:rsidR="00726E0C">
        <w:t xml:space="preserve">EAS Alerts </w:t>
      </w:r>
      <w:r w:rsidR="008D47D9">
        <w:t>a</w:t>
      </w:r>
      <w:r w:rsidR="00726E0C">
        <w:t>re limited to the geographic contours and service areas of broadcasters and cable service providers.  In light of this, a</w:t>
      </w:r>
      <w:r w:rsidR="003805DA">
        <w:t>re EAS alerts suited to deliver</w:t>
      </w:r>
      <w:r w:rsidR="00726E0C">
        <w:t xml:space="preserve"> Blue Alerts </w:t>
      </w:r>
      <w:r w:rsidR="003805DA">
        <w:t>in a targeted geographic manner, consistent with</w:t>
      </w:r>
      <w:r w:rsidR="004F7DFD">
        <w:t xml:space="preserve"> the Blue Alert Act</w:t>
      </w:r>
      <w:r w:rsidR="00867D2C">
        <w:t xml:space="preserve">, </w:t>
      </w:r>
      <w:r w:rsidR="00867D2C" w:rsidRPr="00350222">
        <w:rPr>
          <w:rFonts w:eastAsia="Calibri"/>
        </w:rPr>
        <w:t>which</w:t>
      </w:r>
      <w:r w:rsidR="00867D2C">
        <w:t xml:space="preserve"> provides that Blue Alerts, to the maximum extent practicable, “be limited to the geographic areas most likely to facilitate the apprehension of the suspect involved or which the suspect could reasonably reach, which should not be limited to state lines”</w:t>
      </w:r>
      <w:r w:rsidR="004F7DFD">
        <w:t>?</w:t>
      </w:r>
      <w:r w:rsidR="004F7DFD">
        <w:rPr>
          <w:rStyle w:val="FootnoteReference"/>
        </w:rPr>
        <w:footnoteReference w:id="41"/>
      </w:r>
      <w:r w:rsidR="004F7DFD">
        <w:t xml:space="preserve">  </w:t>
      </w:r>
      <w:r w:rsidR="00C111B8">
        <w:t>Can</w:t>
      </w:r>
      <w:r w:rsidR="008D47D9">
        <w:t xml:space="preserve"> EAS Participants distribute Blue Alerts to such smaller, more narrowly targeted geographic areas?</w:t>
      </w:r>
      <w:r w:rsidR="00B82F7C">
        <w:rPr>
          <w:rStyle w:val="FootnoteReference"/>
        </w:rPr>
        <w:footnoteReference w:id="42"/>
      </w:r>
      <w:r w:rsidR="008D47D9">
        <w:t xml:space="preserve">  </w:t>
      </w:r>
      <w:r w:rsidR="003C4A69">
        <w:t>In</w:t>
      </w:r>
      <w:r w:rsidR="008D47D9">
        <w:t xml:space="preserve"> particular, what is the ability of small cable operator EAS Participants to limit the geographic area of a Blue Alert?</w:t>
      </w:r>
      <w:r w:rsidRPr="00C60BA9">
        <w:t xml:space="preserve">  </w:t>
      </w:r>
      <w:r w:rsidR="007205FD" w:rsidRPr="00D63C62">
        <w:t>To what extent do states use the EAS to send Blue Alerts?  Do any states send Blue Alerts outside of the EAS structure?  What has been their experience?  Would the EAS serve as a more effective means of conveying the information required by the Blue Alert Guidelines?</w:t>
      </w:r>
    </w:p>
    <w:p w14:paraId="4FA6ACB7" w14:textId="77777777" w:rsidR="003A1744" w:rsidRDefault="00EB4488" w:rsidP="00350222">
      <w:pPr>
        <w:pStyle w:val="ParaNum"/>
      </w:pPr>
      <w:r>
        <w:rPr>
          <w:i/>
        </w:rPr>
        <w:t xml:space="preserve">Implementation of Blue Alerts.  </w:t>
      </w:r>
      <w:r w:rsidR="00606320">
        <w:t>We seek comment on whether</w:t>
      </w:r>
      <w:r w:rsidR="003A1744">
        <w:t>—</w:t>
      </w:r>
      <w:r w:rsidR="002519C5">
        <w:t>assuming that the EAS would be an efficient manner of distributing Blue Alerts</w:t>
      </w:r>
      <w:r w:rsidR="003A1744">
        <w:t>—</w:t>
      </w:r>
      <w:r w:rsidR="00606320">
        <w:t>the establishment of a</w:t>
      </w:r>
      <w:r w:rsidR="002519C5">
        <w:t xml:space="preserve"> dedicated</w:t>
      </w:r>
      <w:r w:rsidR="00606320">
        <w:t xml:space="preserve"> EAS event code w</w:t>
      </w:r>
      <w:r w:rsidR="002519C5">
        <w:t>ould</w:t>
      </w:r>
      <w:r w:rsidR="00606320">
        <w:t xml:space="preserve"> help </w:t>
      </w:r>
      <w:r w:rsidR="0051727F">
        <w:t>to</w:t>
      </w:r>
      <w:r w:rsidR="00606320" w:rsidRPr="00737AD1">
        <w:t xml:space="preserve"> facilitat</w:t>
      </w:r>
      <w:r w:rsidR="00606320">
        <w:t>e</w:t>
      </w:r>
      <w:r w:rsidR="00606320" w:rsidRPr="00737AD1">
        <w:t xml:space="preserve"> the </w:t>
      </w:r>
      <w:r w:rsidR="00606320" w:rsidRPr="00350222">
        <w:rPr>
          <w:rFonts w:eastAsia="Calibri"/>
        </w:rPr>
        <w:t>implementation</w:t>
      </w:r>
      <w:r w:rsidR="00606320" w:rsidRPr="00737AD1">
        <w:t xml:space="preserve"> of the Blue Alert Guidelines in a </w:t>
      </w:r>
      <w:r w:rsidR="00606320">
        <w:t>compatible and integrated</w:t>
      </w:r>
      <w:r w:rsidR="00606320" w:rsidRPr="00737AD1">
        <w:t xml:space="preserve"> manner </w:t>
      </w:r>
      <w:r w:rsidR="00606320">
        <w:t>nationwide</w:t>
      </w:r>
      <w:r w:rsidR="006A3437">
        <w:t>, as contemplated by the Blue Alert Act.</w:t>
      </w:r>
      <w:r w:rsidR="00606320" w:rsidRPr="00737AD1">
        <w:rPr>
          <w:rStyle w:val="FootnoteReference"/>
        </w:rPr>
        <w:footnoteReference w:id="43"/>
      </w:r>
      <w:r w:rsidR="00606320" w:rsidRPr="00737AD1">
        <w:t xml:space="preserve">  </w:t>
      </w:r>
      <w:r w:rsidR="00A15519">
        <w:t xml:space="preserve">The COPS Office </w:t>
      </w:r>
      <w:r w:rsidR="00726E0C">
        <w:t>states</w:t>
      </w:r>
      <w:r w:rsidR="00A15519">
        <w:t xml:space="preserve"> “a dedicated Blue Alert EAS event code would serve </w:t>
      </w:r>
      <w:r w:rsidR="001C4605">
        <w:t>as the central and organizing element for Blue Alert plans coast-to-coast and greatly facilitate the work of the National Blue Alert Network.”</w:t>
      </w:r>
      <w:r w:rsidR="001C4605">
        <w:rPr>
          <w:rStyle w:val="FootnoteReference"/>
        </w:rPr>
        <w:footnoteReference w:id="44"/>
      </w:r>
      <w:r w:rsidR="001C4605">
        <w:t xml:space="preserve">  </w:t>
      </w:r>
      <w:r w:rsidR="00835F5D">
        <w:t xml:space="preserve">We seek comment on this </w:t>
      </w:r>
      <w:r w:rsidR="001B013A">
        <w:t>statement</w:t>
      </w:r>
      <w:r w:rsidR="00835F5D">
        <w:t xml:space="preserve">.  </w:t>
      </w:r>
    </w:p>
    <w:p w14:paraId="483CD19B" w14:textId="77777777" w:rsidR="009B1EC0" w:rsidRPr="00737AD1" w:rsidRDefault="001922B9" w:rsidP="00FE4161">
      <w:pPr>
        <w:pStyle w:val="ParaNum"/>
      </w:pPr>
      <w:r w:rsidRPr="00737AD1">
        <w:t xml:space="preserve">As of November 2016, </w:t>
      </w:r>
      <w:r w:rsidR="00F264B2">
        <w:t>27</w:t>
      </w:r>
      <w:r w:rsidR="00E41E31" w:rsidRPr="00737AD1">
        <w:t xml:space="preserve"> states have </w:t>
      </w:r>
      <w:r w:rsidR="00E41E31" w:rsidRPr="00350222">
        <w:rPr>
          <w:rFonts w:eastAsia="Calibri"/>
        </w:rPr>
        <w:t>implemented</w:t>
      </w:r>
      <w:r w:rsidR="00E41E31" w:rsidRPr="00737AD1">
        <w:t xml:space="preserve"> Blue Alert plans.</w:t>
      </w:r>
      <w:r w:rsidR="00706CB4" w:rsidRPr="00737AD1">
        <w:rPr>
          <w:rStyle w:val="FootnoteReference"/>
          <w:rFonts w:eastAsia="Calibri"/>
        </w:rPr>
        <w:footnoteReference w:id="45"/>
      </w:r>
      <w:r w:rsidR="00706CB4" w:rsidRPr="00737AD1">
        <w:t xml:space="preserve"> </w:t>
      </w:r>
      <w:r w:rsidR="00E41E31" w:rsidRPr="00737AD1">
        <w:t xml:space="preserve"> </w:t>
      </w:r>
      <w:r w:rsidR="00606320">
        <w:t>We observe that s</w:t>
      </w:r>
      <w:r w:rsidR="00606320" w:rsidRPr="00737AD1">
        <w:t>tates’ implementation of Blue Alert plans vary.  For example, Montana and Florida utilize the “Law Enforcement Emergency” (LEW) EAS event code to transmit Blue Alerts,</w:t>
      </w:r>
      <w:r w:rsidR="00606320" w:rsidRPr="00737AD1">
        <w:rPr>
          <w:rStyle w:val="FootnoteReference"/>
        </w:rPr>
        <w:footnoteReference w:id="46"/>
      </w:r>
      <w:r w:rsidR="00606320" w:rsidRPr="00737AD1">
        <w:t xml:space="preserve"> whereas Washington is creating its own “Blue Alert System” for voluntary cooperation between law enforcement, and radio, television, cable, and satellite systems.</w:t>
      </w:r>
      <w:r w:rsidR="00606320" w:rsidRPr="00737AD1">
        <w:rPr>
          <w:rStyle w:val="FootnoteReference"/>
        </w:rPr>
        <w:footnoteReference w:id="47"/>
      </w:r>
      <w:r w:rsidR="00606320" w:rsidRPr="00737AD1">
        <w:t xml:space="preserve">  </w:t>
      </w:r>
      <w:r w:rsidR="007314ED" w:rsidRPr="00737AD1">
        <w:t>To what extent do current state guidelines</w:t>
      </w:r>
      <w:r w:rsidR="001E59B3">
        <w:t xml:space="preserve"> for delivering </w:t>
      </w:r>
      <w:r w:rsidR="007205FD">
        <w:t xml:space="preserve">a </w:t>
      </w:r>
      <w:r w:rsidR="001E59B3">
        <w:t>Blue Alert</w:t>
      </w:r>
      <w:r w:rsidR="007314ED" w:rsidRPr="00737AD1">
        <w:t xml:space="preserve"> differ from the Blue Alert Guidelines?  Would a dedicated EAS event code help ensure that both Blue Alerts and related outreach are </w:t>
      </w:r>
      <w:r w:rsidR="00D3620C">
        <w:t>undertaken</w:t>
      </w:r>
      <w:r w:rsidR="007314ED" w:rsidRPr="00737AD1">
        <w:t xml:space="preserve"> in a consistent manner nationally?  </w:t>
      </w:r>
      <w:r w:rsidR="00D3620C">
        <w:t xml:space="preserve">We seek comment on the distribution methods states currently employ to deliver Blue Alerts.  </w:t>
      </w:r>
      <w:r w:rsidR="00EF2C32">
        <w:t>To the</w:t>
      </w:r>
      <w:r w:rsidR="00DF19A3">
        <w:t xml:space="preserve"> extent states use different distribution methods</w:t>
      </w:r>
      <w:r w:rsidR="00EF2C32">
        <w:t xml:space="preserve"> to </w:t>
      </w:r>
      <w:r w:rsidR="00DF19A3">
        <w:t>deliver</w:t>
      </w:r>
      <w:r w:rsidR="00EF2C32">
        <w:t xml:space="preserve"> Blue Alerts, d</w:t>
      </w:r>
      <w:r w:rsidR="007314ED" w:rsidRPr="00737AD1">
        <w:t xml:space="preserve">o these various distribution methods detract from the effectiveness of </w:t>
      </w:r>
      <w:r w:rsidR="006A3437">
        <w:t xml:space="preserve">Blue Alerts? </w:t>
      </w:r>
      <w:r w:rsidR="00B57841" w:rsidRPr="00737AD1">
        <w:t xml:space="preserve"> </w:t>
      </w:r>
      <w:r w:rsidR="007314ED">
        <w:t>We seek comment on the</w:t>
      </w:r>
      <w:r w:rsidR="00B57841" w:rsidRPr="00737AD1">
        <w:t xml:space="preserve"> experience of </w:t>
      </w:r>
      <w:r w:rsidR="00047AC3" w:rsidRPr="00737AD1">
        <w:t>any</w:t>
      </w:r>
      <w:r w:rsidR="00B31E63" w:rsidRPr="00737AD1">
        <w:t xml:space="preserve"> </w:t>
      </w:r>
      <w:r w:rsidR="00641201" w:rsidRPr="00737AD1">
        <w:t xml:space="preserve">states </w:t>
      </w:r>
      <w:r w:rsidR="00B57841" w:rsidRPr="00737AD1">
        <w:t xml:space="preserve">that </w:t>
      </w:r>
      <w:r w:rsidR="00641201" w:rsidRPr="00737AD1">
        <w:t xml:space="preserve">have adopted </w:t>
      </w:r>
      <w:r w:rsidR="00B57841" w:rsidRPr="00737AD1">
        <w:t>B</w:t>
      </w:r>
      <w:r w:rsidR="00641201" w:rsidRPr="00737AD1">
        <w:t xml:space="preserve">lue </w:t>
      </w:r>
      <w:r w:rsidR="00B57841" w:rsidRPr="00737AD1">
        <w:t>A</w:t>
      </w:r>
      <w:r w:rsidR="00641201" w:rsidRPr="00737AD1">
        <w:t xml:space="preserve">lerts as part of their statewide </w:t>
      </w:r>
      <w:r w:rsidR="000371EF" w:rsidRPr="00737AD1">
        <w:t xml:space="preserve">alerting </w:t>
      </w:r>
      <w:r w:rsidR="00641201" w:rsidRPr="00737AD1">
        <w:t>systems</w:t>
      </w:r>
      <w:r w:rsidR="007314ED">
        <w:t>.</w:t>
      </w:r>
      <w:r w:rsidR="00B57841" w:rsidRPr="00737AD1">
        <w:t xml:space="preserve">  </w:t>
      </w:r>
      <w:r w:rsidR="0092611A">
        <w:t>We seek comment on whether the adoption of a dedicated EAS Blue Alert event code would encourage EAS Participants to deliver Blue Alerts</w:t>
      </w:r>
      <w:r w:rsidR="00557CC3">
        <w:t>.</w:t>
      </w:r>
      <w:r w:rsidR="0092611A">
        <w:t xml:space="preserve"> </w:t>
      </w:r>
    </w:p>
    <w:p w14:paraId="6041FB14" w14:textId="77777777" w:rsidR="00606320" w:rsidRPr="00737AD1" w:rsidRDefault="00606320" w:rsidP="00350222">
      <w:pPr>
        <w:pStyle w:val="ParaNum"/>
      </w:pPr>
      <w:r>
        <w:t xml:space="preserve">We </w:t>
      </w:r>
      <w:r w:rsidRPr="00737AD1">
        <w:t xml:space="preserve">additionally ask whether </w:t>
      </w:r>
      <w:r w:rsidR="00D43189">
        <w:t>availability</w:t>
      </w:r>
      <w:r w:rsidR="006A3437">
        <w:t xml:space="preserve"> </w:t>
      </w:r>
      <w:r w:rsidR="000C1ACC">
        <w:t xml:space="preserve">of </w:t>
      </w:r>
      <w:r w:rsidRPr="00737AD1">
        <w:t>a dedicated Blue Alert EAS event code wo</w:t>
      </w:r>
      <w:r>
        <w:t xml:space="preserve">uld </w:t>
      </w:r>
      <w:r w:rsidR="006A3437">
        <w:t>promote</w:t>
      </w:r>
      <w:r>
        <w:t xml:space="preserve"> the adoption of additional </w:t>
      </w:r>
      <w:r w:rsidRPr="00737AD1">
        <w:t xml:space="preserve">Blue Alert systems throughout the nation.  </w:t>
      </w:r>
      <w:r w:rsidR="0001630A">
        <w:t>According to t</w:t>
      </w:r>
      <w:r w:rsidR="00A15519">
        <w:t>he COPS Office</w:t>
      </w:r>
      <w:r w:rsidR="0001630A">
        <w:t xml:space="preserve">, </w:t>
      </w:r>
      <w:r w:rsidR="00A15519">
        <w:t xml:space="preserve">a dedicated EAS event code would “facilitate and streamline the adoption of new Blue Alert plans throughout the nation and would help to </w:t>
      </w:r>
      <w:r w:rsidR="00A15519" w:rsidRPr="00350222">
        <w:rPr>
          <w:rFonts w:eastAsia="Calibri"/>
        </w:rPr>
        <w:t>integrate</w:t>
      </w:r>
      <w:r w:rsidR="00A15519">
        <w:t xml:space="preserve"> existing plans into a coordinated national framework.</w:t>
      </w:r>
      <w:r w:rsidR="00454445">
        <w:t>”</w:t>
      </w:r>
      <w:r w:rsidR="00A15519">
        <w:rPr>
          <w:rStyle w:val="FootnoteReference"/>
        </w:rPr>
        <w:footnoteReference w:id="48"/>
      </w:r>
      <w:r w:rsidR="00A15519">
        <w:t xml:space="preserve">  </w:t>
      </w:r>
      <w:r w:rsidRPr="00737AD1">
        <w:t xml:space="preserve">As the National Blue Alert Coordinator noted in its </w:t>
      </w:r>
      <w:r w:rsidR="005165E5">
        <w:t xml:space="preserve">2016 </w:t>
      </w:r>
      <w:r w:rsidR="00167E5E">
        <w:t>R</w:t>
      </w:r>
      <w:r w:rsidRPr="00737AD1">
        <w:t xml:space="preserve">eport to Congress, a majority of states and territories do not </w:t>
      </w:r>
      <w:r>
        <w:t xml:space="preserve">yet </w:t>
      </w:r>
      <w:r w:rsidRPr="00737AD1">
        <w:t>have Blue Alert systems.</w:t>
      </w:r>
      <w:r w:rsidRPr="00737AD1">
        <w:rPr>
          <w:rStyle w:val="FootnoteReference"/>
          <w:rFonts w:eastAsia="Calibri"/>
        </w:rPr>
        <w:footnoteReference w:id="49"/>
      </w:r>
      <w:r w:rsidRPr="00737AD1">
        <w:t xml:space="preserve">  Would </w:t>
      </w:r>
      <w:r w:rsidR="00D3620C">
        <w:t>facilitating</w:t>
      </w:r>
      <w:r w:rsidRPr="00737AD1">
        <w:t xml:space="preserve"> law enforcement agencies</w:t>
      </w:r>
      <w:r w:rsidR="00D3620C">
        <w:t>’ ability</w:t>
      </w:r>
      <w:r w:rsidRPr="00737AD1">
        <w:t xml:space="preserve"> to utilize existing EAS distribution networks alleviate much of the burden associated with designing and implementing Blue Alert systems and plans?  Would the implementation of a dedicated Blue Alert EAS code encourage states that do not have Blue Alert plans to adopt</w:t>
      </w:r>
      <w:r w:rsidR="00980361">
        <w:t>,</w:t>
      </w:r>
      <w:r w:rsidRPr="00737AD1">
        <w:t xml:space="preserve"> in whole or in part</w:t>
      </w:r>
      <w:r w:rsidR="00980361">
        <w:t>,</w:t>
      </w:r>
      <w:r w:rsidRPr="00737AD1">
        <w:t xml:space="preserve"> </w:t>
      </w:r>
      <w:r w:rsidR="00980361">
        <w:t xml:space="preserve">existing </w:t>
      </w:r>
      <w:r w:rsidRPr="00737AD1">
        <w:t>procedures of states that have implemented Blue Alert plans?</w:t>
      </w:r>
      <w:r w:rsidRPr="00737AD1">
        <w:rPr>
          <w:rStyle w:val="FootnoteReference"/>
        </w:rPr>
        <w:footnoteReference w:id="50"/>
      </w:r>
      <w:r w:rsidR="00980361">
        <w:t xml:space="preserve">  </w:t>
      </w:r>
      <w:r w:rsidR="0037026E">
        <w:t xml:space="preserve">Has the lack of a dedicated Blue Alert EAS event code impeded adoption of Blue Alert plans?  </w:t>
      </w:r>
      <w:r w:rsidR="00980361">
        <w:t>Further, w</w:t>
      </w:r>
      <w:r w:rsidRPr="00737AD1">
        <w:t xml:space="preserve">ould utilizing the </w:t>
      </w:r>
      <w:r w:rsidR="00980361">
        <w:t xml:space="preserve">nationwide </w:t>
      </w:r>
      <w:r w:rsidRPr="00737AD1">
        <w:t xml:space="preserve">EAS architecture help integrate existing plans into a coordinated national framework?  </w:t>
      </w:r>
      <w:r w:rsidR="00980361">
        <w:t>In this regard, w</w:t>
      </w:r>
      <w:r w:rsidRPr="00737AD1">
        <w:t>ould integrating state Blue Alert plans into the EAS help individual states work together when suspects or threats cross state borders</w:t>
      </w:r>
      <w:r>
        <w:t>, as envisioned by the Blue Alert Act</w:t>
      </w:r>
      <w:r w:rsidRPr="00737AD1">
        <w:t>?</w:t>
      </w:r>
    </w:p>
    <w:p w14:paraId="5E4A0AF3" w14:textId="77777777" w:rsidR="00606320" w:rsidRDefault="00606320" w:rsidP="00202382">
      <w:pPr>
        <w:pStyle w:val="ParaNum"/>
        <w:widowControl/>
      </w:pPr>
      <w:r w:rsidRPr="00737AD1">
        <w:t xml:space="preserve">Alternately, we seek comment on whether existing event codes are sufficient to convey Blue Alert information.  </w:t>
      </w:r>
      <w:r w:rsidR="00B5732B">
        <w:t>According to t</w:t>
      </w:r>
      <w:r w:rsidR="00232E51">
        <w:t xml:space="preserve">he COPS </w:t>
      </w:r>
      <w:r w:rsidR="00232E51" w:rsidRPr="00350222">
        <w:rPr>
          <w:rFonts w:eastAsia="Calibri"/>
        </w:rPr>
        <w:t>Office</w:t>
      </w:r>
      <w:r w:rsidR="00B5732B">
        <w:t xml:space="preserve">, </w:t>
      </w:r>
      <w:r w:rsidR="00892B1C">
        <w:t xml:space="preserve">there is a lack of urgency associated with </w:t>
      </w:r>
      <w:r w:rsidR="003C583E">
        <w:t>existing event codes</w:t>
      </w:r>
      <w:r w:rsidR="00892B1C">
        <w:t>,</w:t>
      </w:r>
      <w:r w:rsidR="003C583E">
        <w:t xml:space="preserve"> </w:t>
      </w:r>
      <w:r w:rsidR="00892B1C">
        <w:t xml:space="preserve">which </w:t>
      </w:r>
      <w:r w:rsidR="003C583E">
        <w:t xml:space="preserve">do not </w:t>
      </w:r>
      <w:r w:rsidR="00892B1C">
        <w:t>“suggest immediate action on the part of broadcasters.”</w:t>
      </w:r>
      <w:r w:rsidR="00892B1C">
        <w:rPr>
          <w:rStyle w:val="FootnoteReference"/>
        </w:rPr>
        <w:footnoteReference w:id="51"/>
      </w:r>
      <w:r w:rsidR="00892B1C">
        <w:t xml:space="preserve">  </w:t>
      </w:r>
      <w:r w:rsidR="00BE6B5B">
        <w:t xml:space="preserve">As </w:t>
      </w:r>
      <w:r w:rsidR="00BE6B5B" w:rsidRPr="00737AD1">
        <w:t>note</w:t>
      </w:r>
      <w:r w:rsidR="00BE6B5B">
        <w:t>d above,</w:t>
      </w:r>
      <w:r w:rsidR="00BE6B5B" w:rsidRPr="00737AD1">
        <w:t xml:space="preserve"> </w:t>
      </w:r>
      <w:r w:rsidR="00BE6B5B">
        <w:t>at least two states</w:t>
      </w:r>
      <w:r w:rsidR="00BE6B5B" w:rsidRPr="00737AD1">
        <w:t xml:space="preserve"> utilize the </w:t>
      </w:r>
      <w:r w:rsidR="00BE6B5B">
        <w:t>“Law Enforcement Warning” (</w:t>
      </w:r>
      <w:r w:rsidR="00BE6B5B" w:rsidRPr="00737AD1">
        <w:t>LEW</w:t>
      </w:r>
      <w:r w:rsidR="00BE6B5B">
        <w:t>)</w:t>
      </w:r>
      <w:r w:rsidR="00BE6B5B" w:rsidRPr="00737AD1">
        <w:t xml:space="preserve"> EAS code to transmit Blue Alerts.</w:t>
      </w:r>
      <w:r w:rsidR="00BE6B5B" w:rsidRPr="00737AD1">
        <w:rPr>
          <w:rStyle w:val="FootnoteReference"/>
        </w:rPr>
        <w:footnoteReference w:id="52"/>
      </w:r>
      <w:r w:rsidR="00BE6B5B" w:rsidRPr="00737AD1">
        <w:t xml:space="preserve">  </w:t>
      </w:r>
      <w:r w:rsidR="003A1744">
        <w:t>T</w:t>
      </w:r>
      <w:r w:rsidR="00232E51">
        <w:t xml:space="preserve">he COPS Office </w:t>
      </w:r>
      <w:r w:rsidR="00A5681D">
        <w:t>observes</w:t>
      </w:r>
      <w:r w:rsidR="004A1D81">
        <w:t>,</w:t>
      </w:r>
      <w:r w:rsidR="00232E51">
        <w:t xml:space="preserve"> </w:t>
      </w:r>
      <w:r w:rsidR="00BE6B5B">
        <w:t xml:space="preserve">however, </w:t>
      </w:r>
      <w:r w:rsidR="003A1744">
        <w:t xml:space="preserve">that </w:t>
      </w:r>
      <w:r w:rsidR="00232E51">
        <w:t>the LEW event code</w:t>
      </w:r>
      <w:r w:rsidR="006B2E33">
        <w:t xml:space="preserve"> is used for events</w:t>
      </w:r>
      <w:r w:rsidR="006A1716">
        <w:t xml:space="preserve"> such as road closures</w:t>
      </w:r>
      <w:r w:rsidR="006A738E">
        <w:t xml:space="preserve"> and notifying drivers of hazardous road conditions</w:t>
      </w:r>
      <w:r w:rsidR="006A1716">
        <w:t xml:space="preserve"> </w:t>
      </w:r>
      <w:r w:rsidR="006B2E33">
        <w:t>and is not an effective means to transmit Blue Alerts</w:t>
      </w:r>
      <w:r w:rsidR="00232E51">
        <w:t>.</w:t>
      </w:r>
      <w:r w:rsidR="00232E51">
        <w:rPr>
          <w:rStyle w:val="FootnoteReference"/>
        </w:rPr>
        <w:footnoteReference w:id="53"/>
      </w:r>
      <w:r w:rsidR="00232E51">
        <w:t xml:space="preserve">  </w:t>
      </w:r>
      <w:r w:rsidR="00A21C38">
        <w:t xml:space="preserve">We seek comment on this </w:t>
      </w:r>
      <w:r w:rsidR="005C12C2">
        <w:t>observation</w:t>
      </w:r>
      <w:r w:rsidR="00A21C38">
        <w:t xml:space="preserve">.  </w:t>
      </w:r>
      <w:r>
        <w:t xml:space="preserve">Is the use of LEW effective to provide information to help protect law enforcement officials?  </w:t>
      </w:r>
      <w:r w:rsidRPr="00737AD1">
        <w:t>For what purposes is LEW otherwise used?</w:t>
      </w:r>
      <w:r w:rsidR="00AC0D31">
        <w:rPr>
          <w:rStyle w:val="FootnoteReference"/>
        </w:rPr>
        <w:footnoteReference w:id="54"/>
      </w:r>
      <w:r w:rsidRPr="00737AD1">
        <w:t xml:space="preserve">  Does utilizing an existing </w:t>
      </w:r>
      <w:r w:rsidR="00D3620C">
        <w:t xml:space="preserve">EAS </w:t>
      </w:r>
      <w:r w:rsidRPr="00737AD1">
        <w:t xml:space="preserve">code for a Blue Alert detract from the existing code’s ability to serve its </w:t>
      </w:r>
      <w:r>
        <w:t xml:space="preserve">intended </w:t>
      </w:r>
      <w:r w:rsidR="00D3620C">
        <w:t>purpose</w:t>
      </w:r>
      <w:r w:rsidRPr="00737AD1">
        <w:t>?  Without adoption of a Blue Alert code, would law enforcement agencies be hampered by being forced to use codes that do not directly apply to the situation, nor convey the necessary information?</w:t>
      </w:r>
      <w:r w:rsidRPr="00737AD1">
        <w:rPr>
          <w:rStyle w:val="FootnoteReference"/>
        </w:rPr>
        <w:footnoteReference w:id="55"/>
      </w:r>
      <w:r w:rsidRPr="00737AD1">
        <w:t xml:space="preserve">  </w:t>
      </w:r>
      <w:r w:rsidR="00CC0DC3">
        <w:t xml:space="preserve">Further, </w:t>
      </w:r>
      <w:r w:rsidR="007314ED">
        <w:t>would</w:t>
      </w:r>
      <w:r w:rsidRPr="00737AD1">
        <w:t xml:space="preserve"> the use of existing EAS event codes to broadcast a Blue Alert create confusion?  Do other event codes contain instructions that </w:t>
      </w:r>
      <w:r w:rsidR="007314ED">
        <w:t xml:space="preserve">might </w:t>
      </w:r>
      <w:r w:rsidRPr="00737AD1">
        <w:t xml:space="preserve">confuse the public or </w:t>
      </w:r>
      <w:r w:rsidR="007314ED">
        <w:t>direct</w:t>
      </w:r>
      <w:r w:rsidRPr="00737AD1">
        <w:t xml:space="preserve"> the public</w:t>
      </w:r>
      <w:r w:rsidR="007314ED">
        <w:t xml:space="preserve"> to t</w:t>
      </w:r>
      <w:r w:rsidRPr="00737AD1">
        <w:t xml:space="preserve">ake unsafe actions in response to the underlying situation?  For example, in the 2016 </w:t>
      </w:r>
      <w:r w:rsidRPr="00737AD1">
        <w:rPr>
          <w:i/>
        </w:rPr>
        <w:t>NWS Report and Order</w:t>
      </w:r>
      <w:r w:rsidRPr="00737AD1">
        <w:t xml:space="preserve">, the Commission </w:t>
      </w:r>
      <w:r w:rsidR="007314ED">
        <w:t>adopted new dedicated event codes for certain weather events, noting that</w:t>
      </w:r>
      <w:r w:rsidRPr="00737AD1">
        <w:t xml:space="preserve"> the </w:t>
      </w:r>
      <w:r w:rsidR="00CC0DC3">
        <w:t xml:space="preserve">existing </w:t>
      </w:r>
      <w:r w:rsidRPr="00737AD1">
        <w:t xml:space="preserve">TOR event code for tornados </w:t>
      </w:r>
      <w:r w:rsidR="007314ED">
        <w:t>p</w:t>
      </w:r>
      <w:r w:rsidRPr="00737AD1">
        <w:t>rovided the public with incorrect guidance about what actions to take in response to hurricane</w:t>
      </w:r>
      <w:r w:rsidR="007314ED">
        <w:t>-</w:t>
      </w:r>
      <w:r w:rsidRPr="00737AD1">
        <w:t>related weather events, such as storm surge</w:t>
      </w:r>
      <w:r w:rsidR="007314ED">
        <w:t>s</w:t>
      </w:r>
      <w:r w:rsidRPr="00737AD1">
        <w:t>.</w:t>
      </w:r>
      <w:r w:rsidRPr="00737AD1">
        <w:rPr>
          <w:rStyle w:val="FootnoteReference"/>
        </w:rPr>
        <w:footnoteReference w:id="56"/>
      </w:r>
      <w:r w:rsidRPr="00737AD1">
        <w:t xml:space="preserve">  Is there a similar risk of confusion with using existing EAS event codes in lieu of a dedicated Blue Alert </w:t>
      </w:r>
      <w:r>
        <w:t>event code</w:t>
      </w:r>
      <w:r w:rsidRPr="00737AD1">
        <w:t>?</w:t>
      </w:r>
    </w:p>
    <w:p w14:paraId="59930091" w14:textId="77777777" w:rsidR="00CF4D67" w:rsidRDefault="008E5075" w:rsidP="00350222">
      <w:pPr>
        <w:pStyle w:val="ParaNum"/>
      </w:pPr>
      <w:r>
        <w:rPr>
          <w:i/>
        </w:rPr>
        <w:t xml:space="preserve">Public Awareness and Outreach.  </w:t>
      </w:r>
      <w:r w:rsidR="00E33D8C">
        <w:t xml:space="preserve">We seek comment on how the public may respond to Blue Alert EAS codes.  </w:t>
      </w:r>
      <w:r w:rsidR="00E33D8C" w:rsidRPr="00737AD1">
        <w:t xml:space="preserve">Would a </w:t>
      </w:r>
      <w:r w:rsidR="00E33D8C">
        <w:t xml:space="preserve">dedicated </w:t>
      </w:r>
      <w:r w:rsidR="00E33D8C" w:rsidRPr="00737AD1">
        <w:t xml:space="preserve">Blue Alert </w:t>
      </w:r>
      <w:r w:rsidR="00E33D8C">
        <w:t xml:space="preserve">EAS </w:t>
      </w:r>
      <w:r w:rsidR="00E33D8C" w:rsidRPr="00737AD1">
        <w:t>event code allow law enforcement to provide a warning that the public recognizes immediately as a Blue Alert</w:t>
      </w:r>
      <w:r w:rsidR="00E33D8C">
        <w:t>,</w:t>
      </w:r>
      <w:r w:rsidR="00E33D8C" w:rsidRPr="00737AD1">
        <w:t xml:space="preserve"> </w:t>
      </w:r>
      <w:r w:rsidR="008D124B">
        <w:t xml:space="preserve">e.g., </w:t>
      </w:r>
      <w:r w:rsidR="00E33D8C" w:rsidRPr="00737AD1">
        <w:t xml:space="preserve">because Blue Alerts would be issued only under specific criteria that are nationally </w:t>
      </w:r>
      <w:r w:rsidR="00E33D8C" w:rsidRPr="00350222">
        <w:rPr>
          <w:rFonts w:eastAsia="Calibri"/>
        </w:rPr>
        <w:t>consistent</w:t>
      </w:r>
      <w:r w:rsidR="00E33D8C" w:rsidRPr="00737AD1">
        <w:t xml:space="preserve">?  </w:t>
      </w:r>
      <w:r w:rsidR="00892B1C">
        <w:t xml:space="preserve">The COPS Office </w:t>
      </w:r>
      <w:r w:rsidR="00E466D9">
        <w:t>states that a dedicated EAS event code would “</w:t>
      </w:r>
      <w:r w:rsidR="00892B1C">
        <w:t>convey the appropriate sense of urgency</w:t>
      </w:r>
      <w:r w:rsidR="00E466D9">
        <w:t>” and</w:t>
      </w:r>
      <w:r w:rsidR="00892B1C">
        <w:t xml:space="preserve"> </w:t>
      </w:r>
      <w:r w:rsidR="00E466D9">
        <w:t xml:space="preserve">“galvanize the </w:t>
      </w:r>
      <w:r w:rsidR="00892B1C">
        <w:t>public awareness necessary to protect law enforcement officers and the public from extremely dangerous offenders.”</w:t>
      </w:r>
      <w:r w:rsidR="00892B1C">
        <w:rPr>
          <w:rStyle w:val="FootnoteReference"/>
        </w:rPr>
        <w:footnoteReference w:id="57"/>
      </w:r>
      <w:r w:rsidR="00892B1C">
        <w:t xml:space="preserve">  </w:t>
      </w:r>
      <w:r w:rsidR="00E466D9">
        <w:t xml:space="preserve">We seek comment on this </w:t>
      </w:r>
      <w:r w:rsidR="00BE6B5B">
        <w:t>position</w:t>
      </w:r>
      <w:r w:rsidR="00E466D9">
        <w:t xml:space="preserve">.  </w:t>
      </w:r>
      <w:r w:rsidR="009F5523" w:rsidRPr="00737AD1">
        <w:t>W</w:t>
      </w:r>
      <w:r w:rsidR="0019706D" w:rsidRPr="00737AD1">
        <w:t xml:space="preserve">ould a dedicated event code facilitate consistent and effective public outreach educating the public to recognize and respond to Blue Alerts?  </w:t>
      </w:r>
    </w:p>
    <w:p w14:paraId="778990EA" w14:textId="77777777" w:rsidR="001650BA" w:rsidRPr="00737AD1" w:rsidRDefault="006A3437" w:rsidP="00350222">
      <w:pPr>
        <w:pStyle w:val="ParaNum"/>
      </w:pPr>
      <w:r>
        <w:t>In this regard, we seek commen</w:t>
      </w:r>
      <w:r w:rsidR="00D3620C">
        <w:t>t</w:t>
      </w:r>
      <w:r>
        <w:t xml:space="preserve"> on </w:t>
      </w:r>
      <w:r w:rsidR="008D124B">
        <w:t xml:space="preserve">what </w:t>
      </w:r>
      <w:r w:rsidR="00334F1D" w:rsidRPr="00737AD1">
        <w:t xml:space="preserve">actions states </w:t>
      </w:r>
      <w:r w:rsidR="0051727F">
        <w:t xml:space="preserve">have </w:t>
      </w:r>
      <w:r w:rsidR="00334F1D" w:rsidRPr="00737AD1">
        <w:t>taken to educate the public on Blue Alerts and appropriate responses to Blue Alerts</w:t>
      </w:r>
      <w:r>
        <w:t>.</w:t>
      </w:r>
      <w:r w:rsidR="00334F1D" w:rsidRPr="00737AD1">
        <w:t xml:space="preserve">  For example, we note that the Blue Alert Foundation</w:t>
      </w:r>
      <w:r w:rsidR="00334F1D" w:rsidRPr="00737AD1">
        <w:rPr>
          <w:rStyle w:val="FootnoteReference"/>
        </w:rPr>
        <w:footnoteReference w:id="58"/>
      </w:r>
      <w:r w:rsidR="00334F1D" w:rsidRPr="00737AD1">
        <w:t xml:space="preserve"> has prepared model Public </w:t>
      </w:r>
      <w:r w:rsidR="00334F1D" w:rsidRPr="00350222">
        <w:rPr>
          <w:rFonts w:eastAsia="Calibri"/>
        </w:rPr>
        <w:t>Service</w:t>
      </w:r>
      <w:r w:rsidR="00334F1D" w:rsidRPr="00737AD1">
        <w:t xml:space="preserve"> Announcements (PSAs) for use by states to educate the public about Blue Alerts.</w:t>
      </w:r>
      <w:r w:rsidR="00334F1D" w:rsidRPr="00737AD1">
        <w:rPr>
          <w:rStyle w:val="FootnoteReference"/>
        </w:rPr>
        <w:footnoteReference w:id="59"/>
      </w:r>
      <w:r w:rsidR="00334F1D" w:rsidRPr="00737AD1">
        <w:t xml:space="preserve">  Have states adopted these PSAs or other types of outreach to educate the public about Blue Alerts and appropriate responses to them? </w:t>
      </w:r>
      <w:r w:rsidR="00606320">
        <w:t xml:space="preserve"> </w:t>
      </w:r>
      <w:r w:rsidR="008D124B">
        <w:t xml:space="preserve">How often have Blue Alerts been activated and through what means or media have they been issued?  </w:t>
      </w:r>
      <w:r w:rsidR="00606320" w:rsidRPr="00737AD1">
        <w:t>How has the public reacted to Blue Alerts?  In the past, the Commission has noted its concern that over-alerting or alerting to unaffected areas can lead to alert fatigue.</w:t>
      </w:r>
      <w:r w:rsidR="00606320" w:rsidRPr="00737AD1">
        <w:rPr>
          <w:rStyle w:val="FootnoteReference"/>
        </w:rPr>
        <w:footnoteReference w:id="60"/>
      </w:r>
      <w:r w:rsidR="00606320" w:rsidRPr="00737AD1">
        <w:t xml:space="preserve">  Has public response indicated that is the case </w:t>
      </w:r>
      <w:r>
        <w:t>in connection with Blue Alerts</w:t>
      </w:r>
      <w:r w:rsidR="00606320" w:rsidRPr="00737AD1">
        <w:t xml:space="preserve">? </w:t>
      </w:r>
      <w:r w:rsidR="00606320">
        <w:t xml:space="preserve"> </w:t>
      </w:r>
      <w:r w:rsidR="00606320" w:rsidRPr="00737AD1">
        <w:t>We encourage commenters to provide examples of all available public response</w:t>
      </w:r>
      <w:r w:rsidR="00606320">
        <w:t>s</w:t>
      </w:r>
      <w:r w:rsidR="00606320" w:rsidRPr="00737AD1">
        <w:t xml:space="preserve"> to Blue Alerts that have been delivered since the adoption of the Blue Alert Act and DOJ’s Blue Alert Guidelines.</w:t>
      </w:r>
      <w:r w:rsidR="00E31FFB" w:rsidRPr="00737AD1">
        <w:t xml:space="preserve"> </w:t>
      </w:r>
    </w:p>
    <w:p w14:paraId="738963D4" w14:textId="77777777" w:rsidR="00CF4D67" w:rsidRDefault="00EB4488" w:rsidP="00350222">
      <w:pPr>
        <w:pStyle w:val="ParaNum"/>
      </w:pPr>
      <w:r>
        <w:rPr>
          <w:i/>
        </w:rPr>
        <w:t xml:space="preserve">Timeframe.  </w:t>
      </w:r>
      <w:r w:rsidR="00D35995">
        <w:t xml:space="preserve">We seek comment on the timeframe in which a dedicated Blue Alert EAS event code could be implemented.  In the </w:t>
      </w:r>
      <w:r w:rsidR="00D35995" w:rsidRPr="0007657F">
        <w:rPr>
          <w:i/>
        </w:rPr>
        <w:t>NWS Report and Order</w:t>
      </w:r>
      <w:r w:rsidR="00D35995">
        <w:t xml:space="preserve">, the Commission required </w:t>
      </w:r>
      <w:r w:rsidR="00D35995" w:rsidRPr="008170E0">
        <w:t xml:space="preserve">EAS equipment manufacturers to integrate </w:t>
      </w:r>
      <w:r w:rsidR="0044232A">
        <w:t xml:space="preserve">the </w:t>
      </w:r>
      <w:r w:rsidR="00D35995">
        <w:t>severe weather</w:t>
      </w:r>
      <w:r w:rsidR="00653E5B">
        <w:t>-</w:t>
      </w:r>
      <w:r w:rsidR="00D35995">
        <w:t xml:space="preserve">related </w:t>
      </w:r>
      <w:r w:rsidR="00D35995" w:rsidRPr="008170E0">
        <w:t>EAS event codes into equipment yet to be manufactured or sold, and to make necessary software upgrades available to EAS Participants</w:t>
      </w:r>
      <w:r w:rsidR="00CF4D67">
        <w:t>,</w:t>
      </w:r>
      <w:r w:rsidR="00D35995" w:rsidRPr="008170E0">
        <w:t xml:space="preserve"> no later than six months from the effective date of the rules</w:t>
      </w:r>
      <w:r w:rsidR="00D35995">
        <w:t xml:space="preserve">, reasoning that </w:t>
      </w:r>
      <w:r w:rsidR="00D35995" w:rsidRPr="002651B5">
        <w:t xml:space="preserve">the prompt deployment of alerts using the new codes </w:t>
      </w:r>
      <w:r w:rsidR="00D35995">
        <w:t xml:space="preserve">would be </w:t>
      </w:r>
      <w:r w:rsidR="00D35995" w:rsidRPr="002651B5">
        <w:t>consistent with the safety of the public in affected areas</w:t>
      </w:r>
      <w:r w:rsidR="00D35995">
        <w:t>.</w:t>
      </w:r>
      <w:r w:rsidR="00D35995" w:rsidRPr="008170E0">
        <w:rPr>
          <w:vertAlign w:val="superscript"/>
        </w:rPr>
        <w:footnoteReference w:id="61"/>
      </w:r>
      <w:r w:rsidR="00D35995" w:rsidRPr="006E2773">
        <w:t xml:space="preserve">  </w:t>
      </w:r>
      <w:r w:rsidR="00D35995" w:rsidRPr="00572BE7">
        <w:t>We believe</w:t>
      </w:r>
      <w:r w:rsidR="00A47478">
        <w:t xml:space="preserve"> </w:t>
      </w:r>
      <w:r w:rsidR="00D35995" w:rsidRPr="00572BE7">
        <w:t xml:space="preserve">that adding a Blue Alert EAS event code </w:t>
      </w:r>
      <w:r w:rsidR="00653E5B">
        <w:t xml:space="preserve">would </w:t>
      </w:r>
      <w:r w:rsidR="00D35995" w:rsidRPr="00572BE7">
        <w:t xml:space="preserve">trigger </w:t>
      </w:r>
      <w:r w:rsidR="00653E5B">
        <w:t>similar</w:t>
      </w:r>
      <w:r w:rsidR="00D35995" w:rsidRPr="00572BE7">
        <w:t xml:space="preserve"> technical </w:t>
      </w:r>
      <w:r w:rsidR="00D35995">
        <w:t xml:space="preserve">and public safety </w:t>
      </w:r>
      <w:r w:rsidR="00D35995" w:rsidRPr="00572BE7">
        <w:t xml:space="preserve">requirements regarding equipment </w:t>
      </w:r>
      <w:r w:rsidR="00D35995">
        <w:t>readiness</w:t>
      </w:r>
      <w:r w:rsidR="00F91D64">
        <w:t>.  We therefore</w:t>
      </w:r>
      <w:r w:rsidR="00D35995">
        <w:t xml:space="preserve"> propose that EAS equipment manufacturers </w:t>
      </w:r>
      <w:r w:rsidR="00653E5B">
        <w:t>should</w:t>
      </w:r>
      <w:r w:rsidR="00D35995">
        <w:t xml:space="preserve"> integrat</w:t>
      </w:r>
      <w:r w:rsidR="00653E5B">
        <w:t>e</w:t>
      </w:r>
      <w:r w:rsidR="00D35995">
        <w:t xml:space="preserve"> th</w:t>
      </w:r>
      <w:r w:rsidR="00F91D64">
        <w:t>e Blue Alert</w:t>
      </w:r>
      <w:r w:rsidR="00D35995">
        <w:t xml:space="preserve"> </w:t>
      </w:r>
      <w:r w:rsidR="00D35995" w:rsidRPr="00572BE7">
        <w:t>event code into equipment yet to be manufactured or sold, and</w:t>
      </w:r>
      <w:r w:rsidR="00F91D64">
        <w:t xml:space="preserve"> mak</w:t>
      </w:r>
      <w:r w:rsidR="00653E5B">
        <w:t>e</w:t>
      </w:r>
      <w:r w:rsidR="00D35995" w:rsidRPr="00572BE7">
        <w:t xml:space="preserve"> necessary software upgrades available to EAS Participants</w:t>
      </w:r>
      <w:r w:rsidR="00653E5B">
        <w:t>,</w:t>
      </w:r>
      <w:r w:rsidR="00D35995" w:rsidRPr="00572BE7">
        <w:t xml:space="preserve"> no later than six months from the effective date of the rules.  We seek comment on this </w:t>
      </w:r>
      <w:r w:rsidR="00202DA9">
        <w:t>proposal</w:t>
      </w:r>
      <w:r w:rsidR="00D35995" w:rsidRPr="00572BE7">
        <w:t xml:space="preserve">.  </w:t>
      </w:r>
    </w:p>
    <w:p w14:paraId="78C7C1E9" w14:textId="089155D1" w:rsidR="00D35995" w:rsidRDefault="00D35995" w:rsidP="00350222">
      <w:pPr>
        <w:pStyle w:val="ParaNum"/>
      </w:pPr>
      <w:r>
        <w:t>With regard to EAS Participants, we note that in the NWS proceeding t</w:t>
      </w:r>
      <w:r w:rsidRPr="00737AD1">
        <w:t xml:space="preserve">he Commission allowed EAS Participants to </w:t>
      </w:r>
      <w:r w:rsidR="00D43189">
        <w:t xml:space="preserve">implement the new event codes </w:t>
      </w:r>
      <w:r w:rsidRPr="00737AD1">
        <w:t>on a voluntary basis until their equipment was replaced.</w:t>
      </w:r>
      <w:r w:rsidRPr="00737AD1">
        <w:rPr>
          <w:rStyle w:val="FootnoteReference"/>
        </w:rPr>
        <w:footnoteReference w:id="62"/>
      </w:r>
      <w:r w:rsidRPr="00737AD1">
        <w:t xml:space="preserve">  The Commission </w:t>
      </w:r>
      <w:r>
        <w:t>further</w:t>
      </w:r>
      <w:r w:rsidRPr="00737AD1">
        <w:t xml:space="preserve"> noted </w:t>
      </w:r>
      <w:r w:rsidRPr="00350222">
        <w:rPr>
          <w:rFonts w:eastAsia="Calibri"/>
        </w:rPr>
        <w:t>that</w:t>
      </w:r>
      <w:r w:rsidRPr="00737AD1">
        <w:t xml:space="preserve"> it </w:t>
      </w:r>
      <w:r w:rsidR="00653E5B">
        <w:t xml:space="preserve">has </w:t>
      </w:r>
      <w:r w:rsidR="00653E5B" w:rsidRPr="00737AD1">
        <w:t>t</w:t>
      </w:r>
      <w:r w:rsidR="00653E5B">
        <w:t>aken</w:t>
      </w:r>
      <w:r w:rsidR="00653E5B" w:rsidRPr="00737AD1">
        <w:t xml:space="preserve"> </w:t>
      </w:r>
      <w:r w:rsidRPr="00737AD1">
        <w:t xml:space="preserve">this approach </w:t>
      </w:r>
      <w:r w:rsidR="00653E5B">
        <w:t>when it</w:t>
      </w:r>
      <w:r w:rsidRPr="00737AD1">
        <w:t xml:space="preserve"> </w:t>
      </w:r>
      <w:r w:rsidR="00653E5B">
        <w:t xml:space="preserve">has </w:t>
      </w:r>
      <w:r w:rsidRPr="00737AD1">
        <w:t>adopted other new EAS event codes</w:t>
      </w:r>
      <w:r w:rsidR="00653E5B">
        <w:t xml:space="preserve"> in the past</w:t>
      </w:r>
      <w:r w:rsidRPr="00737AD1">
        <w:t xml:space="preserve">, and that the record did not </w:t>
      </w:r>
      <w:r w:rsidR="00653E5B">
        <w:t>reflect</w:t>
      </w:r>
      <w:r w:rsidR="00653E5B" w:rsidRPr="00737AD1">
        <w:t xml:space="preserve"> </w:t>
      </w:r>
      <w:r w:rsidRPr="00737AD1">
        <w:t xml:space="preserve">any </w:t>
      </w:r>
      <w:r w:rsidR="00653E5B">
        <w:t>basis to take a different approach</w:t>
      </w:r>
      <w:r w:rsidRPr="00737AD1">
        <w:t>.</w:t>
      </w:r>
      <w:r w:rsidRPr="00737AD1">
        <w:rPr>
          <w:rStyle w:val="FootnoteReference"/>
        </w:rPr>
        <w:footnoteReference w:id="63"/>
      </w:r>
      <w:r w:rsidRPr="00737AD1">
        <w:t xml:space="preserve">  </w:t>
      </w:r>
      <w:r>
        <w:t xml:space="preserve">We </w:t>
      </w:r>
      <w:r w:rsidR="00653E5B">
        <w:t xml:space="preserve">therefore </w:t>
      </w:r>
      <w:r>
        <w:t xml:space="preserve">propose </w:t>
      </w:r>
      <w:r w:rsidR="00653E5B">
        <w:t xml:space="preserve">to take a similar approach here and would </w:t>
      </w:r>
      <w:r>
        <w:t xml:space="preserve">allow EAS Participants to upgrade their equipment </w:t>
      </w:r>
      <w:r w:rsidR="00653E5B">
        <w:t xml:space="preserve">(whether through new equipment </w:t>
      </w:r>
      <w:r w:rsidR="00D43189">
        <w:t xml:space="preserve">that is programmed to contain the code </w:t>
      </w:r>
      <w:r w:rsidR="00653E5B">
        <w:t>or through implementing a software upgrade</w:t>
      </w:r>
      <w:r w:rsidR="00D43189">
        <w:t xml:space="preserve"> to install the code into equipment </w:t>
      </w:r>
      <w:r w:rsidR="000C1ACC">
        <w:t xml:space="preserve">already </w:t>
      </w:r>
      <w:r w:rsidR="00D43189">
        <w:t>in place</w:t>
      </w:r>
      <w:r w:rsidR="00653E5B">
        <w:t>) on a voluntary basis.</w:t>
      </w:r>
      <w:r w:rsidR="00117BEE">
        <w:rPr>
          <w:rStyle w:val="FootnoteReference"/>
        </w:rPr>
        <w:footnoteReference w:id="64"/>
      </w:r>
      <w:r w:rsidR="00653E5B">
        <w:t xml:space="preserve">  We</w:t>
      </w:r>
      <w:r>
        <w:t xml:space="preserve"> seek comment on </w:t>
      </w:r>
      <w:r w:rsidR="000C1ACC">
        <w:t>our</w:t>
      </w:r>
      <w:r w:rsidR="00500A4F">
        <w:t xml:space="preserve"> </w:t>
      </w:r>
      <w:r>
        <w:t xml:space="preserve">proposal.  </w:t>
      </w:r>
      <w:r w:rsidRPr="00737AD1">
        <w:t xml:space="preserve">If commenters disagree with our analysis or proposed timeline, they should specify alternatives and the specific technical bases for such alternatives. </w:t>
      </w:r>
    </w:p>
    <w:p w14:paraId="2266F844" w14:textId="77777777" w:rsidR="00CF4D67" w:rsidRDefault="00EB4488" w:rsidP="00350222">
      <w:pPr>
        <w:pStyle w:val="ParaNum"/>
      </w:pPr>
      <w:r>
        <w:rPr>
          <w:i/>
        </w:rPr>
        <w:t xml:space="preserve">Wireless Emergency Alerts. </w:t>
      </w:r>
      <w:r w:rsidRPr="006E2773">
        <w:rPr>
          <w:i/>
        </w:rPr>
        <w:t xml:space="preserve"> </w:t>
      </w:r>
      <w:r w:rsidR="008E657A">
        <w:t xml:space="preserve">We note that along with the EAS, a primary public alert warning system regulated by the Commission is Wireless Emergency Alerts (WEA), a system that </w:t>
      </w:r>
      <w:r w:rsidR="00D44728">
        <w:t xml:space="preserve">allows </w:t>
      </w:r>
      <w:r w:rsidR="00755508">
        <w:t>wireless providers (</w:t>
      </w:r>
      <w:r w:rsidR="00303281">
        <w:t xml:space="preserve">participating </w:t>
      </w:r>
      <w:r w:rsidR="00755508">
        <w:t>CM</w:t>
      </w:r>
      <w:r w:rsidR="00CF4D67">
        <w:t>R</w:t>
      </w:r>
      <w:r w:rsidR="00DA1A16">
        <w:t>S</w:t>
      </w:r>
      <w:r w:rsidR="00755508">
        <w:t xml:space="preserve"> </w:t>
      </w:r>
      <w:r w:rsidR="00303281">
        <w:t>Providers</w:t>
      </w:r>
      <w:r w:rsidR="00755508">
        <w:t xml:space="preserve">) to </w:t>
      </w:r>
      <w:r w:rsidR="00755508" w:rsidRPr="00350222">
        <w:rPr>
          <w:rFonts w:eastAsia="Calibri"/>
        </w:rPr>
        <w:t>voluntarily</w:t>
      </w:r>
      <w:r w:rsidR="00755508">
        <w:t xml:space="preserve"> </w:t>
      </w:r>
      <w:r w:rsidR="008E657A">
        <w:t>deliver critical warnings and information to Americans through their wireless phones.</w:t>
      </w:r>
      <w:r w:rsidR="008E657A">
        <w:rPr>
          <w:rStyle w:val="FootnoteReference"/>
        </w:rPr>
        <w:footnoteReference w:id="65"/>
      </w:r>
      <w:r w:rsidR="008E657A" w:rsidRPr="00737AD1">
        <w:t xml:space="preserve">  </w:t>
      </w:r>
      <w:r w:rsidR="00167E5E">
        <w:t>In its 2017 R</w:t>
      </w:r>
      <w:r w:rsidR="008E657A">
        <w:t>eport to Congress, the COPS Office notes that many Americans depend on both the EAS and WEA for public alerts and warnings</w:t>
      </w:r>
      <w:r w:rsidR="009164FA">
        <w:t>.</w:t>
      </w:r>
      <w:r w:rsidR="008E657A">
        <w:rPr>
          <w:rStyle w:val="FootnoteReference"/>
        </w:rPr>
        <w:footnoteReference w:id="66"/>
      </w:r>
      <w:r w:rsidR="009164FA">
        <w:t xml:space="preserve">  T</w:t>
      </w:r>
      <w:r w:rsidR="008E657A">
        <w:t xml:space="preserve">he COPS Office goes on to note its intent </w:t>
      </w:r>
      <w:r w:rsidR="009164FA">
        <w:t xml:space="preserve">that Blue Alerts be </w:t>
      </w:r>
      <w:r w:rsidR="008E657A">
        <w:t>deliver</w:t>
      </w:r>
      <w:r w:rsidR="009164FA">
        <w:t>ed</w:t>
      </w:r>
      <w:r w:rsidR="008E657A">
        <w:t xml:space="preserve"> to the public over wireless devices</w:t>
      </w:r>
      <w:r w:rsidR="009164FA">
        <w:t xml:space="preserve"> as well as over the EAS</w:t>
      </w:r>
      <w:r w:rsidR="008E657A">
        <w:t>.</w:t>
      </w:r>
      <w:r w:rsidR="008E657A">
        <w:rPr>
          <w:rStyle w:val="FootnoteReference"/>
        </w:rPr>
        <w:footnoteReference w:id="67"/>
      </w:r>
      <w:r w:rsidR="008E657A">
        <w:t xml:space="preserve">  </w:t>
      </w:r>
      <w:r w:rsidR="00C4501B">
        <w:t xml:space="preserve">We </w:t>
      </w:r>
      <w:r w:rsidR="001D4A2D">
        <w:t>note that EAS event codes are not required by the Commission’s rules for a WEA message to be processed,</w:t>
      </w:r>
      <w:r w:rsidR="001D4A2D">
        <w:rPr>
          <w:rStyle w:val="FootnoteReference"/>
        </w:rPr>
        <w:footnoteReference w:id="68"/>
      </w:r>
      <w:r w:rsidR="001D4A2D">
        <w:t xml:space="preserve"> but seek </w:t>
      </w:r>
      <w:r w:rsidR="00C4501B">
        <w:t xml:space="preserve">comment on whether the adoption of a dedicated EAS code for Blue Alerts </w:t>
      </w:r>
      <w:r w:rsidR="00256629">
        <w:t>would have any</w:t>
      </w:r>
      <w:r w:rsidR="00C4501B">
        <w:t xml:space="preserve"> effect on </w:t>
      </w:r>
      <w:r w:rsidR="00E70656" w:rsidRPr="00737AD1">
        <w:t>WEA</w:t>
      </w:r>
      <w:r w:rsidR="008E657A">
        <w:t xml:space="preserve">.  </w:t>
      </w:r>
      <w:r w:rsidR="00D8174C">
        <w:t xml:space="preserve">For example, would the </w:t>
      </w:r>
      <w:r w:rsidR="00F37C7B">
        <w:t>use of a Blue Alert EAS even</w:t>
      </w:r>
      <w:r w:rsidR="001D4A2D">
        <w:t>t</w:t>
      </w:r>
      <w:r w:rsidR="00F37C7B">
        <w:t xml:space="preserve"> code have any impact on how </w:t>
      </w:r>
      <w:r w:rsidR="00597EB4">
        <w:t xml:space="preserve">the IPAWS infrastructure and the networks of </w:t>
      </w:r>
      <w:r w:rsidR="00303281">
        <w:t>p</w:t>
      </w:r>
      <w:r w:rsidR="00597EB4">
        <w:t>articipating CM</w:t>
      </w:r>
      <w:r w:rsidR="004815A7">
        <w:t>R</w:t>
      </w:r>
      <w:r w:rsidR="00597EB4">
        <w:t>S Providers</w:t>
      </w:r>
      <w:r w:rsidR="00F37C7B">
        <w:t xml:space="preserve"> </w:t>
      </w:r>
      <w:r w:rsidR="001D4A2D">
        <w:t xml:space="preserve">would process </w:t>
      </w:r>
      <w:r w:rsidR="00597EB4">
        <w:t>a</w:t>
      </w:r>
      <w:r w:rsidR="001D4A2D">
        <w:t xml:space="preserve"> Blue Alert WEA?</w:t>
      </w:r>
      <w:r w:rsidR="00776525">
        <w:rPr>
          <w:rStyle w:val="FootnoteReference"/>
        </w:rPr>
        <w:footnoteReference w:id="69"/>
      </w:r>
      <w:r w:rsidR="00776525">
        <w:t xml:space="preserve"> </w:t>
      </w:r>
      <w:r w:rsidR="00C15AB2" w:rsidRPr="00737AD1">
        <w:t xml:space="preserve"> </w:t>
      </w:r>
      <w:r w:rsidR="00C15AB2">
        <w:t>To what extent, if any, have states</w:t>
      </w:r>
      <w:r w:rsidR="00C15AB2" w:rsidRPr="00737AD1">
        <w:t xml:space="preserve"> use</w:t>
      </w:r>
      <w:r w:rsidR="00C15AB2">
        <w:t>d</w:t>
      </w:r>
      <w:r w:rsidR="00C15AB2" w:rsidRPr="00737AD1">
        <w:t xml:space="preserve"> WEA to deliver Blue Alert</w:t>
      </w:r>
      <w:r w:rsidR="00C15AB2">
        <w:t>s</w:t>
      </w:r>
      <w:r w:rsidR="00C15AB2" w:rsidRPr="00737AD1">
        <w:t xml:space="preserve"> to the public?  </w:t>
      </w:r>
      <w:r w:rsidR="00C15AB2">
        <w:t xml:space="preserve">Have such WEA messages been initiated by the use of existing EAS event codes?  </w:t>
      </w:r>
    </w:p>
    <w:p w14:paraId="634EFC7A" w14:textId="77777777" w:rsidR="007314ED" w:rsidRPr="00737AD1" w:rsidRDefault="00E70656" w:rsidP="00350222">
      <w:pPr>
        <w:pStyle w:val="ParaNum"/>
      </w:pPr>
      <w:r>
        <w:t xml:space="preserve">Would the </w:t>
      </w:r>
      <w:r w:rsidR="00C4501B">
        <w:t>adoption</w:t>
      </w:r>
      <w:r>
        <w:t xml:space="preserve"> of a dedicated EAS event code help ensure that </w:t>
      </w:r>
      <w:r w:rsidR="00C4501B">
        <w:t xml:space="preserve">Blue Alerts issued over WEA </w:t>
      </w:r>
      <w:r w:rsidR="00256629">
        <w:t xml:space="preserve">are </w:t>
      </w:r>
      <w:r w:rsidR="00C4501B">
        <w:t xml:space="preserve">swiftly </w:t>
      </w:r>
      <w:r>
        <w:t xml:space="preserve">processed and delivered to the public?  </w:t>
      </w:r>
      <w:r w:rsidR="00E87EFB">
        <w:t>If we were to adopt a dedicated Blue Alert EAS event code, and the alert originator were to select “BLU” as the event code type, could this automatically prepopulate the WEA message</w:t>
      </w:r>
      <w:r w:rsidR="00CF4D67">
        <w:t>—</w:t>
      </w:r>
      <w:r w:rsidR="00E87EFB">
        <w:t>thereby saving critical seconds</w:t>
      </w:r>
      <w:r w:rsidR="00CF4D67">
        <w:t>—</w:t>
      </w:r>
      <w:r w:rsidR="00E87EFB">
        <w:t xml:space="preserve">with uniform language that might be applicable to all Blue Alerts (such as by automatically including alert message text saying “This is a Blue Alert for [area]”)?  </w:t>
      </w:r>
      <w:r>
        <w:t xml:space="preserve">We assume that WEA Blue </w:t>
      </w:r>
      <w:r w:rsidRPr="00350222">
        <w:rPr>
          <w:rFonts w:eastAsia="Calibri"/>
        </w:rPr>
        <w:t>Alerts</w:t>
      </w:r>
      <w:r>
        <w:t xml:space="preserve"> would be classified as either an Imminent Threat Alert or the newly adopted Public Safety Message, depending on the circumstances.</w:t>
      </w:r>
      <w:r>
        <w:rPr>
          <w:rStyle w:val="FootnoteReference"/>
        </w:rPr>
        <w:footnoteReference w:id="70"/>
      </w:r>
      <w:r>
        <w:t xml:space="preserve">  We seek comment on this assumption, and </w:t>
      </w:r>
      <w:r w:rsidR="009B5FB2">
        <w:t xml:space="preserve">ask </w:t>
      </w:r>
      <w:r>
        <w:t xml:space="preserve">whether </w:t>
      </w:r>
      <w:r w:rsidR="00BE2D7D">
        <w:t>alert initiators, Participating CM</w:t>
      </w:r>
      <w:r w:rsidR="004815A7">
        <w:t>R</w:t>
      </w:r>
      <w:r w:rsidR="00BE2D7D">
        <w:t>S providers,</w:t>
      </w:r>
      <w:r w:rsidR="009B5FB2">
        <w:t xml:space="preserve"> or other WEA stakeholders</w:t>
      </w:r>
      <w:r>
        <w:t xml:space="preserve"> believe it would be helpful to receive additional guidance</w:t>
      </w:r>
      <w:r w:rsidR="00E87EFB">
        <w:t xml:space="preserve"> </w:t>
      </w:r>
      <w:r w:rsidR="0005676E">
        <w:t xml:space="preserve">or direction </w:t>
      </w:r>
      <w:r w:rsidR="00E87EFB">
        <w:t>regarding</w:t>
      </w:r>
      <w:r>
        <w:t xml:space="preserve"> how Blue Alerts should be classified</w:t>
      </w:r>
      <w:r w:rsidR="00E87EFB">
        <w:t xml:space="preserve"> for purposes of WEA</w:t>
      </w:r>
      <w:r>
        <w:t>.</w:t>
      </w:r>
      <w:r w:rsidR="00193C93">
        <w:t xml:space="preserve"> </w:t>
      </w:r>
      <w:r>
        <w:t xml:space="preserve"> </w:t>
      </w:r>
      <w:r w:rsidRPr="00737AD1">
        <w:t>Are there other reasons a</w:t>
      </w:r>
      <w:r w:rsidR="00E87EFB">
        <w:t>dopti</w:t>
      </w:r>
      <w:r w:rsidR="00CE3062">
        <w:t>ng</w:t>
      </w:r>
      <w:r w:rsidR="00E87EFB">
        <w:t xml:space="preserve"> a</w:t>
      </w:r>
      <w:r w:rsidRPr="00737AD1">
        <w:t xml:space="preserve"> dedicated EAS Blue Alert event code would facilitate</w:t>
      </w:r>
      <w:r>
        <w:t xml:space="preserve"> or otherwise affect</w:t>
      </w:r>
      <w:r w:rsidRPr="00737AD1">
        <w:t xml:space="preserve"> the delivery of Blue Alerts to the public</w:t>
      </w:r>
      <w:r>
        <w:t xml:space="preserve"> over WEA</w:t>
      </w:r>
      <w:r w:rsidRPr="00737AD1">
        <w:t xml:space="preserve">?  </w:t>
      </w:r>
    </w:p>
    <w:p w14:paraId="6838C1DD" w14:textId="77777777" w:rsidR="00CF4D67" w:rsidRDefault="00EB4488" w:rsidP="00350222">
      <w:pPr>
        <w:pStyle w:val="ParaNum"/>
      </w:pPr>
      <w:r>
        <w:rPr>
          <w:i/>
        </w:rPr>
        <w:t xml:space="preserve">Costs and Benefits.  </w:t>
      </w:r>
      <w:r w:rsidR="005D7AA9" w:rsidRPr="00737AD1">
        <w:t xml:space="preserve">We seek comment on the total costs and benefits associated with the proposed addition of Blue Alerts to the EAS.  </w:t>
      </w:r>
      <w:r w:rsidR="00F95C38">
        <w:t xml:space="preserve">For </w:t>
      </w:r>
      <w:r w:rsidR="00F95C38" w:rsidRPr="00350222">
        <w:rPr>
          <w:rFonts w:eastAsia="Calibri"/>
        </w:rPr>
        <w:t>those</w:t>
      </w:r>
      <w:r w:rsidR="00F95C38">
        <w:t xml:space="preserve"> states </w:t>
      </w:r>
      <w:r w:rsidR="000468E6">
        <w:t>that</w:t>
      </w:r>
      <w:r w:rsidR="00F95C38">
        <w:t xml:space="preserve"> have adopted State Blue Alert Plans, h</w:t>
      </w:r>
      <w:r w:rsidR="00F95C38" w:rsidRPr="00737AD1">
        <w:t xml:space="preserve">ave </w:t>
      </w:r>
      <w:r w:rsidR="00F95C38">
        <w:t>Blue Alerts</w:t>
      </w:r>
      <w:r w:rsidR="00F95C38" w:rsidRPr="00737AD1">
        <w:t xml:space="preserve"> been effective in protecting law enforcement officers </w:t>
      </w:r>
      <w:r w:rsidR="000468E6">
        <w:t xml:space="preserve">and/or apprehending criminals? </w:t>
      </w:r>
      <w:r w:rsidR="005D7AA9" w:rsidRPr="00737AD1">
        <w:t xml:space="preserve"> </w:t>
      </w:r>
      <w:r w:rsidR="001F233D">
        <w:t>Would a dedicated EAS code produce a more efficient result than utilizing an existing event code or alternate delivery mechanism</w:t>
      </w:r>
      <w:r w:rsidR="001F233D" w:rsidRPr="00EA4FA7">
        <w:t xml:space="preserve">?  </w:t>
      </w:r>
    </w:p>
    <w:p w14:paraId="64722A8D" w14:textId="77777777" w:rsidR="0045430B" w:rsidRPr="00737AD1" w:rsidRDefault="001F0F8F" w:rsidP="00350222">
      <w:pPr>
        <w:pStyle w:val="ParaNum"/>
      </w:pPr>
      <w:r>
        <w:t xml:space="preserve">In the background section of this </w:t>
      </w:r>
      <w:r w:rsidRPr="00BC2F76">
        <w:rPr>
          <w:i/>
        </w:rPr>
        <w:t>Notice</w:t>
      </w:r>
      <w:r>
        <w:t xml:space="preserve">, we describe how </w:t>
      </w:r>
      <w:r w:rsidRPr="001F0F8F">
        <w:t>AMBER Alert</w:t>
      </w:r>
      <w:r>
        <w:t xml:space="preserve">s are </w:t>
      </w:r>
      <w:r w:rsidRPr="001F0F8F">
        <w:t>a voluntary partnership between law-enforcement agencies, broadcasters, transportation agencies, and the wireless industry to activate an urgent bulletin in the most serious child-abduction cases.</w:t>
      </w:r>
      <w:r>
        <w:rPr>
          <w:rStyle w:val="FootnoteReference"/>
        </w:rPr>
        <w:footnoteReference w:id="71"/>
      </w:r>
      <w:r>
        <w:t xml:space="preserve">  </w:t>
      </w:r>
      <w:r w:rsidR="005D7AA9">
        <w:t xml:space="preserve">Would the adoption of a dedicated EAS event code help facilitate </w:t>
      </w:r>
      <w:r>
        <w:t xml:space="preserve">a similar </w:t>
      </w:r>
      <w:r w:rsidRPr="00350222">
        <w:rPr>
          <w:rFonts w:eastAsia="Calibri"/>
        </w:rPr>
        <w:t>partnership</w:t>
      </w:r>
      <w:r w:rsidR="005D7AA9">
        <w:t xml:space="preserve"> to promote the safety of law enforcement officers</w:t>
      </w:r>
      <w:r>
        <w:t xml:space="preserve">?  </w:t>
      </w:r>
      <w:r w:rsidR="00C37354" w:rsidRPr="00737AD1">
        <w:t>W</w:t>
      </w:r>
      <w:r w:rsidR="002A3E3E" w:rsidRPr="00737AD1">
        <w:t>ould Blue Alerts have a similar impact</w:t>
      </w:r>
      <w:r w:rsidR="00C37354" w:rsidRPr="00737AD1">
        <w:t xml:space="preserve"> as AMBER Alerts</w:t>
      </w:r>
      <w:r>
        <w:t>?</w:t>
      </w:r>
      <w:r w:rsidR="003856DF" w:rsidRPr="00737AD1">
        <w:t xml:space="preserve">  </w:t>
      </w:r>
      <w:r w:rsidR="00575997" w:rsidRPr="00737AD1">
        <w:t>W</w:t>
      </w:r>
      <w:r w:rsidR="00EF65D1" w:rsidRPr="00737AD1">
        <w:t>e seek comment on whether statistical information concerning AMBER Alerts is relevant to Blue Alerts</w:t>
      </w:r>
      <w:r>
        <w:t>.</w:t>
      </w:r>
      <w:r w:rsidR="00EF65D1" w:rsidRPr="00737AD1">
        <w:t xml:space="preserve">  </w:t>
      </w:r>
      <w:r w:rsidR="00894C01" w:rsidRPr="00737AD1">
        <w:t xml:space="preserve">The DOJ reports that AMBER Alerts were directly responsible for recovering more than 25% of children reported missing in </w:t>
      </w:r>
      <w:r w:rsidR="00080AC5" w:rsidRPr="00737AD1">
        <w:t>2015.</w:t>
      </w:r>
      <w:r w:rsidR="00080AC5" w:rsidRPr="00737AD1">
        <w:rPr>
          <w:rStyle w:val="FootnoteReference"/>
          <w:rFonts w:eastAsia="Calibri"/>
        </w:rPr>
        <w:footnoteReference w:id="72"/>
      </w:r>
      <w:r w:rsidR="00080AC5" w:rsidRPr="00737AD1">
        <w:t xml:space="preserve">  </w:t>
      </w:r>
      <w:r w:rsidR="003856DF" w:rsidRPr="00737AD1">
        <w:t xml:space="preserve">Is it reasonable to expect a similar success rate </w:t>
      </w:r>
      <w:r w:rsidR="001F233D">
        <w:t xml:space="preserve">for EAS </w:t>
      </w:r>
      <w:r w:rsidR="00EF65D1" w:rsidRPr="00737AD1">
        <w:t>Blue Alerts</w:t>
      </w:r>
      <w:r w:rsidR="003856DF" w:rsidRPr="00737AD1">
        <w:t xml:space="preserve">?  What is the expected reduction in time to </w:t>
      </w:r>
      <w:r w:rsidR="00EF65D1" w:rsidRPr="00737AD1">
        <w:t xml:space="preserve">find a lost or abducted child </w:t>
      </w:r>
      <w:r w:rsidR="00846145" w:rsidRPr="00737AD1">
        <w:t>as a result of the introduction of the EAS Code for AMBER Alerts</w:t>
      </w:r>
      <w:r w:rsidR="003856DF" w:rsidRPr="00737AD1">
        <w:t xml:space="preserve">?  </w:t>
      </w:r>
      <w:r w:rsidR="00846145" w:rsidRPr="00737AD1">
        <w:t>Would a similar reduction of time occur with a</w:t>
      </w:r>
      <w:r w:rsidR="001F233D">
        <w:t>n EAS</w:t>
      </w:r>
      <w:r w:rsidR="00846145" w:rsidRPr="00737AD1">
        <w:t xml:space="preserve"> Blue Alert code?  </w:t>
      </w:r>
      <w:r w:rsidR="00606320">
        <w:t xml:space="preserve">  </w:t>
      </w:r>
    </w:p>
    <w:p w14:paraId="0AD75950" w14:textId="77777777" w:rsidR="00E8076F" w:rsidRPr="00737AD1" w:rsidRDefault="00606320" w:rsidP="00350222">
      <w:pPr>
        <w:pStyle w:val="ParaNum"/>
      </w:pPr>
      <w:r w:rsidRPr="00737AD1">
        <w:t xml:space="preserve">We seek comment on whether introducing a </w:t>
      </w:r>
      <w:r w:rsidRPr="00350222">
        <w:rPr>
          <w:rFonts w:eastAsia="Calibri"/>
        </w:rPr>
        <w:t>dedicated</w:t>
      </w:r>
      <w:r w:rsidRPr="00737AD1">
        <w:t xml:space="preserve"> EAS event code would help save the lives of law enforcement officers</w:t>
      </w:r>
      <w:r w:rsidR="00381303">
        <w:t xml:space="preserve"> or the public</w:t>
      </w:r>
      <w:r>
        <w:t xml:space="preserve">. </w:t>
      </w:r>
      <w:r w:rsidRPr="00737AD1">
        <w:t xml:space="preserve"> </w:t>
      </w:r>
      <w:r w:rsidR="00846145" w:rsidRPr="00737AD1">
        <w:t xml:space="preserve">We </w:t>
      </w:r>
      <w:r w:rsidR="00AE722C">
        <w:t>observe</w:t>
      </w:r>
      <w:r w:rsidR="00846145" w:rsidRPr="00737AD1">
        <w:t xml:space="preserve"> that </w:t>
      </w:r>
      <w:r w:rsidR="00E8076F" w:rsidRPr="00737AD1">
        <w:t>135 law enforcement officials were killed in 2016.</w:t>
      </w:r>
      <w:r w:rsidR="00E8076F" w:rsidRPr="00737AD1">
        <w:rPr>
          <w:rStyle w:val="FootnoteReference"/>
        </w:rPr>
        <w:footnoteReference w:id="73"/>
      </w:r>
      <w:r w:rsidR="00E8076F" w:rsidRPr="00737AD1">
        <w:t xml:space="preserve">  </w:t>
      </w:r>
      <w:r w:rsidR="006D7E76">
        <w:t>The COPS Office argues that the EAS framework is a valuable resource that can “expedite information sharing and facilitate the quick apprehension of dangerous criminals who pose an immediate threat to law enforcement and communities they serve.”</w:t>
      </w:r>
      <w:r w:rsidR="006D7E76">
        <w:rPr>
          <w:rStyle w:val="FootnoteReference"/>
        </w:rPr>
        <w:footnoteReference w:id="74"/>
      </w:r>
      <w:r w:rsidR="006D7E76">
        <w:t xml:space="preserve">  </w:t>
      </w:r>
      <w:r w:rsidR="00E07AFA">
        <w:t xml:space="preserve">Would utilizing a dedicated event code facilitate faster information sharing and dissemination of information to the public?  </w:t>
      </w:r>
      <w:r w:rsidR="00A24CA4">
        <w:t xml:space="preserve">The COPS Office additionally argues that Blue Alerts can “provide instructions to keep innocent persons </w:t>
      </w:r>
      <w:r w:rsidR="00B56DB6">
        <w:t xml:space="preserve">safe </w:t>
      </w:r>
      <w:r w:rsidR="00A24CA4">
        <w:t>and information on what to do if a suspect is spotted.”</w:t>
      </w:r>
      <w:r w:rsidR="00A24CA4">
        <w:rPr>
          <w:rStyle w:val="FootnoteReference"/>
        </w:rPr>
        <w:footnoteReference w:id="75"/>
      </w:r>
      <w:r w:rsidR="00A24CA4">
        <w:t xml:space="preserve">  </w:t>
      </w:r>
      <w:r w:rsidR="00E07AFA">
        <w:t xml:space="preserve">Would a faster and more uniform means of disseminating Blue Alerts, such as through a dedicated EAS event code, </w:t>
      </w:r>
      <w:r w:rsidR="00C15AB2">
        <w:t>save lives (whether directly as to law enforcement officials</w:t>
      </w:r>
      <w:r w:rsidR="00CB68FF">
        <w:t>,</w:t>
      </w:r>
      <w:r w:rsidR="00C15AB2">
        <w:t xml:space="preserve"> or indirectly as to innocent bystanders that might be harmed by the same emergency)?</w:t>
      </w:r>
      <w:r w:rsidR="00C15AB2">
        <w:rPr>
          <w:rStyle w:val="FootnoteReference"/>
        </w:rPr>
        <w:footnoteReference w:id="76"/>
      </w:r>
      <w:r w:rsidR="00E07AFA">
        <w:t xml:space="preserve">  </w:t>
      </w:r>
    </w:p>
    <w:p w14:paraId="028A0FBC" w14:textId="77777777" w:rsidR="003856DF" w:rsidRPr="00737AD1" w:rsidRDefault="003856DF" w:rsidP="00350222">
      <w:pPr>
        <w:pStyle w:val="ParaNum"/>
      </w:pPr>
      <w:r w:rsidRPr="00737AD1">
        <w:t xml:space="preserve">We seek comment on the benefits of </w:t>
      </w:r>
      <w:r w:rsidR="00D019EB">
        <w:t>a</w:t>
      </w:r>
      <w:r w:rsidR="00D95C9F">
        <w:t xml:space="preserve"> dedicated </w:t>
      </w:r>
      <w:r w:rsidR="00D019EB">
        <w:t xml:space="preserve">EAS </w:t>
      </w:r>
      <w:r w:rsidRPr="00737AD1">
        <w:t>Blue Alert</w:t>
      </w:r>
      <w:r w:rsidR="00D019EB">
        <w:t xml:space="preserve"> code</w:t>
      </w:r>
      <w:r w:rsidRPr="00737AD1">
        <w:t xml:space="preserve"> </w:t>
      </w:r>
      <w:r w:rsidR="00606320">
        <w:t xml:space="preserve">with respect to </w:t>
      </w:r>
      <w:r w:rsidRPr="00737AD1">
        <w:t xml:space="preserve">potentially providing an additional path of communication to </w:t>
      </w:r>
      <w:r w:rsidR="005D7AA9">
        <w:t xml:space="preserve">others who may be best positioned to provide assistance, including </w:t>
      </w:r>
      <w:r w:rsidRPr="00737AD1">
        <w:t xml:space="preserve">off-duty public </w:t>
      </w:r>
      <w:r w:rsidRPr="00350222">
        <w:rPr>
          <w:rFonts w:eastAsia="Calibri"/>
        </w:rPr>
        <w:t>safety</w:t>
      </w:r>
      <w:r w:rsidRPr="00737AD1">
        <w:t xml:space="preserve"> officials</w:t>
      </w:r>
      <w:r w:rsidR="00606320">
        <w:t xml:space="preserve"> and the media</w:t>
      </w:r>
      <w:r w:rsidRPr="00737AD1">
        <w:t xml:space="preserve">.  </w:t>
      </w:r>
      <w:r w:rsidR="00D019EB">
        <w:t xml:space="preserve">EAS </w:t>
      </w:r>
      <w:r w:rsidRPr="00737AD1">
        <w:t xml:space="preserve">Blue Alerts </w:t>
      </w:r>
      <w:r w:rsidR="003E6803" w:rsidRPr="00737AD1">
        <w:t xml:space="preserve">also </w:t>
      </w:r>
      <w:r w:rsidRPr="00737AD1">
        <w:t>could</w:t>
      </w:r>
      <w:r w:rsidR="00CB4B54" w:rsidRPr="00737AD1">
        <w:t xml:space="preserve"> </w:t>
      </w:r>
      <w:r w:rsidRPr="00737AD1">
        <w:t xml:space="preserve">quickly provide the media with information that they can disseminate to the public.  </w:t>
      </w:r>
      <w:r w:rsidR="00CB4B54" w:rsidRPr="00737AD1">
        <w:t>In this regard</w:t>
      </w:r>
      <w:r w:rsidRPr="00737AD1">
        <w:t xml:space="preserve">, </w:t>
      </w:r>
      <w:r w:rsidR="00EF65D1" w:rsidRPr="00737AD1">
        <w:t xml:space="preserve">could </w:t>
      </w:r>
      <w:r w:rsidRPr="00737AD1">
        <w:t xml:space="preserve">EAS </w:t>
      </w:r>
      <w:r w:rsidR="005D7AA9">
        <w:t>Blue Alerts</w:t>
      </w:r>
      <w:r w:rsidR="005D7AA9" w:rsidRPr="00737AD1">
        <w:t xml:space="preserve"> </w:t>
      </w:r>
      <w:r w:rsidRPr="00737AD1">
        <w:t>lower the amount of time that police forces devote to alerting the media, allowing more time for personnel to devote to responding to the emergency</w:t>
      </w:r>
      <w:r w:rsidR="0049757C" w:rsidRPr="00737AD1">
        <w:t>?</w:t>
      </w:r>
      <w:r w:rsidRPr="00737AD1">
        <w:t xml:space="preserve">  We seek comment on this category of benefits and cost reductions.</w:t>
      </w:r>
    </w:p>
    <w:p w14:paraId="058A3F38" w14:textId="77777777" w:rsidR="00CF4D67" w:rsidRDefault="003856DF" w:rsidP="00350222">
      <w:pPr>
        <w:pStyle w:val="ParaNum"/>
      </w:pPr>
      <w:r w:rsidRPr="00737AD1">
        <w:t>We also seek comment on the costs of the pro</w:t>
      </w:r>
      <w:r w:rsidR="00C16333" w:rsidRPr="00737AD1">
        <w:t>posed event code.  In the</w:t>
      </w:r>
      <w:r w:rsidRPr="00737AD1">
        <w:t xml:space="preserve"> </w:t>
      </w:r>
      <w:r w:rsidRPr="00737AD1">
        <w:rPr>
          <w:i/>
        </w:rPr>
        <w:t>NWS Report and Order</w:t>
      </w:r>
      <w:r w:rsidRPr="00737AD1">
        <w:t xml:space="preserve">, </w:t>
      </w:r>
      <w:r w:rsidR="00C16333" w:rsidRPr="00737AD1">
        <w:t>t</w:t>
      </w:r>
      <w:r w:rsidR="00242456" w:rsidRPr="00737AD1">
        <w:t>he Commission</w:t>
      </w:r>
      <w:r w:rsidRPr="00737AD1">
        <w:t xml:space="preserve"> noted that the record indicated that the new</w:t>
      </w:r>
      <w:r w:rsidR="00E87EFB">
        <w:t xml:space="preserve"> severe weather-related</w:t>
      </w:r>
      <w:r w:rsidRPr="00737AD1">
        <w:t xml:space="preserve"> codes could be implemented by EAS </w:t>
      </w:r>
      <w:r w:rsidR="003E6803" w:rsidRPr="00737AD1">
        <w:t>P</w:t>
      </w:r>
      <w:r w:rsidRPr="00737AD1">
        <w:t xml:space="preserve">articipants via minimally </w:t>
      </w:r>
      <w:r w:rsidR="003F46BA" w:rsidRPr="00350222">
        <w:rPr>
          <w:rFonts w:eastAsia="Calibri"/>
        </w:rPr>
        <w:t>burdensome</w:t>
      </w:r>
      <w:r w:rsidR="003F46BA" w:rsidRPr="00737AD1">
        <w:t xml:space="preserve"> and low-cost software downloads.</w:t>
      </w:r>
      <w:r w:rsidR="003F46BA" w:rsidRPr="00737AD1">
        <w:rPr>
          <w:rStyle w:val="FootnoteReference"/>
          <w:rFonts w:eastAsia="Calibri"/>
        </w:rPr>
        <w:footnoteReference w:id="77"/>
      </w:r>
      <w:r w:rsidR="003F46BA">
        <w:t xml:space="preserve"> </w:t>
      </w:r>
      <w:r w:rsidR="003F46BA" w:rsidRPr="00737AD1">
        <w:t xml:space="preserve"> </w:t>
      </w:r>
      <w:r w:rsidR="00FC606C">
        <w:t xml:space="preserve">Is the same true for the proposed Blue Alert event code?  </w:t>
      </w:r>
      <w:r w:rsidR="00490350">
        <w:t xml:space="preserve">In the record of the </w:t>
      </w:r>
      <w:r w:rsidR="00490350">
        <w:rPr>
          <w:i/>
        </w:rPr>
        <w:t>NWS Report and Order</w:t>
      </w:r>
      <w:r w:rsidR="00490350">
        <w:t xml:space="preserve">, </w:t>
      </w:r>
      <w:r w:rsidRPr="00737AD1">
        <w:t xml:space="preserve">Monroe </w:t>
      </w:r>
      <w:r w:rsidR="003E6803" w:rsidRPr="00737AD1">
        <w:t xml:space="preserve">Electronics </w:t>
      </w:r>
      <w:r w:rsidRPr="00737AD1">
        <w:t xml:space="preserve">indicated that the </w:t>
      </w:r>
      <w:r w:rsidR="000C1ACC">
        <w:t xml:space="preserve">new severe weather-related </w:t>
      </w:r>
      <w:r w:rsidRPr="00737AD1">
        <w:t>event codes could be implemented in its device models through a software update downloaded from its website,</w:t>
      </w:r>
      <w:r w:rsidRPr="00737AD1">
        <w:rPr>
          <w:rStyle w:val="FootnoteReference"/>
          <w:rFonts w:eastAsia="Calibri"/>
        </w:rPr>
        <w:footnoteReference w:id="78"/>
      </w:r>
      <w:r w:rsidRPr="00737AD1">
        <w:t xml:space="preserve"> while Sage </w:t>
      </w:r>
      <w:r w:rsidR="003E6803" w:rsidRPr="00737AD1">
        <w:t xml:space="preserve">Alerting Systems </w:t>
      </w:r>
      <w:r w:rsidRPr="00737AD1">
        <w:t xml:space="preserve">indicated that end users could implement the proposed event codes in </w:t>
      </w:r>
      <w:r w:rsidR="003E6803" w:rsidRPr="00737AD1">
        <w:t xml:space="preserve">10 </w:t>
      </w:r>
      <w:r w:rsidRPr="00737AD1">
        <w:t>minutes or less at no cost other than labor.</w:t>
      </w:r>
      <w:r w:rsidRPr="00737AD1">
        <w:rPr>
          <w:rStyle w:val="FootnoteReference"/>
          <w:rFonts w:eastAsia="Calibri"/>
        </w:rPr>
        <w:footnoteReference w:id="79"/>
      </w:r>
      <w:r w:rsidRPr="00737AD1">
        <w:t xml:space="preserve">  </w:t>
      </w:r>
      <w:r w:rsidR="00490350">
        <w:t xml:space="preserve">In the </w:t>
      </w:r>
      <w:r w:rsidR="00490350">
        <w:rPr>
          <w:i/>
        </w:rPr>
        <w:t xml:space="preserve">NWS Report and </w:t>
      </w:r>
      <w:r w:rsidR="00490350" w:rsidRPr="00490350">
        <w:rPr>
          <w:i/>
        </w:rPr>
        <w:t>Order</w:t>
      </w:r>
      <w:r w:rsidR="00490350">
        <w:t>, the Commission expected total costs for the codes adopted in that order would not exceed the one-time $3.5 million implementation cost</w:t>
      </w:r>
      <w:r w:rsidR="00490350" w:rsidRPr="00737AD1">
        <w:t xml:space="preserve"> </w:t>
      </w:r>
      <w:r w:rsidR="00490350">
        <w:t>ceiling</w:t>
      </w:r>
      <w:r w:rsidR="00A00CB6">
        <w:t>.</w:t>
      </w:r>
      <w:r w:rsidR="00A00CB6">
        <w:rPr>
          <w:rStyle w:val="FootnoteReference"/>
        </w:rPr>
        <w:footnoteReference w:id="80"/>
      </w:r>
      <w:r w:rsidR="00490350" w:rsidRPr="00737AD1">
        <w:t xml:space="preserve"> </w:t>
      </w:r>
      <w:r w:rsidR="00490350">
        <w:t xml:space="preserve"> </w:t>
      </w:r>
      <w:r w:rsidR="00CF4D67">
        <w:t>W</w:t>
      </w:r>
      <w:r w:rsidR="003F006F">
        <w:t xml:space="preserve">e believe that adopting a </w:t>
      </w:r>
      <w:r w:rsidR="003F006F" w:rsidRPr="003F006F">
        <w:t xml:space="preserve">Blue Alert EAS event code </w:t>
      </w:r>
      <w:r w:rsidR="003F006F">
        <w:t xml:space="preserve">presents </w:t>
      </w:r>
      <w:r w:rsidR="003F006F" w:rsidRPr="003F006F">
        <w:t xml:space="preserve">similar technical </w:t>
      </w:r>
      <w:r w:rsidR="003F006F">
        <w:t xml:space="preserve">issues to those raised in </w:t>
      </w:r>
      <w:r w:rsidR="006B7FA4">
        <w:t>the NWS Order</w:t>
      </w:r>
      <w:r w:rsidR="003F006F">
        <w:t xml:space="preserve">.  Accordingly, we believe that </w:t>
      </w:r>
      <w:r w:rsidR="003506FF">
        <w:t xml:space="preserve">the </w:t>
      </w:r>
      <w:r w:rsidR="006B7FA4">
        <w:t xml:space="preserve">same </w:t>
      </w:r>
      <w:r w:rsidR="003506FF">
        <w:t>costs would apply to the adoption of a Blue Alert EAS event code as applied to the severe weather event codes adopted in the NWS proceeding,</w:t>
      </w:r>
      <w:r w:rsidR="003F006F">
        <w:t xml:space="preserve"> and </w:t>
      </w:r>
      <w:r w:rsidR="003F46BA">
        <w:t xml:space="preserve">tentatively conclude that </w:t>
      </w:r>
      <w:r w:rsidR="00A00CB6">
        <w:t xml:space="preserve">the costs for </w:t>
      </w:r>
      <w:r w:rsidR="003F46BA">
        <w:t xml:space="preserve">adding a </w:t>
      </w:r>
      <w:r w:rsidR="00A00CB6">
        <w:t xml:space="preserve">dedicated </w:t>
      </w:r>
      <w:r w:rsidR="003F46BA">
        <w:t xml:space="preserve">Blue Alert </w:t>
      </w:r>
      <w:r w:rsidR="00A00CB6">
        <w:t xml:space="preserve">EAS </w:t>
      </w:r>
      <w:r w:rsidR="003F46BA">
        <w:t>event code would not exceed the one-time $3.5 million implementation cost</w:t>
      </w:r>
      <w:r w:rsidR="003F46BA" w:rsidRPr="00737AD1">
        <w:t xml:space="preserve"> </w:t>
      </w:r>
      <w:r w:rsidR="003F46BA">
        <w:t xml:space="preserve">ceiling that the Commission expected in the </w:t>
      </w:r>
      <w:r w:rsidR="003F46BA">
        <w:rPr>
          <w:i/>
        </w:rPr>
        <w:t xml:space="preserve">NWS Report and </w:t>
      </w:r>
      <w:r w:rsidR="003F46BA" w:rsidRPr="00255363">
        <w:rPr>
          <w:i/>
        </w:rPr>
        <w:t>Order</w:t>
      </w:r>
      <w:r w:rsidR="003F006F">
        <w:t>.</w:t>
      </w:r>
      <w:r w:rsidR="003F006F" w:rsidRPr="006E2773">
        <w:t xml:space="preserve"> </w:t>
      </w:r>
      <w:r w:rsidR="003F006F">
        <w:t xml:space="preserve"> We </w:t>
      </w:r>
      <w:r w:rsidR="00A00CB6">
        <w:t>seek comment on this analysis</w:t>
      </w:r>
      <w:r w:rsidR="003F46BA">
        <w:t>.</w:t>
      </w:r>
      <w:r w:rsidR="003F46BA" w:rsidRPr="00737AD1">
        <w:t xml:space="preserve"> </w:t>
      </w:r>
      <w:r w:rsidR="003F006F">
        <w:t xml:space="preserve"> </w:t>
      </w:r>
    </w:p>
    <w:p w14:paraId="23A8095C" w14:textId="7B9C95AA" w:rsidR="003856DF" w:rsidRPr="00737AD1" w:rsidRDefault="00E87EFB" w:rsidP="00350222">
      <w:pPr>
        <w:pStyle w:val="ParaNum"/>
      </w:pPr>
      <w:r>
        <w:t xml:space="preserve">We believe </w:t>
      </w:r>
      <w:r w:rsidR="003F006F" w:rsidRPr="003F006F">
        <w:t xml:space="preserve">$3.5 million </w:t>
      </w:r>
      <w:r w:rsidR="003F006F">
        <w:t>r</w:t>
      </w:r>
      <w:r>
        <w:t>epresents a conservative estimate</w:t>
      </w:r>
      <w:r w:rsidR="00D11C35">
        <w:t xml:space="preserve"> because it assumes all 28,508 broadcasters and cable companies will spend </w:t>
      </w:r>
      <w:r w:rsidR="003F46BA">
        <w:t xml:space="preserve">the maximum of one hour </w:t>
      </w:r>
      <w:r w:rsidR="00D11C35">
        <w:t xml:space="preserve">downloading and installing </w:t>
      </w:r>
      <w:r w:rsidR="008A515D">
        <w:t xml:space="preserve">a Blue Alert specific </w:t>
      </w:r>
      <w:r w:rsidR="00D11C35">
        <w:t>software update</w:t>
      </w:r>
      <w:r w:rsidR="005647B1">
        <w:t>.</w:t>
      </w:r>
      <w:r w:rsidR="00A00CB6">
        <w:rPr>
          <w:rStyle w:val="FootnoteReference"/>
        </w:rPr>
        <w:footnoteReference w:id="81"/>
      </w:r>
      <w:r w:rsidR="005647B1">
        <w:t xml:space="preserve">  We note</w:t>
      </w:r>
      <w:r w:rsidR="00117BEE">
        <w:t xml:space="preserve"> that, as of July 30, 2016, EAS Participants were required to have equipment in place that would be capable, at the minimum, of being upgraded by software to accommodate EAS modifications like what we propose here</w:t>
      </w:r>
      <w:r w:rsidR="00EE0D6D">
        <w:t>.</w:t>
      </w:r>
      <w:r w:rsidR="00EE0D6D">
        <w:rPr>
          <w:rStyle w:val="FootnoteReference"/>
        </w:rPr>
        <w:footnoteReference w:id="82"/>
      </w:r>
      <w:r w:rsidR="00EE0D6D">
        <w:t xml:space="preserve">  </w:t>
      </w:r>
      <w:r w:rsidR="00682BD7">
        <w:t xml:space="preserve">We also believe that </w:t>
      </w:r>
      <w:r w:rsidR="000C1ACC">
        <w:t xml:space="preserve">the </w:t>
      </w:r>
      <w:r w:rsidR="00F46DBA">
        <w:t xml:space="preserve">actual cost imposed will fall far below </w:t>
      </w:r>
      <w:r w:rsidR="00682BD7">
        <w:t xml:space="preserve">the $3.5 million </w:t>
      </w:r>
      <w:r w:rsidR="000C1ACC">
        <w:t>cost ceiling,</w:t>
      </w:r>
      <w:r w:rsidR="00F46DBA">
        <w:t xml:space="preserve"> </w:t>
      </w:r>
      <w:r w:rsidR="00682BD7">
        <w:t xml:space="preserve">because it </w:t>
      </w:r>
      <w:r w:rsidR="004541FD">
        <w:t>is premised on the assumption</w:t>
      </w:r>
      <w:r w:rsidR="00682BD7">
        <w:t xml:space="preserve"> that downloading the software updates will take one hour, </w:t>
      </w:r>
      <w:r w:rsidR="00F46DBA">
        <w:t xml:space="preserve">whereas </w:t>
      </w:r>
      <w:r w:rsidR="003B4DA1">
        <w:t xml:space="preserve">Sage estimated in the </w:t>
      </w:r>
      <w:r w:rsidR="003B4DA1">
        <w:rPr>
          <w:i/>
        </w:rPr>
        <w:t xml:space="preserve">NWS Report and Order </w:t>
      </w:r>
      <w:r w:rsidR="003B4DA1">
        <w:t>that a similar download and installation would take ten minutes.</w:t>
      </w:r>
      <w:r w:rsidR="003B4DA1">
        <w:rPr>
          <w:rStyle w:val="FootnoteReference"/>
        </w:rPr>
        <w:footnoteReference w:id="83"/>
      </w:r>
      <w:r w:rsidR="00682BD7">
        <w:t xml:space="preserve">  </w:t>
      </w:r>
      <w:r>
        <w:t xml:space="preserve">Further, </w:t>
      </w:r>
      <w:r w:rsidR="003F46BA">
        <w:t xml:space="preserve">we see no reason why </w:t>
      </w:r>
      <w:r>
        <w:t xml:space="preserve">the Blue Alert event code could </w:t>
      </w:r>
      <w:r w:rsidR="003F46BA">
        <w:t xml:space="preserve">not </w:t>
      </w:r>
      <w:r>
        <w:t xml:space="preserve">be bundled with a general software upgrade that EAS Participants would otherwise install anyway, during the regular course of business.  </w:t>
      </w:r>
      <w:r w:rsidR="00CD57B8">
        <w:t xml:space="preserve">We tentatively conclude that the </w:t>
      </w:r>
      <w:r w:rsidR="00CF4D67">
        <w:t>installation</w:t>
      </w:r>
      <w:r w:rsidR="00CD57B8">
        <w:t xml:space="preserve"> costs imposed on E</w:t>
      </w:r>
      <w:r w:rsidR="00673CCB">
        <w:t>A</w:t>
      </w:r>
      <w:r w:rsidR="00CD57B8">
        <w:t xml:space="preserve">S </w:t>
      </w:r>
      <w:r w:rsidR="00673CCB">
        <w:t>P</w:t>
      </w:r>
      <w:r w:rsidR="00CD57B8">
        <w:t xml:space="preserve">articipants, together with the </w:t>
      </w:r>
      <w:r w:rsidR="00CF4D67">
        <w:t>software update costs</w:t>
      </w:r>
      <w:r w:rsidR="00CD57B8">
        <w:t xml:space="preserve"> incurred by equipment manufacturers, </w:t>
      </w:r>
      <w:r w:rsidR="003F46BA">
        <w:t xml:space="preserve">would </w:t>
      </w:r>
      <w:r w:rsidR="00CD57B8">
        <w:t xml:space="preserve">be far below the $3.5 million ceiling estimated in the </w:t>
      </w:r>
      <w:r w:rsidR="00CD57B8">
        <w:rPr>
          <w:i/>
        </w:rPr>
        <w:t>NWS Report and Order</w:t>
      </w:r>
      <w:r w:rsidR="00CD57B8">
        <w:t xml:space="preserve">. </w:t>
      </w:r>
      <w:r w:rsidR="00CD57B8" w:rsidDel="00CD57B8">
        <w:t xml:space="preserve"> </w:t>
      </w:r>
      <w:r w:rsidR="00180D7C">
        <w:t xml:space="preserve">We seek comment on our tentative </w:t>
      </w:r>
      <w:r w:rsidR="008C47AA">
        <w:t>conclusion</w:t>
      </w:r>
      <w:r w:rsidR="000D7CBC">
        <w:t>s</w:t>
      </w:r>
      <w:r w:rsidR="00E016D9">
        <w:t xml:space="preserve">.  </w:t>
      </w:r>
      <w:r w:rsidR="0069640B" w:rsidRPr="0051727F">
        <w:t>We also seek comment on the cost</w:t>
      </w:r>
      <w:r w:rsidR="0069640B" w:rsidRPr="00737AD1">
        <w:t xml:space="preserve"> to </w:t>
      </w:r>
      <w:r w:rsidR="003E6803" w:rsidRPr="00737AD1">
        <w:t xml:space="preserve">EAS </w:t>
      </w:r>
      <w:r w:rsidR="0069640B" w:rsidRPr="00737AD1">
        <w:t xml:space="preserve">equipment manufacturers of creating software updates, testing these updates, supplying them to their customers, </w:t>
      </w:r>
      <w:r w:rsidR="003E6803" w:rsidRPr="00737AD1">
        <w:t>and</w:t>
      </w:r>
      <w:r w:rsidR="0069640B" w:rsidRPr="00737AD1">
        <w:t xml:space="preserve"> providing any </w:t>
      </w:r>
      <w:r w:rsidR="003E6803" w:rsidRPr="00737AD1">
        <w:t xml:space="preserve">related </w:t>
      </w:r>
      <w:r w:rsidR="0069640B" w:rsidRPr="00737AD1">
        <w:t xml:space="preserve">customer support.  We recognize that potential costs </w:t>
      </w:r>
      <w:r w:rsidR="003E6803" w:rsidRPr="00737AD1">
        <w:t xml:space="preserve">also </w:t>
      </w:r>
      <w:r w:rsidR="0069640B" w:rsidRPr="00737AD1">
        <w:t xml:space="preserve">may </w:t>
      </w:r>
      <w:r w:rsidR="003856DF" w:rsidRPr="00737AD1">
        <w:t xml:space="preserve">include management oversight </w:t>
      </w:r>
      <w:r w:rsidR="0069640B" w:rsidRPr="00737AD1">
        <w:t>software updates</w:t>
      </w:r>
      <w:r w:rsidR="003856DF" w:rsidRPr="00737AD1">
        <w:t xml:space="preserve">.  </w:t>
      </w:r>
    </w:p>
    <w:p w14:paraId="007BD9DF" w14:textId="77777777" w:rsidR="00843EB0" w:rsidRDefault="00CF4D67" w:rsidP="00350222">
      <w:pPr>
        <w:pStyle w:val="ParaNum"/>
      </w:pPr>
      <w:r>
        <w:t>T</w:t>
      </w:r>
      <w:r w:rsidR="00843EB0">
        <w:t xml:space="preserve">he COPS Office observes that a dedicated event code would convey the necessary sense of urgency and galvanize the public awareness necessary to protect law enforcement and the public from dangerous offenders, avoid utilizing existing codes </w:t>
      </w:r>
      <w:r w:rsidR="00843EB0" w:rsidRPr="00350222">
        <w:rPr>
          <w:rFonts w:eastAsia="Calibri"/>
        </w:rPr>
        <w:t>which</w:t>
      </w:r>
      <w:r w:rsidR="00843EB0">
        <w:t xml:space="preserve"> are used for mundane informational purposes, facilitate the adoption of new Blue Alert plans and integrate existing plans into a cohesive framework, and </w:t>
      </w:r>
      <w:r w:rsidR="00C15AB2">
        <w:t>serve as a central and organizing element for Blue Alert plans nationally.</w:t>
      </w:r>
      <w:r w:rsidR="00C15AB2">
        <w:rPr>
          <w:rStyle w:val="FootnoteReference"/>
        </w:rPr>
        <w:footnoteReference w:id="84"/>
      </w:r>
      <w:r w:rsidR="00C15AB2">
        <w:t xml:space="preserve">  We acknowledge DOJ’s guidance </w:t>
      </w:r>
      <w:r w:rsidR="009C7B3E">
        <w:t xml:space="preserve">and </w:t>
      </w:r>
      <w:r w:rsidR="00C15AB2">
        <w:t xml:space="preserve">expertise as to the potential benefits of Blue Alerts, and combine that with our own analysis to support the tentative conclusion that the benefits of the proposed event code will outweigh </w:t>
      </w:r>
      <w:r w:rsidR="0057328E">
        <w:t xml:space="preserve">its </w:t>
      </w:r>
      <w:r w:rsidR="00C15AB2">
        <w:t>costs.  We seek comment on this tentative conclusion.</w:t>
      </w:r>
    </w:p>
    <w:p w14:paraId="2A61E0DF" w14:textId="77777777" w:rsidR="00B60EE7" w:rsidRPr="00737AD1" w:rsidRDefault="00B60EE7" w:rsidP="00350222">
      <w:pPr>
        <w:pStyle w:val="ParaNum"/>
      </w:pPr>
      <w:r w:rsidRPr="00737AD1">
        <w:t>Finally,</w:t>
      </w:r>
      <w:r w:rsidR="00A3420A" w:rsidRPr="00737AD1">
        <w:t xml:space="preserve"> </w:t>
      </w:r>
      <w:r w:rsidR="00503DAC">
        <w:t xml:space="preserve">are </w:t>
      </w:r>
      <w:r w:rsidR="00503DAC" w:rsidRPr="00737AD1">
        <w:t>there costs or benefits that should be considered that are not captured in the above discussion?</w:t>
      </w:r>
      <w:r w:rsidR="00503DAC">
        <w:t xml:space="preserve">  A</w:t>
      </w:r>
      <w:r w:rsidR="00503DAC" w:rsidRPr="00737AD1">
        <w:t xml:space="preserve">re there alternative or additional </w:t>
      </w:r>
      <w:r w:rsidR="00503DAC" w:rsidRPr="00350222">
        <w:rPr>
          <w:rFonts w:eastAsia="Calibri"/>
        </w:rPr>
        <w:t>approaches</w:t>
      </w:r>
      <w:r w:rsidR="00503DAC" w:rsidRPr="00737AD1">
        <w:t xml:space="preserve"> that could increase benefits and/or reduce costs?  We</w:t>
      </w:r>
      <w:r w:rsidR="00503DAC">
        <w:t xml:space="preserve"> seek comment on </w:t>
      </w:r>
      <w:r w:rsidR="00503DAC" w:rsidRPr="00737AD1">
        <w:t xml:space="preserve">whether there are alternative </w:t>
      </w:r>
      <w:r w:rsidR="00503DAC">
        <w:t xml:space="preserve">or additional </w:t>
      </w:r>
      <w:r w:rsidR="00503DAC" w:rsidRPr="00737AD1">
        <w:t xml:space="preserve">measures </w:t>
      </w:r>
      <w:r w:rsidR="00503DAC">
        <w:t xml:space="preserve">that the Commission could take to improve the </w:t>
      </w:r>
      <w:r w:rsidR="00DA0D3E">
        <w:t xml:space="preserve">introduction of Blue Alerts over the </w:t>
      </w:r>
      <w:r w:rsidR="00503DAC">
        <w:t xml:space="preserve">EAS, in order </w:t>
      </w:r>
      <w:r w:rsidR="00503DAC" w:rsidRPr="00737AD1">
        <w:t xml:space="preserve">to </w:t>
      </w:r>
      <w:r w:rsidR="00503DAC">
        <w:t xml:space="preserve">promote the important </w:t>
      </w:r>
      <w:r w:rsidR="00D3620C">
        <w:t xml:space="preserve">public policy </w:t>
      </w:r>
      <w:r w:rsidR="00503DAC">
        <w:t>objective of protecting our nation’s law enforcement officials</w:t>
      </w:r>
      <w:r w:rsidR="00503DAC" w:rsidRPr="00737AD1">
        <w:t>.</w:t>
      </w:r>
      <w:r w:rsidR="00503DAC">
        <w:t xml:space="preserve">  </w:t>
      </w:r>
    </w:p>
    <w:p w14:paraId="07FC8439" w14:textId="77777777" w:rsidR="003856DF" w:rsidRPr="00737AD1" w:rsidRDefault="003856DF" w:rsidP="00350222">
      <w:pPr>
        <w:pStyle w:val="Heading1"/>
        <w:widowControl/>
        <w:numPr>
          <w:ilvl w:val="0"/>
          <w:numId w:val="3"/>
        </w:numPr>
        <w:suppressAutoHyphens w:val="0"/>
        <w:spacing w:line="259" w:lineRule="auto"/>
        <w:rPr>
          <w:rFonts w:ascii="Times New Roman" w:hAnsi="Times New Roman"/>
          <w:szCs w:val="22"/>
        </w:rPr>
      </w:pPr>
      <w:r w:rsidRPr="00737AD1">
        <w:rPr>
          <w:rFonts w:ascii="Times New Roman" w:hAnsi="Times New Roman"/>
          <w:szCs w:val="22"/>
        </w:rPr>
        <w:t xml:space="preserve">Procedural </w:t>
      </w:r>
      <w:r w:rsidR="00080AC5" w:rsidRPr="00737AD1">
        <w:rPr>
          <w:rFonts w:ascii="Times New Roman" w:hAnsi="Times New Roman"/>
          <w:szCs w:val="22"/>
        </w:rPr>
        <w:t>Matters</w:t>
      </w:r>
    </w:p>
    <w:p w14:paraId="7D6944B0" w14:textId="77777777" w:rsidR="003856DF" w:rsidRPr="00737AD1" w:rsidRDefault="003856DF" w:rsidP="00350222">
      <w:pPr>
        <w:pStyle w:val="Heading2"/>
        <w:widowControl/>
        <w:numPr>
          <w:ilvl w:val="1"/>
          <w:numId w:val="3"/>
        </w:numPr>
        <w:spacing w:line="259" w:lineRule="auto"/>
        <w:rPr>
          <w:szCs w:val="22"/>
        </w:rPr>
      </w:pPr>
      <w:r w:rsidRPr="00737AD1">
        <w:rPr>
          <w:szCs w:val="22"/>
        </w:rPr>
        <w:t>Ex Parte Rules</w:t>
      </w:r>
    </w:p>
    <w:p w14:paraId="4A7D06CD" w14:textId="77777777" w:rsidR="003856DF" w:rsidRPr="00737AD1" w:rsidRDefault="003856DF" w:rsidP="00350222">
      <w:pPr>
        <w:pStyle w:val="ParaNum"/>
      </w:pPr>
      <w:r w:rsidRPr="00737AD1">
        <w:t>The proceeding this Notice initiates shall be treated as</w:t>
      </w:r>
      <w:r w:rsidR="00643EEE">
        <w:t xml:space="preserve"> a</w:t>
      </w:r>
      <w:r w:rsidRPr="00737AD1">
        <w:t xml:space="preserve"> “permit-but-disclose” proceeding in accordance with the Commission’s </w:t>
      </w:r>
      <w:r w:rsidRPr="00737AD1">
        <w:rPr>
          <w:i/>
        </w:rPr>
        <w:t xml:space="preserve">ex parte </w:t>
      </w:r>
      <w:r w:rsidRPr="00737AD1">
        <w:t>rules.</w:t>
      </w:r>
      <w:r w:rsidRPr="00737AD1">
        <w:rPr>
          <w:vertAlign w:val="superscript"/>
        </w:rPr>
        <w:footnoteReference w:id="85"/>
      </w:r>
      <w:r w:rsidRPr="00737AD1">
        <w:t xml:space="preserve">  Persons making </w:t>
      </w:r>
      <w:r w:rsidRPr="00737AD1">
        <w:rPr>
          <w:i/>
        </w:rPr>
        <w:t xml:space="preserve">ex parte </w:t>
      </w:r>
      <w:r w:rsidRPr="00737AD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37AD1">
        <w:rPr>
          <w:i/>
        </w:rPr>
        <w:t xml:space="preserve">ex parte </w:t>
      </w:r>
      <w:r w:rsidRPr="00737AD1">
        <w:t xml:space="preserve">presentations are reminded that memoranda summarizing the presentation must: (1) list all persons attending or otherwise </w:t>
      </w:r>
      <w:r w:rsidRPr="00350222">
        <w:rPr>
          <w:rFonts w:eastAsia="Calibri"/>
        </w:rPr>
        <w:t>participating</w:t>
      </w:r>
      <w:r w:rsidRPr="00737AD1">
        <w:t xml:space="preserve"> in the meeting at which the </w:t>
      </w:r>
      <w:r w:rsidRPr="00737AD1">
        <w:rPr>
          <w:i/>
        </w:rPr>
        <w:t xml:space="preserve">ex parte </w:t>
      </w:r>
      <w:r w:rsidRPr="00737AD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37AD1">
        <w:rPr>
          <w:i/>
        </w:rPr>
        <w:t xml:space="preserve">ex parte </w:t>
      </w:r>
      <w:r w:rsidRPr="00737AD1">
        <w:t xml:space="preserve">meetings are deemed to be written </w:t>
      </w:r>
      <w:r w:rsidRPr="00737AD1">
        <w:rPr>
          <w:i/>
        </w:rPr>
        <w:t>ex parte</w:t>
      </w:r>
      <w:r w:rsidRPr="00737AD1">
        <w:t xml:space="preserve"> presentations and must be filed consistent with rule 1.1206(b).  In proceedings governed by rule 1.49(f) or for which the Commission has made available a method of electronic filing, written </w:t>
      </w:r>
      <w:r w:rsidRPr="00737AD1">
        <w:rPr>
          <w:i/>
        </w:rPr>
        <w:t xml:space="preserve">ex parte </w:t>
      </w:r>
      <w:r w:rsidRPr="00737AD1">
        <w:t xml:space="preserve">presentations and memoranda summarizing oral </w:t>
      </w:r>
      <w:r w:rsidRPr="00737AD1">
        <w:rPr>
          <w:i/>
        </w:rPr>
        <w:t xml:space="preserve">ex parte </w:t>
      </w:r>
      <w:r w:rsidRPr="00737AD1">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737AD1">
        <w:rPr>
          <w:i/>
        </w:rPr>
        <w:t xml:space="preserve">ex parte </w:t>
      </w:r>
      <w:r w:rsidRPr="00737AD1">
        <w:t>rules.</w:t>
      </w:r>
    </w:p>
    <w:p w14:paraId="397AD1D8" w14:textId="77777777" w:rsidR="003856DF" w:rsidRPr="00737AD1" w:rsidRDefault="003856DF" w:rsidP="00350222">
      <w:pPr>
        <w:pStyle w:val="Heading2"/>
        <w:widowControl/>
        <w:numPr>
          <w:ilvl w:val="1"/>
          <w:numId w:val="3"/>
        </w:numPr>
        <w:spacing w:line="259" w:lineRule="auto"/>
        <w:rPr>
          <w:szCs w:val="22"/>
        </w:rPr>
      </w:pPr>
      <w:r w:rsidRPr="00737AD1">
        <w:rPr>
          <w:szCs w:val="22"/>
        </w:rPr>
        <w:t>Comment Filing Procedures</w:t>
      </w:r>
    </w:p>
    <w:p w14:paraId="37D13079" w14:textId="77777777" w:rsidR="003856DF" w:rsidRPr="00737AD1" w:rsidRDefault="003856DF" w:rsidP="00350222">
      <w:pPr>
        <w:pStyle w:val="ParaNum"/>
      </w:pPr>
      <w:r w:rsidRPr="00737AD1">
        <w:t xml:space="preserve">Pursuant to </w:t>
      </w:r>
      <w:r w:rsidR="00080AC5" w:rsidRPr="00737AD1">
        <w:t>S</w:t>
      </w:r>
      <w:r w:rsidRPr="00737AD1">
        <w:t xml:space="preserve">ections 1.415 and 1.419 of the Commission’s rules, 47 CFR §§ 1.415, 1.419, interested parties may file comments and reply </w:t>
      </w:r>
      <w:r w:rsidRPr="00350222">
        <w:rPr>
          <w:rFonts w:eastAsia="Calibri"/>
        </w:rPr>
        <w:t>comments</w:t>
      </w:r>
      <w:r w:rsidRPr="00737AD1">
        <w:t xml:space="preserve"> on or before the dates indicated on the first page of this document.  Comments may be filed using the Commission’s Electronic Comment Filing System (ECFS).</w:t>
      </w:r>
      <w:r w:rsidR="00080AC5" w:rsidRPr="00737AD1">
        <w:rPr>
          <w:rStyle w:val="FootnoteReference"/>
        </w:rPr>
        <w:footnoteReference w:id="86"/>
      </w:r>
      <w:r w:rsidRPr="00737AD1">
        <w:t xml:space="preserve">  </w:t>
      </w:r>
    </w:p>
    <w:p w14:paraId="6F3D6619" w14:textId="643E58A2" w:rsidR="00233D2C" w:rsidRPr="00737AD1" w:rsidRDefault="00233D2C" w:rsidP="009973EE">
      <w:pPr>
        <w:numPr>
          <w:ilvl w:val="0"/>
          <w:numId w:val="8"/>
        </w:numPr>
        <w:spacing w:after="120"/>
      </w:pPr>
      <w:r w:rsidRPr="00DC78D2">
        <w:t xml:space="preserve">Electronic Filers:  Comments may be filed electronically using the Internet by accessing the ECFS:  </w:t>
      </w:r>
      <w:hyperlink r:id="rId8" w:history="1">
        <w:r w:rsidRPr="00DC78D2">
          <w:rPr>
            <w:color w:val="0000FF"/>
            <w:u w:val="single"/>
          </w:rPr>
          <w:t>http://apps.fcc.gov/ecfs/</w:t>
        </w:r>
      </w:hyperlink>
      <w:r w:rsidRPr="00737AD1">
        <w:t xml:space="preserve">.  </w:t>
      </w:r>
    </w:p>
    <w:p w14:paraId="31F05C82" w14:textId="77777777" w:rsidR="00233D2C" w:rsidRPr="006E2773" w:rsidRDefault="00233D2C" w:rsidP="009973EE">
      <w:pPr>
        <w:numPr>
          <w:ilvl w:val="0"/>
          <w:numId w:val="6"/>
        </w:numPr>
        <w:spacing w:after="120"/>
        <w:rPr>
          <w:rFonts w:ascii="Calibri" w:hAnsi="Calibri"/>
        </w:rPr>
      </w:pPr>
      <w:r w:rsidRPr="00737AD1">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C2547FC" w14:textId="77777777" w:rsidR="00233D2C" w:rsidRPr="006E2773" w:rsidRDefault="00233D2C" w:rsidP="009973EE">
      <w:pPr>
        <w:spacing w:after="120"/>
        <w:ind w:left="720"/>
        <w:rPr>
          <w:rFonts w:ascii="Calibri" w:hAnsi="Calibri"/>
        </w:rPr>
      </w:pPr>
      <w:r w:rsidRPr="00737AD1">
        <w:t>Filings can be sent by hand or messenger delivery, by commercial overnight courier, or by first-class or overnight U.S. Postal Service mail.  All filings must be addressed to the Commission’s Secretary, Office of the Secretary, Federal Communications Commission.</w:t>
      </w:r>
    </w:p>
    <w:p w14:paraId="047FD20B" w14:textId="77777777" w:rsidR="00233D2C" w:rsidRPr="006E2773" w:rsidRDefault="00233D2C" w:rsidP="009973EE">
      <w:pPr>
        <w:numPr>
          <w:ilvl w:val="0"/>
          <w:numId w:val="7"/>
        </w:numPr>
        <w:spacing w:after="120"/>
        <w:rPr>
          <w:rFonts w:ascii="Calibri" w:hAnsi="Calibri"/>
        </w:rPr>
      </w:pPr>
      <w:r w:rsidRPr="00737AD1">
        <w:t>All hand-delivered or messenger-delivered paper filings for the Commission’s Secretary must be delivered to FCC Headquarters at 445 12</w:t>
      </w:r>
      <w:r w:rsidRPr="00737AD1">
        <w:rPr>
          <w:vertAlign w:val="superscript"/>
        </w:rPr>
        <w:t>th</w:t>
      </w:r>
      <w:r w:rsidRPr="00737AD1">
        <w:t xml:space="preserve"> St., SW, Room TW-A325, Washington, DC 20554.  The filing hours are 8:00 a.m. to 7:00 p.m.  All hand deliveries must be held together with rubber bands or fasteners.  Any envelopes and boxes must be disposed of </w:t>
      </w:r>
      <w:r w:rsidRPr="00737AD1">
        <w:rPr>
          <w:u w:val="single"/>
        </w:rPr>
        <w:t>before</w:t>
      </w:r>
      <w:r w:rsidRPr="00737AD1">
        <w:t xml:space="preserve"> entering the building.  </w:t>
      </w:r>
    </w:p>
    <w:p w14:paraId="226D479A" w14:textId="77777777" w:rsidR="00233D2C" w:rsidRPr="006E2773" w:rsidRDefault="00233D2C" w:rsidP="009973EE">
      <w:pPr>
        <w:numPr>
          <w:ilvl w:val="0"/>
          <w:numId w:val="7"/>
        </w:numPr>
        <w:spacing w:after="120"/>
        <w:rPr>
          <w:rFonts w:ascii="Calibri" w:hAnsi="Calibri"/>
        </w:rPr>
      </w:pPr>
      <w:r w:rsidRPr="00737AD1">
        <w:t>Commercial overnight mail (other than U.S. Postal Service Express Mail and Priority Mail) must be sent to 9300 East Hampton Drive, Capitol Heights, MD  20743.</w:t>
      </w:r>
    </w:p>
    <w:p w14:paraId="7528C78A" w14:textId="77777777" w:rsidR="00233D2C" w:rsidRPr="006E2773" w:rsidRDefault="00233D2C" w:rsidP="009973EE">
      <w:pPr>
        <w:numPr>
          <w:ilvl w:val="0"/>
          <w:numId w:val="7"/>
        </w:numPr>
        <w:spacing w:after="120"/>
        <w:rPr>
          <w:rFonts w:ascii="Calibri" w:hAnsi="Calibri"/>
        </w:rPr>
      </w:pPr>
      <w:r w:rsidRPr="00737AD1">
        <w:t>U.S. Postal Service first-class, Express, and Priority mail must be addressed to 445 12</w:t>
      </w:r>
      <w:r w:rsidRPr="00737AD1">
        <w:rPr>
          <w:vertAlign w:val="superscript"/>
        </w:rPr>
        <w:t>th</w:t>
      </w:r>
      <w:r w:rsidRPr="00737AD1">
        <w:t xml:space="preserve"> Street, SW, Washington DC  20554.</w:t>
      </w:r>
    </w:p>
    <w:p w14:paraId="08389D0F" w14:textId="19769486" w:rsidR="00233D2C" w:rsidRPr="00737AD1" w:rsidRDefault="00233D2C" w:rsidP="00350222">
      <w:pPr>
        <w:pStyle w:val="ParaNum"/>
        <w:rPr>
          <w:szCs w:val="22"/>
        </w:rPr>
      </w:pPr>
      <w:r w:rsidRPr="00737AD1">
        <w:rPr>
          <w:szCs w:val="22"/>
        </w:rPr>
        <w:t xml:space="preserve">People with Disabilities:  To request materials in accessible formats for people with disabilities (braille, large print, electronic files, audio format), send an e-mail to </w:t>
      </w:r>
      <w:hyperlink r:id="rId9" w:history="1">
        <w:r w:rsidRPr="00737AD1">
          <w:rPr>
            <w:color w:val="0000FF"/>
            <w:szCs w:val="22"/>
            <w:u w:val="single"/>
          </w:rPr>
          <w:t>fcc504@fcc.gov</w:t>
        </w:r>
      </w:hyperlink>
      <w:r w:rsidRPr="00737AD1">
        <w:rPr>
          <w:szCs w:val="22"/>
        </w:rPr>
        <w:t xml:space="preserve"> or call the Consumer &amp; Governmental Affairs Bureau at 202-418-0530 (voice), 202-418-0432 (tty).</w:t>
      </w:r>
    </w:p>
    <w:p w14:paraId="0D5C0873" w14:textId="77777777" w:rsidR="003856DF" w:rsidRPr="00737AD1" w:rsidRDefault="003856DF" w:rsidP="00350222">
      <w:pPr>
        <w:pStyle w:val="Heading2"/>
        <w:widowControl/>
        <w:numPr>
          <w:ilvl w:val="1"/>
          <w:numId w:val="3"/>
        </w:numPr>
        <w:spacing w:line="259" w:lineRule="auto"/>
        <w:rPr>
          <w:szCs w:val="22"/>
        </w:rPr>
      </w:pPr>
      <w:r w:rsidRPr="00737AD1">
        <w:rPr>
          <w:szCs w:val="22"/>
        </w:rPr>
        <w:t>Regulatory Flexibility Analysis</w:t>
      </w:r>
    </w:p>
    <w:p w14:paraId="1EBCE917" w14:textId="77777777" w:rsidR="003856DF" w:rsidRPr="00737AD1" w:rsidRDefault="003856DF" w:rsidP="00870A11">
      <w:pPr>
        <w:pStyle w:val="ParaNum"/>
        <w:widowControl/>
      </w:pPr>
      <w:r w:rsidRPr="00737AD1">
        <w:t>As required by the Regulatory Flexibility Act of 1980,</w:t>
      </w:r>
      <w:r w:rsidR="00080AC5" w:rsidRPr="00737AD1">
        <w:rPr>
          <w:rStyle w:val="FootnoteReference"/>
        </w:rPr>
        <w:footnoteReference w:id="87"/>
      </w:r>
      <w:r w:rsidRPr="00737AD1">
        <w:t xml:space="preserve"> the Commission has prepared an Initial Regulatory Flexibility Analysis (IRFA) of </w:t>
      </w:r>
      <w:r w:rsidRPr="00350222">
        <w:rPr>
          <w:rFonts w:eastAsia="Calibri"/>
        </w:rPr>
        <w:t>the</w:t>
      </w:r>
      <w:r w:rsidRPr="00737AD1">
        <w:t xml:space="preserve"> possible significant economic impact on small entities of the policies and rules addressed in this </w:t>
      </w:r>
      <w:r w:rsidRPr="007B32D2">
        <w:rPr>
          <w:szCs w:val="22"/>
        </w:rPr>
        <w:t>document</w:t>
      </w:r>
      <w:r w:rsidRPr="00737AD1">
        <w:t xml:space="preserve">.  The IRFA is set forth in Appendix B.  Written public comments are requested in the IRFA.  These comments must be filed in accordance with the same filing deadlines as comments filed in response to this </w:t>
      </w:r>
      <w:r w:rsidRPr="00737AD1">
        <w:rPr>
          <w:i/>
        </w:rPr>
        <w:t>Notice</w:t>
      </w:r>
      <w:r w:rsidR="00080AC5" w:rsidRPr="00737AD1">
        <w:rPr>
          <w:i/>
        </w:rPr>
        <w:t xml:space="preserve"> of Proposed Rulemaking</w:t>
      </w:r>
      <w:r w:rsidRPr="00737AD1">
        <w:t xml:space="preserve">, as set forth on the first page of this document, and have a separate and distinct heading designating them as responses to the IRFA.  </w:t>
      </w:r>
    </w:p>
    <w:p w14:paraId="5046CB81" w14:textId="77777777" w:rsidR="003856DF" w:rsidRPr="00737AD1" w:rsidRDefault="003856DF" w:rsidP="00350222">
      <w:pPr>
        <w:pStyle w:val="Heading2"/>
        <w:widowControl/>
        <w:numPr>
          <w:ilvl w:val="1"/>
          <w:numId w:val="3"/>
        </w:numPr>
        <w:spacing w:line="259" w:lineRule="auto"/>
        <w:rPr>
          <w:szCs w:val="22"/>
        </w:rPr>
      </w:pPr>
      <w:r w:rsidRPr="00737AD1">
        <w:rPr>
          <w:szCs w:val="22"/>
        </w:rPr>
        <w:t>Paperwork Reduction Analysis</w:t>
      </w:r>
    </w:p>
    <w:p w14:paraId="46F9FDE3" w14:textId="77777777" w:rsidR="003856DF" w:rsidRPr="00737AD1" w:rsidRDefault="003856DF" w:rsidP="00350222">
      <w:pPr>
        <w:pStyle w:val="ParaNum"/>
      </w:pPr>
      <w:r w:rsidRPr="00737AD1">
        <w:t xml:space="preserve">This document does not contain </w:t>
      </w:r>
      <w:r w:rsidRPr="00350222">
        <w:rPr>
          <w:rFonts w:eastAsia="Calibri"/>
        </w:rPr>
        <w:t>proposed</w:t>
      </w:r>
      <w:r w:rsidRPr="00737AD1">
        <w:t xml:space="preserve">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w:t>
      </w:r>
      <w:r w:rsidR="00080AC5" w:rsidRPr="00737AD1">
        <w:t>.</w:t>
      </w:r>
      <w:r w:rsidR="00080AC5" w:rsidRPr="00737AD1">
        <w:rPr>
          <w:rStyle w:val="FootnoteReference"/>
        </w:rPr>
        <w:footnoteReference w:id="88"/>
      </w:r>
      <w:r w:rsidRPr="00737AD1">
        <w:t xml:space="preserve"> </w:t>
      </w:r>
    </w:p>
    <w:p w14:paraId="7F8DC820" w14:textId="77777777" w:rsidR="003856DF" w:rsidRPr="00737AD1" w:rsidRDefault="003856DF" w:rsidP="00350222">
      <w:pPr>
        <w:pStyle w:val="Heading1"/>
        <w:widowControl/>
        <w:numPr>
          <w:ilvl w:val="0"/>
          <w:numId w:val="3"/>
        </w:numPr>
        <w:suppressAutoHyphens w:val="0"/>
        <w:spacing w:line="259" w:lineRule="auto"/>
        <w:rPr>
          <w:rFonts w:ascii="Times New Roman" w:hAnsi="Times New Roman"/>
          <w:szCs w:val="22"/>
        </w:rPr>
      </w:pPr>
      <w:r w:rsidRPr="00737AD1">
        <w:rPr>
          <w:rFonts w:ascii="Times New Roman" w:hAnsi="Times New Roman"/>
          <w:szCs w:val="22"/>
        </w:rPr>
        <w:t>Ordering Clauses</w:t>
      </w:r>
    </w:p>
    <w:p w14:paraId="7D436B95" w14:textId="77777777" w:rsidR="003856DF" w:rsidRPr="00737AD1" w:rsidRDefault="003856DF" w:rsidP="00350222">
      <w:pPr>
        <w:pStyle w:val="ParaNum"/>
      </w:pPr>
      <w:r w:rsidRPr="00737AD1">
        <w:t xml:space="preserve">Accordingly, IT IS ORDERED that </w:t>
      </w:r>
      <w:r w:rsidRPr="00350222">
        <w:rPr>
          <w:rFonts w:eastAsia="Calibri"/>
        </w:rPr>
        <w:t>pursuant</w:t>
      </w:r>
      <w:r w:rsidRPr="00737AD1">
        <w:t xml:space="preserve"> to Sections 1, 2, 4(i), 4(o), 301, 303(r), 303(v), 307, 309, 335, 403, 624(g), 706, and 715 of the Communications Act of 1934, as amended, 47 U.S.C. §§ 151, 152, 154(i), 154(o), 301, 303(r), 303(v), 307, 309, 335, 403, 544(g), 606, and 615, this </w:t>
      </w:r>
      <w:r w:rsidRPr="00737AD1">
        <w:rPr>
          <w:i/>
        </w:rPr>
        <w:t>Notice</w:t>
      </w:r>
      <w:r w:rsidRPr="00737AD1">
        <w:t xml:space="preserve"> </w:t>
      </w:r>
      <w:r w:rsidRPr="00737AD1">
        <w:rPr>
          <w:i/>
        </w:rPr>
        <w:t>of Proposed Rulemaking</w:t>
      </w:r>
      <w:r w:rsidRPr="00737AD1">
        <w:t xml:space="preserve"> IS ADOPTED.</w:t>
      </w:r>
    </w:p>
    <w:p w14:paraId="1E832BFE" w14:textId="77777777" w:rsidR="003856DF" w:rsidRPr="00737AD1" w:rsidRDefault="003856DF" w:rsidP="00350222">
      <w:pPr>
        <w:pStyle w:val="ParaNum"/>
      </w:pPr>
      <w:r w:rsidRPr="00737AD1">
        <w:t xml:space="preserve">IT IS FURTHER ORDERED that the Commission’s Consumer and Governmental Affairs Bureau, Reference Information Center, SHALL SEND a </w:t>
      </w:r>
      <w:r w:rsidRPr="00350222">
        <w:rPr>
          <w:rFonts w:eastAsia="Calibri"/>
        </w:rPr>
        <w:t>copy</w:t>
      </w:r>
      <w:r w:rsidRPr="00737AD1">
        <w:t xml:space="preserve"> of this </w:t>
      </w:r>
      <w:r w:rsidRPr="00737AD1">
        <w:rPr>
          <w:i/>
        </w:rPr>
        <w:t>Notice</w:t>
      </w:r>
      <w:r w:rsidRPr="00737AD1">
        <w:t xml:space="preserve"> </w:t>
      </w:r>
      <w:r w:rsidRPr="00737AD1">
        <w:rPr>
          <w:i/>
        </w:rPr>
        <w:t>of Proposed Rulemaking</w:t>
      </w:r>
      <w:r w:rsidRPr="00737AD1">
        <w:t xml:space="preserve"> including the Regulatory Flexibility Analysis, to the Chief Counsel for Advocacy of the Small Business Administration.</w:t>
      </w:r>
    </w:p>
    <w:p w14:paraId="08F036AC" w14:textId="77777777" w:rsidR="003D612A" w:rsidRDefault="003D612A" w:rsidP="003D612A"/>
    <w:p w14:paraId="293B624D" w14:textId="77777777" w:rsidR="003856DF" w:rsidRPr="00737AD1" w:rsidRDefault="003856DF" w:rsidP="003D612A">
      <w:r w:rsidRPr="00DC78D2">
        <w:tab/>
      </w:r>
      <w:r w:rsidRPr="00DC78D2">
        <w:tab/>
      </w:r>
      <w:r w:rsidRPr="00DC78D2">
        <w:tab/>
      </w:r>
      <w:r w:rsidRPr="00DC78D2">
        <w:tab/>
      </w:r>
      <w:r w:rsidRPr="00DC78D2">
        <w:tab/>
      </w:r>
      <w:r w:rsidRPr="00DC78D2">
        <w:tab/>
        <w:t>FEDERAL COMMUNICATIONS COMMISSION</w:t>
      </w:r>
    </w:p>
    <w:p w14:paraId="64F65A47" w14:textId="77777777" w:rsidR="003856DF" w:rsidRPr="00737AD1" w:rsidRDefault="003856DF" w:rsidP="003D612A"/>
    <w:p w14:paraId="59F24822" w14:textId="77777777" w:rsidR="003856DF" w:rsidRPr="00737AD1" w:rsidRDefault="003856DF" w:rsidP="003D612A"/>
    <w:p w14:paraId="3EC6213C" w14:textId="77777777" w:rsidR="003856DF" w:rsidRPr="00737AD1" w:rsidRDefault="003856DF" w:rsidP="003D612A"/>
    <w:p w14:paraId="00599D32" w14:textId="77777777" w:rsidR="003D612A" w:rsidRDefault="003D612A" w:rsidP="003D612A"/>
    <w:p w14:paraId="51F5CF51" w14:textId="77777777" w:rsidR="003856DF" w:rsidRPr="00737AD1" w:rsidRDefault="003856DF" w:rsidP="003D612A">
      <w:r w:rsidRPr="00737AD1">
        <w:tab/>
      </w:r>
      <w:r w:rsidRPr="00737AD1">
        <w:tab/>
      </w:r>
      <w:r w:rsidRPr="00737AD1">
        <w:tab/>
      </w:r>
      <w:r w:rsidRPr="00737AD1">
        <w:tab/>
      </w:r>
      <w:r w:rsidRPr="00737AD1">
        <w:tab/>
      </w:r>
      <w:r w:rsidRPr="00737AD1">
        <w:tab/>
        <w:t>Marlene H. Dortch</w:t>
      </w:r>
    </w:p>
    <w:p w14:paraId="5E1F2C11" w14:textId="0F104558" w:rsidR="007B32D2" w:rsidRDefault="003856DF" w:rsidP="007B32D2">
      <w:pPr>
        <w:spacing w:after="160" w:line="259" w:lineRule="auto"/>
      </w:pPr>
      <w:r w:rsidRPr="00737AD1">
        <w:tab/>
      </w:r>
      <w:r w:rsidRPr="00737AD1">
        <w:tab/>
      </w:r>
      <w:r w:rsidRPr="00737AD1">
        <w:tab/>
      </w:r>
      <w:r w:rsidRPr="00737AD1">
        <w:tab/>
      </w:r>
      <w:r w:rsidRPr="00737AD1">
        <w:tab/>
      </w:r>
      <w:r w:rsidRPr="00737AD1">
        <w:tab/>
        <w:t>Secretary</w:t>
      </w:r>
    </w:p>
    <w:p w14:paraId="7E40FABC" w14:textId="77777777" w:rsidR="00972560" w:rsidRDefault="00972560" w:rsidP="007B32D2">
      <w:pPr>
        <w:spacing w:after="160" w:line="259" w:lineRule="auto"/>
        <w:sectPr w:rsidR="00972560"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14:paraId="6CEA799D" w14:textId="77777777" w:rsidR="00EF3D34" w:rsidRPr="006E2773" w:rsidRDefault="00EF3D34" w:rsidP="00A86188">
      <w:pPr>
        <w:jc w:val="center"/>
        <w:rPr>
          <w:rFonts w:ascii="Calibri" w:hAnsi="Calibri"/>
          <w:b/>
        </w:rPr>
      </w:pPr>
      <w:r w:rsidRPr="00737AD1">
        <w:rPr>
          <w:b/>
        </w:rPr>
        <w:t>APPENDIX A</w:t>
      </w:r>
    </w:p>
    <w:p w14:paraId="66DCE5A9" w14:textId="77777777" w:rsidR="00A86188" w:rsidRDefault="00A86188" w:rsidP="00EF3D34">
      <w:pPr>
        <w:jc w:val="center"/>
        <w:rPr>
          <w:b/>
        </w:rPr>
      </w:pPr>
    </w:p>
    <w:p w14:paraId="49D8C1A6" w14:textId="77777777" w:rsidR="00EF3D34" w:rsidRPr="006E2773" w:rsidRDefault="00EF3D34" w:rsidP="00EF3D34">
      <w:pPr>
        <w:jc w:val="center"/>
        <w:rPr>
          <w:rFonts w:ascii="Calibri" w:hAnsi="Calibri"/>
          <w:b/>
        </w:rPr>
      </w:pPr>
      <w:r w:rsidRPr="00737AD1">
        <w:rPr>
          <w:b/>
        </w:rPr>
        <w:t>Proposed Rules</w:t>
      </w:r>
    </w:p>
    <w:p w14:paraId="1B89D57F" w14:textId="77777777" w:rsidR="00EF3D34" w:rsidRPr="00737AD1" w:rsidRDefault="00EF3D34" w:rsidP="00EF3D34">
      <w:pPr>
        <w:jc w:val="center"/>
        <w:rPr>
          <w:b/>
        </w:rPr>
      </w:pPr>
    </w:p>
    <w:p w14:paraId="11D03AF6" w14:textId="77777777" w:rsidR="00EF3D34" w:rsidRPr="006E2773" w:rsidRDefault="00EF3D34" w:rsidP="00EF3D34">
      <w:pPr>
        <w:rPr>
          <w:rFonts w:ascii="Calibri" w:hAnsi="Calibri"/>
        </w:rPr>
      </w:pPr>
      <w:r w:rsidRPr="00737AD1">
        <w:t xml:space="preserve">For the reasons discussed in the preamble, the Federal Communications Commission amends 47 C.F.R. Part 11 to read as follows: </w:t>
      </w:r>
    </w:p>
    <w:p w14:paraId="7C72B054" w14:textId="77777777" w:rsidR="00EF3D34" w:rsidRPr="00737AD1" w:rsidRDefault="00EF3D34" w:rsidP="00EF3D34"/>
    <w:p w14:paraId="56E372DC" w14:textId="77777777" w:rsidR="00EF3D34" w:rsidRPr="006E2773" w:rsidRDefault="00EF3D34" w:rsidP="00A86188">
      <w:pPr>
        <w:rPr>
          <w:rFonts w:ascii="Calibri" w:hAnsi="Calibri"/>
          <w:b/>
        </w:rPr>
      </w:pPr>
      <w:r w:rsidRPr="00737AD1">
        <w:rPr>
          <w:b/>
        </w:rPr>
        <w:t>PART 11 – EMERGENCY ALERT SYSTEM (EAS)</w:t>
      </w:r>
    </w:p>
    <w:p w14:paraId="5286A37B" w14:textId="77777777" w:rsidR="00A86188" w:rsidRDefault="00A86188" w:rsidP="00A86188"/>
    <w:p w14:paraId="6EBA54EF" w14:textId="77777777" w:rsidR="00EF3D34" w:rsidRPr="006E2773" w:rsidRDefault="00EF3D34" w:rsidP="00A86188">
      <w:pPr>
        <w:rPr>
          <w:rFonts w:ascii="Calibri" w:hAnsi="Calibri"/>
        </w:rPr>
      </w:pPr>
      <w:r w:rsidRPr="00737AD1">
        <w:t>1.</w:t>
      </w:r>
      <w:r w:rsidRPr="00737AD1">
        <w:tab/>
        <w:t xml:space="preserve">The authority citation for Part 11 continues to read as follows: </w:t>
      </w:r>
    </w:p>
    <w:p w14:paraId="123A87D8" w14:textId="77777777" w:rsidR="00A86188" w:rsidRDefault="00A86188" w:rsidP="00A86188"/>
    <w:p w14:paraId="7D594E0E" w14:textId="77777777" w:rsidR="00EF3D34" w:rsidRPr="006E2773" w:rsidRDefault="00EF3D34" w:rsidP="00A86188">
      <w:pPr>
        <w:rPr>
          <w:rFonts w:ascii="Calibri" w:hAnsi="Calibri"/>
        </w:rPr>
      </w:pPr>
      <w:r w:rsidRPr="00737AD1">
        <w:t>Authority: 47 U.S.C. 151, 154 (i) and (o), 303(r), 544(g) and 606.</w:t>
      </w:r>
    </w:p>
    <w:p w14:paraId="6A7A1AFE" w14:textId="77777777" w:rsidR="00A86188" w:rsidRDefault="00A86188" w:rsidP="00A86188">
      <w:bookmarkStart w:id="1" w:name="SP;8b3b0000958a4"/>
      <w:bookmarkStart w:id="2" w:name="IB81272A0EC9211DDB8ACB84BCC6CE36B"/>
      <w:bookmarkStart w:id="3" w:name="IB81001A2EC9211DDB8ACB84BCC6CE36B"/>
      <w:bookmarkEnd w:id="1"/>
      <w:bookmarkEnd w:id="2"/>
      <w:bookmarkEnd w:id="3"/>
    </w:p>
    <w:p w14:paraId="66146B64" w14:textId="77777777" w:rsidR="00EF3D34" w:rsidRDefault="00EF3D34" w:rsidP="00A86188">
      <w:r w:rsidRPr="00737AD1">
        <w:t>2.</w:t>
      </w:r>
      <w:r w:rsidRPr="00737AD1">
        <w:tab/>
        <w:t>Amend § 11.31 by revising paragraphs (e) to read as follows:</w:t>
      </w:r>
    </w:p>
    <w:p w14:paraId="61C3AD79" w14:textId="77777777" w:rsidR="00A86188" w:rsidRPr="006E2773" w:rsidRDefault="00A86188" w:rsidP="00A86188">
      <w:pPr>
        <w:rPr>
          <w:rFonts w:ascii="Calibri" w:hAnsi="Calibri"/>
        </w:rPr>
      </w:pPr>
    </w:p>
    <w:p w14:paraId="3868C25B" w14:textId="77777777" w:rsidR="00EF3D34" w:rsidRPr="006E2773" w:rsidRDefault="00EF3D34" w:rsidP="00A86188">
      <w:pPr>
        <w:rPr>
          <w:rFonts w:ascii="Calibri" w:hAnsi="Calibri"/>
          <w:b/>
        </w:rPr>
      </w:pPr>
      <w:r w:rsidRPr="00737AD1">
        <w:rPr>
          <w:b/>
          <w:u w:val="single"/>
        </w:rPr>
        <w:t>§ 11.31 EAS protocol</w:t>
      </w:r>
      <w:r w:rsidRPr="00737AD1">
        <w:rPr>
          <w:b/>
        </w:rPr>
        <w:t>.</w:t>
      </w:r>
    </w:p>
    <w:p w14:paraId="367B2FBA" w14:textId="77777777" w:rsidR="00A86188" w:rsidRDefault="00A86188" w:rsidP="00A86188"/>
    <w:p w14:paraId="25F4ED89" w14:textId="77777777" w:rsidR="00EF3D34" w:rsidRPr="006E2773" w:rsidRDefault="00EF3D34" w:rsidP="00A86188">
      <w:pPr>
        <w:rPr>
          <w:rFonts w:ascii="Calibri" w:hAnsi="Calibri"/>
        </w:rPr>
      </w:pPr>
      <w:r w:rsidRPr="00737AD1">
        <w:t xml:space="preserve">* * * * * </w:t>
      </w:r>
    </w:p>
    <w:p w14:paraId="2EE2B70E" w14:textId="77777777" w:rsidR="00A86188" w:rsidRDefault="00A86188" w:rsidP="00A86188"/>
    <w:p w14:paraId="40495764" w14:textId="77777777" w:rsidR="00EF3D34" w:rsidRDefault="00EF3D34" w:rsidP="00A86188">
      <w:r w:rsidRPr="00737AD1">
        <w:t>(e) The following Event (EEE) codes are presently authorized:</w:t>
      </w:r>
    </w:p>
    <w:p w14:paraId="4A956EAD" w14:textId="77777777" w:rsidR="00A86188" w:rsidRPr="006E2773" w:rsidRDefault="00A86188" w:rsidP="00A86188">
      <w:pPr>
        <w:rPr>
          <w:rFonts w:ascii="Calibri" w:hAnsi="Calibri"/>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376"/>
        <w:gridCol w:w="2014"/>
      </w:tblGrid>
      <w:tr w:rsidR="00EF3D34" w:rsidRPr="00737AD1" w14:paraId="4FDF4159"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58AA8120" w14:textId="77777777" w:rsidR="00EF3D34" w:rsidRPr="00737AD1" w:rsidRDefault="00EF3D34" w:rsidP="0056218D">
            <w:pPr>
              <w:spacing w:line="480" w:lineRule="auto"/>
              <w:rPr>
                <w:b/>
              </w:rPr>
            </w:pPr>
            <w:r w:rsidRPr="00737AD1">
              <w:rPr>
                <w:b/>
              </w:rPr>
              <w:t>Nature of activation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02894C0" w14:textId="77777777" w:rsidR="00EF3D34" w:rsidRPr="006E2773" w:rsidRDefault="00EF3D34" w:rsidP="0056218D">
            <w:pPr>
              <w:spacing w:line="480" w:lineRule="auto"/>
              <w:rPr>
                <w:rFonts w:ascii="Calibri" w:hAnsi="Calibri"/>
                <w:b/>
              </w:rPr>
            </w:pPr>
            <w:r w:rsidRPr="00737AD1">
              <w:rPr>
                <w:b/>
              </w:rPr>
              <w:t>Event codes</w:t>
            </w:r>
          </w:p>
        </w:tc>
      </w:tr>
      <w:tr w:rsidR="00EF3D34" w:rsidRPr="00737AD1" w14:paraId="3191F8E3"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2DAC4A1" w14:textId="77777777" w:rsidR="00EF3D34" w:rsidRPr="00DC78D2" w:rsidRDefault="00EF3D34" w:rsidP="0056218D">
            <w:pPr>
              <w:spacing w:line="480" w:lineRule="auto"/>
            </w:pPr>
            <w:r w:rsidRPr="00DC78D2">
              <w:t>National Codes (Required):</w:t>
            </w:r>
          </w:p>
        </w:tc>
        <w:tc>
          <w:tcPr>
            <w:tcW w:w="0" w:type="auto"/>
            <w:tcBorders>
              <w:top w:val="single" w:sz="6" w:space="0" w:color="000000"/>
              <w:left w:val="single" w:sz="6" w:space="0" w:color="000000"/>
              <w:bottom w:val="single" w:sz="6" w:space="0" w:color="000000"/>
              <w:right w:val="single" w:sz="6" w:space="0" w:color="000000"/>
            </w:tcBorders>
            <w:hideMark/>
          </w:tcPr>
          <w:p w14:paraId="5DB63166" w14:textId="77777777" w:rsidR="00EF3D34" w:rsidRPr="00737AD1" w:rsidRDefault="00EF3D34" w:rsidP="0056218D">
            <w:pPr>
              <w:spacing w:line="480" w:lineRule="auto"/>
            </w:pPr>
          </w:p>
        </w:tc>
      </w:tr>
      <w:tr w:rsidR="00EF3D34" w:rsidRPr="00737AD1" w14:paraId="52F66B6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805E658" w14:textId="77777777" w:rsidR="00EF3D34" w:rsidRPr="00DC78D2" w:rsidRDefault="00EF3D34" w:rsidP="0056218D">
            <w:pPr>
              <w:spacing w:line="480" w:lineRule="auto"/>
            </w:pPr>
            <w:r w:rsidRPr="00DC78D2">
              <w:t>Emergency Action Notification (National only)</w:t>
            </w:r>
          </w:p>
        </w:tc>
        <w:tc>
          <w:tcPr>
            <w:tcW w:w="0" w:type="auto"/>
            <w:tcBorders>
              <w:top w:val="single" w:sz="6" w:space="0" w:color="000000"/>
              <w:left w:val="single" w:sz="6" w:space="0" w:color="000000"/>
              <w:bottom w:val="single" w:sz="6" w:space="0" w:color="000000"/>
              <w:right w:val="single" w:sz="6" w:space="0" w:color="000000"/>
            </w:tcBorders>
            <w:hideMark/>
          </w:tcPr>
          <w:p w14:paraId="25629B8E" w14:textId="77777777" w:rsidR="00EF3D34" w:rsidRPr="006E2773" w:rsidRDefault="00EF3D34" w:rsidP="0056218D">
            <w:pPr>
              <w:spacing w:line="480" w:lineRule="auto"/>
              <w:rPr>
                <w:rFonts w:ascii="Calibri" w:hAnsi="Calibri"/>
              </w:rPr>
            </w:pPr>
            <w:r w:rsidRPr="00737AD1">
              <w:t>EAN.</w:t>
            </w:r>
          </w:p>
        </w:tc>
      </w:tr>
      <w:tr w:rsidR="00EF3D34" w:rsidRPr="00737AD1" w14:paraId="65B09824"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2833FEF" w14:textId="77777777" w:rsidR="00EF3D34" w:rsidRPr="00DC78D2" w:rsidRDefault="00EF3D34" w:rsidP="0056218D">
            <w:pPr>
              <w:spacing w:line="480" w:lineRule="auto"/>
            </w:pPr>
            <w:r w:rsidRPr="00DC78D2">
              <w:t>National Information Center</w:t>
            </w:r>
          </w:p>
        </w:tc>
        <w:tc>
          <w:tcPr>
            <w:tcW w:w="0" w:type="auto"/>
            <w:tcBorders>
              <w:top w:val="single" w:sz="6" w:space="0" w:color="000000"/>
              <w:left w:val="single" w:sz="6" w:space="0" w:color="000000"/>
              <w:bottom w:val="single" w:sz="6" w:space="0" w:color="000000"/>
              <w:right w:val="single" w:sz="6" w:space="0" w:color="000000"/>
            </w:tcBorders>
            <w:hideMark/>
          </w:tcPr>
          <w:p w14:paraId="103894C9" w14:textId="77777777" w:rsidR="00EF3D34" w:rsidRPr="006E2773" w:rsidRDefault="00EF3D34" w:rsidP="0056218D">
            <w:pPr>
              <w:spacing w:line="480" w:lineRule="auto"/>
              <w:rPr>
                <w:rFonts w:ascii="Calibri" w:hAnsi="Calibri"/>
              </w:rPr>
            </w:pPr>
            <w:r w:rsidRPr="00737AD1">
              <w:t>NIC</w:t>
            </w:r>
          </w:p>
        </w:tc>
      </w:tr>
      <w:tr w:rsidR="00EF3D34" w:rsidRPr="00737AD1" w14:paraId="0F6F488B"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2C994F7" w14:textId="77777777" w:rsidR="00EF3D34" w:rsidRPr="00DC78D2" w:rsidRDefault="00EF3D34" w:rsidP="0056218D">
            <w:pPr>
              <w:spacing w:line="480" w:lineRule="auto"/>
            </w:pPr>
            <w:r w:rsidRPr="00DC78D2">
              <w:t>National Periodic Test</w:t>
            </w:r>
          </w:p>
        </w:tc>
        <w:tc>
          <w:tcPr>
            <w:tcW w:w="0" w:type="auto"/>
            <w:tcBorders>
              <w:top w:val="single" w:sz="6" w:space="0" w:color="000000"/>
              <w:left w:val="single" w:sz="6" w:space="0" w:color="000000"/>
              <w:bottom w:val="single" w:sz="6" w:space="0" w:color="000000"/>
              <w:right w:val="single" w:sz="6" w:space="0" w:color="000000"/>
            </w:tcBorders>
            <w:hideMark/>
          </w:tcPr>
          <w:p w14:paraId="4A64932F" w14:textId="77777777" w:rsidR="00EF3D34" w:rsidRPr="006E2773" w:rsidRDefault="00EF3D34" w:rsidP="0056218D">
            <w:pPr>
              <w:spacing w:line="480" w:lineRule="auto"/>
              <w:rPr>
                <w:rFonts w:ascii="Calibri" w:hAnsi="Calibri"/>
              </w:rPr>
            </w:pPr>
            <w:r w:rsidRPr="00737AD1">
              <w:t>NPT.</w:t>
            </w:r>
          </w:p>
        </w:tc>
      </w:tr>
      <w:tr w:rsidR="00EF3D34" w:rsidRPr="00737AD1" w14:paraId="0C1C6E0D"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B3EC780" w14:textId="77777777" w:rsidR="00EF3D34" w:rsidRPr="00DC78D2" w:rsidRDefault="00EF3D34" w:rsidP="0056218D">
            <w:pPr>
              <w:spacing w:line="480" w:lineRule="auto"/>
            </w:pPr>
            <w:r w:rsidRPr="00DC78D2">
              <w:t>Required Monthly Test</w:t>
            </w:r>
          </w:p>
        </w:tc>
        <w:tc>
          <w:tcPr>
            <w:tcW w:w="0" w:type="auto"/>
            <w:tcBorders>
              <w:top w:val="single" w:sz="6" w:space="0" w:color="000000"/>
              <w:left w:val="single" w:sz="6" w:space="0" w:color="000000"/>
              <w:bottom w:val="single" w:sz="6" w:space="0" w:color="000000"/>
              <w:right w:val="single" w:sz="6" w:space="0" w:color="000000"/>
            </w:tcBorders>
            <w:hideMark/>
          </w:tcPr>
          <w:p w14:paraId="72784C85" w14:textId="77777777" w:rsidR="00EF3D34" w:rsidRPr="006E2773" w:rsidRDefault="00EF3D34" w:rsidP="0056218D">
            <w:pPr>
              <w:spacing w:line="480" w:lineRule="auto"/>
              <w:rPr>
                <w:rFonts w:ascii="Calibri" w:hAnsi="Calibri"/>
              </w:rPr>
            </w:pPr>
            <w:r w:rsidRPr="00737AD1">
              <w:t>RMT.</w:t>
            </w:r>
          </w:p>
        </w:tc>
      </w:tr>
      <w:tr w:rsidR="00EF3D34" w:rsidRPr="00737AD1" w14:paraId="4F923509"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9B69335" w14:textId="77777777" w:rsidR="00EF3D34" w:rsidRPr="00737AD1" w:rsidRDefault="00EF3D34" w:rsidP="0056218D">
            <w:pPr>
              <w:spacing w:line="480" w:lineRule="auto"/>
            </w:pPr>
            <w:r w:rsidRPr="00DC78D2">
              <w:t>Required Weekly Test</w:t>
            </w:r>
          </w:p>
        </w:tc>
        <w:tc>
          <w:tcPr>
            <w:tcW w:w="0" w:type="auto"/>
            <w:tcBorders>
              <w:top w:val="single" w:sz="6" w:space="0" w:color="000000"/>
              <w:left w:val="single" w:sz="6" w:space="0" w:color="000000"/>
              <w:bottom w:val="single" w:sz="6" w:space="0" w:color="000000"/>
              <w:right w:val="single" w:sz="6" w:space="0" w:color="000000"/>
            </w:tcBorders>
            <w:hideMark/>
          </w:tcPr>
          <w:p w14:paraId="2C3A31B8" w14:textId="77777777" w:rsidR="00EF3D34" w:rsidRPr="006E2773" w:rsidRDefault="00EF3D34" w:rsidP="0056218D">
            <w:pPr>
              <w:spacing w:line="480" w:lineRule="auto"/>
              <w:rPr>
                <w:rFonts w:ascii="Calibri" w:hAnsi="Calibri"/>
              </w:rPr>
            </w:pPr>
            <w:r w:rsidRPr="00737AD1">
              <w:t>RWT.</w:t>
            </w:r>
          </w:p>
        </w:tc>
      </w:tr>
      <w:tr w:rsidR="00EF3D34" w:rsidRPr="00737AD1" w14:paraId="13DAA773"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098844" w14:textId="77777777" w:rsidR="00EF3D34" w:rsidRPr="00DC78D2" w:rsidRDefault="00EF3D34" w:rsidP="0056218D">
            <w:pPr>
              <w:spacing w:line="480" w:lineRule="auto"/>
            </w:pPr>
            <w:r w:rsidRPr="00DC78D2">
              <w:t>State and Local Codes (Optional):</w:t>
            </w:r>
          </w:p>
        </w:tc>
        <w:tc>
          <w:tcPr>
            <w:tcW w:w="0" w:type="auto"/>
            <w:tcBorders>
              <w:top w:val="single" w:sz="6" w:space="0" w:color="000000"/>
              <w:left w:val="single" w:sz="6" w:space="0" w:color="000000"/>
              <w:bottom w:val="single" w:sz="6" w:space="0" w:color="000000"/>
              <w:right w:val="single" w:sz="6" w:space="0" w:color="000000"/>
            </w:tcBorders>
            <w:hideMark/>
          </w:tcPr>
          <w:p w14:paraId="03BD650F" w14:textId="77777777" w:rsidR="00EF3D34" w:rsidRPr="00737AD1" w:rsidRDefault="00EF3D34" w:rsidP="0056218D">
            <w:pPr>
              <w:spacing w:line="480" w:lineRule="auto"/>
            </w:pPr>
          </w:p>
        </w:tc>
      </w:tr>
      <w:tr w:rsidR="00EF3D34" w:rsidRPr="00737AD1" w14:paraId="5CDD50C2"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56A6B1" w14:textId="77777777" w:rsidR="00EF3D34" w:rsidRPr="00DC78D2" w:rsidRDefault="00EF3D34" w:rsidP="0056218D">
            <w:pPr>
              <w:spacing w:line="480" w:lineRule="auto"/>
            </w:pPr>
            <w:r w:rsidRPr="00DC78D2">
              <w:t>Administrative Message</w:t>
            </w:r>
          </w:p>
        </w:tc>
        <w:tc>
          <w:tcPr>
            <w:tcW w:w="0" w:type="auto"/>
            <w:tcBorders>
              <w:top w:val="single" w:sz="6" w:space="0" w:color="000000"/>
              <w:left w:val="single" w:sz="6" w:space="0" w:color="000000"/>
              <w:bottom w:val="single" w:sz="6" w:space="0" w:color="000000"/>
              <w:right w:val="single" w:sz="6" w:space="0" w:color="000000"/>
            </w:tcBorders>
            <w:hideMark/>
          </w:tcPr>
          <w:p w14:paraId="0545ABD2" w14:textId="77777777" w:rsidR="00EF3D34" w:rsidRPr="006E2773" w:rsidRDefault="00EF3D34" w:rsidP="0056218D">
            <w:pPr>
              <w:spacing w:line="480" w:lineRule="auto"/>
              <w:rPr>
                <w:rFonts w:ascii="Calibri" w:hAnsi="Calibri"/>
              </w:rPr>
            </w:pPr>
            <w:r w:rsidRPr="00737AD1">
              <w:t>ADR.</w:t>
            </w:r>
          </w:p>
        </w:tc>
      </w:tr>
      <w:tr w:rsidR="00EF3D34" w:rsidRPr="00737AD1" w14:paraId="604DE1A6"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1700888" w14:textId="77777777" w:rsidR="00EF3D34" w:rsidRPr="00DC78D2" w:rsidRDefault="00EF3D34" w:rsidP="0056218D">
            <w:pPr>
              <w:spacing w:line="480" w:lineRule="auto"/>
            </w:pPr>
            <w:r w:rsidRPr="00DC78D2">
              <w:t>Avalanche Warning</w:t>
            </w:r>
          </w:p>
        </w:tc>
        <w:tc>
          <w:tcPr>
            <w:tcW w:w="0" w:type="auto"/>
            <w:tcBorders>
              <w:top w:val="single" w:sz="6" w:space="0" w:color="000000"/>
              <w:left w:val="single" w:sz="6" w:space="0" w:color="000000"/>
              <w:bottom w:val="single" w:sz="6" w:space="0" w:color="000000"/>
              <w:right w:val="single" w:sz="6" w:space="0" w:color="000000"/>
            </w:tcBorders>
            <w:hideMark/>
          </w:tcPr>
          <w:p w14:paraId="32040C05" w14:textId="77777777" w:rsidR="00EF3D34" w:rsidRPr="006E2773" w:rsidRDefault="00EF3D34" w:rsidP="0056218D">
            <w:pPr>
              <w:spacing w:line="480" w:lineRule="auto"/>
              <w:rPr>
                <w:rFonts w:ascii="Calibri" w:hAnsi="Calibri"/>
              </w:rPr>
            </w:pPr>
            <w:r w:rsidRPr="00737AD1">
              <w:t>AVW.</w:t>
            </w:r>
          </w:p>
        </w:tc>
      </w:tr>
      <w:tr w:rsidR="00EF3D34" w:rsidRPr="00737AD1" w14:paraId="087EA1BF"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6D6823C" w14:textId="77777777" w:rsidR="00EF3D34" w:rsidRPr="00DC78D2" w:rsidRDefault="00EF3D34" w:rsidP="0056218D">
            <w:pPr>
              <w:spacing w:line="480" w:lineRule="auto"/>
            </w:pPr>
            <w:r w:rsidRPr="00DC78D2">
              <w:t>Avalanche Watch</w:t>
            </w:r>
          </w:p>
        </w:tc>
        <w:tc>
          <w:tcPr>
            <w:tcW w:w="0" w:type="auto"/>
            <w:tcBorders>
              <w:top w:val="single" w:sz="6" w:space="0" w:color="000000"/>
              <w:left w:val="single" w:sz="6" w:space="0" w:color="000000"/>
              <w:bottom w:val="single" w:sz="6" w:space="0" w:color="000000"/>
              <w:right w:val="single" w:sz="6" w:space="0" w:color="000000"/>
            </w:tcBorders>
            <w:hideMark/>
          </w:tcPr>
          <w:p w14:paraId="0E4F04FA" w14:textId="77777777" w:rsidR="00EF3D34" w:rsidRPr="006E2773" w:rsidRDefault="00EF3D34" w:rsidP="0056218D">
            <w:pPr>
              <w:spacing w:line="480" w:lineRule="auto"/>
              <w:rPr>
                <w:rFonts w:ascii="Calibri" w:hAnsi="Calibri"/>
              </w:rPr>
            </w:pPr>
            <w:r w:rsidRPr="00737AD1">
              <w:t>AVA.</w:t>
            </w:r>
          </w:p>
        </w:tc>
      </w:tr>
      <w:tr w:rsidR="00EF3D34" w:rsidRPr="00737AD1" w14:paraId="0CAC1C7D"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D0FD554" w14:textId="77777777" w:rsidR="00EF3D34" w:rsidRPr="00DC78D2" w:rsidRDefault="00EF3D34" w:rsidP="0056218D">
            <w:pPr>
              <w:spacing w:line="480" w:lineRule="auto"/>
            </w:pPr>
            <w:r w:rsidRPr="00DC78D2">
              <w:t>Blizzard Warning</w:t>
            </w:r>
          </w:p>
        </w:tc>
        <w:tc>
          <w:tcPr>
            <w:tcW w:w="0" w:type="auto"/>
            <w:tcBorders>
              <w:top w:val="single" w:sz="6" w:space="0" w:color="000000"/>
              <w:left w:val="single" w:sz="6" w:space="0" w:color="000000"/>
              <w:bottom w:val="single" w:sz="6" w:space="0" w:color="000000"/>
              <w:right w:val="single" w:sz="6" w:space="0" w:color="000000"/>
            </w:tcBorders>
            <w:hideMark/>
          </w:tcPr>
          <w:p w14:paraId="6377F984" w14:textId="77777777" w:rsidR="00EF3D34" w:rsidRPr="006E2773" w:rsidRDefault="00EF3D34" w:rsidP="0056218D">
            <w:pPr>
              <w:spacing w:line="480" w:lineRule="auto"/>
              <w:rPr>
                <w:rFonts w:ascii="Calibri" w:hAnsi="Calibri"/>
              </w:rPr>
            </w:pPr>
            <w:r w:rsidRPr="00737AD1">
              <w:t>BZW.</w:t>
            </w:r>
          </w:p>
        </w:tc>
      </w:tr>
      <w:tr w:rsidR="00EF3D34" w:rsidRPr="00737AD1" w14:paraId="4F5114FA"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tcPr>
          <w:p w14:paraId="41CDB197" w14:textId="77777777" w:rsidR="00EF3D34" w:rsidRPr="00D26D29" w:rsidRDefault="00EF3D34" w:rsidP="0056218D">
            <w:pPr>
              <w:spacing w:line="480" w:lineRule="auto"/>
            </w:pPr>
            <w:r w:rsidRPr="00D26D29">
              <w:t>Blue Alert</w:t>
            </w:r>
          </w:p>
        </w:tc>
        <w:tc>
          <w:tcPr>
            <w:tcW w:w="0" w:type="auto"/>
            <w:tcBorders>
              <w:top w:val="single" w:sz="6" w:space="0" w:color="000000"/>
              <w:left w:val="single" w:sz="6" w:space="0" w:color="000000"/>
              <w:bottom w:val="single" w:sz="6" w:space="0" w:color="000000"/>
              <w:right w:val="single" w:sz="6" w:space="0" w:color="000000"/>
            </w:tcBorders>
          </w:tcPr>
          <w:p w14:paraId="0B22C0F4" w14:textId="77777777" w:rsidR="00EF3D34" w:rsidRPr="00D26D29" w:rsidRDefault="00EF3D34" w:rsidP="0056218D">
            <w:pPr>
              <w:spacing w:line="480" w:lineRule="auto"/>
              <w:rPr>
                <w:rFonts w:ascii="Calibri" w:hAnsi="Calibri"/>
              </w:rPr>
            </w:pPr>
            <w:r w:rsidRPr="00D26D29">
              <w:t>BLU</w:t>
            </w:r>
            <w:r w:rsidR="0001132D" w:rsidRPr="00D26D29">
              <w:t>.</w:t>
            </w:r>
          </w:p>
        </w:tc>
      </w:tr>
      <w:tr w:rsidR="00EF3D34" w:rsidRPr="00737AD1" w14:paraId="60C63DF5"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49E8778" w14:textId="77777777" w:rsidR="00EF3D34" w:rsidRPr="00DC78D2" w:rsidRDefault="00EF3D34" w:rsidP="0056218D">
            <w:pPr>
              <w:spacing w:line="480" w:lineRule="auto"/>
            </w:pPr>
            <w:r w:rsidRPr="00DC78D2">
              <w:t>Child Abduction Emergency</w:t>
            </w:r>
          </w:p>
        </w:tc>
        <w:tc>
          <w:tcPr>
            <w:tcW w:w="0" w:type="auto"/>
            <w:tcBorders>
              <w:top w:val="single" w:sz="6" w:space="0" w:color="000000"/>
              <w:left w:val="single" w:sz="6" w:space="0" w:color="000000"/>
              <w:bottom w:val="single" w:sz="6" w:space="0" w:color="000000"/>
              <w:right w:val="single" w:sz="6" w:space="0" w:color="000000"/>
            </w:tcBorders>
            <w:hideMark/>
          </w:tcPr>
          <w:p w14:paraId="00BFFFD5" w14:textId="77777777" w:rsidR="00EF3D34" w:rsidRPr="006E2773" w:rsidRDefault="00EF3D34" w:rsidP="0056218D">
            <w:pPr>
              <w:spacing w:line="480" w:lineRule="auto"/>
              <w:rPr>
                <w:rFonts w:ascii="Calibri" w:hAnsi="Calibri"/>
              </w:rPr>
            </w:pPr>
            <w:r w:rsidRPr="00737AD1">
              <w:t>CAE.</w:t>
            </w:r>
          </w:p>
        </w:tc>
      </w:tr>
      <w:tr w:rsidR="00EF3D34" w:rsidRPr="00737AD1" w14:paraId="7F381E8B"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043C6F5" w14:textId="77777777" w:rsidR="00EF3D34" w:rsidRPr="00DC78D2" w:rsidRDefault="00EF3D34" w:rsidP="0056218D">
            <w:pPr>
              <w:spacing w:line="480" w:lineRule="auto"/>
            </w:pPr>
            <w:r w:rsidRPr="00DC78D2">
              <w:t>Civil Danger Warning</w:t>
            </w:r>
          </w:p>
        </w:tc>
        <w:tc>
          <w:tcPr>
            <w:tcW w:w="0" w:type="auto"/>
            <w:tcBorders>
              <w:top w:val="single" w:sz="6" w:space="0" w:color="000000"/>
              <w:left w:val="single" w:sz="6" w:space="0" w:color="000000"/>
              <w:bottom w:val="single" w:sz="6" w:space="0" w:color="000000"/>
              <w:right w:val="single" w:sz="6" w:space="0" w:color="000000"/>
            </w:tcBorders>
            <w:hideMark/>
          </w:tcPr>
          <w:p w14:paraId="333479F9" w14:textId="77777777" w:rsidR="00EF3D34" w:rsidRPr="006E2773" w:rsidRDefault="00EF3D34" w:rsidP="0056218D">
            <w:pPr>
              <w:spacing w:line="480" w:lineRule="auto"/>
              <w:rPr>
                <w:rFonts w:ascii="Calibri" w:hAnsi="Calibri"/>
              </w:rPr>
            </w:pPr>
            <w:r w:rsidRPr="00737AD1">
              <w:t>CDW.</w:t>
            </w:r>
          </w:p>
        </w:tc>
      </w:tr>
      <w:tr w:rsidR="00EF3D34" w:rsidRPr="00737AD1" w14:paraId="6562160E"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6F8B994" w14:textId="77777777" w:rsidR="00EF3D34" w:rsidRPr="00DC78D2" w:rsidRDefault="00EF3D34" w:rsidP="0056218D">
            <w:pPr>
              <w:spacing w:line="480" w:lineRule="auto"/>
            </w:pPr>
            <w:r w:rsidRPr="00DC78D2">
              <w:t>Civil Emergency Message</w:t>
            </w:r>
          </w:p>
        </w:tc>
        <w:tc>
          <w:tcPr>
            <w:tcW w:w="0" w:type="auto"/>
            <w:tcBorders>
              <w:top w:val="single" w:sz="6" w:space="0" w:color="000000"/>
              <w:left w:val="single" w:sz="6" w:space="0" w:color="000000"/>
              <w:bottom w:val="single" w:sz="6" w:space="0" w:color="000000"/>
              <w:right w:val="single" w:sz="6" w:space="0" w:color="000000"/>
            </w:tcBorders>
            <w:hideMark/>
          </w:tcPr>
          <w:p w14:paraId="2EF418A4" w14:textId="77777777" w:rsidR="00EF3D34" w:rsidRPr="006E2773" w:rsidRDefault="00EF3D34" w:rsidP="0056218D">
            <w:pPr>
              <w:spacing w:line="480" w:lineRule="auto"/>
              <w:rPr>
                <w:rFonts w:ascii="Calibri" w:hAnsi="Calibri"/>
              </w:rPr>
            </w:pPr>
            <w:r w:rsidRPr="00737AD1">
              <w:t>CEM.</w:t>
            </w:r>
          </w:p>
        </w:tc>
      </w:tr>
      <w:tr w:rsidR="00EF3D34" w:rsidRPr="00737AD1" w14:paraId="3568552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F5060D" w14:textId="77777777" w:rsidR="00EF3D34" w:rsidRPr="00DC78D2" w:rsidRDefault="00EF3D34" w:rsidP="0056218D">
            <w:pPr>
              <w:spacing w:line="480" w:lineRule="auto"/>
            </w:pPr>
            <w:r w:rsidRPr="00DC78D2">
              <w:t>Coastal Flood Warning</w:t>
            </w:r>
          </w:p>
        </w:tc>
        <w:tc>
          <w:tcPr>
            <w:tcW w:w="0" w:type="auto"/>
            <w:tcBorders>
              <w:top w:val="single" w:sz="6" w:space="0" w:color="000000"/>
              <w:left w:val="single" w:sz="6" w:space="0" w:color="000000"/>
              <w:bottom w:val="single" w:sz="6" w:space="0" w:color="000000"/>
              <w:right w:val="single" w:sz="6" w:space="0" w:color="000000"/>
            </w:tcBorders>
            <w:hideMark/>
          </w:tcPr>
          <w:p w14:paraId="18F6214D" w14:textId="77777777" w:rsidR="00EF3D34" w:rsidRPr="006E2773" w:rsidRDefault="00EF3D34" w:rsidP="0056218D">
            <w:pPr>
              <w:spacing w:line="480" w:lineRule="auto"/>
              <w:rPr>
                <w:rFonts w:ascii="Calibri" w:hAnsi="Calibri"/>
              </w:rPr>
            </w:pPr>
            <w:r w:rsidRPr="00737AD1">
              <w:t>CFW.</w:t>
            </w:r>
          </w:p>
        </w:tc>
      </w:tr>
      <w:tr w:rsidR="00EF3D34" w:rsidRPr="00737AD1" w14:paraId="75C8C01A"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967168" w14:textId="77777777" w:rsidR="00EF3D34" w:rsidRPr="00DC78D2" w:rsidRDefault="00EF3D34" w:rsidP="0056218D">
            <w:pPr>
              <w:spacing w:line="480" w:lineRule="auto"/>
            </w:pPr>
            <w:r w:rsidRPr="00DC78D2">
              <w:t>Coastal Flood Watch</w:t>
            </w:r>
          </w:p>
        </w:tc>
        <w:tc>
          <w:tcPr>
            <w:tcW w:w="0" w:type="auto"/>
            <w:tcBorders>
              <w:top w:val="single" w:sz="6" w:space="0" w:color="000000"/>
              <w:left w:val="single" w:sz="6" w:space="0" w:color="000000"/>
              <w:bottom w:val="single" w:sz="6" w:space="0" w:color="000000"/>
              <w:right w:val="single" w:sz="6" w:space="0" w:color="000000"/>
            </w:tcBorders>
            <w:hideMark/>
          </w:tcPr>
          <w:p w14:paraId="6C89993E" w14:textId="77777777" w:rsidR="00EF3D34" w:rsidRPr="006E2773" w:rsidRDefault="00EF3D34" w:rsidP="0056218D">
            <w:pPr>
              <w:spacing w:line="480" w:lineRule="auto"/>
              <w:rPr>
                <w:rFonts w:ascii="Calibri" w:hAnsi="Calibri"/>
              </w:rPr>
            </w:pPr>
            <w:r w:rsidRPr="00737AD1">
              <w:t>CFA.</w:t>
            </w:r>
          </w:p>
        </w:tc>
      </w:tr>
      <w:tr w:rsidR="00EF3D34" w:rsidRPr="00737AD1" w14:paraId="2EADFE6E"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17EAAE5" w14:textId="77777777" w:rsidR="00EF3D34" w:rsidRPr="00DC78D2" w:rsidRDefault="00EF3D34" w:rsidP="0056218D">
            <w:pPr>
              <w:spacing w:line="480" w:lineRule="auto"/>
            </w:pPr>
            <w:r w:rsidRPr="00DC78D2">
              <w:t>Dust Storm Warning</w:t>
            </w:r>
          </w:p>
        </w:tc>
        <w:tc>
          <w:tcPr>
            <w:tcW w:w="0" w:type="auto"/>
            <w:tcBorders>
              <w:top w:val="single" w:sz="6" w:space="0" w:color="000000"/>
              <w:left w:val="single" w:sz="6" w:space="0" w:color="000000"/>
              <w:bottom w:val="single" w:sz="6" w:space="0" w:color="000000"/>
              <w:right w:val="single" w:sz="6" w:space="0" w:color="000000"/>
            </w:tcBorders>
            <w:hideMark/>
          </w:tcPr>
          <w:p w14:paraId="636ED9FF" w14:textId="77777777" w:rsidR="00EF3D34" w:rsidRPr="006E2773" w:rsidRDefault="00EF3D34" w:rsidP="0056218D">
            <w:pPr>
              <w:spacing w:line="480" w:lineRule="auto"/>
              <w:rPr>
                <w:rFonts w:ascii="Calibri" w:hAnsi="Calibri"/>
              </w:rPr>
            </w:pPr>
            <w:r w:rsidRPr="00737AD1">
              <w:t>DSW.</w:t>
            </w:r>
          </w:p>
        </w:tc>
      </w:tr>
      <w:tr w:rsidR="00EF3D34" w:rsidRPr="00737AD1" w14:paraId="40AC5A81"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067FED" w14:textId="77777777" w:rsidR="00EF3D34" w:rsidRPr="00DC78D2" w:rsidRDefault="00EF3D34" w:rsidP="0056218D">
            <w:pPr>
              <w:spacing w:line="480" w:lineRule="auto"/>
            </w:pPr>
            <w:r w:rsidRPr="00DC78D2">
              <w:t>Earthquake Warning</w:t>
            </w:r>
          </w:p>
        </w:tc>
        <w:tc>
          <w:tcPr>
            <w:tcW w:w="0" w:type="auto"/>
            <w:tcBorders>
              <w:top w:val="single" w:sz="6" w:space="0" w:color="000000"/>
              <w:left w:val="single" w:sz="6" w:space="0" w:color="000000"/>
              <w:bottom w:val="single" w:sz="6" w:space="0" w:color="000000"/>
              <w:right w:val="single" w:sz="6" w:space="0" w:color="000000"/>
            </w:tcBorders>
            <w:hideMark/>
          </w:tcPr>
          <w:p w14:paraId="68668940" w14:textId="77777777" w:rsidR="00EF3D34" w:rsidRPr="006E2773" w:rsidRDefault="00EF3D34" w:rsidP="0056218D">
            <w:pPr>
              <w:spacing w:line="480" w:lineRule="auto"/>
              <w:rPr>
                <w:rFonts w:ascii="Calibri" w:hAnsi="Calibri"/>
              </w:rPr>
            </w:pPr>
            <w:r w:rsidRPr="00737AD1">
              <w:t>EQW.</w:t>
            </w:r>
          </w:p>
        </w:tc>
      </w:tr>
      <w:tr w:rsidR="00EF3D34" w:rsidRPr="00737AD1" w14:paraId="0FA18499"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18E32D" w14:textId="77777777" w:rsidR="00EF3D34" w:rsidRPr="00DC78D2" w:rsidRDefault="00EF3D34" w:rsidP="0056218D">
            <w:pPr>
              <w:spacing w:line="480" w:lineRule="auto"/>
            </w:pPr>
            <w:r w:rsidRPr="00DC78D2">
              <w:t>Evacuation Immediate</w:t>
            </w:r>
          </w:p>
        </w:tc>
        <w:tc>
          <w:tcPr>
            <w:tcW w:w="0" w:type="auto"/>
            <w:tcBorders>
              <w:top w:val="single" w:sz="6" w:space="0" w:color="000000"/>
              <w:left w:val="single" w:sz="6" w:space="0" w:color="000000"/>
              <w:bottom w:val="single" w:sz="6" w:space="0" w:color="000000"/>
              <w:right w:val="single" w:sz="6" w:space="0" w:color="000000"/>
            </w:tcBorders>
            <w:hideMark/>
          </w:tcPr>
          <w:p w14:paraId="68D006CB" w14:textId="77777777" w:rsidR="00EF3D34" w:rsidRPr="006E2773" w:rsidRDefault="00EF3D34" w:rsidP="0056218D">
            <w:pPr>
              <w:spacing w:line="480" w:lineRule="auto"/>
              <w:rPr>
                <w:rFonts w:ascii="Calibri" w:hAnsi="Calibri"/>
              </w:rPr>
            </w:pPr>
            <w:r w:rsidRPr="00737AD1">
              <w:t>EVI.</w:t>
            </w:r>
          </w:p>
        </w:tc>
      </w:tr>
      <w:tr w:rsidR="00EF3D34" w:rsidRPr="00737AD1" w14:paraId="7FEECB8E" w14:textId="77777777" w:rsidTr="0056218D">
        <w:trPr>
          <w:trHeight w:val="315"/>
          <w:jc w:val="center"/>
        </w:trPr>
        <w:tc>
          <w:tcPr>
            <w:tcW w:w="0" w:type="auto"/>
            <w:tcBorders>
              <w:top w:val="single" w:sz="6" w:space="0" w:color="000000"/>
              <w:left w:val="single" w:sz="6" w:space="0" w:color="000000"/>
              <w:bottom w:val="single" w:sz="6" w:space="0" w:color="000000"/>
              <w:right w:val="single" w:sz="6" w:space="0" w:color="000000"/>
            </w:tcBorders>
          </w:tcPr>
          <w:p w14:paraId="426895CF" w14:textId="77777777" w:rsidR="00EF3D34" w:rsidRPr="00DC78D2" w:rsidRDefault="00EF3D34" w:rsidP="0056218D">
            <w:r w:rsidRPr="00DC78D2">
              <w:t>Extreme Wind Warning</w:t>
            </w:r>
          </w:p>
        </w:tc>
        <w:tc>
          <w:tcPr>
            <w:tcW w:w="0" w:type="auto"/>
            <w:tcBorders>
              <w:top w:val="single" w:sz="6" w:space="0" w:color="000000"/>
              <w:left w:val="single" w:sz="6" w:space="0" w:color="000000"/>
              <w:bottom w:val="single" w:sz="6" w:space="0" w:color="000000"/>
              <w:right w:val="single" w:sz="6" w:space="0" w:color="000000"/>
            </w:tcBorders>
          </w:tcPr>
          <w:p w14:paraId="4147F0D4" w14:textId="77777777" w:rsidR="00EF3D34" w:rsidRPr="006E2773" w:rsidRDefault="00EF3D34" w:rsidP="0056218D">
            <w:pPr>
              <w:rPr>
                <w:rFonts w:ascii="Calibri" w:hAnsi="Calibri"/>
              </w:rPr>
            </w:pPr>
            <w:r w:rsidRPr="00737AD1">
              <w:t>EWW.</w:t>
            </w:r>
          </w:p>
        </w:tc>
      </w:tr>
      <w:tr w:rsidR="00EF3D34" w:rsidRPr="00737AD1" w14:paraId="18DB54B3"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703FEED" w14:textId="77777777" w:rsidR="00EF3D34" w:rsidRPr="00DC78D2" w:rsidRDefault="00EF3D34" w:rsidP="0056218D">
            <w:pPr>
              <w:spacing w:line="480" w:lineRule="auto"/>
            </w:pPr>
            <w:r w:rsidRPr="00DC78D2">
              <w:t>Fire Warning</w:t>
            </w:r>
          </w:p>
        </w:tc>
        <w:tc>
          <w:tcPr>
            <w:tcW w:w="0" w:type="auto"/>
            <w:tcBorders>
              <w:top w:val="single" w:sz="6" w:space="0" w:color="000000"/>
              <w:left w:val="single" w:sz="6" w:space="0" w:color="000000"/>
              <w:bottom w:val="single" w:sz="6" w:space="0" w:color="000000"/>
              <w:right w:val="single" w:sz="6" w:space="0" w:color="000000"/>
            </w:tcBorders>
            <w:hideMark/>
          </w:tcPr>
          <w:p w14:paraId="3F5772C9" w14:textId="77777777" w:rsidR="00EF3D34" w:rsidRPr="006E2773" w:rsidRDefault="00EF3D34" w:rsidP="0056218D">
            <w:pPr>
              <w:spacing w:line="480" w:lineRule="auto"/>
              <w:rPr>
                <w:rFonts w:ascii="Calibri" w:hAnsi="Calibri"/>
              </w:rPr>
            </w:pPr>
            <w:r w:rsidRPr="00737AD1">
              <w:t>FRW.</w:t>
            </w:r>
          </w:p>
        </w:tc>
      </w:tr>
      <w:tr w:rsidR="00EF3D34" w:rsidRPr="00737AD1" w14:paraId="13AED394"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14D1C0A" w14:textId="77777777" w:rsidR="00EF3D34" w:rsidRPr="00DC78D2" w:rsidRDefault="00EF3D34" w:rsidP="0056218D">
            <w:pPr>
              <w:spacing w:line="480" w:lineRule="auto"/>
            </w:pPr>
            <w:r w:rsidRPr="00DC78D2">
              <w:t>Flash Flood Warning</w:t>
            </w:r>
          </w:p>
        </w:tc>
        <w:tc>
          <w:tcPr>
            <w:tcW w:w="0" w:type="auto"/>
            <w:tcBorders>
              <w:top w:val="single" w:sz="6" w:space="0" w:color="000000"/>
              <w:left w:val="single" w:sz="6" w:space="0" w:color="000000"/>
              <w:bottom w:val="single" w:sz="6" w:space="0" w:color="000000"/>
              <w:right w:val="single" w:sz="6" w:space="0" w:color="000000"/>
            </w:tcBorders>
            <w:hideMark/>
          </w:tcPr>
          <w:p w14:paraId="76396A45" w14:textId="77777777" w:rsidR="00EF3D34" w:rsidRPr="006E2773" w:rsidRDefault="00EF3D34" w:rsidP="0056218D">
            <w:pPr>
              <w:spacing w:line="480" w:lineRule="auto"/>
              <w:rPr>
                <w:rFonts w:ascii="Calibri" w:hAnsi="Calibri"/>
              </w:rPr>
            </w:pPr>
            <w:r w:rsidRPr="00737AD1">
              <w:t>FFW.</w:t>
            </w:r>
          </w:p>
        </w:tc>
      </w:tr>
      <w:tr w:rsidR="00EF3D34" w:rsidRPr="00737AD1" w14:paraId="15D2FC6E"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4F787A5" w14:textId="77777777" w:rsidR="00EF3D34" w:rsidRPr="00DC78D2" w:rsidRDefault="00EF3D34" w:rsidP="0056218D">
            <w:pPr>
              <w:spacing w:line="480" w:lineRule="auto"/>
            </w:pPr>
            <w:r w:rsidRPr="00DC78D2">
              <w:t>Flash Flood Watch</w:t>
            </w:r>
          </w:p>
        </w:tc>
        <w:tc>
          <w:tcPr>
            <w:tcW w:w="0" w:type="auto"/>
            <w:tcBorders>
              <w:top w:val="single" w:sz="6" w:space="0" w:color="000000"/>
              <w:left w:val="single" w:sz="6" w:space="0" w:color="000000"/>
              <w:bottom w:val="single" w:sz="6" w:space="0" w:color="000000"/>
              <w:right w:val="single" w:sz="6" w:space="0" w:color="000000"/>
            </w:tcBorders>
            <w:hideMark/>
          </w:tcPr>
          <w:p w14:paraId="171B853C" w14:textId="77777777" w:rsidR="00EF3D34" w:rsidRPr="006E2773" w:rsidRDefault="00EF3D34" w:rsidP="0056218D">
            <w:pPr>
              <w:spacing w:line="480" w:lineRule="auto"/>
              <w:rPr>
                <w:rFonts w:ascii="Calibri" w:hAnsi="Calibri"/>
              </w:rPr>
            </w:pPr>
            <w:r w:rsidRPr="00737AD1">
              <w:t>FFA.</w:t>
            </w:r>
          </w:p>
        </w:tc>
      </w:tr>
      <w:tr w:rsidR="00EF3D34" w:rsidRPr="00737AD1" w14:paraId="4384872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A2AD330" w14:textId="77777777" w:rsidR="00EF3D34" w:rsidRPr="00DC78D2" w:rsidRDefault="00EF3D34" w:rsidP="0056218D">
            <w:pPr>
              <w:spacing w:line="480" w:lineRule="auto"/>
            </w:pPr>
            <w:r w:rsidRPr="00DC78D2">
              <w:t>Flash Flood Statement</w:t>
            </w:r>
          </w:p>
        </w:tc>
        <w:tc>
          <w:tcPr>
            <w:tcW w:w="0" w:type="auto"/>
            <w:tcBorders>
              <w:top w:val="single" w:sz="6" w:space="0" w:color="000000"/>
              <w:left w:val="single" w:sz="6" w:space="0" w:color="000000"/>
              <w:bottom w:val="single" w:sz="6" w:space="0" w:color="000000"/>
              <w:right w:val="single" w:sz="6" w:space="0" w:color="000000"/>
            </w:tcBorders>
            <w:hideMark/>
          </w:tcPr>
          <w:p w14:paraId="37F4C05D" w14:textId="77777777" w:rsidR="00EF3D34" w:rsidRPr="006E2773" w:rsidRDefault="00EF3D34" w:rsidP="0056218D">
            <w:pPr>
              <w:spacing w:line="480" w:lineRule="auto"/>
              <w:rPr>
                <w:rFonts w:ascii="Calibri" w:hAnsi="Calibri"/>
              </w:rPr>
            </w:pPr>
            <w:r w:rsidRPr="00737AD1">
              <w:t>FFS.</w:t>
            </w:r>
          </w:p>
        </w:tc>
      </w:tr>
      <w:tr w:rsidR="00EF3D34" w:rsidRPr="00737AD1" w14:paraId="35529509"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E41B510" w14:textId="77777777" w:rsidR="00EF3D34" w:rsidRPr="00DC78D2" w:rsidRDefault="00EF3D34" w:rsidP="0056218D">
            <w:pPr>
              <w:spacing w:line="480" w:lineRule="auto"/>
            </w:pPr>
            <w:r w:rsidRPr="00DC78D2">
              <w:t>Flood Warning</w:t>
            </w:r>
          </w:p>
        </w:tc>
        <w:tc>
          <w:tcPr>
            <w:tcW w:w="0" w:type="auto"/>
            <w:tcBorders>
              <w:top w:val="single" w:sz="6" w:space="0" w:color="000000"/>
              <w:left w:val="single" w:sz="6" w:space="0" w:color="000000"/>
              <w:bottom w:val="single" w:sz="6" w:space="0" w:color="000000"/>
              <w:right w:val="single" w:sz="6" w:space="0" w:color="000000"/>
            </w:tcBorders>
            <w:hideMark/>
          </w:tcPr>
          <w:p w14:paraId="49CC151B" w14:textId="77777777" w:rsidR="00EF3D34" w:rsidRPr="006E2773" w:rsidRDefault="00EF3D34" w:rsidP="0056218D">
            <w:pPr>
              <w:spacing w:line="480" w:lineRule="auto"/>
              <w:rPr>
                <w:rFonts w:ascii="Calibri" w:hAnsi="Calibri"/>
              </w:rPr>
            </w:pPr>
            <w:r w:rsidRPr="00737AD1">
              <w:t>FLW.</w:t>
            </w:r>
          </w:p>
        </w:tc>
      </w:tr>
      <w:tr w:rsidR="00EF3D34" w:rsidRPr="00737AD1" w14:paraId="1609B3C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C2C4726" w14:textId="77777777" w:rsidR="00EF3D34" w:rsidRPr="00DC78D2" w:rsidRDefault="00EF3D34" w:rsidP="0056218D">
            <w:pPr>
              <w:spacing w:line="480" w:lineRule="auto"/>
            </w:pPr>
            <w:r w:rsidRPr="00DC78D2">
              <w:t>Flood Watch</w:t>
            </w:r>
          </w:p>
        </w:tc>
        <w:tc>
          <w:tcPr>
            <w:tcW w:w="0" w:type="auto"/>
            <w:tcBorders>
              <w:top w:val="single" w:sz="6" w:space="0" w:color="000000"/>
              <w:left w:val="single" w:sz="6" w:space="0" w:color="000000"/>
              <w:bottom w:val="single" w:sz="6" w:space="0" w:color="000000"/>
              <w:right w:val="single" w:sz="6" w:space="0" w:color="000000"/>
            </w:tcBorders>
            <w:hideMark/>
          </w:tcPr>
          <w:p w14:paraId="09B23E39" w14:textId="77777777" w:rsidR="00EF3D34" w:rsidRPr="006E2773" w:rsidRDefault="00EF3D34" w:rsidP="0056218D">
            <w:pPr>
              <w:spacing w:line="480" w:lineRule="auto"/>
              <w:rPr>
                <w:rFonts w:ascii="Calibri" w:hAnsi="Calibri"/>
              </w:rPr>
            </w:pPr>
            <w:r w:rsidRPr="00737AD1">
              <w:t>FLA.</w:t>
            </w:r>
          </w:p>
        </w:tc>
      </w:tr>
      <w:tr w:rsidR="00EF3D34" w:rsidRPr="00737AD1" w14:paraId="7A172C1C"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D428D12" w14:textId="77777777" w:rsidR="00EF3D34" w:rsidRPr="00DC78D2" w:rsidRDefault="00EF3D34" w:rsidP="0056218D">
            <w:pPr>
              <w:spacing w:line="480" w:lineRule="auto"/>
            </w:pPr>
            <w:r w:rsidRPr="00DC78D2">
              <w:t>Flood Statement</w:t>
            </w:r>
          </w:p>
        </w:tc>
        <w:tc>
          <w:tcPr>
            <w:tcW w:w="0" w:type="auto"/>
            <w:tcBorders>
              <w:top w:val="single" w:sz="6" w:space="0" w:color="000000"/>
              <w:left w:val="single" w:sz="6" w:space="0" w:color="000000"/>
              <w:bottom w:val="single" w:sz="6" w:space="0" w:color="000000"/>
              <w:right w:val="single" w:sz="6" w:space="0" w:color="000000"/>
            </w:tcBorders>
            <w:hideMark/>
          </w:tcPr>
          <w:p w14:paraId="4D2AB2B8" w14:textId="77777777" w:rsidR="00EF3D34" w:rsidRPr="006E2773" w:rsidRDefault="00EF3D34" w:rsidP="0056218D">
            <w:pPr>
              <w:spacing w:line="480" w:lineRule="auto"/>
              <w:rPr>
                <w:rFonts w:ascii="Calibri" w:hAnsi="Calibri"/>
              </w:rPr>
            </w:pPr>
            <w:r w:rsidRPr="00737AD1">
              <w:t>FLS.</w:t>
            </w:r>
          </w:p>
        </w:tc>
      </w:tr>
      <w:tr w:rsidR="00EF3D34" w:rsidRPr="00737AD1" w14:paraId="57D7FF02"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6042442" w14:textId="77777777" w:rsidR="00EF3D34" w:rsidRPr="00DC78D2" w:rsidRDefault="00EF3D34" w:rsidP="0056218D">
            <w:pPr>
              <w:spacing w:line="480" w:lineRule="auto"/>
            </w:pPr>
            <w:r w:rsidRPr="00DC78D2">
              <w:t>Hazardous Materials Warning</w:t>
            </w:r>
          </w:p>
        </w:tc>
        <w:tc>
          <w:tcPr>
            <w:tcW w:w="0" w:type="auto"/>
            <w:tcBorders>
              <w:top w:val="single" w:sz="6" w:space="0" w:color="000000"/>
              <w:left w:val="single" w:sz="6" w:space="0" w:color="000000"/>
              <w:bottom w:val="single" w:sz="6" w:space="0" w:color="000000"/>
              <w:right w:val="single" w:sz="6" w:space="0" w:color="000000"/>
            </w:tcBorders>
            <w:hideMark/>
          </w:tcPr>
          <w:p w14:paraId="47EFDC01" w14:textId="77777777" w:rsidR="00EF3D34" w:rsidRPr="006E2773" w:rsidRDefault="00EF3D34" w:rsidP="0056218D">
            <w:pPr>
              <w:spacing w:line="480" w:lineRule="auto"/>
              <w:rPr>
                <w:rFonts w:ascii="Calibri" w:hAnsi="Calibri"/>
              </w:rPr>
            </w:pPr>
            <w:r w:rsidRPr="00737AD1">
              <w:t>HMW.</w:t>
            </w:r>
          </w:p>
        </w:tc>
      </w:tr>
      <w:tr w:rsidR="00EF3D34" w:rsidRPr="00737AD1" w14:paraId="189C1B83"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45ED81B" w14:textId="77777777" w:rsidR="00EF3D34" w:rsidRPr="00DC78D2" w:rsidRDefault="00EF3D34" w:rsidP="0056218D">
            <w:pPr>
              <w:spacing w:line="480" w:lineRule="auto"/>
            </w:pPr>
            <w:r w:rsidRPr="00DC78D2">
              <w:t>High Wind Warning</w:t>
            </w:r>
          </w:p>
        </w:tc>
        <w:tc>
          <w:tcPr>
            <w:tcW w:w="0" w:type="auto"/>
            <w:tcBorders>
              <w:top w:val="single" w:sz="6" w:space="0" w:color="000000"/>
              <w:left w:val="single" w:sz="6" w:space="0" w:color="000000"/>
              <w:bottom w:val="single" w:sz="6" w:space="0" w:color="000000"/>
              <w:right w:val="single" w:sz="6" w:space="0" w:color="000000"/>
            </w:tcBorders>
            <w:hideMark/>
          </w:tcPr>
          <w:p w14:paraId="15953843" w14:textId="77777777" w:rsidR="00EF3D34" w:rsidRPr="006E2773" w:rsidRDefault="00EF3D34" w:rsidP="0056218D">
            <w:pPr>
              <w:spacing w:line="480" w:lineRule="auto"/>
              <w:rPr>
                <w:rFonts w:ascii="Calibri" w:hAnsi="Calibri"/>
              </w:rPr>
            </w:pPr>
            <w:r w:rsidRPr="00737AD1">
              <w:t>HWW.</w:t>
            </w:r>
          </w:p>
        </w:tc>
      </w:tr>
      <w:tr w:rsidR="00EF3D34" w:rsidRPr="00737AD1" w14:paraId="042FC019"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D83AC5" w14:textId="77777777" w:rsidR="00EF3D34" w:rsidRPr="00DC78D2" w:rsidRDefault="00EF3D34" w:rsidP="0056218D">
            <w:pPr>
              <w:spacing w:line="480" w:lineRule="auto"/>
            </w:pPr>
            <w:r w:rsidRPr="00DC78D2">
              <w:t>High Wind Watch</w:t>
            </w:r>
          </w:p>
        </w:tc>
        <w:tc>
          <w:tcPr>
            <w:tcW w:w="0" w:type="auto"/>
            <w:tcBorders>
              <w:top w:val="single" w:sz="6" w:space="0" w:color="000000"/>
              <w:left w:val="single" w:sz="6" w:space="0" w:color="000000"/>
              <w:bottom w:val="single" w:sz="6" w:space="0" w:color="000000"/>
              <w:right w:val="single" w:sz="6" w:space="0" w:color="000000"/>
            </w:tcBorders>
            <w:hideMark/>
          </w:tcPr>
          <w:p w14:paraId="7D536AA9" w14:textId="77777777" w:rsidR="00EF3D34" w:rsidRPr="006E2773" w:rsidRDefault="00EF3D34" w:rsidP="0056218D">
            <w:pPr>
              <w:spacing w:line="480" w:lineRule="auto"/>
              <w:rPr>
                <w:rFonts w:ascii="Calibri" w:hAnsi="Calibri"/>
              </w:rPr>
            </w:pPr>
            <w:r w:rsidRPr="00737AD1">
              <w:t>HWA.</w:t>
            </w:r>
          </w:p>
        </w:tc>
      </w:tr>
      <w:tr w:rsidR="00EF3D34" w:rsidRPr="00737AD1" w14:paraId="50890565"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6E9255F" w14:textId="77777777" w:rsidR="00EF3D34" w:rsidRPr="00DC78D2" w:rsidRDefault="00EF3D34" w:rsidP="0056218D">
            <w:pPr>
              <w:spacing w:line="480" w:lineRule="auto"/>
            </w:pPr>
            <w:r w:rsidRPr="00DC78D2">
              <w:t>Hurricane Warning</w:t>
            </w:r>
          </w:p>
        </w:tc>
        <w:tc>
          <w:tcPr>
            <w:tcW w:w="0" w:type="auto"/>
            <w:tcBorders>
              <w:top w:val="single" w:sz="6" w:space="0" w:color="000000"/>
              <w:left w:val="single" w:sz="6" w:space="0" w:color="000000"/>
              <w:bottom w:val="single" w:sz="6" w:space="0" w:color="000000"/>
              <w:right w:val="single" w:sz="6" w:space="0" w:color="000000"/>
            </w:tcBorders>
            <w:hideMark/>
          </w:tcPr>
          <w:p w14:paraId="294B8062" w14:textId="77777777" w:rsidR="00EF3D34" w:rsidRPr="006E2773" w:rsidRDefault="00EF3D34" w:rsidP="0056218D">
            <w:pPr>
              <w:spacing w:line="480" w:lineRule="auto"/>
              <w:rPr>
                <w:rFonts w:ascii="Calibri" w:hAnsi="Calibri"/>
              </w:rPr>
            </w:pPr>
            <w:r w:rsidRPr="00737AD1">
              <w:t>HUW.</w:t>
            </w:r>
          </w:p>
        </w:tc>
      </w:tr>
      <w:tr w:rsidR="00EF3D34" w:rsidRPr="00737AD1" w14:paraId="5A44C7DB"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3A0CCB5" w14:textId="77777777" w:rsidR="00EF3D34" w:rsidRPr="00DC78D2" w:rsidRDefault="00EF3D34" w:rsidP="0056218D">
            <w:pPr>
              <w:spacing w:line="480" w:lineRule="auto"/>
            </w:pPr>
            <w:r w:rsidRPr="00DC78D2">
              <w:t>Hurricane Watch</w:t>
            </w:r>
          </w:p>
        </w:tc>
        <w:tc>
          <w:tcPr>
            <w:tcW w:w="0" w:type="auto"/>
            <w:tcBorders>
              <w:top w:val="single" w:sz="6" w:space="0" w:color="000000"/>
              <w:left w:val="single" w:sz="6" w:space="0" w:color="000000"/>
              <w:bottom w:val="single" w:sz="6" w:space="0" w:color="000000"/>
              <w:right w:val="single" w:sz="6" w:space="0" w:color="000000"/>
            </w:tcBorders>
            <w:hideMark/>
          </w:tcPr>
          <w:p w14:paraId="3ADA0D80" w14:textId="77777777" w:rsidR="00EF3D34" w:rsidRPr="006E2773" w:rsidRDefault="00EF3D34" w:rsidP="0056218D">
            <w:pPr>
              <w:spacing w:line="480" w:lineRule="auto"/>
              <w:rPr>
                <w:rFonts w:ascii="Calibri" w:hAnsi="Calibri"/>
              </w:rPr>
            </w:pPr>
            <w:r w:rsidRPr="00737AD1">
              <w:t>HUA.</w:t>
            </w:r>
          </w:p>
        </w:tc>
      </w:tr>
      <w:tr w:rsidR="00EF3D34" w:rsidRPr="00737AD1" w14:paraId="5E353BF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BB40D07" w14:textId="77777777" w:rsidR="00EF3D34" w:rsidRPr="00DC78D2" w:rsidRDefault="00EF3D34" w:rsidP="0056218D">
            <w:pPr>
              <w:spacing w:line="480" w:lineRule="auto"/>
            </w:pPr>
            <w:r w:rsidRPr="00DC78D2">
              <w:t>Hurricane Statement</w:t>
            </w:r>
          </w:p>
        </w:tc>
        <w:tc>
          <w:tcPr>
            <w:tcW w:w="0" w:type="auto"/>
            <w:tcBorders>
              <w:top w:val="single" w:sz="6" w:space="0" w:color="000000"/>
              <w:left w:val="single" w:sz="6" w:space="0" w:color="000000"/>
              <w:bottom w:val="single" w:sz="6" w:space="0" w:color="000000"/>
              <w:right w:val="single" w:sz="6" w:space="0" w:color="000000"/>
            </w:tcBorders>
            <w:hideMark/>
          </w:tcPr>
          <w:p w14:paraId="656491AB" w14:textId="77777777" w:rsidR="00EF3D34" w:rsidRPr="006E2773" w:rsidRDefault="00EF3D34" w:rsidP="0056218D">
            <w:pPr>
              <w:spacing w:line="480" w:lineRule="auto"/>
              <w:rPr>
                <w:rFonts w:ascii="Calibri" w:hAnsi="Calibri"/>
              </w:rPr>
            </w:pPr>
            <w:r w:rsidRPr="00737AD1">
              <w:t>HLS.</w:t>
            </w:r>
          </w:p>
        </w:tc>
      </w:tr>
      <w:tr w:rsidR="00EF3D34" w:rsidRPr="00737AD1" w14:paraId="73E0E72D"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B4958D4" w14:textId="77777777" w:rsidR="00EF3D34" w:rsidRPr="00DC78D2" w:rsidRDefault="00EF3D34" w:rsidP="0056218D">
            <w:pPr>
              <w:spacing w:line="480" w:lineRule="auto"/>
            </w:pPr>
            <w:r w:rsidRPr="00DC78D2">
              <w:t>Law Enforcement Warning</w:t>
            </w:r>
          </w:p>
        </w:tc>
        <w:tc>
          <w:tcPr>
            <w:tcW w:w="0" w:type="auto"/>
            <w:tcBorders>
              <w:top w:val="single" w:sz="6" w:space="0" w:color="000000"/>
              <w:left w:val="single" w:sz="6" w:space="0" w:color="000000"/>
              <w:bottom w:val="single" w:sz="6" w:space="0" w:color="000000"/>
              <w:right w:val="single" w:sz="6" w:space="0" w:color="000000"/>
            </w:tcBorders>
            <w:hideMark/>
          </w:tcPr>
          <w:p w14:paraId="07E19369" w14:textId="77777777" w:rsidR="00EF3D34" w:rsidRPr="006E2773" w:rsidRDefault="00EF3D34" w:rsidP="0056218D">
            <w:pPr>
              <w:spacing w:line="480" w:lineRule="auto"/>
              <w:rPr>
                <w:rFonts w:ascii="Calibri" w:hAnsi="Calibri"/>
              </w:rPr>
            </w:pPr>
            <w:r w:rsidRPr="00737AD1">
              <w:t>LEW.</w:t>
            </w:r>
          </w:p>
        </w:tc>
      </w:tr>
      <w:tr w:rsidR="00EF3D34" w:rsidRPr="00737AD1" w14:paraId="732EC163"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11A6DB" w14:textId="77777777" w:rsidR="00EF3D34" w:rsidRPr="00737AD1" w:rsidRDefault="00EF3D34" w:rsidP="0056218D">
            <w:pPr>
              <w:spacing w:line="480" w:lineRule="auto"/>
            </w:pPr>
            <w:r w:rsidRPr="00DC78D2">
              <w:t>Local Area Emergency</w:t>
            </w:r>
          </w:p>
        </w:tc>
        <w:tc>
          <w:tcPr>
            <w:tcW w:w="0" w:type="auto"/>
            <w:tcBorders>
              <w:top w:val="single" w:sz="6" w:space="0" w:color="000000"/>
              <w:left w:val="single" w:sz="6" w:space="0" w:color="000000"/>
              <w:bottom w:val="single" w:sz="6" w:space="0" w:color="000000"/>
              <w:right w:val="single" w:sz="6" w:space="0" w:color="000000"/>
            </w:tcBorders>
            <w:hideMark/>
          </w:tcPr>
          <w:p w14:paraId="3E3ADCA0" w14:textId="77777777" w:rsidR="00EF3D34" w:rsidRPr="006E2773" w:rsidRDefault="00EF3D34" w:rsidP="0056218D">
            <w:pPr>
              <w:spacing w:line="480" w:lineRule="auto"/>
              <w:rPr>
                <w:rFonts w:ascii="Calibri" w:hAnsi="Calibri"/>
              </w:rPr>
            </w:pPr>
            <w:r w:rsidRPr="00737AD1">
              <w:t>LAE.</w:t>
            </w:r>
          </w:p>
        </w:tc>
      </w:tr>
      <w:tr w:rsidR="00EF3D34" w:rsidRPr="00737AD1" w14:paraId="2751C726"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3BDD5F1" w14:textId="77777777" w:rsidR="00EF3D34" w:rsidRPr="00DC78D2" w:rsidRDefault="00EF3D34" w:rsidP="0056218D">
            <w:pPr>
              <w:spacing w:line="480" w:lineRule="auto"/>
            </w:pPr>
            <w:r w:rsidRPr="00DC78D2">
              <w:t>Network Message Notification</w:t>
            </w:r>
          </w:p>
        </w:tc>
        <w:tc>
          <w:tcPr>
            <w:tcW w:w="0" w:type="auto"/>
            <w:tcBorders>
              <w:top w:val="single" w:sz="6" w:space="0" w:color="000000"/>
              <w:left w:val="single" w:sz="6" w:space="0" w:color="000000"/>
              <w:bottom w:val="single" w:sz="6" w:space="0" w:color="000000"/>
              <w:right w:val="single" w:sz="6" w:space="0" w:color="000000"/>
            </w:tcBorders>
            <w:hideMark/>
          </w:tcPr>
          <w:p w14:paraId="04C57CCF" w14:textId="77777777" w:rsidR="00EF3D34" w:rsidRPr="006E2773" w:rsidRDefault="00EF3D34" w:rsidP="0056218D">
            <w:pPr>
              <w:spacing w:line="480" w:lineRule="auto"/>
              <w:rPr>
                <w:rFonts w:ascii="Calibri" w:hAnsi="Calibri"/>
              </w:rPr>
            </w:pPr>
            <w:r w:rsidRPr="00737AD1">
              <w:t>NMN.</w:t>
            </w:r>
          </w:p>
        </w:tc>
      </w:tr>
      <w:tr w:rsidR="00EF3D34" w:rsidRPr="00737AD1" w14:paraId="1FDA91AC"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751CE41" w14:textId="77777777" w:rsidR="00EF3D34" w:rsidRPr="00DC78D2" w:rsidRDefault="00EF3D34" w:rsidP="0056218D">
            <w:pPr>
              <w:spacing w:line="480" w:lineRule="auto"/>
            </w:pPr>
            <w:r w:rsidRPr="00DC78D2">
              <w:t>911 Telephone Outage Emergency</w:t>
            </w:r>
          </w:p>
        </w:tc>
        <w:tc>
          <w:tcPr>
            <w:tcW w:w="0" w:type="auto"/>
            <w:tcBorders>
              <w:top w:val="single" w:sz="6" w:space="0" w:color="000000"/>
              <w:left w:val="single" w:sz="6" w:space="0" w:color="000000"/>
              <w:bottom w:val="single" w:sz="6" w:space="0" w:color="000000"/>
              <w:right w:val="single" w:sz="6" w:space="0" w:color="000000"/>
            </w:tcBorders>
            <w:hideMark/>
          </w:tcPr>
          <w:p w14:paraId="68625818" w14:textId="77777777" w:rsidR="00EF3D34" w:rsidRPr="006E2773" w:rsidRDefault="00EF3D34" w:rsidP="0056218D">
            <w:pPr>
              <w:spacing w:line="480" w:lineRule="auto"/>
              <w:rPr>
                <w:rFonts w:ascii="Calibri" w:hAnsi="Calibri"/>
              </w:rPr>
            </w:pPr>
            <w:r w:rsidRPr="00737AD1">
              <w:t>TOE.</w:t>
            </w:r>
          </w:p>
        </w:tc>
      </w:tr>
      <w:tr w:rsidR="00EF3D34" w:rsidRPr="00737AD1" w14:paraId="5A29923C"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F133E1E" w14:textId="77777777" w:rsidR="00EF3D34" w:rsidRPr="00DC78D2" w:rsidRDefault="00EF3D34" w:rsidP="0056218D">
            <w:pPr>
              <w:spacing w:line="480" w:lineRule="auto"/>
            </w:pPr>
            <w:r w:rsidRPr="00DC78D2">
              <w:t>Nuclear Power Plant Warning</w:t>
            </w:r>
          </w:p>
        </w:tc>
        <w:tc>
          <w:tcPr>
            <w:tcW w:w="0" w:type="auto"/>
            <w:tcBorders>
              <w:top w:val="single" w:sz="6" w:space="0" w:color="000000"/>
              <w:left w:val="single" w:sz="6" w:space="0" w:color="000000"/>
              <w:bottom w:val="single" w:sz="6" w:space="0" w:color="000000"/>
              <w:right w:val="single" w:sz="6" w:space="0" w:color="000000"/>
            </w:tcBorders>
            <w:hideMark/>
          </w:tcPr>
          <w:p w14:paraId="4042B514" w14:textId="77777777" w:rsidR="00EF3D34" w:rsidRPr="006E2773" w:rsidRDefault="00EF3D34" w:rsidP="0056218D">
            <w:pPr>
              <w:spacing w:line="480" w:lineRule="auto"/>
              <w:rPr>
                <w:rFonts w:ascii="Calibri" w:hAnsi="Calibri"/>
              </w:rPr>
            </w:pPr>
            <w:r w:rsidRPr="00737AD1">
              <w:t>NUW.</w:t>
            </w:r>
          </w:p>
        </w:tc>
      </w:tr>
      <w:tr w:rsidR="00EF3D34" w:rsidRPr="00737AD1" w14:paraId="075670D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7DBFD10" w14:textId="77777777" w:rsidR="00EF3D34" w:rsidRPr="00DC78D2" w:rsidRDefault="00EF3D34" w:rsidP="0056218D">
            <w:pPr>
              <w:spacing w:line="480" w:lineRule="auto"/>
            </w:pPr>
            <w:r w:rsidRPr="00DC78D2">
              <w:t>Practice/Demo Warning</w:t>
            </w:r>
          </w:p>
        </w:tc>
        <w:tc>
          <w:tcPr>
            <w:tcW w:w="0" w:type="auto"/>
            <w:tcBorders>
              <w:top w:val="single" w:sz="6" w:space="0" w:color="000000"/>
              <w:left w:val="single" w:sz="6" w:space="0" w:color="000000"/>
              <w:bottom w:val="single" w:sz="6" w:space="0" w:color="000000"/>
              <w:right w:val="single" w:sz="6" w:space="0" w:color="000000"/>
            </w:tcBorders>
            <w:hideMark/>
          </w:tcPr>
          <w:p w14:paraId="1D880C8E" w14:textId="77777777" w:rsidR="00EF3D34" w:rsidRPr="006E2773" w:rsidRDefault="00EF3D34" w:rsidP="0056218D">
            <w:pPr>
              <w:spacing w:line="480" w:lineRule="auto"/>
              <w:rPr>
                <w:rFonts w:ascii="Calibri" w:hAnsi="Calibri"/>
              </w:rPr>
            </w:pPr>
            <w:r w:rsidRPr="00737AD1">
              <w:t>DMO.</w:t>
            </w:r>
          </w:p>
        </w:tc>
      </w:tr>
      <w:tr w:rsidR="00EF3D34" w:rsidRPr="00737AD1" w14:paraId="5F9D34AA"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A33A600" w14:textId="77777777" w:rsidR="00EF3D34" w:rsidRPr="00DC78D2" w:rsidRDefault="00EF3D34" w:rsidP="0056218D">
            <w:pPr>
              <w:spacing w:line="480" w:lineRule="auto"/>
            </w:pPr>
            <w:r w:rsidRPr="00DC78D2">
              <w:t>Radiological Hazard Warning</w:t>
            </w:r>
          </w:p>
        </w:tc>
        <w:tc>
          <w:tcPr>
            <w:tcW w:w="0" w:type="auto"/>
            <w:tcBorders>
              <w:top w:val="single" w:sz="6" w:space="0" w:color="000000"/>
              <w:left w:val="single" w:sz="6" w:space="0" w:color="000000"/>
              <w:bottom w:val="single" w:sz="6" w:space="0" w:color="000000"/>
              <w:right w:val="single" w:sz="6" w:space="0" w:color="000000"/>
            </w:tcBorders>
            <w:hideMark/>
          </w:tcPr>
          <w:p w14:paraId="4A7402D3" w14:textId="77777777" w:rsidR="00EF3D34" w:rsidRPr="006E2773" w:rsidRDefault="00EF3D34" w:rsidP="0056218D">
            <w:pPr>
              <w:spacing w:line="480" w:lineRule="auto"/>
              <w:rPr>
                <w:rFonts w:ascii="Calibri" w:hAnsi="Calibri"/>
              </w:rPr>
            </w:pPr>
            <w:r w:rsidRPr="00737AD1">
              <w:t>RHW.</w:t>
            </w:r>
          </w:p>
        </w:tc>
      </w:tr>
      <w:tr w:rsidR="00EF3D34" w:rsidRPr="00737AD1" w14:paraId="6930BDF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CFA39B2" w14:textId="77777777" w:rsidR="00EF3D34" w:rsidRPr="00DC78D2" w:rsidRDefault="00EF3D34" w:rsidP="0056218D">
            <w:pPr>
              <w:spacing w:line="480" w:lineRule="auto"/>
            </w:pPr>
            <w:r w:rsidRPr="00DC78D2">
              <w:t>Severe Thunderstorm Warning</w:t>
            </w:r>
          </w:p>
        </w:tc>
        <w:tc>
          <w:tcPr>
            <w:tcW w:w="0" w:type="auto"/>
            <w:tcBorders>
              <w:top w:val="single" w:sz="6" w:space="0" w:color="000000"/>
              <w:left w:val="single" w:sz="6" w:space="0" w:color="000000"/>
              <w:bottom w:val="single" w:sz="6" w:space="0" w:color="000000"/>
              <w:right w:val="single" w:sz="6" w:space="0" w:color="000000"/>
            </w:tcBorders>
            <w:hideMark/>
          </w:tcPr>
          <w:p w14:paraId="168436A3" w14:textId="77777777" w:rsidR="00EF3D34" w:rsidRPr="006E2773" w:rsidRDefault="00EF3D34" w:rsidP="0056218D">
            <w:pPr>
              <w:spacing w:line="480" w:lineRule="auto"/>
              <w:rPr>
                <w:rFonts w:ascii="Calibri" w:hAnsi="Calibri"/>
              </w:rPr>
            </w:pPr>
            <w:r w:rsidRPr="00737AD1">
              <w:t>SVR.</w:t>
            </w:r>
          </w:p>
        </w:tc>
      </w:tr>
      <w:tr w:rsidR="00EF3D34" w:rsidRPr="00737AD1" w14:paraId="50031B0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DF39F45" w14:textId="77777777" w:rsidR="00EF3D34" w:rsidRPr="00DC78D2" w:rsidRDefault="00EF3D34" w:rsidP="0056218D">
            <w:pPr>
              <w:spacing w:line="480" w:lineRule="auto"/>
            </w:pPr>
            <w:r w:rsidRPr="00DC78D2">
              <w:t>Severe Thunderstorm Watch</w:t>
            </w:r>
          </w:p>
        </w:tc>
        <w:tc>
          <w:tcPr>
            <w:tcW w:w="0" w:type="auto"/>
            <w:tcBorders>
              <w:top w:val="single" w:sz="6" w:space="0" w:color="000000"/>
              <w:left w:val="single" w:sz="6" w:space="0" w:color="000000"/>
              <w:bottom w:val="single" w:sz="6" w:space="0" w:color="000000"/>
              <w:right w:val="single" w:sz="6" w:space="0" w:color="000000"/>
            </w:tcBorders>
            <w:hideMark/>
          </w:tcPr>
          <w:p w14:paraId="5631CFF0" w14:textId="77777777" w:rsidR="00EF3D34" w:rsidRPr="006E2773" w:rsidRDefault="00EF3D34" w:rsidP="0056218D">
            <w:pPr>
              <w:spacing w:line="480" w:lineRule="auto"/>
              <w:rPr>
                <w:rFonts w:ascii="Calibri" w:hAnsi="Calibri"/>
              </w:rPr>
            </w:pPr>
            <w:r w:rsidRPr="00737AD1">
              <w:t>SVA.</w:t>
            </w:r>
          </w:p>
        </w:tc>
      </w:tr>
      <w:tr w:rsidR="00EF3D34" w:rsidRPr="00737AD1" w14:paraId="5BAAF5FC"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30CA84" w14:textId="77777777" w:rsidR="00EF3D34" w:rsidRPr="00737AD1" w:rsidRDefault="00EF3D34" w:rsidP="0056218D">
            <w:pPr>
              <w:spacing w:line="480" w:lineRule="auto"/>
            </w:pPr>
            <w:r w:rsidRPr="00DC78D2">
              <w:t>Severe Weather Statement</w:t>
            </w:r>
          </w:p>
        </w:tc>
        <w:tc>
          <w:tcPr>
            <w:tcW w:w="0" w:type="auto"/>
            <w:tcBorders>
              <w:top w:val="single" w:sz="6" w:space="0" w:color="000000"/>
              <w:left w:val="single" w:sz="6" w:space="0" w:color="000000"/>
              <w:bottom w:val="single" w:sz="6" w:space="0" w:color="000000"/>
              <w:right w:val="single" w:sz="6" w:space="0" w:color="000000"/>
            </w:tcBorders>
            <w:hideMark/>
          </w:tcPr>
          <w:p w14:paraId="44D5DDCE" w14:textId="77777777" w:rsidR="00EF3D34" w:rsidRPr="006E2773" w:rsidRDefault="00EF3D34" w:rsidP="0056218D">
            <w:pPr>
              <w:spacing w:line="480" w:lineRule="auto"/>
              <w:rPr>
                <w:rFonts w:ascii="Calibri" w:hAnsi="Calibri"/>
              </w:rPr>
            </w:pPr>
            <w:r w:rsidRPr="00737AD1">
              <w:t>SVS.</w:t>
            </w:r>
          </w:p>
        </w:tc>
      </w:tr>
      <w:tr w:rsidR="00EF3D34" w:rsidRPr="00737AD1" w14:paraId="34E98C59"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8ABAFB2" w14:textId="77777777" w:rsidR="00EF3D34" w:rsidRPr="00DC78D2" w:rsidRDefault="00EF3D34" w:rsidP="0056218D">
            <w:pPr>
              <w:spacing w:line="480" w:lineRule="auto"/>
            </w:pPr>
            <w:r w:rsidRPr="00DC78D2">
              <w:t>Shelter in Place Warning</w:t>
            </w:r>
          </w:p>
        </w:tc>
        <w:tc>
          <w:tcPr>
            <w:tcW w:w="0" w:type="auto"/>
            <w:tcBorders>
              <w:top w:val="single" w:sz="6" w:space="0" w:color="000000"/>
              <w:left w:val="single" w:sz="6" w:space="0" w:color="000000"/>
              <w:bottom w:val="single" w:sz="6" w:space="0" w:color="000000"/>
              <w:right w:val="single" w:sz="6" w:space="0" w:color="000000"/>
            </w:tcBorders>
            <w:hideMark/>
          </w:tcPr>
          <w:p w14:paraId="7D800FC2" w14:textId="77777777" w:rsidR="00EF3D34" w:rsidRPr="006E2773" w:rsidRDefault="00EF3D34" w:rsidP="0056218D">
            <w:pPr>
              <w:spacing w:line="480" w:lineRule="auto"/>
              <w:rPr>
                <w:rFonts w:ascii="Calibri" w:hAnsi="Calibri"/>
              </w:rPr>
            </w:pPr>
            <w:r w:rsidRPr="00737AD1">
              <w:t>SPW</w:t>
            </w:r>
          </w:p>
        </w:tc>
      </w:tr>
      <w:tr w:rsidR="00EF3D34" w:rsidRPr="00737AD1" w14:paraId="4B1EAA32"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BA0A5F" w14:textId="77777777" w:rsidR="00EF3D34" w:rsidRPr="00DC78D2" w:rsidRDefault="00EF3D34" w:rsidP="0056218D">
            <w:pPr>
              <w:spacing w:line="480" w:lineRule="auto"/>
            </w:pPr>
            <w:r w:rsidRPr="00DC78D2">
              <w:t>Special Marine Warning</w:t>
            </w:r>
          </w:p>
        </w:tc>
        <w:tc>
          <w:tcPr>
            <w:tcW w:w="0" w:type="auto"/>
            <w:tcBorders>
              <w:top w:val="single" w:sz="6" w:space="0" w:color="000000"/>
              <w:left w:val="single" w:sz="6" w:space="0" w:color="000000"/>
              <w:bottom w:val="single" w:sz="6" w:space="0" w:color="000000"/>
              <w:right w:val="single" w:sz="6" w:space="0" w:color="000000"/>
            </w:tcBorders>
            <w:hideMark/>
          </w:tcPr>
          <w:p w14:paraId="422CC8C3" w14:textId="77777777" w:rsidR="00EF3D34" w:rsidRPr="006E2773" w:rsidRDefault="00EF3D34" w:rsidP="0056218D">
            <w:pPr>
              <w:spacing w:line="480" w:lineRule="auto"/>
              <w:rPr>
                <w:rFonts w:ascii="Calibri" w:hAnsi="Calibri"/>
              </w:rPr>
            </w:pPr>
            <w:r w:rsidRPr="00737AD1">
              <w:t>SMW.</w:t>
            </w:r>
          </w:p>
        </w:tc>
      </w:tr>
      <w:tr w:rsidR="00EF3D34" w:rsidRPr="00737AD1" w14:paraId="7F73E476"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2741355" w14:textId="77777777" w:rsidR="00EF3D34" w:rsidRPr="00DC78D2" w:rsidRDefault="00EF3D34" w:rsidP="0056218D">
            <w:pPr>
              <w:spacing w:line="480" w:lineRule="auto"/>
            </w:pPr>
            <w:r w:rsidRPr="00DC78D2">
              <w:t>Special Weather Statement</w:t>
            </w:r>
          </w:p>
        </w:tc>
        <w:tc>
          <w:tcPr>
            <w:tcW w:w="0" w:type="auto"/>
            <w:tcBorders>
              <w:top w:val="single" w:sz="6" w:space="0" w:color="000000"/>
              <w:left w:val="single" w:sz="6" w:space="0" w:color="000000"/>
              <w:bottom w:val="single" w:sz="6" w:space="0" w:color="000000"/>
              <w:right w:val="single" w:sz="6" w:space="0" w:color="000000"/>
            </w:tcBorders>
            <w:hideMark/>
          </w:tcPr>
          <w:p w14:paraId="6A16958B" w14:textId="77777777" w:rsidR="00EF3D34" w:rsidRPr="006E2773" w:rsidRDefault="00EF3D34" w:rsidP="0056218D">
            <w:pPr>
              <w:spacing w:line="480" w:lineRule="auto"/>
              <w:rPr>
                <w:rFonts w:ascii="Calibri" w:hAnsi="Calibri"/>
              </w:rPr>
            </w:pPr>
            <w:r w:rsidRPr="00737AD1">
              <w:t>SPS.</w:t>
            </w:r>
          </w:p>
        </w:tc>
      </w:tr>
      <w:tr w:rsidR="00EF3D34" w:rsidRPr="00737AD1" w14:paraId="5B5DD175"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tcPr>
          <w:p w14:paraId="1C108372" w14:textId="77777777" w:rsidR="00EF3D34" w:rsidRPr="00DC78D2" w:rsidRDefault="00EF3D34" w:rsidP="0056218D">
            <w:pPr>
              <w:spacing w:line="480" w:lineRule="auto"/>
            </w:pPr>
            <w:r w:rsidRPr="00DC78D2">
              <w:t>Storm Surge Watch</w:t>
            </w:r>
          </w:p>
        </w:tc>
        <w:tc>
          <w:tcPr>
            <w:tcW w:w="0" w:type="auto"/>
            <w:tcBorders>
              <w:top w:val="single" w:sz="6" w:space="0" w:color="000000"/>
              <w:left w:val="single" w:sz="6" w:space="0" w:color="000000"/>
              <w:bottom w:val="single" w:sz="6" w:space="0" w:color="000000"/>
              <w:right w:val="single" w:sz="6" w:space="0" w:color="000000"/>
            </w:tcBorders>
          </w:tcPr>
          <w:p w14:paraId="408F7A91" w14:textId="77777777" w:rsidR="00EF3D34" w:rsidRPr="006E2773" w:rsidRDefault="00EF3D34" w:rsidP="0056218D">
            <w:pPr>
              <w:spacing w:line="480" w:lineRule="auto"/>
              <w:rPr>
                <w:rFonts w:ascii="Calibri" w:hAnsi="Calibri"/>
              </w:rPr>
            </w:pPr>
            <w:r w:rsidRPr="00737AD1">
              <w:t>SSA.</w:t>
            </w:r>
          </w:p>
        </w:tc>
      </w:tr>
      <w:tr w:rsidR="00EF3D34" w:rsidRPr="00737AD1" w14:paraId="0B21D334"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tcPr>
          <w:p w14:paraId="39396BF7" w14:textId="77777777" w:rsidR="00EF3D34" w:rsidRPr="00DC78D2" w:rsidRDefault="00EF3D34" w:rsidP="0056218D">
            <w:pPr>
              <w:spacing w:line="480" w:lineRule="auto"/>
            </w:pPr>
            <w:r w:rsidRPr="00DC78D2">
              <w:t>Storm Surge Warning</w:t>
            </w:r>
          </w:p>
        </w:tc>
        <w:tc>
          <w:tcPr>
            <w:tcW w:w="0" w:type="auto"/>
            <w:tcBorders>
              <w:top w:val="single" w:sz="6" w:space="0" w:color="000000"/>
              <w:left w:val="single" w:sz="6" w:space="0" w:color="000000"/>
              <w:bottom w:val="single" w:sz="6" w:space="0" w:color="000000"/>
              <w:right w:val="single" w:sz="6" w:space="0" w:color="000000"/>
            </w:tcBorders>
          </w:tcPr>
          <w:p w14:paraId="6AEFC33C" w14:textId="77777777" w:rsidR="00EF3D34" w:rsidRPr="006E2773" w:rsidRDefault="00EF3D34" w:rsidP="0056218D">
            <w:pPr>
              <w:spacing w:line="480" w:lineRule="auto"/>
              <w:rPr>
                <w:rFonts w:ascii="Calibri" w:hAnsi="Calibri"/>
              </w:rPr>
            </w:pPr>
            <w:r w:rsidRPr="00737AD1">
              <w:t>SSW.</w:t>
            </w:r>
          </w:p>
        </w:tc>
      </w:tr>
      <w:tr w:rsidR="00EF3D34" w:rsidRPr="00737AD1" w14:paraId="2A5D49A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B035DA" w14:textId="77777777" w:rsidR="00EF3D34" w:rsidRPr="00DC78D2" w:rsidRDefault="00EF3D34" w:rsidP="0056218D">
            <w:pPr>
              <w:spacing w:line="480" w:lineRule="auto"/>
            </w:pPr>
            <w:r w:rsidRPr="00DC78D2">
              <w:t>Tornado Warning</w:t>
            </w:r>
          </w:p>
        </w:tc>
        <w:tc>
          <w:tcPr>
            <w:tcW w:w="0" w:type="auto"/>
            <w:tcBorders>
              <w:top w:val="single" w:sz="6" w:space="0" w:color="000000"/>
              <w:left w:val="single" w:sz="6" w:space="0" w:color="000000"/>
              <w:bottom w:val="single" w:sz="6" w:space="0" w:color="000000"/>
              <w:right w:val="single" w:sz="6" w:space="0" w:color="000000"/>
            </w:tcBorders>
            <w:hideMark/>
          </w:tcPr>
          <w:p w14:paraId="220EBC5F" w14:textId="77777777" w:rsidR="00EF3D34" w:rsidRPr="006E2773" w:rsidRDefault="00EF3D34" w:rsidP="0056218D">
            <w:pPr>
              <w:spacing w:line="480" w:lineRule="auto"/>
              <w:rPr>
                <w:rFonts w:ascii="Calibri" w:hAnsi="Calibri"/>
              </w:rPr>
            </w:pPr>
            <w:r w:rsidRPr="00737AD1">
              <w:t>TOR.</w:t>
            </w:r>
          </w:p>
        </w:tc>
      </w:tr>
      <w:tr w:rsidR="00EF3D34" w:rsidRPr="00737AD1" w14:paraId="26A51472"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7DE530B" w14:textId="77777777" w:rsidR="00EF3D34" w:rsidRPr="00DC78D2" w:rsidRDefault="00EF3D34" w:rsidP="0056218D">
            <w:pPr>
              <w:spacing w:line="480" w:lineRule="auto"/>
            </w:pPr>
            <w:r w:rsidRPr="00DC78D2">
              <w:t>Tornado Watch</w:t>
            </w:r>
          </w:p>
        </w:tc>
        <w:tc>
          <w:tcPr>
            <w:tcW w:w="0" w:type="auto"/>
            <w:tcBorders>
              <w:top w:val="single" w:sz="6" w:space="0" w:color="000000"/>
              <w:left w:val="single" w:sz="6" w:space="0" w:color="000000"/>
              <w:bottom w:val="single" w:sz="6" w:space="0" w:color="000000"/>
              <w:right w:val="single" w:sz="6" w:space="0" w:color="000000"/>
            </w:tcBorders>
            <w:hideMark/>
          </w:tcPr>
          <w:p w14:paraId="0724B79F" w14:textId="77777777" w:rsidR="00EF3D34" w:rsidRPr="006E2773" w:rsidRDefault="00EF3D34" w:rsidP="0056218D">
            <w:pPr>
              <w:spacing w:line="480" w:lineRule="auto"/>
              <w:rPr>
                <w:rFonts w:ascii="Calibri" w:hAnsi="Calibri"/>
              </w:rPr>
            </w:pPr>
            <w:r w:rsidRPr="00737AD1">
              <w:t>TOA.</w:t>
            </w:r>
          </w:p>
        </w:tc>
      </w:tr>
      <w:tr w:rsidR="00EF3D34" w:rsidRPr="00737AD1" w14:paraId="56DD101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60E3068" w14:textId="77777777" w:rsidR="00EF3D34" w:rsidRPr="00DC78D2" w:rsidRDefault="00EF3D34" w:rsidP="0056218D">
            <w:pPr>
              <w:spacing w:line="480" w:lineRule="auto"/>
            </w:pPr>
            <w:r w:rsidRPr="00DC78D2">
              <w:t>Tropical Storm Warning</w:t>
            </w:r>
          </w:p>
        </w:tc>
        <w:tc>
          <w:tcPr>
            <w:tcW w:w="0" w:type="auto"/>
            <w:tcBorders>
              <w:top w:val="single" w:sz="6" w:space="0" w:color="000000"/>
              <w:left w:val="single" w:sz="6" w:space="0" w:color="000000"/>
              <w:bottom w:val="single" w:sz="6" w:space="0" w:color="000000"/>
              <w:right w:val="single" w:sz="6" w:space="0" w:color="000000"/>
            </w:tcBorders>
            <w:hideMark/>
          </w:tcPr>
          <w:p w14:paraId="0963DB34" w14:textId="77777777" w:rsidR="00EF3D34" w:rsidRPr="006E2773" w:rsidRDefault="00EF3D34" w:rsidP="0056218D">
            <w:pPr>
              <w:spacing w:line="480" w:lineRule="auto"/>
              <w:rPr>
                <w:rFonts w:ascii="Calibri" w:hAnsi="Calibri"/>
              </w:rPr>
            </w:pPr>
            <w:r w:rsidRPr="00737AD1">
              <w:t>TRW.</w:t>
            </w:r>
          </w:p>
        </w:tc>
      </w:tr>
      <w:tr w:rsidR="00EF3D34" w:rsidRPr="00737AD1" w14:paraId="1E2535D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9BE1C29" w14:textId="77777777" w:rsidR="00EF3D34" w:rsidRPr="00737AD1" w:rsidRDefault="00EF3D34" w:rsidP="0056218D">
            <w:pPr>
              <w:spacing w:line="480" w:lineRule="auto"/>
            </w:pPr>
            <w:r w:rsidRPr="00DC78D2">
              <w:t>Tropical Storm Watch</w:t>
            </w:r>
          </w:p>
        </w:tc>
        <w:tc>
          <w:tcPr>
            <w:tcW w:w="0" w:type="auto"/>
            <w:tcBorders>
              <w:top w:val="single" w:sz="6" w:space="0" w:color="000000"/>
              <w:left w:val="single" w:sz="6" w:space="0" w:color="000000"/>
              <w:bottom w:val="single" w:sz="6" w:space="0" w:color="000000"/>
              <w:right w:val="single" w:sz="6" w:space="0" w:color="000000"/>
            </w:tcBorders>
            <w:hideMark/>
          </w:tcPr>
          <w:p w14:paraId="0D4B55BF" w14:textId="77777777" w:rsidR="00EF3D34" w:rsidRPr="006E2773" w:rsidRDefault="00EF3D34" w:rsidP="0056218D">
            <w:pPr>
              <w:spacing w:line="480" w:lineRule="auto"/>
              <w:rPr>
                <w:rFonts w:ascii="Calibri" w:hAnsi="Calibri"/>
              </w:rPr>
            </w:pPr>
            <w:r w:rsidRPr="00737AD1">
              <w:t>TRA.</w:t>
            </w:r>
          </w:p>
        </w:tc>
      </w:tr>
      <w:tr w:rsidR="00EF3D34" w:rsidRPr="00737AD1" w14:paraId="6E530C3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48E3399" w14:textId="77777777" w:rsidR="00EF3D34" w:rsidRPr="00DC78D2" w:rsidRDefault="00EF3D34" w:rsidP="0056218D">
            <w:pPr>
              <w:spacing w:line="480" w:lineRule="auto"/>
            </w:pPr>
            <w:r w:rsidRPr="00DC78D2">
              <w:t>Tsunami Warning</w:t>
            </w:r>
          </w:p>
        </w:tc>
        <w:tc>
          <w:tcPr>
            <w:tcW w:w="0" w:type="auto"/>
            <w:tcBorders>
              <w:top w:val="single" w:sz="6" w:space="0" w:color="000000"/>
              <w:left w:val="single" w:sz="6" w:space="0" w:color="000000"/>
              <w:bottom w:val="single" w:sz="6" w:space="0" w:color="000000"/>
              <w:right w:val="single" w:sz="6" w:space="0" w:color="000000"/>
            </w:tcBorders>
            <w:hideMark/>
          </w:tcPr>
          <w:p w14:paraId="2E5E2F8D" w14:textId="77777777" w:rsidR="00EF3D34" w:rsidRPr="006E2773" w:rsidRDefault="00EF3D34" w:rsidP="0056218D">
            <w:pPr>
              <w:spacing w:line="480" w:lineRule="auto"/>
              <w:rPr>
                <w:rFonts w:ascii="Calibri" w:hAnsi="Calibri"/>
              </w:rPr>
            </w:pPr>
            <w:r w:rsidRPr="00737AD1">
              <w:t>TSW.</w:t>
            </w:r>
          </w:p>
        </w:tc>
      </w:tr>
      <w:tr w:rsidR="00EF3D34" w:rsidRPr="00737AD1" w14:paraId="65880CB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30770B9" w14:textId="77777777" w:rsidR="00EF3D34" w:rsidRPr="00DC78D2" w:rsidRDefault="00EF3D34" w:rsidP="0056218D">
            <w:pPr>
              <w:spacing w:line="480" w:lineRule="auto"/>
            </w:pPr>
            <w:r w:rsidRPr="00DC78D2">
              <w:t>Tsunami Watch</w:t>
            </w:r>
          </w:p>
        </w:tc>
        <w:tc>
          <w:tcPr>
            <w:tcW w:w="0" w:type="auto"/>
            <w:tcBorders>
              <w:top w:val="single" w:sz="6" w:space="0" w:color="000000"/>
              <w:left w:val="single" w:sz="6" w:space="0" w:color="000000"/>
              <w:bottom w:val="single" w:sz="6" w:space="0" w:color="000000"/>
              <w:right w:val="single" w:sz="6" w:space="0" w:color="000000"/>
            </w:tcBorders>
            <w:hideMark/>
          </w:tcPr>
          <w:p w14:paraId="4F7C103E" w14:textId="77777777" w:rsidR="00EF3D34" w:rsidRPr="006E2773" w:rsidRDefault="00EF3D34" w:rsidP="0056218D">
            <w:pPr>
              <w:spacing w:line="480" w:lineRule="auto"/>
              <w:rPr>
                <w:rFonts w:ascii="Calibri" w:hAnsi="Calibri"/>
              </w:rPr>
            </w:pPr>
            <w:r w:rsidRPr="00737AD1">
              <w:t>TSA.</w:t>
            </w:r>
          </w:p>
        </w:tc>
      </w:tr>
      <w:tr w:rsidR="00EF3D34" w:rsidRPr="00737AD1" w14:paraId="3BB777C0"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5CB26E" w14:textId="77777777" w:rsidR="00EF3D34" w:rsidRPr="00DC78D2" w:rsidRDefault="00EF3D34" w:rsidP="0056218D">
            <w:pPr>
              <w:spacing w:line="480" w:lineRule="auto"/>
            </w:pPr>
            <w:r w:rsidRPr="00DC78D2">
              <w:t>Volcano Warning</w:t>
            </w:r>
          </w:p>
        </w:tc>
        <w:tc>
          <w:tcPr>
            <w:tcW w:w="0" w:type="auto"/>
            <w:tcBorders>
              <w:top w:val="single" w:sz="6" w:space="0" w:color="000000"/>
              <w:left w:val="single" w:sz="6" w:space="0" w:color="000000"/>
              <w:bottom w:val="single" w:sz="6" w:space="0" w:color="000000"/>
              <w:right w:val="single" w:sz="6" w:space="0" w:color="000000"/>
            </w:tcBorders>
            <w:hideMark/>
          </w:tcPr>
          <w:p w14:paraId="1235F9A9" w14:textId="77777777" w:rsidR="00EF3D34" w:rsidRPr="006E2773" w:rsidRDefault="00EF3D34" w:rsidP="0056218D">
            <w:pPr>
              <w:spacing w:line="480" w:lineRule="auto"/>
              <w:rPr>
                <w:rFonts w:ascii="Calibri" w:hAnsi="Calibri"/>
              </w:rPr>
            </w:pPr>
            <w:r w:rsidRPr="00737AD1">
              <w:t>VOW.</w:t>
            </w:r>
          </w:p>
        </w:tc>
      </w:tr>
      <w:tr w:rsidR="00EF3D34" w:rsidRPr="00737AD1" w14:paraId="30F0A3CE"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879D2CD" w14:textId="77777777" w:rsidR="00EF3D34" w:rsidRPr="00DC78D2" w:rsidRDefault="00EF3D34" w:rsidP="0056218D">
            <w:pPr>
              <w:spacing w:line="480" w:lineRule="auto"/>
            </w:pPr>
            <w:r w:rsidRPr="00DC78D2">
              <w:t>Winter Storm Warning</w:t>
            </w:r>
          </w:p>
        </w:tc>
        <w:tc>
          <w:tcPr>
            <w:tcW w:w="0" w:type="auto"/>
            <w:tcBorders>
              <w:top w:val="single" w:sz="6" w:space="0" w:color="000000"/>
              <w:left w:val="single" w:sz="6" w:space="0" w:color="000000"/>
              <w:bottom w:val="single" w:sz="6" w:space="0" w:color="000000"/>
              <w:right w:val="single" w:sz="6" w:space="0" w:color="000000"/>
            </w:tcBorders>
            <w:hideMark/>
          </w:tcPr>
          <w:p w14:paraId="4498B1FA" w14:textId="77777777" w:rsidR="00EF3D34" w:rsidRPr="006E2773" w:rsidRDefault="00EF3D34" w:rsidP="0056218D">
            <w:pPr>
              <w:spacing w:line="480" w:lineRule="auto"/>
              <w:rPr>
                <w:rFonts w:ascii="Calibri" w:hAnsi="Calibri"/>
              </w:rPr>
            </w:pPr>
            <w:r w:rsidRPr="00737AD1">
              <w:t>WSW.</w:t>
            </w:r>
          </w:p>
        </w:tc>
      </w:tr>
      <w:tr w:rsidR="00EF3D34" w:rsidRPr="00737AD1" w14:paraId="32C90887" w14:textId="77777777" w:rsidTr="0056218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AC8E377" w14:textId="77777777" w:rsidR="00EF3D34" w:rsidRPr="00DC78D2" w:rsidRDefault="00EF3D34" w:rsidP="0056218D">
            <w:pPr>
              <w:spacing w:line="480" w:lineRule="auto"/>
            </w:pPr>
            <w:r w:rsidRPr="00DC78D2">
              <w:t>Winter Storm Watch</w:t>
            </w:r>
          </w:p>
        </w:tc>
        <w:tc>
          <w:tcPr>
            <w:tcW w:w="0" w:type="auto"/>
            <w:tcBorders>
              <w:top w:val="single" w:sz="6" w:space="0" w:color="000000"/>
              <w:left w:val="single" w:sz="6" w:space="0" w:color="000000"/>
              <w:bottom w:val="single" w:sz="6" w:space="0" w:color="000000"/>
              <w:right w:val="single" w:sz="6" w:space="0" w:color="000000"/>
            </w:tcBorders>
            <w:hideMark/>
          </w:tcPr>
          <w:p w14:paraId="27CB069A" w14:textId="77777777" w:rsidR="00EF3D34" w:rsidRPr="006E2773" w:rsidRDefault="00EF3D34" w:rsidP="0056218D">
            <w:pPr>
              <w:spacing w:line="480" w:lineRule="auto"/>
              <w:rPr>
                <w:rFonts w:ascii="Calibri" w:hAnsi="Calibri"/>
              </w:rPr>
            </w:pPr>
            <w:r w:rsidRPr="00737AD1">
              <w:t>WSA.</w:t>
            </w:r>
          </w:p>
        </w:tc>
      </w:tr>
    </w:tbl>
    <w:p w14:paraId="655900ED" w14:textId="77777777" w:rsidR="00EF3D34" w:rsidRPr="00737AD1" w:rsidRDefault="00EF3D34" w:rsidP="00A86188">
      <w:pPr>
        <w:pStyle w:val="ParaNum"/>
        <w:numPr>
          <w:ilvl w:val="0"/>
          <w:numId w:val="0"/>
        </w:numPr>
        <w:sectPr w:rsidR="00EF3D34" w:rsidRPr="00737AD1" w:rsidSect="00350222">
          <w:headerReference w:type="default" r:id="rId16"/>
          <w:footerReference w:type="default" r:id="rId17"/>
          <w:endnotePr>
            <w:numFmt w:val="decimal"/>
          </w:endnotePr>
          <w:pgSz w:w="12240" w:h="15840"/>
          <w:pgMar w:top="1440" w:right="1440" w:bottom="720" w:left="1440" w:header="720" w:footer="720" w:gutter="0"/>
          <w:cols w:space="720"/>
          <w:noEndnote/>
          <w:docGrid w:linePitch="299"/>
        </w:sectPr>
      </w:pPr>
    </w:p>
    <w:p w14:paraId="228574CB" w14:textId="77777777" w:rsidR="00DC6142" w:rsidRDefault="00DC6142" w:rsidP="00A86188">
      <w:pPr>
        <w:jc w:val="center"/>
        <w:rPr>
          <w:b/>
        </w:rPr>
      </w:pPr>
      <w:r w:rsidRPr="00DC78D2">
        <w:rPr>
          <w:b/>
        </w:rPr>
        <w:t>APPENDIX B</w:t>
      </w:r>
    </w:p>
    <w:p w14:paraId="24ABD5F0" w14:textId="77777777" w:rsidR="00A86188" w:rsidRPr="00DC78D2" w:rsidRDefault="00A86188" w:rsidP="00A86188">
      <w:pPr>
        <w:jc w:val="center"/>
        <w:rPr>
          <w:b/>
        </w:rPr>
      </w:pPr>
    </w:p>
    <w:p w14:paraId="74DE4A69" w14:textId="77777777" w:rsidR="00DC6142" w:rsidRPr="006E2773" w:rsidRDefault="00DC6142" w:rsidP="00DC6142">
      <w:pPr>
        <w:jc w:val="center"/>
        <w:rPr>
          <w:rFonts w:ascii="Calibri" w:hAnsi="Calibri"/>
          <w:b/>
        </w:rPr>
      </w:pPr>
      <w:r w:rsidRPr="00737AD1">
        <w:rPr>
          <w:b/>
        </w:rPr>
        <w:t>Initial Regulatory Flexibility Analysis</w:t>
      </w:r>
    </w:p>
    <w:p w14:paraId="0ED9A6F8" w14:textId="77777777" w:rsidR="00DC6142" w:rsidRPr="00737AD1" w:rsidRDefault="00DC6142" w:rsidP="00DC6142">
      <w:pPr>
        <w:jc w:val="center"/>
      </w:pPr>
    </w:p>
    <w:p w14:paraId="4EE71F48" w14:textId="77777777" w:rsidR="00DC6142" w:rsidRPr="00737AD1" w:rsidRDefault="00DC6142" w:rsidP="00350222">
      <w:pPr>
        <w:pStyle w:val="ParaNum"/>
        <w:numPr>
          <w:ilvl w:val="0"/>
          <w:numId w:val="4"/>
        </w:numPr>
        <w:tabs>
          <w:tab w:val="clear" w:pos="1080"/>
          <w:tab w:val="num" w:pos="1440"/>
        </w:tabs>
      </w:pPr>
      <w:r w:rsidRPr="00737AD1">
        <w:t>As required by the Regulatory Flexibility Act of 1980, as amended (RFA),</w:t>
      </w:r>
      <w:r w:rsidRPr="00737AD1">
        <w:rPr>
          <w:rStyle w:val="FootnoteReference"/>
          <w:sz w:val="22"/>
        </w:rPr>
        <w:footnoteReference w:id="89"/>
      </w:r>
      <w:r w:rsidRPr="00737AD1">
        <w:t xml:space="preserve"> the Commission has prepared this present Initial Regulatory Flexibility Analysis (IRFA) of the possible significant economic impact </w:t>
      </w:r>
      <w:r>
        <w:t xml:space="preserve">on a substantial number of small entities by the policies and rules proposed in this </w:t>
      </w:r>
      <w:r w:rsidRPr="00350222">
        <w:rPr>
          <w:i/>
        </w:rPr>
        <w:t>Notice of Proposed Rulemaking</w:t>
      </w:r>
      <w:r w:rsidRPr="00737AD1">
        <w:t xml:space="preserve">.  Written public comments are requested on this IRFA.  Comments must be identified as responses to the IRFA and must be filed by the deadlines for comments in the </w:t>
      </w:r>
      <w:r w:rsidRPr="00350222">
        <w:rPr>
          <w:i/>
        </w:rPr>
        <w:t>Notice of Proposed Rulemaking</w:t>
      </w:r>
      <w:r w:rsidRPr="00737AD1">
        <w:t xml:space="preserve">.  The Commission will send a copy of the </w:t>
      </w:r>
      <w:r w:rsidRPr="00350222">
        <w:rPr>
          <w:i/>
        </w:rPr>
        <w:t>Notice of Proposed Rulemaking</w:t>
      </w:r>
      <w:r w:rsidRPr="00737AD1">
        <w:t>, including this IRFA, to the Chief Counsel for Advocacy of the Small Business Administration (SBA).</w:t>
      </w:r>
      <w:r w:rsidRPr="00737AD1">
        <w:rPr>
          <w:rStyle w:val="FootnoteReference"/>
          <w:sz w:val="22"/>
        </w:rPr>
        <w:footnoteReference w:id="90"/>
      </w:r>
      <w:r w:rsidRPr="00737AD1">
        <w:t xml:space="preserve">  In addition, the </w:t>
      </w:r>
      <w:r w:rsidRPr="00350222">
        <w:rPr>
          <w:i/>
        </w:rPr>
        <w:t xml:space="preserve">Notice of Proposed Rulemaking </w:t>
      </w:r>
      <w:r w:rsidRPr="00737AD1">
        <w:t>and IRFA (or summaries thereof) will be published in the Federal Register.</w:t>
      </w:r>
      <w:r w:rsidRPr="00350222">
        <w:rPr>
          <w:rStyle w:val="FootnoteReference"/>
          <w:sz w:val="22"/>
        </w:rPr>
        <w:t xml:space="preserve"> </w:t>
      </w:r>
      <w:r w:rsidRPr="00737AD1">
        <w:rPr>
          <w:rStyle w:val="FootnoteReference"/>
          <w:sz w:val="22"/>
        </w:rPr>
        <w:footnoteReference w:id="91"/>
      </w:r>
    </w:p>
    <w:p w14:paraId="13A7E6EC" w14:textId="77777777" w:rsidR="00DC6142" w:rsidRPr="00737AD1" w:rsidRDefault="00DC6142" w:rsidP="00350222">
      <w:pPr>
        <w:pStyle w:val="Heading2"/>
        <w:numPr>
          <w:ilvl w:val="1"/>
          <w:numId w:val="5"/>
        </w:numPr>
      </w:pPr>
      <w:bookmarkStart w:id="4" w:name="_Toc367458365"/>
      <w:bookmarkStart w:id="5" w:name="_Toc383514547"/>
      <w:bookmarkStart w:id="6" w:name="_Toc383514785"/>
      <w:bookmarkStart w:id="7" w:name="_Toc384814358"/>
      <w:bookmarkStart w:id="8" w:name="_Toc384814437"/>
      <w:bookmarkStart w:id="9" w:name="_Toc384814871"/>
      <w:bookmarkStart w:id="10" w:name="_Toc384817913"/>
      <w:bookmarkStart w:id="11" w:name="_Toc387054617"/>
      <w:bookmarkStart w:id="12" w:name="_Toc387154763"/>
      <w:bookmarkStart w:id="13" w:name="_Toc387155788"/>
      <w:bookmarkStart w:id="14" w:name="_Toc387222352"/>
      <w:bookmarkStart w:id="15" w:name="_Toc411452476"/>
      <w:bookmarkStart w:id="16" w:name="_Toc411452598"/>
      <w:bookmarkStart w:id="17" w:name="_Toc415747823"/>
      <w:r w:rsidRPr="00737AD1">
        <w:t>Need for, and Objectives of, the Proposed Rules</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2B52B671" w14:textId="29ADAFAA" w:rsidR="00DC6142" w:rsidRPr="00737AD1" w:rsidRDefault="00DC6142" w:rsidP="00350222">
      <w:pPr>
        <w:pStyle w:val="ParaNum"/>
        <w:numPr>
          <w:ilvl w:val="0"/>
          <w:numId w:val="4"/>
        </w:numPr>
        <w:tabs>
          <w:tab w:val="clear" w:pos="1080"/>
          <w:tab w:val="num" w:pos="1440"/>
        </w:tabs>
      </w:pPr>
      <w:r w:rsidRPr="00737AD1">
        <w:t xml:space="preserve">In this </w:t>
      </w:r>
      <w:r w:rsidRPr="00350222">
        <w:rPr>
          <w:i/>
        </w:rPr>
        <w:t>Notice of Proposed Rulemaking,</w:t>
      </w:r>
      <w:r w:rsidRPr="00737AD1">
        <w:t xml:space="preserve"> the Commission proposes adding a new Emergency Alert System (EAS) Event Code, covering Blue Alerts (“Blue Alert Warning”).  The Blue Alert Act charges the </w:t>
      </w:r>
      <w:r>
        <w:t>Community Oriented Policing Service (</w:t>
      </w:r>
      <w:r w:rsidRPr="00737AD1">
        <w:t>COPS Office</w:t>
      </w:r>
      <w:r>
        <w:t>)</w:t>
      </w:r>
      <w:r w:rsidRPr="00737AD1">
        <w:t xml:space="preserve"> with identifying policies and procedures for disseminating Blue Alerts to the public that are effective, and can be implemented with no additional cost.</w:t>
      </w:r>
      <w:r w:rsidRPr="00737AD1">
        <w:rPr>
          <w:rStyle w:val="FootnoteReference"/>
        </w:rPr>
        <w:footnoteReference w:id="92"/>
      </w:r>
      <w:r w:rsidRPr="00737AD1">
        <w:t xml:space="preserve">  </w:t>
      </w:r>
      <w:r>
        <w:t>Blue Alert carriage and use of the Blue Alert event code would be voluntary.</w:t>
      </w:r>
      <w:r>
        <w:rPr>
          <w:rStyle w:val="FootnoteReference"/>
        </w:rPr>
        <w:footnoteReference w:id="93"/>
      </w:r>
      <w:r>
        <w:t xml:space="preserve">  </w:t>
      </w:r>
      <w:r w:rsidRPr="00737AD1">
        <w:t xml:space="preserve">In its </w:t>
      </w:r>
      <w:r>
        <w:t xml:space="preserve">2016 </w:t>
      </w:r>
      <w:r w:rsidR="00167E5E">
        <w:t>R</w:t>
      </w:r>
      <w:r w:rsidRPr="00737AD1">
        <w:t>eport to Congress, the COPS Office identified a dedicated EAS event code for Blue Alerts as a means of disseminating Blue Alerts to the public,</w:t>
      </w:r>
      <w:r w:rsidRPr="00737AD1">
        <w:rPr>
          <w:rStyle w:val="FootnoteReference"/>
          <w:rFonts w:eastAsia="Calibri"/>
        </w:rPr>
        <w:footnoteReference w:id="94"/>
      </w:r>
      <w:r w:rsidRPr="00737AD1">
        <w:t xml:space="preserve"> and a necessary element to align the EAS with implementation of the Blue Alert Act overall.</w:t>
      </w:r>
      <w:r w:rsidRPr="00737AD1">
        <w:rPr>
          <w:rStyle w:val="FootnoteReference"/>
        </w:rPr>
        <w:footnoteReference w:id="95"/>
      </w:r>
      <w:r w:rsidRPr="00737AD1">
        <w:t xml:space="preserve">  </w:t>
      </w:r>
      <w:r>
        <w:t xml:space="preserve">EAS Participants </w:t>
      </w:r>
      <w:r w:rsidR="001332C1">
        <w:t xml:space="preserve">who decide to carry the Blue Alert </w:t>
      </w:r>
      <w:r>
        <w:t>would be a</w:t>
      </w:r>
      <w:r w:rsidR="00822DC6">
        <w:t>ble to</w:t>
      </w:r>
      <w:r>
        <w:t xml:space="preserve"> </w:t>
      </w:r>
      <w:r w:rsidR="00822DC6">
        <w:t>accommodate the new code with a software upgrade of equipment already in place but not yet capable of handling these codes (any new equipment allowed under existing rules is either similarly upgradeable or will already be programmed to handle the code).</w:t>
      </w:r>
      <w:r>
        <w:t xml:space="preserve"> </w:t>
      </w:r>
      <w:r w:rsidRPr="00737AD1">
        <w:t xml:space="preserve">In this </w:t>
      </w:r>
      <w:r w:rsidRPr="00350222">
        <w:rPr>
          <w:i/>
        </w:rPr>
        <w:t>Notice of Proposed Rulemaking</w:t>
      </w:r>
      <w:r w:rsidRPr="00737AD1">
        <w:t>,</w:t>
      </w:r>
      <w:r w:rsidRPr="00350222">
        <w:rPr>
          <w:i/>
        </w:rPr>
        <w:t xml:space="preserve"> </w:t>
      </w:r>
      <w:r w:rsidRPr="00737AD1">
        <w:t>we seek comment on whether adding a “Blue Alert” code to the EAS would serve the public interest by furthering the goal of the Blue Alert Act by disseminating information to the public that protects law enforcement officials and the public at large.</w:t>
      </w:r>
    </w:p>
    <w:p w14:paraId="1F2DC433" w14:textId="77777777" w:rsidR="00DC6142" w:rsidRPr="00737AD1" w:rsidRDefault="00DC6142" w:rsidP="00DC6142">
      <w:pPr>
        <w:pStyle w:val="Heading2"/>
      </w:pPr>
      <w:bookmarkStart w:id="18" w:name="_Toc367458366"/>
      <w:bookmarkStart w:id="19" w:name="_Toc383514548"/>
      <w:bookmarkStart w:id="20" w:name="_Toc383514786"/>
      <w:bookmarkStart w:id="21" w:name="_Toc384814359"/>
      <w:bookmarkStart w:id="22" w:name="_Toc384814438"/>
      <w:bookmarkStart w:id="23" w:name="_Toc384814872"/>
      <w:bookmarkStart w:id="24" w:name="_Toc384817914"/>
      <w:bookmarkStart w:id="25" w:name="_Toc387054618"/>
      <w:bookmarkStart w:id="26" w:name="_Toc387154764"/>
      <w:bookmarkStart w:id="27" w:name="_Toc387155789"/>
      <w:bookmarkStart w:id="28" w:name="_Toc387222353"/>
      <w:bookmarkStart w:id="29" w:name="_Toc411452477"/>
      <w:bookmarkStart w:id="30" w:name="_Toc411452599"/>
      <w:bookmarkStart w:id="31" w:name="_Toc415747824"/>
      <w:r w:rsidRPr="00737AD1">
        <w:t>Legal Basis</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9CCA661" w14:textId="77777777" w:rsidR="00DC6142" w:rsidRPr="00737AD1" w:rsidRDefault="00DC6142" w:rsidP="00202382">
      <w:pPr>
        <w:pStyle w:val="ParaNum"/>
        <w:widowControl/>
        <w:numPr>
          <w:ilvl w:val="0"/>
          <w:numId w:val="4"/>
        </w:numPr>
        <w:tabs>
          <w:tab w:val="clear" w:pos="1080"/>
          <w:tab w:val="num" w:pos="1440"/>
        </w:tabs>
      </w:pPr>
      <w:r w:rsidRPr="00737AD1">
        <w:t xml:space="preserve">Authority for the actions proposed in this </w:t>
      </w:r>
      <w:r w:rsidRPr="00350222">
        <w:rPr>
          <w:i/>
        </w:rPr>
        <w:t>Notice of Proposed Rulemaking</w:t>
      </w:r>
      <w:r w:rsidRPr="00737AD1">
        <w:t xml:space="preserve"> may be found in sections 1, 2, 4(i), 4(o), 301, 303(r), 303(v), 307, 309, 335, 403, 624(g),706, and 715 of the Communications Act of 1934, as amended, 47 U.S.C. §§ 151, 152, 154(i), 154(o), 301, 303(r), 303(v), 307, 309, 335, 403, 544(g), 606, and 615.   </w:t>
      </w:r>
    </w:p>
    <w:p w14:paraId="7B17A682" w14:textId="77777777" w:rsidR="00DC6142" w:rsidRPr="00737AD1" w:rsidRDefault="00DC6142" w:rsidP="00DC6142">
      <w:pPr>
        <w:pStyle w:val="Heading2"/>
      </w:pPr>
      <w:bookmarkStart w:id="32" w:name="_Toc367458367"/>
      <w:bookmarkStart w:id="33" w:name="_Toc383514549"/>
      <w:bookmarkStart w:id="34" w:name="_Toc383514787"/>
      <w:bookmarkStart w:id="35" w:name="_Toc384814360"/>
      <w:bookmarkStart w:id="36" w:name="_Toc384814439"/>
      <w:bookmarkStart w:id="37" w:name="_Toc384814873"/>
      <w:bookmarkStart w:id="38" w:name="_Toc384817915"/>
      <w:bookmarkStart w:id="39" w:name="_Toc387054619"/>
      <w:bookmarkStart w:id="40" w:name="_Toc387154765"/>
      <w:bookmarkStart w:id="41" w:name="_Toc387155790"/>
      <w:bookmarkStart w:id="42" w:name="_Toc387222354"/>
      <w:bookmarkStart w:id="43" w:name="_Toc411452478"/>
      <w:bookmarkStart w:id="44" w:name="_Toc411452600"/>
      <w:bookmarkStart w:id="45" w:name="_Toc415747825"/>
      <w:r w:rsidRPr="00737AD1">
        <w:t>Description and Estimate of the Number of Small Entities to Which Rules Will Apply</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55BD02C" w14:textId="77777777" w:rsidR="00DC6142" w:rsidRPr="00737AD1" w:rsidRDefault="00DC6142" w:rsidP="00350222">
      <w:pPr>
        <w:pStyle w:val="ParaNum"/>
        <w:numPr>
          <w:ilvl w:val="0"/>
          <w:numId w:val="4"/>
        </w:numPr>
        <w:tabs>
          <w:tab w:val="clear" w:pos="1080"/>
          <w:tab w:val="num" w:pos="1440"/>
        </w:tabs>
      </w:pPr>
      <w:r w:rsidRPr="00737AD1">
        <w:t>The RFA directs agencies to provide a description of and, where feasible, an estimate of, the number of small entities that may be affected by the rules adopted herein.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  Below, we describe and estimate the number of small entity licensees that may be affected by the adopted rules.</w:t>
      </w:r>
    </w:p>
    <w:p w14:paraId="3E4E0712" w14:textId="77777777" w:rsidR="00DC6142" w:rsidRPr="00737AD1" w:rsidRDefault="00DC6142" w:rsidP="00350222">
      <w:pPr>
        <w:pStyle w:val="ParaNum"/>
        <w:numPr>
          <w:ilvl w:val="0"/>
          <w:numId w:val="4"/>
        </w:numPr>
        <w:tabs>
          <w:tab w:val="clear" w:pos="1080"/>
          <w:tab w:val="num" w:pos="1440"/>
        </w:tabs>
      </w:pPr>
      <w:r w:rsidRPr="00350222">
        <w:rPr>
          <w:i/>
        </w:rPr>
        <w:t>Small Businesses, Small Organizations, and Small Governmental Jurisdictions</w:t>
      </w:r>
      <w:r w:rsidRPr="00737AD1">
        <w:t>.  Our action may, over time, affect small entities that are not easily categorized at present.  We therefore describe here, at the outset, three comprehensive, statutory small entity size standards</w:t>
      </w:r>
      <w:r>
        <w:t xml:space="preserve"> </w:t>
      </w:r>
      <w:r w:rsidRPr="006F3A15">
        <w:t>that co</w:t>
      </w:r>
      <w:r>
        <w:t>uld be directly affected herein</w:t>
      </w:r>
      <w:r w:rsidRPr="00737AD1">
        <w:t>.</w:t>
      </w:r>
      <w:r w:rsidRPr="00737AD1">
        <w:rPr>
          <w:vertAlign w:val="superscript"/>
        </w:rPr>
        <w:footnoteReference w:id="96"/>
      </w:r>
      <w:r w:rsidRPr="00737AD1">
        <w:t xml:space="preserve">  </w:t>
      </w:r>
      <w:r>
        <w:t>First, while there are industry specific size standards for small businesses that are used in the regulatory flexibility analysis, a</w:t>
      </w:r>
      <w:r w:rsidRPr="006F3A15">
        <w:t>ccor</w:t>
      </w:r>
      <w:r>
        <w:t>ding to data from the SBA’s Office of Advocacy, in general</w:t>
      </w:r>
      <w:r w:rsidR="00DB6A9C">
        <w:t>,</w:t>
      </w:r>
      <w:r>
        <w:t xml:space="preserve"> a small business is an independent business having fewer than 500 employees.</w:t>
      </w:r>
      <w:r>
        <w:rPr>
          <w:rStyle w:val="FootnoteReference"/>
        </w:rPr>
        <w:footnoteReference w:id="97"/>
      </w:r>
      <w:r>
        <w:t xml:space="preserve">  These types of small businesses represent 99.9</w:t>
      </w:r>
      <w:r w:rsidRPr="006F3A15">
        <w:t>% of all businesses in the United States</w:t>
      </w:r>
      <w:r w:rsidR="00DB6A9C">
        <w:t>,</w:t>
      </w:r>
      <w:r>
        <w:t xml:space="preserve"> which translates to 28.8 million businesses</w:t>
      </w:r>
      <w:r w:rsidRPr="006F3A15">
        <w:t>.</w:t>
      </w:r>
      <w:r w:rsidRPr="006F3A15">
        <w:rPr>
          <w:rStyle w:val="FootnoteReference"/>
        </w:rPr>
        <w:footnoteReference w:id="98"/>
      </w:r>
      <w:r w:rsidRPr="00350222">
        <w:rPr>
          <w:bCs/>
        </w:rPr>
        <w:t xml:space="preserve">  Next, the type of small entity described as </w:t>
      </w:r>
      <w:r w:rsidRPr="00644BFC">
        <w:t xml:space="preserve">a </w:t>
      </w:r>
      <w:r w:rsidRPr="0066448F">
        <w:t>“small organization” is generally “any not-for-profit enterprise which is independently owned and operated and is not dominant in its field.”</w:t>
      </w:r>
      <w:r w:rsidRPr="00BC3055">
        <w:rPr>
          <w:rStyle w:val="FootnoteReference"/>
        </w:rPr>
        <w:footnoteReference w:id="99"/>
      </w:r>
      <w:r w:rsidRPr="0066448F">
        <w:t xml:space="preserve">  Nationwide, as of 2007, there were approximately 1,621,215 small organizations.</w:t>
      </w:r>
      <w:r w:rsidRPr="00BC3055">
        <w:rPr>
          <w:rStyle w:val="FootnoteReference"/>
        </w:rPr>
        <w:footnoteReference w:id="100"/>
      </w:r>
      <w:r w:rsidRPr="0066448F">
        <w:t xml:space="preserve"> </w:t>
      </w:r>
      <w:r>
        <w:t xml:space="preserve"> Finally, t</w:t>
      </w:r>
      <w:r w:rsidRPr="0066448F">
        <w:t xml:space="preserve">he </w:t>
      </w:r>
      <w:r>
        <w:t xml:space="preserve">small entity described as a </w:t>
      </w:r>
      <w:r w:rsidRPr="0066448F">
        <w:t>“sma</w:t>
      </w:r>
      <w:r>
        <w:t xml:space="preserve">ll governmental jurisdiction” is </w:t>
      </w:r>
      <w:r w:rsidRPr="0066448F">
        <w:t>defined generally as “governments of cities, towns, townships, villages, school districts, or special districts, with a population of less than fifty thousand.”</w:t>
      </w:r>
      <w:r w:rsidRPr="00BC3055">
        <w:rPr>
          <w:rStyle w:val="FootnoteReference"/>
        </w:rPr>
        <w:footnoteReference w:id="101"/>
      </w:r>
      <w:r w:rsidRPr="0066448F">
        <w:t xml:space="preserve">  </w:t>
      </w:r>
      <w:r w:rsidRPr="00D8403F">
        <w:t xml:space="preserve">U.S. Census Bureau data published in 2012 indicate that there were </w:t>
      </w:r>
      <w:r w:rsidRPr="00350222">
        <w:rPr>
          <w:color w:val="000000"/>
        </w:rPr>
        <w:t xml:space="preserve">89,476 </w:t>
      </w:r>
      <w:r w:rsidRPr="00D8403F">
        <w:t>local governmental jurisdictions in the United States.</w:t>
      </w:r>
      <w:r w:rsidRPr="00D8403F">
        <w:rPr>
          <w:rStyle w:val="FootnoteReference"/>
        </w:rPr>
        <w:footnoteReference w:id="102"/>
      </w:r>
      <w:r w:rsidRPr="0066448F">
        <w:t xml:space="preserve">  We estimate that, of this total, as many as 88,761 entities may qualify as “small governmental jurisdictions.”</w:t>
      </w:r>
      <w:r w:rsidRPr="00BC3055">
        <w:rPr>
          <w:vertAlign w:val="superscript"/>
        </w:rPr>
        <w:footnoteReference w:id="103"/>
      </w:r>
      <w:r w:rsidRPr="0066448F">
        <w:t xml:space="preserve">  Thus, we estimate that most governmental jurisdictions are small.</w:t>
      </w:r>
    </w:p>
    <w:p w14:paraId="52720445" w14:textId="77777777" w:rsidR="00DC6142" w:rsidRPr="00350222" w:rsidRDefault="00DC6142" w:rsidP="009973EE">
      <w:pPr>
        <w:pStyle w:val="ParaNum"/>
        <w:widowControl/>
        <w:numPr>
          <w:ilvl w:val="0"/>
          <w:numId w:val="4"/>
        </w:numPr>
        <w:tabs>
          <w:tab w:val="clear" w:pos="1080"/>
          <w:tab w:val="num" w:pos="1440"/>
        </w:tabs>
        <w:rPr>
          <w:spacing w:val="-2"/>
        </w:rPr>
      </w:pPr>
      <w:r w:rsidRPr="00350222">
        <w:rPr>
          <w:i/>
        </w:rPr>
        <w:t>Radio Stations</w:t>
      </w:r>
      <w:r w:rsidRPr="00737AD1">
        <w:t>.  This Economic Census category comprises establishments primarily engaged in broadcasting aural programs by radio to the public.  Programming may originate in the station’s own studio, from an affiliated network, or from external source</w:t>
      </w:r>
      <w:r>
        <w:t>s</w:t>
      </w:r>
      <w:r w:rsidRPr="00737AD1">
        <w:t>.</w:t>
      </w:r>
      <w:r w:rsidRPr="00737AD1">
        <w:rPr>
          <w:vertAlign w:val="superscript"/>
        </w:rPr>
        <w:footnoteReference w:id="104"/>
      </w:r>
      <w:r w:rsidRPr="00737AD1">
        <w:t xml:space="preserve">  </w:t>
      </w:r>
      <w:r>
        <w:t xml:space="preserve">The SBA </w:t>
      </w:r>
      <w:r w:rsidRPr="006023CB">
        <w:t>has established a small business size standard for this category</w:t>
      </w:r>
      <w:r>
        <w:t xml:space="preserve"> as</w:t>
      </w:r>
      <w:r w:rsidRPr="006023CB">
        <w:t xml:space="preserve"> firms having $38.5 million or less in annual receipts.</w:t>
      </w:r>
      <w:r w:rsidRPr="006023CB">
        <w:rPr>
          <w:sz w:val="20"/>
          <w:vertAlign w:val="superscript"/>
        </w:rPr>
        <w:footnoteReference w:id="105"/>
      </w:r>
      <w:r w:rsidRPr="006023CB">
        <w:t xml:space="preserve">  </w:t>
      </w:r>
      <w:r w:rsidR="00DB6A9C">
        <w:t xml:space="preserve">U.S. </w:t>
      </w:r>
      <w:r w:rsidRPr="006023CB">
        <w:t>Census</w:t>
      </w:r>
      <w:r w:rsidR="00DB6A9C">
        <w:t xml:space="preserve"> Bureau</w:t>
      </w:r>
      <w:r w:rsidRPr="006023CB">
        <w:t xml:space="preserve"> data for 2012 show</w:t>
      </w:r>
      <w:r>
        <w:t>s</w:t>
      </w:r>
      <w:r w:rsidRPr="006023CB">
        <w:t xml:space="preserve"> that 2,849 radio station firms operated during that year.</w:t>
      </w:r>
      <w:r>
        <w:rPr>
          <w:rStyle w:val="FootnoteReference"/>
        </w:rPr>
        <w:footnoteReference w:id="106"/>
      </w:r>
      <w:r w:rsidRPr="006023CB">
        <w:t xml:space="preserve">  Of that number, 2,806 operated with annual receipts of less than $25 million per year</w:t>
      </w:r>
      <w:r>
        <w:t>, 17 with annual receipts between $25 million and $49,999,999 million and 26 with annual receipts of $50 million or more</w:t>
      </w:r>
      <w:r w:rsidRPr="006023CB">
        <w:t>.</w:t>
      </w:r>
      <w:r w:rsidRPr="006023CB">
        <w:rPr>
          <w:sz w:val="20"/>
          <w:vertAlign w:val="superscript"/>
        </w:rPr>
        <w:footnoteReference w:id="107"/>
      </w:r>
      <w:r w:rsidRPr="006023CB">
        <w:t xml:space="preserve"> </w:t>
      </w:r>
      <w:r w:rsidR="00DB6A9C">
        <w:t xml:space="preserve"> </w:t>
      </w:r>
      <w:r w:rsidRPr="00350222">
        <w:rPr>
          <w:color w:val="000000"/>
        </w:rPr>
        <w:t>Therefore, based on the SBA’s size standard</w:t>
      </w:r>
      <w:r w:rsidR="00DB6A9C" w:rsidRPr="00350222">
        <w:rPr>
          <w:color w:val="000000"/>
        </w:rPr>
        <w:t>,</w:t>
      </w:r>
      <w:r w:rsidRPr="00350222">
        <w:rPr>
          <w:color w:val="000000"/>
        </w:rPr>
        <w:t xml:space="preserve"> the majority of such entities are small entities.</w:t>
      </w:r>
      <w:bookmarkStart w:id="46" w:name="FN[FN81]"/>
      <w:bookmarkStart w:id="47" w:name="FN[FN82]"/>
      <w:bookmarkEnd w:id="46"/>
      <w:bookmarkEnd w:id="47"/>
      <w:r>
        <w:t xml:space="preserve"> </w:t>
      </w:r>
    </w:p>
    <w:p w14:paraId="7B1AB6E3" w14:textId="77777777" w:rsidR="00DC6142" w:rsidRPr="00350222" w:rsidRDefault="00DC6142" w:rsidP="00350222">
      <w:pPr>
        <w:pStyle w:val="ParaNum"/>
        <w:numPr>
          <w:ilvl w:val="0"/>
          <w:numId w:val="4"/>
        </w:numPr>
        <w:tabs>
          <w:tab w:val="clear" w:pos="1080"/>
          <w:tab w:val="num" w:pos="1440"/>
        </w:tabs>
        <w:rPr>
          <w:spacing w:val="-2"/>
        </w:rPr>
      </w:pPr>
      <w:r>
        <w:t xml:space="preserve">According to Commission staff review of the BIA Publications, Inc. Master Access Radio Analyzer Database as </w:t>
      </w:r>
      <w:r w:rsidRPr="00DB6A9C">
        <w:t xml:space="preserve">of </w:t>
      </w:r>
      <w:r w:rsidRPr="00350222">
        <w:rPr>
          <w:color w:val="000000"/>
        </w:rPr>
        <w:t>June 2, 2016</w:t>
      </w:r>
      <w:r>
        <w:t>, about 11,386 (or about 99.9 percent) of 11,395 commercial radio stations had revenues of $38.5 million or less and thus qualify as small entities under the SBA definition. The Commission has estimated the number of licensed commercial radio stations to be 11,415.</w:t>
      </w:r>
      <w:r>
        <w:rPr>
          <w:rStyle w:val="FootnoteReference"/>
          <w:szCs w:val="22"/>
        </w:rPr>
        <w:footnoteReference w:id="108"/>
      </w:r>
      <w:r>
        <w:t xml:space="preserve">  We note that the Commission </w:t>
      </w:r>
      <w:r w:rsidR="0002418A">
        <w:t xml:space="preserve">also </w:t>
      </w:r>
      <w:r>
        <w:t xml:space="preserve">has estimated the number of licensed NCE radio stations to be </w:t>
      </w:r>
      <w:r w:rsidRPr="006A2278">
        <w:t>4</w:t>
      </w:r>
      <w:r>
        <w:t>,101.</w:t>
      </w:r>
      <w:r>
        <w:rPr>
          <w:rStyle w:val="FootnoteReference"/>
          <w:szCs w:val="22"/>
        </w:rPr>
        <w:footnoteReference w:id="109"/>
      </w:r>
      <w:r>
        <w:t xml:space="preserve">  Nevertheless, the Commission does not compile and otherwise does not have access to information on the revenue of NCE stations that would permit it to determine how many such stations would qualify as small entities.  </w:t>
      </w:r>
    </w:p>
    <w:p w14:paraId="4AE70AEA" w14:textId="77777777" w:rsidR="00DC6142" w:rsidRPr="00350222" w:rsidRDefault="00DC6142" w:rsidP="00350222">
      <w:pPr>
        <w:pStyle w:val="ParaNum"/>
        <w:numPr>
          <w:ilvl w:val="0"/>
          <w:numId w:val="4"/>
        </w:numPr>
        <w:tabs>
          <w:tab w:val="clear" w:pos="1080"/>
          <w:tab w:val="num" w:pos="1440"/>
        </w:tabs>
        <w:rPr>
          <w:spacing w:val="-2"/>
        </w:rPr>
      </w:pPr>
      <w:r>
        <w:t>We also note that in assessing whether a business entity qualifies as small under the above definition, business control affiliations must be included.</w:t>
      </w:r>
      <w:r>
        <w:rPr>
          <w:rStyle w:val="FootnoteReference"/>
        </w:rPr>
        <w:footnoteReference w:id="110"/>
      </w:r>
      <w:r>
        <w:t xml:space="preserve">  The Commission’s estimate therefore likely overstates the number of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sidRPr="001B5E20">
        <w:rPr>
          <w:vertAlign w:val="superscript"/>
        </w:rPr>
        <w:footnoteReference w:id="111"/>
      </w:r>
      <w:r w:rsidRPr="001B5E20">
        <w:t xml:space="preserve"> </w:t>
      </w:r>
      <w:r w:rsidR="0002418A">
        <w:t xml:space="preserve"> </w:t>
      </w:r>
      <w:r w:rsidRPr="001B5E20">
        <w:t xml:space="preserve">We </w:t>
      </w:r>
      <w:r>
        <w:t xml:space="preserve">further note, </w:t>
      </w:r>
      <w:r w:rsidRPr="001B5E20">
        <w:t xml:space="preserve">that it is difficult at times to assess these criteria in the context of media entities, and the estimate of small businesses to which </w:t>
      </w:r>
      <w:r>
        <w:t xml:space="preserve">these </w:t>
      </w:r>
      <w:r w:rsidRPr="001B5E20">
        <w:t xml:space="preserve">rules may apply does not exclude any radio station from the definition of a small </w:t>
      </w:r>
      <w:r w:rsidRPr="0064776E">
        <w:t>business on these basis</w:t>
      </w:r>
      <w:r w:rsidR="0002418A">
        <w:t>;</w:t>
      </w:r>
      <w:r w:rsidRPr="0064776E">
        <w:t xml:space="preserve"> thus</w:t>
      </w:r>
      <w:r w:rsidR="0002418A">
        <w:t>,</w:t>
      </w:r>
      <w:r w:rsidRPr="0064776E">
        <w:t xml:space="preserve"> our estimate of small businesses may be over-inclusive.</w:t>
      </w:r>
    </w:p>
    <w:p w14:paraId="1C9A94F1" w14:textId="77777777" w:rsidR="00DC6142" w:rsidRPr="00350222" w:rsidRDefault="00DC6142" w:rsidP="00350222">
      <w:pPr>
        <w:pStyle w:val="ParaNum"/>
        <w:numPr>
          <w:ilvl w:val="0"/>
          <w:numId w:val="4"/>
        </w:numPr>
        <w:tabs>
          <w:tab w:val="clear" w:pos="1080"/>
          <w:tab w:val="num" w:pos="1440"/>
        </w:tabs>
        <w:rPr>
          <w:spacing w:val="-2"/>
        </w:rPr>
      </w:pPr>
      <w:r w:rsidRPr="00350222">
        <w:rPr>
          <w:i/>
        </w:rPr>
        <w:t>FM Translator Stations and</w:t>
      </w:r>
      <w:r w:rsidRPr="00350222">
        <w:rPr>
          <w:b/>
        </w:rPr>
        <w:t xml:space="preserve"> </w:t>
      </w:r>
      <w:r w:rsidRPr="00350222">
        <w:rPr>
          <w:i/>
        </w:rPr>
        <w:t xml:space="preserve">Low-Power FM Stations.  </w:t>
      </w:r>
      <w:r w:rsidRPr="00915C57">
        <w:t>FM translators and Low Power FM Stations are classified in the category of Radio Stations and are assigned the same NAICs Code as licensees of radio stations.</w:t>
      </w:r>
      <w:r w:rsidRPr="002840EB">
        <w:rPr>
          <w:rStyle w:val="FootnoteReference"/>
        </w:rPr>
        <w:footnoteReference w:id="112"/>
      </w:r>
      <w:r w:rsidRPr="00915C57">
        <w:t xml:space="preserve"> </w:t>
      </w:r>
      <w:r w:rsidR="0002418A">
        <w:t xml:space="preserve"> </w:t>
      </w:r>
      <w:r w:rsidRPr="00915C57">
        <w:t>This U.S. industry, Radio Stations, comprises establishments primarily engaged in broadcasting aural programs by radio to the public.</w:t>
      </w:r>
      <w:r w:rsidR="0002418A">
        <w:t xml:space="preserve"> </w:t>
      </w:r>
      <w:r w:rsidRPr="00915C57">
        <w:t xml:space="preserve"> Programming may originate in their own studio</w:t>
      </w:r>
      <w:r w:rsidR="0002418A">
        <w:t>s</w:t>
      </w:r>
      <w:r w:rsidRPr="00915C57">
        <w:t>, from an affiliated network, or from external sources.</w:t>
      </w:r>
      <w:r w:rsidRPr="002840EB">
        <w:rPr>
          <w:rStyle w:val="FootnoteReference"/>
        </w:rPr>
        <w:footnoteReference w:id="113"/>
      </w:r>
      <w:r w:rsidR="0002418A">
        <w:t xml:space="preserve">  </w:t>
      </w:r>
      <w:r w:rsidRPr="00915C57">
        <w:t>The SBA has established a small business size standard which consists of all radio stations whose annual receipts are $38.5 million dollars or less.</w:t>
      </w:r>
      <w:r w:rsidRPr="002840EB">
        <w:rPr>
          <w:rStyle w:val="FootnoteReference"/>
        </w:rPr>
        <w:footnoteReference w:id="114"/>
      </w:r>
      <w:r w:rsidR="004452AB">
        <w:t xml:space="preserve">  </w:t>
      </w:r>
      <w:r w:rsidRPr="00915C57">
        <w:t>U.S. Census data for 2012 indicate that 2,849 radio station firms operated during that year.</w:t>
      </w:r>
      <w:r w:rsidRPr="002840EB">
        <w:rPr>
          <w:rStyle w:val="FootnoteReference"/>
        </w:rPr>
        <w:footnoteReference w:id="115"/>
      </w:r>
      <w:r w:rsidRPr="00915C57">
        <w:t xml:space="preserve">  Of that number, 2,806 operated with annual receipts of less than $25 million per year, 17 with annual receipts between $25 million and $49,999,999 million and 26 with annual receipts of $50 million or more.</w:t>
      </w:r>
      <w:r w:rsidRPr="002840EB">
        <w:rPr>
          <w:vertAlign w:val="superscript"/>
        </w:rPr>
        <w:footnoteReference w:id="116"/>
      </w:r>
      <w:r w:rsidRPr="00915C57">
        <w:t xml:space="preserve">  Based on U.S. Census </w:t>
      </w:r>
      <w:r w:rsidR="0002418A">
        <w:t xml:space="preserve">Bureau </w:t>
      </w:r>
      <w:r w:rsidRPr="00915C57">
        <w:t>data, we conclude that the majority of FM Translator Stations and Low Power FM Stations are small.</w:t>
      </w:r>
    </w:p>
    <w:p w14:paraId="7150A489" w14:textId="77777777" w:rsidR="00DC6142" w:rsidRDefault="00DC6142" w:rsidP="00350222">
      <w:pPr>
        <w:pStyle w:val="ParaNum"/>
        <w:numPr>
          <w:ilvl w:val="0"/>
          <w:numId w:val="4"/>
        </w:numPr>
        <w:tabs>
          <w:tab w:val="clear" w:pos="1080"/>
          <w:tab w:val="num" w:pos="1440"/>
        </w:tabs>
      </w:pPr>
      <w:r w:rsidRPr="00350222">
        <w:rPr>
          <w:i/>
        </w:rPr>
        <w:t>Television Broadcasting</w:t>
      </w:r>
      <w:r w:rsidRPr="00837297">
        <w:t xml:space="preserve">.  </w:t>
      </w:r>
      <w:r w:rsidRPr="00C67F61">
        <w:t>This</w:t>
      </w:r>
      <w:r>
        <w:t xml:space="preserve"> Economic Census category “comprises establishments primarily engaged in broadcasting images together with sound.”</w:t>
      </w:r>
      <w:r>
        <w:rPr>
          <w:rStyle w:val="FootnoteReference"/>
        </w:rPr>
        <w:footnoteReference w:id="117"/>
      </w:r>
      <w:r>
        <w:t xml:space="preserve">  These establishments operate television broadcast studios and facilities for the programming and transmission of programs to the public.</w:t>
      </w:r>
      <w:r>
        <w:rPr>
          <w:rStyle w:val="FootnoteReference"/>
        </w:rPr>
        <w:footnoteReference w:id="118"/>
      </w:r>
      <w:r w:rsidR="0002418A">
        <w:t xml:space="preserve"> </w:t>
      </w:r>
      <w:r>
        <w:t xml:space="preserve"> </w:t>
      </w:r>
      <w:r w:rsidRPr="00DE0955">
        <w:t>These establishments also produce or transmit visual programming to affiliated broadcast television stations, which</w:t>
      </w:r>
      <w:r w:rsidR="0002418A">
        <w:t>,</w:t>
      </w:r>
      <w:r w:rsidRPr="00DE0955">
        <w:t xml:space="preserve"> in turn</w:t>
      </w:r>
      <w:r w:rsidR="0002418A">
        <w:t>,</w:t>
      </w:r>
      <w:r w:rsidRPr="00DE0955">
        <w:t xml:space="preserve"> broadcast the programs to the public on a predetermined schedule.  Programming may originate in their own studio</w:t>
      </w:r>
      <w:r w:rsidR="0002418A">
        <w:t>s</w:t>
      </w:r>
      <w:r w:rsidRPr="00DE0955">
        <w:t>, from an affiliated network, or from external sources</w:t>
      </w:r>
      <w:r>
        <w:t>.  The SBA has created the following small business size standard for such businesses: those having $38.5 million or less in annual receipts.</w:t>
      </w:r>
      <w:r>
        <w:rPr>
          <w:rStyle w:val="FootnoteReference"/>
        </w:rPr>
        <w:footnoteReference w:id="119"/>
      </w:r>
      <w:r>
        <w:t xml:space="preserve"> </w:t>
      </w:r>
      <w:r w:rsidR="004452AB">
        <w:t xml:space="preserve"> </w:t>
      </w:r>
      <w:r>
        <w:t>The 2012 Economic Census reports that 751 firms in this category operated in that year.  Of that number, 656 had annual receipts of $25,000,000 or less, 25 had annual receipts between $25,000,000 and $49,999,999</w:t>
      </w:r>
      <w:r w:rsidR="0002418A">
        <w:t>,</w:t>
      </w:r>
      <w:r>
        <w:t xml:space="preserve"> and 70 had annual receipts of $50,000,000 or more.</w:t>
      </w:r>
      <w:r>
        <w:rPr>
          <w:rStyle w:val="FootnoteReference"/>
        </w:rPr>
        <w:footnoteReference w:id="120"/>
      </w:r>
      <w:r>
        <w:t xml:space="preserve">  Based on this data</w:t>
      </w:r>
      <w:r w:rsidR="0002418A">
        <w:t>,</w:t>
      </w:r>
      <w:r>
        <w:t xml:space="preserve"> we therefore estimate that the majority of commercial television broadcasters are small entities under the applicable SBA size standard. </w:t>
      </w:r>
    </w:p>
    <w:p w14:paraId="3DC50472" w14:textId="77777777" w:rsidR="00DC6142" w:rsidRDefault="00DC6142" w:rsidP="00350222">
      <w:pPr>
        <w:pStyle w:val="ParaNum"/>
        <w:numPr>
          <w:ilvl w:val="0"/>
          <w:numId w:val="4"/>
        </w:numPr>
        <w:tabs>
          <w:tab w:val="clear" w:pos="1080"/>
          <w:tab w:val="num" w:pos="1440"/>
        </w:tabs>
      </w:pPr>
      <w:r>
        <w:t>The Commission has estimated the number of licensed commercial television stations to be 1,384.</w:t>
      </w:r>
      <w:r>
        <w:rPr>
          <w:rStyle w:val="FootnoteReference"/>
          <w:szCs w:val="22"/>
        </w:rPr>
        <w:footnoteReference w:id="121"/>
      </w:r>
      <w:r>
        <w:t xml:space="preserve">  Of this total, 1,264 stations (or about 91 percent) had revenues of $38.5 million or less, according to Commission staff review of the BIA Kelsey Inc. Media Access Pro Television Database (BIA) </w:t>
      </w:r>
      <w:r w:rsidRPr="0002418A">
        <w:t>on February 24, 2017, and</w:t>
      </w:r>
      <w:r w:rsidR="0002418A">
        <w:t>,</w:t>
      </w:r>
      <w:r>
        <w:t xml:space="preserve"> therefore</w:t>
      </w:r>
      <w:r w:rsidR="0002418A">
        <w:t>,</w:t>
      </w:r>
      <w:r>
        <w:t xml:space="preserve"> these licensees qualify as small entities under the SBA definition.  </w:t>
      </w:r>
      <w:r w:rsidRPr="00DE0955">
        <w:t>In addition, t</w:t>
      </w:r>
      <w:r>
        <w:t>he Commission has estimated the number of licensed noncommercial educational (NCE) television stations to be 394.</w:t>
      </w:r>
      <w:r>
        <w:rPr>
          <w:rStyle w:val="FootnoteReference"/>
        </w:rPr>
        <w:footnoteReference w:id="122"/>
      </w:r>
      <w:r>
        <w:t xml:space="preserve"> </w:t>
      </w:r>
      <w:r w:rsidR="0002418A">
        <w:t xml:space="preserve"> </w:t>
      </w:r>
      <w:r>
        <w:t>Notwithstanding, the Commission does not compile and otherwise does not have access to information on the revenue of NCE stations that would permit it to determine how many such stations would qualify as small entities.</w:t>
      </w:r>
    </w:p>
    <w:p w14:paraId="4A4859D0" w14:textId="77777777" w:rsidR="00DC6142" w:rsidRPr="00737AD1" w:rsidRDefault="00DC6142" w:rsidP="00202382">
      <w:pPr>
        <w:pStyle w:val="ParaNum"/>
        <w:widowControl/>
        <w:numPr>
          <w:ilvl w:val="0"/>
          <w:numId w:val="4"/>
        </w:numPr>
        <w:tabs>
          <w:tab w:val="clear" w:pos="1080"/>
          <w:tab w:val="num" w:pos="1440"/>
        </w:tabs>
      </w:pPr>
      <w:r>
        <w:t>W</w:t>
      </w:r>
      <w:r w:rsidRPr="00BE3712">
        <w:t>e note, however, that in assessing whether a business concern qualifies as “small” under the above definition, business (control) affiliations</w:t>
      </w:r>
      <w:r w:rsidRPr="00BE3712">
        <w:rPr>
          <w:rStyle w:val="FootnoteReference"/>
          <w:szCs w:val="22"/>
        </w:rPr>
        <w:footnoteReference w:id="123"/>
      </w:r>
      <w:r w:rsidRPr="00BE3712">
        <w:t xml:space="preserve"> must be included. </w:t>
      </w:r>
      <w:r w:rsidR="0002418A">
        <w:t xml:space="preserve"> </w:t>
      </w:r>
      <w:r w:rsidRPr="00BE3712">
        <w:t>Our estimate, therefore</w:t>
      </w:r>
      <w:r w:rsidR="0002418A">
        <w:t>,</w:t>
      </w:r>
      <w:r w:rsidRPr="00BE3712">
        <w:t xml:space="preserve"> likely overstates the number of small entities that might be affected by our action, because the revenue figure on which it is based does not include or aggregate revenues from affiliated companies. </w:t>
      </w:r>
      <w:r w:rsidR="0002418A">
        <w:t xml:space="preserve"> </w:t>
      </w:r>
      <w:r w:rsidRPr="00BE3712">
        <w:t xml:space="preserve">In addition, another element of the definition of “small business” requires that an entity not be dominant in its field of operation. </w:t>
      </w:r>
      <w:r w:rsidR="0002418A">
        <w:t xml:space="preserve"> </w:t>
      </w:r>
      <w:r w:rsidRPr="00BE3712">
        <w:t xml:space="preserve">We are unable at this time to define or quantify the criteria that would establish whether a specific television broadcast station is dominant in its field of operation. </w:t>
      </w:r>
      <w:r w:rsidR="0002418A">
        <w:t xml:space="preserve"> </w:t>
      </w:r>
      <w:r w:rsidRPr="00BE3712">
        <w:t xml:space="preserve">Accordingly, the estimate of small businesses to which rules may apply does not exclude any television station from the definition of a small business on this basis and </w:t>
      </w:r>
      <w:r w:rsidR="0002418A" w:rsidRPr="00BE3712">
        <w:t xml:space="preserve">therefore </w:t>
      </w:r>
      <w:r w:rsidRPr="00BE3712">
        <w:t>is possibly over-inclusive.</w:t>
      </w:r>
      <w:r>
        <w:rPr>
          <w:rStyle w:val="FootnoteReference"/>
        </w:rPr>
        <w:footnoteReference w:id="124"/>
      </w:r>
    </w:p>
    <w:p w14:paraId="54AA5694" w14:textId="77777777" w:rsidR="00DC6142" w:rsidRPr="00737AD1" w:rsidRDefault="00DC6142" w:rsidP="00350222">
      <w:pPr>
        <w:pStyle w:val="ParaNum"/>
        <w:numPr>
          <w:ilvl w:val="0"/>
          <w:numId w:val="4"/>
        </w:numPr>
        <w:tabs>
          <w:tab w:val="clear" w:pos="1080"/>
          <w:tab w:val="num" w:pos="1440"/>
        </w:tabs>
      </w:pPr>
      <w:r w:rsidRPr="00350222">
        <w:rPr>
          <w:i/>
        </w:rPr>
        <w:t>Cable and Other Subscription Programming.</w:t>
      </w:r>
      <w:r w:rsidRPr="00737AD1">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  The SBA size standard for this industry establishes as small any company in this category which receives annual receipts of $38.5 million or less.</w:t>
      </w:r>
      <w:r w:rsidRPr="00737AD1">
        <w:rPr>
          <w:rStyle w:val="FootnoteReference"/>
          <w:sz w:val="22"/>
        </w:rPr>
        <w:footnoteReference w:id="125"/>
      </w:r>
      <w:r w:rsidRPr="00737AD1">
        <w:t xml:space="preserve">  Based on U.S. Census data for 20</w:t>
      </w:r>
      <w:r>
        <w:t>12</w:t>
      </w:r>
      <w:r w:rsidRPr="00737AD1">
        <w:t xml:space="preserve">, in that year </w:t>
      </w:r>
      <w:r>
        <w:t>725</w:t>
      </w:r>
      <w:r w:rsidRPr="00737AD1">
        <w:t xml:space="preserve"> establishments operated for the entire year. Of that </w:t>
      </w:r>
      <w:r>
        <w:t>number</w:t>
      </w:r>
      <w:r w:rsidRPr="00737AD1">
        <w:t xml:space="preserve">, </w:t>
      </w:r>
      <w:r>
        <w:t>488</w:t>
      </w:r>
      <w:r w:rsidRPr="00737AD1">
        <w:t xml:space="preserve"> operated with annual receipts of $10 million a year or </w:t>
      </w:r>
      <w:r>
        <w:t>less and 237</w:t>
      </w:r>
      <w:r w:rsidRPr="00737AD1">
        <w:t xml:space="preserve"> establishments operated with annual receipts of $10 million</w:t>
      </w:r>
      <w:r>
        <w:t xml:space="preserve"> or more</w:t>
      </w:r>
      <w:r w:rsidRPr="00737AD1">
        <w:t>. Based on this data, the Commission estimates that the majority of establishments operating in this industry are small.</w:t>
      </w:r>
      <w:r w:rsidRPr="00737AD1">
        <w:rPr>
          <w:rStyle w:val="FootnoteReference"/>
          <w:sz w:val="22"/>
        </w:rPr>
        <w:footnoteReference w:id="126"/>
      </w:r>
    </w:p>
    <w:p w14:paraId="25C859B0" w14:textId="77777777" w:rsidR="00DC6142" w:rsidRPr="00737AD1" w:rsidRDefault="00DC6142" w:rsidP="00350222">
      <w:pPr>
        <w:pStyle w:val="ParaNum"/>
        <w:numPr>
          <w:ilvl w:val="0"/>
          <w:numId w:val="4"/>
        </w:numPr>
        <w:tabs>
          <w:tab w:val="clear" w:pos="1080"/>
          <w:tab w:val="num" w:pos="1440"/>
        </w:tabs>
      </w:pPr>
      <w:r w:rsidRPr="00350222">
        <w:rPr>
          <w:i/>
        </w:rPr>
        <w:t>Cable System Operators (Rate Regulation Standard)</w:t>
      </w:r>
      <w:r w:rsidRPr="00837297">
        <w:t>.</w:t>
      </w:r>
      <w:r w:rsidRPr="00737AD1">
        <w:t xml:space="preserve"> </w:t>
      </w:r>
      <w:r w:rsidRPr="00234842">
        <w:t xml:space="preserve"> </w:t>
      </w:r>
      <w:r>
        <w:t>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127"/>
      </w:r>
      <w:r>
        <w:t xml:space="preserve">  Industry data indicate that there are currently 4,600 active cable systems in the United States.</w:t>
      </w:r>
      <w:r>
        <w:rPr>
          <w:rStyle w:val="FootnoteReference"/>
        </w:rPr>
        <w:footnoteReference w:id="128"/>
      </w:r>
      <w:r>
        <w:t xml:space="preserve">  Of this total, all but nine cable operators nationwide are small under the 400,000-subscriber size standard.</w:t>
      </w:r>
      <w:r>
        <w:rPr>
          <w:rStyle w:val="FootnoteReference"/>
        </w:rPr>
        <w:footnoteReference w:id="129"/>
      </w:r>
      <w:r>
        <w:t xml:space="preserve">  In addition, under the Commission's rate regulation rules, a “small system” is a cable system serving 15,000 or fewer subscribers.</w:t>
      </w:r>
      <w:r>
        <w:rPr>
          <w:rStyle w:val="FootnoteReference"/>
        </w:rPr>
        <w:footnoteReference w:id="130"/>
      </w:r>
      <w:r>
        <w:t xml:space="preserve">  Current Commission records show 4,600 cable systems nationwide.</w:t>
      </w:r>
      <w:r>
        <w:rPr>
          <w:rStyle w:val="FootnoteReference"/>
        </w:rPr>
        <w:footnoteReference w:id="131"/>
      </w:r>
      <w:r>
        <w:t xml:space="preserve">  Of this total, 3,900 cable systems have fewer than 15,000 subscribers, and 700 systems have 15,000 or more subscribers, based on the same records.</w:t>
      </w:r>
      <w:r>
        <w:rPr>
          <w:rStyle w:val="FootnoteReference"/>
        </w:rPr>
        <w:footnoteReference w:id="132"/>
      </w:r>
      <w:r>
        <w:t xml:space="preserve">  Thus, under this standard as well, we estimate that most cable systems are small entities.</w:t>
      </w:r>
    </w:p>
    <w:p w14:paraId="12257A53" w14:textId="77777777" w:rsidR="00DC6142" w:rsidRDefault="00DC6142" w:rsidP="00350222">
      <w:pPr>
        <w:pStyle w:val="ParaNum"/>
        <w:numPr>
          <w:ilvl w:val="0"/>
          <w:numId w:val="4"/>
        </w:numPr>
        <w:tabs>
          <w:tab w:val="clear" w:pos="1080"/>
          <w:tab w:val="num" w:pos="1440"/>
        </w:tabs>
      </w:pPr>
      <w:r w:rsidRPr="00350222">
        <w:rPr>
          <w:i/>
        </w:rPr>
        <w:t>Cable System Operators (Telecom Act Standard)</w:t>
      </w:r>
      <w:r w:rsidRPr="00837297">
        <w:t>.</w:t>
      </w:r>
      <w:r w:rsidRPr="00350222">
        <w:rPr>
          <w:b/>
        </w:rPr>
        <w:t xml:space="preserve">  </w:t>
      </w:r>
      <w:r w:rsidRPr="00737AD1">
        <w:t xml:space="preserve">The Communications Act of 1934, as amended, also contains a size standard for small cable system operators, which is “a cable operator that, directly or through an affiliate, serves in the aggregate fewer </w:t>
      </w:r>
      <w:r w:rsidRPr="00333F23">
        <w:t xml:space="preserve">than </w:t>
      </w:r>
      <w:r w:rsidRPr="00D72BFF">
        <w:t xml:space="preserve">one percent of all subscribers in the United States and is not affiliated with any entity or entities whose gross annual revenues in the aggregate exceed $250,000,000 are </w:t>
      </w:r>
      <w:r w:rsidRPr="00E051D6">
        <w:t>approximately 52,403,705 cable</w:t>
      </w:r>
      <w:r w:rsidRPr="00D72BFF">
        <w:t xml:space="preserve"> video subscribers in the United States today.</w:t>
      </w:r>
      <w:r w:rsidRPr="00D72BFF">
        <w:rPr>
          <w:rStyle w:val="FootnoteReference"/>
        </w:rPr>
        <w:footnoteReference w:id="133"/>
      </w:r>
      <w:r w:rsidR="004452AB">
        <w:t xml:space="preserve">  </w:t>
      </w:r>
      <w:r w:rsidRPr="00D72BFF">
        <w:t>Accordingly, an operator serving fewer than 524,037 subscribers shall be deemed a small operator if its annual revenues, when combined with the total annual revenues of all its affiliates, do not exceed $250 million in the aggregate.</w:t>
      </w:r>
      <w:r w:rsidRPr="00D72BFF">
        <w:rPr>
          <w:rStyle w:val="FootnoteReference"/>
        </w:rPr>
        <w:footnoteReference w:id="134"/>
      </w:r>
      <w:r w:rsidRPr="00D72BFF">
        <w:t xml:space="preserve">  Based on available data, we find that all but nine incumbent cable operators are small entities under this size standard.</w:t>
      </w:r>
      <w:r w:rsidRPr="00D72BFF">
        <w:rPr>
          <w:rStyle w:val="FootnoteReference"/>
        </w:rPr>
        <w:footnoteReference w:id="135"/>
      </w:r>
      <w:r>
        <w:t xml:space="preserve"> </w:t>
      </w:r>
      <w:r w:rsidRPr="00AE0D3D">
        <w:t xml:space="preserve"> </w:t>
      </w:r>
      <w:r w:rsidRPr="00737AD1">
        <w:t>We note that the Commission neither requests nor collects information on whether cable system operators are affiliated with entities whose gross annual revenues exceed $250 million.</w:t>
      </w:r>
      <w:r w:rsidRPr="00737AD1">
        <w:rPr>
          <w:rStyle w:val="FootnoteReference"/>
          <w:sz w:val="22"/>
        </w:rPr>
        <w:footnoteReference w:id="136"/>
      </w:r>
      <w:r w:rsidRPr="00737AD1">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42D27D45" w14:textId="77777777" w:rsidR="00DC6142" w:rsidRPr="00350222" w:rsidRDefault="00DC6142" w:rsidP="00350222">
      <w:pPr>
        <w:pStyle w:val="ParaNum"/>
        <w:numPr>
          <w:ilvl w:val="0"/>
          <w:numId w:val="4"/>
        </w:numPr>
        <w:tabs>
          <w:tab w:val="clear" w:pos="1080"/>
          <w:tab w:val="num" w:pos="1440"/>
        </w:tabs>
        <w:rPr>
          <w:szCs w:val="24"/>
        </w:rPr>
      </w:pPr>
      <w:r w:rsidRPr="00350222">
        <w:rPr>
          <w:bCs/>
          <w:i/>
        </w:rPr>
        <w:t>Custom Computer Programming Services.</w:t>
      </w:r>
      <w:r w:rsidRPr="00350222">
        <w:rPr>
          <w:b/>
          <w:bCs/>
        </w:rPr>
        <w:t xml:space="preserve">  </w:t>
      </w:r>
      <w:r>
        <w:t>This industry is comprise</w:t>
      </w:r>
      <w:r w:rsidR="00724F37">
        <w:t>d of</w:t>
      </w:r>
      <w:r>
        <w:t xml:space="preserve"> establishments primarily engaged in writing, modifying, testing, and supporting software to meet the needs of a particular customer.</w:t>
      </w:r>
      <w:r>
        <w:rPr>
          <w:rStyle w:val="FootnoteReference"/>
        </w:rPr>
        <w:footnoteReference w:id="137"/>
      </w:r>
      <w:r>
        <w:t xml:space="preserve">  </w:t>
      </w:r>
      <w:r w:rsidRPr="00350222">
        <w:rPr>
          <w:szCs w:val="24"/>
        </w:rPr>
        <w:t xml:space="preserve">The SBA has developed a </w:t>
      </w:r>
      <w:r w:rsidRPr="007B32D2">
        <w:t>small</w:t>
      </w:r>
      <w:r w:rsidRPr="00350222">
        <w:rPr>
          <w:szCs w:val="24"/>
        </w:rPr>
        <w:t xml:space="preserve"> business size standard for this category, which is annual gross receipts of $27.5 million or less.</w:t>
      </w:r>
      <w:r w:rsidRPr="006C4DEA">
        <w:rPr>
          <w:szCs w:val="24"/>
          <w:vertAlign w:val="superscript"/>
        </w:rPr>
        <w:footnoteReference w:id="138"/>
      </w:r>
      <w:r w:rsidRPr="00350222">
        <w:rPr>
          <w:szCs w:val="24"/>
        </w:rPr>
        <w:t xml:space="preserve">  According to data from the 2012 U.S. Census, there were 47,918 establishments engaged in this business in 2012.  Of these, 45,786 had annual gross receipts of less than $10,000,000.  Another 2,132 establishments had gross receipts of $10,000,000 or more.</w:t>
      </w:r>
      <w:r w:rsidRPr="006C4DEA">
        <w:rPr>
          <w:szCs w:val="24"/>
          <w:vertAlign w:val="superscript"/>
        </w:rPr>
        <w:footnoteReference w:id="139"/>
      </w:r>
      <w:r w:rsidRPr="00350222">
        <w:rPr>
          <w:szCs w:val="24"/>
        </w:rPr>
        <w:t xml:space="preserve">  Based on this data, the Commission concludes that the majority of the businesses engaged in this industry are small.</w:t>
      </w:r>
    </w:p>
    <w:p w14:paraId="201CA5F9" w14:textId="77777777" w:rsidR="00DC6142" w:rsidRPr="00837297" w:rsidRDefault="00DC6142" w:rsidP="00350222">
      <w:pPr>
        <w:pStyle w:val="ParaNum"/>
        <w:numPr>
          <w:ilvl w:val="0"/>
          <w:numId w:val="4"/>
        </w:numPr>
        <w:tabs>
          <w:tab w:val="clear" w:pos="1080"/>
          <w:tab w:val="num" w:pos="1440"/>
        </w:tabs>
      </w:pPr>
      <w:r w:rsidRPr="00350222">
        <w:rPr>
          <w:i/>
        </w:rPr>
        <w:t>Radio and Television Broadcasting and Wireless Communications Equipment Manufacturing</w:t>
      </w:r>
      <w:r>
        <w:t xml:space="preserve">.  </w:t>
      </w:r>
      <w:r w:rsidRPr="00EB7DD0">
        <w:t>This industry comprises establishments primarily engaged in manufacturing radio and television broadcast and wireless communications equipment.</w:t>
      </w:r>
      <w:r w:rsidR="00724F37">
        <w:t xml:space="preserve"> </w:t>
      </w:r>
      <w:r w:rsidRPr="00EB7DD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40"/>
      </w:r>
      <w:r>
        <w:t xml:space="preserve"> </w:t>
      </w:r>
      <w:r w:rsidR="00724F37">
        <w:t xml:space="preserve"> </w:t>
      </w:r>
      <w:r>
        <w:t xml:space="preserve">The Small Business Administration has established a size standard for this industry of 1,250 or fewer employees. </w:t>
      </w:r>
      <w:r>
        <w:rPr>
          <w:rStyle w:val="FootnoteReference"/>
        </w:rPr>
        <w:footnoteReference w:id="141"/>
      </w:r>
      <w:r>
        <w:t xml:space="preserve">  U.S. Census data for 2012 shows that 841 establishments operated in this industry in that year. </w:t>
      </w:r>
      <w:r w:rsidR="00EB4B53">
        <w:t xml:space="preserve"> </w:t>
      </w:r>
      <w:r>
        <w:t>Of that number, 828 establishments operated with fewer than 1,000 employees, 7 establishments operated with between 1,000 and 2,499 employees and 6 establishments operated with 2,500 or more employees.</w:t>
      </w:r>
      <w:r>
        <w:rPr>
          <w:rStyle w:val="FootnoteReference"/>
        </w:rPr>
        <w:footnoteReference w:id="142"/>
      </w:r>
      <w:r>
        <w:t xml:space="preserve">  Based on this data, we conclude that a majority of manufacturers in </w:t>
      </w:r>
      <w:r w:rsidRPr="00837297">
        <w:t>this industry are small.</w:t>
      </w:r>
    </w:p>
    <w:p w14:paraId="0617F623" w14:textId="77777777" w:rsidR="00DC6142" w:rsidRDefault="00DC6142" w:rsidP="00350222">
      <w:pPr>
        <w:pStyle w:val="ParaNum"/>
        <w:numPr>
          <w:ilvl w:val="0"/>
          <w:numId w:val="4"/>
        </w:numPr>
        <w:tabs>
          <w:tab w:val="clear" w:pos="1080"/>
          <w:tab w:val="num" w:pos="1440"/>
        </w:tabs>
      </w:pPr>
      <w:r w:rsidRPr="00350222">
        <w:rPr>
          <w:i/>
        </w:rPr>
        <w:t>Satellite Telecommunications.</w:t>
      </w:r>
      <w:r w:rsidRPr="00737AD1">
        <w:t xml:space="preserve">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43"/>
      </w:r>
      <w:r>
        <w:t xml:space="preserve">  The category has a small business size standard of $32.5 million or less in average annual receipts, under SBA rules.</w:t>
      </w:r>
      <w:r>
        <w:rPr>
          <w:rStyle w:val="FootnoteReference"/>
        </w:rPr>
        <w:footnoteReference w:id="144"/>
      </w:r>
      <w:r>
        <w:t xml:space="preserve">  For this category, U.S. Census Bureau data for 2012 shows that there were a total of 333 firms that operated for the entire year.</w:t>
      </w:r>
      <w:r>
        <w:rPr>
          <w:rStyle w:val="FootnoteReference"/>
        </w:rPr>
        <w:footnoteReference w:id="145"/>
      </w:r>
      <w:r>
        <w:t xml:space="preserve">  Of this total, 299 firms had annual receipts of less than $25 million.</w:t>
      </w:r>
      <w:r>
        <w:rPr>
          <w:rStyle w:val="FootnoteReference"/>
        </w:rPr>
        <w:footnoteReference w:id="146"/>
      </w:r>
      <w:r>
        <w:t xml:space="preserve">  Consequently, we estimate that the majority of satellite telecommunications providers are small entities</w:t>
      </w:r>
      <w:r w:rsidRPr="00737AD1">
        <w:t>.</w:t>
      </w:r>
    </w:p>
    <w:p w14:paraId="604A446D" w14:textId="77777777" w:rsidR="00DC6142" w:rsidRDefault="00DC6142" w:rsidP="00512412">
      <w:pPr>
        <w:pStyle w:val="ParaNum"/>
        <w:numPr>
          <w:ilvl w:val="0"/>
          <w:numId w:val="4"/>
        </w:numPr>
        <w:tabs>
          <w:tab w:val="clear" w:pos="1080"/>
          <w:tab w:val="num" w:pos="1440"/>
        </w:tabs>
      </w:pPr>
      <w:r w:rsidRPr="00350222">
        <w:rPr>
          <w:i/>
        </w:rPr>
        <w:t>Software Publishers.</w:t>
      </w:r>
      <w:r w:rsidRPr="00350222">
        <w:rPr>
          <w:b/>
        </w:rPr>
        <w:t xml:space="preserve"> </w:t>
      </w:r>
      <w:r w:rsidR="00EB4B53" w:rsidRPr="00350222">
        <w:rPr>
          <w:b/>
        </w:rPr>
        <w:t xml:space="preserve"> </w:t>
      </w:r>
      <w:r w:rsidRPr="00E66D01">
        <w:t xml:space="preserve">This industry comprises establishments primarily engaged in computer software publishing or publishing and reproduction. </w:t>
      </w:r>
      <w:r w:rsidR="00EB4B53">
        <w:t xml:space="preserve"> </w:t>
      </w:r>
      <w:r w:rsidRPr="00E66D01">
        <w:t>Establishments in this industry carry out operations necessary for producing and distributing computer software, such as designing, providing documentation, assisting in installation, and providing support services to software purchasers.</w:t>
      </w:r>
      <w:r w:rsidR="00EB4B53">
        <w:t xml:space="preserve"> </w:t>
      </w:r>
      <w:r w:rsidRPr="00E66D01">
        <w:t xml:space="preserve"> These establishments may design, develop, and publish, or publish only.</w:t>
      </w:r>
      <w:r>
        <w:rPr>
          <w:rStyle w:val="FootnoteReference"/>
        </w:rPr>
        <w:footnoteReference w:id="147"/>
      </w:r>
      <w:r>
        <w:t xml:space="preserve"> </w:t>
      </w:r>
      <w:r w:rsidR="00EB4B53">
        <w:t xml:space="preserve"> </w:t>
      </w:r>
      <w:r>
        <w:t>The SBA has established a size standard for this industry of annual receipts of $38.5 million per year.</w:t>
      </w:r>
      <w:r>
        <w:rPr>
          <w:rStyle w:val="FootnoteReference"/>
        </w:rPr>
        <w:footnoteReference w:id="148"/>
      </w:r>
      <w:r>
        <w:t xml:space="preserve"> </w:t>
      </w:r>
      <w:r w:rsidR="00EB4B53">
        <w:t xml:space="preserve"> </w:t>
      </w:r>
      <w:r>
        <w:t xml:space="preserve">U.S. Census data for 2012 indicates that 5,079 firms operated in that year. </w:t>
      </w:r>
      <w:r w:rsidR="00EB4B53">
        <w:t xml:space="preserve"> </w:t>
      </w:r>
      <w:r>
        <w:t>O</w:t>
      </w:r>
      <w:r w:rsidR="00EB4B53">
        <w:t>f</w:t>
      </w:r>
      <w:r>
        <w:t xml:space="preserve"> that number, 4,697 firms had annual receipts of $25 million or less.</w:t>
      </w:r>
      <w:r>
        <w:rPr>
          <w:rStyle w:val="FootnoteReference"/>
        </w:rPr>
        <w:footnoteReference w:id="149"/>
      </w:r>
      <w:r>
        <w:t xml:space="preserve"> </w:t>
      </w:r>
      <w:r w:rsidR="00EB4B53">
        <w:t xml:space="preserve"> </w:t>
      </w:r>
      <w:r>
        <w:t>Based on that data, we conclude that a majority of firms in this industry are small.</w:t>
      </w:r>
    </w:p>
    <w:p w14:paraId="1C2FEDC7" w14:textId="77777777" w:rsidR="00512412" w:rsidRPr="00737AD1" w:rsidRDefault="00512412" w:rsidP="00512412">
      <w:pPr>
        <w:pStyle w:val="ParaNum"/>
        <w:numPr>
          <w:ilvl w:val="0"/>
          <w:numId w:val="4"/>
        </w:numPr>
        <w:tabs>
          <w:tab w:val="clear" w:pos="1080"/>
          <w:tab w:val="num" w:pos="1440"/>
        </w:tabs>
      </w:pPr>
      <w:r>
        <w:rPr>
          <w:i/>
        </w:rPr>
        <w:t>All Other Telecommunications Providers</w:t>
      </w:r>
      <w:r>
        <w:t xml:space="preserve">.  The </w:t>
      </w:r>
      <w:r w:rsidRPr="00EB4B53">
        <w:t>“</w:t>
      </w:r>
      <w:r w:rsidRPr="00EC2D19">
        <w:t xml:space="preserve">All Other Telecommunications” </w:t>
      </w:r>
      <w:r>
        <w:t xml:space="preserve">category </w:t>
      </w:r>
      <w:r w:rsidRPr="00EC2D19">
        <w:t>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EC2D19">
        <w:rPr>
          <w:sz w:val="20"/>
          <w:vertAlign w:val="superscript"/>
        </w:rPr>
        <w:footnoteReference w:id="150"/>
      </w:r>
      <w:r w:rsidRPr="00EC2D19">
        <w:t xml:space="preserve">  The SBA has developed a small business size standard for “All Other Telecommunications,” which consists of all such firms with gross annual receipts of $32.5 million or less.</w:t>
      </w:r>
      <w:r w:rsidRPr="00EC2D19">
        <w:rPr>
          <w:sz w:val="20"/>
          <w:vertAlign w:val="superscript"/>
        </w:rPr>
        <w:footnoteReference w:id="151"/>
      </w:r>
      <w:r w:rsidRPr="00EC2D19">
        <w:t xml:space="preserve">  For this category, </w:t>
      </w:r>
      <w:r>
        <w:t>U.S. Census d</w:t>
      </w:r>
      <w:r w:rsidRPr="00EC2D19">
        <w:t>ata for 2012 show</w:t>
      </w:r>
      <w:r>
        <w:t>s</w:t>
      </w:r>
      <w:r w:rsidRPr="00EC2D19">
        <w:t xml:space="preserve"> that there were 1,442 firms that operated for the entire year.  Of these firms, a total of 1,400 had gross annual receipts of less than $25 million.</w:t>
      </w:r>
      <w:r w:rsidRPr="00EC2D19">
        <w:rPr>
          <w:sz w:val="20"/>
          <w:vertAlign w:val="superscript"/>
        </w:rPr>
        <w:footnoteReference w:id="152"/>
      </w:r>
      <w:r w:rsidRPr="00EC2D19">
        <w:t xml:space="preserve">  Thus, a majority of “All Other Telecommunications” firms potentially affected by the rules adopted can be considered small</w:t>
      </w:r>
      <w:r w:rsidRPr="00737AD1">
        <w:t>.</w:t>
      </w:r>
    </w:p>
    <w:p w14:paraId="75C1BF82" w14:textId="77777777" w:rsidR="00DC6142" w:rsidRDefault="00DC6142" w:rsidP="00350222">
      <w:pPr>
        <w:pStyle w:val="ParaNum"/>
        <w:numPr>
          <w:ilvl w:val="0"/>
          <w:numId w:val="4"/>
        </w:numPr>
        <w:tabs>
          <w:tab w:val="clear" w:pos="1080"/>
          <w:tab w:val="num" w:pos="1440"/>
        </w:tabs>
      </w:pPr>
      <w:r w:rsidRPr="00350222">
        <w:rPr>
          <w:i/>
        </w:rPr>
        <w:t>Broadband Radio Service and Educational Broadband Service.</w:t>
      </w:r>
      <w:r w:rsidRPr="00CF2B56">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CF2B56">
        <w:rPr>
          <w:rStyle w:val="FootnoteReference"/>
        </w:rPr>
        <w:footnoteReference w:id="153"/>
      </w:r>
      <w:r w:rsidRPr="00CF2B56">
        <w:t xml:space="preserve">  </w:t>
      </w:r>
    </w:p>
    <w:p w14:paraId="24DCE4BA" w14:textId="77777777" w:rsidR="00DC6142" w:rsidRPr="00CF2B56" w:rsidRDefault="00DC6142" w:rsidP="00350222">
      <w:pPr>
        <w:pStyle w:val="ParaNum"/>
        <w:numPr>
          <w:ilvl w:val="0"/>
          <w:numId w:val="4"/>
        </w:numPr>
        <w:tabs>
          <w:tab w:val="clear" w:pos="1080"/>
          <w:tab w:val="num" w:pos="1440"/>
        </w:tabs>
      </w:pPr>
      <w:r w:rsidRPr="00350222">
        <w:rPr>
          <w:i/>
        </w:rPr>
        <w:t>BRS</w:t>
      </w:r>
      <w:r w:rsidR="00BD36E0" w:rsidRPr="00350222">
        <w:rPr>
          <w:i/>
        </w:rPr>
        <w:t>.</w:t>
      </w:r>
      <w:r w:rsidRPr="00350222">
        <w:rPr>
          <w:i/>
        </w:rPr>
        <w:t xml:space="preserve"> </w:t>
      </w:r>
      <w:r>
        <w:t xml:space="preserve"> </w:t>
      </w:r>
      <w:r w:rsidRPr="00CF2B56">
        <w:t>In connection with the 1996 BRS auction, the Commission established a small business size standard as an entity that had annual average gross revenues of no more than $40 million in the previous three calendar years.</w:t>
      </w:r>
      <w:r w:rsidRPr="00CF2B56">
        <w:rPr>
          <w:rStyle w:val="FootnoteReference"/>
        </w:rPr>
        <w:footnoteReference w:id="154"/>
      </w:r>
      <w:r w:rsidRPr="00CF2B56">
        <w:t xml:space="preserve">  The BRS auctions resulted in 67 successful bidders obtaining licensing opportunities for 493 Basic Trading Areas (BTAs).  Of the 67 auction winners, 61 met the definition of a small business.  BRS also includes licensees of stations authorized prior to the auction.  </w:t>
      </w:r>
      <w:r w:rsidRPr="00DC6142">
        <w:t>At this time, we estimate that of the 61 small business BRS auction winners, 48 remain small business licensees.</w:t>
      </w:r>
      <w:r w:rsidRPr="00915C57">
        <w:t xml:space="preserve">  In addition to the 48 small businesses that hold BTA authorizations, there are approximately 392 incumbent BRS licensees t</w:t>
      </w:r>
      <w:r w:rsidRPr="00CF2B56">
        <w:t>hat are considered small entities.</w:t>
      </w:r>
      <w:r w:rsidRPr="00CF2B56">
        <w:rPr>
          <w:rStyle w:val="FootnoteReference"/>
        </w:rPr>
        <w:footnoteReference w:id="155"/>
      </w:r>
      <w:r w:rsidRPr="00CF2B56">
        <w:t xml:space="preserve">  After adding the number of small business auction licensees to the number of incumbent licensees not already counted, we find that </w:t>
      </w:r>
      <w:r w:rsidRPr="00DC6142">
        <w:t>there are currently approximately 440 BRS licensees</w:t>
      </w:r>
      <w:r w:rsidRPr="00CF2B56">
        <w:t xml:space="preserve"> that are defined as small businesses under either the SBA or the Commission’s rules.</w:t>
      </w:r>
    </w:p>
    <w:p w14:paraId="493F68D8" w14:textId="77777777" w:rsidR="00DC6142" w:rsidRPr="00CF2B56" w:rsidRDefault="00DC6142" w:rsidP="00870A11">
      <w:pPr>
        <w:pStyle w:val="ParaNum"/>
        <w:widowControl/>
        <w:numPr>
          <w:ilvl w:val="0"/>
          <w:numId w:val="4"/>
        </w:numPr>
        <w:tabs>
          <w:tab w:val="clear" w:pos="1080"/>
          <w:tab w:val="num" w:pos="1440"/>
        </w:tabs>
      </w:pPr>
      <w:r w:rsidRPr="00CF2B56">
        <w:t>In 2009, the Commission conducted Auction 86, the sale of 78 licenses in the BRS areas.</w:t>
      </w:r>
      <w:r w:rsidRPr="00CF2B56">
        <w:rPr>
          <w:vertAlign w:val="superscript"/>
        </w:rPr>
        <w:footnoteReference w:id="156"/>
      </w:r>
      <w:r w:rsidRPr="00CF2B5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CF2B56">
        <w:rPr>
          <w:vertAlign w:val="superscript"/>
        </w:rPr>
        <w:footnoteReference w:id="157"/>
      </w:r>
      <w:r w:rsidRPr="00CF2B56">
        <w:t xml:space="preserve">  Auction 86 concluded in 2009 with the sale of 61 licenses.</w:t>
      </w:r>
      <w:r w:rsidRPr="00CF2B56">
        <w:rPr>
          <w:vertAlign w:val="superscript"/>
        </w:rPr>
        <w:footnoteReference w:id="158"/>
      </w:r>
      <w:r w:rsidRPr="00CF2B56">
        <w:t xml:space="preserve">  Of the ten winning bidders, two bidders that claimed small business status won 4 licenses; one bidder that claimed very small business status won three licenses; and two bidders that claimed entrepreneur status won six licenses.</w:t>
      </w:r>
      <w:r>
        <w:t xml:space="preserve">  </w:t>
      </w:r>
    </w:p>
    <w:p w14:paraId="20A605EE" w14:textId="30DFCA6D" w:rsidR="00DC6142" w:rsidRPr="00737AD1" w:rsidRDefault="00DC6142" w:rsidP="00350222">
      <w:pPr>
        <w:pStyle w:val="ParaNum"/>
        <w:numPr>
          <w:ilvl w:val="0"/>
          <w:numId w:val="4"/>
        </w:numPr>
        <w:tabs>
          <w:tab w:val="clear" w:pos="1080"/>
          <w:tab w:val="num" w:pos="1440"/>
        </w:tabs>
      </w:pPr>
      <w:r w:rsidRPr="00350222">
        <w:rPr>
          <w:i/>
        </w:rPr>
        <w:t>EBS</w:t>
      </w:r>
      <w:r w:rsidR="00BD36E0">
        <w:t xml:space="preserve">. </w:t>
      </w:r>
      <w:r>
        <w:t xml:space="preserve"> T</w:t>
      </w:r>
      <w:r w:rsidRPr="00CF2B56">
        <w:t xml:space="preserve">he SBA’s Cable Television Distribution Services small business size standard is applicable to EBS.  </w:t>
      </w:r>
      <w:r w:rsidRPr="00DC6142">
        <w:t>There are presently 2,436 EBS licensees</w:t>
      </w:r>
      <w:r w:rsidRPr="00CF2B56">
        <w:t>.  All but 100 of these licenses are held by educational institutions.  Educational institutions are included in this analysis as small entities.</w:t>
      </w:r>
      <w:r w:rsidRPr="00CF2B56">
        <w:rPr>
          <w:vertAlign w:val="superscript"/>
        </w:rPr>
        <w:footnoteReference w:id="159"/>
      </w:r>
      <w:r w:rsidRPr="00CF2B56">
        <w:t xml:space="preserve">  Thus, we estimate that at least 2,336 licensees are small businesses.  </w:t>
      </w:r>
      <w:r w:rsidRPr="00F81B84">
        <w:t>Since 2007,</w:t>
      </w:r>
      <w:r w:rsidRPr="00350222">
        <w:rPr>
          <w:i/>
        </w:rPr>
        <w:t xml:space="preserve"> </w:t>
      </w:r>
      <w:r w:rsidRPr="004E34D7">
        <w:t>Cable Television Distribution Services have been defined within the broad economic census category of Wired Telecommunications Carriers</w:t>
      </w:r>
      <w:r w:rsidRPr="007613BA">
        <w:t>.</w:t>
      </w:r>
      <w:r w:rsidR="00C109DB">
        <w:t xml:space="preserve"> </w:t>
      </w:r>
      <w:r w:rsidRPr="007613BA">
        <w:t xml:space="preserve"> Wired Telecommunications Carriers are </w:t>
      </w:r>
      <w:r w:rsidRPr="00350222">
        <w:rPr>
          <w:rFonts w:eastAsia="Arial"/>
        </w:rPr>
        <w:t xml:space="preserve">comprised of establishments </w:t>
      </w:r>
      <w:r w:rsidRPr="00CF2B56">
        <w:t>primarily</w:t>
      </w:r>
      <w:r w:rsidRPr="00350222">
        <w:rPr>
          <w:rFonts w:eastAsia="Arial"/>
        </w:rPr>
        <w:t xml:space="preserve"> engaged in operating and/or providing access to transmission facilities and infrastructure that they own and/or lease for the transmission of voice, data, text, sound, and </w:t>
      </w:r>
      <w:r w:rsidRPr="007B32D2">
        <w:t>video</w:t>
      </w:r>
      <w:r w:rsidRPr="00350222">
        <w:rPr>
          <w:rFonts w:eastAsia="Arial"/>
        </w:rPr>
        <w:t xml:space="preserve"> using wired telecommunications networks.  Transmission facilities may be based on a single technology or a combination of technologies.</w:t>
      </w:r>
      <w:r w:rsidRPr="00CF2B56">
        <w:rPr>
          <w:rStyle w:val="FootnoteReference"/>
        </w:rPr>
        <w:footnoteReference w:id="160"/>
      </w:r>
      <w:r w:rsidR="00561CED" w:rsidRPr="00350222">
        <w:rPr>
          <w:rFonts w:eastAsia="Arial"/>
        </w:rPr>
        <w:t xml:space="preserve">  </w:t>
      </w:r>
      <w:r w:rsidRPr="00737AD1">
        <w:t>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737AD1">
        <w:rPr>
          <w:rStyle w:val="FootnoteReference"/>
          <w:sz w:val="22"/>
        </w:rPr>
        <w:footnoteReference w:id="161"/>
      </w:r>
      <w:r w:rsidRPr="00737AD1">
        <w:t xml:space="preserve">  </w:t>
      </w:r>
      <w:r w:rsidRPr="00CF2B56">
        <w:t>The SBA</w:t>
      </w:r>
      <w:r>
        <w:t>’s</w:t>
      </w:r>
      <w:r w:rsidRPr="00CF2B56">
        <w:t xml:space="preserve"> small business size</w:t>
      </w:r>
      <w:r>
        <w:t xml:space="preserve"> standard for this category is </w:t>
      </w:r>
      <w:r w:rsidRPr="00CF2B56">
        <w:t xml:space="preserve">all such firms having 1,500 or fewer employees.  </w:t>
      </w:r>
      <w:r>
        <w:t xml:space="preserve">U.S. </w:t>
      </w:r>
      <w:r w:rsidRPr="006B4EB2">
        <w:t>Census data for 2012 shows that there were 3,117 firms that operated that year.  Of this total, 3,083 operated with fewer than 1,000 employees.  Thus, under this size standard, the majority of firms in this industry can be considered small.</w:t>
      </w:r>
      <w:r w:rsidRPr="00350222">
        <w:rPr>
          <w:szCs w:val="22"/>
        </w:rPr>
        <w:t xml:space="preserve"> </w:t>
      </w:r>
      <w:r w:rsidRPr="00737AD1">
        <w:t>In addition to Census data, the Commission’s internal records indicate that as of September 2014, there are 2,207 active EBS licenses</w:t>
      </w:r>
      <w:r w:rsidR="0046184B">
        <w:t>.</w:t>
      </w:r>
      <w:r w:rsidR="0046184B">
        <w:rPr>
          <w:rStyle w:val="FootnoteReference"/>
        </w:rPr>
        <w:footnoteReference w:id="162"/>
      </w:r>
      <w:r w:rsidR="0046184B">
        <w:t xml:space="preserve"> </w:t>
      </w:r>
      <w:r w:rsidRPr="00737AD1">
        <w:t xml:space="preserve"> The Commission estimates that of these 2,207 licenses, the majority are held by non-profit educational institutions and school districts, which are by statute defined as small businesses.</w:t>
      </w:r>
      <w:r w:rsidR="0046184B">
        <w:rPr>
          <w:rStyle w:val="FootnoteReference"/>
        </w:rPr>
        <w:footnoteReference w:id="163"/>
      </w:r>
      <w:r w:rsidR="0046184B">
        <w:t xml:space="preserve"> </w:t>
      </w:r>
    </w:p>
    <w:p w14:paraId="1C3E3EAD" w14:textId="77777777" w:rsidR="00DC6142" w:rsidRDefault="00DC6142" w:rsidP="00350222">
      <w:pPr>
        <w:pStyle w:val="ParaNum"/>
        <w:numPr>
          <w:ilvl w:val="0"/>
          <w:numId w:val="4"/>
        </w:numPr>
        <w:tabs>
          <w:tab w:val="clear" w:pos="1080"/>
          <w:tab w:val="num" w:pos="1440"/>
        </w:tabs>
      </w:pPr>
      <w:r w:rsidRPr="00350222">
        <w:rPr>
          <w:i/>
        </w:rPr>
        <w:t>Direct Broadcast Satellite (“DBS”) Service</w:t>
      </w:r>
      <w:r w:rsidRPr="00DC6142">
        <w:t xml:space="preserve">.  DBS service is a nationally distributed subscription service that delivers video and audio programming via satellite to a small parabolic “dish” antenna at the subscriber’s location.  </w:t>
      </w:r>
      <w:r w:rsidRPr="00915C57">
        <w:t>DBS</w:t>
      </w:r>
      <w:r w:rsidRPr="00445160">
        <w:t xml:space="preserve">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5160">
        <w:rPr>
          <w:sz w:val="20"/>
          <w:vertAlign w:val="superscript"/>
        </w:rPr>
        <w:footnoteReference w:id="164"/>
      </w:r>
      <w:r w:rsidRPr="00445160">
        <w:t xml:space="preserve">  The SBA determines that a wireline business is small if it has fewer than 1500 employees.</w:t>
      </w:r>
      <w:r w:rsidRPr="00445160">
        <w:rPr>
          <w:sz w:val="20"/>
          <w:vertAlign w:val="superscript"/>
        </w:rPr>
        <w:footnoteReference w:id="165"/>
      </w:r>
      <w:r w:rsidRPr="00445160">
        <w:t xml:space="preserve"> </w:t>
      </w:r>
      <w:r w:rsidR="00C109DB">
        <w:t xml:space="preserve"> </w:t>
      </w:r>
      <w:r>
        <w:t xml:space="preserve">U.S. </w:t>
      </w:r>
      <w:r w:rsidRPr="00445160">
        <w:t xml:space="preserve"> Census data for 2012 indicate</w:t>
      </w:r>
      <w:r>
        <w:t>s</w:t>
      </w:r>
      <w:r w:rsidRPr="00445160">
        <w:t xml:space="preserve"> that 3,117 wireline companies were operational during that year.  Of that number, 3,083 operated with fewer than 1,000 employees.</w:t>
      </w:r>
      <w:r w:rsidRPr="00445160">
        <w:rPr>
          <w:sz w:val="20"/>
          <w:vertAlign w:val="superscript"/>
        </w:rPr>
        <w:footnoteReference w:id="166"/>
      </w:r>
      <w:r w:rsidRPr="00445160">
        <w:t xml:space="preserve">  Based on that data, we conclude that the majority of wireline firms are small under the applicable standard.  However, currently only two entities provide DBS service, which requires a great deal of capital for operation: DIRECTV (owned by AT&amp;T) and DISH Network.</w:t>
      </w:r>
      <w:r w:rsidRPr="00445160">
        <w:rPr>
          <w:sz w:val="20"/>
          <w:vertAlign w:val="superscript"/>
        </w:rPr>
        <w:footnoteReference w:id="167"/>
      </w:r>
      <w:r w:rsidRPr="00445160">
        <w:t xml:space="preserve">  DIRECTV and DISH Network each report annual revenues that are in excess of the threshold for a small business.  Accordingly, we must conclude that internally developed FCC data are persuasive that</w:t>
      </w:r>
      <w:r w:rsidR="00C109DB">
        <w:t>,</w:t>
      </w:r>
      <w:r w:rsidRPr="00445160">
        <w:t xml:space="preserve"> in general</w:t>
      </w:r>
      <w:r w:rsidR="00C109DB">
        <w:t>,</w:t>
      </w:r>
      <w:r w:rsidRPr="00445160">
        <w:t xml:space="preserve"> DBS service is provided only by large firms.</w:t>
      </w:r>
    </w:p>
    <w:p w14:paraId="1AF723B4" w14:textId="77777777" w:rsidR="00DC6142" w:rsidRDefault="00DC6142" w:rsidP="009973EE">
      <w:pPr>
        <w:pStyle w:val="ParaNum"/>
        <w:numPr>
          <w:ilvl w:val="0"/>
          <w:numId w:val="4"/>
        </w:numPr>
        <w:tabs>
          <w:tab w:val="clear" w:pos="1080"/>
          <w:tab w:val="num" w:pos="1440"/>
        </w:tabs>
      </w:pPr>
      <w:r w:rsidRPr="009973EE">
        <w:rPr>
          <w:i/>
        </w:rPr>
        <w:t>Wired Telecommunications Carriers</w:t>
      </w:r>
      <w:r w:rsidRPr="008F1EC5">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F1EC5">
        <w:rPr>
          <w:sz w:val="20"/>
          <w:vertAlign w:val="superscript"/>
        </w:rPr>
        <w:footnoteReference w:id="168"/>
      </w:r>
      <w:r w:rsidRPr="008F1EC5">
        <w:t xml:space="preserve">  The SBA has developed a small business size standard for Wired Telecommunications Carriers, which consists of all such companies having 1,500 or fewer employees.</w:t>
      </w:r>
      <w:r w:rsidRPr="008F1EC5">
        <w:rPr>
          <w:sz w:val="20"/>
          <w:vertAlign w:val="superscript"/>
        </w:rPr>
        <w:footnoteReference w:id="169"/>
      </w:r>
      <w:r w:rsidRPr="008F1EC5">
        <w:t xml:space="preserve">  </w:t>
      </w:r>
      <w:r w:rsidR="00C109DB">
        <w:t xml:space="preserve">U.S. </w:t>
      </w:r>
      <w:r w:rsidRPr="008F1EC5">
        <w:t>Census data for 2012 shows that there were 3,117 firms that operated that year.  Of this total, 3,083 operated with fewer than 1,000 employees.</w:t>
      </w:r>
      <w:r w:rsidRPr="008F1EC5">
        <w:rPr>
          <w:sz w:val="20"/>
          <w:vertAlign w:val="superscript"/>
        </w:rPr>
        <w:footnoteReference w:id="170"/>
      </w:r>
      <w:r w:rsidRPr="008F1EC5">
        <w:t xml:space="preserve">  Thus, under this size standard, the majority of firms in this industry can be considered small.</w:t>
      </w:r>
    </w:p>
    <w:p w14:paraId="1621745A" w14:textId="77777777" w:rsidR="00D91C93" w:rsidRPr="009973EE" w:rsidRDefault="00D91C93" w:rsidP="009973EE">
      <w:pPr>
        <w:pStyle w:val="ParaNum"/>
        <w:numPr>
          <w:ilvl w:val="0"/>
          <w:numId w:val="4"/>
        </w:numPr>
        <w:tabs>
          <w:tab w:val="clear" w:pos="1080"/>
          <w:tab w:val="num" w:pos="1440"/>
        </w:tabs>
      </w:pPr>
      <w:r w:rsidRPr="009973EE">
        <w:rPr>
          <w:i/>
        </w:rPr>
        <w:t>Wireless Communications Service</w:t>
      </w:r>
      <w:r>
        <w:t xml:space="preserve">.  </w:t>
      </w:r>
      <w:r w:rsidRPr="00231D72">
        <w:t>This service can be used for fixed, mobile, radiolocation, and digital audio broadcasting satellite uses.  The Commission established small business size standards for the wireless communications services (WCS) auction.</w:t>
      </w:r>
      <w:r w:rsidRPr="00231D72">
        <w:rPr>
          <w:vertAlign w:val="superscript"/>
        </w:rPr>
        <w:footnoteReference w:id="171"/>
      </w:r>
      <w:r w:rsidRPr="00231D72">
        <w:t xml:space="preserve">  A “small business” is an entity with average gross revenues of $40 million for each of the three preceding years, and a “very small business” is an entity with average gross revenues of $15 million for each of the three preceding years.  The SBA has approved these small business size standards.</w:t>
      </w:r>
      <w:r w:rsidRPr="00231D72">
        <w:rPr>
          <w:vertAlign w:val="superscript"/>
        </w:rPr>
        <w:footnoteReference w:id="172"/>
      </w:r>
      <w:r w:rsidRPr="00231D72">
        <w:t xml:space="preserve">  The Commission auctioned geographic area licenses in the WCS service.  In the auction, there were seven winning bidders that qualified as “very small business” entities, and one that qualified as a “small business” entity.</w:t>
      </w:r>
    </w:p>
    <w:p w14:paraId="1C7970DF" w14:textId="77777777" w:rsidR="00DC6142" w:rsidRPr="00350222" w:rsidRDefault="00DC6142" w:rsidP="00350222">
      <w:pPr>
        <w:pStyle w:val="ParaNum"/>
        <w:numPr>
          <w:ilvl w:val="0"/>
          <w:numId w:val="4"/>
        </w:numPr>
        <w:tabs>
          <w:tab w:val="clear" w:pos="1080"/>
          <w:tab w:val="num" w:pos="1440"/>
        </w:tabs>
        <w:rPr>
          <w:szCs w:val="22"/>
        </w:rPr>
      </w:pPr>
      <w:r w:rsidRPr="00350222">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73"/>
      </w:r>
      <w:r>
        <w:t xml:space="preserve">  The appropriate size standard under SBA rules is that such a business is small if it has 1,500 or fewer employees</w:t>
      </w:r>
      <w:r w:rsidRPr="00350222">
        <w:rPr>
          <w:szCs w:val="22"/>
        </w:rPr>
        <w:t>.</w:t>
      </w:r>
      <w:r w:rsidRPr="00BC3055">
        <w:rPr>
          <w:rStyle w:val="FootnoteReference"/>
          <w:szCs w:val="22"/>
        </w:rPr>
        <w:footnoteReference w:id="174"/>
      </w:r>
      <w:r w:rsidRPr="00350222">
        <w:rPr>
          <w:szCs w:val="22"/>
        </w:rPr>
        <w:t xml:space="preserve">  For this industry, U.S. Census data for 2012 show that there were 967 firms that operated for the entire year.</w:t>
      </w:r>
      <w:r w:rsidRPr="00BC3055">
        <w:rPr>
          <w:rStyle w:val="FootnoteReference"/>
          <w:szCs w:val="22"/>
        </w:rPr>
        <w:footnoteReference w:id="175"/>
      </w:r>
      <w:r w:rsidRPr="00350222">
        <w:rPr>
          <w:szCs w:val="22"/>
        </w:rPr>
        <w:t xml:space="preserve">  Of this total, 955 firms had employment of 999 or fewer employees and 12 had employment of 1000 employees or more.</w:t>
      </w:r>
      <w:r w:rsidRPr="00BC3055">
        <w:rPr>
          <w:rStyle w:val="FootnoteReference"/>
          <w:szCs w:val="22"/>
        </w:rPr>
        <w:footnoteReference w:id="176"/>
      </w:r>
      <w:r w:rsidRPr="00350222">
        <w:rPr>
          <w:szCs w:val="22"/>
        </w:rPr>
        <w:t xml:space="preserve">  </w:t>
      </w:r>
      <w:r>
        <w:t>Thus</w:t>
      </w:r>
      <w:r w:rsidR="009F01CA">
        <w:t>,</w:t>
      </w:r>
      <w:r>
        <w:t xml:space="preserve"> under this category and the associated size standard, the Commission estimates that the majority of wireless telecommunications carriers (except satellite) are small entities.  </w:t>
      </w:r>
    </w:p>
    <w:p w14:paraId="79EBDC1F" w14:textId="07A6CA1B" w:rsidR="00DC6142" w:rsidRPr="00737AD1" w:rsidRDefault="00DC6142" w:rsidP="00DC6142">
      <w:pPr>
        <w:pStyle w:val="Heading2"/>
      </w:pPr>
      <w:bookmarkStart w:id="48" w:name="_Toc367458368"/>
      <w:bookmarkStart w:id="49" w:name="_Toc383514550"/>
      <w:bookmarkStart w:id="50" w:name="_Toc383514788"/>
      <w:bookmarkStart w:id="51" w:name="_Toc384814361"/>
      <w:bookmarkStart w:id="52" w:name="_Toc384814440"/>
      <w:bookmarkStart w:id="53" w:name="_Toc384814874"/>
      <w:bookmarkStart w:id="54" w:name="_Toc384817916"/>
      <w:bookmarkStart w:id="55" w:name="_Toc387054620"/>
      <w:bookmarkStart w:id="56" w:name="_Toc387154766"/>
      <w:bookmarkStart w:id="57" w:name="_Toc387155791"/>
      <w:bookmarkStart w:id="58" w:name="_Toc387222355"/>
      <w:bookmarkStart w:id="59" w:name="_Toc411452479"/>
      <w:bookmarkStart w:id="60" w:name="_Toc411452601"/>
      <w:bookmarkStart w:id="61" w:name="_Toc415747826"/>
      <w:r w:rsidRPr="00737AD1">
        <w:t>Description of Projected Reporting, Recordkeeping, and Other Compliance Requirements</w:t>
      </w:r>
      <w:bookmarkEnd w:id="48"/>
      <w:bookmarkEnd w:id="49"/>
      <w:bookmarkEnd w:id="50"/>
      <w:r w:rsidRPr="00737AD1">
        <w:t xml:space="preserve"> for Small Entities</w:t>
      </w:r>
      <w:bookmarkEnd w:id="51"/>
      <w:bookmarkEnd w:id="52"/>
      <w:bookmarkEnd w:id="53"/>
      <w:bookmarkEnd w:id="54"/>
      <w:bookmarkEnd w:id="55"/>
      <w:bookmarkEnd w:id="56"/>
      <w:bookmarkEnd w:id="57"/>
      <w:bookmarkEnd w:id="58"/>
      <w:bookmarkEnd w:id="59"/>
      <w:bookmarkEnd w:id="60"/>
      <w:bookmarkEnd w:id="61"/>
    </w:p>
    <w:p w14:paraId="68688B8B" w14:textId="77777777" w:rsidR="00DC6142" w:rsidRPr="00737AD1" w:rsidRDefault="00DC6142" w:rsidP="00350222">
      <w:pPr>
        <w:pStyle w:val="ParaNum"/>
        <w:numPr>
          <w:ilvl w:val="0"/>
          <w:numId w:val="4"/>
        </w:numPr>
        <w:tabs>
          <w:tab w:val="clear" w:pos="1080"/>
          <w:tab w:val="num" w:pos="1440"/>
        </w:tabs>
      </w:pPr>
      <w:r w:rsidRPr="00737AD1">
        <w:t>None.</w:t>
      </w:r>
    </w:p>
    <w:p w14:paraId="0DBE3E1F" w14:textId="77777777" w:rsidR="00DC6142" w:rsidRPr="00737AD1" w:rsidRDefault="00DC6142" w:rsidP="00DC6142">
      <w:pPr>
        <w:pStyle w:val="Heading2"/>
      </w:pPr>
      <w:bookmarkStart w:id="62" w:name="_Toc367458369"/>
      <w:bookmarkStart w:id="63" w:name="_Toc383514551"/>
      <w:bookmarkStart w:id="64" w:name="_Toc383514789"/>
      <w:bookmarkStart w:id="65" w:name="_Toc384817917"/>
      <w:bookmarkStart w:id="66" w:name="_Toc387054621"/>
      <w:bookmarkStart w:id="67" w:name="_Toc387154767"/>
      <w:bookmarkStart w:id="68" w:name="_Toc387155792"/>
      <w:bookmarkStart w:id="69" w:name="_Toc387222356"/>
      <w:bookmarkStart w:id="70" w:name="_Toc411452480"/>
      <w:bookmarkStart w:id="71" w:name="_Toc411452602"/>
      <w:bookmarkStart w:id="72" w:name="_Toc415747827"/>
      <w:bookmarkStart w:id="73" w:name="_Toc384814362"/>
      <w:bookmarkStart w:id="74" w:name="_Toc384814441"/>
      <w:bookmarkStart w:id="75" w:name="_Toc384814875"/>
      <w:r w:rsidRPr="00737AD1">
        <w:t>Steps Taken to Minimize the Significant Economic Impact on Small Entities, and Significant Alternatives Considered</w:t>
      </w:r>
      <w:bookmarkEnd w:id="62"/>
      <w:bookmarkEnd w:id="63"/>
      <w:bookmarkEnd w:id="64"/>
      <w:bookmarkEnd w:id="65"/>
      <w:bookmarkEnd w:id="66"/>
      <w:bookmarkEnd w:id="67"/>
      <w:bookmarkEnd w:id="68"/>
      <w:bookmarkEnd w:id="69"/>
      <w:bookmarkEnd w:id="70"/>
      <w:bookmarkEnd w:id="71"/>
      <w:bookmarkEnd w:id="72"/>
      <w:r w:rsidRPr="00737AD1">
        <w:rPr>
          <w:i/>
        </w:rPr>
        <w:t xml:space="preserve"> </w:t>
      </w:r>
      <w:bookmarkEnd w:id="73"/>
      <w:bookmarkEnd w:id="74"/>
      <w:bookmarkEnd w:id="75"/>
    </w:p>
    <w:p w14:paraId="5661F0F2" w14:textId="77777777" w:rsidR="00DC6142" w:rsidRPr="00737AD1" w:rsidRDefault="00DC6142" w:rsidP="00350222">
      <w:pPr>
        <w:pStyle w:val="ParaNum"/>
        <w:numPr>
          <w:ilvl w:val="0"/>
          <w:numId w:val="4"/>
        </w:numPr>
        <w:tabs>
          <w:tab w:val="clear" w:pos="1080"/>
          <w:tab w:val="num" w:pos="1440"/>
        </w:tabs>
      </w:pPr>
      <w:r w:rsidRPr="00737AD1">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737AD1">
        <w:rPr>
          <w:vertAlign w:val="superscript"/>
        </w:rPr>
        <w:footnoteReference w:id="177"/>
      </w:r>
    </w:p>
    <w:p w14:paraId="3B396974" w14:textId="77777777" w:rsidR="009973EE" w:rsidRDefault="00DC6142" w:rsidP="00350222">
      <w:pPr>
        <w:pStyle w:val="ParaNum"/>
        <w:numPr>
          <w:ilvl w:val="0"/>
          <w:numId w:val="4"/>
        </w:numPr>
        <w:tabs>
          <w:tab w:val="clear" w:pos="1080"/>
          <w:tab w:val="num" w:pos="1440"/>
        </w:tabs>
        <w:sectPr w:rsidR="009973EE" w:rsidSect="007B32D2">
          <w:headerReference w:type="default"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r w:rsidRPr="00737AD1">
        <w:t xml:space="preserve">The rule changes contemplated by the </w:t>
      </w:r>
      <w:r w:rsidRPr="00350222">
        <w:rPr>
          <w:i/>
        </w:rPr>
        <w:t>Notice of Proposed Rulemaking</w:t>
      </w:r>
      <w:r w:rsidRPr="00737AD1">
        <w:t xml:space="preserve"> would implement certain EAS warning codes that are unique, and implemented by small entity and larger-sized regulated entities on a voluntary basis</w:t>
      </w:r>
      <w:r>
        <w:t xml:space="preserve"> </w:t>
      </w:r>
      <w:r w:rsidR="001D5035">
        <w:t xml:space="preserve">through equipment already in place (or a software upgrade thereof). </w:t>
      </w:r>
      <w:r w:rsidRPr="00737AD1">
        <w:t xml:space="preserve"> </w:t>
      </w:r>
      <w:r>
        <w:t>T</w:t>
      </w:r>
      <w:r w:rsidRPr="00737AD1">
        <w:t xml:space="preserve">he costs </w:t>
      </w:r>
      <w:r>
        <w:t xml:space="preserve">to EAS Participants </w:t>
      </w:r>
      <w:r w:rsidRPr="00737AD1">
        <w:t xml:space="preserve">associated with implementing the codes contained in the proposed rule changes are expected to be </w:t>
      </w:r>
      <w:r w:rsidRPr="00350222">
        <w:rPr>
          <w:i/>
        </w:rPr>
        <w:t>de minimis</w:t>
      </w:r>
      <w:r w:rsidRPr="00737AD1">
        <w:t xml:space="preserve"> and limited to the cost of labor for downloading software updates</w:t>
      </w:r>
      <w:r w:rsidR="006C374B">
        <w:t>, to the extent any updates are required at all</w:t>
      </w:r>
      <w:r w:rsidRPr="00737AD1">
        <w:t>.</w:t>
      </w:r>
      <w:r>
        <w:t xml:space="preserve">  Nevertheless, we have invited comment on the costs associated with implementation of the proposed Blue Alert code in order to more fully understand the impact of the proposed action and assess whether any action is needed to assist small entities. </w:t>
      </w:r>
      <w:r w:rsidR="00890009">
        <w:t xml:space="preserve"> </w:t>
      </w:r>
      <w:r>
        <w:t>Similarly, while we believe that the costs incurred by equipment manufacturers to write a few lines of code to implement the Blue Alert code will be minimal</w:t>
      </w:r>
      <w:r w:rsidR="00D91C93">
        <w:t>,</w:t>
      </w:r>
      <w:r>
        <w:t xml:space="preserve"> we have also invited comments </w:t>
      </w:r>
      <w:r w:rsidRPr="0051727F">
        <w:t>on the cost</w:t>
      </w:r>
      <w:r w:rsidRPr="00737AD1">
        <w:t xml:space="preserve"> to EAS equipment manufacturers of creating software updates, testing these updates, supplying them to their customers, and </w:t>
      </w:r>
    </w:p>
    <w:p w14:paraId="06654AE9" w14:textId="06F334B3" w:rsidR="00DC6142" w:rsidRPr="00737AD1" w:rsidRDefault="00DC6142" w:rsidP="009973EE">
      <w:pPr>
        <w:pStyle w:val="ParaNum"/>
        <w:numPr>
          <w:ilvl w:val="0"/>
          <w:numId w:val="0"/>
        </w:numPr>
      </w:pPr>
      <w:r w:rsidRPr="00737AD1">
        <w:t>providing any related customer support</w:t>
      </w:r>
      <w:r>
        <w:t xml:space="preserve">.  Additionally, we have </w:t>
      </w:r>
      <w:r w:rsidRPr="00737AD1">
        <w:t>invited</w:t>
      </w:r>
      <w:r>
        <w:t xml:space="preserve"> </w:t>
      </w:r>
      <w:r w:rsidRPr="00737AD1">
        <w:t>Commenters to propose steps that the Commission may take to further minimize any significant economic impact on small entities.  When considering proposals made by other parties, commenters are invited to propose significant alternatives that serve the goals of these proposals.</w:t>
      </w:r>
    </w:p>
    <w:p w14:paraId="76F77BB2" w14:textId="77777777" w:rsidR="00DC6142" w:rsidRPr="00737AD1" w:rsidRDefault="00DC6142" w:rsidP="00DC6142">
      <w:pPr>
        <w:pStyle w:val="Heading2"/>
      </w:pPr>
      <w:bookmarkStart w:id="76" w:name="_Toc367458370"/>
      <w:bookmarkStart w:id="77" w:name="_Toc383514552"/>
      <w:bookmarkStart w:id="78" w:name="_Toc383514790"/>
      <w:bookmarkStart w:id="79" w:name="_Toc384814363"/>
      <w:bookmarkStart w:id="80" w:name="_Toc384814442"/>
      <w:bookmarkStart w:id="81" w:name="_Toc384814876"/>
      <w:bookmarkStart w:id="82" w:name="_Toc384817918"/>
      <w:bookmarkStart w:id="83" w:name="_Toc387054622"/>
      <w:bookmarkStart w:id="84" w:name="_Toc387154768"/>
      <w:bookmarkStart w:id="85" w:name="_Toc387155793"/>
      <w:bookmarkStart w:id="86" w:name="_Toc387222357"/>
      <w:bookmarkStart w:id="87" w:name="_Toc411452481"/>
      <w:bookmarkStart w:id="88" w:name="_Toc411452603"/>
      <w:bookmarkStart w:id="89" w:name="_Toc415747828"/>
      <w:bookmarkStart w:id="90" w:name="start_from_here"/>
      <w:r w:rsidRPr="00737AD1">
        <w:t>Federal Rules that May Duplicate, Overlap, or Conflict with the Proposed Rules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F515E91" w14:textId="0FD71B22" w:rsidR="00DC6142" w:rsidRDefault="00DC6142" w:rsidP="00350222">
      <w:pPr>
        <w:pStyle w:val="ParaNum"/>
        <w:numPr>
          <w:ilvl w:val="0"/>
          <w:numId w:val="4"/>
        </w:numPr>
        <w:tabs>
          <w:tab w:val="clear" w:pos="1080"/>
          <w:tab w:val="num" w:pos="1440"/>
        </w:tabs>
      </w:pPr>
      <w:r w:rsidRPr="00737AD1">
        <w:t>None.</w:t>
      </w:r>
    </w:p>
    <w:p w14:paraId="23183E6D" w14:textId="77777777" w:rsidR="003D612A" w:rsidRDefault="003D612A" w:rsidP="003D612A">
      <w:pPr>
        <w:pStyle w:val="ParaNum"/>
        <w:numPr>
          <w:ilvl w:val="0"/>
          <w:numId w:val="0"/>
        </w:numPr>
      </w:pPr>
    </w:p>
    <w:p w14:paraId="10298259" w14:textId="77777777" w:rsidR="003D612A" w:rsidRDefault="003D612A" w:rsidP="00430142">
      <w:pPr>
        <w:pStyle w:val="ParaNum"/>
        <w:numPr>
          <w:ilvl w:val="0"/>
          <w:numId w:val="0"/>
        </w:numPr>
        <w:ind w:firstLine="720"/>
        <w:sectPr w:rsidR="003D612A" w:rsidSect="007B32D2">
          <w:footnotePr>
            <w:numRestart w:val="eachSect"/>
          </w:footnotePr>
          <w:endnotePr>
            <w:numFmt w:val="decimal"/>
          </w:endnotePr>
          <w:pgSz w:w="12240" w:h="15840"/>
          <w:pgMar w:top="1440" w:right="1440" w:bottom="720" w:left="1440" w:header="720" w:footer="720" w:gutter="0"/>
          <w:cols w:space="720"/>
          <w:noEndnote/>
          <w:titlePg/>
        </w:sectPr>
      </w:pPr>
    </w:p>
    <w:p w14:paraId="6FC5FF18" w14:textId="77777777" w:rsidR="00D64D03" w:rsidRDefault="00430142" w:rsidP="00D64D03">
      <w:pPr>
        <w:jc w:val="center"/>
        <w:rPr>
          <w:b/>
        </w:rPr>
      </w:pPr>
      <w:r>
        <w:rPr>
          <w:b/>
        </w:rPr>
        <w:t>STATEMENT OF</w:t>
      </w:r>
    </w:p>
    <w:p w14:paraId="07F07443" w14:textId="3E84BA9A" w:rsidR="00430142" w:rsidRDefault="00430142" w:rsidP="00430142">
      <w:pPr>
        <w:spacing w:after="240"/>
        <w:jc w:val="center"/>
        <w:rPr>
          <w:b/>
        </w:rPr>
      </w:pPr>
      <w:r>
        <w:rPr>
          <w:b/>
        </w:rPr>
        <w:t>CHAIRMAN AJIT PAI</w:t>
      </w:r>
    </w:p>
    <w:p w14:paraId="2EA8DD3F" w14:textId="6F59ADB2" w:rsidR="00430142" w:rsidRDefault="00430142" w:rsidP="00430142">
      <w:pPr>
        <w:ind w:left="720" w:hanging="720"/>
      </w:pPr>
      <w:r>
        <w:t>Re:</w:t>
      </w:r>
      <w:r>
        <w:tab/>
      </w:r>
      <w:r>
        <w:rPr>
          <w:i/>
        </w:rPr>
        <w:t>Amendment of Part 11 of the Commission’s Rules Regarding Emergency Alert System</w:t>
      </w:r>
      <w:r w:rsidRPr="00541A48">
        <w:t xml:space="preserve">, </w:t>
      </w:r>
      <w:r>
        <w:t>PS Docket No. 15-94.</w:t>
      </w:r>
    </w:p>
    <w:p w14:paraId="5E698185" w14:textId="77777777" w:rsidR="00874106" w:rsidRPr="00885EE6" w:rsidRDefault="00874106" w:rsidP="00430142">
      <w:pPr>
        <w:ind w:left="720" w:hanging="720"/>
      </w:pPr>
    </w:p>
    <w:p w14:paraId="1F3C887D" w14:textId="342BA511" w:rsidR="00430142" w:rsidRDefault="00430142" w:rsidP="00430142">
      <w:pPr>
        <w:ind w:firstLine="720"/>
      </w:pPr>
      <w:r>
        <w:t>In 2014, just five days before Christmas, Officers Rafael Ramos and Wenjian Liu of the New York Police Department were shot at point-blank range in Brooklyn.  The gunman emptied several rounds into the officers’ heads and torsos while they were conducting a stakeout from their patrol car.  Officers Ramos and Liu never had a chance.  In fact, authorities said that they never even drew their weapons.  Officer Ramos had just turned 40 a week earlier.  Officer Liu had been married for just two months.  These men in blue were two of our nation’s finest.</w:t>
      </w:r>
    </w:p>
    <w:p w14:paraId="09685D9D" w14:textId="77777777" w:rsidR="00874106" w:rsidRDefault="00874106" w:rsidP="00430142">
      <w:pPr>
        <w:ind w:firstLine="720"/>
      </w:pPr>
    </w:p>
    <w:p w14:paraId="704CEBA3" w14:textId="2D232567" w:rsidR="00430142" w:rsidRDefault="00430142" w:rsidP="00430142">
      <w:pPr>
        <w:ind w:firstLine="720"/>
      </w:pPr>
      <w:r>
        <w:t>The most frustrating part of this story is that it could have ended differently.  We now know that earlier in the day, the gunman shot his girlfriend in Baltimore, then posted on Instagram that he was headed to New York City to attack police officers.  After seeing the warning signs on Instagram, the Baltimore Police Department informed a precinct in Brooklyn that the gunman was “pinging in that location.”  But the information couldn’t be relayed throughout the NYPD in time.</w:t>
      </w:r>
    </w:p>
    <w:p w14:paraId="385EA7FA" w14:textId="77777777" w:rsidR="00874106" w:rsidRDefault="00874106" w:rsidP="00430142">
      <w:pPr>
        <w:ind w:firstLine="720"/>
      </w:pPr>
    </w:p>
    <w:p w14:paraId="22ADB43D" w14:textId="77777777" w:rsidR="00874106" w:rsidRDefault="00430142" w:rsidP="00430142">
      <w:pPr>
        <w:ind w:firstLine="720"/>
      </w:pPr>
      <w:r>
        <w:t>We’ll never know for sure, of course, but Officers Ramos and Liu may have had a better chance of surviving had a Blue Alert been issued over the Emergency Alert System (EAS).  A Blue Alert is similar to the Amber Alerts that we use to find and recover missing children.  With a Blue Alert, state and local authorities can send warnings over broadcast, cable, satellite, and wireline video networks to quickly warn a community of imminent threats to police.  Some 27 states currently use Blue Alerts over EAS to notify the public when there is actionable information related to a law enforcement officer who is missing, imminently and credibly threatened, or seriously injured or killed in the line of duty.</w:t>
      </w:r>
    </w:p>
    <w:p w14:paraId="51F8D050" w14:textId="13619C16" w:rsidR="00430142" w:rsidRDefault="00430142" w:rsidP="00430142">
      <w:pPr>
        <w:ind w:firstLine="720"/>
      </w:pPr>
      <w:r>
        <w:t xml:space="preserve">  </w:t>
      </w:r>
    </w:p>
    <w:p w14:paraId="515C6FE4" w14:textId="1FCEA4D1" w:rsidR="00430142" w:rsidRDefault="00430142" w:rsidP="00430142">
      <w:pPr>
        <w:ind w:firstLine="720"/>
      </w:pPr>
      <w:r>
        <w:t>I can’t think of a better way to start off Public Safety Month here at the FCC than by considering federal action on Blue Alerts.  This is important because it will help to facilitate and streamline both new and existing Blue Alert plans into a coordinated national framework across all states.  This framework is consistent with the Blue Alert Act, which</w:t>
      </w:r>
      <w:r w:rsidRPr="00840B02">
        <w:t xml:space="preserve"> was enacted to encourage, enhance, and integrate the formation of voluntary Blue Alert plans throughout the United States.</w:t>
      </w:r>
    </w:p>
    <w:p w14:paraId="5595B114" w14:textId="77777777" w:rsidR="00874106" w:rsidRDefault="00874106" w:rsidP="00430142">
      <w:pPr>
        <w:ind w:firstLine="720"/>
      </w:pPr>
    </w:p>
    <w:p w14:paraId="623D6E12" w14:textId="0B424A1A" w:rsidR="00430142" w:rsidRDefault="00430142" w:rsidP="00430142">
      <w:pPr>
        <w:ind w:firstLine="720"/>
      </w:pPr>
      <w:r>
        <w:t xml:space="preserve">We do not stand alone in this effort.  Last month at the U.S. Department of Justice, I had the honor of joining Acting Associate General Jesse Panuccio, </w:t>
      </w:r>
      <w:r w:rsidRPr="002C7036">
        <w:t>Deputy National Blue Alert Coordinato</w:t>
      </w:r>
      <w:r>
        <w:t>r</w:t>
      </w:r>
      <w:r w:rsidRPr="002C7036">
        <w:t xml:space="preserve"> Vince Davenport, </w:t>
      </w:r>
      <w:r>
        <w:t xml:space="preserve">U.S. Immigration and Customs Enforcement Acting Director Thomas Homan, as well as several leaders of our nation’s public safety community to announce the </w:t>
      </w:r>
      <w:r w:rsidRPr="00264C40">
        <w:t>rollout of the National Blue Alert Networ</w:t>
      </w:r>
      <w:r>
        <w:t>k.  I noted then, and reiterate today: with this step, we are not just advancing a policy.  We are affirming a principle: that we have a collective responsibility to protect and serve those who protect and serve us.  Today’s first step towards establishing a Blue Alert code is just one example of our commitment to this principle.</w:t>
      </w:r>
    </w:p>
    <w:p w14:paraId="0921706F" w14:textId="77777777" w:rsidR="00874106" w:rsidRDefault="00874106" w:rsidP="00430142">
      <w:pPr>
        <w:ind w:firstLine="720"/>
      </w:pPr>
    </w:p>
    <w:p w14:paraId="69B4861F" w14:textId="77777777" w:rsidR="00430142" w:rsidRDefault="00430142" w:rsidP="00430142">
      <w:pPr>
        <w:ind w:firstLine="720"/>
      </w:pPr>
      <w:r>
        <w:t xml:space="preserve">I want to thank Vince Davenport of the </w:t>
      </w:r>
      <w:r w:rsidRPr="00BC0F5F">
        <w:t>Justice</w:t>
      </w:r>
      <w:r>
        <w:t xml:space="preserve"> Department’s Office of </w:t>
      </w:r>
      <w:r w:rsidRPr="00BC0F5F">
        <w:t>Community Oriented Policing Services</w:t>
      </w:r>
      <w:r>
        <w:t xml:space="preserve"> for his leadership on this issue and his presentation this morning.  And I want to give special shout-outs to Nicole McGinnis and James Wiley of the Public Safety and Homeland Security Bureau, each of whom received rave reviews from participants at the Justice Department event for their able representation of the FCC in this interagency effort.  I’d also like to thank Gregory Cooke and Lisa Fowlkes, also from the Public Safety and Homeland Security Bureau, and David Horowitz and Anjali Singh of the Office of General Counsel, for their dedication to keeping Americans safe.</w:t>
      </w:r>
    </w:p>
    <w:p w14:paraId="19E241CF" w14:textId="77777777" w:rsidR="003D612A" w:rsidRDefault="003D612A" w:rsidP="007976E6">
      <w:pPr>
        <w:widowControl/>
        <w:sectPr w:rsidR="003D612A" w:rsidSect="007B32D2">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14:paraId="2F3B7DC0" w14:textId="7C746AF4" w:rsidR="00430142" w:rsidRPr="001E7664" w:rsidRDefault="00430142" w:rsidP="003D612A">
      <w:pPr>
        <w:jc w:val="center"/>
        <w:rPr>
          <w:b/>
          <w:szCs w:val="22"/>
        </w:rPr>
      </w:pPr>
      <w:r w:rsidRPr="001E7664">
        <w:rPr>
          <w:b/>
          <w:szCs w:val="22"/>
        </w:rPr>
        <w:t>STATEMENT OF</w:t>
      </w:r>
    </w:p>
    <w:p w14:paraId="1853F32A" w14:textId="77777777" w:rsidR="00430142" w:rsidRPr="001E7664" w:rsidRDefault="00430142" w:rsidP="00430142">
      <w:pPr>
        <w:jc w:val="center"/>
        <w:rPr>
          <w:b/>
          <w:szCs w:val="22"/>
        </w:rPr>
      </w:pPr>
      <w:r w:rsidRPr="001E7664">
        <w:rPr>
          <w:b/>
          <w:szCs w:val="22"/>
        </w:rPr>
        <w:t>COMMISSIONER MIGNON L. CLYBURN</w:t>
      </w:r>
    </w:p>
    <w:p w14:paraId="67A43F83" w14:textId="77777777" w:rsidR="00430142" w:rsidRPr="001E7664" w:rsidRDefault="00430142" w:rsidP="00430142">
      <w:pPr>
        <w:jc w:val="center"/>
        <w:rPr>
          <w:b/>
          <w:szCs w:val="22"/>
        </w:rPr>
      </w:pPr>
    </w:p>
    <w:p w14:paraId="232579B4" w14:textId="173613E4" w:rsidR="00430142" w:rsidRPr="001E7664" w:rsidRDefault="00430142" w:rsidP="00430142">
      <w:pPr>
        <w:ind w:left="720" w:hanging="720"/>
        <w:rPr>
          <w:i/>
          <w:szCs w:val="22"/>
        </w:rPr>
      </w:pPr>
      <w:r w:rsidRPr="001E7664">
        <w:rPr>
          <w:szCs w:val="22"/>
        </w:rPr>
        <w:t xml:space="preserve">Re: </w:t>
      </w:r>
      <w:r w:rsidRPr="001E7664">
        <w:rPr>
          <w:szCs w:val="22"/>
        </w:rPr>
        <w:tab/>
      </w:r>
      <w:r w:rsidRPr="001E7664">
        <w:rPr>
          <w:i/>
          <w:szCs w:val="22"/>
        </w:rPr>
        <w:t xml:space="preserve">Amendment of Part 11 of the Commission’s Rules Regarding Emergency Alert System, </w:t>
      </w:r>
      <w:r w:rsidRPr="00075CB0">
        <w:rPr>
          <w:szCs w:val="22"/>
        </w:rPr>
        <w:t>PS Docket No. 15-94</w:t>
      </w:r>
      <w:r w:rsidR="00075CB0">
        <w:rPr>
          <w:szCs w:val="22"/>
        </w:rPr>
        <w:t>.</w:t>
      </w:r>
    </w:p>
    <w:p w14:paraId="6FBAC48E" w14:textId="77777777" w:rsidR="00430142" w:rsidRPr="001E7664" w:rsidRDefault="00430142" w:rsidP="00430142">
      <w:pPr>
        <w:ind w:firstLine="720"/>
        <w:rPr>
          <w:szCs w:val="22"/>
        </w:rPr>
      </w:pPr>
    </w:p>
    <w:p w14:paraId="6B137771" w14:textId="77777777" w:rsidR="00430142" w:rsidRPr="001E7664" w:rsidRDefault="00430142" w:rsidP="00430142">
      <w:pPr>
        <w:ind w:firstLine="720"/>
        <w:rPr>
          <w:szCs w:val="22"/>
        </w:rPr>
      </w:pPr>
      <w:r w:rsidRPr="001E7664">
        <w:rPr>
          <w:szCs w:val="22"/>
        </w:rPr>
        <w:t xml:space="preserve">Just last month, I had the distinct privilege of spending some time with the dedicated call takers and radio dispatchers of the Los Angeles Communications Center, the largest Highway Patrol dispatch center in the state of California.  These mission critical men and women handle almost two million 911 calls each year, sending help our way when we are in distress, and offering hope when we need it the most.  </w:t>
      </w:r>
    </w:p>
    <w:p w14:paraId="64DA0DA1" w14:textId="77777777" w:rsidR="00430142" w:rsidRPr="001E7664" w:rsidRDefault="00430142" w:rsidP="00430142">
      <w:pPr>
        <w:ind w:firstLine="720"/>
        <w:rPr>
          <w:szCs w:val="22"/>
        </w:rPr>
      </w:pPr>
    </w:p>
    <w:p w14:paraId="1C49C2C4" w14:textId="77777777" w:rsidR="00430142" w:rsidRPr="001E7664" w:rsidRDefault="00430142" w:rsidP="00430142">
      <w:pPr>
        <w:ind w:firstLine="720"/>
        <w:rPr>
          <w:szCs w:val="22"/>
        </w:rPr>
      </w:pPr>
      <w:r w:rsidRPr="001E7664">
        <w:rPr>
          <w:szCs w:val="22"/>
        </w:rPr>
        <w:t xml:space="preserve">That dispatcher is the responding police officer’s lifeline, providing suspect descriptions, coordinating resources and sending back-up when necessary.  There are times, however, when a dispatcher is performing these functions without access to critical information that could help save an officer’s life, and the lives of innocent bystanders.  Information such as the retaliatory threat on Instagram which was later acted upon by the man who killed two New York City police officers on December 20, 2014.  Those officers, Rafael Ramos and Wenjian Liu, are now painful symbols of the National Blue Alert Act which was signed into law two years ago by former President Obama. </w:t>
      </w:r>
    </w:p>
    <w:p w14:paraId="54C1948C" w14:textId="77777777" w:rsidR="00430142" w:rsidRPr="001E7664" w:rsidRDefault="00430142" w:rsidP="00430142">
      <w:pPr>
        <w:ind w:firstLine="720"/>
        <w:rPr>
          <w:szCs w:val="22"/>
        </w:rPr>
      </w:pPr>
    </w:p>
    <w:p w14:paraId="216C934E" w14:textId="77777777" w:rsidR="00430142" w:rsidRPr="001E7664" w:rsidRDefault="00430142" w:rsidP="00430142">
      <w:pPr>
        <w:ind w:firstLine="720"/>
        <w:rPr>
          <w:szCs w:val="22"/>
        </w:rPr>
      </w:pPr>
      <w:r w:rsidRPr="001E7664">
        <w:rPr>
          <w:szCs w:val="22"/>
        </w:rPr>
        <w:t>Today, the Commission commences a proceeding to realize the Blue Alert Act’s goals of “promot[ing] compatible and integrated Blue Alert plans throughout the United States.”  In particular, we propose to revise the Commission’s Emergency Alert System (EAS) rules, to add a Blue Alert event code, which would be used in situations involving:  the serious injury or death of a law enforcement officer in the line of duty; an officer who is missing in connection with his or her official duties; or an imminent and credible threat that an individual intends to cause serious injury to, or kill, a law enforcement officer.  We seek comment on this proposal, as well as a number of additional issues, including whether the current system could accommodate Blue Alerts as effectively as other types of alerts, how the public may respond to Blue Alert EAS codes, and what effect our proposal would have on Wireless Emergency Alerts.</w:t>
      </w:r>
    </w:p>
    <w:p w14:paraId="5D5BE602" w14:textId="77777777" w:rsidR="00430142" w:rsidRPr="001E7664" w:rsidRDefault="00430142" w:rsidP="00430142">
      <w:pPr>
        <w:ind w:firstLine="720"/>
        <w:rPr>
          <w:szCs w:val="22"/>
        </w:rPr>
      </w:pPr>
    </w:p>
    <w:p w14:paraId="2993D04A" w14:textId="77777777" w:rsidR="00430142" w:rsidRPr="001E7664" w:rsidRDefault="00430142" w:rsidP="00430142">
      <w:pPr>
        <w:ind w:firstLine="720"/>
        <w:rPr>
          <w:szCs w:val="22"/>
        </w:rPr>
      </w:pPr>
      <w:r w:rsidRPr="001E7664">
        <w:rPr>
          <w:szCs w:val="22"/>
        </w:rPr>
        <w:t xml:space="preserve">During life-threatening and dangerous situations, our nation’s law enforcement officers put their lives on the line.  We appreciate those who have taken the oath to serve and protect our communities and understand that the job they perform each and every day is not an easy one.  These brave men and women are asked to make rapid, life-altering decisions that can determine whether or not they get home to their families at the end of the day. </w:t>
      </w:r>
    </w:p>
    <w:p w14:paraId="26AA8080" w14:textId="77777777" w:rsidR="00430142" w:rsidRPr="001E7664" w:rsidRDefault="00430142" w:rsidP="00430142">
      <w:pPr>
        <w:ind w:firstLine="720"/>
        <w:rPr>
          <w:szCs w:val="22"/>
        </w:rPr>
      </w:pPr>
    </w:p>
    <w:p w14:paraId="76106B44" w14:textId="77777777" w:rsidR="00430142" w:rsidRPr="001E7664" w:rsidRDefault="00430142" w:rsidP="00430142">
      <w:pPr>
        <w:ind w:firstLine="720"/>
        <w:rPr>
          <w:szCs w:val="22"/>
        </w:rPr>
      </w:pPr>
      <w:r w:rsidRPr="001E7664">
        <w:rPr>
          <w:szCs w:val="22"/>
        </w:rPr>
        <w:t>We owe it to those officers who take and abide by that sacred oath to protect and serve, to uphold our public safety obligation of ensuring that those essential lines of communications operate in a uniform and consistent manner.</w:t>
      </w:r>
    </w:p>
    <w:p w14:paraId="6EEFF574" w14:textId="77777777" w:rsidR="00430142" w:rsidRPr="001E7664" w:rsidRDefault="00430142" w:rsidP="00430142">
      <w:pPr>
        <w:ind w:firstLine="720"/>
        <w:rPr>
          <w:szCs w:val="22"/>
        </w:rPr>
      </w:pPr>
    </w:p>
    <w:p w14:paraId="06A856C2" w14:textId="77777777" w:rsidR="00430142" w:rsidRPr="001E7664" w:rsidRDefault="00430142" w:rsidP="00430142">
      <w:pPr>
        <w:ind w:firstLine="720"/>
        <w:rPr>
          <w:szCs w:val="22"/>
        </w:rPr>
      </w:pPr>
      <w:r w:rsidRPr="001E7664">
        <w:rPr>
          <w:szCs w:val="22"/>
        </w:rPr>
        <w:t xml:space="preserve">To the newly appointed Chief of the Public Safety and Homeland Security Bureau, Lisa Fowlkes, and the Bureau’s hardworking staff, you have my sincere thanks for your continued efforts to enhance emergency communications. </w:t>
      </w:r>
    </w:p>
    <w:p w14:paraId="36E7731C" w14:textId="77777777" w:rsidR="003D612A" w:rsidRDefault="003D612A" w:rsidP="00E95D45">
      <w:pPr>
        <w:widowControl/>
        <w:sectPr w:rsidR="003D612A" w:rsidSect="007B32D2">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14:paraId="4552B262" w14:textId="77777777" w:rsidR="00430142" w:rsidRPr="00433876" w:rsidRDefault="00430142" w:rsidP="00430142">
      <w:pPr>
        <w:jc w:val="center"/>
        <w:rPr>
          <w:b/>
        </w:rPr>
      </w:pPr>
      <w:r w:rsidRPr="00433876">
        <w:rPr>
          <w:b/>
        </w:rPr>
        <w:t xml:space="preserve">STATEMENT OF </w:t>
      </w:r>
    </w:p>
    <w:p w14:paraId="109244E7" w14:textId="77777777" w:rsidR="00430142" w:rsidRPr="00433876" w:rsidRDefault="00430142" w:rsidP="00430142">
      <w:pPr>
        <w:jc w:val="center"/>
        <w:rPr>
          <w:b/>
        </w:rPr>
      </w:pPr>
      <w:r w:rsidRPr="00433876">
        <w:rPr>
          <w:b/>
        </w:rPr>
        <w:t>COMMISSIONER MICHAEL O’RIELLY</w:t>
      </w:r>
    </w:p>
    <w:p w14:paraId="566A0997" w14:textId="77777777" w:rsidR="00430142" w:rsidRPr="00433876" w:rsidRDefault="00430142" w:rsidP="00430142">
      <w:pPr>
        <w:jc w:val="center"/>
        <w:rPr>
          <w:b/>
        </w:rPr>
      </w:pPr>
    </w:p>
    <w:p w14:paraId="49DB7980" w14:textId="10A5D112" w:rsidR="00C94E5D" w:rsidRDefault="00430142" w:rsidP="00430142">
      <w:pPr>
        <w:ind w:left="720" w:hanging="720"/>
        <w:rPr>
          <w:i/>
        </w:rPr>
      </w:pPr>
      <w:r w:rsidRPr="00433876">
        <w:rPr>
          <w:i/>
        </w:rPr>
        <w:t>Re:</w:t>
      </w:r>
      <w:r w:rsidRPr="00433876">
        <w:rPr>
          <w:i/>
        </w:rPr>
        <w:tab/>
        <w:t xml:space="preserve">Amendment of Part 11 of the Commission’s Rules Regarding Emergency Alert System, </w:t>
      </w:r>
      <w:r w:rsidRPr="00075CB0">
        <w:t>PS Docket No. 15-9</w:t>
      </w:r>
      <w:r w:rsidR="00380D45" w:rsidRPr="00075CB0">
        <w:t>4</w:t>
      </w:r>
      <w:r w:rsidR="00075CB0">
        <w:t>.</w:t>
      </w:r>
    </w:p>
    <w:p w14:paraId="3CFEBE1F" w14:textId="5826D481" w:rsidR="00430142" w:rsidRPr="003D612A" w:rsidRDefault="00430142" w:rsidP="00430142">
      <w:pPr>
        <w:ind w:left="720" w:hanging="720"/>
      </w:pPr>
    </w:p>
    <w:p w14:paraId="13D0840E" w14:textId="77777777" w:rsidR="00430142" w:rsidRPr="00433876" w:rsidRDefault="00430142" w:rsidP="00430142">
      <w:pPr>
        <w:ind w:firstLine="720"/>
      </w:pPr>
      <w:r w:rsidRPr="00433876">
        <w:t>It is without question that the contributions made by America’s law enforcement officials are invaluable.  We are reminded, time and again, that they come to our aid, without hesitation, regardless of the dangers and their personal well-being, when things look the bleakest.  Today, we consider a notice that may, if implemented, help us make law enforcement personnel safer.  Using a new emergency alert system (EAS) code, Blue Alerts are meant to disseminate information about injured or missing officers and suspects posing imminent threat to law enforcement officials.  While some localities have used other codes for such purposes, it is a helpful exercise to understand whether a new code is needed and the potential benefits of a nationwide code.  Ultimately, when, where, and how to use this code would be up to the discretion of local law enforcement agencies.  They will have to make the ultimate judgment call about whether releasing such information is likely to facilitate their efforts.  To the extent that America’s law enforcement officials find this helpful, I am supportive and look forward to engaging with them on this issue.</w:t>
      </w:r>
    </w:p>
    <w:p w14:paraId="5014581D" w14:textId="77777777" w:rsidR="000136DF" w:rsidRPr="00737AD1" w:rsidRDefault="000136DF" w:rsidP="00350222"/>
    <w:sectPr w:rsidR="000136DF" w:rsidRPr="00737AD1" w:rsidSect="007B32D2">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92375" w14:textId="77777777" w:rsidR="00A9628F" w:rsidRDefault="00A9628F">
      <w:pPr>
        <w:spacing w:line="20" w:lineRule="exact"/>
      </w:pPr>
    </w:p>
  </w:endnote>
  <w:endnote w:type="continuationSeparator" w:id="0">
    <w:p w14:paraId="2D23EA0A" w14:textId="77777777" w:rsidR="00A9628F" w:rsidRDefault="00A9628F">
      <w:r>
        <w:t xml:space="preserve"> </w:t>
      </w:r>
    </w:p>
  </w:endnote>
  <w:endnote w:type="continuationNotice" w:id="1">
    <w:p w14:paraId="1C157BE8" w14:textId="77777777" w:rsidR="00A9628F" w:rsidRDefault="00A962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A4FFF" w14:textId="77777777" w:rsidR="009973EE" w:rsidRDefault="009973EE">
    <w:pPr>
      <w:pStyle w:val="Footer"/>
      <w:framePr w:wrap="none" w:vAnchor="text" w:hAnchor="margin" w:x="4575" w:y="1"/>
      <w:spacing w:after="160" w:line="259" w:lineRule="auto"/>
    </w:pPr>
    <w:r>
      <w:fldChar w:fldCharType="begin"/>
    </w:r>
    <w:r>
      <w:instrText>PAGE  \* MERGEFORMAT</w:instrText>
    </w:r>
    <w:r>
      <w:fldChar w:fldCharType="end"/>
    </w:r>
  </w:p>
  <w:p w14:paraId="7C6BBAB5" w14:textId="77777777" w:rsidR="009973EE" w:rsidRDefault="009973EE">
    <w:pPr>
      <w:pStyle w:val="Foote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08146"/>
      <w:docPartObj>
        <w:docPartGallery w:val="Page Numbers (Bottom of Page)"/>
        <w:docPartUnique/>
      </w:docPartObj>
    </w:sdtPr>
    <w:sdtEndPr>
      <w:rPr>
        <w:noProof/>
      </w:rPr>
    </w:sdtEndPr>
    <w:sdtContent>
      <w:p w14:paraId="6999B487" w14:textId="1A96B619" w:rsidR="009973EE" w:rsidRPr="00DC78D2" w:rsidRDefault="009973EE" w:rsidP="00350222">
        <w:pPr>
          <w:pStyle w:val="Footer"/>
          <w:jc w:val="center"/>
        </w:pPr>
        <w:r>
          <w:fldChar w:fldCharType="begin"/>
        </w:r>
        <w:r>
          <w:instrText xml:space="preserve"> PAGE   \* MERGEFORMAT </w:instrText>
        </w:r>
        <w:r>
          <w:fldChar w:fldCharType="separate"/>
        </w:r>
        <w:r w:rsidR="0009175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985517"/>
      <w:docPartObj>
        <w:docPartGallery w:val="Page Numbers (Bottom of Page)"/>
        <w:docPartUnique/>
      </w:docPartObj>
    </w:sdtPr>
    <w:sdtEndPr>
      <w:rPr>
        <w:noProof/>
      </w:rPr>
    </w:sdtEndPr>
    <w:sdtContent>
      <w:p w14:paraId="6DB34474" w14:textId="5DC41CC1" w:rsidR="009973EE" w:rsidRDefault="0009175D" w:rsidP="003D612A">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67939"/>
      <w:docPartObj>
        <w:docPartGallery w:val="Page Numbers (Bottom of Page)"/>
        <w:docPartUnique/>
      </w:docPartObj>
    </w:sdtPr>
    <w:sdtEndPr>
      <w:rPr>
        <w:noProof/>
      </w:rPr>
    </w:sdtEndPr>
    <w:sdtContent>
      <w:p w14:paraId="41837A1E" w14:textId="1CB12BFF" w:rsidR="009973EE" w:rsidRPr="00DC78D2" w:rsidRDefault="009973EE" w:rsidP="00350222">
        <w:pPr>
          <w:pStyle w:val="Footer"/>
          <w:jc w:val="center"/>
        </w:pPr>
        <w:r>
          <w:fldChar w:fldCharType="begin"/>
        </w:r>
        <w:r>
          <w:instrText xml:space="preserve"> PAGE   \* MERGEFORMAT </w:instrText>
        </w:r>
        <w:r>
          <w:fldChar w:fldCharType="separate"/>
        </w:r>
        <w:r w:rsidR="00075CB0">
          <w:rPr>
            <w:noProof/>
          </w:rPr>
          <w:t>17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64974"/>
      <w:docPartObj>
        <w:docPartGallery w:val="Page Numbers (Bottom of Page)"/>
        <w:docPartUnique/>
      </w:docPartObj>
    </w:sdtPr>
    <w:sdtEndPr>
      <w:rPr>
        <w:noProof/>
      </w:rPr>
    </w:sdtEndPr>
    <w:sdtContent>
      <w:p w14:paraId="6B7D93A4" w14:textId="371D0047" w:rsidR="009973EE" w:rsidRPr="00DC78D2" w:rsidRDefault="009973EE" w:rsidP="00350222">
        <w:pPr>
          <w:pStyle w:val="Footer"/>
          <w:jc w:val="center"/>
        </w:pPr>
        <w:r>
          <w:fldChar w:fldCharType="begin"/>
        </w:r>
        <w:r>
          <w:instrText xml:space="preserve"> PAGE   \* MERGEFORMAT </w:instrText>
        </w:r>
        <w:r>
          <w:fldChar w:fldCharType="separate"/>
        </w:r>
        <w:r w:rsidR="00075CB0">
          <w:rPr>
            <w:noProof/>
          </w:rPr>
          <w:t>21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22311"/>
      <w:docPartObj>
        <w:docPartGallery w:val="Page Numbers (Bottom of Page)"/>
        <w:docPartUnique/>
      </w:docPartObj>
    </w:sdtPr>
    <w:sdtEndPr>
      <w:rPr>
        <w:noProof/>
      </w:rPr>
    </w:sdtEndPr>
    <w:sdtContent>
      <w:p w14:paraId="31DEC35F" w14:textId="608030D4" w:rsidR="009973EE" w:rsidRDefault="009973EE" w:rsidP="00A86188">
        <w:pPr>
          <w:pStyle w:val="Footer"/>
          <w:jc w:val="center"/>
        </w:pPr>
        <w:r>
          <w:fldChar w:fldCharType="begin"/>
        </w:r>
        <w:r>
          <w:instrText xml:space="preserve"> PAGE   \* MERGEFORMAT </w:instrText>
        </w:r>
        <w:r>
          <w:fldChar w:fldCharType="separate"/>
        </w:r>
        <w:r w:rsidR="00075CB0">
          <w:rPr>
            <w:noProof/>
          </w:rPr>
          <w:t>18</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5696"/>
      <w:docPartObj>
        <w:docPartGallery w:val="Page Numbers (Bottom of Page)"/>
        <w:docPartUnique/>
      </w:docPartObj>
    </w:sdtPr>
    <w:sdtEndPr>
      <w:rPr>
        <w:noProof/>
      </w:rPr>
    </w:sdtEndPr>
    <w:sdtContent>
      <w:p w14:paraId="4E2D0F96" w14:textId="7B0BC4B1" w:rsidR="009973EE" w:rsidRDefault="009973EE" w:rsidP="00A86188">
        <w:pPr>
          <w:pStyle w:val="Footer"/>
          <w:jc w:val="center"/>
        </w:pPr>
        <w:r>
          <w:fldChar w:fldCharType="begin"/>
        </w:r>
        <w:r>
          <w:instrText xml:space="preserve"> PAGE   \* MERGEFORMAT </w:instrText>
        </w:r>
        <w:r>
          <w:fldChar w:fldCharType="separate"/>
        </w:r>
        <w:r w:rsidR="00075CB0">
          <w:rPr>
            <w:noProof/>
          </w:rPr>
          <w:t>30</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5958"/>
      <w:docPartObj>
        <w:docPartGallery w:val="Page Numbers (Bottom of Page)"/>
        <w:docPartUnique/>
      </w:docPartObj>
    </w:sdtPr>
    <w:sdtEndPr>
      <w:rPr>
        <w:noProof/>
      </w:rPr>
    </w:sdtEndPr>
    <w:sdtContent>
      <w:p w14:paraId="4FBA48A9" w14:textId="61042AF5" w:rsidR="009973EE" w:rsidRDefault="009973EE" w:rsidP="00A86188">
        <w:pPr>
          <w:pStyle w:val="Footer"/>
          <w:jc w:val="center"/>
        </w:pPr>
        <w:r>
          <w:fldChar w:fldCharType="begin"/>
        </w:r>
        <w:r>
          <w:instrText xml:space="preserve"> PAGE   \* MERGEFORMAT </w:instrText>
        </w:r>
        <w:r>
          <w:fldChar w:fldCharType="separate"/>
        </w:r>
        <w:r w:rsidR="00075CB0">
          <w:rPr>
            <w:noProof/>
          </w:rPr>
          <w:t>31</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4784"/>
      <w:docPartObj>
        <w:docPartGallery w:val="Page Numbers (Bottom of Page)"/>
        <w:docPartUnique/>
      </w:docPartObj>
    </w:sdtPr>
    <w:sdtEndPr>
      <w:rPr>
        <w:noProof/>
      </w:rPr>
    </w:sdtEndPr>
    <w:sdtContent>
      <w:p w14:paraId="751EA7F8" w14:textId="5AD335C1" w:rsidR="009973EE" w:rsidRDefault="009973EE" w:rsidP="00A86188">
        <w:pPr>
          <w:pStyle w:val="Footer"/>
          <w:jc w:val="center"/>
        </w:pPr>
        <w:r>
          <w:fldChar w:fldCharType="begin"/>
        </w:r>
        <w:r>
          <w:instrText xml:space="preserve"> PAGE   \* MERGEFORMAT </w:instrText>
        </w:r>
        <w:r>
          <w:fldChar w:fldCharType="separate"/>
        </w:r>
        <w:r w:rsidR="00075CB0">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2DBF" w14:textId="77777777" w:rsidR="00A9628F" w:rsidRDefault="00A9628F">
      <w:r>
        <w:separator/>
      </w:r>
    </w:p>
  </w:footnote>
  <w:footnote w:type="continuationSeparator" w:id="0">
    <w:p w14:paraId="2B655386" w14:textId="77777777" w:rsidR="00A9628F" w:rsidRDefault="00A9628F" w:rsidP="00C721AC">
      <w:pPr>
        <w:spacing w:before="120"/>
        <w:rPr>
          <w:sz w:val="20"/>
        </w:rPr>
      </w:pPr>
      <w:r>
        <w:rPr>
          <w:sz w:val="20"/>
        </w:rPr>
        <w:t xml:space="preserve">(Continued from previous page)  </w:t>
      </w:r>
      <w:r>
        <w:rPr>
          <w:sz w:val="20"/>
        </w:rPr>
        <w:separator/>
      </w:r>
    </w:p>
  </w:footnote>
  <w:footnote w:type="continuationNotice" w:id="1">
    <w:p w14:paraId="277CBE46" w14:textId="77777777" w:rsidR="00A9628F" w:rsidRDefault="00A9628F" w:rsidP="00C721AC">
      <w:pPr>
        <w:jc w:val="right"/>
        <w:rPr>
          <w:sz w:val="20"/>
        </w:rPr>
      </w:pPr>
      <w:r>
        <w:rPr>
          <w:sz w:val="20"/>
        </w:rPr>
        <w:t>(continued….)</w:t>
      </w:r>
    </w:p>
  </w:footnote>
  <w:footnote w:id="2">
    <w:p w14:paraId="37852821" w14:textId="77777777" w:rsidR="009973EE" w:rsidRPr="00B539CD" w:rsidRDefault="009973EE" w:rsidP="00902847">
      <w:pPr>
        <w:pStyle w:val="FootnoteText"/>
        <w:rPr>
          <w:i/>
        </w:rPr>
      </w:pPr>
      <w:r w:rsidRPr="00B539CD">
        <w:rPr>
          <w:rStyle w:val="FootnoteReference"/>
        </w:rPr>
        <w:footnoteRef/>
      </w:r>
      <w:r w:rsidRPr="00AA3A12">
        <w:rPr>
          <w:rFonts w:eastAsia="Calibri"/>
        </w:rPr>
        <w:t xml:space="preserve"> 47 CFR § 11.1 </w:t>
      </w:r>
      <w:r w:rsidRPr="00AA3A12">
        <w:rPr>
          <w:rFonts w:eastAsia="Calibri"/>
          <w:i/>
        </w:rPr>
        <w:t>et. seq.</w:t>
      </w:r>
    </w:p>
  </w:footnote>
  <w:footnote w:id="3">
    <w:p w14:paraId="0A613A6E" w14:textId="77777777" w:rsidR="009973EE" w:rsidRDefault="009973EE" w:rsidP="000453E6">
      <w:pPr>
        <w:pStyle w:val="FootnoteText"/>
      </w:pPr>
      <w:r>
        <w:rPr>
          <w:rStyle w:val="FootnoteReference"/>
        </w:rPr>
        <w:footnoteRef/>
      </w:r>
      <w:r>
        <w:t xml:space="preserve"> </w:t>
      </w:r>
      <w:r w:rsidRPr="00170679">
        <w:rPr>
          <w:i/>
        </w:rPr>
        <w:t xml:space="preserve">See </w:t>
      </w:r>
      <w:r w:rsidRPr="00170679">
        <w:t>Exec. Order No. 13774, 82 Fed. Reg. 10695 (Feb. 9, 2017)</w:t>
      </w:r>
      <w:r w:rsidRPr="000D0898">
        <w:t xml:space="preserve"> </w:t>
      </w:r>
      <w:r>
        <w:t>(Exec. Order No. 13</w:t>
      </w:r>
      <w:r w:rsidRPr="00170679">
        <w:t>774)</w:t>
      </w:r>
      <w:r>
        <w:t xml:space="preserve"> (s</w:t>
      </w:r>
      <w:r w:rsidRPr="00170679">
        <w:t>tating that it shall be the policy of the executive branch to “enhance the protection and safety of Federal, State, tribal, and local law enforcement officers .</w:t>
      </w:r>
      <w:r>
        <w:t> </w:t>
      </w:r>
      <w:r w:rsidRPr="00170679">
        <w:t>.</w:t>
      </w:r>
      <w:r>
        <w:t> </w:t>
      </w:r>
      <w:r w:rsidRPr="00170679">
        <w:t>.”</w:t>
      </w:r>
      <w:r>
        <w:t>)</w:t>
      </w:r>
      <w:r w:rsidRPr="00170679">
        <w:t>;</w:t>
      </w:r>
      <w:r>
        <w:t xml:space="preserve"> </w:t>
      </w:r>
      <w:r>
        <w:rPr>
          <w:i/>
        </w:rPr>
        <w:t>see also</w:t>
      </w:r>
      <w:r w:rsidRPr="00170679">
        <w:t xml:space="preserve"> </w:t>
      </w:r>
      <w:r w:rsidRPr="009B6B25">
        <w:t>42 U.S.C. § 14165b(b)(7)(A).</w:t>
      </w:r>
    </w:p>
  </w:footnote>
  <w:footnote w:id="4">
    <w:p w14:paraId="4F0B4987" w14:textId="77777777" w:rsidR="009973EE" w:rsidRDefault="009973EE" w:rsidP="000453E6">
      <w:pPr>
        <w:pStyle w:val="FootnoteText"/>
      </w:pPr>
      <w:r>
        <w:rPr>
          <w:rStyle w:val="FootnoteReference"/>
        </w:rPr>
        <w:footnoteRef/>
      </w:r>
      <w:r>
        <w:t xml:space="preserve"> </w:t>
      </w:r>
      <w:r>
        <w:rPr>
          <w:rFonts w:eastAsia="Calibri"/>
        </w:rPr>
        <w:t xml:space="preserve">Rafael Ramos and Wenjian Liu National Blue Alert Act of 2015, Pub. L. No. 114-12, 129 Stat. 192 (2015).  </w:t>
      </w:r>
    </w:p>
  </w:footnote>
  <w:footnote w:id="5">
    <w:p w14:paraId="7F10A963" w14:textId="702397FB" w:rsidR="009973EE" w:rsidRPr="00B539CD" w:rsidRDefault="009973EE" w:rsidP="003856DF">
      <w:pPr>
        <w:pStyle w:val="FootnoteText"/>
      </w:pPr>
      <w:r w:rsidRPr="00B539CD">
        <w:rPr>
          <w:rStyle w:val="FootnoteReference"/>
        </w:rPr>
        <w:footnoteRef/>
      </w:r>
      <w:r w:rsidRPr="00AA3A12">
        <w:rPr>
          <w:rFonts w:eastAsia="Calibri"/>
        </w:rPr>
        <w:t xml:space="preserve"> </w:t>
      </w:r>
      <w:r w:rsidRPr="007F3CC7">
        <w:rPr>
          <w:rFonts w:eastAsia="Calibri"/>
        </w:rPr>
        <w:t xml:space="preserve">U.S. Dep’t of Justice, Office of Community Oriented Policing Services, </w:t>
      </w:r>
      <w:r w:rsidRPr="0016173B">
        <w:rPr>
          <w:rFonts w:eastAsia="Calibri"/>
        </w:rPr>
        <w:t>Rafael Ramos and Wenjian Liu National Blue Alert Report</w:t>
      </w:r>
      <w:r>
        <w:rPr>
          <w:rFonts w:eastAsia="Calibri"/>
        </w:rPr>
        <w:t xml:space="preserve"> 2016</w:t>
      </w:r>
      <w:r w:rsidRPr="0016173B">
        <w:rPr>
          <w:rFonts w:eastAsia="Calibri"/>
        </w:rPr>
        <w:t xml:space="preserve"> to Congress</w:t>
      </w:r>
      <w:r>
        <w:rPr>
          <w:rFonts w:eastAsia="Calibri"/>
        </w:rPr>
        <w:t xml:space="preserve"> at</w:t>
      </w:r>
      <w:r w:rsidRPr="00AA3A12">
        <w:rPr>
          <w:rFonts w:eastAsia="Calibri"/>
        </w:rPr>
        <w:t xml:space="preserve"> 6 (2016)</w:t>
      </w:r>
      <w:r>
        <w:rPr>
          <w:rFonts w:eastAsia="Calibri"/>
        </w:rPr>
        <w:t xml:space="preserve">, </w:t>
      </w:r>
      <w:hyperlink r:id="rId1" w:history="1">
        <w:r w:rsidRPr="00797E7E">
          <w:rPr>
            <w:rStyle w:val="Hyperlink"/>
            <w:rFonts w:eastAsia="Calibri"/>
          </w:rPr>
          <w:t>https://www.cops.usdoj.gov/pdf/blue-alert/2016_report.pdf</w:t>
        </w:r>
      </w:hyperlink>
      <w:r w:rsidRPr="00C43D26" w:rsidDel="00C43D26">
        <w:rPr>
          <w:rFonts w:eastAsia="Calibri"/>
        </w:rPr>
        <w:t xml:space="preserve"> </w:t>
      </w:r>
      <w:r>
        <w:rPr>
          <w:rFonts w:eastAsia="Calibri"/>
        </w:rPr>
        <w:t>(</w:t>
      </w:r>
      <w:r w:rsidRPr="00167E5E">
        <w:rPr>
          <w:rFonts w:eastAsia="Calibri"/>
          <w:i/>
        </w:rPr>
        <w:t>2016 Report to Congress</w:t>
      </w:r>
      <w:r>
        <w:rPr>
          <w:rFonts w:eastAsia="Calibri"/>
        </w:rPr>
        <w:t xml:space="preserve">) (noting “. . . the need for a dedicated Emergency Alerting System (EAS) event code . . .”).  The COPS Office is a component within the DOJ dedicated to community policing.  </w:t>
      </w:r>
      <w:r>
        <w:rPr>
          <w:rFonts w:eastAsia="Calibri"/>
          <w:i/>
        </w:rPr>
        <w:t xml:space="preserve">See </w:t>
      </w:r>
      <w:r>
        <w:rPr>
          <w:rFonts w:eastAsia="Calibri"/>
        </w:rPr>
        <w:t xml:space="preserve">U.S. Dep’t of Justice, </w:t>
      </w:r>
      <w:r w:rsidRPr="00AA3A12">
        <w:rPr>
          <w:rFonts w:eastAsia="Calibri"/>
          <w:i/>
        </w:rPr>
        <w:t>Community Oriented Policing Services</w:t>
      </w:r>
      <w:r>
        <w:rPr>
          <w:rFonts w:eastAsia="Calibri"/>
        </w:rPr>
        <w:t xml:space="preserve">, </w:t>
      </w:r>
      <w:hyperlink r:id="rId2" w:history="1">
        <w:r w:rsidRPr="00351711">
          <w:rPr>
            <w:rStyle w:val="Hyperlink"/>
            <w:rFonts w:eastAsia="Calibri"/>
          </w:rPr>
          <w:t>https://cops.usdoj.gov/</w:t>
        </w:r>
      </w:hyperlink>
      <w:r>
        <w:rPr>
          <w:rStyle w:val="Hyperlink"/>
          <w:rFonts w:eastAsia="Calibri"/>
        </w:rPr>
        <w:t xml:space="preserve"> </w:t>
      </w:r>
      <w:r w:rsidRPr="00D8629F">
        <w:rPr>
          <w:rStyle w:val="Hyperlink"/>
          <w:rFonts w:eastAsia="Calibri"/>
          <w:color w:val="auto"/>
          <w:u w:val="none"/>
        </w:rPr>
        <w:t>(last visited Apr. 19, 2017)</w:t>
      </w:r>
      <w:r w:rsidRPr="00D8629F">
        <w:rPr>
          <w:rFonts w:eastAsia="Calibri"/>
        </w:rPr>
        <w:t xml:space="preserve">.  </w:t>
      </w:r>
      <w:r>
        <w:rPr>
          <w:rFonts w:eastAsia="Calibri"/>
        </w:rPr>
        <w:t xml:space="preserve">The COPS Office is charged with implementing the Blue Alert communications network nationwide.  </w:t>
      </w:r>
      <w:r w:rsidRPr="00AA3A12">
        <w:rPr>
          <w:rFonts w:eastAsia="Calibri"/>
          <w:i/>
        </w:rPr>
        <w:t xml:space="preserve">See </w:t>
      </w:r>
      <w:r w:rsidRPr="00AA3A12">
        <w:rPr>
          <w:rFonts w:eastAsia="Calibri"/>
        </w:rPr>
        <w:t xml:space="preserve">Memorandum for Director of the Office of Community Oriented Policing Services, </w:t>
      </w:r>
      <w:r w:rsidRPr="00AA3A12">
        <w:rPr>
          <w:rFonts w:eastAsia="Calibri"/>
          <w:i/>
        </w:rPr>
        <w:t>Designation of the National Blue Alert Coordinator</w:t>
      </w:r>
      <w:r w:rsidRPr="00AA3A12">
        <w:rPr>
          <w:rFonts w:eastAsia="Calibri"/>
        </w:rPr>
        <w:t xml:space="preserve"> (Sept. 29, 2016).</w:t>
      </w:r>
    </w:p>
  </w:footnote>
  <w:footnote w:id="6">
    <w:p w14:paraId="3D3F4A01" w14:textId="77777777" w:rsidR="009973EE" w:rsidRPr="00B539CD" w:rsidRDefault="009973EE" w:rsidP="003856DF">
      <w:pPr>
        <w:pStyle w:val="FootnoteText"/>
      </w:pPr>
      <w:r w:rsidRPr="00B539CD">
        <w:rPr>
          <w:rStyle w:val="FootnoteReference"/>
        </w:rPr>
        <w:footnoteRef/>
      </w:r>
      <w:r w:rsidRPr="00AA3A12">
        <w:rPr>
          <w:rFonts w:eastAsia="Calibri"/>
        </w:rPr>
        <w:t xml:space="preserve"> An overview of the present organization and functioning of the EAS system is included in the </w:t>
      </w:r>
      <w:r w:rsidRPr="00AA3A12">
        <w:rPr>
          <w:rFonts w:eastAsia="Calibri"/>
          <w:i/>
        </w:rPr>
        <w:t>Second Report and Order</w:t>
      </w:r>
      <w:r w:rsidRPr="00AA3A12">
        <w:rPr>
          <w:rFonts w:eastAsia="Calibri"/>
        </w:rPr>
        <w:t xml:space="preserve">.  </w:t>
      </w:r>
      <w:r w:rsidRPr="00AA3A12">
        <w:rPr>
          <w:rFonts w:eastAsia="Calibri"/>
          <w:i/>
        </w:rPr>
        <w:t>See</w:t>
      </w:r>
      <w:r w:rsidRPr="00AA3A12">
        <w:rPr>
          <w:rFonts w:eastAsia="Calibri"/>
        </w:rPr>
        <w:t xml:space="preserve"> </w:t>
      </w:r>
      <w:r w:rsidRPr="006D6CDD">
        <w:rPr>
          <w:rFonts w:eastAsia="Calibri"/>
          <w:i/>
        </w:rPr>
        <w:t>Review of the Emergency Alert System; Independent Spanish Broadcasters Association, The Office of Communication of the United Church of Christ, Inc., and the Minority Media and Telecommunications Council, Petition for Immediate Relief</w:t>
      </w:r>
      <w:r w:rsidRPr="00AA3A12">
        <w:rPr>
          <w:rFonts w:eastAsia="Calibri"/>
        </w:rPr>
        <w:t xml:space="preserve">, </w:t>
      </w:r>
      <w:r>
        <w:rPr>
          <w:rFonts w:eastAsia="Calibri"/>
        </w:rPr>
        <w:t xml:space="preserve">EB Docket No. 04-296, </w:t>
      </w:r>
      <w:r w:rsidRPr="0009415F">
        <w:rPr>
          <w:rFonts w:eastAsia="Calibri"/>
        </w:rPr>
        <w:t>Second Report and Order and Further Notice of Proposed Rulemaking</w:t>
      </w:r>
      <w:r w:rsidRPr="00AA3A12">
        <w:rPr>
          <w:rFonts w:eastAsia="Calibri"/>
        </w:rPr>
        <w:t>, 22 FCC Rcd 13275, 13280-83, paras. 11-14 (2007) (</w:t>
      </w:r>
      <w:r w:rsidRPr="00AA3A12">
        <w:rPr>
          <w:rFonts w:eastAsia="Calibri"/>
          <w:i/>
        </w:rPr>
        <w:t>Second Report and Order</w:t>
      </w:r>
      <w:r w:rsidRPr="00AA3A12">
        <w:rPr>
          <w:rFonts w:eastAsia="Calibri"/>
        </w:rPr>
        <w:t>).</w:t>
      </w:r>
    </w:p>
  </w:footnote>
  <w:footnote w:id="7">
    <w:p w14:paraId="4006D8C3" w14:textId="77777777" w:rsidR="009973EE" w:rsidRPr="00B539CD" w:rsidRDefault="009973EE" w:rsidP="003856DF">
      <w:pPr>
        <w:pStyle w:val="FootnoteText"/>
      </w:pPr>
      <w:r w:rsidRPr="00B539CD">
        <w:rPr>
          <w:rStyle w:val="FootnoteReference"/>
        </w:rPr>
        <w:footnoteRef/>
      </w:r>
      <w:r w:rsidRPr="00AA3A12">
        <w:rPr>
          <w:rFonts w:eastAsia="Calibri"/>
        </w:rPr>
        <w:t xml:space="preserve"> 47 CFR § 11.1.  </w:t>
      </w:r>
    </w:p>
  </w:footnote>
  <w:footnote w:id="8">
    <w:p w14:paraId="61B686DB" w14:textId="20D6BC22" w:rsidR="009973EE" w:rsidRPr="00B539CD" w:rsidRDefault="009973EE" w:rsidP="003856DF">
      <w:pPr>
        <w:pStyle w:val="FootnoteText"/>
      </w:pPr>
      <w:r w:rsidRPr="00B539CD">
        <w:rPr>
          <w:rStyle w:val="FootnoteReference"/>
        </w:rPr>
        <w:footnoteRef/>
      </w:r>
      <w:r w:rsidRPr="00AA3A12">
        <w:rPr>
          <w:rFonts w:eastAsia="Calibri"/>
        </w:rPr>
        <w:t xml:space="preserve"> </w:t>
      </w:r>
      <w:r>
        <w:rPr>
          <w:rFonts w:eastAsia="Calibri"/>
        </w:rPr>
        <w:t xml:space="preserve">AMBER Alert is a voluntary partnership between law-enforcement agencies, broadcasters, transportation agencies, and the wireless industry, to activate an urgent bulletin in the most serious child-abduction cases.  The goal of an AMBER Alert is to instantly galvanize the entire community to assist in the search for and safe recovery of a child. </w:t>
      </w:r>
      <w:r>
        <w:rPr>
          <w:rFonts w:eastAsia="Calibri"/>
          <w:i/>
        </w:rPr>
        <w:t>See</w:t>
      </w:r>
      <w:r>
        <w:rPr>
          <w:rFonts w:eastAsia="Calibri"/>
        </w:rPr>
        <w:t xml:space="preserve"> Dep’t</w:t>
      </w:r>
      <w:r w:rsidRPr="003C1201">
        <w:rPr>
          <w:rFonts w:eastAsia="Calibri"/>
        </w:rPr>
        <w:t xml:space="preserve"> of Justice, </w:t>
      </w:r>
      <w:r>
        <w:rPr>
          <w:rFonts w:eastAsia="Calibri"/>
          <w:i/>
        </w:rPr>
        <w:t>AMBER</w:t>
      </w:r>
      <w:r w:rsidRPr="003C1201">
        <w:rPr>
          <w:rFonts w:eastAsia="Calibri"/>
          <w:i/>
        </w:rPr>
        <w:t xml:space="preserve"> Alert</w:t>
      </w:r>
      <w:r>
        <w:rPr>
          <w:rFonts w:eastAsia="Calibri"/>
          <w:i/>
        </w:rPr>
        <w:t xml:space="preserve"> –</w:t>
      </w:r>
      <w:r w:rsidRPr="003C1201">
        <w:rPr>
          <w:rFonts w:eastAsia="Calibri"/>
          <w:i/>
        </w:rPr>
        <w:t xml:space="preserve"> America’s Missing: Broadcast Emergency Response</w:t>
      </w:r>
      <w:r>
        <w:rPr>
          <w:rFonts w:eastAsia="Calibri"/>
        </w:rPr>
        <w:t xml:space="preserve">, </w:t>
      </w:r>
      <w:hyperlink r:id="rId3" w:history="1">
        <w:r w:rsidRPr="00351711">
          <w:rPr>
            <w:rStyle w:val="Hyperlink"/>
            <w:rFonts w:eastAsia="Calibri"/>
          </w:rPr>
          <w:t>https://www.amberalert.gov/index.htm</w:t>
        </w:r>
      </w:hyperlink>
      <w:r w:rsidRPr="00EA1CF4">
        <w:rPr>
          <w:rStyle w:val="Hyperlink"/>
          <w:rFonts w:eastAsia="Calibri"/>
          <w:u w:val="none"/>
        </w:rPr>
        <w:t xml:space="preserve"> </w:t>
      </w:r>
      <w:r w:rsidRPr="00D8629F">
        <w:rPr>
          <w:rStyle w:val="Hyperlink"/>
          <w:rFonts w:eastAsia="Calibri"/>
          <w:color w:val="auto"/>
          <w:u w:val="none"/>
        </w:rPr>
        <w:t>(last visited Apr. 19, 2017)</w:t>
      </w:r>
      <w:r>
        <w:rPr>
          <w:rFonts w:eastAsia="Calibri"/>
        </w:rPr>
        <w:t xml:space="preserve">. </w:t>
      </w:r>
    </w:p>
  </w:footnote>
  <w:footnote w:id="9">
    <w:p w14:paraId="32606D7B" w14:textId="77777777" w:rsidR="009973EE" w:rsidRDefault="009973EE">
      <w:pPr>
        <w:pStyle w:val="FootnoteText"/>
      </w:pPr>
      <w:r>
        <w:rPr>
          <w:rStyle w:val="FootnoteReference"/>
        </w:rPr>
        <w:footnoteRef/>
      </w:r>
      <w:r>
        <w:t xml:space="preserve"> </w:t>
      </w:r>
      <w:r w:rsidRPr="00AA3A12">
        <w:rPr>
          <w:rFonts w:eastAsia="Calibri"/>
          <w:i/>
        </w:rPr>
        <w:t>See</w:t>
      </w:r>
      <w:r w:rsidRPr="00AA3A12">
        <w:rPr>
          <w:rFonts w:eastAsia="Calibri"/>
        </w:rPr>
        <w:t xml:space="preserve"> 47 CFR § 11.55(a).</w:t>
      </w:r>
    </w:p>
  </w:footnote>
  <w:footnote w:id="10">
    <w:p w14:paraId="3854CD11" w14:textId="77777777" w:rsidR="009973EE" w:rsidRPr="00B539CD" w:rsidRDefault="009973EE" w:rsidP="003856DF">
      <w:pPr>
        <w:pStyle w:val="FootnoteText"/>
      </w:pPr>
      <w:r w:rsidRPr="00B539CD">
        <w:rPr>
          <w:rStyle w:val="FootnoteReference"/>
        </w:rPr>
        <w:footnoteRef/>
      </w:r>
      <w:r w:rsidRPr="00AA3A12">
        <w:rPr>
          <w:rFonts w:eastAsia="Calibri"/>
        </w:rPr>
        <w:t xml:space="preserve"> </w:t>
      </w:r>
      <w:r w:rsidRPr="00AA3A12">
        <w:rPr>
          <w:rFonts w:eastAsia="Calibri"/>
          <w:i/>
        </w:rPr>
        <w:t>See</w:t>
      </w:r>
      <w:r w:rsidRPr="00AA3A12">
        <w:rPr>
          <w:rFonts w:eastAsia="Calibri"/>
        </w:rPr>
        <w:t xml:space="preserve"> 47 CFR § 11.31(c), (e). </w:t>
      </w:r>
    </w:p>
  </w:footnote>
  <w:footnote w:id="11">
    <w:p w14:paraId="284BE6A9" w14:textId="77777777" w:rsidR="009973EE" w:rsidRPr="003B1F31" w:rsidRDefault="009973EE" w:rsidP="00BC06DA">
      <w:pPr>
        <w:pStyle w:val="FootnoteText"/>
      </w:pPr>
      <w:r w:rsidRPr="003B1F31">
        <w:rPr>
          <w:rStyle w:val="FootnoteReference"/>
        </w:rPr>
        <w:footnoteRef/>
      </w:r>
      <w:r w:rsidRPr="003B1F31">
        <w:t xml:space="preserve"> </w:t>
      </w:r>
      <w:r w:rsidRPr="003B1F31">
        <w:rPr>
          <w:i/>
        </w:rPr>
        <w:t>See 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3B1F31">
        <w:t xml:space="preserve">, </w:t>
      </w:r>
      <w:r>
        <w:t xml:space="preserve">EB Docket No. 04-296, </w:t>
      </w:r>
      <w:r w:rsidRPr="003B1F31">
        <w:t xml:space="preserve">Fifth Report and Order, </w:t>
      </w:r>
      <w:r w:rsidRPr="003B1F31">
        <w:rPr>
          <w:iCs/>
        </w:rPr>
        <w:t>27 FCC Rcd 642, 646-47, para. 7 (2012) (</w:t>
      </w:r>
      <w:r w:rsidRPr="003B1F31">
        <w:rPr>
          <w:i/>
          <w:iCs/>
        </w:rPr>
        <w:t>Fifth Report and Order</w:t>
      </w:r>
      <w:r w:rsidRPr="003B1F31">
        <w:rPr>
          <w:iCs/>
        </w:rPr>
        <w:t>).</w:t>
      </w:r>
    </w:p>
  </w:footnote>
  <w:footnote w:id="12">
    <w:p w14:paraId="02DCA0F0" w14:textId="6884E426" w:rsidR="009973EE" w:rsidRPr="003B1F31" w:rsidRDefault="009973EE" w:rsidP="00E94D01">
      <w:pPr>
        <w:pStyle w:val="FootnoteText"/>
      </w:pPr>
      <w:r w:rsidRPr="003B1F31">
        <w:rPr>
          <w:rStyle w:val="FootnoteReference"/>
        </w:rPr>
        <w:footnoteRef/>
      </w:r>
      <w:r w:rsidRPr="003B1F31">
        <w:t xml:space="preserve"> </w:t>
      </w:r>
      <w:r w:rsidRPr="003B1F31">
        <w:rPr>
          <w:i/>
        </w:rPr>
        <w:t>See, e.g.</w:t>
      </w:r>
      <w:r w:rsidRPr="003B1F31">
        <w:t>, FEMA,</w:t>
      </w:r>
      <w:r w:rsidRPr="003B1F31">
        <w:rPr>
          <w:i/>
        </w:rPr>
        <w:t xml:space="preserve"> Integrated Public Alert &amp; Warning System Open Platform for Emergency Networks</w:t>
      </w:r>
      <w:r w:rsidRPr="003B1F31">
        <w:rPr>
          <w:smallCaps/>
        </w:rPr>
        <w:t xml:space="preserve">, </w:t>
      </w:r>
      <w:r>
        <w:t>https://www.</w:t>
      </w:r>
      <w:r w:rsidRPr="003B1F31">
        <w:t xml:space="preserve">fema.gov/integrated-public-alert-warning-system-open-platform-emergency-networks </w:t>
      </w:r>
      <w:r w:rsidRPr="003B1F31">
        <w:rPr>
          <w:smallCaps/>
        </w:rPr>
        <w:t>(</w:t>
      </w:r>
      <w:r w:rsidRPr="003B1F31">
        <w:t xml:space="preserve">last visited </w:t>
      </w:r>
      <w:r>
        <w:t>Apr. 19</w:t>
      </w:r>
      <w:r w:rsidRPr="003B1F31">
        <w:t>, 2016);</w:t>
      </w:r>
      <w:r>
        <w:t xml:space="preserve"> </w:t>
      </w:r>
      <w:r w:rsidRPr="003B1F31">
        <w:t xml:space="preserve">U.S. Dep’t of Homeland Security, </w:t>
      </w:r>
      <w:r w:rsidRPr="003B1F31">
        <w:rPr>
          <w:i/>
        </w:rPr>
        <w:t>IT Program Assessment: FEMA – Integrated Public Alert Warning System (IPAWS)</w:t>
      </w:r>
      <w:r>
        <w:t xml:space="preserve">, </w:t>
      </w:r>
      <w:hyperlink r:id="rId4" w:history="1">
        <w:r w:rsidRPr="00797E7E">
          <w:rPr>
            <w:rStyle w:val="Hyperlink"/>
          </w:rPr>
          <w:t>https://www.dhs.gov/xlibrary/assets/mgmt/itpa-fema-ipaws2012.pdf</w:t>
        </w:r>
      </w:hyperlink>
      <w:r w:rsidRPr="003B1F31">
        <w:t xml:space="preserve"> (last visited </w:t>
      </w:r>
      <w:r>
        <w:t>Apr. 19</w:t>
      </w:r>
      <w:r w:rsidRPr="003B1F31">
        <w:t>, 2016)</w:t>
      </w:r>
      <w:r>
        <w:t xml:space="preserve">.  CAP is an open, interoperable, XML-based standard that can include multimedia such as streaming audio or video.  CAP messages contain standardized fields that facilitate interoperability between and among devices. </w:t>
      </w:r>
      <w:r>
        <w:rPr>
          <w:i/>
        </w:rPr>
        <w:t xml:space="preserve">See </w:t>
      </w:r>
      <w:r>
        <w:t xml:space="preserve">Oasis, </w:t>
      </w:r>
      <w:r>
        <w:rPr>
          <w:i/>
        </w:rPr>
        <w:t>Common Alerting Protocol Version 1.2</w:t>
      </w:r>
      <w:r>
        <w:t xml:space="preserve">, </w:t>
      </w:r>
      <w:hyperlink r:id="rId5" w:history="1">
        <w:r w:rsidRPr="00E30923">
          <w:rPr>
            <w:rStyle w:val="Hyperlink"/>
          </w:rPr>
          <w:t>http://docs.oasis-open.org/emergency/cap/v1.2/CAP-v1.2-os.html</w:t>
        </w:r>
      </w:hyperlink>
      <w:r>
        <w:t xml:space="preserve"> (last visited Apr. 28, 2017).  </w:t>
      </w:r>
      <w:r w:rsidRPr="003B1F31">
        <w:t xml:space="preserve"> </w:t>
      </w:r>
    </w:p>
  </w:footnote>
  <w:footnote w:id="13">
    <w:p w14:paraId="6516CBDC" w14:textId="77777777" w:rsidR="009973EE" w:rsidRPr="00B539CD" w:rsidRDefault="009973EE" w:rsidP="003856DF">
      <w:pPr>
        <w:pStyle w:val="FootnoteText"/>
      </w:pPr>
      <w:r w:rsidRPr="00B539CD">
        <w:rPr>
          <w:rStyle w:val="FootnoteReference"/>
        </w:rPr>
        <w:footnoteRef/>
      </w:r>
      <w:r>
        <w:rPr>
          <w:rFonts w:eastAsia="Calibri"/>
          <w:i/>
        </w:rPr>
        <w:t xml:space="preserve"> See </w:t>
      </w:r>
      <w:r>
        <w:rPr>
          <w:rFonts w:eastAsia="Calibri"/>
        </w:rPr>
        <w:t>Rafael Ramos and Wenjian Liu National Blue Alert Act of 2015</w:t>
      </w:r>
      <w:r>
        <w:rPr>
          <w:rFonts w:eastAsia="Calibri"/>
          <w:i/>
        </w:rPr>
        <w:t>.</w:t>
      </w:r>
    </w:p>
  </w:footnote>
  <w:footnote w:id="14">
    <w:p w14:paraId="3697AB5D" w14:textId="77777777" w:rsidR="009973EE" w:rsidRDefault="009973EE" w:rsidP="00B00513">
      <w:pPr>
        <w:pStyle w:val="FootnoteText"/>
      </w:pPr>
      <w:r>
        <w:rPr>
          <w:rStyle w:val="FootnoteReference"/>
        </w:rPr>
        <w:footnoteRef/>
      </w:r>
      <w:r>
        <w:t xml:space="preserve"> </w:t>
      </w:r>
      <w:r w:rsidRPr="00AA3A12">
        <w:rPr>
          <w:rFonts w:eastAsia="Calibri"/>
          <w:i/>
        </w:rPr>
        <w:t xml:space="preserve">See </w:t>
      </w:r>
      <w:r w:rsidRPr="00AA3A12">
        <w:rPr>
          <w:rFonts w:eastAsia="Calibri"/>
        </w:rPr>
        <w:t xml:space="preserve">Memorandum for Director of Community Oriented Policing Services from the Attorney General, </w:t>
      </w:r>
      <w:r w:rsidRPr="00AA3A12">
        <w:rPr>
          <w:rFonts w:eastAsia="Calibri"/>
          <w:i/>
        </w:rPr>
        <w:t>Designation of the National Blue Alert Coordinator</w:t>
      </w:r>
      <w:r w:rsidRPr="00AA3A12">
        <w:rPr>
          <w:rFonts w:eastAsia="Calibri"/>
        </w:rPr>
        <w:t xml:space="preserve"> at 1 (2016).</w:t>
      </w:r>
    </w:p>
  </w:footnote>
  <w:footnote w:id="15">
    <w:p w14:paraId="7395E39A" w14:textId="77777777" w:rsidR="009973EE" w:rsidRDefault="009973EE" w:rsidP="00B00513">
      <w:pPr>
        <w:pStyle w:val="FootnoteText"/>
      </w:pPr>
      <w:r>
        <w:rPr>
          <w:rStyle w:val="FootnoteReference"/>
        </w:rPr>
        <w:footnoteRef/>
      </w:r>
      <w:r>
        <w:t xml:space="preserve"> </w:t>
      </w:r>
      <w:r w:rsidRPr="003C1201">
        <w:rPr>
          <w:rFonts w:eastAsia="Calibri"/>
        </w:rPr>
        <w:t>42 U.S.C. § 14165b</w:t>
      </w:r>
      <w:r>
        <w:rPr>
          <w:rFonts w:eastAsia="Calibri"/>
        </w:rPr>
        <w:t xml:space="preserve">(b)(7)(A)-(B). </w:t>
      </w:r>
    </w:p>
  </w:footnote>
  <w:footnote w:id="16">
    <w:p w14:paraId="20B874FA" w14:textId="22E630AC" w:rsidR="009973EE" w:rsidRDefault="009973EE" w:rsidP="009B0664">
      <w:pPr>
        <w:pStyle w:val="FootnoteText"/>
      </w:pPr>
      <w:r>
        <w:rPr>
          <w:rStyle w:val="FootnoteReference"/>
        </w:rPr>
        <w:footnoteRef/>
      </w:r>
      <w:r>
        <w:t xml:space="preserve"> </w:t>
      </w:r>
      <w:r>
        <w:rPr>
          <w:rFonts w:eastAsia="Calibri"/>
        </w:rPr>
        <w:t xml:space="preserve">Department of Justice Community Oriented Policing Services, </w:t>
      </w:r>
      <w:r>
        <w:rPr>
          <w:rFonts w:eastAsia="Calibri"/>
          <w:i/>
        </w:rPr>
        <w:t>National Blue Alert Network: When to Issue a Blue Alert</w:t>
      </w:r>
      <w:r>
        <w:rPr>
          <w:rFonts w:eastAsia="Calibri"/>
        </w:rPr>
        <w:t xml:space="preserve">, </w:t>
      </w:r>
      <w:hyperlink r:id="rId6" w:history="1">
        <w:r w:rsidRPr="0024170D">
          <w:rPr>
            <w:rStyle w:val="Hyperlink"/>
            <w:rFonts w:eastAsia="Calibri"/>
          </w:rPr>
          <w:t>https://cops.usdoj.gov/pdf/blue-alert/blue_alert_guidelines.pdf</w:t>
        </w:r>
      </w:hyperlink>
      <w:r>
        <w:rPr>
          <w:rFonts w:eastAsia="Calibri"/>
        </w:rPr>
        <w:t xml:space="preserve"> (last visited Jun. 20, 2017) (</w:t>
      </w:r>
      <w:r>
        <w:rPr>
          <w:rFonts w:eastAsia="Calibri"/>
          <w:i/>
        </w:rPr>
        <w:t>Blue Alert Guidelines</w:t>
      </w:r>
      <w:r>
        <w:rPr>
          <w:rFonts w:eastAsia="Calibri"/>
        </w:rPr>
        <w:t>).</w:t>
      </w:r>
    </w:p>
  </w:footnote>
  <w:footnote w:id="17">
    <w:p w14:paraId="6BD80255" w14:textId="1EC277DB" w:rsidR="009973EE" w:rsidRDefault="009973EE" w:rsidP="00E3128D">
      <w:pPr>
        <w:pStyle w:val="FootnoteText"/>
      </w:pPr>
      <w:r>
        <w:rPr>
          <w:rStyle w:val="FootnoteReference"/>
        </w:rPr>
        <w:footnoteRef/>
      </w:r>
      <w:r>
        <w:t xml:space="preserve"> </w:t>
      </w:r>
      <w:r>
        <w:rPr>
          <w:i/>
        </w:rPr>
        <w:t xml:space="preserve">See Blue Alert Guidelines. </w:t>
      </w:r>
    </w:p>
  </w:footnote>
  <w:footnote w:id="18">
    <w:p w14:paraId="58DE7AAD" w14:textId="77777777" w:rsidR="009973EE" w:rsidRDefault="009973EE" w:rsidP="00E3128D">
      <w:pPr>
        <w:pStyle w:val="FootnoteText"/>
      </w:pPr>
      <w:r>
        <w:rPr>
          <w:rStyle w:val="FootnoteReference"/>
        </w:rPr>
        <w:footnoteRef/>
      </w:r>
      <w:r>
        <w:t xml:space="preserve"> </w:t>
      </w:r>
      <w:r w:rsidRPr="008E0428">
        <w:rPr>
          <w:i/>
        </w:rPr>
        <w:t xml:space="preserve">See </w:t>
      </w:r>
      <w:r w:rsidRPr="00167E5E">
        <w:rPr>
          <w:i/>
        </w:rPr>
        <w:t>Blue Alert Guidelines</w:t>
      </w:r>
      <w:r>
        <w:rPr>
          <w:rFonts w:eastAsia="Calibri"/>
        </w:rPr>
        <w:t>.</w:t>
      </w:r>
      <w:r>
        <w:t xml:space="preserve">  </w:t>
      </w:r>
    </w:p>
  </w:footnote>
  <w:footnote w:id="19">
    <w:p w14:paraId="14C1A903" w14:textId="77777777" w:rsidR="009973EE" w:rsidRDefault="009973EE">
      <w:pPr>
        <w:pStyle w:val="FootnoteText"/>
      </w:pPr>
      <w:r>
        <w:rPr>
          <w:rStyle w:val="FootnoteReference"/>
        </w:rPr>
        <w:footnoteRef/>
      </w:r>
      <w:r>
        <w:t xml:space="preserve"> </w:t>
      </w:r>
      <w:r w:rsidRPr="008E0428">
        <w:rPr>
          <w:i/>
        </w:rPr>
        <w:t xml:space="preserve">See </w:t>
      </w:r>
      <w:r w:rsidRPr="00167E5E">
        <w:rPr>
          <w:i/>
        </w:rPr>
        <w:t>Blue Alert Guidelines</w:t>
      </w:r>
      <w:r>
        <w:rPr>
          <w:rFonts w:eastAsia="Calibri"/>
        </w:rPr>
        <w:t>.</w:t>
      </w:r>
      <w:r>
        <w:t xml:space="preserve">  </w:t>
      </w:r>
    </w:p>
  </w:footnote>
  <w:footnote w:id="20">
    <w:p w14:paraId="647DA57D" w14:textId="77777777" w:rsidR="009973EE" w:rsidRDefault="009973EE" w:rsidP="007205FD">
      <w:pPr>
        <w:pStyle w:val="FootnoteText"/>
      </w:pPr>
      <w:r>
        <w:rPr>
          <w:rStyle w:val="FootnoteReference"/>
        </w:rPr>
        <w:footnoteRef/>
      </w:r>
      <w:r>
        <w:t xml:space="preserve"> </w:t>
      </w:r>
      <w:r w:rsidRPr="008E0428">
        <w:rPr>
          <w:i/>
        </w:rPr>
        <w:t xml:space="preserve">See </w:t>
      </w:r>
      <w:r w:rsidRPr="00167E5E">
        <w:rPr>
          <w:i/>
        </w:rPr>
        <w:t>Blue Alert Guidelines</w:t>
      </w:r>
      <w:r>
        <w:rPr>
          <w:rFonts w:eastAsia="Calibri"/>
        </w:rPr>
        <w:t>.</w:t>
      </w:r>
      <w:r>
        <w:t xml:space="preserve">  </w:t>
      </w:r>
    </w:p>
  </w:footnote>
  <w:footnote w:id="21">
    <w:p w14:paraId="43429E9A" w14:textId="77777777" w:rsidR="009973EE" w:rsidRDefault="009973EE">
      <w:pPr>
        <w:pStyle w:val="FootnoteText"/>
      </w:pPr>
      <w:r>
        <w:rPr>
          <w:rStyle w:val="FootnoteReference"/>
        </w:rPr>
        <w:footnoteRef/>
      </w:r>
      <w:r>
        <w:t xml:space="preserve"> </w:t>
      </w:r>
      <w:r w:rsidRPr="008E0428">
        <w:rPr>
          <w:i/>
        </w:rPr>
        <w:t xml:space="preserve">See </w:t>
      </w:r>
      <w:r w:rsidRPr="00167E5E">
        <w:rPr>
          <w:i/>
        </w:rPr>
        <w:t>Blue Alert Guidelines</w:t>
      </w:r>
      <w:r>
        <w:rPr>
          <w:rFonts w:eastAsia="Calibri"/>
        </w:rPr>
        <w:t>.</w:t>
      </w:r>
      <w:r>
        <w:t xml:space="preserve"> </w:t>
      </w:r>
    </w:p>
  </w:footnote>
  <w:footnote w:id="22">
    <w:p w14:paraId="6DCB4CE3" w14:textId="77777777" w:rsidR="009973EE" w:rsidRDefault="009973EE">
      <w:pPr>
        <w:pStyle w:val="FootnoteText"/>
      </w:pPr>
      <w:r>
        <w:rPr>
          <w:rStyle w:val="FootnoteReference"/>
        </w:rPr>
        <w:footnoteRef/>
      </w:r>
      <w:r>
        <w:t xml:space="preserve"> </w:t>
      </w:r>
      <w:r w:rsidRPr="008E0428">
        <w:rPr>
          <w:i/>
        </w:rPr>
        <w:t xml:space="preserve">See </w:t>
      </w:r>
      <w:r w:rsidRPr="00167E5E">
        <w:rPr>
          <w:i/>
        </w:rPr>
        <w:t>Blue Alert Guidelines</w:t>
      </w:r>
      <w:r>
        <w:rPr>
          <w:rFonts w:eastAsia="Calibri"/>
        </w:rPr>
        <w:t>.</w:t>
      </w:r>
      <w:r>
        <w:t xml:space="preserve">  </w:t>
      </w:r>
    </w:p>
  </w:footnote>
  <w:footnote w:id="23">
    <w:p w14:paraId="2B51A397" w14:textId="77777777" w:rsidR="009973EE" w:rsidRDefault="009973EE" w:rsidP="00F72C00">
      <w:pPr>
        <w:pStyle w:val="FootnoteText"/>
      </w:pPr>
      <w:r>
        <w:rPr>
          <w:rStyle w:val="FootnoteReference"/>
        </w:rPr>
        <w:footnoteRef/>
      </w:r>
      <w:r>
        <w:t xml:space="preserve"> </w:t>
      </w:r>
      <w:r w:rsidRPr="00AA3A12">
        <w:rPr>
          <w:rFonts w:eastAsia="Calibri"/>
        </w:rPr>
        <w:t>42 U.S.C. § 14165b</w:t>
      </w:r>
      <w:r>
        <w:rPr>
          <w:rFonts w:eastAsia="Calibri"/>
        </w:rPr>
        <w:t xml:space="preserve">(b)(2)(F)(ii). </w:t>
      </w:r>
    </w:p>
  </w:footnote>
  <w:footnote w:id="24">
    <w:p w14:paraId="75FDACE5" w14:textId="77777777" w:rsidR="009973EE" w:rsidRDefault="009973EE" w:rsidP="00F72C00">
      <w:pPr>
        <w:pStyle w:val="FootnoteText"/>
      </w:pPr>
      <w:r>
        <w:rPr>
          <w:rStyle w:val="FootnoteReference"/>
        </w:rPr>
        <w:footnoteRef/>
      </w:r>
      <w:r>
        <w:t xml:space="preserve"> </w:t>
      </w:r>
      <w:r w:rsidRPr="00AA3A12">
        <w:rPr>
          <w:rFonts w:eastAsia="Calibri"/>
        </w:rPr>
        <w:t>42 U.S.C. § 14165b</w:t>
      </w:r>
      <w:r>
        <w:rPr>
          <w:rFonts w:eastAsia="Calibri"/>
        </w:rPr>
        <w:t xml:space="preserve">(b)(2)(F)(iv), (b)(3). </w:t>
      </w:r>
    </w:p>
  </w:footnote>
  <w:footnote w:id="25">
    <w:p w14:paraId="1FDED39D" w14:textId="77777777" w:rsidR="009973EE" w:rsidRPr="00B539CD" w:rsidRDefault="009973EE" w:rsidP="003856DF">
      <w:pPr>
        <w:pStyle w:val="FootnoteText"/>
      </w:pPr>
      <w:r w:rsidRPr="00B539CD">
        <w:rPr>
          <w:rStyle w:val="FootnoteReference"/>
        </w:rPr>
        <w:footnoteRef/>
      </w:r>
      <w:r w:rsidRPr="00AA3A12">
        <w:rPr>
          <w:rFonts w:eastAsia="Calibri"/>
        </w:rPr>
        <w:t xml:space="preserve"> 42 U.S.C. § 14165b(d). </w:t>
      </w:r>
    </w:p>
  </w:footnote>
  <w:footnote w:id="26">
    <w:p w14:paraId="426902C7" w14:textId="2F2103D5" w:rsidR="009973EE" w:rsidRDefault="009973EE">
      <w:pPr>
        <w:pStyle w:val="FootnoteText"/>
      </w:pPr>
      <w:r>
        <w:rPr>
          <w:rStyle w:val="FootnoteReference"/>
        </w:rPr>
        <w:footnoteRef/>
      </w:r>
      <w:r>
        <w:t xml:space="preserve"> </w:t>
      </w:r>
      <w:r w:rsidRPr="007F3CC7">
        <w:rPr>
          <w:rFonts w:eastAsia="Calibri"/>
        </w:rPr>
        <w:t xml:space="preserve">U.S. Dep’t of Justice, Office of Community Oriented Policing Services, </w:t>
      </w:r>
      <w:r w:rsidRPr="0016173B">
        <w:rPr>
          <w:rFonts w:eastAsia="Calibri"/>
        </w:rPr>
        <w:t>Rafael Ramos and Wenjian Liu National Blue Alert Report</w:t>
      </w:r>
      <w:r>
        <w:rPr>
          <w:rFonts w:eastAsia="Calibri"/>
        </w:rPr>
        <w:t xml:space="preserve"> 2017</w:t>
      </w:r>
      <w:r w:rsidRPr="0016173B">
        <w:rPr>
          <w:rFonts w:eastAsia="Calibri"/>
        </w:rPr>
        <w:t xml:space="preserve"> to Congress</w:t>
      </w:r>
      <w:r>
        <w:rPr>
          <w:rFonts w:eastAsia="Calibri"/>
        </w:rPr>
        <w:t xml:space="preserve"> at 7-8 (</w:t>
      </w:r>
      <w:r w:rsidRPr="00167E5E">
        <w:rPr>
          <w:rFonts w:eastAsia="Calibri"/>
          <w:i/>
        </w:rPr>
        <w:t>2017 Report to Congress</w:t>
      </w:r>
      <w:r>
        <w:rPr>
          <w:rFonts w:eastAsia="Calibri"/>
        </w:rPr>
        <w:t xml:space="preserve">)), </w:t>
      </w:r>
      <w:hyperlink r:id="rId7" w:history="1">
        <w:r w:rsidRPr="00797E7E">
          <w:rPr>
            <w:rStyle w:val="Hyperlink"/>
            <w:rFonts w:eastAsia="Calibri"/>
          </w:rPr>
          <w:t>https://www.cops.usdoj.gov/pdf/blue-alert/2017_report.pdf</w:t>
        </w:r>
      </w:hyperlink>
      <w:r>
        <w:rPr>
          <w:rFonts w:eastAsia="Calibri"/>
        </w:rPr>
        <w:t xml:space="preserve">. </w:t>
      </w:r>
    </w:p>
  </w:footnote>
  <w:footnote w:id="27">
    <w:p w14:paraId="519C76D7" w14:textId="77777777" w:rsidR="009973EE" w:rsidRDefault="009973EE">
      <w:pPr>
        <w:pStyle w:val="FootnoteText"/>
      </w:pPr>
      <w:r>
        <w:rPr>
          <w:rStyle w:val="FootnoteReference"/>
        </w:rPr>
        <w:footnoteRef/>
      </w:r>
      <w:r>
        <w:t xml:space="preserve"> </w:t>
      </w:r>
      <w:r w:rsidRPr="00AA3A12">
        <w:rPr>
          <w:rFonts w:eastAsia="Calibri"/>
        </w:rPr>
        <w:t>42 U.S.C. § 14165b</w:t>
      </w:r>
      <w:r>
        <w:rPr>
          <w:rFonts w:eastAsia="Calibri"/>
        </w:rPr>
        <w:t xml:space="preserve">(b)(2). </w:t>
      </w:r>
    </w:p>
  </w:footnote>
  <w:footnote w:id="28">
    <w:p w14:paraId="7A87FB2E" w14:textId="77777777" w:rsidR="009973EE" w:rsidRDefault="009973EE">
      <w:pPr>
        <w:pStyle w:val="FootnoteText"/>
      </w:pPr>
      <w:r>
        <w:rPr>
          <w:rStyle w:val="FootnoteReference"/>
        </w:rPr>
        <w:footnoteRef/>
      </w:r>
      <w:r>
        <w:t xml:space="preserve"> </w:t>
      </w:r>
      <w:r w:rsidRPr="00AA3A12">
        <w:rPr>
          <w:rFonts w:eastAsia="Calibri"/>
        </w:rPr>
        <w:t>42 U.S.C. § 14165b</w:t>
      </w:r>
      <w:r>
        <w:rPr>
          <w:rFonts w:eastAsia="Calibri"/>
        </w:rPr>
        <w:t>(b)(2)(A)-(E).</w:t>
      </w:r>
    </w:p>
  </w:footnote>
  <w:footnote w:id="29">
    <w:p w14:paraId="4DBC1530" w14:textId="77777777" w:rsidR="009973EE" w:rsidRDefault="009973EE">
      <w:pPr>
        <w:pStyle w:val="FootnoteText"/>
      </w:pPr>
      <w:r>
        <w:rPr>
          <w:rStyle w:val="FootnoteReference"/>
        </w:rPr>
        <w:footnoteRef/>
      </w:r>
      <w:r>
        <w:t xml:space="preserve"> </w:t>
      </w:r>
      <w:r w:rsidRPr="00AA3A12">
        <w:rPr>
          <w:rFonts w:eastAsia="Calibri"/>
        </w:rPr>
        <w:t>42 U.S.C. § 14165b</w:t>
      </w:r>
      <w:r>
        <w:rPr>
          <w:rFonts w:eastAsia="Calibri"/>
        </w:rPr>
        <w:t>(b)(2).</w:t>
      </w:r>
    </w:p>
  </w:footnote>
  <w:footnote w:id="30">
    <w:p w14:paraId="4385A77B" w14:textId="77777777" w:rsidR="009973EE" w:rsidRPr="00B539CD" w:rsidRDefault="009973EE" w:rsidP="00AE722C">
      <w:pPr>
        <w:pStyle w:val="FootnoteText"/>
      </w:pPr>
      <w:r w:rsidRPr="00B539CD">
        <w:rPr>
          <w:rStyle w:val="FootnoteReference"/>
        </w:rPr>
        <w:footnoteRef/>
      </w:r>
      <w:r w:rsidRPr="00AA3A12">
        <w:rPr>
          <w:rFonts w:eastAsia="Calibri"/>
        </w:rPr>
        <w:t xml:space="preserve"> </w:t>
      </w:r>
      <w:r>
        <w:rPr>
          <w:rFonts w:eastAsia="Calibri"/>
          <w:i/>
        </w:rPr>
        <w:t xml:space="preserve">See </w:t>
      </w:r>
      <w:r w:rsidRPr="00167E5E">
        <w:rPr>
          <w:rFonts w:eastAsia="Calibri"/>
          <w:i/>
        </w:rPr>
        <w:t>2016 Report to Congress</w:t>
      </w:r>
      <w:r w:rsidRPr="00AA3A12">
        <w:rPr>
          <w:rFonts w:eastAsia="Calibri"/>
          <w:i/>
        </w:rPr>
        <w:t xml:space="preserve"> </w:t>
      </w:r>
      <w:r w:rsidRPr="00AA3A12">
        <w:rPr>
          <w:rFonts w:eastAsia="Calibri"/>
        </w:rPr>
        <w:t>at 6.</w:t>
      </w:r>
    </w:p>
  </w:footnote>
  <w:footnote w:id="31">
    <w:p w14:paraId="7976F9BD" w14:textId="77777777" w:rsidR="009973EE" w:rsidRDefault="009973EE" w:rsidP="00AE722C">
      <w:pPr>
        <w:pStyle w:val="FootnoteText"/>
      </w:pPr>
      <w:r>
        <w:rPr>
          <w:rStyle w:val="FootnoteReference"/>
        </w:rPr>
        <w:footnoteRef/>
      </w:r>
      <w:r>
        <w:t xml:space="preserve"> </w:t>
      </w:r>
      <w:r>
        <w:rPr>
          <w:i/>
        </w:rPr>
        <w:t xml:space="preserve">See </w:t>
      </w:r>
      <w:r w:rsidRPr="00167E5E">
        <w:rPr>
          <w:i/>
        </w:rPr>
        <w:t xml:space="preserve">2016 </w:t>
      </w:r>
      <w:r w:rsidRPr="00167E5E">
        <w:rPr>
          <w:rFonts w:eastAsia="Calibri"/>
          <w:i/>
        </w:rPr>
        <w:t>Report to Congress</w:t>
      </w:r>
      <w:r w:rsidRPr="00AA3A12">
        <w:rPr>
          <w:rFonts w:eastAsia="Calibri"/>
          <w:i/>
        </w:rPr>
        <w:t xml:space="preserve"> </w:t>
      </w:r>
      <w:r>
        <w:rPr>
          <w:rFonts w:eastAsia="Calibri"/>
        </w:rPr>
        <w:t>at 8.</w:t>
      </w:r>
    </w:p>
  </w:footnote>
  <w:footnote w:id="32">
    <w:p w14:paraId="6457C29E" w14:textId="77777777" w:rsidR="009973EE" w:rsidRDefault="009973EE" w:rsidP="00C566E7">
      <w:pPr>
        <w:pStyle w:val="FootnoteText"/>
      </w:pPr>
      <w:r>
        <w:rPr>
          <w:rStyle w:val="FootnoteReference"/>
        </w:rPr>
        <w:footnoteRef/>
      </w:r>
      <w:r>
        <w:t xml:space="preserve"> </w:t>
      </w:r>
      <w:r w:rsidRPr="00AA3A12">
        <w:rPr>
          <w:rFonts w:eastAsia="Calibri"/>
        </w:rPr>
        <w:t>47 CFR § 11.31(e).</w:t>
      </w:r>
    </w:p>
  </w:footnote>
  <w:footnote w:id="33">
    <w:p w14:paraId="15D20416" w14:textId="77777777" w:rsidR="009973EE" w:rsidRDefault="009973EE" w:rsidP="00C566E7">
      <w:pPr>
        <w:pStyle w:val="FootnoteText"/>
      </w:pPr>
      <w:r>
        <w:rPr>
          <w:rStyle w:val="FootnoteReference"/>
        </w:rPr>
        <w:footnoteRef/>
      </w:r>
      <w:r>
        <w:t xml:space="preserve"> </w:t>
      </w:r>
      <w:r>
        <w:rPr>
          <w:rFonts w:eastAsia="Calibri"/>
          <w:i/>
        </w:rPr>
        <w:t>See Blue Alert Guidelines</w:t>
      </w:r>
      <w:r>
        <w:rPr>
          <w:rFonts w:eastAsia="Calibri"/>
        </w:rPr>
        <w:t>.</w:t>
      </w:r>
      <w:r>
        <w:t xml:space="preserve">  </w:t>
      </w:r>
    </w:p>
  </w:footnote>
  <w:footnote w:id="34">
    <w:p w14:paraId="34F38DEB" w14:textId="77777777" w:rsidR="009973EE" w:rsidRDefault="009973EE">
      <w:pPr>
        <w:pStyle w:val="FootnoteText"/>
      </w:pPr>
      <w:r>
        <w:rPr>
          <w:rStyle w:val="FootnoteReference"/>
        </w:rPr>
        <w:footnoteRef/>
      </w:r>
      <w:r>
        <w:t xml:space="preserve"> </w:t>
      </w:r>
      <w:r w:rsidRPr="00AA3A12">
        <w:rPr>
          <w:rFonts w:eastAsia="Calibri"/>
        </w:rPr>
        <w:t>42 U.S.C. § 14165b</w:t>
      </w:r>
      <w:r>
        <w:rPr>
          <w:rFonts w:eastAsia="Calibri"/>
        </w:rPr>
        <w:t xml:space="preserve">(b)(2)(F)(ii). </w:t>
      </w:r>
    </w:p>
  </w:footnote>
  <w:footnote w:id="35">
    <w:p w14:paraId="7E98469C" w14:textId="77777777" w:rsidR="009973EE" w:rsidRDefault="009973EE">
      <w:pPr>
        <w:pStyle w:val="FootnoteText"/>
      </w:pPr>
      <w:r>
        <w:rPr>
          <w:rStyle w:val="FootnoteReference"/>
        </w:rPr>
        <w:footnoteRef/>
      </w:r>
      <w:r>
        <w:t xml:space="preserve"> </w:t>
      </w:r>
      <w:r w:rsidRPr="00AA3A12">
        <w:rPr>
          <w:rFonts w:eastAsia="Calibri"/>
        </w:rPr>
        <w:t>42 U.S.C. § 14165b</w:t>
      </w:r>
      <w:r>
        <w:rPr>
          <w:rFonts w:eastAsia="Calibri"/>
        </w:rPr>
        <w:t xml:space="preserve">(b)(2)(F)(iii). </w:t>
      </w:r>
    </w:p>
  </w:footnote>
  <w:footnote w:id="36">
    <w:p w14:paraId="32D9D17F" w14:textId="77777777" w:rsidR="009973EE" w:rsidRDefault="009973EE">
      <w:pPr>
        <w:pStyle w:val="FootnoteText"/>
      </w:pPr>
      <w:r>
        <w:rPr>
          <w:rStyle w:val="FootnoteReference"/>
        </w:rPr>
        <w:footnoteRef/>
      </w:r>
      <w:r>
        <w:t xml:space="preserve"> </w:t>
      </w:r>
      <w:r>
        <w:rPr>
          <w:i/>
        </w:rPr>
        <w:t>See, e.g.,</w:t>
      </w:r>
      <w:r>
        <w:t xml:space="preserve"> 47 CFR § 11.55(a) (“The EAS may be activated at the State and Local Area levels by EAS Participants at their discretion for day-to-day emergency situations posing a threat to life and property.”); 47 CFR § 11.52(d)(5) (“[T]he management of EAS Participants shall determine which header codes will automatically interrupt their programming for State and Local Area emergency situations affecting their audiences.”); </w:t>
      </w:r>
      <w:r>
        <w:rPr>
          <w:i/>
        </w:rPr>
        <w:t>see also First Report and Order and Further Notice of Proposed Rule Making,</w:t>
      </w:r>
      <w:r>
        <w:t xml:space="preserve"> 20 FCC Rcd at 18628, para. 8.</w:t>
      </w:r>
    </w:p>
  </w:footnote>
  <w:footnote w:id="37">
    <w:p w14:paraId="6946D4AB" w14:textId="77777777" w:rsidR="009973EE" w:rsidRDefault="009973EE" w:rsidP="00B80D7E">
      <w:pPr>
        <w:pStyle w:val="FootnoteText"/>
      </w:pPr>
      <w:r>
        <w:rPr>
          <w:rStyle w:val="FootnoteReference"/>
        </w:rPr>
        <w:footnoteRef/>
      </w:r>
      <w:r>
        <w:t xml:space="preserve"> </w:t>
      </w:r>
      <w:r w:rsidRPr="003B1F31">
        <w:rPr>
          <w:i/>
        </w:rPr>
        <w:t xml:space="preserve">See </w:t>
      </w:r>
      <w:r w:rsidRPr="00C516C4">
        <w:rPr>
          <w:i/>
        </w:rPr>
        <w:t>Fifth Report and Order</w:t>
      </w:r>
      <w:r w:rsidRPr="003B1F31">
        <w:t xml:space="preserve">, </w:t>
      </w:r>
      <w:r>
        <w:rPr>
          <w:iCs/>
        </w:rPr>
        <w:t>27 FCC Rcd 642, 646, para. 6.</w:t>
      </w:r>
    </w:p>
  </w:footnote>
  <w:footnote w:id="38">
    <w:p w14:paraId="5D5994A9" w14:textId="77777777" w:rsidR="009973EE" w:rsidRDefault="009973EE" w:rsidP="00B80D7E">
      <w:pPr>
        <w:pStyle w:val="FootnoteText"/>
      </w:pPr>
      <w:r>
        <w:rPr>
          <w:rStyle w:val="FootnoteReference"/>
        </w:rPr>
        <w:footnoteRef/>
      </w:r>
      <w:r>
        <w:t xml:space="preserve"> </w:t>
      </w:r>
      <w:r w:rsidRPr="003B1F31">
        <w:t>FCC, Public Safety &amp; Homeland Security Bureau, Strengthening the Emergency Alert System (EAS): Lessons Learned f</w:t>
      </w:r>
      <w:r>
        <w:t xml:space="preserve">rom the Nationwide EAS Test at </w:t>
      </w:r>
      <w:r w:rsidRPr="003B1F31">
        <w:t>7 (2013)</w:t>
      </w:r>
      <w:r>
        <w:t>.</w:t>
      </w:r>
    </w:p>
  </w:footnote>
  <w:footnote w:id="39">
    <w:p w14:paraId="50A910DA" w14:textId="77777777" w:rsidR="009973EE" w:rsidRDefault="009973EE" w:rsidP="00B7666B">
      <w:pPr>
        <w:pStyle w:val="FootnoteText"/>
      </w:pPr>
      <w:r>
        <w:rPr>
          <w:rStyle w:val="FootnoteReference"/>
        </w:rPr>
        <w:footnoteRef/>
      </w:r>
      <w:r>
        <w:t xml:space="preserve"> 47 CFR § 11.33(a)(9).</w:t>
      </w:r>
    </w:p>
  </w:footnote>
  <w:footnote w:id="40">
    <w:p w14:paraId="00F865E6" w14:textId="77777777" w:rsidR="009973EE" w:rsidRDefault="009973EE">
      <w:pPr>
        <w:pStyle w:val="FootnoteText"/>
      </w:pPr>
      <w:r>
        <w:rPr>
          <w:rStyle w:val="FootnoteReference"/>
        </w:rPr>
        <w:footnoteRef/>
      </w:r>
      <w:r>
        <w:t xml:space="preserve"> FCC, Public Safety &amp; Homeland Security Bureau, Report: September 28, 2016 Nationwide EAS Test at 5 n.2, 6, 16-17 (2017), </w:t>
      </w:r>
      <w:r w:rsidRPr="00FE23CF">
        <w:t>http://transition.fcc.gov/Daily_Releases/Daily_Business/2017/db0421/DOC-344518A1.pdf</w:t>
      </w:r>
      <w:r>
        <w:t xml:space="preserve">. </w:t>
      </w:r>
    </w:p>
  </w:footnote>
  <w:footnote w:id="41">
    <w:p w14:paraId="5469CED8" w14:textId="77777777" w:rsidR="009973EE" w:rsidRDefault="009973EE">
      <w:pPr>
        <w:pStyle w:val="FootnoteText"/>
      </w:pPr>
      <w:r>
        <w:rPr>
          <w:rStyle w:val="FootnoteReference"/>
        </w:rPr>
        <w:footnoteRef/>
      </w:r>
      <w:r>
        <w:t xml:space="preserve"> </w:t>
      </w:r>
      <w:r w:rsidRPr="00AA3A12">
        <w:rPr>
          <w:rFonts w:eastAsia="Calibri"/>
        </w:rPr>
        <w:t>42 U.S.C. § 14165b</w:t>
      </w:r>
      <w:r>
        <w:rPr>
          <w:rFonts w:eastAsia="Calibri"/>
        </w:rPr>
        <w:t xml:space="preserve"> (b)(2)(F)(ii).</w:t>
      </w:r>
    </w:p>
  </w:footnote>
  <w:footnote w:id="42">
    <w:p w14:paraId="7A310756" w14:textId="77777777" w:rsidR="009973EE" w:rsidRPr="00E975D3" w:rsidRDefault="009973EE">
      <w:pPr>
        <w:pStyle w:val="FootnoteText"/>
      </w:pPr>
      <w:r>
        <w:rPr>
          <w:rStyle w:val="FootnoteReference"/>
        </w:rPr>
        <w:footnoteRef/>
      </w:r>
      <w:r>
        <w:t xml:space="preserve"> We note that, in the future, if ATSC 3.0 DTV is approved by the Commission as proposed in the </w:t>
      </w:r>
      <w:r>
        <w:rPr>
          <w:i/>
        </w:rPr>
        <w:t>ATSC 3.0 NPRM</w:t>
      </w:r>
      <w:r>
        <w:t xml:space="preserve">, television broadcasters using ATSC 3.0 expect to have the capability of tailoring emergency alert information for specific geographic areas.  </w:t>
      </w:r>
      <w:r>
        <w:rPr>
          <w:i/>
        </w:rPr>
        <w:t>See Authorizing Permissive Use of the “Next Generation” Broadcast Television Standard</w:t>
      </w:r>
      <w:r>
        <w:t xml:space="preserve">, GN Docket No. 16-142, Notice of Proposed Rulemaking, 32 FCC Rcd 1679, 1673, para. 4 (2017).  </w:t>
      </w:r>
    </w:p>
  </w:footnote>
  <w:footnote w:id="43">
    <w:p w14:paraId="45F375DD" w14:textId="77777777" w:rsidR="009973EE" w:rsidRPr="00BC6B6A" w:rsidRDefault="009973EE" w:rsidP="00606320">
      <w:pPr>
        <w:pStyle w:val="FootnoteText"/>
      </w:pPr>
      <w:r>
        <w:rPr>
          <w:rStyle w:val="FootnoteReference"/>
        </w:rPr>
        <w:footnoteRef/>
      </w:r>
      <w:r>
        <w:t xml:space="preserve"> </w:t>
      </w:r>
      <w:r>
        <w:rPr>
          <w:i/>
        </w:rPr>
        <w:t xml:space="preserve">See </w:t>
      </w:r>
      <w:r w:rsidRPr="00AA3A12">
        <w:rPr>
          <w:rFonts w:eastAsia="Calibri"/>
        </w:rPr>
        <w:t>42 U.S.C. § 14165b</w:t>
      </w:r>
      <w:r>
        <w:rPr>
          <w:rFonts w:eastAsia="Calibri"/>
        </w:rPr>
        <w:t xml:space="preserve"> (b)(2)(E)-(F). </w:t>
      </w:r>
    </w:p>
  </w:footnote>
  <w:footnote w:id="44">
    <w:p w14:paraId="27FD706F" w14:textId="6EF9DF50" w:rsidR="009973EE" w:rsidRDefault="009973EE" w:rsidP="008A7BC0">
      <w:pPr>
        <w:pStyle w:val="FootnoteText"/>
      </w:pPr>
      <w:r>
        <w:rPr>
          <w:rStyle w:val="FootnoteReference"/>
        </w:rPr>
        <w:footnoteRef/>
      </w:r>
      <w:r>
        <w:t xml:space="preserve"> COPS Office, </w:t>
      </w:r>
      <w:r>
        <w:rPr>
          <w:i/>
        </w:rPr>
        <w:t>Blue Alert Frequently Asked Questions</w:t>
      </w:r>
      <w:r>
        <w:t xml:space="preserve"> (May 2017), </w:t>
      </w:r>
      <w:hyperlink r:id="rId8" w:history="1">
        <w:r w:rsidRPr="00797E7E">
          <w:rPr>
            <w:rStyle w:val="Hyperlink"/>
          </w:rPr>
          <w:t>https://cops.usdoj.gov/pdf/blue-alert/Blue_Alert_Frequently_Asked_Questions.pdf</w:t>
        </w:r>
      </w:hyperlink>
      <w:r w:rsidRPr="008A7BC0" w:rsidDel="008A7BC0">
        <w:t xml:space="preserve"> </w:t>
      </w:r>
      <w:r>
        <w:rPr>
          <w:rFonts w:eastAsia="Calibri"/>
        </w:rPr>
        <w:t>(</w:t>
      </w:r>
      <w:r w:rsidRPr="00DC7653">
        <w:rPr>
          <w:rFonts w:eastAsia="Calibri"/>
          <w:i/>
        </w:rPr>
        <w:t>Blue Alert FAQ</w:t>
      </w:r>
      <w:r>
        <w:rPr>
          <w:rFonts w:eastAsia="Calibri"/>
        </w:rPr>
        <w:t>)</w:t>
      </w:r>
      <w:r>
        <w:t>.</w:t>
      </w:r>
    </w:p>
  </w:footnote>
  <w:footnote w:id="45">
    <w:p w14:paraId="40CF214D" w14:textId="2B8BBDB4" w:rsidR="009973EE" w:rsidRPr="002B6B7C" w:rsidRDefault="009973EE" w:rsidP="00706CB4">
      <w:pPr>
        <w:pStyle w:val="FootnoteText"/>
        <w:rPr>
          <w:i/>
        </w:rPr>
      </w:pPr>
      <w:r w:rsidRPr="00B539CD">
        <w:rPr>
          <w:rStyle w:val="FootnoteReference"/>
        </w:rPr>
        <w:footnoteRef/>
      </w:r>
      <w:r w:rsidRPr="00AA3A12">
        <w:rPr>
          <w:rFonts w:eastAsia="Calibri"/>
        </w:rPr>
        <w:t xml:space="preserve"> </w:t>
      </w:r>
      <w:r>
        <w:rPr>
          <w:rFonts w:eastAsia="Calibri"/>
        </w:rPr>
        <w:t xml:space="preserve">As of November 2016, the following 27 states have a Blue Alert plan:  Alabama, Arizona, California, Colorado, Connecticut, Delaware, Florida, Georgia, Illinois, Indiana, Kansas, Kentucky, Maine, Maryland, Michigan, Minnesota, Mississippi, North Carolina, North Dakota, Ohio, Oklahoma, South Carolina, Tennessee, Texas, Utah, Virginia, and Washington.  </w:t>
      </w:r>
      <w:r>
        <w:rPr>
          <w:rFonts w:eastAsia="Calibri"/>
          <w:i/>
        </w:rPr>
        <w:t>See</w:t>
      </w:r>
      <w:r>
        <w:rPr>
          <w:rFonts w:eastAsia="Calibri"/>
        </w:rPr>
        <w:t xml:space="preserve"> U.S. Dep’t of Justice Community Oriented Policing Services, </w:t>
      </w:r>
      <w:r>
        <w:rPr>
          <w:rFonts w:eastAsia="Calibri"/>
          <w:i/>
        </w:rPr>
        <w:t>Blue Alert State Plans</w:t>
      </w:r>
      <w:r>
        <w:rPr>
          <w:rFonts w:eastAsia="Calibri"/>
        </w:rPr>
        <w:t xml:space="preserve"> (2016); </w:t>
      </w:r>
      <w:r>
        <w:rPr>
          <w:rFonts w:eastAsia="Calibri"/>
          <w:i/>
        </w:rPr>
        <w:t>s</w:t>
      </w:r>
      <w:r w:rsidRPr="002B6B7C">
        <w:rPr>
          <w:rFonts w:eastAsia="Calibri"/>
          <w:i/>
        </w:rPr>
        <w:t>ee</w:t>
      </w:r>
      <w:r>
        <w:rPr>
          <w:rFonts w:eastAsia="Calibri"/>
          <w:i/>
        </w:rPr>
        <w:t xml:space="preserve"> also</w:t>
      </w:r>
      <w:r>
        <w:rPr>
          <w:rFonts w:eastAsia="Calibri"/>
        </w:rPr>
        <w:t xml:space="preserve"> Blue Alert Foundation, </w:t>
      </w:r>
      <w:r>
        <w:rPr>
          <w:rFonts w:eastAsia="Calibri"/>
          <w:i/>
        </w:rPr>
        <w:t>National Blue Alert System: About Us</w:t>
      </w:r>
      <w:r>
        <w:rPr>
          <w:rFonts w:eastAsia="Calibri"/>
        </w:rPr>
        <w:t xml:space="preserve">, </w:t>
      </w:r>
      <w:hyperlink r:id="rId9" w:history="1">
        <w:r w:rsidRPr="0024170D">
          <w:rPr>
            <w:rStyle w:val="Hyperlink"/>
            <w:rFonts w:eastAsia="Calibri"/>
          </w:rPr>
          <w:t>http://www.bluealert.us/about_us</w:t>
        </w:r>
      </w:hyperlink>
      <w:r>
        <w:rPr>
          <w:rFonts w:eastAsia="Calibri"/>
        </w:rPr>
        <w:t xml:space="preserve"> (last visited Apr. 19, 2017).</w:t>
      </w:r>
    </w:p>
  </w:footnote>
  <w:footnote w:id="46">
    <w:p w14:paraId="653D4BAE" w14:textId="264B6D05" w:rsidR="009973EE" w:rsidRDefault="009973EE" w:rsidP="00606320">
      <w:pPr>
        <w:pStyle w:val="FootnoteText"/>
      </w:pPr>
      <w:r>
        <w:rPr>
          <w:rStyle w:val="FootnoteReference"/>
        </w:rPr>
        <w:footnoteRef/>
      </w:r>
      <w:r>
        <w:t xml:space="preserve"> </w:t>
      </w:r>
      <w:r>
        <w:rPr>
          <w:i/>
        </w:rPr>
        <w:t>See, e.g.</w:t>
      </w:r>
      <w:r w:rsidRPr="0009415F">
        <w:t>,</w:t>
      </w:r>
      <w:r>
        <w:rPr>
          <w:i/>
        </w:rPr>
        <w:t xml:space="preserve"> </w:t>
      </w:r>
      <w:r>
        <w:t xml:space="preserve">State of Montana, </w:t>
      </w:r>
      <w:r>
        <w:rPr>
          <w:i/>
        </w:rPr>
        <w:t>2016 Emergency Alert System (EAS) Plan</w:t>
      </w:r>
      <w:r>
        <w:t xml:space="preserve"> at 27</w:t>
      </w:r>
      <w:r>
        <w:rPr>
          <w:i/>
        </w:rPr>
        <w:t xml:space="preserve"> </w:t>
      </w:r>
      <w:r>
        <w:t xml:space="preserve">(Mar. 16, 2016), </w:t>
      </w:r>
      <w:hyperlink r:id="rId10" w:history="1">
        <w:r w:rsidRPr="0024170D">
          <w:rPr>
            <w:rStyle w:val="Hyperlink"/>
          </w:rPr>
          <w:t>https://www.readygallatin.com/download/website/plans/ST_Plans/MT-EAS-Plan-Mar-16-2016.pdf</w:t>
        </w:r>
      </w:hyperlink>
      <w:r>
        <w:t xml:space="preserve">; IPAWS Non-Weather, </w:t>
      </w:r>
      <w:r>
        <w:rPr>
          <w:i/>
        </w:rPr>
        <w:t xml:space="preserve">Alert: EAS Law Enforcement Warning </w:t>
      </w:r>
      <w:r>
        <w:t xml:space="preserve">(Jan. 9, 2017), </w:t>
      </w:r>
      <w:hyperlink r:id="rId11" w:history="1">
        <w:r w:rsidRPr="0024170D">
          <w:rPr>
            <w:rStyle w:val="Hyperlink"/>
          </w:rPr>
          <w:t>http://ipawsnonweather.alertblogger.com/?p=13270</w:t>
        </w:r>
      </w:hyperlink>
      <w:r>
        <w:t xml:space="preserve">.   </w:t>
      </w:r>
    </w:p>
  </w:footnote>
  <w:footnote w:id="47">
    <w:p w14:paraId="7B8D41B3" w14:textId="77777777" w:rsidR="009973EE" w:rsidRPr="00361278" w:rsidRDefault="009973EE" w:rsidP="00606320">
      <w:pPr>
        <w:pStyle w:val="FootnoteText"/>
      </w:pPr>
      <w:r>
        <w:rPr>
          <w:rStyle w:val="FootnoteReference"/>
        </w:rPr>
        <w:footnoteRef/>
      </w:r>
      <w:r>
        <w:t xml:space="preserve"> U.S. House Committee on Public Safety and Emergency Preparedness, </w:t>
      </w:r>
      <w:r>
        <w:rPr>
          <w:i/>
        </w:rPr>
        <w:t>House Bill Report HB 1820: An Act Relating to the Blue Alert System</w:t>
      </w:r>
      <w:r>
        <w:t xml:space="preserve"> (2011), </w:t>
      </w:r>
      <w:r w:rsidRPr="00361278">
        <w:t>http://lawfilesext.leg.wa.gov/biennium/2011-12/Pdf/Bill%20Reports/</w:t>
      </w:r>
      <w:r>
        <w:br/>
      </w:r>
      <w:r w:rsidRPr="00361278">
        <w:t>House/1820%20HBR%20PSEP%2011.pdf</w:t>
      </w:r>
      <w:r>
        <w:t>.</w:t>
      </w:r>
    </w:p>
  </w:footnote>
  <w:footnote w:id="48">
    <w:p w14:paraId="751E7B04" w14:textId="77777777" w:rsidR="009973EE" w:rsidRDefault="009973EE" w:rsidP="00A15519">
      <w:pPr>
        <w:pStyle w:val="FootnoteText"/>
      </w:pPr>
      <w:r>
        <w:rPr>
          <w:rStyle w:val="FootnoteReference"/>
        </w:rPr>
        <w:footnoteRef/>
      </w:r>
      <w:r>
        <w:t xml:space="preserve"> </w:t>
      </w:r>
      <w:r>
        <w:rPr>
          <w:i/>
        </w:rPr>
        <w:t>Blue Alert FAQ</w:t>
      </w:r>
      <w:r>
        <w:t xml:space="preserve">. </w:t>
      </w:r>
    </w:p>
  </w:footnote>
  <w:footnote w:id="49">
    <w:p w14:paraId="2D62468F" w14:textId="77777777" w:rsidR="009973EE" w:rsidRPr="002E4D62" w:rsidRDefault="009973EE" w:rsidP="00606320">
      <w:pPr>
        <w:pStyle w:val="FootnoteText"/>
        <w:rPr>
          <w:i/>
        </w:rPr>
      </w:pPr>
      <w:r w:rsidRPr="00B539CD">
        <w:rPr>
          <w:rStyle w:val="FootnoteReference"/>
        </w:rPr>
        <w:footnoteRef/>
      </w:r>
      <w:r w:rsidRPr="002E4D62">
        <w:rPr>
          <w:rFonts w:eastAsia="Calibri"/>
        </w:rPr>
        <w:t xml:space="preserve"> </w:t>
      </w:r>
      <w:r w:rsidRPr="00167E5E">
        <w:rPr>
          <w:rFonts w:eastAsia="Calibri"/>
          <w:i/>
        </w:rPr>
        <w:t>2016 Report to Congress</w:t>
      </w:r>
      <w:r w:rsidRPr="00076ED4">
        <w:rPr>
          <w:rFonts w:eastAsia="Calibri"/>
          <w:i/>
        </w:rPr>
        <w:t xml:space="preserve"> </w:t>
      </w:r>
      <w:r w:rsidRPr="00076ED4">
        <w:rPr>
          <w:rFonts w:eastAsia="Calibri"/>
        </w:rPr>
        <w:t>at 5</w:t>
      </w:r>
      <w:r w:rsidRPr="00AA3A12">
        <w:rPr>
          <w:rFonts w:eastAsia="Calibri"/>
        </w:rPr>
        <w:t xml:space="preserve"> (noting that</w:t>
      </w:r>
      <w:r>
        <w:rPr>
          <w:rFonts w:eastAsia="Calibri"/>
        </w:rPr>
        <w:t>,</w:t>
      </w:r>
      <w:r w:rsidRPr="00AA3A12">
        <w:rPr>
          <w:rFonts w:eastAsia="Calibri"/>
        </w:rPr>
        <w:t xml:space="preserve"> of the </w:t>
      </w:r>
      <w:r>
        <w:rPr>
          <w:rFonts w:eastAsia="Calibri"/>
        </w:rPr>
        <w:t xml:space="preserve">nation’s </w:t>
      </w:r>
      <w:r w:rsidRPr="00AA3A12">
        <w:rPr>
          <w:rFonts w:eastAsia="Calibri"/>
        </w:rPr>
        <w:t xml:space="preserve">56 states and territories, 29 do not have Blue Alert systems).  </w:t>
      </w:r>
    </w:p>
  </w:footnote>
  <w:footnote w:id="50">
    <w:p w14:paraId="2E39AA67" w14:textId="0367F308" w:rsidR="009973EE" w:rsidRDefault="009973EE" w:rsidP="00606320">
      <w:pPr>
        <w:pStyle w:val="FootnoteText"/>
      </w:pPr>
      <w:r>
        <w:rPr>
          <w:rStyle w:val="FootnoteReference"/>
        </w:rPr>
        <w:footnoteRef/>
      </w:r>
      <w:r>
        <w:t xml:space="preserve"> </w:t>
      </w:r>
      <w:r>
        <w:rPr>
          <w:rFonts w:eastAsia="Calibri"/>
        </w:rPr>
        <w:t xml:space="preserve">As of November 2016, the following 27 states have a Blue Alert plan:  Alabama, Arizona, California, Colorado, Connecticut, Delaware, Florida, Georgia, Illinois, Indiana, Kansas, Kentucky, Maine, Maryland, Michigan, Minnesota, Mississippi, North Carolina, North Dakota, Ohio, Oklahoma, South Carolina, Tennessee, Texas, Utah, Virginia, and Washington.  </w:t>
      </w:r>
      <w:r>
        <w:rPr>
          <w:rFonts w:eastAsia="Calibri"/>
          <w:i/>
        </w:rPr>
        <w:t>See</w:t>
      </w:r>
      <w:r>
        <w:rPr>
          <w:rFonts w:eastAsia="Calibri"/>
        </w:rPr>
        <w:t xml:space="preserve"> U.S. Department of Justice Community Oriented Policing Services, </w:t>
      </w:r>
      <w:r>
        <w:rPr>
          <w:rFonts w:eastAsia="Calibri"/>
          <w:i/>
        </w:rPr>
        <w:t>Blue Alert State Plans</w:t>
      </w:r>
      <w:r>
        <w:rPr>
          <w:rFonts w:eastAsia="Calibri"/>
        </w:rPr>
        <w:t xml:space="preserve"> (2016); </w:t>
      </w:r>
      <w:r>
        <w:rPr>
          <w:rFonts w:eastAsia="Calibri"/>
          <w:i/>
        </w:rPr>
        <w:t>s</w:t>
      </w:r>
      <w:r w:rsidRPr="002B6B7C">
        <w:rPr>
          <w:rFonts w:eastAsia="Calibri"/>
          <w:i/>
        </w:rPr>
        <w:t>ee</w:t>
      </w:r>
      <w:r>
        <w:rPr>
          <w:rFonts w:eastAsia="Calibri"/>
          <w:i/>
        </w:rPr>
        <w:t xml:space="preserve"> also</w:t>
      </w:r>
      <w:r>
        <w:rPr>
          <w:rFonts w:eastAsia="Calibri"/>
        </w:rPr>
        <w:t xml:space="preserve"> Blue Alert Foundation, </w:t>
      </w:r>
      <w:r>
        <w:rPr>
          <w:rFonts w:eastAsia="Calibri"/>
          <w:i/>
        </w:rPr>
        <w:t>National Blue Alert System: About Us</w:t>
      </w:r>
      <w:r>
        <w:rPr>
          <w:rFonts w:eastAsia="Calibri"/>
        </w:rPr>
        <w:t xml:space="preserve"> </w:t>
      </w:r>
      <w:hyperlink r:id="rId12" w:history="1">
        <w:r w:rsidRPr="0024170D">
          <w:rPr>
            <w:rStyle w:val="Hyperlink"/>
            <w:rFonts w:eastAsia="Calibri"/>
          </w:rPr>
          <w:t>http://www.bluealert.us/about_us</w:t>
        </w:r>
      </w:hyperlink>
      <w:r>
        <w:rPr>
          <w:rFonts w:eastAsia="Calibri"/>
        </w:rPr>
        <w:t xml:space="preserve"> (last visited Apr. 17, 2017).</w:t>
      </w:r>
    </w:p>
  </w:footnote>
  <w:footnote w:id="51">
    <w:p w14:paraId="754AEBB6" w14:textId="77777777" w:rsidR="009973EE" w:rsidRDefault="009973EE">
      <w:pPr>
        <w:pStyle w:val="FootnoteText"/>
      </w:pPr>
      <w:r>
        <w:rPr>
          <w:rStyle w:val="FootnoteReference"/>
        </w:rPr>
        <w:footnoteRef/>
      </w:r>
      <w:r>
        <w:t xml:space="preserve"> </w:t>
      </w:r>
      <w:r w:rsidRPr="00167E5E">
        <w:rPr>
          <w:i/>
        </w:rPr>
        <w:t>2017 Report to Congress</w:t>
      </w:r>
      <w:r w:rsidRPr="00B93625">
        <w:rPr>
          <w:rFonts w:eastAsia="Calibri"/>
        </w:rPr>
        <w:t xml:space="preserve"> </w:t>
      </w:r>
      <w:r>
        <w:rPr>
          <w:rFonts w:eastAsia="Calibri"/>
        </w:rPr>
        <w:t>at 7-8.</w:t>
      </w:r>
    </w:p>
  </w:footnote>
  <w:footnote w:id="52">
    <w:p w14:paraId="56418B18" w14:textId="77777777" w:rsidR="009973EE" w:rsidRDefault="009973EE" w:rsidP="00BE6B5B">
      <w:pPr>
        <w:pStyle w:val="FootnoteText"/>
      </w:pPr>
      <w:r>
        <w:rPr>
          <w:rStyle w:val="FootnoteReference"/>
        </w:rPr>
        <w:footnoteRef/>
      </w:r>
      <w:r>
        <w:t xml:space="preserve"> </w:t>
      </w:r>
      <w:r>
        <w:rPr>
          <w:i/>
        </w:rPr>
        <w:t xml:space="preserve">Supra </w:t>
      </w:r>
      <w:r>
        <w:t xml:space="preserve">note 44.  </w:t>
      </w:r>
    </w:p>
  </w:footnote>
  <w:footnote w:id="53">
    <w:p w14:paraId="2B81F9CD" w14:textId="77777777" w:rsidR="009973EE" w:rsidRPr="00F74C73" w:rsidRDefault="009973EE">
      <w:pPr>
        <w:pStyle w:val="FootnoteText"/>
      </w:pPr>
      <w:r>
        <w:rPr>
          <w:rStyle w:val="FootnoteReference"/>
        </w:rPr>
        <w:footnoteRef/>
      </w:r>
      <w:r>
        <w:t xml:space="preserve"> </w:t>
      </w:r>
      <w:r>
        <w:rPr>
          <w:i/>
        </w:rPr>
        <w:t xml:space="preserve">See </w:t>
      </w:r>
      <w:r w:rsidRPr="00167E5E">
        <w:rPr>
          <w:rFonts w:eastAsia="Calibri"/>
          <w:i/>
        </w:rPr>
        <w:t>2017 Report to Congress</w:t>
      </w:r>
      <w:r>
        <w:rPr>
          <w:rFonts w:eastAsia="Calibri"/>
        </w:rPr>
        <w:t xml:space="preserve"> at 7; </w:t>
      </w:r>
      <w:r>
        <w:rPr>
          <w:rFonts w:eastAsia="Calibri"/>
          <w:i/>
        </w:rPr>
        <w:t>see also</w:t>
      </w:r>
      <w:r>
        <w:rPr>
          <w:rFonts w:eastAsia="Calibri"/>
        </w:rPr>
        <w:t xml:space="preserve"> </w:t>
      </w:r>
      <w:r w:rsidRPr="00AC0D31">
        <w:rPr>
          <w:i/>
        </w:rPr>
        <w:t>Blue</w:t>
      </w:r>
      <w:r>
        <w:rPr>
          <w:i/>
        </w:rPr>
        <w:t xml:space="preserve"> Alert FAQ</w:t>
      </w:r>
      <w:r>
        <w:t>.</w:t>
      </w:r>
    </w:p>
  </w:footnote>
  <w:footnote w:id="54">
    <w:p w14:paraId="3458FE65" w14:textId="77777777" w:rsidR="009973EE" w:rsidRDefault="009973EE">
      <w:pPr>
        <w:pStyle w:val="FootnoteText"/>
      </w:pPr>
      <w:r>
        <w:rPr>
          <w:rStyle w:val="FootnoteReference"/>
        </w:rPr>
        <w:footnoteRef/>
      </w:r>
      <w:r>
        <w:t xml:space="preserve"> </w:t>
      </w:r>
      <w:r w:rsidRPr="00AC0D31">
        <w:rPr>
          <w:i/>
        </w:rPr>
        <w:t>See Amendment of Part 11 of the Commission’s Rules Regarding the Emergency Alert System</w:t>
      </w:r>
      <w:r w:rsidRPr="00AC0D31">
        <w:t xml:space="preserve">, EB Docket No. 01-66, FCC 02-64, Report and Order, </w:t>
      </w:r>
      <w:r>
        <w:t>17 FCC Rcd 4055, 4064, para. 18</w:t>
      </w:r>
      <w:r w:rsidRPr="00AC0D31">
        <w:t xml:space="preserve"> (2002)</w:t>
      </w:r>
      <w:r>
        <w:t xml:space="preserve"> (adopting the LEW event code). </w:t>
      </w:r>
    </w:p>
  </w:footnote>
  <w:footnote w:id="55">
    <w:p w14:paraId="55244920" w14:textId="77777777" w:rsidR="009973EE" w:rsidRPr="008909FE" w:rsidRDefault="009973EE" w:rsidP="00606320">
      <w:pPr>
        <w:pStyle w:val="FootnoteText"/>
      </w:pPr>
      <w:r>
        <w:rPr>
          <w:rStyle w:val="FootnoteReference"/>
        </w:rPr>
        <w:footnoteRef/>
      </w:r>
      <w:r>
        <w:t xml:space="preserve"> </w:t>
      </w:r>
      <w:r>
        <w:rPr>
          <w:i/>
        </w:rPr>
        <w:t xml:space="preserve">See </w:t>
      </w:r>
      <w:r w:rsidRPr="003C1201">
        <w:rPr>
          <w:rFonts w:eastAsia="Calibri"/>
        </w:rPr>
        <w:t>42 U.S.C. § 14165b</w:t>
      </w:r>
      <w:r>
        <w:rPr>
          <w:rFonts w:eastAsia="Calibri"/>
        </w:rPr>
        <w:t xml:space="preserve"> (b)(D)(4).  For example, when a suspect is at large Blue Alerts are only issued when there is sufficient descriptive information of the suspect, such as a tag number for a vehicle.</w:t>
      </w:r>
    </w:p>
  </w:footnote>
  <w:footnote w:id="56">
    <w:p w14:paraId="6C1621B2" w14:textId="77777777" w:rsidR="009973EE" w:rsidRDefault="009973EE" w:rsidP="00606320">
      <w:pPr>
        <w:pStyle w:val="FootnoteText"/>
      </w:pPr>
      <w:r>
        <w:rPr>
          <w:rStyle w:val="FootnoteReference"/>
        </w:rPr>
        <w:footnoteRef/>
      </w:r>
      <w:r w:rsidRPr="006E2773">
        <w:t xml:space="preserve"> </w:t>
      </w:r>
      <w:r w:rsidRPr="00AA3A12">
        <w:rPr>
          <w:rFonts w:eastAsia="Calibri"/>
          <w:i/>
        </w:rPr>
        <w:t>Amendment of Part 11 of the Commission’s Rules Regarding the Emergency Alert System</w:t>
      </w:r>
      <w:r w:rsidRPr="00AA3A12">
        <w:rPr>
          <w:rFonts w:eastAsia="Calibri"/>
        </w:rPr>
        <w:t>, PSHSB Docket No</w:t>
      </w:r>
      <w:r>
        <w:rPr>
          <w:rFonts w:eastAsia="Calibri"/>
        </w:rPr>
        <w:t>.</w:t>
      </w:r>
      <w:r w:rsidRPr="00AA3A12">
        <w:rPr>
          <w:rFonts w:eastAsia="Calibri"/>
        </w:rPr>
        <w:t xml:space="preserve"> 15-94, Report and Order, 31 FCC Rcd 7915</w:t>
      </w:r>
      <w:r>
        <w:rPr>
          <w:rFonts w:eastAsia="Calibri"/>
        </w:rPr>
        <w:t>, 7919, para. 8</w:t>
      </w:r>
      <w:r w:rsidRPr="00AA3A12">
        <w:rPr>
          <w:rFonts w:eastAsia="Calibri"/>
        </w:rPr>
        <w:t xml:space="preserve"> (2016)</w:t>
      </w:r>
      <w:r>
        <w:rPr>
          <w:rFonts w:eastAsia="Calibri"/>
        </w:rPr>
        <w:t xml:space="preserve"> </w:t>
      </w:r>
      <w:r w:rsidRPr="00AA3A12">
        <w:rPr>
          <w:rFonts w:eastAsia="Calibri"/>
        </w:rPr>
        <w:t>(</w:t>
      </w:r>
      <w:r w:rsidRPr="00AA3A12">
        <w:rPr>
          <w:rFonts w:eastAsia="Calibri"/>
          <w:i/>
        </w:rPr>
        <w:t>NWS Report and Order</w:t>
      </w:r>
      <w:r w:rsidRPr="002B6B7C">
        <w:rPr>
          <w:rFonts w:eastAsia="Calibri"/>
        </w:rPr>
        <w:t>)</w:t>
      </w:r>
      <w:r w:rsidRPr="00CF0831">
        <w:rPr>
          <w:rFonts w:eastAsia="Calibri"/>
        </w:rPr>
        <w:t>.</w:t>
      </w:r>
    </w:p>
  </w:footnote>
  <w:footnote w:id="57">
    <w:p w14:paraId="28179809" w14:textId="77777777" w:rsidR="009973EE" w:rsidRPr="00FF558B" w:rsidRDefault="009973EE" w:rsidP="00892B1C">
      <w:pPr>
        <w:pStyle w:val="FootnoteText"/>
      </w:pPr>
      <w:r>
        <w:rPr>
          <w:rStyle w:val="FootnoteReference"/>
        </w:rPr>
        <w:footnoteRef/>
      </w:r>
      <w:r>
        <w:t xml:space="preserve"> </w:t>
      </w:r>
      <w:r>
        <w:rPr>
          <w:i/>
        </w:rPr>
        <w:t xml:space="preserve">See </w:t>
      </w:r>
      <w:r w:rsidRPr="00167E5E">
        <w:rPr>
          <w:rFonts w:eastAsia="Calibri"/>
          <w:i/>
        </w:rPr>
        <w:t>2017 Report to Congress</w:t>
      </w:r>
      <w:r>
        <w:rPr>
          <w:rFonts w:eastAsia="Calibri"/>
        </w:rPr>
        <w:t xml:space="preserve"> at 7</w:t>
      </w:r>
      <w:r>
        <w:t>.</w:t>
      </w:r>
    </w:p>
  </w:footnote>
  <w:footnote w:id="58">
    <w:p w14:paraId="2C305A2D" w14:textId="0AAAF4F9" w:rsidR="009973EE" w:rsidRDefault="009973EE" w:rsidP="00334F1D">
      <w:pPr>
        <w:pStyle w:val="FootnoteText"/>
      </w:pPr>
      <w:r>
        <w:rPr>
          <w:rStyle w:val="FootnoteReference"/>
        </w:rPr>
        <w:footnoteRef/>
      </w:r>
      <w:r>
        <w:t xml:space="preserve"> The Blue Alert Foundation is a non-profit entity whose mission is to “o</w:t>
      </w:r>
      <w:r w:rsidRPr="0098403A">
        <w:t>perate, maintain &amp; improve the National Blue Alert System</w:t>
      </w:r>
      <w:r>
        <w:t xml:space="preserve">.”  Blue Alert Foundation, </w:t>
      </w:r>
      <w:r>
        <w:rPr>
          <w:i/>
        </w:rPr>
        <w:t xml:space="preserve">National Blue Alert System: About </w:t>
      </w:r>
      <w:r w:rsidRPr="00FC0F8F">
        <w:rPr>
          <w:i/>
        </w:rPr>
        <w:t>Us</w:t>
      </w:r>
      <w:r>
        <w:t xml:space="preserve">, </w:t>
      </w:r>
      <w:hyperlink r:id="rId13" w:history="1">
        <w:r w:rsidRPr="00C62CB1">
          <w:rPr>
            <w:rStyle w:val="Hyperlink"/>
          </w:rPr>
          <w:t>http://www.bluealert.us/about_us</w:t>
        </w:r>
      </w:hyperlink>
      <w:r>
        <w:t xml:space="preserve"> (last visited Apr. 19, 2017).</w:t>
      </w:r>
    </w:p>
  </w:footnote>
  <w:footnote w:id="59">
    <w:p w14:paraId="56004012" w14:textId="0FD53BC1" w:rsidR="009973EE" w:rsidRDefault="009973EE" w:rsidP="00334F1D">
      <w:pPr>
        <w:pStyle w:val="FootnoteText"/>
      </w:pPr>
      <w:r>
        <w:rPr>
          <w:rStyle w:val="FootnoteReference"/>
        </w:rPr>
        <w:footnoteRef/>
      </w:r>
      <w:r>
        <w:t xml:space="preserve"> Blue Alert Foundation, </w:t>
      </w:r>
      <w:r>
        <w:rPr>
          <w:i/>
        </w:rPr>
        <w:t>National Blue Alert System: Media/PSA’s</w:t>
      </w:r>
      <w:r>
        <w:t xml:space="preserve">, </w:t>
      </w:r>
      <w:hyperlink r:id="rId14" w:history="1">
        <w:r w:rsidRPr="009F5523">
          <w:rPr>
            <w:rStyle w:val="Hyperlink"/>
          </w:rPr>
          <w:t>http://www.bluealert.us/media___psa_s</w:t>
        </w:r>
      </w:hyperlink>
      <w:r>
        <w:rPr>
          <w:rStyle w:val="Hyperlink"/>
        </w:rPr>
        <w:t xml:space="preserve"> </w:t>
      </w:r>
      <w:r w:rsidRPr="006707A3">
        <w:rPr>
          <w:rStyle w:val="Hyperlink"/>
          <w:color w:val="auto"/>
          <w:u w:val="none"/>
        </w:rPr>
        <w:t>(last visited Apr. 19, 2017)</w:t>
      </w:r>
      <w:r>
        <w:t>.</w:t>
      </w:r>
    </w:p>
  </w:footnote>
  <w:footnote w:id="60">
    <w:p w14:paraId="62A6D691" w14:textId="77777777" w:rsidR="009973EE" w:rsidRDefault="009973EE" w:rsidP="00FE4161">
      <w:pPr>
        <w:pStyle w:val="FootnoteText"/>
      </w:pPr>
      <w:r>
        <w:rPr>
          <w:rStyle w:val="FootnoteReference"/>
        </w:rPr>
        <w:footnoteRef/>
      </w:r>
      <w:r>
        <w:t xml:space="preserve"> </w:t>
      </w:r>
      <w:r w:rsidRPr="00DC78D2">
        <w:rPr>
          <w:i/>
        </w:rPr>
        <w:t>See Wireless Emergency Alerts, Amendments to Part 11 of the Commission’s Rules Regarding the Emergency Alert System</w:t>
      </w:r>
      <w:r w:rsidRPr="00DC78D2">
        <w:t>, PS Docket No. 15-91, Report and Order and Further Notice of Proposed Rulemaking, 31 FCC Rcd 11112, 11149-50, para</w:t>
      </w:r>
      <w:r>
        <w:t>s</w:t>
      </w:r>
      <w:r w:rsidRPr="00DF6E2B">
        <w:t>. 55-56 (2016)</w:t>
      </w:r>
      <w:r>
        <w:t xml:space="preserve"> (discussing that </w:t>
      </w:r>
      <w:r w:rsidRPr="00B51B27">
        <w:t xml:space="preserve">over-alerting </w:t>
      </w:r>
      <w:r>
        <w:t>may lead</w:t>
      </w:r>
      <w:r w:rsidRPr="00B51B27">
        <w:t xml:space="preserve"> to alert fatigue,</w:t>
      </w:r>
      <w:r>
        <w:t xml:space="preserve"> which, in turn, may cause the public to</w:t>
      </w:r>
      <w:r w:rsidRPr="00B51B27">
        <w:t xml:space="preserve"> </w:t>
      </w:r>
      <w:r>
        <w:t>ignore alert messages)</w:t>
      </w:r>
      <w:r w:rsidRPr="00DF6E2B">
        <w:t>.</w:t>
      </w:r>
    </w:p>
  </w:footnote>
  <w:footnote w:id="61">
    <w:p w14:paraId="35826553" w14:textId="77777777" w:rsidR="009973EE" w:rsidRPr="00165A5D" w:rsidRDefault="009973EE" w:rsidP="00D35995">
      <w:pPr>
        <w:pStyle w:val="FootnoteText"/>
      </w:pPr>
      <w:r>
        <w:rPr>
          <w:rStyle w:val="FootnoteReference"/>
        </w:rPr>
        <w:footnoteRef/>
      </w:r>
      <w:r>
        <w:t xml:space="preserve"> </w:t>
      </w:r>
      <w:r>
        <w:rPr>
          <w:i/>
        </w:rPr>
        <w:t>NWS Report and Order</w:t>
      </w:r>
      <w:r>
        <w:t xml:space="preserve">, 31 FCC Rcd at 7926, para. 27. </w:t>
      </w:r>
    </w:p>
  </w:footnote>
  <w:footnote w:id="62">
    <w:p w14:paraId="6675E32A" w14:textId="77777777" w:rsidR="009973EE" w:rsidRDefault="009973EE" w:rsidP="00D35995">
      <w:pPr>
        <w:pStyle w:val="FootnoteText"/>
      </w:pPr>
      <w:r>
        <w:rPr>
          <w:rStyle w:val="FootnoteReference"/>
        </w:rPr>
        <w:footnoteRef/>
      </w:r>
      <w:r>
        <w:t xml:space="preserve"> </w:t>
      </w:r>
      <w:r>
        <w:rPr>
          <w:i/>
        </w:rPr>
        <w:t>NWS Report and Order</w:t>
      </w:r>
      <w:r>
        <w:t>, 31 FCC Rcd at 7926, para. 27.</w:t>
      </w:r>
    </w:p>
  </w:footnote>
  <w:footnote w:id="63">
    <w:p w14:paraId="53989D12" w14:textId="77777777" w:rsidR="009973EE" w:rsidRDefault="009973EE" w:rsidP="00D35995">
      <w:pPr>
        <w:pStyle w:val="FootnoteText"/>
      </w:pPr>
      <w:r>
        <w:rPr>
          <w:rStyle w:val="FootnoteReference"/>
        </w:rPr>
        <w:footnoteRef/>
      </w:r>
      <w:r>
        <w:t xml:space="preserve"> </w:t>
      </w:r>
      <w:r>
        <w:rPr>
          <w:i/>
        </w:rPr>
        <w:t>NWS Report and Order</w:t>
      </w:r>
      <w:r>
        <w:t>, 31 FCC Rcd at 7926, para. 27.</w:t>
      </w:r>
    </w:p>
  </w:footnote>
  <w:footnote w:id="64">
    <w:p w14:paraId="20CE9B13" w14:textId="145FF6B6" w:rsidR="009973EE" w:rsidRDefault="009973EE">
      <w:pPr>
        <w:pStyle w:val="FootnoteText"/>
      </w:pPr>
      <w:r>
        <w:rPr>
          <w:rStyle w:val="FootnoteReference"/>
        </w:rPr>
        <w:footnoteRef/>
      </w:r>
      <w:r>
        <w:t xml:space="preserve"> </w:t>
      </w:r>
      <w:r>
        <w:rPr>
          <w:i/>
        </w:rPr>
        <w:t xml:space="preserve">See </w:t>
      </w:r>
      <w:r w:rsidRPr="005C0B36">
        <w:rPr>
          <w:i/>
        </w:rPr>
        <w:t>infra</w:t>
      </w:r>
      <w:r>
        <w:t xml:space="preserve"> para. 26</w:t>
      </w:r>
      <w:r w:rsidRPr="005C0B36">
        <w:t xml:space="preserve"> (discussing costs and benefits of the proposed event code and noting that EAS Participants’ equipment should be capable of adding this code through a software upgrade)</w:t>
      </w:r>
      <w:r>
        <w:t>.</w:t>
      </w:r>
    </w:p>
  </w:footnote>
  <w:footnote w:id="65">
    <w:p w14:paraId="311FF215" w14:textId="77777777" w:rsidR="009973EE" w:rsidRDefault="009973EE" w:rsidP="008E657A">
      <w:pPr>
        <w:pStyle w:val="FootnoteText"/>
      </w:pPr>
      <w:r>
        <w:rPr>
          <w:rStyle w:val="FootnoteReference"/>
        </w:rPr>
        <w:footnoteRef/>
      </w:r>
      <w:r>
        <w:t xml:space="preserve"> </w:t>
      </w:r>
      <w:r w:rsidRPr="00E034CC">
        <w:rPr>
          <w:i/>
        </w:rPr>
        <w:t>See</w:t>
      </w:r>
      <w:r w:rsidRPr="00E034CC">
        <w:t xml:space="preserve"> </w:t>
      </w:r>
      <w:r>
        <w:rPr>
          <w:rFonts w:eastAsia="Calibri"/>
        </w:rPr>
        <w:t xml:space="preserve">47 CFR § 10.10(d) (defining a CMS Provider); </w:t>
      </w:r>
      <w:r w:rsidRPr="00E034CC">
        <w:rPr>
          <w:rFonts w:eastAsia="Calibri"/>
        </w:rPr>
        <w:t>47 CFR § 10.400</w:t>
      </w:r>
      <w:r>
        <w:rPr>
          <w:rFonts w:eastAsia="Calibri"/>
        </w:rPr>
        <w:t xml:space="preserve"> (setting forth WEA message requirements)</w:t>
      </w:r>
      <w:r w:rsidRPr="00E034CC">
        <w:rPr>
          <w:rFonts w:eastAsia="Calibri"/>
        </w:rPr>
        <w:t xml:space="preserve">; </w:t>
      </w:r>
      <w:r w:rsidRPr="00E034CC">
        <w:rPr>
          <w:i/>
          <w:iCs/>
          <w:snapToGrid w:val="0"/>
        </w:rPr>
        <w:t>Wireless Emergency Alerts; Amendments to Part 11 of the Commission’s Rules Regarding the Emergency Alert System</w:t>
      </w:r>
      <w:r w:rsidRPr="00E034CC">
        <w:rPr>
          <w:snapToGrid w:val="0"/>
        </w:rPr>
        <w:t>, PS Docket Nos. 15-91, 15-94, Report and Order and Further Notice of Proposed Rulemaking, 31 FCC Rcd 11112, 11125-11130, paras. 16-25 (2016).</w:t>
      </w:r>
    </w:p>
  </w:footnote>
  <w:footnote w:id="66">
    <w:p w14:paraId="3196E2BA" w14:textId="77777777" w:rsidR="009973EE" w:rsidRDefault="009973EE">
      <w:pPr>
        <w:pStyle w:val="FootnoteText"/>
      </w:pPr>
      <w:r>
        <w:rPr>
          <w:rStyle w:val="FootnoteReference"/>
        </w:rPr>
        <w:footnoteRef/>
      </w:r>
      <w:r>
        <w:t xml:space="preserve"> </w:t>
      </w:r>
      <w:r>
        <w:rPr>
          <w:i/>
        </w:rPr>
        <w:t>See</w:t>
      </w:r>
      <w:r>
        <w:rPr>
          <w:rFonts w:eastAsia="Calibri"/>
        </w:rPr>
        <w:t xml:space="preserve"> 2017 Report to Congress at 8.</w:t>
      </w:r>
    </w:p>
  </w:footnote>
  <w:footnote w:id="67">
    <w:p w14:paraId="0484BDE9" w14:textId="77777777" w:rsidR="009973EE" w:rsidRDefault="009973EE">
      <w:pPr>
        <w:pStyle w:val="FootnoteText"/>
      </w:pPr>
      <w:r>
        <w:rPr>
          <w:rStyle w:val="FootnoteReference"/>
        </w:rPr>
        <w:footnoteRef/>
      </w:r>
      <w:r>
        <w:t xml:space="preserve"> </w:t>
      </w:r>
      <w:r>
        <w:rPr>
          <w:rFonts w:eastAsia="Calibri"/>
          <w:i/>
        </w:rPr>
        <w:t>See</w:t>
      </w:r>
      <w:r w:rsidRPr="00E466D9">
        <w:t xml:space="preserve"> </w:t>
      </w:r>
      <w:r>
        <w:rPr>
          <w:i/>
        </w:rPr>
        <w:t>Blue Alert FAQ</w:t>
      </w:r>
      <w:r w:rsidDel="0045778B">
        <w:t xml:space="preserve"> </w:t>
      </w:r>
      <w:r>
        <w:t xml:space="preserve">(noting that a dedicated EAS Blue Alert event code would “allow for promulgating of specific rules to ensure that Blue Alerts are handled in a specific manner by participating media outlets and wireless carriers”). </w:t>
      </w:r>
    </w:p>
  </w:footnote>
  <w:footnote w:id="68">
    <w:p w14:paraId="737639EE" w14:textId="77777777" w:rsidR="009973EE" w:rsidRPr="00913C66" w:rsidRDefault="009973EE" w:rsidP="001D4A2D">
      <w:pPr>
        <w:pStyle w:val="FootnoteText"/>
      </w:pPr>
      <w:r>
        <w:rPr>
          <w:rStyle w:val="FootnoteReference"/>
        </w:rPr>
        <w:footnoteRef/>
      </w:r>
      <w:r>
        <w:t xml:space="preserve"> Under the Commission’s part 10 WEA rules, alerts are limited to </w:t>
      </w:r>
      <w:r>
        <w:rPr>
          <w:rFonts w:eastAsia="Calibri"/>
        </w:rPr>
        <w:t xml:space="preserve">Presidential Alerts, Imminent Threat Alerts, and Child Abduction Emergency/AMBER Alerts.  </w:t>
      </w:r>
      <w:r>
        <w:rPr>
          <w:i/>
        </w:rPr>
        <w:t xml:space="preserve">See </w:t>
      </w:r>
      <w:r>
        <w:t xml:space="preserve">47 CFR </w:t>
      </w:r>
      <w:r w:rsidRPr="00E034CC">
        <w:rPr>
          <w:rFonts w:eastAsia="Calibri"/>
        </w:rPr>
        <w:t>§</w:t>
      </w:r>
      <w:r>
        <w:rPr>
          <w:rFonts w:eastAsia="Calibri"/>
        </w:rPr>
        <w:t xml:space="preserve"> 10.400.  To qualify as an Imminent Threat Alert, an alert must meet a minimum value for the three CAP elements of Urgency, Severity, and Certainty.  </w:t>
      </w:r>
      <w:r w:rsidRPr="0012698B">
        <w:rPr>
          <w:rFonts w:eastAsia="Calibri"/>
          <w:i/>
        </w:rPr>
        <w:t xml:space="preserve">See </w:t>
      </w:r>
      <w:r w:rsidRPr="0012698B">
        <w:rPr>
          <w:rFonts w:eastAsia="Calibri"/>
        </w:rPr>
        <w:t>47 CFR §</w:t>
      </w:r>
      <w:r>
        <w:rPr>
          <w:rFonts w:eastAsia="Calibri"/>
        </w:rPr>
        <w:t> </w:t>
      </w:r>
      <w:r w:rsidRPr="0012698B">
        <w:rPr>
          <w:rFonts w:eastAsia="Calibri"/>
        </w:rPr>
        <w:t>10.400</w:t>
      </w:r>
      <w:r>
        <w:rPr>
          <w:rFonts w:eastAsia="Calibri"/>
        </w:rPr>
        <w:t xml:space="preserve">(b). </w:t>
      </w:r>
    </w:p>
  </w:footnote>
  <w:footnote w:id="69">
    <w:p w14:paraId="199958B3" w14:textId="77777777" w:rsidR="009973EE" w:rsidRDefault="009973EE" w:rsidP="00776525">
      <w:pPr>
        <w:pStyle w:val="FootnoteText"/>
      </w:pPr>
      <w:r>
        <w:rPr>
          <w:rStyle w:val="FootnoteReference"/>
        </w:rPr>
        <w:footnoteRef/>
      </w:r>
      <w:r>
        <w:t xml:space="preserve"> </w:t>
      </w:r>
      <w:r w:rsidRPr="003B1F31">
        <w:t xml:space="preserve">FEMA, </w:t>
      </w:r>
      <w:r w:rsidRPr="003B1F31">
        <w:rPr>
          <w:i/>
        </w:rPr>
        <w:t>Integrated Public Alert &amp; Warning System</w:t>
      </w:r>
      <w:r w:rsidRPr="003B1F31">
        <w:t xml:space="preserve">, https://www.fema.gov/integrated-public-alert-warning-system (last visited </w:t>
      </w:r>
      <w:r>
        <w:t>May 4, 2017</w:t>
      </w:r>
      <w:r w:rsidRPr="003B1F31">
        <w:t xml:space="preserve">).  </w:t>
      </w:r>
    </w:p>
  </w:footnote>
  <w:footnote w:id="70">
    <w:p w14:paraId="2AEC7A9C" w14:textId="77777777" w:rsidR="009973EE" w:rsidRDefault="009973EE" w:rsidP="00E70656">
      <w:pPr>
        <w:pStyle w:val="FootnoteText"/>
      </w:pPr>
      <w:r>
        <w:rPr>
          <w:rStyle w:val="FootnoteReference"/>
        </w:rPr>
        <w:footnoteRef/>
      </w:r>
      <w:r>
        <w:t xml:space="preserve"> </w:t>
      </w:r>
      <w:r w:rsidRPr="00E034CC">
        <w:rPr>
          <w:i/>
        </w:rPr>
        <w:t>See</w:t>
      </w:r>
      <w:r w:rsidRPr="00E034CC">
        <w:t xml:space="preserve"> </w:t>
      </w:r>
      <w:r w:rsidRPr="00E034CC">
        <w:rPr>
          <w:rFonts w:eastAsia="Calibri"/>
        </w:rPr>
        <w:t>47 CFR § 10.400</w:t>
      </w:r>
      <w:r>
        <w:rPr>
          <w:rFonts w:eastAsia="Calibri"/>
        </w:rPr>
        <w:t>(b)</w:t>
      </w:r>
      <w:r w:rsidRPr="00E034CC">
        <w:rPr>
          <w:rFonts w:eastAsia="Calibri"/>
        </w:rPr>
        <w:t xml:space="preserve">; </w:t>
      </w:r>
      <w:r w:rsidRPr="00E034CC">
        <w:rPr>
          <w:i/>
          <w:iCs/>
          <w:snapToGrid w:val="0"/>
        </w:rPr>
        <w:t>Wireless Emergency Alerts; Amendments to Part 11 of the Commission’s Rules Regarding the Emergency Alert System</w:t>
      </w:r>
      <w:r w:rsidRPr="00E034CC">
        <w:rPr>
          <w:snapToGrid w:val="0"/>
        </w:rPr>
        <w:t>, PS Docket Nos. 15-91, 15-94, Report and Order and Further Notice of Proposed Rulemaking, 31 FCC Rcd 11112, 11125-11130, paras. 16-25 (2016).</w:t>
      </w:r>
    </w:p>
  </w:footnote>
  <w:footnote w:id="71">
    <w:p w14:paraId="4D287342" w14:textId="77777777" w:rsidR="009973EE" w:rsidRDefault="009973EE">
      <w:pPr>
        <w:pStyle w:val="FootnoteText"/>
      </w:pPr>
      <w:r>
        <w:rPr>
          <w:rStyle w:val="FootnoteReference"/>
        </w:rPr>
        <w:footnoteRef/>
      </w:r>
      <w:r>
        <w:t xml:space="preserve"> </w:t>
      </w:r>
      <w:r w:rsidRPr="001F0F8F">
        <w:rPr>
          <w:i/>
        </w:rPr>
        <w:t>See supra</w:t>
      </w:r>
      <w:r>
        <w:t xml:space="preserve"> note 7.</w:t>
      </w:r>
    </w:p>
  </w:footnote>
  <w:footnote w:id="72">
    <w:p w14:paraId="23DA9AD9" w14:textId="7C91E076" w:rsidR="009973EE" w:rsidRPr="00F35A98" w:rsidRDefault="009973EE" w:rsidP="00080AC5">
      <w:pPr>
        <w:pStyle w:val="FootnoteText"/>
      </w:pPr>
      <w:r w:rsidRPr="00B539CD">
        <w:rPr>
          <w:rStyle w:val="FootnoteReference"/>
        </w:rPr>
        <w:footnoteRef/>
      </w:r>
      <w:r w:rsidRPr="00AA3A12">
        <w:rPr>
          <w:rFonts w:eastAsia="Calibri"/>
        </w:rPr>
        <w:t xml:space="preserve"> Department of Justice, </w:t>
      </w:r>
      <w:r w:rsidRPr="00AA3A12">
        <w:rPr>
          <w:rFonts w:eastAsia="Calibri"/>
          <w:i/>
        </w:rPr>
        <w:t>Amber Alert America’s Missing: Broadcast Emergency Response</w:t>
      </w:r>
      <w:r w:rsidRPr="00AA3A12">
        <w:rPr>
          <w:rFonts w:eastAsia="Calibri"/>
        </w:rPr>
        <w:t xml:space="preserve"> (Feb. 23, 2017), </w:t>
      </w:r>
      <w:hyperlink r:id="rId15">
        <w:r w:rsidRPr="00AA3A12">
          <w:rPr>
            <w:rStyle w:val="Hyperlink"/>
            <w:rFonts w:eastAsia="Calibri"/>
          </w:rPr>
          <w:t>https://www.amberalert.gov/statistics.htm</w:t>
        </w:r>
      </w:hyperlink>
      <w:r w:rsidRPr="00AA3A12">
        <w:rPr>
          <w:rFonts w:eastAsia="Calibri"/>
        </w:rPr>
        <w:t xml:space="preserve">.  According to DOJ statistics, 868 children have been rescued due to Amber Alerts.  </w:t>
      </w:r>
      <w:r>
        <w:rPr>
          <w:rFonts w:eastAsia="Calibri"/>
          <w:i/>
        </w:rPr>
        <w:t xml:space="preserve">Id. </w:t>
      </w:r>
      <w:r>
        <w:rPr>
          <w:rFonts w:eastAsia="Calibri"/>
        </w:rPr>
        <w:t xml:space="preserve"> </w:t>
      </w:r>
      <w:r w:rsidRPr="00AA3A12">
        <w:rPr>
          <w:rFonts w:eastAsia="Calibri"/>
        </w:rPr>
        <w:t xml:space="preserve">In 2015 alone, 50 of the 153 recoveries were the direct result of Amber Alerts, constituting more than 25% of the recovered children reported missing that year. </w:t>
      </w:r>
      <w:r>
        <w:rPr>
          <w:rFonts w:eastAsia="Calibri"/>
        </w:rPr>
        <w:t xml:space="preserve"> </w:t>
      </w:r>
      <w:r>
        <w:rPr>
          <w:rFonts w:eastAsia="Calibri"/>
          <w:i/>
        </w:rPr>
        <w:t>Id.</w:t>
      </w:r>
    </w:p>
  </w:footnote>
  <w:footnote w:id="73">
    <w:p w14:paraId="14733194" w14:textId="3B8BF8D4" w:rsidR="009973EE" w:rsidRPr="002B6B7C" w:rsidRDefault="009973EE" w:rsidP="00E8076F">
      <w:pPr>
        <w:pStyle w:val="FootnoteText"/>
        <w:rPr>
          <w:i/>
        </w:rPr>
      </w:pPr>
      <w:r>
        <w:rPr>
          <w:rStyle w:val="FootnoteReference"/>
        </w:rPr>
        <w:footnoteRef/>
      </w:r>
      <w:r>
        <w:t xml:space="preserve"> </w:t>
      </w:r>
      <w:r>
        <w:rPr>
          <w:i/>
        </w:rPr>
        <w:t xml:space="preserve">See </w:t>
      </w:r>
      <w:r>
        <w:t xml:space="preserve">National Law Enforcement Officers Memorial Fund, </w:t>
      </w:r>
      <w:r>
        <w:rPr>
          <w:i/>
        </w:rPr>
        <w:t xml:space="preserve">2016 Preliminary End-of-Year Law Enforcement Officer Fatalities Report </w:t>
      </w:r>
      <w:r>
        <w:t xml:space="preserve">(Dec. 29, 2016), </w:t>
      </w:r>
      <w:hyperlink r:id="rId16" w:history="1">
        <w:r w:rsidRPr="0024170D">
          <w:rPr>
            <w:rStyle w:val="Hyperlink"/>
          </w:rPr>
          <w:t>http://www.nleomf.org/facts/research-bulletins/</w:t>
        </w:r>
      </w:hyperlink>
      <w:r>
        <w:t xml:space="preserve">.  </w:t>
      </w:r>
    </w:p>
  </w:footnote>
  <w:footnote w:id="74">
    <w:p w14:paraId="2241BDD4" w14:textId="77777777" w:rsidR="009973EE" w:rsidRDefault="009973EE">
      <w:pPr>
        <w:pStyle w:val="FootnoteText"/>
      </w:pPr>
      <w:r>
        <w:rPr>
          <w:rStyle w:val="FootnoteReference"/>
        </w:rPr>
        <w:footnoteRef/>
      </w:r>
      <w:r>
        <w:t xml:space="preserve"> </w:t>
      </w:r>
      <w:r>
        <w:rPr>
          <w:i/>
        </w:rPr>
        <w:t>Blue Alert FAQ.</w:t>
      </w:r>
      <w:r w:rsidDel="0045778B">
        <w:t xml:space="preserve"> </w:t>
      </w:r>
    </w:p>
  </w:footnote>
  <w:footnote w:id="75">
    <w:p w14:paraId="4F1C374B" w14:textId="77777777" w:rsidR="009973EE" w:rsidRDefault="009973EE">
      <w:pPr>
        <w:pStyle w:val="FootnoteText"/>
      </w:pPr>
      <w:r>
        <w:rPr>
          <w:rStyle w:val="FootnoteReference"/>
        </w:rPr>
        <w:footnoteRef/>
      </w:r>
      <w:r>
        <w:t xml:space="preserve"> </w:t>
      </w:r>
      <w:r>
        <w:rPr>
          <w:i/>
        </w:rPr>
        <w:t>Blue Alert FAQ.</w:t>
      </w:r>
      <w:r w:rsidDel="0045778B">
        <w:t xml:space="preserve"> </w:t>
      </w:r>
    </w:p>
  </w:footnote>
  <w:footnote w:id="76">
    <w:p w14:paraId="08822AD1" w14:textId="77777777" w:rsidR="009973EE" w:rsidRDefault="009973EE" w:rsidP="00C15AB2">
      <w:pPr>
        <w:pStyle w:val="FootnoteText"/>
      </w:pPr>
      <w:r>
        <w:rPr>
          <w:rStyle w:val="FootnoteReference"/>
        </w:rPr>
        <w:footnoteRef/>
      </w:r>
      <w:r>
        <w:t xml:space="preserve"> </w:t>
      </w:r>
      <w:r w:rsidRPr="00737AD1">
        <w:t>To quantify the life-saving value of the EAS, we assign a dollar value to reductions in the risk of losing human lives, referred to as the “Value of a Statistical Life” (VSL).</w:t>
      </w:r>
      <w:r>
        <w:t xml:space="preserve">  </w:t>
      </w:r>
      <w:r w:rsidRPr="008660D1">
        <w:rPr>
          <w:i/>
        </w:rPr>
        <w:t>See</w:t>
      </w:r>
      <w:r w:rsidRPr="0067101F">
        <w:t xml:space="preserve"> Memorandum from Molly J. Moran, Acting General Counsel, Department of Transportation, and Carlos Monje, Assistant Secretary for Transportation Policy, Office of the Secretary for Transportation, Guidance on Treatment of the Economic Value of a Statistical Life (VSL) in U.S. Department of Transportation Analyses – 2016 Adjustment (Aug. 8, 2016), https://www.transportation.gov/office-policy/transportation-policy/revised-departmental-guidance-on-valuation-of-a-statistical-life-in-economic-analysis (Moran Memorandum)</w:t>
      </w:r>
      <w:r>
        <w:t xml:space="preserve">.  </w:t>
      </w:r>
      <w:r w:rsidRPr="00737AD1">
        <w:t>VSL describes “the additional cost that individuals would be willing to bear for improvements in safety (that is, reductions in risks) that, in the aggregate, reduce the expected number of fatalities by one.”</w:t>
      </w:r>
      <w:r>
        <w:t xml:space="preserve">  </w:t>
      </w:r>
      <w:r w:rsidRPr="00F470CB">
        <w:rPr>
          <w:i/>
        </w:rPr>
        <w:t>See</w:t>
      </w:r>
      <w:r w:rsidRPr="00F470CB">
        <w:t xml:space="preserve"> </w:t>
      </w:r>
      <w:r>
        <w:t xml:space="preserve">Moran Memorandum.  </w:t>
      </w:r>
      <w:r w:rsidRPr="00737AD1">
        <w:t>We estimate that the dollar value of VSL in 2017 is approximately $9.6 million.</w:t>
      </w:r>
      <w:r>
        <w:t xml:space="preserve">  </w:t>
      </w:r>
      <w:r w:rsidRPr="00F470CB">
        <w:rPr>
          <w:i/>
        </w:rPr>
        <w:t>See</w:t>
      </w:r>
      <w:r w:rsidRPr="00F470CB">
        <w:t xml:space="preserve"> </w:t>
      </w:r>
      <w:r>
        <w:t xml:space="preserve">Moran Memorandum.    </w:t>
      </w:r>
    </w:p>
  </w:footnote>
  <w:footnote w:id="77">
    <w:p w14:paraId="04B13CFE" w14:textId="77777777" w:rsidR="009973EE" w:rsidRPr="00B539CD" w:rsidRDefault="009973EE" w:rsidP="003F46BA">
      <w:pPr>
        <w:pStyle w:val="FootnoteText"/>
      </w:pPr>
      <w:r w:rsidRPr="00B539CD">
        <w:rPr>
          <w:rStyle w:val="FootnoteReference"/>
        </w:rPr>
        <w:footnoteRef/>
      </w:r>
      <w:r w:rsidRPr="00AA3A12">
        <w:rPr>
          <w:rFonts w:eastAsia="Calibri"/>
        </w:rPr>
        <w:t xml:space="preserve"> </w:t>
      </w:r>
      <w:r>
        <w:rPr>
          <w:rFonts w:eastAsia="Calibri"/>
          <w:i/>
        </w:rPr>
        <w:t>NWS Report and Order</w:t>
      </w:r>
      <w:r w:rsidRPr="0009415F">
        <w:rPr>
          <w:rFonts w:eastAsia="Calibri"/>
        </w:rPr>
        <w:t>,</w:t>
      </w:r>
      <w:r>
        <w:rPr>
          <w:rFonts w:eastAsia="Calibri"/>
          <w:i/>
        </w:rPr>
        <w:t xml:space="preserve"> </w:t>
      </w:r>
      <w:r>
        <w:rPr>
          <w:rFonts w:eastAsia="Calibri"/>
        </w:rPr>
        <w:t>31 FCC Rcd</w:t>
      </w:r>
      <w:r w:rsidRPr="00AA3A12">
        <w:rPr>
          <w:rFonts w:eastAsia="Calibri"/>
          <w:i/>
        </w:rPr>
        <w:t xml:space="preserve"> </w:t>
      </w:r>
      <w:r w:rsidRPr="00AA3A12">
        <w:rPr>
          <w:rFonts w:eastAsia="Calibri"/>
        </w:rPr>
        <w:t xml:space="preserve">at 7923, para. 22 (citing Letter from Michael Maginity, EAS Engineering Manager, Trilithic Inc. to Marlene H. Dortch, Secretary, FCC, EB Docket 04-296 (filed Feb. 6, 2015) (Trilithic </w:t>
      </w:r>
      <w:r>
        <w:rPr>
          <w:rFonts w:eastAsia="Calibri"/>
          <w:i/>
        </w:rPr>
        <w:t xml:space="preserve">NWS </w:t>
      </w:r>
      <w:r w:rsidRPr="00AA3A12">
        <w:rPr>
          <w:rFonts w:eastAsia="Calibri"/>
          <w:i/>
        </w:rPr>
        <w:t xml:space="preserve">Ex Parte </w:t>
      </w:r>
      <w:r w:rsidRPr="00AA3A12">
        <w:rPr>
          <w:rFonts w:eastAsia="Calibri"/>
        </w:rPr>
        <w:t xml:space="preserve">Letter); Letter from Ed Czarnecki, Senior Director of Strategic Development &amp; Global Government Affairs for Monroe Electronics, Inc., to Marlene H. Dortch, Secretary, FCC, EB Docket No. 04-296, at 1 (filed Feb. 13, 2015) (Monroe </w:t>
      </w:r>
      <w:r>
        <w:rPr>
          <w:rFonts w:eastAsia="Calibri"/>
          <w:i/>
        </w:rPr>
        <w:t xml:space="preserve">NWS </w:t>
      </w:r>
      <w:r w:rsidRPr="00AA3A12">
        <w:rPr>
          <w:rFonts w:eastAsia="Calibri"/>
          <w:i/>
        </w:rPr>
        <w:t xml:space="preserve">Ex Parte </w:t>
      </w:r>
      <w:r w:rsidRPr="00AA3A12">
        <w:rPr>
          <w:rFonts w:eastAsia="Calibri"/>
        </w:rPr>
        <w:t xml:space="preserve">Letter); Letter from Harold Price, President, Sage Alerting Systems, Inc., to Marlene H. Dortch, Secretary, FCC, EB Docket No. 04-296, at 2 (filed Feb. 11, 2015) (Sage </w:t>
      </w:r>
      <w:r>
        <w:rPr>
          <w:rFonts w:eastAsia="Calibri"/>
          <w:i/>
        </w:rPr>
        <w:t xml:space="preserve">NWS </w:t>
      </w:r>
      <w:r w:rsidRPr="00AA3A12">
        <w:rPr>
          <w:rFonts w:eastAsia="Calibri"/>
          <w:i/>
        </w:rPr>
        <w:t xml:space="preserve">Ex Parte </w:t>
      </w:r>
      <w:r w:rsidRPr="00AA3A12">
        <w:rPr>
          <w:rFonts w:eastAsia="Calibri"/>
        </w:rPr>
        <w:t>Letter)</w:t>
      </w:r>
      <w:r>
        <w:rPr>
          <w:rFonts w:eastAsia="Calibri"/>
        </w:rPr>
        <w:t>)</w:t>
      </w:r>
      <w:r w:rsidRPr="00AA3A12">
        <w:rPr>
          <w:rFonts w:eastAsia="Calibri"/>
        </w:rPr>
        <w:t>.</w:t>
      </w:r>
    </w:p>
  </w:footnote>
  <w:footnote w:id="78">
    <w:p w14:paraId="1E7D7E12" w14:textId="77777777" w:rsidR="009973EE" w:rsidRPr="00B539CD" w:rsidRDefault="009973EE" w:rsidP="003856DF">
      <w:pPr>
        <w:pStyle w:val="FootnoteText"/>
      </w:pPr>
      <w:r w:rsidRPr="00B539CD">
        <w:rPr>
          <w:rStyle w:val="FootnoteReference"/>
        </w:rPr>
        <w:footnoteRef/>
      </w:r>
      <w:r w:rsidRPr="00AA3A12">
        <w:rPr>
          <w:rFonts w:eastAsia="Calibri"/>
        </w:rPr>
        <w:t xml:space="preserve"> Monroe </w:t>
      </w:r>
      <w:r>
        <w:rPr>
          <w:rFonts w:eastAsia="Calibri"/>
          <w:i/>
        </w:rPr>
        <w:t xml:space="preserve">NWS </w:t>
      </w:r>
      <w:r w:rsidRPr="00AA3A12">
        <w:rPr>
          <w:rFonts w:eastAsia="Calibri"/>
          <w:i/>
        </w:rPr>
        <w:t xml:space="preserve">Ex Parte </w:t>
      </w:r>
      <w:r w:rsidRPr="00AA3A12">
        <w:rPr>
          <w:rFonts w:eastAsia="Calibri"/>
        </w:rPr>
        <w:t xml:space="preserve">Letter at 1. </w:t>
      </w:r>
    </w:p>
  </w:footnote>
  <w:footnote w:id="79">
    <w:p w14:paraId="4F5A28F1" w14:textId="77777777" w:rsidR="009973EE" w:rsidRPr="00B539CD" w:rsidRDefault="009973EE" w:rsidP="003856DF">
      <w:pPr>
        <w:pStyle w:val="FootnoteText"/>
      </w:pPr>
      <w:r w:rsidRPr="00B539CD">
        <w:rPr>
          <w:rStyle w:val="FootnoteReference"/>
        </w:rPr>
        <w:footnoteRef/>
      </w:r>
      <w:r w:rsidRPr="00AA3A12">
        <w:rPr>
          <w:rFonts w:eastAsia="Calibri"/>
        </w:rPr>
        <w:t xml:space="preserve"> Sage </w:t>
      </w:r>
      <w:r>
        <w:rPr>
          <w:rFonts w:eastAsia="Calibri"/>
          <w:i/>
        </w:rPr>
        <w:t xml:space="preserve">NWS </w:t>
      </w:r>
      <w:r w:rsidRPr="00AA3A12">
        <w:rPr>
          <w:rFonts w:eastAsia="Calibri"/>
          <w:i/>
        </w:rPr>
        <w:t xml:space="preserve">Ex Parte </w:t>
      </w:r>
      <w:r w:rsidRPr="00AA3A12">
        <w:rPr>
          <w:rFonts w:eastAsia="Calibri"/>
        </w:rPr>
        <w:t xml:space="preserve">Letter at 1. </w:t>
      </w:r>
    </w:p>
  </w:footnote>
  <w:footnote w:id="80">
    <w:p w14:paraId="50E18C6D" w14:textId="77777777" w:rsidR="009973EE" w:rsidRDefault="009973EE">
      <w:pPr>
        <w:pStyle w:val="FootnoteText"/>
      </w:pPr>
      <w:r>
        <w:rPr>
          <w:rStyle w:val="FootnoteReference"/>
        </w:rPr>
        <w:footnoteRef/>
      </w:r>
      <w:r>
        <w:t xml:space="preserve"> </w:t>
      </w:r>
      <w:r>
        <w:rPr>
          <w:i/>
        </w:rPr>
        <w:t>See</w:t>
      </w:r>
      <w:r>
        <w:t xml:space="preserve"> </w:t>
      </w:r>
      <w:r w:rsidRPr="00AA3A12">
        <w:rPr>
          <w:rFonts w:eastAsia="Calibri"/>
          <w:i/>
        </w:rPr>
        <w:t>NWS Report and Order</w:t>
      </w:r>
      <w:r w:rsidRPr="00AA3A12">
        <w:rPr>
          <w:rFonts w:eastAsia="Calibri"/>
        </w:rPr>
        <w:t>, 31 FCC Rcd</w:t>
      </w:r>
      <w:r>
        <w:rPr>
          <w:rFonts w:eastAsia="Calibri"/>
        </w:rPr>
        <w:t xml:space="preserve"> at 7924, para. 23 (detailing that the $3.5 million figure was arrived at by calculating $125.00 per device (one hour of labor at OMB’s approved labor cost estimate for an EAS Participant to fill out the Commission’s online reporting form for EAS national tests) x 28,058 broadcasters and cable headends (EAS Participants).  ($125.00 x 28,058 = $3,507,250.00).</w:t>
      </w:r>
    </w:p>
  </w:footnote>
  <w:footnote w:id="81">
    <w:p w14:paraId="77D51A7F" w14:textId="77777777" w:rsidR="009973EE" w:rsidRPr="005977E6" w:rsidRDefault="009973EE">
      <w:pPr>
        <w:pStyle w:val="FootnoteText"/>
      </w:pPr>
      <w:r>
        <w:rPr>
          <w:rStyle w:val="FootnoteReference"/>
        </w:rPr>
        <w:footnoteRef/>
      </w:r>
      <w:r>
        <w:t xml:space="preserve"> </w:t>
      </w:r>
      <w:r>
        <w:rPr>
          <w:i/>
        </w:rPr>
        <w:t>See NWS Report and Order</w:t>
      </w:r>
      <w:r>
        <w:t>, 31 FCC Rcd at 7924, para. 23.</w:t>
      </w:r>
    </w:p>
  </w:footnote>
  <w:footnote w:id="82">
    <w:p w14:paraId="45665F5D" w14:textId="6D1B931E" w:rsidR="009973EE" w:rsidRDefault="009973EE">
      <w:pPr>
        <w:pStyle w:val="FootnoteText"/>
      </w:pPr>
      <w:r>
        <w:rPr>
          <w:rStyle w:val="FootnoteReference"/>
        </w:rPr>
        <w:footnoteRef/>
      </w:r>
      <w:r>
        <w:t xml:space="preserve"> </w:t>
      </w:r>
      <w:r>
        <w:rPr>
          <w:i/>
        </w:rPr>
        <w:t>See</w:t>
      </w:r>
      <w:r>
        <w:t xml:space="preserve"> </w:t>
      </w:r>
      <w:r w:rsidRPr="00AA3A12">
        <w:rPr>
          <w:rFonts w:eastAsia="Calibri"/>
          <w:i/>
        </w:rPr>
        <w:t>NWS Report and Order</w:t>
      </w:r>
      <w:r w:rsidRPr="00AA3A12">
        <w:rPr>
          <w:rFonts w:eastAsia="Calibri"/>
        </w:rPr>
        <w:t>, 31 FCC Rcd</w:t>
      </w:r>
      <w:r>
        <w:rPr>
          <w:rFonts w:eastAsia="Calibri"/>
        </w:rPr>
        <w:t xml:space="preserve"> at 7924, para. 22 n.77. </w:t>
      </w:r>
    </w:p>
  </w:footnote>
  <w:footnote w:id="83">
    <w:p w14:paraId="03655BEA" w14:textId="77777777" w:rsidR="009973EE" w:rsidRDefault="009973EE">
      <w:pPr>
        <w:pStyle w:val="FootnoteText"/>
      </w:pPr>
      <w:r>
        <w:rPr>
          <w:rStyle w:val="FootnoteReference"/>
        </w:rPr>
        <w:footnoteRef/>
      </w:r>
      <w:r>
        <w:t xml:space="preserve"> </w:t>
      </w:r>
      <w:r w:rsidRPr="00AA3A12">
        <w:rPr>
          <w:rFonts w:eastAsia="Calibri"/>
        </w:rPr>
        <w:t xml:space="preserve">Sage </w:t>
      </w:r>
      <w:r>
        <w:rPr>
          <w:rFonts w:eastAsia="Calibri"/>
          <w:i/>
        </w:rPr>
        <w:t xml:space="preserve">NWS </w:t>
      </w:r>
      <w:r w:rsidRPr="00AA3A12">
        <w:rPr>
          <w:rFonts w:eastAsia="Calibri"/>
          <w:i/>
        </w:rPr>
        <w:t xml:space="preserve">Ex Parte </w:t>
      </w:r>
      <w:r w:rsidRPr="00AA3A12">
        <w:rPr>
          <w:rFonts w:eastAsia="Calibri"/>
        </w:rPr>
        <w:t>Letter at 1.</w:t>
      </w:r>
    </w:p>
  </w:footnote>
  <w:footnote w:id="84">
    <w:p w14:paraId="6283CD6A" w14:textId="77777777" w:rsidR="009973EE" w:rsidRDefault="009973EE" w:rsidP="00C15AB2">
      <w:pPr>
        <w:pStyle w:val="FootnoteText"/>
      </w:pPr>
      <w:r>
        <w:rPr>
          <w:rStyle w:val="FootnoteReference"/>
        </w:rPr>
        <w:footnoteRef/>
      </w:r>
      <w:r>
        <w:t xml:space="preserve"> </w:t>
      </w:r>
      <w:r>
        <w:rPr>
          <w:i/>
        </w:rPr>
        <w:t>Blue Alert FAQ.</w:t>
      </w:r>
      <w:r w:rsidDel="0045778B">
        <w:t xml:space="preserve"> </w:t>
      </w:r>
    </w:p>
  </w:footnote>
  <w:footnote w:id="85">
    <w:p w14:paraId="756C3831" w14:textId="77777777" w:rsidR="009973EE" w:rsidRPr="00B539CD" w:rsidRDefault="009973EE" w:rsidP="003856DF">
      <w:pPr>
        <w:pStyle w:val="FootnoteText"/>
        <w:rPr>
          <w:i/>
        </w:rPr>
      </w:pPr>
      <w:r w:rsidRPr="00B539CD">
        <w:rPr>
          <w:rStyle w:val="FootnoteReference"/>
        </w:rPr>
        <w:footnoteRef/>
      </w:r>
      <w:r w:rsidRPr="00AA3A12">
        <w:rPr>
          <w:rFonts w:eastAsia="Calibri"/>
        </w:rPr>
        <w:t xml:space="preserve"> 47 CFR §§ 1.1200</w:t>
      </w:r>
      <w:r>
        <w:rPr>
          <w:rFonts w:eastAsia="Calibri"/>
        </w:rPr>
        <w:t>-</w:t>
      </w:r>
      <w:r w:rsidRPr="00AA3A12">
        <w:rPr>
          <w:rFonts w:eastAsia="Calibri"/>
        </w:rPr>
        <w:t>1.1216</w:t>
      </w:r>
      <w:r w:rsidRPr="00AA3A12">
        <w:rPr>
          <w:rFonts w:eastAsia="Calibri"/>
          <w:i/>
        </w:rPr>
        <w:t>.</w:t>
      </w:r>
    </w:p>
  </w:footnote>
  <w:footnote w:id="86">
    <w:p w14:paraId="53B4A417" w14:textId="77777777" w:rsidR="009973EE" w:rsidRDefault="009973EE">
      <w:pPr>
        <w:pStyle w:val="FootnoteText"/>
      </w:pPr>
      <w:r>
        <w:rPr>
          <w:rStyle w:val="FootnoteReference"/>
        </w:rPr>
        <w:footnoteRef/>
      </w:r>
      <w:r>
        <w:t xml:space="preserve"> </w:t>
      </w:r>
      <w:r>
        <w:rPr>
          <w:i/>
        </w:rPr>
        <w:t>See Electronic Filing of Documents in Rulemaking Proceedings</w:t>
      </w:r>
      <w:r>
        <w:t>, 63 Fed. Reg. 24121 (1998).</w:t>
      </w:r>
    </w:p>
  </w:footnote>
  <w:footnote w:id="87">
    <w:p w14:paraId="5407DC99" w14:textId="77777777" w:rsidR="009973EE" w:rsidRDefault="009973EE">
      <w:pPr>
        <w:pStyle w:val="FootnoteText"/>
      </w:pPr>
      <w:r>
        <w:rPr>
          <w:rStyle w:val="FootnoteReference"/>
        </w:rPr>
        <w:footnoteRef/>
      </w:r>
      <w:r>
        <w:t xml:space="preserve"> </w:t>
      </w:r>
      <w:r w:rsidRPr="0009415F">
        <w:rPr>
          <w:i/>
        </w:rPr>
        <w:t>See</w:t>
      </w:r>
      <w:r>
        <w:t xml:space="preserve"> 5 U.S.C. § 604.</w:t>
      </w:r>
    </w:p>
  </w:footnote>
  <w:footnote w:id="88">
    <w:p w14:paraId="4CA6B60B" w14:textId="77777777" w:rsidR="009973EE" w:rsidRDefault="009973EE">
      <w:pPr>
        <w:pStyle w:val="FootnoteText"/>
      </w:pPr>
      <w:r>
        <w:rPr>
          <w:rStyle w:val="FootnoteReference"/>
        </w:rPr>
        <w:footnoteRef/>
      </w:r>
      <w:r>
        <w:t xml:space="preserve"> </w:t>
      </w:r>
      <w:r>
        <w:rPr>
          <w:i/>
        </w:rPr>
        <w:t>See</w:t>
      </w:r>
      <w:r>
        <w:t xml:space="preserve"> 44 U.S.C. § 3506(c)(4).</w:t>
      </w:r>
    </w:p>
  </w:footnote>
  <w:footnote w:id="89">
    <w:p w14:paraId="32A2A362" w14:textId="77777777" w:rsidR="009973EE" w:rsidRPr="004B65E4" w:rsidRDefault="009973EE" w:rsidP="00DC6142">
      <w:pPr>
        <w:pStyle w:val="FootnoteText"/>
      </w:pPr>
      <w:r w:rsidRPr="004B65E4">
        <w:rPr>
          <w:rStyle w:val="FootnoteReference"/>
        </w:rPr>
        <w:footnoteRef/>
      </w:r>
      <w:r w:rsidRPr="004B65E4">
        <w:t xml:space="preserve"> </w:t>
      </w:r>
      <w:r w:rsidRPr="004B65E4">
        <w:rPr>
          <w:i/>
        </w:rPr>
        <w:t xml:space="preserve">See </w:t>
      </w:r>
      <w:r w:rsidRPr="004B65E4">
        <w:t xml:space="preserve">5 U.S.C. § 603.  The RFA, </w:t>
      </w:r>
      <w:r w:rsidRPr="004B65E4">
        <w:rPr>
          <w:i/>
        </w:rPr>
        <w:t xml:space="preserve">see </w:t>
      </w:r>
      <w:r w:rsidRPr="004B65E4">
        <w:t>5 U.S.C. §§ 601-612, has been amended by the Small Business Regulatory Enforcement Fairness Act of 1996 (SBREFA), Pub. L. No. 104-121, Title II, 110 Stat. 857 (1996).</w:t>
      </w:r>
    </w:p>
  </w:footnote>
  <w:footnote w:id="90">
    <w:p w14:paraId="2462A2D9" w14:textId="77777777" w:rsidR="009973EE" w:rsidRPr="004B65E4" w:rsidRDefault="009973EE" w:rsidP="00DC6142">
      <w:pPr>
        <w:pStyle w:val="FootnoteText"/>
      </w:pPr>
      <w:r w:rsidRPr="004B65E4">
        <w:rPr>
          <w:rStyle w:val="FootnoteReference"/>
        </w:rPr>
        <w:footnoteRef/>
      </w:r>
      <w:r w:rsidRPr="004B65E4">
        <w:t xml:space="preserve"> </w:t>
      </w:r>
      <w:r w:rsidRPr="004B65E4">
        <w:rPr>
          <w:i/>
        </w:rPr>
        <w:t>See</w:t>
      </w:r>
      <w:r w:rsidRPr="004B65E4">
        <w:t xml:space="preserve"> 5 U.S.C. § 603(a).</w:t>
      </w:r>
    </w:p>
  </w:footnote>
  <w:footnote w:id="91">
    <w:p w14:paraId="770E13CE" w14:textId="77777777" w:rsidR="009973EE" w:rsidRPr="004B65E4" w:rsidRDefault="009973EE" w:rsidP="00DC6142">
      <w:pPr>
        <w:pStyle w:val="FootnoteText"/>
      </w:pPr>
      <w:r w:rsidRPr="004B65E4">
        <w:rPr>
          <w:rStyle w:val="FootnoteReference"/>
        </w:rPr>
        <w:footnoteRef/>
      </w:r>
      <w:r w:rsidRPr="004B65E4">
        <w:t xml:space="preserve"> </w:t>
      </w:r>
      <w:r w:rsidRPr="004B65E4">
        <w:rPr>
          <w:i/>
        </w:rPr>
        <w:t>Id.</w:t>
      </w:r>
    </w:p>
  </w:footnote>
  <w:footnote w:id="92">
    <w:p w14:paraId="721AAFC8" w14:textId="2CEF9EB1" w:rsidR="009973EE" w:rsidRPr="009973EE" w:rsidRDefault="009973EE" w:rsidP="009973EE">
      <w:pPr>
        <w:pStyle w:val="FootnoteText"/>
        <w:rPr>
          <w:rFonts w:eastAsia="Calibri"/>
        </w:rPr>
      </w:pPr>
      <w:r>
        <w:rPr>
          <w:rStyle w:val="FootnoteReference"/>
        </w:rPr>
        <w:footnoteRef/>
      </w:r>
      <w:r>
        <w:t xml:space="preserve"> </w:t>
      </w:r>
      <w:r w:rsidRPr="003C1201">
        <w:rPr>
          <w:rFonts w:eastAsia="Calibri"/>
        </w:rPr>
        <w:t>42 U.S.C. § 14165b</w:t>
      </w:r>
      <w:r>
        <w:rPr>
          <w:rFonts w:eastAsia="Calibri"/>
        </w:rPr>
        <w:t xml:space="preserve"> (b)(7)(1)-(2).</w:t>
      </w:r>
    </w:p>
  </w:footnote>
  <w:footnote w:id="93">
    <w:p w14:paraId="04D685DE" w14:textId="77777777" w:rsidR="009973EE" w:rsidRDefault="009973EE" w:rsidP="00DC6142">
      <w:pPr>
        <w:pStyle w:val="FootnoteText"/>
      </w:pPr>
      <w:r>
        <w:rPr>
          <w:rStyle w:val="FootnoteReference"/>
        </w:rPr>
        <w:footnoteRef/>
      </w:r>
      <w:r>
        <w:t xml:space="preserve"> </w:t>
      </w:r>
      <w:r>
        <w:rPr>
          <w:i/>
        </w:rPr>
        <w:t>See, e.g.</w:t>
      </w:r>
      <w:r w:rsidRPr="00DB6A9C">
        <w:t>,</w:t>
      </w:r>
      <w:r>
        <w:t xml:space="preserve"> 47 CFR § 11.55(a) (“The EAS may be activated at the State and Local Area levels by EAS Participants at their discretion for day-to-day emergency situations posing a threat to life and property.”); 47 CFR § 11.52(d)(5) (“[T]he management of EAS Participants shall determine which header codes will automatically interrupt their programming for State and Local Area emergency situations affecting their audiences.”); </w:t>
      </w:r>
      <w:r>
        <w:rPr>
          <w:i/>
        </w:rPr>
        <w:t>see also First Report and Order and Further Notice of Proposed Rule Making,</w:t>
      </w:r>
      <w:r>
        <w:t xml:space="preserve"> 20 FCC Rcd at 18628, para. 8.</w:t>
      </w:r>
    </w:p>
  </w:footnote>
  <w:footnote w:id="94">
    <w:p w14:paraId="34DA5304" w14:textId="77777777" w:rsidR="009973EE" w:rsidRPr="00B539CD" w:rsidRDefault="009973EE" w:rsidP="00DC6142">
      <w:pPr>
        <w:pStyle w:val="FootnoteText"/>
      </w:pPr>
      <w:r w:rsidRPr="00B539CD">
        <w:rPr>
          <w:rStyle w:val="FootnoteReference"/>
        </w:rPr>
        <w:footnoteRef/>
      </w:r>
      <w:r w:rsidRPr="00AA3A12">
        <w:rPr>
          <w:rFonts w:eastAsia="Calibri"/>
        </w:rPr>
        <w:t xml:space="preserve"> United States Department of Justice Office of Community Oriented Policing Services, </w:t>
      </w:r>
      <w:r w:rsidRPr="00AA3A12">
        <w:rPr>
          <w:rFonts w:eastAsia="Calibri"/>
          <w:i/>
        </w:rPr>
        <w:t xml:space="preserve">Rafael Ramos and Wenjian Liu National Blue Alert Report to Congress </w:t>
      </w:r>
      <w:r w:rsidRPr="00AA3A12">
        <w:rPr>
          <w:rFonts w:eastAsia="Calibri"/>
        </w:rPr>
        <w:t>at 6 (2016).  “. . .the need for a dedicated Emergency Alert System (EAS) event code . . .”</w:t>
      </w:r>
    </w:p>
  </w:footnote>
  <w:footnote w:id="95">
    <w:p w14:paraId="36AF913A" w14:textId="77777777" w:rsidR="009973EE" w:rsidRDefault="009973EE" w:rsidP="00DC6142">
      <w:pPr>
        <w:pStyle w:val="FootnoteText"/>
      </w:pPr>
      <w:r>
        <w:rPr>
          <w:rStyle w:val="FootnoteReference"/>
        </w:rPr>
        <w:footnoteRef/>
      </w:r>
      <w:r>
        <w:t xml:space="preserve"> </w:t>
      </w:r>
      <w:r>
        <w:rPr>
          <w:i/>
        </w:rPr>
        <w:t xml:space="preserve">See </w:t>
      </w:r>
      <w:r w:rsidRPr="00AA3A12">
        <w:rPr>
          <w:rFonts w:eastAsia="Calibri"/>
        </w:rPr>
        <w:t xml:space="preserve">United States Department of Justice Office of Community Oriented Policing Services, </w:t>
      </w:r>
      <w:r w:rsidRPr="00AA3A12">
        <w:rPr>
          <w:rFonts w:eastAsia="Calibri"/>
          <w:i/>
        </w:rPr>
        <w:t xml:space="preserve">Rafael Ramos and Wenjian Liu National Blue Alert Report to Congress </w:t>
      </w:r>
      <w:r>
        <w:rPr>
          <w:rFonts w:eastAsia="Calibri"/>
        </w:rPr>
        <w:t>at 8</w:t>
      </w:r>
      <w:r w:rsidRPr="00AA3A12">
        <w:rPr>
          <w:rFonts w:eastAsia="Calibri"/>
        </w:rPr>
        <w:t xml:space="preserve"> (2016).  </w:t>
      </w:r>
    </w:p>
  </w:footnote>
  <w:footnote w:id="96">
    <w:p w14:paraId="08633092" w14:textId="77777777" w:rsidR="009973EE" w:rsidRPr="003E39D3" w:rsidRDefault="009973EE" w:rsidP="00DC6142">
      <w:pPr>
        <w:pStyle w:val="FootnoteText"/>
      </w:pPr>
      <w:r>
        <w:rPr>
          <w:rStyle w:val="FootnoteReference"/>
        </w:rPr>
        <w:footnoteRef/>
      </w:r>
      <w:r>
        <w:t xml:space="preserve"> </w:t>
      </w:r>
      <w:r w:rsidRPr="003E39D3">
        <w:rPr>
          <w:i/>
        </w:rPr>
        <w:t>See</w:t>
      </w:r>
      <w:r w:rsidRPr="003E39D3">
        <w:t xml:space="preserve"> 5 U.S.C. §§ 601(3)–(6).</w:t>
      </w:r>
    </w:p>
  </w:footnote>
  <w:footnote w:id="97">
    <w:p w14:paraId="604B03FD" w14:textId="2FE85600" w:rsidR="009973EE" w:rsidRDefault="009973EE" w:rsidP="00DC6142">
      <w:pPr>
        <w:pStyle w:val="FootnoteText"/>
      </w:pPr>
      <w:r>
        <w:rPr>
          <w:rStyle w:val="FootnoteReference"/>
        </w:rPr>
        <w:footnoteRef/>
      </w:r>
      <w:r>
        <w:t xml:space="preserve"> </w:t>
      </w:r>
      <w:r w:rsidRPr="00FE0680">
        <w:rPr>
          <w:i/>
        </w:rPr>
        <w:t>See</w:t>
      </w:r>
      <w:r>
        <w:t xml:space="preserve"> SBA, Office of Advocacy, </w:t>
      </w:r>
      <w:r w:rsidRPr="00DB6A9C">
        <w:rPr>
          <w:i/>
        </w:rPr>
        <w:t>Frequently Asked Questions, Question 1 – What is a small business?</w:t>
      </w:r>
      <w:r>
        <w:t xml:space="preserve"> (June 2016), </w:t>
      </w:r>
      <w:hyperlink r:id="rId17" w:history="1">
        <w:r w:rsidRPr="00CE6CB1">
          <w:rPr>
            <w:rStyle w:val="Hyperlink"/>
          </w:rPr>
          <w:t>https://www.sba.gov/sites/default/files/advocacy/SB-FAQ-2016_WEB.pdf</w:t>
        </w:r>
      </w:hyperlink>
      <w:r>
        <w:t xml:space="preserve"> (June 2016)</w:t>
      </w:r>
    </w:p>
  </w:footnote>
  <w:footnote w:id="98">
    <w:p w14:paraId="38E4EE88" w14:textId="2812346A" w:rsidR="009973EE" w:rsidRDefault="009973EE" w:rsidP="00DC6142">
      <w:pPr>
        <w:pStyle w:val="FootnoteText"/>
      </w:pPr>
      <w:r>
        <w:rPr>
          <w:rStyle w:val="FootnoteReference"/>
        </w:rPr>
        <w:footnoteRef/>
      </w:r>
      <w:r>
        <w:t xml:space="preserve"> </w:t>
      </w:r>
      <w:r w:rsidRPr="00FE0680">
        <w:rPr>
          <w:i/>
        </w:rPr>
        <w:t>See</w:t>
      </w:r>
      <w:r>
        <w:t xml:space="preserve"> SBA, Office of Advocacy, F</w:t>
      </w:r>
      <w:r w:rsidRPr="00DB6A9C">
        <w:rPr>
          <w:i/>
        </w:rPr>
        <w:t xml:space="preserve">requently Asked Questions, Question 2- How many small business are there in the U.S.? </w:t>
      </w:r>
      <w:r>
        <w:t xml:space="preserve">(June 2016),, </w:t>
      </w:r>
      <w:hyperlink r:id="rId18" w:history="1">
        <w:r w:rsidRPr="00CE6CB1">
          <w:rPr>
            <w:rStyle w:val="Hyperlink"/>
          </w:rPr>
          <w:t>https://www.sba.gov/sites/default/files/advocacy/SB-FAQ-2016_WEB.pdf</w:t>
        </w:r>
      </w:hyperlink>
      <w:r>
        <w:t xml:space="preserve"> (June 2016).</w:t>
      </w:r>
    </w:p>
  </w:footnote>
  <w:footnote w:id="99">
    <w:p w14:paraId="419FA748" w14:textId="77777777" w:rsidR="009973EE" w:rsidRPr="006B076E" w:rsidRDefault="009973EE" w:rsidP="00DC6142">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00">
    <w:p w14:paraId="24E140C3" w14:textId="77777777" w:rsidR="009973EE" w:rsidRPr="006B076E" w:rsidRDefault="009973EE" w:rsidP="00DC6142">
      <w:pPr>
        <w:pStyle w:val="FootnoteText"/>
      </w:pPr>
      <w:r w:rsidRPr="006B076E">
        <w:rPr>
          <w:rStyle w:val="FootnoteReference"/>
        </w:rPr>
        <w:footnoteRef/>
      </w:r>
      <w:r w:rsidRPr="006B076E">
        <w:t xml:space="preserve"> </w:t>
      </w:r>
      <w:r w:rsidRPr="00DB6A9C">
        <w:rPr>
          <w:color w:val="000000"/>
        </w:rPr>
        <w:t>Independent Sector, The New Nonprofit Almanac &amp; Desk Reference</w:t>
      </w:r>
      <w:r w:rsidRPr="006B076E">
        <w:rPr>
          <w:color w:val="000000"/>
        </w:rPr>
        <w:t xml:space="preserve"> (2010).</w:t>
      </w:r>
    </w:p>
  </w:footnote>
  <w:footnote w:id="101">
    <w:p w14:paraId="707E36E1" w14:textId="77777777" w:rsidR="009973EE" w:rsidRPr="006B076E" w:rsidRDefault="009973EE" w:rsidP="00DC6142">
      <w:pPr>
        <w:pStyle w:val="FootnoteText"/>
      </w:pPr>
      <w:r w:rsidRPr="006B076E">
        <w:rPr>
          <w:rStyle w:val="FootnoteReference"/>
          <w:spacing w:val="-2"/>
        </w:rPr>
        <w:footnoteRef/>
      </w:r>
      <w:r w:rsidRPr="006B076E">
        <w:t xml:space="preserve"> 5 U.S.C. § 601(5).</w:t>
      </w:r>
    </w:p>
  </w:footnote>
  <w:footnote w:id="102">
    <w:p w14:paraId="350C3EDD" w14:textId="7FD4F177" w:rsidR="009973EE" w:rsidRPr="006B076E" w:rsidRDefault="009973EE" w:rsidP="00DC6142">
      <w:pPr>
        <w:pStyle w:val="FootnoteText"/>
      </w:pPr>
      <w:r w:rsidRPr="006B076E">
        <w:rPr>
          <w:rStyle w:val="FootnoteReference"/>
          <w:spacing w:val="-2"/>
        </w:rPr>
        <w:footnoteRef/>
      </w:r>
      <w:r w:rsidRPr="006B076E">
        <w:t xml:space="preserve"> U.S. Census Bureau, Statistical Abstract of the United States: 2012 at 267, Table 42</w:t>
      </w:r>
      <w:r>
        <w:t>8</w:t>
      </w:r>
      <w:r w:rsidRPr="006B076E">
        <w:t xml:space="preserve"> (2011), </w:t>
      </w:r>
      <w:hyperlink r:id="rId19" w:history="1">
        <w:r w:rsidRPr="00EE3843">
          <w:rPr>
            <w:rStyle w:val="Hyperlink"/>
          </w:rPr>
          <w:t>http://www2.census.gov/library/publications/2011/compendia/statab/131ed/2012-statab.pdf</w:t>
        </w:r>
      </w:hyperlink>
      <w:r>
        <w:t xml:space="preserve"> </w:t>
      </w:r>
      <w:r w:rsidRPr="006B076E">
        <w:t xml:space="preserve"> (citing data from 2007). </w:t>
      </w:r>
    </w:p>
  </w:footnote>
  <w:footnote w:id="103">
    <w:p w14:paraId="31D47822" w14:textId="2EE446CA" w:rsidR="009973EE" w:rsidRPr="006B076E" w:rsidRDefault="009973EE" w:rsidP="00DC6142">
      <w:pPr>
        <w:pStyle w:val="FootnoteText"/>
      </w:pPr>
      <w:r w:rsidRPr="006B076E">
        <w:rPr>
          <w:rStyle w:val="FootnoteReference"/>
        </w:rPr>
        <w:footnoteRef/>
      </w:r>
      <w:r w:rsidRPr="006B076E">
        <w:t xml:space="preserve"> The 2012 U.S. Census </w:t>
      </w:r>
      <w:r>
        <w:t xml:space="preserve">Bureau </w:t>
      </w:r>
      <w:r w:rsidRPr="006B076E">
        <w:t xml:space="preserve">data for small governmental organizations are not presented based on the size of the population in each organization.  There were </w:t>
      </w:r>
      <w:r w:rsidRPr="006B076E">
        <w:rPr>
          <w:color w:val="000000"/>
        </w:rPr>
        <w:t>89,476</w:t>
      </w:r>
      <w:r w:rsidRPr="006B076E">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6B076E">
        <w:rPr>
          <w:i/>
        </w:rPr>
        <w:t xml:space="preserve">See </w:t>
      </w:r>
      <w:r w:rsidRPr="006B076E">
        <w:t xml:space="preserve">U.S. Census Bureau, </w:t>
      </w:r>
      <w:r w:rsidRPr="00F74C73">
        <w:rPr>
          <w:i/>
        </w:rPr>
        <w:t>City and Town Totals Vintage: 2011</w:t>
      </w:r>
      <w:r w:rsidRPr="006B076E">
        <w:t xml:space="preserve">, </w:t>
      </w:r>
      <w:hyperlink r:id="rId20" w:history="1">
        <w:r w:rsidRPr="00EE3843">
          <w:rPr>
            <w:rStyle w:val="Hyperlink"/>
          </w:rPr>
          <w:t>http://www.census.gov/popest/data/cities/totals/2011/index.html</w:t>
        </w:r>
      </w:hyperlink>
      <w:r>
        <w:rPr>
          <w:rStyle w:val="Hyperlink"/>
        </w:rPr>
        <w:t xml:space="preserve"> (last visited May 4, 2017)</w:t>
      </w:r>
      <w:r>
        <w:t>.  By</w:t>
      </w:r>
      <w:r w:rsidRPr="006B076E">
        <w:t xml:space="preserve"> subtract</w:t>
      </w:r>
      <w:r>
        <w:t>ing</w:t>
      </w:r>
      <w:r w:rsidRPr="006B076E">
        <w:t xml:space="preserve"> the 715 cities and towns that meet or exceed the 50,000 population threshold, we conclude that approximately 88,761 are small.  </w:t>
      </w:r>
    </w:p>
  </w:footnote>
  <w:footnote w:id="104">
    <w:p w14:paraId="3F116DA5" w14:textId="7A9AF3AA" w:rsidR="009973EE" w:rsidRPr="003E39D3" w:rsidRDefault="009973EE" w:rsidP="00DC6142">
      <w:pPr>
        <w:pStyle w:val="FootnoteText"/>
      </w:pPr>
      <w:r w:rsidRPr="003E39D3">
        <w:rPr>
          <w:rStyle w:val="FootnoteReference"/>
        </w:rPr>
        <w:footnoteRef/>
      </w:r>
      <w:r w:rsidRPr="003E39D3">
        <w:t xml:space="preserve"> </w:t>
      </w:r>
      <w:r w:rsidRPr="003E39D3">
        <w:rPr>
          <w:color w:val="000000"/>
        </w:rPr>
        <w:t xml:space="preserve">U.S. Census Bureau, 2007 NAICS Definitions, “515112 Radio Stations”; </w:t>
      </w:r>
      <w:hyperlink r:id="rId21" w:history="1">
        <w:r w:rsidRPr="00BA7B19">
          <w:rPr>
            <w:rStyle w:val="Hyperlink"/>
          </w:rPr>
          <w:t>http://www.census.gov/cgi-bin/sssd/naics/naicsrch?code=515112&amp;search=2012</w:t>
        </w:r>
        <w:r w:rsidRPr="005B589E">
          <w:rPr>
            <w:rStyle w:val="Hyperlink"/>
          </w:rPr>
          <w:t xml:space="preserve"> NAICS Search</w:t>
        </w:r>
      </w:hyperlink>
      <w:r w:rsidRPr="00E33441">
        <w:t xml:space="preserve">.  </w:t>
      </w:r>
    </w:p>
  </w:footnote>
  <w:footnote w:id="105">
    <w:p w14:paraId="1AA81CC0" w14:textId="77777777" w:rsidR="009973EE" w:rsidRDefault="009973EE" w:rsidP="00DC6142">
      <w:pPr>
        <w:pStyle w:val="FootnoteText"/>
      </w:pPr>
      <w:r>
        <w:rPr>
          <w:rStyle w:val="FootnoteReference"/>
        </w:rPr>
        <w:footnoteRef/>
      </w:r>
      <w:r>
        <w:t xml:space="preserve"> 13 CFR</w:t>
      </w:r>
      <w:r>
        <w:rPr>
          <w:szCs w:val="22"/>
        </w:rPr>
        <w:t xml:space="preserve"> § </w:t>
      </w:r>
      <w:r>
        <w:t>121.201, NAICS code 515112 Radio Stations.</w:t>
      </w:r>
    </w:p>
  </w:footnote>
  <w:footnote w:id="106">
    <w:p w14:paraId="3E63A201" w14:textId="2948DAEF" w:rsidR="009973EE" w:rsidRDefault="009973EE" w:rsidP="00DC6142">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 </w:t>
      </w:r>
      <w:hyperlink r:id="rId22" w:history="1">
        <w:r w:rsidRPr="00DB6A9C">
          <w:rPr>
            <w:rStyle w:val="Hyperlink"/>
          </w:rPr>
          <w:t>https://factfinder.census.gov/faces/</w:t>
        </w:r>
        <w:r w:rsidRPr="00DB6A9C">
          <w:rPr>
            <w:rStyle w:val="Hyperlink"/>
          </w:rPr>
          <w:br/>
        </w:r>
        <w:r w:rsidRPr="0002418A">
          <w:rPr>
            <w:rStyle w:val="Hyperlink"/>
          </w:rPr>
          <w:t>tableservices/jsf/pages/productview.xhtml?pid=ECN_2012_US_51SSSZ4&amp;prodType=table</w:t>
        </w:r>
      </w:hyperlink>
      <w:r>
        <w:t>.</w:t>
      </w:r>
    </w:p>
  </w:footnote>
  <w:footnote w:id="107">
    <w:p w14:paraId="0F4AD94E" w14:textId="77777777" w:rsidR="009973EE" w:rsidRPr="000D4091" w:rsidRDefault="009973EE" w:rsidP="00DC6142">
      <w:pPr>
        <w:pStyle w:val="FootnoteText"/>
      </w:pPr>
      <w:r>
        <w:rPr>
          <w:rStyle w:val="FootnoteReference"/>
        </w:rPr>
        <w:footnoteRef/>
      </w:r>
      <w:r>
        <w:t xml:space="preserve"> </w:t>
      </w:r>
      <w:r>
        <w:rPr>
          <w:i/>
        </w:rPr>
        <w:t>Id.</w:t>
      </w:r>
    </w:p>
  </w:footnote>
  <w:footnote w:id="108">
    <w:p w14:paraId="457F501D" w14:textId="3CD05747" w:rsidR="009973EE" w:rsidRDefault="009973EE" w:rsidP="00DC6142">
      <w:pPr>
        <w:pStyle w:val="FootnoteText"/>
      </w:pPr>
      <w:r>
        <w:rPr>
          <w:rStyle w:val="FootnoteReference"/>
        </w:rPr>
        <w:footnoteRef/>
      </w:r>
      <w:r>
        <w:t xml:space="preserve"> </w:t>
      </w:r>
      <w:r>
        <w:rPr>
          <w:i/>
        </w:rPr>
        <w:t>Broadcast Station Totals as of December 31, 2016</w:t>
      </w:r>
      <w:r>
        <w:t xml:space="preserve">, Press Release (MB, rel. January 5, 2017), </w:t>
      </w:r>
      <w:hyperlink r:id="rId23" w:history="1">
        <w:r w:rsidRPr="005423FB">
          <w:rPr>
            <w:rStyle w:val="Hyperlink"/>
          </w:rPr>
          <w:t>https://www.fcc.gov/document/broadcast-station-totals-december-31-2016</w:t>
        </w:r>
      </w:hyperlink>
      <w:r>
        <w:t>(</w:t>
      </w:r>
      <w:r>
        <w:rPr>
          <w:i/>
        </w:rPr>
        <w:t>January 5, 2017</w:t>
      </w:r>
      <w:r>
        <w:t xml:space="preserve"> </w:t>
      </w:r>
      <w:r>
        <w:rPr>
          <w:i/>
        </w:rPr>
        <w:t>Broadcast Station Totals Press Release</w:t>
      </w:r>
      <w:r>
        <w:t xml:space="preserve">). </w:t>
      </w:r>
    </w:p>
  </w:footnote>
  <w:footnote w:id="109">
    <w:p w14:paraId="40314D04" w14:textId="77777777" w:rsidR="009973EE" w:rsidRDefault="009973EE" w:rsidP="00DC6142">
      <w:pPr>
        <w:pStyle w:val="FootnoteText"/>
      </w:pPr>
      <w:r>
        <w:rPr>
          <w:rStyle w:val="FootnoteReference"/>
        </w:rPr>
        <w:footnoteRef/>
      </w:r>
      <w:r>
        <w:t xml:space="preserve"> </w:t>
      </w:r>
      <w:r w:rsidRPr="00DC6142">
        <w:rPr>
          <w:i/>
        </w:rPr>
        <w:t>Id</w:t>
      </w:r>
      <w:r>
        <w:t xml:space="preserve">. </w:t>
      </w:r>
    </w:p>
  </w:footnote>
  <w:footnote w:id="110">
    <w:p w14:paraId="3E645C2F" w14:textId="77777777" w:rsidR="009973EE" w:rsidRDefault="009973EE" w:rsidP="00DC6142">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111">
    <w:p w14:paraId="2B3146B9" w14:textId="77777777" w:rsidR="009973EE" w:rsidRDefault="009973EE" w:rsidP="00DC6142">
      <w:pPr>
        <w:pStyle w:val="FootnoteText"/>
      </w:pPr>
      <w:r>
        <w:rPr>
          <w:rStyle w:val="FootnoteReference"/>
        </w:rPr>
        <w:footnoteRef/>
      </w:r>
      <w:r>
        <w:t xml:space="preserve"> 13 CFR </w:t>
      </w:r>
      <w:r>
        <w:rPr>
          <w:szCs w:val="22"/>
        </w:rPr>
        <w:t>§ 121.102(b).</w:t>
      </w:r>
    </w:p>
  </w:footnote>
  <w:footnote w:id="112">
    <w:p w14:paraId="1C730445" w14:textId="77777777" w:rsidR="009973EE" w:rsidRDefault="009973EE" w:rsidP="00DC6142">
      <w:pPr>
        <w:pStyle w:val="FootnoteText"/>
      </w:pPr>
      <w:r>
        <w:rPr>
          <w:rStyle w:val="FootnoteReference"/>
        </w:rPr>
        <w:footnoteRef/>
      </w:r>
      <w:r>
        <w:t xml:space="preserve">  </w:t>
      </w:r>
      <w:r w:rsidRPr="007861DF">
        <w:t>http://www.census.gov/cgi-bin/sssd/naics/</w:t>
      </w:r>
      <w:r>
        <w:t>naicsrch?code=515112&amp;search=2012.</w:t>
      </w:r>
    </w:p>
  </w:footnote>
  <w:footnote w:id="113">
    <w:p w14:paraId="03779579" w14:textId="77777777" w:rsidR="009973EE" w:rsidRDefault="009973EE" w:rsidP="00DC6142">
      <w:pPr>
        <w:pStyle w:val="FootnoteText"/>
      </w:pPr>
      <w:r>
        <w:rPr>
          <w:rStyle w:val="FootnoteReference"/>
        </w:rPr>
        <w:footnoteRef/>
      </w:r>
      <w:r>
        <w:t xml:space="preserve"> </w:t>
      </w:r>
      <w:r w:rsidRPr="00DC6142">
        <w:rPr>
          <w:i/>
        </w:rPr>
        <w:t>Id</w:t>
      </w:r>
      <w:r>
        <w:t>.</w:t>
      </w:r>
    </w:p>
  </w:footnote>
  <w:footnote w:id="114">
    <w:p w14:paraId="1DAE0499" w14:textId="77777777" w:rsidR="009973EE" w:rsidRDefault="009973EE" w:rsidP="00DC6142">
      <w:pPr>
        <w:pStyle w:val="FootnoteText"/>
      </w:pPr>
      <w:r>
        <w:rPr>
          <w:rStyle w:val="FootnoteReference"/>
        </w:rPr>
        <w:footnoteRef/>
      </w:r>
      <w:r>
        <w:t xml:space="preserve"> 13 CFR § 121.201.</w:t>
      </w:r>
    </w:p>
  </w:footnote>
  <w:footnote w:id="115">
    <w:p w14:paraId="37F3198E" w14:textId="33240CDA" w:rsidR="009973EE" w:rsidRDefault="009973EE" w:rsidP="00DC6142">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 </w:t>
      </w:r>
      <w:hyperlink r:id="rId24" w:history="1">
        <w:r w:rsidRPr="0002418A">
          <w:rPr>
            <w:rStyle w:val="Hyperlink"/>
          </w:rPr>
          <w:t>https://factfinder.census.gov/faces/</w:t>
        </w:r>
        <w:r w:rsidRPr="0002418A">
          <w:rPr>
            <w:rStyle w:val="Hyperlink"/>
          </w:rPr>
          <w:br/>
        </w:r>
        <w:r w:rsidRPr="00503D31">
          <w:rPr>
            <w:rStyle w:val="Hyperlink"/>
          </w:rPr>
          <w:t>tableservices/jsf/pages/productview.xhtml?pid=ECN_2012_US_51SSSZ4&amp;prodType=table</w:t>
        </w:r>
      </w:hyperlink>
      <w:r>
        <w:t>.</w:t>
      </w:r>
    </w:p>
  </w:footnote>
  <w:footnote w:id="116">
    <w:p w14:paraId="04282A5E" w14:textId="77777777" w:rsidR="009973EE" w:rsidRPr="000D4091" w:rsidRDefault="009973EE" w:rsidP="00DC6142">
      <w:pPr>
        <w:pStyle w:val="FootnoteText"/>
      </w:pPr>
      <w:r>
        <w:rPr>
          <w:rStyle w:val="FootnoteReference"/>
        </w:rPr>
        <w:footnoteRef/>
      </w:r>
      <w:r>
        <w:t xml:space="preserve"> </w:t>
      </w:r>
      <w:r>
        <w:rPr>
          <w:i/>
        </w:rPr>
        <w:t>Id.</w:t>
      </w:r>
    </w:p>
  </w:footnote>
  <w:footnote w:id="117">
    <w:p w14:paraId="13EDFA18" w14:textId="752D9449" w:rsidR="009973EE" w:rsidRDefault="009973EE" w:rsidP="00DC6142">
      <w:pPr>
        <w:pStyle w:val="FootnoteText"/>
      </w:pPr>
      <w:r>
        <w:rPr>
          <w:rStyle w:val="FootnoteReference"/>
        </w:rPr>
        <w:footnoteRef/>
      </w:r>
      <w:r>
        <w:t xml:space="preserve"> U.S. Census Bureau, </w:t>
      </w:r>
      <w:r w:rsidRPr="00F74C73">
        <w:rPr>
          <w:i/>
        </w:rPr>
        <w:t>2012 NAICS Definitions, 515120 Television Broadcasting</w:t>
      </w:r>
      <w:r>
        <w:t>,</w:t>
      </w:r>
      <w:r w:rsidRPr="002A16BF">
        <w:t xml:space="preserve"> </w:t>
      </w:r>
      <w:hyperlink r:id="rId25" w:history="1">
        <w:r w:rsidRPr="00D90297">
          <w:rPr>
            <w:rStyle w:val="Hyperlink"/>
          </w:rPr>
          <w:t>https://www.census.gov/cgi-bin/sssd/naics/naicsrch?input=515120&amp;search=2017+NAICS+Search&amp;search=2017</w:t>
        </w:r>
      </w:hyperlink>
      <w:r>
        <w:rPr>
          <w:rStyle w:val="Hyperlink"/>
        </w:rPr>
        <w:t xml:space="preserve"> (last visited May 4, 2017)</w:t>
      </w:r>
      <w:r>
        <w:t>.</w:t>
      </w:r>
    </w:p>
  </w:footnote>
  <w:footnote w:id="118">
    <w:p w14:paraId="2BA02910" w14:textId="77777777" w:rsidR="009973EE" w:rsidRDefault="009973EE" w:rsidP="00DC6142">
      <w:pPr>
        <w:pStyle w:val="FootnoteText"/>
      </w:pPr>
      <w:r>
        <w:rPr>
          <w:rStyle w:val="FootnoteReference"/>
        </w:rPr>
        <w:footnoteRef/>
      </w:r>
      <w:r>
        <w:t xml:space="preserve"> </w:t>
      </w:r>
      <w:r w:rsidRPr="00DC6142">
        <w:rPr>
          <w:i/>
        </w:rPr>
        <w:t>Id</w:t>
      </w:r>
      <w:r>
        <w:t xml:space="preserve">. </w:t>
      </w:r>
    </w:p>
  </w:footnote>
  <w:footnote w:id="119">
    <w:p w14:paraId="3A540316" w14:textId="77777777" w:rsidR="009973EE" w:rsidRDefault="009973EE" w:rsidP="00DC6142">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20">
    <w:p w14:paraId="44072647" w14:textId="55CCFA87" w:rsidR="009973EE" w:rsidRDefault="009973EE" w:rsidP="00DC6142">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w:t>
      </w:r>
      <w:r w:rsidRPr="00F74C73">
        <w:rPr>
          <w:i/>
        </w:rPr>
        <w:t>515120 Television Broadcasting)</w:t>
      </w:r>
      <w:r>
        <w:t>.</w:t>
      </w:r>
      <w:r w:rsidRPr="00691B16">
        <w:t xml:space="preserve"> </w:t>
      </w:r>
      <w:hyperlink r:id="rId26" w:history="1">
        <w:r w:rsidRPr="00EB63C5">
          <w:rPr>
            <w:rStyle w:val="Hyperlink"/>
          </w:rPr>
          <w:t>https://factfinder.census.gov/faces/tableservices/jsf/pages/productview.xhtml?pid=ECN_2012_US_51SSSZ4&amp;prodType=table</w:t>
        </w:r>
      </w:hyperlink>
      <w:r>
        <w:rPr>
          <w:rStyle w:val="Hyperlink"/>
        </w:rPr>
        <w:t xml:space="preserve"> (last visited May 4, 2017)</w:t>
      </w:r>
      <w:r>
        <w:t>.</w:t>
      </w:r>
    </w:p>
  </w:footnote>
  <w:footnote w:id="121">
    <w:p w14:paraId="61544FFA" w14:textId="27A53187" w:rsidR="009973EE" w:rsidRDefault="009973EE" w:rsidP="00DC6142">
      <w:pPr>
        <w:pStyle w:val="FootnoteText"/>
      </w:pPr>
      <w:r>
        <w:rPr>
          <w:rStyle w:val="FootnoteReference"/>
        </w:rPr>
        <w:footnoteRef/>
      </w:r>
      <w:r>
        <w:t xml:space="preserve"> </w:t>
      </w:r>
      <w:r>
        <w:rPr>
          <w:i/>
        </w:rPr>
        <w:t>Broadcast Station Totals as of December 31, 2016</w:t>
      </w:r>
      <w:r>
        <w:t xml:space="preserve">, Press Release (MB, rel. January 5, 2017), </w:t>
      </w:r>
      <w:hyperlink r:id="rId27" w:history="1">
        <w:r w:rsidRPr="005423FB">
          <w:rPr>
            <w:rStyle w:val="Hyperlink"/>
          </w:rPr>
          <w:t>https://www.fcc.gov/document/broadcast-station-totals-december-31-2016</w:t>
        </w:r>
      </w:hyperlink>
      <w:r>
        <w:t>(</w:t>
      </w:r>
      <w:r>
        <w:rPr>
          <w:i/>
        </w:rPr>
        <w:t>January 5, 2017</w:t>
      </w:r>
      <w:r>
        <w:t xml:space="preserve"> </w:t>
      </w:r>
      <w:r>
        <w:rPr>
          <w:i/>
        </w:rPr>
        <w:t>Broadcast Station Totals Press Release</w:t>
      </w:r>
      <w:r>
        <w:t xml:space="preserve">).   </w:t>
      </w:r>
    </w:p>
  </w:footnote>
  <w:footnote w:id="122">
    <w:p w14:paraId="7A8D1005" w14:textId="77777777" w:rsidR="009973EE" w:rsidRDefault="009973EE" w:rsidP="00DC6142">
      <w:pPr>
        <w:pStyle w:val="FootnoteText"/>
      </w:pPr>
      <w:r>
        <w:rPr>
          <w:rStyle w:val="FootnoteReference"/>
        </w:rPr>
        <w:footnoteRef/>
      </w:r>
      <w:r>
        <w:t xml:space="preserve"> </w:t>
      </w:r>
      <w:r>
        <w:rPr>
          <w:i/>
        </w:rPr>
        <w:t>Id</w:t>
      </w:r>
      <w:r>
        <w:t>.</w:t>
      </w:r>
    </w:p>
  </w:footnote>
  <w:footnote w:id="123">
    <w:p w14:paraId="10AC86BB" w14:textId="77777777" w:rsidR="009973EE" w:rsidRDefault="009973EE" w:rsidP="00DC6142">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21.103(a)(1).</w:t>
      </w:r>
    </w:p>
  </w:footnote>
  <w:footnote w:id="124">
    <w:p w14:paraId="45B97199" w14:textId="77777777" w:rsidR="009973EE" w:rsidRDefault="009973EE" w:rsidP="00DC6142">
      <w:pPr>
        <w:pStyle w:val="FootnoteText"/>
      </w:pPr>
      <w:r>
        <w:rPr>
          <w:rStyle w:val="FootnoteReference"/>
        </w:rPr>
        <w:footnoteRef/>
      </w:r>
      <w:r>
        <w:t xml:space="preserve"> </w:t>
      </w:r>
      <w:r w:rsidRPr="00CF2B56">
        <w:t xml:space="preserve">There are also 2,344 LPTV stations, including Class A stations, and 3689 TV translator stations. </w:t>
      </w:r>
      <w:r>
        <w:t xml:space="preserve"> </w:t>
      </w:r>
      <w:r w:rsidRPr="00CF2B56">
        <w:t>Given the nature of these services, we will presume that all of these entities qualify as small entities under the above SBA small business size standard</w:t>
      </w:r>
      <w:r>
        <w:t>.</w:t>
      </w:r>
    </w:p>
  </w:footnote>
  <w:footnote w:id="125">
    <w:p w14:paraId="7647E73A" w14:textId="77777777" w:rsidR="009973EE" w:rsidRPr="008C1B97" w:rsidRDefault="009973EE" w:rsidP="00DC6142">
      <w:pPr>
        <w:pStyle w:val="FootnoteText"/>
      </w:pPr>
      <w:r w:rsidRPr="008C1B97">
        <w:rPr>
          <w:rStyle w:val="FootnoteReference"/>
        </w:rPr>
        <w:footnoteRef/>
      </w:r>
      <w:r w:rsidRPr="008C1B97">
        <w:t xml:space="preserve"> </w:t>
      </w:r>
      <w:r w:rsidRPr="008C1B97">
        <w:rPr>
          <w:i/>
        </w:rPr>
        <w:t>See</w:t>
      </w:r>
      <w:r w:rsidRPr="008C1B97">
        <w:t xml:space="preserve"> 13 CFR </w:t>
      </w:r>
      <w:r>
        <w:t xml:space="preserve">§ </w:t>
      </w:r>
      <w:r w:rsidRPr="008C1B97">
        <w:t>121.201, NAICS Code 515210.</w:t>
      </w:r>
    </w:p>
  </w:footnote>
  <w:footnote w:id="126">
    <w:p w14:paraId="3F7E8472" w14:textId="77777777" w:rsidR="009973EE" w:rsidRPr="008C1B97" w:rsidRDefault="009973EE" w:rsidP="00DC6142">
      <w:pPr>
        <w:pStyle w:val="FootnoteText"/>
      </w:pPr>
      <w:r w:rsidRPr="008C1B97">
        <w:rPr>
          <w:rStyle w:val="FootnoteReference"/>
        </w:rPr>
        <w:footnoteRef/>
      </w:r>
      <w:r>
        <w:t xml:space="preserve"> </w:t>
      </w:r>
      <w:r w:rsidRPr="008C1B97">
        <w:t xml:space="preserve"> </w:t>
      </w:r>
      <w:r w:rsidRPr="0002418A">
        <w:t>American Fact Finder, United States Census Bureau</w:t>
      </w:r>
      <w:r w:rsidRPr="00274CCC">
        <w:t xml:space="preserve">, </w:t>
      </w:r>
      <w:r w:rsidRPr="008C1B97">
        <w:t>http://factfinder2.census.gov/faces/tableservices/jsf/pages/productview.xhtml?pid=ECN_20</w:t>
      </w:r>
      <w:r>
        <w:t>12</w:t>
      </w:r>
      <w:r w:rsidRPr="008C1B97">
        <w:t>_US_51SSSZ1&amp;</w:t>
      </w:r>
      <w:r w:rsidRPr="004666B7">
        <w:t>prod</w:t>
      </w:r>
      <w:r>
        <w:t xml:space="preserve"> </w:t>
      </w:r>
      <w:r w:rsidRPr="004666B7">
        <w:t>Type</w:t>
      </w:r>
      <w:r w:rsidRPr="008C1B97">
        <w:t xml:space="preserve"> prodType=table (last visited Mar. 16, 2015).</w:t>
      </w:r>
    </w:p>
  </w:footnote>
  <w:footnote w:id="127">
    <w:p w14:paraId="73ABE44D" w14:textId="77777777" w:rsidR="009973EE" w:rsidRDefault="009973EE" w:rsidP="00DC6142">
      <w:pPr>
        <w:pStyle w:val="FootnoteText"/>
      </w:pPr>
      <w:r>
        <w:rPr>
          <w:rStyle w:val="FootnoteReference"/>
        </w:rPr>
        <w:footnoteRef/>
      </w:r>
      <w:r>
        <w:t xml:space="preserve"> 47 CFR § 76.901(e).</w:t>
      </w:r>
    </w:p>
  </w:footnote>
  <w:footnote w:id="128">
    <w:p w14:paraId="2462447A" w14:textId="07F69A51" w:rsidR="009973EE" w:rsidRDefault="009973EE" w:rsidP="00DC6142">
      <w:pPr>
        <w:pStyle w:val="FootnoteText"/>
      </w:pPr>
      <w:r>
        <w:rPr>
          <w:rStyle w:val="FootnoteReference"/>
        </w:rPr>
        <w:footnoteRef/>
      </w:r>
      <w:r>
        <w:t xml:space="preserve"> </w:t>
      </w:r>
      <w:r w:rsidRPr="004D5CC4">
        <w:t>Federal Communications Commission, Assessment and Collection of Regulatory Fees for Fiscal Year 2014; Assessment and Collection of Regulatory Fees for Fiscal Year 2013; and Procedures for Assessment and Collection of Regulatory F</w:t>
      </w:r>
      <w:r>
        <w:t>ees, 80 Fed. Reg. 66815 (Oct.</w:t>
      </w:r>
      <w:r w:rsidRPr="004D5CC4">
        <w:t xml:space="preserve"> 30, 2015) </w:t>
      </w:r>
      <w:r>
        <w:t>(</w:t>
      </w:r>
      <w:r w:rsidRPr="00FD638E">
        <w:t>citing</w:t>
      </w:r>
      <w:r w:rsidRPr="004D5CC4">
        <w:t xml:space="preserve"> </w:t>
      </w:r>
      <w:r w:rsidRPr="0003398B">
        <w:t>August 15, 2015 Report from the Media Bureau based on data contained in the</w:t>
      </w:r>
      <w:r>
        <w:t xml:space="preserve"> Commission’s Cable Operations a</w:t>
      </w:r>
      <w:r w:rsidRPr="0003398B">
        <w:t>nd Licensing System (COALS)</w:t>
      </w:r>
      <w:r>
        <w:t>,</w:t>
      </w:r>
      <w:r w:rsidRPr="0003398B">
        <w:t xml:space="preserve"> </w:t>
      </w:r>
      <w:r>
        <w:t xml:space="preserve"> </w:t>
      </w:r>
      <w:hyperlink r:id="rId28" w:history="1">
        <w:r w:rsidRPr="000D0D34">
          <w:rPr>
            <w:rStyle w:val="Hyperlink"/>
          </w:rPr>
          <w:t>www.fcc.gov/coals</w:t>
        </w:r>
      </w:hyperlink>
      <w:r>
        <w:t xml:space="preserve">). </w:t>
      </w:r>
    </w:p>
  </w:footnote>
  <w:footnote w:id="129">
    <w:p w14:paraId="68E9C260" w14:textId="6A507536" w:rsidR="009973EE" w:rsidRDefault="009973EE" w:rsidP="00DC6142">
      <w:pPr>
        <w:pStyle w:val="FootnoteText"/>
      </w:pPr>
      <w:r>
        <w:rPr>
          <w:rStyle w:val="FootnoteReference"/>
        </w:rPr>
        <w:footnoteRef/>
      </w:r>
      <w:r>
        <w:t xml:space="preserve"> </w:t>
      </w:r>
      <w:r w:rsidRPr="00FC5E6E">
        <w:rPr>
          <w:i/>
        </w:rPr>
        <w:t>See</w:t>
      </w:r>
      <w:r w:rsidRPr="0003398B">
        <w:t xml:space="preserve"> SNL KAGAN at </w:t>
      </w:r>
      <w:hyperlink r:id="rId29" w:history="1">
        <w:r>
          <w:rPr>
            <w:rStyle w:val="Hyperlink"/>
          </w:rPr>
          <w:t>https://www.snl.com/interactiveX/MyInteractive.aspx?mode=4&amp;CDID=A-821-38606&amp;KLPT=8</w:t>
        </w:r>
      </w:hyperlink>
      <w:r>
        <w:rPr>
          <w:color w:val="1F497D"/>
        </w:rPr>
        <w:t xml:space="preserve"> </w:t>
      </w:r>
      <w:r w:rsidRPr="00693704">
        <w:t>(subscription required)</w:t>
      </w:r>
      <w:r>
        <w:t xml:space="preserve">. </w:t>
      </w:r>
    </w:p>
  </w:footnote>
  <w:footnote w:id="130">
    <w:p w14:paraId="6AD2D6B5" w14:textId="77777777" w:rsidR="009973EE" w:rsidRDefault="009973EE" w:rsidP="00DC6142">
      <w:pPr>
        <w:pStyle w:val="FootnoteText"/>
      </w:pPr>
      <w:r>
        <w:rPr>
          <w:rStyle w:val="FootnoteReference"/>
        </w:rPr>
        <w:footnoteRef/>
      </w:r>
      <w:r>
        <w:t xml:space="preserve"> 47 CFR § 76.901(c).</w:t>
      </w:r>
    </w:p>
  </w:footnote>
  <w:footnote w:id="131">
    <w:p w14:paraId="3583C4EE" w14:textId="77777777" w:rsidR="009973EE" w:rsidRDefault="009973EE" w:rsidP="00DC6142">
      <w:pPr>
        <w:pStyle w:val="FootnoteText"/>
      </w:pPr>
      <w:r>
        <w:rPr>
          <w:rStyle w:val="FootnoteReference"/>
        </w:rPr>
        <w:footnoteRef/>
      </w:r>
      <w:r>
        <w:t xml:space="preserve"> </w:t>
      </w:r>
      <w:r w:rsidRPr="00FC5E6E">
        <w:rPr>
          <w:i/>
        </w:rPr>
        <w:t>See</w:t>
      </w:r>
      <w:r>
        <w:t xml:space="preserve"> </w:t>
      </w:r>
      <w:r w:rsidRPr="00FC5E6E">
        <w:rPr>
          <w:i/>
        </w:rPr>
        <w:t>supra</w:t>
      </w:r>
      <w:r>
        <w:t xml:space="preserve"> note 46.</w:t>
      </w:r>
    </w:p>
  </w:footnote>
  <w:footnote w:id="132">
    <w:p w14:paraId="1B26BCF3" w14:textId="77777777" w:rsidR="009973EE" w:rsidRDefault="009973EE" w:rsidP="00DC6142">
      <w:pPr>
        <w:pStyle w:val="FootnoteText"/>
      </w:pPr>
      <w:r>
        <w:rPr>
          <w:rStyle w:val="FootnoteReference"/>
        </w:rPr>
        <w:footnoteRef/>
      </w:r>
      <w:r>
        <w:t xml:space="preserve"> </w:t>
      </w:r>
      <w:r w:rsidRPr="00FD638E">
        <w:rPr>
          <w:i/>
        </w:rPr>
        <w:t>Id.</w:t>
      </w:r>
      <w:r>
        <w:t xml:space="preserve"> </w:t>
      </w:r>
    </w:p>
  </w:footnote>
  <w:footnote w:id="133">
    <w:p w14:paraId="382B6BA1" w14:textId="76EB08CD" w:rsidR="009973EE" w:rsidRPr="00FA64E1" w:rsidRDefault="009973EE" w:rsidP="00DC6142">
      <w:pPr>
        <w:pStyle w:val="FootnoteText"/>
      </w:pPr>
      <w:r w:rsidRPr="00FA64E1">
        <w:rPr>
          <w:rStyle w:val="FootnoteReference"/>
        </w:rPr>
        <w:footnoteRef/>
      </w:r>
      <w:r>
        <w:t xml:space="preserve"> </w:t>
      </w:r>
      <w:r w:rsidRPr="002B1B38">
        <w:rPr>
          <w:i/>
        </w:rPr>
        <w:t>See</w:t>
      </w:r>
      <w:r>
        <w:t xml:space="preserve"> SNL KAGAN at </w:t>
      </w:r>
      <w:hyperlink r:id="rId30" w:history="1">
        <w:r w:rsidRPr="009064A4">
          <w:rPr>
            <w:rStyle w:val="Hyperlink"/>
          </w:rPr>
          <w:t>www.snl.com/interactivex/MultichannelIndustryBenchmarks.aspx</w:t>
        </w:r>
      </w:hyperlink>
      <w:r>
        <w:rPr>
          <w:rStyle w:val="Hyperlink"/>
        </w:rPr>
        <w:t>.</w:t>
      </w:r>
      <w:r>
        <w:t xml:space="preserve"> (Aug. 2016).</w:t>
      </w:r>
    </w:p>
  </w:footnote>
  <w:footnote w:id="134">
    <w:p w14:paraId="74CCBF8D" w14:textId="77777777" w:rsidR="009973EE" w:rsidRPr="00FA64E1" w:rsidRDefault="009973EE" w:rsidP="00DC6142">
      <w:pPr>
        <w:pStyle w:val="FootnoteText"/>
      </w:pPr>
      <w:r w:rsidRPr="00FA64E1">
        <w:rPr>
          <w:rStyle w:val="FootnoteReference"/>
        </w:rPr>
        <w:footnoteRef/>
      </w:r>
      <w:r w:rsidRPr="00FA64E1">
        <w:t xml:space="preserve"> 47</w:t>
      </w:r>
      <w:r>
        <w:t xml:space="preserve"> CFR § 76</w:t>
      </w:r>
      <w:r w:rsidRPr="00FA64E1">
        <w:t>.901(f).</w:t>
      </w:r>
    </w:p>
  </w:footnote>
  <w:footnote w:id="135">
    <w:p w14:paraId="6DDD69AC" w14:textId="77777777" w:rsidR="009973EE" w:rsidRPr="00FA64E1" w:rsidRDefault="009973EE" w:rsidP="00DC6142">
      <w:pPr>
        <w:pStyle w:val="FootnoteText"/>
      </w:pPr>
      <w:r w:rsidRPr="00FA64E1">
        <w:rPr>
          <w:rStyle w:val="FootnoteReference"/>
        </w:rPr>
        <w:footnoteRef/>
      </w:r>
      <w:r>
        <w:t xml:space="preserve"> </w:t>
      </w:r>
      <w:r w:rsidRPr="00564083">
        <w:rPr>
          <w:i/>
        </w:rPr>
        <w:t>Assessment &amp; Collection of Regulatory Fees for Fiscal Year 2016,</w:t>
      </w:r>
      <w:r w:rsidRPr="00E30E8B">
        <w:t xml:space="preserve"> </w:t>
      </w:r>
      <w:r>
        <w:t>Notice of Proposed Rulemaking, 31 FCC</w:t>
      </w:r>
      <w:r w:rsidRPr="00E30E8B">
        <w:t xml:space="preserve"> Rcd 5757</w:t>
      </w:r>
      <w:r>
        <w:t>, Appendix E para. 23 (2016)</w:t>
      </w:r>
      <w:r w:rsidRPr="00FA64E1">
        <w:t>.</w:t>
      </w:r>
    </w:p>
  </w:footnote>
  <w:footnote w:id="136">
    <w:p w14:paraId="622BE996" w14:textId="77777777" w:rsidR="009973EE" w:rsidRPr="003E39D3" w:rsidRDefault="009973EE" w:rsidP="00DC6142">
      <w:pPr>
        <w:pStyle w:val="FootnoteText"/>
        <w:spacing w:line="240" w:lineRule="atLeast"/>
      </w:pPr>
      <w:r w:rsidRPr="007F6264">
        <w:rPr>
          <w:rStyle w:val="FootnoteReference"/>
        </w:rPr>
        <w:footnoteRef/>
      </w:r>
      <w:r w:rsidRPr="003E39D3">
        <w:t xml:space="preserve"> The Commission does receive such information on a case-by-case basis if a cable operator appeals a local franchise authority’s finding that the operator does not qualify as a small cable operator pursuant to § 76.901(f) of the Commission’s rules.  </w:t>
      </w:r>
      <w:r w:rsidRPr="003E39D3">
        <w:rPr>
          <w:i/>
        </w:rPr>
        <w:t>See</w:t>
      </w:r>
      <w:r w:rsidRPr="003E39D3">
        <w:t xml:space="preserve"> 47 C.F.R. § 76.901(f).</w:t>
      </w:r>
    </w:p>
  </w:footnote>
  <w:footnote w:id="137">
    <w:p w14:paraId="49AD144E" w14:textId="04D8824D" w:rsidR="009973EE" w:rsidRDefault="009973EE" w:rsidP="00DC6142">
      <w:pPr>
        <w:pStyle w:val="FootnoteText"/>
      </w:pPr>
      <w:r>
        <w:rPr>
          <w:rStyle w:val="FootnoteReference"/>
        </w:rPr>
        <w:footnoteRef/>
      </w:r>
      <w:r>
        <w:t xml:space="preserve"> </w:t>
      </w:r>
      <w:r w:rsidRPr="00FE530A">
        <w:rPr>
          <w:i/>
        </w:rPr>
        <w:t xml:space="preserve">See </w:t>
      </w:r>
      <w:hyperlink r:id="rId31" w:history="1">
        <w:r w:rsidRPr="009064A4">
          <w:rPr>
            <w:rStyle w:val="Hyperlink"/>
          </w:rPr>
          <w:t>https://factfinder.census.gov/faces/affhelp/jsf/pages/metadata.xhtml?lang=en&amp;type=ib&amp;id=ib.en./ECN.NAICS2012.541511#</w:t>
        </w:r>
      </w:hyperlink>
      <w:r>
        <w:t xml:space="preserve">. </w:t>
      </w:r>
    </w:p>
  </w:footnote>
  <w:footnote w:id="138">
    <w:p w14:paraId="0FF0D4FF" w14:textId="77777777" w:rsidR="009973EE" w:rsidRPr="00C33098" w:rsidRDefault="009973EE" w:rsidP="00DC6142">
      <w:pPr>
        <w:pStyle w:val="FootnoteText"/>
      </w:pPr>
      <w:r w:rsidRPr="00C33098">
        <w:rPr>
          <w:rStyle w:val="FootnoteReference"/>
        </w:rPr>
        <w:footnoteRef/>
      </w:r>
      <w:r w:rsidRPr="00C33098">
        <w:t xml:space="preserve"> 13 CFR </w:t>
      </w:r>
      <w:r>
        <w:t xml:space="preserve">§ </w:t>
      </w:r>
      <w:r w:rsidRPr="00C33098">
        <w:t>121.201</w:t>
      </w:r>
    </w:p>
  </w:footnote>
  <w:footnote w:id="139">
    <w:p w14:paraId="2527FA41" w14:textId="62BDB876" w:rsidR="009973EE" w:rsidRPr="00C33098" w:rsidRDefault="009973EE" w:rsidP="00DC6142">
      <w:pPr>
        <w:pStyle w:val="FootnoteText"/>
      </w:pPr>
      <w:r w:rsidRPr="00C33098">
        <w:rPr>
          <w:rStyle w:val="FootnoteReference"/>
        </w:rPr>
        <w:footnoteRef/>
      </w:r>
      <w:r w:rsidRPr="00C33098">
        <w:t xml:space="preserve"> </w:t>
      </w:r>
      <w:r w:rsidRPr="00FE530A">
        <w:rPr>
          <w:i/>
        </w:rPr>
        <w:t xml:space="preserve">See </w:t>
      </w:r>
      <w:hyperlink r:id="rId32" w:history="1">
        <w:r w:rsidRPr="009064A4">
          <w:rPr>
            <w:rStyle w:val="Hyperlink"/>
          </w:rPr>
          <w:t>http://factfinder2.census.gov/faces/tableservices/jsf/pages/productview.xhtml?pid=ECN_2007_US_54SSSZ1&amp;prodType=table</w:t>
        </w:r>
      </w:hyperlink>
      <w:r>
        <w:t>.</w:t>
      </w:r>
    </w:p>
  </w:footnote>
  <w:footnote w:id="140">
    <w:p w14:paraId="09B84B43" w14:textId="77777777" w:rsidR="009973EE" w:rsidRDefault="009973EE" w:rsidP="00DC6142">
      <w:pPr>
        <w:pStyle w:val="FootnoteText"/>
      </w:pPr>
      <w:r>
        <w:rPr>
          <w:rStyle w:val="FootnoteReference"/>
        </w:rPr>
        <w:footnoteRef/>
      </w:r>
      <w:r>
        <w:t xml:space="preserve"> </w:t>
      </w:r>
      <w:r w:rsidRPr="00EB7DD0">
        <w:t>https://www.census.gov/cgi-bin/sssd/naics/naicsrch</w:t>
      </w:r>
    </w:p>
  </w:footnote>
  <w:footnote w:id="141">
    <w:p w14:paraId="7E2BECED" w14:textId="77777777" w:rsidR="009973EE" w:rsidRDefault="009973EE" w:rsidP="00DC6142">
      <w:pPr>
        <w:pStyle w:val="FootnoteText"/>
      </w:pPr>
      <w:r>
        <w:rPr>
          <w:rStyle w:val="FootnoteReference"/>
        </w:rPr>
        <w:footnoteRef/>
      </w:r>
      <w:r>
        <w:t xml:space="preserve"> 13 CFR § 121.201, NAICS Code 334220</w:t>
      </w:r>
    </w:p>
  </w:footnote>
  <w:footnote w:id="142">
    <w:p w14:paraId="762D4B03" w14:textId="40DC1516" w:rsidR="009973EE" w:rsidRDefault="009973EE" w:rsidP="00DC6142">
      <w:pPr>
        <w:pStyle w:val="FootnoteText"/>
      </w:pPr>
      <w:r>
        <w:rPr>
          <w:rStyle w:val="FootnoteReference"/>
        </w:rPr>
        <w:footnoteRef/>
      </w:r>
      <w:r>
        <w:t xml:space="preserve"> </w:t>
      </w:r>
      <w:hyperlink r:id="rId33" w:history="1">
        <w:r w:rsidRPr="001062A0">
          <w:rPr>
            <w:rStyle w:val="Hyperlink"/>
          </w:rPr>
          <w:t>http://factfinder.census.gov/faces/tableservices/jsf/pages/productview.xhtml?pid=ECN_2012_US_31SG2&amp;prod</w:t>
        </w:r>
      </w:hyperlink>
      <w:r>
        <w:t>Type=table</w:t>
      </w:r>
    </w:p>
  </w:footnote>
  <w:footnote w:id="143">
    <w:p w14:paraId="42A3A94D" w14:textId="77777777" w:rsidR="009973EE" w:rsidRDefault="009973EE" w:rsidP="00DC6142">
      <w:pPr>
        <w:pStyle w:val="FootnoteText"/>
      </w:pPr>
      <w:r>
        <w:rPr>
          <w:rStyle w:val="FootnoteReference"/>
        </w:rPr>
        <w:footnoteRef/>
      </w:r>
      <w:r>
        <w:t xml:space="preserve"> U.S. Census Bureau, 2012 NAICS Definitions, “517410 Satellite Telecommunications”; &lt;http://www.census.gov/naics/2007/def/ND517410.HTM&gt; </w:t>
      </w:r>
    </w:p>
  </w:footnote>
  <w:footnote w:id="144">
    <w:p w14:paraId="1BA2C884" w14:textId="77777777" w:rsidR="009973EE" w:rsidRDefault="009973EE" w:rsidP="00DC6142">
      <w:pPr>
        <w:pStyle w:val="FootnoteText"/>
      </w:pPr>
      <w:r>
        <w:rPr>
          <w:rStyle w:val="FootnoteReference"/>
        </w:rPr>
        <w:footnoteRef/>
      </w:r>
      <w:r>
        <w:t xml:space="preserve"> 13 CFR § 121.201, NAICS code 517410.</w:t>
      </w:r>
    </w:p>
  </w:footnote>
  <w:footnote w:id="145">
    <w:p w14:paraId="4EF325C0" w14:textId="77777777" w:rsidR="009973EE" w:rsidRDefault="009973EE" w:rsidP="00DC6142">
      <w:pPr>
        <w:pStyle w:val="FootnoteText"/>
      </w:pPr>
      <w:r>
        <w:rPr>
          <w:rStyle w:val="FootnoteReference"/>
        </w:rPr>
        <w:footnoteRef/>
      </w:r>
      <w:r>
        <w:t xml:space="preserve">  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r w:rsidRPr="000B5B0F">
        <w:t>http://factfinder.census.gov/faces/tableservices/jsf/page</w:t>
      </w:r>
      <w:r>
        <w:t>s/productview.xhtml?pid=ECN_2012</w:t>
      </w:r>
      <w:r w:rsidRPr="000B5B0F">
        <w:t>_US_51SSSZ4&amp;prodType=table</w:t>
      </w:r>
    </w:p>
  </w:footnote>
  <w:footnote w:id="146">
    <w:p w14:paraId="60FC209F" w14:textId="77777777" w:rsidR="009973EE" w:rsidRDefault="009973EE" w:rsidP="00DC6142">
      <w:pPr>
        <w:pStyle w:val="FootnoteText"/>
      </w:pPr>
      <w:r>
        <w:rPr>
          <w:rStyle w:val="FootnoteReference"/>
        </w:rPr>
        <w:footnoteRef/>
      </w:r>
      <w:r>
        <w:t xml:space="preserve">  </w:t>
      </w:r>
      <w:r w:rsidRPr="00EB4B53">
        <w:rPr>
          <w:i/>
        </w:rPr>
        <w:t>Id.</w:t>
      </w:r>
    </w:p>
  </w:footnote>
  <w:footnote w:id="147">
    <w:p w14:paraId="437C66DA" w14:textId="38A8F258" w:rsidR="009973EE" w:rsidRDefault="009973EE" w:rsidP="00DC6142">
      <w:pPr>
        <w:pStyle w:val="FootnoteText"/>
      </w:pPr>
      <w:r>
        <w:rPr>
          <w:rStyle w:val="FootnoteReference"/>
        </w:rPr>
        <w:footnoteRef/>
      </w:r>
      <w:r>
        <w:t xml:space="preserve"> </w:t>
      </w:r>
      <w:hyperlink r:id="rId34" w:history="1">
        <w:r w:rsidRPr="00232297">
          <w:rPr>
            <w:rStyle w:val="Hyperlink"/>
          </w:rPr>
          <w:t>https://www.census.gov/cgi-bin/sssd/naics/naicsrch</w:t>
        </w:r>
      </w:hyperlink>
      <w:r>
        <w:rPr>
          <w:rStyle w:val="Hyperlink"/>
        </w:rPr>
        <w:t>.</w:t>
      </w:r>
    </w:p>
  </w:footnote>
  <w:footnote w:id="148">
    <w:p w14:paraId="1682930A" w14:textId="77777777" w:rsidR="009973EE" w:rsidRDefault="009973EE" w:rsidP="00DC6142">
      <w:pPr>
        <w:pStyle w:val="FootnoteText"/>
      </w:pPr>
      <w:r>
        <w:rPr>
          <w:rStyle w:val="FootnoteReference"/>
        </w:rPr>
        <w:footnoteRef/>
      </w:r>
      <w:r>
        <w:t xml:space="preserve"> 13 CFR § 121.201.</w:t>
      </w:r>
    </w:p>
  </w:footnote>
  <w:footnote w:id="149">
    <w:p w14:paraId="2A4F91F1" w14:textId="263F6C65" w:rsidR="009973EE" w:rsidRDefault="009973EE" w:rsidP="00DC6142">
      <w:pPr>
        <w:pStyle w:val="FootnoteText"/>
      </w:pPr>
      <w:r>
        <w:rPr>
          <w:rStyle w:val="FootnoteReference"/>
        </w:rPr>
        <w:footnoteRef/>
      </w:r>
      <w:r>
        <w:t xml:space="preserve"> </w:t>
      </w:r>
      <w:r w:rsidRPr="00FE530A">
        <w:rPr>
          <w:i/>
        </w:rPr>
        <w:t xml:space="preserve">See </w:t>
      </w:r>
      <w:hyperlink r:id="rId35" w:history="1">
        <w:r w:rsidRPr="009064A4">
          <w:rPr>
            <w:rStyle w:val="Hyperlink"/>
          </w:rPr>
          <w:t>http://factfinder.census.gov/faces/tableservices/jsf/pages/productview.xhtml?pid=ECN_2012_US_51SSSZ4&amp;prodType=table</w:t>
        </w:r>
      </w:hyperlink>
      <w:r>
        <w:t xml:space="preserve">. </w:t>
      </w:r>
    </w:p>
  </w:footnote>
  <w:footnote w:id="150">
    <w:p w14:paraId="499EA3F1" w14:textId="5C0ED25A" w:rsidR="009973EE" w:rsidRDefault="009973EE" w:rsidP="00512412">
      <w:pPr>
        <w:pStyle w:val="FootnoteText"/>
      </w:pPr>
      <w:r>
        <w:rPr>
          <w:rStyle w:val="FootnoteReference"/>
        </w:rPr>
        <w:footnoteRef/>
      </w:r>
      <w:r>
        <w:t xml:space="preserve"> </w:t>
      </w:r>
      <w:hyperlink r:id="rId36" w:history="1">
        <w:r w:rsidRPr="00080C31">
          <w:rPr>
            <w:rStyle w:val="Hyperlink"/>
          </w:rPr>
          <w:t>http://www.census.gov/cgi-bin/ssssd/naics/naicsrch</w:t>
        </w:r>
      </w:hyperlink>
      <w:r>
        <w:t>.</w:t>
      </w:r>
    </w:p>
  </w:footnote>
  <w:footnote w:id="151">
    <w:p w14:paraId="660422C6" w14:textId="77777777" w:rsidR="009973EE" w:rsidRDefault="009973EE" w:rsidP="00512412">
      <w:pPr>
        <w:pStyle w:val="FootnoteText"/>
      </w:pPr>
      <w:r>
        <w:rPr>
          <w:rStyle w:val="FootnoteReference"/>
        </w:rPr>
        <w:footnoteRef/>
      </w:r>
      <w:r>
        <w:t xml:space="preserve"> 13 CFR § 121.201; NAICS Code 517919.</w:t>
      </w:r>
    </w:p>
  </w:footnote>
  <w:footnote w:id="152">
    <w:p w14:paraId="5156B056" w14:textId="185E425B" w:rsidR="009973EE" w:rsidRPr="00EB4B53" w:rsidRDefault="009973EE" w:rsidP="00512412">
      <w:pPr>
        <w:pStyle w:val="FootnoteText"/>
        <w:rPr>
          <w:rStyle w:val="Hyperlink"/>
        </w:rPr>
      </w:pPr>
      <w:r>
        <w:rPr>
          <w:rStyle w:val="FootnoteReference"/>
        </w:rPr>
        <w:footnoteRef/>
      </w:r>
      <w:r>
        <w:t xml:space="preserve"> </w:t>
      </w:r>
      <w:r>
        <w:fldChar w:fldCharType="begin"/>
      </w:r>
      <w:r w:rsidR="0009175D">
        <w:instrText>HYPERLINK "http://factfinder.census.gov/faces/tableservices/jsf/pages/productview.xhtml?.pid=ECN_2012_US_51SSSZ4&amp;prodType=table"</w:instrText>
      </w:r>
      <w:r>
        <w:fldChar w:fldCharType="separate"/>
      </w:r>
      <w:r w:rsidRPr="00EB4B53">
        <w:rPr>
          <w:rStyle w:val="Hyperlink"/>
        </w:rPr>
        <w:t>http://factfinder.census.gov/faces/tableservices/jsf/pages/productview.xhtml?.</w:t>
      </w:r>
    </w:p>
    <w:p w14:paraId="05B7B421" w14:textId="77777777" w:rsidR="009973EE" w:rsidRPr="00B013DC" w:rsidRDefault="009973EE" w:rsidP="00512412">
      <w:pPr>
        <w:pStyle w:val="FootnoteText"/>
      </w:pPr>
      <w:r w:rsidRPr="009F01CA">
        <w:rPr>
          <w:rStyle w:val="Hyperlink"/>
        </w:rPr>
        <w:t>pid=ECN_2012_US_51SSSZ4&amp;prodType=table</w:t>
      </w:r>
      <w:r>
        <w:fldChar w:fldCharType="end"/>
      </w:r>
      <w:r w:rsidRPr="00B013DC">
        <w:t>.</w:t>
      </w:r>
    </w:p>
  </w:footnote>
  <w:footnote w:id="153">
    <w:p w14:paraId="73860424" w14:textId="77777777" w:rsidR="009973EE" w:rsidRPr="00F01612" w:rsidRDefault="009973EE" w:rsidP="00DC6142">
      <w:pPr>
        <w:pStyle w:val="FootnoteText"/>
      </w:pPr>
      <w:r w:rsidRPr="00F01612">
        <w:rPr>
          <w:rStyle w:val="FootnoteReference"/>
        </w:rPr>
        <w:footnoteRef/>
      </w:r>
      <w:r w:rsidRPr="00F01612">
        <w:t xml:space="preserve"> </w:t>
      </w:r>
      <w:r w:rsidRPr="00F01612">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F01612">
        <w:t>, Report and Order, 10 FCC Rcd 9589, 9593, para. 7 (1995).</w:t>
      </w:r>
    </w:p>
  </w:footnote>
  <w:footnote w:id="154">
    <w:p w14:paraId="7759D515" w14:textId="77777777" w:rsidR="009973EE" w:rsidRPr="00F01612" w:rsidRDefault="009973EE" w:rsidP="00DC6142">
      <w:pPr>
        <w:pStyle w:val="FootnoteText"/>
      </w:pPr>
      <w:r w:rsidRPr="00F01612">
        <w:rPr>
          <w:rStyle w:val="FootnoteReference"/>
        </w:rPr>
        <w:footnoteRef/>
      </w:r>
      <w:r>
        <w:t xml:space="preserve"> 47 CFR</w:t>
      </w:r>
      <w:r w:rsidRPr="00F01612">
        <w:t xml:space="preserve"> § 21.961(b)(1).</w:t>
      </w:r>
    </w:p>
  </w:footnote>
  <w:footnote w:id="155">
    <w:p w14:paraId="4C507825" w14:textId="77777777" w:rsidR="009973EE" w:rsidRPr="00F01612" w:rsidRDefault="009973EE" w:rsidP="00DC6142">
      <w:pPr>
        <w:pStyle w:val="FootnoteText"/>
      </w:pPr>
      <w:r w:rsidRPr="00F01612">
        <w:rPr>
          <w:rStyle w:val="FootnoteReference"/>
        </w:rPr>
        <w:footnoteRef/>
      </w:r>
      <w:r w:rsidRPr="00F0161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56">
    <w:p w14:paraId="461E0479" w14:textId="77777777" w:rsidR="009973EE" w:rsidRPr="00F01612" w:rsidRDefault="009973EE" w:rsidP="00DC6142">
      <w:pPr>
        <w:pStyle w:val="FootnoteText"/>
      </w:pPr>
      <w:r w:rsidRPr="00F01612">
        <w:rPr>
          <w:rStyle w:val="FootnoteReference"/>
        </w:rPr>
        <w:footnoteRef/>
      </w:r>
      <w:r w:rsidRPr="00F01612">
        <w:t xml:space="preserve"> </w:t>
      </w:r>
      <w:r w:rsidRPr="0010038C">
        <w:rPr>
          <w:i/>
        </w:rPr>
        <w:t>Auction of Broadband Radio Service (BRS) Licenses, Scheduled for October 27, 2009, Notice and Filing Requirements, Minimum Opening Bids, Upfront Payments, and Other Procedures for Auction 86</w:t>
      </w:r>
      <w:r w:rsidRPr="00F01612">
        <w:t xml:space="preserve">, </w:t>
      </w:r>
      <w:r w:rsidRPr="0010038C">
        <w:t>Public Notice</w:t>
      </w:r>
      <w:r w:rsidRPr="00F01612">
        <w:t>, 24 FCC Rcd 8277 (2009).</w:t>
      </w:r>
    </w:p>
  </w:footnote>
  <w:footnote w:id="157">
    <w:p w14:paraId="089E786B" w14:textId="77777777" w:rsidR="009973EE" w:rsidRPr="00F01612" w:rsidRDefault="009973EE" w:rsidP="00DC6142">
      <w:pPr>
        <w:pStyle w:val="FootnoteText"/>
      </w:pPr>
      <w:r w:rsidRPr="00F01612">
        <w:rPr>
          <w:rStyle w:val="FootnoteReference"/>
        </w:rPr>
        <w:footnoteRef/>
      </w:r>
      <w:r w:rsidRPr="00F01612">
        <w:t xml:space="preserve"> </w:t>
      </w:r>
      <w:r w:rsidRPr="00F01612">
        <w:rPr>
          <w:i/>
        </w:rPr>
        <w:t>Id.</w:t>
      </w:r>
      <w:r w:rsidRPr="00F01612">
        <w:t xml:space="preserve"> at 8296</w:t>
      </w:r>
      <w:r>
        <w:t>,</w:t>
      </w:r>
      <w:r w:rsidRPr="00F01612">
        <w:t xml:space="preserve"> para. 73.</w:t>
      </w:r>
    </w:p>
  </w:footnote>
  <w:footnote w:id="158">
    <w:p w14:paraId="427E47E9" w14:textId="77777777" w:rsidR="009973EE" w:rsidRPr="00F01612" w:rsidRDefault="009973EE" w:rsidP="00DC6142">
      <w:pPr>
        <w:pStyle w:val="FootnoteText"/>
      </w:pPr>
      <w:r w:rsidRPr="00F01612">
        <w:rPr>
          <w:rStyle w:val="FootnoteReference"/>
        </w:rPr>
        <w:footnoteRef/>
      </w:r>
      <w:r w:rsidRPr="00F01612">
        <w:t xml:space="preserve"> </w:t>
      </w:r>
      <w:r w:rsidRPr="0010038C">
        <w:rPr>
          <w:i/>
        </w:rPr>
        <w:t>Auction of Broadband Radio Service Licenses Closes, Winning Bidders Announced for Auction 86, Down Payments Due November 23, 2009, Final Payments Due December 8, 2009, Ten-Day Petition to Deny Period</w:t>
      </w:r>
      <w:r w:rsidRPr="00F01612">
        <w:t xml:space="preserve">, </w:t>
      </w:r>
      <w:r w:rsidRPr="0010038C">
        <w:t>Public Notice</w:t>
      </w:r>
      <w:r w:rsidRPr="00F01612">
        <w:t>, 24 FCC Rcd 13572 (2009).</w:t>
      </w:r>
    </w:p>
  </w:footnote>
  <w:footnote w:id="159">
    <w:p w14:paraId="0199817A" w14:textId="77777777" w:rsidR="009973EE" w:rsidRPr="00F01612" w:rsidRDefault="009973EE" w:rsidP="00DC6142">
      <w:pPr>
        <w:pStyle w:val="FootnoteText"/>
      </w:pPr>
      <w:r w:rsidRPr="00F01612">
        <w:rPr>
          <w:rStyle w:val="FootnoteReference"/>
        </w:rPr>
        <w:footnoteRef/>
      </w:r>
      <w:r w:rsidRPr="00F01612">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160">
    <w:p w14:paraId="7908D1E6" w14:textId="77777777" w:rsidR="009973EE" w:rsidRPr="00F01612" w:rsidRDefault="009973EE" w:rsidP="00DC6142">
      <w:pPr>
        <w:pStyle w:val="FootnoteText"/>
      </w:pPr>
      <w:r w:rsidRPr="00F01612">
        <w:rPr>
          <w:rStyle w:val="FootnoteReference"/>
        </w:rPr>
        <w:footnoteRef/>
      </w:r>
      <w:r w:rsidRPr="00F01612">
        <w:t xml:space="preserve"> U.S. Census Bureau, 2012 NAICS Definitions, “</w:t>
      </w:r>
      <w:r w:rsidRPr="00F01612">
        <w:rPr>
          <w:bCs/>
        </w:rPr>
        <w:t>517110 Wired Telecommunications Carriers,”</w:t>
      </w:r>
      <w:r>
        <w:rPr>
          <w:bCs/>
        </w:rPr>
        <w:t xml:space="preserve"> </w:t>
      </w:r>
      <w:r w:rsidRPr="001E5044">
        <w:rPr>
          <w:rStyle w:val="Hyperlink"/>
        </w:rPr>
        <w:t>https://www.census.gov/cgi-bin/sssd/naics/naicsrch?code=517110&amp;search=2012</w:t>
      </w:r>
      <w:r w:rsidRPr="00F01612">
        <w:t xml:space="preserve">. </w:t>
      </w:r>
    </w:p>
  </w:footnote>
  <w:footnote w:id="161">
    <w:p w14:paraId="626967AE" w14:textId="77777777" w:rsidR="009973EE" w:rsidRPr="003E39D3" w:rsidRDefault="009973EE" w:rsidP="00DC6142">
      <w:pPr>
        <w:pStyle w:val="FootnoteText"/>
        <w:spacing w:line="120" w:lineRule="atLeast"/>
      </w:pPr>
      <w:r w:rsidRPr="007F6264">
        <w:rPr>
          <w:rStyle w:val="FootnoteReference"/>
        </w:rPr>
        <w:footnoteRef/>
      </w:r>
      <w:r>
        <w:rPr>
          <w:bCs/>
        </w:rPr>
        <w:t xml:space="preserve"> </w:t>
      </w:r>
      <w:r w:rsidRPr="00DC6142">
        <w:rPr>
          <w:bCs/>
          <w:i/>
        </w:rPr>
        <w:t>Id.</w:t>
      </w:r>
      <w:r w:rsidRPr="003E39D3">
        <w:rPr>
          <w:bCs/>
        </w:rPr>
        <w:t xml:space="preserve">  Examples of this category are: broadband Internet service providers (</w:t>
      </w:r>
      <w:r w:rsidRPr="003E39D3">
        <w:rPr>
          <w:bCs/>
          <w:i/>
        </w:rPr>
        <w:t>e.g.</w:t>
      </w:r>
      <w:r w:rsidRPr="003E39D3">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62">
    <w:p w14:paraId="5652E007" w14:textId="4DDA000E" w:rsidR="009973EE" w:rsidRDefault="009973EE">
      <w:pPr>
        <w:pStyle w:val="FootnoteText"/>
      </w:pPr>
      <w:r>
        <w:rPr>
          <w:rStyle w:val="FootnoteReference"/>
        </w:rPr>
        <w:footnoteRef/>
      </w:r>
      <w:r>
        <w:t xml:space="preserve"> </w:t>
      </w:r>
      <w:r w:rsidRPr="0046184B">
        <w:t xml:space="preserve">FCC, Universal Licensing System, </w:t>
      </w:r>
      <w:hyperlink r:id="rId37" w:history="1">
        <w:r w:rsidRPr="0046184B">
          <w:rPr>
            <w:rStyle w:val="Hyperlink"/>
          </w:rPr>
          <w:t>http://wireless2.fcc.gov/UlsApp/UlsSearch/results.jsp;JSESSIONID_ULS</w:t>
        </w:r>
      </w:hyperlink>
      <w:r>
        <w:t xml:space="preserve"> </w:t>
      </w:r>
      <w:r w:rsidRPr="0046184B">
        <w:t>(last visited Oct. 24, 2016).</w:t>
      </w:r>
    </w:p>
  </w:footnote>
  <w:footnote w:id="163">
    <w:p w14:paraId="146587C6" w14:textId="7F3C661C" w:rsidR="009973EE" w:rsidRDefault="009973EE">
      <w:pPr>
        <w:pStyle w:val="FootnoteText"/>
      </w:pPr>
      <w:r>
        <w:rPr>
          <w:rStyle w:val="FootnoteReference"/>
        </w:rPr>
        <w:footnoteRef/>
      </w:r>
      <w:r>
        <w:t xml:space="preserve"> </w:t>
      </w:r>
      <w:r w:rsidRPr="0046184B">
        <w:t>The term “small entity” within the Small Business Regulatory Enforcement Fairness Act of 1996 (SBREFA) applies to small organizations (non-profits) and to small governmental jurisdictions (cities, counties, towns, townships, villages, school districts, and special districts with populations of less than 50,000).  5 U.S.C. § 601(4)</w:t>
      </w:r>
      <w:r>
        <w:t xml:space="preserve"> </w:t>
      </w:r>
      <w:r w:rsidRPr="0046184B">
        <w:t>(6).</w:t>
      </w:r>
    </w:p>
  </w:footnote>
  <w:footnote w:id="164">
    <w:p w14:paraId="13D5AE77" w14:textId="77777777" w:rsidR="009973EE" w:rsidRDefault="009973EE" w:rsidP="00DC6142">
      <w:pPr>
        <w:pStyle w:val="FootnoteText"/>
      </w:pPr>
      <w:r>
        <w:rPr>
          <w:rStyle w:val="FootnoteReference"/>
        </w:rPr>
        <w:footnoteRef/>
      </w:r>
      <w:r>
        <w:t xml:space="preserve"> </w:t>
      </w:r>
      <w:r w:rsidRPr="00F01612">
        <w:t>U.S. Census Bureau, 2012 NAICS Definitions, “</w:t>
      </w:r>
      <w:r w:rsidRPr="00F01612">
        <w:rPr>
          <w:bCs/>
        </w:rPr>
        <w:t>517110 Wired Telecommunications Carriers,”</w:t>
      </w:r>
      <w:r>
        <w:rPr>
          <w:bCs/>
        </w:rPr>
        <w:t xml:space="preserve"> </w:t>
      </w:r>
      <w:r w:rsidRPr="001E5044">
        <w:rPr>
          <w:rStyle w:val="Hyperlink"/>
        </w:rPr>
        <w:t>https://www.census.gov/cgi-bin/sssd/naics/naicsrch?code=517110&amp;search=2012</w:t>
      </w:r>
      <w:r>
        <w:t xml:space="preserve">. </w:t>
      </w:r>
    </w:p>
  </w:footnote>
  <w:footnote w:id="165">
    <w:p w14:paraId="0792B934" w14:textId="77777777" w:rsidR="009973EE" w:rsidRDefault="009973EE" w:rsidP="00DC6142">
      <w:pPr>
        <w:pStyle w:val="FootnoteText"/>
      </w:pPr>
      <w:r>
        <w:rPr>
          <w:rStyle w:val="FootnoteReference"/>
        </w:rPr>
        <w:footnoteRef/>
      </w:r>
      <w:r>
        <w:t xml:space="preserve"> 13 CFR</w:t>
      </w:r>
      <w:r w:rsidRPr="00A7270F">
        <w:t xml:space="preserve"> </w:t>
      </w:r>
      <w:r w:rsidRPr="00133697">
        <w:t>§</w:t>
      </w:r>
      <w:r>
        <w:t xml:space="preserve"> 121.201, NAICS CODE 517110.</w:t>
      </w:r>
    </w:p>
  </w:footnote>
  <w:footnote w:id="166">
    <w:p w14:paraId="22D7B0EF" w14:textId="098FCC59" w:rsidR="009973EE" w:rsidRPr="00DC6142" w:rsidRDefault="009973EE" w:rsidP="00DC6142">
      <w:pPr>
        <w:pStyle w:val="FootnoteText"/>
        <w:rPr>
          <w:color w:val="0000FF"/>
          <w:u w:val="single"/>
        </w:rPr>
      </w:pPr>
      <w:r>
        <w:rPr>
          <w:rStyle w:val="FootnoteReference"/>
        </w:rPr>
        <w:footnoteRef/>
      </w:r>
      <w:r>
        <w:t xml:space="preserve"> </w:t>
      </w:r>
      <w:hyperlink r:id="rId38" w:history="1">
        <w:r w:rsidRPr="00442750">
          <w:rPr>
            <w:rStyle w:val="Hyperlink"/>
          </w:rPr>
          <w:t>http://factfinder.census.gov/faces/tableservices.jasf/pages/productview.xhtml?pid+ECN_2012_US.51SSSZ4&amp;prodType=table</w:t>
        </w:r>
      </w:hyperlink>
      <w:r>
        <w:rPr>
          <w:sz w:val="16"/>
          <w:szCs w:val="16"/>
        </w:rPr>
        <w:t>.</w:t>
      </w:r>
      <w:r>
        <w:t xml:space="preserve"> </w:t>
      </w:r>
    </w:p>
  </w:footnote>
  <w:footnote w:id="167">
    <w:p w14:paraId="47AB8306" w14:textId="77777777" w:rsidR="009973EE" w:rsidRDefault="009973EE" w:rsidP="00DC6142">
      <w:pPr>
        <w:pStyle w:val="FootnoteText"/>
      </w:pPr>
      <w:r>
        <w:rPr>
          <w:rStyle w:val="FootnoteReference"/>
        </w:rPr>
        <w:footnoteRef/>
      </w:r>
      <w:r>
        <w:t xml:space="preserve"> </w:t>
      </w:r>
      <w:r w:rsidRPr="007B5DCE">
        <w:rPr>
          <w:i/>
        </w:rPr>
        <w:t>See</w:t>
      </w:r>
      <w:r>
        <w:t xml:space="preserve"> </w:t>
      </w:r>
      <w:r w:rsidRPr="007B5DCE">
        <w:rPr>
          <w:i/>
        </w:rPr>
        <w:t>15</w:t>
      </w:r>
      <w:r w:rsidRPr="007B5DCE">
        <w:rPr>
          <w:i/>
          <w:vertAlign w:val="superscript"/>
        </w:rPr>
        <w:t>th</w:t>
      </w:r>
      <w:r w:rsidRPr="007B5DCE">
        <w:rPr>
          <w:i/>
        </w:rPr>
        <w:t xml:space="preserve"> Annual Video Competition Report</w:t>
      </w:r>
      <w:r>
        <w:t xml:space="preserve">, 28 FCC Rcd at 1057, Section 27.  </w:t>
      </w:r>
    </w:p>
  </w:footnote>
  <w:footnote w:id="168">
    <w:p w14:paraId="19CE563C" w14:textId="26D3CD7C" w:rsidR="009973EE" w:rsidRDefault="009973EE" w:rsidP="00DC6142">
      <w:pPr>
        <w:pStyle w:val="FootnoteText"/>
      </w:pPr>
      <w:r>
        <w:rPr>
          <w:rStyle w:val="FootnoteReference"/>
        </w:rPr>
        <w:footnoteRef/>
      </w:r>
      <w:r>
        <w:t xml:space="preserve"> </w:t>
      </w:r>
      <w:hyperlink r:id="rId39" w:history="1">
        <w:r w:rsidRPr="00C662B9">
          <w:rPr>
            <w:rStyle w:val="Hyperlink"/>
          </w:rPr>
          <w:t>http://www.census.gov/cgi-bin/sssd/naics/naicsrch</w:t>
        </w:r>
      </w:hyperlink>
      <w:r>
        <w:t>.</w:t>
      </w:r>
    </w:p>
  </w:footnote>
  <w:footnote w:id="169">
    <w:p w14:paraId="1BCEFDE3" w14:textId="77777777" w:rsidR="009973EE" w:rsidRDefault="009973EE" w:rsidP="00DC6142">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170">
    <w:p w14:paraId="6EEEA8E1" w14:textId="3AEE6CDB" w:rsidR="009973EE" w:rsidRPr="00B013DC" w:rsidRDefault="009973EE" w:rsidP="00DC6142">
      <w:pPr>
        <w:pStyle w:val="FootnoteText"/>
      </w:pPr>
      <w:r>
        <w:rPr>
          <w:rStyle w:val="FootnoteReference"/>
        </w:rPr>
        <w:footnoteRef/>
      </w:r>
      <w:r>
        <w:t xml:space="preserve"> </w:t>
      </w:r>
      <w:hyperlink r:id="rId40" w:history="1">
        <w:r w:rsidRPr="009F01CA">
          <w:rPr>
            <w:rStyle w:val="Hyperlink"/>
          </w:rPr>
          <w:t>http://factfinder.census.gov/faces/tableservices/jsf/pages/productview.xhtml?pid=ECN_2012_US_51SSSZ2&amp;prodType=table</w:t>
        </w:r>
      </w:hyperlink>
      <w:r w:rsidRPr="00B013DC">
        <w:t>.</w:t>
      </w:r>
    </w:p>
  </w:footnote>
  <w:footnote w:id="171">
    <w:p w14:paraId="54D1C183" w14:textId="77777777" w:rsidR="009973EE" w:rsidRPr="00F470CB" w:rsidRDefault="009973EE" w:rsidP="00D91C93">
      <w:pPr>
        <w:pStyle w:val="FootnoteText"/>
      </w:pPr>
      <w:r w:rsidRPr="00F470CB">
        <w:rPr>
          <w:rStyle w:val="FootnoteReference"/>
        </w:rPr>
        <w:footnoteRef/>
      </w:r>
      <w:r w:rsidRPr="00F470CB">
        <w:t xml:space="preserve"> </w:t>
      </w:r>
      <w:r w:rsidRPr="00F470CB">
        <w:rPr>
          <w:i/>
        </w:rPr>
        <w:t>Auction of Wireless Communications Services, Auction Notes and Filing Requirements for 128 WCS Licenses Scheduled for April 15, 1997</w:t>
      </w:r>
      <w:r w:rsidRPr="00F470CB">
        <w:t>, Public Notice, DA 97-386 (Feb. 21, 1997), https://transition.fcc.gov/Bureaus/Wireless/Public_Notices/1997/da970386.txt.</w:t>
      </w:r>
    </w:p>
  </w:footnote>
  <w:footnote w:id="172">
    <w:p w14:paraId="0DF9AF83" w14:textId="77777777" w:rsidR="009973EE" w:rsidRPr="00F470CB" w:rsidRDefault="009973EE" w:rsidP="00D91C93">
      <w:pPr>
        <w:pStyle w:val="FootnoteText"/>
        <w:rPr>
          <w:lang w:val="it-IT"/>
        </w:rPr>
      </w:pPr>
      <w:r w:rsidRPr="00F470CB">
        <w:rPr>
          <w:rStyle w:val="FootnoteReference"/>
        </w:rPr>
        <w:footnoteRef/>
      </w:r>
      <w:r w:rsidRPr="00F470CB">
        <w:rPr>
          <w:lang w:val="it-IT"/>
        </w:rPr>
        <w:t xml:space="preserve"> </w:t>
      </w:r>
      <w:r w:rsidRPr="00F470CB">
        <w:rPr>
          <w:i/>
          <w:lang w:val="it-IT"/>
        </w:rPr>
        <w:t>Alvarez Letter</w:t>
      </w:r>
      <w:r w:rsidRPr="00F470CB">
        <w:rPr>
          <w:lang w:val="it-IT"/>
        </w:rPr>
        <w:t>.</w:t>
      </w:r>
    </w:p>
  </w:footnote>
  <w:footnote w:id="173">
    <w:p w14:paraId="3ECEDDCD" w14:textId="25E52868" w:rsidR="009973EE" w:rsidRDefault="009973EE" w:rsidP="00DC6142">
      <w:pPr>
        <w:pStyle w:val="FootnoteText"/>
      </w:pPr>
      <w:r>
        <w:rPr>
          <w:rStyle w:val="FootnoteReference"/>
        </w:rPr>
        <w:footnoteRef/>
      </w:r>
      <w:r>
        <w:t xml:space="preserve"> NAICS Code 517210.  </w:t>
      </w:r>
      <w:r w:rsidRPr="00C114BE">
        <w:rPr>
          <w:i/>
        </w:rPr>
        <w:t>See</w:t>
      </w:r>
      <w:r>
        <w:t xml:space="preserve"> </w:t>
      </w:r>
      <w:hyperlink r:id="rId41" w:history="1">
        <w:r w:rsidRPr="00821FFF">
          <w:rPr>
            <w:rStyle w:val="Hyperlink"/>
          </w:rPr>
          <w:t>https://factfinder.census.gov/faces/affhelp/jsf/pages/metadata.xhtml?lang=en&amp;type=</w:t>
        </w:r>
        <w:r w:rsidRPr="00821FFF">
          <w:rPr>
            <w:rStyle w:val="Hyperlink"/>
          </w:rPr>
          <w:br/>
          <w:t>ib&amp;id=ib.en./ECN.NAICS2012.517210</w:t>
        </w:r>
      </w:hyperlink>
      <w:r>
        <w:rPr>
          <w:rStyle w:val="Hyperlink"/>
        </w:rPr>
        <w:t>.</w:t>
      </w:r>
    </w:p>
  </w:footnote>
  <w:footnote w:id="174">
    <w:p w14:paraId="211FD791" w14:textId="77777777" w:rsidR="009973EE" w:rsidRPr="006B076E" w:rsidRDefault="009973EE" w:rsidP="00DC6142">
      <w:pPr>
        <w:pStyle w:val="FootnoteText"/>
      </w:pPr>
      <w:r w:rsidRPr="006B076E">
        <w:rPr>
          <w:rStyle w:val="FootnoteReference"/>
        </w:rPr>
        <w:footnoteRef/>
      </w:r>
      <w:r w:rsidRPr="006B076E">
        <w:rPr>
          <w:lang w:val="fr-FR"/>
        </w:rPr>
        <w:t xml:space="preserve"> 13 CFR § 121.201, NAICS code 517210.  </w:t>
      </w:r>
    </w:p>
  </w:footnote>
  <w:footnote w:id="175">
    <w:p w14:paraId="5D9DA433" w14:textId="77777777" w:rsidR="009973EE" w:rsidRPr="006B076E" w:rsidRDefault="009973EE" w:rsidP="00DC6142">
      <w:pPr>
        <w:pStyle w:val="FootnoteText"/>
      </w:pPr>
      <w:r w:rsidRPr="006B076E">
        <w:rPr>
          <w:rStyle w:val="FootnoteReference"/>
        </w:rPr>
        <w:footnoteRef/>
      </w:r>
      <w:r w:rsidRPr="006B076E">
        <w:t xml:space="preserve"> U.S. Census Bureau, Subject Series: Information, Table 5, “Establishment and Firm Size: Employment Size of Firms for the U.S.: 2012 NAICS Code 517210” (rel. Jan. 8, 2016).</w:t>
      </w:r>
    </w:p>
  </w:footnote>
  <w:footnote w:id="176">
    <w:p w14:paraId="03B12028" w14:textId="77777777" w:rsidR="009973EE" w:rsidRPr="006B076E" w:rsidRDefault="009973EE" w:rsidP="00DC6142">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77">
    <w:p w14:paraId="3D2B5A06" w14:textId="77777777" w:rsidR="009973EE" w:rsidRPr="0073330A" w:rsidRDefault="009973EE" w:rsidP="00DC6142">
      <w:pPr>
        <w:pStyle w:val="FootnoteText"/>
      </w:pPr>
      <w:r w:rsidRPr="0073330A">
        <w:rPr>
          <w:rStyle w:val="FootnoteReference"/>
        </w:rPr>
        <w:footnoteRef/>
      </w:r>
      <w:r w:rsidRPr="0073330A">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44E3" w14:textId="77777777" w:rsidR="003F7E5A" w:rsidRDefault="003F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7A90" w14:textId="3E69320D" w:rsidR="009973EE" w:rsidRPr="00AA3A12" w:rsidRDefault="009973EE" w:rsidP="00D22304">
    <w:pPr>
      <w:pStyle w:val="Header"/>
    </w:pPr>
    <w:r>
      <w:tab/>
    </w:r>
    <w:r w:rsidRPr="00AA3A12">
      <w:t>Federal Communications Commission</w:t>
    </w:r>
    <w:r w:rsidRPr="00AA3A12">
      <w:tab/>
    </w:r>
    <w:r>
      <w:t>FCC 17-74</w:t>
    </w:r>
  </w:p>
  <w:p w14:paraId="294FACBF" w14:textId="77777777" w:rsidR="009973EE" w:rsidRDefault="009973EE" w:rsidP="003D612A">
    <w:pPr>
      <w:tabs>
        <w:tab w:val="left" w:pos="0"/>
      </w:tabs>
      <w:spacing w:after="160" w:line="19" w:lineRule="exact"/>
      <w:rPr>
        <w:spacing w:val="-2"/>
      </w:rPr>
    </w:pPr>
    <w:r>
      <w:rPr>
        <w:noProof/>
        <w:sz w:val="20"/>
      </w:rPr>
      <mc:AlternateContent>
        <mc:Choice Requires="wps">
          <w:drawing>
            <wp:anchor distT="0" distB="0" distL="114300" distR="114300" simplePos="0" relativeHeight="251660288" behindDoc="1" locked="0" layoutInCell="0" allowOverlap="1" wp14:anchorId="728D0278" wp14:editId="26A4A23E">
              <wp:simplePos x="0" y="0"/>
              <wp:positionH relativeFrom="margin">
                <wp:posOffset>-5</wp:posOffset>
              </wp:positionH>
              <wp:positionV relativeFrom="paragraph">
                <wp:posOffset>-5</wp:posOffset>
              </wp:positionV>
              <wp:extent cx="5944870" cy="1333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1C315" id="Rectangle 1" o:spid="_x0000_s1026" style="position:absolute;margin-left:0;margin-top:0;width:468.1pt;height:1.0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AnHcXMPwIAAH0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3E0D5" w14:textId="2D097433" w:rsidR="009973EE" w:rsidRPr="00AA3A12" w:rsidRDefault="009973EE" w:rsidP="00D22304">
    <w:pPr>
      <w:pStyle w:val="Header"/>
    </w:pPr>
    <w:r>
      <w:rPr>
        <w:noProof/>
      </w:rPr>
      <mc:AlternateContent>
        <mc:Choice Requires="wps">
          <w:drawing>
            <wp:anchor distT="0" distB="0" distL="114300" distR="114300" simplePos="0" relativeHeight="251661312" behindDoc="1" locked="0" layoutInCell="0" allowOverlap="1" wp14:anchorId="14F0E6B0" wp14:editId="78CEB052">
              <wp:simplePos x="0" y="0"/>
              <wp:positionH relativeFrom="margin">
                <wp:posOffset>7625</wp:posOffset>
              </wp:positionH>
              <wp:positionV relativeFrom="paragraph">
                <wp:posOffset>160659</wp:posOffset>
              </wp:positionV>
              <wp:extent cx="5944870" cy="1333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56CB8" id="Rectangle 3" o:spid="_x0000_s1026" style="position:absolute;margin-left:.6pt;margin-top:12.65pt;width:468.1pt;height:1.0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" o:allowincell="f" fillcolor="black" stroked="f">
              <v:path arrowok="t"/>
              <w10:wrap anchorx="margin"/>
            </v:rect>
          </w:pict>
        </mc:Fallback>
      </mc:AlternateContent>
    </w:r>
    <w:r>
      <w:tab/>
    </w:r>
    <w:r w:rsidRPr="00AA3A12">
      <w:t>Federal Communications Commission</w:t>
    </w:r>
    <w:r w:rsidRPr="00AA3A12">
      <w:tab/>
    </w:r>
    <w:r>
      <w:t>FCC 17-74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5A7F" w14:textId="77777777" w:rsidR="009973EE" w:rsidRPr="00AA3A12" w:rsidRDefault="009973EE" w:rsidP="00D22304">
    <w:pPr>
      <w:pStyle w:val="Header"/>
    </w:pPr>
    <w:r>
      <w:tab/>
    </w:r>
    <w:r w:rsidRPr="00AA3A12">
      <w:t>Federal Communications Commission</w:t>
    </w:r>
    <w:r w:rsidRPr="00AA3A12">
      <w:tab/>
    </w:r>
    <w:r>
      <w:t>FCC 17-74</w:t>
    </w:r>
  </w:p>
  <w:p w14:paraId="0D6F7BDA" w14:textId="77777777" w:rsidR="009973EE" w:rsidRDefault="009973EE" w:rsidP="003D612A">
    <w:pPr>
      <w:tabs>
        <w:tab w:val="left" w:pos="0"/>
      </w:tabs>
      <w:spacing w:after="160" w:line="19" w:lineRule="exact"/>
      <w:rPr>
        <w:spacing w:val="-2"/>
      </w:rPr>
    </w:pPr>
    <w:r>
      <w:rPr>
        <w:noProof/>
        <w:sz w:val="20"/>
      </w:rPr>
      <mc:AlternateContent>
        <mc:Choice Requires="wps">
          <w:drawing>
            <wp:anchor distT="0" distB="0" distL="114300" distR="114300" simplePos="0" relativeHeight="251673600" behindDoc="1" locked="0" layoutInCell="0" allowOverlap="1" wp14:anchorId="08EF1924" wp14:editId="57A41D5E">
              <wp:simplePos x="0" y="0"/>
              <wp:positionH relativeFrom="margin">
                <wp:posOffset>-5</wp:posOffset>
              </wp:positionH>
              <wp:positionV relativeFrom="paragraph">
                <wp:posOffset>-5</wp:posOffset>
              </wp:positionV>
              <wp:extent cx="5944870" cy="13335"/>
              <wp:effectExtent l="0" t="0" r="0" b="698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10D7B" id="Rectangle 1" o:spid="_x0000_s1026" style="position:absolute;margin-left:0;margin-top:0;width:468.1pt;height:1.05pt;z-index:-251642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ADVnJQPwIAAH0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B807" w14:textId="77777777" w:rsidR="009973EE" w:rsidRPr="00AA3A12" w:rsidRDefault="009973EE" w:rsidP="00D22304">
    <w:pPr>
      <w:pStyle w:val="Header"/>
    </w:pPr>
    <w:r>
      <w:tab/>
    </w:r>
    <w:r w:rsidRPr="00AA3A12">
      <w:t>Federal Communications Commission</w:t>
    </w:r>
    <w:r w:rsidRPr="00AA3A12">
      <w:tab/>
    </w:r>
    <w:r>
      <w:t>FCC 17-74</w:t>
    </w:r>
  </w:p>
  <w:p w14:paraId="5C0FA355" w14:textId="77777777" w:rsidR="009973EE" w:rsidRDefault="009973EE" w:rsidP="003D612A">
    <w:pPr>
      <w:tabs>
        <w:tab w:val="left" w:pos="0"/>
      </w:tabs>
      <w:spacing w:after="160" w:line="19" w:lineRule="exact"/>
      <w:rPr>
        <w:spacing w:val="-2"/>
      </w:rPr>
    </w:pPr>
    <w:r>
      <w:rPr>
        <w:noProof/>
        <w:sz w:val="20"/>
      </w:rPr>
      <mc:AlternateContent>
        <mc:Choice Requires="wps">
          <w:drawing>
            <wp:anchor distT="0" distB="0" distL="114300" distR="114300" simplePos="0" relativeHeight="251663360" behindDoc="1" locked="0" layoutInCell="0" allowOverlap="1" wp14:anchorId="5EF9D5F5" wp14:editId="31920F4A">
              <wp:simplePos x="0" y="0"/>
              <wp:positionH relativeFrom="margin">
                <wp:posOffset>-5</wp:posOffset>
              </wp:positionH>
              <wp:positionV relativeFrom="paragraph">
                <wp:posOffset>-5</wp:posOffset>
              </wp:positionV>
              <wp:extent cx="5944870" cy="1333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9B0DF" id="Rectangle 1" o:spid="_x0000_s1026" style="position:absolute;margin-left:0;margin-top:0;width:468.1pt;height:1.0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" o:allowincell="f" fillcolor="black" stroked="f">
              <v:path arrowok="t"/>
              <w10:wrap anchorx="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A606" w14:textId="77777777" w:rsidR="009973EE" w:rsidRPr="00AA3A12" w:rsidRDefault="009973EE" w:rsidP="00D22304">
    <w:pPr>
      <w:pStyle w:val="Header"/>
    </w:pPr>
    <w:r>
      <w:rPr>
        <w:noProof/>
      </w:rPr>
      <mc:AlternateContent>
        <mc:Choice Requires="wps">
          <w:drawing>
            <wp:anchor distT="0" distB="0" distL="114300" distR="114300" simplePos="0" relativeHeight="251671552" behindDoc="1" locked="0" layoutInCell="0" allowOverlap="1" wp14:anchorId="2DAFE4D9" wp14:editId="4FEB1E8E">
              <wp:simplePos x="0" y="0"/>
              <wp:positionH relativeFrom="margin">
                <wp:posOffset>7625</wp:posOffset>
              </wp:positionH>
              <wp:positionV relativeFrom="paragraph">
                <wp:posOffset>160659</wp:posOffset>
              </wp:positionV>
              <wp:extent cx="5944870" cy="13335"/>
              <wp:effectExtent l="0" t="0" r="0"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4A543" id="Rectangle 3" o:spid="_x0000_s1026" style="position:absolute;margin-left:.6pt;margin-top:12.65pt;width:468.1pt;height:1.05pt;z-index:-251644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" o:allowincell="f" fillcolor="black" stroked="f">
              <v:path arrowok="t"/>
              <w10:wrap anchorx="margin"/>
            </v:rect>
          </w:pict>
        </mc:Fallback>
      </mc:AlternateContent>
    </w:r>
    <w:r>
      <w:tab/>
    </w:r>
    <w:r w:rsidRPr="00AA3A12">
      <w:t>Federal Communications Commission</w:t>
    </w:r>
    <w:r w:rsidRPr="00AA3A12">
      <w:tab/>
    </w:r>
    <w:r>
      <w:t>FCC 17-74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E31A2" w14:textId="77777777" w:rsidR="009973EE" w:rsidRPr="00AA3A12" w:rsidRDefault="009973EE" w:rsidP="00D22304">
    <w:pPr>
      <w:pStyle w:val="Header"/>
    </w:pPr>
    <w:r>
      <w:rPr>
        <w:noProof/>
      </w:rPr>
      <mc:AlternateContent>
        <mc:Choice Requires="wps">
          <w:drawing>
            <wp:anchor distT="0" distB="0" distL="114300" distR="114300" simplePos="0" relativeHeight="251667456" behindDoc="1" locked="0" layoutInCell="0" allowOverlap="1" wp14:anchorId="1AC2BBF1" wp14:editId="3BB0C6D8">
              <wp:simplePos x="0" y="0"/>
              <wp:positionH relativeFrom="margin">
                <wp:posOffset>7625</wp:posOffset>
              </wp:positionH>
              <wp:positionV relativeFrom="paragraph">
                <wp:posOffset>160659</wp:posOffset>
              </wp:positionV>
              <wp:extent cx="5944870" cy="1333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CB964" id="Rectangle 3" o:spid="_x0000_s1026" style="position:absolute;margin-left:.6pt;margin-top:12.65pt;width:468.1pt;height:1.05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" o:allowincell="f" fillcolor="black" stroked="f">
              <v:path arrowok="t"/>
              <w10:wrap anchorx="margin"/>
            </v:rect>
          </w:pict>
        </mc:Fallback>
      </mc:AlternateContent>
    </w:r>
    <w:r>
      <w:tab/>
    </w:r>
    <w:r w:rsidRPr="00AA3A12">
      <w:t>Federal Communications Commission</w:t>
    </w:r>
    <w:r w:rsidRPr="00AA3A12">
      <w:tab/>
    </w:r>
    <w:r>
      <w:t>FCC 17-74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21EB" w14:textId="77777777" w:rsidR="009973EE" w:rsidRPr="00AA3A12" w:rsidRDefault="009973EE" w:rsidP="00D22304">
    <w:pPr>
      <w:pStyle w:val="Header"/>
    </w:pPr>
    <w:r>
      <w:rPr>
        <w:noProof/>
      </w:rPr>
      <mc:AlternateContent>
        <mc:Choice Requires="wps">
          <w:drawing>
            <wp:anchor distT="0" distB="0" distL="114300" distR="114300" simplePos="0" relativeHeight="251665408" behindDoc="1" locked="0" layoutInCell="0" allowOverlap="1" wp14:anchorId="2A02F26A" wp14:editId="4E1A8F45">
              <wp:simplePos x="0" y="0"/>
              <wp:positionH relativeFrom="margin">
                <wp:posOffset>7625</wp:posOffset>
              </wp:positionH>
              <wp:positionV relativeFrom="paragraph">
                <wp:posOffset>160659</wp:posOffset>
              </wp:positionV>
              <wp:extent cx="5944870" cy="1333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3EA9B" id="Rectangle 3" o:spid="_x0000_s1026" style="position:absolute;margin-left:.6pt;margin-top:12.65pt;width:468.1pt;height:1.05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" o:allowincell="f" fillcolor="black" stroked="f">
              <v:path arrowok="t"/>
              <w10:wrap anchorx="margin"/>
            </v:rect>
          </w:pict>
        </mc:Fallback>
      </mc:AlternateContent>
    </w:r>
    <w:r>
      <w:tab/>
    </w:r>
    <w:r w:rsidRPr="00AA3A12">
      <w:t>Federal Communications Commission</w:t>
    </w:r>
    <w:r w:rsidRPr="00AA3A12">
      <w:tab/>
    </w:r>
    <w:r>
      <w:t>FCC 17-74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957F" w14:textId="77777777" w:rsidR="009973EE" w:rsidRPr="00AA3A12" w:rsidRDefault="009973EE" w:rsidP="00D22304">
    <w:pPr>
      <w:pStyle w:val="Header"/>
    </w:pPr>
    <w:r>
      <w:rPr>
        <w:noProof/>
      </w:rPr>
      <mc:AlternateContent>
        <mc:Choice Requires="wps">
          <w:drawing>
            <wp:anchor distT="0" distB="0" distL="114300" distR="114300" simplePos="0" relativeHeight="251669504" behindDoc="1" locked="0" layoutInCell="0" allowOverlap="1" wp14:anchorId="00A8E010" wp14:editId="69A87EC1">
              <wp:simplePos x="0" y="0"/>
              <wp:positionH relativeFrom="margin">
                <wp:posOffset>7625</wp:posOffset>
              </wp:positionH>
              <wp:positionV relativeFrom="paragraph">
                <wp:posOffset>160659</wp:posOffset>
              </wp:positionV>
              <wp:extent cx="5944870" cy="13335"/>
              <wp:effectExtent l="0" t="0" r="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58E6F" id="Rectangle 3" o:spid="_x0000_s1026" style="position:absolute;margin-left:.6pt;margin-top:12.65pt;width:468.1pt;height:1.05pt;z-index:-251646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" o:allowincell="f" fillcolor="black" stroked="f">
              <v:path arrowok="t"/>
              <w10:wrap anchorx="margin"/>
            </v:rect>
          </w:pict>
        </mc:Fallback>
      </mc:AlternateContent>
    </w:r>
    <w:r>
      <w:tab/>
    </w:r>
    <w:r w:rsidRPr="00AA3A12">
      <w:t>Federal Communications Commission</w:t>
    </w:r>
    <w:r w:rsidRPr="00AA3A12">
      <w:tab/>
    </w:r>
    <w:r>
      <w:t>FCC 17-74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914C650"/>
    <w:lvl w:ilvl="0">
      <w:start w:val="1"/>
      <w:numFmt w:val="upperRoman"/>
      <w:lvlText w:val="%1."/>
      <w:lvlJc w:val="left"/>
      <w:pPr>
        <w:tabs>
          <w:tab w:val="left" w:pos="720"/>
        </w:tabs>
        <w:ind w:left="720" w:hanging="720"/>
      </w:pPr>
    </w:lvl>
    <w:lvl w:ilvl="1">
      <w:start w:val="1"/>
      <w:numFmt w:val="upp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lowerRoman"/>
      <w:lvlText w:val="(%5)"/>
      <w:lvlJc w:val="left"/>
      <w:pPr>
        <w:tabs>
          <w:tab w:val="left" w:pos="3600"/>
        </w:tabs>
        <w:ind w:left="3600" w:hanging="720"/>
      </w:pPr>
    </w:lvl>
    <w:lvl w:ilvl="5">
      <w:start w:val="1"/>
      <w:numFmt w:val="lowerLetter"/>
      <w:lvlText w:val="(%6)"/>
      <w:lvlJc w:val="left"/>
      <w:pPr>
        <w:tabs>
          <w:tab w:val="left" w:pos="4320"/>
        </w:tabs>
        <w:ind w:left="4320" w:hanging="720"/>
      </w:pPr>
    </w:lvl>
    <w:lvl w:ilvl="6">
      <w:start w:val="1"/>
      <w:numFmt w:val="lowerRoman"/>
      <w:lvlText w:val="(%7)"/>
      <w:lvlJc w:val="left"/>
      <w:pPr>
        <w:tabs>
          <w:tab w:val="left" w:pos="504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5"/>
  </w:num>
  <w:num w:numId="3">
    <w:abstractNumId w:val="0"/>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6"/>
  </w:num>
  <w:num w:numId="9">
    <w:abstractNumId w:val="3"/>
  </w:num>
  <w:num w:numId="10">
    <w:abstractNumId w:val="7"/>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DF"/>
    <w:rsid w:val="0000049B"/>
    <w:rsid w:val="00002414"/>
    <w:rsid w:val="0000347C"/>
    <w:rsid w:val="00003A90"/>
    <w:rsid w:val="00004575"/>
    <w:rsid w:val="00004ADD"/>
    <w:rsid w:val="000053C0"/>
    <w:rsid w:val="00006187"/>
    <w:rsid w:val="0001132D"/>
    <w:rsid w:val="000136DF"/>
    <w:rsid w:val="00015AD5"/>
    <w:rsid w:val="00015BDA"/>
    <w:rsid w:val="0001630A"/>
    <w:rsid w:val="00016ED4"/>
    <w:rsid w:val="0002418A"/>
    <w:rsid w:val="00030E21"/>
    <w:rsid w:val="0003227F"/>
    <w:rsid w:val="0003428A"/>
    <w:rsid w:val="00036039"/>
    <w:rsid w:val="00036969"/>
    <w:rsid w:val="00036ABE"/>
    <w:rsid w:val="000371EF"/>
    <w:rsid w:val="00037F90"/>
    <w:rsid w:val="00043FFF"/>
    <w:rsid w:val="000453E6"/>
    <w:rsid w:val="0004653E"/>
    <w:rsid w:val="000468E6"/>
    <w:rsid w:val="00047AC3"/>
    <w:rsid w:val="00055A4F"/>
    <w:rsid w:val="0005676E"/>
    <w:rsid w:val="00066028"/>
    <w:rsid w:val="000664F4"/>
    <w:rsid w:val="00067C39"/>
    <w:rsid w:val="0007156E"/>
    <w:rsid w:val="00073819"/>
    <w:rsid w:val="0007564C"/>
    <w:rsid w:val="00075CB0"/>
    <w:rsid w:val="00076ED4"/>
    <w:rsid w:val="00080AC5"/>
    <w:rsid w:val="00082083"/>
    <w:rsid w:val="00084C8C"/>
    <w:rsid w:val="00085228"/>
    <w:rsid w:val="000871A4"/>
    <w:rsid w:val="000875BF"/>
    <w:rsid w:val="0008775D"/>
    <w:rsid w:val="00087BA8"/>
    <w:rsid w:val="00090BCD"/>
    <w:rsid w:val="0009175D"/>
    <w:rsid w:val="00091F0B"/>
    <w:rsid w:val="00092164"/>
    <w:rsid w:val="0009304D"/>
    <w:rsid w:val="0009415F"/>
    <w:rsid w:val="00095747"/>
    <w:rsid w:val="00096D8C"/>
    <w:rsid w:val="000A0563"/>
    <w:rsid w:val="000A1F1A"/>
    <w:rsid w:val="000A2948"/>
    <w:rsid w:val="000A5F8E"/>
    <w:rsid w:val="000B1ED5"/>
    <w:rsid w:val="000B2ABF"/>
    <w:rsid w:val="000B3BF4"/>
    <w:rsid w:val="000B4624"/>
    <w:rsid w:val="000B46A8"/>
    <w:rsid w:val="000B47D6"/>
    <w:rsid w:val="000B746D"/>
    <w:rsid w:val="000B7B32"/>
    <w:rsid w:val="000B7FDD"/>
    <w:rsid w:val="000C0B65"/>
    <w:rsid w:val="000C1ACC"/>
    <w:rsid w:val="000C1D47"/>
    <w:rsid w:val="000C3F9D"/>
    <w:rsid w:val="000C42FD"/>
    <w:rsid w:val="000C45B5"/>
    <w:rsid w:val="000D0898"/>
    <w:rsid w:val="000D208E"/>
    <w:rsid w:val="000D7CBC"/>
    <w:rsid w:val="000E05B7"/>
    <w:rsid w:val="000E05FE"/>
    <w:rsid w:val="000E17B6"/>
    <w:rsid w:val="000E199B"/>
    <w:rsid w:val="000E351D"/>
    <w:rsid w:val="000E36DD"/>
    <w:rsid w:val="000E3D42"/>
    <w:rsid w:val="000E5921"/>
    <w:rsid w:val="000E5D0F"/>
    <w:rsid w:val="000F0198"/>
    <w:rsid w:val="000F669D"/>
    <w:rsid w:val="000F6CE4"/>
    <w:rsid w:val="001014AE"/>
    <w:rsid w:val="00104CEF"/>
    <w:rsid w:val="00105F6B"/>
    <w:rsid w:val="00106C53"/>
    <w:rsid w:val="001077CC"/>
    <w:rsid w:val="0011216B"/>
    <w:rsid w:val="00115670"/>
    <w:rsid w:val="001159A5"/>
    <w:rsid w:val="0011602A"/>
    <w:rsid w:val="00116338"/>
    <w:rsid w:val="001174E1"/>
    <w:rsid w:val="00117BEE"/>
    <w:rsid w:val="00122BD5"/>
    <w:rsid w:val="001233DF"/>
    <w:rsid w:val="001250D4"/>
    <w:rsid w:val="0012698B"/>
    <w:rsid w:val="00127CF2"/>
    <w:rsid w:val="00127DF2"/>
    <w:rsid w:val="001332C1"/>
    <w:rsid w:val="00133F79"/>
    <w:rsid w:val="0014551B"/>
    <w:rsid w:val="0014559D"/>
    <w:rsid w:val="00147F3C"/>
    <w:rsid w:val="001540B3"/>
    <w:rsid w:val="0015445F"/>
    <w:rsid w:val="0015524C"/>
    <w:rsid w:val="00156135"/>
    <w:rsid w:val="001563FA"/>
    <w:rsid w:val="00157B78"/>
    <w:rsid w:val="00160239"/>
    <w:rsid w:val="001605DD"/>
    <w:rsid w:val="0016173B"/>
    <w:rsid w:val="001650BA"/>
    <w:rsid w:val="00165A5D"/>
    <w:rsid w:val="001663F3"/>
    <w:rsid w:val="00166B9E"/>
    <w:rsid w:val="00167E5E"/>
    <w:rsid w:val="00170679"/>
    <w:rsid w:val="0017068C"/>
    <w:rsid w:val="00180D7C"/>
    <w:rsid w:val="0018114C"/>
    <w:rsid w:val="00181447"/>
    <w:rsid w:val="00181DFF"/>
    <w:rsid w:val="00190618"/>
    <w:rsid w:val="001906BD"/>
    <w:rsid w:val="001922B9"/>
    <w:rsid w:val="00193C93"/>
    <w:rsid w:val="00194A66"/>
    <w:rsid w:val="0019706D"/>
    <w:rsid w:val="00197E7C"/>
    <w:rsid w:val="001A24B5"/>
    <w:rsid w:val="001A52DB"/>
    <w:rsid w:val="001A66DA"/>
    <w:rsid w:val="001B012E"/>
    <w:rsid w:val="001B013A"/>
    <w:rsid w:val="001B4073"/>
    <w:rsid w:val="001B697A"/>
    <w:rsid w:val="001B6B5B"/>
    <w:rsid w:val="001B6DB8"/>
    <w:rsid w:val="001B78C2"/>
    <w:rsid w:val="001C115E"/>
    <w:rsid w:val="001C4371"/>
    <w:rsid w:val="001C4605"/>
    <w:rsid w:val="001C5824"/>
    <w:rsid w:val="001C7DED"/>
    <w:rsid w:val="001D3D24"/>
    <w:rsid w:val="001D4A2D"/>
    <w:rsid w:val="001D4C02"/>
    <w:rsid w:val="001D4F54"/>
    <w:rsid w:val="001D5035"/>
    <w:rsid w:val="001D6BCF"/>
    <w:rsid w:val="001E01CA"/>
    <w:rsid w:val="001E14C3"/>
    <w:rsid w:val="001E59B3"/>
    <w:rsid w:val="001E5BA8"/>
    <w:rsid w:val="001E68A9"/>
    <w:rsid w:val="001E79A7"/>
    <w:rsid w:val="001E7AD7"/>
    <w:rsid w:val="001E7E94"/>
    <w:rsid w:val="001F0F8F"/>
    <w:rsid w:val="001F20DC"/>
    <w:rsid w:val="001F233D"/>
    <w:rsid w:val="001F61F6"/>
    <w:rsid w:val="001F743E"/>
    <w:rsid w:val="001F7CA2"/>
    <w:rsid w:val="00201DD5"/>
    <w:rsid w:val="00202382"/>
    <w:rsid w:val="00202DA9"/>
    <w:rsid w:val="00210FBC"/>
    <w:rsid w:val="00215308"/>
    <w:rsid w:val="00216A84"/>
    <w:rsid w:val="00216F16"/>
    <w:rsid w:val="002209B1"/>
    <w:rsid w:val="00226011"/>
    <w:rsid w:val="00226FA1"/>
    <w:rsid w:val="0023040A"/>
    <w:rsid w:val="00231911"/>
    <w:rsid w:val="00232E51"/>
    <w:rsid w:val="00232FFE"/>
    <w:rsid w:val="00233D2C"/>
    <w:rsid w:val="00235AB9"/>
    <w:rsid w:val="00235E6F"/>
    <w:rsid w:val="00242456"/>
    <w:rsid w:val="00243908"/>
    <w:rsid w:val="0024771B"/>
    <w:rsid w:val="002504B2"/>
    <w:rsid w:val="002519C5"/>
    <w:rsid w:val="00252A1B"/>
    <w:rsid w:val="00253A22"/>
    <w:rsid w:val="00254F20"/>
    <w:rsid w:val="00255363"/>
    <w:rsid w:val="00256629"/>
    <w:rsid w:val="00256A8F"/>
    <w:rsid w:val="00260409"/>
    <w:rsid w:val="00266D94"/>
    <w:rsid w:val="0027064F"/>
    <w:rsid w:val="0027346F"/>
    <w:rsid w:val="00273C26"/>
    <w:rsid w:val="002749A3"/>
    <w:rsid w:val="00275CF5"/>
    <w:rsid w:val="0028301F"/>
    <w:rsid w:val="0028356C"/>
    <w:rsid w:val="002844B0"/>
    <w:rsid w:val="00285017"/>
    <w:rsid w:val="002850A4"/>
    <w:rsid w:val="002860C4"/>
    <w:rsid w:val="00291343"/>
    <w:rsid w:val="00292C19"/>
    <w:rsid w:val="00293C46"/>
    <w:rsid w:val="00294621"/>
    <w:rsid w:val="00294B12"/>
    <w:rsid w:val="00296E79"/>
    <w:rsid w:val="00297F7C"/>
    <w:rsid w:val="002A1085"/>
    <w:rsid w:val="002A2D2E"/>
    <w:rsid w:val="002A3E3E"/>
    <w:rsid w:val="002A4B9E"/>
    <w:rsid w:val="002A5CDE"/>
    <w:rsid w:val="002B4F0D"/>
    <w:rsid w:val="002B6B7C"/>
    <w:rsid w:val="002C00E8"/>
    <w:rsid w:val="002C23B0"/>
    <w:rsid w:val="002C3279"/>
    <w:rsid w:val="002C3D29"/>
    <w:rsid w:val="002C4C0B"/>
    <w:rsid w:val="002D17F5"/>
    <w:rsid w:val="002D4EB4"/>
    <w:rsid w:val="002D65FB"/>
    <w:rsid w:val="002D7D18"/>
    <w:rsid w:val="002E186F"/>
    <w:rsid w:val="002E2D09"/>
    <w:rsid w:val="002E32ED"/>
    <w:rsid w:val="002E4278"/>
    <w:rsid w:val="002E4D62"/>
    <w:rsid w:val="002F10A8"/>
    <w:rsid w:val="002F218F"/>
    <w:rsid w:val="002F415B"/>
    <w:rsid w:val="002F7B71"/>
    <w:rsid w:val="00303281"/>
    <w:rsid w:val="00303C6D"/>
    <w:rsid w:val="00316507"/>
    <w:rsid w:val="00317536"/>
    <w:rsid w:val="00317D09"/>
    <w:rsid w:val="00322884"/>
    <w:rsid w:val="0032384E"/>
    <w:rsid w:val="0032783E"/>
    <w:rsid w:val="003318C0"/>
    <w:rsid w:val="00332E6C"/>
    <w:rsid w:val="00333366"/>
    <w:rsid w:val="00334F1D"/>
    <w:rsid w:val="0034007F"/>
    <w:rsid w:val="00343749"/>
    <w:rsid w:val="0034515D"/>
    <w:rsid w:val="00345704"/>
    <w:rsid w:val="0034577E"/>
    <w:rsid w:val="00350222"/>
    <w:rsid w:val="003506FF"/>
    <w:rsid w:val="00351903"/>
    <w:rsid w:val="003523EC"/>
    <w:rsid w:val="00355254"/>
    <w:rsid w:val="00356B64"/>
    <w:rsid w:val="00360A3E"/>
    <w:rsid w:val="00361278"/>
    <w:rsid w:val="00361B2A"/>
    <w:rsid w:val="003653DF"/>
    <w:rsid w:val="003660ED"/>
    <w:rsid w:val="003665C6"/>
    <w:rsid w:val="003665FA"/>
    <w:rsid w:val="0037026E"/>
    <w:rsid w:val="00372FA1"/>
    <w:rsid w:val="00377AE7"/>
    <w:rsid w:val="00380076"/>
    <w:rsid w:val="003805DA"/>
    <w:rsid w:val="0038087E"/>
    <w:rsid w:val="00380D45"/>
    <w:rsid w:val="00381303"/>
    <w:rsid w:val="0038437D"/>
    <w:rsid w:val="003856DF"/>
    <w:rsid w:val="00392D83"/>
    <w:rsid w:val="00394995"/>
    <w:rsid w:val="00394B93"/>
    <w:rsid w:val="00395D0B"/>
    <w:rsid w:val="003971C0"/>
    <w:rsid w:val="003A041E"/>
    <w:rsid w:val="003A12DD"/>
    <w:rsid w:val="003A1744"/>
    <w:rsid w:val="003A3BAC"/>
    <w:rsid w:val="003A49D6"/>
    <w:rsid w:val="003A6882"/>
    <w:rsid w:val="003A7476"/>
    <w:rsid w:val="003A79A7"/>
    <w:rsid w:val="003B0550"/>
    <w:rsid w:val="003B4DA1"/>
    <w:rsid w:val="003B66BB"/>
    <w:rsid w:val="003B694F"/>
    <w:rsid w:val="003B7E19"/>
    <w:rsid w:val="003C45C4"/>
    <w:rsid w:val="003C4A69"/>
    <w:rsid w:val="003C583E"/>
    <w:rsid w:val="003C5920"/>
    <w:rsid w:val="003C6629"/>
    <w:rsid w:val="003D1B5D"/>
    <w:rsid w:val="003D2804"/>
    <w:rsid w:val="003D2870"/>
    <w:rsid w:val="003D29DA"/>
    <w:rsid w:val="003D5BF7"/>
    <w:rsid w:val="003D612A"/>
    <w:rsid w:val="003D6C17"/>
    <w:rsid w:val="003D7BC8"/>
    <w:rsid w:val="003E2C3C"/>
    <w:rsid w:val="003E622B"/>
    <w:rsid w:val="003E6803"/>
    <w:rsid w:val="003F006F"/>
    <w:rsid w:val="003F171C"/>
    <w:rsid w:val="003F2137"/>
    <w:rsid w:val="003F2DCA"/>
    <w:rsid w:val="003F46BA"/>
    <w:rsid w:val="003F46E4"/>
    <w:rsid w:val="003F5D56"/>
    <w:rsid w:val="003F6DDE"/>
    <w:rsid w:val="003F7E5A"/>
    <w:rsid w:val="00406073"/>
    <w:rsid w:val="004061C4"/>
    <w:rsid w:val="00406475"/>
    <w:rsid w:val="00412FC5"/>
    <w:rsid w:val="004162AE"/>
    <w:rsid w:val="00422276"/>
    <w:rsid w:val="00423D75"/>
    <w:rsid w:val="004242F1"/>
    <w:rsid w:val="00424322"/>
    <w:rsid w:val="004265A1"/>
    <w:rsid w:val="00430142"/>
    <w:rsid w:val="00431C46"/>
    <w:rsid w:val="00433D0F"/>
    <w:rsid w:val="0043761A"/>
    <w:rsid w:val="00440432"/>
    <w:rsid w:val="00440B85"/>
    <w:rsid w:val="0044232A"/>
    <w:rsid w:val="004425AD"/>
    <w:rsid w:val="004452AB"/>
    <w:rsid w:val="00445A00"/>
    <w:rsid w:val="004461E6"/>
    <w:rsid w:val="00450754"/>
    <w:rsid w:val="00451B0F"/>
    <w:rsid w:val="00452782"/>
    <w:rsid w:val="004532A1"/>
    <w:rsid w:val="00453370"/>
    <w:rsid w:val="004541FD"/>
    <w:rsid w:val="0045430B"/>
    <w:rsid w:val="00454445"/>
    <w:rsid w:val="00454D61"/>
    <w:rsid w:val="00454E3B"/>
    <w:rsid w:val="00455100"/>
    <w:rsid w:val="0045778B"/>
    <w:rsid w:val="00460277"/>
    <w:rsid w:val="004605C9"/>
    <w:rsid w:val="0046184B"/>
    <w:rsid w:val="00463B12"/>
    <w:rsid w:val="00465777"/>
    <w:rsid w:val="00465EF9"/>
    <w:rsid w:val="00466519"/>
    <w:rsid w:val="00470834"/>
    <w:rsid w:val="00470A2E"/>
    <w:rsid w:val="004716F4"/>
    <w:rsid w:val="00475E9F"/>
    <w:rsid w:val="004815A7"/>
    <w:rsid w:val="00482128"/>
    <w:rsid w:val="00483A50"/>
    <w:rsid w:val="004858E7"/>
    <w:rsid w:val="00490350"/>
    <w:rsid w:val="00496507"/>
    <w:rsid w:val="0049757C"/>
    <w:rsid w:val="004A0744"/>
    <w:rsid w:val="004A0AF8"/>
    <w:rsid w:val="004A1D81"/>
    <w:rsid w:val="004A39F6"/>
    <w:rsid w:val="004A58EC"/>
    <w:rsid w:val="004A73DD"/>
    <w:rsid w:val="004A77C8"/>
    <w:rsid w:val="004B06D8"/>
    <w:rsid w:val="004B3CF1"/>
    <w:rsid w:val="004B43A8"/>
    <w:rsid w:val="004B545F"/>
    <w:rsid w:val="004B6DE2"/>
    <w:rsid w:val="004B7980"/>
    <w:rsid w:val="004C1BE9"/>
    <w:rsid w:val="004C2EE3"/>
    <w:rsid w:val="004C4C01"/>
    <w:rsid w:val="004C6AD0"/>
    <w:rsid w:val="004D1385"/>
    <w:rsid w:val="004D1E99"/>
    <w:rsid w:val="004D7C44"/>
    <w:rsid w:val="004E1FC5"/>
    <w:rsid w:val="004E3C62"/>
    <w:rsid w:val="004E4A22"/>
    <w:rsid w:val="004E5DE2"/>
    <w:rsid w:val="004E7E6F"/>
    <w:rsid w:val="004F55E0"/>
    <w:rsid w:val="004F7DFD"/>
    <w:rsid w:val="00500A4F"/>
    <w:rsid w:val="0050161E"/>
    <w:rsid w:val="005026BC"/>
    <w:rsid w:val="00503637"/>
    <w:rsid w:val="005039CB"/>
    <w:rsid w:val="00503D31"/>
    <w:rsid w:val="00503DAC"/>
    <w:rsid w:val="00504E7C"/>
    <w:rsid w:val="00506C59"/>
    <w:rsid w:val="00511968"/>
    <w:rsid w:val="00512412"/>
    <w:rsid w:val="00512ABA"/>
    <w:rsid w:val="005149E0"/>
    <w:rsid w:val="00515E82"/>
    <w:rsid w:val="005165E5"/>
    <w:rsid w:val="0051727F"/>
    <w:rsid w:val="005174FC"/>
    <w:rsid w:val="005367AD"/>
    <w:rsid w:val="00537194"/>
    <w:rsid w:val="00540164"/>
    <w:rsid w:val="00541EAA"/>
    <w:rsid w:val="00542B26"/>
    <w:rsid w:val="0054716D"/>
    <w:rsid w:val="0055250F"/>
    <w:rsid w:val="005543B3"/>
    <w:rsid w:val="00555416"/>
    <w:rsid w:val="0055614C"/>
    <w:rsid w:val="00557242"/>
    <w:rsid w:val="00557CC3"/>
    <w:rsid w:val="00561CED"/>
    <w:rsid w:val="0056218D"/>
    <w:rsid w:val="00563949"/>
    <w:rsid w:val="005647B1"/>
    <w:rsid w:val="00566B3E"/>
    <w:rsid w:val="0057226D"/>
    <w:rsid w:val="0057328E"/>
    <w:rsid w:val="00574B02"/>
    <w:rsid w:val="00575305"/>
    <w:rsid w:val="00575997"/>
    <w:rsid w:val="00577FE8"/>
    <w:rsid w:val="00580375"/>
    <w:rsid w:val="00580AC6"/>
    <w:rsid w:val="005835C1"/>
    <w:rsid w:val="005917AB"/>
    <w:rsid w:val="00594353"/>
    <w:rsid w:val="005977E6"/>
    <w:rsid w:val="00597EB4"/>
    <w:rsid w:val="005A09CA"/>
    <w:rsid w:val="005A6E91"/>
    <w:rsid w:val="005B3018"/>
    <w:rsid w:val="005B3EF9"/>
    <w:rsid w:val="005B5F59"/>
    <w:rsid w:val="005C0B36"/>
    <w:rsid w:val="005C12C2"/>
    <w:rsid w:val="005C4478"/>
    <w:rsid w:val="005C5C86"/>
    <w:rsid w:val="005C7EF8"/>
    <w:rsid w:val="005D0243"/>
    <w:rsid w:val="005D1411"/>
    <w:rsid w:val="005D533C"/>
    <w:rsid w:val="005D7AA9"/>
    <w:rsid w:val="005E14C2"/>
    <w:rsid w:val="005F18A7"/>
    <w:rsid w:val="0060043C"/>
    <w:rsid w:val="00600CA2"/>
    <w:rsid w:val="00601218"/>
    <w:rsid w:val="00601ED1"/>
    <w:rsid w:val="00602A76"/>
    <w:rsid w:val="00604634"/>
    <w:rsid w:val="00605BB8"/>
    <w:rsid w:val="00606320"/>
    <w:rsid w:val="00607BA5"/>
    <w:rsid w:val="0061180A"/>
    <w:rsid w:val="00615B29"/>
    <w:rsid w:val="006170B7"/>
    <w:rsid w:val="0062618E"/>
    <w:rsid w:val="00626EB6"/>
    <w:rsid w:val="006300B8"/>
    <w:rsid w:val="0063044F"/>
    <w:rsid w:val="00634E8E"/>
    <w:rsid w:val="00641201"/>
    <w:rsid w:val="00641275"/>
    <w:rsid w:val="00642119"/>
    <w:rsid w:val="00643EEE"/>
    <w:rsid w:val="006452B3"/>
    <w:rsid w:val="00645FCC"/>
    <w:rsid w:val="006468F4"/>
    <w:rsid w:val="0065050B"/>
    <w:rsid w:val="00650F51"/>
    <w:rsid w:val="00651BC8"/>
    <w:rsid w:val="00651F4C"/>
    <w:rsid w:val="00653E5B"/>
    <w:rsid w:val="00654865"/>
    <w:rsid w:val="00655545"/>
    <w:rsid w:val="00655D03"/>
    <w:rsid w:val="00656F2D"/>
    <w:rsid w:val="00660466"/>
    <w:rsid w:val="006607ED"/>
    <w:rsid w:val="006609A4"/>
    <w:rsid w:val="00661D9A"/>
    <w:rsid w:val="0066299D"/>
    <w:rsid w:val="006630AD"/>
    <w:rsid w:val="0066561A"/>
    <w:rsid w:val="0066647F"/>
    <w:rsid w:val="006707A3"/>
    <w:rsid w:val="006712B3"/>
    <w:rsid w:val="00671628"/>
    <w:rsid w:val="00671D99"/>
    <w:rsid w:val="00673CCB"/>
    <w:rsid w:val="00675C53"/>
    <w:rsid w:val="00677140"/>
    <w:rsid w:val="00680ED1"/>
    <w:rsid w:val="00681C2D"/>
    <w:rsid w:val="00682BA9"/>
    <w:rsid w:val="00682BD7"/>
    <w:rsid w:val="00683388"/>
    <w:rsid w:val="00683514"/>
    <w:rsid w:val="00683F84"/>
    <w:rsid w:val="00684A91"/>
    <w:rsid w:val="0068618D"/>
    <w:rsid w:val="00691BE2"/>
    <w:rsid w:val="00692472"/>
    <w:rsid w:val="00695921"/>
    <w:rsid w:val="0069640B"/>
    <w:rsid w:val="006A13BB"/>
    <w:rsid w:val="006A1716"/>
    <w:rsid w:val="006A1B56"/>
    <w:rsid w:val="006A3437"/>
    <w:rsid w:val="006A5E19"/>
    <w:rsid w:val="006A6A81"/>
    <w:rsid w:val="006A738E"/>
    <w:rsid w:val="006B0854"/>
    <w:rsid w:val="006B2E33"/>
    <w:rsid w:val="006B7F9F"/>
    <w:rsid w:val="006B7FA4"/>
    <w:rsid w:val="006C1567"/>
    <w:rsid w:val="006C1A9F"/>
    <w:rsid w:val="006C23BC"/>
    <w:rsid w:val="006C2DD7"/>
    <w:rsid w:val="006C374B"/>
    <w:rsid w:val="006C3C90"/>
    <w:rsid w:val="006C5F38"/>
    <w:rsid w:val="006D2D93"/>
    <w:rsid w:val="006D5633"/>
    <w:rsid w:val="006D6CDD"/>
    <w:rsid w:val="006D7E76"/>
    <w:rsid w:val="006E06AE"/>
    <w:rsid w:val="006E15E7"/>
    <w:rsid w:val="006E2773"/>
    <w:rsid w:val="006E597E"/>
    <w:rsid w:val="006F638D"/>
    <w:rsid w:val="006F723E"/>
    <w:rsid w:val="006F7393"/>
    <w:rsid w:val="00700843"/>
    <w:rsid w:val="00700DCF"/>
    <w:rsid w:val="00701BF1"/>
    <w:rsid w:val="0070224F"/>
    <w:rsid w:val="00702485"/>
    <w:rsid w:val="00703D78"/>
    <w:rsid w:val="00706CB4"/>
    <w:rsid w:val="0070750E"/>
    <w:rsid w:val="00710FC8"/>
    <w:rsid w:val="007115F7"/>
    <w:rsid w:val="00713B7F"/>
    <w:rsid w:val="00714CF3"/>
    <w:rsid w:val="00720551"/>
    <w:rsid w:val="007205FD"/>
    <w:rsid w:val="00724F37"/>
    <w:rsid w:val="00726E0C"/>
    <w:rsid w:val="00730771"/>
    <w:rsid w:val="007314ED"/>
    <w:rsid w:val="00732B17"/>
    <w:rsid w:val="00735058"/>
    <w:rsid w:val="00737AD1"/>
    <w:rsid w:val="00737E8B"/>
    <w:rsid w:val="00740EF3"/>
    <w:rsid w:val="0074707F"/>
    <w:rsid w:val="0075020C"/>
    <w:rsid w:val="00750226"/>
    <w:rsid w:val="00750C83"/>
    <w:rsid w:val="00750D0C"/>
    <w:rsid w:val="00755148"/>
    <w:rsid w:val="00755508"/>
    <w:rsid w:val="007564FC"/>
    <w:rsid w:val="00761173"/>
    <w:rsid w:val="0076153A"/>
    <w:rsid w:val="0076616E"/>
    <w:rsid w:val="00770604"/>
    <w:rsid w:val="0077109C"/>
    <w:rsid w:val="0077133E"/>
    <w:rsid w:val="00772AB2"/>
    <w:rsid w:val="007731D2"/>
    <w:rsid w:val="00774161"/>
    <w:rsid w:val="00776525"/>
    <w:rsid w:val="007773EA"/>
    <w:rsid w:val="0078048A"/>
    <w:rsid w:val="007838EC"/>
    <w:rsid w:val="00784C33"/>
    <w:rsid w:val="00785689"/>
    <w:rsid w:val="00785B09"/>
    <w:rsid w:val="007908B7"/>
    <w:rsid w:val="00790D15"/>
    <w:rsid w:val="00792C46"/>
    <w:rsid w:val="007930FA"/>
    <w:rsid w:val="00795C99"/>
    <w:rsid w:val="0079754B"/>
    <w:rsid w:val="007976E6"/>
    <w:rsid w:val="00797A08"/>
    <w:rsid w:val="00797E7E"/>
    <w:rsid w:val="007A1E6D"/>
    <w:rsid w:val="007A2302"/>
    <w:rsid w:val="007A3863"/>
    <w:rsid w:val="007A43C3"/>
    <w:rsid w:val="007A531C"/>
    <w:rsid w:val="007A54D7"/>
    <w:rsid w:val="007A6A7F"/>
    <w:rsid w:val="007B0EB2"/>
    <w:rsid w:val="007B18BE"/>
    <w:rsid w:val="007B32D2"/>
    <w:rsid w:val="007B4359"/>
    <w:rsid w:val="007B61F4"/>
    <w:rsid w:val="007B6945"/>
    <w:rsid w:val="007B6D57"/>
    <w:rsid w:val="007D1172"/>
    <w:rsid w:val="007D3D3A"/>
    <w:rsid w:val="007D4238"/>
    <w:rsid w:val="007D51ED"/>
    <w:rsid w:val="007D6407"/>
    <w:rsid w:val="007D6BC4"/>
    <w:rsid w:val="007E41B6"/>
    <w:rsid w:val="007E5BE0"/>
    <w:rsid w:val="007E75DF"/>
    <w:rsid w:val="007E7B03"/>
    <w:rsid w:val="007F2F0F"/>
    <w:rsid w:val="007F3CC7"/>
    <w:rsid w:val="007F45C9"/>
    <w:rsid w:val="00801C34"/>
    <w:rsid w:val="0080448C"/>
    <w:rsid w:val="00810B6F"/>
    <w:rsid w:val="00814179"/>
    <w:rsid w:val="00815CBA"/>
    <w:rsid w:val="0081659B"/>
    <w:rsid w:val="00816E8C"/>
    <w:rsid w:val="00817C91"/>
    <w:rsid w:val="00820E25"/>
    <w:rsid w:val="00822CE0"/>
    <w:rsid w:val="00822DC6"/>
    <w:rsid w:val="0082461C"/>
    <w:rsid w:val="00826EF9"/>
    <w:rsid w:val="00827CE8"/>
    <w:rsid w:val="00830671"/>
    <w:rsid w:val="00831F50"/>
    <w:rsid w:val="008322D6"/>
    <w:rsid w:val="00834810"/>
    <w:rsid w:val="00834BAD"/>
    <w:rsid w:val="00835F5D"/>
    <w:rsid w:val="008366A9"/>
    <w:rsid w:val="008400C5"/>
    <w:rsid w:val="008409DD"/>
    <w:rsid w:val="00841AB1"/>
    <w:rsid w:val="00843EB0"/>
    <w:rsid w:val="00844154"/>
    <w:rsid w:val="00844305"/>
    <w:rsid w:val="00846145"/>
    <w:rsid w:val="0084690A"/>
    <w:rsid w:val="00851468"/>
    <w:rsid w:val="008515BC"/>
    <w:rsid w:val="008541E5"/>
    <w:rsid w:val="00854313"/>
    <w:rsid w:val="00860BA9"/>
    <w:rsid w:val="00860D66"/>
    <w:rsid w:val="008632A7"/>
    <w:rsid w:val="0086409F"/>
    <w:rsid w:val="008649C6"/>
    <w:rsid w:val="00866F61"/>
    <w:rsid w:val="00867D2C"/>
    <w:rsid w:val="00870304"/>
    <w:rsid w:val="00870A11"/>
    <w:rsid w:val="00872F68"/>
    <w:rsid w:val="008737A5"/>
    <w:rsid w:val="00874106"/>
    <w:rsid w:val="008745B6"/>
    <w:rsid w:val="00876882"/>
    <w:rsid w:val="00877392"/>
    <w:rsid w:val="00882733"/>
    <w:rsid w:val="008837B3"/>
    <w:rsid w:val="00883D12"/>
    <w:rsid w:val="00885923"/>
    <w:rsid w:val="0088769C"/>
    <w:rsid w:val="00890009"/>
    <w:rsid w:val="0089250D"/>
    <w:rsid w:val="008926A4"/>
    <w:rsid w:val="008927E7"/>
    <w:rsid w:val="00892B1C"/>
    <w:rsid w:val="00894C01"/>
    <w:rsid w:val="0089530F"/>
    <w:rsid w:val="00896024"/>
    <w:rsid w:val="00896CDC"/>
    <w:rsid w:val="00897800"/>
    <w:rsid w:val="008A4121"/>
    <w:rsid w:val="008A515D"/>
    <w:rsid w:val="008A7812"/>
    <w:rsid w:val="008A7BC0"/>
    <w:rsid w:val="008B13E0"/>
    <w:rsid w:val="008B184A"/>
    <w:rsid w:val="008B39D8"/>
    <w:rsid w:val="008B4243"/>
    <w:rsid w:val="008B4254"/>
    <w:rsid w:val="008B4730"/>
    <w:rsid w:val="008B4C2C"/>
    <w:rsid w:val="008B615C"/>
    <w:rsid w:val="008B68F8"/>
    <w:rsid w:val="008C0A64"/>
    <w:rsid w:val="008C429C"/>
    <w:rsid w:val="008C47AA"/>
    <w:rsid w:val="008C68F1"/>
    <w:rsid w:val="008D124B"/>
    <w:rsid w:val="008D1B86"/>
    <w:rsid w:val="008D23EB"/>
    <w:rsid w:val="008D33E3"/>
    <w:rsid w:val="008D4460"/>
    <w:rsid w:val="008D47D9"/>
    <w:rsid w:val="008D53EE"/>
    <w:rsid w:val="008D766F"/>
    <w:rsid w:val="008E0428"/>
    <w:rsid w:val="008E1597"/>
    <w:rsid w:val="008E1EFB"/>
    <w:rsid w:val="008E20C2"/>
    <w:rsid w:val="008E2A4A"/>
    <w:rsid w:val="008E394C"/>
    <w:rsid w:val="008E4C14"/>
    <w:rsid w:val="008E5075"/>
    <w:rsid w:val="008E5EC8"/>
    <w:rsid w:val="008E657A"/>
    <w:rsid w:val="008F7360"/>
    <w:rsid w:val="00900095"/>
    <w:rsid w:val="00900608"/>
    <w:rsid w:val="009009BF"/>
    <w:rsid w:val="00902847"/>
    <w:rsid w:val="00903D38"/>
    <w:rsid w:val="00905F13"/>
    <w:rsid w:val="009119E7"/>
    <w:rsid w:val="009132C5"/>
    <w:rsid w:val="00913C66"/>
    <w:rsid w:val="009164FA"/>
    <w:rsid w:val="0091652F"/>
    <w:rsid w:val="00921803"/>
    <w:rsid w:val="00921D24"/>
    <w:rsid w:val="009249F6"/>
    <w:rsid w:val="0092611A"/>
    <w:rsid w:val="00926503"/>
    <w:rsid w:val="00927DB1"/>
    <w:rsid w:val="00931EFC"/>
    <w:rsid w:val="00931FA9"/>
    <w:rsid w:val="00932724"/>
    <w:rsid w:val="00936650"/>
    <w:rsid w:val="00936C0D"/>
    <w:rsid w:val="00937C0F"/>
    <w:rsid w:val="00940C54"/>
    <w:rsid w:val="00940CD4"/>
    <w:rsid w:val="009452E0"/>
    <w:rsid w:val="00945541"/>
    <w:rsid w:val="009622D5"/>
    <w:rsid w:val="00963C25"/>
    <w:rsid w:val="00965CD2"/>
    <w:rsid w:val="00966203"/>
    <w:rsid w:val="0096734B"/>
    <w:rsid w:val="00967C2D"/>
    <w:rsid w:val="00970423"/>
    <w:rsid w:val="00972560"/>
    <w:rsid w:val="009726D8"/>
    <w:rsid w:val="0097512D"/>
    <w:rsid w:val="00977EE3"/>
    <w:rsid w:val="00980361"/>
    <w:rsid w:val="00980DC4"/>
    <w:rsid w:val="00981A0F"/>
    <w:rsid w:val="00983A56"/>
    <w:rsid w:val="0098403A"/>
    <w:rsid w:val="00987404"/>
    <w:rsid w:val="00991CD0"/>
    <w:rsid w:val="00993F56"/>
    <w:rsid w:val="00994471"/>
    <w:rsid w:val="00994783"/>
    <w:rsid w:val="00994930"/>
    <w:rsid w:val="009973EE"/>
    <w:rsid w:val="009A0054"/>
    <w:rsid w:val="009A4401"/>
    <w:rsid w:val="009B0664"/>
    <w:rsid w:val="009B1675"/>
    <w:rsid w:val="009B1EC0"/>
    <w:rsid w:val="009B1F36"/>
    <w:rsid w:val="009B5FB2"/>
    <w:rsid w:val="009B6B25"/>
    <w:rsid w:val="009B7F36"/>
    <w:rsid w:val="009C1B79"/>
    <w:rsid w:val="009C1F30"/>
    <w:rsid w:val="009C7348"/>
    <w:rsid w:val="009C7B3E"/>
    <w:rsid w:val="009D0FAE"/>
    <w:rsid w:val="009D24FC"/>
    <w:rsid w:val="009D544A"/>
    <w:rsid w:val="009D5B49"/>
    <w:rsid w:val="009E1A74"/>
    <w:rsid w:val="009E2CA1"/>
    <w:rsid w:val="009E2D7D"/>
    <w:rsid w:val="009E36AF"/>
    <w:rsid w:val="009E393A"/>
    <w:rsid w:val="009E440D"/>
    <w:rsid w:val="009F01CA"/>
    <w:rsid w:val="009F3C72"/>
    <w:rsid w:val="009F5523"/>
    <w:rsid w:val="009F76DB"/>
    <w:rsid w:val="00A00CB6"/>
    <w:rsid w:val="00A05FFE"/>
    <w:rsid w:val="00A1157F"/>
    <w:rsid w:val="00A11661"/>
    <w:rsid w:val="00A15519"/>
    <w:rsid w:val="00A16881"/>
    <w:rsid w:val="00A179A4"/>
    <w:rsid w:val="00A21C38"/>
    <w:rsid w:val="00A24CA4"/>
    <w:rsid w:val="00A264FB"/>
    <w:rsid w:val="00A31472"/>
    <w:rsid w:val="00A314AA"/>
    <w:rsid w:val="00A32C3B"/>
    <w:rsid w:val="00A335C3"/>
    <w:rsid w:val="00A3420A"/>
    <w:rsid w:val="00A352B2"/>
    <w:rsid w:val="00A35669"/>
    <w:rsid w:val="00A405DC"/>
    <w:rsid w:val="00A43A47"/>
    <w:rsid w:val="00A45F4F"/>
    <w:rsid w:val="00A47478"/>
    <w:rsid w:val="00A54F55"/>
    <w:rsid w:val="00A56023"/>
    <w:rsid w:val="00A5681D"/>
    <w:rsid w:val="00A56F3A"/>
    <w:rsid w:val="00A600A9"/>
    <w:rsid w:val="00A60B62"/>
    <w:rsid w:val="00A63007"/>
    <w:rsid w:val="00A64BD9"/>
    <w:rsid w:val="00A668D8"/>
    <w:rsid w:val="00A669DD"/>
    <w:rsid w:val="00A74906"/>
    <w:rsid w:val="00A75C20"/>
    <w:rsid w:val="00A75D45"/>
    <w:rsid w:val="00A803A5"/>
    <w:rsid w:val="00A811F9"/>
    <w:rsid w:val="00A842D9"/>
    <w:rsid w:val="00A86188"/>
    <w:rsid w:val="00A90406"/>
    <w:rsid w:val="00A9384B"/>
    <w:rsid w:val="00A93DE5"/>
    <w:rsid w:val="00A9628F"/>
    <w:rsid w:val="00A97C41"/>
    <w:rsid w:val="00A97DED"/>
    <w:rsid w:val="00AA032D"/>
    <w:rsid w:val="00AA0EFE"/>
    <w:rsid w:val="00AA15C4"/>
    <w:rsid w:val="00AA55B7"/>
    <w:rsid w:val="00AA5B9E"/>
    <w:rsid w:val="00AB0CB1"/>
    <w:rsid w:val="00AB1E95"/>
    <w:rsid w:val="00AB2407"/>
    <w:rsid w:val="00AB2D2F"/>
    <w:rsid w:val="00AB3DD5"/>
    <w:rsid w:val="00AB53DF"/>
    <w:rsid w:val="00AB712D"/>
    <w:rsid w:val="00AC0D31"/>
    <w:rsid w:val="00AC1517"/>
    <w:rsid w:val="00AC705B"/>
    <w:rsid w:val="00AD0357"/>
    <w:rsid w:val="00AD3481"/>
    <w:rsid w:val="00AD56B8"/>
    <w:rsid w:val="00AE1A3B"/>
    <w:rsid w:val="00AE293F"/>
    <w:rsid w:val="00AE6624"/>
    <w:rsid w:val="00AE722C"/>
    <w:rsid w:val="00AE78D8"/>
    <w:rsid w:val="00AF65BB"/>
    <w:rsid w:val="00AF7C17"/>
    <w:rsid w:val="00B00513"/>
    <w:rsid w:val="00B01717"/>
    <w:rsid w:val="00B05028"/>
    <w:rsid w:val="00B05DA7"/>
    <w:rsid w:val="00B071D4"/>
    <w:rsid w:val="00B07255"/>
    <w:rsid w:val="00B07E5C"/>
    <w:rsid w:val="00B11B3D"/>
    <w:rsid w:val="00B128A2"/>
    <w:rsid w:val="00B13146"/>
    <w:rsid w:val="00B15200"/>
    <w:rsid w:val="00B156FC"/>
    <w:rsid w:val="00B205E9"/>
    <w:rsid w:val="00B22989"/>
    <w:rsid w:val="00B23373"/>
    <w:rsid w:val="00B24368"/>
    <w:rsid w:val="00B25664"/>
    <w:rsid w:val="00B25956"/>
    <w:rsid w:val="00B300FB"/>
    <w:rsid w:val="00B31E63"/>
    <w:rsid w:val="00B34E6F"/>
    <w:rsid w:val="00B375E3"/>
    <w:rsid w:val="00B37FF1"/>
    <w:rsid w:val="00B40BD6"/>
    <w:rsid w:val="00B43814"/>
    <w:rsid w:val="00B44A14"/>
    <w:rsid w:val="00B45E32"/>
    <w:rsid w:val="00B4783E"/>
    <w:rsid w:val="00B47AB6"/>
    <w:rsid w:val="00B51B27"/>
    <w:rsid w:val="00B5553C"/>
    <w:rsid w:val="00B563CD"/>
    <w:rsid w:val="00B56DB6"/>
    <w:rsid w:val="00B5732B"/>
    <w:rsid w:val="00B57841"/>
    <w:rsid w:val="00B6093A"/>
    <w:rsid w:val="00B60EE7"/>
    <w:rsid w:val="00B612D8"/>
    <w:rsid w:val="00B61576"/>
    <w:rsid w:val="00B61A55"/>
    <w:rsid w:val="00B63709"/>
    <w:rsid w:val="00B6580E"/>
    <w:rsid w:val="00B735AB"/>
    <w:rsid w:val="00B744F6"/>
    <w:rsid w:val="00B75AFC"/>
    <w:rsid w:val="00B75B51"/>
    <w:rsid w:val="00B7666B"/>
    <w:rsid w:val="00B76842"/>
    <w:rsid w:val="00B80D7E"/>
    <w:rsid w:val="00B80D9A"/>
    <w:rsid w:val="00B811F7"/>
    <w:rsid w:val="00B81595"/>
    <w:rsid w:val="00B82F7C"/>
    <w:rsid w:val="00B85690"/>
    <w:rsid w:val="00B87FA1"/>
    <w:rsid w:val="00B9219B"/>
    <w:rsid w:val="00B93625"/>
    <w:rsid w:val="00B948CD"/>
    <w:rsid w:val="00B9542A"/>
    <w:rsid w:val="00BA07A8"/>
    <w:rsid w:val="00BA10BD"/>
    <w:rsid w:val="00BA1B8B"/>
    <w:rsid w:val="00BA595A"/>
    <w:rsid w:val="00BA5A66"/>
    <w:rsid w:val="00BA5DC6"/>
    <w:rsid w:val="00BA6196"/>
    <w:rsid w:val="00BB038E"/>
    <w:rsid w:val="00BB06CD"/>
    <w:rsid w:val="00BB2C51"/>
    <w:rsid w:val="00BB7803"/>
    <w:rsid w:val="00BB7B54"/>
    <w:rsid w:val="00BB7D22"/>
    <w:rsid w:val="00BC06DA"/>
    <w:rsid w:val="00BC0723"/>
    <w:rsid w:val="00BC2592"/>
    <w:rsid w:val="00BC2F76"/>
    <w:rsid w:val="00BC6B6A"/>
    <w:rsid w:val="00BC6D8C"/>
    <w:rsid w:val="00BC6E8A"/>
    <w:rsid w:val="00BC7AD4"/>
    <w:rsid w:val="00BD36E0"/>
    <w:rsid w:val="00BE2D7D"/>
    <w:rsid w:val="00BE6B5B"/>
    <w:rsid w:val="00BE7F5B"/>
    <w:rsid w:val="00BF1643"/>
    <w:rsid w:val="00BF2C42"/>
    <w:rsid w:val="00BF4CF0"/>
    <w:rsid w:val="00BF5C43"/>
    <w:rsid w:val="00C01AF6"/>
    <w:rsid w:val="00C02CED"/>
    <w:rsid w:val="00C03E14"/>
    <w:rsid w:val="00C05C93"/>
    <w:rsid w:val="00C07A10"/>
    <w:rsid w:val="00C109DB"/>
    <w:rsid w:val="00C111B8"/>
    <w:rsid w:val="00C13D01"/>
    <w:rsid w:val="00C15AB2"/>
    <w:rsid w:val="00C15F6C"/>
    <w:rsid w:val="00C1631C"/>
    <w:rsid w:val="00C16333"/>
    <w:rsid w:val="00C174FA"/>
    <w:rsid w:val="00C21984"/>
    <w:rsid w:val="00C250A0"/>
    <w:rsid w:val="00C27BC9"/>
    <w:rsid w:val="00C31EFE"/>
    <w:rsid w:val="00C34006"/>
    <w:rsid w:val="00C37354"/>
    <w:rsid w:val="00C426B1"/>
    <w:rsid w:val="00C43D26"/>
    <w:rsid w:val="00C4501B"/>
    <w:rsid w:val="00C463F6"/>
    <w:rsid w:val="00C514B1"/>
    <w:rsid w:val="00C516C4"/>
    <w:rsid w:val="00C5417B"/>
    <w:rsid w:val="00C55195"/>
    <w:rsid w:val="00C566E7"/>
    <w:rsid w:val="00C60549"/>
    <w:rsid w:val="00C60BA9"/>
    <w:rsid w:val="00C61839"/>
    <w:rsid w:val="00C61AE0"/>
    <w:rsid w:val="00C64D73"/>
    <w:rsid w:val="00C66160"/>
    <w:rsid w:val="00C66332"/>
    <w:rsid w:val="00C672FF"/>
    <w:rsid w:val="00C6754F"/>
    <w:rsid w:val="00C67972"/>
    <w:rsid w:val="00C721AC"/>
    <w:rsid w:val="00C7417F"/>
    <w:rsid w:val="00C74813"/>
    <w:rsid w:val="00C80E13"/>
    <w:rsid w:val="00C90D6A"/>
    <w:rsid w:val="00C94E5D"/>
    <w:rsid w:val="00C97FB9"/>
    <w:rsid w:val="00CA0C34"/>
    <w:rsid w:val="00CA1D40"/>
    <w:rsid w:val="00CA247E"/>
    <w:rsid w:val="00CA3F24"/>
    <w:rsid w:val="00CB07E1"/>
    <w:rsid w:val="00CB08A2"/>
    <w:rsid w:val="00CB224A"/>
    <w:rsid w:val="00CB4B54"/>
    <w:rsid w:val="00CB68FF"/>
    <w:rsid w:val="00CB7ED0"/>
    <w:rsid w:val="00CC0DC3"/>
    <w:rsid w:val="00CC3D7A"/>
    <w:rsid w:val="00CC613D"/>
    <w:rsid w:val="00CC72B6"/>
    <w:rsid w:val="00CD02C5"/>
    <w:rsid w:val="00CD57B8"/>
    <w:rsid w:val="00CD698A"/>
    <w:rsid w:val="00CE3062"/>
    <w:rsid w:val="00CE49D7"/>
    <w:rsid w:val="00CE6DA4"/>
    <w:rsid w:val="00CF0831"/>
    <w:rsid w:val="00CF1BB0"/>
    <w:rsid w:val="00CF27C6"/>
    <w:rsid w:val="00CF46A7"/>
    <w:rsid w:val="00CF4D67"/>
    <w:rsid w:val="00CF4F77"/>
    <w:rsid w:val="00CF5E82"/>
    <w:rsid w:val="00D00950"/>
    <w:rsid w:val="00D017C2"/>
    <w:rsid w:val="00D019EB"/>
    <w:rsid w:val="00D0218D"/>
    <w:rsid w:val="00D02F00"/>
    <w:rsid w:val="00D051DE"/>
    <w:rsid w:val="00D05894"/>
    <w:rsid w:val="00D06EA7"/>
    <w:rsid w:val="00D07802"/>
    <w:rsid w:val="00D11508"/>
    <w:rsid w:val="00D11C35"/>
    <w:rsid w:val="00D13660"/>
    <w:rsid w:val="00D13CB7"/>
    <w:rsid w:val="00D14771"/>
    <w:rsid w:val="00D213CC"/>
    <w:rsid w:val="00D22304"/>
    <w:rsid w:val="00D25E16"/>
    <w:rsid w:val="00D25FB5"/>
    <w:rsid w:val="00D26311"/>
    <w:rsid w:val="00D26D29"/>
    <w:rsid w:val="00D31644"/>
    <w:rsid w:val="00D31DB5"/>
    <w:rsid w:val="00D32347"/>
    <w:rsid w:val="00D35920"/>
    <w:rsid w:val="00D35995"/>
    <w:rsid w:val="00D3620C"/>
    <w:rsid w:val="00D368AD"/>
    <w:rsid w:val="00D3720C"/>
    <w:rsid w:val="00D37C5B"/>
    <w:rsid w:val="00D37CFF"/>
    <w:rsid w:val="00D40A5F"/>
    <w:rsid w:val="00D40FE4"/>
    <w:rsid w:val="00D43189"/>
    <w:rsid w:val="00D44223"/>
    <w:rsid w:val="00D44728"/>
    <w:rsid w:val="00D46007"/>
    <w:rsid w:val="00D46EE3"/>
    <w:rsid w:val="00D50F5A"/>
    <w:rsid w:val="00D51C25"/>
    <w:rsid w:val="00D52F6D"/>
    <w:rsid w:val="00D55A6C"/>
    <w:rsid w:val="00D568A8"/>
    <w:rsid w:val="00D57011"/>
    <w:rsid w:val="00D573F4"/>
    <w:rsid w:val="00D61828"/>
    <w:rsid w:val="00D63E23"/>
    <w:rsid w:val="00D64D03"/>
    <w:rsid w:val="00D75A8C"/>
    <w:rsid w:val="00D75C3A"/>
    <w:rsid w:val="00D76309"/>
    <w:rsid w:val="00D7685D"/>
    <w:rsid w:val="00D770AC"/>
    <w:rsid w:val="00D77257"/>
    <w:rsid w:val="00D80C1F"/>
    <w:rsid w:val="00D8174C"/>
    <w:rsid w:val="00D81A63"/>
    <w:rsid w:val="00D8242D"/>
    <w:rsid w:val="00D85FD7"/>
    <w:rsid w:val="00D8629F"/>
    <w:rsid w:val="00D91C93"/>
    <w:rsid w:val="00D94015"/>
    <w:rsid w:val="00D94764"/>
    <w:rsid w:val="00D95552"/>
    <w:rsid w:val="00D95C9F"/>
    <w:rsid w:val="00D969E3"/>
    <w:rsid w:val="00D97744"/>
    <w:rsid w:val="00DA0772"/>
    <w:rsid w:val="00DA0D3A"/>
    <w:rsid w:val="00DA0D3E"/>
    <w:rsid w:val="00DA17B1"/>
    <w:rsid w:val="00DA1A16"/>
    <w:rsid w:val="00DA2529"/>
    <w:rsid w:val="00DA574A"/>
    <w:rsid w:val="00DB130A"/>
    <w:rsid w:val="00DB1310"/>
    <w:rsid w:val="00DB1A1D"/>
    <w:rsid w:val="00DB203D"/>
    <w:rsid w:val="00DB238B"/>
    <w:rsid w:val="00DB2EBB"/>
    <w:rsid w:val="00DB3D4E"/>
    <w:rsid w:val="00DB40B9"/>
    <w:rsid w:val="00DB4555"/>
    <w:rsid w:val="00DB4E5F"/>
    <w:rsid w:val="00DB6A9C"/>
    <w:rsid w:val="00DB77ED"/>
    <w:rsid w:val="00DC040E"/>
    <w:rsid w:val="00DC10A1"/>
    <w:rsid w:val="00DC171F"/>
    <w:rsid w:val="00DC26D8"/>
    <w:rsid w:val="00DC6142"/>
    <w:rsid w:val="00DC64AD"/>
    <w:rsid w:val="00DC655F"/>
    <w:rsid w:val="00DC6E80"/>
    <w:rsid w:val="00DC7653"/>
    <w:rsid w:val="00DC78D2"/>
    <w:rsid w:val="00DD0B59"/>
    <w:rsid w:val="00DD17B5"/>
    <w:rsid w:val="00DD5096"/>
    <w:rsid w:val="00DD569E"/>
    <w:rsid w:val="00DD6889"/>
    <w:rsid w:val="00DD7EBD"/>
    <w:rsid w:val="00DE1182"/>
    <w:rsid w:val="00DE2DAE"/>
    <w:rsid w:val="00DE4D7D"/>
    <w:rsid w:val="00DE6283"/>
    <w:rsid w:val="00DF1922"/>
    <w:rsid w:val="00DF19A3"/>
    <w:rsid w:val="00DF2116"/>
    <w:rsid w:val="00DF62B6"/>
    <w:rsid w:val="00DF6E2B"/>
    <w:rsid w:val="00E0160F"/>
    <w:rsid w:val="00E016D9"/>
    <w:rsid w:val="00E05F6F"/>
    <w:rsid w:val="00E071E9"/>
    <w:rsid w:val="00E07225"/>
    <w:rsid w:val="00E078EF"/>
    <w:rsid w:val="00E07AFA"/>
    <w:rsid w:val="00E144E4"/>
    <w:rsid w:val="00E254CB"/>
    <w:rsid w:val="00E25DFD"/>
    <w:rsid w:val="00E3128D"/>
    <w:rsid w:val="00E31FFB"/>
    <w:rsid w:val="00E33184"/>
    <w:rsid w:val="00E33D8C"/>
    <w:rsid w:val="00E348AF"/>
    <w:rsid w:val="00E366FF"/>
    <w:rsid w:val="00E36824"/>
    <w:rsid w:val="00E36A0B"/>
    <w:rsid w:val="00E36D31"/>
    <w:rsid w:val="00E40F25"/>
    <w:rsid w:val="00E41E31"/>
    <w:rsid w:val="00E422C2"/>
    <w:rsid w:val="00E44562"/>
    <w:rsid w:val="00E46539"/>
    <w:rsid w:val="00E466D9"/>
    <w:rsid w:val="00E47300"/>
    <w:rsid w:val="00E50FF5"/>
    <w:rsid w:val="00E5236D"/>
    <w:rsid w:val="00E53F8F"/>
    <w:rsid w:val="00E5409F"/>
    <w:rsid w:val="00E60B6A"/>
    <w:rsid w:val="00E620C9"/>
    <w:rsid w:val="00E622CE"/>
    <w:rsid w:val="00E64BCD"/>
    <w:rsid w:val="00E703BE"/>
    <w:rsid w:val="00E70656"/>
    <w:rsid w:val="00E71568"/>
    <w:rsid w:val="00E76514"/>
    <w:rsid w:val="00E76B13"/>
    <w:rsid w:val="00E8076F"/>
    <w:rsid w:val="00E82200"/>
    <w:rsid w:val="00E82ABD"/>
    <w:rsid w:val="00E83617"/>
    <w:rsid w:val="00E8623F"/>
    <w:rsid w:val="00E87EFB"/>
    <w:rsid w:val="00E90B11"/>
    <w:rsid w:val="00E9115D"/>
    <w:rsid w:val="00E93290"/>
    <w:rsid w:val="00E94CB3"/>
    <w:rsid w:val="00E94D01"/>
    <w:rsid w:val="00E952F9"/>
    <w:rsid w:val="00E95766"/>
    <w:rsid w:val="00E95D45"/>
    <w:rsid w:val="00E96F8A"/>
    <w:rsid w:val="00E975D3"/>
    <w:rsid w:val="00EA1A7E"/>
    <w:rsid w:val="00EA1CF4"/>
    <w:rsid w:val="00EA1EC7"/>
    <w:rsid w:val="00EA2773"/>
    <w:rsid w:val="00EA4FA7"/>
    <w:rsid w:val="00EB4488"/>
    <w:rsid w:val="00EB4B53"/>
    <w:rsid w:val="00EB52FC"/>
    <w:rsid w:val="00EB5580"/>
    <w:rsid w:val="00EC475E"/>
    <w:rsid w:val="00EC5932"/>
    <w:rsid w:val="00ED1494"/>
    <w:rsid w:val="00ED2E7A"/>
    <w:rsid w:val="00ED352B"/>
    <w:rsid w:val="00ED387F"/>
    <w:rsid w:val="00ED42F2"/>
    <w:rsid w:val="00EE0D6D"/>
    <w:rsid w:val="00EE1084"/>
    <w:rsid w:val="00EE2ABA"/>
    <w:rsid w:val="00EE5981"/>
    <w:rsid w:val="00EE6488"/>
    <w:rsid w:val="00EE6FF0"/>
    <w:rsid w:val="00EF0353"/>
    <w:rsid w:val="00EF15B8"/>
    <w:rsid w:val="00EF234D"/>
    <w:rsid w:val="00EF2C32"/>
    <w:rsid w:val="00EF3426"/>
    <w:rsid w:val="00EF3670"/>
    <w:rsid w:val="00EF3D34"/>
    <w:rsid w:val="00EF65D1"/>
    <w:rsid w:val="00EF7205"/>
    <w:rsid w:val="00F00937"/>
    <w:rsid w:val="00F021FA"/>
    <w:rsid w:val="00F02CF5"/>
    <w:rsid w:val="00F02D06"/>
    <w:rsid w:val="00F1664D"/>
    <w:rsid w:val="00F17AA5"/>
    <w:rsid w:val="00F17BFF"/>
    <w:rsid w:val="00F2542E"/>
    <w:rsid w:val="00F25792"/>
    <w:rsid w:val="00F264B2"/>
    <w:rsid w:val="00F311DB"/>
    <w:rsid w:val="00F35A98"/>
    <w:rsid w:val="00F37C7B"/>
    <w:rsid w:val="00F421C6"/>
    <w:rsid w:val="00F424F2"/>
    <w:rsid w:val="00F46DBA"/>
    <w:rsid w:val="00F508E7"/>
    <w:rsid w:val="00F51C51"/>
    <w:rsid w:val="00F56A2C"/>
    <w:rsid w:val="00F5712C"/>
    <w:rsid w:val="00F5780D"/>
    <w:rsid w:val="00F616CC"/>
    <w:rsid w:val="00F61738"/>
    <w:rsid w:val="00F62E97"/>
    <w:rsid w:val="00F63CAC"/>
    <w:rsid w:val="00F64209"/>
    <w:rsid w:val="00F642C0"/>
    <w:rsid w:val="00F72562"/>
    <w:rsid w:val="00F72C00"/>
    <w:rsid w:val="00F73652"/>
    <w:rsid w:val="00F740B8"/>
    <w:rsid w:val="00F74586"/>
    <w:rsid w:val="00F74C73"/>
    <w:rsid w:val="00F75555"/>
    <w:rsid w:val="00F759EC"/>
    <w:rsid w:val="00F75D88"/>
    <w:rsid w:val="00F77B7B"/>
    <w:rsid w:val="00F81BDA"/>
    <w:rsid w:val="00F81DC0"/>
    <w:rsid w:val="00F840B5"/>
    <w:rsid w:val="00F87D35"/>
    <w:rsid w:val="00F90EA9"/>
    <w:rsid w:val="00F918EA"/>
    <w:rsid w:val="00F91D64"/>
    <w:rsid w:val="00F9270B"/>
    <w:rsid w:val="00F93BF5"/>
    <w:rsid w:val="00F9545C"/>
    <w:rsid w:val="00F95C38"/>
    <w:rsid w:val="00FB35EC"/>
    <w:rsid w:val="00FB47D5"/>
    <w:rsid w:val="00FC0F8F"/>
    <w:rsid w:val="00FC2FDD"/>
    <w:rsid w:val="00FC320D"/>
    <w:rsid w:val="00FC606C"/>
    <w:rsid w:val="00FC68F1"/>
    <w:rsid w:val="00FD11EC"/>
    <w:rsid w:val="00FD3D08"/>
    <w:rsid w:val="00FD63F5"/>
    <w:rsid w:val="00FD7970"/>
    <w:rsid w:val="00FE0ED3"/>
    <w:rsid w:val="00FE4161"/>
    <w:rsid w:val="00FE4718"/>
    <w:rsid w:val="00FE49AF"/>
    <w:rsid w:val="00FE537D"/>
    <w:rsid w:val="00FE5793"/>
    <w:rsid w:val="00FF4524"/>
    <w:rsid w:val="00FF504B"/>
    <w:rsid w:val="00FF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FB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5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09175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
    <w:autoRedefine/>
    <w:qFormat/>
    <w:rsid w:val="0009175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qFormat/>
    <w:rsid w:val="0009175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09175D"/>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9175D"/>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9175D"/>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9175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9175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9175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7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75D"/>
  </w:style>
  <w:style w:type="paragraph" w:customStyle="1" w:styleId="ParaNum">
    <w:name w:val="ParaNum"/>
    <w:basedOn w:val="Normal"/>
    <w:link w:val="ParaNumChar"/>
    <w:rsid w:val="0009175D"/>
    <w:pPr>
      <w:numPr>
        <w:numId w:val="1"/>
      </w:numPr>
      <w:tabs>
        <w:tab w:val="clear" w:pos="1080"/>
        <w:tab w:val="num" w:pos="1440"/>
      </w:tabs>
      <w:spacing w:after="120"/>
    </w:pPr>
  </w:style>
  <w:style w:type="paragraph" w:styleId="EndnoteText">
    <w:name w:val="endnote text"/>
    <w:basedOn w:val="Normal"/>
    <w:semiHidden/>
    <w:rsid w:val="0009175D"/>
    <w:rPr>
      <w:sz w:val="20"/>
    </w:rPr>
  </w:style>
  <w:style w:type="character" w:styleId="EndnoteReference">
    <w:name w:val="endnote reference"/>
    <w:semiHidden/>
    <w:rsid w:val="0009175D"/>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9175D"/>
    <w:pPr>
      <w:spacing w:after="120"/>
    </w:pPr>
  </w:style>
  <w:style w:type="character" w:styleId="FootnoteReference">
    <w:name w:val="footnote reference"/>
    <w:aliases w:val="Style 12,(NECG) Footnote Reference,o,fr,Style 3,Appel note de bas de p,Style 124,Style 17,FR,Style 13,Footnote Reference/,Style 6,Style 7,Style 4,Footnote Reference1,Style 34,Style 9,Style 20,callout,-E Funotenzeichen"/>
    <w:rsid w:val="0009175D"/>
    <w:rPr>
      <w:rFonts w:ascii="Times New Roman" w:hAnsi="Times New Roman"/>
      <w:dstrike w:val="0"/>
      <w:color w:val="auto"/>
      <w:sz w:val="20"/>
      <w:vertAlign w:val="superscript"/>
    </w:rPr>
  </w:style>
  <w:style w:type="paragraph" w:styleId="TOC1">
    <w:name w:val="toc 1"/>
    <w:basedOn w:val="Normal"/>
    <w:next w:val="Normal"/>
    <w:semiHidden/>
    <w:rsid w:val="0009175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175D"/>
    <w:pPr>
      <w:tabs>
        <w:tab w:val="left" w:pos="720"/>
        <w:tab w:val="right" w:leader="dot" w:pos="9360"/>
      </w:tabs>
      <w:suppressAutoHyphens/>
      <w:ind w:left="720" w:right="720" w:hanging="360"/>
    </w:pPr>
    <w:rPr>
      <w:noProof/>
    </w:rPr>
  </w:style>
  <w:style w:type="paragraph" w:styleId="TOC3">
    <w:name w:val="toc 3"/>
    <w:basedOn w:val="Normal"/>
    <w:next w:val="Normal"/>
    <w:semiHidden/>
    <w:rsid w:val="000917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17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17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17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17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17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17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175D"/>
    <w:pPr>
      <w:tabs>
        <w:tab w:val="right" w:pos="9360"/>
      </w:tabs>
      <w:suppressAutoHyphens/>
    </w:pPr>
  </w:style>
  <w:style w:type="character" w:customStyle="1" w:styleId="EquationCaption">
    <w:name w:val="_Equation Caption"/>
    <w:rsid w:val="0009175D"/>
  </w:style>
  <w:style w:type="paragraph" w:styleId="Header">
    <w:name w:val="header"/>
    <w:basedOn w:val="Normal"/>
    <w:autoRedefine/>
    <w:rsid w:val="0009175D"/>
    <w:pPr>
      <w:tabs>
        <w:tab w:val="center" w:pos="4680"/>
        <w:tab w:val="right" w:pos="9360"/>
      </w:tabs>
    </w:pPr>
    <w:rPr>
      <w:b/>
    </w:rPr>
  </w:style>
  <w:style w:type="paragraph" w:styleId="Footer">
    <w:name w:val="footer"/>
    <w:basedOn w:val="Normal"/>
    <w:link w:val="FooterChar"/>
    <w:rsid w:val="0009175D"/>
    <w:pPr>
      <w:tabs>
        <w:tab w:val="center" w:pos="4320"/>
        <w:tab w:val="right" w:pos="8640"/>
      </w:tabs>
    </w:pPr>
  </w:style>
  <w:style w:type="character" w:styleId="PageNumber">
    <w:name w:val="page number"/>
    <w:basedOn w:val="DefaultParagraphFont"/>
    <w:rsid w:val="0009175D"/>
  </w:style>
  <w:style w:type="paragraph" w:styleId="BlockText">
    <w:name w:val="Block Text"/>
    <w:basedOn w:val="Normal"/>
    <w:rsid w:val="0009175D"/>
    <w:pPr>
      <w:spacing w:after="240"/>
      <w:ind w:left="1440" w:right="1440"/>
    </w:pPr>
  </w:style>
  <w:style w:type="paragraph" w:customStyle="1" w:styleId="Paratitle">
    <w:name w:val="Para title"/>
    <w:basedOn w:val="Normal"/>
    <w:rsid w:val="0009175D"/>
    <w:pPr>
      <w:tabs>
        <w:tab w:val="center" w:pos="9270"/>
      </w:tabs>
      <w:spacing w:after="240"/>
    </w:pPr>
    <w:rPr>
      <w:spacing w:val="-2"/>
    </w:rPr>
  </w:style>
  <w:style w:type="paragraph" w:customStyle="1" w:styleId="Bullet">
    <w:name w:val="Bullet"/>
    <w:basedOn w:val="Normal"/>
    <w:rsid w:val="0009175D"/>
    <w:pPr>
      <w:tabs>
        <w:tab w:val="left" w:pos="2160"/>
      </w:tabs>
      <w:spacing w:after="220"/>
      <w:ind w:left="2160" w:hanging="720"/>
    </w:pPr>
  </w:style>
  <w:style w:type="paragraph" w:customStyle="1" w:styleId="TableFormat">
    <w:name w:val="TableFormat"/>
    <w:basedOn w:val="Bullet"/>
    <w:rsid w:val="0009175D"/>
    <w:pPr>
      <w:tabs>
        <w:tab w:val="clear" w:pos="2160"/>
        <w:tab w:val="left" w:pos="5040"/>
      </w:tabs>
      <w:ind w:left="5040" w:hanging="3600"/>
    </w:pPr>
  </w:style>
  <w:style w:type="paragraph" w:customStyle="1" w:styleId="TOCTitle">
    <w:name w:val="TOC Title"/>
    <w:basedOn w:val="Normal"/>
    <w:rsid w:val="000917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175D"/>
    <w:pPr>
      <w:jc w:val="center"/>
    </w:pPr>
    <w:rPr>
      <w:rFonts w:ascii="Times New Roman Bold" w:hAnsi="Times New Roman Bold"/>
      <w:b/>
      <w:bCs/>
      <w:caps/>
      <w:szCs w:val="22"/>
    </w:rPr>
  </w:style>
  <w:style w:type="character" w:styleId="Hyperlink">
    <w:name w:val="Hyperlink"/>
    <w:rsid w:val="0009175D"/>
    <w:rPr>
      <w:color w:val="0000FF"/>
      <w:u w:val="single"/>
    </w:rPr>
  </w:style>
  <w:style w:type="character" w:customStyle="1" w:styleId="ParaNumChar">
    <w:name w:val="ParaNum Char"/>
    <w:link w:val="ParaNum"/>
    <w:rsid w:val="00350222"/>
    <w:rPr>
      <w:snapToGrid w:val="0"/>
      <w:kern w:val="28"/>
      <w:sz w:val="22"/>
    </w:rPr>
  </w:style>
  <w:style w:type="character" w:customStyle="1" w:styleId="FooterChar">
    <w:name w:val="Footer Char"/>
    <w:link w:val="Footer"/>
    <w:rsid w:val="003856DF"/>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3856DF"/>
  </w:style>
  <w:style w:type="character" w:styleId="CommentReference">
    <w:name w:val="annotation reference"/>
    <w:basedOn w:val="DefaultParagraphFont"/>
    <w:rsid w:val="00EF3D34"/>
    <w:rPr>
      <w:sz w:val="16"/>
      <w:szCs w:val="16"/>
    </w:rPr>
  </w:style>
  <w:style w:type="paragraph" w:styleId="CommentText">
    <w:name w:val="annotation text"/>
    <w:basedOn w:val="Normal"/>
    <w:link w:val="CommentTextChar"/>
    <w:rsid w:val="00EF3D34"/>
    <w:pPr>
      <w:spacing w:after="160" w:line="259" w:lineRule="auto"/>
    </w:pPr>
    <w:rPr>
      <w:rFonts w:asciiTheme="minorHAnsi" w:hAnsiTheme="minorHAnsi" w:cstheme="minorBidi"/>
      <w:sz w:val="20"/>
    </w:rPr>
  </w:style>
  <w:style w:type="character" w:customStyle="1" w:styleId="CommentTextChar">
    <w:name w:val="Comment Text Char"/>
    <w:basedOn w:val="DefaultParagraphFont"/>
    <w:link w:val="CommentText"/>
    <w:rsid w:val="00EF3D34"/>
    <w:rPr>
      <w:rFonts w:asciiTheme="minorHAnsi" w:eastAsiaTheme="minorHAnsi" w:hAnsiTheme="minorHAnsi" w:cstheme="minorBidi"/>
      <w:szCs w:val="22"/>
    </w:rPr>
  </w:style>
  <w:style w:type="paragraph" w:styleId="BalloonText">
    <w:name w:val="Balloon Text"/>
    <w:basedOn w:val="Normal"/>
    <w:link w:val="BalloonTextChar"/>
    <w:rsid w:val="00EF3D34"/>
    <w:rPr>
      <w:rFonts w:ascii="Segoe UI" w:hAnsi="Segoe UI" w:cs="Segoe UI"/>
      <w:snapToGrid/>
      <w:sz w:val="18"/>
      <w:szCs w:val="18"/>
    </w:rPr>
  </w:style>
  <w:style w:type="character" w:customStyle="1" w:styleId="BalloonTextChar">
    <w:name w:val="Balloon Text Char"/>
    <w:basedOn w:val="DefaultParagraphFont"/>
    <w:link w:val="BalloonText"/>
    <w:rsid w:val="00EF3D34"/>
    <w:rPr>
      <w:rFonts w:ascii="Segoe UI" w:hAnsi="Segoe UI" w:cs="Segoe UI"/>
      <w:snapToGrid w:val="0"/>
      <w:kern w:val="28"/>
      <w:sz w:val="18"/>
      <w:szCs w:val="18"/>
    </w:rPr>
  </w:style>
  <w:style w:type="character" w:customStyle="1" w:styleId="Footnote">
    <w:name w:val="Footnote"/>
    <w:rsid w:val="007564FC"/>
  </w:style>
  <w:style w:type="character" w:customStyle="1" w:styleId="StyleFootnoteReferenceStyle13Style12NECGFootnoteReferenc">
    <w:name w:val="Style Footnote ReferenceStyle 13Style 12(NECG) Footnote Referenc..."/>
    <w:uiPriority w:val="99"/>
    <w:rsid w:val="007564FC"/>
    <w:rPr>
      <w:rFonts w:ascii="Times New Roman" w:hAnsi="Times New Roman"/>
      <w:color w:val="auto"/>
      <w:position w:val="0"/>
      <w:sz w:val="20"/>
      <w:vertAlign w:val="superscript"/>
    </w:rPr>
  </w:style>
  <w:style w:type="paragraph" w:styleId="CommentSubject">
    <w:name w:val="annotation subject"/>
    <w:basedOn w:val="CommentText"/>
    <w:next w:val="CommentText"/>
    <w:link w:val="CommentSubjectChar"/>
    <w:rsid w:val="00E33184"/>
    <w:pPr>
      <w:spacing w:after="0" w:line="240" w:lineRule="auto"/>
    </w:pPr>
    <w:rPr>
      <w:rFonts w:ascii="Times New Roman" w:hAnsi="Times New Roman" w:cs="Times New Roman"/>
      <w:b/>
      <w:bCs/>
      <w:snapToGrid/>
    </w:rPr>
  </w:style>
  <w:style w:type="character" w:customStyle="1" w:styleId="CommentSubjectChar">
    <w:name w:val="Comment Subject Char"/>
    <w:basedOn w:val="CommentTextChar"/>
    <w:link w:val="CommentSubject"/>
    <w:rsid w:val="00E33184"/>
    <w:rPr>
      <w:rFonts w:asciiTheme="minorHAnsi" w:eastAsiaTheme="minorHAnsi" w:hAnsiTheme="minorHAnsi" w:cstheme="minorBidi"/>
      <w:b/>
      <w:bCs/>
      <w:snapToGrid w:val="0"/>
      <w:kern w:val="28"/>
      <w:szCs w:val="22"/>
    </w:rPr>
  </w:style>
  <w:style w:type="paragraph" w:styleId="Revision">
    <w:name w:val="Revision"/>
    <w:hidden/>
    <w:uiPriority w:val="99"/>
    <w:semiHidden/>
    <w:rsid w:val="0000049B"/>
    <w:rPr>
      <w:snapToGrid w:val="0"/>
      <w:kern w:val="28"/>
      <w:sz w:val="22"/>
    </w:rPr>
  </w:style>
  <w:style w:type="character" w:styleId="FollowedHyperlink">
    <w:name w:val="FollowedHyperlink"/>
    <w:basedOn w:val="DefaultParagraphFont"/>
    <w:rsid w:val="000C1D47"/>
    <w:rPr>
      <w:color w:val="954F72" w:themeColor="followedHyperlink"/>
      <w:u w:val="single"/>
    </w:rPr>
  </w:style>
  <w:style w:type="character" w:customStyle="1" w:styleId="Mention1">
    <w:name w:val="Mention1"/>
    <w:basedOn w:val="DefaultParagraphFont"/>
    <w:uiPriority w:val="99"/>
    <w:semiHidden/>
    <w:unhideWhenUsed/>
    <w:rsid w:val="009F5523"/>
    <w:rPr>
      <w:color w:val="2B579A"/>
      <w:shd w:val="clear" w:color="auto" w:fill="E6E6E6"/>
    </w:rPr>
  </w:style>
  <w:style w:type="paragraph" w:styleId="ListParagraph">
    <w:name w:val="List Paragraph"/>
    <w:basedOn w:val="Normal"/>
    <w:uiPriority w:val="34"/>
    <w:qFormat/>
    <w:rsid w:val="00DC78D2"/>
    <w:pPr>
      <w:ind w:left="720"/>
      <w:contextualSpacing/>
    </w:pPr>
    <w:rPr>
      <w:snapToGrid/>
    </w:rPr>
  </w:style>
  <w:style w:type="character" w:customStyle="1" w:styleId="Mention2">
    <w:name w:val="Mention2"/>
    <w:basedOn w:val="DefaultParagraphFont"/>
    <w:uiPriority w:val="99"/>
    <w:semiHidden/>
    <w:unhideWhenUsed/>
    <w:rsid w:val="00DC78D2"/>
    <w:rPr>
      <w:color w:val="2B579A"/>
      <w:shd w:val="clear" w:color="auto" w:fill="E6E6E6"/>
    </w:rPr>
  </w:style>
  <w:style w:type="paragraph" w:styleId="PlainText">
    <w:name w:val="Plain Text"/>
    <w:basedOn w:val="Normal"/>
    <w:link w:val="PlainTextChar"/>
    <w:semiHidden/>
    <w:unhideWhenUsed/>
    <w:rsid w:val="0046184B"/>
    <w:rPr>
      <w:rFonts w:ascii="Consolas" w:hAnsi="Consolas"/>
      <w:sz w:val="21"/>
      <w:szCs w:val="21"/>
    </w:rPr>
  </w:style>
  <w:style w:type="character" w:customStyle="1" w:styleId="PlainTextChar">
    <w:name w:val="Plain Text Char"/>
    <w:basedOn w:val="DefaultParagraphFont"/>
    <w:link w:val="PlainText"/>
    <w:semiHidden/>
    <w:rsid w:val="0046184B"/>
    <w:rPr>
      <w:rFonts w:ascii="Consolas" w:hAnsi="Consolas"/>
      <w:snapToGrid w:val="0"/>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5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09175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
    <w:autoRedefine/>
    <w:qFormat/>
    <w:rsid w:val="0009175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qFormat/>
    <w:rsid w:val="0009175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09175D"/>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9175D"/>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9175D"/>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9175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9175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9175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7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75D"/>
  </w:style>
  <w:style w:type="paragraph" w:customStyle="1" w:styleId="ParaNum">
    <w:name w:val="ParaNum"/>
    <w:basedOn w:val="Normal"/>
    <w:link w:val="ParaNumChar"/>
    <w:rsid w:val="0009175D"/>
    <w:pPr>
      <w:numPr>
        <w:numId w:val="1"/>
      </w:numPr>
      <w:tabs>
        <w:tab w:val="clear" w:pos="1080"/>
        <w:tab w:val="num" w:pos="1440"/>
      </w:tabs>
      <w:spacing w:after="120"/>
    </w:pPr>
  </w:style>
  <w:style w:type="paragraph" w:styleId="EndnoteText">
    <w:name w:val="endnote text"/>
    <w:basedOn w:val="Normal"/>
    <w:semiHidden/>
    <w:rsid w:val="0009175D"/>
    <w:rPr>
      <w:sz w:val="20"/>
    </w:rPr>
  </w:style>
  <w:style w:type="character" w:styleId="EndnoteReference">
    <w:name w:val="endnote reference"/>
    <w:semiHidden/>
    <w:rsid w:val="0009175D"/>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9175D"/>
    <w:pPr>
      <w:spacing w:after="120"/>
    </w:pPr>
  </w:style>
  <w:style w:type="character" w:styleId="FootnoteReference">
    <w:name w:val="footnote reference"/>
    <w:aliases w:val="Style 12,(NECG) Footnote Reference,o,fr,Style 3,Appel note de bas de p,Style 124,Style 17,FR,Style 13,Footnote Reference/,Style 6,Style 7,Style 4,Footnote Reference1,Style 34,Style 9,Style 20,callout,-E Funotenzeichen"/>
    <w:rsid w:val="0009175D"/>
    <w:rPr>
      <w:rFonts w:ascii="Times New Roman" w:hAnsi="Times New Roman"/>
      <w:dstrike w:val="0"/>
      <w:color w:val="auto"/>
      <w:sz w:val="20"/>
      <w:vertAlign w:val="superscript"/>
    </w:rPr>
  </w:style>
  <w:style w:type="paragraph" w:styleId="TOC1">
    <w:name w:val="toc 1"/>
    <w:basedOn w:val="Normal"/>
    <w:next w:val="Normal"/>
    <w:semiHidden/>
    <w:rsid w:val="0009175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175D"/>
    <w:pPr>
      <w:tabs>
        <w:tab w:val="left" w:pos="720"/>
        <w:tab w:val="right" w:leader="dot" w:pos="9360"/>
      </w:tabs>
      <w:suppressAutoHyphens/>
      <w:ind w:left="720" w:right="720" w:hanging="360"/>
    </w:pPr>
    <w:rPr>
      <w:noProof/>
    </w:rPr>
  </w:style>
  <w:style w:type="paragraph" w:styleId="TOC3">
    <w:name w:val="toc 3"/>
    <w:basedOn w:val="Normal"/>
    <w:next w:val="Normal"/>
    <w:semiHidden/>
    <w:rsid w:val="000917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17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17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17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17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17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17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175D"/>
    <w:pPr>
      <w:tabs>
        <w:tab w:val="right" w:pos="9360"/>
      </w:tabs>
      <w:suppressAutoHyphens/>
    </w:pPr>
  </w:style>
  <w:style w:type="character" w:customStyle="1" w:styleId="EquationCaption">
    <w:name w:val="_Equation Caption"/>
    <w:rsid w:val="0009175D"/>
  </w:style>
  <w:style w:type="paragraph" w:styleId="Header">
    <w:name w:val="header"/>
    <w:basedOn w:val="Normal"/>
    <w:autoRedefine/>
    <w:rsid w:val="0009175D"/>
    <w:pPr>
      <w:tabs>
        <w:tab w:val="center" w:pos="4680"/>
        <w:tab w:val="right" w:pos="9360"/>
      </w:tabs>
    </w:pPr>
    <w:rPr>
      <w:b/>
    </w:rPr>
  </w:style>
  <w:style w:type="paragraph" w:styleId="Footer">
    <w:name w:val="footer"/>
    <w:basedOn w:val="Normal"/>
    <w:link w:val="FooterChar"/>
    <w:rsid w:val="0009175D"/>
    <w:pPr>
      <w:tabs>
        <w:tab w:val="center" w:pos="4320"/>
        <w:tab w:val="right" w:pos="8640"/>
      </w:tabs>
    </w:pPr>
  </w:style>
  <w:style w:type="character" w:styleId="PageNumber">
    <w:name w:val="page number"/>
    <w:basedOn w:val="DefaultParagraphFont"/>
    <w:rsid w:val="0009175D"/>
  </w:style>
  <w:style w:type="paragraph" w:styleId="BlockText">
    <w:name w:val="Block Text"/>
    <w:basedOn w:val="Normal"/>
    <w:rsid w:val="0009175D"/>
    <w:pPr>
      <w:spacing w:after="240"/>
      <w:ind w:left="1440" w:right="1440"/>
    </w:pPr>
  </w:style>
  <w:style w:type="paragraph" w:customStyle="1" w:styleId="Paratitle">
    <w:name w:val="Para title"/>
    <w:basedOn w:val="Normal"/>
    <w:rsid w:val="0009175D"/>
    <w:pPr>
      <w:tabs>
        <w:tab w:val="center" w:pos="9270"/>
      </w:tabs>
      <w:spacing w:after="240"/>
    </w:pPr>
    <w:rPr>
      <w:spacing w:val="-2"/>
    </w:rPr>
  </w:style>
  <w:style w:type="paragraph" w:customStyle="1" w:styleId="Bullet">
    <w:name w:val="Bullet"/>
    <w:basedOn w:val="Normal"/>
    <w:rsid w:val="0009175D"/>
    <w:pPr>
      <w:tabs>
        <w:tab w:val="left" w:pos="2160"/>
      </w:tabs>
      <w:spacing w:after="220"/>
      <w:ind w:left="2160" w:hanging="720"/>
    </w:pPr>
  </w:style>
  <w:style w:type="paragraph" w:customStyle="1" w:styleId="TableFormat">
    <w:name w:val="TableFormat"/>
    <w:basedOn w:val="Bullet"/>
    <w:rsid w:val="0009175D"/>
    <w:pPr>
      <w:tabs>
        <w:tab w:val="clear" w:pos="2160"/>
        <w:tab w:val="left" w:pos="5040"/>
      </w:tabs>
      <w:ind w:left="5040" w:hanging="3600"/>
    </w:pPr>
  </w:style>
  <w:style w:type="paragraph" w:customStyle="1" w:styleId="TOCTitle">
    <w:name w:val="TOC Title"/>
    <w:basedOn w:val="Normal"/>
    <w:rsid w:val="000917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175D"/>
    <w:pPr>
      <w:jc w:val="center"/>
    </w:pPr>
    <w:rPr>
      <w:rFonts w:ascii="Times New Roman Bold" w:hAnsi="Times New Roman Bold"/>
      <w:b/>
      <w:bCs/>
      <w:caps/>
      <w:szCs w:val="22"/>
    </w:rPr>
  </w:style>
  <w:style w:type="character" w:styleId="Hyperlink">
    <w:name w:val="Hyperlink"/>
    <w:rsid w:val="0009175D"/>
    <w:rPr>
      <w:color w:val="0000FF"/>
      <w:u w:val="single"/>
    </w:rPr>
  </w:style>
  <w:style w:type="character" w:customStyle="1" w:styleId="ParaNumChar">
    <w:name w:val="ParaNum Char"/>
    <w:link w:val="ParaNum"/>
    <w:rsid w:val="00350222"/>
    <w:rPr>
      <w:snapToGrid w:val="0"/>
      <w:kern w:val="28"/>
      <w:sz w:val="22"/>
    </w:rPr>
  </w:style>
  <w:style w:type="character" w:customStyle="1" w:styleId="FooterChar">
    <w:name w:val="Footer Char"/>
    <w:link w:val="Footer"/>
    <w:rsid w:val="003856DF"/>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3856DF"/>
  </w:style>
  <w:style w:type="character" w:styleId="CommentReference">
    <w:name w:val="annotation reference"/>
    <w:basedOn w:val="DefaultParagraphFont"/>
    <w:rsid w:val="00EF3D34"/>
    <w:rPr>
      <w:sz w:val="16"/>
      <w:szCs w:val="16"/>
    </w:rPr>
  </w:style>
  <w:style w:type="paragraph" w:styleId="CommentText">
    <w:name w:val="annotation text"/>
    <w:basedOn w:val="Normal"/>
    <w:link w:val="CommentTextChar"/>
    <w:rsid w:val="00EF3D34"/>
    <w:pPr>
      <w:spacing w:after="160" w:line="259" w:lineRule="auto"/>
    </w:pPr>
    <w:rPr>
      <w:rFonts w:asciiTheme="minorHAnsi" w:hAnsiTheme="minorHAnsi" w:cstheme="minorBidi"/>
      <w:sz w:val="20"/>
    </w:rPr>
  </w:style>
  <w:style w:type="character" w:customStyle="1" w:styleId="CommentTextChar">
    <w:name w:val="Comment Text Char"/>
    <w:basedOn w:val="DefaultParagraphFont"/>
    <w:link w:val="CommentText"/>
    <w:rsid w:val="00EF3D34"/>
    <w:rPr>
      <w:rFonts w:asciiTheme="minorHAnsi" w:eastAsiaTheme="minorHAnsi" w:hAnsiTheme="minorHAnsi" w:cstheme="minorBidi"/>
      <w:szCs w:val="22"/>
    </w:rPr>
  </w:style>
  <w:style w:type="paragraph" w:styleId="BalloonText">
    <w:name w:val="Balloon Text"/>
    <w:basedOn w:val="Normal"/>
    <w:link w:val="BalloonTextChar"/>
    <w:rsid w:val="00EF3D34"/>
    <w:rPr>
      <w:rFonts w:ascii="Segoe UI" w:hAnsi="Segoe UI" w:cs="Segoe UI"/>
      <w:snapToGrid/>
      <w:sz w:val="18"/>
      <w:szCs w:val="18"/>
    </w:rPr>
  </w:style>
  <w:style w:type="character" w:customStyle="1" w:styleId="BalloonTextChar">
    <w:name w:val="Balloon Text Char"/>
    <w:basedOn w:val="DefaultParagraphFont"/>
    <w:link w:val="BalloonText"/>
    <w:rsid w:val="00EF3D34"/>
    <w:rPr>
      <w:rFonts w:ascii="Segoe UI" w:hAnsi="Segoe UI" w:cs="Segoe UI"/>
      <w:snapToGrid w:val="0"/>
      <w:kern w:val="28"/>
      <w:sz w:val="18"/>
      <w:szCs w:val="18"/>
    </w:rPr>
  </w:style>
  <w:style w:type="character" w:customStyle="1" w:styleId="Footnote">
    <w:name w:val="Footnote"/>
    <w:rsid w:val="007564FC"/>
  </w:style>
  <w:style w:type="character" w:customStyle="1" w:styleId="StyleFootnoteReferenceStyle13Style12NECGFootnoteReferenc">
    <w:name w:val="Style Footnote ReferenceStyle 13Style 12(NECG) Footnote Referenc..."/>
    <w:uiPriority w:val="99"/>
    <w:rsid w:val="007564FC"/>
    <w:rPr>
      <w:rFonts w:ascii="Times New Roman" w:hAnsi="Times New Roman"/>
      <w:color w:val="auto"/>
      <w:position w:val="0"/>
      <w:sz w:val="20"/>
      <w:vertAlign w:val="superscript"/>
    </w:rPr>
  </w:style>
  <w:style w:type="paragraph" w:styleId="CommentSubject">
    <w:name w:val="annotation subject"/>
    <w:basedOn w:val="CommentText"/>
    <w:next w:val="CommentText"/>
    <w:link w:val="CommentSubjectChar"/>
    <w:rsid w:val="00E33184"/>
    <w:pPr>
      <w:spacing w:after="0" w:line="240" w:lineRule="auto"/>
    </w:pPr>
    <w:rPr>
      <w:rFonts w:ascii="Times New Roman" w:hAnsi="Times New Roman" w:cs="Times New Roman"/>
      <w:b/>
      <w:bCs/>
      <w:snapToGrid/>
    </w:rPr>
  </w:style>
  <w:style w:type="character" w:customStyle="1" w:styleId="CommentSubjectChar">
    <w:name w:val="Comment Subject Char"/>
    <w:basedOn w:val="CommentTextChar"/>
    <w:link w:val="CommentSubject"/>
    <w:rsid w:val="00E33184"/>
    <w:rPr>
      <w:rFonts w:asciiTheme="minorHAnsi" w:eastAsiaTheme="minorHAnsi" w:hAnsiTheme="minorHAnsi" w:cstheme="minorBidi"/>
      <w:b/>
      <w:bCs/>
      <w:snapToGrid w:val="0"/>
      <w:kern w:val="28"/>
      <w:szCs w:val="22"/>
    </w:rPr>
  </w:style>
  <w:style w:type="paragraph" w:styleId="Revision">
    <w:name w:val="Revision"/>
    <w:hidden/>
    <w:uiPriority w:val="99"/>
    <w:semiHidden/>
    <w:rsid w:val="0000049B"/>
    <w:rPr>
      <w:snapToGrid w:val="0"/>
      <w:kern w:val="28"/>
      <w:sz w:val="22"/>
    </w:rPr>
  </w:style>
  <w:style w:type="character" w:styleId="FollowedHyperlink">
    <w:name w:val="FollowedHyperlink"/>
    <w:basedOn w:val="DefaultParagraphFont"/>
    <w:rsid w:val="000C1D47"/>
    <w:rPr>
      <w:color w:val="954F72" w:themeColor="followedHyperlink"/>
      <w:u w:val="single"/>
    </w:rPr>
  </w:style>
  <w:style w:type="character" w:customStyle="1" w:styleId="Mention1">
    <w:name w:val="Mention1"/>
    <w:basedOn w:val="DefaultParagraphFont"/>
    <w:uiPriority w:val="99"/>
    <w:semiHidden/>
    <w:unhideWhenUsed/>
    <w:rsid w:val="009F5523"/>
    <w:rPr>
      <w:color w:val="2B579A"/>
      <w:shd w:val="clear" w:color="auto" w:fill="E6E6E6"/>
    </w:rPr>
  </w:style>
  <w:style w:type="paragraph" w:styleId="ListParagraph">
    <w:name w:val="List Paragraph"/>
    <w:basedOn w:val="Normal"/>
    <w:uiPriority w:val="34"/>
    <w:qFormat/>
    <w:rsid w:val="00DC78D2"/>
    <w:pPr>
      <w:ind w:left="720"/>
      <w:contextualSpacing/>
    </w:pPr>
    <w:rPr>
      <w:snapToGrid/>
    </w:rPr>
  </w:style>
  <w:style w:type="character" w:customStyle="1" w:styleId="Mention2">
    <w:name w:val="Mention2"/>
    <w:basedOn w:val="DefaultParagraphFont"/>
    <w:uiPriority w:val="99"/>
    <w:semiHidden/>
    <w:unhideWhenUsed/>
    <w:rsid w:val="00DC78D2"/>
    <w:rPr>
      <w:color w:val="2B579A"/>
      <w:shd w:val="clear" w:color="auto" w:fill="E6E6E6"/>
    </w:rPr>
  </w:style>
  <w:style w:type="paragraph" w:styleId="PlainText">
    <w:name w:val="Plain Text"/>
    <w:basedOn w:val="Normal"/>
    <w:link w:val="PlainTextChar"/>
    <w:semiHidden/>
    <w:unhideWhenUsed/>
    <w:rsid w:val="0046184B"/>
    <w:rPr>
      <w:rFonts w:ascii="Consolas" w:hAnsi="Consolas"/>
      <w:sz w:val="21"/>
      <w:szCs w:val="21"/>
    </w:rPr>
  </w:style>
  <w:style w:type="character" w:customStyle="1" w:styleId="PlainTextChar">
    <w:name w:val="Plain Text Char"/>
    <w:basedOn w:val="DefaultParagraphFont"/>
    <w:link w:val="PlainText"/>
    <w:semiHidden/>
    <w:rsid w:val="0046184B"/>
    <w:rPr>
      <w:rFonts w:ascii="Consolas" w:hAnsi="Consolas"/>
      <w:snapToGrid w:val="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128">
      <w:bodyDiv w:val="1"/>
      <w:marLeft w:val="0"/>
      <w:marRight w:val="0"/>
      <w:marTop w:val="0"/>
      <w:marBottom w:val="0"/>
      <w:divBdr>
        <w:top w:val="none" w:sz="0" w:space="0" w:color="auto"/>
        <w:left w:val="none" w:sz="0" w:space="0" w:color="auto"/>
        <w:bottom w:val="none" w:sz="0" w:space="0" w:color="auto"/>
        <w:right w:val="none" w:sz="0" w:space="0" w:color="auto"/>
      </w:divBdr>
    </w:div>
    <w:div w:id="99683774">
      <w:bodyDiv w:val="1"/>
      <w:marLeft w:val="0"/>
      <w:marRight w:val="0"/>
      <w:marTop w:val="0"/>
      <w:marBottom w:val="0"/>
      <w:divBdr>
        <w:top w:val="none" w:sz="0" w:space="0" w:color="auto"/>
        <w:left w:val="none" w:sz="0" w:space="0" w:color="auto"/>
        <w:bottom w:val="none" w:sz="0" w:space="0" w:color="auto"/>
        <w:right w:val="none" w:sz="0" w:space="0" w:color="auto"/>
      </w:divBdr>
    </w:div>
    <w:div w:id="107938023">
      <w:bodyDiv w:val="1"/>
      <w:marLeft w:val="0"/>
      <w:marRight w:val="0"/>
      <w:marTop w:val="0"/>
      <w:marBottom w:val="0"/>
      <w:divBdr>
        <w:top w:val="none" w:sz="0" w:space="0" w:color="auto"/>
        <w:left w:val="none" w:sz="0" w:space="0" w:color="auto"/>
        <w:bottom w:val="none" w:sz="0" w:space="0" w:color="auto"/>
        <w:right w:val="none" w:sz="0" w:space="0" w:color="auto"/>
      </w:divBdr>
    </w:div>
    <w:div w:id="119152057">
      <w:bodyDiv w:val="1"/>
      <w:marLeft w:val="0"/>
      <w:marRight w:val="0"/>
      <w:marTop w:val="0"/>
      <w:marBottom w:val="0"/>
      <w:divBdr>
        <w:top w:val="none" w:sz="0" w:space="0" w:color="auto"/>
        <w:left w:val="none" w:sz="0" w:space="0" w:color="auto"/>
        <w:bottom w:val="none" w:sz="0" w:space="0" w:color="auto"/>
        <w:right w:val="none" w:sz="0" w:space="0" w:color="auto"/>
      </w:divBdr>
    </w:div>
    <w:div w:id="412509336">
      <w:bodyDiv w:val="1"/>
      <w:marLeft w:val="0"/>
      <w:marRight w:val="0"/>
      <w:marTop w:val="0"/>
      <w:marBottom w:val="0"/>
      <w:divBdr>
        <w:top w:val="none" w:sz="0" w:space="0" w:color="auto"/>
        <w:left w:val="none" w:sz="0" w:space="0" w:color="auto"/>
        <w:bottom w:val="none" w:sz="0" w:space="0" w:color="auto"/>
        <w:right w:val="none" w:sz="0" w:space="0" w:color="auto"/>
      </w:divBdr>
    </w:div>
    <w:div w:id="555555420">
      <w:bodyDiv w:val="1"/>
      <w:marLeft w:val="0"/>
      <w:marRight w:val="0"/>
      <w:marTop w:val="0"/>
      <w:marBottom w:val="0"/>
      <w:divBdr>
        <w:top w:val="none" w:sz="0" w:space="0" w:color="auto"/>
        <w:left w:val="none" w:sz="0" w:space="0" w:color="auto"/>
        <w:bottom w:val="none" w:sz="0" w:space="0" w:color="auto"/>
        <w:right w:val="none" w:sz="0" w:space="0" w:color="auto"/>
      </w:divBdr>
    </w:div>
    <w:div w:id="967081286">
      <w:bodyDiv w:val="1"/>
      <w:marLeft w:val="0"/>
      <w:marRight w:val="0"/>
      <w:marTop w:val="0"/>
      <w:marBottom w:val="0"/>
      <w:divBdr>
        <w:top w:val="none" w:sz="0" w:space="0" w:color="auto"/>
        <w:left w:val="none" w:sz="0" w:space="0" w:color="auto"/>
        <w:bottom w:val="none" w:sz="0" w:space="0" w:color="auto"/>
        <w:right w:val="none" w:sz="0" w:space="0" w:color="auto"/>
      </w:divBdr>
    </w:div>
    <w:div w:id="1262303680">
      <w:bodyDiv w:val="1"/>
      <w:marLeft w:val="0"/>
      <w:marRight w:val="0"/>
      <w:marTop w:val="0"/>
      <w:marBottom w:val="0"/>
      <w:divBdr>
        <w:top w:val="none" w:sz="0" w:space="0" w:color="auto"/>
        <w:left w:val="none" w:sz="0" w:space="0" w:color="auto"/>
        <w:bottom w:val="none" w:sz="0" w:space="0" w:color="auto"/>
        <w:right w:val="none" w:sz="0" w:space="0" w:color="auto"/>
      </w:divBdr>
    </w:div>
    <w:div w:id="1474517428">
      <w:bodyDiv w:val="1"/>
      <w:marLeft w:val="0"/>
      <w:marRight w:val="0"/>
      <w:marTop w:val="0"/>
      <w:marBottom w:val="0"/>
      <w:divBdr>
        <w:top w:val="none" w:sz="0" w:space="0" w:color="auto"/>
        <w:left w:val="none" w:sz="0" w:space="0" w:color="auto"/>
        <w:bottom w:val="none" w:sz="0" w:space="0" w:color="auto"/>
        <w:right w:val="none" w:sz="0" w:space="0" w:color="auto"/>
      </w:divBdr>
    </w:div>
    <w:div w:id="1501430504">
      <w:bodyDiv w:val="1"/>
      <w:marLeft w:val="0"/>
      <w:marRight w:val="0"/>
      <w:marTop w:val="0"/>
      <w:marBottom w:val="0"/>
      <w:divBdr>
        <w:top w:val="none" w:sz="0" w:space="0" w:color="auto"/>
        <w:left w:val="none" w:sz="0" w:space="0" w:color="auto"/>
        <w:bottom w:val="none" w:sz="0" w:space="0" w:color="auto"/>
        <w:right w:val="none" w:sz="0" w:space="0" w:color="auto"/>
      </w:divBdr>
    </w:div>
    <w:div w:id="20303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cops.usdoj.gov/pdf/blue-alert/Blue_Alert_Frequently_Asked_Questions.pdf" TargetMode="External"/><Relationship Id="rId13" Type="http://schemas.openxmlformats.org/officeDocument/2006/relationships/hyperlink" Target="http://www.bluealert.us/about_us" TargetMode="External"/><Relationship Id="rId18" Type="http://schemas.openxmlformats.org/officeDocument/2006/relationships/hyperlink" Target="https://www.sba.gov/sites/default/files/advocacy/SB-FAQ-2016_WEB.pdf" TargetMode="External"/><Relationship Id="rId26" Type="http://schemas.openxmlformats.org/officeDocument/2006/relationships/hyperlink" Target="https://factfinder.census.gov/faces/tableservices/jsf/pages/productview.xhtml?pid=ECN_2012_US_51SSSZ4&amp;prodType=table" TargetMode="External"/><Relationship Id="rId39" Type="http://schemas.openxmlformats.org/officeDocument/2006/relationships/hyperlink" Target="http://www.census.gov/cgi-bin/sssd/naics/naicsrch" TargetMode="External"/><Relationship Id="rId3" Type="http://schemas.openxmlformats.org/officeDocument/2006/relationships/hyperlink" Target="https://www.amberalert.gov/index.htm" TargetMode="External"/><Relationship Id="rId21" Type="http://schemas.openxmlformats.org/officeDocument/2006/relationships/hyperlink" Target="http://www.census.gov/cgi-bin/sssd/naics/naicsrch?code=515112&amp;search=2012%20NAICS%20Search" TargetMode="External"/><Relationship Id="rId34" Type="http://schemas.openxmlformats.org/officeDocument/2006/relationships/hyperlink" Target="https://www.census.gov/cgi-bin/sssd/naics/naicsrch" TargetMode="External"/><Relationship Id="rId7" Type="http://schemas.openxmlformats.org/officeDocument/2006/relationships/hyperlink" Target="https://www.cops.usdoj.gov/pdf/blue-alert/2017_report.pdf" TargetMode="External"/><Relationship Id="rId12" Type="http://schemas.openxmlformats.org/officeDocument/2006/relationships/hyperlink" Target="http://www.bluealert.us/about_us" TargetMode="External"/><Relationship Id="rId17" Type="http://schemas.openxmlformats.org/officeDocument/2006/relationships/hyperlink" Target="https://www.sba.gov/sites/default/files/advocacy/SB-FAQ-2016_WEB.pdf" TargetMode="External"/><Relationship Id="rId25" Type="http://schemas.openxmlformats.org/officeDocument/2006/relationships/hyperlink" Target="https://www.census.gov/cgi-bin/sssd/naics/naicsrch?input=515120&amp;search=2017+NAICS+Search&amp;search=2017" TargetMode="External"/><Relationship Id="rId33" Type="http://schemas.openxmlformats.org/officeDocument/2006/relationships/hyperlink" Target="http://factfinder.census.gov/faces/tableservices/jsf/pages/productview.xhtml?pid=ECN_2012_US_31SG2&amp;prod" TargetMode="External"/><Relationship Id="rId38" Type="http://schemas.openxmlformats.org/officeDocument/2006/relationships/hyperlink" Target="http://factfinder.census.gov/faces/tableservices.jasf/pages/productview.xhtml?pid+ECN_2012_US.51SSSZ4&amp;prodType=table" TargetMode="External"/><Relationship Id="rId2" Type="http://schemas.openxmlformats.org/officeDocument/2006/relationships/hyperlink" Target="https://cops.usdoj.gov/" TargetMode="External"/><Relationship Id="rId16" Type="http://schemas.openxmlformats.org/officeDocument/2006/relationships/hyperlink" Target="http://www.nleomf.org/facts/research-bulletins/" TargetMode="External"/><Relationship Id="rId20" Type="http://schemas.openxmlformats.org/officeDocument/2006/relationships/hyperlink" Target="http://www.census.gov/popest/data/cities/totals/2011/index.html" TargetMode="External"/><Relationship Id="rId29" Type="http://schemas.openxmlformats.org/officeDocument/2006/relationships/hyperlink" Target="https://www.snl.com/interactiveX/MyInteractive.aspx?mode=4&amp;CDID=A-821-38606&amp;KLPT=8" TargetMode="External"/><Relationship Id="rId41" Type="http://schemas.openxmlformats.org/officeDocument/2006/relationships/hyperlink" Target="https://factfinder.census.gov/faces/affhelp/jsf/pages/metadata.xhtml?lang=en&amp;type=ib&amp;id=ib.en./ECN.NAICS2012.517210" TargetMode="External"/><Relationship Id="rId1" Type="http://schemas.openxmlformats.org/officeDocument/2006/relationships/hyperlink" Target="https://www.cops.usdoj.gov/pdf/blue-alert/2016_report.pdf" TargetMode="External"/><Relationship Id="rId6" Type="http://schemas.openxmlformats.org/officeDocument/2006/relationships/hyperlink" Target="https://cops.usdoj.gov/pdf/blue-alert/blue_alert_guidelines.pdf" TargetMode="External"/><Relationship Id="rId11" Type="http://schemas.openxmlformats.org/officeDocument/2006/relationships/hyperlink" Target="http://ipawsnonweather.alertblogger.com/?p=13270" TargetMode="External"/><Relationship Id="rId24" Type="http://schemas.openxmlformats.org/officeDocument/2006/relationships/hyperlink" Target="https://factfinder.census.gov/faces/tableservices/jsf/pages/productview.xhtml?pid=ECN_2012_US_51SSSZ4&amp;prodType=table" TargetMode="External"/><Relationship Id="rId32" Type="http://schemas.openxmlformats.org/officeDocument/2006/relationships/hyperlink" Target="http://factfinder2.census.gov/faces/tableservices/jsf/pages/productview.xhtml?pid=ECN_2007_US_54SSSZ1&amp;prodType=table" TargetMode="External"/><Relationship Id="rId37" Type="http://schemas.openxmlformats.org/officeDocument/2006/relationships/hyperlink" Target="http://wireless2.fcc.gov/UlsApp/UlsSearch/results.jsp;JSESSIONID_ULS" TargetMode="External"/><Relationship Id="rId40" Type="http://schemas.openxmlformats.org/officeDocument/2006/relationships/hyperlink" Target="http://factfinder.census.gov/faces/tableservices/jsf/pages/productview.xhtml?pid=ECN_2012_US_51SSSZ2&amp;prodType=table" TargetMode="External"/><Relationship Id="rId5" Type="http://schemas.openxmlformats.org/officeDocument/2006/relationships/hyperlink" Target="http://docs.oasis-open.org/emergency/cap/v1.2/CAP-v1.2-os.html" TargetMode="External"/><Relationship Id="rId15" Type="http://schemas.openxmlformats.org/officeDocument/2006/relationships/hyperlink" Target="https://www.amberalert.gov/statistics.htm" TargetMode="External"/><Relationship Id="rId23" Type="http://schemas.openxmlformats.org/officeDocument/2006/relationships/hyperlink" Target="https://www.fcc.gov/document/broadcast-station-totals-december-31-2016" TargetMode="External"/><Relationship Id="rId28" Type="http://schemas.openxmlformats.org/officeDocument/2006/relationships/hyperlink" Target="http://www.fcc.gov/coals" TargetMode="External"/><Relationship Id="rId36" Type="http://schemas.openxmlformats.org/officeDocument/2006/relationships/hyperlink" Target="http://www.census.gov/cgi-bin/ssssd/naics/naicsrch" TargetMode="External"/><Relationship Id="rId10" Type="http://schemas.openxmlformats.org/officeDocument/2006/relationships/hyperlink" Target="https://www.readygallatin.com/download/website/plans/ST_Plans/MT-EAS-Plan-Mar-16-2016.pdf" TargetMode="External"/><Relationship Id="rId19" Type="http://schemas.openxmlformats.org/officeDocument/2006/relationships/hyperlink" Target="http://www2.census.gov/library/publications/2011/compendia/statab/131ed/2012-statab.pdf" TargetMode="External"/><Relationship Id="rId31" Type="http://schemas.openxmlformats.org/officeDocument/2006/relationships/hyperlink" Target="https://factfinder.census.gov/faces/affhelp/jsf/pages/metadata.xhtml?lang=en&amp;type=ib&amp;id=ib.en./ECN.NAICS2012.541511" TargetMode="External"/><Relationship Id="rId4" Type="http://schemas.openxmlformats.org/officeDocument/2006/relationships/hyperlink" Target="https://www.dhs.gov/xlibrary/assets/mgmt/itpa-fema-ipaws2012.pdf" TargetMode="External"/><Relationship Id="rId9" Type="http://schemas.openxmlformats.org/officeDocument/2006/relationships/hyperlink" Target="http://www.bluealert.us/about_us" TargetMode="External"/><Relationship Id="rId14" Type="http://schemas.openxmlformats.org/officeDocument/2006/relationships/hyperlink" Target="http://www.bluealert.us/media___psa_s" TargetMode="External"/><Relationship Id="rId22" Type="http://schemas.openxmlformats.org/officeDocument/2006/relationships/hyperlink" Target="https://factfinder.census.gov/faces/tableservices/jsf/pages/productview.xhtml?pid=ECN_2012_US_51SSSZ4&amp;prodType=table" TargetMode="External"/><Relationship Id="rId27" Type="http://schemas.openxmlformats.org/officeDocument/2006/relationships/hyperlink" Target="https://www.fcc.gov/document/broadcast-station-totals-december-31-2016" TargetMode="External"/><Relationship Id="rId30" Type="http://schemas.openxmlformats.org/officeDocument/2006/relationships/hyperlink" Target="http://www.snl.com/interactivex/MultichannelIndustryBenchmarks.aspx" TargetMode="External"/><Relationship Id="rId35" Type="http://schemas.openxmlformats.org/officeDocument/2006/relationships/hyperlink" Target="http://factfinder.census.gov/faces/tableservices/jsf/pages/productview.xhtml?pid=ECN_2012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11817</Words>
  <Characters>63868</Characters>
  <Application>Microsoft Office Word</Application>
  <DocSecurity>0</DocSecurity>
  <Lines>990</Lines>
  <Paragraphs>257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2017-05-12T18:21:00Z</cp:lastPrinted>
  <dcterms:created xsi:type="dcterms:W3CDTF">2017-06-23T20:07:00Z</dcterms:created>
  <dcterms:modified xsi:type="dcterms:W3CDTF">2017-06-23T20:07:00Z</dcterms:modified>
  <cp:category> </cp:category>
  <cp:contentStatus> </cp:contentStatus>
</cp:coreProperties>
</file>