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449C" w14:textId="77777777" w:rsidR="004C2EE3" w:rsidRPr="00564B0F" w:rsidRDefault="004C2EE3">
      <w:pPr>
        <w:jc w:val="center"/>
        <w:rPr>
          <w:b/>
        </w:rPr>
      </w:pPr>
      <w:bookmarkStart w:id="0" w:name="_GoBack"/>
      <w:bookmarkEnd w:id="0"/>
      <w:r w:rsidRPr="00564B0F">
        <w:rPr>
          <w:rFonts w:ascii="Times New Roman Bold" w:hAnsi="Times New Roman Bold"/>
          <w:b/>
          <w:kern w:val="0"/>
          <w:szCs w:val="22"/>
        </w:rPr>
        <w:t>Before</w:t>
      </w:r>
      <w:r w:rsidRPr="00564B0F">
        <w:rPr>
          <w:b/>
        </w:rPr>
        <w:t xml:space="preserve"> the</w:t>
      </w:r>
    </w:p>
    <w:p w14:paraId="600AF7BA" w14:textId="77777777" w:rsidR="00921803" w:rsidRPr="00564B0F" w:rsidRDefault="00921803" w:rsidP="00921803">
      <w:pPr>
        <w:pStyle w:val="StyleBoldCentered"/>
      </w:pPr>
      <w:r w:rsidRPr="00564B0F">
        <w:t>F</w:t>
      </w:r>
      <w:r w:rsidRPr="00564B0F">
        <w:rPr>
          <w:caps w:val="0"/>
        </w:rPr>
        <w:t>ederal Communications Commission</w:t>
      </w:r>
    </w:p>
    <w:p w14:paraId="1FCE795B" w14:textId="77777777" w:rsidR="004C2EE3" w:rsidRPr="00564B0F" w:rsidRDefault="00810B6F" w:rsidP="00096D8C">
      <w:pPr>
        <w:pStyle w:val="StyleBoldCentered"/>
      </w:pPr>
      <w:r w:rsidRPr="00564B0F">
        <w:rPr>
          <w:caps w:val="0"/>
        </w:rPr>
        <w:t>Washington, D.C. 20554</w:t>
      </w:r>
    </w:p>
    <w:p w14:paraId="4F126948" w14:textId="77777777" w:rsidR="004C2EE3" w:rsidRPr="00564B0F" w:rsidRDefault="004C2EE3" w:rsidP="0070224F"/>
    <w:p w14:paraId="105DC51A" w14:textId="77777777" w:rsidR="004C2EE3" w:rsidRPr="00564B0F" w:rsidRDefault="004C2EE3" w:rsidP="0070224F"/>
    <w:tbl>
      <w:tblPr>
        <w:tblW w:w="0" w:type="auto"/>
        <w:tblLayout w:type="fixed"/>
        <w:tblLook w:val="0000" w:firstRow="0" w:lastRow="0" w:firstColumn="0" w:lastColumn="0" w:noHBand="0" w:noVBand="0"/>
      </w:tblPr>
      <w:tblGrid>
        <w:gridCol w:w="4698"/>
        <w:gridCol w:w="630"/>
        <w:gridCol w:w="4248"/>
      </w:tblGrid>
      <w:tr w:rsidR="004C2EE3" w:rsidRPr="00564B0F" w14:paraId="1F303BED" w14:textId="77777777" w:rsidTr="00E90896">
        <w:tc>
          <w:tcPr>
            <w:tcW w:w="4698" w:type="dxa"/>
          </w:tcPr>
          <w:p w14:paraId="785F3708" w14:textId="77777777" w:rsidR="004C2EE3" w:rsidRPr="00564B0F" w:rsidRDefault="004C2EE3">
            <w:pPr>
              <w:tabs>
                <w:tab w:val="center" w:pos="4680"/>
              </w:tabs>
              <w:suppressAutoHyphens/>
              <w:rPr>
                <w:spacing w:val="-2"/>
              </w:rPr>
            </w:pPr>
            <w:r w:rsidRPr="00564B0F">
              <w:rPr>
                <w:spacing w:val="-2"/>
              </w:rPr>
              <w:t>In the Matter of</w:t>
            </w:r>
          </w:p>
          <w:p w14:paraId="77CF1DC5" w14:textId="77777777" w:rsidR="004C2EE3" w:rsidRPr="00564B0F" w:rsidRDefault="004C2EE3">
            <w:pPr>
              <w:tabs>
                <w:tab w:val="center" w:pos="4680"/>
              </w:tabs>
              <w:suppressAutoHyphens/>
              <w:rPr>
                <w:spacing w:val="-2"/>
              </w:rPr>
            </w:pPr>
          </w:p>
          <w:p w14:paraId="5FB6161C" w14:textId="0A63C3F2" w:rsidR="004C2EE3" w:rsidRPr="00564B0F" w:rsidRDefault="00526C64" w:rsidP="00526C64">
            <w:pPr>
              <w:tabs>
                <w:tab w:val="center" w:pos="4680"/>
              </w:tabs>
              <w:suppressAutoHyphens/>
              <w:rPr>
                <w:spacing w:val="-2"/>
              </w:rPr>
            </w:pPr>
            <w:r w:rsidRPr="00564B0F">
              <w:rPr>
                <w:spacing w:val="-2"/>
              </w:rPr>
              <w:t>Procedures for Commission Review of State Opt-Out Request</w:t>
            </w:r>
            <w:r w:rsidR="00AE1AE9">
              <w:rPr>
                <w:spacing w:val="-2"/>
              </w:rPr>
              <w:t>s</w:t>
            </w:r>
            <w:r w:rsidRPr="00564B0F">
              <w:rPr>
                <w:spacing w:val="-2"/>
              </w:rPr>
              <w:t xml:space="preserve"> from the FirstNet Radio Access Network</w:t>
            </w:r>
          </w:p>
        </w:tc>
        <w:tc>
          <w:tcPr>
            <w:tcW w:w="630" w:type="dxa"/>
          </w:tcPr>
          <w:p w14:paraId="677B20A3" w14:textId="77777777" w:rsidR="004C2EE3" w:rsidRPr="00564B0F" w:rsidRDefault="004C2EE3">
            <w:pPr>
              <w:tabs>
                <w:tab w:val="center" w:pos="4680"/>
              </w:tabs>
              <w:suppressAutoHyphens/>
              <w:rPr>
                <w:b/>
                <w:spacing w:val="-2"/>
              </w:rPr>
            </w:pPr>
            <w:r w:rsidRPr="00564B0F">
              <w:rPr>
                <w:b/>
                <w:spacing w:val="-2"/>
              </w:rPr>
              <w:t>)</w:t>
            </w:r>
          </w:p>
          <w:p w14:paraId="799FFFB4" w14:textId="77777777" w:rsidR="004C2EE3" w:rsidRPr="00564B0F" w:rsidRDefault="004C2EE3">
            <w:pPr>
              <w:tabs>
                <w:tab w:val="center" w:pos="4680"/>
              </w:tabs>
              <w:suppressAutoHyphens/>
              <w:rPr>
                <w:b/>
                <w:spacing w:val="-2"/>
              </w:rPr>
            </w:pPr>
            <w:r w:rsidRPr="00564B0F">
              <w:rPr>
                <w:b/>
                <w:spacing w:val="-2"/>
              </w:rPr>
              <w:t>)</w:t>
            </w:r>
          </w:p>
          <w:p w14:paraId="0A218B37" w14:textId="77777777" w:rsidR="004C2EE3" w:rsidRPr="00564B0F" w:rsidRDefault="004C2EE3">
            <w:pPr>
              <w:tabs>
                <w:tab w:val="center" w:pos="4680"/>
              </w:tabs>
              <w:suppressAutoHyphens/>
              <w:rPr>
                <w:b/>
                <w:spacing w:val="-2"/>
              </w:rPr>
            </w:pPr>
            <w:r w:rsidRPr="00564B0F">
              <w:rPr>
                <w:b/>
                <w:spacing w:val="-2"/>
              </w:rPr>
              <w:t>)</w:t>
            </w:r>
          </w:p>
          <w:p w14:paraId="43E662F8" w14:textId="77777777" w:rsidR="004C2EE3" w:rsidRPr="00564B0F" w:rsidRDefault="004C2EE3">
            <w:pPr>
              <w:tabs>
                <w:tab w:val="center" w:pos="4680"/>
              </w:tabs>
              <w:suppressAutoHyphens/>
              <w:rPr>
                <w:b/>
                <w:spacing w:val="-2"/>
              </w:rPr>
            </w:pPr>
            <w:r w:rsidRPr="00564B0F">
              <w:rPr>
                <w:b/>
                <w:spacing w:val="-2"/>
              </w:rPr>
              <w:t>)</w:t>
            </w:r>
          </w:p>
          <w:p w14:paraId="786FA174" w14:textId="77777777" w:rsidR="004C2EE3" w:rsidRPr="00564B0F" w:rsidRDefault="004C2EE3">
            <w:pPr>
              <w:tabs>
                <w:tab w:val="center" w:pos="4680"/>
              </w:tabs>
              <w:suppressAutoHyphens/>
              <w:rPr>
                <w:spacing w:val="-2"/>
              </w:rPr>
            </w:pPr>
            <w:r w:rsidRPr="00564B0F">
              <w:rPr>
                <w:b/>
                <w:spacing w:val="-2"/>
              </w:rPr>
              <w:t>)</w:t>
            </w:r>
          </w:p>
        </w:tc>
        <w:tc>
          <w:tcPr>
            <w:tcW w:w="4248" w:type="dxa"/>
          </w:tcPr>
          <w:p w14:paraId="6D91C56A" w14:textId="77777777" w:rsidR="004C2EE3" w:rsidRPr="00564B0F" w:rsidRDefault="004C2EE3">
            <w:pPr>
              <w:tabs>
                <w:tab w:val="center" w:pos="4680"/>
              </w:tabs>
              <w:suppressAutoHyphens/>
              <w:rPr>
                <w:spacing w:val="-2"/>
              </w:rPr>
            </w:pPr>
          </w:p>
          <w:p w14:paraId="0C4F7177" w14:textId="77777777" w:rsidR="004C2EE3" w:rsidRPr="00564B0F" w:rsidRDefault="004C2EE3">
            <w:pPr>
              <w:pStyle w:val="TOAHeading"/>
              <w:tabs>
                <w:tab w:val="clear" w:pos="9360"/>
                <w:tab w:val="center" w:pos="4680"/>
              </w:tabs>
              <w:rPr>
                <w:spacing w:val="-2"/>
              </w:rPr>
            </w:pPr>
          </w:p>
          <w:p w14:paraId="5EC0A2BE" w14:textId="77777777" w:rsidR="004C2EE3" w:rsidRPr="00564B0F" w:rsidRDefault="00526C64">
            <w:pPr>
              <w:tabs>
                <w:tab w:val="center" w:pos="4680"/>
              </w:tabs>
              <w:suppressAutoHyphens/>
              <w:rPr>
                <w:spacing w:val="-2"/>
              </w:rPr>
            </w:pPr>
            <w:r w:rsidRPr="00564B0F">
              <w:rPr>
                <w:spacing w:val="-2"/>
              </w:rPr>
              <w:t>PS Docket 16-269</w:t>
            </w:r>
          </w:p>
        </w:tc>
      </w:tr>
    </w:tbl>
    <w:p w14:paraId="1877B1F7" w14:textId="77777777" w:rsidR="004C2EE3" w:rsidRPr="00564B0F" w:rsidRDefault="004C2EE3" w:rsidP="0070224F"/>
    <w:p w14:paraId="42F3136B" w14:textId="77777777" w:rsidR="00841AB1" w:rsidRPr="00564B0F" w:rsidRDefault="00526C64" w:rsidP="00F021FA">
      <w:pPr>
        <w:pStyle w:val="StyleBoldCentered"/>
      </w:pPr>
      <w:r w:rsidRPr="00564B0F">
        <w:t>Report and order</w:t>
      </w:r>
    </w:p>
    <w:p w14:paraId="023CBCAD" w14:textId="77777777" w:rsidR="004C2EE3" w:rsidRPr="00564B0F" w:rsidRDefault="004C2EE3">
      <w:pPr>
        <w:tabs>
          <w:tab w:val="left" w:pos="-720"/>
        </w:tabs>
        <w:suppressAutoHyphens/>
        <w:spacing w:line="227" w:lineRule="auto"/>
        <w:rPr>
          <w:spacing w:val="-2"/>
        </w:rPr>
      </w:pPr>
    </w:p>
    <w:p w14:paraId="6F1EF34A" w14:textId="7D957976" w:rsidR="004C2EE3" w:rsidRPr="00564B0F" w:rsidRDefault="004C2EE3" w:rsidP="00133F79">
      <w:pPr>
        <w:tabs>
          <w:tab w:val="left" w:pos="720"/>
          <w:tab w:val="right" w:pos="9360"/>
        </w:tabs>
        <w:suppressAutoHyphens/>
        <w:spacing w:line="227" w:lineRule="auto"/>
        <w:rPr>
          <w:spacing w:val="-2"/>
        </w:rPr>
      </w:pPr>
      <w:r w:rsidRPr="00564B0F">
        <w:rPr>
          <w:b/>
          <w:spacing w:val="-2"/>
        </w:rPr>
        <w:t xml:space="preserve">Adopted:  </w:t>
      </w:r>
      <w:r w:rsidR="005E53D0">
        <w:rPr>
          <w:b/>
          <w:spacing w:val="-2"/>
        </w:rPr>
        <w:t>June 22, 2017</w:t>
      </w:r>
      <w:r w:rsidRPr="00564B0F">
        <w:rPr>
          <w:b/>
          <w:spacing w:val="-2"/>
        </w:rPr>
        <w:tab/>
      </w:r>
      <w:r w:rsidR="00822CE0" w:rsidRPr="00564B0F">
        <w:rPr>
          <w:b/>
          <w:spacing w:val="-2"/>
        </w:rPr>
        <w:t>Released</w:t>
      </w:r>
      <w:r w:rsidRPr="00564B0F">
        <w:rPr>
          <w:b/>
          <w:spacing w:val="-2"/>
        </w:rPr>
        <w:t>:</w:t>
      </w:r>
      <w:r w:rsidR="00822CE0" w:rsidRPr="00564B0F">
        <w:rPr>
          <w:b/>
          <w:spacing w:val="-2"/>
        </w:rPr>
        <w:t xml:space="preserve"> </w:t>
      </w:r>
      <w:r w:rsidRPr="00564B0F">
        <w:rPr>
          <w:b/>
          <w:spacing w:val="-2"/>
        </w:rPr>
        <w:t xml:space="preserve"> </w:t>
      </w:r>
      <w:r w:rsidR="005E53D0">
        <w:rPr>
          <w:b/>
          <w:spacing w:val="-2"/>
        </w:rPr>
        <w:t>June 22, 2017</w:t>
      </w:r>
    </w:p>
    <w:p w14:paraId="116851CD" w14:textId="77777777" w:rsidR="00822CE0" w:rsidRPr="00564B0F" w:rsidRDefault="00822CE0"/>
    <w:p w14:paraId="6A16EFE0" w14:textId="77F01BBE" w:rsidR="004C2EE3" w:rsidRPr="00564B0F" w:rsidRDefault="004C2EE3">
      <w:pPr>
        <w:rPr>
          <w:spacing w:val="-2"/>
        </w:rPr>
      </w:pPr>
      <w:r w:rsidRPr="00564B0F">
        <w:t xml:space="preserve">By </w:t>
      </w:r>
      <w:r w:rsidR="004E4A22" w:rsidRPr="00564B0F">
        <w:t>the</w:t>
      </w:r>
      <w:r w:rsidR="002A2D2E" w:rsidRPr="00564B0F">
        <w:t xml:space="preserve"> </w:t>
      </w:r>
      <w:r w:rsidR="00526C64" w:rsidRPr="00564B0F">
        <w:rPr>
          <w:spacing w:val="-2"/>
        </w:rPr>
        <w:t>Commission</w:t>
      </w:r>
      <w:r w:rsidRPr="00564B0F">
        <w:rPr>
          <w:spacing w:val="-2"/>
        </w:rPr>
        <w:t>:</w:t>
      </w:r>
      <w:r w:rsidR="00603F13">
        <w:rPr>
          <w:spacing w:val="-2"/>
        </w:rPr>
        <w:t xml:space="preserve">  Chairman Pai, Commissioner Clyburn</w:t>
      </w:r>
      <w:r w:rsidR="0041145F">
        <w:rPr>
          <w:spacing w:val="-2"/>
        </w:rPr>
        <w:t>,</w:t>
      </w:r>
      <w:r w:rsidR="00603F13">
        <w:rPr>
          <w:spacing w:val="-2"/>
        </w:rPr>
        <w:t xml:space="preserve"> and Commissioner O’Rielly issuing separate statements</w:t>
      </w:r>
      <w:r w:rsidR="0041145F">
        <w:rPr>
          <w:spacing w:val="-2"/>
        </w:rPr>
        <w:t>.</w:t>
      </w:r>
    </w:p>
    <w:p w14:paraId="6C67DD35" w14:textId="6779B03C" w:rsidR="00412FC5" w:rsidRDefault="007661C1" w:rsidP="007661C1">
      <w:pPr>
        <w:pStyle w:val="TOCTitle"/>
      </w:pPr>
      <w:bookmarkStart w:id="1" w:name="TOChere"/>
      <w:r>
        <w:t>Table of Contents</w:t>
      </w:r>
    </w:p>
    <w:p w14:paraId="426AD460" w14:textId="6C84E913" w:rsidR="007661C1" w:rsidRDefault="007661C1" w:rsidP="007661C1">
      <w:pPr>
        <w:pStyle w:val="Paratitle"/>
      </w:pPr>
      <w:r>
        <w:t>Heading</w:t>
      </w:r>
      <w:r>
        <w:tab/>
        <w:t>Paragraph #</w:t>
      </w:r>
      <w:bookmarkStart w:id="2" w:name="start_here"/>
      <w:bookmarkEnd w:id="2"/>
    </w:p>
    <w:p w14:paraId="6C33EA47" w14:textId="1B9CB114" w:rsidR="007661C1" w:rsidRDefault="007661C1" w:rsidP="007661C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background</w:t>
      </w:r>
      <w:r>
        <w:tab/>
        <w:t>1</w:t>
      </w:r>
    </w:p>
    <w:p w14:paraId="1EAFA04E" w14:textId="3E5F7777" w:rsidR="007661C1" w:rsidRDefault="007661C1" w:rsidP="007661C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discussion</w:t>
      </w:r>
      <w:r>
        <w:tab/>
        <w:t>7</w:t>
      </w:r>
    </w:p>
    <w:p w14:paraId="52A59A24" w14:textId="1EC0F410" w:rsidR="007661C1" w:rsidRDefault="007661C1" w:rsidP="007661C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Opt-Out Procedures</w:t>
      </w:r>
      <w:r>
        <w:tab/>
        <w:t>7</w:t>
      </w:r>
    </w:p>
    <w:p w14:paraId="36172DB2" w14:textId="512661C3" w:rsidR="007661C1" w:rsidRDefault="007661C1" w:rsidP="007661C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Notification Procedures</w:t>
      </w:r>
      <w:r>
        <w:tab/>
        <w:t>8</w:t>
      </w:r>
    </w:p>
    <w:p w14:paraId="3240DE9B" w14:textId="603F3FCC" w:rsidR="007661C1" w:rsidRDefault="007661C1" w:rsidP="007661C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Alternative Plan Submission</w:t>
      </w:r>
      <w:r>
        <w:tab/>
        <w:t>13</w:t>
      </w:r>
    </w:p>
    <w:p w14:paraId="7DA8AB15" w14:textId="594AA644" w:rsidR="007661C1" w:rsidRDefault="007661C1" w:rsidP="007661C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Alternative Plan Contents</w:t>
      </w:r>
      <w:r>
        <w:tab/>
        <w:t>24</w:t>
      </w:r>
    </w:p>
    <w:p w14:paraId="4AB84F79" w14:textId="632FB6CF" w:rsidR="007661C1" w:rsidRDefault="007661C1" w:rsidP="007661C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Confidentiality, Accessibility, and Amendments</w:t>
      </w:r>
      <w:r>
        <w:tab/>
        <w:t>29</w:t>
      </w:r>
    </w:p>
    <w:p w14:paraId="1BCD9EC4" w14:textId="26089BAC" w:rsidR="007661C1" w:rsidRDefault="007661C1" w:rsidP="007661C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Evaluation Process and Criteria</w:t>
      </w:r>
      <w:r>
        <w:tab/>
        <w:t>41</w:t>
      </w:r>
    </w:p>
    <w:p w14:paraId="3A507575" w14:textId="18FB0EAF" w:rsidR="007661C1" w:rsidRDefault="007661C1" w:rsidP="007661C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Shot Clock</w:t>
      </w:r>
      <w:r>
        <w:tab/>
        <w:t>41</w:t>
      </w:r>
    </w:p>
    <w:p w14:paraId="3BB6E272" w14:textId="4D7DD33C" w:rsidR="007661C1" w:rsidRDefault="007661C1" w:rsidP="007661C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Scope of Review</w:t>
      </w:r>
      <w:r>
        <w:tab/>
        <w:t>45</w:t>
      </w:r>
    </w:p>
    <w:p w14:paraId="7219FA31" w14:textId="750765AB" w:rsidR="007661C1" w:rsidRDefault="007661C1" w:rsidP="007661C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Content and Review of State Plan Elements</w:t>
      </w:r>
      <w:r>
        <w:tab/>
        <w:t>49</w:t>
      </w:r>
    </w:p>
    <w:p w14:paraId="69A00E47" w14:textId="1875DB7D" w:rsidR="007661C1" w:rsidRDefault="007661C1" w:rsidP="007661C1">
      <w:pPr>
        <w:pStyle w:val="TOC3"/>
        <w:tabs>
          <w:tab w:val="left" w:pos="360"/>
        </w:tabs>
        <w:rPr>
          <w:rFonts w:asciiTheme="minorHAnsi" w:eastAsiaTheme="minorEastAsia" w:hAnsiTheme="minorHAnsi" w:cstheme="minorBidi"/>
          <w:snapToGrid/>
          <w:kern w:val="0"/>
          <w:szCs w:val="22"/>
        </w:rPr>
      </w:pPr>
      <w:r w:rsidRPr="00876817">
        <w:rPr>
          <w:color w:val="000000"/>
        </w:rPr>
        <w:t>1.</w:t>
      </w:r>
      <w:r>
        <w:rPr>
          <w:rFonts w:asciiTheme="minorHAnsi" w:eastAsiaTheme="minorEastAsia" w:hAnsiTheme="minorHAnsi" w:cstheme="minorBidi"/>
          <w:snapToGrid/>
          <w:kern w:val="0"/>
          <w:szCs w:val="22"/>
        </w:rPr>
        <w:tab/>
      </w:r>
      <w:r>
        <w:t>Interoperability Board Requirements</w:t>
      </w:r>
      <w:r>
        <w:tab/>
        <w:t>52</w:t>
      </w:r>
    </w:p>
    <w:p w14:paraId="3C50A9F6" w14:textId="55CA9954" w:rsidR="007661C1" w:rsidRDefault="007661C1" w:rsidP="007661C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Interoperability with the NPSBN</w:t>
      </w:r>
      <w:r>
        <w:tab/>
        <w:t>56</w:t>
      </w:r>
    </w:p>
    <w:p w14:paraId="7D9518FB" w14:textId="1EF5A25F" w:rsidR="007661C1" w:rsidRDefault="007661C1" w:rsidP="007661C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Interoperability Certification</w:t>
      </w:r>
      <w:r>
        <w:tab/>
        <w:t>67</w:t>
      </w:r>
    </w:p>
    <w:p w14:paraId="5BEC547C" w14:textId="1E9712B7" w:rsidR="007661C1" w:rsidRDefault="007661C1" w:rsidP="007661C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Documentation of the Commission Decision</w:t>
      </w:r>
      <w:r>
        <w:tab/>
        <w:t>72</w:t>
      </w:r>
    </w:p>
    <w:p w14:paraId="14720A44" w14:textId="6F181E06" w:rsidR="007661C1" w:rsidRDefault="007661C1" w:rsidP="007661C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procedural matters</w:t>
      </w:r>
      <w:r>
        <w:tab/>
        <w:t>75</w:t>
      </w:r>
    </w:p>
    <w:p w14:paraId="760097C9" w14:textId="5964AC69" w:rsidR="007661C1" w:rsidRDefault="007661C1" w:rsidP="007661C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Analysis</w:t>
      </w:r>
      <w:r>
        <w:tab/>
        <w:t>75</w:t>
      </w:r>
    </w:p>
    <w:p w14:paraId="0FCBE5FF" w14:textId="10863307" w:rsidR="007661C1" w:rsidRDefault="007661C1" w:rsidP="007661C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76</w:t>
      </w:r>
    </w:p>
    <w:p w14:paraId="1C431160" w14:textId="2F1BBC29" w:rsidR="007661C1" w:rsidRDefault="007661C1" w:rsidP="007661C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77</w:t>
      </w:r>
    </w:p>
    <w:p w14:paraId="53FE4A05" w14:textId="14789239" w:rsidR="007661C1" w:rsidRDefault="007661C1" w:rsidP="007661C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Further Information</w:t>
      </w:r>
      <w:r>
        <w:tab/>
        <w:t>78</w:t>
      </w:r>
    </w:p>
    <w:p w14:paraId="5D6A79DB" w14:textId="5DBF145D" w:rsidR="007661C1" w:rsidRDefault="007661C1" w:rsidP="007661C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Ordering Clauses</w:t>
      </w:r>
      <w:r>
        <w:tab/>
        <w:t>79</w:t>
      </w:r>
    </w:p>
    <w:bookmarkEnd w:id="1"/>
    <w:p w14:paraId="160A177F" w14:textId="77777777" w:rsidR="007661C1" w:rsidRPr="00564B0F" w:rsidRDefault="007661C1" w:rsidP="00412FC5"/>
    <w:p w14:paraId="679E2E64" w14:textId="77777777" w:rsidR="002C00E8" w:rsidRPr="00564B0F" w:rsidRDefault="00526C64" w:rsidP="002C00E8">
      <w:pPr>
        <w:pStyle w:val="Heading1"/>
      </w:pPr>
      <w:bookmarkStart w:id="3" w:name="_Toc482780145"/>
      <w:bookmarkStart w:id="4" w:name="_Toc482780362"/>
      <w:bookmarkStart w:id="5" w:name="_Toc483919381"/>
      <w:bookmarkStart w:id="6" w:name="_Toc485821084"/>
      <w:r w:rsidRPr="00564B0F">
        <w:t>introduction and background</w:t>
      </w:r>
      <w:bookmarkEnd w:id="3"/>
      <w:bookmarkEnd w:id="4"/>
      <w:bookmarkEnd w:id="5"/>
      <w:bookmarkEnd w:id="6"/>
    </w:p>
    <w:p w14:paraId="23310D52" w14:textId="64145C22" w:rsidR="003155AD" w:rsidRPr="00564B0F" w:rsidRDefault="003155AD" w:rsidP="003155AD">
      <w:pPr>
        <w:pStyle w:val="ParaNum"/>
      </w:pPr>
      <w:r w:rsidRPr="00564B0F">
        <w:t xml:space="preserve">This </w:t>
      </w:r>
      <w:r w:rsidRPr="00564B0F">
        <w:rPr>
          <w:i/>
          <w:iCs/>
        </w:rPr>
        <w:t xml:space="preserve">Report and Order </w:t>
      </w:r>
      <w:r w:rsidRPr="00564B0F">
        <w:t>addresses the 758-769/788-799 MHz band, which the Commission licensed to the First Responder Network Authority (FirstNet) on a nationwide basis pursuant to the provisions of the Middle Class Tax Relief and Job Creation Act of 2012.</w:t>
      </w:r>
      <w:r w:rsidRPr="00564B0F">
        <w:rPr>
          <w:rStyle w:val="FootnoteReference"/>
        </w:rPr>
        <w:footnoteReference w:id="2"/>
      </w:r>
      <w:r w:rsidRPr="00564B0F">
        <w:t xml:space="preserve"> </w:t>
      </w:r>
      <w:r w:rsidR="007E0694">
        <w:t xml:space="preserve"> </w:t>
      </w:r>
      <w:r w:rsidRPr="00564B0F">
        <w:t xml:space="preserve">The </w:t>
      </w:r>
      <w:r w:rsidRPr="00564B0F">
        <w:rPr>
          <w:i/>
          <w:iCs/>
        </w:rPr>
        <w:t xml:space="preserve">Report and Order </w:t>
      </w:r>
      <w:r w:rsidRPr="00564B0F">
        <w:lastRenderedPageBreak/>
        <w:t xml:space="preserve">adopts procedures for administering the state opt-out process as provided under the Public Safety Spectrum Act, as well </w:t>
      </w:r>
      <w:r w:rsidR="00A628A1">
        <w:t xml:space="preserve">as </w:t>
      </w:r>
      <w:r w:rsidRPr="00564B0F">
        <w:t xml:space="preserve">delineating the specific standards by which the Commission will evaluate state opt-out applications.  </w:t>
      </w:r>
    </w:p>
    <w:p w14:paraId="2BD8B943" w14:textId="243E8989" w:rsidR="003155AD" w:rsidRPr="00564B0F" w:rsidRDefault="003155AD" w:rsidP="003155AD">
      <w:pPr>
        <w:pStyle w:val="ParaNum"/>
        <w:widowControl/>
      </w:pPr>
      <w:r w:rsidRPr="00564B0F">
        <w:t>The Public Safety Spectrum Act provides for the deployment of a nationwide public safety broadband network (NPSBN) in the 700 MHz band.</w:t>
      </w:r>
      <w:r w:rsidRPr="00564B0F">
        <w:rPr>
          <w:rStyle w:val="FootnoteReference"/>
        </w:rPr>
        <w:footnoteReference w:id="3"/>
      </w:r>
      <w:r w:rsidRPr="00564B0F">
        <w:t xml:space="preserve">  The Act established FirstNet as an independent authority within the National Telecommunications and Information Administration (NTIA)</w:t>
      </w:r>
      <w:r w:rsidRPr="00564B0F">
        <w:rPr>
          <w:rStyle w:val="FootnoteReference"/>
        </w:rPr>
        <w:footnoteReference w:id="4"/>
      </w:r>
      <w:r w:rsidRPr="00564B0F">
        <w:t xml:space="preserve"> and required the Commission to grant a license to FirstNet for the 758-769/788-799 MHz band.</w:t>
      </w:r>
      <w:r w:rsidRPr="00564B0F">
        <w:rPr>
          <w:rStyle w:val="FootnoteReference"/>
        </w:rPr>
        <w:footnoteReference w:id="5"/>
      </w:r>
      <w:r w:rsidRPr="00564B0F">
        <w:t xml:space="preserve">  The Act charges FirstNet with responsibility for establishing and overseeing “a nationwide, interoperable public safety broadband network”</w:t>
      </w:r>
      <w:r w:rsidRPr="00564B0F">
        <w:rPr>
          <w:rStyle w:val="FootnoteReference"/>
        </w:rPr>
        <w:footnoteReference w:id="6"/>
      </w:r>
      <w:r w:rsidRPr="00564B0F">
        <w:t xml:space="preserve"> operated in this spectrum by taking “all actions necessary to ensure the building, deployment, and operation of the . . . network, in consultation with Federal, State, tribal, and local public safety entities, the Director of NIST, the Commission, and the public safety advisory committee [that section 6205 of the Act requires FirstNet to establish].”</w:t>
      </w:r>
      <w:r w:rsidRPr="00564B0F">
        <w:rPr>
          <w:rStyle w:val="FootnoteReference"/>
        </w:rPr>
        <w:footnoteReference w:id="7"/>
      </w:r>
      <w:r w:rsidRPr="00564B0F">
        <w:t xml:space="preserve">  </w:t>
      </w:r>
    </w:p>
    <w:p w14:paraId="0543C1DC" w14:textId="51B4F4C2" w:rsidR="001B2DD8" w:rsidRPr="00564B0F" w:rsidRDefault="003155AD" w:rsidP="001B2DD8">
      <w:pPr>
        <w:pStyle w:val="ParaNum"/>
        <w:widowControl/>
      </w:pPr>
      <w:r w:rsidRPr="00564B0F">
        <w:t xml:space="preserve">Pursuant to </w:t>
      </w:r>
      <w:r w:rsidRPr="00564B0F">
        <w:rPr>
          <w:shd w:val="clear" w:color="auto" w:fill="FFFFFF"/>
        </w:rPr>
        <w:t>Section 6202</w:t>
      </w:r>
      <w:r w:rsidRPr="00564B0F">
        <w:t>(b)</w:t>
      </w:r>
      <w:r w:rsidR="00015E3B" w:rsidRPr="00564B0F">
        <w:t xml:space="preserve"> of the Act</w:t>
      </w:r>
      <w:r w:rsidRPr="00564B0F">
        <w:t>, the NPSBN must be based on a “single national network architecture that evolves with technological advancements” that consists of a core network and a radio access network (RAN).</w:t>
      </w:r>
      <w:r w:rsidRPr="00564B0F">
        <w:rPr>
          <w:rStyle w:val="FootnoteReference"/>
        </w:rPr>
        <w:footnoteReference w:id="8"/>
      </w:r>
      <w:r w:rsidRPr="00564B0F">
        <w:t xml:space="preserve">  FirstNet is tasked with developing a plan to deploy the RAN within each state.</w:t>
      </w:r>
      <w:r w:rsidRPr="00564B0F">
        <w:rPr>
          <w:rStyle w:val="FootnoteReference"/>
        </w:rPr>
        <w:footnoteReference w:id="9"/>
      </w:r>
      <w:r w:rsidRPr="00564B0F">
        <w:t xml:space="preserve">  The RAN, as defined in Section 6202(b)(2)(A), “consists of all cell site equipment, antennas, and backhaul equipment, based on commercial standards, that are required to enable wireless communications with devices using the public safety broadband spectrum.”</w:t>
      </w:r>
      <w:r w:rsidRPr="00564B0F">
        <w:rPr>
          <w:rStyle w:val="FootnoteReference"/>
        </w:rPr>
        <w:footnoteReference w:id="10"/>
      </w:r>
      <w:r w:rsidRPr="00564B0F">
        <w:t xml:space="preserve">  The Act gives each state the option to </w:t>
      </w:r>
      <w:r w:rsidR="001C2037" w:rsidRPr="00564B0F">
        <w:t>“</w:t>
      </w:r>
      <w:r w:rsidRPr="00564B0F">
        <w:t>opt out</w:t>
      </w:r>
      <w:r w:rsidR="001C2037" w:rsidRPr="00564B0F">
        <w:t>”</w:t>
      </w:r>
      <w:r w:rsidRPr="00564B0F">
        <w:t xml:space="preserve"> of FirstNet’s RAN deployment within that state and conduct its own RAN deployment.</w:t>
      </w:r>
      <w:r w:rsidRPr="00564B0F">
        <w:rPr>
          <w:rStyle w:val="FootnoteReference"/>
        </w:rPr>
        <w:footnoteReference w:id="11"/>
      </w:r>
      <w:r w:rsidRPr="00564B0F">
        <w:t xml:space="preserve"> </w:t>
      </w:r>
      <w:r w:rsidRPr="00564B0F">
        <w:rPr>
          <w:i/>
          <w:iCs/>
        </w:rPr>
        <w:t xml:space="preserve"> </w:t>
      </w:r>
    </w:p>
    <w:p w14:paraId="4D4867E4" w14:textId="0142ECE8" w:rsidR="003155AD" w:rsidRPr="00564B0F" w:rsidRDefault="003155AD" w:rsidP="001B2DD8">
      <w:pPr>
        <w:pStyle w:val="ParaNum"/>
        <w:widowControl/>
      </w:pPr>
      <w:r w:rsidRPr="00564B0F">
        <w:t>Specifically, the Act provides that “the Governor shall choose whether to participate in the deployment of the nationwide, interoperable broadband network as proposed by [FirstNet,] or conduct its own deployment of a radio access network in such State.”</w:t>
      </w:r>
      <w:r w:rsidRPr="00564B0F">
        <w:rPr>
          <w:rStyle w:val="FootnoteReference"/>
        </w:rPr>
        <w:footnoteReference w:id="12"/>
      </w:r>
      <w:r w:rsidRPr="00E90896">
        <w:rPr>
          <w:i/>
        </w:rPr>
        <w:t xml:space="preserve"> </w:t>
      </w:r>
      <w:r w:rsidR="007E0694">
        <w:rPr>
          <w:i/>
          <w:iCs/>
        </w:rPr>
        <w:t xml:space="preserve"> </w:t>
      </w:r>
      <w:r w:rsidRPr="00564B0F">
        <w:t>If a Governor chooses not to participate in the NPSBN, Section 6302(e)(3)(A) of the Act requires the Governor to “notify [FirstNet], the NTIA, and the Commission of such decision.”</w:t>
      </w:r>
      <w:r w:rsidRPr="00564B0F">
        <w:rPr>
          <w:rStyle w:val="FootnoteReference"/>
        </w:rPr>
        <w:footnoteReference w:id="13"/>
      </w:r>
      <w:r w:rsidRPr="00564B0F">
        <w:t xml:space="preserve">  The Act also states that an opt-out state “shall submit” to the Commission an “alternative plan” for “the construction, maintenance, operation, and improvements” of the RAN within the state.  Section 3(C)(ii) of the Act mandates that “upon submission of this plan, the Commission shall approve or disapprove of the plan.”</w:t>
      </w:r>
      <w:r w:rsidRPr="00564B0F">
        <w:rPr>
          <w:rStyle w:val="FootnoteReference"/>
        </w:rPr>
        <w:footnoteReference w:id="14"/>
      </w:r>
      <w:r w:rsidRPr="00564B0F">
        <w:t xml:space="preserve"> </w:t>
      </w:r>
      <w:r w:rsidR="007E0694">
        <w:t xml:space="preserve"> </w:t>
      </w:r>
      <w:r w:rsidR="0089227C" w:rsidRPr="00564B0F">
        <w:t xml:space="preserve">The Act provides that if the Commission approves the plan the State “may apply to the NTIA for a grant to construct the radio access network </w:t>
      </w:r>
      <w:r w:rsidR="0089227C" w:rsidRPr="00564B0F">
        <w:lastRenderedPageBreak/>
        <w:t>within the State”</w:t>
      </w:r>
      <w:r w:rsidR="0089227C" w:rsidRPr="00564B0F">
        <w:rPr>
          <w:rStyle w:val="FootnoteReference"/>
        </w:rPr>
        <w:footnoteReference w:id="15"/>
      </w:r>
      <w:r w:rsidR="0089227C" w:rsidRPr="00564B0F">
        <w:t xml:space="preserve"> and </w:t>
      </w:r>
      <w:r w:rsidR="00EF1C59" w:rsidRPr="00564B0F">
        <w:t>“</w:t>
      </w:r>
      <w:r w:rsidR="0089227C" w:rsidRPr="00564B0F">
        <w:t>shall apply to the NTIA to lease spectrum capacity from the First Responder Network Authority.”</w:t>
      </w:r>
      <w:r w:rsidR="0089227C" w:rsidRPr="00564B0F">
        <w:rPr>
          <w:rStyle w:val="FootnoteReference"/>
        </w:rPr>
        <w:footnoteReference w:id="16"/>
      </w:r>
      <w:r w:rsidR="0089227C" w:rsidRPr="00564B0F">
        <w:t xml:space="preserve">  If the Commission disapproves the plan</w:t>
      </w:r>
      <w:r w:rsidR="007E0694">
        <w:t>,</w:t>
      </w:r>
      <w:r w:rsidR="0089227C" w:rsidRPr="00564B0F">
        <w:t xml:space="preserve"> </w:t>
      </w:r>
      <w:r w:rsidR="0003636D" w:rsidRPr="00564B0F">
        <w:t>the Act provides that “the construction, maintenance, operation, and improvements of the network within the State shall proceed in accordance with the plan proposed by the First Responder Network Authority.”</w:t>
      </w:r>
      <w:r w:rsidR="0003636D" w:rsidRPr="00564B0F">
        <w:rPr>
          <w:rStyle w:val="FootnoteReference"/>
        </w:rPr>
        <w:footnoteReference w:id="17"/>
      </w:r>
      <w:r w:rsidR="0003636D" w:rsidRPr="00564B0F">
        <w:t xml:space="preserve">  The Act also allows for a State to seek judicial review of the Commission’s </w:t>
      </w:r>
      <w:r w:rsidR="00EF1C59" w:rsidRPr="00564B0F">
        <w:t>disapproval</w:t>
      </w:r>
      <w:r w:rsidR="0003636D" w:rsidRPr="00564B0F">
        <w:t xml:space="preserve"> in the United States District Court for the District of Columbia</w:t>
      </w:r>
      <w:r w:rsidR="00B31161">
        <w:t>.</w:t>
      </w:r>
      <w:r w:rsidR="0003636D" w:rsidRPr="00564B0F">
        <w:rPr>
          <w:rStyle w:val="FootnoteReference"/>
        </w:rPr>
        <w:footnoteReference w:id="18"/>
      </w:r>
      <w:r w:rsidRPr="00564B0F">
        <w:t xml:space="preserve"> </w:t>
      </w:r>
    </w:p>
    <w:p w14:paraId="6DC67309" w14:textId="7F872A16" w:rsidR="003155AD" w:rsidRPr="00564B0F" w:rsidRDefault="000159B9" w:rsidP="003155AD">
      <w:pPr>
        <w:pStyle w:val="ParaNum"/>
        <w:widowControl/>
      </w:pPr>
      <w:r>
        <w:t>The Act requires the Commission to “implement and enforce this title as if this title is a part of the Communications Act of 1934.”</w:t>
      </w:r>
      <w:r>
        <w:rPr>
          <w:rStyle w:val="FootnoteReference"/>
        </w:rPr>
        <w:footnoteReference w:id="19"/>
      </w:r>
      <w:r>
        <w:t xml:space="preserve">  As such</w:t>
      </w:r>
      <w:r w:rsidR="003155AD" w:rsidRPr="00564B0F">
        <w:t xml:space="preserve">, </w:t>
      </w:r>
      <w:r w:rsidR="004C166C" w:rsidRPr="00564B0F">
        <w:t>the Commission</w:t>
      </w:r>
      <w:r w:rsidR="003155AD" w:rsidRPr="00564B0F">
        <w:t xml:space="preserve"> issued a </w:t>
      </w:r>
      <w:r w:rsidR="003155AD" w:rsidRPr="00564B0F">
        <w:rPr>
          <w:i/>
        </w:rPr>
        <w:t>Notice of Proposed Rulemaking</w:t>
      </w:r>
      <w:r w:rsidR="003155AD" w:rsidRPr="00564B0F">
        <w:t xml:space="preserve"> seeking comment on </w:t>
      </w:r>
      <w:r w:rsidR="0015523C" w:rsidRPr="00564B0F">
        <w:t xml:space="preserve">the following </w:t>
      </w:r>
      <w:r w:rsidR="003155AD" w:rsidRPr="00564B0F">
        <w:t xml:space="preserve">aspects of the opt-out </w:t>
      </w:r>
      <w:r w:rsidR="00015E3B" w:rsidRPr="00564B0F">
        <w:t xml:space="preserve">review </w:t>
      </w:r>
      <w:r w:rsidR="003155AD" w:rsidRPr="00564B0F">
        <w:t>process</w:t>
      </w:r>
      <w:r w:rsidR="001C2037" w:rsidRPr="00564B0F">
        <w:t xml:space="preserve"> to be conducted by the Commission</w:t>
      </w:r>
      <w:r w:rsidR="003155AD" w:rsidRPr="00564B0F">
        <w:t xml:space="preserve">:  </w:t>
      </w:r>
    </w:p>
    <w:p w14:paraId="71381EF8" w14:textId="2D9E919B" w:rsidR="003155AD" w:rsidRPr="00564B0F" w:rsidRDefault="00477C33" w:rsidP="003155AD">
      <w:pPr>
        <w:pStyle w:val="ParaNum"/>
        <w:widowControl/>
        <w:numPr>
          <w:ilvl w:val="0"/>
          <w:numId w:val="7"/>
        </w:numPr>
      </w:pPr>
      <w:r w:rsidRPr="00564B0F">
        <w:t>The proce</w:t>
      </w:r>
      <w:r w:rsidR="00015E3B" w:rsidRPr="00564B0F">
        <w:t>dures</w:t>
      </w:r>
      <w:r w:rsidR="00B31161">
        <w:t xml:space="preserve"> and timing</w:t>
      </w:r>
      <w:r w:rsidR="00015E3B" w:rsidRPr="00564B0F">
        <w:t xml:space="preserve"> </w:t>
      </w:r>
      <w:r w:rsidRPr="00564B0F">
        <w:t xml:space="preserve">for </w:t>
      </w:r>
      <w:r w:rsidR="003155AD" w:rsidRPr="00564B0F">
        <w:t xml:space="preserve">states </w:t>
      </w:r>
      <w:r w:rsidR="00015E3B" w:rsidRPr="00564B0F">
        <w:t xml:space="preserve">to </w:t>
      </w:r>
      <w:r w:rsidR="003155AD" w:rsidRPr="00564B0F">
        <w:t>notify FirstNet, NTIA</w:t>
      </w:r>
      <w:r w:rsidR="00C05E15" w:rsidRPr="00564B0F">
        <w:t>,</w:t>
      </w:r>
      <w:r w:rsidR="003155AD" w:rsidRPr="00564B0F">
        <w:t xml:space="preserve"> and the Commission of </w:t>
      </w:r>
      <w:r w:rsidR="00015E3B" w:rsidRPr="00564B0F">
        <w:t xml:space="preserve">their </w:t>
      </w:r>
      <w:r w:rsidR="003155AD" w:rsidRPr="00564B0F">
        <w:t xml:space="preserve">opt-out </w:t>
      </w:r>
      <w:r w:rsidR="00C05E15" w:rsidRPr="00564B0F">
        <w:t>elections</w:t>
      </w:r>
      <w:r w:rsidRPr="00564B0F">
        <w:t xml:space="preserve">, </w:t>
      </w:r>
      <w:r w:rsidR="00B31161">
        <w:t xml:space="preserve">completing their RFPs, </w:t>
      </w:r>
      <w:r w:rsidRPr="00564B0F">
        <w:t xml:space="preserve">and </w:t>
      </w:r>
      <w:r w:rsidR="00015E3B" w:rsidRPr="00564B0F">
        <w:t xml:space="preserve">for </w:t>
      </w:r>
      <w:r w:rsidRPr="00564B0F">
        <w:t>fil</w:t>
      </w:r>
      <w:r w:rsidR="00015E3B" w:rsidRPr="00564B0F">
        <w:t>ing</w:t>
      </w:r>
      <w:r w:rsidR="00B31161">
        <w:t xml:space="preserve"> their</w:t>
      </w:r>
      <w:r w:rsidR="00015E3B" w:rsidRPr="00564B0F">
        <w:t xml:space="preserve"> </w:t>
      </w:r>
      <w:r w:rsidRPr="00564B0F">
        <w:t xml:space="preserve">alternative </w:t>
      </w:r>
      <w:r w:rsidR="00015E3B" w:rsidRPr="00564B0F">
        <w:t xml:space="preserve">state </w:t>
      </w:r>
      <w:r w:rsidRPr="00564B0F">
        <w:t>plan</w:t>
      </w:r>
      <w:r w:rsidR="00015E3B" w:rsidRPr="00564B0F">
        <w:t>s</w:t>
      </w:r>
      <w:r w:rsidRPr="00564B0F">
        <w:t xml:space="preserve"> with the Commission</w:t>
      </w:r>
      <w:r w:rsidR="003155AD" w:rsidRPr="00564B0F">
        <w:t>;</w:t>
      </w:r>
    </w:p>
    <w:p w14:paraId="6D03A231" w14:textId="55A959D1" w:rsidR="00C77D6B" w:rsidRPr="00564B0F" w:rsidRDefault="00C77D6B" w:rsidP="003155AD">
      <w:pPr>
        <w:pStyle w:val="ParaNum"/>
        <w:widowControl/>
        <w:numPr>
          <w:ilvl w:val="0"/>
          <w:numId w:val="7"/>
        </w:numPr>
      </w:pPr>
      <w:r w:rsidRPr="00564B0F">
        <w:t xml:space="preserve">The Commission review process, including timing, </w:t>
      </w:r>
      <w:r w:rsidR="00C05E15" w:rsidRPr="00564B0F">
        <w:t xml:space="preserve">defining the scope of participation by interested parties, and </w:t>
      </w:r>
      <w:r w:rsidRPr="00564B0F">
        <w:t>treatment of confidenti</w:t>
      </w:r>
      <w:r w:rsidR="00C05E15" w:rsidRPr="00564B0F">
        <w:t>al i</w:t>
      </w:r>
      <w:r w:rsidRPr="00564B0F">
        <w:t>nformation</w:t>
      </w:r>
      <w:r w:rsidR="00C05E15" w:rsidRPr="00564B0F">
        <w:t xml:space="preserve">;  </w:t>
      </w:r>
      <w:r w:rsidRPr="00564B0F">
        <w:t xml:space="preserve"> </w:t>
      </w:r>
    </w:p>
    <w:p w14:paraId="5EAC9618" w14:textId="2022922F" w:rsidR="00C05E15" w:rsidRPr="00564B0F" w:rsidRDefault="00C05E15" w:rsidP="003155AD">
      <w:pPr>
        <w:pStyle w:val="ParaNum"/>
        <w:widowControl/>
        <w:numPr>
          <w:ilvl w:val="0"/>
          <w:numId w:val="7"/>
        </w:numPr>
      </w:pPr>
      <w:r w:rsidRPr="00564B0F">
        <w:t>What c</w:t>
      </w:r>
      <w:r w:rsidR="003155AD" w:rsidRPr="00564B0F">
        <w:t xml:space="preserve">riteria </w:t>
      </w:r>
      <w:r w:rsidR="004C166C" w:rsidRPr="00564B0F">
        <w:t>th</w:t>
      </w:r>
      <w:r w:rsidRPr="00564B0F">
        <w:t>at</w:t>
      </w:r>
      <w:r w:rsidR="004C166C" w:rsidRPr="00564B0F">
        <w:t xml:space="preserve"> Commission</w:t>
      </w:r>
      <w:r w:rsidR="003155AD" w:rsidRPr="00564B0F">
        <w:t xml:space="preserve"> </w:t>
      </w:r>
      <w:r w:rsidRPr="00564B0F">
        <w:t xml:space="preserve">will </w:t>
      </w:r>
      <w:r w:rsidR="003155AD" w:rsidRPr="00564B0F">
        <w:t xml:space="preserve">use </w:t>
      </w:r>
      <w:r w:rsidR="00015E3B" w:rsidRPr="00564B0F">
        <w:t xml:space="preserve">in </w:t>
      </w:r>
      <w:r w:rsidR="003155AD" w:rsidRPr="00564B0F">
        <w:t>evaluat</w:t>
      </w:r>
      <w:r w:rsidR="00015E3B" w:rsidRPr="00564B0F">
        <w:t xml:space="preserve">ing </w:t>
      </w:r>
      <w:r w:rsidR="00477C33" w:rsidRPr="00564B0F">
        <w:t xml:space="preserve">alternative </w:t>
      </w:r>
      <w:r w:rsidRPr="00564B0F">
        <w:t xml:space="preserve">state </w:t>
      </w:r>
      <w:r w:rsidR="0015523C" w:rsidRPr="00564B0F">
        <w:t>p</w:t>
      </w:r>
      <w:r w:rsidR="00477C33" w:rsidRPr="00564B0F">
        <w:t>lans</w:t>
      </w:r>
      <w:r w:rsidRPr="00564B0F">
        <w:t xml:space="preserve">; </w:t>
      </w:r>
    </w:p>
    <w:p w14:paraId="7697913F" w14:textId="1C7523B4" w:rsidR="00B31161" w:rsidRPr="00564B0F" w:rsidRDefault="00B31161" w:rsidP="00B31161">
      <w:pPr>
        <w:pStyle w:val="ParaNum"/>
        <w:widowControl/>
        <w:numPr>
          <w:ilvl w:val="0"/>
          <w:numId w:val="7"/>
        </w:numPr>
      </w:pPr>
      <w:r w:rsidRPr="00564B0F">
        <w:t xml:space="preserve">What elements states should include in their alternative state plans to demonstrate compliance with the relevant statutory criteria; </w:t>
      </w:r>
      <w:r w:rsidR="005121BE">
        <w:t>and</w:t>
      </w:r>
      <w:r w:rsidRPr="00564B0F">
        <w:t xml:space="preserve"> </w:t>
      </w:r>
    </w:p>
    <w:p w14:paraId="1109164B" w14:textId="7CACC935" w:rsidR="003155AD" w:rsidRPr="00564B0F" w:rsidRDefault="00C05E15">
      <w:pPr>
        <w:pStyle w:val="ParaNum"/>
        <w:widowControl/>
        <w:numPr>
          <w:ilvl w:val="0"/>
          <w:numId w:val="7"/>
        </w:numPr>
      </w:pPr>
      <w:r w:rsidRPr="00564B0F">
        <w:t>How the Commission’s decisions to approve or disapprove alternative state plans will be documented.</w:t>
      </w:r>
      <w:r w:rsidR="00015E3B" w:rsidRPr="00564B0F">
        <w:rPr>
          <w:rStyle w:val="FootnoteReference"/>
        </w:rPr>
        <w:footnoteReference w:id="20"/>
      </w:r>
      <w:r w:rsidR="003155AD" w:rsidRPr="00564B0F">
        <w:t xml:space="preserve"> </w:t>
      </w:r>
    </w:p>
    <w:p w14:paraId="01B26BAC" w14:textId="666B4C0C" w:rsidR="003155AD" w:rsidRPr="00564B0F" w:rsidRDefault="003155AD" w:rsidP="003155AD">
      <w:pPr>
        <w:pStyle w:val="ParaNum"/>
      </w:pPr>
      <w:r w:rsidRPr="00564B0F">
        <w:t xml:space="preserve">Comments were </w:t>
      </w:r>
      <w:r w:rsidR="0015523C" w:rsidRPr="00564B0F">
        <w:t>filed</w:t>
      </w:r>
      <w:r w:rsidRPr="00564B0F">
        <w:t xml:space="preserve"> on October 21, 2016</w:t>
      </w:r>
      <w:r w:rsidR="00BE0456">
        <w:t>,</w:t>
      </w:r>
      <w:r w:rsidRPr="00564B0F">
        <w:t xml:space="preserve"> and </w:t>
      </w:r>
      <w:r w:rsidR="0015523C" w:rsidRPr="00564B0F">
        <w:t>r</w:t>
      </w:r>
      <w:r w:rsidRPr="00564B0F">
        <w:t xml:space="preserve">eply </w:t>
      </w:r>
      <w:r w:rsidR="0015523C" w:rsidRPr="00564B0F">
        <w:t>c</w:t>
      </w:r>
      <w:r w:rsidRPr="00564B0F">
        <w:t xml:space="preserve">omments were </w:t>
      </w:r>
      <w:r w:rsidR="0015523C" w:rsidRPr="00564B0F">
        <w:t xml:space="preserve">filed </w:t>
      </w:r>
      <w:r w:rsidRPr="00564B0F">
        <w:t>on November 21, 2016.</w:t>
      </w:r>
      <w:r w:rsidRPr="00564B0F">
        <w:rPr>
          <w:rStyle w:val="FootnoteReference"/>
        </w:rPr>
        <w:footnoteReference w:id="21"/>
      </w:r>
      <w:r w:rsidRPr="00564B0F">
        <w:t xml:space="preserve">  </w:t>
      </w:r>
      <w:r w:rsidR="0030672C">
        <w:t>Eighteen</w:t>
      </w:r>
      <w:r w:rsidR="005E245B" w:rsidRPr="00564B0F">
        <w:t xml:space="preserve"> parties filed comments and </w:t>
      </w:r>
      <w:r w:rsidR="001A540E" w:rsidRPr="00564B0F">
        <w:t xml:space="preserve">five </w:t>
      </w:r>
      <w:r w:rsidR="001B2DD8" w:rsidRPr="00564B0F">
        <w:t xml:space="preserve">parties </w:t>
      </w:r>
      <w:r w:rsidR="005E245B" w:rsidRPr="00564B0F">
        <w:t xml:space="preserve">filed </w:t>
      </w:r>
      <w:r w:rsidR="00015E3B" w:rsidRPr="00564B0F">
        <w:t>r</w:t>
      </w:r>
      <w:r w:rsidR="005E245B" w:rsidRPr="00564B0F">
        <w:t xml:space="preserve">eply </w:t>
      </w:r>
      <w:r w:rsidR="00015E3B" w:rsidRPr="00564B0F">
        <w:t>c</w:t>
      </w:r>
      <w:r w:rsidR="005E245B" w:rsidRPr="00564B0F">
        <w:t>omments.</w:t>
      </w:r>
      <w:r w:rsidR="0030672C">
        <w:rPr>
          <w:rStyle w:val="FootnoteReference"/>
        </w:rPr>
        <w:footnoteReference w:id="22"/>
      </w:r>
    </w:p>
    <w:p w14:paraId="6DED2B05" w14:textId="2617056F" w:rsidR="00526C64" w:rsidRPr="00564B0F" w:rsidRDefault="005E245B" w:rsidP="00526C64">
      <w:pPr>
        <w:pStyle w:val="Heading1"/>
      </w:pPr>
      <w:bookmarkStart w:id="7" w:name="_Toc482780146"/>
      <w:bookmarkStart w:id="8" w:name="_Toc482780363"/>
      <w:bookmarkStart w:id="9" w:name="_Toc483919382"/>
      <w:bookmarkStart w:id="10" w:name="_Toc485821085"/>
      <w:r w:rsidRPr="00564B0F">
        <w:t>discussion</w:t>
      </w:r>
      <w:bookmarkEnd w:id="7"/>
      <w:bookmarkEnd w:id="8"/>
      <w:bookmarkEnd w:id="9"/>
      <w:bookmarkEnd w:id="10"/>
    </w:p>
    <w:p w14:paraId="4819EFF2" w14:textId="0040125D" w:rsidR="005E245B" w:rsidRPr="00564B0F" w:rsidRDefault="005E245B" w:rsidP="005E245B">
      <w:pPr>
        <w:pStyle w:val="Heading2"/>
      </w:pPr>
      <w:bookmarkStart w:id="11" w:name="_Toc482780147"/>
      <w:bookmarkStart w:id="12" w:name="_Toc482780364"/>
      <w:bookmarkStart w:id="13" w:name="_Toc483919383"/>
      <w:bookmarkStart w:id="14" w:name="_Toc485821086"/>
      <w:r w:rsidRPr="00564B0F">
        <w:t>Opt-Out Procedures</w:t>
      </w:r>
      <w:bookmarkEnd w:id="11"/>
      <w:bookmarkEnd w:id="12"/>
      <w:bookmarkEnd w:id="13"/>
      <w:bookmarkEnd w:id="14"/>
    </w:p>
    <w:p w14:paraId="27263F95" w14:textId="1FA31169" w:rsidR="00477C33" w:rsidRPr="00564B0F" w:rsidRDefault="008356D4" w:rsidP="00197339">
      <w:pPr>
        <w:pStyle w:val="ParaNum"/>
        <w:widowControl/>
      </w:pPr>
      <w:r w:rsidRPr="00564B0F">
        <w:t xml:space="preserve">The Act provides </w:t>
      </w:r>
      <w:r w:rsidR="00AA3959" w:rsidRPr="00564B0F">
        <w:t xml:space="preserve">every </w:t>
      </w:r>
      <w:r w:rsidR="000E53AA">
        <w:t>G</w:t>
      </w:r>
      <w:r w:rsidR="00AA3959" w:rsidRPr="00564B0F">
        <w:t>overnor 90 days from the time FirstNet provides the</w:t>
      </w:r>
      <w:r w:rsidRPr="00564B0F">
        <w:t xml:space="preserve"> state </w:t>
      </w:r>
      <w:r w:rsidR="00AA3959" w:rsidRPr="00564B0F">
        <w:t xml:space="preserve">with its </w:t>
      </w:r>
      <w:r w:rsidR="00926DB0" w:rsidRPr="00564B0F">
        <w:t xml:space="preserve">final </w:t>
      </w:r>
      <w:r w:rsidR="00AA3959" w:rsidRPr="00564B0F">
        <w:t>state plan to decide whether to opt</w:t>
      </w:r>
      <w:r w:rsidR="005121BE">
        <w:t xml:space="preserve"> </w:t>
      </w:r>
      <w:r w:rsidR="00AA3959" w:rsidRPr="00564B0F">
        <w:t>out of the NPSBN.</w:t>
      </w:r>
      <w:r w:rsidRPr="00564B0F">
        <w:rPr>
          <w:vertAlign w:val="superscript"/>
        </w:rPr>
        <w:footnoteReference w:id="23"/>
      </w:r>
      <w:r w:rsidRPr="00564B0F">
        <w:t xml:space="preserve">  The Act also states that an opt-out state </w:t>
      </w:r>
      <w:r w:rsidR="00AA3959" w:rsidRPr="00564B0F">
        <w:t xml:space="preserve">has 180 days after it provides its opt-out notice to </w:t>
      </w:r>
      <w:r w:rsidR="001A540E" w:rsidRPr="00564B0F">
        <w:t>“develop and complete requests for proposals for the construction, maintenance, and operation of the radio access network within the State.”</w:t>
      </w:r>
      <w:r w:rsidRPr="00564B0F">
        <w:rPr>
          <w:vertAlign w:val="superscript"/>
        </w:rPr>
        <w:footnoteReference w:id="24"/>
      </w:r>
      <w:r w:rsidRPr="00564B0F">
        <w:t xml:space="preserve"> </w:t>
      </w:r>
    </w:p>
    <w:p w14:paraId="1A2FE57C" w14:textId="2893D339" w:rsidR="005D579A" w:rsidRPr="00564B0F" w:rsidRDefault="00850027" w:rsidP="005D579A">
      <w:pPr>
        <w:pStyle w:val="Heading3"/>
      </w:pPr>
      <w:bookmarkStart w:id="15" w:name="_Toc482780148"/>
      <w:bookmarkStart w:id="16" w:name="_Toc482780365"/>
      <w:bookmarkStart w:id="17" w:name="_Toc483919384"/>
      <w:bookmarkStart w:id="18" w:name="_Toc485821087"/>
      <w:r w:rsidRPr="00564B0F">
        <w:t>Notification Procedures</w:t>
      </w:r>
      <w:bookmarkEnd w:id="15"/>
      <w:bookmarkEnd w:id="16"/>
      <w:bookmarkEnd w:id="17"/>
      <w:bookmarkEnd w:id="18"/>
    </w:p>
    <w:p w14:paraId="3F34BE93" w14:textId="771898A9" w:rsidR="00514593" w:rsidRPr="00564B0F" w:rsidRDefault="005C31A1" w:rsidP="007661C1">
      <w:pPr>
        <w:pStyle w:val="ParaNum"/>
        <w:widowControl/>
      </w:pPr>
      <w:r w:rsidRPr="00564B0F">
        <w:rPr>
          <w:i/>
        </w:rPr>
        <w:t>NPRM.</w:t>
      </w:r>
      <w:r w:rsidRPr="00564B0F">
        <w:t xml:space="preserve">  </w:t>
      </w:r>
      <w:r w:rsidR="00514593" w:rsidRPr="00564B0F">
        <w:t xml:space="preserve">In the </w:t>
      </w:r>
      <w:r w:rsidR="00514593" w:rsidRPr="00564B0F">
        <w:rPr>
          <w:i/>
        </w:rPr>
        <w:t>NPRM</w:t>
      </w:r>
      <w:r w:rsidR="00514593" w:rsidRPr="00E90896">
        <w:t>,</w:t>
      </w:r>
      <w:r w:rsidR="00514593" w:rsidRPr="00564B0F">
        <w:rPr>
          <w:i/>
        </w:rPr>
        <w:t xml:space="preserve"> </w:t>
      </w:r>
      <w:r w:rsidR="004C166C" w:rsidRPr="00564B0F">
        <w:t>the Commission</w:t>
      </w:r>
      <w:r w:rsidR="00514593" w:rsidRPr="00564B0F">
        <w:t xml:space="preserve"> tentatively concluded that Congress did not intend to permit states to delay their notification to the Commission beyond the 90 days provided for states to determine whether or not to opt out.</w:t>
      </w:r>
      <w:r w:rsidR="00514593" w:rsidRPr="00564B0F">
        <w:rPr>
          <w:rStyle w:val="FootnoteReference"/>
        </w:rPr>
        <w:footnoteReference w:id="25"/>
      </w:r>
      <w:r w:rsidR="00514593" w:rsidRPr="00564B0F">
        <w:t xml:space="preserve">  </w:t>
      </w:r>
      <w:r w:rsidR="004C166C" w:rsidRPr="00564B0F">
        <w:t>The Commission</w:t>
      </w:r>
      <w:r w:rsidR="00514593" w:rsidRPr="00564B0F">
        <w:t xml:space="preserve"> therefore proposed to require states electing to opt out of the NPSBN to file a notification with the Commission no later than 90 days after the date they receive electronic notice </w:t>
      </w:r>
      <w:r w:rsidR="00926DB0" w:rsidRPr="00564B0F">
        <w:t xml:space="preserve">of the final state plan </w:t>
      </w:r>
      <w:r w:rsidR="00514593" w:rsidRPr="00564B0F">
        <w:t>from FirstNet.</w:t>
      </w:r>
      <w:r w:rsidR="00514593" w:rsidRPr="00564B0F">
        <w:rPr>
          <w:rStyle w:val="FootnoteReference"/>
        </w:rPr>
        <w:footnoteReference w:id="26"/>
      </w:r>
      <w:r w:rsidR="00514593" w:rsidRPr="00564B0F">
        <w:t xml:space="preserve">  </w:t>
      </w:r>
      <w:r w:rsidR="004C166C" w:rsidRPr="00564B0F">
        <w:t>The Commission</w:t>
      </w:r>
      <w:r w:rsidR="00514593" w:rsidRPr="00564B0F">
        <w:t xml:space="preserve"> also proposed to require that the state’s opt-out notice to the Commission </w:t>
      </w:r>
      <w:r w:rsidR="00954F29" w:rsidRPr="00564B0F">
        <w:t xml:space="preserve">contain a </w:t>
      </w:r>
      <w:r w:rsidR="00514593" w:rsidRPr="00564B0F">
        <w:t>certif</w:t>
      </w:r>
      <w:r w:rsidR="00954F29" w:rsidRPr="00564B0F">
        <w:t>ication</w:t>
      </w:r>
      <w:r w:rsidR="00D315D1" w:rsidRPr="00564B0F">
        <w:t xml:space="preserve"> </w:t>
      </w:r>
      <w:r w:rsidR="00514593" w:rsidRPr="00564B0F">
        <w:t>that the state has also notified FirstNet and NTIA of its opt-out decision.</w:t>
      </w:r>
      <w:r w:rsidR="00514593" w:rsidRPr="00564B0F">
        <w:rPr>
          <w:rStyle w:val="FootnoteReference"/>
        </w:rPr>
        <w:footnoteReference w:id="27"/>
      </w:r>
      <w:r w:rsidR="00514593" w:rsidRPr="00564B0F">
        <w:t xml:space="preserve">  </w:t>
      </w:r>
      <w:r w:rsidR="004C166C" w:rsidRPr="00564B0F">
        <w:t>The Commission</w:t>
      </w:r>
      <w:r w:rsidR="00514593" w:rsidRPr="00564B0F">
        <w:t xml:space="preserve"> also sought comment on how states should provide notice to the Commission</w:t>
      </w:r>
      <w:r w:rsidR="00F83BEE">
        <w:t xml:space="preserve"> and </w:t>
      </w:r>
      <w:r w:rsidR="00514593" w:rsidRPr="00564B0F">
        <w:t>who could file such notice.</w:t>
      </w:r>
      <w:r w:rsidR="00514593" w:rsidRPr="00564B0F">
        <w:rPr>
          <w:rStyle w:val="FootnoteReference"/>
        </w:rPr>
        <w:footnoteReference w:id="28"/>
      </w:r>
    </w:p>
    <w:p w14:paraId="1E533623" w14:textId="4B828EC4" w:rsidR="0011016F" w:rsidRPr="00564B0F" w:rsidRDefault="001A540E" w:rsidP="007661C1">
      <w:pPr>
        <w:pStyle w:val="ParaNum"/>
        <w:widowControl/>
      </w:pPr>
      <w:r w:rsidRPr="00564B0F">
        <w:rPr>
          <w:i/>
        </w:rPr>
        <w:t>Comments.</w:t>
      </w:r>
      <w:r w:rsidR="0011016F" w:rsidRPr="00564B0F">
        <w:t xml:space="preserve">  Commenting parties </w:t>
      </w:r>
      <w:r w:rsidR="00EF2509" w:rsidRPr="00564B0F">
        <w:t xml:space="preserve">generally agree with the tentative conclusion that states </w:t>
      </w:r>
      <w:r w:rsidR="00926DB0" w:rsidRPr="00564B0F">
        <w:t xml:space="preserve">should not be permitted </w:t>
      </w:r>
      <w:r w:rsidR="00EF2509" w:rsidRPr="00564B0F">
        <w:t>to delay their notification to the Commission beyond the 90 days provided for states to determine whether or not to opt out.</w:t>
      </w:r>
      <w:r w:rsidR="00EF2509" w:rsidRPr="00564B0F">
        <w:rPr>
          <w:rStyle w:val="FootnoteReference"/>
        </w:rPr>
        <w:footnoteReference w:id="29"/>
      </w:r>
      <w:r w:rsidR="00EF2509" w:rsidRPr="00564B0F">
        <w:t xml:space="preserve">  A few parties</w:t>
      </w:r>
      <w:r w:rsidR="00926DB0" w:rsidRPr="00564B0F">
        <w:t xml:space="preserve">, however, contend </w:t>
      </w:r>
      <w:r w:rsidR="00EF2509" w:rsidRPr="00564B0F">
        <w:t xml:space="preserve">that the 90-day clock </w:t>
      </w:r>
      <w:r w:rsidR="00926DB0" w:rsidRPr="00564B0F">
        <w:t>should r</w:t>
      </w:r>
      <w:r w:rsidR="00EF2509" w:rsidRPr="00564B0F">
        <w:t xml:space="preserve">eset if FirstNet </w:t>
      </w:r>
      <w:r w:rsidR="005D579A" w:rsidRPr="00564B0F">
        <w:t>makes any changes to a state plan.</w:t>
      </w:r>
      <w:r w:rsidR="005D579A" w:rsidRPr="00564B0F">
        <w:rPr>
          <w:rStyle w:val="FootnoteReference"/>
        </w:rPr>
        <w:footnoteReference w:id="30"/>
      </w:r>
      <w:r w:rsidR="005D579A" w:rsidRPr="00564B0F">
        <w:t xml:space="preserve">  Commenters also generally agree that a state’s opt-out notice to the Commission </w:t>
      </w:r>
      <w:r w:rsidR="00926DB0" w:rsidRPr="00564B0F">
        <w:t xml:space="preserve">should include a </w:t>
      </w:r>
      <w:r w:rsidR="005D579A" w:rsidRPr="00564B0F">
        <w:t>certif</w:t>
      </w:r>
      <w:r w:rsidR="00926DB0" w:rsidRPr="00564B0F">
        <w:t xml:space="preserve">ication </w:t>
      </w:r>
      <w:r w:rsidR="005D579A" w:rsidRPr="00564B0F">
        <w:t>that the state has also notified FirstNet and NTIA of its opt-out decision.</w:t>
      </w:r>
      <w:r w:rsidR="005D579A" w:rsidRPr="00564B0F">
        <w:rPr>
          <w:rStyle w:val="FootnoteReference"/>
        </w:rPr>
        <w:footnoteReference w:id="31"/>
      </w:r>
      <w:r w:rsidR="005C31A1" w:rsidRPr="00E90896">
        <w:t xml:space="preserve"> </w:t>
      </w:r>
      <w:r w:rsidR="00310A87">
        <w:t xml:space="preserve"> </w:t>
      </w:r>
      <w:r w:rsidR="005C31A1" w:rsidRPr="00564B0F">
        <w:t xml:space="preserve">Commenters split on whether the Governor </w:t>
      </w:r>
      <w:r w:rsidR="00184658">
        <w:t xml:space="preserve">should be personally responsible for </w:t>
      </w:r>
      <w:r w:rsidR="005C31A1" w:rsidRPr="00564B0F">
        <w:t>provid</w:t>
      </w:r>
      <w:r w:rsidR="00184658">
        <w:t>ing</w:t>
      </w:r>
      <w:r w:rsidR="005C31A1" w:rsidRPr="00564B0F">
        <w:t xml:space="preserve"> the opt-out notice</w:t>
      </w:r>
      <w:r w:rsidR="005C31A1" w:rsidRPr="00564B0F">
        <w:rPr>
          <w:rStyle w:val="FootnoteReference"/>
        </w:rPr>
        <w:footnoteReference w:id="32"/>
      </w:r>
      <w:r w:rsidR="005C31A1" w:rsidRPr="00564B0F">
        <w:t xml:space="preserve"> or whether a desi</w:t>
      </w:r>
      <w:r w:rsidR="001C4265" w:rsidRPr="00564B0F">
        <w:t>gnee could provide the notice.</w:t>
      </w:r>
      <w:r w:rsidR="001C4265" w:rsidRPr="00564B0F">
        <w:rPr>
          <w:rStyle w:val="FootnoteReference"/>
        </w:rPr>
        <w:footnoteReference w:id="33"/>
      </w:r>
      <w:r w:rsidR="001C4265" w:rsidRPr="00564B0F">
        <w:t xml:space="preserve">  </w:t>
      </w:r>
      <w:r w:rsidR="00CC40BB">
        <w:t>Recently, both AT&amp;T and APCO reiterated their view that the Governor, not a designee, must person</w:t>
      </w:r>
      <w:r w:rsidR="00A628A1">
        <w:t xml:space="preserve">ally </w:t>
      </w:r>
      <w:r w:rsidR="00CC40BB">
        <w:t>provide notice to the Commission.</w:t>
      </w:r>
      <w:r w:rsidR="00CC40BB">
        <w:rPr>
          <w:rStyle w:val="FootnoteReference"/>
        </w:rPr>
        <w:footnoteReference w:id="34"/>
      </w:r>
      <w:r w:rsidR="00CC40BB">
        <w:t xml:space="preserve"> </w:t>
      </w:r>
      <w:r w:rsidR="001B368B">
        <w:t xml:space="preserve">AT&amp;T </w:t>
      </w:r>
      <w:r w:rsidR="00184658">
        <w:t>alternatively proposes</w:t>
      </w:r>
      <w:r w:rsidR="001B368B">
        <w:t xml:space="preserve"> that should the Commission allow a Governor’s designee to provide the required notice, the Commission should require </w:t>
      </w:r>
      <w:r w:rsidR="00184658">
        <w:t xml:space="preserve">the </w:t>
      </w:r>
      <w:r w:rsidR="001B368B">
        <w:t xml:space="preserve">Governor to </w:t>
      </w:r>
      <w:r w:rsidR="00184658">
        <w:t xml:space="preserve">communicate </w:t>
      </w:r>
      <w:r w:rsidR="001B368B">
        <w:t xml:space="preserve">the </w:t>
      </w:r>
      <w:r w:rsidR="00184658">
        <w:t xml:space="preserve">intent to delegate such </w:t>
      </w:r>
      <w:r w:rsidR="001B368B">
        <w:t xml:space="preserve">authority </w:t>
      </w:r>
      <w:r w:rsidR="00184658">
        <w:t xml:space="preserve">by </w:t>
      </w:r>
      <w:r w:rsidR="001B368B">
        <w:t>(i) memorializ</w:t>
      </w:r>
      <w:r w:rsidR="00184658">
        <w:t>ing</w:t>
      </w:r>
      <w:r w:rsidR="001B368B">
        <w:t xml:space="preserve"> his/her delegation of authority in writing, and (ii) includ</w:t>
      </w:r>
      <w:r w:rsidR="00184658">
        <w:t>ing</w:t>
      </w:r>
      <w:r w:rsidR="001B368B">
        <w:t xml:space="preserve"> that written delegation with the opt-out notice to the Commission.</w:t>
      </w:r>
      <w:r w:rsidR="007661C1" w:rsidRPr="007661C1">
        <w:rPr>
          <w:rStyle w:val="FootnoteReference"/>
        </w:rPr>
        <w:t xml:space="preserve"> </w:t>
      </w:r>
      <w:r w:rsidR="007661C1">
        <w:rPr>
          <w:rStyle w:val="FootnoteReference"/>
        </w:rPr>
        <w:footnoteReference w:id="35"/>
      </w:r>
      <w:r w:rsidR="001B368B">
        <w:t xml:space="preserve"> </w:t>
      </w:r>
      <w:r w:rsidR="00336B8E">
        <w:t>Finally, c</w:t>
      </w:r>
      <w:r w:rsidR="001C4265" w:rsidRPr="00564B0F">
        <w:t xml:space="preserve">ommenters </w:t>
      </w:r>
      <w:r w:rsidR="00336B8E">
        <w:t>generally</w:t>
      </w:r>
      <w:r w:rsidR="001C4265" w:rsidRPr="00564B0F">
        <w:t xml:space="preserve"> support allowing </w:t>
      </w:r>
      <w:r w:rsidR="00336B8E">
        <w:t xml:space="preserve">the Governor or other authorized </w:t>
      </w:r>
      <w:r w:rsidR="001C4265" w:rsidRPr="00564B0F">
        <w:t>state</w:t>
      </w:r>
      <w:r w:rsidR="00336B8E">
        <w:t xml:space="preserve"> official </w:t>
      </w:r>
      <w:r w:rsidR="001C4265" w:rsidRPr="00564B0F">
        <w:t>to provide notice via a dedicated email address</w:t>
      </w:r>
      <w:r w:rsidR="00310A87">
        <w:t>.</w:t>
      </w:r>
      <w:r w:rsidR="001C4265" w:rsidRPr="00564B0F">
        <w:rPr>
          <w:rStyle w:val="FootnoteReference"/>
        </w:rPr>
        <w:footnoteReference w:id="36"/>
      </w:r>
      <w:r w:rsidR="001C4265" w:rsidRPr="00564B0F">
        <w:t xml:space="preserve"> </w:t>
      </w:r>
    </w:p>
    <w:p w14:paraId="5F871BD7" w14:textId="020701F8" w:rsidR="002177E1" w:rsidRPr="00564B0F" w:rsidRDefault="002177E1" w:rsidP="00AA275F">
      <w:pPr>
        <w:pStyle w:val="ParaNum"/>
        <w:widowControl/>
      </w:pPr>
      <w:r w:rsidRPr="00564B0F">
        <w:t xml:space="preserve">On March 22, 2017, FirstNet </w:t>
      </w:r>
      <w:r w:rsidR="001867F8" w:rsidRPr="00564B0F">
        <w:t xml:space="preserve">stated in </w:t>
      </w:r>
      <w:r w:rsidRPr="00564B0F">
        <w:t xml:space="preserve">an </w:t>
      </w:r>
      <w:r w:rsidRPr="00564B0F">
        <w:rPr>
          <w:i/>
        </w:rPr>
        <w:t xml:space="preserve">ex parte </w:t>
      </w:r>
      <w:r w:rsidR="001867F8" w:rsidRPr="00564B0F">
        <w:t xml:space="preserve">filing </w:t>
      </w:r>
      <w:r w:rsidR="00954F29" w:rsidRPr="00564B0F">
        <w:t xml:space="preserve">that </w:t>
      </w:r>
      <w:r w:rsidR="001867F8" w:rsidRPr="00564B0F">
        <w:t xml:space="preserve">it </w:t>
      </w:r>
      <w:r w:rsidR="00954F29" w:rsidRPr="00564B0F">
        <w:t xml:space="preserve">intends to issue draft plans to the states </w:t>
      </w:r>
      <w:r w:rsidR="00C14583">
        <w:t>by means of a dedicated web portal for each state.</w:t>
      </w:r>
      <w:r w:rsidR="00C14583" w:rsidRPr="00564B0F">
        <w:rPr>
          <w:rStyle w:val="FootnoteReference"/>
        </w:rPr>
        <w:footnoteReference w:id="37"/>
      </w:r>
      <w:r w:rsidR="00C14583" w:rsidRPr="00564B0F">
        <w:t xml:space="preserve"> </w:t>
      </w:r>
      <w:r w:rsidR="00C14583">
        <w:t xml:space="preserve"> </w:t>
      </w:r>
      <w:r w:rsidR="00714D48">
        <w:t xml:space="preserve">FirstNet will </w:t>
      </w:r>
      <w:r w:rsidR="00954F29" w:rsidRPr="00564B0F">
        <w:t xml:space="preserve">provide an opportunity for </w:t>
      </w:r>
      <w:r w:rsidR="00714D48">
        <w:t xml:space="preserve">each state to provide </w:t>
      </w:r>
      <w:r w:rsidR="00954F29" w:rsidRPr="00564B0F">
        <w:t xml:space="preserve">feedback, </w:t>
      </w:r>
      <w:r w:rsidR="00714D48">
        <w:t xml:space="preserve">after which it will use the same web portal mechanism to </w:t>
      </w:r>
      <w:r w:rsidR="00954F29" w:rsidRPr="00564B0F">
        <w:t>delive</w:t>
      </w:r>
      <w:r w:rsidR="00714D48">
        <w:t>r</w:t>
      </w:r>
      <w:r w:rsidR="00954F29" w:rsidRPr="00564B0F">
        <w:t xml:space="preserve"> </w:t>
      </w:r>
      <w:r w:rsidR="00714D48">
        <w:t>the</w:t>
      </w:r>
      <w:r w:rsidR="00954F29" w:rsidRPr="00564B0F">
        <w:t xml:space="preserve"> final plans </w:t>
      </w:r>
      <w:r w:rsidR="00714D48">
        <w:t xml:space="preserve">to </w:t>
      </w:r>
      <w:r w:rsidR="00954F29" w:rsidRPr="00564B0F">
        <w:t>each state</w:t>
      </w:r>
      <w:r w:rsidR="00E17056" w:rsidRPr="00564B0F">
        <w:t>.</w:t>
      </w:r>
      <w:r w:rsidR="00E17056" w:rsidRPr="00564B0F">
        <w:rPr>
          <w:rStyle w:val="FootnoteReference"/>
        </w:rPr>
        <w:footnoteReference w:id="38"/>
      </w:r>
      <w:r w:rsidRPr="00564B0F">
        <w:t xml:space="preserve"> </w:t>
      </w:r>
      <w:r w:rsidR="00E17056" w:rsidRPr="00564B0F">
        <w:t xml:space="preserve"> </w:t>
      </w:r>
      <w:r w:rsidR="00463A32" w:rsidRPr="00564B0F">
        <w:t xml:space="preserve">FirstNet indicated that the delivery of these final plans </w:t>
      </w:r>
      <w:r w:rsidR="00954F29" w:rsidRPr="00564B0F">
        <w:t>would provide the statutory “notice” that would trigger the 90-day clock</w:t>
      </w:r>
      <w:r w:rsidR="00463A32" w:rsidRPr="00564B0F">
        <w:t>.</w:t>
      </w:r>
      <w:r w:rsidR="00463A32" w:rsidRPr="00564B0F">
        <w:rPr>
          <w:rStyle w:val="FootnoteReference"/>
        </w:rPr>
        <w:footnoteReference w:id="39"/>
      </w:r>
    </w:p>
    <w:p w14:paraId="26C838AF" w14:textId="7189119D" w:rsidR="00D666D9" w:rsidRDefault="001C4265" w:rsidP="0061521F">
      <w:pPr>
        <w:pStyle w:val="ParaNum"/>
      </w:pPr>
      <w:r w:rsidRPr="00A6671D">
        <w:rPr>
          <w:i/>
        </w:rPr>
        <w:t>Decision.</w:t>
      </w:r>
      <w:r w:rsidR="0059111C" w:rsidRPr="00564B0F">
        <w:t xml:space="preserve">  </w:t>
      </w:r>
      <w:r w:rsidR="004226BB">
        <w:t xml:space="preserve">Under </w:t>
      </w:r>
      <w:r w:rsidR="00777A1B">
        <w:t>Section 6302(</w:t>
      </w:r>
      <w:r w:rsidR="00784E1C">
        <w:t>e</w:t>
      </w:r>
      <w:r w:rsidR="00777A1B">
        <w:t xml:space="preserve">)(2) of the </w:t>
      </w:r>
      <w:r w:rsidR="004226BB">
        <w:t xml:space="preserve">Act, a Governor has 90 days </w:t>
      </w:r>
      <w:r w:rsidR="00A56F52">
        <w:t>from the receipt</w:t>
      </w:r>
      <w:r w:rsidR="00F83BEE">
        <w:t xml:space="preserve"> of notice </w:t>
      </w:r>
      <w:r w:rsidR="007255C4">
        <w:t xml:space="preserve">of the final state plan </w:t>
      </w:r>
      <w:r w:rsidR="00A56F52">
        <w:t>by FirstNet under Section 6302(</w:t>
      </w:r>
      <w:r w:rsidR="00784E1C">
        <w:t>e</w:t>
      </w:r>
      <w:r w:rsidR="00A56F52">
        <w:t xml:space="preserve">)(1) </w:t>
      </w:r>
      <w:r w:rsidR="004226BB">
        <w:t xml:space="preserve">to “choose” whether to participate in the NPSBN or </w:t>
      </w:r>
      <w:r w:rsidR="00C44E40">
        <w:t xml:space="preserve">elect for the state to </w:t>
      </w:r>
      <w:r w:rsidR="004226BB">
        <w:t>conduct its own RAN deployment.  Upon making the decision</w:t>
      </w:r>
      <w:r w:rsidR="00BC151E">
        <w:t xml:space="preserve"> to opt out</w:t>
      </w:r>
      <w:r w:rsidR="004226BB">
        <w:t>, the Governor “shall notify” FirstNet, NTIA</w:t>
      </w:r>
      <w:r w:rsidR="007255C4">
        <w:t>,</w:t>
      </w:r>
      <w:r w:rsidR="004226BB">
        <w:t xml:space="preserve"> and the Commission.</w:t>
      </w:r>
      <w:r w:rsidR="004226BB">
        <w:rPr>
          <w:rStyle w:val="FootnoteReference"/>
        </w:rPr>
        <w:footnoteReference w:id="40"/>
      </w:r>
      <w:r w:rsidR="004226BB">
        <w:t xml:space="preserve">  We </w:t>
      </w:r>
      <w:r w:rsidR="00D3322E">
        <w:t xml:space="preserve">agree with commenters that </w:t>
      </w:r>
      <w:r w:rsidR="00BC151E">
        <w:t xml:space="preserve">in establishing the 90-day period, </w:t>
      </w:r>
      <w:r w:rsidR="00D3322E">
        <w:t xml:space="preserve">Congress did not intend for a lapse in time between the </w:t>
      </w:r>
      <w:r w:rsidR="00A03E00">
        <w:t xml:space="preserve">state exercising its </w:t>
      </w:r>
      <w:r w:rsidR="00D3322E">
        <w:t xml:space="preserve">choice to opt out and </w:t>
      </w:r>
      <w:r w:rsidR="00A03E00">
        <w:t xml:space="preserve">providing </w:t>
      </w:r>
      <w:r w:rsidR="00D3322E">
        <w:t>notice o</w:t>
      </w:r>
      <w:r w:rsidR="0030672C">
        <w:t>f</w:t>
      </w:r>
      <w:r w:rsidR="00D3322E">
        <w:t xml:space="preserve"> </w:t>
      </w:r>
      <w:r w:rsidR="00A03E00">
        <w:t xml:space="preserve">its </w:t>
      </w:r>
      <w:r w:rsidR="00D3322E">
        <w:t>decision which would artificially, and potentially indefinitely, delay the process.</w:t>
      </w:r>
      <w:r w:rsidR="00F42720" w:rsidRPr="00564B0F">
        <w:rPr>
          <w:rStyle w:val="FootnoteReference"/>
        </w:rPr>
        <w:footnoteReference w:id="41"/>
      </w:r>
      <w:r w:rsidR="00E17056" w:rsidRPr="00564B0F">
        <w:t xml:space="preserve"> </w:t>
      </w:r>
      <w:r w:rsidR="00181214" w:rsidRPr="00564B0F">
        <w:t xml:space="preserve"> </w:t>
      </w:r>
      <w:r w:rsidR="00D3322E">
        <w:t xml:space="preserve">We further find, consistent with comments, that the 90-day </w:t>
      </w:r>
      <w:r w:rsidR="00BC151E">
        <w:t xml:space="preserve">period </w:t>
      </w:r>
      <w:r w:rsidR="004226BB">
        <w:t>shall commence</w:t>
      </w:r>
      <w:r w:rsidR="0061521F" w:rsidRPr="00564B0F">
        <w:t xml:space="preserve"> </w:t>
      </w:r>
      <w:r w:rsidR="00D3322E">
        <w:t>when</w:t>
      </w:r>
      <w:r w:rsidR="00D3322E" w:rsidRPr="00564B0F">
        <w:t xml:space="preserve"> </w:t>
      </w:r>
      <w:r w:rsidR="00D3322E">
        <w:t>a</w:t>
      </w:r>
      <w:r w:rsidR="004226BB">
        <w:t xml:space="preserve"> state has received</w:t>
      </w:r>
      <w:r w:rsidR="0061521F" w:rsidRPr="00564B0F">
        <w:t xml:space="preserve"> </w:t>
      </w:r>
      <w:r w:rsidR="00D3322E">
        <w:t xml:space="preserve">statutory “notice” </w:t>
      </w:r>
      <w:r w:rsidR="00A03E00">
        <w:t xml:space="preserve">from FirstNet </w:t>
      </w:r>
      <w:r w:rsidR="00D3322E">
        <w:t xml:space="preserve">of </w:t>
      </w:r>
      <w:r w:rsidR="0061521F" w:rsidRPr="00564B0F">
        <w:t>the final plan</w:t>
      </w:r>
      <w:r w:rsidR="00A03E00">
        <w:t xml:space="preserve"> for that state</w:t>
      </w:r>
      <w:r w:rsidR="00D3322E">
        <w:t xml:space="preserve">.  </w:t>
      </w:r>
      <w:r w:rsidR="00A03E00">
        <w:t>For</w:t>
      </w:r>
      <w:r w:rsidR="00D3322E">
        <w:t xml:space="preserve"> these purposes, </w:t>
      </w:r>
      <w:r w:rsidR="00F83BEE">
        <w:t xml:space="preserve">we </w:t>
      </w:r>
      <w:r w:rsidR="00D3322E">
        <w:t xml:space="preserve">direct </w:t>
      </w:r>
      <w:r w:rsidR="00D666D9">
        <w:t xml:space="preserve">FirstNet to immediately notify the </w:t>
      </w:r>
      <w:r w:rsidR="00B971DB">
        <w:t xml:space="preserve">Bureau </w:t>
      </w:r>
      <w:r w:rsidR="00D666D9">
        <w:t xml:space="preserve">when it </w:t>
      </w:r>
      <w:r w:rsidR="00F53CAF">
        <w:t>provides such notice</w:t>
      </w:r>
      <w:r w:rsidR="00D666D9">
        <w:t xml:space="preserve"> to </w:t>
      </w:r>
      <w:r w:rsidR="00F53CAF">
        <w:t xml:space="preserve">a </w:t>
      </w:r>
      <w:r w:rsidR="00D666D9">
        <w:t>state</w:t>
      </w:r>
      <w:r w:rsidR="00D3322E">
        <w:t xml:space="preserve">, and </w:t>
      </w:r>
      <w:r w:rsidR="00D666D9">
        <w:t xml:space="preserve">we direct the Bureau to promptly issue a Public Notice announcing the commencement of the 90-day period and </w:t>
      </w:r>
      <w:r w:rsidR="00D3322E">
        <w:t>specify</w:t>
      </w:r>
      <w:r w:rsidR="00D666D9">
        <w:t>ing</w:t>
      </w:r>
      <w:r w:rsidR="00D3322E">
        <w:t xml:space="preserve"> the </w:t>
      </w:r>
      <w:r w:rsidR="00B45B83">
        <w:t>deadline</w:t>
      </w:r>
      <w:r w:rsidR="00C44E40">
        <w:t xml:space="preserve"> for </w:t>
      </w:r>
      <w:r w:rsidR="005F4907">
        <w:t xml:space="preserve">the relevant state or </w:t>
      </w:r>
      <w:r w:rsidR="00D666D9">
        <w:t xml:space="preserve">states to file </w:t>
      </w:r>
      <w:r w:rsidR="00D3322E">
        <w:t xml:space="preserve">opt-out notifications </w:t>
      </w:r>
      <w:r w:rsidR="00D666D9">
        <w:t xml:space="preserve">with </w:t>
      </w:r>
      <w:r w:rsidR="00310A87">
        <w:t xml:space="preserve">FirstNet, NTIA, and </w:t>
      </w:r>
      <w:r w:rsidR="00D3322E">
        <w:t xml:space="preserve">the Commission.  </w:t>
      </w:r>
    </w:p>
    <w:p w14:paraId="38101732" w14:textId="23A966B4" w:rsidR="0061521F" w:rsidRPr="00564B0F" w:rsidRDefault="003946B8" w:rsidP="0061521F">
      <w:pPr>
        <w:pStyle w:val="ParaNum"/>
      </w:pPr>
      <w:r>
        <w:t xml:space="preserve">With </w:t>
      </w:r>
      <w:r w:rsidR="004226BB">
        <w:t>respect</w:t>
      </w:r>
      <w:r>
        <w:t xml:space="preserve"> to the process for states to submit opt-out notifications</w:t>
      </w:r>
      <w:r w:rsidR="003754AA">
        <w:t xml:space="preserve"> to the Commission</w:t>
      </w:r>
      <w:r w:rsidR="004226BB">
        <w:t xml:space="preserve">, we require that either the Governor or </w:t>
      </w:r>
      <w:r>
        <w:t xml:space="preserve">the Governor’s </w:t>
      </w:r>
      <w:r w:rsidR="004226BB">
        <w:t>duly authorized designee provide notification of the Governor’s decision</w:t>
      </w:r>
      <w:r w:rsidR="00181214" w:rsidRPr="00564B0F">
        <w:t xml:space="preserve">.  </w:t>
      </w:r>
      <w:r w:rsidR="0078247B">
        <w:t>W</w:t>
      </w:r>
      <w:r w:rsidR="005D2701">
        <w:t xml:space="preserve">hile the </w:t>
      </w:r>
      <w:r w:rsidR="0078247B">
        <w:t xml:space="preserve">statute clearly assigns sole responsibility to the Governor for the </w:t>
      </w:r>
      <w:r w:rsidR="005D2701">
        <w:t xml:space="preserve">decision </w:t>
      </w:r>
      <w:r w:rsidR="0078247B">
        <w:t xml:space="preserve">whether to opt in or opt out, </w:t>
      </w:r>
      <w:r w:rsidR="005D2701">
        <w:t>we do not believe Congress intended for the Governor to be responsible for the</w:t>
      </w:r>
      <w:r w:rsidR="00F925A7">
        <w:t xml:space="preserve"> purely</w:t>
      </w:r>
      <w:r w:rsidR="005D2701">
        <w:t xml:space="preserve"> ministerial act of transmitting </w:t>
      </w:r>
      <w:r w:rsidR="0096633F">
        <w:t>notice of the decision</w:t>
      </w:r>
      <w:r w:rsidR="005D2701">
        <w:t xml:space="preserve"> to the Commission.  </w:t>
      </w:r>
      <w:r w:rsidR="0083760E">
        <w:t>Moreover, we do not believe Congress</w:t>
      </w:r>
      <w:r w:rsidR="0078247B">
        <w:t xml:space="preserve"> </w:t>
      </w:r>
      <w:r w:rsidR="0083760E">
        <w:t>inten</w:t>
      </w:r>
      <w:r w:rsidR="0078247B">
        <w:t>ded</w:t>
      </w:r>
      <w:r w:rsidR="0083760E">
        <w:t xml:space="preserve"> to override the Governor’s ability to delegate assessment and evaluation of the state plan, so long as the Governor remains accountable for the ultimate decision.  </w:t>
      </w:r>
      <w:r w:rsidR="00560BD9">
        <w:t>As FNCGB notes, requiring the Governor to personally notify the Commission the decision serves no practical purpose, and allowing a designee to transmit the decision decreases the state’s administrative burden.</w:t>
      </w:r>
      <w:r w:rsidR="00560BD9">
        <w:rPr>
          <w:rStyle w:val="FootnoteReference"/>
        </w:rPr>
        <w:footnoteReference w:id="42"/>
      </w:r>
      <w:r w:rsidR="00560BD9">
        <w:t xml:space="preserve">  </w:t>
      </w:r>
      <w:r w:rsidR="004057F5">
        <w:t xml:space="preserve">However, we </w:t>
      </w:r>
      <w:r w:rsidR="00336B8E">
        <w:t xml:space="preserve">agree with </w:t>
      </w:r>
      <w:r w:rsidR="004057F5">
        <w:t>AT&amp;T</w:t>
      </w:r>
      <w:r w:rsidR="008F2F8F">
        <w:t>’s suggestion</w:t>
      </w:r>
      <w:r w:rsidR="004057F5">
        <w:t xml:space="preserve"> that a reasonable safeguard would be to require evidence of such delegation and require </w:t>
      </w:r>
      <w:r w:rsidR="00336B8E">
        <w:t xml:space="preserve">that </w:t>
      </w:r>
      <w:r w:rsidR="004057F5">
        <w:t>such evidence be included with the notice submi</w:t>
      </w:r>
      <w:r w:rsidR="008F2F8F">
        <w:t>tted</w:t>
      </w:r>
      <w:r w:rsidR="004057F5">
        <w:t xml:space="preserve"> to the Commission.  Accordingly, we require a Governor</w:t>
      </w:r>
      <w:r w:rsidR="00372B6D">
        <w:t>, consistent with state law,</w:t>
      </w:r>
      <w:r w:rsidR="004057F5">
        <w:t xml:space="preserve"> intending to opt-out and delegating his</w:t>
      </w:r>
      <w:r w:rsidR="008F2F8F">
        <w:t>/her</w:t>
      </w:r>
      <w:r w:rsidR="004057F5">
        <w:t xml:space="preserve"> authority to </w:t>
      </w:r>
      <w:r w:rsidR="00336B8E">
        <w:t>transmit the notification</w:t>
      </w:r>
      <w:r w:rsidR="004057F5">
        <w:t xml:space="preserve"> to the Commission to memorialize such delegation of authority in writing, and for that written delegation be included with the opt-out notice to the Commission. </w:t>
      </w:r>
      <w:r w:rsidR="009E6105">
        <w:t xml:space="preserve">We also require </w:t>
      </w:r>
      <w:r w:rsidR="0083760E">
        <w:t>t</w:t>
      </w:r>
      <w:r w:rsidR="00954F29" w:rsidRPr="00564B0F">
        <w:t>he opt-out noti</w:t>
      </w:r>
      <w:r>
        <w:t>fication</w:t>
      </w:r>
      <w:r w:rsidR="00954F29" w:rsidRPr="00564B0F">
        <w:t xml:space="preserve"> to the Commission </w:t>
      </w:r>
      <w:r w:rsidR="009E6105">
        <w:t xml:space="preserve">to </w:t>
      </w:r>
      <w:r w:rsidR="004226BB">
        <w:t xml:space="preserve">include </w:t>
      </w:r>
      <w:r w:rsidR="00954F29" w:rsidRPr="00564B0F">
        <w:t xml:space="preserve">a certification that </w:t>
      </w:r>
      <w:r w:rsidR="00833B26" w:rsidRPr="00564B0F">
        <w:t>the state</w:t>
      </w:r>
      <w:r w:rsidR="00181214" w:rsidRPr="00564B0F">
        <w:t xml:space="preserve"> </w:t>
      </w:r>
      <w:r w:rsidR="00954F29" w:rsidRPr="00564B0F">
        <w:t xml:space="preserve">is </w:t>
      </w:r>
      <w:r w:rsidR="00181214" w:rsidRPr="00564B0F">
        <w:t>provid</w:t>
      </w:r>
      <w:r w:rsidR="00954F29" w:rsidRPr="00564B0F">
        <w:t>ing</w:t>
      </w:r>
      <w:r w:rsidR="00181214" w:rsidRPr="00564B0F">
        <w:t xml:space="preserve"> simultaneous notice of </w:t>
      </w:r>
      <w:r w:rsidR="00954F29" w:rsidRPr="00564B0F">
        <w:t xml:space="preserve">its </w:t>
      </w:r>
      <w:r>
        <w:t xml:space="preserve">opt-out </w:t>
      </w:r>
      <w:r w:rsidR="00181214" w:rsidRPr="00564B0F">
        <w:t>decision to both NTIA and FirstNet</w:t>
      </w:r>
      <w:r w:rsidR="00560BD9">
        <w:t xml:space="preserve"> in accordance with the statute</w:t>
      </w:r>
      <w:r w:rsidR="00181214" w:rsidRPr="00564B0F">
        <w:t xml:space="preserve">.  </w:t>
      </w:r>
      <w:r>
        <w:t xml:space="preserve">To facilitate the electronic filing of opt-out notifications, we will establish </w:t>
      </w:r>
      <w:r w:rsidR="00317F99">
        <w:t>a</w:t>
      </w:r>
      <w:r w:rsidR="00181214" w:rsidRPr="00564B0F">
        <w:t xml:space="preserve"> dedicated </w:t>
      </w:r>
      <w:r w:rsidR="00317F99">
        <w:t xml:space="preserve">e-mail </w:t>
      </w:r>
      <w:r w:rsidR="00001798">
        <w:t>a</w:t>
      </w:r>
      <w:r w:rsidR="00A64E27">
        <w:t>ddr</w:t>
      </w:r>
      <w:r w:rsidR="00001798">
        <w:t>ess</w:t>
      </w:r>
      <w:r w:rsidR="00001798" w:rsidRPr="00564B0F">
        <w:t xml:space="preserve"> </w:t>
      </w:r>
      <w:r w:rsidR="00181214" w:rsidRPr="00564B0F">
        <w:t>for this purpose</w:t>
      </w:r>
      <w:r w:rsidR="00317F99">
        <w:t xml:space="preserve">, to be announced in connection with the </w:t>
      </w:r>
      <w:r w:rsidR="00A01D2F">
        <w:t>Public Notice described below that will identify those states making an opt-out election</w:t>
      </w:r>
      <w:r w:rsidR="00181214" w:rsidRPr="00564B0F">
        <w:t>.</w:t>
      </w:r>
      <w:r w:rsidR="00463A32" w:rsidRPr="00564B0F">
        <w:t xml:space="preserve">  </w:t>
      </w:r>
      <w:r>
        <w:t xml:space="preserve">The </w:t>
      </w:r>
      <w:r w:rsidR="00001798">
        <w:t>use of an e</w:t>
      </w:r>
      <w:r w:rsidR="00AE772A">
        <w:t>-</w:t>
      </w:r>
      <w:r w:rsidR="00001798">
        <w:t>mail address</w:t>
      </w:r>
      <w:r>
        <w:t xml:space="preserve"> will enable notification filers to</w:t>
      </w:r>
      <w:r w:rsidR="00463A32" w:rsidRPr="00564B0F">
        <w:t xml:space="preserve"> use delivery/read receipts to </w:t>
      </w:r>
      <w:r>
        <w:t>verify their filings.</w:t>
      </w:r>
    </w:p>
    <w:p w14:paraId="79364BFC" w14:textId="69BD6FC1" w:rsidR="005C31A1" w:rsidRPr="00564B0F" w:rsidRDefault="005C31A1" w:rsidP="005C31A1">
      <w:pPr>
        <w:pStyle w:val="Heading3"/>
      </w:pPr>
      <w:bookmarkStart w:id="19" w:name="_Toc482780149"/>
      <w:bookmarkStart w:id="20" w:name="_Toc482780366"/>
      <w:bookmarkStart w:id="21" w:name="_Toc483919385"/>
      <w:bookmarkStart w:id="22" w:name="_Toc485821088"/>
      <w:r w:rsidRPr="00564B0F">
        <w:t>Alternative Plan Submission</w:t>
      </w:r>
      <w:bookmarkEnd w:id="19"/>
      <w:bookmarkEnd w:id="20"/>
      <w:bookmarkEnd w:id="21"/>
      <w:bookmarkEnd w:id="22"/>
    </w:p>
    <w:p w14:paraId="2EBE2164" w14:textId="2DCCD214" w:rsidR="00E5635C" w:rsidRPr="00564B0F" w:rsidRDefault="0059111C" w:rsidP="00F80642">
      <w:pPr>
        <w:pStyle w:val="ParaNum"/>
        <w:widowControl/>
      </w:pPr>
      <w:r w:rsidRPr="00564B0F">
        <w:rPr>
          <w:i/>
        </w:rPr>
        <w:t>NPRM.</w:t>
      </w:r>
      <w:r w:rsidRPr="00564B0F">
        <w:t xml:space="preserve">  </w:t>
      </w:r>
      <w:r w:rsidR="00F80642" w:rsidRPr="00564B0F">
        <w:t xml:space="preserve">In the </w:t>
      </w:r>
      <w:r w:rsidR="00F80642" w:rsidRPr="00564B0F">
        <w:rPr>
          <w:i/>
        </w:rPr>
        <w:t>NPRM</w:t>
      </w:r>
      <w:r w:rsidR="00F80642" w:rsidRPr="00E90896">
        <w:t xml:space="preserve">, </w:t>
      </w:r>
      <w:r w:rsidR="004C166C" w:rsidRPr="00564B0F">
        <w:t>the Commission</w:t>
      </w:r>
      <w:r w:rsidR="00F80642" w:rsidRPr="00564B0F">
        <w:t xml:space="preserve"> noted </w:t>
      </w:r>
      <w:r w:rsidR="00E5635C" w:rsidRPr="00564B0F">
        <w:t xml:space="preserve">that </w:t>
      </w:r>
      <w:r w:rsidR="0043201B">
        <w:t xml:space="preserve">Section 6302(e)(3)(B) of the Act </w:t>
      </w:r>
      <w:r w:rsidR="00704BA7" w:rsidRPr="00564B0F">
        <w:t xml:space="preserve">states </w:t>
      </w:r>
      <w:r w:rsidR="00E5635C" w:rsidRPr="00564B0F">
        <w:t xml:space="preserve">that </w:t>
      </w:r>
      <w:r w:rsidR="00704BA7" w:rsidRPr="00564B0F">
        <w:t>once</w:t>
      </w:r>
      <w:r w:rsidR="00E5635C" w:rsidRPr="00564B0F">
        <w:t xml:space="preserve"> </w:t>
      </w:r>
      <w:r w:rsidR="00704BA7" w:rsidRPr="00564B0F">
        <w:t xml:space="preserve">a state provides </w:t>
      </w:r>
      <w:r w:rsidR="00786327" w:rsidRPr="00564B0F">
        <w:t xml:space="preserve">notice </w:t>
      </w:r>
      <w:r w:rsidR="00704BA7" w:rsidRPr="00564B0F">
        <w:t>of its decision to opt out</w:t>
      </w:r>
      <w:r w:rsidR="00F80642" w:rsidRPr="00564B0F">
        <w:t xml:space="preserve">, that </w:t>
      </w:r>
      <w:r w:rsidR="00704BA7" w:rsidRPr="00564B0F">
        <w:t>state has</w:t>
      </w:r>
      <w:r w:rsidR="00F80642" w:rsidRPr="00564B0F">
        <w:t xml:space="preserve"> 180 days to </w:t>
      </w:r>
      <w:r w:rsidR="00704BA7" w:rsidRPr="00564B0F">
        <w:t>“</w:t>
      </w:r>
      <w:r w:rsidR="00F80642" w:rsidRPr="00564B0F">
        <w:t>develop and complete</w:t>
      </w:r>
      <w:r w:rsidR="00704BA7" w:rsidRPr="00564B0F">
        <w:t>”</w:t>
      </w:r>
      <w:r w:rsidR="00F80642" w:rsidRPr="00564B0F">
        <w:t xml:space="preserve"> requests for proposals for the construction, maintenance, and operation of the radio access network within the State</w:t>
      </w:r>
      <w:r w:rsidR="0043201B">
        <w:t>.</w:t>
      </w:r>
      <w:r w:rsidR="00704BA7" w:rsidRPr="00564B0F">
        <w:t xml:space="preserve">  The </w:t>
      </w:r>
      <w:r w:rsidR="0043201B">
        <w:t>Commission further noted that Section 6302(e)(3)(C) of the Act</w:t>
      </w:r>
      <w:r w:rsidR="00704BA7" w:rsidRPr="00564B0F">
        <w:t xml:space="preserve">, </w:t>
      </w:r>
      <w:r w:rsidR="0043201B">
        <w:t xml:space="preserve">which governs submission of state alternative plans, </w:t>
      </w:r>
      <w:r w:rsidR="00E5635C" w:rsidRPr="00564B0F">
        <w:t>does not provide a deadline for the</w:t>
      </w:r>
      <w:r w:rsidR="00F80642" w:rsidRPr="00564B0F">
        <w:t xml:space="preserve"> state </w:t>
      </w:r>
      <w:r w:rsidR="00704BA7" w:rsidRPr="00564B0F">
        <w:t xml:space="preserve">to </w:t>
      </w:r>
      <w:r w:rsidR="00E5635C" w:rsidRPr="00564B0F">
        <w:t xml:space="preserve">submit </w:t>
      </w:r>
      <w:r w:rsidR="0043201B">
        <w:t xml:space="preserve">such </w:t>
      </w:r>
      <w:r w:rsidR="00E5635C" w:rsidRPr="00564B0F">
        <w:t>plan</w:t>
      </w:r>
      <w:r w:rsidR="0043201B">
        <w:t>s</w:t>
      </w:r>
      <w:r w:rsidR="00E5635C" w:rsidRPr="00564B0F">
        <w:t xml:space="preserve"> to the Commission.</w:t>
      </w:r>
      <w:r w:rsidR="00F80642" w:rsidRPr="00564B0F">
        <w:rPr>
          <w:rStyle w:val="FootnoteReference"/>
        </w:rPr>
        <w:footnoteReference w:id="43"/>
      </w:r>
      <w:r w:rsidR="00F80642" w:rsidRPr="00564B0F">
        <w:t xml:space="preserve">   </w:t>
      </w:r>
    </w:p>
    <w:p w14:paraId="48720C38" w14:textId="28CAD3BF" w:rsidR="00F80642" w:rsidRPr="00564B0F" w:rsidRDefault="004C166C" w:rsidP="00F80642">
      <w:pPr>
        <w:pStyle w:val="ParaNum"/>
        <w:widowControl/>
      </w:pPr>
      <w:r w:rsidRPr="00564B0F">
        <w:t>The Commission</w:t>
      </w:r>
      <w:r w:rsidR="00E5635C" w:rsidRPr="00564B0F">
        <w:t xml:space="preserve"> sought comment on </w:t>
      </w:r>
      <w:r w:rsidR="00AF1FAA" w:rsidRPr="00564B0F">
        <w:t xml:space="preserve">how a state could </w:t>
      </w:r>
      <w:r w:rsidR="00786327" w:rsidRPr="00564B0F">
        <w:t xml:space="preserve">demonstrate </w:t>
      </w:r>
      <w:r w:rsidR="00AF1FAA" w:rsidRPr="00564B0F">
        <w:t xml:space="preserve">that it </w:t>
      </w:r>
      <w:r w:rsidR="00E5635C" w:rsidRPr="00564B0F">
        <w:t>has develop</w:t>
      </w:r>
      <w:r w:rsidR="00AF1FAA" w:rsidRPr="00564B0F">
        <w:t>ed and</w:t>
      </w:r>
      <w:r w:rsidR="00E5635C" w:rsidRPr="00564B0F">
        <w:t xml:space="preserve"> complete</w:t>
      </w:r>
      <w:r w:rsidR="00AF1FAA" w:rsidRPr="00564B0F">
        <w:t>d</w:t>
      </w:r>
      <w:r w:rsidR="00E5635C" w:rsidRPr="00564B0F">
        <w:t xml:space="preserve"> </w:t>
      </w:r>
      <w:r w:rsidR="00AF1FAA" w:rsidRPr="00564B0F">
        <w:t xml:space="preserve">its </w:t>
      </w:r>
      <w:r w:rsidR="00E5635C" w:rsidRPr="00564B0F">
        <w:t>RFP within 180 days</w:t>
      </w:r>
      <w:r w:rsidR="006072D0" w:rsidRPr="00564B0F">
        <w:t>.</w:t>
      </w:r>
      <w:r w:rsidR="006072D0" w:rsidRPr="00564B0F">
        <w:rPr>
          <w:rStyle w:val="FootnoteReference"/>
        </w:rPr>
        <w:footnoteReference w:id="44"/>
      </w:r>
      <w:r w:rsidR="00AF1FAA" w:rsidRPr="00564B0F">
        <w:t xml:space="preserve"> </w:t>
      </w:r>
      <w:r w:rsidR="006072D0" w:rsidRPr="00564B0F">
        <w:t xml:space="preserve"> </w:t>
      </w:r>
      <w:r w:rsidRPr="00564B0F">
        <w:t>The Commission</w:t>
      </w:r>
      <w:r w:rsidR="006072D0" w:rsidRPr="00564B0F">
        <w:t xml:space="preserve"> </w:t>
      </w:r>
      <w:r w:rsidR="00AF1FAA" w:rsidRPr="00564B0F">
        <w:t>proposed</w:t>
      </w:r>
      <w:r w:rsidR="00E5635C" w:rsidRPr="00564B0F">
        <w:t xml:space="preserve"> that if an opt-out state fails to meet this requirement it forfeits its right to further consideration of its opt-out application by the Commission.</w:t>
      </w:r>
      <w:r w:rsidR="00AF1FAA" w:rsidRPr="00564B0F">
        <w:rPr>
          <w:rStyle w:val="FootnoteReference"/>
        </w:rPr>
        <w:footnoteReference w:id="45"/>
      </w:r>
      <w:r w:rsidR="00E5635C" w:rsidRPr="00564B0F">
        <w:t xml:space="preserve">  </w:t>
      </w:r>
      <w:r w:rsidRPr="00564B0F">
        <w:t>The Commission</w:t>
      </w:r>
      <w:r w:rsidR="00AF1FAA" w:rsidRPr="00564B0F">
        <w:t xml:space="preserve"> also proposed that, if a state notifies the Commission of its intention to opt out of the NPSBN, the electing state will have 180 days from the date it provides such notification to submit its alternative plan to the Commission, </w:t>
      </w:r>
      <w:r w:rsidR="00AF1FAA" w:rsidRPr="00564B0F">
        <w:rPr>
          <w:i/>
        </w:rPr>
        <w:t>i.e</w:t>
      </w:r>
      <w:r w:rsidR="00AF1FAA" w:rsidRPr="00564B0F">
        <w:t>., it must submit the plan within the same timeframe applicable to completion of the state RFP.</w:t>
      </w:r>
      <w:r w:rsidR="00AF1FAA" w:rsidRPr="00564B0F">
        <w:rPr>
          <w:rStyle w:val="FootnoteReference"/>
        </w:rPr>
        <w:footnoteReference w:id="46"/>
      </w:r>
    </w:p>
    <w:p w14:paraId="274FAB3C" w14:textId="7A479E9F" w:rsidR="00C75F32" w:rsidRDefault="001A540E" w:rsidP="003B6A72">
      <w:pPr>
        <w:pStyle w:val="ParaNum"/>
        <w:widowControl/>
      </w:pPr>
      <w:r w:rsidRPr="00564B0F">
        <w:rPr>
          <w:i/>
        </w:rPr>
        <w:t>Comments.</w:t>
      </w:r>
      <w:r w:rsidR="0059111C" w:rsidRPr="00564B0F">
        <w:t xml:space="preserve">  Commenting parties predominately f</w:t>
      </w:r>
      <w:r w:rsidR="00963112" w:rsidRPr="00564B0F">
        <w:t>a</w:t>
      </w:r>
      <w:r w:rsidR="0059111C" w:rsidRPr="00564B0F">
        <w:t xml:space="preserve">ll into two camps: those </w:t>
      </w:r>
      <w:r w:rsidR="00C14C0F" w:rsidRPr="00564B0F">
        <w:t xml:space="preserve">contending </w:t>
      </w:r>
      <w:r w:rsidR="0059111C" w:rsidRPr="00564B0F">
        <w:t xml:space="preserve">that a state need only issue an RFP </w:t>
      </w:r>
      <w:r w:rsidR="007255C4">
        <w:t xml:space="preserve">within 180 days </w:t>
      </w:r>
      <w:r w:rsidR="0097260E" w:rsidRPr="00564B0F">
        <w:t xml:space="preserve">to satisfy the </w:t>
      </w:r>
      <w:r w:rsidR="001541CD">
        <w:t xml:space="preserve">statutory </w:t>
      </w:r>
      <w:r w:rsidR="0097260E" w:rsidRPr="00564B0F">
        <w:t>requirement</w:t>
      </w:r>
      <w:r w:rsidR="00F76104">
        <w:t>,</w:t>
      </w:r>
      <w:r w:rsidR="0097260E" w:rsidRPr="00564B0F">
        <w:rPr>
          <w:rStyle w:val="FootnoteReference"/>
        </w:rPr>
        <w:footnoteReference w:id="47"/>
      </w:r>
      <w:r w:rsidR="0097260E" w:rsidRPr="00564B0F">
        <w:t xml:space="preserve"> and those </w:t>
      </w:r>
      <w:r w:rsidR="00C14C0F" w:rsidRPr="00564B0F">
        <w:t xml:space="preserve">contending </w:t>
      </w:r>
      <w:r w:rsidR="0097260E" w:rsidRPr="00564B0F">
        <w:t xml:space="preserve">that a state must have </w:t>
      </w:r>
      <w:r w:rsidR="00191ADA">
        <w:t>awarded a</w:t>
      </w:r>
      <w:r w:rsidR="0097260E" w:rsidRPr="00564B0F">
        <w:t xml:space="preserve"> contract </w:t>
      </w:r>
      <w:r w:rsidR="00391436">
        <w:t xml:space="preserve">within 180 days </w:t>
      </w:r>
      <w:r w:rsidR="0059111C" w:rsidRPr="00564B0F">
        <w:t xml:space="preserve">to </w:t>
      </w:r>
      <w:r w:rsidR="0097260E" w:rsidRPr="00564B0F">
        <w:t>satisfy the requirement</w:t>
      </w:r>
      <w:r w:rsidR="0059111C" w:rsidRPr="00564B0F">
        <w:t>.</w:t>
      </w:r>
      <w:r w:rsidR="0059111C" w:rsidRPr="00564B0F">
        <w:rPr>
          <w:rStyle w:val="FootnoteReference"/>
        </w:rPr>
        <w:footnoteReference w:id="48"/>
      </w:r>
      <w:r w:rsidR="0059111C" w:rsidRPr="00564B0F">
        <w:t xml:space="preserve">  </w:t>
      </w:r>
      <w:r w:rsidR="00F76104">
        <w:t>P</w:t>
      </w:r>
      <w:r w:rsidR="00C75F32" w:rsidRPr="00564B0F">
        <w:t xml:space="preserve">arties arguing that </w:t>
      </w:r>
      <w:r w:rsidR="007255C4">
        <w:t xml:space="preserve">the statute </w:t>
      </w:r>
      <w:r w:rsidR="00F76104">
        <w:t xml:space="preserve">only </w:t>
      </w:r>
      <w:r w:rsidR="007255C4">
        <w:t xml:space="preserve">requires </w:t>
      </w:r>
      <w:r w:rsidR="009D17AE">
        <w:t>issu</w:t>
      </w:r>
      <w:r w:rsidR="00F76104">
        <w:t>anc</w:t>
      </w:r>
      <w:r w:rsidR="009D17AE">
        <w:t>e</w:t>
      </w:r>
      <w:r w:rsidR="00F76104">
        <w:t xml:space="preserve"> of</w:t>
      </w:r>
      <w:r w:rsidR="00C75F32" w:rsidRPr="00564B0F">
        <w:t xml:space="preserve"> an RFP within the 180</w:t>
      </w:r>
      <w:r w:rsidR="007255C4">
        <w:t>-day</w:t>
      </w:r>
      <w:r w:rsidR="00C75F32" w:rsidRPr="00564B0F">
        <w:t xml:space="preserve"> period </w:t>
      </w:r>
      <w:r w:rsidR="00F76104">
        <w:t xml:space="preserve">contend </w:t>
      </w:r>
      <w:r w:rsidR="00C75F32" w:rsidRPr="00564B0F">
        <w:t xml:space="preserve">that a stricter reading </w:t>
      </w:r>
      <w:r w:rsidR="007255C4">
        <w:t xml:space="preserve">would </w:t>
      </w:r>
      <w:r w:rsidR="00C75F32" w:rsidRPr="00564B0F">
        <w:t>place opt-out states at a competitive disadvantage with FirstNet</w:t>
      </w:r>
      <w:r w:rsidR="00786327" w:rsidRPr="00564B0F">
        <w:t xml:space="preserve"> and </w:t>
      </w:r>
      <w:r w:rsidR="007255C4">
        <w:t xml:space="preserve">would </w:t>
      </w:r>
      <w:r w:rsidR="00786327" w:rsidRPr="00564B0F">
        <w:t>be practically impossible to accomplish</w:t>
      </w:r>
      <w:r w:rsidR="00C75F32" w:rsidRPr="00564B0F">
        <w:t>.</w:t>
      </w:r>
      <w:r w:rsidR="00C75F32" w:rsidRPr="00564B0F">
        <w:rPr>
          <w:rStyle w:val="FootnoteReference"/>
        </w:rPr>
        <w:footnoteReference w:id="49"/>
      </w:r>
      <w:r w:rsidR="007255C4">
        <w:t xml:space="preserve">  </w:t>
      </w:r>
      <w:r w:rsidR="006133FD" w:rsidRPr="00564B0F">
        <w:t xml:space="preserve">Parties supporting </w:t>
      </w:r>
      <w:r w:rsidR="009D17AE">
        <w:t xml:space="preserve">the </w:t>
      </w:r>
      <w:r w:rsidR="006133FD" w:rsidRPr="00564B0F">
        <w:t xml:space="preserve">stricter interpretation </w:t>
      </w:r>
      <w:r w:rsidR="007255C4">
        <w:t xml:space="preserve">argue </w:t>
      </w:r>
      <w:r w:rsidR="00001798">
        <w:t xml:space="preserve">that it would be nearly impossible </w:t>
      </w:r>
      <w:r w:rsidR="00883502">
        <w:t>for the Commission to evaluate a plan if it does not have specific and contractually binding information relative to a state’s selected vendor.</w:t>
      </w:r>
      <w:r w:rsidR="00883502">
        <w:rPr>
          <w:rStyle w:val="FootnoteReference"/>
        </w:rPr>
        <w:footnoteReference w:id="50"/>
      </w:r>
      <w:r w:rsidR="00883502">
        <w:t xml:space="preserve">  These parties also argue </w:t>
      </w:r>
      <w:r w:rsidR="0097260E" w:rsidRPr="00564B0F">
        <w:t xml:space="preserve">that states that fail to satisfy the requirement within 180 days </w:t>
      </w:r>
      <w:r w:rsidR="00963112" w:rsidRPr="00564B0F">
        <w:t xml:space="preserve">should </w:t>
      </w:r>
      <w:r w:rsidR="0097260E" w:rsidRPr="00564B0F">
        <w:t>forfeit their rights to have the Commission consider their alternative plan</w:t>
      </w:r>
      <w:r w:rsidR="006133FD" w:rsidRPr="00564B0F">
        <w:t>s</w:t>
      </w:r>
      <w:r w:rsidR="0097260E" w:rsidRPr="00564B0F">
        <w:t>.</w:t>
      </w:r>
      <w:r w:rsidR="006133FD" w:rsidRPr="00564B0F">
        <w:rPr>
          <w:rStyle w:val="FootnoteReference"/>
        </w:rPr>
        <w:footnoteReference w:id="51"/>
      </w:r>
      <w:r w:rsidR="0097260E" w:rsidRPr="00564B0F">
        <w:t xml:space="preserve"> </w:t>
      </w:r>
      <w:r w:rsidR="00191ADA">
        <w:t xml:space="preserve"> </w:t>
      </w:r>
      <w:r w:rsidR="0064763B" w:rsidRPr="00564B0F">
        <w:t xml:space="preserve">Illinois argues that this approach is the only viable option for ensuring </w:t>
      </w:r>
      <w:r w:rsidR="00C14C0F" w:rsidRPr="00564B0F">
        <w:t xml:space="preserve">that </w:t>
      </w:r>
      <w:r w:rsidR="0064763B" w:rsidRPr="00564B0F">
        <w:t xml:space="preserve">nationwide standards </w:t>
      </w:r>
      <w:r w:rsidR="00C14C0F" w:rsidRPr="00564B0F">
        <w:t xml:space="preserve">can be </w:t>
      </w:r>
      <w:r w:rsidR="0064763B" w:rsidRPr="00564B0F">
        <w:t>achieved within the prescribed time frame.</w:t>
      </w:r>
      <w:r w:rsidR="0064763B" w:rsidRPr="00564B0F">
        <w:rPr>
          <w:rStyle w:val="FootnoteReference"/>
        </w:rPr>
        <w:footnoteReference w:id="52"/>
      </w:r>
      <w:r w:rsidR="007255C4" w:rsidRPr="007255C4">
        <w:t xml:space="preserve"> </w:t>
      </w:r>
      <w:r w:rsidR="009D17AE">
        <w:t xml:space="preserve"> </w:t>
      </w:r>
      <w:r w:rsidR="007255C4" w:rsidRPr="00564B0F">
        <w:t>DVA proposes an intermediate approach:  that “[w]ithin the 180 days required by the Act, a state should have developed and released an RFP, received responses with firm commitments from a potential partner or partners and will have incorporated those response commitments into its alternative plan.”</w:t>
      </w:r>
      <w:r w:rsidR="007255C4" w:rsidRPr="00564B0F">
        <w:rPr>
          <w:rStyle w:val="FootnoteReference"/>
        </w:rPr>
        <w:footnoteReference w:id="53"/>
      </w:r>
    </w:p>
    <w:p w14:paraId="2BEC76E4" w14:textId="4DDFA2D7" w:rsidR="00630DC0" w:rsidRPr="00564B0F" w:rsidRDefault="00630DC0" w:rsidP="003B6A72">
      <w:pPr>
        <w:pStyle w:val="ParaNum"/>
        <w:widowControl/>
      </w:pPr>
      <w:r>
        <w:t xml:space="preserve">With respect to submission timeframe for alternative plans, </w:t>
      </w:r>
      <w:r w:rsidR="00C81CC6">
        <w:t xml:space="preserve">some support submission of alternative plans </w:t>
      </w:r>
      <w:r w:rsidR="008875EA">
        <w:t xml:space="preserve">to the Commission </w:t>
      </w:r>
      <w:r w:rsidR="00C81CC6">
        <w:t>within the same 180-day timeframe prescribed by the statute for development and completion of the RFP</w:t>
      </w:r>
      <w:r w:rsidR="008875EA">
        <w:t>,</w:t>
      </w:r>
      <w:r w:rsidR="00661E05">
        <w:t xml:space="preserve"> and proposed in the </w:t>
      </w:r>
      <w:r w:rsidR="00661E05" w:rsidRPr="00F35E55">
        <w:rPr>
          <w:i/>
        </w:rPr>
        <w:t>NPRM</w:t>
      </w:r>
      <w:r w:rsidR="00C81CC6">
        <w:t>.</w:t>
      </w:r>
      <w:r w:rsidR="00C81CC6">
        <w:rPr>
          <w:rStyle w:val="FootnoteReference"/>
        </w:rPr>
        <w:footnoteReference w:id="54"/>
      </w:r>
      <w:r w:rsidR="00661E05">
        <w:t xml:space="preserve">  Several, however, </w:t>
      </w:r>
      <w:r w:rsidR="009764F2">
        <w:t xml:space="preserve">also </w:t>
      </w:r>
      <w:r w:rsidR="00661E05">
        <w:t>note that the statute is silent as to the timeframe to submit an alternative plan to the Commission, implying that the Commission could uncouple the filing timeframe from the RFP completion timeframe.</w:t>
      </w:r>
      <w:r w:rsidR="00661E05">
        <w:rPr>
          <w:rStyle w:val="FootnoteReference"/>
        </w:rPr>
        <w:footnoteReference w:id="55"/>
      </w:r>
    </w:p>
    <w:p w14:paraId="4FD8A2A0" w14:textId="7325D7E8" w:rsidR="005F4907" w:rsidRDefault="006133FD" w:rsidP="005F4907">
      <w:pPr>
        <w:pStyle w:val="ParaNum"/>
      </w:pPr>
      <w:r w:rsidRPr="00A6671D">
        <w:rPr>
          <w:i/>
        </w:rPr>
        <w:t>Decision.</w:t>
      </w:r>
      <w:r w:rsidRPr="00564B0F">
        <w:t xml:space="preserve">  </w:t>
      </w:r>
      <w:r w:rsidR="005F4907">
        <w:t>APCO has described the state’s opt-out process as a “false choice.”</w:t>
      </w:r>
      <w:r w:rsidR="005F4907">
        <w:rPr>
          <w:rStyle w:val="FootnoteReference"/>
        </w:rPr>
        <w:footnoteReference w:id="56"/>
      </w:r>
      <w:r w:rsidR="005F4907">
        <w:t xml:space="preserve">  AT&amp;T also characterizes the process as “exceptionally difficult and costly…by statutory design” which requires passage through a “daunting gauntlet of interoperability requirements.”</w:t>
      </w:r>
      <w:r w:rsidR="005F4907">
        <w:rPr>
          <w:rStyle w:val="FootnoteReference"/>
        </w:rPr>
        <w:footnoteReference w:id="57"/>
      </w:r>
      <w:r w:rsidR="005F4907">
        <w:t xml:space="preserve">  While we acknowledge that the statutory process may be exacting, we also believe that Congress intended to establish a process that affords states a meaningful opportunity to “develop and complete requests for proposals,” as well as to prepare and file the required opt-out plan with the Commission.  States are entitled to make a deliberate,</w:t>
      </w:r>
      <w:r w:rsidR="00603F13">
        <w:t xml:space="preserve"> informed choice to opt </w:t>
      </w:r>
      <w:r w:rsidR="005F4907">
        <w:t>out of the network, so long as the statutory requirements are met.</w:t>
      </w:r>
    </w:p>
    <w:p w14:paraId="44E3BF59" w14:textId="77777777" w:rsidR="005F4907" w:rsidRDefault="005F4907" w:rsidP="005F4907">
      <w:pPr>
        <w:pStyle w:val="ParaNum"/>
      </w:pPr>
      <w:r w:rsidRPr="00564B0F">
        <w:t xml:space="preserve">We find that </w:t>
      </w:r>
      <w:r>
        <w:t xml:space="preserve">whether an opt-out state has developed and completed an RFP within the meaning of Section 6302(e)(3)(B) is a threshold matter for determination before the Commission can consider its alternative plan under Section 6302(e)(3)(C).  Sequentially, the statute makes RFP completion a prerequisite to the state’s filing its alternative plan with the Commission, reflecting the practical reality that it would be an empty exercise for the Commission to consider the plan of a state that has failed to take this basic preliminary step.    </w:t>
      </w:r>
    </w:p>
    <w:p w14:paraId="5CB93F68" w14:textId="146F5157" w:rsidR="001058A4" w:rsidRDefault="005F4907" w:rsidP="00BC0039">
      <w:pPr>
        <w:pStyle w:val="ParaNum"/>
      </w:pPr>
      <w:r>
        <w:t xml:space="preserve">The statute is unclear as to how far states must have progressed in the RFP process to meet </w:t>
      </w:r>
      <w:r w:rsidRPr="00564B0F">
        <w:t xml:space="preserve">the </w:t>
      </w:r>
      <w:r>
        <w:t xml:space="preserve">180-day </w:t>
      </w:r>
      <w:r w:rsidRPr="00564B0F">
        <w:t>“develop and complete” requirement</w:t>
      </w:r>
      <w:r>
        <w:t xml:space="preserve">.  As noted above, the parties’ comments advocate views on this question that range from the mere issuance of the RFP to the actual execution of the final terms of a contract with the winning bidder.  While the statute can reasonably be read to support a number of different points on this continuum, we believe that it is appropriate to require states to “develop and complete” RFPs within this time period by (1) </w:t>
      </w:r>
      <w:r w:rsidRPr="00564B0F">
        <w:t>issu</w:t>
      </w:r>
      <w:r>
        <w:t>ing</w:t>
      </w:r>
      <w:r w:rsidRPr="00564B0F">
        <w:t xml:space="preserve"> an RFP providing for full deployment of the state RAN (</w:t>
      </w:r>
      <w:r w:rsidRPr="00A6671D">
        <w:rPr>
          <w:i/>
        </w:rPr>
        <w:t>i.e</w:t>
      </w:r>
      <w:r w:rsidRPr="00564B0F">
        <w:t>., the RFP must cover the actual network build, not merely development of a plan)</w:t>
      </w:r>
      <w:r w:rsidR="00603F13">
        <w:t>;</w:t>
      </w:r>
      <w:r>
        <w:t xml:space="preserve"> (2) </w:t>
      </w:r>
      <w:r w:rsidRPr="00564B0F">
        <w:t>receiv</w:t>
      </w:r>
      <w:r>
        <w:t>ing</w:t>
      </w:r>
      <w:r w:rsidRPr="00564B0F">
        <w:t xml:space="preserve"> </w:t>
      </w:r>
      <w:r>
        <w:t>firm commitment</w:t>
      </w:r>
      <w:r w:rsidRPr="00564B0F">
        <w:t xml:space="preserve"> bids on the RFP</w:t>
      </w:r>
      <w:r w:rsidR="00237B42">
        <w:t>;</w:t>
      </w:r>
      <w:r>
        <w:t xml:space="preserve"> and</w:t>
      </w:r>
      <w:r w:rsidR="00237B42">
        <w:t xml:space="preserve"> (3)</w:t>
      </w:r>
      <w:r>
        <w:t xml:space="preserve"> selecting a winning bidder</w:t>
      </w:r>
      <w:r w:rsidRPr="00564B0F">
        <w:t>.</w:t>
      </w:r>
      <w:r>
        <w:t xml:space="preserve">   </w:t>
      </w:r>
      <w:r w:rsidR="009100D5">
        <w:t xml:space="preserve">Different bidders may respond to </w:t>
      </w:r>
      <w:r>
        <w:t>RFPs with different designs, and these differences may lead to amendments to the RFP or refinements in the final project or otherwise prove to be significant for the interoperability plan required to be submitted for Commission review.</w:t>
      </w:r>
      <w:r w:rsidR="00D90DB7" w:rsidRPr="00564B0F">
        <w:t xml:space="preserve">  </w:t>
      </w:r>
      <w:r w:rsidR="00D52F53" w:rsidRPr="00564B0F">
        <w:t xml:space="preserve">  </w:t>
      </w:r>
    </w:p>
    <w:p w14:paraId="040F28D0" w14:textId="70B3C8E4" w:rsidR="00F4015E" w:rsidRDefault="00C0547D" w:rsidP="00276787">
      <w:pPr>
        <w:pStyle w:val="ParaNum"/>
      </w:pPr>
      <w:r>
        <w:t>W</w:t>
      </w:r>
      <w:r w:rsidR="00D37014">
        <w:t xml:space="preserve">ith respect to the timing of submission of state alternative plans, we conclude that states should have </w:t>
      </w:r>
      <w:r w:rsidR="00F44F89">
        <w:t xml:space="preserve">some </w:t>
      </w:r>
      <w:r w:rsidR="00D37014">
        <w:t xml:space="preserve">additional time beyond the 180-day RFP </w:t>
      </w:r>
      <w:r w:rsidR="00F44F89">
        <w:t xml:space="preserve">completion </w:t>
      </w:r>
      <w:r w:rsidR="00D37014">
        <w:t xml:space="preserve">period </w:t>
      </w:r>
      <w:r>
        <w:t xml:space="preserve">to assess </w:t>
      </w:r>
      <w:r w:rsidR="00F44F89">
        <w:t xml:space="preserve">RFP </w:t>
      </w:r>
      <w:r>
        <w:t xml:space="preserve">bids and </w:t>
      </w:r>
      <w:r w:rsidR="00D70B07">
        <w:t xml:space="preserve">finalize </w:t>
      </w:r>
      <w:r w:rsidR="00F44F89">
        <w:t xml:space="preserve">their </w:t>
      </w:r>
      <w:r>
        <w:t>alternative plan</w:t>
      </w:r>
      <w:r w:rsidR="00F44F89">
        <w:t>s</w:t>
      </w:r>
      <w:r>
        <w:t xml:space="preserve"> for Commission consideration.  </w:t>
      </w:r>
      <w:r w:rsidR="00F4015E">
        <w:t>Just as the Act recognizes that FirstNet itself will “develop” an RFP, then complete the RFP “process,” and then deliver to states the “proposed plan for buildout of the nationwide, interoperable broadband network in such State”</w:t>
      </w:r>
      <w:r w:rsidR="00F4015E">
        <w:rPr>
          <w:rStyle w:val="FootnoteReference"/>
        </w:rPr>
        <w:footnoteReference w:id="58"/>
      </w:r>
      <w:r w:rsidR="00F4015E">
        <w:t>—and just as FirstNet did not deliver the state plans immediately upon completion of the RFP process—we believe it reasonable to afford states that have developed and completed RFPs a</w:t>
      </w:r>
      <w:r w:rsidR="0063472F">
        <w:t xml:space="preserve">n additional </w:t>
      </w:r>
      <w:r w:rsidR="00F4015E">
        <w:t xml:space="preserve">60-day period to </w:t>
      </w:r>
      <w:r w:rsidR="0052298E">
        <w:t>submit alternative state plans</w:t>
      </w:r>
      <w:r w:rsidR="00560BD9">
        <w:t xml:space="preserve"> to the </w:t>
      </w:r>
      <w:r w:rsidR="00A14397">
        <w:t>Commission. We</w:t>
      </w:r>
      <w:r w:rsidR="0052298E">
        <w:t xml:space="preserve"> recognize that </w:t>
      </w:r>
      <w:r w:rsidR="0052298E" w:rsidRPr="00A14397">
        <w:rPr>
          <w:i/>
        </w:rPr>
        <w:t xml:space="preserve">NPRM </w:t>
      </w:r>
      <w:r w:rsidR="0052298E" w:rsidRPr="00564B0F">
        <w:t xml:space="preserve">proposed </w:t>
      </w:r>
      <w:r w:rsidR="0052298E">
        <w:t xml:space="preserve">to require states to </w:t>
      </w:r>
      <w:r w:rsidR="0052298E" w:rsidRPr="00564B0F">
        <w:t>submit the</w:t>
      </w:r>
      <w:r w:rsidR="0052298E">
        <w:t xml:space="preserve">ir plans within the same 180-day </w:t>
      </w:r>
      <w:r w:rsidR="0052298E" w:rsidRPr="00564B0F">
        <w:t>timeframe applicable to completion of the state RFP</w:t>
      </w:r>
      <w:r w:rsidR="0052298E">
        <w:t xml:space="preserve">, but </w:t>
      </w:r>
      <w:r w:rsidR="00AA4849">
        <w:t xml:space="preserve">after considering some of the timing concerns expressed by commenters, </w:t>
      </w:r>
      <w:r w:rsidR="0052298E">
        <w:t>w</w:t>
      </w:r>
      <w:r w:rsidR="0052298E" w:rsidRPr="00564B0F">
        <w:t xml:space="preserve">e believe providing this additional time </w:t>
      </w:r>
      <w:r w:rsidR="00AA4849">
        <w:t xml:space="preserve">will </w:t>
      </w:r>
      <w:r w:rsidR="0052298E" w:rsidRPr="00564B0F">
        <w:t>provid</w:t>
      </w:r>
      <w:r w:rsidR="00AA4849">
        <w:t>e</w:t>
      </w:r>
      <w:r w:rsidR="0052298E" w:rsidRPr="00564B0F">
        <w:t xml:space="preserve"> </w:t>
      </w:r>
      <w:r w:rsidR="00C80571">
        <w:t xml:space="preserve">states </w:t>
      </w:r>
      <w:r w:rsidR="0052298E" w:rsidRPr="00564B0F">
        <w:t xml:space="preserve">flexibility </w:t>
      </w:r>
      <w:r w:rsidR="00C80571">
        <w:t xml:space="preserve">to </w:t>
      </w:r>
      <w:r w:rsidR="0052298E">
        <w:t>complete</w:t>
      </w:r>
      <w:r w:rsidR="0052298E" w:rsidRPr="00564B0F">
        <w:t xml:space="preserve"> </w:t>
      </w:r>
      <w:r w:rsidR="00C80571">
        <w:t xml:space="preserve">their alternative </w:t>
      </w:r>
      <w:r w:rsidR="0052298E" w:rsidRPr="00564B0F">
        <w:t>plan</w:t>
      </w:r>
      <w:r w:rsidR="00C80571">
        <w:t>s</w:t>
      </w:r>
      <w:r w:rsidR="0052298E" w:rsidRPr="00564B0F">
        <w:t xml:space="preserve"> without significant delay, and will assist in ensuring th</w:t>
      </w:r>
      <w:r w:rsidR="00C80571">
        <w:t xml:space="preserve">at the </w:t>
      </w:r>
      <w:r w:rsidR="0052298E" w:rsidRPr="00564B0F">
        <w:t>plan</w:t>
      </w:r>
      <w:r w:rsidR="0052298E">
        <w:t>s</w:t>
      </w:r>
      <w:r w:rsidR="0052298E" w:rsidRPr="00564B0F">
        <w:t xml:space="preserve"> filed with the Commission </w:t>
      </w:r>
      <w:r w:rsidR="0052298E">
        <w:t>are</w:t>
      </w:r>
      <w:r w:rsidR="0052298E" w:rsidRPr="00564B0F">
        <w:t xml:space="preserve"> robust and fully realized.</w:t>
      </w:r>
      <w:r w:rsidR="007661C1">
        <w:rPr>
          <w:rStyle w:val="FootnoteReference"/>
        </w:rPr>
        <w:footnoteReference w:id="59"/>
      </w:r>
      <w:r w:rsidR="00466830">
        <w:t xml:space="preserve"> Th</w:t>
      </w:r>
      <w:r w:rsidR="00AA4849">
        <w:t xml:space="preserve">e 60-day window </w:t>
      </w:r>
      <w:r w:rsidR="00466830">
        <w:t xml:space="preserve">will also allow </w:t>
      </w:r>
      <w:r w:rsidR="00AA4849">
        <w:t xml:space="preserve">an opt-out </w:t>
      </w:r>
      <w:r w:rsidR="00466830">
        <w:t xml:space="preserve">state to focus, within the 180-day period, on efforts to develop and complete </w:t>
      </w:r>
      <w:r w:rsidR="00AA4849">
        <w:t xml:space="preserve">its </w:t>
      </w:r>
      <w:r w:rsidR="00466830">
        <w:t>RFP without having to develop its alternative plan in parallel, possibly taxing</w:t>
      </w:r>
      <w:r w:rsidR="00C43685">
        <w:t xml:space="preserve"> finite state</w:t>
      </w:r>
      <w:r w:rsidR="00466830">
        <w:t xml:space="preserve"> resources</w:t>
      </w:r>
      <w:r w:rsidR="00AA4849">
        <w:t xml:space="preserve">. </w:t>
      </w:r>
      <w:r w:rsidR="00AA4849" w:rsidDel="00AA4849">
        <w:rPr>
          <w:rStyle w:val="FootnoteReference"/>
        </w:rPr>
        <w:t xml:space="preserve"> </w:t>
      </w:r>
    </w:p>
    <w:p w14:paraId="5ED987CA" w14:textId="77777777" w:rsidR="003561EA" w:rsidRDefault="003561EA" w:rsidP="003561EA">
      <w:pPr>
        <w:pStyle w:val="ParaNum"/>
      </w:pPr>
      <w:r>
        <w:t xml:space="preserve">We find </w:t>
      </w:r>
      <w:r w:rsidRPr="00564B0F">
        <w:t xml:space="preserve">it reasonable to </w:t>
      </w:r>
      <w:r>
        <w:t xml:space="preserve">interpret the “develop and complete” threshold to require an opt-out </w:t>
      </w:r>
      <w:r w:rsidRPr="00564B0F">
        <w:t xml:space="preserve">state </w:t>
      </w:r>
      <w:r>
        <w:t xml:space="preserve">to </w:t>
      </w:r>
      <w:r w:rsidRPr="00564B0F">
        <w:t xml:space="preserve">have progressed </w:t>
      </w:r>
      <w:r>
        <w:t>beyond merely issuing an RFP.  Although issuing an RFP may be sufficient to “develop” an RFP, RFPs often are refined through an iterative process, with amendments needed to an initial RFP to attract interest.  Beyond the simple receipt of bids, making a vendor selection also illustrates that the RFP proposals are acceptable to the state, and provides reasonable confidence that the plan will be carried out.  Indeed, the bidding and selection process provides the RFP issuer with essential information about the RFP’s feasibility that adds certainty to the planning process and often leads to changes in the final project.  Vendor selection illustrates viability and acceptability of the plan by the issuer, and is commensurate with the gravity of the undertaking in support of a state’s commitment to meeting its interoperability obligations.  Thus, requiring the state to have received bids on its RFP and made a vendor selection will ensure that the alternative plan submitted by the state is informed by the bidders’ commitments as well as corresponding state’s commitments, including commitments as to the interoperability elements that are the subject of the Commission’s review.</w:t>
      </w:r>
    </w:p>
    <w:p w14:paraId="5A3B49C4" w14:textId="77777777" w:rsidR="003561EA" w:rsidRDefault="003561EA" w:rsidP="003561EA">
      <w:pPr>
        <w:pStyle w:val="ParaNum"/>
      </w:pPr>
      <w:r>
        <w:t xml:space="preserve">We also find no indication in the Act that a state must have a signed contract in order to “complete” an RFP.  </w:t>
      </w:r>
      <w:r w:rsidRPr="0098205F">
        <w:t xml:space="preserve">Absent any </w:t>
      </w:r>
      <w:r>
        <w:t xml:space="preserve">statutory reference to a </w:t>
      </w:r>
      <w:r w:rsidRPr="0098205F">
        <w:t>contract award, we find the provision ambiguous on this point and favor a reading that allows a more practicable administration of the statute.</w:t>
      </w:r>
      <w:r>
        <w:t xml:space="preserve">  In this, we find that proceeding to the selection of a vendor provides sufficient indicia of completeness to support both statutory and practical requirements for the process.  </w:t>
      </w:r>
    </w:p>
    <w:p w14:paraId="038D0D84" w14:textId="414C5DC4" w:rsidR="002D7F2F" w:rsidRPr="00564B0F" w:rsidRDefault="00C85A1C" w:rsidP="00276787">
      <w:pPr>
        <w:pStyle w:val="ParaNum"/>
      </w:pPr>
      <w:r>
        <w:t>W</w:t>
      </w:r>
      <w:r w:rsidR="00F44F89">
        <w:t xml:space="preserve">hile we will provide states an additional </w:t>
      </w:r>
      <w:r w:rsidR="0052298E">
        <w:t xml:space="preserve">60 </w:t>
      </w:r>
      <w:r w:rsidR="00F44F89">
        <w:t xml:space="preserve">days for submission of alternative plans, </w:t>
      </w:r>
      <w:r w:rsidR="002B41AA">
        <w:t xml:space="preserve">and thereby a total of 240 days from their opt-out notification date, </w:t>
      </w:r>
      <w:r w:rsidR="00F44F89">
        <w:t>w</w:t>
      </w:r>
      <w:r>
        <w:t xml:space="preserve">e reject arguments </w:t>
      </w:r>
      <w:r w:rsidR="00F44F89">
        <w:t>in favor of giving states more time.</w:t>
      </w:r>
      <w:r w:rsidR="00A14397">
        <w:rPr>
          <w:rStyle w:val="FootnoteReference"/>
        </w:rPr>
        <w:footnoteReference w:id="60"/>
      </w:r>
      <w:r w:rsidR="00F44F89">
        <w:t xml:space="preserve">  </w:t>
      </w:r>
      <w:r w:rsidR="0052298E">
        <w:t>We also reject suggestions that a state should be allowed to resubmit its alternative plan should the Commission disapprove of that plan.</w:t>
      </w:r>
      <w:r w:rsidR="00B05EE7">
        <w:rPr>
          <w:rStyle w:val="FootnoteReference"/>
        </w:rPr>
        <w:footnoteReference w:id="61"/>
      </w:r>
      <w:r w:rsidR="0052298E">
        <w:t xml:space="preserve">  </w:t>
      </w:r>
      <w:r w:rsidR="00F44F89">
        <w:t>Such approach</w:t>
      </w:r>
      <w:r w:rsidR="0052298E">
        <w:t>es</w:t>
      </w:r>
      <w:r w:rsidR="00F44F89">
        <w:t xml:space="preserve"> </w:t>
      </w:r>
      <w:r>
        <w:t xml:space="preserve">would </w:t>
      </w:r>
      <w:r w:rsidR="00F44F89">
        <w:t xml:space="preserve">potentially </w:t>
      </w:r>
      <w:r>
        <w:t>allow indefinite delay on the part of the state or result in a multi-year process</w:t>
      </w:r>
      <w:r w:rsidR="005E4C6F">
        <w:t xml:space="preserve"> before any RAN buildout could occur in an opt-out state, th</w:t>
      </w:r>
      <w:r w:rsidR="00B640FD">
        <w:t>u</w:t>
      </w:r>
      <w:r w:rsidR="005E4C6F">
        <w:t xml:space="preserve">s </w:t>
      </w:r>
      <w:r w:rsidR="00F44F89">
        <w:t>undermin</w:t>
      </w:r>
      <w:r w:rsidR="005E4C6F">
        <w:t>ing</w:t>
      </w:r>
      <w:r w:rsidR="00F44F89">
        <w:t xml:space="preserve"> the goal of </w:t>
      </w:r>
      <w:r w:rsidR="005E4C6F">
        <w:t xml:space="preserve">timely </w:t>
      </w:r>
      <w:r w:rsidR="00F44F89">
        <w:t xml:space="preserve">achieving </w:t>
      </w:r>
      <w:r w:rsidR="005E4C6F">
        <w:t>an interoperable public safety network with nationwide coverage</w:t>
      </w:r>
      <w:r>
        <w:t xml:space="preserve">.  Given the prescribed timelines for action associated with the various opt-out steps, </w:t>
      </w:r>
      <w:r w:rsidR="00F44F89">
        <w:t>we</w:t>
      </w:r>
      <w:r>
        <w:t xml:space="preserve"> find our chosen approach creates the correct balance of incentives for all parties to the process, allowing for meaningful exercise of options by the state while declining to jeopardize the NPSBN as a whole.  </w:t>
      </w:r>
    </w:p>
    <w:p w14:paraId="0BDED9E2" w14:textId="07D6075D" w:rsidR="005C31A1" w:rsidRPr="00564B0F" w:rsidRDefault="005C31A1" w:rsidP="0064763B">
      <w:pPr>
        <w:pStyle w:val="Heading3"/>
      </w:pPr>
      <w:bookmarkStart w:id="23" w:name="_Toc482780150"/>
      <w:bookmarkStart w:id="24" w:name="_Toc482780367"/>
      <w:bookmarkStart w:id="25" w:name="_Toc482780151"/>
      <w:bookmarkStart w:id="26" w:name="_Toc482780368"/>
      <w:bookmarkStart w:id="27" w:name="_Toc483919386"/>
      <w:bookmarkStart w:id="28" w:name="_Toc485821089"/>
      <w:bookmarkEnd w:id="23"/>
      <w:bookmarkEnd w:id="24"/>
      <w:r w:rsidRPr="00564B0F">
        <w:t>Alternative Plan Contents</w:t>
      </w:r>
      <w:bookmarkEnd w:id="25"/>
      <w:bookmarkEnd w:id="26"/>
      <w:bookmarkEnd w:id="27"/>
      <w:bookmarkEnd w:id="28"/>
    </w:p>
    <w:p w14:paraId="1C5C595E" w14:textId="70CEC5DE" w:rsidR="00477D8B" w:rsidRPr="00564B0F" w:rsidRDefault="006133FD" w:rsidP="00AA275F">
      <w:pPr>
        <w:pStyle w:val="ParaNum"/>
        <w:widowControl/>
      </w:pPr>
      <w:r w:rsidRPr="00564B0F">
        <w:rPr>
          <w:i/>
        </w:rPr>
        <w:t xml:space="preserve">NPRM.  </w:t>
      </w:r>
      <w:r w:rsidR="004C166C" w:rsidRPr="00564B0F">
        <w:t>The Commission</w:t>
      </w:r>
      <w:r w:rsidR="006072D0" w:rsidRPr="00564B0F">
        <w:t xml:space="preserve"> sought comment on </w:t>
      </w:r>
      <w:r w:rsidR="004C166C" w:rsidRPr="00564B0F">
        <w:t>its</w:t>
      </w:r>
      <w:r w:rsidR="006072D0" w:rsidRPr="00564B0F">
        <w:t xml:space="preserve"> tentative view that plans filed with the Commission must, at a minimum</w:t>
      </w:r>
      <w:r w:rsidR="008C03C9">
        <w:t>:</w:t>
      </w:r>
      <w:r w:rsidR="006072D0" w:rsidRPr="00564B0F">
        <w:t xml:space="preserve"> (1) address the four general subject areas identified in the Act (construction, maintenance, operation, and improvements of the state RAN), (2) address the two interoperability requirements set forth in Sections 6302(e)(3)(C)(i)(I) and (II) of the Act, and (3)</w:t>
      </w:r>
      <w:r w:rsidR="0052298E">
        <w:t> </w:t>
      </w:r>
      <w:r w:rsidR="006072D0" w:rsidRPr="00564B0F">
        <w:t>specifically address all of the requirements of the Technical Advisory Board for First Responder Interoperability.</w:t>
      </w:r>
      <w:r w:rsidR="006072D0" w:rsidRPr="00564B0F">
        <w:rPr>
          <w:rStyle w:val="FootnoteReference"/>
        </w:rPr>
        <w:footnoteReference w:id="62"/>
      </w:r>
      <w:r w:rsidR="006072D0" w:rsidRPr="00564B0F">
        <w:t xml:space="preserve">  </w:t>
      </w:r>
      <w:r w:rsidR="004C166C" w:rsidRPr="00564B0F">
        <w:t>The Commission</w:t>
      </w:r>
      <w:r w:rsidR="006072D0" w:rsidRPr="00564B0F">
        <w:t xml:space="preserve"> sought comment on whether </w:t>
      </w:r>
      <w:r w:rsidR="004C166C" w:rsidRPr="00564B0F">
        <w:t>the Commission</w:t>
      </w:r>
      <w:r w:rsidR="006072D0" w:rsidRPr="00564B0F">
        <w:t xml:space="preserve"> should require a standardized organization scheme or format for alternative plans to ease their evaluation</w:t>
      </w:r>
      <w:r w:rsidR="00270852" w:rsidRPr="00564B0F">
        <w:t>.</w:t>
      </w:r>
      <w:r w:rsidR="00270852" w:rsidRPr="00564B0F">
        <w:rPr>
          <w:rStyle w:val="FootnoteReference"/>
        </w:rPr>
        <w:footnoteReference w:id="63"/>
      </w:r>
      <w:r w:rsidR="006072D0" w:rsidRPr="00564B0F">
        <w:t xml:space="preserve">  </w:t>
      </w:r>
    </w:p>
    <w:p w14:paraId="5EDC3429" w14:textId="4789BCD3" w:rsidR="00E810BD" w:rsidRPr="00564B0F" w:rsidRDefault="001A540E" w:rsidP="005E245B">
      <w:pPr>
        <w:pStyle w:val="ParaNum"/>
      </w:pPr>
      <w:r w:rsidRPr="00564B0F">
        <w:rPr>
          <w:i/>
        </w:rPr>
        <w:t>Comments.</w:t>
      </w:r>
      <w:r w:rsidR="00E810BD" w:rsidRPr="00564B0F">
        <w:rPr>
          <w:i/>
        </w:rPr>
        <w:t xml:space="preserve">  </w:t>
      </w:r>
      <w:r w:rsidR="009F71B5" w:rsidRPr="00564B0F">
        <w:t xml:space="preserve">Parties that opined on the matter generally agree with </w:t>
      </w:r>
      <w:r w:rsidR="00963112" w:rsidRPr="00564B0F">
        <w:t xml:space="preserve">the </w:t>
      </w:r>
      <w:r w:rsidR="009F71B5" w:rsidRPr="00564B0F">
        <w:t xml:space="preserve">tentative view that alternative plans must contain the three minimum items the Commission set out in the </w:t>
      </w:r>
      <w:r w:rsidR="009F71B5" w:rsidRPr="00564B0F">
        <w:rPr>
          <w:i/>
        </w:rPr>
        <w:t>NPRM</w:t>
      </w:r>
      <w:r w:rsidR="009F71B5" w:rsidRPr="00564B0F">
        <w:t>.</w:t>
      </w:r>
      <w:r w:rsidR="009F71B5" w:rsidRPr="00564B0F">
        <w:rPr>
          <w:rStyle w:val="FootnoteReference"/>
        </w:rPr>
        <w:footnoteReference w:id="64"/>
      </w:r>
      <w:r w:rsidR="009F71B5" w:rsidRPr="00564B0F">
        <w:t xml:space="preserve">  Parties </w:t>
      </w:r>
      <w:r w:rsidR="00963112" w:rsidRPr="00564B0F">
        <w:t xml:space="preserve">also </w:t>
      </w:r>
      <w:r w:rsidR="009F71B5" w:rsidRPr="00564B0F">
        <w:t>generally support a standard organization scheme or format</w:t>
      </w:r>
      <w:r w:rsidR="0052298E">
        <w:t>.</w:t>
      </w:r>
    </w:p>
    <w:p w14:paraId="1956BE1B" w14:textId="68DDF67D" w:rsidR="003F7693" w:rsidRPr="00564B0F" w:rsidRDefault="00372E05" w:rsidP="001D5383">
      <w:pPr>
        <w:pStyle w:val="ParaNum"/>
      </w:pPr>
      <w:r w:rsidRPr="00564B0F">
        <w:rPr>
          <w:i/>
        </w:rPr>
        <w:t>Decision.</w:t>
      </w:r>
      <w:r w:rsidR="001D5383" w:rsidRPr="00564B0F">
        <w:t xml:space="preserve">  </w:t>
      </w:r>
      <w:r w:rsidR="003F7693" w:rsidRPr="00564B0F">
        <w:t xml:space="preserve">We </w:t>
      </w:r>
      <w:r w:rsidR="000D0AC9">
        <w:t>substantially</w:t>
      </w:r>
      <w:r w:rsidR="003F7693" w:rsidRPr="00564B0F">
        <w:t xml:space="preserve"> adopt the tentative conclusion proposed in the </w:t>
      </w:r>
      <w:r w:rsidR="003F7693" w:rsidRPr="00564B0F">
        <w:rPr>
          <w:i/>
        </w:rPr>
        <w:t xml:space="preserve">NPRM.  </w:t>
      </w:r>
      <w:r w:rsidR="003F7693" w:rsidRPr="00564B0F">
        <w:t xml:space="preserve">Plans filed with the Commission must, at a minimum, (1) address the four general subject areas identified in the Act (construction, maintenance, operation, and improvements of the state RAN), </w:t>
      </w:r>
      <w:r w:rsidR="00181BBD">
        <w:t xml:space="preserve">and </w:t>
      </w:r>
      <w:r w:rsidR="003F7693" w:rsidRPr="00564B0F">
        <w:t>(2) address the two interoperability requirements set forth in Sections 6302(e)(3)(C)(i)(I) and (II) of the Act, and (3)</w:t>
      </w:r>
      <w:r w:rsidR="0052298E">
        <w:t> </w:t>
      </w:r>
      <w:r w:rsidR="000D0AC9">
        <w:t xml:space="preserve">as discussed in greater detail below, </w:t>
      </w:r>
      <w:r w:rsidR="003F7693" w:rsidRPr="00564B0F">
        <w:t xml:space="preserve">specifically address the </w:t>
      </w:r>
      <w:r w:rsidR="0060509D">
        <w:t>RAN-</w:t>
      </w:r>
      <w:r w:rsidR="000D0AC9">
        <w:t xml:space="preserve">related </w:t>
      </w:r>
      <w:r w:rsidR="0060509D">
        <w:t xml:space="preserve">interoperability </w:t>
      </w:r>
      <w:r w:rsidR="003F7693" w:rsidRPr="00564B0F">
        <w:t>requirements of the Technical Advisory Board for First Responder Interoperability.</w:t>
      </w:r>
      <w:r w:rsidR="004A3082">
        <w:t xml:space="preserve">  In finding that the 180-day “develop and complete” requirement is also a threshold determination for Commission consideration of an alternative plan, we also determine that a state alternative plan must certify and provide evidence that the 180-day timeframe was met.    </w:t>
      </w:r>
    </w:p>
    <w:p w14:paraId="18FB2F08" w14:textId="33BA1F6E" w:rsidR="001D5383" w:rsidRPr="00564B0F" w:rsidRDefault="0052298E" w:rsidP="001D5383">
      <w:pPr>
        <w:pStyle w:val="ParaNum"/>
      </w:pPr>
      <w:r>
        <w:t>Although</w:t>
      </w:r>
      <w:r w:rsidRPr="00564B0F">
        <w:t xml:space="preserve"> </w:t>
      </w:r>
      <w:r w:rsidR="001D5383" w:rsidRPr="00564B0F">
        <w:t xml:space="preserve">we decline to </w:t>
      </w:r>
      <w:r w:rsidR="00963112" w:rsidRPr="00564B0F">
        <w:t>prescribe</w:t>
      </w:r>
      <w:r w:rsidR="001D5383" w:rsidRPr="00564B0F">
        <w:t xml:space="preserve"> a specific organization scheme or format</w:t>
      </w:r>
      <w:r w:rsidR="00963112" w:rsidRPr="00564B0F">
        <w:t xml:space="preserve"> for alternative plans</w:t>
      </w:r>
      <w:r w:rsidR="001D5383" w:rsidRPr="00564B0F">
        <w:t xml:space="preserve">, a plan should clearly track the statute </w:t>
      </w:r>
      <w:r w:rsidR="00281CDA" w:rsidRPr="00564B0F">
        <w:t>and provide clear headers organizing content</w:t>
      </w:r>
      <w:r w:rsidR="00810591">
        <w:rPr>
          <w:rStyle w:val="FootnoteReference"/>
        </w:rPr>
        <w:footnoteReference w:id="65"/>
      </w:r>
      <w:r w:rsidR="001D5383" w:rsidRPr="00564B0F">
        <w:t xml:space="preserve"> to include:</w:t>
      </w:r>
    </w:p>
    <w:p w14:paraId="77480FB5" w14:textId="77777777" w:rsidR="001D5383" w:rsidRPr="00564B0F" w:rsidRDefault="001D5383" w:rsidP="001D5383">
      <w:pPr>
        <w:pStyle w:val="ParaNum"/>
        <w:numPr>
          <w:ilvl w:val="0"/>
          <w:numId w:val="10"/>
        </w:numPr>
      </w:pPr>
      <w:r w:rsidRPr="00564B0F">
        <w:t>Construction</w:t>
      </w:r>
    </w:p>
    <w:p w14:paraId="228F8FBD" w14:textId="77777777" w:rsidR="001D5383" w:rsidRPr="00564B0F" w:rsidRDefault="001D5383" w:rsidP="001D5383">
      <w:pPr>
        <w:pStyle w:val="ParaNum"/>
        <w:numPr>
          <w:ilvl w:val="0"/>
          <w:numId w:val="10"/>
        </w:numPr>
      </w:pPr>
      <w:r w:rsidRPr="00564B0F">
        <w:t xml:space="preserve">Maintenance </w:t>
      </w:r>
    </w:p>
    <w:p w14:paraId="7889F83C" w14:textId="77777777" w:rsidR="001D5383" w:rsidRPr="00564B0F" w:rsidRDefault="001D5383" w:rsidP="001D5383">
      <w:pPr>
        <w:pStyle w:val="ParaNum"/>
        <w:numPr>
          <w:ilvl w:val="0"/>
          <w:numId w:val="10"/>
        </w:numPr>
      </w:pPr>
      <w:r w:rsidRPr="00564B0F">
        <w:t>Operation</w:t>
      </w:r>
    </w:p>
    <w:p w14:paraId="600506F0" w14:textId="06547F07" w:rsidR="001D5383" w:rsidRPr="00564B0F" w:rsidRDefault="001D5383" w:rsidP="001D5383">
      <w:pPr>
        <w:pStyle w:val="ParaNum"/>
        <w:numPr>
          <w:ilvl w:val="0"/>
          <w:numId w:val="10"/>
        </w:numPr>
      </w:pPr>
      <w:r w:rsidRPr="00564B0F">
        <w:t>Improvements “of the Radio Access Network”</w:t>
      </w:r>
    </w:p>
    <w:p w14:paraId="52FFB62C" w14:textId="5384FEFC" w:rsidR="001D5383" w:rsidRPr="00564B0F" w:rsidRDefault="008640CF" w:rsidP="00E62276">
      <w:pPr>
        <w:pStyle w:val="ParaNum"/>
        <w:widowControl/>
      </w:pPr>
      <w:r>
        <w:t xml:space="preserve">We expect that much of this information will be directly responsive and presented in the alternative to the state plan developed by FirstNet.  </w:t>
      </w:r>
      <w:r w:rsidR="0052298E">
        <w:t xml:space="preserve">Although </w:t>
      </w:r>
      <w:r>
        <w:t xml:space="preserve">the Commission’s review is limited to interoperability, </w:t>
      </w:r>
      <w:r w:rsidR="00276787">
        <w:t xml:space="preserve">all </w:t>
      </w:r>
      <w:r>
        <w:t xml:space="preserve">these elements must be included </w:t>
      </w:r>
      <w:r w:rsidR="00D4536B">
        <w:t xml:space="preserve">in the alternative plan filed with the Commission </w:t>
      </w:r>
      <w:r>
        <w:t xml:space="preserve">by statute.  </w:t>
      </w:r>
      <w:r w:rsidR="002300CF" w:rsidRPr="00564B0F">
        <w:t>In addition</w:t>
      </w:r>
      <w:r w:rsidR="0090751B">
        <w:t>,</w:t>
      </w:r>
      <w:r w:rsidR="002300CF" w:rsidRPr="00564B0F">
        <w:t xml:space="preserve"> a plan should demonstrate compliance with the </w:t>
      </w:r>
      <w:r w:rsidR="001D5383" w:rsidRPr="00564B0F">
        <w:t>two statutory “interoperability” prongs</w:t>
      </w:r>
      <w:r w:rsidR="002300CF" w:rsidRPr="00564B0F">
        <w:t xml:space="preserve"> as well as adherence to the </w:t>
      </w:r>
      <w:r w:rsidR="001D5383" w:rsidRPr="00564B0F">
        <w:t>Interoperability Board Report</w:t>
      </w:r>
      <w:r w:rsidR="002300CF" w:rsidRPr="00564B0F">
        <w:t>.</w:t>
      </w:r>
      <w:r w:rsidR="002300CF" w:rsidRPr="00564B0F">
        <w:rPr>
          <w:rStyle w:val="FootnoteReference"/>
        </w:rPr>
        <w:footnoteReference w:id="66"/>
      </w:r>
      <w:r w:rsidR="002300CF" w:rsidRPr="00564B0F">
        <w:t xml:space="preserve">  </w:t>
      </w:r>
      <w:r w:rsidR="00281CDA" w:rsidRPr="00564B0F">
        <w:t xml:space="preserve">Elements of an alternative plan addressing these two </w:t>
      </w:r>
      <w:r w:rsidR="00752DA9">
        <w:t xml:space="preserve">statutory </w:t>
      </w:r>
      <w:r w:rsidR="00281CDA" w:rsidRPr="00564B0F">
        <w:t xml:space="preserve">elements should also be clearly labelled with headers as well.  We stress that the state is responsible for clearly identifying elements of its plan responsive to each requirement.  Simply appending or providing the state’s RFP or bids responsive to the RFP will not be sufficient.   </w:t>
      </w:r>
    </w:p>
    <w:p w14:paraId="665E0E53" w14:textId="3270D367" w:rsidR="005C31A1" w:rsidRPr="00564B0F" w:rsidRDefault="005C31A1" w:rsidP="00AA275F">
      <w:pPr>
        <w:pStyle w:val="Heading3"/>
        <w:widowControl/>
      </w:pPr>
      <w:bookmarkStart w:id="29" w:name="_Toc482780152"/>
      <w:bookmarkStart w:id="30" w:name="_Toc482780369"/>
      <w:bookmarkStart w:id="31" w:name="_Toc483919387"/>
      <w:bookmarkStart w:id="32" w:name="_Toc485821090"/>
      <w:r w:rsidRPr="00564B0F">
        <w:t>Confidentiality</w:t>
      </w:r>
      <w:r w:rsidR="0046460E">
        <w:t>,</w:t>
      </w:r>
      <w:r w:rsidRPr="00564B0F">
        <w:t xml:space="preserve"> Accessibility</w:t>
      </w:r>
      <w:r w:rsidR="0090751B">
        <w:t>,</w:t>
      </w:r>
      <w:r w:rsidR="0046460E">
        <w:t xml:space="preserve"> and Amendments</w:t>
      </w:r>
      <w:bookmarkEnd w:id="29"/>
      <w:bookmarkEnd w:id="30"/>
      <w:bookmarkEnd w:id="31"/>
      <w:bookmarkEnd w:id="32"/>
    </w:p>
    <w:p w14:paraId="73670D1A" w14:textId="320927BC" w:rsidR="00D4536B" w:rsidRPr="00564B0F" w:rsidRDefault="00372E05" w:rsidP="00AA275F">
      <w:pPr>
        <w:pStyle w:val="ParaNum"/>
        <w:widowControl/>
      </w:pPr>
      <w:r w:rsidRPr="00A6671D">
        <w:rPr>
          <w:i/>
        </w:rPr>
        <w:t>NPRM.</w:t>
      </w:r>
      <w:r w:rsidRPr="00564B0F">
        <w:t xml:space="preserve">  </w:t>
      </w:r>
      <w:r w:rsidR="004C166C" w:rsidRPr="00564B0F">
        <w:t>The Commission</w:t>
      </w:r>
      <w:r w:rsidR="00477D8B" w:rsidRPr="00564B0F">
        <w:t xml:space="preserve"> sought comment on who should have access to state plans</w:t>
      </w:r>
      <w:r w:rsidR="0021630A" w:rsidRPr="00564B0F">
        <w:t xml:space="preserve">, </w:t>
      </w:r>
      <w:r w:rsidR="00477D8B" w:rsidRPr="00564B0F">
        <w:t>who should be able to comment on state plans</w:t>
      </w:r>
      <w:r w:rsidR="0021630A" w:rsidRPr="00564B0F">
        <w:t xml:space="preserve">, </w:t>
      </w:r>
      <w:r w:rsidR="00477D8B" w:rsidRPr="00564B0F">
        <w:t>whether plans should be treated as confidential</w:t>
      </w:r>
      <w:r w:rsidR="0021630A" w:rsidRPr="00564B0F">
        <w:t>,</w:t>
      </w:r>
      <w:r w:rsidR="00477D8B" w:rsidRPr="00564B0F">
        <w:t xml:space="preserve"> and what </w:t>
      </w:r>
      <w:r w:rsidR="001A31E8" w:rsidRPr="00564B0F">
        <w:t xml:space="preserve">protective </w:t>
      </w:r>
      <w:r w:rsidR="00477D8B" w:rsidRPr="00564B0F">
        <w:t>measures the Commission should use to ensure confidentiality.</w:t>
      </w:r>
      <w:r w:rsidR="00477D8B" w:rsidRPr="000D0AC9">
        <w:rPr>
          <w:rStyle w:val="FootnoteReference"/>
        </w:rPr>
        <w:footnoteReference w:id="67"/>
      </w:r>
      <w:r w:rsidR="0021630A" w:rsidRPr="000D0AC9">
        <w:rPr>
          <w:rStyle w:val="FootnoteReference"/>
        </w:rPr>
        <w:t xml:space="preserve"> </w:t>
      </w:r>
      <w:r w:rsidR="0021630A" w:rsidRPr="00564B0F">
        <w:t xml:space="preserve"> In particular, the Commission sought comment on the extent to which FirstNet and NTIA should have access to and the ability to comment on state plans.</w:t>
      </w:r>
      <w:r w:rsidR="0021630A" w:rsidRPr="000D0AC9">
        <w:rPr>
          <w:rStyle w:val="FootnoteReference"/>
        </w:rPr>
        <w:footnoteReference w:id="68"/>
      </w:r>
      <w:r w:rsidR="00270852" w:rsidRPr="000D0AC9">
        <w:rPr>
          <w:rStyle w:val="FootnoteReference"/>
        </w:rPr>
        <w:t xml:space="preserve"> </w:t>
      </w:r>
      <w:r w:rsidR="0090751B">
        <w:t xml:space="preserve"> </w:t>
      </w:r>
      <w:r w:rsidR="004A686D" w:rsidRPr="00564B0F">
        <w:t>The Commission also sought comment on whether the Commission should allow a state to file amendments or provide supplemental information to the plan once it is filed with the Commission but prior to the Commission’s decision, and whether Commission staff should be permitted to discuss or seek clarification of the alternative plan contents with the filer.</w:t>
      </w:r>
      <w:r w:rsidR="0052298E" w:rsidRPr="000D0AC9">
        <w:rPr>
          <w:rStyle w:val="FootnoteReference"/>
        </w:rPr>
        <w:footnoteReference w:id="69"/>
      </w:r>
      <w:r w:rsidR="00D4536B" w:rsidRPr="000D0AC9">
        <w:rPr>
          <w:rStyle w:val="FootnoteReference"/>
        </w:rPr>
        <w:t xml:space="preserve"> </w:t>
      </w:r>
      <w:r w:rsidR="00D4536B">
        <w:t>In addition, t</w:t>
      </w:r>
      <w:r w:rsidR="00D4536B" w:rsidRPr="00564B0F">
        <w:t>he Commission sought comment on its view that once the Commission disapprove</w:t>
      </w:r>
      <w:r w:rsidR="00D4536B">
        <w:t>s</w:t>
      </w:r>
      <w:r w:rsidR="00D4536B" w:rsidRPr="00564B0F">
        <w:t xml:space="preserve"> a state’s plan, the state forfeit</w:t>
      </w:r>
      <w:r w:rsidR="00D4536B">
        <w:t>s</w:t>
      </w:r>
      <w:r w:rsidR="00D4536B" w:rsidRPr="00564B0F">
        <w:t xml:space="preserve"> the ability to conduct its own RAN deployment.</w:t>
      </w:r>
      <w:r w:rsidR="00D4536B" w:rsidRPr="00564B0F">
        <w:rPr>
          <w:rStyle w:val="FootnoteReference"/>
        </w:rPr>
        <w:footnoteReference w:id="70"/>
      </w:r>
      <w:r w:rsidR="00D4536B" w:rsidRPr="00564B0F">
        <w:t xml:space="preserve"> </w:t>
      </w:r>
    </w:p>
    <w:p w14:paraId="109C0A3F" w14:textId="0423E093" w:rsidR="00372E05" w:rsidRPr="00564B0F" w:rsidRDefault="001A540E" w:rsidP="006979CE">
      <w:pPr>
        <w:pStyle w:val="ParaNum"/>
      </w:pPr>
      <w:r w:rsidRPr="00564B0F">
        <w:rPr>
          <w:i/>
        </w:rPr>
        <w:t>Comments.</w:t>
      </w:r>
      <w:r w:rsidR="00372E05" w:rsidRPr="00564B0F">
        <w:t xml:space="preserve">  Most parties </w:t>
      </w:r>
      <w:r w:rsidR="00254DAB" w:rsidRPr="00564B0F">
        <w:t xml:space="preserve">support limiting public access to state </w:t>
      </w:r>
      <w:r w:rsidR="0021630A" w:rsidRPr="00564B0F">
        <w:t xml:space="preserve">alternative </w:t>
      </w:r>
      <w:r w:rsidR="00254DAB" w:rsidRPr="00564B0F">
        <w:t>plans</w:t>
      </w:r>
      <w:r w:rsidR="006979CE" w:rsidRPr="00564B0F">
        <w:t xml:space="preserve"> due to the fact that </w:t>
      </w:r>
      <w:r w:rsidR="0021630A" w:rsidRPr="00564B0F">
        <w:t xml:space="preserve">such </w:t>
      </w:r>
      <w:r w:rsidR="006979CE" w:rsidRPr="00564B0F">
        <w:t xml:space="preserve">plans </w:t>
      </w:r>
      <w:r w:rsidR="00D610F5" w:rsidRPr="00564B0F">
        <w:t>will likely</w:t>
      </w:r>
      <w:r w:rsidR="006979CE" w:rsidRPr="00564B0F">
        <w:t xml:space="preserve"> contain confidential or sensitive information that could compromise the security of public safety networks</w:t>
      </w:r>
      <w:r w:rsidR="0090751B">
        <w:t>.</w:t>
      </w:r>
      <w:r w:rsidR="00254DAB" w:rsidRPr="00564B0F">
        <w:rPr>
          <w:rStyle w:val="FootnoteReference"/>
        </w:rPr>
        <w:footnoteReference w:id="71"/>
      </w:r>
      <w:r w:rsidR="00254DAB" w:rsidRPr="00564B0F">
        <w:t xml:space="preserve"> </w:t>
      </w:r>
      <w:r w:rsidR="006979CE" w:rsidRPr="00564B0F">
        <w:t xml:space="preserve"> However, </w:t>
      </w:r>
      <w:r w:rsidR="0021630A" w:rsidRPr="00564B0F">
        <w:t xml:space="preserve">some </w:t>
      </w:r>
      <w:r w:rsidR="006979CE" w:rsidRPr="00564B0F">
        <w:t xml:space="preserve">parties </w:t>
      </w:r>
      <w:r w:rsidR="0021630A" w:rsidRPr="00564B0F">
        <w:t xml:space="preserve">find </w:t>
      </w:r>
      <w:r w:rsidR="00254DAB" w:rsidRPr="00564B0F">
        <w:t xml:space="preserve">merit </w:t>
      </w:r>
      <w:r w:rsidR="006979CE" w:rsidRPr="00564B0F">
        <w:t xml:space="preserve">in </w:t>
      </w:r>
      <w:r w:rsidR="00254DAB" w:rsidRPr="00564B0F">
        <w:t>allowing other states to access the plans.</w:t>
      </w:r>
      <w:r w:rsidR="00254DAB" w:rsidRPr="00564B0F">
        <w:rPr>
          <w:rStyle w:val="FootnoteReference"/>
        </w:rPr>
        <w:footnoteReference w:id="72"/>
      </w:r>
      <w:r w:rsidR="00254DAB" w:rsidRPr="00564B0F">
        <w:t xml:space="preserve"> </w:t>
      </w:r>
      <w:r w:rsidR="0052298E">
        <w:t xml:space="preserve"> </w:t>
      </w:r>
      <w:r w:rsidR="00254DAB" w:rsidRPr="00564B0F">
        <w:t>Parties generally support treating plans as confidential</w:t>
      </w:r>
      <w:r w:rsidR="00AA2D46" w:rsidRPr="00564B0F">
        <w:t>.</w:t>
      </w:r>
      <w:r w:rsidR="00254DAB" w:rsidRPr="00564B0F">
        <w:rPr>
          <w:rStyle w:val="FootnoteReference"/>
        </w:rPr>
        <w:footnoteReference w:id="73"/>
      </w:r>
      <w:r w:rsidR="00254DAB" w:rsidRPr="00564B0F">
        <w:t xml:space="preserve"> </w:t>
      </w:r>
      <w:r w:rsidR="0052298E">
        <w:t xml:space="preserve"> </w:t>
      </w:r>
      <w:r w:rsidR="00DB6279" w:rsidRPr="00564B0F">
        <w:t>There is also limited support for use of secure portals to maintain the confidentiality of alternative plans</w:t>
      </w:r>
      <w:r w:rsidR="001A31E8" w:rsidRPr="00564B0F">
        <w:t>.</w:t>
      </w:r>
      <w:r w:rsidR="00DB6279" w:rsidRPr="00564B0F">
        <w:rPr>
          <w:rStyle w:val="FootnoteReference"/>
        </w:rPr>
        <w:footnoteReference w:id="74"/>
      </w:r>
    </w:p>
    <w:p w14:paraId="6D895FEB" w14:textId="05C95564" w:rsidR="003C3C7B" w:rsidRDefault="003C3C7B" w:rsidP="00E62276">
      <w:pPr>
        <w:pStyle w:val="ParaNum"/>
        <w:widowControl/>
      </w:pPr>
      <w:r w:rsidRPr="00564B0F">
        <w:t xml:space="preserve">Parties </w:t>
      </w:r>
      <w:r w:rsidR="00FD025F" w:rsidRPr="00564B0F">
        <w:t xml:space="preserve">take differing positions </w:t>
      </w:r>
      <w:r w:rsidRPr="00564B0F">
        <w:t>on who the Commission should allow to comment on alternative plans</w:t>
      </w:r>
      <w:r w:rsidR="00FD025F" w:rsidRPr="00564B0F">
        <w:t xml:space="preserve">.  Some </w:t>
      </w:r>
      <w:r w:rsidRPr="00564B0F">
        <w:t>parties argu</w:t>
      </w:r>
      <w:r w:rsidR="00FD025F" w:rsidRPr="00564B0F">
        <w:t>e</w:t>
      </w:r>
      <w:r w:rsidRPr="00564B0F">
        <w:t xml:space="preserve"> </w:t>
      </w:r>
      <w:r w:rsidR="00FD025F" w:rsidRPr="00564B0F">
        <w:t xml:space="preserve">that </w:t>
      </w:r>
      <w:r w:rsidRPr="00564B0F">
        <w:t>full public comment</w:t>
      </w:r>
      <w:r w:rsidR="00FD025F" w:rsidRPr="00564B0F">
        <w:t xml:space="preserve"> should be allowed</w:t>
      </w:r>
      <w:r w:rsidRPr="00564B0F">
        <w:rPr>
          <w:rStyle w:val="FootnoteReference"/>
        </w:rPr>
        <w:footnoteReference w:id="75"/>
      </w:r>
      <w:r w:rsidRPr="00564B0F">
        <w:t xml:space="preserve"> </w:t>
      </w:r>
      <w:r w:rsidR="00FD025F" w:rsidRPr="00564B0F">
        <w:t xml:space="preserve">while </w:t>
      </w:r>
      <w:r w:rsidRPr="00564B0F">
        <w:t>others argu</w:t>
      </w:r>
      <w:r w:rsidR="00FD025F" w:rsidRPr="00564B0F">
        <w:t>e</w:t>
      </w:r>
      <w:r w:rsidRPr="00564B0F">
        <w:t xml:space="preserve"> for limiting </w:t>
      </w:r>
      <w:r w:rsidR="00FD025F" w:rsidRPr="00564B0F">
        <w:t xml:space="preserve">the right to comment to a narrowly defined set of </w:t>
      </w:r>
      <w:r w:rsidRPr="00564B0F">
        <w:t>stakeholders.</w:t>
      </w:r>
      <w:r w:rsidRPr="00564B0F">
        <w:rPr>
          <w:rStyle w:val="FootnoteReference"/>
        </w:rPr>
        <w:footnoteReference w:id="76"/>
      </w:r>
      <w:r w:rsidRPr="00564B0F">
        <w:t xml:space="preserve"> </w:t>
      </w:r>
      <w:r w:rsidR="0052298E">
        <w:t xml:space="preserve"> </w:t>
      </w:r>
      <w:r w:rsidRPr="00564B0F">
        <w:t>APCO contend</w:t>
      </w:r>
      <w:r w:rsidR="008D5924" w:rsidRPr="00564B0F">
        <w:t>s</w:t>
      </w:r>
      <w:r w:rsidRPr="00564B0F">
        <w:t xml:space="preserve"> that only FirstNet should be able to comment on plans,</w:t>
      </w:r>
      <w:r w:rsidRPr="00564B0F">
        <w:rPr>
          <w:rStyle w:val="FootnoteReference"/>
        </w:rPr>
        <w:footnoteReference w:id="77"/>
      </w:r>
      <w:r w:rsidR="008D5924" w:rsidRPr="00564B0F">
        <w:t xml:space="preserve"> </w:t>
      </w:r>
      <w:r w:rsidR="00FD025F" w:rsidRPr="00564B0F">
        <w:t xml:space="preserve">while </w:t>
      </w:r>
      <w:r w:rsidR="008D5924" w:rsidRPr="00564B0F">
        <w:t xml:space="preserve">other parties contend that </w:t>
      </w:r>
      <w:r w:rsidR="00741E69" w:rsidRPr="00564B0F">
        <w:t>only the Commission should review</w:t>
      </w:r>
      <w:r w:rsidR="008D5924" w:rsidRPr="00564B0F">
        <w:t xml:space="preserve"> alternative plans.</w:t>
      </w:r>
      <w:r w:rsidR="008D5924" w:rsidRPr="00564B0F">
        <w:rPr>
          <w:rStyle w:val="FootnoteReference"/>
        </w:rPr>
        <w:footnoteReference w:id="78"/>
      </w:r>
      <w:r w:rsidR="00695364" w:rsidRPr="00695364">
        <w:t xml:space="preserve"> </w:t>
      </w:r>
      <w:r w:rsidR="0052298E">
        <w:t xml:space="preserve"> </w:t>
      </w:r>
      <w:r w:rsidR="00695364" w:rsidRPr="00564B0F">
        <w:t>On the issue of plan amendments</w:t>
      </w:r>
      <w:r w:rsidR="00603F13">
        <w:t>,</w:t>
      </w:r>
      <w:r w:rsidR="00695364" w:rsidRPr="00564B0F">
        <w:t xml:space="preserve"> FirstNet and APCO argue that states should not be able to amend or supplement their alternative plans.</w:t>
      </w:r>
      <w:r w:rsidR="00695364" w:rsidRPr="00564B0F">
        <w:rPr>
          <w:rStyle w:val="FootnoteReference"/>
        </w:rPr>
        <w:footnoteReference w:id="79"/>
      </w:r>
      <w:r w:rsidR="00695364" w:rsidRPr="00564B0F">
        <w:t xml:space="preserve">  State commenters, however, generally argue they should be allowed to amend their plans,</w:t>
      </w:r>
      <w:r w:rsidR="00695364" w:rsidRPr="00564B0F">
        <w:rPr>
          <w:rStyle w:val="FootnoteReference"/>
        </w:rPr>
        <w:footnoteReference w:id="80"/>
      </w:r>
      <w:r w:rsidR="00695364" w:rsidRPr="00564B0F">
        <w:t xml:space="preserve"> especially in response to Commission inquiries or potential objections/comments from FirstNet.</w:t>
      </w:r>
      <w:r w:rsidR="00695364" w:rsidRPr="00564B0F">
        <w:rPr>
          <w:rStyle w:val="FootnoteReference"/>
        </w:rPr>
        <w:footnoteReference w:id="81"/>
      </w:r>
      <w:r w:rsidR="00695364" w:rsidRPr="00564B0F">
        <w:t xml:space="preserve">  </w:t>
      </w:r>
    </w:p>
    <w:p w14:paraId="77A4926A" w14:textId="244613D7" w:rsidR="00D4536B" w:rsidRDefault="00D4536B" w:rsidP="00D4536B">
      <w:pPr>
        <w:pStyle w:val="ParaNum"/>
      </w:pPr>
      <w:r w:rsidRPr="00564B0F">
        <w:t>Parties also generally agree that once the Commission has disapproved an alternative plan the Commission is barred from entertaining any amended or different alternative plan</w:t>
      </w:r>
      <w:r w:rsidR="00FD37E6">
        <w:t>,</w:t>
      </w:r>
      <w:r w:rsidRPr="00564B0F">
        <w:t xml:space="preserve"> and </w:t>
      </w:r>
      <w:r w:rsidR="00FD37E6">
        <w:t>that</w:t>
      </w:r>
      <w:r w:rsidRPr="00564B0F">
        <w:t xml:space="preserve"> </w:t>
      </w:r>
      <w:r>
        <w:t xml:space="preserve">the </w:t>
      </w:r>
      <w:r w:rsidRPr="00564B0F">
        <w:t>state forfeit</w:t>
      </w:r>
      <w:r>
        <w:t>s</w:t>
      </w:r>
      <w:r w:rsidRPr="00564B0F">
        <w:t xml:space="preserve"> the ability to </w:t>
      </w:r>
      <w:r>
        <w:t>pursue</w:t>
      </w:r>
      <w:r w:rsidRPr="00564B0F">
        <w:t xml:space="preserve"> its own RAN deployment.</w:t>
      </w:r>
      <w:r w:rsidRPr="00564B0F">
        <w:rPr>
          <w:rStyle w:val="FootnoteReference"/>
        </w:rPr>
        <w:footnoteReference w:id="82"/>
      </w:r>
      <w:r w:rsidRPr="00564B0F">
        <w:t xml:space="preserve">  Several states disagreed with the Commission’s contention that approval of a state opt-out plan would not create a presumption that the plan meets the criteria NTIA is responsible for evaluating.  These states argue that Commission approval of a plan obviates the need for NTIA review of the plan.</w:t>
      </w:r>
      <w:r w:rsidRPr="00564B0F">
        <w:rPr>
          <w:rStyle w:val="FootnoteReference"/>
        </w:rPr>
        <w:footnoteReference w:id="83"/>
      </w:r>
      <w:r w:rsidRPr="00564B0F">
        <w:t xml:space="preserve">  </w:t>
      </w:r>
    </w:p>
    <w:p w14:paraId="3288FDE9" w14:textId="5B0B7C04" w:rsidR="0011151A" w:rsidRDefault="00254DAB" w:rsidP="005F4BA0">
      <w:pPr>
        <w:pStyle w:val="ParaNum"/>
      </w:pPr>
      <w:r w:rsidRPr="00A6671D">
        <w:rPr>
          <w:i/>
        </w:rPr>
        <w:t>Decision.</w:t>
      </w:r>
      <w:r w:rsidR="00851B5D" w:rsidRPr="00564B0F">
        <w:t xml:space="preserve">  </w:t>
      </w:r>
      <w:r w:rsidR="003B779C">
        <w:t>I</w:t>
      </w:r>
      <w:r w:rsidR="0011151A">
        <w:t xml:space="preserve">n light of the </w:t>
      </w:r>
      <w:r w:rsidR="0031639B">
        <w:t xml:space="preserve">state-specific </w:t>
      </w:r>
      <w:r w:rsidR="0011151A">
        <w:t xml:space="preserve">nature of the </w:t>
      </w:r>
      <w:r w:rsidR="0031639B">
        <w:t xml:space="preserve">opt-out process, </w:t>
      </w:r>
      <w:r w:rsidR="0011151A">
        <w:t xml:space="preserve">we will </w:t>
      </w:r>
      <w:r w:rsidR="00D363AF">
        <w:t xml:space="preserve">treat </w:t>
      </w:r>
      <w:r w:rsidR="0011151A">
        <w:t xml:space="preserve">each </w:t>
      </w:r>
      <w:r w:rsidR="0031639B">
        <w:t xml:space="preserve">state opt-out application as a separate </w:t>
      </w:r>
      <w:r w:rsidR="0011151A">
        <w:t xml:space="preserve">restricted </w:t>
      </w:r>
      <w:r w:rsidR="0031639B">
        <w:t xml:space="preserve">proceeding </w:t>
      </w:r>
      <w:r w:rsidR="0011151A">
        <w:t>under our rules.</w:t>
      </w:r>
      <w:r w:rsidR="0011151A">
        <w:rPr>
          <w:rStyle w:val="FootnoteReference"/>
        </w:rPr>
        <w:footnoteReference w:id="84"/>
      </w:r>
      <w:r w:rsidR="0011151A">
        <w:t xml:space="preserve">  In this respect, we note that these proceedings are similar in nature to specific spectrum license application</w:t>
      </w:r>
      <w:r w:rsidR="00D363AF">
        <w:t>s</w:t>
      </w:r>
      <w:r w:rsidR="0011151A">
        <w:t xml:space="preserve"> or adjudicatory proceeding</w:t>
      </w:r>
      <w:r w:rsidR="00D363AF">
        <w:t>s</w:t>
      </w:r>
      <w:r w:rsidR="005F4BA0">
        <w:t>, rather than rulemaking</w:t>
      </w:r>
      <w:r w:rsidR="00D363AF">
        <w:t>s</w:t>
      </w:r>
      <w:r w:rsidR="000D40B0">
        <w:t>, so it is appropriate to initially limit immediate participation to those directly impacted</w:t>
      </w:r>
      <w:r w:rsidR="005F4BA0">
        <w:t xml:space="preserve">. </w:t>
      </w:r>
      <w:r w:rsidR="0052298E">
        <w:t xml:space="preserve"> </w:t>
      </w:r>
      <w:r w:rsidR="00D363AF" w:rsidRPr="0011151A">
        <w:t xml:space="preserve">The parties to these proceedings will </w:t>
      </w:r>
      <w:r w:rsidR="00D363AF">
        <w:t xml:space="preserve">initially </w:t>
      </w:r>
      <w:r w:rsidR="00D363AF" w:rsidRPr="0011151A">
        <w:t>include the state</w:t>
      </w:r>
      <w:r w:rsidR="00D363AF">
        <w:t xml:space="preserve"> filing the application</w:t>
      </w:r>
      <w:r w:rsidR="00D363AF" w:rsidRPr="0011151A">
        <w:t>, FirstNet</w:t>
      </w:r>
      <w:r w:rsidR="00D363AF">
        <w:t>,</w:t>
      </w:r>
      <w:r w:rsidR="00D363AF" w:rsidRPr="0011151A">
        <w:t xml:space="preserve"> and NTIA. </w:t>
      </w:r>
      <w:r w:rsidR="0052298E">
        <w:t xml:space="preserve"> </w:t>
      </w:r>
      <w:r w:rsidR="00D363AF">
        <w:t>W</w:t>
      </w:r>
      <w:r w:rsidR="005F4BA0">
        <w:t xml:space="preserve">e find that the </w:t>
      </w:r>
      <w:r w:rsidR="00CE1C9C">
        <w:t>opt-out s</w:t>
      </w:r>
      <w:r w:rsidR="005F4BA0">
        <w:t xml:space="preserve">tate </w:t>
      </w:r>
      <w:r w:rsidR="00CE1C9C">
        <w:t>is in a position to</w:t>
      </w:r>
      <w:r w:rsidR="005F4BA0">
        <w:t xml:space="preserve"> adequately represent the interests of </w:t>
      </w:r>
      <w:r w:rsidR="00CE1C9C">
        <w:t xml:space="preserve">its </w:t>
      </w:r>
      <w:r w:rsidR="005F4BA0">
        <w:t xml:space="preserve">public, public safety </w:t>
      </w:r>
      <w:r w:rsidR="00CE1C9C">
        <w:t>entities in the state</w:t>
      </w:r>
      <w:r w:rsidR="00D363AF">
        <w:t>,</w:t>
      </w:r>
      <w:r w:rsidR="005F4BA0">
        <w:t xml:space="preserve"> and similar constituencies</w:t>
      </w:r>
      <w:r w:rsidR="005F4BA0" w:rsidRPr="005F4BA0">
        <w:t xml:space="preserve">, </w:t>
      </w:r>
      <w:r w:rsidR="00CE1C9C">
        <w:t xml:space="preserve">while </w:t>
      </w:r>
      <w:r w:rsidR="005F4BA0">
        <w:t xml:space="preserve">FirstNet </w:t>
      </w:r>
      <w:r w:rsidR="00D363AF">
        <w:t xml:space="preserve">and NTIA </w:t>
      </w:r>
      <w:r w:rsidR="00CE1C9C">
        <w:t>can</w:t>
      </w:r>
      <w:r w:rsidR="005F4BA0">
        <w:t xml:space="preserve"> adequately represent those interests favoring nationwide network implementation.</w:t>
      </w:r>
      <w:r w:rsidR="002629AE">
        <w:t xml:space="preserve"> Although some parties question the inclusion of NTIA, others recognize that both NTIA and FirstNet have roles to play subsequent to the Commission’s processes</w:t>
      </w:r>
      <w:r w:rsidR="002B41AA">
        <w:t>,</w:t>
      </w:r>
      <w:r w:rsidR="002629AE">
        <w:t xml:space="preserve"> meriting inclusion</w:t>
      </w:r>
      <w:r w:rsidR="002B41AA">
        <w:t xml:space="preserve"> at this stage</w:t>
      </w:r>
      <w:r w:rsidR="002629AE">
        <w:t>.</w:t>
      </w:r>
      <w:r w:rsidR="002629AE">
        <w:rPr>
          <w:rStyle w:val="FootnoteReference"/>
        </w:rPr>
        <w:footnoteReference w:id="85"/>
      </w:r>
      <w:r w:rsidR="005F4BA0">
        <w:t xml:space="preserve">  </w:t>
      </w:r>
      <w:r w:rsidR="002629AE">
        <w:t>We agree</w:t>
      </w:r>
      <w:r w:rsidR="00EE2FF9">
        <w:t xml:space="preserve"> with those arguing for inclusion</w:t>
      </w:r>
      <w:r w:rsidR="002629AE">
        <w:t>.  Moreover, t</w:t>
      </w:r>
      <w:r w:rsidR="00CE1C9C">
        <w:t xml:space="preserve">reating </w:t>
      </w:r>
      <w:r w:rsidR="005F4BA0">
        <w:t>these proceedings</w:t>
      </w:r>
      <w:r w:rsidR="005F4BA0" w:rsidRPr="005F4BA0">
        <w:t xml:space="preserve"> </w:t>
      </w:r>
      <w:r w:rsidR="00CE1C9C">
        <w:t xml:space="preserve">as </w:t>
      </w:r>
      <w:r w:rsidR="005F4BA0" w:rsidRPr="005F4BA0">
        <w:t xml:space="preserve">restricted </w:t>
      </w:r>
      <w:r w:rsidR="005F4BA0">
        <w:t xml:space="preserve">with this initial set of parties </w:t>
      </w:r>
      <w:r w:rsidR="005F4BA0" w:rsidRPr="005F4BA0">
        <w:t>will aid in focusing the record before the Commission</w:t>
      </w:r>
      <w:r w:rsidR="005F4BA0">
        <w:t xml:space="preserve">, while providing a broad perspective of interests.  </w:t>
      </w:r>
    </w:p>
    <w:p w14:paraId="33411E7C" w14:textId="24C7499C" w:rsidR="00901C39" w:rsidRDefault="00CE1C9C" w:rsidP="0011151A">
      <w:pPr>
        <w:pStyle w:val="ParaNum"/>
      </w:pPr>
      <w:r>
        <w:t xml:space="preserve">At the conclusion of the opt-out notification period, the Bureau </w:t>
      </w:r>
      <w:r w:rsidR="0011151A" w:rsidRPr="0011151A">
        <w:t>will</w:t>
      </w:r>
      <w:r>
        <w:t xml:space="preserve"> </w:t>
      </w:r>
      <w:r w:rsidR="0011151A" w:rsidRPr="0011151A">
        <w:t xml:space="preserve">issue a Public Notice </w:t>
      </w:r>
      <w:r>
        <w:t xml:space="preserve">identifying the states that have filed opt-out notifications with the Commission and establishing </w:t>
      </w:r>
      <w:r w:rsidR="0011151A" w:rsidRPr="0011151A">
        <w:t>individual dockets for each opt-out proceeding</w:t>
      </w:r>
      <w:r>
        <w:t xml:space="preserve">.  </w:t>
      </w:r>
      <w:r w:rsidR="0011151A" w:rsidRPr="0011151A">
        <w:t xml:space="preserve">Other </w:t>
      </w:r>
      <w:r>
        <w:t xml:space="preserve">persons or </w:t>
      </w:r>
      <w:r w:rsidR="0011151A" w:rsidRPr="0011151A">
        <w:t xml:space="preserve">entities seeking to participate in </w:t>
      </w:r>
      <w:r>
        <w:t xml:space="preserve">a </w:t>
      </w:r>
      <w:r w:rsidR="0011151A" w:rsidRPr="0011151A">
        <w:t xml:space="preserve">proceeding </w:t>
      </w:r>
      <w:r w:rsidR="0011151A">
        <w:t>may</w:t>
      </w:r>
      <w:r w:rsidR="0011151A" w:rsidRPr="0011151A">
        <w:t xml:space="preserve"> petition the Commission for leave to intervene based on a demonstrated showing of interest</w:t>
      </w:r>
      <w:r>
        <w:t xml:space="preserve">. </w:t>
      </w:r>
      <w:r w:rsidR="005F4BA0">
        <w:t xml:space="preserve"> </w:t>
      </w:r>
      <w:r w:rsidR="000D40B0">
        <w:t xml:space="preserve">Such a petition must be </w:t>
      </w:r>
      <w:r>
        <w:t xml:space="preserve">filed </w:t>
      </w:r>
      <w:r w:rsidR="000D40B0">
        <w:t>within 30 days of the Public Notice</w:t>
      </w:r>
      <w:r>
        <w:t xml:space="preserve">, identify </w:t>
      </w:r>
      <w:r w:rsidR="00C44E40">
        <w:t>the specific docket in which the</w:t>
      </w:r>
      <w:r>
        <w:t xml:space="preserve"> filer </w:t>
      </w:r>
      <w:r w:rsidR="00C44E40">
        <w:t>wish</w:t>
      </w:r>
      <w:r>
        <w:t>es</w:t>
      </w:r>
      <w:r w:rsidR="00C44E40">
        <w:t xml:space="preserve"> to participate, </w:t>
      </w:r>
      <w:r w:rsidR="000D40B0">
        <w:t>and clearly detail the filer</w:t>
      </w:r>
      <w:r w:rsidR="008640CF">
        <w:t>’</w:t>
      </w:r>
      <w:r w:rsidR="000D40B0">
        <w:t>s interest in the proceeding</w:t>
      </w:r>
      <w:r w:rsidR="00C44E40">
        <w:t>.  Th</w:t>
      </w:r>
      <w:r>
        <w:t xml:space="preserve">e petition must </w:t>
      </w:r>
      <w:r w:rsidR="00C44E40">
        <w:t>include</w:t>
      </w:r>
      <w:r w:rsidR="005F4BA0">
        <w:t xml:space="preserve"> </w:t>
      </w:r>
      <w:r w:rsidR="000D40B0">
        <w:t xml:space="preserve">an explanation of the </w:t>
      </w:r>
      <w:r>
        <w:t xml:space="preserve">filer’s interest in </w:t>
      </w:r>
      <w:r w:rsidR="001B798F">
        <w:t>the</w:t>
      </w:r>
      <w:r w:rsidR="005F4BA0">
        <w:t xml:space="preserve"> </w:t>
      </w:r>
      <w:r w:rsidR="000D40B0">
        <w:t xml:space="preserve">outcome of </w:t>
      </w:r>
      <w:r w:rsidR="005F4BA0">
        <w:t>the particular state’s application</w:t>
      </w:r>
      <w:r w:rsidR="000D40B0">
        <w:t xml:space="preserve">, </w:t>
      </w:r>
      <w:r w:rsidR="008640CF">
        <w:t>as well as</w:t>
      </w:r>
      <w:r w:rsidR="000D40B0">
        <w:t xml:space="preserve"> </w:t>
      </w:r>
      <w:r w:rsidR="00901C39">
        <w:t xml:space="preserve">an </w:t>
      </w:r>
      <w:r w:rsidR="000D40B0">
        <w:t>explanation of how th</w:t>
      </w:r>
      <w:r w:rsidR="00901C39">
        <w:t xml:space="preserve">e filer’s </w:t>
      </w:r>
      <w:r w:rsidR="000D40B0">
        <w:t>interests are not otherwise represented by the state, FirstNet</w:t>
      </w:r>
      <w:r w:rsidR="00901C39">
        <w:t>,</w:t>
      </w:r>
      <w:r w:rsidR="000D40B0">
        <w:t xml:space="preserve"> or NTIA or how its participation would otherwise aid the Commission in a full evaluation of the facts</w:t>
      </w:r>
      <w:r w:rsidR="0011151A" w:rsidRPr="0011151A">
        <w:t xml:space="preserve">.  </w:t>
      </w:r>
    </w:p>
    <w:p w14:paraId="6D6F7935" w14:textId="671678DD" w:rsidR="00D610F5" w:rsidRPr="00564B0F" w:rsidRDefault="00901C39" w:rsidP="0011151A">
      <w:pPr>
        <w:pStyle w:val="ParaNum"/>
      </w:pPr>
      <w:r>
        <w:t xml:space="preserve">Each opt-out state will have </w:t>
      </w:r>
      <w:r w:rsidR="0052298E">
        <w:t xml:space="preserve">240 </w:t>
      </w:r>
      <w:r>
        <w:t>days from the date of its opt-out notification to the Commission to file an alternative state plan in the docketed proceeding established for that state.</w:t>
      </w:r>
      <w:r w:rsidR="0052298E">
        <w:t xml:space="preserve"> </w:t>
      </w:r>
      <w:r>
        <w:t xml:space="preserve"> </w:t>
      </w:r>
      <w:r w:rsidR="0011151A" w:rsidRPr="0011151A">
        <w:t xml:space="preserve">States </w:t>
      </w:r>
      <w:r>
        <w:t>may</w:t>
      </w:r>
      <w:r w:rsidR="0011151A" w:rsidRPr="0011151A">
        <w:t xml:space="preserve"> file the plans</w:t>
      </w:r>
      <w:r w:rsidR="000D40B0">
        <w:t>,</w:t>
      </w:r>
      <w:r w:rsidR="0011151A" w:rsidRPr="0011151A">
        <w:t xml:space="preserve"> and those </w:t>
      </w:r>
      <w:r w:rsidR="008640CF">
        <w:t>with</w:t>
      </w:r>
      <w:r w:rsidR="008640CF" w:rsidRPr="0011151A">
        <w:t xml:space="preserve"> </w:t>
      </w:r>
      <w:r w:rsidR="0011151A" w:rsidRPr="0011151A">
        <w:t>party status to each proceeding may file comments on the plan</w:t>
      </w:r>
      <w:r w:rsidR="000D40B0">
        <w:t>,</w:t>
      </w:r>
      <w:r w:rsidR="0011151A" w:rsidRPr="0011151A">
        <w:t xml:space="preserve"> </w:t>
      </w:r>
      <w:r w:rsidR="005F4BA0">
        <w:t xml:space="preserve">in the specified docket </w:t>
      </w:r>
      <w:r w:rsidR="0011151A" w:rsidRPr="0011151A">
        <w:t xml:space="preserve">via the </w:t>
      </w:r>
      <w:r w:rsidR="00E10E62">
        <w:t xml:space="preserve">designated </w:t>
      </w:r>
      <w:r w:rsidR="0011151A" w:rsidRPr="0011151A">
        <w:t>secure e-mail address</w:t>
      </w:r>
      <w:r w:rsidR="00E10E62">
        <w:t>,</w:t>
      </w:r>
      <w:r w:rsidR="0011151A" w:rsidRPr="0011151A">
        <w:t xml:space="preserve"> or via certified mail to the Secretary’s office.  </w:t>
      </w:r>
      <w:r w:rsidR="008542F1" w:rsidRPr="00564B0F">
        <w:t xml:space="preserve"> </w:t>
      </w:r>
    </w:p>
    <w:p w14:paraId="1338E589" w14:textId="64279F55" w:rsidR="00254DAB" w:rsidRPr="00564B0F" w:rsidRDefault="00F876E5" w:rsidP="001F78C6">
      <w:pPr>
        <w:pStyle w:val="ParaNum"/>
      </w:pPr>
      <w:r w:rsidRPr="00564B0F">
        <w:t xml:space="preserve">We agree </w:t>
      </w:r>
      <w:r w:rsidR="00901C39">
        <w:t xml:space="preserve">with commenters </w:t>
      </w:r>
      <w:r w:rsidRPr="00564B0F">
        <w:t xml:space="preserve">that alternative </w:t>
      </w:r>
      <w:r w:rsidR="00901C39">
        <w:t>state</w:t>
      </w:r>
      <w:r w:rsidRPr="00564B0F">
        <w:t xml:space="preserve"> plans are very likely to contain proprietary information as well as information whose disclosure could compromise the security of the NPSBN and/or the state RAN.</w:t>
      </w:r>
      <w:r w:rsidR="002629AE">
        <w:rPr>
          <w:rStyle w:val="FootnoteReference"/>
        </w:rPr>
        <w:footnoteReference w:id="86"/>
      </w:r>
      <w:r w:rsidRPr="00564B0F">
        <w:t xml:space="preserve">  However, we believe that our existing rules for seeking confidential treatment will provide sufficient protection.</w:t>
      </w:r>
      <w:r w:rsidR="002629AE">
        <w:rPr>
          <w:rStyle w:val="FootnoteReference"/>
        </w:rPr>
        <w:footnoteReference w:id="87"/>
      </w:r>
      <w:r w:rsidRPr="00564B0F">
        <w:t xml:space="preserve">  </w:t>
      </w:r>
      <w:r w:rsidR="008542F1" w:rsidRPr="00564B0F">
        <w:t xml:space="preserve">Parties may </w:t>
      </w:r>
      <w:r w:rsidR="00107341">
        <w:t>therefore</w:t>
      </w:r>
      <w:r w:rsidR="008542F1" w:rsidRPr="00564B0F">
        <w:t xml:space="preserve"> </w:t>
      </w:r>
      <w:r w:rsidR="00D610F5" w:rsidRPr="00564B0F">
        <w:t xml:space="preserve">seek </w:t>
      </w:r>
      <w:r w:rsidR="00851B5D" w:rsidRPr="00564B0F">
        <w:t>confidential</w:t>
      </w:r>
      <w:r w:rsidR="00D610F5" w:rsidRPr="00564B0F">
        <w:t xml:space="preserve"> treatment of any filing</w:t>
      </w:r>
      <w:r w:rsidR="00851B5D" w:rsidRPr="00564B0F">
        <w:t xml:space="preserve"> under our Part 0 rules</w:t>
      </w:r>
      <w:r w:rsidR="00107341">
        <w:t>,</w:t>
      </w:r>
      <w:r w:rsidR="00851B5D" w:rsidRPr="00564B0F">
        <w:t xml:space="preserve"> </w:t>
      </w:r>
      <w:r w:rsidR="00244826" w:rsidRPr="00564B0F">
        <w:t xml:space="preserve">including the use of </w:t>
      </w:r>
      <w:r w:rsidR="00851B5D" w:rsidRPr="00564B0F">
        <w:t xml:space="preserve">a protective order process to allow </w:t>
      </w:r>
      <w:r w:rsidR="00D610F5" w:rsidRPr="00564B0F">
        <w:t xml:space="preserve">those granted party status </w:t>
      </w:r>
      <w:r w:rsidR="00851B5D" w:rsidRPr="00564B0F">
        <w:t>to the restricted proceeding access to the information on a confidential basis.</w:t>
      </w:r>
      <w:r w:rsidR="00361855" w:rsidRPr="00564B0F">
        <w:rPr>
          <w:rStyle w:val="FootnoteReference"/>
        </w:rPr>
        <w:footnoteReference w:id="88"/>
      </w:r>
    </w:p>
    <w:p w14:paraId="5AD8B8D0" w14:textId="6CF93673" w:rsidR="009A7031" w:rsidRPr="00564B0F" w:rsidRDefault="003A639D" w:rsidP="009A7031">
      <w:pPr>
        <w:pStyle w:val="ParaNum"/>
      </w:pPr>
      <w:r>
        <w:t>U</w:t>
      </w:r>
      <w:r w:rsidR="00E5484A" w:rsidRPr="00564B0F">
        <w:t>pon</w:t>
      </w:r>
      <w:r w:rsidR="00F876E5" w:rsidRPr="00564B0F">
        <w:t xml:space="preserve"> </w:t>
      </w:r>
      <w:r>
        <w:t>each state</w:t>
      </w:r>
      <w:r w:rsidR="00F876E5" w:rsidRPr="00564B0F">
        <w:t xml:space="preserve"> </w:t>
      </w:r>
      <w:r w:rsidR="00E5484A" w:rsidRPr="00564B0F">
        <w:t xml:space="preserve">filing </w:t>
      </w:r>
      <w:r>
        <w:t xml:space="preserve">of </w:t>
      </w:r>
      <w:r w:rsidR="00E5484A" w:rsidRPr="00564B0F">
        <w:t xml:space="preserve">an alternative plan, </w:t>
      </w:r>
      <w:r>
        <w:t xml:space="preserve">we direct </w:t>
      </w:r>
      <w:r w:rsidR="00E5484A" w:rsidRPr="00564B0F">
        <w:t xml:space="preserve">the Bureau </w:t>
      </w:r>
      <w:r>
        <w:t xml:space="preserve">to review the plan and </w:t>
      </w:r>
      <w:r w:rsidR="00E5484A" w:rsidRPr="00564B0F">
        <w:t xml:space="preserve">make an initial determination </w:t>
      </w:r>
      <w:r>
        <w:t xml:space="preserve">whether </w:t>
      </w:r>
      <w:r w:rsidR="00E5484A" w:rsidRPr="00564B0F">
        <w:t>the plan meets relevant filing criteria described herein.  This</w:t>
      </w:r>
      <w:r w:rsidR="009A7031" w:rsidRPr="00564B0F">
        <w:t xml:space="preserve"> determination </w:t>
      </w:r>
      <w:r w:rsidR="00E5484A" w:rsidRPr="00564B0F">
        <w:t>will</w:t>
      </w:r>
      <w:r w:rsidR="009A7031" w:rsidRPr="00564B0F">
        <w:t xml:space="preserve"> prevent gaming</w:t>
      </w:r>
      <w:r w:rsidR="00E5484A" w:rsidRPr="00564B0F">
        <w:t xml:space="preserve"> or </w:t>
      </w:r>
      <w:r w:rsidR="009675CC">
        <w:t>“</w:t>
      </w:r>
      <w:r w:rsidR="009A7031" w:rsidRPr="00564B0F">
        <w:t>placeholder</w:t>
      </w:r>
      <w:r w:rsidR="009675CC">
        <w:t>”</w:t>
      </w:r>
      <w:r w:rsidR="009A7031" w:rsidRPr="00564B0F">
        <w:t xml:space="preserve"> filings </w:t>
      </w:r>
      <w:r w:rsidR="00E5484A" w:rsidRPr="00564B0F">
        <w:t xml:space="preserve">and </w:t>
      </w:r>
      <w:r w:rsidR="009A7031" w:rsidRPr="00564B0F">
        <w:t xml:space="preserve">ensure that </w:t>
      </w:r>
      <w:r w:rsidR="009675CC">
        <w:t xml:space="preserve">each </w:t>
      </w:r>
      <w:r w:rsidR="009A7031" w:rsidRPr="00564B0F">
        <w:t>application is compl</w:t>
      </w:r>
      <w:r w:rsidR="00F70B30" w:rsidRPr="00564B0F">
        <w:t>i</w:t>
      </w:r>
      <w:r w:rsidR="009A7031" w:rsidRPr="00564B0F">
        <w:t xml:space="preserve">ant with </w:t>
      </w:r>
      <w:r>
        <w:t xml:space="preserve">the minimum threshold </w:t>
      </w:r>
      <w:r w:rsidR="009A7031" w:rsidRPr="00564B0F">
        <w:t>requirements</w:t>
      </w:r>
      <w:r>
        <w:t xml:space="preserve"> for consideration</w:t>
      </w:r>
      <w:r w:rsidR="00E5484A" w:rsidRPr="00564B0F">
        <w:t>.</w:t>
      </w:r>
      <w:r w:rsidR="00BE30AB">
        <w:t xml:space="preserve"> </w:t>
      </w:r>
      <w:r w:rsidR="00E5484A" w:rsidRPr="00564B0F">
        <w:t xml:space="preserve"> Further, we</w:t>
      </w:r>
      <w:r w:rsidR="00BE5ADF" w:rsidRPr="00564B0F">
        <w:t xml:space="preserve"> direct the Bureau to issue </w:t>
      </w:r>
      <w:r w:rsidR="00126357">
        <w:t xml:space="preserve">one or more </w:t>
      </w:r>
      <w:r w:rsidR="00BE5ADF" w:rsidRPr="00564B0F">
        <w:t>public notice</w:t>
      </w:r>
      <w:r w:rsidR="00126357">
        <w:t>s</w:t>
      </w:r>
      <w:r w:rsidR="00E5484A" w:rsidRPr="00564B0F">
        <w:t xml:space="preserve"> </w:t>
      </w:r>
      <w:r>
        <w:t xml:space="preserve">identifying each </w:t>
      </w:r>
      <w:r w:rsidR="00E5484A" w:rsidRPr="00564B0F">
        <w:t xml:space="preserve">application </w:t>
      </w:r>
      <w:r>
        <w:t xml:space="preserve">that has been </w:t>
      </w:r>
      <w:r w:rsidR="00E5484A" w:rsidRPr="00564B0F">
        <w:t>“accepted for filing,” which will trigger the relevant “shot clock” as described below.</w:t>
      </w:r>
      <w:r w:rsidR="00BE5ADF" w:rsidRPr="00564B0F">
        <w:t xml:space="preserve">  </w:t>
      </w:r>
      <w:r w:rsidR="00603B25">
        <w:t>Recognizing that we cannot predict how many applications may be filed, we direct the Bureau to issue s</w:t>
      </w:r>
      <w:r w:rsidR="00BE5ADF" w:rsidRPr="00564B0F">
        <w:t xml:space="preserve">uch public notice </w:t>
      </w:r>
      <w:r w:rsidR="00603B25">
        <w:t xml:space="preserve">as soon as practicable, </w:t>
      </w:r>
      <w:r w:rsidR="00BA7D83">
        <w:t xml:space="preserve">and </w:t>
      </w:r>
      <w:r w:rsidR="00603B25">
        <w:t xml:space="preserve">within </w:t>
      </w:r>
      <w:r w:rsidR="00BE5ADF" w:rsidRPr="00564B0F">
        <w:t>10 business days of receipt of the alternative plan</w:t>
      </w:r>
      <w:r w:rsidR="00603B25">
        <w:t xml:space="preserve"> if possible</w:t>
      </w:r>
      <w:r w:rsidR="00BE5ADF" w:rsidRPr="00564B0F">
        <w:t>.</w:t>
      </w:r>
      <w:r w:rsidR="008640CF">
        <w:t xml:space="preserve">  </w:t>
      </w:r>
    </w:p>
    <w:p w14:paraId="308FD86E" w14:textId="478E061B" w:rsidR="006E5F9B" w:rsidRDefault="009A7031" w:rsidP="00085198">
      <w:pPr>
        <w:pStyle w:val="ParaNum"/>
      </w:pPr>
      <w:r w:rsidRPr="00564B0F">
        <w:t xml:space="preserve">After </w:t>
      </w:r>
      <w:r w:rsidR="00E5484A" w:rsidRPr="00564B0F">
        <w:t>the “accepted for filing” public notice is issued</w:t>
      </w:r>
      <w:r w:rsidRPr="00564B0F">
        <w:t xml:space="preserve">, </w:t>
      </w:r>
      <w:r w:rsidR="00C53C7C" w:rsidRPr="00564B0F">
        <w:t xml:space="preserve">we will allow </w:t>
      </w:r>
      <w:r w:rsidRPr="00564B0F">
        <w:t>NTIA</w:t>
      </w:r>
      <w:r w:rsidR="00E5484A" w:rsidRPr="00564B0F">
        <w:t xml:space="preserve"> and FirstNet</w:t>
      </w:r>
      <w:r w:rsidR="008640CF">
        <w:t xml:space="preserve">, as well as any </w:t>
      </w:r>
      <w:r w:rsidR="00B0504E">
        <w:t xml:space="preserve">others </w:t>
      </w:r>
      <w:r w:rsidR="008640CF">
        <w:t xml:space="preserve">granted </w:t>
      </w:r>
      <w:r w:rsidR="00B0504E">
        <w:t xml:space="preserve">party </w:t>
      </w:r>
      <w:r w:rsidR="008640CF">
        <w:t>status</w:t>
      </w:r>
      <w:r w:rsidR="0040427E">
        <w:t xml:space="preserve"> in the proceeding</w:t>
      </w:r>
      <w:r w:rsidR="00BA7D83">
        <w:t xml:space="preserve">, </w:t>
      </w:r>
      <w:r w:rsidRPr="00564B0F">
        <w:t>15 days to comment on the alternative plan</w:t>
      </w:r>
      <w:r w:rsidR="00E5484A" w:rsidRPr="00564B0F">
        <w:t xml:space="preserve"> and file comments in the relevant docket</w:t>
      </w:r>
      <w:r w:rsidR="008640CF">
        <w:t>, confidentially or otherwise</w:t>
      </w:r>
      <w:r w:rsidRPr="00564B0F">
        <w:t xml:space="preserve">. States </w:t>
      </w:r>
      <w:r w:rsidR="00C53C7C" w:rsidRPr="00564B0F">
        <w:t xml:space="preserve">will then have 15 days to </w:t>
      </w:r>
      <w:r w:rsidRPr="00564B0F">
        <w:t xml:space="preserve">amend </w:t>
      </w:r>
      <w:r w:rsidR="00F70B30" w:rsidRPr="00564B0F">
        <w:t xml:space="preserve">their </w:t>
      </w:r>
      <w:r w:rsidR="00C53C7C" w:rsidRPr="00564B0F">
        <w:t>plan</w:t>
      </w:r>
      <w:r w:rsidR="00F70B30" w:rsidRPr="00564B0F">
        <w:t>s</w:t>
      </w:r>
      <w:r w:rsidR="00C53C7C" w:rsidRPr="00564B0F">
        <w:t xml:space="preserve"> </w:t>
      </w:r>
      <w:r w:rsidR="00741E69" w:rsidRPr="00564B0F">
        <w:t>and</w:t>
      </w:r>
      <w:r w:rsidR="00B0504E">
        <w:t>/or</w:t>
      </w:r>
      <w:r w:rsidR="00741E69" w:rsidRPr="00564B0F">
        <w:t xml:space="preserve"> </w:t>
      </w:r>
      <w:r w:rsidR="00C53C7C" w:rsidRPr="00564B0F">
        <w:t>file reply comments</w:t>
      </w:r>
      <w:r w:rsidR="008640CF">
        <w:t>, again with a request for confidential treatment as appropriate</w:t>
      </w:r>
      <w:r w:rsidR="00C53C7C" w:rsidRPr="00564B0F">
        <w:t xml:space="preserve">. </w:t>
      </w:r>
      <w:r w:rsidR="00D4536B">
        <w:t xml:space="preserve">In this respect, we </w:t>
      </w:r>
      <w:r w:rsidR="006B672A">
        <w:t>expect</w:t>
      </w:r>
      <w:r w:rsidR="00D4536B">
        <w:t xml:space="preserve"> state responses</w:t>
      </w:r>
      <w:r w:rsidR="006B672A">
        <w:t xml:space="preserve"> </w:t>
      </w:r>
      <w:r w:rsidR="0040427E">
        <w:t xml:space="preserve">to </w:t>
      </w:r>
      <w:r w:rsidR="006B672A">
        <w:t>be limited</w:t>
      </w:r>
      <w:r w:rsidR="00D4536B">
        <w:t xml:space="preserve"> to those points raised </w:t>
      </w:r>
      <w:r w:rsidR="0040427E">
        <w:t xml:space="preserve">in the initial comments </w:t>
      </w:r>
      <w:r w:rsidR="00D4536B">
        <w:t>by FirstNet, NTIA</w:t>
      </w:r>
      <w:r w:rsidR="0040427E">
        <w:t>,</w:t>
      </w:r>
      <w:r w:rsidR="00D4536B">
        <w:t xml:space="preserve"> or </w:t>
      </w:r>
      <w:r w:rsidR="0040427E">
        <w:t xml:space="preserve">any other </w:t>
      </w:r>
      <w:r w:rsidR="00D4536B">
        <w:t xml:space="preserve">party </w:t>
      </w:r>
      <w:r w:rsidR="0040427E">
        <w:t>to the proceeding.  We do not intend the comment</w:t>
      </w:r>
      <w:r w:rsidR="00D4536B">
        <w:t xml:space="preserve"> </w:t>
      </w:r>
      <w:r w:rsidR="006B672A">
        <w:t>process</w:t>
      </w:r>
      <w:r w:rsidR="00D4536B">
        <w:t xml:space="preserve"> to allow a state a wholesale opportunity to revise its submission.</w:t>
      </w:r>
      <w:r w:rsidR="00D4536B">
        <w:rPr>
          <w:rStyle w:val="FootnoteReference"/>
        </w:rPr>
        <w:footnoteReference w:id="89"/>
      </w:r>
      <w:r w:rsidR="00D4536B">
        <w:t xml:space="preserve">  </w:t>
      </w:r>
      <w:r w:rsidR="00C53C7C" w:rsidRPr="00564B0F">
        <w:t xml:space="preserve">This </w:t>
      </w:r>
      <w:r w:rsidR="003712E2">
        <w:t xml:space="preserve">30-day pleading cycle </w:t>
      </w:r>
      <w:r w:rsidR="00C53C7C" w:rsidRPr="00564B0F">
        <w:t>allows for some iterative discussion between a state</w:t>
      </w:r>
      <w:r w:rsidR="008640CF">
        <w:t xml:space="preserve">, </w:t>
      </w:r>
      <w:r w:rsidR="00C53C7C" w:rsidRPr="00564B0F">
        <w:t>FirstNet</w:t>
      </w:r>
      <w:r w:rsidR="00BE30AB">
        <w:t>,</w:t>
      </w:r>
      <w:r w:rsidR="008640CF">
        <w:t xml:space="preserve"> and interested parties</w:t>
      </w:r>
      <w:r w:rsidR="00C53C7C" w:rsidRPr="00564B0F">
        <w:t>, while still providing a f</w:t>
      </w:r>
      <w:r w:rsidRPr="00564B0F">
        <w:t>irm deadl</w:t>
      </w:r>
      <w:r w:rsidR="00C53C7C" w:rsidRPr="00564B0F">
        <w:t>ine</w:t>
      </w:r>
      <w:r w:rsidR="00DE00C9">
        <w:t xml:space="preserve"> and certainty of process</w:t>
      </w:r>
      <w:r w:rsidRPr="00564B0F">
        <w:t>.</w:t>
      </w:r>
      <w:r w:rsidR="007661C1">
        <w:rPr>
          <w:rStyle w:val="FootnoteReference"/>
        </w:rPr>
        <w:footnoteReference w:id="90"/>
      </w:r>
      <w:r w:rsidR="00DE00C9">
        <w:t xml:space="preserve"> </w:t>
      </w:r>
      <w:r w:rsidR="00BE30AB">
        <w:t xml:space="preserve"> </w:t>
      </w:r>
    </w:p>
    <w:p w14:paraId="72F26D06" w14:textId="5E876ED5" w:rsidR="006E5F9B" w:rsidRDefault="00276787" w:rsidP="00E90896">
      <w:pPr>
        <w:pStyle w:val="ParaNum"/>
        <w:widowControl/>
      </w:pPr>
      <w:r>
        <w:t>Although some commenters urge the Commission to prohibit amendments, citing possible delays to the deployment of the NPSBN,</w:t>
      </w:r>
      <w:r>
        <w:rPr>
          <w:rStyle w:val="FootnoteReference"/>
        </w:rPr>
        <w:footnoteReference w:id="91"/>
      </w:r>
      <w:r>
        <w:t xml:space="preserve"> </w:t>
      </w:r>
      <w:r w:rsidR="00EC1CD0">
        <w:t xml:space="preserve">we </w:t>
      </w:r>
      <w:r>
        <w:t xml:space="preserve">do not believe the </w:t>
      </w:r>
      <w:r w:rsidR="003712E2">
        <w:t xml:space="preserve">30-day pleading cycle </w:t>
      </w:r>
      <w:r>
        <w:t xml:space="preserve">allowed here will cause </w:t>
      </w:r>
      <w:r w:rsidR="00EC1CD0">
        <w:t xml:space="preserve">undue </w:t>
      </w:r>
      <w:r>
        <w:t xml:space="preserve">delay. Moreover, as this is a first-of-its-kind proceeding, parties should be allowed a limited means of correction. Ultimately, we anticipate that </w:t>
      </w:r>
      <w:r w:rsidR="00EC1CD0">
        <w:t xml:space="preserve">the </w:t>
      </w:r>
      <w:r>
        <w:t>process will benefit both the parties and the Commission’s understanding of the request, allowing for a full and thoughtful evaluation of the alternative plan.</w:t>
      </w:r>
      <w:r>
        <w:rPr>
          <w:rStyle w:val="FootnoteReference"/>
        </w:rPr>
        <w:footnoteReference w:id="92"/>
      </w:r>
      <w:r>
        <w:t xml:space="preserve"> </w:t>
      </w:r>
      <w:r w:rsidR="00D419D6">
        <w:t>All told, including statutory timeframes</w:t>
      </w:r>
      <w:r w:rsidR="006E5F9B">
        <w:t>,</w:t>
      </w:r>
      <w:r w:rsidR="006E5F9B" w:rsidRPr="00564B0F">
        <w:t xml:space="preserve"> our decisions today regarding Commission processes and timing </w:t>
      </w:r>
      <w:r w:rsidR="00EC1CD0">
        <w:t xml:space="preserve">provide </w:t>
      </w:r>
      <w:r w:rsidR="006E5F9B" w:rsidRPr="00564B0F">
        <w:t xml:space="preserve">12 months from </w:t>
      </w:r>
      <w:r w:rsidR="00EC1CD0">
        <w:t xml:space="preserve">FirstNet’s </w:t>
      </w:r>
      <w:r w:rsidR="006E5F9B" w:rsidRPr="00564B0F">
        <w:t xml:space="preserve">delivery of final state plans </w:t>
      </w:r>
      <w:r w:rsidR="003712E2">
        <w:t xml:space="preserve">for states to make their opt-out decision, develop and submit alternative plans, and </w:t>
      </w:r>
      <w:r w:rsidR="00EC1CD0">
        <w:t>complet</w:t>
      </w:r>
      <w:r w:rsidR="003712E2">
        <w:t>e</w:t>
      </w:r>
      <w:r w:rsidR="00EC1CD0">
        <w:t xml:space="preserve"> the </w:t>
      </w:r>
      <w:r w:rsidR="003712E2">
        <w:t>30-day pleading cycle once plans are filed</w:t>
      </w:r>
      <w:r w:rsidR="006E5F9B" w:rsidRPr="00564B0F">
        <w:t>. We believe this provides adequate time for notice and evaluation and to demonstrate interoperability in the context of the Commission’s alternative plan evaluation process</w:t>
      </w:r>
      <w:r w:rsidR="006E5F9B">
        <w:t>.</w:t>
      </w:r>
      <w:r w:rsidR="00D419D6">
        <w:t xml:space="preserve">  Moreover, as described below, </w:t>
      </w:r>
      <w:r w:rsidR="0084594C">
        <w:t xml:space="preserve">we are establishing </w:t>
      </w:r>
      <w:r w:rsidR="00D419D6">
        <w:t>an aspirational shot clock for Commission action, provid</w:t>
      </w:r>
      <w:r w:rsidR="00EC1CD0">
        <w:t>ing</w:t>
      </w:r>
      <w:r w:rsidR="00D419D6">
        <w:t xml:space="preserve"> additional certainty as to speed of decision-making.</w:t>
      </w:r>
    </w:p>
    <w:p w14:paraId="1DF04E9E" w14:textId="77777777" w:rsidR="00D4536B" w:rsidRPr="00085198" w:rsidRDefault="00D4536B" w:rsidP="00D4536B">
      <w:pPr>
        <w:pStyle w:val="ParaNum"/>
        <w:widowControl/>
      </w:pPr>
      <w:r>
        <w:t>Finally, we also agree with commenters that if the Commission disapproves an alternative plan, there is no opportunity to refile with the Commission.  The statutory remedy of appeal to the U.S. District Court for the District of Columbia is the only remedy available at that point.</w:t>
      </w:r>
      <w:r>
        <w:rPr>
          <w:rStyle w:val="FootnoteReference"/>
        </w:rPr>
        <w:footnoteReference w:id="93"/>
      </w:r>
      <w:r>
        <w:t xml:space="preserve">  </w:t>
      </w:r>
    </w:p>
    <w:p w14:paraId="350D258B" w14:textId="0843AE90" w:rsidR="005E245B" w:rsidRPr="00564B0F" w:rsidRDefault="005E245B" w:rsidP="005E245B">
      <w:pPr>
        <w:pStyle w:val="Heading2"/>
      </w:pPr>
      <w:bookmarkStart w:id="33" w:name="_Toc482780153"/>
      <w:bookmarkStart w:id="34" w:name="_Toc482780370"/>
      <w:bookmarkStart w:id="35" w:name="_Toc483919388"/>
      <w:bookmarkStart w:id="36" w:name="_Toc485821091"/>
      <w:r w:rsidRPr="00564B0F">
        <w:t xml:space="preserve">Evaluation </w:t>
      </w:r>
      <w:r w:rsidR="00F70B30" w:rsidRPr="00564B0F">
        <w:t xml:space="preserve">Process and </w:t>
      </w:r>
      <w:r w:rsidRPr="00564B0F">
        <w:t>Criteria</w:t>
      </w:r>
      <w:bookmarkEnd w:id="33"/>
      <w:bookmarkEnd w:id="34"/>
      <w:bookmarkEnd w:id="35"/>
      <w:bookmarkEnd w:id="36"/>
    </w:p>
    <w:p w14:paraId="2E9E9CD1" w14:textId="78B258B4" w:rsidR="00254DAB" w:rsidRPr="00564B0F" w:rsidRDefault="00254DAB" w:rsidP="00254DAB">
      <w:pPr>
        <w:pStyle w:val="Heading3"/>
      </w:pPr>
      <w:bookmarkStart w:id="37" w:name="_Toc482780154"/>
      <w:bookmarkStart w:id="38" w:name="_Toc482780371"/>
      <w:bookmarkStart w:id="39" w:name="_Toc483919389"/>
      <w:bookmarkStart w:id="40" w:name="_Toc485821092"/>
      <w:r w:rsidRPr="00564B0F">
        <w:t>Shot Clock</w:t>
      </w:r>
      <w:bookmarkEnd w:id="37"/>
      <w:bookmarkEnd w:id="38"/>
      <w:bookmarkEnd w:id="39"/>
      <w:bookmarkEnd w:id="40"/>
    </w:p>
    <w:p w14:paraId="10FA2E3D" w14:textId="37887106" w:rsidR="00CF231D" w:rsidRPr="00564B0F" w:rsidRDefault="00E05820" w:rsidP="00CF231D">
      <w:pPr>
        <w:pStyle w:val="ParaNum"/>
        <w:widowControl/>
      </w:pPr>
      <w:r w:rsidRPr="00564B0F">
        <w:rPr>
          <w:i/>
        </w:rPr>
        <w:t xml:space="preserve">NPRM.  </w:t>
      </w:r>
      <w:r w:rsidR="00CF231D" w:rsidRPr="00564B0F">
        <w:t xml:space="preserve">In the </w:t>
      </w:r>
      <w:r w:rsidR="00CF231D" w:rsidRPr="00564B0F">
        <w:rPr>
          <w:i/>
        </w:rPr>
        <w:t>NPRM</w:t>
      </w:r>
      <w:r w:rsidR="00353512">
        <w:t>,</w:t>
      </w:r>
      <w:r w:rsidR="00CF231D" w:rsidRPr="00564B0F">
        <w:rPr>
          <w:i/>
        </w:rPr>
        <w:t xml:space="preserve"> </w:t>
      </w:r>
      <w:r w:rsidR="004C166C" w:rsidRPr="00564B0F">
        <w:t>the Commission</w:t>
      </w:r>
      <w:r w:rsidR="00CF231D" w:rsidRPr="00564B0F">
        <w:t xml:space="preserve"> proposed establishing a “shot clock” for Commission action on alternative plans to provide a measure of certainty and expedience to the process.</w:t>
      </w:r>
      <w:r w:rsidR="00CF231D" w:rsidRPr="00564B0F">
        <w:rPr>
          <w:rStyle w:val="FootnoteReference"/>
        </w:rPr>
        <w:footnoteReference w:id="94"/>
      </w:r>
      <w:r w:rsidR="00CF231D" w:rsidRPr="00564B0F">
        <w:t xml:space="preserve">  </w:t>
      </w:r>
      <w:r w:rsidR="004C166C" w:rsidRPr="00564B0F">
        <w:t>The Commission</w:t>
      </w:r>
      <w:r w:rsidR="00CF231D" w:rsidRPr="00564B0F">
        <w:t xml:space="preserve"> sought comment on whether 90 days </w:t>
      </w:r>
      <w:r w:rsidR="00F70B30" w:rsidRPr="00564B0F">
        <w:t xml:space="preserve">would be an </w:t>
      </w:r>
      <w:r w:rsidR="00CF231D" w:rsidRPr="00564B0F">
        <w:t>appropriate timeframe</w:t>
      </w:r>
      <w:r w:rsidR="00353512">
        <w:t>,</w:t>
      </w:r>
      <w:r w:rsidR="00CF231D" w:rsidRPr="00564B0F">
        <w:rPr>
          <w:rStyle w:val="FootnoteReference"/>
        </w:rPr>
        <w:footnoteReference w:id="95"/>
      </w:r>
      <w:r w:rsidR="00CF231D" w:rsidRPr="00564B0F">
        <w:t xml:space="preserve"> whether </w:t>
      </w:r>
      <w:r w:rsidR="004C166C" w:rsidRPr="00564B0F">
        <w:t>the Commission</w:t>
      </w:r>
      <w:r w:rsidR="00CF231D" w:rsidRPr="00564B0F">
        <w:t xml:space="preserve"> could adjust the timeframe upwards or downwards based on the number of state alternative plans submitted for review</w:t>
      </w:r>
      <w:r w:rsidR="000A673F" w:rsidRPr="00564B0F">
        <w:t>,</w:t>
      </w:r>
      <w:r w:rsidR="00CF231D" w:rsidRPr="00564B0F">
        <w:rPr>
          <w:rStyle w:val="FootnoteReference"/>
        </w:rPr>
        <w:footnoteReference w:id="96"/>
      </w:r>
      <w:r w:rsidR="00CF231D" w:rsidRPr="00564B0F">
        <w:t xml:space="preserve"> when the shot clock </w:t>
      </w:r>
      <w:r w:rsidR="00353512">
        <w:t xml:space="preserve">should </w:t>
      </w:r>
      <w:r w:rsidR="00CF231D" w:rsidRPr="00564B0F">
        <w:t>commence</w:t>
      </w:r>
      <w:r w:rsidR="00D32E67" w:rsidRPr="00564B0F">
        <w:t>,</w:t>
      </w:r>
      <w:r w:rsidR="00CF231D" w:rsidRPr="00564B0F">
        <w:rPr>
          <w:rStyle w:val="FootnoteReference"/>
        </w:rPr>
        <w:footnoteReference w:id="97"/>
      </w:r>
      <w:r w:rsidR="00CB438A" w:rsidRPr="00E90896">
        <w:t xml:space="preserve"> </w:t>
      </w:r>
      <w:r w:rsidR="00D32E67" w:rsidRPr="00564B0F">
        <w:t>and whether the Commission should announce the commencement of the clock.</w:t>
      </w:r>
      <w:r w:rsidR="00D32E67" w:rsidRPr="00564B0F">
        <w:rPr>
          <w:rStyle w:val="FootnoteReference"/>
        </w:rPr>
        <w:footnoteReference w:id="98"/>
      </w:r>
      <w:r w:rsidR="00CF231D" w:rsidRPr="00564B0F">
        <w:t xml:space="preserve"> </w:t>
      </w:r>
    </w:p>
    <w:p w14:paraId="733C3A9F" w14:textId="54AA632A" w:rsidR="00E05820" w:rsidRPr="00564B0F" w:rsidRDefault="001A540E" w:rsidP="00CF231D">
      <w:pPr>
        <w:pStyle w:val="ParaNum"/>
        <w:widowControl/>
      </w:pPr>
      <w:r w:rsidRPr="00564B0F">
        <w:rPr>
          <w:i/>
        </w:rPr>
        <w:t>Comments.</w:t>
      </w:r>
      <w:r w:rsidR="00E05820" w:rsidRPr="00564B0F">
        <w:rPr>
          <w:i/>
        </w:rPr>
        <w:t xml:space="preserve">  </w:t>
      </w:r>
      <w:r w:rsidR="00D32E67" w:rsidRPr="00564B0F">
        <w:t>No party oppose</w:t>
      </w:r>
      <w:r w:rsidR="00353512">
        <w:t>s</w:t>
      </w:r>
      <w:r w:rsidR="00D32E67" w:rsidRPr="00564B0F">
        <w:t xml:space="preserve"> a shot clock</w:t>
      </w:r>
      <w:r w:rsidR="00353512">
        <w:t>, and m</w:t>
      </w:r>
      <w:r w:rsidR="002E2E81" w:rsidRPr="00564B0F">
        <w:t xml:space="preserve">ost </w:t>
      </w:r>
      <w:r w:rsidR="0088418A" w:rsidRPr="00564B0F">
        <w:t xml:space="preserve">commenters </w:t>
      </w:r>
      <w:r w:rsidR="002E2E81" w:rsidRPr="00564B0F">
        <w:t xml:space="preserve">that address the issue </w:t>
      </w:r>
      <w:r w:rsidR="0088418A" w:rsidRPr="00564B0F">
        <w:t>support a 90-day shot clock</w:t>
      </w:r>
      <w:r w:rsidR="00F70B30" w:rsidRPr="00564B0F">
        <w:t>,</w:t>
      </w:r>
      <w:r w:rsidR="0088418A" w:rsidRPr="00564B0F">
        <w:rPr>
          <w:rStyle w:val="FootnoteReference"/>
        </w:rPr>
        <w:footnoteReference w:id="99"/>
      </w:r>
      <w:r w:rsidR="0088418A" w:rsidRPr="00564B0F">
        <w:t xml:space="preserve"> </w:t>
      </w:r>
      <w:r w:rsidR="002E2E81" w:rsidRPr="00564B0F">
        <w:t xml:space="preserve">although one party supports setting the </w:t>
      </w:r>
      <w:r w:rsidR="00D814CC" w:rsidRPr="00564B0F">
        <w:t>shot clock a</w:t>
      </w:r>
      <w:r w:rsidR="002E2E81" w:rsidRPr="00564B0F">
        <w:t>t</w:t>
      </w:r>
      <w:r w:rsidR="00D814CC" w:rsidRPr="00564B0F">
        <w:t xml:space="preserve"> </w:t>
      </w:r>
      <w:r w:rsidR="007B7746">
        <w:t>10</w:t>
      </w:r>
      <w:r w:rsidR="00D814CC" w:rsidRPr="00564B0F">
        <w:t xml:space="preserve"> </w:t>
      </w:r>
      <w:r w:rsidR="002563F6">
        <w:t>business</w:t>
      </w:r>
      <w:r w:rsidR="002563F6" w:rsidRPr="00564B0F">
        <w:t xml:space="preserve"> </w:t>
      </w:r>
      <w:r w:rsidR="00D814CC" w:rsidRPr="00564B0F">
        <w:t>days</w:t>
      </w:r>
      <w:r w:rsidR="002E2E81" w:rsidRPr="00564B0F">
        <w:t>.</w:t>
      </w:r>
      <w:r w:rsidR="00D814CC" w:rsidRPr="00564B0F">
        <w:rPr>
          <w:rStyle w:val="FootnoteReference"/>
        </w:rPr>
        <w:footnoteReference w:id="100"/>
      </w:r>
      <w:r w:rsidR="00D814CC" w:rsidRPr="00564B0F">
        <w:t xml:space="preserve"> </w:t>
      </w:r>
      <w:r w:rsidR="0088418A" w:rsidRPr="00564B0F">
        <w:t xml:space="preserve"> There is support for public notification of </w:t>
      </w:r>
      <w:r w:rsidR="00353512">
        <w:t xml:space="preserve">when </w:t>
      </w:r>
      <w:r w:rsidR="0088418A" w:rsidRPr="00564B0F">
        <w:t xml:space="preserve">the </w:t>
      </w:r>
      <w:r w:rsidR="00353512">
        <w:t xml:space="preserve">shot </w:t>
      </w:r>
      <w:r w:rsidR="0088418A" w:rsidRPr="00564B0F">
        <w:t>clock</w:t>
      </w:r>
      <w:r w:rsidR="00353512">
        <w:t xml:space="preserve"> commences</w:t>
      </w:r>
      <w:r w:rsidR="0088418A" w:rsidRPr="00564B0F">
        <w:rPr>
          <w:rStyle w:val="FootnoteReference"/>
        </w:rPr>
        <w:footnoteReference w:id="101"/>
      </w:r>
      <w:r w:rsidR="0088418A" w:rsidRPr="00564B0F">
        <w:t xml:space="preserve"> as well as only notifying the states that the clock has started.</w:t>
      </w:r>
      <w:r w:rsidR="0088418A" w:rsidRPr="00564B0F">
        <w:rPr>
          <w:rStyle w:val="FootnoteReference"/>
        </w:rPr>
        <w:footnoteReference w:id="102"/>
      </w:r>
      <w:r w:rsidR="0088418A" w:rsidRPr="00564B0F">
        <w:t xml:space="preserve">  </w:t>
      </w:r>
      <w:r w:rsidR="005324D6">
        <w:t xml:space="preserve">Some commenters support </w:t>
      </w:r>
      <w:r w:rsidR="00AB58D9" w:rsidRPr="00564B0F">
        <w:t>firm deadlines</w:t>
      </w:r>
      <w:r w:rsidR="005A13C5" w:rsidRPr="00564B0F">
        <w:t>, with no ability for the Commission to suspend or pause the clock</w:t>
      </w:r>
      <w:r w:rsidR="005324D6">
        <w:t>.</w:t>
      </w:r>
      <w:r w:rsidR="00AB58D9" w:rsidRPr="00564B0F">
        <w:rPr>
          <w:rStyle w:val="FootnoteReference"/>
        </w:rPr>
        <w:footnoteReference w:id="103"/>
      </w:r>
      <w:r w:rsidR="0088418A" w:rsidRPr="00564B0F">
        <w:t xml:space="preserve"> </w:t>
      </w:r>
      <w:r w:rsidR="00CB438A">
        <w:t xml:space="preserve"> </w:t>
      </w:r>
      <w:r w:rsidR="005324D6">
        <w:t>Other commenters</w:t>
      </w:r>
      <w:r w:rsidR="0088418A" w:rsidRPr="00564B0F">
        <w:t xml:space="preserve"> </w:t>
      </w:r>
      <w:r w:rsidR="005324D6">
        <w:t xml:space="preserve">advocate allowing the Commission to </w:t>
      </w:r>
      <w:r w:rsidR="005A13C5" w:rsidRPr="00564B0F">
        <w:t>suspen</w:t>
      </w:r>
      <w:r w:rsidR="005324D6">
        <w:t xml:space="preserve">d </w:t>
      </w:r>
      <w:r w:rsidR="005A13C5" w:rsidRPr="00564B0F">
        <w:t xml:space="preserve">the clock </w:t>
      </w:r>
      <w:r w:rsidR="005324D6">
        <w:t xml:space="preserve">so that it can </w:t>
      </w:r>
      <w:r w:rsidR="005A13C5" w:rsidRPr="00564B0F">
        <w:t>address issues or questions arising from the alternative plan</w:t>
      </w:r>
      <w:r w:rsidR="00FB168E" w:rsidRPr="00564B0F">
        <w:t>,</w:t>
      </w:r>
      <w:r w:rsidR="00AB58D9" w:rsidRPr="00564B0F">
        <w:rPr>
          <w:rStyle w:val="FootnoteReference"/>
        </w:rPr>
        <w:footnoteReference w:id="104"/>
      </w:r>
      <w:r w:rsidR="00CB438A">
        <w:t xml:space="preserve"> </w:t>
      </w:r>
      <w:r w:rsidR="005324D6">
        <w:t xml:space="preserve">although some would </w:t>
      </w:r>
      <w:r w:rsidR="00FB168E" w:rsidRPr="00564B0F">
        <w:t>allow suspen</w:t>
      </w:r>
      <w:r w:rsidR="005324D6">
        <w:t xml:space="preserve">sion </w:t>
      </w:r>
      <w:r w:rsidR="00FB168E" w:rsidRPr="00564B0F">
        <w:t xml:space="preserve">only </w:t>
      </w:r>
      <w:r w:rsidR="005324D6">
        <w:t xml:space="preserve">in </w:t>
      </w:r>
      <w:r w:rsidR="00FB168E" w:rsidRPr="00564B0F">
        <w:t>national, regional</w:t>
      </w:r>
      <w:r w:rsidR="00CB438A">
        <w:t>,</w:t>
      </w:r>
      <w:r w:rsidR="00FB168E" w:rsidRPr="00564B0F">
        <w:t xml:space="preserve"> or state level declared emergency situations, not </w:t>
      </w:r>
      <w:r w:rsidR="005324D6">
        <w:t xml:space="preserve">in instances where the </w:t>
      </w:r>
      <w:r w:rsidR="00FB168E" w:rsidRPr="00564B0F">
        <w:t xml:space="preserve">“urgency” </w:t>
      </w:r>
      <w:r w:rsidR="005324D6">
        <w:t xml:space="preserve">is </w:t>
      </w:r>
      <w:r w:rsidR="00FB168E" w:rsidRPr="00564B0F">
        <w:t>caused by lack</w:t>
      </w:r>
      <w:r w:rsidR="000A673F" w:rsidRPr="00564B0F">
        <w:t xml:space="preserve"> </w:t>
      </w:r>
      <w:r w:rsidR="00FB168E" w:rsidRPr="00564B0F">
        <w:t>of staffing or planning.</w:t>
      </w:r>
      <w:r w:rsidR="00FB168E" w:rsidRPr="00564B0F">
        <w:rPr>
          <w:rStyle w:val="FootnoteReference"/>
        </w:rPr>
        <w:footnoteReference w:id="105"/>
      </w:r>
    </w:p>
    <w:p w14:paraId="471DEF4A" w14:textId="6D5DC398" w:rsidR="00832F34" w:rsidRDefault="00244826" w:rsidP="00244826">
      <w:pPr>
        <w:pStyle w:val="ParaNum"/>
      </w:pPr>
      <w:r w:rsidRPr="008640CF">
        <w:rPr>
          <w:i/>
        </w:rPr>
        <w:t>Decision.</w:t>
      </w:r>
      <w:r w:rsidRPr="00564B0F">
        <w:t xml:space="preserve"> </w:t>
      </w:r>
      <w:r w:rsidR="001542EE" w:rsidRPr="00564B0F">
        <w:t xml:space="preserve"> </w:t>
      </w:r>
      <w:r w:rsidR="00832F34">
        <w:t xml:space="preserve">While there is no requirement that the Commission place a shot clock </w:t>
      </w:r>
      <w:r w:rsidR="007B7746">
        <w:t>o</w:t>
      </w:r>
      <w:r w:rsidR="00832F34">
        <w:t>n itself for action, w</w:t>
      </w:r>
      <w:r w:rsidR="001542EE" w:rsidRPr="00564B0F">
        <w:t xml:space="preserve">e </w:t>
      </w:r>
      <w:r w:rsidR="00832F34">
        <w:t xml:space="preserve">find it appropriate to </w:t>
      </w:r>
      <w:r w:rsidRPr="00564B0F">
        <w:t>establish a</w:t>
      </w:r>
      <w:r w:rsidR="007B7746">
        <w:t xml:space="preserve"> </w:t>
      </w:r>
      <w:r w:rsidR="002C1CC1">
        <w:t>90</w:t>
      </w:r>
      <w:r w:rsidR="007B7746">
        <w:t xml:space="preserve">-day </w:t>
      </w:r>
      <w:r w:rsidRPr="00564B0F">
        <w:t>aspirational shot clock</w:t>
      </w:r>
      <w:r w:rsidR="009A7031" w:rsidRPr="00564B0F">
        <w:t xml:space="preserve"> </w:t>
      </w:r>
      <w:r w:rsidR="00DE00C9">
        <w:t>for Commission action</w:t>
      </w:r>
      <w:r w:rsidR="003B6BC6">
        <w:t>,</w:t>
      </w:r>
      <w:r w:rsidR="00DE00C9">
        <w:t xml:space="preserve"> </w:t>
      </w:r>
      <w:r w:rsidR="009A7031" w:rsidRPr="00564B0F">
        <w:t xml:space="preserve">which will start upon </w:t>
      </w:r>
      <w:r w:rsidR="00BE5ADF" w:rsidRPr="00564B0F">
        <w:t>issuance of the “accepted for filing” public notice</w:t>
      </w:r>
      <w:r w:rsidR="00DE00C9">
        <w:t xml:space="preserve"> </w:t>
      </w:r>
      <w:r w:rsidR="003B6BC6">
        <w:t>for each alternative plan</w:t>
      </w:r>
      <w:r w:rsidR="007B7746">
        <w:t>.</w:t>
      </w:r>
      <w:r w:rsidR="00081433" w:rsidRPr="00564B0F">
        <w:t xml:space="preserve">  </w:t>
      </w:r>
      <w:r w:rsidR="00DE00C9">
        <w:t>Th</w:t>
      </w:r>
      <w:r w:rsidR="003B6BC6">
        <w:t xml:space="preserve">e </w:t>
      </w:r>
      <w:r w:rsidR="002C1CC1">
        <w:t>90</w:t>
      </w:r>
      <w:r w:rsidR="003B6BC6">
        <w:t xml:space="preserve">-day shot clock </w:t>
      </w:r>
      <w:r w:rsidR="00DE00C9">
        <w:t xml:space="preserve">will </w:t>
      </w:r>
      <w:r w:rsidR="007B7746">
        <w:t>establish</w:t>
      </w:r>
      <w:r w:rsidR="00DE00C9">
        <w:t xml:space="preserve"> clear expectations for the Commission and for the parties involved </w:t>
      </w:r>
      <w:r w:rsidR="00832F34">
        <w:t>to encourage</w:t>
      </w:r>
      <w:r w:rsidR="00DE00C9">
        <w:t xml:space="preserve"> prompt action</w:t>
      </w:r>
      <w:r w:rsidR="00832F34">
        <w:t xml:space="preserve"> and avoid delay</w:t>
      </w:r>
      <w:r w:rsidR="00DE00C9">
        <w:t xml:space="preserve">. </w:t>
      </w:r>
      <w:r w:rsidR="006A0156">
        <w:t xml:space="preserve"> </w:t>
      </w:r>
      <w:r w:rsidR="007B7746">
        <w:t>W</w:t>
      </w:r>
      <w:r w:rsidR="00832F34">
        <w:t xml:space="preserve">e </w:t>
      </w:r>
      <w:r w:rsidR="007B7746">
        <w:t>do not agree with</w:t>
      </w:r>
      <w:r w:rsidR="00832F34">
        <w:t xml:space="preserve"> th</w:t>
      </w:r>
      <w:r w:rsidR="007B7746">
        <w:t xml:space="preserve">e </w:t>
      </w:r>
      <w:r w:rsidR="00832F34">
        <w:t>suggesti</w:t>
      </w:r>
      <w:r w:rsidR="007B7746">
        <w:t xml:space="preserve">on that </w:t>
      </w:r>
      <w:r w:rsidR="00832F34">
        <w:t xml:space="preserve">the Commission </w:t>
      </w:r>
      <w:r w:rsidR="003B6BC6">
        <w:t xml:space="preserve">establish a much shorter shot clock that would require a decision </w:t>
      </w:r>
      <w:r w:rsidR="00832F34">
        <w:t>within 10 business days</w:t>
      </w:r>
      <w:r w:rsidR="003B6BC6">
        <w:t xml:space="preserve">.  This </w:t>
      </w:r>
      <w:r w:rsidR="00832F34">
        <w:t>underestimate</w:t>
      </w:r>
      <w:r w:rsidR="007B7746">
        <w:t>s</w:t>
      </w:r>
      <w:r w:rsidR="00832F34">
        <w:t xml:space="preserve"> the potential complexity of these technical filings</w:t>
      </w:r>
      <w:r w:rsidR="003B6BC6">
        <w:t xml:space="preserve">, could </w:t>
      </w:r>
      <w:r w:rsidR="00832F34">
        <w:t xml:space="preserve">inhibit the Commission’s ability to evaluate </w:t>
      </w:r>
      <w:r w:rsidR="00471579">
        <w:t xml:space="preserve">fully </w:t>
      </w:r>
      <w:r w:rsidR="00832F34">
        <w:t>all material relevant to a decision, and would clearly impede the ability of the Commission, NTIA</w:t>
      </w:r>
      <w:r w:rsidR="006A0156">
        <w:t>,</w:t>
      </w:r>
      <w:r w:rsidR="00832F34">
        <w:t xml:space="preserve"> and FirstNet to consider the application and for the state to respond to any concerns.  </w:t>
      </w:r>
    </w:p>
    <w:p w14:paraId="37AA5F3E" w14:textId="2F54E68F" w:rsidR="00244826" w:rsidRPr="00564B0F" w:rsidRDefault="006A0156" w:rsidP="00244826">
      <w:pPr>
        <w:pStyle w:val="ParaNum"/>
      </w:pPr>
      <w:r>
        <w:t xml:space="preserve">Although </w:t>
      </w:r>
      <w:r w:rsidR="003B6BC6">
        <w:t xml:space="preserve">the shot clock is aspirational, we intend to apply it in the ordinary course and only anticipate </w:t>
      </w:r>
      <w:r w:rsidR="001542EE" w:rsidRPr="00564B0F">
        <w:t>suspend</w:t>
      </w:r>
      <w:r w:rsidR="003B6BC6">
        <w:t xml:space="preserve">ing it </w:t>
      </w:r>
      <w:r w:rsidR="001542EE" w:rsidRPr="00564B0F">
        <w:t>under special circumstances</w:t>
      </w:r>
      <w:r w:rsidR="00FB168E" w:rsidRPr="00564B0F">
        <w:t>, such as a national, state</w:t>
      </w:r>
      <w:r w:rsidR="001B410C">
        <w:t>,</w:t>
      </w:r>
      <w:r w:rsidR="00FB168E" w:rsidRPr="00564B0F">
        <w:t xml:space="preserve"> or local emergency that requires </w:t>
      </w:r>
      <w:r w:rsidR="003B6BC6">
        <w:t xml:space="preserve">diversion of Commission </w:t>
      </w:r>
      <w:r w:rsidR="00FB168E" w:rsidRPr="00564B0F">
        <w:t xml:space="preserve">staff </w:t>
      </w:r>
      <w:r w:rsidR="003B6BC6">
        <w:t xml:space="preserve">resources </w:t>
      </w:r>
      <w:r w:rsidR="00FB168E" w:rsidRPr="00564B0F">
        <w:t>to address the situation</w:t>
      </w:r>
      <w:r w:rsidR="001542EE" w:rsidRPr="00564B0F">
        <w:t xml:space="preserve">.  </w:t>
      </w:r>
      <w:r w:rsidR="003D0251">
        <w:t>W</w:t>
      </w:r>
      <w:r w:rsidR="00C84F1C">
        <w:t xml:space="preserve">e reject </w:t>
      </w:r>
      <w:r w:rsidR="003D0251">
        <w:t xml:space="preserve">the suggestion </w:t>
      </w:r>
      <w:r w:rsidR="00C84F1C">
        <w:t xml:space="preserve">that </w:t>
      </w:r>
      <w:r w:rsidR="003D0251">
        <w:t xml:space="preserve">no suspension of </w:t>
      </w:r>
      <w:r w:rsidR="00C84F1C">
        <w:t xml:space="preserve">the shot clock </w:t>
      </w:r>
      <w:r w:rsidR="003D0251">
        <w:t xml:space="preserve">should be allowed.  </w:t>
      </w:r>
      <w:r w:rsidR="00C84F1C">
        <w:t>To do so would tie the Commission’s hands in times of crisis</w:t>
      </w:r>
      <w:r w:rsidR="00D725F1">
        <w:t xml:space="preserve"> with respect to allocation of resources</w:t>
      </w:r>
      <w:r w:rsidR="00C84F1C">
        <w:t xml:space="preserve">, which is clearly contrary to the public interest.  </w:t>
      </w:r>
      <w:r w:rsidR="001542EE" w:rsidRPr="00564B0F">
        <w:t xml:space="preserve">We also </w:t>
      </w:r>
      <w:r w:rsidR="005A13C5" w:rsidRPr="00564B0F">
        <w:t xml:space="preserve">disagree with APCO and Florida and </w:t>
      </w:r>
      <w:r w:rsidR="001542EE" w:rsidRPr="00564B0F">
        <w:t xml:space="preserve">decline to impose </w:t>
      </w:r>
      <w:r w:rsidR="00244826" w:rsidRPr="00564B0F">
        <w:t>a default “consequence” (</w:t>
      </w:r>
      <w:r w:rsidR="00244826" w:rsidRPr="008640CF">
        <w:rPr>
          <w:i/>
        </w:rPr>
        <w:t>i.e</w:t>
      </w:r>
      <w:r w:rsidR="00244826" w:rsidRPr="00564B0F">
        <w:t xml:space="preserve">., </w:t>
      </w:r>
      <w:r w:rsidR="00883502">
        <w:t xml:space="preserve">either </w:t>
      </w:r>
      <w:r w:rsidR="00244826" w:rsidRPr="00564B0F">
        <w:t xml:space="preserve">automatic approval or </w:t>
      </w:r>
      <w:r w:rsidR="00883502">
        <w:t>automatic disapproval</w:t>
      </w:r>
      <w:r w:rsidR="00244826" w:rsidRPr="00564B0F">
        <w:t xml:space="preserve">) if the </w:t>
      </w:r>
      <w:r w:rsidR="00DF4EAA" w:rsidRPr="00564B0F">
        <w:t>Commission exceeds it</w:t>
      </w:r>
      <w:r w:rsidR="000A673F" w:rsidRPr="00564B0F">
        <w:t>s</w:t>
      </w:r>
      <w:r w:rsidR="00DF4EAA" w:rsidRPr="00564B0F">
        <w:t xml:space="preserve"> self-imposed deadline</w:t>
      </w:r>
      <w:r w:rsidR="00244826" w:rsidRPr="00564B0F">
        <w:t>.</w:t>
      </w:r>
      <w:r w:rsidR="005A13C5" w:rsidRPr="00564B0F">
        <w:rPr>
          <w:rStyle w:val="FootnoteReference"/>
        </w:rPr>
        <w:footnoteReference w:id="106"/>
      </w:r>
      <w:r w:rsidR="00244826" w:rsidRPr="00564B0F">
        <w:t xml:space="preserve">  </w:t>
      </w:r>
      <w:r w:rsidR="003D0251">
        <w:t>E</w:t>
      </w:r>
      <w:r w:rsidR="00DE00C9">
        <w:t xml:space="preserve">stablishing such a consequence would be contrary to the </w:t>
      </w:r>
      <w:r w:rsidR="003D0251">
        <w:t xml:space="preserve">Act, which </w:t>
      </w:r>
      <w:r w:rsidR="00DE00C9">
        <w:t>requir</w:t>
      </w:r>
      <w:r w:rsidR="003D0251">
        <w:t>es</w:t>
      </w:r>
      <w:r w:rsidR="00DE00C9">
        <w:t xml:space="preserve"> affirmative action by the Commission,</w:t>
      </w:r>
      <w:r w:rsidR="00DE00C9">
        <w:rPr>
          <w:rStyle w:val="FootnoteReference"/>
        </w:rPr>
        <w:footnoteReference w:id="107"/>
      </w:r>
      <w:r w:rsidR="00452336">
        <w:t xml:space="preserve"> and </w:t>
      </w:r>
      <w:r w:rsidR="003D0251">
        <w:t xml:space="preserve">automatic approval of a plan triggered by exceeding the shot clock </w:t>
      </w:r>
      <w:r w:rsidR="00452336">
        <w:t xml:space="preserve">would risk </w:t>
      </w:r>
      <w:r w:rsidR="003D0251">
        <w:t xml:space="preserve">allowing </w:t>
      </w:r>
      <w:r w:rsidR="00452336">
        <w:t>the construction of a non-interoperable state RAN</w:t>
      </w:r>
      <w:r>
        <w:t>—</w:t>
      </w:r>
      <w:r w:rsidR="00452336">
        <w:t>an outcome clearly at odds with the intent of the Act.</w:t>
      </w:r>
      <w:r w:rsidR="00DE00C9">
        <w:t xml:space="preserve"> </w:t>
      </w:r>
      <w:r>
        <w:t xml:space="preserve"> </w:t>
      </w:r>
      <w:r w:rsidR="001542EE" w:rsidRPr="00564B0F">
        <w:t xml:space="preserve">Since these opt-out evaluations are unique </w:t>
      </w:r>
      <w:r w:rsidR="00244826" w:rsidRPr="00564B0F">
        <w:t>proceedings</w:t>
      </w:r>
      <w:r w:rsidR="003D0251">
        <w:t>,</w:t>
      </w:r>
      <w:r w:rsidR="00244826" w:rsidRPr="00564B0F">
        <w:t xml:space="preserve"> </w:t>
      </w:r>
      <w:r w:rsidR="001542EE" w:rsidRPr="00564B0F">
        <w:t xml:space="preserve">we </w:t>
      </w:r>
      <w:r w:rsidR="00251722" w:rsidRPr="00564B0F">
        <w:t xml:space="preserve">believe our decision </w:t>
      </w:r>
      <w:r w:rsidR="00244826" w:rsidRPr="00564B0F">
        <w:t>balance</w:t>
      </w:r>
      <w:r w:rsidR="00251722" w:rsidRPr="00564B0F">
        <w:t>s the need for</w:t>
      </w:r>
      <w:r w:rsidR="00244826" w:rsidRPr="00564B0F">
        <w:t xml:space="preserve"> thoroughness with speed</w:t>
      </w:r>
      <w:r w:rsidR="001D58C8" w:rsidRPr="00564B0F">
        <w:t>, while ensuring that the Commission hear and evaluate all evidence pertinent and material to its decision</w:t>
      </w:r>
      <w:r w:rsidR="00244826" w:rsidRPr="00564B0F">
        <w:t>.</w:t>
      </w:r>
      <w:r w:rsidR="001D58C8" w:rsidRPr="00564B0F">
        <w:rPr>
          <w:rStyle w:val="FootnoteReference"/>
        </w:rPr>
        <w:footnoteReference w:id="108"/>
      </w:r>
      <w:r w:rsidR="00244826" w:rsidRPr="00564B0F">
        <w:t xml:space="preserve"> </w:t>
      </w:r>
    </w:p>
    <w:p w14:paraId="6D01DA96" w14:textId="34174465" w:rsidR="00254DAB" w:rsidRPr="00564B0F" w:rsidRDefault="00254DAB" w:rsidP="00254DAB">
      <w:pPr>
        <w:pStyle w:val="Heading3"/>
      </w:pPr>
      <w:bookmarkStart w:id="41" w:name="_Toc482780155"/>
      <w:bookmarkStart w:id="42" w:name="_Toc482780372"/>
      <w:bookmarkStart w:id="43" w:name="_Toc483919390"/>
      <w:bookmarkStart w:id="44" w:name="_Toc485821093"/>
      <w:r w:rsidRPr="00564B0F">
        <w:t>Scope of Review</w:t>
      </w:r>
      <w:bookmarkEnd w:id="41"/>
      <w:bookmarkEnd w:id="42"/>
      <w:bookmarkEnd w:id="43"/>
      <w:bookmarkEnd w:id="44"/>
    </w:p>
    <w:p w14:paraId="042CE2E8" w14:textId="6F813C71" w:rsidR="00B56BCC" w:rsidRPr="00564B0F" w:rsidRDefault="005620FA" w:rsidP="00E94877">
      <w:pPr>
        <w:pStyle w:val="ParaNum"/>
        <w:widowControl/>
      </w:pPr>
      <w:r w:rsidRPr="00564B0F">
        <w:rPr>
          <w:i/>
        </w:rPr>
        <w:t xml:space="preserve">NPRM.  </w:t>
      </w:r>
      <w:r w:rsidR="00E94877">
        <w:t xml:space="preserve">In the </w:t>
      </w:r>
      <w:r w:rsidR="00E94877" w:rsidRPr="00E90896">
        <w:rPr>
          <w:i/>
        </w:rPr>
        <w:t>NPRM</w:t>
      </w:r>
      <w:r w:rsidR="003069B8">
        <w:t>,</w:t>
      </w:r>
      <w:r w:rsidR="0060197F">
        <w:t xml:space="preserve"> t</w:t>
      </w:r>
      <w:r w:rsidR="004C166C" w:rsidRPr="00564B0F">
        <w:t>he Commission</w:t>
      </w:r>
      <w:r w:rsidR="00B56BCC" w:rsidRPr="00564B0F">
        <w:t xml:space="preserve"> propo</w:t>
      </w:r>
      <w:r w:rsidR="00AE4B9E" w:rsidRPr="00564B0F">
        <w:t>s</w:t>
      </w:r>
      <w:r w:rsidR="00B56BCC" w:rsidRPr="00564B0F">
        <w:t>e</w:t>
      </w:r>
      <w:r w:rsidR="00AE4B9E" w:rsidRPr="00564B0F">
        <w:t>d</w:t>
      </w:r>
      <w:r w:rsidR="00B56BCC" w:rsidRPr="00564B0F">
        <w:t xml:space="preserve"> </w:t>
      </w:r>
      <w:r w:rsidR="00AE4B9E" w:rsidRPr="00564B0F">
        <w:t xml:space="preserve">limiting </w:t>
      </w:r>
      <w:r w:rsidR="004C166C" w:rsidRPr="00564B0F">
        <w:t>its</w:t>
      </w:r>
      <w:r w:rsidR="00AE4B9E" w:rsidRPr="00564B0F">
        <w:t xml:space="preserve"> </w:t>
      </w:r>
      <w:r w:rsidR="00B56BCC" w:rsidRPr="00564B0F">
        <w:t>evaluation of the opt-out states’ alternative plans to the RAN</w:t>
      </w:r>
      <w:r w:rsidR="00AE4B9E" w:rsidRPr="00564B0F">
        <w:t>, which</w:t>
      </w:r>
      <w:r w:rsidR="00B56BCC" w:rsidRPr="00564B0F">
        <w:t xml:space="preserve"> the Act defines </w:t>
      </w:r>
      <w:r w:rsidR="00AE4B9E" w:rsidRPr="00564B0F">
        <w:t xml:space="preserve">as </w:t>
      </w:r>
      <w:r w:rsidR="00B56BCC" w:rsidRPr="00564B0F">
        <w:t>consist</w:t>
      </w:r>
      <w:r w:rsidR="00AE4B9E" w:rsidRPr="00564B0F">
        <w:t>ing</w:t>
      </w:r>
      <w:r w:rsidR="00B56BCC" w:rsidRPr="00564B0F">
        <w:t xml:space="preserve"> of “all the cell site equipment, antennas, and backhaul equipment, based on commercial standards, </w:t>
      </w:r>
      <w:r w:rsidR="00471579">
        <w:t>which</w:t>
      </w:r>
      <w:r w:rsidR="00471579" w:rsidRPr="00564B0F">
        <w:t xml:space="preserve"> </w:t>
      </w:r>
      <w:r w:rsidR="00B56BCC" w:rsidRPr="00564B0F">
        <w:t>are required to enable wireless communications with devices using the public safety broadband spectrum.”</w:t>
      </w:r>
      <w:r w:rsidR="00AE4B9E" w:rsidRPr="00564B0F">
        <w:rPr>
          <w:rStyle w:val="FootnoteReference"/>
        </w:rPr>
        <w:footnoteReference w:id="109"/>
      </w:r>
      <w:r w:rsidR="00B56BCC" w:rsidRPr="00564B0F">
        <w:t xml:space="preserve">  </w:t>
      </w:r>
      <w:r w:rsidR="004C166C" w:rsidRPr="00564B0F">
        <w:t>The Commission</w:t>
      </w:r>
      <w:r w:rsidR="00AE4B9E" w:rsidRPr="00564B0F">
        <w:t xml:space="preserve"> noted that </w:t>
      </w:r>
      <w:r w:rsidR="00B56BCC" w:rsidRPr="00564B0F">
        <w:t>FirstNet interpreted this definition to include “standard E-UTRAN elements (</w:t>
      </w:r>
      <w:r w:rsidR="00B56BCC" w:rsidRPr="00564B0F">
        <w:rPr>
          <w:i/>
        </w:rPr>
        <w:t>e.g.,</w:t>
      </w:r>
      <w:r w:rsidR="00B56BCC" w:rsidRPr="00564B0F">
        <w:t xml:space="preserve"> the eNodeB) and including, but not limited to, backhaul to FirstNet designated consolidation points”</w:t>
      </w:r>
      <w:r w:rsidR="00AE4B9E" w:rsidRPr="00564B0F">
        <w:t xml:space="preserve"> and sought</w:t>
      </w:r>
      <w:r w:rsidR="00B56BCC" w:rsidRPr="00564B0F">
        <w:t xml:space="preserve"> comment on how to apply this RAN definition in </w:t>
      </w:r>
      <w:r w:rsidR="004C166C" w:rsidRPr="00564B0F">
        <w:t>its</w:t>
      </w:r>
      <w:r w:rsidR="00B56BCC" w:rsidRPr="00564B0F">
        <w:t xml:space="preserve"> analysis and whether there are any elements of the definition that should not be considered as part of the Commission’s interoperability review.</w:t>
      </w:r>
      <w:r w:rsidR="00AE4B9E" w:rsidRPr="00564B0F">
        <w:rPr>
          <w:rStyle w:val="FootnoteReference"/>
        </w:rPr>
        <w:footnoteReference w:id="110"/>
      </w:r>
      <w:r w:rsidR="00B56BCC" w:rsidRPr="00564B0F">
        <w:t xml:space="preserve"> </w:t>
      </w:r>
    </w:p>
    <w:p w14:paraId="4468C742" w14:textId="222EA17D" w:rsidR="00B56BCC" w:rsidRPr="00564B0F" w:rsidRDefault="004C166C" w:rsidP="009440CE">
      <w:pPr>
        <w:pStyle w:val="ParaNum"/>
        <w:widowControl/>
      </w:pPr>
      <w:r w:rsidRPr="00564B0F">
        <w:t>The Commission</w:t>
      </w:r>
      <w:r w:rsidR="00B56BCC" w:rsidRPr="00564B0F">
        <w:t xml:space="preserve"> also </w:t>
      </w:r>
      <w:r w:rsidR="00B1614F" w:rsidRPr="00564B0F">
        <w:t xml:space="preserve">sought comment on </w:t>
      </w:r>
      <w:r w:rsidRPr="00564B0F">
        <w:t>its</w:t>
      </w:r>
      <w:r w:rsidR="00B1614F" w:rsidRPr="00564B0F">
        <w:t xml:space="preserve"> </w:t>
      </w:r>
      <w:r w:rsidR="00B56BCC" w:rsidRPr="00564B0F">
        <w:t>propos</w:t>
      </w:r>
      <w:r w:rsidR="00B1614F" w:rsidRPr="00564B0F">
        <w:t xml:space="preserve">al </w:t>
      </w:r>
      <w:r w:rsidR="00B56BCC" w:rsidRPr="00564B0F">
        <w:t xml:space="preserve">to exclude certain components of the NSPBN from review because </w:t>
      </w:r>
      <w:r w:rsidRPr="00564B0F">
        <w:t>the Commission</w:t>
      </w:r>
      <w:r w:rsidR="00B56BCC" w:rsidRPr="00564B0F">
        <w:t xml:space="preserve"> regard</w:t>
      </w:r>
      <w:r w:rsidR="00552342" w:rsidRPr="00564B0F">
        <w:t>ed</w:t>
      </w:r>
      <w:r w:rsidR="00B56BCC" w:rsidRPr="00564B0F">
        <w:t xml:space="preserve"> them as not included within the statutory definition of RAN as interpreted by FirstNet</w:t>
      </w:r>
      <w:r w:rsidR="00B1614F" w:rsidRPr="00564B0F">
        <w:t>, specifically noting</w:t>
      </w:r>
      <w:r w:rsidR="00B56BCC" w:rsidRPr="00564B0F">
        <w:t xml:space="preserve"> </w:t>
      </w:r>
      <w:r w:rsidR="00552342" w:rsidRPr="00564B0F">
        <w:t xml:space="preserve">exclusion of </w:t>
      </w:r>
      <w:r w:rsidR="00B56BCC" w:rsidRPr="00564B0F">
        <w:t xml:space="preserve">user equipment (UE) </w:t>
      </w:r>
      <w:r w:rsidR="008A444D" w:rsidRPr="00564B0F">
        <w:t xml:space="preserve">and </w:t>
      </w:r>
      <w:r w:rsidR="00B56BCC" w:rsidRPr="00564B0F">
        <w:t>application</w:t>
      </w:r>
      <w:r w:rsidR="008A444D" w:rsidRPr="00564B0F">
        <w:t>s</w:t>
      </w:r>
      <w:r w:rsidR="00552342" w:rsidRPr="00564B0F">
        <w:t xml:space="preserve"> from Commission consideration</w:t>
      </w:r>
      <w:r w:rsidR="008A444D" w:rsidRPr="00564B0F">
        <w:t>.</w:t>
      </w:r>
      <w:r w:rsidR="008A444D" w:rsidRPr="00564B0F">
        <w:rPr>
          <w:rStyle w:val="FootnoteReference"/>
        </w:rPr>
        <w:footnoteReference w:id="111"/>
      </w:r>
      <w:r w:rsidR="00786E09" w:rsidRPr="00564B0F">
        <w:t xml:space="preserve">  </w:t>
      </w:r>
    </w:p>
    <w:p w14:paraId="083238A2" w14:textId="3DBF9664" w:rsidR="005F70FC" w:rsidRPr="00564B0F" w:rsidRDefault="009D3561" w:rsidP="00E90896">
      <w:pPr>
        <w:pStyle w:val="ParaNum"/>
        <w:widowControl/>
      </w:pPr>
      <w:r w:rsidRPr="006A0156">
        <w:rPr>
          <w:i/>
        </w:rPr>
        <w:t xml:space="preserve">Comments. </w:t>
      </w:r>
      <w:r w:rsidR="006A0156">
        <w:t xml:space="preserve"> </w:t>
      </w:r>
      <w:r w:rsidR="005F70FC" w:rsidRPr="00564B0F">
        <w:t>Parties generally concur that the Commission should confine its evaluation of the alternative plans to the RAN</w:t>
      </w:r>
      <w:r w:rsidR="004C7307" w:rsidRPr="00564B0F">
        <w:t>.</w:t>
      </w:r>
      <w:r w:rsidR="005F70FC" w:rsidRPr="00564B0F">
        <w:rPr>
          <w:rStyle w:val="FootnoteReference"/>
        </w:rPr>
        <w:footnoteReference w:id="112"/>
      </w:r>
      <w:r w:rsidR="004C7307" w:rsidRPr="00564B0F">
        <w:t xml:space="preserve">  No party offered a definition of RAN diametrically opposed to the definition proposed by FirstNet.</w:t>
      </w:r>
      <w:r w:rsidR="004C7307" w:rsidRPr="00564B0F">
        <w:rPr>
          <w:rStyle w:val="FootnoteReference"/>
        </w:rPr>
        <w:footnoteReference w:id="113"/>
      </w:r>
      <w:r w:rsidR="004C7307" w:rsidRPr="00564B0F">
        <w:t xml:space="preserve">  Parties generally agreed with the Commission’s decision to limit its analysis to only those interoperability elements pertaining to the RAN and to exclude UE and application related interoperability considerations.</w:t>
      </w:r>
      <w:r w:rsidR="004C7307" w:rsidRPr="00564B0F">
        <w:rPr>
          <w:rStyle w:val="FootnoteReference"/>
        </w:rPr>
        <w:footnoteReference w:id="114"/>
      </w:r>
    </w:p>
    <w:p w14:paraId="6DD41D8C" w14:textId="0E8C75A8" w:rsidR="00E94877" w:rsidRPr="00564B0F" w:rsidRDefault="00251722" w:rsidP="00E94877">
      <w:pPr>
        <w:pStyle w:val="ParaNum"/>
      </w:pPr>
      <w:r w:rsidRPr="00564B0F">
        <w:rPr>
          <w:i/>
        </w:rPr>
        <w:t xml:space="preserve">Decision.  </w:t>
      </w:r>
      <w:r w:rsidR="00FE0CB9" w:rsidRPr="00564B0F">
        <w:t xml:space="preserve">We </w:t>
      </w:r>
      <w:r w:rsidR="00FB168E" w:rsidRPr="00564B0F">
        <w:t xml:space="preserve">adopt the proposal set out in the </w:t>
      </w:r>
      <w:r w:rsidR="00FB168E" w:rsidRPr="00564B0F">
        <w:rPr>
          <w:i/>
        </w:rPr>
        <w:t xml:space="preserve">NPRM </w:t>
      </w:r>
      <w:r w:rsidR="00FB168E" w:rsidRPr="00564B0F">
        <w:t xml:space="preserve">and </w:t>
      </w:r>
      <w:r w:rsidR="001D060B">
        <w:t xml:space="preserve">will </w:t>
      </w:r>
      <w:r w:rsidR="00FE0CB9" w:rsidRPr="00564B0F">
        <w:t>confine our review to the RAN</w:t>
      </w:r>
      <w:r w:rsidR="001D060B">
        <w:t xml:space="preserve"> elements of state alternative plans</w:t>
      </w:r>
      <w:r w:rsidR="00330BA9" w:rsidRPr="00564B0F">
        <w:t>,</w:t>
      </w:r>
      <w:r w:rsidR="00FE0CB9" w:rsidRPr="00564B0F">
        <w:t xml:space="preserve"> which we define as all the cell site equipment, antennas, and backhaul equipment, based on commercial standards, that are required to enable wireless communications with devices using the public safety broadband spectrum including standard E-UTRAN elements (</w:t>
      </w:r>
      <w:r w:rsidR="00FE0CB9" w:rsidRPr="00564B0F">
        <w:rPr>
          <w:i/>
        </w:rPr>
        <w:t>e.g.,</w:t>
      </w:r>
      <w:r w:rsidR="00FE0CB9" w:rsidRPr="00564B0F">
        <w:t xml:space="preserve"> the eNodeB) and including, but not limited to, backhaul to FirstNet designated consolidation points. </w:t>
      </w:r>
      <w:r w:rsidR="00A92C1E" w:rsidRPr="00564B0F">
        <w:t xml:space="preserve"> </w:t>
      </w:r>
      <w:r w:rsidR="00FE0CB9" w:rsidRPr="00564B0F">
        <w:t>Th</w:t>
      </w:r>
      <w:r w:rsidR="00A92C1E" w:rsidRPr="00564B0F">
        <w:t>us, we</w:t>
      </w:r>
      <w:r w:rsidRPr="00564B0F">
        <w:t xml:space="preserve"> will not examine </w:t>
      </w:r>
      <w:r w:rsidR="00BC2EDC">
        <w:t xml:space="preserve">plan elements pertaining to </w:t>
      </w:r>
      <w:r w:rsidRPr="00564B0F">
        <w:t xml:space="preserve">equipment or applications, or issues related to coverage/financing, </w:t>
      </w:r>
      <w:r w:rsidRPr="00F35E55">
        <w:t>etc</w:t>
      </w:r>
      <w:r w:rsidRPr="00564B0F">
        <w:t>.</w:t>
      </w:r>
      <w:r w:rsidR="00A92C1E" w:rsidRPr="00564B0F">
        <w:t xml:space="preserve">  T</w:t>
      </w:r>
      <w:r w:rsidR="00A92C1E" w:rsidRPr="003069B8">
        <w:t xml:space="preserve">hese elements are more appropriately the focus of NTIA’s </w:t>
      </w:r>
      <w:r w:rsidR="00BC2EDC" w:rsidRPr="003069B8">
        <w:t xml:space="preserve">subsequent </w:t>
      </w:r>
      <w:r w:rsidR="00A92C1E" w:rsidRPr="003069B8">
        <w:t>review of the plan</w:t>
      </w:r>
      <w:r w:rsidR="00F15C0C" w:rsidRPr="00F95A57">
        <w:t xml:space="preserve"> as directed by the</w:t>
      </w:r>
      <w:r w:rsidR="00F15C0C" w:rsidRPr="00564B0F">
        <w:t xml:space="preserve"> Act</w:t>
      </w:r>
      <w:r w:rsidR="00A92C1E" w:rsidRPr="00564B0F">
        <w:t>.</w:t>
      </w:r>
      <w:r w:rsidR="00666B6D" w:rsidRPr="00564B0F">
        <w:t xml:space="preserve">  </w:t>
      </w:r>
      <w:r w:rsidR="00E94877">
        <w:t xml:space="preserve">  </w:t>
      </w:r>
    </w:p>
    <w:p w14:paraId="0C4990ED" w14:textId="5DFB39DB" w:rsidR="005E245B" w:rsidRDefault="005E245B" w:rsidP="005E245B">
      <w:pPr>
        <w:pStyle w:val="Heading2"/>
      </w:pPr>
      <w:bookmarkStart w:id="45" w:name="_Toc482780156"/>
      <w:bookmarkStart w:id="46" w:name="_Toc482780373"/>
      <w:bookmarkStart w:id="47" w:name="_Toc483919391"/>
      <w:bookmarkStart w:id="48" w:name="_Toc485821094"/>
      <w:r w:rsidRPr="00564B0F">
        <w:t>Content and Review of State Plan Elements</w:t>
      </w:r>
      <w:bookmarkEnd w:id="45"/>
      <w:bookmarkEnd w:id="46"/>
      <w:bookmarkEnd w:id="47"/>
      <w:bookmarkEnd w:id="48"/>
    </w:p>
    <w:p w14:paraId="60B17106" w14:textId="24EDE15F" w:rsidR="00E94877" w:rsidRPr="00564B0F" w:rsidRDefault="00E94877" w:rsidP="00E94877">
      <w:pPr>
        <w:pStyle w:val="ParaNum"/>
        <w:widowControl/>
      </w:pPr>
      <w:r w:rsidRPr="00564B0F">
        <w:t xml:space="preserve">In the </w:t>
      </w:r>
      <w:r w:rsidRPr="00564B0F">
        <w:rPr>
          <w:i/>
        </w:rPr>
        <w:t>NPRM</w:t>
      </w:r>
      <w:r w:rsidR="003069B8">
        <w:t>,</w:t>
      </w:r>
      <w:r w:rsidRPr="00564B0F">
        <w:t xml:space="preserve"> the Commission tentatively concluded that Congress intended to limit the scope of Commission review to the</w:t>
      </w:r>
      <w:r w:rsidR="00786E09">
        <w:t xml:space="preserve"> two</w:t>
      </w:r>
      <w:r w:rsidRPr="00564B0F">
        <w:t xml:space="preserve"> specified elements of Section 6302(e)(3)(C)(i) of the Act, </w:t>
      </w:r>
      <w:r w:rsidRPr="00564B0F">
        <w:rPr>
          <w:i/>
        </w:rPr>
        <w:t>i.e.</w:t>
      </w:r>
      <w:r w:rsidRPr="00564B0F">
        <w:t>, compliance with the minimum technical interoperability requirements and interoperability with the nationwide public safety broadband network.</w:t>
      </w:r>
      <w:r w:rsidRPr="00564B0F">
        <w:rPr>
          <w:rStyle w:val="FootnoteReference"/>
        </w:rPr>
        <w:footnoteReference w:id="115"/>
      </w:r>
      <w:r w:rsidRPr="00564B0F">
        <w:t xml:space="preserve">  </w:t>
      </w:r>
    </w:p>
    <w:p w14:paraId="1249E825" w14:textId="77777777" w:rsidR="00E94877" w:rsidRPr="00564B0F" w:rsidRDefault="00E94877" w:rsidP="00E94877">
      <w:pPr>
        <w:pStyle w:val="ParaNum"/>
        <w:widowControl/>
      </w:pPr>
      <w:r w:rsidRPr="00564B0F">
        <w:t xml:space="preserve">The </w:t>
      </w:r>
      <w:r w:rsidRPr="00564B0F">
        <w:rPr>
          <w:i/>
        </w:rPr>
        <w:t xml:space="preserve">NPRM </w:t>
      </w:r>
      <w:r w:rsidRPr="00564B0F">
        <w:t>noted that the Commission’s review of opt-out requests is only the first step in a multi-step process and that states whose requests are approved by the Commission must go through additional review by NTIA and FirstNet.</w:t>
      </w:r>
      <w:r w:rsidRPr="00564B0F">
        <w:rPr>
          <w:rStyle w:val="FootnoteReference"/>
        </w:rPr>
        <w:footnoteReference w:id="116"/>
      </w:r>
      <w:r w:rsidRPr="00564B0F">
        <w:t xml:space="preserve">  The Commission also noted that NTIA will evaluate, </w:t>
      </w:r>
      <w:r w:rsidRPr="00564B0F">
        <w:rPr>
          <w:i/>
        </w:rPr>
        <w:t>inter alia,</w:t>
      </w:r>
      <w:r w:rsidRPr="00564B0F">
        <w:t xml:space="preserve"> a state’s ability to maintain “ongoing” interoperability with the nationwide public safety broadband network.</w:t>
      </w:r>
      <w:r w:rsidRPr="00564B0F">
        <w:rPr>
          <w:rStyle w:val="FootnoteReference"/>
        </w:rPr>
        <w:footnoteReference w:id="117"/>
      </w:r>
      <w:r w:rsidRPr="00564B0F">
        <w:t xml:space="preserve">  The Commission proposed to evaluate state opt-out plans based solely on whether they comply with the requirements for interoperability at the time the plan is submitted and that Commission’s approval of a state opt-out plan would not create a presumption that the state plan meets any of the criteria that NTIA is responsible for evaluating.</w:t>
      </w:r>
      <w:r w:rsidRPr="00564B0F">
        <w:rPr>
          <w:rStyle w:val="FootnoteReference"/>
        </w:rPr>
        <w:footnoteReference w:id="118"/>
      </w:r>
    </w:p>
    <w:p w14:paraId="19661A4B" w14:textId="385B9BAC" w:rsidR="00E94877" w:rsidRPr="00E94877" w:rsidRDefault="00E94877" w:rsidP="00E90896">
      <w:pPr>
        <w:pStyle w:val="ParaNum"/>
      </w:pPr>
      <w:r w:rsidRPr="00564B0F">
        <w:t xml:space="preserve">The </w:t>
      </w:r>
      <w:r w:rsidRPr="00B46573">
        <w:rPr>
          <w:i/>
        </w:rPr>
        <w:t>NPRM</w:t>
      </w:r>
      <w:r w:rsidRPr="00564B0F">
        <w:t xml:space="preserve"> fu</w:t>
      </w:r>
      <w:r>
        <w:t>r</w:t>
      </w:r>
      <w:r w:rsidRPr="00564B0F">
        <w:t>ther proposed that state alternative plans include a showing that the state will adhere to those FirstNet network policies that relate to interoperability with respect to the FirstNet nationwide network, to the extent that FirstNet has published such policies at the time that the state submit</w:t>
      </w:r>
      <w:r>
        <w:t>s</w:t>
      </w:r>
      <w:r w:rsidRPr="00564B0F">
        <w:t xml:space="preserve"> its plan to the Commission.</w:t>
      </w:r>
      <w:r w:rsidRPr="00564B0F">
        <w:rPr>
          <w:rStyle w:val="FootnoteReference"/>
        </w:rPr>
        <w:footnoteReference w:id="119"/>
      </w:r>
      <w:r w:rsidRPr="00564B0F">
        <w:t xml:space="preserve">  </w:t>
      </w:r>
    </w:p>
    <w:p w14:paraId="1B845186" w14:textId="77777777" w:rsidR="00883502" w:rsidRPr="00564B0F" w:rsidRDefault="00883502" w:rsidP="00883502">
      <w:pPr>
        <w:pStyle w:val="Heading3"/>
        <w:rPr>
          <w:color w:val="000000"/>
        </w:rPr>
      </w:pPr>
      <w:bookmarkStart w:id="49" w:name="_Toc483919392"/>
      <w:bookmarkStart w:id="50" w:name="_Toc485821095"/>
      <w:r w:rsidRPr="00564B0F">
        <w:t>Interoperability Board Requirements</w:t>
      </w:r>
      <w:bookmarkEnd w:id="49"/>
      <w:bookmarkEnd w:id="50"/>
    </w:p>
    <w:p w14:paraId="49E9DB8A" w14:textId="2C11569D" w:rsidR="00883502" w:rsidRDefault="00883502" w:rsidP="004B4F37">
      <w:pPr>
        <w:pStyle w:val="ParaNum"/>
      </w:pPr>
      <w:r w:rsidRPr="008640CF">
        <w:rPr>
          <w:i/>
        </w:rPr>
        <w:t xml:space="preserve">NPRM. </w:t>
      </w:r>
      <w:r>
        <w:t>Under the terms of the Act, the Commission was required to appoint members with specific technical, operational</w:t>
      </w:r>
      <w:r w:rsidR="006A0156">
        <w:t>,</w:t>
      </w:r>
      <w:r>
        <w:t xml:space="preserve"> and public safety backgrounds to the “Technical Advisory Board for First Responder Interoperability” (Interoperability Board).</w:t>
      </w:r>
      <w:r>
        <w:rPr>
          <w:rStyle w:val="FootnoteReference"/>
        </w:rPr>
        <w:footnoteReference w:id="120"/>
      </w:r>
      <w:r>
        <w:t xml:space="preserve">  The Interoperability Board was required to develop “recommended minimum technical requirements to ensure a nationwide level of interoperability” for the NPSBN (“</w:t>
      </w:r>
      <w:r w:rsidR="006575CC">
        <w:t xml:space="preserve">Interoperability </w:t>
      </w:r>
      <w:r>
        <w:t>Board Report”).</w:t>
      </w:r>
      <w:r>
        <w:rPr>
          <w:rStyle w:val="FootnoteReference"/>
        </w:rPr>
        <w:footnoteReference w:id="121"/>
      </w:r>
      <w:r>
        <w:t xml:space="preserve">  </w:t>
      </w:r>
      <w:r w:rsidRPr="77441463">
        <w:t>On May 22, 2012</w:t>
      </w:r>
      <w:r w:rsidR="00BA7D83">
        <w:t>,</w:t>
      </w:r>
      <w:r w:rsidRPr="77441463">
        <w:t xml:space="preserve"> the I</w:t>
      </w:r>
      <w:r w:rsidRPr="2C5B5C43">
        <w:t>nteroperability Board delivered its report to the Commission</w:t>
      </w:r>
      <w:r w:rsidRPr="4F87FCAC">
        <w:t>.</w:t>
      </w:r>
      <w:r>
        <w:rPr>
          <w:rStyle w:val="FootnoteReference"/>
        </w:rPr>
        <w:footnoteReference w:id="122"/>
      </w:r>
      <w:r>
        <w:t xml:space="preserve">  The Board Report</w:t>
      </w:r>
      <w:r w:rsidRPr="4F87FCAC">
        <w:t xml:space="preserve"> </w:t>
      </w:r>
      <w:r>
        <w:t>included 46 requirements (“SHALLS”) and 55 considerations (“SHOULDS</w:t>
      </w:r>
      <w:r w:rsidRPr="4F87FCAC">
        <w:t>”)</w:t>
      </w:r>
      <w:r>
        <w:t xml:space="preserve"> for a nationwide interoperable public safety broadband network</w:t>
      </w:r>
      <w:r w:rsidRPr="4F87FCAC">
        <w:t>.</w:t>
      </w:r>
      <w:r w:rsidRPr="7421DC5D">
        <w:t xml:space="preserve">  On June 21, 2012, t</w:t>
      </w:r>
      <w:r>
        <w:t>he Commission in turn transmitted the recommendations to NTIA, as required by the Act.</w:t>
      </w:r>
      <w:r>
        <w:rPr>
          <w:rStyle w:val="FootnoteReference"/>
        </w:rPr>
        <w:footnoteReference w:id="123"/>
      </w:r>
    </w:p>
    <w:p w14:paraId="45DFE271" w14:textId="72B8294F" w:rsidR="009055DE" w:rsidRPr="00564B0F" w:rsidRDefault="00341DDF" w:rsidP="00AA275F">
      <w:pPr>
        <w:pStyle w:val="ParaNum"/>
        <w:widowControl/>
        <w:rPr>
          <w:color w:val="000000"/>
        </w:rPr>
      </w:pPr>
      <w:r>
        <w:t>Under the first prong of the statutory evaluation by the Commission, a state alternative plan must demonstrate “compliance” with the Interoperability Board’s “requirements.”</w:t>
      </w:r>
      <w:r>
        <w:rPr>
          <w:rStyle w:val="FootnoteReference"/>
        </w:rPr>
        <w:footnoteReference w:id="124"/>
      </w:r>
      <w:r>
        <w:t xml:space="preserve">  </w:t>
      </w:r>
      <w:r w:rsidR="00CE61FB" w:rsidRPr="00564B0F">
        <w:t>The</w:t>
      </w:r>
      <w:r w:rsidR="009055DE" w:rsidRPr="00564B0F">
        <w:t xml:space="preserve"> </w:t>
      </w:r>
      <w:r w:rsidR="009055DE" w:rsidRPr="008640CF">
        <w:rPr>
          <w:i/>
        </w:rPr>
        <w:t>NPRM</w:t>
      </w:r>
      <w:r w:rsidR="009055DE" w:rsidRPr="00564B0F">
        <w:t xml:space="preserve"> proposed that </w:t>
      </w:r>
      <w:r w:rsidR="00CE61FB" w:rsidRPr="00564B0F">
        <w:t xml:space="preserve">the Commission’s </w:t>
      </w:r>
      <w:r w:rsidR="00987862" w:rsidRPr="00564B0F">
        <w:t xml:space="preserve">review </w:t>
      </w:r>
      <w:r>
        <w:t>in this regard</w:t>
      </w:r>
      <w:r w:rsidR="00987862" w:rsidRPr="00564B0F">
        <w:t xml:space="preserve"> </w:t>
      </w:r>
      <w:r w:rsidR="009055DE" w:rsidRPr="00564B0F">
        <w:t>should solely address technical interoperability criteria</w:t>
      </w:r>
      <w:r w:rsidR="008A78E7">
        <w:t xml:space="preserve"> (those “SHALL</w:t>
      </w:r>
      <w:r w:rsidR="00BA7D83">
        <w:t>” recommendations</w:t>
      </w:r>
      <w:r>
        <w:t>), and further recommended limiting those requirements to elements</w:t>
      </w:r>
      <w:r w:rsidR="009055DE" w:rsidRPr="00564B0F">
        <w:t xml:space="preserve"> relating to the RAN as defined in the Interoperability Board’s Report,</w:t>
      </w:r>
      <w:r w:rsidR="0005172A" w:rsidRPr="00564B0F">
        <w:rPr>
          <w:rStyle w:val="FootnoteReference"/>
        </w:rPr>
        <w:footnoteReference w:id="125"/>
      </w:r>
      <w:r w:rsidR="009055DE" w:rsidRPr="00564B0F">
        <w:t xml:space="preserve"> s</w:t>
      </w:r>
      <w:r w:rsidR="009055DE" w:rsidRPr="00564B0F">
        <w:rPr>
          <w:color w:val="000000"/>
        </w:rPr>
        <w:t xml:space="preserve">pecifically requirements </w:t>
      </w:r>
      <w:r w:rsidR="00232812">
        <w:rPr>
          <w:color w:val="000000"/>
        </w:rPr>
        <w:t>[</w:t>
      </w:r>
      <w:r w:rsidR="00232812" w:rsidRPr="00564B0F">
        <w:rPr>
          <w:color w:val="000000"/>
        </w:rPr>
        <w:t>1</w:t>
      </w:r>
      <w:r w:rsidR="00232812">
        <w:rPr>
          <w:color w:val="000000"/>
        </w:rPr>
        <w:t>]–[</w:t>
      </w:r>
      <w:r w:rsidR="00232812" w:rsidRPr="00564B0F">
        <w:rPr>
          <w:color w:val="000000"/>
        </w:rPr>
        <w:t>3</w:t>
      </w:r>
      <w:r w:rsidR="00232812">
        <w:rPr>
          <w:color w:val="000000"/>
        </w:rPr>
        <w:t>]</w:t>
      </w:r>
      <w:r w:rsidR="00232812" w:rsidRPr="00564B0F">
        <w:rPr>
          <w:color w:val="000000"/>
        </w:rPr>
        <w:t xml:space="preserve">, </w:t>
      </w:r>
      <w:r w:rsidR="00232812">
        <w:rPr>
          <w:color w:val="000000"/>
        </w:rPr>
        <w:t>[</w:t>
      </w:r>
      <w:r w:rsidR="00232812" w:rsidRPr="00564B0F">
        <w:rPr>
          <w:color w:val="000000"/>
        </w:rPr>
        <w:t>7</w:t>
      </w:r>
      <w:r w:rsidR="00232812">
        <w:rPr>
          <w:color w:val="000000"/>
        </w:rPr>
        <w:t>]–[</w:t>
      </w:r>
      <w:r w:rsidR="00232812" w:rsidRPr="00564B0F">
        <w:rPr>
          <w:color w:val="000000"/>
        </w:rPr>
        <w:t>10</w:t>
      </w:r>
      <w:r w:rsidR="00232812">
        <w:rPr>
          <w:color w:val="000000"/>
        </w:rPr>
        <w:t>]</w:t>
      </w:r>
      <w:r w:rsidR="00232812" w:rsidRPr="00564B0F">
        <w:rPr>
          <w:color w:val="000000"/>
        </w:rPr>
        <w:t xml:space="preserve">, </w:t>
      </w:r>
      <w:r w:rsidR="00232812">
        <w:rPr>
          <w:color w:val="000000"/>
        </w:rPr>
        <w:t>[</w:t>
      </w:r>
      <w:r w:rsidR="00232812" w:rsidRPr="00564B0F">
        <w:rPr>
          <w:color w:val="000000"/>
        </w:rPr>
        <w:t>20</w:t>
      </w:r>
      <w:r w:rsidR="00232812">
        <w:rPr>
          <w:color w:val="000000"/>
        </w:rPr>
        <w:t>]–[</w:t>
      </w:r>
      <w:r w:rsidR="00232812" w:rsidRPr="00564B0F">
        <w:rPr>
          <w:color w:val="000000"/>
        </w:rPr>
        <w:t>25</w:t>
      </w:r>
      <w:r w:rsidR="00232812">
        <w:rPr>
          <w:color w:val="000000"/>
        </w:rPr>
        <w:t>]</w:t>
      </w:r>
      <w:r w:rsidR="00232812" w:rsidRPr="00564B0F">
        <w:rPr>
          <w:color w:val="000000"/>
        </w:rPr>
        <w:t xml:space="preserve">, </w:t>
      </w:r>
      <w:r w:rsidR="00232812">
        <w:rPr>
          <w:color w:val="000000"/>
        </w:rPr>
        <w:t>[</w:t>
      </w:r>
      <w:r w:rsidR="00232812" w:rsidRPr="00564B0F">
        <w:rPr>
          <w:color w:val="000000"/>
        </w:rPr>
        <w:t>29</w:t>
      </w:r>
      <w:r w:rsidR="00232812">
        <w:rPr>
          <w:color w:val="000000"/>
        </w:rPr>
        <w:t>]-[</w:t>
      </w:r>
      <w:r w:rsidR="00232812" w:rsidRPr="00564B0F">
        <w:rPr>
          <w:color w:val="000000"/>
        </w:rPr>
        <w:t>39</w:t>
      </w:r>
      <w:r w:rsidR="00232812">
        <w:rPr>
          <w:color w:val="000000"/>
        </w:rPr>
        <w:t>]</w:t>
      </w:r>
      <w:r w:rsidR="00232812" w:rsidRPr="00564B0F">
        <w:rPr>
          <w:color w:val="000000"/>
        </w:rPr>
        <w:t xml:space="preserve">, </w:t>
      </w:r>
      <w:r w:rsidR="00232812">
        <w:rPr>
          <w:color w:val="000000"/>
        </w:rPr>
        <w:t>and [</w:t>
      </w:r>
      <w:r w:rsidR="00232812" w:rsidRPr="00564B0F">
        <w:rPr>
          <w:color w:val="000000"/>
        </w:rPr>
        <w:t>41</w:t>
      </w:r>
      <w:r w:rsidR="00232812">
        <w:rPr>
          <w:color w:val="000000"/>
        </w:rPr>
        <w:t>]–[</w:t>
      </w:r>
      <w:r w:rsidR="00232812" w:rsidRPr="00564B0F">
        <w:rPr>
          <w:color w:val="000000"/>
        </w:rPr>
        <w:t>42</w:t>
      </w:r>
      <w:r w:rsidR="00232812">
        <w:rPr>
          <w:color w:val="000000"/>
        </w:rPr>
        <w:t>]</w:t>
      </w:r>
      <w:r w:rsidR="009055DE" w:rsidRPr="00564B0F">
        <w:rPr>
          <w:color w:val="000000"/>
        </w:rPr>
        <w:t>.</w:t>
      </w:r>
      <w:r w:rsidR="00D56E9D" w:rsidRPr="00564B0F">
        <w:rPr>
          <w:rStyle w:val="FootnoteReference"/>
        </w:rPr>
        <w:footnoteReference w:id="126"/>
      </w:r>
      <w:r w:rsidR="009055DE" w:rsidRPr="00564B0F">
        <w:rPr>
          <w:color w:val="000000"/>
        </w:rPr>
        <w:t xml:space="preserve">  </w:t>
      </w:r>
    </w:p>
    <w:p w14:paraId="07A776AA" w14:textId="58B829C8" w:rsidR="00BA0D31" w:rsidRPr="00564B0F" w:rsidRDefault="001A540E" w:rsidP="00BA0D31">
      <w:pPr>
        <w:pStyle w:val="ParaNum"/>
      </w:pPr>
      <w:r w:rsidRPr="6E3D202F">
        <w:rPr>
          <w:i/>
        </w:rPr>
        <w:t>Comments.</w:t>
      </w:r>
      <w:r w:rsidR="00BA0D31" w:rsidRPr="6E3D202F">
        <w:rPr>
          <w:i/>
        </w:rPr>
        <w:t xml:space="preserve">  </w:t>
      </w:r>
      <w:r w:rsidR="00BA0D31" w:rsidRPr="00564B0F">
        <w:t xml:space="preserve">Parties generally supported confining </w:t>
      </w:r>
      <w:r w:rsidR="00960970" w:rsidRPr="00564B0F">
        <w:t>first</w:t>
      </w:r>
      <w:r w:rsidR="005E4890">
        <w:t>-</w:t>
      </w:r>
      <w:r w:rsidR="00960970" w:rsidRPr="00564B0F">
        <w:t xml:space="preserve">prong </w:t>
      </w:r>
      <w:r w:rsidR="00BA0D31" w:rsidRPr="00564B0F">
        <w:t xml:space="preserve">review to </w:t>
      </w:r>
      <w:r w:rsidR="00BA0D31" w:rsidRPr="00564B0F">
        <w:rPr>
          <w:color w:val="000000"/>
        </w:rPr>
        <w:t xml:space="preserve">requirements </w:t>
      </w:r>
      <w:r w:rsidR="00960970" w:rsidRPr="00564B0F">
        <w:rPr>
          <w:color w:val="000000"/>
        </w:rPr>
        <w:t xml:space="preserve">as proposed in the </w:t>
      </w:r>
      <w:r w:rsidR="00960970" w:rsidRPr="00B46573">
        <w:rPr>
          <w:i/>
          <w:color w:val="000000"/>
        </w:rPr>
        <w:t>NPRM</w:t>
      </w:r>
      <w:r w:rsidR="00BA0D31" w:rsidRPr="00564B0F">
        <w:rPr>
          <w:color w:val="000000"/>
        </w:rPr>
        <w:t>.</w:t>
      </w:r>
      <w:r w:rsidR="00BA0D31" w:rsidRPr="00564B0F">
        <w:rPr>
          <w:rStyle w:val="FootnoteReference"/>
        </w:rPr>
        <w:footnoteReference w:id="127"/>
      </w:r>
      <w:r w:rsidR="00BA0D31" w:rsidRPr="00564B0F">
        <w:rPr>
          <w:color w:val="000000"/>
        </w:rPr>
        <w:t xml:space="preserve">  DVA, however,</w:t>
      </w:r>
      <w:r w:rsidR="00BA0D31" w:rsidRPr="00564B0F">
        <w:t xml:space="preserve"> </w:t>
      </w:r>
      <w:r w:rsidR="00BA0D31" w:rsidRPr="00564B0F">
        <w:rPr>
          <w:color w:val="000000"/>
        </w:rPr>
        <w:t xml:space="preserve">recommends the Commission </w:t>
      </w:r>
      <w:r w:rsidR="001C36A0">
        <w:rPr>
          <w:color w:val="000000"/>
        </w:rPr>
        <w:t xml:space="preserve">also </w:t>
      </w:r>
      <w:r w:rsidR="00BA0D31" w:rsidRPr="00564B0F">
        <w:rPr>
          <w:color w:val="000000"/>
        </w:rPr>
        <w:t xml:space="preserve">include requirements </w:t>
      </w:r>
      <w:r w:rsidR="00232812">
        <w:rPr>
          <w:color w:val="000000"/>
        </w:rPr>
        <w:t>[</w:t>
      </w:r>
      <w:r w:rsidR="001C36A0">
        <w:rPr>
          <w:color w:val="000000"/>
        </w:rPr>
        <w:t>4</w:t>
      </w:r>
      <w:r w:rsidR="00232812">
        <w:rPr>
          <w:color w:val="000000"/>
        </w:rPr>
        <w:t>]</w:t>
      </w:r>
      <w:r w:rsidR="001C36A0">
        <w:rPr>
          <w:color w:val="000000"/>
        </w:rPr>
        <w:t>–</w:t>
      </w:r>
      <w:r w:rsidR="00232812">
        <w:rPr>
          <w:color w:val="000000"/>
        </w:rPr>
        <w:t>[</w:t>
      </w:r>
      <w:r w:rsidR="001C36A0">
        <w:rPr>
          <w:color w:val="000000"/>
        </w:rPr>
        <w:t>6</w:t>
      </w:r>
      <w:r w:rsidR="00232812">
        <w:rPr>
          <w:color w:val="000000"/>
        </w:rPr>
        <w:t>]</w:t>
      </w:r>
      <w:r w:rsidR="001C36A0">
        <w:rPr>
          <w:color w:val="000000"/>
        </w:rPr>
        <w:t xml:space="preserve"> and </w:t>
      </w:r>
      <w:r w:rsidR="00232812">
        <w:rPr>
          <w:color w:val="000000"/>
        </w:rPr>
        <w:t>[</w:t>
      </w:r>
      <w:r w:rsidR="001C36A0">
        <w:rPr>
          <w:color w:val="000000"/>
        </w:rPr>
        <w:t>11</w:t>
      </w:r>
      <w:r w:rsidR="00232812">
        <w:rPr>
          <w:color w:val="000000"/>
        </w:rPr>
        <w:t>]</w:t>
      </w:r>
      <w:r w:rsidR="001C36A0">
        <w:rPr>
          <w:color w:val="000000"/>
        </w:rPr>
        <w:t xml:space="preserve"> </w:t>
      </w:r>
      <w:r w:rsidR="00BA0D31" w:rsidRPr="00564B0F">
        <w:rPr>
          <w:color w:val="000000"/>
        </w:rPr>
        <w:t xml:space="preserve">pertaining to 3GPP LTE Standards and Interfaces as well as requirement </w:t>
      </w:r>
      <w:r w:rsidR="00232812">
        <w:rPr>
          <w:color w:val="000000"/>
        </w:rPr>
        <w:t>[</w:t>
      </w:r>
      <w:r w:rsidR="00BA0D31" w:rsidRPr="00564B0F">
        <w:rPr>
          <w:color w:val="000000"/>
        </w:rPr>
        <w:t>38</w:t>
      </w:r>
      <w:r w:rsidR="00232812">
        <w:rPr>
          <w:color w:val="000000"/>
        </w:rPr>
        <w:t>]</w:t>
      </w:r>
      <w:r w:rsidR="00BA0D31" w:rsidRPr="00564B0F">
        <w:rPr>
          <w:color w:val="000000"/>
        </w:rPr>
        <w:t>.</w:t>
      </w:r>
      <w:r w:rsidR="00BA0D31" w:rsidRPr="00564B0F">
        <w:rPr>
          <w:rStyle w:val="FootnoteReference"/>
        </w:rPr>
        <w:footnoteReference w:id="128"/>
      </w:r>
      <w:r w:rsidR="00BA0D31" w:rsidRPr="00564B0F">
        <w:rPr>
          <w:color w:val="000000"/>
        </w:rPr>
        <w:t xml:space="preserve"> </w:t>
      </w:r>
      <w:r w:rsidR="001C36A0">
        <w:rPr>
          <w:color w:val="000000"/>
        </w:rPr>
        <w:t xml:space="preserve"> </w:t>
      </w:r>
      <w:r w:rsidR="00BA0D31" w:rsidRPr="00564B0F">
        <w:rPr>
          <w:color w:val="000000"/>
        </w:rPr>
        <w:t xml:space="preserve">Illinois opines that the Commission should make the additional 55 </w:t>
      </w:r>
      <w:r w:rsidR="001C36A0">
        <w:rPr>
          <w:color w:val="000000"/>
        </w:rPr>
        <w:t>considerations</w:t>
      </w:r>
      <w:r w:rsidR="001C36A0" w:rsidRPr="00564B0F">
        <w:rPr>
          <w:color w:val="000000"/>
        </w:rPr>
        <w:t xml:space="preserve"> </w:t>
      </w:r>
      <w:r w:rsidR="00BA0D31" w:rsidRPr="00564B0F">
        <w:rPr>
          <w:color w:val="000000"/>
        </w:rPr>
        <w:t>that are currently listed as “SHOULDS” mandatory as well.</w:t>
      </w:r>
      <w:r w:rsidR="00BA0D31" w:rsidRPr="00564B0F">
        <w:rPr>
          <w:rStyle w:val="FootnoteReference"/>
        </w:rPr>
        <w:footnoteReference w:id="129"/>
      </w:r>
      <w:r w:rsidR="00B62CF3">
        <w:rPr>
          <w:color w:val="000000"/>
        </w:rPr>
        <w:t xml:space="preserve">  </w:t>
      </w:r>
      <w:r w:rsidR="00472A1E">
        <w:t xml:space="preserve">In a June 5, 2017 </w:t>
      </w:r>
      <w:r w:rsidR="00472A1E">
        <w:rPr>
          <w:i/>
        </w:rPr>
        <w:t xml:space="preserve">ex parte </w:t>
      </w:r>
      <w:r w:rsidR="00472A1E">
        <w:t xml:space="preserve">filing, FirstNet filed a spreadsheet listing “FCC Evaluation Requirements” associated with specific elements of </w:t>
      </w:r>
      <w:r w:rsidR="003F05DE">
        <w:t>its</w:t>
      </w:r>
      <w:r w:rsidR="00472A1E">
        <w:t xml:space="preserve"> anticipated state plan categories</w:t>
      </w:r>
      <w:r w:rsidR="003F05DE">
        <w:t>.</w:t>
      </w:r>
      <w:r w:rsidR="0047498D">
        <w:rPr>
          <w:rStyle w:val="FootnoteReference"/>
        </w:rPr>
        <w:footnoteReference w:id="130"/>
      </w:r>
      <w:r w:rsidR="00BA7D83">
        <w:t xml:space="preserve"> </w:t>
      </w:r>
      <w:r w:rsidR="00472A1E">
        <w:t xml:space="preserve"> </w:t>
      </w:r>
      <w:r w:rsidR="003F05DE">
        <w:t xml:space="preserve">FirstNet </w:t>
      </w:r>
      <w:r w:rsidR="00BA7D83">
        <w:t>stated</w:t>
      </w:r>
      <w:r w:rsidR="00472A1E">
        <w:t xml:space="preserve"> that the spreadsheet represents an “</w:t>
      </w:r>
      <w:r w:rsidR="00472A1E" w:rsidRPr="003F05DE">
        <w:t>interoperability compliance matrix that documents the technical standards that will be necessary to ensure a state or territory’s RAN is interoperable with the NPSBN</w:t>
      </w:r>
      <w:r w:rsidR="00472A1E">
        <w:t>.”</w:t>
      </w:r>
      <w:r w:rsidR="00472A1E">
        <w:rPr>
          <w:rStyle w:val="FootnoteReference"/>
        </w:rPr>
        <w:footnoteReference w:id="131"/>
      </w:r>
      <w:r w:rsidR="00472A1E">
        <w:t xml:space="preserve">  On June 16, 2017, FirstNet filed an additional </w:t>
      </w:r>
      <w:r w:rsidR="00472A1E">
        <w:rPr>
          <w:i/>
        </w:rPr>
        <w:t>ex parte</w:t>
      </w:r>
      <w:r w:rsidR="00472A1E">
        <w:t xml:space="preserve"> letter in which it proffers a revised interoperability compliance matrix.</w:t>
      </w:r>
      <w:r w:rsidR="00472A1E">
        <w:rPr>
          <w:rStyle w:val="FootnoteReference"/>
        </w:rPr>
        <w:footnoteReference w:id="132"/>
      </w:r>
      <w:r w:rsidR="00472A1E">
        <w:t xml:space="preserve">  With respect to </w:t>
      </w:r>
      <w:r w:rsidR="0040427E">
        <w:t xml:space="preserve">the first statutory </w:t>
      </w:r>
      <w:r w:rsidR="00472A1E">
        <w:t xml:space="preserve">prong, the June 16 filing </w:t>
      </w:r>
      <w:r w:rsidR="0040427E">
        <w:t xml:space="preserve">modifies FirstNet’s earlier </w:t>
      </w:r>
      <w:r w:rsidR="00A825B1">
        <w:t xml:space="preserve">matrix </w:t>
      </w:r>
      <w:r w:rsidR="00472A1E">
        <w:t xml:space="preserve">with respect to included elements from the Interoperability Board Report and recommends </w:t>
      </w:r>
      <w:r w:rsidR="00A825B1">
        <w:t xml:space="preserve">that the Commission apply </w:t>
      </w:r>
      <w:r w:rsidR="00472A1E">
        <w:t xml:space="preserve">the </w:t>
      </w:r>
      <w:r w:rsidR="00A825B1">
        <w:t>specific prong one “SHALL”</w:t>
      </w:r>
      <w:r w:rsidR="00472A1E">
        <w:t xml:space="preserve"> elements originally proposed in </w:t>
      </w:r>
      <w:r w:rsidR="00A825B1">
        <w:t xml:space="preserve">the </w:t>
      </w:r>
      <w:r w:rsidR="00A825B1" w:rsidRPr="00A1267B">
        <w:rPr>
          <w:i/>
        </w:rPr>
        <w:t>NPRM</w:t>
      </w:r>
      <w:r w:rsidR="00A825B1">
        <w:t xml:space="preserve">.  </w:t>
      </w:r>
    </w:p>
    <w:p w14:paraId="457A5A29" w14:textId="4ACEF99B" w:rsidR="00C53C7C" w:rsidRPr="00564B0F" w:rsidRDefault="00C53C7C" w:rsidP="00BA0D31">
      <w:pPr>
        <w:pStyle w:val="ParaNum"/>
      </w:pPr>
      <w:r w:rsidRPr="008640CF">
        <w:rPr>
          <w:i/>
        </w:rPr>
        <w:t>Decision.</w:t>
      </w:r>
      <w:r w:rsidRPr="00564B0F">
        <w:t xml:space="preserve">  </w:t>
      </w:r>
      <w:r w:rsidR="004F64B5">
        <w:t xml:space="preserve">For the reasons stated in the </w:t>
      </w:r>
      <w:r w:rsidR="004F64B5" w:rsidRPr="00B46573">
        <w:rPr>
          <w:i/>
        </w:rPr>
        <w:t>NPRM</w:t>
      </w:r>
      <w:r w:rsidR="004F64B5">
        <w:t xml:space="preserve">, </w:t>
      </w:r>
      <w:r w:rsidR="00A825B1">
        <w:t xml:space="preserve">and as recommended by FirstNet in its June 16 </w:t>
      </w:r>
      <w:r w:rsidR="00A825B1" w:rsidRPr="00A1267B">
        <w:rPr>
          <w:i/>
        </w:rPr>
        <w:t>ex parte</w:t>
      </w:r>
      <w:r w:rsidR="004F64B5">
        <w:t xml:space="preserve">, </w:t>
      </w:r>
      <w:r w:rsidR="00D725F1">
        <w:t>w</w:t>
      </w:r>
      <w:r w:rsidRPr="00564B0F">
        <w:t xml:space="preserve">e </w:t>
      </w:r>
      <w:r w:rsidR="005E4890">
        <w:t xml:space="preserve">will limit our review under the first prong to the “SHALL” criteria originally </w:t>
      </w:r>
      <w:r w:rsidR="004F64B5">
        <w:t>proposed</w:t>
      </w:r>
      <w:r w:rsidR="000C7649" w:rsidRPr="00564B0F">
        <w:t xml:space="preserve">.  </w:t>
      </w:r>
      <w:r w:rsidR="004F64B5">
        <w:t>In particular, we reject the suggestions of DVA and Illinois to expand the scope of the Commission’s review</w:t>
      </w:r>
      <w:r w:rsidR="005E4890">
        <w:t xml:space="preserve"> under the first prong</w:t>
      </w:r>
      <w:r w:rsidR="004F64B5">
        <w:t xml:space="preserve">.  </w:t>
      </w:r>
      <w:r w:rsidR="001C36A0">
        <w:t xml:space="preserve">Although </w:t>
      </w:r>
      <w:r w:rsidR="00220461">
        <w:t xml:space="preserve">DVA recommends consideration of requirements </w:t>
      </w:r>
      <w:r w:rsidR="00232812">
        <w:t>[</w:t>
      </w:r>
      <w:r w:rsidR="001C36A0">
        <w:rPr>
          <w:color w:val="000000"/>
        </w:rPr>
        <w:t>4</w:t>
      </w:r>
      <w:r w:rsidR="00232812">
        <w:rPr>
          <w:color w:val="000000"/>
        </w:rPr>
        <w:t>]</w:t>
      </w:r>
      <w:r w:rsidR="001C36A0">
        <w:rPr>
          <w:color w:val="000000"/>
        </w:rPr>
        <w:t>–</w:t>
      </w:r>
      <w:r w:rsidR="00232812">
        <w:rPr>
          <w:color w:val="000000"/>
        </w:rPr>
        <w:t>[</w:t>
      </w:r>
      <w:r w:rsidR="001C36A0">
        <w:rPr>
          <w:color w:val="000000"/>
        </w:rPr>
        <w:t>6)</w:t>
      </w:r>
      <w:r w:rsidR="00232812">
        <w:rPr>
          <w:color w:val="000000"/>
        </w:rPr>
        <w:t>]</w:t>
      </w:r>
      <w:r w:rsidR="001C36A0">
        <w:rPr>
          <w:color w:val="000000"/>
        </w:rPr>
        <w:t xml:space="preserve">, </w:t>
      </w:r>
      <w:r w:rsidR="00232812">
        <w:rPr>
          <w:color w:val="000000"/>
        </w:rPr>
        <w:t>[</w:t>
      </w:r>
      <w:r w:rsidR="001C36A0">
        <w:rPr>
          <w:color w:val="000000"/>
        </w:rPr>
        <w:t>11</w:t>
      </w:r>
      <w:r w:rsidR="00232812">
        <w:rPr>
          <w:color w:val="000000"/>
        </w:rPr>
        <w:t>]</w:t>
      </w:r>
      <w:r w:rsidR="001C36A0">
        <w:rPr>
          <w:color w:val="000000"/>
        </w:rPr>
        <w:t>,</w:t>
      </w:r>
      <w:r w:rsidR="001C36A0" w:rsidRPr="00E90896">
        <w:rPr>
          <w:color w:val="000000"/>
        </w:rPr>
        <w:t xml:space="preserve"> and </w:t>
      </w:r>
      <w:r w:rsidR="00232812">
        <w:rPr>
          <w:color w:val="000000"/>
        </w:rPr>
        <w:t>[</w:t>
      </w:r>
      <w:r w:rsidR="001C36A0" w:rsidRPr="00E90896">
        <w:rPr>
          <w:color w:val="000000"/>
        </w:rPr>
        <w:t>38</w:t>
      </w:r>
      <w:r w:rsidR="00232812">
        <w:rPr>
          <w:color w:val="000000"/>
        </w:rPr>
        <w:t>]</w:t>
      </w:r>
      <w:r w:rsidR="00220461">
        <w:t xml:space="preserve">, it </w:t>
      </w:r>
      <w:r w:rsidR="005E4890">
        <w:t xml:space="preserve">fails to </w:t>
      </w:r>
      <w:r w:rsidR="00220461">
        <w:t>explain how their inclusion would contribute to the Commission’s limited review related to technical interoperability of the proposed state RAN</w:t>
      </w:r>
      <w:r w:rsidR="00472A1E">
        <w:t xml:space="preserve"> under prong one</w:t>
      </w:r>
      <w:r w:rsidR="00220461">
        <w:t>.</w:t>
      </w:r>
      <w:r w:rsidR="00220461">
        <w:rPr>
          <w:rStyle w:val="FootnoteReference"/>
        </w:rPr>
        <w:footnoteReference w:id="133"/>
      </w:r>
      <w:r w:rsidR="00220461">
        <w:t xml:space="preserve"> </w:t>
      </w:r>
      <w:r w:rsidR="001C36A0">
        <w:t xml:space="preserve"> </w:t>
      </w:r>
      <w:r w:rsidR="00220461">
        <w:t>Illinois</w:t>
      </w:r>
      <w:r w:rsidR="0029216F">
        <w:t xml:space="preserve">’ suggestion </w:t>
      </w:r>
      <w:r w:rsidR="00220461">
        <w:t>that the Commission review alternative plan</w:t>
      </w:r>
      <w:r w:rsidR="0029216F">
        <w:t>s</w:t>
      </w:r>
      <w:r w:rsidR="00220461">
        <w:t xml:space="preserve"> for compliance with all “should” recommendations of the Board ignores the statutory language cited in the </w:t>
      </w:r>
      <w:r w:rsidR="00220461" w:rsidRPr="00B46573">
        <w:rPr>
          <w:i/>
        </w:rPr>
        <w:t>NPRM</w:t>
      </w:r>
      <w:r w:rsidR="00220461">
        <w:t xml:space="preserve"> linking review to “requirements.” </w:t>
      </w:r>
      <w:r w:rsidR="001C36A0">
        <w:t xml:space="preserve"> </w:t>
      </w:r>
      <w:r w:rsidR="00D921A9">
        <w:t>Accordingly, we find that a</w:t>
      </w:r>
      <w:r w:rsidR="000C7649" w:rsidRPr="00564B0F">
        <w:t>lternative plans</w:t>
      </w:r>
      <w:r w:rsidRPr="00564B0F">
        <w:t xml:space="preserve"> </w:t>
      </w:r>
      <w:r w:rsidR="00472A1E">
        <w:t>must</w:t>
      </w:r>
      <w:r w:rsidR="00472A1E" w:rsidRPr="00564B0F">
        <w:t xml:space="preserve"> </w:t>
      </w:r>
      <w:r w:rsidRPr="00564B0F">
        <w:t>address technical interoperability criteria relating to the RAN as defined in the Interoperability Board’s Report, s</w:t>
      </w:r>
      <w:r w:rsidRPr="00564B0F">
        <w:rPr>
          <w:color w:val="000000"/>
        </w:rPr>
        <w:t xml:space="preserve">pecifically requirements </w:t>
      </w:r>
      <w:r w:rsidR="00232812">
        <w:rPr>
          <w:color w:val="000000"/>
        </w:rPr>
        <w:t>[</w:t>
      </w:r>
      <w:r w:rsidR="00232812" w:rsidRPr="00564B0F">
        <w:rPr>
          <w:color w:val="000000"/>
        </w:rPr>
        <w:t>1</w:t>
      </w:r>
      <w:r w:rsidR="00232812">
        <w:rPr>
          <w:color w:val="000000"/>
        </w:rPr>
        <w:t>]–[</w:t>
      </w:r>
      <w:r w:rsidR="00232812" w:rsidRPr="00564B0F">
        <w:rPr>
          <w:color w:val="000000"/>
        </w:rPr>
        <w:t>3</w:t>
      </w:r>
      <w:r w:rsidR="00232812">
        <w:rPr>
          <w:color w:val="000000"/>
        </w:rPr>
        <w:t>]</w:t>
      </w:r>
      <w:r w:rsidR="00232812" w:rsidRPr="00564B0F">
        <w:rPr>
          <w:color w:val="000000"/>
        </w:rPr>
        <w:t xml:space="preserve">, </w:t>
      </w:r>
      <w:r w:rsidR="00232812">
        <w:rPr>
          <w:color w:val="000000"/>
        </w:rPr>
        <w:t>[</w:t>
      </w:r>
      <w:r w:rsidR="00232812" w:rsidRPr="00564B0F">
        <w:rPr>
          <w:color w:val="000000"/>
        </w:rPr>
        <w:t>7</w:t>
      </w:r>
      <w:r w:rsidR="00232812">
        <w:rPr>
          <w:color w:val="000000"/>
        </w:rPr>
        <w:t>]–[</w:t>
      </w:r>
      <w:r w:rsidR="00232812" w:rsidRPr="00564B0F">
        <w:rPr>
          <w:color w:val="000000"/>
        </w:rPr>
        <w:t>10</w:t>
      </w:r>
      <w:r w:rsidR="00232812">
        <w:rPr>
          <w:color w:val="000000"/>
        </w:rPr>
        <w:t>]</w:t>
      </w:r>
      <w:r w:rsidR="00232812" w:rsidRPr="00564B0F">
        <w:rPr>
          <w:color w:val="000000"/>
        </w:rPr>
        <w:t xml:space="preserve">, </w:t>
      </w:r>
      <w:r w:rsidR="00232812">
        <w:rPr>
          <w:color w:val="000000"/>
        </w:rPr>
        <w:t>[</w:t>
      </w:r>
      <w:r w:rsidR="00232812" w:rsidRPr="00564B0F">
        <w:rPr>
          <w:color w:val="000000"/>
        </w:rPr>
        <w:t>20</w:t>
      </w:r>
      <w:r w:rsidR="00232812">
        <w:rPr>
          <w:color w:val="000000"/>
        </w:rPr>
        <w:t>]–[</w:t>
      </w:r>
      <w:r w:rsidR="00232812" w:rsidRPr="00564B0F">
        <w:rPr>
          <w:color w:val="000000"/>
        </w:rPr>
        <w:t>25</w:t>
      </w:r>
      <w:r w:rsidR="00232812">
        <w:rPr>
          <w:color w:val="000000"/>
        </w:rPr>
        <w:t>]</w:t>
      </w:r>
      <w:r w:rsidR="00232812" w:rsidRPr="00564B0F">
        <w:rPr>
          <w:color w:val="000000"/>
        </w:rPr>
        <w:t xml:space="preserve">, </w:t>
      </w:r>
      <w:r w:rsidR="00232812">
        <w:rPr>
          <w:color w:val="000000"/>
        </w:rPr>
        <w:t>[</w:t>
      </w:r>
      <w:r w:rsidR="00232812" w:rsidRPr="00564B0F">
        <w:rPr>
          <w:color w:val="000000"/>
        </w:rPr>
        <w:t>29</w:t>
      </w:r>
      <w:r w:rsidR="00232812">
        <w:rPr>
          <w:color w:val="000000"/>
        </w:rPr>
        <w:t>]-[</w:t>
      </w:r>
      <w:r w:rsidR="00232812" w:rsidRPr="00564B0F">
        <w:rPr>
          <w:color w:val="000000"/>
        </w:rPr>
        <w:t>39</w:t>
      </w:r>
      <w:r w:rsidR="00232812">
        <w:rPr>
          <w:color w:val="000000"/>
        </w:rPr>
        <w:t>]</w:t>
      </w:r>
      <w:r w:rsidR="00232812" w:rsidRPr="00564B0F">
        <w:rPr>
          <w:color w:val="000000"/>
        </w:rPr>
        <w:t xml:space="preserve">, </w:t>
      </w:r>
      <w:r w:rsidR="00232812">
        <w:rPr>
          <w:color w:val="000000"/>
        </w:rPr>
        <w:t>and [</w:t>
      </w:r>
      <w:r w:rsidR="00232812" w:rsidRPr="00564B0F">
        <w:rPr>
          <w:color w:val="000000"/>
        </w:rPr>
        <w:t>41</w:t>
      </w:r>
      <w:r w:rsidR="00232812">
        <w:rPr>
          <w:color w:val="000000"/>
        </w:rPr>
        <w:t>]–[</w:t>
      </w:r>
      <w:r w:rsidR="00232812" w:rsidRPr="00564B0F">
        <w:rPr>
          <w:color w:val="000000"/>
        </w:rPr>
        <w:t>42</w:t>
      </w:r>
      <w:r w:rsidR="00232812">
        <w:rPr>
          <w:color w:val="000000"/>
        </w:rPr>
        <w:t>]</w:t>
      </w:r>
      <w:r w:rsidRPr="00564B0F">
        <w:rPr>
          <w:color w:val="000000"/>
        </w:rPr>
        <w:t>.</w:t>
      </w:r>
      <w:r w:rsidR="00A9728E" w:rsidRPr="00564B0F">
        <w:rPr>
          <w:color w:val="000000"/>
        </w:rPr>
        <w:t xml:space="preserve">  </w:t>
      </w:r>
      <w:r w:rsidR="00CE61FB" w:rsidRPr="00564B0F">
        <w:rPr>
          <w:color w:val="000000"/>
        </w:rPr>
        <w:t>We find that demonstrating compliance with these requirements supports the Commission’s obligation under this prong of the statutory test, while similarly recognizing the Act’s scope of Commission review (</w:t>
      </w:r>
      <w:r w:rsidR="00CE61FB" w:rsidRPr="008640CF">
        <w:rPr>
          <w:i/>
          <w:color w:val="000000"/>
        </w:rPr>
        <w:t>i.e.</w:t>
      </w:r>
      <w:r w:rsidR="00CE61FB" w:rsidRPr="00564B0F">
        <w:rPr>
          <w:color w:val="000000"/>
        </w:rPr>
        <w:t>, focusing on state RAN).</w:t>
      </w:r>
      <w:r w:rsidR="00960970" w:rsidRPr="00564B0F">
        <w:rPr>
          <w:color w:val="000000"/>
        </w:rPr>
        <w:t xml:space="preserve">  </w:t>
      </w:r>
      <w:r w:rsidR="00A9728E" w:rsidRPr="00564B0F">
        <w:rPr>
          <w:color w:val="000000"/>
        </w:rPr>
        <w:t>We attach these requirements as Appendix B.</w:t>
      </w:r>
    </w:p>
    <w:p w14:paraId="3306C26B" w14:textId="19F5CCE6" w:rsidR="0005172A" w:rsidRPr="00564B0F" w:rsidRDefault="0005172A" w:rsidP="004B4F37">
      <w:pPr>
        <w:pStyle w:val="Heading3"/>
      </w:pPr>
      <w:bookmarkStart w:id="51" w:name="_Toc482780158"/>
      <w:bookmarkStart w:id="52" w:name="_Toc482780375"/>
      <w:bookmarkStart w:id="53" w:name="_Toc483919393"/>
      <w:bookmarkStart w:id="54" w:name="_Toc485821096"/>
      <w:r w:rsidRPr="00564B0F">
        <w:t>Interoperab</w:t>
      </w:r>
      <w:r w:rsidR="00DA5CE6" w:rsidRPr="00564B0F">
        <w:t xml:space="preserve">ility with </w:t>
      </w:r>
      <w:r w:rsidR="0029216F">
        <w:t xml:space="preserve">the </w:t>
      </w:r>
      <w:r w:rsidR="00DA5CE6" w:rsidRPr="00564B0F">
        <w:t>NPSBN</w:t>
      </w:r>
      <w:bookmarkEnd w:id="51"/>
      <w:bookmarkEnd w:id="52"/>
      <w:bookmarkEnd w:id="53"/>
      <w:bookmarkEnd w:id="54"/>
    </w:p>
    <w:p w14:paraId="3C28CF91" w14:textId="2A8841D6" w:rsidR="00FB168E" w:rsidRPr="00564B0F" w:rsidRDefault="005067AB">
      <w:pPr>
        <w:pStyle w:val="ParaNum"/>
      </w:pPr>
      <w:r w:rsidRPr="6E3D202F">
        <w:rPr>
          <w:i/>
        </w:rPr>
        <w:t xml:space="preserve">NPRM.  </w:t>
      </w:r>
      <w:r w:rsidR="0005172A" w:rsidRPr="00564B0F">
        <w:t xml:space="preserve">In the </w:t>
      </w:r>
      <w:r w:rsidR="0005172A" w:rsidRPr="6E3D202F">
        <w:rPr>
          <w:i/>
        </w:rPr>
        <w:t>NPRM</w:t>
      </w:r>
      <w:r w:rsidR="0005172A" w:rsidRPr="00564B0F">
        <w:t>, the Commission proposed reviewing a state alternative plan</w:t>
      </w:r>
      <w:r w:rsidR="00775D46" w:rsidRPr="00564B0F">
        <w:t>’</w:t>
      </w:r>
      <w:r w:rsidR="0005172A" w:rsidRPr="00564B0F">
        <w:t>s compliance with the second prong of the statutory test relating to “interoperability” with the NPSBN</w:t>
      </w:r>
      <w:r w:rsidRPr="00564B0F">
        <w:rPr>
          <w:rStyle w:val="FootnoteReference"/>
        </w:rPr>
        <w:footnoteReference w:id="134"/>
      </w:r>
      <w:r w:rsidR="0005172A" w:rsidRPr="00564B0F">
        <w:t xml:space="preserve"> solely with respect to the state’s compliance with those RAN-related network requirements specified by FirstNet that are necessary to ensure interoperability with the FirstNet network</w:t>
      </w:r>
      <w:r w:rsidR="00775D46" w:rsidRPr="00564B0F">
        <w:t>.  Thus, the Commission proposed n</w:t>
      </w:r>
      <w:r w:rsidR="0005172A" w:rsidRPr="00564B0F">
        <w:t>ot to extend the scope of the Commission’s review to issues other than such RAN-related interoperability.</w:t>
      </w:r>
      <w:r w:rsidR="0005172A" w:rsidRPr="00564B0F">
        <w:rPr>
          <w:rStyle w:val="FootnoteReference"/>
        </w:rPr>
        <w:footnoteReference w:id="135"/>
      </w:r>
      <w:r w:rsidR="0005172A" w:rsidRPr="00564B0F">
        <w:t xml:space="preserve"> </w:t>
      </w:r>
      <w:r w:rsidR="001C36A0">
        <w:t xml:space="preserve"> </w:t>
      </w:r>
      <w:r w:rsidR="0005172A" w:rsidRPr="00564B0F">
        <w:t xml:space="preserve">The Commission also stated its </w:t>
      </w:r>
      <w:r w:rsidR="00935900" w:rsidRPr="00564B0F">
        <w:t>view</w:t>
      </w:r>
      <w:r w:rsidR="0005172A" w:rsidRPr="00564B0F">
        <w:t xml:space="preserve"> that the statute calls for the Commission to independently and impartially evaluate whether alternative plans comply with the interoperability-related requirements established by FirstNet, but does not empower the Commission to impose network policies or interoperability requirements on FirstNet.</w:t>
      </w:r>
      <w:r w:rsidR="0005172A" w:rsidRPr="00564B0F">
        <w:rPr>
          <w:rStyle w:val="FootnoteReference"/>
        </w:rPr>
        <w:footnoteReference w:id="136"/>
      </w:r>
      <w:r w:rsidR="0005172A" w:rsidRPr="00564B0F">
        <w:t xml:space="preserve">  </w:t>
      </w:r>
      <w:r w:rsidR="00FB168E" w:rsidRPr="00564B0F">
        <w:t>The Commission tentatively concluded that any state plan that required alteration or changes to the FirstNet network would not meet the interoperability requirement of the Act.</w:t>
      </w:r>
      <w:r w:rsidR="00FB168E" w:rsidRPr="00564B0F">
        <w:rPr>
          <w:rStyle w:val="FootnoteReference"/>
        </w:rPr>
        <w:footnoteReference w:id="137"/>
      </w:r>
    </w:p>
    <w:p w14:paraId="39547515" w14:textId="1CFB8367" w:rsidR="00847BC7" w:rsidRPr="00564B0F" w:rsidRDefault="001A540E" w:rsidP="00197339">
      <w:pPr>
        <w:pStyle w:val="ParaNum"/>
        <w:widowControl/>
      </w:pPr>
      <w:r w:rsidRPr="6E3D202F">
        <w:rPr>
          <w:i/>
        </w:rPr>
        <w:t>Comments.</w:t>
      </w:r>
      <w:r w:rsidR="005067AB" w:rsidRPr="6E3D202F">
        <w:rPr>
          <w:i/>
        </w:rPr>
        <w:t xml:space="preserve">  </w:t>
      </w:r>
      <w:r w:rsidR="00612AB3" w:rsidRPr="00564B0F">
        <w:t>P</w:t>
      </w:r>
      <w:r w:rsidR="005067AB" w:rsidRPr="00564B0F">
        <w:t>arties generally agree that the Commission should confine its review to RAN-related technical interoperability.</w:t>
      </w:r>
      <w:r w:rsidR="005067AB" w:rsidRPr="00564B0F">
        <w:rPr>
          <w:rStyle w:val="FootnoteReference"/>
        </w:rPr>
        <w:footnoteReference w:id="138"/>
      </w:r>
      <w:r w:rsidR="005067AB" w:rsidRPr="00564B0F">
        <w:t xml:space="preserve">  Parties also generally agree that the Act does not empower the Commission to impose network policies or interoperability requirements on FirstNet.</w:t>
      </w:r>
      <w:r w:rsidR="005067AB" w:rsidRPr="00564B0F">
        <w:rPr>
          <w:rStyle w:val="FootnoteReference"/>
        </w:rPr>
        <w:footnoteReference w:id="139"/>
      </w:r>
      <w:r w:rsidR="00C2230A" w:rsidRPr="00564B0F">
        <w:t xml:space="preserve"> </w:t>
      </w:r>
      <w:r w:rsidR="001C36A0">
        <w:t xml:space="preserve"> </w:t>
      </w:r>
      <w:r w:rsidR="00C2230A" w:rsidRPr="00564B0F">
        <w:t>Some parties believe the Commission should not approve any plan that requires any changes to the FirstNet network.</w:t>
      </w:r>
      <w:r w:rsidR="00C2230A" w:rsidRPr="00564B0F">
        <w:rPr>
          <w:rStyle w:val="FootnoteReference"/>
        </w:rPr>
        <w:footnoteReference w:id="140"/>
      </w:r>
      <w:r w:rsidR="00C2230A" w:rsidRPr="00564B0F">
        <w:t xml:space="preserve">  Others believe this requirement is too strict and that the Commission could employ a </w:t>
      </w:r>
      <w:r w:rsidR="00C2230A" w:rsidRPr="6E3D202F">
        <w:rPr>
          <w:i/>
        </w:rPr>
        <w:t>de minim</w:t>
      </w:r>
      <w:r w:rsidR="003069B8">
        <w:rPr>
          <w:i/>
        </w:rPr>
        <w:t>i</w:t>
      </w:r>
      <w:r w:rsidR="00C2230A" w:rsidRPr="6E3D202F">
        <w:rPr>
          <w:i/>
        </w:rPr>
        <w:t xml:space="preserve">s </w:t>
      </w:r>
      <w:r w:rsidR="00C2230A" w:rsidRPr="00564B0F">
        <w:t>test.</w:t>
      </w:r>
      <w:r w:rsidR="00C2230A" w:rsidRPr="00564B0F">
        <w:rPr>
          <w:rStyle w:val="FootnoteReference"/>
        </w:rPr>
        <w:footnoteReference w:id="141"/>
      </w:r>
      <w:r w:rsidR="008B1676" w:rsidRPr="00564B0F">
        <w:t xml:space="preserve"> </w:t>
      </w:r>
    </w:p>
    <w:p w14:paraId="49F38DCF" w14:textId="458E5298" w:rsidR="00786E09" w:rsidRPr="00564B0F" w:rsidRDefault="00A825B1" w:rsidP="00786E09">
      <w:pPr>
        <w:pStyle w:val="ParaNum"/>
      </w:pPr>
      <w:r>
        <w:t xml:space="preserve">Based on </w:t>
      </w:r>
      <w:r w:rsidR="00786E09" w:rsidRPr="00564B0F">
        <w:t>FirstNet</w:t>
      </w:r>
      <w:r>
        <w:t>’s</w:t>
      </w:r>
      <w:r w:rsidR="00786E09" w:rsidRPr="00564B0F">
        <w:t xml:space="preserve"> state</w:t>
      </w:r>
      <w:r>
        <w:t xml:space="preserve">ment </w:t>
      </w:r>
      <w:r w:rsidR="002526C1">
        <w:t xml:space="preserve">in </w:t>
      </w:r>
      <w:r>
        <w:t xml:space="preserve">its initial </w:t>
      </w:r>
      <w:r w:rsidR="002526C1">
        <w:t xml:space="preserve">comments that </w:t>
      </w:r>
      <w:r w:rsidR="00786E09" w:rsidRPr="00564B0F">
        <w:t xml:space="preserve">it </w:t>
      </w:r>
      <w:r>
        <w:t>was</w:t>
      </w:r>
      <w:r w:rsidR="00786E09" w:rsidRPr="00564B0F">
        <w:t xml:space="preserve"> developing a network interoperability matrix,</w:t>
      </w:r>
      <w:r w:rsidR="00786E09" w:rsidRPr="00564B0F">
        <w:rPr>
          <w:rStyle w:val="FootnoteReference"/>
        </w:rPr>
        <w:footnoteReference w:id="142"/>
      </w:r>
      <w:r w:rsidR="00786E09" w:rsidRPr="00564B0F">
        <w:t xml:space="preserve"> parties express concern that the delivery of this matrix may be too late to allow a state to address it in its alternative plan or for the Commission to reasonably include its contents in the Commission’s alternative plan review.</w:t>
      </w:r>
      <w:r w:rsidR="00786E09" w:rsidRPr="00564B0F">
        <w:rPr>
          <w:rStyle w:val="FootnoteReference"/>
        </w:rPr>
        <w:footnoteReference w:id="143"/>
      </w:r>
      <w:r w:rsidR="00786E09" w:rsidRPr="00564B0F">
        <w:t xml:space="preserve">  </w:t>
      </w:r>
    </w:p>
    <w:p w14:paraId="1403F565" w14:textId="6466A926" w:rsidR="00847BC7" w:rsidRDefault="00847BC7" w:rsidP="00AA275F">
      <w:pPr>
        <w:pStyle w:val="ParaNum"/>
        <w:widowControl/>
      </w:pPr>
      <w:r w:rsidRPr="00564B0F">
        <w:t xml:space="preserve">Texas argues that the Commission’s proposal does not meet the requirements of Section 553(b) of the Administrative Procedure Act, which requires an administrative agency to publish the substance of a proposed rule and provide opportunity to comment thereon, prior to adopting a rule. </w:t>
      </w:r>
      <w:r w:rsidR="001C36A0">
        <w:t xml:space="preserve"> </w:t>
      </w:r>
      <w:r w:rsidR="00444D5D">
        <w:t>Texas f</w:t>
      </w:r>
      <w:r w:rsidRPr="00564B0F">
        <w:t>urther</w:t>
      </w:r>
      <w:r w:rsidR="00444D5D">
        <w:t xml:space="preserve"> contends </w:t>
      </w:r>
      <w:r w:rsidRPr="00564B0F">
        <w:t xml:space="preserve">that the Commission is proposing to relinquish its rulemaking authority to FirstNet, a Commission-regulated licensee, </w:t>
      </w:r>
      <w:r w:rsidR="00FB0B85">
        <w:t>rendering any rules adopted</w:t>
      </w:r>
      <w:r w:rsidR="001C36A0">
        <w:t xml:space="preserve"> </w:t>
      </w:r>
      <w:r w:rsidRPr="00564B0F">
        <w:t>arbitrary and capricious.</w:t>
      </w:r>
      <w:r w:rsidRPr="00564B0F">
        <w:rPr>
          <w:rStyle w:val="FootnoteReference"/>
        </w:rPr>
        <w:footnoteReference w:id="144"/>
      </w:r>
    </w:p>
    <w:p w14:paraId="09479D1C" w14:textId="7BD025DF" w:rsidR="007661C1" w:rsidRDefault="007661C1" w:rsidP="00847BC7">
      <w:pPr>
        <w:pStyle w:val="ParaNum"/>
      </w:pPr>
      <w:r w:rsidRPr="00073682">
        <w:t xml:space="preserve">In the </w:t>
      </w:r>
      <w:r>
        <w:t xml:space="preserve">“interoperability compliance matrix” submitted as part of FirstNet’s June 5, 2017 </w:t>
      </w:r>
      <w:r>
        <w:rPr>
          <w:i/>
        </w:rPr>
        <w:t xml:space="preserve">ex parte </w:t>
      </w:r>
      <w:r>
        <w:t>filing, FirstNet states that it is presenting “</w:t>
      </w:r>
      <w:r w:rsidRPr="003F05DE">
        <w:t>the technical standards that will be necessary to ensure a state or territory’s RAN is interoperable with the NPSBN</w:t>
      </w:r>
      <w:r>
        <w:t>.”</w:t>
      </w:r>
      <w:r>
        <w:rPr>
          <w:rStyle w:val="FootnoteReference"/>
        </w:rPr>
        <w:footnoteReference w:id="145"/>
      </w:r>
      <w:r>
        <w:t xml:space="preserve">  In its June 16, 2017 supplemental </w:t>
      </w:r>
      <w:r w:rsidRPr="00A1267B">
        <w:rPr>
          <w:i/>
        </w:rPr>
        <w:t>ex parte</w:t>
      </w:r>
      <w:r>
        <w:t>,  FirstNet submits a revised interoperability compliance matrix in which it proposes that under the second prong of the statutory test, the Commission should consider recommendations [4] and [5] of the Interoperability Board Report as the appropriate standard.</w:t>
      </w:r>
      <w:r>
        <w:rPr>
          <w:rStyle w:val="FootnoteReference"/>
        </w:rPr>
        <w:footnoteReference w:id="146"/>
      </w:r>
    </w:p>
    <w:p w14:paraId="1972FA8E" w14:textId="364014C7" w:rsidR="003F05DE" w:rsidRDefault="003F05DE" w:rsidP="003F05DE">
      <w:pPr>
        <w:pStyle w:val="ParaNum"/>
      </w:pPr>
      <w:r w:rsidRPr="00564B0F">
        <w:t xml:space="preserve">In an issue not raised in the </w:t>
      </w:r>
      <w:r w:rsidRPr="00B46573">
        <w:rPr>
          <w:i/>
        </w:rPr>
        <w:t>NPRM</w:t>
      </w:r>
      <w:r w:rsidRPr="00564B0F">
        <w:t xml:space="preserve">, Alabama, Colorado, </w:t>
      </w:r>
      <w:r w:rsidR="007661C1">
        <w:t>Rivada</w:t>
      </w:r>
      <w:r w:rsidR="00BA7D83">
        <w:t>,</w:t>
      </w:r>
      <w:r w:rsidR="007661C1">
        <w:t xml:space="preserve"> </w:t>
      </w:r>
      <w:r w:rsidRPr="00564B0F">
        <w:t>and SouthernL</w:t>
      </w:r>
      <w:r>
        <w:t>inc</w:t>
      </w:r>
      <w:r w:rsidRPr="00564B0F">
        <w:t xml:space="preserve"> have asked the Commission to affirmatively conclude that a state plan can include a separate state </w:t>
      </w:r>
      <w:r>
        <w:t xml:space="preserve">network </w:t>
      </w:r>
      <w:r w:rsidRPr="00564B0F">
        <w:t>core.</w:t>
      </w:r>
      <w:r>
        <w:rPr>
          <w:rStyle w:val="FootnoteReference"/>
        </w:rPr>
        <w:footnoteReference w:id="147"/>
      </w:r>
      <w:r w:rsidRPr="00564B0F">
        <w:t xml:space="preserve">  </w:t>
      </w:r>
    </w:p>
    <w:p w14:paraId="55F8CC55" w14:textId="0A439A08" w:rsidR="006D51F7" w:rsidRDefault="005067AB" w:rsidP="0005172A">
      <w:pPr>
        <w:pStyle w:val="ParaNum"/>
      </w:pPr>
      <w:r w:rsidRPr="6E3D202F">
        <w:rPr>
          <w:i/>
        </w:rPr>
        <w:t>Decision.</w:t>
      </w:r>
      <w:r w:rsidRPr="00564B0F">
        <w:t xml:space="preserve">  </w:t>
      </w:r>
      <w:r w:rsidR="00DC478A" w:rsidRPr="00564B0F">
        <w:t xml:space="preserve">As the network architect and steward of this national resource, </w:t>
      </w:r>
      <w:r w:rsidR="00B067E4">
        <w:t xml:space="preserve">FirstNet has </w:t>
      </w:r>
      <w:r w:rsidR="00DC478A" w:rsidRPr="00564B0F">
        <w:t xml:space="preserve">particular insight into the means and manner by which interconnection with a state-built RAN would achieve interoperability with its network.  We also recognize the potentially competing interests that FirstNet and </w:t>
      </w:r>
      <w:r w:rsidR="00B067E4">
        <w:t>opt-out</w:t>
      </w:r>
      <w:r w:rsidR="00DC478A" w:rsidRPr="00564B0F">
        <w:t xml:space="preserve"> state</w:t>
      </w:r>
      <w:r w:rsidR="00B067E4">
        <w:t>s</w:t>
      </w:r>
      <w:r w:rsidR="00DC478A" w:rsidRPr="00564B0F">
        <w:t xml:space="preserve"> may have with respect to this issue, which was further acknowledged in the </w:t>
      </w:r>
      <w:r w:rsidR="00DC478A" w:rsidRPr="00B46573">
        <w:rPr>
          <w:i/>
        </w:rPr>
        <w:t>NPRM</w:t>
      </w:r>
      <w:r w:rsidR="00DC478A" w:rsidRPr="00564B0F">
        <w:t xml:space="preserve">’s proposal that the Commission, while utilizing FirstNet’s assessment of interoperability relative to its network, would act as a neutral arbiter of whether an alternative plan meets this requirement.  </w:t>
      </w:r>
    </w:p>
    <w:p w14:paraId="4D039501" w14:textId="706E39E2" w:rsidR="002526C1" w:rsidRPr="00564B0F" w:rsidRDefault="002526C1" w:rsidP="002526C1">
      <w:pPr>
        <w:pStyle w:val="ParaNum"/>
      </w:pPr>
      <w:r>
        <w:t>W</w:t>
      </w:r>
      <w:r w:rsidR="00253403">
        <w:t xml:space="preserve">hile FirstNet originally stated that it intended to promulgate “network policies” that would inform the Commission’s review under prong two, </w:t>
      </w:r>
      <w:r>
        <w:t xml:space="preserve">FirstNet’s </w:t>
      </w:r>
      <w:r w:rsidR="00EC346A">
        <w:t xml:space="preserve">June 5 and </w:t>
      </w:r>
      <w:r>
        <w:t xml:space="preserve">June 16 </w:t>
      </w:r>
      <w:r w:rsidR="00632944" w:rsidRPr="00A1267B">
        <w:rPr>
          <w:i/>
        </w:rPr>
        <w:t>ex parte</w:t>
      </w:r>
      <w:r w:rsidR="00EC346A">
        <w:rPr>
          <w:i/>
        </w:rPr>
        <w:t>s</w:t>
      </w:r>
      <w:r w:rsidR="00632944">
        <w:t xml:space="preserve"> indicate that it now proposes </w:t>
      </w:r>
      <w:r w:rsidR="00EC346A">
        <w:t xml:space="preserve">that </w:t>
      </w:r>
      <w:r w:rsidR="00632944">
        <w:t>the Commission’s review under this prong be limited to whether state plans comply with recommend</w:t>
      </w:r>
      <w:r w:rsidR="00F54878">
        <w:t>ed requirements [</w:t>
      </w:r>
      <w:r w:rsidR="00632944">
        <w:t>4</w:t>
      </w:r>
      <w:r w:rsidR="00F54878">
        <w:t>]</w:t>
      </w:r>
      <w:r w:rsidR="00632944">
        <w:t xml:space="preserve"> and </w:t>
      </w:r>
      <w:r w:rsidR="00F54878">
        <w:t>[</w:t>
      </w:r>
      <w:r w:rsidR="00632944">
        <w:t>5</w:t>
      </w:r>
      <w:r w:rsidR="00F54878">
        <w:t>]</w:t>
      </w:r>
      <w:r w:rsidR="00632944">
        <w:t xml:space="preserve"> from the Interoperability Board Report.</w:t>
      </w:r>
      <w:r w:rsidR="004C10C8">
        <w:rPr>
          <w:rStyle w:val="FootnoteReference"/>
        </w:rPr>
        <w:footnoteReference w:id="148"/>
      </w:r>
      <w:r w:rsidR="00632944">
        <w:t xml:space="preserve"> </w:t>
      </w:r>
      <w:r>
        <w:t xml:space="preserve"> </w:t>
      </w:r>
      <w:r w:rsidR="00632944">
        <w:t>I</w:t>
      </w:r>
      <w:r>
        <w:t>n light of the recent nature of these filing</w:t>
      </w:r>
      <w:r w:rsidR="00EC346A">
        <w:t>s</w:t>
      </w:r>
      <w:r w:rsidR="00632944">
        <w:t xml:space="preserve">, </w:t>
      </w:r>
      <w:r>
        <w:t xml:space="preserve">and </w:t>
      </w:r>
      <w:r w:rsidR="00632944">
        <w:t xml:space="preserve">in order to ensure that our decision is based on </w:t>
      </w:r>
      <w:r>
        <w:t xml:space="preserve">a complete record, we </w:t>
      </w:r>
      <w:r w:rsidR="00EC346A">
        <w:t>will defer a final decision on the prong two criteria</w:t>
      </w:r>
      <w:r>
        <w:t xml:space="preserve"> until after an opportunity for brief public comment</w:t>
      </w:r>
      <w:r w:rsidR="00EC346A">
        <w:t xml:space="preserve"> on FirstNet’s proposal</w:t>
      </w:r>
      <w:r>
        <w:t xml:space="preserve">. In doing so, however, we emphasize our intent to act with dispatch to </w:t>
      </w:r>
      <w:r w:rsidR="00EC346A">
        <w:t xml:space="preserve">resolve </w:t>
      </w:r>
      <w:r>
        <w:t>these issues well in advance of the need for state</w:t>
      </w:r>
      <w:r w:rsidR="00EC346A">
        <w:t>s</w:t>
      </w:r>
      <w:r>
        <w:t xml:space="preserve"> to make </w:t>
      </w:r>
      <w:r w:rsidR="00EC346A">
        <w:t xml:space="preserve">their </w:t>
      </w:r>
      <w:r>
        <w:t>statutory opt-out d</w:t>
      </w:r>
      <w:r w:rsidR="00EC346A">
        <w:t>ecisions</w:t>
      </w:r>
      <w:r>
        <w:t xml:space="preserve">, </w:t>
      </w:r>
    </w:p>
    <w:p w14:paraId="4D12189A" w14:textId="60CA92D4" w:rsidR="00DC478A" w:rsidRPr="00564B0F" w:rsidRDefault="002526C1" w:rsidP="0005172A">
      <w:pPr>
        <w:pStyle w:val="ParaNum"/>
      </w:pPr>
      <w:r>
        <w:t>Specifically</w:t>
      </w:r>
      <w:r w:rsidR="00DC478A" w:rsidRPr="00564B0F">
        <w:t xml:space="preserve">, </w:t>
      </w:r>
      <w:r w:rsidR="006D51F7">
        <w:t>we direct the Bureau</w:t>
      </w:r>
      <w:r w:rsidR="00DC478A" w:rsidRPr="00564B0F">
        <w:t xml:space="preserve"> </w:t>
      </w:r>
      <w:r w:rsidR="00E7267D">
        <w:t xml:space="preserve">to </w:t>
      </w:r>
      <w:r w:rsidR="00DC478A" w:rsidRPr="00564B0F">
        <w:t xml:space="preserve">issue </w:t>
      </w:r>
      <w:r w:rsidR="00F11224">
        <w:t>and publish in the Federal Register</w:t>
      </w:r>
      <w:r w:rsidR="00DC478A" w:rsidRPr="00564B0F">
        <w:t xml:space="preserve"> a Public Notice </w:t>
      </w:r>
      <w:r>
        <w:t xml:space="preserve">seeking comment on FirstNet’s June 5 and June 16 </w:t>
      </w:r>
      <w:r>
        <w:rPr>
          <w:i/>
        </w:rPr>
        <w:t xml:space="preserve">ex parte </w:t>
      </w:r>
      <w:r>
        <w:t>filings, and any related filings by FirstNet as appropriate</w:t>
      </w:r>
      <w:r w:rsidR="006D51F7">
        <w:t>.</w:t>
      </w:r>
      <w:r w:rsidR="001C36A0">
        <w:t xml:space="preserve"> </w:t>
      </w:r>
      <w:r w:rsidR="006D51F7">
        <w:t xml:space="preserve"> The Public Notice </w:t>
      </w:r>
      <w:r w:rsidR="00F11224">
        <w:t xml:space="preserve">will </w:t>
      </w:r>
      <w:r w:rsidR="006D51F7">
        <w:t xml:space="preserve">seek </w:t>
      </w:r>
      <w:r w:rsidR="00F11224">
        <w:t>expedited</w:t>
      </w:r>
      <w:r w:rsidR="006D51F7">
        <w:t xml:space="preserve"> comment on </w:t>
      </w:r>
      <w:r>
        <w:t>FirstNet’s proposals as related</w:t>
      </w:r>
      <w:r w:rsidR="006D51F7">
        <w:t xml:space="preserve"> to interoperability and the Commission’s statutory review.  Upon close of the record, </w:t>
      </w:r>
      <w:r w:rsidR="006D6EA7">
        <w:t xml:space="preserve">the Commission </w:t>
      </w:r>
      <w:r w:rsidR="006D51F7">
        <w:t xml:space="preserve">will issue a subsequent order specifically identifying those elements of </w:t>
      </w:r>
      <w:r w:rsidR="00F11224">
        <w:t xml:space="preserve">FirstNet’s </w:t>
      </w:r>
      <w:r w:rsidR="006D51F7">
        <w:t xml:space="preserve">network policies that </w:t>
      </w:r>
      <w:r w:rsidR="00F11224">
        <w:t xml:space="preserve">we </w:t>
      </w:r>
      <w:r w:rsidR="006D51F7">
        <w:t xml:space="preserve">will </w:t>
      </w:r>
      <w:r w:rsidR="00F11224">
        <w:t xml:space="preserve">consider </w:t>
      </w:r>
      <w:r w:rsidR="006D51F7">
        <w:t xml:space="preserve">in evaluating </w:t>
      </w:r>
      <w:r w:rsidR="00F11224">
        <w:t xml:space="preserve">state </w:t>
      </w:r>
      <w:r w:rsidR="006D51F7">
        <w:t xml:space="preserve">compliance with the second prong of the statutory test.  </w:t>
      </w:r>
    </w:p>
    <w:p w14:paraId="607279E0" w14:textId="3B77B209" w:rsidR="002526C1" w:rsidRPr="00A27073" w:rsidRDefault="00E26A83" w:rsidP="008B7C6D">
      <w:pPr>
        <w:pStyle w:val="ParaNum"/>
      </w:pPr>
      <w:r>
        <w:t xml:space="preserve">Whatever our final decision on prong two criteria may be, we emphasize that </w:t>
      </w:r>
      <w:r w:rsidR="002526C1">
        <w:t>o</w:t>
      </w:r>
      <w:r w:rsidR="002526C1" w:rsidRPr="00564B0F">
        <w:t xml:space="preserve">ur review </w:t>
      </w:r>
      <w:r>
        <w:t xml:space="preserve">of state plans under both prongs one and two will </w:t>
      </w:r>
      <w:r w:rsidR="002526C1" w:rsidRPr="00564B0F">
        <w:t>be a purely technical review, consisting of a snapshot evaluation based on the application.</w:t>
      </w:r>
      <w:r w:rsidR="002526C1">
        <w:t xml:space="preserve"> </w:t>
      </w:r>
      <w:r w:rsidR="002526C1" w:rsidRPr="00564B0F">
        <w:t xml:space="preserve"> We find the best means of </w:t>
      </w:r>
      <w:r w:rsidR="002526C1">
        <w:t xml:space="preserve">conducting our review </w:t>
      </w:r>
      <w:r w:rsidR="002526C1" w:rsidRPr="00564B0F">
        <w:t xml:space="preserve">within the terms of the statute is to require a “paper” </w:t>
      </w:r>
      <w:r w:rsidR="002526C1">
        <w:t>compliance showing only.  Therefore, w</w:t>
      </w:r>
      <w:r w:rsidR="002526C1" w:rsidRPr="00564B0F">
        <w:t xml:space="preserve">e will not require </w:t>
      </w:r>
      <w:r w:rsidR="002526C1">
        <w:t xml:space="preserve">states to </w:t>
      </w:r>
      <w:r w:rsidR="002526C1" w:rsidRPr="00564B0F">
        <w:t>demonstrate interoperability in the field</w:t>
      </w:r>
      <w:r w:rsidR="002526C1">
        <w:t xml:space="preserve">, which would </w:t>
      </w:r>
      <w:r w:rsidR="002526C1" w:rsidRPr="00564B0F">
        <w:t xml:space="preserve">be overly prescriptive and unachievable in the timeframes given.  </w:t>
      </w:r>
      <w:r w:rsidR="002526C1" w:rsidRPr="00A27073">
        <w:t xml:space="preserve">We also affirm our view stated in the </w:t>
      </w:r>
      <w:r w:rsidR="002526C1" w:rsidRPr="00A27073">
        <w:rPr>
          <w:i/>
        </w:rPr>
        <w:t>NPRM</w:t>
      </w:r>
      <w:r w:rsidR="002526C1" w:rsidRPr="00A27073">
        <w:t xml:space="preserve"> that state plans that would require FirstNet to alter its network </w:t>
      </w:r>
      <w:r w:rsidR="00A27073">
        <w:t>to accommodate the state’s proposed RAN</w:t>
      </w:r>
      <w:r w:rsidR="002526C1" w:rsidRPr="00A27073">
        <w:t xml:space="preserve"> do not meet the second interoperability prong of the statutory test.  To find otherwise creates opportunities for delay and increased costs.  </w:t>
      </w:r>
    </w:p>
    <w:p w14:paraId="5FFD9D5D" w14:textId="59A92CC6" w:rsidR="00960970" w:rsidRPr="00564B0F" w:rsidRDefault="00F11224" w:rsidP="00B46573">
      <w:pPr>
        <w:pStyle w:val="ParaNum"/>
      </w:pPr>
      <w:r>
        <w:t>Finally, w</w:t>
      </w:r>
      <w:r w:rsidR="005657CD" w:rsidRPr="00564B0F">
        <w:t xml:space="preserve">ith respect to </w:t>
      </w:r>
      <w:r>
        <w:t xml:space="preserve">the request from Alabama, Colorado, </w:t>
      </w:r>
      <w:r w:rsidR="00BA7D83">
        <w:t xml:space="preserve">Rivada, </w:t>
      </w:r>
      <w:r>
        <w:t xml:space="preserve">and SouthernLINC that we affirmatively conclude that </w:t>
      </w:r>
      <w:r w:rsidR="005657CD" w:rsidRPr="00564B0F">
        <w:t xml:space="preserve">a state may include a </w:t>
      </w:r>
      <w:r>
        <w:t xml:space="preserve">separate state </w:t>
      </w:r>
      <w:r w:rsidR="004949A7">
        <w:t xml:space="preserve">network </w:t>
      </w:r>
      <w:r w:rsidR="005657CD" w:rsidRPr="00564B0F">
        <w:t xml:space="preserve">core in its alternative plan, we </w:t>
      </w:r>
      <w:r w:rsidR="001F0B11" w:rsidRPr="00564B0F">
        <w:t xml:space="preserve">find </w:t>
      </w:r>
      <w:r w:rsidR="005657CD" w:rsidRPr="00564B0F">
        <w:t xml:space="preserve">this issue </w:t>
      </w:r>
      <w:r>
        <w:t xml:space="preserve">to be </w:t>
      </w:r>
      <w:r w:rsidR="005657CD" w:rsidRPr="00564B0F">
        <w:t xml:space="preserve">outside the scope of our statutory </w:t>
      </w:r>
      <w:r>
        <w:t xml:space="preserve">review </w:t>
      </w:r>
      <w:r w:rsidR="005657CD" w:rsidRPr="00564B0F">
        <w:t>responsibility</w:t>
      </w:r>
      <w:r>
        <w:t xml:space="preserve"> and we decline to consider it further</w:t>
      </w:r>
      <w:r w:rsidR="005657CD" w:rsidRPr="00564B0F">
        <w:t>.</w:t>
      </w:r>
      <w:r w:rsidR="00253403">
        <w:rPr>
          <w:rStyle w:val="FootnoteReference"/>
        </w:rPr>
        <w:footnoteReference w:id="149"/>
      </w:r>
      <w:r w:rsidR="005657CD" w:rsidRPr="00564B0F">
        <w:t xml:space="preserve"> </w:t>
      </w:r>
      <w:r w:rsidR="001C36A0">
        <w:t xml:space="preserve"> </w:t>
      </w:r>
      <w:r w:rsidR="005657CD" w:rsidRPr="00564B0F">
        <w:t xml:space="preserve">Accordingly, </w:t>
      </w:r>
      <w:r w:rsidR="001C36A0">
        <w:t>although</w:t>
      </w:r>
      <w:r w:rsidR="001C36A0" w:rsidRPr="00564B0F">
        <w:t xml:space="preserve"> </w:t>
      </w:r>
      <w:r w:rsidR="005657CD" w:rsidRPr="00564B0F">
        <w:t xml:space="preserve">we </w:t>
      </w:r>
      <w:r>
        <w:t xml:space="preserve">will not reject an otherwise qualified alternative plan that includes a proposed state </w:t>
      </w:r>
      <w:r w:rsidR="005657CD" w:rsidRPr="00564B0F">
        <w:t>core, we will limit our review solely to the interoperability of the state RAN with the FirstNet network</w:t>
      </w:r>
      <w:r w:rsidR="005257B8" w:rsidRPr="00564B0F">
        <w:t xml:space="preserve"> as directed by the Act</w:t>
      </w:r>
      <w:r w:rsidR="005657CD" w:rsidRPr="00564B0F">
        <w:t xml:space="preserve"> and will not examine possible RAN interconnection with non-FirstNet networks or cores.   </w:t>
      </w:r>
    </w:p>
    <w:p w14:paraId="7AF44D2B" w14:textId="307774BD" w:rsidR="003D6558" w:rsidRPr="00564B0F" w:rsidRDefault="003D6558" w:rsidP="003D6558">
      <w:pPr>
        <w:pStyle w:val="Heading3"/>
      </w:pPr>
      <w:bookmarkStart w:id="55" w:name="_Toc482780159"/>
      <w:bookmarkStart w:id="56" w:name="_Toc482780376"/>
      <w:bookmarkStart w:id="57" w:name="_Toc483919394"/>
      <w:bookmarkStart w:id="58" w:name="_Toc485821097"/>
      <w:r w:rsidRPr="00564B0F">
        <w:t>Interoperab</w:t>
      </w:r>
      <w:r w:rsidR="004C17A1" w:rsidRPr="00564B0F">
        <w:t>ility</w:t>
      </w:r>
      <w:r w:rsidRPr="00564B0F">
        <w:t xml:space="preserve"> Certification</w:t>
      </w:r>
      <w:bookmarkEnd w:id="55"/>
      <w:bookmarkEnd w:id="56"/>
      <w:bookmarkEnd w:id="57"/>
      <w:bookmarkEnd w:id="58"/>
    </w:p>
    <w:p w14:paraId="0BA38254" w14:textId="06251F39" w:rsidR="002F1C16" w:rsidRPr="00564B0F" w:rsidRDefault="003D6558" w:rsidP="003C24C8">
      <w:pPr>
        <w:pStyle w:val="ParaNum"/>
      </w:pPr>
      <w:r w:rsidRPr="6E3D202F">
        <w:rPr>
          <w:i/>
        </w:rPr>
        <w:t xml:space="preserve">NPRM.  </w:t>
      </w:r>
      <w:r w:rsidR="006F794F" w:rsidRPr="00564B0F">
        <w:t xml:space="preserve">In the </w:t>
      </w:r>
      <w:r w:rsidR="006F794F" w:rsidRPr="6E3D202F">
        <w:rPr>
          <w:i/>
        </w:rPr>
        <w:t>NPRM</w:t>
      </w:r>
      <w:r w:rsidR="003069B8">
        <w:t>,</w:t>
      </w:r>
      <w:r w:rsidR="006F794F" w:rsidRPr="00564B0F">
        <w:t xml:space="preserve"> </w:t>
      </w:r>
      <w:r w:rsidR="004C166C" w:rsidRPr="00564B0F">
        <w:t>the Commission</w:t>
      </w:r>
      <w:r w:rsidR="006F794F" w:rsidRPr="00564B0F">
        <w:t xml:space="preserve"> sought comment on what specific information a state should provide in its alternative plan to demonstrate that it will be interoperable with the FirstNet network</w:t>
      </w:r>
      <w:r w:rsidR="002F1C16" w:rsidRPr="00564B0F">
        <w:t xml:space="preserve"> </w:t>
      </w:r>
      <w:r w:rsidR="00DA5CE6" w:rsidRPr="00564B0F">
        <w:t>two</w:t>
      </w:r>
      <w:r w:rsidR="00EC1D38" w:rsidRPr="00564B0F">
        <w:t>-</w:t>
      </w:r>
      <w:r w:rsidR="00DA5CE6" w:rsidRPr="00564B0F">
        <w:t>prong statu</w:t>
      </w:r>
      <w:r w:rsidR="00EC1D38" w:rsidRPr="00564B0F">
        <w:t>t</w:t>
      </w:r>
      <w:r w:rsidR="00DA5CE6" w:rsidRPr="00564B0F">
        <w:t>ory test</w:t>
      </w:r>
      <w:r w:rsidR="002A6ECD" w:rsidRPr="00564B0F">
        <w:t xml:space="preserve"> as well as </w:t>
      </w:r>
      <w:r w:rsidR="002F1C16" w:rsidRPr="00564B0F">
        <w:t xml:space="preserve">what standards and measurements of compliance </w:t>
      </w:r>
      <w:r w:rsidR="004C166C" w:rsidRPr="00564B0F">
        <w:t>the Commission</w:t>
      </w:r>
      <w:r w:rsidR="002F1C16" w:rsidRPr="00564B0F">
        <w:t xml:space="preserve"> should adopt with respect to evaluating a state</w:t>
      </w:r>
      <w:r w:rsidR="00394ABA" w:rsidRPr="00564B0F">
        <w:t>’</w:t>
      </w:r>
      <w:r w:rsidR="002F1C16" w:rsidRPr="00564B0F">
        <w:t>s submission</w:t>
      </w:r>
      <w:r w:rsidR="006F794F" w:rsidRPr="00564B0F">
        <w:t>.</w:t>
      </w:r>
      <w:r w:rsidR="002F1C16" w:rsidRPr="00564B0F">
        <w:rPr>
          <w:rStyle w:val="FootnoteReference"/>
        </w:rPr>
        <w:footnoteReference w:id="150"/>
      </w:r>
      <w:r w:rsidR="006F794F" w:rsidRPr="00564B0F">
        <w:t xml:space="preserve">  </w:t>
      </w:r>
      <w:r w:rsidR="002F1C16" w:rsidRPr="00564B0F">
        <w:t xml:space="preserve">Specifically, </w:t>
      </w:r>
      <w:r w:rsidR="004C166C" w:rsidRPr="00564B0F">
        <w:t>the Commission</w:t>
      </w:r>
      <w:r w:rsidR="002F1C16" w:rsidRPr="00564B0F">
        <w:t xml:space="preserve"> asked whether </w:t>
      </w:r>
      <w:r w:rsidR="006F794F" w:rsidRPr="00564B0F">
        <w:t xml:space="preserve">opt-out states </w:t>
      </w:r>
      <w:r w:rsidR="002F1C16" w:rsidRPr="00564B0F">
        <w:t>should:</w:t>
      </w:r>
    </w:p>
    <w:p w14:paraId="35F2334E" w14:textId="5C998F2B" w:rsidR="002F1C16" w:rsidRPr="00564B0F" w:rsidRDefault="006F794F" w:rsidP="002F1C16">
      <w:pPr>
        <w:pStyle w:val="ParaNum"/>
        <w:numPr>
          <w:ilvl w:val="0"/>
          <w:numId w:val="8"/>
        </w:numPr>
      </w:pPr>
      <w:r w:rsidRPr="00564B0F">
        <w:t>certify compliance with the interoperability-related elements of FirstNet’s network plan and policies</w:t>
      </w:r>
      <w:r w:rsidR="002F1C16" w:rsidRPr="00564B0F">
        <w:t>;</w:t>
      </w:r>
      <w:r w:rsidR="002F1C16" w:rsidRPr="00564B0F">
        <w:rPr>
          <w:rStyle w:val="FootnoteReference"/>
        </w:rPr>
        <w:footnoteReference w:id="151"/>
      </w:r>
      <w:r w:rsidR="002F1C16" w:rsidRPr="00564B0F">
        <w:t xml:space="preserve"> </w:t>
      </w:r>
    </w:p>
    <w:p w14:paraId="5D797159" w14:textId="641B45A7" w:rsidR="002F1C16" w:rsidRPr="00564B0F" w:rsidRDefault="006F794F" w:rsidP="002F1C16">
      <w:pPr>
        <w:pStyle w:val="ParaNum"/>
        <w:numPr>
          <w:ilvl w:val="0"/>
          <w:numId w:val="8"/>
        </w:numPr>
      </w:pPr>
      <w:r w:rsidRPr="00564B0F">
        <w:t>provide additional documentation regarding specific elements in their alternative plans that could affect interoperability</w:t>
      </w:r>
      <w:r w:rsidR="002F1C16" w:rsidRPr="00564B0F">
        <w:t>;</w:t>
      </w:r>
      <w:r w:rsidR="002F1C16" w:rsidRPr="00564B0F">
        <w:rPr>
          <w:rStyle w:val="FootnoteReference"/>
        </w:rPr>
        <w:t xml:space="preserve"> </w:t>
      </w:r>
      <w:r w:rsidR="002F1C16" w:rsidRPr="00564B0F">
        <w:rPr>
          <w:rStyle w:val="FootnoteReference"/>
        </w:rPr>
        <w:footnoteReference w:id="152"/>
      </w:r>
      <w:r w:rsidR="002F1C16" w:rsidRPr="00564B0F">
        <w:t xml:space="preserve"> or </w:t>
      </w:r>
    </w:p>
    <w:p w14:paraId="71F62A29" w14:textId="11C19CA6" w:rsidR="009055DE" w:rsidRPr="00564B0F" w:rsidRDefault="006F794F" w:rsidP="00197339">
      <w:pPr>
        <w:pStyle w:val="ParaNum"/>
        <w:widowControl/>
        <w:numPr>
          <w:ilvl w:val="0"/>
          <w:numId w:val="8"/>
        </w:numPr>
      </w:pPr>
      <w:r w:rsidRPr="00564B0F">
        <w:t>submit relevant test plans to demonstrate how they intend to meet the interoperability requirements</w:t>
      </w:r>
      <w:r w:rsidR="002F1C16" w:rsidRPr="00564B0F">
        <w:t>.</w:t>
      </w:r>
      <w:r w:rsidR="002F1C16" w:rsidRPr="00564B0F">
        <w:rPr>
          <w:rStyle w:val="FootnoteReference"/>
        </w:rPr>
        <w:footnoteReference w:id="153"/>
      </w:r>
    </w:p>
    <w:p w14:paraId="25258517" w14:textId="78D116FA" w:rsidR="002F1C16" w:rsidRPr="00564B0F" w:rsidRDefault="00BA37E2" w:rsidP="002F1C16">
      <w:pPr>
        <w:pStyle w:val="ParaNum"/>
      </w:pPr>
      <w:r>
        <w:t xml:space="preserve">Assuming </w:t>
      </w:r>
      <w:r w:rsidR="00A80813">
        <w:t xml:space="preserve">ultimate </w:t>
      </w:r>
      <w:r>
        <w:t>adoption of a certification regime, t</w:t>
      </w:r>
      <w:r w:rsidR="004C166C" w:rsidRPr="00564B0F">
        <w:t>he Commission</w:t>
      </w:r>
      <w:r w:rsidR="00214B05" w:rsidRPr="00564B0F">
        <w:t xml:space="preserve"> also sought comment on what level of certification </w:t>
      </w:r>
      <w:r w:rsidR="00A80813">
        <w:t xml:space="preserve">should be </w:t>
      </w:r>
      <w:r w:rsidR="00214B05" w:rsidRPr="00564B0F">
        <w:t>deem</w:t>
      </w:r>
      <w:r w:rsidR="00A80813">
        <w:t>ed</w:t>
      </w:r>
      <w:r w:rsidR="00214B05" w:rsidRPr="00564B0F">
        <w:t xml:space="preserve"> sufficient.</w:t>
      </w:r>
      <w:r w:rsidR="006B5E1D" w:rsidRPr="00564B0F">
        <w:rPr>
          <w:rStyle w:val="FootnoteReference"/>
        </w:rPr>
        <w:footnoteReference w:id="154"/>
      </w:r>
      <w:r w:rsidR="00214B05" w:rsidRPr="00564B0F">
        <w:t xml:space="preserve">  The Commission asked whether self-certification by the </w:t>
      </w:r>
      <w:r w:rsidR="000E53AA">
        <w:t>G</w:t>
      </w:r>
      <w:r w:rsidR="00214B05" w:rsidRPr="00564B0F">
        <w:t>overnor</w:t>
      </w:r>
      <w:r w:rsidR="0041145F">
        <w:t>,</w:t>
      </w:r>
      <w:r w:rsidR="00214B05" w:rsidRPr="00564B0F">
        <w:t xml:space="preserve"> or </w:t>
      </w:r>
      <w:r w:rsidR="0041145F">
        <w:t xml:space="preserve">his or </w:t>
      </w:r>
      <w:r w:rsidR="00214B05" w:rsidRPr="00564B0F">
        <w:t>her designee</w:t>
      </w:r>
      <w:r w:rsidR="0041145F">
        <w:t>,</w:t>
      </w:r>
      <w:r w:rsidR="00214B05" w:rsidRPr="00564B0F">
        <w:t xml:space="preserve"> </w:t>
      </w:r>
      <w:r w:rsidR="00A80813">
        <w:t xml:space="preserve">would </w:t>
      </w:r>
      <w:r w:rsidR="00214B05" w:rsidRPr="00564B0F">
        <w:t xml:space="preserve">be sufficient or </w:t>
      </w:r>
      <w:r w:rsidR="00A80813">
        <w:t xml:space="preserve">whether </w:t>
      </w:r>
      <w:r w:rsidR="00214B05" w:rsidRPr="00564B0F">
        <w:t xml:space="preserve">a third party </w:t>
      </w:r>
      <w:r w:rsidR="00A80813">
        <w:t xml:space="preserve">should </w:t>
      </w:r>
      <w:r w:rsidR="00214B05" w:rsidRPr="00564B0F">
        <w:t>certify the plan, and who would be an appropriate third party</w:t>
      </w:r>
      <w:r w:rsidR="00A80813">
        <w:t xml:space="preserve"> in the latter case</w:t>
      </w:r>
      <w:r w:rsidR="00214B05" w:rsidRPr="00564B0F">
        <w:t>.</w:t>
      </w:r>
      <w:r w:rsidR="006B5E1D" w:rsidRPr="00564B0F">
        <w:rPr>
          <w:rStyle w:val="FootnoteReference"/>
        </w:rPr>
        <w:footnoteReference w:id="155"/>
      </w:r>
      <w:r w:rsidR="00214B05" w:rsidRPr="00564B0F">
        <w:t xml:space="preserve">  </w:t>
      </w:r>
    </w:p>
    <w:p w14:paraId="0B8DE22D" w14:textId="1D9912DF" w:rsidR="00394ABA" w:rsidRPr="00564B0F" w:rsidRDefault="001A540E" w:rsidP="002F1C16">
      <w:pPr>
        <w:pStyle w:val="ParaNum"/>
      </w:pPr>
      <w:r w:rsidRPr="6E3D202F">
        <w:rPr>
          <w:i/>
        </w:rPr>
        <w:t>Comments.</w:t>
      </w:r>
      <w:r w:rsidR="00394ABA" w:rsidRPr="00564B0F">
        <w:t xml:space="preserve">  Parties generally </w:t>
      </w:r>
      <w:r w:rsidR="00A80813">
        <w:t xml:space="preserve">support allowing </w:t>
      </w:r>
      <w:r w:rsidR="00394ABA" w:rsidRPr="00564B0F">
        <w:t xml:space="preserve">states </w:t>
      </w:r>
      <w:r w:rsidR="00A80813">
        <w:t xml:space="preserve">to </w:t>
      </w:r>
      <w:r w:rsidR="00394ABA" w:rsidRPr="00564B0F">
        <w:t xml:space="preserve">certify compliance but </w:t>
      </w:r>
      <w:r w:rsidR="00EC1D38" w:rsidRPr="00564B0F">
        <w:t xml:space="preserve">contend that they </w:t>
      </w:r>
      <w:r w:rsidR="00394ABA" w:rsidRPr="00564B0F">
        <w:t>should also provide sufficient information to demonstrate that compliance is achievable.</w:t>
      </w:r>
      <w:r w:rsidR="00394ABA" w:rsidRPr="00564B0F">
        <w:rPr>
          <w:rStyle w:val="FootnoteReference"/>
        </w:rPr>
        <w:footnoteReference w:id="156"/>
      </w:r>
      <w:r w:rsidR="00394ABA" w:rsidRPr="00564B0F">
        <w:t xml:space="preserve">  Parties </w:t>
      </w:r>
      <w:r w:rsidR="00A80813">
        <w:t xml:space="preserve">variously </w:t>
      </w:r>
      <w:r w:rsidR="00394ABA" w:rsidRPr="00564B0F">
        <w:t>support self-certification</w:t>
      </w:r>
      <w:r w:rsidR="004530DA" w:rsidRPr="00564B0F">
        <w:t>,</w:t>
      </w:r>
      <w:r w:rsidR="00C2230A" w:rsidRPr="00564B0F">
        <w:t xml:space="preserve"> (</w:t>
      </w:r>
      <w:r w:rsidR="00C2230A" w:rsidRPr="6E3D202F">
        <w:rPr>
          <w:i/>
        </w:rPr>
        <w:t>i.e.</w:t>
      </w:r>
      <w:r w:rsidR="00C2230A" w:rsidRPr="00E90896">
        <w:t>,</w:t>
      </w:r>
      <w:r w:rsidR="008F4EC9" w:rsidRPr="00E90896">
        <w:t xml:space="preserve"> </w:t>
      </w:r>
      <w:r w:rsidR="00C2230A" w:rsidRPr="00564B0F">
        <w:t>certification without providing additional information),</w:t>
      </w:r>
      <w:r w:rsidR="00394ABA" w:rsidRPr="00564B0F">
        <w:rPr>
          <w:rStyle w:val="FootnoteReference"/>
        </w:rPr>
        <w:footnoteReference w:id="157"/>
      </w:r>
      <w:r w:rsidR="00394ABA" w:rsidRPr="00564B0F">
        <w:t xml:space="preserve"> </w:t>
      </w:r>
      <w:r w:rsidR="00A80813">
        <w:t xml:space="preserve">requiring </w:t>
      </w:r>
      <w:r w:rsidR="00C2230A" w:rsidRPr="00564B0F">
        <w:t xml:space="preserve">independent </w:t>
      </w:r>
      <w:r w:rsidR="00A80813">
        <w:t xml:space="preserve">third </w:t>
      </w:r>
      <w:r w:rsidR="00BC3DD1" w:rsidRPr="00564B0F">
        <w:t>party review</w:t>
      </w:r>
      <w:r w:rsidR="00C2230A" w:rsidRPr="00564B0F">
        <w:t xml:space="preserve"> </w:t>
      </w:r>
      <w:r w:rsidR="00A80813">
        <w:t>of</w:t>
      </w:r>
      <w:r w:rsidR="00C2230A" w:rsidRPr="00564B0F">
        <w:t xml:space="preserve"> the state’s compliance demonstration</w:t>
      </w:r>
      <w:r w:rsidR="00BC3DD1" w:rsidRPr="00564B0F">
        <w:t>,</w:t>
      </w:r>
      <w:r w:rsidR="00BC3DD1" w:rsidRPr="00564B0F">
        <w:rPr>
          <w:rStyle w:val="FootnoteReference"/>
        </w:rPr>
        <w:footnoteReference w:id="158"/>
      </w:r>
      <w:r w:rsidR="00BC3DD1" w:rsidRPr="00564B0F">
        <w:t xml:space="preserve"> </w:t>
      </w:r>
      <w:r w:rsidR="004530DA" w:rsidRPr="00564B0F">
        <w:t xml:space="preserve">or </w:t>
      </w:r>
      <w:r w:rsidR="00C2230A" w:rsidRPr="00564B0F">
        <w:t xml:space="preserve">relying on the </w:t>
      </w:r>
      <w:r w:rsidR="00BC3DD1" w:rsidRPr="00564B0F">
        <w:t xml:space="preserve">Commission </w:t>
      </w:r>
      <w:r w:rsidR="00C2230A" w:rsidRPr="00564B0F">
        <w:t>to conduct a technical review</w:t>
      </w:r>
      <w:r w:rsidR="00BC3DD1" w:rsidRPr="00564B0F">
        <w:t>.</w:t>
      </w:r>
      <w:r w:rsidR="00BC3DD1" w:rsidRPr="00564B0F">
        <w:rPr>
          <w:rStyle w:val="FootnoteReference"/>
        </w:rPr>
        <w:footnoteReference w:id="159"/>
      </w:r>
      <w:r w:rsidR="00C2230A" w:rsidRPr="00564B0F">
        <w:t xml:space="preserve">  </w:t>
      </w:r>
    </w:p>
    <w:p w14:paraId="07DAF4EF" w14:textId="493163E0" w:rsidR="000C7649" w:rsidRPr="00564B0F" w:rsidRDefault="00394ABA" w:rsidP="000C7649">
      <w:pPr>
        <w:pStyle w:val="ParaNum"/>
      </w:pPr>
      <w:r w:rsidRPr="008640CF">
        <w:rPr>
          <w:i/>
        </w:rPr>
        <w:t>Decision.</w:t>
      </w:r>
      <w:r w:rsidR="000C7649" w:rsidRPr="00564B0F">
        <w:t xml:space="preserve">  </w:t>
      </w:r>
      <w:r w:rsidR="00D11C05" w:rsidRPr="00564B0F">
        <w:t>We</w:t>
      </w:r>
      <w:r w:rsidR="000C7649" w:rsidRPr="00564B0F">
        <w:t xml:space="preserve"> will require states to include a </w:t>
      </w:r>
      <w:r w:rsidR="004530DA" w:rsidRPr="00564B0F">
        <w:t>self-</w:t>
      </w:r>
      <w:r w:rsidR="000C7649" w:rsidRPr="00564B0F">
        <w:t xml:space="preserve">certification </w:t>
      </w:r>
      <w:r w:rsidR="00AF0ADC">
        <w:t>by the Governor</w:t>
      </w:r>
      <w:r w:rsidR="0041145F">
        <w:t>,</w:t>
      </w:r>
      <w:r w:rsidR="00AF0ADC">
        <w:t xml:space="preserve"> or </w:t>
      </w:r>
      <w:r w:rsidR="0041145F">
        <w:t>his or her</w:t>
      </w:r>
      <w:r w:rsidR="00AF0ADC">
        <w:t xml:space="preserve"> designee</w:t>
      </w:r>
      <w:r w:rsidR="0041145F">
        <w:t>,</w:t>
      </w:r>
      <w:r w:rsidR="00AF0ADC">
        <w:t xml:space="preserve"> confirming the state’s </w:t>
      </w:r>
      <w:r w:rsidR="000C7649" w:rsidRPr="00564B0F">
        <w:t>adherence to FirstNet network policies relating to technical interoperability</w:t>
      </w:r>
      <w:r w:rsidR="00220C27">
        <w:t xml:space="preserve"> as well as the adherence to the Interoperability Board Report recommendations utilized under both prongs for the Commission’s statutory review</w:t>
      </w:r>
      <w:r w:rsidR="00A80813">
        <w:t>.</w:t>
      </w:r>
      <w:r w:rsidR="001065AE" w:rsidRPr="00564B0F">
        <w:t xml:space="preserve"> </w:t>
      </w:r>
      <w:r w:rsidR="001C36A0">
        <w:t xml:space="preserve"> </w:t>
      </w:r>
      <w:r w:rsidR="00863879">
        <w:t xml:space="preserve">We expect the certification to be supported where appropriate with specific </w:t>
      </w:r>
      <w:r w:rsidR="001C36A0">
        <w:t xml:space="preserve">references </w:t>
      </w:r>
      <w:r w:rsidR="00863879">
        <w:t xml:space="preserve">to the RFP and/or bid responses supporting the requirement identified.  However, we will not require third party review of certifications. </w:t>
      </w:r>
      <w:r w:rsidR="001065AE" w:rsidRPr="00564B0F">
        <w:t xml:space="preserve"> We agree with those </w:t>
      </w:r>
      <w:r w:rsidR="00A80813">
        <w:t xml:space="preserve">commenters that objected to </w:t>
      </w:r>
      <w:r w:rsidR="00863879">
        <w:t xml:space="preserve">such a </w:t>
      </w:r>
      <w:r w:rsidR="001065AE" w:rsidRPr="00564B0F">
        <w:t>requir</w:t>
      </w:r>
      <w:r w:rsidR="00863879">
        <w:t xml:space="preserve">ement </w:t>
      </w:r>
      <w:r w:rsidR="00A80813">
        <w:t xml:space="preserve">on the grounds that it </w:t>
      </w:r>
      <w:r w:rsidR="001065AE" w:rsidRPr="00564B0F">
        <w:t>could introduce delay and conflicts of interest.</w:t>
      </w:r>
      <w:r w:rsidR="00D725F1">
        <w:t xml:space="preserve"> </w:t>
      </w:r>
      <w:r w:rsidR="001C36A0">
        <w:t xml:space="preserve"> </w:t>
      </w:r>
      <w:r w:rsidR="00AF0ADC">
        <w:t>Moreover, we decline to require submission of test plans, as such action more appropriately falls under the purview of the “ongoing” interoperability to be assessed by NTIA.</w:t>
      </w:r>
    </w:p>
    <w:p w14:paraId="28530281" w14:textId="05672D4C" w:rsidR="00394ABA" w:rsidRPr="00564B0F" w:rsidRDefault="00FB0B85" w:rsidP="000C7649">
      <w:pPr>
        <w:pStyle w:val="ParaNum"/>
      </w:pPr>
      <w:r w:rsidRPr="00564B0F">
        <w:t xml:space="preserve">Based upon FirstNet’s </w:t>
      </w:r>
      <w:r w:rsidRPr="6E3D202F">
        <w:rPr>
          <w:i/>
        </w:rPr>
        <w:t>ex parte</w:t>
      </w:r>
      <w:r w:rsidRPr="00E90896">
        <w:t xml:space="preserve">, </w:t>
      </w:r>
      <w:r w:rsidRPr="00564B0F">
        <w:t>we note that FirstNet anticipates a process whereby states will have an opportunity to comment on the draft state plans, including network policies, before final state plans are provided to the states, triggering the statutory timing related to opt-out decision making.</w:t>
      </w:r>
      <w:r>
        <w:t xml:space="preserve"> </w:t>
      </w:r>
      <w:r w:rsidR="001C36A0">
        <w:t xml:space="preserve"> </w:t>
      </w:r>
      <w:r w:rsidR="006E5F9B">
        <w:t xml:space="preserve">We believe this provides sufficient time, coupled with the process timelines for Commission submissions described herein, for such a certification to be made.  </w:t>
      </w:r>
      <w:r>
        <w:t xml:space="preserve"> </w:t>
      </w:r>
    </w:p>
    <w:p w14:paraId="1FB64F77" w14:textId="5E2697A0" w:rsidR="00394ABA" w:rsidRPr="00564B0F" w:rsidRDefault="00BC3DD1" w:rsidP="00BC3DD1">
      <w:pPr>
        <w:pStyle w:val="Heading3"/>
      </w:pPr>
      <w:bookmarkStart w:id="59" w:name="_Toc482780160"/>
      <w:bookmarkStart w:id="60" w:name="_Toc482780377"/>
      <w:bookmarkStart w:id="61" w:name="_Toc483919395"/>
      <w:bookmarkStart w:id="62" w:name="_Toc485821098"/>
      <w:r w:rsidRPr="00564B0F">
        <w:t>Documentation of the Commission Decision</w:t>
      </w:r>
      <w:bookmarkEnd w:id="59"/>
      <w:bookmarkEnd w:id="60"/>
      <w:bookmarkEnd w:id="61"/>
      <w:bookmarkEnd w:id="62"/>
    </w:p>
    <w:p w14:paraId="2C05F366" w14:textId="7F9E939B" w:rsidR="004C166C" w:rsidRPr="00564B0F" w:rsidRDefault="00BC3DD1" w:rsidP="00E62276">
      <w:pPr>
        <w:pStyle w:val="ParaNum"/>
        <w:widowControl/>
      </w:pPr>
      <w:r w:rsidRPr="6E3D202F">
        <w:rPr>
          <w:i/>
        </w:rPr>
        <w:t xml:space="preserve">NPRM.  </w:t>
      </w:r>
      <w:r w:rsidRPr="00564B0F">
        <w:t>T</w:t>
      </w:r>
      <w:r w:rsidR="004C166C" w:rsidRPr="00564B0F">
        <w:t>he Commission sought comment on how it should document its decisions to approve or disapprove state opt-out requests under the statutory criteria, given that Section 6302(h) of the Act provides for only limited judicial review of the Commission decisions based on a showing that: (1)</w:t>
      </w:r>
      <w:r w:rsidR="0041145F">
        <w:t xml:space="preserve"> </w:t>
      </w:r>
      <w:r w:rsidR="004C166C" w:rsidRPr="00564B0F">
        <w:t xml:space="preserve">the decision “was procured by corruption, fraud, or undue means”; (2) there was “actual partiality </w:t>
      </w:r>
      <w:r w:rsidR="0041145F">
        <w:t>or</w:t>
      </w:r>
      <w:r w:rsidR="004C166C" w:rsidRPr="00564B0F">
        <w:t xml:space="preserve"> corruption”; or </w:t>
      </w:r>
      <w:r w:rsidR="00863879">
        <w:t xml:space="preserve">(3) </w:t>
      </w:r>
      <w:r w:rsidR="004C166C" w:rsidRPr="00564B0F">
        <w:t>there was “misconduct in refusing to hear evidence pertinent and material to the decision or of any other misbehavior by which the rights of any party have been prejudiced.”</w:t>
      </w:r>
      <w:r w:rsidR="004C166C" w:rsidRPr="00564B0F">
        <w:rPr>
          <w:rStyle w:val="FootnoteReference"/>
        </w:rPr>
        <w:footnoteReference w:id="160"/>
      </w:r>
      <w:r w:rsidR="004C166C" w:rsidRPr="00564B0F">
        <w:t xml:space="preserve">  </w:t>
      </w:r>
    </w:p>
    <w:p w14:paraId="1F649C88" w14:textId="6FF07AB4" w:rsidR="00BC3DD1" w:rsidRPr="00564B0F" w:rsidRDefault="001A540E" w:rsidP="00197339">
      <w:pPr>
        <w:pStyle w:val="ParaNum"/>
        <w:widowControl/>
      </w:pPr>
      <w:r w:rsidRPr="6E3D202F">
        <w:rPr>
          <w:i/>
        </w:rPr>
        <w:t>Comments.</w:t>
      </w:r>
      <w:r w:rsidR="00BC3DD1" w:rsidRPr="6E3D202F">
        <w:rPr>
          <w:i/>
        </w:rPr>
        <w:t xml:space="preserve">  </w:t>
      </w:r>
      <w:r w:rsidR="00BC3DD1" w:rsidRPr="00564B0F">
        <w:t xml:space="preserve">Most parties agree that the Commission should provide a written decision that explains the rationale behind </w:t>
      </w:r>
      <w:r w:rsidR="001065AE" w:rsidRPr="00564B0F">
        <w:t xml:space="preserve">each </w:t>
      </w:r>
      <w:r w:rsidR="00BC3DD1" w:rsidRPr="00564B0F">
        <w:t>decision</w:t>
      </w:r>
      <w:r w:rsidR="001065AE" w:rsidRPr="00564B0F">
        <w:t xml:space="preserve"> to approve or disapprove a state’s alternative plan</w:t>
      </w:r>
      <w:r w:rsidR="00BC3DD1" w:rsidRPr="00564B0F">
        <w:t>.</w:t>
      </w:r>
      <w:r w:rsidR="00BC3DD1" w:rsidRPr="00564B0F">
        <w:rPr>
          <w:rStyle w:val="FootnoteReference"/>
        </w:rPr>
        <w:footnoteReference w:id="161"/>
      </w:r>
    </w:p>
    <w:p w14:paraId="3C32B674" w14:textId="388AD144" w:rsidR="00BC3DD1" w:rsidRPr="00564B0F" w:rsidRDefault="007207F6" w:rsidP="000C7649">
      <w:pPr>
        <w:pStyle w:val="ParaNum"/>
      </w:pPr>
      <w:r w:rsidRPr="6E3D202F">
        <w:rPr>
          <w:i/>
        </w:rPr>
        <w:t>Decision</w:t>
      </w:r>
      <w:r w:rsidRPr="00564B0F">
        <w:t>.</w:t>
      </w:r>
      <w:r w:rsidR="000C7649" w:rsidRPr="00E90896">
        <w:rPr>
          <w:i/>
        </w:rPr>
        <w:t xml:space="preserve"> </w:t>
      </w:r>
      <w:r w:rsidR="000C7649" w:rsidRPr="6E3D202F">
        <w:rPr>
          <w:i/>
        </w:rPr>
        <w:t xml:space="preserve"> </w:t>
      </w:r>
      <w:r w:rsidR="000159B9">
        <w:t>The full Commission</w:t>
      </w:r>
      <w:r w:rsidR="000159B9" w:rsidRPr="00564B0F">
        <w:t xml:space="preserve"> </w:t>
      </w:r>
      <w:r w:rsidR="00B556EB" w:rsidRPr="00564B0F">
        <w:t xml:space="preserve">will </w:t>
      </w:r>
      <w:r w:rsidR="000C7649" w:rsidRPr="00564B0F">
        <w:t>issue a separate Order for each opt-out request.</w:t>
      </w:r>
      <w:r w:rsidR="00B556EB" w:rsidRPr="00564B0F">
        <w:t xml:space="preserve">  </w:t>
      </w:r>
      <w:r w:rsidR="001065AE" w:rsidRPr="00564B0F">
        <w:t xml:space="preserve">Each </w:t>
      </w:r>
      <w:r w:rsidR="00B556EB" w:rsidRPr="00564B0F">
        <w:t xml:space="preserve">order will provide </w:t>
      </w:r>
      <w:r w:rsidR="001065AE" w:rsidRPr="00564B0F">
        <w:t xml:space="preserve">a brief explanation of the Commission’s decision based on the statutory criteria as applied to the information submitted in the record. </w:t>
      </w:r>
      <w:r w:rsidR="00B556EB" w:rsidRPr="00564B0F">
        <w:t xml:space="preserve"> </w:t>
      </w:r>
      <w:r w:rsidR="001065AE" w:rsidRPr="00564B0F">
        <w:t xml:space="preserve">In addition, </w:t>
      </w:r>
      <w:r w:rsidR="00B556EB" w:rsidRPr="00564B0F">
        <w:t xml:space="preserve">if </w:t>
      </w:r>
      <w:r w:rsidR="001065AE" w:rsidRPr="00564B0F">
        <w:t xml:space="preserve">any </w:t>
      </w:r>
      <w:r w:rsidR="00B556EB" w:rsidRPr="00564B0F">
        <w:t xml:space="preserve">decision </w:t>
      </w:r>
      <w:r w:rsidR="001065AE" w:rsidRPr="00564B0F">
        <w:t xml:space="preserve">relies </w:t>
      </w:r>
      <w:r w:rsidR="000C7649" w:rsidRPr="00564B0F">
        <w:t xml:space="preserve">on confidential information, </w:t>
      </w:r>
      <w:r w:rsidR="00B556EB" w:rsidRPr="00564B0F">
        <w:t xml:space="preserve">we will redact </w:t>
      </w:r>
      <w:r w:rsidR="000C7649" w:rsidRPr="00564B0F">
        <w:t>the public order as necessary</w:t>
      </w:r>
      <w:r w:rsidR="001065AE" w:rsidRPr="00564B0F">
        <w:t>.</w:t>
      </w:r>
      <w:r w:rsidR="000C7649" w:rsidRPr="00564B0F">
        <w:t xml:space="preserve">  </w:t>
      </w:r>
      <w:r w:rsidR="001065AE" w:rsidRPr="00564B0F">
        <w:t>We believe this</w:t>
      </w:r>
      <w:r w:rsidR="00863879">
        <w:t xml:space="preserve"> approach will</w:t>
      </w:r>
      <w:r w:rsidR="001065AE" w:rsidRPr="00564B0F">
        <w:t xml:space="preserve"> provide a sufficient basis for judicial review under the narrow scope provided by Section 6302(h).  </w:t>
      </w:r>
    </w:p>
    <w:p w14:paraId="665E47BA" w14:textId="77777777" w:rsidR="00B556EB" w:rsidRPr="00564B0F" w:rsidRDefault="00B556EB" w:rsidP="00B556EB">
      <w:pPr>
        <w:pStyle w:val="Heading1"/>
        <w:widowControl/>
      </w:pPr>
      <w:bookmarkStart w:id="63" w:name="_Toc459716597"/>
      <w:bookmarkStart w:id="64" w:name="_Toc459716898"/>
      <w:bookmarkStart w:id="65" w:name="_Toc482780161"/>
      <w:bookmarkStart w:id="66" w:name="_Toc482780378"/>
      <w:bookmarkStart w:id="67" w:name="_Toc483919396"/>
      <w:bookmarkStart w:id="68" w:name="_Toc485821099"/>
      <w:r w:rsidRPr="00564B0F">
        <w:t>procedural matters</w:t>
      </w:r>
      <w:bookmarkEnd w:id="63"/>
      <w:bookmarkEnd w:id="64"/>
      <w:bookmarkEnd w:id="65"/>
      <w:bookmarkEnd w:id="66"/>
      <w:bookmarkEnd w:id="67"/>
      <w:bookmarkEnd w:id="68"/>
    </w:p>
    <w:p w14:paraId="657F88EC" w14:textId="77777777" w:rsidR="00B556EB" w:rsidRPr="00564B0F" w:rsidRDefault="00B556EB" w:rsidP="00B556EB">
      <w:pPr>
        <w:pStyle w:val="Heading2"/>
        <w:widowControl/>
      </w:pPr>
      <w:bookmarkStart w:id="69" w:name="_Toc459716600"/>
      <w:bookmarkStart w:id="70" w:name="_Toc459716901"/>
      <w:bookmarkStart w:id="71" w:name="_Toc482780162"/>
      <w:bookmarkStart w:id="72" w:name="_Toc482780379"/>
      <w:bookmarkStart w:id="73" w:name="_Toc483919397"/>
      <w:bookmarkStart w:id="74" w:name="_Toc485821100"/>
      <w:r w:rsidRPr="00564B0F">
        <w:t>Regulatory Flexibility Analysis</w:t>
      </w:r>
      <w:bookmarkEnd w:id="69"/>
      <w:bookmarkEnd w:id="70"/>
      <w:bookmarkEnd w:id="71"/>
      <w:bookmarkEnd w:id="72"/>
      <w:bookmarkEnd w:id="73"/>
      <w:bookmarkEnd w:id="74"/>
    </w:p>
    <w:p w14:paraId="75BC2C2A" w14:textId="428E7791" w:rsidR="00B556EB" w:rsidRPr="00564B0F" w:rsidRDefault="003069B8" w:rsidP="00AA275F">
      <w:pPr>
        <w:pStyle w:val="ParaNum"/>
        <w:widowControl/>
        <w:tabs>
          <w:tab w:val="clear" w:pos="1440"/>
          <w:tab w:val="num" w:pos="1430"/>
        </w:tabs>
        <w:snapToGrid w:val="0"/>
      </w:pPr>
      <w:bookmarkStart w:id="75" w:name="_Ref24960765"/>
      <w:r>
        <w:t>Pursuant to</w:t>
      </w:r>
      <w:r w:rsidR="00B556EB" w:rsidRPr="00564B0F">
        <w:t xml:space="preserve"> the Regulatory Flexibility Act of 1980</w:t>
      </w:r>
      <w:r>
        <w:t>, as amended</w:t>
      </w:r>
      <w:r w:rsidR="00B556EB" w:rsidRPr="00564B0F">
        <w:t xml:space="preserve"> (RFA),</w:t>
      </w:r>
      <w:r w:rsidR="00B556EB" w:rsidRPr="00564B0F">
        <w:rPr>
          <w:rStyle w:val="FootnoteReference"/>
          <w:color w:val="000000"/>
        </w:rPr>
        <w:footnoteReference w:id="162"/>
      </w:r>
      <w:r w:rsidR="00B556EB" w:rsidRPr="00564B0F">
        <w:t xml:space="preserve"> the Commission</w:t>
      </w:r>
      <w:r>
        <w:t>’s</w:t>
      </w:r>
      <w:r w:rsidR="00B556EB" w:rsidRPr="00564B0F">
        <w:t xml:space="preserve"> </w:t>
      </w:r>
      <w:bookmarkStart w:id="76" w:name="_Toc382916324"/>
      <w:bookmarkStart w:id="77" w:name="_Toc384977048"/>
      <w:bookmarkStart w:id="78" w:name="_Toc384977231"/>
      <w:bookmarkStart w:id="79" w:name="_Toc384983487"/>
      <w:bookmarkStart w:id="80" w:name="_Toc384983670"/>
      <w:bookmarkStart w:id="81" w:name="_Toc384983853"/>
      <w:bookmarkStart w:id="82" w:name="_Toc384984036"/>
      <w:bookmarkStart w:id="83" w:name="_Toc385319563"/>
      <w:bookmarkEnd w:id="75"/>
      <w:r w:rsidR="00B556EB" w:rsidRPr="00564B0F">
        <w:t xml:space="preserve">Final Regulatory </w:t>
      </w:r>
      <w:r>
        <w:t xml:space="preserve">Flexibility </w:t>
      </w:r>
      <w:r w:rsidR="00F332C4" w:rsidRPr="00564B0F">
        <w:t>Certification</w:t>
      </w:r>
      <w:r w:rsidR="00B556EB" w:rsidRPr="00564B0F">
        <w:t xml:space="preserve"> </w:t>
      </w:r>
      <w:r>
        <w:t>in</w:t>
      </w:r>
      <w:r w:rsidRPr="00564B0F">
        <w:t xml:space="preserve"> </w:t>
      </w:r>
      <w:r w:rsidR="00B556EB" w:rsidRPr="00564B0F">
        <w:t xml:space="preserve">this </w:t>
      </w:r>
      <w:r w:rsidR="00B556EB" w:rsidRPr="00564B0F">
        <w:rPr>
          <w:i/>
          <w:iCs/>
        </w:rPr>
        <w:t>Report and Order</w:t>
      </w:r>
      <w:r w:rsidR="00B556EB" w:rsidRPr="00564B0F">
        <w:t xml:space="preserve"> is attached as Appendix </w:t>
      </w:r>
      <w:r w:rsidR="00F332C4" w:rsidRPr="00564B0F">
        <w:t>C</w:t>
      </w:r>
      <w:r w:rsidR="00B556EB" w:rsidRPr="00564B0F">
        <w:t>.</w:t>
      </w:r>
      <w:bookmarkEnd w:id="76"/>
      <w:bookmarkEnd w:id="77"/>
      <w:bookmarkEnd w:id="78"/>
      <w:bookmarkEnd w:id="79"/>
      <w:bookmarkEnd w:id="80"/>
      <w:bookmarkEnd w:id="81"/>
      <w:bookmarkEnd w:id="82"/>
      <w:bookmarkEnd w:id="83"/>
    </w:p>
    <w:p w14:paraId="4EF73ED8" w14:textId="77777777" w:rsidR="00B556EB" w:rsidRPr="00564B0F" w:rsidRDefault="00B556EB" w:rsidP="00B556EB">
      <w:pPr>
        <w:pStyle w:val="Heading2"/>
        <w:widowControl/>
      </w:pPr>
      <w:bookmarkStart w:id="84" w:name="_Toc459716601"/>
      <w:bookmarkStart w:id="85" w:name="_Toc459716902"/>
      <w:bookmarkStart w:id="86" w:name="_Toc482780163"/>
      <w:bookmarkStart w:id="87" w:name="_Toc482780380"/>
      <w:bookmarkStart w:id="88" w:name="_Toc483919398"/>
      <w:bookmarkStart w:id="89" w:name="_Toc485821101"/>
      <w:r w:rsidRPr="00564B0F">
        <w:t>Paperwork Reduction Act</w:t>
      </w:r>
      <w:bookmarkEnd w:id="84"/>
      <w:bookmarkEnd w:id="85"/>
      <w:bookmarkEnd w:id="86"/>
      <w:bookmarkEnd w:id="87"/>
      <w:bookmarkEnd w:id="88"/>
      <w:bookmarkEnd w:id="89"/>
    </w:p>
    <w:p w14:paraId="7B263518" w14:textId="020E4366" w:rsidR="00B556EB" w:rsidRPr="00564B0F" w:rsidRDefault="00B556EB" w:rsidP="00B556EB">
      <w:pPr>
        <w:pStyle w:val="ParaNum"/>
        <w:widowControl/>
        <w:rPr>
          <w:snapToGrid/>
        </w:rPr>
      </w:pPr>
      <w:r w:rsidRPr="00564B0F">
        <w:rPr>
          <w:snapToGrid/>
        </w:rPr>
        <w:t xml:space="preserve">The </w:t>
      </w:r>
      <w:r w:rsidRPr="00564B0F">
        <w:rPr>
          <w:i/>
          <w:iCs/>
          <w:snapToGrid/>
        </w:rPr>
        <w:t xml:space="preserve">Report and Order </w:t>
      </w:r>
      <w:r w:rsidRPr="00564B0F">
        <w:rPr>
          <w:snapToGrid/>
        </w:rPr>
        <w:t xml:space="preserve">document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Federal Register at a later date seeking these comments.  However, the </w:t>
      </w:r>
      <w:r w:rsidRPr="6E3D202F">
        <w:rPr>
          <w:i/>
          <w:snapToGrid/>
        </w:rPr>
        <w:t>Report and Order</w:t>
      </w:r>
      <w:r w:rsidRPr="00564B0F">
        <w:rPr>
          <w:snapToGrid/>
        </w:rPr>
        <w:t xml:space="preserve"> does not contain any new or modified information collection burden for small business concerns with fewer than 25 employees, pursuant to the Small Business Paperwork Relief Act of 2002, Public Law 107-198.</w:t>
      </w:r>
      <w:r w:rsidRPr="00564B0F">
        <w:rPr>
          <w:rStyle w:val="FootnoteReference"/>
        </w:rPr>
        <w:footnoteReference w:id="163"/>
      </w:r>
    </w:p>
    <w:p w14:paraId="03CFC9BE" w14:textId="77777777" w:rsidR="00B556EB" w:rsidRPr="00564B0F" w:rsidRDefault="00B556EB" w:rsidP="00B556EB">
      <w:pPr>
        <w:pStyle w:val="Heading2"/>
        <w:widowControl/>
      </w:pPr>
      <w:bookmarkStart w:id="90" w:name="_Toc459716602"/>
      <w:bookmarkStart w:id="91" w:name="_Toc459716903"/>
      <w:bookmarkStart w:id="92" w:name="_Toc482780164"/>
      <w:bookmarkStart w:id="93" w:name="_Toc482780381"/>
      <w:bookmarkStart w:id="94" w:name="_Toc483919399"/>
      <w:bookmarkStart w:id="95" w:name="_Toc485821102"/>
      <w:r w:rsidRPr="00564B0F">
        <w:t>Congressional Review Act</w:t>
      </w:r>
      <w:bookmarkEnd w:id="90"/>
      <w:bookmarkEnd w:id="91"/>
      <w:bookmarkEnd w:id="92"/>
      <w:bookmarkEnd w:id="93"/>
      <w:bookmarkEnd w:id="94"/>
      <w:bookmarkEnd w:id="95"/>
    </w:p>
    <w:p w14:paraId="557B206A" w14:textId="77777777" w:rsidR="00B556EB" w:rsidRPr="00564B0F" w:rsidRDefault="00B556EB" w:rsidP="00B556EB">
      <w:pPr>
        <w:pStyle w:val="ParaNum"/>
        <w:widowControl/>
      </w:pPr>
      <w:r w:rsidRPr="00564B0F">
        <w:rPr>
          <w:snapToGrid/>
        </w:rPr>
        <w:t>The Commission will send a copy of this document to Congress and the Government Accountability Office pursuant to the Congressional Review Act.</w:t>
      </w:r>
      <w:r w:rsidRPr="00564B0F">
        <w:rPr>
          <w:rStyle w:val="FootnoteReference"/>
          <w:kern w:val="0"/>
        </w:rPr>
        <w:footnoteReference w:id="164"/>
      </w:r>
    </w:p>
    <w:p w14:paraId="6F976AA8" w14:textId="77777777" w:rsidR="00B556EB" w:rsidRPr="00564B0F" w:rsidRDefault="00B556EB" w:rsidP="00B556EB">
      <w:pPr>
        <w:pStyle w:val="Heading2"/>
        <w:widowControl/>
      </w:pPr>
      <w:bookmarkStart w:id="96" w:name="_Toc316910090"/>
      <w:bookmarkStart w:id="97" w:name="_Toc316892341"/>
      <w:bookmarkStart w:id="98" w:name="_Toc316673700"/>
      <w:bookmarkStart w:id="99" w:name="_Toc315290093"/>
      <w:bookmarkStart w:id="100" w:name="_Toc315274892"/>
      <w:bookmarkStart w:id="101" w:name="_Toc315090442"/>
      <w:bookmarkStart w:id="102" w:name="_Toc314648947"/>
      <w:bookmarkStart w:id="103" w:name="_Toc314645316"/>
      <w:bookmarkStart w:id="104" w:name="_Toc310524894"/>
      <w:bookmarkStart w:id="105" w:name="_Toc310524626"/>
      <w:bookmarkStart w:id="106" w:name="_Toc302587528"/>
      <w:bookmarkStart w:id="107" w:name="_Toc302580126"/>
      <w:bookmarkStart w:id="108" w:name="_Toc300324802"/>
      <w:bookmarkStart w:id="109" w:name="_Toc300306026"/>
      <w:bookmarkStart w:id="110" w:name="_Toc299985462"/>
      <w:bookmarkStart w:id="111" w:name="_Toc299985227"/>
      <w:bookmarkStart w:id="112" w:name="_Toc299714840"/>
      <w:bookmarkStart w:id="113" w:name="_Toc299714104"/>
      <w:bookmarkStart w:id="114" w:name="_Toc299710716"/>
      <w:bookmarkStart w:id="115" w:name="_Toc299455295"/>
      <w:bookmarkStart w:id="116" w:name="_Toc299453432"/>
      <w:bookmarkStart w:id="117" w:name="_Toc295918338"/>
      <w:bookmarkStart w:id="118" w:name="_Toc295489444"/>
      <w:bookmarkStart w:id="119" w:name="_Toc295488151"/>
      <w:bookmarkStart w:id="120" w:name="_Toc295488041"/>
      <w:bookmarkStart w:id="121" w:name="_Toc295487878"/>
      <w:bookmarkStart w:id="122" w:name="_Toc295480110"/>
      <w:bookmarkStart w:id="123" w:name="_Toc295480077"/>
      <w:bookmarkStart w:id="124" w:name="_Toc295479924"/>
      <w:bookmarkStart w:id="125" w:name="_Toc295479455"/>
      <w:bookmarkStart w:id="126" w:name="_Toc459716603"/>
      <w:bookmarkStart w:id="127" w:name="_Toc459716904"/>
      <w:bookmarkStart w:id="128" w:name="_Toc482780165"/>
      <w:bookmarkStart w:id="129" w:name="_Toc482780382"/>
      <w:bookmarkStart w:id="130" w:name="_Toc483919400"/>
      <w:bookmarkStart w:id="131" w:name="_Toc485821103"/>
      <w:r w:rsidRPr="00564B0F">
        <w:t>Further Information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EE39B4E" w14:textId="59D43A04" w:rsidR="00B556EB" w:rsidRPr="00564B0F" w:rsidRDefault="00B556EB" w:rsidP="00B556EB">
      <w:pPr>
        <w:pStyle w:val="ParaNum"/>
        <w:widowControl/>
        <w:snapToGrid w:val="0"/>
      </w:pPr>
      <w:r w:rsidRPr="00564B0F">
        <w:t>For further information, contact Roberto Mussenden of the Public Safety and Homeland Security Bureau, Policy and Licensing Division, at (202) 418-1428, or by e</w:t>
      </w:r>
      <w:r w:rsidR="00AE772A">
        <w:t>-</w:t>
      </w:r>
      <w:r w:rsidRPr="00564B0F">
        <w:t xml:space="preserve">mail </w:t>
      </w:r>
      <w:r w:rsidR="00DF4D87">
        <w:t>at</w:t>
      </w:r>
      <w:r w:rsidRPr="00564B0F">
        <w:t xml:space="preserve"> roberto.mussenden@fcc.gov.</w:t>
      </w:r>
    </w:p>
    <w:p w14:paraId="1CC9C4F2" w14:textId="77777777" w:rsidR="00B556EB" w:rsidRPr="00564B0F" w:rsidRDefault="00B556EB" w:rsidP="00B556EB">
      <w:pPr>
        <w:pStyle w:val="Heading1"/>
        <w:widowControl/>
      </w:pPr>
      <w:bookmarkStart w:id="132" w:name="_Toc459716604"/>
      <w:bookmarkStart w:id="133" w:name="_Toc459716905"/>
      <w:bookmarkStart w:id="134" w:name="_Toc482780166"/>
      <w:bookmarkStart w:id="135" w:name="_Toc482780383"/>
      <w:bookmarkStart w:id="136" w:name="_Toc483919401"/>
      <w:bookmarkStart w:id="137" w:name="_Toc485821104"/>
      <w:r w:rsidRPr="00564B0F">
        <w:t>Ordering Clauses</w:t>
      </w:r>
      <w:bookmarkEnd w:id="132"/>
      <w:bookmarkEnd w:id="133"/>
      <w:bookmarkEnd w:id="134"/>
      <w:bookmarkEnd w:id="135"/>
      <w:bookmarkEnd w:id="136"/>
      <w:bookmarkEnd w:id="137"/>
    </w:p>
    <w:p w14:paraId="615347ED" w14:textId="2E2D9956" w:rsidR="00B556EB" w:rsidRPr="00564B0F" w:rsidRDefault="00B556EB" w:rsidP="004F61E3">
      <w:pPr>
        <w:pStyle w:val="ParaNum"/>
      </w:pPr>
      <w:r w:rsidRPr="00564B0F">
        <w:t xml:space="preserve">Accordingly, IT IS ORDERED, pursuant to Sections 4(i), 4(j), 301, </w:t>
      </w:r>
      <w:r w:rsidR="004F61E3">
        <w:t xml:space="preserve">and </w:t>
      </w:r>
      <w:r w:rsidRPr="00564B0F">
        <w:t>303</w:t>
      </w:r>
      <w:r w:rsidR="00DF4D87">
        <w:t xml:space="preserve"> </w:t>
      </w:r>
      <w:r w:rsidRPr="00564B0F">
        <w:t>of the Communications Act of 1934, as amended, 47 U.S.C. §§ 154(i), 154(j), 301, 303, as well as Title VI</w:t>
      </w:r>
      <w:r w:rsidR="00DF4D87">
        <w:t>,</w:t>
      </w:r>
      <w:r w:rsidRPr="00564B0F">
        <w:t xml:space="preserve"> </w:t>
      </w:r>
      <w:r w:rsidR="004F61E3" w:rsidRPr="004F61E3">
        <w:t xml:space="preserve">Sections </w:t>
      </w:r>
      <w:r w:rsidR="000159B9">
        <w:t xml:space="preserve">6003, </w:t>
      </w:r>
      <w:r w:rsidR="004F61E3" w:rsidRPr="004F61E3">
        <w:t>6203</w:t>
      </w:r>
      <w:r w:rsidR="000159B9">
        <w:t>,</w:t>
      </w:r>
      <w:r w:rsidR="004F61E3" w:rsidRPr="004F61E3">
        <w:t xml:space="preserve"> and 6302(e), </w:t>
      </w:r>
      <w:r w:rsidRPr="00564B0F">
        <w:t xml:space="preserve">of the Middle Class Tax Relief and Job Creation Act of 2012, Pub. L. No. 112-96, 126 Stat. 156, </w:t>
      </w:r>
      <w:r w:rsidR="004F61E3">
        <w:t xml:space="preserve">§§ </w:t>
      </w:r>
      <w:r w:rsidR="000159B9">
        <w:t xml:space="preserve">6003, </w:t>
      </w:r>
      <w:r w:rsidR="004F61E3">
        <w:t>6203, 6302(e)</w:t>
      </w:r>
      <w:r w:rsidR="00F95E36">
        <w:t xml:space="preserve">, </w:t>
      </w:r>
      <w:r w:rsidRPr="00564B0F">
        <w:t xml:space="preserve">that this </w:t>
      </w:r>
      <w:r w:rsidRPr="6E3D202F">
        <w:rPr>
          <w:i/>
        </w:rPr>
        <w:t xml:space="preserve">Report and Order </w:t>
      </w:r>
      <w:r w:rsidRPr="00564B0F">
        <w:t>is hereby ADOPTED.</w:t>
      </w:r>
    </w:p>
    <w:p w14:paraId="3C5D21EB" w14:textId="1C2AA7BA" w:rsidR="5D8975D0" w:rsidRDefault="5D8975D0" w:rsidP="001F78C6">
      <w:pPr>
        <w:pStyle w:val="ParaNum"/>
      </w:pPr>
      <w:r w:rsidRPr="4BA0C698">
        <w:t xml:space="preserve">IT IS FURTHER ORDERED that the rules and requirements adopted herein WILL BECOME EFFECTIVE [thirty days from the date of publication in the Federal Register], except for </w:t>
      </w:r>
      <w:r w:rsidR="6D63BF21" w:rsidRPr="4BA0C698">
        <w:t xml:space="preserve">new </w:t>
      </w:r>
      <w:r w:rsidR="3FF08036" w:rsidRPr="4BA0C698">
        <w:t xml:space="preserve">sections 90.532(b) and </w:t>
      </w:r>
      <w:r w:rsidR="066D703F" w:rsidRPr="4F87FCAC">
        <w:t>(</w:t>
      </w:r>
      <w:r w:rsidR="3FF08036" w:rsidRPr="4BA0C698">
        <w:t>c</w:t>
      </w:r>
      <w:r w:rsidR="066D703F" w:rsidRPr="4F87FCAC">
        <w:t>)</w:t>
      </w:r>
      <w:r w:rsidR="3FF08036" w:rsidRPr="4F87FCAC">
        <w:t xml:space="preserve"> </w:t>
      </w:r>
      <w:r w:rsidRPr="4BA0C698">
        <w:t>that contain new or modified information collection requirements that require review by the OMB under the PRA, which WILL BECOME EFFECTIVE after OMB review and approval, on the effective date specified in a notice that the Commission will publish in the Federal Register announcing su</w:t>
      </w:r>
      <w:r w:rsidR="0041145F">
        <w:t>ch approval and effective date.</w:t>
      </w:r>
    </w:p>
    <w:p w14:paraId="4DFC91CF" w14:textId="23A1C959" w:rsidR="00B556EB" w:rsidRPr="00564B0F" w:rsidRDefault="00B556EB" w:rsidP="00B556EB">
      <w:pPr>
        <w:pStyle w:val="ParaNum"/>
        <w:widowControl/>
      </w:pPr>
      <w:r w:rsidRPr="00564B0F">
        <w:t xml:space="preserve">IT IS FURTHER ORDERED that the </w:t>
      </w:r>
      <w:r w:rsidR="00E1629D">
        <w:t xml:space="preserve">Commission’s </w:t>
      </w:r>
      <w:r w:rsidRPr="00564B0F">
        <w:t>Consumer and Governmental Affairs Bureau</w:t>
      </w:r>
      <w:r w:rsidR="00E1629D">
        <w:t>, Reference Information Center,</w:t>
      </w:r>
      <w:r w:rsidRPr="00564B0F">
        <w:t xml:space="preserve"> SHALL SEND a copy of this </w:t>
      </w:r>
      <w:r w:rsidRPr="6E3D202F">
        <w:rPr>
          <w:i/>
        </w:rPr>
        <w:t>Report and Order</w:t>
      </w:r>
      <w:r w:rsidRPr="00564B0F">
        <w:t xml:space="preserve">, including the Final Regulatory Flexibility </w:t>
      </w:r>
      <w:r w:rsidR="0060197F">
        <w:t>Certification</w:t>
      </w:r>
      <w:r w:rsidRPr="00564B0F">
        <w:t>, to the Chief Counsel for Advocacy of the Small Business Administration.</w:t>
      </w:r>
    </w:p>
    <w:p w14:paraId="603DC4E6" w14:textId="77777777" w:rsidR="00AA275F" w:rsidRDefault="00AA275F" w:rsidP="00B556EB">
      <w:pPr>
        <w:widowControl/>
      </w:pPr>
    </w:p>
    <w:p w14:paraId="6D727EEC" w14:textId="77777777" w:rsidR="00B556EB" w:rsidRPr="00564B0F" w:rsidRDefault="00B556EB" w:rsidP="00B556EB">
      <w:pPr>
        <w:widowControl/>
      </w:pPr>
      <w:r w:rsidRPr="00564B0F">
        <w:tab/>
      </w:r>
      <w:r w:rsidRPr="00564B0F">
        <w:tab/>
      </w:r>
      <w:r w:rsidRPr="00564B0F">
        <w:tab/>
      </w:r>
      <w:r w:rsidRPr="00564B0F">
        <w:tab/>
      </w:r>
      <w:r w:rsidRPr="00564B0F">
        <w:tab/>
      </w:r>
      <w:r w:rsidRPr="00564B0F">
        <w:tab/>
        <w:t>FEDERAL COMMUNICATIONS COMMISSION</w:t>
      </w:r>
    </w:p>
    <w:p w14:paraId="5C7C23EF" w14:textId="77777777" w:rsidR="00B556EB" w:rsidRPr="00564B0F" w:rsidRDefault="00B556EB" w:rsidP="00B556EB">
      <w:pPr>
        <w:widowControl/>
      </w:pPr>
    </w:p>
    <w:p w14:paraId="217B7FF0" w14:textId="77777777" w:rsidR="00B556EB" w:rsidRPr="00564B0F" w:rsidRDefault="00B556EB" w:rsidP="00B556EB">
      <w:pPr>
        <w:widowControl/>
      </w:pPr>
    </w:p>
    <w:p w14:paraId="19E7D42F" w14:textId="77777777" w:rsidR="00B556EB" w:rsidRPr="00564B0F" w:rsidRDefault="00B556EB" w:rsidP="00B556EB">
      <w:pPr>
        <w:widowControl/>
      </w:pPr>
    </w:p>
    <w:p w14:paraId="6DC3D92D" w14:textId="77777777" w:rsidR="00B556EB" w:rsidRPr="00564B0F" w:rsidRDefault="00B556EB" w:rsidP="00B556EB">
      <w:pPr>
        <w:widowControl/>
      </w:pPr>
    </w:p>
    <w:p w14:paraId="0D6F85D7" w14:textId="77777777" w:rsidR="00B556EB" w:rsidRPr="00564B0F" w:rsidRDefault="00B556EB" w:rsidP="00B556EB">
      <w:pPr>
        <w:widowControl/>
      </w:pPr>
      <w:r w:rsidRPr="00564B0F">
        <w:tab/>
      </w:r>
      <w:r w:rsidRPr="00564B0F">
        <w:tab/>
      </w:r>
      <w:r w:rsidRPr="00564B0F">
        <w:tab/>
      </w:r>
      <w:r w:rsidRPr="00564B0F">
        <w:tab/>
      </w:r>
      <w:r w:rsidRPr="00564B0F">
        <w:tab/>
      </w:r>
      <w:r w:rsidRPr="00564B0F">
        <w:tab/>
        <w:t>Marlene H. Dortch</w:t>
      </w:r>
    </w:p>
    <w:p w14:paraId="0A6E5191" w14:textId="1ADEF245" w:rsidR="00B556EB" w:rsidRPr="00564B0F" w:rsidRDefault="00B556EB" w:rsidP="00B556EB">
      <w:pPr>
        <w:widowControl/>
      </w:pPr>
      <w:r w:rsidRPr="00564B0F">
        <w:tab/>
      </w:r>
      <w:r w:rsidRPr="00564B0F">
        <w:tab/>
      </w:r>
      <w:r w:rsidRPr="00564B0F">
        <w:tab/>
      </w:r>
      <w:r w:rsidRPr="00564B0F">
        <w:tab/>
      </w:r>
      <w:r w:rsidRPr="00564B0F">
        <w:tab/>
      </w:r>
      <w:r w:rsidRPr="00564B0F">
        <w:tab/>
        <w:t>Secretary</w:t>
      </w:r>
    </w:p>
    <w:p w14:paraId="7608BB8E" w14:textId="77777777" w:rsidR="00A9728E" w:rsidRPr="00564B0F" w:rsidRDefault="00A9728E" w:rsidP="00A9728E">
      <w:pPr>
        <w:widowControl/>
      </w:pPr>
    </w:p>
    <w:p w14:paraId="2F4C8990" w14:textId="77777777" w:rsidR="00A9728E" w:rsidRPr="00564B0F" w:rsidRDefault="00A9728E" w:rsidP="00A9728E">
      <w:pPr>
        <w:widowControl/>
        <w:sectPr w:rsidR="00A9728E" w:rsidRPr="00564B0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28B1DB29" w14:textId="77777777" w:rsidR="0009315E" w:rsidRDefault="0009315E" w:rsidP="00DA1C87">
      <w:pPr>
        <w:pStyle w:val="ParaNum"/>
        <w:numPr>
          <w:ilvl w:val="0"/>
          <w:numId w:val="0"/>
        </w:numPr>
        <w:jc w:val="center"/>
        <w:rPr>
          <w:b/>
        </w:rPr>
      </w:pPr>
      <w:r w:rsidRPr="00564B0F">
        <w:rPr>
          <w:b/>
        </w:rPr>
        <w:t>APPENDIX A</w:t>
      </w:r>
    </w:p>
    <w:p w14:paraId="4A316FE9" w14:textId="77777777" w:rsidR="0009315E" w:rsidRDefault="0009315E" w:rsidP="00AA275F">
      <w:pPr>
        <w:pStyle w:val="ParaNum"/>
        <w:numPr>
          <w:ilvl w:val="0"/>
          <w:numId w:val="0"/>
        </w:numPr>
        <w:spacing w:after="0"/>
        <w:jc w:val="center"/>
        <w:rPr>
          <w:b/>
        </w:rPr>
      </w:pPr>
      <w:r w:rsidRPr="00564B0F">
        <w:rPr>
          <w:b/>
        </w:rPr>
        <w:t>Final Rules</w:t>
      </w:r>
    </w:p>
    <w:p w14:paraId="7C08C8BD" w14:textId="77777777" w:rsidR="00AA275F" w:rsidRPr="00564B0F" w:rsidRDefault="00AA275F" w:rsidP="00AA275F">
      <w:pPr>
        <w:pStyle w:val="ParaNum"/>
        <w:numPr>
          <w:ilvl w:val="0"/>
          <w:numId w:val="0"/>
        </w:numPr>
        <w:jc w:val="center"/>
        <w:rPr>
          <w:b/>
        </w:rPr>
      </w:pPr>
    </w:p>
    <w:p w14:paraId="262C0100" w14:textId="77777777" w:rsidR="0009315E" w:rsidRPr="00564B0F" w:rsidRDefault="0009315E" w:rsidP="00604255">
      <w:pPr>
        <w:widowControl/>
        <w:spacing w:after="120"/>
      </w:pPr>
      <w:r w:rsidRPr="00564B0F">
        <w:t xml:space="preserve">For the reasons discussed </w:t>
      </w:r>
      <w:r>
        <w:t>above</w:t>
      </w:r>
      <w:r w:rsidRPr="00564B0F">
        <w:t xml:space="preserve">, the Federal Communications Commission amends 47 CFR </w:t>
      </w:r>
      <w:r>
        <w:t>P</w:t>
      </w:r>
      <w:r w:rsidRPr="00564B0F">
        <w:t>art 90 as follows:</w:t>
      </w:r>
    </w:p>
    <w:p w14:paraId="0A40D453" w14:textId="77777777" w:rsidR="0009315E" w:rsidRPr="00564B0F" w:rsidRDefault="0009315E" w:rsidP="00604255">
      <w:pPr>
        <w:widowControl/>
        <w:spacing w:after="120"/>
        <w:rPr>
          <w:b/>
        </w:rPr>
      </w:pPr>
      <w:r w:rsidRPr="00564B0F">
        <w:rPr>
          <w:b/>
        </w:rPr>
        <w:t>PART 90 – PRIVATE LAND MOBILE RADIO SERVICES</w:t>
      </w:r>
    </w:p>
    <w:p w14:paraId="463BEDA2" w14:textId="77777777" w:rsidR="0009315E" w:rsidRPr="00564B0F" w:rsidRDefault="0009315E" w:rsidP="00604255">
      <w:pPr>
        <w:widowControl/>
        <w:spacing w:after="120"/>
      </w:pPr>
      <w:r w:rsidRPr="00564B0F">
        <w:t>Section 90.532 is amended by revising title of the subsection and the redesignating the existing text as subparagraph (a) First Responder Network Authority License and Renewal, and adding additional subsections (b)-(e) as follows:</w:t>
      </w:r>
    </w:p>
    <w:p w14:paraId="2FF71226" w14:textId="77777777" w:rsidR="0009315E" w:rsidRPr="001F78C6" w:rsidRDefault="0009315E" w:rsidP="00604255">
      <w:pPr>
        <w:widowControl/>
        <w:spacing w:after="120"/>
        <w:rPr>
          <w:b/>
        </w:rPr>
      </w:pPr>
      <w:r w:rsidRPr="004A686D">
        <w:rPr>
          <w:b/>
        </w:rPr>
        <w:t>§ 90.532 Licensing of the 758-769 MHz and 788-799 MHz Bands; State Opt-Out Election and Alternative Plans</w:t>
      </w:r>
    </w:p>
    <w:p w14:paraId="347FFA39" w14:textId="77777777" w:rsidR="0009315E" w:rsidRPr="00564B0F" w:rsidRDefault="0009315E" w:rsidP="00604255">
      <w:pPr>
        <w:widowControl/>
        <w:spacing w:after="120"/>
        <w:ind w:firstLine="720"/>
      </w:pPr>
      <w:r w:rsidRPr="00564B0F">
        <w:t xml:space="preserve">(a)  </w:t>
      </w:r>
      <w:r w:rsidRPr="004A686D">
        <w:rPr>
          <w:i/>
        </w:rPr>
        <w:t xml:space="preserve">First Responder Network Authority License and Renewal.  </w:t>
      </w:r>
      <w:r w:rsidRPr="00564B0F">
        <w:t>Pursuant to Section 6201 of the Middle Class Tax Relief and Job Creation Act of 2012, Public Law 112–96, 126 Stat. 156 (2012), a nationwide license for use of the 758–769 MHz and 788–799 MHz bands shall be issued to the First Responder Network Authority for an initial license term of ten years from the date of the initial issuance of the license. Prior to expiration of the term of such initial license, the First Responder Network Authority shall submit to the Commission an application for the renewal of such license. Such renewal application shall demonstrate that, during the preceding license term, the First Responder Network Authority has met the duties and obligations set forth under the foregoing Act. A renewal license shall be for a term not to exceed ten years.</w:t>
      </w:r>
    </w:p>
    <w:p w14:paraId="47B784C1" w14:textId="49FD9C56" w:rsidR="001B368B" w:rsidRDefault="0009315E" w:rsidP="00604255">
      <w:pPr>
        <w:widowControl/>
        <w:spacing w:after="120"/>
        <w:ind w:firstLine="720"/>
      </w:pPr>
      <w:r w:rsidRPr="00564B0F">
        <w:t xml:space="preserve">(b)  </w:t>
      </w:r>
      <w:r w:rsidRPr="008640CF">
        <w:rPr>
          <w:i/>
        </w:rPr>
        <w:t>State election to opt out of the First Responder Network Authority Nationwide Network.</w:t>
      </w:r>
      <w:r w:rsidRPr="00564B0F">
        <w:t xml:space="preserve"> No later than 90 days after receipt of notice from the First Responder Network Authority under Section 6302(e)(1) of the Middle Class Tax Relief and Job Creation Act of 2012, Public Law 112–96, 126 Stat. 156 (Spectrum Act), any State </w:t>
      </w:r>
      <w:r w:rsidR="000E53AA">
        <w:t>G</w:t>
      </w:r>
      <w:r w:rsidRPr="00564B0F">
        <w:t xml:space="preserve">overnor </w:t>
      </w:r>
      <w:r>
        <w:t xml:space="preserve">or the </w:t>
      </w:r>
      <w:r w:rsidR="000E53AA">
        <w:t>G</w:t>
      </w:r>
      <w:r>
        <w:t xml:space="preserve">overnor’s designee </w:t>
      </w:r>
      <w:r w:rsidRPr="00564B0F">
        <w:t xml:space="preserve">shall file </w:t>
      </w:r>
      <w:r>
        <w:t xml:space="preserve">with the Commission </w:t>
      </w:r>
      <w:r w:rsidRPr="00564B0F">
        <w:t xml:space="preserve">a notification of </w:t>
      </w:r>
      <w:r>
        <w:t>the Governor’s</w:t>
      </w:r>
      <w:r w:rsidRPr="00564B0F">
        <w:t xml:space="preserve"> election </w:t>
      </w:r>
      <w:r w:rsidRPr="00002FD6">
        <w:t>to opt out and conduct its own deployment of a State radio access network pursuant to Section 6302(e)(2)(B) of the Middle Class Tax Relief and Job Creation Act of 2012</w:t>
      </w:r>
      <w:r>
        <w:t>.</w:t>
      </w:r>
      <w:r w:rsidRPr="00564B0F">
        <w:t xml:space="preserve">  </w:t>
      </w:r>
      <w:r>
        <w:t xml:space="preserve">This notification shall be sent </w:t>
      </w:r>
      <w:r w:rsidR="0041145F">
        <w:t xml:space="preserve">to </w:t>
      </w:r>
      <w:r w:rsidR="004C0623" w:rsidRPr="00BC0039">
        <w:t>a</w:t>
      </w:r>
      <w:r w:rsidR="00F40F33">
        <w:t xml:space="preserve"> </w:t>
      </w:r>
      <w:r w:rsidR="004C0623">
        <w:t>dedicated e-mail address specified by the Commission</w:t>
      </w:r>
      <w:r>
        <w:t xml:space="preserve"> </w:t>
      </w:r>
      <w:r w:rsidRPr="0011151A">
        <w:t>or via certified mail to the Secretary’s office</w:t>
      </w:r>
      <w:r>
        <w:t xml:space="preserve">.  At the conclusion of the opt-out notification period, the Public Safety and Homeland Security Bureau shall issue </w:t>
      </w:r>
      <w:r w:rsidR="009D06AF">
        <w:t>one or more</w:t>
      </w:r>
      <w:r>
        <w:t xml:space="preserve"> Public Notice</w:t>
      </w:r>
      <w:r w:rsidR="0041145F">
        <w:t>s</w:t>
      </w:r>
      <w:r>
        <w:t xml:space="preserve"> denoting which states have elected to opt</w:t>
      </w:r>
      <w:r w:rsidRPr="0F8E2EE0">
        <w:t xml:space="preserve"> </w:t>
      </w:r>
      <w:r>
        <w:t>out</w:t>
      </w:r>
      <w:r w:rsidRPr="0F8E2EE0">
        <w:t>.</w:t>
      </w:r>
      <w:r w:rsidR="001B368B">
        <w:t xml:space="preserve">  In addition:</w:t>
      </w:r>
    </w:p>
    <w:p w14:paraId="4740313A" w14:textId="38DD1AAE" w:rsidR="001B368B" w:rsidRDefault="001B368B" w:rsidP="00604255">
      <w:pPr>
        <w:widowControl/>
        <w:spacing w:after="120"/>
        <w:ind w:left="1440"/>
      </w:pPr>
      <w:r>
        <w:t xml:space="preserve">(1) </w:t>
      </w:r>
      <w:r w:rsidRPr="00564B0F">
        <w:t>Such notification shall also certify that the State has notified the First Responder Network Authority and the National Telecommunications and Information Administration of its election.</w:t>
      </w:r>
      <w:r>
        <w:t xml:space="preserve">  </w:t>
      </w:r>
    </w:p>
    <w:p w14:paraId="7E3E0A3B" w14:textId="4229D7CF" w:rsidR="001B368B" w:rsidRDefault="001B368B" w:rsidP="00604255">
      <w:pPr>
        <w:widowControl/>
        <w:spacing w:after="120"/>
        <w:ind w:left="1440"/>
      </w:pPr>
      <w:r>
        <w:t>(2) If such notice is filed by the Governor’s designee, it shall include memorialization of the Governor’s delegation of authority in writing with the notice.</w:t>
      </w:r>
    </w:p>
    <w:p w14:paraId="54CFF871" w14:textId="47F156AE" w:rsidR="0009315E" w:rsidRPr="00564B0F" w:rsidDel="1ED93816" w:rsidRDefault="0009315E" w:rsidP="00604255">
      <w:pPr>
        <w:widowControl/>
        <w:spacing w:after="120"/>
        <w:ind w:firstLine="720"/>
      </w:pPr>
      <w:r>
        <w:t xml:space="preserve">(c)  </w:t>
      </w:r>
      <w:r>
        <w:rPr>
          <w:i/>
        </w:rPr>
        <w:t xml:space="preserve">Petitions for leave to intervene.  </w:t>
      </w:r>
      <w:r w:rsidR="0041145F">
        <w:t>Entities other than t</w:t>
      </w:r>
      <w:r>
        <w:t>he First Responder Network Authority,</w:t>
      </w:r>
      <w:r w:rsidRPr="2553B491">
        <w:t xml:space="preserve"> </w:t>
      </w:r>
      <w:r>
        <w:t>the National Telecommunications and Information Administration</w:t>
      </w:r>
      <w:r w:rsidRPr="2553B491">
        <w:t>,</w:t>
      </w:r>
      <w:r>
        <w:t xml:space="preserve"> and the relevant state may petition the Commission for leave to intervene</w:t>
      </w:r>
      <w:r w:rsidRPr="2553B491">
        <w:t xml:space="preserve">.  </w:t>
      </w:r>
      <w:r>
        <w:t xml:space="preserve">Such a petition must be made within 30 days of the Public Notice issued in conformance with subparagraph (b) of this section.  The petition must note the specific plan on which </w:t>
      </w:r>
      <w:r w:rsidR="0041145F">
        <w:t xml:space="preserve">the filer </w:t>
      </w:r>
      <w:r>
        <w:t>wish</w:t>
      </w:r>
      <w:r w:rsidR="0041145F">
        <w:t>es</w:t>
      </w:r>
      <w:r>
        <w:t xml:space="preserve"> to comment and clearly detail the filer’s interest in the proceeding.  </w:t>
      </w:r>
      <w:r w:rsidR="00680F31">
        <w:t xml:space="preserve">This includes an </w:t>
      </w:r>
      <w:r w:rsidR="00680F31" w:rsidRPr="00680F31">
        <w:t>explanation of the filer’s interest in the outcome of the particular state’s application, as well as an explanation of how the filer’s interests are not otherwise represented by the state, FirstNet, or NTIA</w:t>
      </w:r>
      <w:r w:rsidR="00680F31">
        <w:t>,</w:t>
      </w:r>
      <w:r w:rsidR="00680F31" w:rsidRPr="00680F31">
        <w:t xml:space="preserve"> or how its participation would otherwise aid the Commission in a full evaluation of the facts</w:t>
      </w:r>
      <w:r w:rsidR="00680F31">
        <w:t>.</w:t>
      </w:r>
    </w:p>
    <w:p w14:paraId="497AE59C" w14:textId="60476AB0" w:rsidR="0009315E" w:rsidRDefault="0009315E" w:rsidP="00604255">
      <w:pPr>
        <w:widowControl/>
        <w:spacing w:after="120"/>
        <w:ind w:firstLine="720"/>
      </w:pPr>
      <w:r>
        <w:t xml:space="preserve">(d)  </w:t>
      </w:r>
      <w:r w:rsidRPr="001F78C6">
        <w:rPr>
          <w:i/>
          <w:iCs/>
        </w:rPr>
        <w:t xml:space="preserve">Filing of alternative state plans by states electing to opt out.  </w:t>
      </w:r>
      <w:r>
        <w:t>No later than 2</w:t>
      </w:r>
      <w:r w:rsidR="002563F6">
        <w:t>4</w:t>
      </w:r>
      <w:r>
        <w:t>0</w:t>
      </w:r>
      <w:r w:rsidRPr="2553B491">
        <w:t xml:space="preserve"> </w:t>
      </w:r>
      <w:r>
        <w:t xml:space="preserve">days after filing notice of a State’s election with the Commission under subparagraph (b) of this section, the State </w:t>
      </w:r>
      <w:r w:rsidR="000E53AA">
        <w:t>G</w:t>
      </w:r>
      <w:r>
        <w:t xml:space="preserve">overnor or the </w:t>
      </w:r>
      <w:r w:rsidR="000E53AA">
        <w:t>G</w:t>
      </w:r>
      <w:r>
        <w:t xml:space="preserve">overnor’s designee shall file an alternative plan with the Commission for the construction, maintenance, operation, and improvements of the State radio access network. Alternative plans may be sent </w:t>
      </w:r>
      <w:r w:rsidR="0041145F">
        <w:t xml:space="preserve">to </w:t>
      </w:r>
      <w:r w:rsidR="00636C3B" w:rsidRPr="002C304A">
        <w:t>a</w:t>
      </w:r>
      <w:r w:rsidR="00636C3B">
        <w:t xml:space="preserve"> dedicated e-mail address specified by the Commission </w:t>
      </w:r>
      <w:r>
        <w:t>or via certified mail to the Office of the Secretary</w:t>
      </w:r>
      <w:r w:rsidRPr="2553B491">
        <w:t>.</w:t>
      </w:r>
    </w:p>
    <w:p w14:paraId="20C78301" w14:textId="38E1190A" w:rsidR="0009315E" w:rsidRPr="00564B0F" w:rsidDel="4774AEC5" w:rsidRDefault="0009315E" w:rsidP="00604255">
      <w:pPr>
        <w:widowControl/>
        <w:spacing w:after="120"/>
        <w:ind w:firstLine="720"/>
      </w:pPr>
      <w:r>
        <w:t>(e)</w:t>
      </w:r>
      <w:r w:rsidRPr="56DA03B5">
        <w:t xml:space="preserve">  </w:t>
      </w:r>
      <w:r w:rsidRPr="001F78C6">
        <w:rPr>
          <w:i/>
          <w:iCs/>
        </w:rPr>
        <w:t xml:space="preserve">Contents of alternative state plans.  </w:t>
      </w:r>
      <w:r>
        <w:t>An alternative state plan shall include:</w:t>
      </w:r>
    </w:p>
    <w:p w14:paraId="1832842A" w14:textId="40A49FB5" w:rsidR="0009315E" w:rsidRDefault="0009315E" w:rsidP="00604255">
      <w:pPr>
        <w:pStyle w:val="ListParagraph"/>
        <w:widowControl/>
        <w:numPr>
          <w:ilvl w:val="0"/>
          <w:numId w:val="20"/>
        </w:numPr>
        <w:spacing w:after="120"/>
        <w:contextualSpacing w:val="0"/>
      </w:pPr>
      <w:r>
        <w:t xml:space="preserve"> An interoperability showing, demonstrating: </w:t>
      </w:r>
    </w:p>
    <w:p w14:paraId="2D313613" w14:textId="72683A27" w:rsidR="000B37B2" w:rsidRDefault="0009315E" w:rsidP="00604255">
      <w:pPr>
        <w:widowControl/>
        <w:spacing w:after="120"/>
        <w:ind w:left="2160"/>
      </w:pPr>
      <w:r>
        <w:t>(i)</w:t>
      </w:r>
      <w:r w:rsidR="000B37B2">
        <w:t xml:space="preserve"> </w:t>
      </w:r>
      <w:r w:rsidRPr="00564B0F">
        <w:t xml:space="preserve">compliance with the minimum technical interoperability requirements developed under section 6203 of the Middle Class Tax Relief and Job Creation Act of 2012; </w:t>
      </w:r>
      <w:r>
        <w:t>and</w:t>
      </w:r>
    </w:p>
    <w:p w14:paraId="75406CBE" w14:textId="53F43E15" w:rsidR="0009315E" w:rsidRDefault="0009315E" w:rsidP="00604255">
      <w:pPr>
        <w:widowControl/>
        <w:spacing w:after="120"/>
        <w:ind w:left="2160"/>
      </w:pPr>
      <w:r>
        <w:t xml:space="preserve">(ii)  </w:t>
      </w:r>
      <w:r w:rsidRPr="00564B0F">
        <w:t>interoperability with the nationwide public safety broadband network</w:t>
      </w:r>
      <w:r>
        <w:t>.</w:t>
      </w:r>
    </w:p>
    <w:p w14:paraId="1E36A516" w14:textId="284398D4" w:rsidR="0009315E" w:rsidRDefault="005B224A" w:rsidP="00604255">
      <w:pPr>
        <w:widowControl/>
        <w:spacing w:after="120"/>
        <w:ind w:left="1440"/>
      </w:pPr>
      <w:r>
        <w:t xml:space="preserve">(2) </w:t>
      </w:r>
      <w:r w:rsidR="0009315E">
        <w:t xml:space="preserve">Certifications by the State </w:t>
      </w:r>
      <w:r w:rsidR="000E53AA">
        <w:t>G</w:t>
      </w:r>
      <w:r w:rsidR="0009315E">
        <w:t xml:space="preserve">overnor or the </w:t>
      </w:r>
      <w:r w:rsidR="000E53AA">
        <w:t>G</w:t>
      </w:r>
      <w:r w:rsidR="0009315E">
        <w:t>overnor’s designee, attesting:</w:t>
      </w:r>
    </w:p>
    <w:p w14:paraId="37ED9F1A" w14:textId="645CA3B0" w:rsidR="0009315E" w:rsidRDefault="0009315E" w:rsidP="00604255">
      <w:pPr>
        <w:widowControl/>
        <w:spacing w:after="120"/>
        <w:ind w:left="2160"/>
      </w:pPr>
      <w:r>
        <w:t>(i)</w:t>
      </w:r>
      <w:r w:rsidRPr="0009315E">
        <w:t xml:space="preserve"> adherence to FirstNet network policies identified by FirstNet as relating to technical interoperability</w:t>
      </w:r>
      <w:r>
        <w:t xml:space="preserve">; and </w:t>
      </w:r>
    </w:p>
    <w:p w14:paraId="6F398924" w14:textId="52061AA3" w:rsidR="0009315E" w:rsidRDefault="0009315E" w:rsidP="00604255">
      <w:pPr>
        <w:widowControl/>
        <w:spacing w:after="120"/>
        <w:ind w:left="2160"/>
      </w:pPr>
      <w:r>
        <w:t xml:space="preserve">(ii)  completion of the state’s </w:t>
      </w:r>
      <w:r w:rsidR="0041145F">
        <w:t>request for proposal within 180 d</w:t>
      </w:r>
      <w:r>
        <w:t>ays of receipt of notice of the State Plan furnished by the First Responder Network Authority.</w:t>
      </w:r>
      <w:r w:rsidR="00E55AAF">
        <w:t xml:space="preserve">  Such certification may only be made if the state has:</w:t>
      </w:r>
    </w:p>
    <w:p w14:paraId="5526E388" w14:textId="4959C01B" w:rsidR="00E55AAF" w:rsidRDefault="00E55AAF" w:rsidP="00604255">
      <w:pPr>
        <w:pStyle w:val="ListParagraph"/>
        <w:widowControl/>
        <w:numPr>
          <w:ilvl w:val="0"/>
          <w:numId w:val="25"/>
        </w:numPr>
        <w:spacing w:after="120"/>
        <w:contextualSpacing w:val="0"/>
      </w:pPr>
      <w:r>
        <w:t>Issued a request for proposal for the state’s Radio Access Network;</w:t>
      </w:r>
    </w:p>
    <w:p w14:paraId="0C58E51A" w14:textId="0C73237F" w:rsidR="00E55AAF" w:rsidRDefault="00E55AAF" w:rsidP="00604255">
      <w:pPr>
        <w:pStyle w:val="ListParagraph"/>
        <w:widowControl/>
        <w:numPr>
          <w:ilvl w:val="0"/>
          <w:numId w:val="25"/>
        </w:numPr>
        <w:spacing w:after="120"/>
        <w:contextualSpacing w:val="0"/>
      </w:pPr>
      <w:r>
        <w:t xml:space="preserve">Received bids for such network; and </w:t>
      </w:r>
    </w:p>
    <w:p w14:paraId="132BA55A" w14:textId="382582A6" w:rsidR="00E55AAF" w:rsidRDefault="00E55AAF" w:rsidP="00604255">
      <w:pPr>
        <w:pStyle w:val="ListParagraph"/>
        <w:widowControl/>
        <w:numPr>
          <w:ilvl w:val="0"/>
          <w:numId w:val="25"/>
        </w:numPr>
        <w:spacing w:after="120"/>
        <w:contextualSpacing w:val="0"/>
      </w:pPr>
      <w:r>
        <w:t xml:space="preserve">Selected a vendor(s).  </w:t>
      </w:r>
    </w:p>
    <w:p w14:paraId="001B883F" w14:textId="4F38BAA0" w:rsidR="0009315E" w:rsidRDefault="0009315E" w:rsidP="00604255">
      <w:pPr>
        <w:spacing w:after="120"/>
        <w:ind w:firstLine="720"/>
      </w:pPr>
      <w:r>
        <w:t>(</w:t>
      </w:r>
      <w:r w:rsidR="00D35BD4">
        <w:t>f</w:t>
      </w:r>
      <w:r w:rsidRPr="7571397E">
        <w:t xml:space="preserve">) </w:t>
      </w:r>
      <w:r w:rsidRPr="001F78C6">
        <w:rPr>
          <w:i/>
          <w:iCs/>
        </w:rPr>
        <w:t xml:space="preserve">Commenting on alternative state plans. </w:t>
      </w:r>
      <w:r w:rsidRPr="7571397E">
        <w:t xml:space="preserve">Within ten business days of the submission of an alternative state plan the Public Safety and Homeland Security Bureau shall determine whether </w:t>
      </w:r>
      <w:r>
        <w:t xml:space="preserve">the </w:t>
      </w:r>
      <w:r w:rsidRPr="7571397E">
        <w:t xml:space="preserve">plan </w:t>
      </w:r>
      <w:r>
        <w:t xml:space="preserve">is acceptable for filing under </w:t>
      </w:r>
      <w:r w:rsidRPr="7571397E">
        <w:t xml:space="preserve">the criteria set forth </w:t>
      </w:r>
      <w:r>
        <w:t>under subparagraph</w:t>
      </w:r>
      <w:r w:rsidR="0041145F">
        <w:t>s</w:t>
      </w:r>
      <w:r>
        <w:t xml:space="preserve"> (</w:t>
      </w:r>
      <w:r w:rsidR="002C1B22">
        <w:t>d</w:t>
      </w:r>
      <w:r>
        <w:t>) and (</w:t>
      </w:r>
      <w:r w:rsidR="002C1B22">
        <w:t>e</w:t>
      </w:r>
      <w:r>
        <w:t>) of this section</w:t>
      </w:r>
      <w:r w:rsidRPr="7571397E">
        <w:t xml:space="preserve">.  </w:t>
      </w:r>
      <w:r w:rsidRPr="74980A46">
        <w:t>T</w:t>
      </w:r>
      <w:r>
        <w:t>he Bureau shall issue a Public Notice identifying each plan that has been accepted for filing and initiating an abbreviated comment cycle.</w:t>
      </w:r>
      <w:r w:rsidRPr="7571397E">
        <w:t xml:space="preserve"> </w:t>
      </w:r>
    </w:p>
    <w:p w14:paraId="3B468A44" w14:textId="77777777" w:rsidR="0009315E" w:rsidRDefault="0009315E" w:rsidP="00604255">
      <w:pPr>
        <w:spacing w:after="120"/>
        <w:ind w:left="1800" w:hanging="360"/>
      </w:pPr>
      <w:r>
        <w:t>(1)  The First Responder Network Authority, the National Telecommunications and Information Administration, and any entity granted party status under subparagraph (c) of this subsection may file comments within 15 days of the issuance of the Public Notice set forth in this subparagraph</w:t>
      </w:r>
      <w:r w:rsidRPr="2553B491">
        <w:t>.</w:t>
      </w:r>
    </w:p>
    <w:p w14:paraId="1C332115" w14:textId="77777777" w:rsidR="0009315E" w:rsidRDefault="0009315E" w:rsidP="00604255">
      <w:pPr>
        <w:spacing w:after="120"/>
        <w:ind w:left="1800" w:hanging="360"/>
      </w:pPr>
      <w:r>
        <w:t>(2) The relevant state may file reply comments within 30 days of the issuance of the Public Notice set forth in this subparagraph.</w:t>
      </w:r>
    </w:p>
    <w:p w14:paraId="7088E457" w14:textId="266AC242" w:rsidR="0009315E" w:rsidRDefault="0009315E" w:rsidP="00604255">
      <w:pPr>
        <w:spacing w:after="120"/>
        <w:ind w:left="1800" w:hanging="360"/>
      </w:pPr>
      <w:r>
        <w:t>(3) States can file the plans</w:t>
      </w:r>
      <w:r w:rsidRPr="2553B491">
        <w:t>,</w:t>
      </w:r>
      <w:r>
        <w:t xml:space="preserve"> and those granted party status to each proceeding may file comments on the plan</w:t>
      </w:r>
      <w:r w:rsidRPr="2553B491">
        <w:t xml:space="preserve">, </w:t>
      </w:r>
      <w:r>
        <w:t xml:space="preserve">in </w:t>
      </w:r>
      <w:r w:rsidR="00F23670">
        <w:t xml:space="preserve">the specified state docket via </w:t>
      </w:r>
      <w:r w:rsidR="00680F31">
        <w:t>a</w:t>
      </w:r>
      <w:r w:rsidR="002C1B22" w:rsidRPr="002C1B22">
        <w:t xml:space="preserve"> dedicated e-mail address specified by the Commission</w:t>
      </w:r>
      <w:r>
        <w:t xml:space="preserve"> or via certified mail to the </w:t>
      </w:r>
      <w:r w:rsidR="00F76269">
        <w:t>Office of the Secretary.</w:t>
      </w:r>
      <w:r>
        <w:t xml:space="preserve">   </w:t>
      </w:r>
    </w:p>
    <w:p w14:paraId="54BE2E4C" w14:textId="77777777" w:rsidR="0009315E" w:rsidRPr="00564B0F" w:rsidRDefault="0009315E" w:rsidP="0009315E">
      <w:pPr>
        <w:widowControl/>
      </w:pPr>
    </w:p>
    <w:p w14:paraId="1F0308A8" w14:textId="77777777" w:rsidR="0009315E" w:rsidRPr="00564B0F" w:rsidRDefault="0009315E" w:rsidP="0009315E">
      <w:pPr>
        <w:widowControl/>
        <w:sectPr w:rsidR="0009315E" w:rsidRPr="00564B0F" w:rsidSect="009E179F">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cols w:space="720"/>
          <w:noEndnote/>
          <w:docGrid w:linePitch="299"/>
        </w:sectPr>
      </w:pPr>
    </w:p>
    <w:p w14:paraId="526FCFD9" w14:textId="77777777" w:rsidR="0009315E" w:rsidRDefault="0009315E" w:rsidP="00DA1C87">
      <w:pPr>
        <w:widowControl/>
        <w:spacing w:after="120"/>
        <w:jc w:val="center"/>
        <w:rPr>
          <w:b/>
        </w:rPr>
      </w:pPr>
      <w:r w:rsidRPr="00564B0F">
        <w:rPr>
          <w:b/>
        </w:rPr>
        <w:t>APPENDIX B</w:t>
      </w:r>
    </w:p>
    <w:p w14:paraId="2685A83A" w14:textId="77777777" w:rsidR="0009315E" w:rsidRPr="00564B0F" w:rsidRDefault="0009315E" w:rsidP="0009315E">
      <w:pPr>
        <w:pStyle w:val="ParaNum"/>
        <w:widowControl/>
        <w:numPr>
          <w:ilvl w:val="0"/>
          <w:numId w:val="0"/>
        </w:numPr>
        <w:jc w:val="center"/>
        <w:rPr>
          <w:b/>
        </w:rPr>
      </w:pPr>
      <w:r w:rsidRPr="00564B0F">
        <w:rPr>
          <w:b/>
        </w:rPr>
        <w:t>Opt-out Technical Interoperability Requirements Based on the Board Document</w:t>
      </w:r>
    </w:p>
    <w:p w14:paraId="70937E3A" w14:textId="77777777" w:rsidR="0009315E" w:rsidRPr="00564B0F" w:rsidRDefault="0009315E" w:rsidP="00DA1C87">
      <w:pPr>
        <w:pStyle w:val="ParaNum"/>
        <w:widowControl/>
        <w:numPr>
          <w:ilvl w:val="0"/>
          <w:numId w:val="0"/>
        </w:numPr>
        <w:spacing w:after="0"/>
      </w:pPr>
    </w:p>
    <w:p w14:paraId="655E6A02" w14:textId="77777777" w:rsidR="0009315E" w:rsidRPr="00564B0F" w:rsidRDefault="0009315E" w:rsidP="0009315E">
      <w:pPr>
        <w:pStyle w:val="ParaNum"/>
        <w:widowControl/>
        <w:numPr>
          <w:ilvl w:val="0"/>
          <w:numId w:val="0"/>
        </w:numPr>
      </w:pPr>
      <w:r w:rsidRPr="00564B0F">
        <w:t>The requirements in this appendix are based on the Board document “Recommended Requirements” (“SHALLs”). Requirements attributable to the NPSBN or FirstNet shall be deemed for these purposes to refer to the applicable state RAN.  The numbering is based on the original Board document numbering.</w:t>
      </w:r>
    </w:p>
    <w:p w14:paraId="7215C124" w14:textId="77777777" w:rsidR="0009315E" w:rsidRPr="00564B0F" w:rsidRDefault="0009315E" w:rsidP="00DA1C87">
      <w:pPr>
        <w:pStyle w:val="ParaNum"/>
        <w:widowControl/>
        <w:numPr>
          <w:ilvl w:val="0"/>
          <w:numId w:val="0"/>
        </w:numPr>
        <w:spacing w:after="0"/>
      </w:pPr>
    </w:p>
    <w:p w14:paraId="479F69EE"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 xml:space="preserve">[1] </w:t>
      </w:r>
      <w:r w:rsidRPr="00564B0F">
        <w:rPr>
          <w:snapToGrid/>
          <w:kern w:val="0"/>
          <w:sz w:val="20"/>
        </w:rPr>
        <w:tab/>
        <w:t>Hardware and software systems comprising the NPSBN SHALL implement interfaces consistent with Table 2: Standards Implementation Methodology.</w:t>
      </w:r>
    </w:p>
    <w:p w14:paraId="49AFA002"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719A50AE"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[2]</w:t>
      </w:r>
      <w:r w:rsidRPr="00564B0F">
        <w:rPr>
          <w:snapToGrid/>
          <w:kern w:val="0"/>
          <w:sz w:val="20"/>
        </w:rPr>
        <w:tab/>
        <w:t>Hardware and software systems comprising the NPSBN SHALL support the interfaces enumerated in Table 1: Minimum Interoperable Interfaces.</w:t>
      </w:r>
    </w:p>
    <w:p w14:paraId="481608E3"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105FD90A"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[3]</w:t>
      </w:r>
      <w:r w:rsidRPr="00564B0F">
        <w:rPr>
          <w:snapToGrid/>
          <w:kern w:val="0"/>
          <w:sz w:val="20"/>
        </w:rPr>
        <w:tab/>
        <w:t>Hardware and software systems comprising the NPSBN SHALL support management functions.</w:t>
      </w:r>
    </w:p>
    <w:p w14:paraId="48160FAD"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11643EC9"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[7] The NPSBN SHALL support IPv4, IPv6, and IPv4/v6 PDN types defined in 3GPP TS 23.401.</w:t>
      </w:r>
    </w:p>
    <w:p w14:paraId="4DC95DD1"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4120E8A0"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[8]</w:t>
      </w:r>
      <w:r w:rsidRPr="00564B0F">
        <w:rPr>
          <w:snapToGrid/>
          <w:kern w:val="0"/>
          <w:sz w:val="20"/>
        </w:rPr>
        <w:tab/>
        <w:t>The NPSBN SHALL support IPv4 and/or IPv6 transport for the EPS interfaces enumerated in Table 1: Minimum Interoperable Interfaces, consistent with the FirstNet design.</w:t>
      </w:r>
    </w:p>
    <w:p w14:paraId="268929D4"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77166C79"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[9]</w:t>
      </w:r>
      <w:r w:rsidRPr="00564B0F">
        <w:rPr>
          <w:snapToGrid/>
          <w:kern w:val="0"/>
          <w:sz w:val="20"/>
        </w:rPr>
        <w:tab/>
        <w:t>Any sharing agreement that FirstNet enters into SHALL implement network sharing according to 3GPP TS 23.251 and SHALL NOT impact public safety operations.</w:t>
      </w:r>
    </w:p>
    <w:p w14:paraId="324C6295"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376EB516" w14:textId="77777777" w:rsidR="0009315E" w:rsidRPr="00564B0F" w:rsidRDefault="0009315E" w:rsidP="0009315E">
      <w:pPr>
        <w:widowControl/>
        <w:tabs>
          <w:tab w:val="left" w:pos="360"/>
        </w:tabs>
        <w:autoSpaceDE w:val="0"/>
        <w:autoSpaceDN w:val="0"/>
        <w:adjustRightInd w:val="0"/>
        <w:ind w:left="360" w:hanging="360"/>
        <w:rPr>
          <w:snapToGrid/>
          <w:kern w:val="0"/>
          <w:sz w:val="20"/>
        </w:rPr>
      </w:pPr>
      <w:r w:rsidRPr="00564B0F">
        <w:rPr>
          <w:snapToGrid/>
          <w:kern w:val="0"/>
          <w:sz w:val="20"/>
        </w:rPr>
        <w:t>[10]</w:t>
      </w:r>
      <w:r w:rsidRPr="00564B0F">
        <w:rPr>
          <w:snapToGrid/>
          <w:kern w:val="0"/>
          <w:sz w:val="20"/>
        </w:rPr>
        <w:tab/>
        <w:t>The NPSBN SHALL include the capability to collect and convey UE location data to applications using a standardized interface in near real time.</w:t>
      </w:r>
    </w:p>
    <w:p w14:paraId="2D25E75B" w14:textId="77777777" w:rsidR="0009315E" w:rsidRPr="00564B0F" w:rsidRDefault="0009315E" w:rsidP="0009315E">
      <w:pPr>
        <w:widowControl/>
        <w:tabs>
          <w:tab w:val="left" w:pos="360"/>
        </w:tabs>
        <w:autoSpaceDE w:val="0"/>
        <w:autoSpaceDN w:val="0"/>
        <w:adjustRightInd w:val="0"/>
        <w:ind w:left="360" w:hanging="360"/>
        <w:rPr>
          <w:snapToGrid/>
          <w:kern w:val="0"/>
          <w:sz w:val="20"/>
        </w:rPr>
      </w:pPr>
    </w:p>
    <w:p w14:paraId="22296A26"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 xml:space="preserve"> [20]</w:t>
      </w:r>
      <w:r w:rsidRPr="00564B0F">
        <w:rPr>
          <w:snapToGrid/>
          <w:kern w:val="0"/>
          <w:sz w:val="20"/>
        </w:rPr>
        <w:tab/>
        <w:t xml:space="preserve"> Prior to operational deployment on the NPSBN, infrastructure equipment SHALL have passed FirstNet required Interface Conformance Testing (e.g. testing S1-MME conformance to 3GPP) on the interfaces specified by FirstNet.</w:t>
      </w:r>
    </w:p>
    <w:p w14:paraId="29D9F059" w14:textId="77777777" w:rsidR="0009315E" w:rsidRPr="00564B0F" w:rsidRDefault="0009315E" w:rsidP="0009315E">
      <w:pPr>
        <w:widowControl/>
        <w:autoSpaceDE w:val="0"/>
        <w:autoSpaceDN w:val="0"/>
        <w:adjustRightInd w:val="0"/>
        <w:ind w:left="360" w:hanging="360"/>
        <w:rPr>
          <w:snapToGrid/>
          <w:kern w:val="0"/>
          <w:sz w:val="20"/>
        </w:rPr>
      </w:pPr>
    </w:p>
    <w:p w14:paraId="28E6572E"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[21]</w:t>
      </w:r>
      <w:r w:rsidRPr="00564B0F">
        <w:rPr>
          <w:snapToGrid/>
          <w:kern w:val="0"/>
          <w:sz w:val="20"/>
        </w:rPr>
        <w:tab/>
        <w:t>Prior to operational deployment on the NPSBN, infrastructure equipment SHALL have passed FirstNet required Interoperability Testing at a system level as per the specific IOT requirements for the NPSBN.</w:t>
      </w:r>
    </w:p>
    <w:p w14:paraId="27AB592D" w14:textId="77777777" w:rsidR="0009315E" w:rsidRPr="00564B0F" w:rsidRDefault="0009315E" w:rsidP="0009315E">
      <w:pPr>
        <w:widowControl/>
        <w:autoSpaceDE w:val="0"/>
        <w:autoSpaceDN w:val="0"/>
        <w:adjustRightInd w:val="0"/>
        <w:ind w:left="360" w:hanging="360"/>
        <w:rPr>
          <w:snapToGrid/>
          <w:kern w:val="0"/>
          <w:sz w:val="20"/>
        </w:rPr>
      </w:pPr>
    </w:p>
    <w:p w14:paraId="7388E88A"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[22]</w:t>
      </w:r>
      <w:r w:rsidRPr="00564B0F">
        <w:rPr>
          <w:snapToGrid/>
          <w:kern w:val="0"/>
          <w:sz w:val="20"/>
        </w:rPr>
        <w:tab/>
        <w:t>Infrastructure deployed on the NPSBN SHALL be included in the FirstNet-required FOA process as part of the NPSBN deployment.</w:t>
      </w:r>
    </w:p>
    <w:p w14:paraId="664DE420" w14:textId="77777777" w:rsidR="0009315E" w:rsidRPr="00564B0F" w:rsidRDefault="0009315E" w:rsidP="0009315E">
      <w:pPr>
        <w:widowControl/>
        <w:autoSpaceDE w:val="0"/>
        <w:autoSpaceDN w:val="0"/>
        <w:adjustRightInd w:val="0"/>
        <w:ind w:left="360" w:hanging="360"/>
        <w:rPr>
          <w:snapToGrid/>
          <w:kern w:val="0"/>
          <w:sz w:val="20"/>
        </w:rPr>
      </w:pPr>
    </w:p>
    <w:p w14:paraId="55359257"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[23]</w:t>
      </w:r>
      <w:r w:rsidRPr="00564B0F">
        <w:rPr>
          <w:snapToGrid/>
          <w:kern w:val="0"/>
          <w:sz w:val="20"/>
        </w:rPr>
        <w:tab/>
        <w:t>The equipment comprising the NPSBN SHALL provide backwards compatibility of interfaces, from time of deprecation, for a minimum of two full major release/upgrades of the network. This requirement may be waived (i.e., interface obsolescence accelerated) if FirstNet can ascertain from the user community that there are no dependencies on a given interface.</w:t>
      </w:r>
    </w:p>
    <w:p w14:paraId="033BF0F8" w14:textId="2ABEC058" w:rsidR="0009315E" w:rsidRPr="00564B0F" w:rsidRDefault="00793E36" w:rsidP="00F35E55">
      <w:pPr>
        <w:widowControl/>
        <w:tabs>
          <w:tab w:val="left" w:pos="7280"/>
        </w:tabs>
        <w:autoSpaceDE w:val="0"/>
        <w:autoSpaceDN w:val="0"/>
        <w:adjustRightInd w:val="0"/>
        <w:ind w:left="360" w:hanging="360"/>
        <w:rPr>
          <w:snapToGrid/>
          <w:kern w:val="0"/>
          <w:sz w:val="20"/>
        </w:rPr>
      </w:pPr>
      <w:r>
        <w:rPr>
          <w:snapToGrid/>
          <w:kern w:val="0"/>
          <w:sz w:val="20"/>
        </w:rPr>
        <w:tab/>
      </w:r>
      <w:r>
        <w:rPr>
          <w:snapToGrid/>
          <w:kern w:val="0"/>
          <w:sz w:val="20"/>
        </w:rPr>
        <w:tab/>
      </w:r>
    </w:p>
    <w:p w14:paraId="2D981A02"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[24]</w:t>
      </w:r>
      <w:r w:rsidRPr="00564B0F">
        <w:rPr>
          <w:snapToGrid/>
          <w:kern w:val="0"/>
          <w:sz w:val="20"/>
        </w:rPr>
        <w:tab/>
        <w:t>The NPSBN SHALL support user mobility across the entire NPSBN (including Opt-out states).</w:t>
      </w:r>
    </w:p>
    <w:p w14:paraId="3F2A963F" w14:textId="77777777" w:rsidR="0009315E" w:rsidRPr="00564B0F" w:rsidRDefault="0009315E" w:rsidP="0009315E">
      <w:pPr>
        <w:widowControl/>
        <w:autoSpaceDE w:val="0"/>
        <w:autoSpaceDN w:val="0"/>
        <w:adjustRightInd w:val="0"/>
        <w:ind w:left="360" w:hanging="360"/>
        <w:rPr>
          <w:snapToGrid/>
          <w:kern w:val="0"/>
          <w:sz w:val="20"/>
        </w:rPr>
      </w:pPr>
    </w:p>
    <w:p w14:paraId="5FD2BF5C"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[25]</w:t>
      </w:r>
      <w:r w:rsidRPr="00564B0F">
        <w:rPr>
          <w:snapToGrid/>
          <w:kern w:val="0"/>
          <w:sz w:val="20"/>
        </w:rPr>
        <w:tab/>
        <w:t>The NPSBN SHALL support S1 and SHALL preferentially support X2 handover between adjacent NPSBN cells (including cells owned by opt-out states) whose proximity supports a handover opportunity.</w:t>
      </w:r>
    </w:p>
    <w:p w14:paraId="33040969" w14:textId="77777777" w:rsidR="0009315E" w:rsidRPr="00564B0F" w:rsidRDefault="0009315E" w:rsidP="0009315E">
      <w:pPr>
        <w:widowControl/>
        <w:autoSpaceDE w:val="0"/>
        <w:autoSpaceDN w:val="0"/>
        <w:adjustRightInd w:val="0"/>
        <w:ind w:left="360" w:hanging="360"/>
        <w:rPr>
          <w:snapToGrid/>
          <w:kern w:val="0"/>
          <w:sz w:val="20"/>
        </w:rPr>
      </w:pPr>
    </w:p>
    <w:p w14:paraId="3CE9C495" w14:textId="77777777" w:rsidR="0009315E" w:rsidRPr="00564B0F" w:rsidRDefault="0009315E" w:rsidP="0009315E">
      <w:pPr>
        <w:widowControl/>
        <w:tabs>
          <w:tab w:val="left" w:pos="540"/>
        </w:tabs>
        <w:autoSpaceDE w:val="0"/>
        <w:autoSpaceDN w:val="0"/>
        <w:adjustRightInd w:val="0"/>
        <w:ind w:left="540" w:hanging="540"/>
        <w:rPr>
          <w:snapToGrid/>
          <w:kern w:val="0"/>
          <w:sz w:val="20"/>
        </w:rPr>
      </w:pPr>
      <w:r w:rsidRPr="00564B0F">
        <w:rPr>
          <w:snapToGrid/>
          <w:kern w:val="0"/>
          <w:sz w:val="20"/>
        </w:rPr>
        <w:t>[29] The NPSBN SHALL support the use of mobile VPN technology to support mobility between the NPSBN and other networks.</w:t>
      </w:r>
    </w:p>
    <w:p w14:paraId="6F274DE2" w14:textId="77777777" w:rsidR="0009315E" w:rsidRPr="00564B0F" w:rsidRDefault="0009315E" w:rsidP="0009315E">
      <w:pPr>
        <w:widowControl/>
        <w:tabs>
          <w:tab w:val="left" w:pos="540"/>
        </w:tabs>
        <w:autoSpaceDE w:val="0"/>
        <w:autoSpaceDN w:val="0"/>
        <w:adjustRightInd w:val="0"/>
        <w:ind w:left="540" w:hanging="540"/>
        <w:rPr>
          <w:snapToGrid/>
          <w:kern w:val="0"/>
          <w:sz w:val="20"/>
        </w:rPr>
      </w:pPr>
    </w:p>
    <w:p w14:paraId="51E3DB6D" w14:textId="30A10484" w:rsidR="0009315E" w:rsidRPr="00564B0F" w:rsidRDefault="0009315E" w:rsidP="0009315E">
      <w:pPr>
        <w:widowControl/>
        <w:tabs>
          <w:tab w:val="left" w:pos="540"/>
        </w:tabs>
        <w:autoSpaceDE w:val="0"/>
        <w:autoSpaceDN w:val="0"/>
        <w:adjustRightInd w:val="0"/>
        <w:ind w:left="540" w:hanging="540"/>
        <w:rPr>
          <w:snapToGrid/>
          <w:kern w:val="0"/>
          <w:sz w:val="20"/>
        </w:rPr>
      </w:pPr>
      <w:r w:rsidRPr="00564B0F">
        <w:rPr>
          <w:snapToGrid/>
          <w:kern w:val="0"/>
          <w:sz w:val="20"/>
        </w:rPr>
        <w:t>[30] The NPSBN SHALL provide the ability for national, regional, and local applications to dynamically change a UE‘s p</w:t>
      </w:r>
      <w:r w:rsidR="0041145F">
        <w:rPr>
          <w:snapToGrid/>
          <w:kern w:val="0"/>
          <w:sz w:val="20"/>
        </w:rPr>
        <w:t>rioritization and QoS using the</w:t>
      </w:r>
      <w:r w:rsidR="0041145F" w:rsidRPr="0041145F">
        <w:rPr>
          <w:snapToGrid/>
          <w:kern w:val="0"/>
          <w:sz w:val="20"/>
        </w:rPr>
        <w:t xml:space="preserve"> 3GPP ‘Rx’ </w:t>
      </w:r>
      <w:r w:rsidRPr="00564B0F">
        <w:rPr>
          <w:snapToGrid/>
          <w:kern w:val="0"/>
          <w:sz w:val="20"/>
        </w:rPr>
        <w:t>interface.</w:t>
      </w:r>
    </w:p>
    <w:p w14:paraId="2D65B60C" w14:textId="77777777" w:rsidR="0009315E" w:rsidRPr="00564B0F" w:rsidRDefault="0009315E" w:rsidP="0009315E">
      <w:pPr>
        <w:widowControl/>
        <w:autoSpaceDE w:val="0"/>
        <w:autoSpaceDN w:val="0"/>
        <w:adjustRightInd w:val="0"/>
        <w:ind w:left="360" w:hanging="360"/>
        <w:rPr>
          <w:snapToGrid/>
          <w:kern w:val="0"/>
          <w:sz w:val="20"/>
        </w:rPr>
      </w:pPr>
    </w:p>
    <w:p w14:paraId="3205AED8"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[31]</w:t>
      </w:r>
      <w:r w:rsidRPr="00564B0F">
        <w:rPr>
          <w:snapToGrid/>
          <w:kern w:val="0"/>
          <w:sz w:val="20"/>
        </w:rPr>
        <w:tab/>
        <w:t>The NPSBN SHALL support all 9 QCI classes specified in table 6.1.7 of 3GPP 23.203 v9.11 or future equivalents.</w:t>
      </w:r>
    </w:p>
    <w:p w14:paraId="1F116F0F"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[32] QoS mechanisms in the NPSBN SHALL comply with 3GPP TS 23.203.</w:t>
      </w:r>
    </w:p>
    <w:p w14:paraId="7ADE5D13" w14:textId="77777777" w:rsidR="0009315E" w:rsidRPr="00564B0F" w:rsidRDefault="0009315E" w:rsidP="0009315E">
      <w:pPr>
        <w:widowControl/>
        <w:autoSpaceDE w:val="0"/>
        <w:autoSpaceDN w:val="0"/>
        <w:adjustRightInd w:val="0"/>
        <w:ind w:left="360" w:hanging="360"/>
        <w:rPr>
          <w:snapToGrid/>
          <w:kern w:val="0"/>
          <w:sz w:val="20"/>
        </w:rPr>
      </w:pPr>
    </w:p>
    <w:p w14:paraId="3FA59ECF"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[33]</w:t>
      </w:r>
      <w:r w:rsidRPr="00564B0F">
        <w:rPr>
          <w:snapToGrid/>
          <w:kern w:val="0"/>
          <w:sz w:val="20"/>
        </w:rPr>
        <w:tab/>
        <w:t>The NPSBN SHALL support the usage of all 15 ARP values defined in 3GPP 23.203.</w:t>
      </w:r>
    </w:p>
    <w:p w14:paraId="4FCA3D3F" w14:textId="77777777" w:rsidR="0009315E" w:rsidRPr="00564B0F" w:rsidRDefault="0009315E" w:rsidP="0009315E">
      <w:pPr>
        <w:widowControl/>
        <w:autoSpaceDE w:val="0"/>
        <w:autoSpaceDN w:val="0"/>
        <w:adjustRightInd w:val="0"/>
        <w:ind w:left="360" w:hanging="360"/>
        <w:rPr>
          <w:snapToGrid/>
          <w:kern w:val="0"/>
          <w:sz w:val="20"/>
        </w:rPr>
      </w:pPr>
    </w:p>
    <w:p w14:paraId="1C9C6FC2"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[34] The NPSBN SHALL support the ARP pre-emption capability and vulnerability functions as defined in 3GPP 23.203.</w:t>
      </w:r>
    </w:p>
    <w:p w14:paraId="38781F19" w14:textId="77777777" w:rsidR="0009315E" w:rsidRPr="00564B0F" w:rsidRDefault="0009315E" w:rsidP="0009315E">
      <w:pPr>
        <w:widowControl/>
        <w:autoSpaceDE w:val="0"/>
        <w:autoSpaceDN w:val="0"/>
        <w:adjustRightInd w:val="0"/>
        <w:ind w:left="360" w:hanging="360"/>
        <w:rPr>
          <w:snapToGrid/>
          <w:kern w:val="0"/>
          <w:sz w:val="20"/>
        </w:rPr>
      </w:pPr>
    </w:p>
    <w:p w14:paraId="734DCFB4"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[35]</w:t>
      </w:r>
      <w:r w:rsidRPr="00564B0F">
        <w:rPr>
          <w:snapToGrid/>
          <w:kern w:val="0"/>
          <w:sz w:val="20"/>
        </w:rPr>
        <w:tab/>
        <w:t>The NPSBN SHALL implement a nationwide scheme for assigning Access Classes to public safety users and secondary users following the 3GPP recommendations in TS 22.011, Section 4.2.</w:t>
      </w:r>
    </w:p>
    <w:p w14:paraId="0B26337D" w14:textId="77777777" w:rsidR="0009315E" w:rsidRPr="00564B0F" w:rsidRDefault="0009315E" w:rsidP="0009315E">
      <w:pPr>
        <w:widowControl/>
        <w:autoSpaceDE w:val="0"/>
        <w:autoSpaceDN w:val="0"/>
        <w:adjustRightInd w:val="0"/>
        <w:ind w:left="360" w:hanging="360"/>
        <w:rPr>
          <w:snapToGrid/>
          <w:kern w:val="0"/>
          <w:sz w:val="20"/>
        </w:rPr>
      </w:pPr>
    </w:p>
    <w:p w14:paraId="53920911"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[36]</w:t>
      </w:r>
      <w:r w:rsidRPr="00564B0F">
        <w:rPr>
          <w:snapToGrid/>
          <w:kern w:val="0"/>
          <w:sz w:val="20"/>
        </w:rPr>
        <w:tab/>
        <w:t xml:space="preserve"> The NPSBN SHALL implement a nationwide scheme for assigning QoS Class Identifier priority to IP network and backhaul priority across the entire NPSBN.</w:t>
      </w:r>
    </w:p>
    <w:p w14:paraId="2472B608" w14:textId="77777777" w:rsidR="0009315E" w:rsidRPr="00564B0F" w:rsidRDefault="0009315E" w:rsidP="0009315E">
      <w:pPr>
        <w:widowControl/>
        <w:autoSpaceDE w:val="0"/>
        <w:autoSpaceDN w:val="0"/>
        <w:adjustRightInd w:val="0"/>
        <w:ind w:left="360" w:hanging="360"/>
        <w:rPr>
          <w:snapToGrid/>
          <w:kern w:val="0"/>
          <w:sz w:val="20"/>
        </w:rPr>
      </w:pPr>
    </w:p>
    <w:p w14:paraId="5FBE171D"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[37]</w:t>
      </w:r>
      <w:r w:rsidRPr="00564B0F">
        <w:rPr>
          <w:snapToGrid/>
          <w:kern w:val="0"/>
          <w:sz w:val="20"/>
        </w:rPr>
        <w:tab/>
        <w:t xml:space="preserve"> The NPSBN SHALL support the use of industry standard VPN and MVPN technology, while providing priority and Quality of Service for encapsulated applications.</w:t>
      </w:r>
    </w:p>
    <w:p w14:paraId="1A8994F2" w14:textId="77777777" w:rsidR="0009315E" w:rsidRPr="00564B0F" w:rsidRDefault="0009315E" w:rsidP="0009315E">
      <w:pPr>
        <w:widowControl/>
        <w:autoSpaceDE w:val="0"/>
        <w:autoSpaceDN w:val="0"/>
        <w:adjustRightInd w:val="0"/>
        <w:ind w:left="360" w:hanging="360"/>
        <w:rPr>
          <w:snapToGrid/>
          <w:kern w:val="0"/>
          <w:sz w:val="20"/>
        </w:rPr>
      </w:pPr>
    </w:p>
    <w:p w14:paraId="2B23C07D"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[38]</w:t>
      </w:r>
      <w:r w:rsidRPr="00564B0F">
        <w:rPr>
          <w:snapToGrid/>
          <w:kern w:val="0"/>
          <w:sz w:val="20"/>
        </w:rPr>
        <w:tab/>
        <w:t xml:space="preserve"> The NPSBN SHALL use a nationwide common security profile for user plane and control plane traffic between UEs, eNBs and MMEs, in accordance with 3GPP LTE Network Access Domain protocols. The profile SHALL be based on 3GPP TS 33.401, and will be determined by FirstNet based on a system design and other considerations as it deals with evolving cyber threats. As a minimum, the profile SHALL include specification of ciphering algorithms (for example, use of AES-128 vs. SNOW 3G).</w:t>
      </w:r>
    </w:p>
    <w:p w14:paraId="159C3435" w14:textId="77777777" w:rsidR="0009315E" w:rsidRPr="00564B0F" w:rsidRDefault="0009315E" w:rsidP="0009315E">
      <w:pPr>
        <w:widowControl/>
        <w:autoSpaceDE w:val="0"/>
        <w:autoSpaceDN w:val="0"/>
        <w:adjustRightInd w:val="0"/>
        <w:ind w:left="360" w:hanging="360"/>
        <w:rPr>
          <w:snapToGrid/>
          <w:kern w:val="0"/>
          <w:sz w:val="20"/>
        </w:rPr>
      </w:pPr>
    </w:p>
    <w:p w14:paraId="248BA2F5"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[39]</w:t>
      </w:r>
      <w:r w:rsidRPr="00564B0F">
        <w:rPr>
          <w:snapToGrid/>
          <w:kern w:val="0"/>
          <w:sz w:val="20"/>
        </w:rPr>
        <w:tab/>
        <w:t>The nationwide common security profile SHALL include ciphering of control plane traffic in order to provide for interoperable cyber protection of the network. Ciphering of user plane traffic is optional and is based on policy decisions that involve FirstNet and user agencies.</w:t>
      </w:r>
    </w:p>
    <w:p w14:paraId="1BF75258" w14:textId="77777777" w:rsidR="0009315E" w:rsidRPr="00564B0F" w:rsidRDefault="0009315E" w:rsidP="0009315E">
      <w:pPr>
        <w:widowControl/>
        <w:autoSpaceDE w:val="0"/>
        <w:autoSpaceDN w:val="0"/>
        <w:adjustRightInd w:val="0"/>
        <w:ind w:left="360" w:hanging="360"/>
        <w:rPr>
          <w:snapToGrid/>
          <w:kern w:val="0"/>
          <w:sz w:val="20"/>
        </w:rPr>
      </w:pPr>
    </w:p>
    <w:p w14:paraId="7A1EBC6D" w14:textId="77777777" w:rsidR="0009315E" w:rsidRPr="00564B0F" w:rsidRDefault="0009315E" w:rsidP="0009315E">
      <w:pPr>
        <w:widowControl/>
        <w:autoSpaceDE w:val="0"/>
        <w:autoSpaceDN w:val="0"/>
        <w:adjustRightInd w:val="0"/>
        <w:ind w:left="360" w:hanging="360"/>
        <w:rPr>
          <w:snapToGrid/>
          <w:kern w:val="0"/>
          <w:sz w:val="20"/>
        </w:rPr>
      </w:pPr>
      <w:r w:rsidRPr="00564B0F">
        <w:rPr>
          <w:snapToGrid/>
          <w:kern w:val="0"/>
          <w:sz w:val="20"/>
        </w:rPr>
        <w:t>[41]</w:t>
      </w:r>
      <w:r w:rsidRPr="00564B0F">
        <w:rPr>
          <w:snapToGrid/>
          <w:kern w:val="0"/>
          <w:sz w:val="20"/>
        </w:rPr>
        <w:tab/>
        <w:t xml:space="preserve"> Network Domain Security SHALL be implemented in accordance with 3GPP TS 33.210, which stipulates the use of IPSec to protect IP communication between administrative domains (including all network connections used to interconnect the domains).</w:t>
      </w:r>
    </w:p>
    <w:p w14:paraId="082FA639" w14:textId="77777777" w:rsidR="0009315E" w:rsidRPr="00564B0F" w:rsidRDefault="0009315E" w:rsidP="0009315E">
      <w:pPr>
        <w:widowControl/>
        <w:autoSpaceDE w:val="0"/>
        <w:autoSpaceDN w:val="0"/>
        <w:adjustRightInd w:val="0"/>
        <w:ind w:left="360" w:hanging="360"/>
        <w:rPr>
          <w:snapToGrid/>
          <w:kern w:val="0"/>
          <w:sz w:val="20"/>
        </w:rPr>
      </w:pPr>
    </w:p>
    <w:p w14:paraId="27089FAA" w14:textId="77777777" w:rsidR="0009315E" w:rsidRDefault="0009315E" w:rsidP="0009315E">
      <w:pPr>
        <w:widowControl/>
        <w:autoSpaceDE w:val="0"/>
        <w:autoSpaceDN w:val="0"/>
        <w:adjustRightInd w:val="0"/>
        <w:ind w:left="360" w:hanging="360"/>
        <w:rPr>
          <w:snapToGrid/>
          <w:kern w:val="0"/>
          <w:sz w:val="20"/>
        </w:rPr>
      </w:pPr>
      <w:r w:rsidRPr="00564B0F">
        <w:rPr>
          <w:snapToGrid/>
          <w:kern w:val="0"/>
          <w:sz w:val="20"/>
        </w:rPr>
        <w:t>[42]</w:t>
      </w:r>
      <w:r w:rsidRPr="00564B0F">
        <w:rPr>
          <w:snapToGrid/>
          <w:kern w:val="0"/>
          <w:sz w:val="20"/>
        </w:rPr>
        <w:tab/>
        <w:t xml:space="preserve"> The NPSBN SHALL comply with TS 33.310 as the authentication framework for Public Key Infrastructure to authenticate these network interfaces.</w:t>
      </w:r>
    </w:p>
    <w:p w14:paraId="672F5623" w14:textId="77777777" w:rsidR="00DA1C87" w:rsidRDefault="00DA1C87" w:rsidP="0009315E">
      <w:pPr>
        <w:widowControl/>
        <w:autoSpaceDE w:val="0"/>
        <w:autoSpaceDN w:val="0"/>
        <w:adjustRightInd w:val="0"/>
        <w:ind w:left="360" w:hanging="360"/>
        <w:rPr>
          <w:snapToGrid/>
          <w:kern w:val="0"/>
          <w:sz w:val="20"/>
        </w:rPr>
      </w:pPr>
    </w:p>
    <w:p w14:paraId="1E087820" w14:textId="77777777" w:rsidR="00DA1C87" w:rsidRPr="00564B0F" w:rsidRDefault="00DA1C87" w:rsidP="0009315E">
      <w:pPr>
        <w:widowControl/>
        <w:autoSpaceDE w:val="0"/>
        <w:autoSpaceDN w:val="0"/>
        <w:adjustRightInd w:val="0"/>
        <w:ind w:left="360" w:hanging="360"/>
        <w:rPr>
          <w:snapToGrid/>
          <w:kern w:val="0"/>
          <w:sz w:val="20"/>
        </w:rPr>
        <w:sectPr w:rsidR="00DA1C87" w:rsidRPr="00564B0F">
          <w:headerReference w:type="default" r:id="rId18"/>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p>
    <w:p w14:paraId="6CACF6D0" w14:textId="4031F374" w:rsidR="00793E36" w:rsidRPr="00564B0F" w:rsidRDefault="00793E36" w:rsidP="00793E36">
      <w:pPr>
        <w:pStyle w:val="ParaNum"/>
        <w:widowControl/>
        <w:numPr>
          <w:ilvl w:val="0"/>
          <w:numId w:val="0"/>
        </w:numPr>
        <w:jc w:val="center"/>
        <w:rPr>
          <w:b/>
        </w:rPr>
      </w:pPr>
      <w:bookmarkStart w:id="138" w:name="_Toc314738918"/>
      <w:bookmarkStart w:id="139" w:name="_Toc314738875"/>
      <w:bookmarkStart w:id="140" w:name="_Toc314648949"/>
      <w:bookmarkStart w:id="141" w:name="_Toc314645318"/>
      <w:bookmarkStart w:id="142" w:name="_Toc310524896"/>
      <w:bookmarkStart w:id="143" w:name="_Toc310524628"/>
      <w:bookmarkStart w:id="144" w:name="_Toc262465660"/>
      <w:bookmarkStart w:id="145" w:name="_Toc355020409"/>
      <w:bookmarkStart w:id="146" w:name="_Toc355173558"/>
      <w:bookmarkStart w:id="147" w:name="_Toc355176837"/>
      <w:bookmarkStart w:id="148" w:name="_Toc385318100"/>
      <w:bookmarkStart w:id="149" w:name="_Toc385319568"/>
      <w:bookmarkStart w:id="150" w:name="_Toc385320648"/>
      <w:bookmarkStart w:id="151" w:name="_Toc385324025"/>
      <w:bookmarkStart w:id="152" w:name="_Toc385324282"/>
      <w:bookmarkStart w:id="153" w:name="_Toc459716610"/>
      <w:bookmarkStart w:id="154" w:name="_Toc459716911"/>
      <w:r w:rsidRPr="00564B0F">
        <w:rPr>
          <w:b/>
        </w:rPr>
        <w:t>APPENDIX C</w:t>
      </w:r>
    </w:p>
    <w:p w14:paraId="42858BDD" w14:textId="77777777" w:rsidR="00793E36" w:rsidRDefault="00793E36" w:rsidP="00DA1C87">
      <w:pPr>
        <w:pStyle w:val="ParaNum"/>
        <w:widowControl/>
        <w:numPr>
          <w:ilvl w:val="0"/>
          <w:numId w:val="0"/>
        </w:numPr>
        <w:spacing w:after="0"/>
        <w:jc w:val="center"/>
        <w:rPr>
          <w:b/>
        </w:rPr>
      </w:pPr>
      <w:r w:rsidRPr="00564B0F">
        <w:rPr>
          <w:b/>
        </w:rPr>
        <w:t>Final Regulatory Flexibility Certification</w:t>
      </w:r>
    </w:p>
    <w:p w14:paraId="19922604" w14:textId="77777777" w:rsidR="00DA1C87" w:rsidRPr="00564B0F" w:rsidRDefault="00DA1C87" w:rsidP="00DA1C87">
      <w:pPr>
        <w:pStyle w:val="ParaNum"/>
        <w:widowControl/>
        <w:numPr>
          <w:ilvl w:val="0"/>
          <w:numId w:val="0"/>
        </w:numPr>
        <w:rPr>
          <w:b/>
        </w:rPr>
      </w:pPr>
    </w:p>
    <w:p w14:paraId="5F1B253C" w14:textId="77777777" w:rsidR="0009315E" w:rsidRDefault="00793E36" w:rsidP="0009315E">
      <w:pPr>
        <w:pStyle w:val="ParaNum"/>
        <w:widowControl/>
        <w:numPr>
          <w:ilvl w:val="0"/>
          <w:numId w:val="14"/>
        </w:numPr>
        <w:tabs>
          <w:tab w:val="clear" w:pos="1080"/>
          <w:tab w:val="num" w:pos="1440"/>
        </w:tabs>
      </w:pPr>
      <w:r w:rsidRPr="00564B0F">
        <w:t>The Regulatory Flexibility Act of 1980, as amended (RFA),</w:t>
      </w:r>
      <w:r w:rsidRPr="00564B0F">
        <w:rPr>
          <w:rStyle w:val="FootnoteReference"/>
          <w:szCs w:val="22"/>
        </w:rPr>
        <w:t xml:space="preserve"> </w:t>
      </w:r>
      <w:r w:rsidRPr="00564B0F">
        <w:rPr>
          <w:rStyle w:val="FootnoteReference"/>
          <w:szCs w:val="22"/>
        </w:rPr>
        <w:footnoteReference w:id="165"/>
      </w:r>
      <w:r w:rsidRPr="00564B0F">
        <w:t xml:space="preserve"> requires that a regulatory flexibility analysis be prepared for notice-and-comment rule making proceedings, unless the agency certifies that “the rule will not, if promulgated, have a significant economic impact on a substantial number of small entities.”</w:t>
      </w:r>
      <w:r w:rsidRPr="00564B0F">
        <w:rPr>
          <w:rStyle w:val="FootnoteReference"/>
        </w:rPr>
        <w:footnoteReference w:id="166"/>
      </w:r>
      <w:r w:rsidRPr="00564B0F">
        <w:t xml:space="preserve"> The RFA generally defines the term “small entity” as having the same meaning as the terms “small business,” “small organization,” and “small governmental jurisdiction.”</w:t>
      </w:r>
      <w:r w:rsidRPr="00564B0F">
        <w:rPr>
          <w:rStyle w:val="FootnoteReference"/>
        </w:rPr>
        <w:footnoteReference w:id="167"/>
      </w:r>
      <w:r w:rsidRPr="00564B0F">
        <w:t xml:space="preserve"> In addition, the term “small business” has the same meaning as the term “small business concern” under the Small Business Act.</w:t>
      </w:r>
      <w:r w:rsidRPr="00564B0F">
        <w:rPr>
          <w:rStyle w:val="FootnoteReference"/>
        </w:rPr>
        <w:footnoteReference w:id="168"/>
      </w:r>
      <w:r w:rsidRPr="00564B0F">
        <w:t xml:space="preserve">  A “small business concern” is one which: (1) is independently owned and operated; (2) is not dominant in its field of operation; and (3) satisfies any additional criteria established by the Small Business Administration (SBA).</w:t>
      </w:r>
      <w:r w:rsidRPr="00564B0F">
        <w:rPr>
          <w:rStyle w:val="FootnoteReference"/>
        </w:rPr>
        <w:footnoteReference w:id="169"/>
      </w:r>
    </w:p>
    <w:p w14:paraId="0242C3A5" w14:textId="07E1C271" w:rsidR="00793E36" w:rsidRDefault="000A5F98" w:rsidP="00F35E55">
      <w:pPr>
        <w:pStyle w:val="ParaNum"/>
        <w:widowControl/>
        <w:numPr>
          <w:ilvl w:val="0"/>
          <w:numId w:val="14"/>
        </w:numPr>
        <w:tabs>
          <w:tab w:val="clear" w:pos="1080"/>
          <w:tab w:val="num" w:pos="1440"/>
        </w:tabs>
      </w:pPr>
      <w:r>
        <w:t xml:space="preserve">As required by the RFA, the Commission incorporated an Initial Regulatory Flexibility Analysis (IRFA) in the </w:t>
      </w:r>
      <w:r w:rsidRPr="00B95002">
        <w:rPr>
          <w:i/>
        </w:rPr>
        <w:t xml:space="preserve">Notice of Proposed Rulemaking </w:t>
      </w:r>
      <w:r>
        <w:t>in this proceeding,</w:t>
      </w:r>
      <w:r>
        <w:rPr>
          <w:rStyle w:val="FootnoteReference"/>
        </w:rPr>
        <w:footnoteReference w:id="170"/>
      </w:r>
      <w:r>
        <w:t xml:space="preserve"> which</w:t>
      </w:r>
      <w:r w:rsidR="00B95002">
        <w:t xml:space="preserve"> the Commission </w:t>
      </w:r>
      <w:r w:rsidR="0041145F">
        <w:t>initiated</w:t>
      </w:r>
      <w:r w:rsidR="00B95002">
        <w:t xml:space="preserve"> in 2016 </w:t>
      </w:r>
      <w:r>
        <w:t xml:space="preserve">to </w:t>
      </w:r>
      <w:r w:rsidR="00B95002">
        <w:t>seek comment on how it should administer</w:t>
      </w:r>
      <w:r w:rsidR="00B95002" w:rsidRPr="00B95002">
        <w:t xml:space="preserve"> the state opt-out process as provided under the Public Safety Spectrum Act, as well as on </w:t>
      </w:r>
      <w:r w:rsidR="00B95002">
        <w:t>its</w:t>
      </w:r>
      <w:r w:rsidR="00B95002" w:rsidRPr="00B95002">
        <w:t xml:space="preserve"> implementation of the specific statutory standards by which the Commission is obligated to evaluate state opt-out applications</w:t>
      </w:r>
      <w:r>
        <w:t>.</w:t>
      </w:r>
      <w:r>
        <w:rPr>
          <w:vertAlign w:val="superscript"/>
        </w:rPr>
        <w:footnoteReference w:id="171"/>
      </w:r>
      <w:r>
        <w:t xml:space="preserve">  </w:t>
      </w:r>
      <w:r w:rsidRPr="00B95002">
        <w:rPr>
          <w:szCs w:val="22"/>
        </w:rPr>
        <w:t xml:space="preserve">Additionally, the Commission </w:t>
      </w:r>
      <w:r>
        <w:t>sought written public comment on the IRFA.</w:t>
      </w:r>
      <w:r>
        <w:rPr>
          <w:rStyle w:val="FootnoteReference"/>
        </w:rPr>
        <w:footnoteReference w:id="172"/>
      </w:r>
      <w:r>
        <w:t xml:space="preserve">  No comments specifically addressed the IRFA.  </w:t>
      </w:r>
      <w:r w:rsidR="00793E36">
        <w:t>This Final Regulatory Flexibility Certification conforms to the RFA.</w:t>
      </w:r>
      <w:r w:rsidR="00793E36">
        <w:rPr>
          <w:vertAlign w:val="superscript"/>
        </w:rPr>
        <w:footnoteReference w:id="173"/>
      </w:r>
    </w:p>
    <w:p w14:paraId="3DDE34F4" w14:textId="77777777" w:rsidR="00793E36" w:rsidRDefault="00793E36" w:rsidP="00F35E55">
      <w:pPr>
        <w:pStyle w:val="ParaNum"/>
        <w:widowControl/>
        <w:numPr>
          <w:ilvl w:val="0"/>
          <w:numId w:val="14"/>
        </w:numPr>
        <w:tabs>
          <w:tab w:val="clear" w:pos="1080"/>
          <w:tab w:val="num" w:pos="1440"/>
        </w:tabs>
      </w:pPr>
      <w:r>
        <w:t xml:space="preserve">In this </w:t>
      </w:r>
      <w:r w:rsidRPr="00793E36">
        <w:rPr>
          <w:i/>
        </w:rPr>
        <w:t>Report and Order</w:t>
      </w:r>
      <w:r>
        <w:t xml:space="preserve">, the Commission </w:t>
      </w:r>
      <w:r w:rsidRPr="00564B0F">
        <w:t>implements provisions of the Middle Class Tax Relief and Job Creation Act of 2012 (“Public Safety Spectrum Act” or “Act”) governing deployment of a nationwide public safety broadband network in the 700 MHz band.</w:t>
      </w:r>
      <w:r w:rsidRPr="00564B0F">
        <w:rPr>
          <w:rStyle w:val="FootnoteReference"/>
        </w:rPr>
        <w:footnoteReference w:id="174"/>
      </w:r>
    </w:p>
    <w:p w14:paraId="3B1828BC" w14:textId="77777777" w:rsidR="00793E36" w:rsidRDefault="00793E36" w:rsidP="00F35E55">
      <w:pPr>
        <w:pStyle w:val="ParaNum"/>
        <w:widowControl/>
        <w:numPr>
          <w:ilvl w:val="0"/>
          <w:numId w:val="14"/>
        </w:numPr>
        <w:tabs>
          <w:tab w:val="clear" w:pos="1080"/>
          <w:tab w:val="num" w:pos="1440"/>
        </w:tabs>
      </w:pPr>
      <w:r w:rsidRPr="00564B0F">
        <w:t>The Public Safety Spectrum Act establishes the First Responder Network Authority (FirstNet) to oversee the construction and operation of this network as licensee of both the existing public safety broadband spectrum (763-769/793-799 MHz) and the spectrally adjacent D Block spectrum (758-763/788-793 MHz).</w:t>
      </w:r>
      <w:r w:rsidRPr="00564B0F">
        <w:rPr>
          <w:rStyle w:val="FootnoteReference"/>
        </w:rPr>
        <w:footnoteReference w:id="175"/>
      </w:r>
      <w:r w:rsidRPr="00564B0F">
        <w:t xml:space="preserve"> The Act directs the Commission to reallocate the D Block for public safety services,</w:t>
      </w:r>
      <w:r w:rsidRPr="00564B0F">
        <w:rPr>
          <w:rStyle w:val="FootnoteReference"/>
        </w:rPr>
        <w:footnoteReference w:id="176"/>
      </w:r>
      <w:r w:rsidRPr="00564B0F">
        <w:t xml:space="preserve"> to license the D Block and the existing public safety broadband spectrum to FirstNet</w:t>
      </w:r>
      <w:r>
        <w:t>,</w:t>
      </w:r>
      <w:r w:rsidRPr="00564B0F">
        <w:rPr>
          <w:rStyle w:val="FootnoteReference"/>
        </w:rPr>
        <w:footnoteReference w:id="177"/>
      </w:r>
      <w:r w:rsidRPr="00564B0F">
        <w:t xml:space="preserve"> and to take other actions necessary to “facilitate the transition” of such existing spectrum to FirstNet.</w:t>
      </w:r>
      <w:r w:rsidRPr="00564B0F">
        <w:rPr>
          <w:rStyle w:val="FootnoteReference"/>
        </w:rPr>
        <w:footnoteReference w:id="178"/>
      </w:r>
      <w:r w:rsidRPr="00793E36">
        <w:rPr>
          <w:sz w:val="16"/>
          <w:szCs w:val="16"/>
        </w:rPr>
        <w:t xml:space="preserve">  </w:t>
      </w:r>
    </w:p>
    <w:p w14:paraId="5D309835" w14:textId="28DF74E3" w:rsidR="00793E36" w:rsidRPr="00F35E55" w:rsidRDefault="00793E36" w:rsidP="00F35E55">
      <w:pPr>
        <w:pStyle w:val="ParaNum"/>
        <w:widowControl/>
        <w:numPr>
          <w:ilvl w:val="0"/>
          <w:numId w:val="14"/>
        </w:numPr>
        <w:tabs>
          <w:tab w:val="clear" w:pos="1080"/>
          <w:tab w:val="num" w:pos="1440"/>
        </w:tabs>
      </w:pPr>
      <w:r w:rsidRPr="00793E36">
        <w:rPr>
          <w:szCs w:val="22"/>
        </w:rPr>
        <w:t>The Public Safety Spectrum Act charges a single entity, FirstNet, with constructing, operating, and maintaining a 700 MHz public safety broadband network on a nationwide basis. It also authorizes states to elect to deploy radio access networks (RAN) within their states that are interoperable with FirstNet’s network.  S</w:t>
      </w:r>
      <w:r w:rsidRPr="00564B0F">
        <w:t>tate</w:t>
      </w:r>
      <w:r>
        <w:t>s</w:t>
      </w:r>
      <w:r w:rsidRPr="00564B0F">
        <w:t xml:space="preserve"> the</w:t>
      </w:r>
      <w:r>
        <w:t>refore have the</w:t>
      </w:r>
      <w:r w:rsidRPr="00564B0F">
        <w:t xml:space="preserve"> option to opt out of FirstNet’s RAN deployment </w:t>
      </w:r>
      <w:r>
        <w:t>and conduct their</w:t>
      </w:r>
      <w:r w:rsidRPr="00564B0F">
        <w:t xml:space="preserve"> own RAN deployment.</w:t>
      </w:r>
      <w:r w:rsidRPr="00564B0F">
        <w:rPr>
          <w:rStyle w:val="FootnoteReference"/>
        </w:rPr>
        <w:footnoteReference w:id="179"/>
      </w:r>
      <w:r>
        <w:t xml:space="preserve">  In contrast,</w:t>
      </w:r>
      <w:r w:rsidRPr="00793E36">
        <w:rPr>
          <w:szCs w:val="22"/>
        </w:rPr>
        <w:t xml:space="preserve"> “small governmental jurisdictions” are not authorized to construct, operate, or maintain networks.</w:t>
      </w:r>
      <w:r w:rsidRPr="00564B0F">
        <w:rPr>
          <w:rStyle w:val="FootnoteReference"/>
          <w:szCs w:val="22"/>
        </w:rPr>
        <w:footnoteReference w:id="180"/>
      </w:r>
      <w:r w:rsidRPr="00793E36">
        <w:rPr>
          <w:szCs w:val="22"/>
        </w:rPr>
        <w:t xml:space="preserve">   </w:t>
      </w:r>
    </w:p>
    <w:p w14:paraId="752F735C" w14:textId="3ABEF41A" w:rsidR="00E1629D" w:rsidRPr="00564B0F" w:rsidRDefault="00793E36" w:rsidP="00E1629D">
      <w:pPr>
        <w:pStyle w:val="ParaNum"/>
        <w:keepLines/>
        <w:widowControl/>
      </w:pPr>
      <w:r w:rsidRPr="00564B0F">
        <w:t>The rules promulgated in th</w:t>
      </w:r>
      <w:r>
        <w:t>is</w:t>
      </w:r>
      <w:r w:rsidRPr="00564B0F">
        <w:t xml:space="preserve"> </w:t>
      </w:r>
      <w:r w:rsidRPr="00793E36">
        <w:rPr>
          <w:i/>
        </w:rPr>
        <w:t xml:space="preserve">Report and Order </w:t>
      </w:r>
      <w:r w:rsidRPr="00564B0F">
        <w:t xml:space="preserve">are intended to provide states with clarity as to </w:t>
      </w:r>
      <w:r>
        <w:t xml:space="preserve">the </w:t>
      </w:r>
      <w:r w:rsidRPr="00564B0F">
        <w:t>steps they must take in order to opt out of FirstNet’s RAN deployment within th</w:t>
      </w:r>
      <w:r>
        <w:t>e</w:t>
      </w:r>
      <w:r w:rsidRPr="00564B0F">
        <w:t xml:space="preserve"> state and conduct their own RAN deployment.</w:t>
      </w:r>
      <w:r>
        <w:t xml:space="preserve">  Accordingly, we conclude t</w:t>
      </w:r>
      <w:r w:rsidRPr="00793E36">
        <w:rPr>
          <w:szCs w:val="22"/>
        </w:rPr>
        <w:t xml:space="preserve">he rules adopted in the </w:t>
      </w:r>
      <w:r w:rsidRPr="00793E36">
        <w:rPr>
          <w:i/>
          <w:szCs w:val="22"/>
        </w:rPr>
        <w:t xml:space="preserve">Report and Order </w:t>
      </w:r>
      <w:r w:rsidRPr="00793E36">
        <w:rPr>
          <w:szCs w:val="22"/>
        </w:rPr>
        <w:t>will not directly affect a substantial number of small entities.  T</w:t>
      </w:r>
      <w:r>
        <w:t xml:space="preserve">herefore, we certify that the requirements of the </w:t>
      </w:r>
      <w:r w:rsidRPr="00793E36">
        <w:rPr>
          <w:i/>
        </w:rPr>
        <w:t>Report and Order</w:t>
      </w:r>
      <w:r>
        <w:t xml:space="preserve"> will not have a significant economic impact on a substantial number of small entities.</w:t>
      </w:r>
      <w:r w:rsidR="00E62276">
        <w:t xml:space="preserve">  </w:t>
      </w:r>
      <w:r w:rsidR="00E1629D">
        <w:t xml:space="preserve">The Commission will send a copy of the </w:t>
      </w:r>
      <w:r w:rsidR="00E1629D" w:rsidRPr="00D469EA">
        <w:rPr>
          <w:i/>
        </w:rPr>
        <w:t>Report and Order</w:t>
      </w:r>
      <w:r w:rsidR="00E1629D">
        <w:t>, including a copy of this Final Regulatory Flexibility Certification, in a report to Congress pursuant to the Congressional Review Act.</w:t>
      </w:r>
      <w:r w:rsidR="00E1629D">
        <w:rPr>
          <w:rStyle w:val="FootnoteReference"/>
        </w:rPr>
        <w:footnoteReference w:id="181"/>
      </w:r>
      <w:r w:rsidR="00E1629D">
        <w:t xml:space="preserve">  In addition, the </w:t>
      </w:r>
      <w:r w:rsidR="00E1629D" w:rsidRPr="00D469EA">
        <w:rPr>
          <w:i/>
        </w:rPr>
        <w:t>Report and Order</w:t>
      </w:r>
      <w:r w:rsidR="00E1629D">
        <w:t xml:space="preserve"> and this final certification will be sent to the Chief Counsel for Advocacy of the SBA, and will be published in the Federal Register.</w:t>
      </w:r>
      <w:r w:rsidR="00E1629D">
        <w:rPr>
          <w:rStyle w:val="FootnoteReference"/>
        </w:rPr>
        <w:footnoteReference w:id="182"/>
      </w:r>
      <w:r w:rsidR="00E1629D" w:rsidRPr="00564B0F">
        <w:t xml:space="preserve"> </w:t>
      </w:r>
    </w:p>
    <w:p w14:paraId="4CDCDBAF" w14:textId="473CD2D7" w:rsidR="0009315E" w:rsidRPr="00564B0F" w:rsidRDefault="0009315E" w:rsidP="00DA1C87">
      <w:pPr>
        <w:pStyle w:val="ParaNum"/>
        <w:keepLines/>
        <w:widowControl/>
        <w:numPr>
          <w:ilvl w:val="0"/>
          <w:numId w:val="0"/>
        </w:numPr>
      </w:pPr>
      <w:bookmarkStart w:id="155" w:name="co_tablefootnote_5_0_1"/>
      <w:bookmarkStart w:id="156" w:name="co_tablefootnote_6_0_1"/>
      <w:bookmarkStart w:id="157" w:name="co_tablefootnote_7_0_1"/>
      <w:bookmarkStart w:id="158" w:name="co_tablefootnote_8_0_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FE4AEA0" w14:textId="77777777" w:rsidR="0009315E" w:rsidRPr="00564B0F" w:rsidRDefault="0009315E" w:rsidP="0009315E">
      <w:pPr>
        <w:pStyle w:val="ParaNum"/>
        <w:rPr>
          <w:snapToGrid/>
        </w:rPr>
        <w:sectPr w:rsidR="0009315E" w:rsidRPr="00564B0F">
          <w:headerReference w:type="default" r:id="rId20"/>
          <w:footerReference w:type="default" r:id="rId21"/>
          <w:footnotePr>
            <w:numRestart w:val="eachSect"/>
          </w:footnotePr>
          <w:endnotePr>
            <w:numFmt w:val="decimal"/>
          </w:endnotePr>
          <w:pgSz w:w="12240" w:h="15840"/>
          <w:pgMar w:top="1440" w:right="1440" w:bottom="720" w:left="1440" w:header="720" w:footer="720" w:gutter="0"/>
          <w:cols w:space="720"/>
          <w:noEndnote/>
          <w:docGrid w:linePitch="299"/>
        </w:sectPr>
      </w:pPr>
    </w:p>
    <w:p w14:paraId="130C191A" w14:textId="77777777" w:rsidR="0009315E" w:rsidRPr="001F78C6" w:rsidRDefault="0009315E" w:rsidP="0009315E">
      <w:pPr>
        <w:pStyle w:val="ParaNum"/>
        <w:widowControl/>
        <w:numPr>
          <w:ilvl w:val="0"/>
          <w:numId w:val="0"/>
        </w:numPr>
        <w:jc w:val="center"/>
        <w:rPr>
          <w:b/>
        </w:rPr>
      </w:pPr>
      <w:r w:rsidRPr="008640CF">
        <w:rPr>
          <w:b/>
        </w:rPr>
        <w:t>APPENDIX D</w:t>
      </w:r>
    </w:p>
    <w:p w14:paraId="522BC047" w14:textId="77777777" w:rsidR="0009315E" w:rsidRPr="001F78C6" w:rsidRDefault="0009315E" w:rsidP="00DA1C87">
      <w:pPr>
        <w:pStyle w:val="ParaNum"/>
        <w:widowControl/>
        <w:numPr>
          <w:ilvl w:val="0"/>
          <w:numId w:val="0"/>
        </w:numPr>
        <w:spacing w:after="0"/>
        <w:jc w:val="center"/>
        <w:rPr>
          <w:b/>
        </w:rPr>
      </w:pPr>
      <w:r w:rsidRPr="008640CF">
        <w:rPr>
          <w:b/>
        </w:rPr>
        <w:t>List of Commenting Parties</w:t>
      </w:r>
    </w:p>
    <w:p w14:paraId="6A28CCEE" w14:textId="77777777" w:rsidR="00DA1C87" w:rsidRDefault="00DA1C87" w:rsidP="00DA1C87">
      <w:pPr>
        <w:spacing w:after="120"/>
      </w:pPr>
    </w:p>
    <w:p w14:paraId="737C48B8" w14:textId="60BC34BC" w:rsidR="0009315E" w:rsidRDefault="0009315E" w:rsidP="00DA1C87">
      <w:pPr>
        <w:spacing w:after="120"/>
      </w:pPr>
      <w:r>
        <w:t xml:space="preserve">Department of Management Services, Division of Telecommunications, </w:t>
      </w:r>
      <w:r w:rsidR="0021314C">
        <w:t>T</w:t>
      </w:r>
      <w:r>
        <w:t>he State of Alabama (Alabama)</w:t>
      </w:r>
    </w:p>
    <w:p w14:paraId="2274C30A" w14:textId="023A7188" w:rsidR="0009315E" w:rsidRDefault="0009315E" w:rsidP="00DA1C87">
      <w:pPr>
        <w:spacing w:after="120"/>
      </w:pPr>
      <w:r>
        <w:t>The State of Nevada Department of Public Safety, Division of Emergency Management/Homeland Security (Nevada)</w:t>
      </w:r>
    </w:p>
    <w:p w14:paraId="746B1D84" w14:textId="1D132673" w:rsidR="0009315E" w:rsidRDefault="00E10E62" w:rsidP="00DA1C87">
      <w:pPr>
        <w:spacing w:after="120"/>
      </w:pPr>
      <w:r>
        <w:t xml:space="preserve">Southern Communications Services, Inc. d/b/a </w:t>
      </w:r>
      <w:r w:rsidR="0009315E">
        <w:t>SouthernLinc</w:t>
      </w:r>
      <w:r>
        <w:t xml:space="preserve"> (SouthernLinc)</w:t>
      </w:r>
    </w:p>
    <w:p w14:paraId="4C583B5A" w14:textId="77777777" w:rsidR="0009315E" w:rsidRDefault="0009315E" w:rsidP="00DA1C87">
      <w:pPr>
        <w:spacing w:after="120"/>
      </w:pPr>
      <w:r>
        <w:t>The FirstNet Colorado Governing Body (FNCGB)</w:t>
      </w:r>
    </w:p>
    <w:p w14:paraId="6FE9C2D6" w14:textId="77777777" w:rsidR="0009315E" w:rsidRDefault="0009315E" w:rsidP="00DA1C87">
      <w:pPr>
        <w:spacing w:after="120"/>
      </w:pPr>
      <w:r>
        <w:t>Stephen Whitaker (Whitaker)</w:t>
      </w:r>
    </w:p>
    <w:p w14:paraId="75E46F18" w14:textId="77777777" w:rsidR="0009315E" w:rsidRDefault="0009315E" w:rsidP="00DA1C87">
      <w:pPr>
        <w:spacing w:after="120"/>
      </w:pPr>
      <w:r>
        <w:t>Texas Public Safety Broadband Program (Texas)</w:t>
      </w:r>
    </w:p>
    <w:p w14:paraId="5786E686" w14:textId="77777777" w:rsidR="0009315E" w:rsidRDefault="0009315E" w:rsidP="00DA1C87">
      <w:pPr>
        <w:spacing w:after="120"/>
      </w:pPr>
      <w:r>
        <w:t>Rivada Networks (Rivada)</w:t>
      </w:r>
    </w:p>
    <w:p w14:paraId="6D4697CA" w14:textId="77777777" w:rsidR="0009315E" w:rsidRDefault="0009315E" w:rsidP="00DA1C87">
      <w:pPr>
        <w:spacing w:after="120"/>
      </w:pPr>
      <w:r>
        <w:t>APCO International (APCO)</w:t>
      </w:r>
    </w:p>
    <w:p w14:paraId="483A1CEA" w14:textId="77777777" w:rsidR="0009315E" w:rsidRDefault="0009315E" w:rsidP="00DA1C87">
      <w:pPr>
        <w:spacing w:after="120"/>
      </w:pPr>
      <w:r>
        <w:t>Commonwealth of Pennsylvania</w:t>
      </w:r>
    </w:p>
    <w:p w14:paraId="787412A6" w14:textId="77777777" w:rsidR="0009315E" w:rsidRDefault="0009315E" w:rsidP="00DA1C87">
      <w:pPr>
        <w:spacing w:after="120"/>
      </w:pPr>
      <w:r>
        <w:t>NTIA on behalf of the First Responder Network Authority (FirstNet)</w:t>
      </w:r>
    </w:p>
    <w:p w14:paraId="17FC5BC0" w14:textId="77777777" w:rsidR="0009315E" w:rsidRDefault="0009315E" w:rsidP="00DA1C87">
      <w:pPr>
        <w:spacing w:after="120"/>
      </w:pPr>
      <w:r>
        <w:t>The County of Fairfax, Virginia Department of Information Technology (Fairfax)</w:t>
      </w:r>
    </w:p>
    <w:p w14:paraId="47588886" w14:textId="77777777" w:rsidR="0009315E" w:rsidRDefault="0009315E" w:rsidP="00DA1C87">
      <w:pPr>
        <w:spacing w:after="120"/>
      </w:pPr>
      <w:r>
        <w:t>National Association of State Chief Information Officers (NASCIO)</w:t>
      </w:r>
    </w:p>
    <w:p w14:paraId="2A7A6A3A" w14:textId="77777777" w:rsidR="0009315E" w:rsidRDefault="0009315E" w:rsidP="00DA1C87">
      <w:pPr>
        <w:spacing w:after="120"/>
      </w:pPr>
      <w:r>
        <w:t>State of Indiana - Integrated Public Safety Commission (Indiana)</w:t>
      </w:r>
    </w:p>
    <w:p w14:paraId="3549FBFA" w14:textId="77777777" w:rsidR="0009315E" w:rsidRDefault="0009315E" w:rsidP="00DA1C87">
      <w:pPr>
        <w:spacing w:after="120"/>
      </w:pPr>
      <w:r>
        <w:t>Illinois Public Safety Broadband Network Working Group, Illinois Emergency Management Agency (Illinois)</w:t>
      </w:r>
    </w:p>
    <w:p w14:paraId="7254758B" w14:textId="77777777" w:rsidR="0009315E" w:rsidRDefault="0009315E" w:rsidP="00DA1C87">
      <w:pPr>
        <w:spacing w:after="120"/>
      </w:pPr>
      <w:r>
        <w:t>Dr. Michael Myers</w:t>
      </w:r>
    </w:p>
    <w:p w14:paraId="2D2E3987" w14:textId="77777777" w:rsidR="0009315E" w:rsidRDefault="0009315E" w:rsidP="00DA1C87">
      <w:pPr>
        <w:spacing w:after="120"/>
      </w:pPr>
      <w:r>
        <w:t>DVA Consulting, LLC (DVA)</w:t>
      </w:r>
    </w:p>
    <w:p w14:paraId="6161B666" w14:textId="77777777" w:rsidR="0009315E" w:rsidRDefault="0009315E" w:rsidP="00DA1C87">
      <w:pPr>
        <w:spacing w:after="120"/>
      </w:pPr>
      <w:r>
        <w:t>Sam Leslie, W4PK</w:t>
      </w:r>
    </w:p>
    <w:p w14:paraId="7C9F5665" w14:textId="77777777" w:rsidR="0009315E" w:rsidRDefault="0009315E" w:rsidP="00DA1C87">
      <w:pPr>
        <w:spacing w:after="120"/>
      </w:pPr>
      <w:r>
        <w:t>AT&amp;T</w:t>
      </w:r>
    </w:p>
    <w:p w14:paraId="3A6A134B" w14:textId="1527925C" w:rsidR="008E08E4" w:rsidRPr="00F372B1" w:rsidRDefault="0009315E" w:rsidP="008E08E4">
      <w:pPr>
        <w:pStyle w:val="ParaNum"/>
        <w:widowControl/>
        <w:numPr>
          <w:ilvl w:val="0"/>
          <w:numId w:val="0"/>
        </w:numPr>
        <w:rPr>
          <w:snapToGrid/>
          <w:kern w:val="0"/>
        </w:rPr>
      </w:pPr>
      <w:r>
        <w:t>National Regional Planning Council (NRPC</w:t>
      </w:r>
      <w:r w:rsidR="006437CB">
        <w:t>)</w:t>
      </w:r>
      <w:r w:rsidR="008E08E4" w:rsidRPr="008E08E4">
        <w:rPr>
          <w:snapToGrid/>
          <w:kern w:val="0"/>
        </w:rPr>
        <w:t xml:space="preserve"> </w:t>
      </w:r>
    </w:p>
    <w:p w14:paraId="5DA4C507" w14:textId="410CF179" w:rsidR="008E08E4" w:rsidRDefault="008E08E4" w:rsidP="00DA1C87">
      <w:pPr>
        <w:pStyle w:val="ParaNum"/>
        <w:keepLines/>
        <w:widowControl/>
        <w:numPr>
          <w:ilvl w:val="0"/>
          <w:numId w:val="0"/>
        </w:numPr>
      </w:pPr>
    </w:p>
    <w:p w14:paraId="289880A1" w14:textId="77777777" w:rsidR="00DA1C87" w:rsidRPr="008E08E4" w:rsidRDefault="00DA1C87" w:rsidP="00DA1C87">
      <w:pPr>
        <w:pStyle w:val="ParaNum"/>
        <w:keepLines/>
        <w:widowControl/>
        <w:numPr>
          <w:ilvl w:val="0"/>
          <w:numId w:val="0"/>
        </w:numPr>
        <w:sectPr w:rsidR="00DA1C87" w:rsidRPr="008E08E4">
          <w:headerReference w:type="default" r:id="rId22"/>
          <w:footerReference w:type="default" r:id="rId23"/>
          <w:footnotePr>
            <w:numRestart w:val="eachSect"/>
          </w:footnotePr>
          <w:endnotePr>
            <w:numFmt w:val="decimal"/>
          </w:endnotePr>
          <w:pgSz w:w="12240" w:h="15840"/>
          <w:pgMar w:top="1440" w:right="1440" w:bottom="720" w:left="1440" w:header="720" w:footer="720" w:gutter="0"/>
          <w:cols w:space="720"/>
          <w:noEndnote/>
          <w:docGrid w:linePitch="299"/>
        </w:sectPr>
      </w:pPr>
    </w:p>
    <w:p w14:paraId="4B98AB46" w14:textId="77777777" w:rsidR="005D1969" w:rsidRDefault="005D1969" w:rsidP="005D1969">
      <w:pPr>
        <w:spacing w:after="240"/>
        <w:jc w:val="center"/>
        <w:rPr>
          <w:b/>
        </w:rPr>
      </w:pPr>
      <w:r>
        <w:rPr>
          <w:b/>
        </w:rPr>
        <w:t>STATEMENT OF</w:t>
      </w:r>
      <w:r>
        <w:rPr>
          <w:b/>
        </w:rPr>
        <w:br/>
        <w:t>CHAIRMAN AJIT PAI</w:t>
      </w:r>
    </w:p>
    <w:p w14:paraId="3AEF74FF" w14:textId="77777777" w:rsidR="005D1969" w:rsidRDefault="005D1969" w:rsidP="005D1969">
      <w:pPr>
        <w:spacing w:after="120"/>
        <w:ind w:left="720" w:hanging="720"/>
      </w:pPr>
      <w:r w:rsidRPr="006F6CE5">
        <w:t>Re:</w:t>
      </w:r>
      <w:r w:rsidRPr="006F6CE5">
        <w:tab/>
      </w:r>
      <w:r w:rsidRPr="0056557E">
        <w:rPr>
          <w:i/>
        </w:rPr>
        <w:t>Procedures for Commission Review of State-Opt Out</w:t>
      </w:r>
      <w:r>
        <w:rPr>
          <w:i/>
        </w:rPr>
        <w:t xml:space="preserve"> </w:t>
      </w:r>
      <w:r w:rsidRPr="0056557E">
        <w:rPr>
          <w:i/>
        </w:rPr>
        <w:t>Request from the FirstNet Radio</w:t>
      </w:r>
      <w:r>
        <w:rPr>
          <w:i/>
        </w:rPr>
        <w:t xml:space="preserve"> Access Network, </w:t>
      </w:r>
      <w:r>
        <w:t>PS Docket No. 16-269.</w:t>
      </w:r>
    </w:p>
    <w:p w14:paraId="0F6828F1" w14:textId="77777777" w:rsidR="005D1969" w:rsidRDefault="005D1969" w:rsidP="005D1969">
      <w:pPr>
        <w:spacing w:after="120"/>
        <w:ind w:firstLine="720"/>
      </w:pPr>
      <w:r>
        <w:t>Today, the Commission takes a significant step forward in carrying out its responsibilities to help the First Responder Network Authority, or FirstNet, establish a nationwide, interoperable public safety broadband network.  We establish procedures and timelines governing a state’s decision to opt out of FirstNet’s radio access network, or RAN, and to construct, maintain, and operate a RAN on its own initiative.  We also lay out the criteria for evaluating, and ultimately approving or disapproving, any alternative plans from states that elect to opt-out.</w:t>
      </w:r>
    </w:p>
    <w:p w14:paraId="29F751E9" w14:textId="77777777" w:rsidR="005D1969" w:rsidRDefault="005D1969" w:rsidP="005D1969">
      <w:pPr>
        <w:spacing w:after="120"/>
        <w:ind w:firstLine="720"/>
      </w:pPr>
      <w:r>
        <w:t xml:space="preserve">We could not have reached this milestone without the leadership of Congress and the efforts of many individuals in both the private and public sectors.  From the beginning, the FCC has played a collaborative role to help realize Congress’s vision.  </w:t>
      </w:r>
      <w:r w:rsidRPr="00576F9D">
        <w:t>In the past five years, the Commission has allocated spectrum for</w:t>
      </w:r>
      <w:r>
        <w:t xml:space="preserve"> use by a</w:t>
      </w:r>
      <w:r w:rsidRPr="00576F9D">
        <w:t xml:space="preserve"> nationwide public safety broadband network.</w:t>
      </w:r>
      <w:r>
        <w:t xml:space="preserve">  It’s granted a spectrum license to FirstNet.  It’s established a technical advisory board for first responder interoperability.  It’s approved and transmitted technical requirements to FirstNet.  And now, with this </w:t>
      </w:r>
      <w:r w:rsidRPr="007E053F">
        <w:rPr>
          <w:i/>
        </w:rPr>
        <w:t>Order</w:t>
      </w:r>
      <w:r>
        <w:t>, we fulfill our latest statutory responsibility.</w:t>
      </w:r>
    </w:p>
    <w:p w14:paraId="100E1F81" w14:textId="77777777" w:rsidR="005D1969" w:rsidRDefault="005D1969" w:rsidP="005D1969">
      <w:pPr>
        <w:spacing w:after="120"/>
        <w:ind w:firstLine="720"/>
      </w:pPr>
      <w:r>
        <w:t>This is just one more piece of an overarching and ongoing plan to ensure that when the next disaster strikes, our first responders in the field—our call center dispatchers, EMTs, police officers, and firemen—will have the tools they need to save lives.</w:t>
      </w:r>
    </w:p>
    <w:p w14:paraId="08DB52C3" w14:textId="0D91BF15" w:rsidR="005D1969" w:rsidRPr="0056557E" w:rsidRDefault="005D1969" w:rsidP="005D1969">
      <w:pPr>
        <w:spacing w:after="120"/>
        <w:ind w:firstLine="720"/>
      </w:pPr>
      <w:r>
        <w:t>I would like to thank David Furth, Behzad G</w:t>
      </w:r>
      <w:r w:rsidR="004E05C2">
        <w:t>h</w:t>
      </w:r>
      <w:r>
        <w:t>affari, Brian Marenco, Roberto Mussenden, Erika Olsen, and Rasoul Safavian from the Public Safety and Homeland Security Bureau and Keith McCrickard and Bill Richardson from the Office of General Counsel for their continued efforts to help our nation’s first responders protect the public.</w:t>
      </w:r>
    </w:p>
    <w:p w14:paraId="645392CF" w14:textId="77777777" w:rsidR="00A01459" w:rsidRPr="008E08E4" w:rsidRDefault="00A01459" w:rsidP="00A01459">
      <w:pPr>
        <w:pStyle w:val="ParaNum"/>
        <w:keepLines/>
        <w:widowControl/>
        <w:numPr>
          <w:ilvl w:val="0"/>
          <w:numId w:val="0"/>
        </w:numPr>
        <w:ind w:left="720"/>
        <w:sectPr w:rsidR="00A01459" w:rsidRPr="008E08E4">
          <w:headerReference w:type="default" r:id="rId24"/>
          <w:footerReference w:type="default" r:id="rId25"/>
          <w:footnotePr>
            <w:numRestart w:val="eachSect"/>
          </w:footnotePr>
          <w:endnotePr>
            <w:numFmt w:val="decimal"/>
          </w:endnotePr>
          <w:pgSz w:w="12240" w:h="15840"/>
          <w:pgMar w:top="1440" w:right="1440" w:bottom="720" w:left="1440" w:header="720" w:footer="720" w:gutter="0"/>
          <w:cols w:space="720"/>
          <w:noEndnote/>
          <w:docGrid w:linePitch="299"/>
        </w:sectPr>
      </w:pPr>
    </w:p>
    <w:p w14:paraId="467FFC7C" w14:textId="77777777" w:rsidR="00957E05" w:rsidRPr="0088391D" w:rsidRDefault="00957E05" w:rsidP="00957E05">
      <w:pPr>
        <w:jc w:val="center"/>
        <w:rPr>
          <w:b/>
          <w:szCs w:val="22"/>
        </w:rPr>
      </w:pPr>
      <w:r w:rsidRPr="0088391D">
        <w:rPr>
          <w:b/>
          <w:szCs w:val="22"/>
        </w:rPr>
        <w:t xml:space="preserve">STATEMENT OF </w:t>
      </w:r>
    </w:p>
    <w:p w14:paraId="23DC274A" w14:textId="77777777" w:rsidR="00604255" w:rsidRDefault="00957E05" w:rsidP="00957E05">
      <w:pPr>
        <w:jc w:val="center"/>
        <w:rPr>
          <w:b/>
          <w:szCs w:val="22"/>
        </w:rPr>
      </w:pPr>
      <w:r w:rsidRPr="0088391D">
        <w:rPr>
          <w:b/>
          <w:szCs w:val="22"/>
        </w:rPr>
        <w:t>COMMISSIONER MIGNON L. CLYBURN</w:t>
      </w:r>
    </w:p>
    <w:p w14:paraId="370607C6" w14:textId="48A4EAF3" w:rsidR="00957E05" w:rsidRPr="0088391D" w:rsidRDefault="00957E05" w:rsidP="00957E05">
      <w:pPr>
        <w:jc w:val="center"/>
        <w:rPr>
          <w:b/>
          <w:szCs w:val="22"/>
        </w:rPr>
      </w:pPr>
    </w:p>
    <w:p w14:paraId="7D6511E4" w14:textId="77777777" w:rsidR="00957E05" w:rsidRPr="0088391D" w:rsidRDefault="00957E05" w:rsidP="00957E05">
      <w:pPr>
        <w:ind w:left="720" w:hanging="720"/>
        <w:rPr>
          <w:szCs w:val="22"/>
        </w:rPr>
      </w:pPr>
      <w:r w:rsidRPr="0088391D">
        <w:rPr>
          <w:szCs w:val="22"/>
        </w:rPr>
        <w:t>Re:</w:t>
      </w:r>
      <w:r w:rsidRPr="0088391D">
        <w:rPr>
          <w:szCs w:val="22"/>
        </w:rPr>
        <w:tab/>
      </w:r>
      <w:r w:rsidRPr="0088391D">
        <w:rPr>
          <w:i/>
          <w:szCs w:val="22"/>
        </w:rPr>
        <w:t>Procedures for Commission Review of State Opt-Out Requests from the FirstNet Radio Access Network</w:t>
      </w:r>
      <w:r w:rsidRPr="0088391D">
        <w:rPr>
          <w:szCs w:val="22"/>
        </w:rPr>
        <w:t>, PS Docket 16-269</w:t>
      </w:r>
    </w:p>
    <w:p w14:paraId="296C454D" w14:textId="77777777" w:rsidR="00957E05" w:rsidRPr="0088391D" w:rsidRDefault="00957E05" w:rsidP="00957E05">
      <w:pPr>
        <w:rPr>
          <w:szCs w:val="22"/>
        </w:rPr>
      </w:pPr>
    </w:p>
    <w:p w14:paraId="39AB5CFC" w14:textId="77777777" w:rsidR="00957E05" w:rsidRPr="0088391D" w:rsidRDefault="00957E05" w:rsidP="00604255">
      <w:pPr>
        <w:spacing w:after="120"/>
        <w:ind w:firstLine="720"/>
        <w:rPr>
          <w:szCs w:val="22"/>
        </w:rPr>
      </w:pPr>
      <w:r w:rsidRPr="0088391D">
        <w:rPr>
          <w:szCs w:val="22"/>
        </w:rPr>
        <w:t xml:space="preserve">Nearly 16 years ago, we were frozen in disbelief as four coordinated attacks undermined our nation’s sense of security and robbed nearly 3,000 people of their lives.  Though we were stunned and are still grieving, among the many actions to follow were recommendations from the 9/11 Commission, and the Congressional creation of FirstNet, which would establish and oversee a nationwide, interoperable broadband network solely dedicated to public safety.  </w:t>
      </w:r>
    </w:p>
    <w:p w14:paraId="6E694AF4" w14:textId="77777777" w:rsidR="00957E05" w:rsidRPr="0088391D" w:rsidRDefault="00957E05" w:rsidP="00604255">
      <w:pPr>
        <w:spacing w:after="120"/>
        <w:ind w:firstLine="720"/>
        <w:rPr>
          <w:szCs w:val="22"/>
        </w:rPr>
      </w:pPr>
      <w:r w:rsidRPr="0088391D">
        <w:rPr>
          <w:szCs w:val="22"/>
        </w:rPr>
        <w:t>Earlier this week, FirstNet and AT&amp;T achieved a key milestone by delivering individual plans to the states.  In doing so, they initiated the soft start of the official opt-in/opt-out process for states, which will commence once FirstNet and AT&amp;T deliver their final plans to the states in the fall.</w:t>
      </w:r>
    </w:p>
    <w:p w14:paraId="7785B51D" w14:textId="77777777" w:rsidR="00957E05" w:rsidRPr="0088391D" w:rsidRDefault="00957E05" w:rsidP="00604255">
      <w:pPr>
        <w:spacing w:after="120"/>
        <w:ind w:firstLine="720"/>
        <w:rPr>
          <w:szCs w:val="22"/>
        </w:rPr>
      </w:pPr>
      <w:r w:rsidRPr="0088391D">
        <w:rPr>
          <w:szCs w:val="22"/>
        </w:rPr>
        <w:t>FirstNet’s success depends on there being true interoperability across this nation, and the decision – whether to opt-in or not, is a momentous one that no governor – or any of us – will take lightly.  The FCC, NTIA, and the states will embark on a deliberate, informed process, on what is best for individual states and this nation.  According to press reports, 49 states sought follow-up meetings on the very day the plans were delivered,</w:t>
      </w:r>
      <w:r w:rsidRPr="0088391D">
        <w:rPr>
          <w:rStyle w:val="FootnoteReference"/>
          <w:sz w:val="22"/>
          <w:szCs w:val="22"/>
        </w:rPr>
        <w:footnoteReference w:id="183"/>
      </w:r>
      <w:r w:rsidRPr="0088391D">
        <w:rPr>
          <w:szCs w:val="22"/>
        </w:rPr>
        <w:t xml:space="preserve"> which affirms to me and should provide comfort to you, that each party is taking its role seriously.</w:t>
      </w:r>
    </w:p>
    <w:p w14:paraId="1A5679B0" w14:textId="77777777" w:rsidR="00957E05" w:rsidRPr="0088391D" w:rsidRDefault="00957E05" w:rsidP="00604255">
      <w:pPr>
        <w:spacing w:after="120"/>
        <w:ind w:firstLine="720"/>
        <w:rPr>
          <w:szCs w:val="22"/>
        </w:rPr>
      </w:pPr>
      <w:r w:rsidRPr="0088391D">
        <w:rPr>
          <w:szCs w:val="22"/>
        </w:rPr>
        <w:t xml:space="preserve">Now to be completely transparent, I fully believe in FirstNet’s mission and personally hope that each state will elect to opt-in.  But Congress expressly and rightly afforded each state the ability to opt-out of FirstNet, and this option is what we sought to capture in today’s </w:t>
      </w:r>
      <w:r w:rsidRPr="0088391D">
        <w:rPr>
          <w:i/>
          <w:szCs w:val="22"/>
        </w:rPr>
        <w:t>Order</w:t>
      </w:r>
      <w:r w:rsidRPr="0088391D">
        <w:rPr>
          <w:szCs w:val="22"/>
        </w:rPr>
        <w:t xml:space="preserve">.  If some say that opting out is an impossible feat, my answer is that was not Congress’ intent.  Congress intended to give states a meaningful, if difficult, opportunity to decide if it is in their best interest to submit an alternate plan to the Commission.  </w:t>
      </w:r>
    </w:p>
    <w:p w14:paraId="11ED3596" w14:textId="77777777" w:rsidR="00957E05" w:rsidRPr="0088391D" w:rsidRDefault="00957E05" w:rsidP="00604255">
      <w:pPr>
        <w:spacing w:after="120"/>
        <w:ind w:firstLine="720"/>
        <w:rPr>
          <w:szCs w:val="22"/>
        </w:rPr>
      </w:pPr>
      <w:r w:rsidRPr="0088391D">
        <w:rPr>
          <w:szCs w:val="22"/>
        </w:rPr>
        <w:t>And for any state wishing to opt-out, once the plan is submitted, the Commission is committed to working diligently to review the submission within the targeted 90 day shot clock timeframe and our technical review of a state’s alternate plan will align with our statutory mandate.  And that is a promise we intend to keep.</w:t>
      </w:r>
    </w:p>
    <w:p w14:paraId="70F54703" w14:textId="77777777" w:rsidR="00957E05" w:rsidRPr="0088391D" w:rsidRDefault="00957E05" w:rsidP="00604255">
      <w:pPr>
        <w:spacing w:after="120"/>
        <w:ind w:firstLine="720"/>
        <w:rPr>
          <w:szCs w:val="22"/>
        </w:rPr>
      </w:pPr>
      <w:r w:rsidRPr="0088391D">
        <w:rPr>
          <w:szCs w:val="22"/>
        </w:rPr>
        <w:t>On more than one occasion, for those who follow us on a regular basis, you have witnessed sometimes heated disagreements on this side of the bench.  But when it comes to public safety, there is no debate.  We will work to do everything in our power to pave the way for the expeditious deployment of a truly nationwide, interoperable public safety network for our country.  First responders put their lives on the line each and every day to keep us safe.  They deserve the very best in communications technologies, the American people deserve the very best network, and the FCC will do everything in its power to deliver.</w:t>
      </w:r>
    </w:p>
    <w:p w14:paraId="2B68E7E0" w14:textId="4CF075E8" w:rsidR="00957E05" w:rsidRPr="0088391D" w:rsidRDefault="00957E05" w:rsidP="00604255">
      <w:pPr>
        <w:spacing w:after="120"/>
        <w:ind w:firstLine="720"/>
        <w:rPr>
          <w:szCs w:val="22"/>
        </w:rPr>
      </w:pPr>
      <w:r w:rsidRPr="0088391D">
        <w:rPr>
          <w:szCs w:val="22"/>
        </w:rPr>
        <w:t xml:space="preserve">My thanks to Lisa Fowlkes and the staff of the Public Safety and Homeland Security Bureau for your work on this item of national import and local impact.   </w:t>
      </w:r>
    </w:p>
    <w:p w14:paraId="5F110690" w14:textId="77777777" w:rsidR="00D12B1A" w:rsidRPr="00C2604D" w:rsidRDefault="00D12B1A" w:rsidP="00D12B1A">
      <w:pPr>
        <w:rPr>
          <w:sz w:val="24"/>
          <w:szCs w:val="24"/>
        </w:rPr>
      </w:pPr>
    </w:p>
    <w:p w14:paraId="499506C5" w14:textId="77777777" w:rsidR="00A01459" w:rsidRPr="008E08E4" w:rsidRDefault="00A01459" w:rsidP="00A01459">
      <w:pPr>
        <w:pStyle w:val="ParaNum"/>
        <w:keepLines/>
        <w:widowControl/>
        <w:numPr>
          <w:ilvl w:val="0"/>
          <w:numId w:val="0"/>
        </w:numPr>
        <w:ind w:left="720"/>
        <w:sectPr w:rsidR="00A01459" w:rsidRPr="008E08E4">
          <w:headerReference w:type="default" r:id="rId26"/>
          <w:footerReference w:type="default" r:id="rId27"/>
          <w:footnotePr>
            <w:numRestart w:val="eachSect"/>
          </w:footnotePr>
          <w:endnotePr>
            <w:numFmt w:val="decimal"/>
          </w:endnotePr>
          <w:pgSz w:w="12240" w:h="15840"/>
          <w:pgMar w:top="1440" w:right="1440" w:bottom="720" w:left="1440" w:header="720" w:footer="720" w:gutter="0"/>
          <w:cols w:space="720"/>
          <w:noEndnote/>
          <w:docGrid w:linePitch="299"/>
        </w:sectPr>
      </w:pPr>
    </w:p>
    <w:p w14:paraId="2823DF49" w14:textId="753194E5" w:rsidR="008E08E4" w:rsidRDefault="008E08E4" w:rsidP="00A01459">
      <w:pPr>
        <w:jc w:val="center"/>
        <w:rPr>
          <w:b/>
        </w:rPr>
      </w:pPr>
      <w:r w:rsidRPr="00021027">
        <w:rPr>
          <w:b/>
        </w:rPr>
        <w:t xml:space="preserve">STATEMENT OF </w:t>
      </w:r>
    </w:p>
    <w:p w14:paraId="0339B682" w14:textId="77777777" w:rsidR="008E08E4" w:rsidRPr="00021027" w:rsidRDefault="008E08E4" w:rsidP="008E08E4">
      <w:pPr>
        <w:jc w:val="center"/>
        <w:rPr>
          <w:b/>
        </w:rPr>
      </w:pPr>
      <w:r w:rsidRPr="00021027">
        <w:rPr>
          <w:b/>
        </w:rPr>
        <w:t>COMMISSIONER MICHAEL O’RIELLY</w:t>
      </w:r>
    </w:p>
    <w:p w14:paraId="581B5B89" w14:textId="77777777" w:rsidR="008E08E4" w:rsidRPr="00021027" w:rsidRDefault="008E08E4" w:rsidP="008E08E4">
      <w:pPr>
        <w:jc w:val="center"/>
        <w:rPr>
          <w:b/>
        </w:rPr>
      </w:pPr>
    </w:p>
    <w:p w14:paraId="2C938D76" w14:textId="77777777" w:rsidR="008E08E4" w:rsidRDefault="008E08E4" w:rsidP="008E08E4">
      <w:pPr>
        <w:ind w:left="720" w:hanging="720"/>
      </w:pPr>
      <w:r w:rsidRPr="00021027">
        <w:rPr>
          <w:i/>
        </w:rPr>
        <w:t>Re:</w:t>
      </w:r>
      <w:r w:rsidRPr="00021027">
        <w:rPr>
          <w:i/>
        </w:rPr>
        <w:tab/>
      </w:r>
      <w:r>
        <w:rPr>
          <w:i/>
        </w:rPr>
        <w:t>Procedures for Commission Review of State Opt-Out Requests from the FirstNet Radio Access Network, PS Docket No. 16-269, Report and Order.</w:t>
      </w:r>
    </w:p>
    <w:p w14:paraId="094A7ED0" w14:textId="77777777" w:rsidR="00935270" w:rsidRDefault="00935270" w:rsidP="008E08E4">
      <w:pPr>
        <w:ind w:firstLine="720"/>
      </w:pPr>
    </w:p>
    <w:p w14:paraId="33A6A78F" w14:textId="77777777" w:rsidR="008E08E4" w:rsidRDefault="008E08E4" w:rsidP="00604255">
      <w:pPr>
        <w:spacing w:after="120"/>
        <w:ind w:firstLine="720"/>
      </w:pPr>
      <w:r w:rsidRPr="00D04F9F">
        <w:t xml:space="preserve">The Middle Class Tax Relief and Job Creation Act of 2012 (Act) provided the Commission with very little authority over the inner workings of FirstNet’s nationwide </w:t>
      </w:r>
      <w:r>
        <w:t xml:space="preserve">interoperable </w:t>
      </w:r>
      <w:r w:rsidRPr="00D04F9F">
        <w:t xml:space="preserve">public safety broadband network.  While I </w:t>
      </w:r>
      <w:r>
        <w:t>pushed for</w:t>
      </w:r>
      <w:r w:rsidRPr="00D04F9F">
        <w:t xml:space="preserve"> the FCC </w:t>
      </w:r>
      <w:r>
        <w:t>to</w:t>
      </w:r>
      <w:r w:rsidRPr="00D04F9F">
        <w:t xml:space="preserve"> have </w:t>
      </w:r>
      <w:r>
        <w:t xml:space="preserve">a </w:t>
      </w:r>
      <w:r w:rsidRPr="00D04F9F">
        <w:t xml:space="preserve">greater </w:t>
      </w:r>
      <w:r>
        <w:t>overall role</w:t>
      </w:r>
      <w:r w:rsidRPr="00D04F9F">
        <w:t xml:space="preserve">, </w:t>
      </w:r>
      <w:r>
        <w:t xml:space="preserve">I didn’t win that policy argument.  Instead, </w:t>
      </w:r>
      <w:r w:rsidRPr="00D04F9F">
        <w:t xml:space="preserve">we </w:t>
      </w:r>
      <w:r>
        <w:t>have</w:t>
      </w:r>
      <w:r w:rsidRPr="00D04F9F">
        <w:t xml:space="preserve"> the task of administering the state-opt out process and reviewing any alternative plans submitted for the radio access network, or RAN.  Generally, today’s order appears consistent with the authority provided to the Commission under the Act and attempts to apply its provisions fairly.  Hopefully, we struck the right balance, providing states the ability to make an informed choice</w:t>
      </w:r>
      <w:r>
        <w:t xml:space="preserve"> and</w:t>
      </w:r>
      <w:r w:rsidRPr="00D04F9F">
        <w:t xml:space="preserve"> FirstNet the certainty needed to proceed. </w:t>
      </w:r>
      <w:r>
        <w:t xml:space="preserve"> Therefore, I support this order.</w:t>
      </w:r>
    </w:p>
    <w:p w14:paraId="1B76DB90" w14:textId="77777777" w:rsidR="008E08E4" w:rsidRDefault="008E08E4" w:rsidP="008E08E4">
      <w:pPr>
        <w:ind w:firstLine="720"/>
      </w:pPr>
      <w:r>
        <w:t>Besides discussing the substance of the various filings, t</w:t>
      </w:r>
      <w:r w:rsidRPr="00D04F9F">
        <w:t xml:space="preserve">his item contemplates the timeframes in which the </w:t>
      </w:r>
      <w:r>
        <w:t>state</w:t>
      </w:r>
      <w:r w:rsidRPr="00D04F9F">
        <w:t xml:space="preserve">s need to indicate their intention to opt-out and provide their alternative plans.  Failure to meet these timelines and submission requirements </w:t>
      </w:r>
      <w:r>
        <w:t>is</w:t>
      </w:r>
      <w:r w:rsidRPr="00D04F9F">
        <w:t xml:space="preserve"> quite </w:t>
      </w:r>
      <w:r>
        <w:t>consequential</w:t>
      </w:r>
      <w:r w:rsidRPr="00D04F9F">
        <w:t xml:space="preserve"> – states lose the ability to opt out.  We hold parties accountable and the Commission should be held to </w:t>
      </w:r>
      <w:r>
        <w:t>a similar</w:t>
      </w:r>
      <w:r w:rsidRPr="00D04F9F">
        <w:t xml:space="preserve"> standard.  This is why I am disappointed that the Commission</w:t>
      </w:r>
      <w:r>
        <w:t>’s</w:t>
      </w:r>
      <w:r w:rsidRPr="00D04F9F">
        <w:t xml:space="preserve"> 90-day shot clock for </w:t>
      </w:r>
      <w:r>
        <w:t>the</w:t>
      </w:r>
      <w:r w:rsidRPr="00D04F9F">
        <w:t xml:space="preserve"> review of state alternative plans</w:t>
      </w:r>
      <w:r>
        <w:t xml:space="preserve"> is just “aspirational</w:t>
      </w:r>
      <w:r w:rsidRPr="00D04F9F">
        <w:t>.</w:t>
      </w:r>
      <w:r>
        <w:t>”</w:t>
      </w:r>
      <w:r w:rsidRPr="00D04F9F">
        <w:t xml:space="preserve">  The Commission has a history with aspirational shot clocks that seem to be stopped and started at will.  In fact, they have </w:t>
      </w:r>
      <w:r>
        <w:t>proven to be as reliable</w:t>
      </w:r>
      <w:r w:rsidRPr="00D04F9F">
        <w:t xml:space="preserve"> as a sundial on a cloudy day.  The item states, however, that the shot clock will only be suspended for special circumstances, such as “a national, state, or local emergency that requires diversion of Commission staff resources to address the situation.”  I expect the Commission to live up to this commitment.</w:t>
      </w:r>
      <w:r>
        <w:t xml:space="preserve">  Ultimately, the Commission must do what it can to move the process along so that this network can finally be built. </w:t>
      </w:r>
    </w:p>
    <w:p w14:paraId="72C6C2FA" w14:textId="3554B94B" w:rsidR="00A9728E" w:rsidRDefault="00A9728E" w:rsidP="00E90896">
      <w:pPr>
        <w:pStyle w:val="ParaNum"/>
        <w:widowControl/>
        <w:numPr>
          <w:ilvl w:val="0"/>
          <w:numId w:val="0"/>
        </w:numPr>
        <w:tabs>
          <w:tab w:val="left" w:pos="3510"/>
        </w:tabs>
      </w:pPr>
    </w:p>
    <w:sectPr w:rsidR="00A9728E" w:rsidSect="00604255">
      <w:headerReference w:type="default" r:id="rId28"/>
      <w:footerReference w:type="default" r:id="rId29"/>
      <w:headerReference w:type="first" r:id="rId30"/>
      <w:footerReference w:type="first" r:id="rId3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EF668" w14:textId="77777777" w:rsidR="00F4217D" w:rsidRDefault="00F4217D">
      <w:pPr>
        <w:spacing w:line="20" w:lineRule="exact"/>
      </w:pPr>
    </w:p>
  </w:endnote>
  <w:endnote w:type="continuationSeparator" w:id="0">
    <w:p w14:paraId="0F00B185" w14:textId="77777777" w:rsidR="00F4217D" w:rsidRDefault="00F4217D">
      <w:r>
        <w:t xml:space="preserve"> </w:t>
      </w:r>
    </w:p>
  </w:endnote>
  <w:endnote w:type="continuationNotice" w:id="1">
    <w:p w14:paraId="298DB79D" w14:textId="77777777" w:rsidR="00F4217D" w:rsidRDefault="00F421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22BC" w14:textId="77777777" w:rsidR="00AA275F" w:rsidRDefault="00AA275F">
    <w:pPr>
      <w:pStyle w:val="Footer"/>
      <w:framePr w:wrap="around" w:vAnchor="text" w:hAnchor="margin" w:xAlign="center" w:y="1"/>
    </w:pPr>
    <w:r>
      <w:fldChar w:fldCharType="begin"/>
    </w:r>
    <w:r>
      <w:instrText xml:space="preserve">PAGE  </w:instrText>
    </w:r>
    <w:r>
      <w:fldChar w:fldCharType="end"/>
    </w:r>
  </w:p>
  <w:p w14:paraId="6EB566BA" w14:textId="77777777" w:rsidR="00AA275F" w:rsidRDefault="00AA275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4BAB" w14:textId="77777777" w:rsidR="00604255" w:rsidRDefault="00604255" w:rsidP="00AA275F">
    <w:pPr>
      <w:pStyle w:val="Footer"/>
      <w:jc w:val="center"/>
      <w:rPr>
        <w:noProof/>
      </w:rPr>
    </w:pPr>
    <w:r>
      <w:fldChar w:fldCharType="begin"/>
    </w:r>
    <w:r>
      <w:instrText xml:space="preserve"> PAGE   \* MERGEFORMAT </w:instrText>
    </w:r>
    <w:r>
      <w:fldChar w:fldCharType="separate"/>
    </w:r>
    <w:r w:rsidR="00DA1C87">
      <w:rPr>
        <w:noProof/>
      </w:rPr>
      <w:t>30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00A7" w14:textId="77777777" w:rsidR="00604255" w:rsidRDefault="00604255" w:rsidP="00AA275F">
    <w:pPr>
      <w:pStyle w:val="Footer"/>
      <w:jc w:val="center"/>
      <w:rPr>
        <w:noProof/>
      </w:rPr>
    </w:pPr>
    <w:r>
      <w:fldChar w:fldCharType="begin"/>
    </w:r>
    <w:r>
      <w:instrText xml:space="preserve"> PAGE   \* MERGEFORMAT </w:instrText>
    </w:r>
    <w:r>
      <w:fldChar w:fldCharType="separate"/>
    </w:r>
    <w:r>
      <w:rPr>
        <w:noProof/>
      </w:rPr>
      <w:t>31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8377"/>
      <w:docPartObj>
        <w:docPartGallery w:val="Page Numbers (Bottom of Page)"/>
        <w:docPartUnique/>
      </w:docPartObj>
    </w:sdtPr>
    <w:sdtEndPr>
      <w:rPr>
        <w:noProof/>
      </w:rPr>
    </w:sdtEndPr>
    <w:sdtContent>
      <w:p w14:paraId="20815A38" w14:textId="77777777" w:rsidR="00604255" w:rsidRDefault="00604255" w:rsidP="00604255">
        <w:pPr>
          <w:pStyle w:val="Footer"/>
          <w:jc w:val="center"/>
        </w:pPr>
        <w:r>
          <w:fldChar w:fldCharType="begin"/>
        </w:r>
        <w:r>
          <w:instrText xml:space="preserve"> PAGE   \* MERGEFORMAT </w:instrText>
        </w:r>
        <w:r>
          <w:fldChar w:fldCharType="separate"/>
        </w:r>
        <w:r w:rsidR="00DA1C87">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8514" w14:textId="1E290FA0" w:rsidR="00AA275F" w:rsidRDefault="00AA275F" w:rsidP="00AA275F">
    <w:pPr>
      <w:pStyle w:val="Footer"/>
      <w:tabs>
        <w:tab w:val="clear" w:pos="4320"/>
        <w:tab w:val="clear" w:pos="8640"/>
      </w:tabs>
      <w:jc w:val="center"/>
      <w:rPr>
        <w:noProof/>
      </w:rPr>
    </w:pPr>
    <w:r>
      <w:fldChar w:fldCharType="begin"/>
    </w:r>
    <w:r>
      <w:instrText xml:space="preserve"> PAGE   \* MERGEFORMAT </w:instrText>
    </w:r>
    <w:r>
      <w:fldChar w:fldCharType="separate"/>
    </w:r>
    <w:r w:rsidR="000B4A0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91C6" w14:textId="2CD930AD" w:rsidR="00AA275F" w:rsidRDefault="00AA275F" w:rsidP="0060425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0BD0" w14:textId="77777777" w:rsidR="00AA275F" w:rsidRDefault="00AA275F">
    <w:pPr>
      <w:pStyle w:val="Footer"/>
      <w:framePr w:wrap="around" w:vAnchor="text" w:hAnchor="margin" w:xAlign="center" w:y="1"/>
    </w:pPr>
    <w:r>
      <w:fldChar w:fldCharType="begin"/>
    </w:r>
    <w:r>
      <w:instrText xml:space="preserve">PAGE  </w:instrText>
    </w:r>
    <w:r>
      <w:fldChar w:fldCharType="end"/>
    </w:r>
  </w:p>
  <w:p w14:paraId="7316EC32" w14:textId="77777777" w:rsidR="00AA275F" w:rsidRDefault="00AA27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91C9" w14:textId="49FB037D" w:rsidR="00AA275F" w:rsidRDefault="00AA275F" w:rsidP="00AA275F">
    <w:pPr>
      <w:pStyle w:val="Footer"/>
      <w:jc w:val="center"/>
      <w:rPr>
        <w:noProof/>
      </w:rPr>
    </w:pPr>
    <w:r>
      <w:fldChar w:fldCharType="begin"/>
    </w:r>
    <w:r>
      <w:instrText xml:space="preserve"> PAGE   \* MERGEFORMAT </w:instrText>
    </w:r>
    <w:r>
      <w:fldChar w:fldCharType="separate"/>
    </w:r>
    <w:r w:rsidR="00DA1C87">
      <w:rPr>
        <w:noProof/>
      </w:rPr>
      <w:t>23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F99F6" w14:textId="77777777" w:rsidR="00AA275F" w:rsidRDefault="00AA275F" w:rsidP="00AA275F">
    <w:pPr>
      <w:pStyle w:val="Footer"/>
      <w:jc w:val="center"/>
      <w:rPr>
        <w:noProof/>
      </w:rPr>
    </w:pPr>
    <w:r>
      <w:fldChar w:fldCharType="begin"/>
    </w:r>
    <w:r>
      <w:instrText xml:space="preserve"> PAGE   \* MERGEFORMAT </w:instrText>
    </w:r>
    <w:r>
      <w:fldChar w:fldCharType="separate"/>
    </w:r>
    <w:r w:rsidR="00DA1C87">
      <w:rPr>
        <w:noProof/>
      </w:rPr>
      <w:t>25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6506" w14:textId="77777777" w:rsidR="00AA275F" w:rsidRDefault="00AA275F" w:rsidP="00AA275F">
    <w:pPr>
      <w:pStyle w:val="Footer"/>
      <w:jc w:val="center"/>
      <w:rPr>
        <w:noProof/>
      </w:rPr>
    </w:pPr>
    <w:r>
      <w:fldChar w:fldCharType="begin"/>
    </w:r>
    <w:r>
      <w:instrText xml:space="preserve"> PAGE   \* MERGEFORMAT </w:instrText>
    </w:r>
    <w:r>
      <w:fldChar w:fldCharType="separate"/>
    </w:r>
    <w:r w:rsidR="00DA1C87">
      <w:rPr>
        <w:noProof/>
      </w:rPr>
      <w:t>27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A8F1" w14:textId="77777777" w:rsidR="00604255" w:rsidRDefault="00604255" w:rsidP="00AA275F">
    <w:pPr>
      <w:pStyle w:val="Footer"/>
      <w:jc w:val="center"/>
      <w:rPr>
        <w:noProof/>
      </w:rPr>
    </w:pPr>
    <w:r>
      <w:fldChar w:fldCharType="begin"/>
    </w:r>
    <w:r>
      <w:instrText xml:space="preserve"> PAGE   \* MERGEFORMAT </w:instrText>
    </w:r>
    <w:r>
      <w:fldChar w:fldCharType="separate"/>
    </w:r>
    <w:r w:rsidR="00DA1C87">
      <w:rPr>
        <w:noProof/>
      </w:rPr>
      <w:t>28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1228" w14:textId="77777777" w:rsidR="00604255" w:rsidRDefault="00604255" w:rsidP="00AA275F">
    <w:pPr>
      <w:pStyle w:val="Footer"/>
      <w:jc w:val="center"/>
      <w:rPr>
        <w:noProof/>
      </w:rPr>
    </w:pPr>
    <w:r>
      <w:fldChar w:fldCharType="begin"/>
    </w:r>
    <w:r>
      <w:instrText xml:space="preserve"> PAGE   \* MERGEFORMAT </w:instrText>
    </w:r>
    <w:r>
      <w:fldChar w:fldCharType="separate"/>
    </w:r>
    <w:r w:rsidR="00DA1C87">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EFDE" w14:textId="77777777" w:rsidR="00F4217D" w:rsidRDefault="00F4217D">
      <w:r>
        <w:separator/>
      </w:r>
    </w:p>
  </w:footnote>
  <w:footnote w:type="continuationSeparator" w:id="0">
    <w:p w14:paraId="1E9F0258" w14:textId="77777777" w:rsidR="00F4217D" w:rsidRDefault="00F4217D" w:rsidP="00C721AC">
      <w:pPr>
        <w:spacing w:before="120"/>
        <w:rPr>
          <w:sz w:val="20"/>
        </w:rPr>
      </w:pPr>
      <w:r>
        <w:rPr>
          <w:sz w:val="20"/>
        </w:rPr>
        <w:t xml:space="preserve">(Continued from previous page)  </w:t>
      </w:r>
      <w:r>
        <w:rPr>
          <w:sz w:val="20"/>
        </w:rPr>
        <w:separator/>
      </w:r>
    </w:p>
  </w:footnote>
  <w:footnote w:type="continuationNotice" w:id="1">
    <w:p w14:paraId="3C80A26F" w14:textId="77777777" w:rsidR="00F4217D" w:rsidRDefault="00F4217D" w:rsidP="00C721AC">
      <w:pPr>
        <w:jc w:val="right"/>
        <w:rPr>
          <w:sz w:val="20"/>
        </w:rPr>
      </w:pPr>
      <w:r>
        <w:rPr>
          <w:sz w:val="20"/>
        </w:rPr>
        <w:t>(continued….)</w:t>
      </w:r>
    </w:p>
  </w:footnote>
  <w:footnote w:id="2">
    <w:p w14:paraId="1358CE79" w14:textId="6D0792FB" w:rsidR="00AA275F" w:rsidRDefault="00AA275F" w:rsidP="003155AD">
      <w:pPr>
        <w:pStyle w:val="FootnoteText"/>
      </w:pPr>
      <w:r>
        <w:rPr>
          <w:rStyle w:val="FootnoteReference"/>
        </w:rPr>
        <w:footnoteRef/>
      </w:r>
      <w:r>
        <w:t xml:space="preserve"> </w:t>
      </w:r>
      <w:r>
        <w:rPr>
          <w:i/>
          <w:iCs/>
        </w:rPr>
        <w:t>See</w:t>
      </w:r>
      <w:r>
        <w:t xml:space="preserve"> Middle Class Tax Relief and Job Creation Act of 2012, Pub. L. No. 112-96, 126 Stat. 156 §§ 6001-6303, 6413 (codified at 47 U.S.C. §§ 1401-1443, 1457) (“Public Safety Spectrum Act” or “Act”).</w:t>
      </w:r>
    </w:p>
  </w:footnote>
  <w:footnote w:id="3">
    <w:p w14:paraId="50F5B240" w14:textId="61707968" w:rsidR="00AA275F" w:rsidRDefault="00AA275F" w:rsidP="003155AD">
      <w:pPr>
        <w:pStyle w:val="FootnoteText"/>
      </w:pPr>
      <w:r>
        <w:rPr>
          <w:rStyle w:val="FootnoteReference"/>
        </w:rPr>
        <w:footnoteRef/>
      </w:r>
      <w:r>
        <w:t xml:space="preserve"> </w:t>
      </w:r>
      <w:r>
        <w:rPr>
          <w:i/>
          <w:iCs/>
        </w:rPr>
        <w:t>See generally</w:t>
      </w:r>
      <w:r>
        <w:t xml:space="preserve"> Public Safety Spectrum Act § 6001 </w:t>
      </w:r>
      <w:r>
        <w:rPr>
          <w:i/>
        </w:rPr>
        <w:t>et. seq</w:t>
      </w:r>
      <w:r>
        <w:t>.</w:t>
      </w:r>
    </w:p>
  </w:footnote>
  <w:footnote w:id="4">
    <w:p w14:paraId="7CC42739" w14:textId="18635609" w:rsidR="00AA275F" w:rsidRDefault="00AA275F" w:rsidP="003155AD">
      <w:pPr>
        <w:pStyle w:val="FootnoteText"/>
      </w:pPr>
      <w:r>
        <w:rPr>
          <w:rStyle w:val="FootnoteReference"/>
        </w:rPr>
        <w:footnoteRef/>
      </w:r>
      <w:r>
        <w:t xml:space="preserve"> </w:t>
      </w:r>
      <w:r>
        <w:rPr>
          <w:i/>
        </w:rPr>
        <w:t>Id.</w:t>
      </w:r>
      <w:r>
        <w:t xml:space="preserve"> § 6204(a). </w:t>
      </w:r>
    </w:p>
  </w:footnote>
  <w:footnote w:id="5">
    <w:p w14:paraId="0C21BE14" w14:textId="35E864BF" w:rsidR="00AA275F" w:rsidRDefault="00AA275F" w:rsidP="003155AD">
      <w:pPr>
        <w:pStyle w:val="FootnoteText"/>
      </w:pPr>
      <w:r>
        <w:rPr>
          <w:rStyle w:val="FootnoteReference"/>
        </w:rPr>
        <w:footnoteRef/>
      </w:r>
      <w:r>
        <w:t xml:space="preserve"> </w:t>
      </w:r>
      <w:r>
        <w:rPr>
          <w:i/>
        </w:rPr>
        <w:t>Id</w:t>
      </w:r>
      <w:r>
        <w:t xml:space="preserve">. §§ 6101(a), 6201(a), 6204(a).  </w:t>
      </w:r>
    </w:p>
  </w:footnote>
  <w:footnote w:id="6">
    <w:p w14:paraId="0585CF39" w14:textId="2F6DC62F" w:rsidR="00AA275F" w:rsidRDefault="00AA275F" w:rsidP="003155AD">
      <w:pPr>
        <w:pStyle w:val="FootnoteText"/>
      </w:pPr>
      <w:r>
        <w:rPr>
          <w:rStyle w:val="FootnoteReference"/>
        </w:rPr>
        <w:footnoteRef/>
      </w:r>
      <w:r>
        <w:t xml:space="preserve"> </w:t>
      </w:r>
      <w:r>
        <w:rPr>
          <w:i/>
        </w:rPr>
        <w:t>Id</w:t>
      </w:r>
      <w:r>
        <w:t xml:space="preserve">. § 6202(a).  </w:t>
      </w:r>
      <w:r>
        <w:rPr>
          <w:i/>
        </w:rPr>
        <w:t>See generally id.</w:t>
      </w:r>
      <w:r>
        <w:t xml:space="preserve"> § 6206 (setting out FirstNet’s powers, duties and responsibilities).</w:t>
      </w:r>
    </w:p>
  </w:footnote>
  <w:footnote w:id="7">
    <w:p w14:paraId="796B7BE5" w14:textId="2158C7E7" w:rsidR="00AA275F" w:rsidRDefault="00AA275F" w:rsidP="003155AD">
      <w:pPr>
        <w:pStyle w:val="FootnoteText"/>
      </w:pPr>
      <w:r>
        <w:rPr>
          <w:rStyle w:val="FootnoteReference"/>
        </w:rPr>
        <w:footnoteRef/>
      </w:r>
      <w:r>
        <w:t xml:space="preserve"> </w:t>
      </w:r>
      <w:r>
        <w:rPr>
          <w:i/>
        </w:rPr>
        <w:t>Id</w:t>
      </w:r>
      <w:r>
        <w:t>. § 6206(b).</w:t>
      </w:r>
    </w:p>
  </w:footnote>
  <w:footnote w:id="8">
    <w:p w14:paraId="2B7CF741" w14:textId="65F99FB0" w:rsidR="00AA275F" w:rsidRDefault="00AA275F" w:rsidP="003155AD">
      <w:pPr>
        <w:pStyle w:val="FootnoteText"/>
      </w:pPr>
      <w:r>
        <w:rPr>
          <w:rStyle w:val="FootnoteReference"/>
        </w:rPr>
        <w:footnoteRef/>
      </w:r>
      <w:r>
        <w:t xml:space="preserve"> </w:t>
      </w:r>
      <w:r>
        <w:rPr>
          <w:i/>
        </w:rPr>
        <w:t>Id.</w:t>
      </w:r>
      <w:r>
        <w:t xml:space="preserve"> </w:t>
      </w:r>
      <w:r>
        <w:rPr>
          <w:shd w:val="clear" w:color="auto" w:fill="FFFFFF"/>
        </w:rPr>
        <w:t>§ 6202(b).</w:t>
      </w:r>
    </w:p>
  </w:footnote>
  <w:footnote w:id="9">
    <w:p w14:paraId="74264437" w14:textId="66CD3E90" w:rsidR="00AA275F" w:rsidRDefault="00AA275F" w:rsidP="00D60D03">
      <w:pPr>
        <w:pStyle w:val="FootnoteText"/>
        <w:rPr>
          <w:lang w:val="es-AR"/>
        </w:rPr>
      </w:pPr>
      <w:r>
        <w:rPr>
          <w:rStyle w:val="FootnoteReference"/>
        </w:rPr>
        <w:footnoteRef/>
      </w:r>
      <w:r>
        <w:rPr>
          <w:lang w:val="es-AR"/>
        </w:rPr>
        <w:t xml:space="preserve"> </w:t>
      </w:r>
      <w:r>
        <w:rPr>
          <w:i/>
          <w:iCs/>
          <w:lang w:val="es-AR"/>
        </w:rPr>
        <w:t>See id.</w:t>
      </w:r>
      <w:r>
        <w:rPr>
          <w:lang w:val="es-AR"/>
        </w:rPr>
        <w:t xml:space="preserve"> </w:t>
      </w:r>
      <w:r>
        <w:rPr>
          <w:shd w:val="clear" w:color="auto" w:fill="FFFFFF"/>
          <w:lang w:val="es-AR"/>
        </w:rPr>
        <w:t xml:space="preserve">§ 6302(e)(1).  </w:t>
      </w:r>
      <w:r>
        <w:rPr>
          <w:shd w:val="clear" w:color="auto" w:fill="FFFFFF"/>
        </w:rPr>
        <w:t>The Definitions section of the Act provides that t</w:t>
      </w:r>
      <w:r w:rsidRPr="00D60D03">
        <w:rPr>
          <w:shd w:val="clear" w:color="auto" w:fill="FFFFFF"/>
        </w:rPr>
        <w:t xml:space="preserve">he term </w:t>
      </w:r>
      <w:r>
        <w:rPr>
          <w:shd w:val="clear" w:color="auto" w:fill="FFFFFF"/>
        </w:rPr>
        <w:t>“</w:t>
      </w:r>
      <w:r w:rsidRPr="00D60D03">
        <w:rPr>
          <w:shd w:val="clear" w:color="auto" w:fill="FFFFFF"/>
        </w:rPr>
        <w:t>State</w:t>
      </w:r>
      <w:r>
        <w:rPr>
          <w:shd w:val="clear" w:color="auto" w:fill="FFFFFF"/>
        </w:rPr>
        <w:t>”</w:t>
      </w:r>
      <w:r w:rsidRPr="00D60D03">
        <w:rPr>
          <w:shd w:val="clear" w:color="auto" w:fill="FFFFFF"/>
        </w:rPr>
        <w:t xml:space="preserve"> has the meaning given such</w:t>
      </w:r>
      <w:r>
        <w:rPr>
          <w:shd w:val="clear" w:color="auto" w:fill="FFFFFF"/>
        </w:rPr>
        <w:t xml:space="preserve"> </w:t>
      </w:r>
      <w:r w:rsidRPr="00D60D03">
        <w:rPr>
          <w:shd w:val="clear" w:color="auto" w:fill="FFFFFF"/>
        </w:rPr>
        <w:t>term in section 3 of the Communications Act of 1934 (47 U.S.C.</w:t>
      </w:r>
      <w:r>
        <w:rPr>
          <w:shd w:val="clear" w:color="auto" w:fill="FFFFFF"/>
        </w:rPr>
        <w:t xml:space="preserve"> </w:t>
      </w:r>
      <w:r>
        <w:rPr>
          <w:shd w:val="clear" w:color="auto" w:fill="FFFFFF"/>
          <w:lang w:val="es-AR"/>
        </w:rPr>
        <w:t xml:space="preserve">§ </w:t>
      </w:r>
      <w:r w:rsidRPr="00D60D03">
        <w:rPr>
          <w:shd w:val="clear" w:color="auto" w:fill="FFFFFF"/>
        </w:rPr>
        <w:t>153)</w:t>
      </w:r>
      <w:r>
        <w:rPr>
          <w:shd w:val="clear" w:color="auto" w:fill="FFFFFF"/>
        </w:rPr>
        <w:t xml:space="preserve">, </w:t>
      </w:r>
      <w:r>
        <w:rPr>
          <w:i/>
          <w:shd w:val="clear" w:color="auto" w:fill="FFFFFF"/>
        </w:rPr>
        <w:t>i.e</w:t>
      </w:r>
      <w:r w:rsidRPr="00B46573">
        <w:rPr>
          <w:shd w:val="clear" w:color="auto" w:fill="FFFFFF"/>
        </w:rPr>
        <w:t>.,</w:t>
      </w:r>
      <w:r>
        <w:rPr>
          <w:i/>
          <w:shd w:val="clear" w:color="auto" w:fill="FFFFFF"/>
        </w:rPr>
        <w:t xml:space="preserve"> </w:t>
      </w:r>
      <w:r w:rsidRPr="00D60D03">
        <w:rPr>
          <w:shd w:val="clear" w:color="auto" w:fill="FFFFFF"/>
        </w:rPr>
        <w:t>t</w:t>
      </w:r>
      <w:r w:rsidRPr="004B4F37">
        <w:rPr>
          <w:shd w:val="clear" w:color="auto" w:fill="FFFFFF"/>
        </w:rPr>
        <w:t>he term includes the District of Columbia and the Territories and possessions.</w:t>
      </w:r>
      <w:r>
        <w:rPr>
          <w:shd w:val="clear" w:color="auto" w:fill="FFFFFF"/>
        </w:rPr>
        <w:t xml:space="preserve">  </w:t>
      </w:r>
      <w:r>
        <w:rPr>
          <w:i/>
          <w:shd w:val="clear" w:color="auto" w:fill="FFFFFF"/>
        </w:rPr>
        <w:t>Id.</w:t>
      </w:r>
      <w:r>
        <w:rPr>
          <w:lang w:val="es-AR"/>
        </w:rPr>
        <w:t xml:space="preserve"> </w:t>
      </w:r>
      <w:r>
        <w:rPr>
          <w:shd w:val="clear" w:color="auto" w:fill="FFFFFF"/>
          <w:lang w:val="es-AR"/>
        </w:rPr>
        <w:t>§ 6001(31).</w:t>
      </w:r>
    </w:p>
  </w:footnote>
  <w:footnote w:id="10">
    <w:p w14:paraId="7B13D662" w14:textId="544F64E7" w:rsidR="00AA275F" w:rsidRDefault="00AA275F" w:rsidP="003155AD">
      <w:pPr>
        <w:pStyle w:val="FootnoteText"/>
        <w:rPr>
          <w:lang w:val="es-AR"/>
        </w:rPr>
      </w:pPr>
      <w:r>
        <w:rPr>
          <w:rStyle w:val="FootnoteReference"/>
        </w:rPr>
        <w:footnoteRef/>
      </w:r>
      <w:r>
        <w:t xml:space="preserve"> </w:t>
      </w:r>
      <w:r>
        <w:rPr>
          <w:i/>
        </w:rPr>
        <w:t xml:space="preserve">Id. </w:t>
      </w:r>
      <w:r>
        <w:rPr>
          <w:shd w:val="clear" w:color="auto" w:fill="FFFFFF"/>
        </w:rPr>
        <w:t xml:space="preserve">§ 6202(b)(2)(A).  The Definitions section of the Act does not contain the definition for “radio access network” and instead refers to the reader to this section (“radio access network” means the radio access network described in section 6202(b)(2)”).  </w:t>
      </w:r>
      <w:r>
        <w:rPr>
          <w:i/>
          <w:shd w:val="clear" w:color="auto" w:fill="FFFFFF"/>
        </w:rPr>
        <w:t>Id.</w:t>
      </w:r>
      <w:r>
        <w:rPr>
          <w:lang w:val="es-AR"/>
        </w:rPr>
        <w:t xml:space="preserve"> </w:t>
      </w:r>
      <w:r>
        <w:rPr>
          <w:shd w:val="clear" w:color="auto" w:fill="FFFFFF"/>
          <w:lang w:val="es-AR"/>
        </w:rPr>
        <w:t>§ 6001(29).</w:t>
      </w:r>
    </w:p>
  </w:footnote>
  <w:footnote w:id="11">
    <w:p w14:paraId="431456BA" w14:textId="04DEE563" w:rsidR="00AA275F" w:rsidRDefault="00AA275F" w:rsidP="003155AD">
      <w:pPr>
        <w:pStyle w:val="FootnoteText"/>
        <w:rPr>
          <w:lang w:val="es-AR"/>
        </w:rPr>
      </w:pPr>
      <w:r>
        <w:rPr>
          <w:rStyle w:val="FootnoteReference"/>
        </w:rPr>
        <w:footnoteRef/>
      </w:r>
      <w:r>
        <w:rPr>
          <w:lang w:val="es-AR"/>
        </w:rPr>
        <w:t xml:space="preserve"> </w:t>
      </w:r>
      <w:r>
        <w:rPr>
          <w:i/>
          <w:lang w:val="es-AR"/>
        </w:rPr>
        <w:t>Id.</w:t>
      </w:r>
      <w:r>
        <w:rPr>
          <w:lang w:val="es-AR"/>
        </w:rPr>
        <w:t xml:space="preserve"> </w:t>
      </w:r>
      <w:r>
        <w:rPr>
          <w:shd w:val="clear" w:color="auto" w:fill="FFFFFF"/>
          <w:lang w:val="es-AR"/>
        </w:rPr>
        <w:t>§ 6302(e)(2).</w:t>
      </w:r>
    </w:p>
  </w:footnote>
  <w:footnote w:id="12">
    <w:p w14:paraId="7E4FF169" w14:textId="7612B6EA" w:rsidR="00AA275F" w:rsidRDefault="00AA275F" w:rsidP="003155AD">
      <w:pPr>
        <w:pStyle w:val="FootnoteText"/>
        <w:rPr>
          <w:lang w:val="es-AR"/>
        </w:rPr>
      </w:pPr>
      <w:r>
        <w:rPr>
          <w:rStyle w:val="FootnoteReference"/>
        </w:rPr>
        <w:footnoteRef/>
      </w:r>
      <w:r>
        <w:rPr>
          <w:lang w:val="es-AR"/>
        </w:rPr>
        <w:t xml:space="preserve"> </w:t>
      </w:r>
      <w:r>
        <w:rPr>
          <w:i/>
          <w:lang w:val="es-AR"/>
        </w:rPr>
        <w:t>Id.</w:t>
      </w:r>
      <w:r>
        <w:rPr>
          <w:lang w:val="es-AR"/>
        </w:rPr>
        <w:t xml:space="preserve"> </w:t>
      </w:r>
      <w:r>
        <w:rPr>
          <w:shd w:val="clear" w:color="auto" w:fill="FFFFFF"/>
          <w:lang w:val="es-AR"/>
        </w:rPr>
        <w:t>§ 6302(e)(2)</w:t>
      </w:r>
      <w:r>
        <w:rPr>
          <w:lang w:val="es-AR"/>
        </w:rPr>
        <w:t>.</w:t>
      </w:r>
    </w:p>
  </w:footnote>
  <w:footnote w:id="13">
    <w:p w14:paraId="5BED5329" w14:textId="6E8FEBCF" w:rsidR="00AA275F" w:rsidRDefault="00AA275F" w:rsidP="003155AD">
      <w:pPr>
        <w:pStyle w:val="FootnoteText"/>
        <w:rPr>
          <w:lang w:val="es-AR"/>
        </w:rPr>
      </w:pPr>
      <w:r>
        <w:rPr>
          <w:rStyle w:val="FootnoteReference"/>
        </w:rPr>
        <w:footnoteRef/>
      </w:r>
      <w:r>
        <w:rPr>
          <w:lang w:val="es-AR"/>
        </w:rPr>
        <w:t xml:space="preserve"> </w:t>
      </w:r>
      <w:r w:rsidRPr="00B46573">
        <w:rPr>
          <w:i/>
          <w:lang w:val="es-AR"/>
        </w:rPr>
        <w:t>Id.</w:t>
      </w:r>
      <w:r>
        <w:rPr>
          <w:lang w:val="es-AR"/>
        </w:rPr>
        <w:t xml:space="preserve"> </w:t>
      </w:r>
      <w:r>
        <w:rPr>
          <w:shd w:val="clear" w:color="auto" w:fill="FFFFFF"/>
          <w:lang w:val="es-AR"/>
        </w:rPr>
        <w:t>§ 6302(e)(3)(A).</w:t>
      </w:r>
      <w:r>
        <w:rPr>
          <w:lang w:val="es-AR"/>
        </w:rPr>
        <w:t xml:space="preserve"> </w:t>
      </w:r>
    </w:p>
  </w:footnote>
  <w:footnote w:id="14">
    <w:p w14:paraId="3A9C3C36" w14:textId="6400DBA6" w:rsidR="00AA275F" w:rsidRDefault="00AA275F" w:rsidP="003155AD">
      <w:pPr>
        <w:pStyle w:val="FootnoteText"/>
      </w:pPr>
      <w:r>
        <w:rPr>
          <w:rStyle w:val="FootnoteReference"/>
        </w:rPr>
        <w:footnoteRef/>
      </w:r>
      <w:r>
        <w:t xml:space="preserve"> </w:t>
      </w:r>
      <w:r>
        <w:rPr>
          <w:i/>
        </w:rPr>
        <w:t xml:space="preserve">Id. </w:t>
      </w:r>
      <w:r>
        <w:rPr>
          <w:shd w:val="clear" w:color="auto" w:fill="FFFFFF"/>
        </w:rPr>
        <w:t xml:space="preserve">§ 6302(e)(3)(C)(ii) (emphasis added). </w:t>
      </w:r>
    </w:p>
  </w:footnote>
  <w:footnote w:id="15">
    <w:p w14:paraId="6FD3D8F8" w14:textId="1E36712D" w:rsidR="00AA275F" w:rsidRPr="004B4F37" w:rsidRDefault="00AA275F">
      <w:pPr>
        <w:pStyle w:val="FootnoteText"/>
        <w:rPr>
          <w:i/>
        </w:rPr>
      </w:pPr>
      <w:r>
        <w:rPr>
          <w:rStyle w:val="FootnoteReference"/>
        </w:rPr>
        <w:footnoteRef/>
      </w:r>
      <w:r>
        <w:t xml:space="preserve"> </w:t>
      </w:r>
      <w:r>
        <w:rPr>
          <w:i/>
        </w:rPr>
        <w:t>Id.</w:t>
      </w:r>
      <w:r w:rsidRPr="0089227C">
        <w:rPr>
          <w:shd w:val="clear" w:color="auto" w:fill="FFFFFF"/>
        </w:rPr>
        <w:t xml:space="preserve"> </w:t>
      </w:r>
      <w:r>
        <w:rPr>
          <w:shd w:val="clear" w:color="auto" w:fill="FFFFFF"/>
        </w:rPr>
        <w:t>§ 6302(e)(3)(C)(iii) (I).</w:t>
      </w:r>
    </w:p>
  </w:footnote>
  <w:footnote w:id="16">
    <w:p w14:paraId="7B45792E" w14:textId="0CB29BE3" w:rsidR="00AA275F" w:rsidRDefault="00AA275F">
      <w:pPr>
        <w:pStyle w:val="FootnoteText"/>
      </w:pPr>
      <w:r>
        <w:rPr>
          <w:rStyle w:val="FootnoteReference"/>
        </w:rPr>
        <w:footnoteRef/>
      </w:r>
      <w:r>
        <w:t xml:space="preserve"> </w:t>
      </w:r>
      <w:r>
        <w:rPr>
          <w:i/>
        </w:rPr>
        <w:t>Id.</w:t>
      </w:r>
      <w:r w:rsidRPr="0089227C">
        <w:rPr>
          <w:shd w:val="clear" w:color="auto" w:fill="FFFFFF"/>
        </w:rPr>
        <w:t xml:space="preserve"> </w:t>
      </w:r>
      <w:r>
        <w:rPr>
          <w:shd w:val="clear" w:color="auto" w:fill="FFFFFF"/>
        </w:rPr>
        <w:t>§ 6302(e)(3)(C)(iii) (II).</w:t>
      </w:r>
    </w:p>
  </w:footnote>
  <w:footnote w:id="17">
    <w:p w14:paraId="604BAA42" w14:textId="677C1500" w:rsidR="00AA275F" w:rsidRDefault="00AA275F">
      <w:pPr>
        <w:pStyle w:val="FootnoteText"/>
      </w:pPr>
      <w:r>
        <w:rPr>
          <w:rStyle w:val="FootnoteReference"/>
        </w:rPr>
        <w:footnoteRef/>
      </w:r>
      <w:r>
        <w:t xml:space="preserve"> </w:t>
      </w:r>
      <w:r>
        <w:rPr>
          <w:i/>
        </w:rPr>
        <w:t>Id.</w:t>
      </w:r>
      <w:r w:rsidRPr="0089227C">
        <w:rPr>
          <w:shd w:val="clear" w:color="auto" w:fill="FFFFFF"/>
        </w:rPr>
        <w:t xml:space="preserve"> </w:t>
      </w:r>
      <w:r>
        <w:rPr>
          <w:shd w:val="clear" w:color="auto" w:fill="FFFFFF"/>
        </w:rPr>
        <w:t>§ 6302(e)(3)(C)(iv).</w:t>
      </w:r>
    </w:p>
  </w:footnote>
  <w:footnote w:id="18">
    <w:p w14:paraId="37EA16FF" w14:textId="6151155E" w:rsidR="00AA275F" w:rsidRDefault="00AA275F">
      <w:pPr>
        <w:pStyle w:val="FootnoteText"/>
      </w:pPr>
      <w:r>
        <w:rPr>
          <w:rStyle w:val="FootnoteReference"/>
        </w:rPr>
        <w:footnoteRef/>
      </w:r>
      <w:r>
        <w:t xml:space="preserve"> </w:t>
      </w:r>
      <w:r>
        <w:rPr>
          <w:i/>
        </w:rPr>
        <w:t>Id.</w:t>
      </w:r>
      <w:r w:rsidRPr="0089227C">
        <w:rPr>
          <w:shd w:val="clear" w:color="auto" w:fill="FFFFFF"/>
        </w:rPr>
        <w:t xml:space="preserve"> </w:t>
      </w:r>
      <w:r>
        <w:rPr>
          <w:shd w:val="clear" w:color="auto" w:fill="FFFFFF"/>
        </w:rPr>
        <w:t>§ 6302(h).</w:t>
      </w:r>
    </w:p>
  </w:footnote>
  <w:footnote w:id="19">
    <w:p w14:paraId="2EC1BFE8" w14:textId="1F8CD804" w:rsidR="00AA275F" w:rsidRPr="000159B9" w:rsidRDefault="00AA275F">
      <w:pPr>
        <w:pStyle w:val="FootnoteText"/>
      </w:pPr>
      <w:r>
        <w:rPr>
          <w:rStyle w:val="FootnoteReference"/>
        </w:rPr>
        <w:footnoteRef/>
      </w:r>
      <w:r>
        <w:t xml:space="preserve"> </w:t>
      </w:r>
      <w:r>
        <w:rPr>
          <w:i/>
        </w:rPr>
        <w:t>Id.</w:t>
      </w:r>
      <w:r>
        <w:t xml:space="preserve"> </w:t>
      </w:r>
      <w:r>
        <w:rPr>
          <w:shd w:val="clear" w:color="auto" w:fill="FFFFFF"/>
        </w:rPr>
        <w:t>§ 6003(a)(1).</w:t>
      </w:r>
    </w:p>
  </w:footnote>
  <w:footnote w:id="20">
    <w:p w14:paraId="07981A0B" w14:textId="02106F7F" w:rsidR="00AA275F" w:rsidRPr="00E90896" w:rsidRDefault="00AA275F" w:rsidP="00015E3B">
      <w:pPr>
        <w:pStyle w:val="FootnoteText"/>
      </w:pPr>
      <w:r>
        <w:rPr>
          <w:rStyle w:val="FootnoteReference"/>
        </w:rPr>
        <w:footnoteRef/>
      </w:r>
      <w:r>
        <w:t xml:space="preserve"> </w:t>
      </w:r>
      <w:r w:rsidRPr="00A177A1">
        <w:rPr>
          <w:i/>
        </w:rPr>
        <w:t>Procedures for Commission Review of State Opt-Out Request from the FirstNet Radio Access Network</w:t>
      </w:r>
      <w:r>
        <w:rPr>
          <w:i/>
        </w:rPr>
        <w:t xml:space="preserve"> et. al.</w:t>
      </w:r>
      <w:r>
        <w:t xml:space="preserve">, PS Docket 16-269, </w:t>
      </w:r>
      <w:r w:rsidRPr="005615CB">
        <w:t>Report and Order and Notice of Proposed Rulemaking</w:t>
      </w:r>
      <w:r>
        <w:t>, 31 FCC Rcd 10253, 10269-77, paras. 46-73 (2016) (</w:t>
      </w:r>
      <w:r>
        <w:rPr>
          <w:i/>
        </w:rPr>
        <w:t>NPRM</w:t>
      </w:r>
      <w:r w:rsidRPr="00E90896">
        <w:t>).</w:t>
      </w:r>
    </w:p>
  </w:footnote>
  <w:footnote w:id="21">
    <w:p w14:paraId="27FF314F" w14:textId="393655BA" w:rsidR="00AA275F" w:rsidRPr="005615CB" w:rsidRDefault="00AA275F" w:rsidP="003155AD">
      <w:pPr>
        <w:pStyle w:val="FootnoteText"/>
        <w:rPr>
          <w:i/>
        </w:rPr>
      </w:pPr>
      <w:r>
        <w:rPr>
          <w:rStyle w:val="FootnoteReference"/>
        </w:rPr>
        <w:footnoteRef/>
      </w:r>
      <w:r>
        <w:t xml:space="preserve"> </w:t>
      </w:r>
      <w:r w:rsidRPr="00A177A1">
        <w:rPr>
          <w:i/>
        </w:rPr>
        <w:t>P</w:t>
      </w:r>
      <w:r>
        <w:rPr>
          <w:i/>
        </w:rPr>
        <w:t xml:space="preserve">ublic </w:t>
      </w:r>
      <w:r w:rsidRPr="00A177A1">
        <w:rPr>
          <w:i/>
        </w:rPr>
        <w:t>Sa</w:t>
      </w:r>
      <w:r>
        <w:rPr>
          <w:i/>
        </w:rPr>
        <w:t>fe</w:t>
      </w:r>
      <w:r w:rsidRPr="00A177A1">
        <w:rPr>
          <w:i/>
        </w:rPr>
        <w:t>t</w:t>
      </w:r>
      <w:r>
        <w:rPr>
          <w:i/>
        </w:rPr>
        <w:t>y and Homeland Security Bureau Announces Comment and Reply Comment Dates for Notice of Proposed Rulemaking on Procedures for Commission R</w:t>
      </w:r>
      <w:r w:rsidRPr="00A177A1">
        <w:rPr>
          <w:i/>
        </w:rPr>
        <w:t>e</w:t>
      </w:r>
      <w:r>
        <w:rPr>
          <w:i/>
        </w:rPr>
        <w:t>view of State</w:t>
      </w:r>
      <w:r w:rsidRPr="00A177A1">
        <w:rPr>
          <w:i/>
        </w:rPr>
        <w:t xml:space="preserve"> Opt-Out Request from the FirstNet Radio Access Network</w:t>
      </w:r>
      <w:r>
        <w:t>, PS Docket 16-269, Public Notice, DA 16-1060 (PSHSB 2016).</w:t>
      </w:r>
    </w:p>
  </w:footnote>
  <w:footnote w:id="22">
    <w:p w14:paraId="3CB62AD2" w14:textId="3D7DCF1E" w:rsidR="00AA275F" w:rsidRDefault="00AA275F">
      <w:pPr>
        <w:pStyle w:val="FootnoteText"/>
      </w:pPr>
      <w:r>
        <w:rPr>
          <w:rStyle w:val="FootnoteReference"/>
        </w:rPr>
        <w:footnoteRef/>
      </w:r>
      <w:r>
        <w:t xml:space="preserve"> We attach a list of commenting parties as Appendix D.</w:t>
      </w:r>
    </w:p>
  </w:footnote>
  <w:footnote w:id="23">
    <w:p w14:paraId="6FBF7C24" w14:textId="7A98AB60" w:rsidR="00AA275F" w:rsidRDefault="00AA275F" w:rsidP="008356D4">
      <w:pPr>
        <w:pStyle w:val="FootnoteText"/>
        <w:rPr>
          <w:lang w:val="es-AR"/>
        </w:rPr>
      </w:pPr>
      <w:r>
        <w:rPr>
          <w:rStyle w:val="FootnoteReference"/>
        </w:rPr>
        <w:footnoteRef/>
      </w:r>
      <w:r>
        <w:rPr>
          <w:lang w:val="es-AR"/>
        </w:rPr>
        <w:t xml:space="preserve"> Public Safety Spectrum Act </w:t>
      </w:r>
      <w:r>
        <w:rPr>
          <w:shd w:val="clear" w:color="auto" w:fill="FFFFFF"/>
          <w:lang w:val="es-AR"/>
        </w:rPr>
        <w:t>§ 6302(e)(3)(A).</w:t>
      </w:r>
      <w:r>
        <w:rPr>
          <w:lang w:val="es-AR"/>
        </w:rPr>
        <w:t xml:space="preserve"> </w:t>
      </w:r>
    </w:p>
  </w:footnote>
  <w:footnote w:id="24">
    <w:p w14:paraId="200A564F" w14:textId="641BA605" w:rsidR="00AA275F" w:rsidRDefault="00AA275F" w:rsidP="008356D4">
      <w:pPr>
        <w:pStyle w:val="FootnoteText"/>
      </w:pPr>
      <w:r>
        <w:rPr>
          <w:rStyle w:val="FootnoteReference"/>
        </w:rPr>
        <w:footnoteRef/>
      </w:r>
      <w:r>
        <w:t xml:space="preserve"> </w:t>
      </w:r>
      <w:r>
        <w:rPr>
          <w:i/>
        </w:rPr>
        <w:t xml:space="preserve">Id. </w:t>
      </w:r>
      <w:r>
        <w:rPr>
          <w:shd w:val="clear" w:color="auto" w:fill="FFFFFF"/>
        </w:rPr>
        <w:t xml:space="preserve">§ 6302(e)(3)(B). </w:t>
      </w:r>
    </w:p>
  </w:footnote>
  <w:footnote w:id="25">
    <w:p w14:paraId="14550221" w14:textId="6D1ACF35" w:rsidR="00AA275F" w:rsidRPr="00514593" w:rsidRDefault="00AA275F">
      <w:pPr>
        <w:pStyle w:val="FootnoteText"/>
      </w:pPr>
      <w:r>
        <w:rPr>
          <w:rStyle w:val="FootnoteReference"/>
        </w:rPr>
        <w:footnoteRef/>
      </w:r>
      <w:r>
        <w:t xml:space="preserve"> </w:t>
      </w:r>
      <w:r>
        <w:rPr>
          <w:i/>
        </w:rPr>
        <w:t>NPRM</w:t>
      </w:r>
      <w:r>
        <w:t>, 31 FCC Rcd at 10269, para. 47.</w:t>
      </w:r>
    </w:p>
  </w:footnote>
  <w:footnote w:id="26">
    <w:p w14:paraId="1D2904D7" w14:textId="7EE5DEA1" w:rsidR="00AA275F" w:rsidRPr="00F80642" w:rsidRDefault="00AA275F">
      <w:pPr>
        <w:pStyle w:val="FootnoteText"/>
      </w:pPr>
      <w:r>
        <w:rPr>
          <w:rStyle w:val="FootnoteReference"/>
        </w:rPr>
        <w:footnoteRef/>
      </w:r>
      <w:r>
        <w:t xml:space="preserve"> </w:t>
      </w:r>
      <w:r>
        <w:rPr>
          <w:i/>
        </w:rPr>
        <w:t>Id.</w:t>
      </w:r>
      <w:r>
        <w:t xml:space="preserve"> at 10270, para. 49.</w:t>
      </w:r>
    </w:p>
  </w:footnote>
  <w:footnote w:id="27">
    <w:p w14:paraId="6C592E13" w14:textId="77777777" w:rsidR="00AA275F" w:rsidRPr="00514593" w:rsidRDefault="00AA275F" w:rsidP="00514593">
      <w:pPr>
        <w:pStyle w:val="FootnoteText"/>
        <w:rPr>
          <w:i/>
        </w:rPr>
      </w:pPr>
      <w:r>
        <w:rPr>
          <w:rStyle w:val="FootnoteReference"/>
        </w:rPr>
        <w:footnoteRef/>
      </w:r>
      <w:r>
        <w:t xml:space="preserve"> </w:t>
      </w:r>
      <w:r>
        <w:rPr>
          <w:i/>
        </w:rPr>
        <w:t>Id.</w:t>
      </w:r>
    </w:p>
  </w:footnote>
  <w:footnote w:id="28">
    <w:p w14:paraId="2DFC7FFF" w14:textId="77777777" w:rsidR="00AA275F" w:rsidRPr="00514593" w:rsidRDefault="00AA275F" w:rsidP="00514593">
      <w:pPr>
        <w:pStyle w:val="FootnoteText"/>
        <w:rPr>
          <w:i/>
        </w:rPr>
      </w:pPr>
      <w:r>
        <w:rPr>
          <w:rStyle w:val="FootnoteReference"/>
        </w:rPr>
        <w:footnoteRef/>
      </w:r>
      <w:r>
        <w:t xml:space="preserve"> </w:t>
      </w:r>
      <w:r>
        <w:rPr>
          <w:i/>
        </w:rPr>
        <w:t>Id.</w:t>
      </w:r>
    </w:p>
  </w:footnote>
  <w:footnote w:id="29">
    <w:p w14:paraId="28C2A77A" w14:textId="767F1E94" w:rsidR="00AA275F" w:rsidRPr="00EF2509" w:rsidRDefault="00AA275F">
      <w:pPr>
        <w:pStyle w:val="FootnoteText"/>
      </w:pPr>
      <w:r>
        <w:rPr>
          <w:rStyle w:val="FootnoteReference"/>
        </w:rPr>
        <w:footnoteRef/>
      </w:r>
      <w:r>
        <w:t xml:space="preserve"> APCO Comments at 5, FirstNet Comments at 4-5, Illinois Comments at 5, Indiana Comments at 3; </w:t>
      </w:r>
      <w:r>
        <w:rPr>
          <w:i/>
        </w:rPr>
        <w:t xml:space="preserve">but see </w:t>
      </w:r>
      <w:r>
        <w:t>Stephen Whitaker Comments at 1 (“90 days is NOT an adequate time frame for any thorough review and assessment…”)</w:t>
      </w:r>
    </w:p>
  </w:footnote>
  <w:footnote w:id="30">
    <w:p w14:paraId="4B216C64" w14:textId="2F9DB034" w:rsidR="00AA275F" w:rsidRDefault="00AA275F">
      <w:pPr>
        <w:pStyle w:val="FootnoteText"/>
      </w:pPr>
      <w:r>
        <w:rPr>
          <w:rStyle w:val="FootnoteReference"/>
        </w:rPr>
        <w:footnoteRef/>
      </w:r>
      <w:r>
        <w:t xml:space="preserve"> Nevada Comments at 2, Pennsylvania Comments at 2, Fairfax Comments at 3-4.</w:t>
      </w:r>
    </w:p>
  </w:footnote>
  <w:footnote w:id="31">
    <w:p w14:paraId="1CDC8E24" w14:textId="4260E4A2" w:rsidR="00AA275F" w:rsidRDefault="00AA275F">
      <w:pPr>
        <w:pStyle w:val="FootnoteText"/>
      </w:pPr>
      <w:r>
        <w:rPr>
          <w:rStyle w:val="FootnoteReference"/>
        </w:rPr>
        <w:footnoteRef/>
      </w:r>
      <w:r>
        <w:t xml:space="preserve"> DVA Comments at 2. Indiana Comments at 3, NASCIO Comments at 2, TXPSBP Comments at 2.</w:t>
      </w:r>
    </w:p>
  </w:footnote>
  <w:footnote w:id="32">
    <w:p w14:paraId="209FDEC7" w14:textId="6CF3F3FE" w:rsidR="00AA275F" w:rsidRDefault="00AA275F">
      <w:pPr>
        <w:pStyle w:val="FootnoteText"/>
      </w:pPr>
      <w:r>
        <w:rPr>
          <w:rStyle w:val="FootnoteReference"/>
        </w:rPr>
        <w:footnoteRef/>
      </w:r>
      <w:r>
        <w:t xml:space="preserve"> APCO Comments at 5, FirstNet Comments at 5, Illinois Comments at 5, Dr. Michael Myers Comments at 5.</w:t>
      </w:r>
    </w:p>
  </w:footnote>
  <w:footnote w:id="33">
    <w:p w14:paraId="6793551F" w14:textId="4EC554F8" w:rsidR="00AA275F" w:rsidRDefault="00AA275F">
      <w:pPr>
        <w:pStyle w:val="FootnoteText"/>
      </w:pPr>
      <w:r>
        <w:rPr>
          <w:rStyle w:val="FootnoteReference"/>
        </w:rPr>
        <w:footnoteRef/>
      </w:r>
      <w:r>
        <w:t xml:space="preserve"> TXPSBP Comments at 2, Florida Comments at 2, FNCGB Reply Comments at 2, SouthernLinc Reply Comments at 6.</w:t>
      </w:r>
    </w:p>
  </w:footnote>
  <w:footnote w:id="34">
    <w:p w14:paraId="64184430" w14:textId="5F76D832" w:rsidR="00AA275F" w:rsidRDefault="00AA275F">
      <w:pPr>
        <w:pStyle w:val="FootnoteText"/>
      </w:pPr>
      <w:r>
        <w:rPr>
          <w:rStyle w:val="FootnoteReference"/>
        </w:rPr>
        <w:footnoteRef/>
      </w:r>
      <w:r>
        <w:t xml:space="preserve"> Letter, dated June 14, 2017 from Alex Starr, Assistant Vice President – Senior Legal Counsel, AT&amp;T, to Marlene H. Dortch, Secretary, Federal Communications Commission, at 2 (filed June 14, 2017 in PS Docket 16-269) (AT&amp;T June 14 </w:t>
      </w:r>
      <w:r>
        <w:rPr>
          <w:i/>
        </w:rPr>
        <w:t>Ex Parte</w:t>
      </w:r>
      <w:r>
        <w:t xml:space="preserve">).  Letter, dated June 15, 2017 from Jeff Cohen, Chief Counsel, APCO International, to Marlene H. Dortch, Secretary, Federal Communications Commission, at 2 (filed June 15, 2017 in PS Docket 16-269) (APCO June 15 </w:t>
      </w:r>
      <w:r>
        <w:rPr>
          <w:i/>
        </w:rPr>
        <w:t>Ex Parte</w:t>
      </w:r>
      <w:r>
        <w:t xml:space="preserve">).  </w:t>
      </w:r>
    </w:p>
  </w:footnote>
  <w:footnote w:id="35">
    <w:p w14:paraId="273931C4" w14:textId="370A5D48" w:rsidR="00AA275F" w:rsidRDefault="00AA275F" w:rsidP="007661C1">
      <w:pPr>
        <w:pStyle w:val="FootnoteText"/>
      </w:pPr>
      <w:r>
        <w:rPr>
          <w:rStyle w:val="FootnoteReference"/>
        </w:rPr>
        <w:footnoteRef/>
      </w:r>
      <w:r>
        <w:t xml:space="preserve"> </w:t>
      </w:r>
      <w:r w:rsidRPr="00AE2161">
        <w:t xml:space="preserve">AT&amp;T </w:t>
      </w:r>
      <w:r>
        <w:t>June 14</w:t>
      </w:r>
      <w:r w:rsidRPr="00AE2161">
        <w:t xml:space="preserve"> </w:t>
      </w:r>
      <w:r w:rsidRPr="007661C1">
        <w:rPr>
          <w:i/>
        </w:rPr>
        <w:t>Ex Parte</w:t>
      </w:r>
      <w:r>
        <w:t xml:space="preserve"> at 2.</w:t>
      </w:r>
    </w:p>
  </w:footnote>
  <w:footnote w:id="36">
    <w:p w14:paraId="19011069" w14:textId="53321121" w:rsidR="00AA275F" w:rsidRDefault="00AA275F">
      <w:pPr>
        <w:pStyle w:val="FootnoteText"/>
      </w:pPr>
      <w:r>
        <w:rPr>
          <w:rStyle w:val="FootnoteReference"/>
        </w:rPr>
        <w:footnoteRef/>
      </w:r>
      <w:r>
        <w:t xml:space="preserve"> Nevada Comments at 2, Pennsylvania Comments at 3, FNCGB Comments at 3, Fairfax Comments at 4; </w:t>
      </w:r>
      <w:r>
        <w:rPr>
          <w:i/>
        </w:rPr>
        <w:t xml:space="preserve">but see </w:t>
      </w:r>
      <w:r>
        <w:t>TXPSBP Comments at 2 (arguing a decision must be filed in the docket).</w:t>
      </w:r>
    </w:p>
  </w:footnote>
  <w:footnote w:id="37">
    <w:p w14:paraId="4F8DE3DF" w14:textId="09A7EE4A" w:rsidR="00AA275F" w:rsidRDefault="00AA275F" w:rsidP="00C14583">
      <w:pPr>
        <w:pStyle w:val="FootnoteText"/>
      </w:pPr>
      <w:r>
        <w:rPr>
          <w:rStyle w:val="FootnoteReference"/>
        </w:rPr>
        <w:footnoteRef/>
      </w:r>
      <w:r>
        <w:t xml:space="preserve"> Letter, dated March 22, 2017 from Patrick Donovan, First Responder Network Authority to Marlene H Dortch, Secretary, Federal Communications Commission and “State Plans and Governor’s Decision”, Power Point presentation (filed March 22, 2017 in PS Docket 16-269) (FirstNet March 22 </w:t>
      </w:r>
      <w:r>
        <w:rPr>
          <w:i/>
        </w:rPr>
        <w:t>Ex Parte</w:t>
      </w:r>
      <w:r>
        <w:t xml:space="preserve">).  </w:t>
      </w:r>
    </w:p>
  </w:footnote>
  <w:footnote w:id="38">
    <w:p w14:paraId="41A8DA8E" w14:textId="0E683255" w:rsidR="00AA275F" w:rsidRDefault="00AA275F">
      <w:pPr>
        <w:pStyle w:val="FootnoteText"/>
      </w:pPr>
      <w:r>
        <w:rPr>
          <w:rStyle w:val="FootnoteReference"/>
        </w:rPr>
        <w:footnoteRef/>
      </w:r>
      <w:r>
        <w:t xml:space="preserve"> </w:t>
      </w:r>
      <w:r>
        <w:rPr>
          <w:i/>
        </w:rPr>
        <w:t>Id</w:t>
      </w:r>
      <w:r>
        <w:t xml:space="preserve">.  </w:t>
      </w:r>
    </w:p>
  </w:footnote>
  <w:footnote w:id="39">
    <w:p w14:paraId="6B29CB7F" w14:textId="53E66EA2" w:rsidR="00AA275F" w:rsidRPr="004B4F37" w:rsidRDefault="00AA275F">
      <w:pPr>
        <w:pStyle w:val="FootnoteText"/>
        <w:rPr>
          <w:i/>
        </w:rPr>
      </w:pPr>
      <w:r>
        <w:rPr>
          <w:rStyle w:val="FootnoteReference"/>
        </w:rPr>
        <w:footnoteRef/>
      </w:r>
      <w:r>
        <w:t xml:space="preserve"> </w:t>
      </w:r>
      <w:r>
        <w:rPr>
          <w:i/>
        </w:rPr>
        <w:t>Id.</w:t>
      </w:r>
    </w:p>
  </w:footnote>
  <w:footnote w:id="40">
    <w:p w14:paraId="78D116D5" w14:textId="0D8E38CB" w:rsidR="00AA275F" w:rsidRDefault="00AA275F">
      <w:pPr>
        <w:pStyle w:val="FootnoteText"/>
      </w:pPr>
      <w:r>
        <w:rPr>
          <w:rStyle w:val="FootnoteReference"/>
        </w:rPr>
        <w:footnoteRef/>
      </w:r>
      <w:r>
        <w:t xml:space="preserve"> </w:t>
      </w:r>
      <w:r w:rsidRPr="004226BB">
        <w:t>Pub</w:t>
      </w:r>
      <w:r>
        <w:t xml:space="preserve">lic Safety Spectrum Act, §6203(e)(2)-(3).  If the Governor elects to opt in, the statute does not require notification. </w:t>
      </w:r>
    </w:p>
  </w:footnote>
  <w:footnote w:id="41">
    <w:p w14:paraId="4C9FEAE6" w14:textId="5B398746" w:rsidR="00AA275F" w:rsidRDefault="00AA275F">
      <w:pPr>
        <w:pStyle w:val="FootnoteText"/>
      </w:pPr>
      <w:r>
        <w:rPr>
          <w:rStyle w:val="FootnoteReference"/>
        </w:rPr>
        <w:footnoteRef/>
      </w:r>
      <w:r>
        <w:t xml:space="preserve"> There is no prohibition or penalty for filing an opt-out election prior to the 90-day deadline.</w:t>
      </w:r>
    </w:p>
  </w:footnote>
  <w:footnote w:id="42">
    <w:p w14:paraId="3934CD18" w14:textId="60052CF0" w:rsidR="00AA275F" w:rsidRPr="00560BD9" w:rsidRDefault="00AA275F">
      <w:pPr>
        <w:pStyle w:val="FootnoteText"/>
      </w:pPr>
      <w:r>
        <w:rPr>
          <w:rStyle w:val="FootnoteReference"/>
        </w:rPr>
        <w:footnoteRef/>
      </w:r>
      <w:r>
        <w:t xml:space="preserve"> FNCGB Reply Comment at 2; </w:t>
      </w:r>
      <w:r>
        <w:rPr>
          <w:i/>
        </w:rPr>
        <w:t>see also</w:t>
      </w:r>
      <w:r>
        <w:t xml:space="preserve">, SouthernLinc Comments at 6 (arguing that simply communicating the Governor’s decision via designee does not in any way mean that the Governor had not made the relevant decision or initiated the communication with the Commission). </w:t>
      </w:r>
      <w:r>
        <w:rPr>
          <w:i/>
        </w:rPr>
        <w:t>But see</w:t>
      </w:r>
      <w:r>
        <w:t xml:space="preserve"> FirstNet Comments at 5 (arguing that only Governor may provide opt-out notice); APCO Comments at 5 (asserting only the Governor may provide notice, which must be made directly to the Chairman of the Commission).  </w:t>
      </w:r>
    </w:p>
  </w:footnote>
  <w:footnote w:id="43">
    <w:p w14:paraId="20BD3661" w14:textId="1360C60F" w:rsidR="00AA275F" w:rsidRDefault="00AA275F" w:rsidP="00F80642">
      <w:pPr>
        <w:pStyle w:val="FootnoteText"/>
      </w:pPr>
      <w:r>
        <w:rPr>
          <w:rStyle w:val="FootnoteReference"/>
        </w:rPr>
        <w:footnoteRef/>
      </w:r>
      <w:r>
        <w:t xml:space="preserve"> </w:t>
      </w:r>
      <w:r>
        <w:rPr>
          <w:i/>
        </w:rPr>
        <w:t>NPRM</w:t>
      </w:r>
      <w:r>
        <w:t>, 31 FCC Rcd at 10270, para. 50.</w:t>
      </w:r>
    </w:p>
  </w:footnote>
  <w:footnote w:id="44">
    <w:p w14:paraId="34DD2170" w14:textId="1EC441F9" w:rsidR="00AA275F" w:rsidRDefault="00AA275F" w:rsidP="006072D0">
      <w:pPr>
        <w:pStyle w:val="FootnoteText"/>
      </w:pPr>
      <w:r>
        <w:rPr>
          <w:rStyle w:val="FootnoteReference"/>
        </w:rPr>
        <w:footnoteRef/>
      </w:r>
      <w:r>
        <w:t xml:space="preserve"> </w:t>
      </w:r>
      <w:r>
        <w:rPr>
          <w:i/>
        </w:rPr>
        <w:t>Id.</w:t>
      </w:r>
      <w:r>
        <w:t xml:space="preserve"> at para. 51.</w:t>
      </w:r>
    </w:p>
  </w:footnote>
  <w:footnote w:id="45">
    <w:p w14:paraId="2EDA0E87" w14:textId="77207D1E" w:rsidR="00AA275F" w:rsidRDefault="00AA275F">
      <w:pPr>
        <w:pStyle w:val="FootnoteText"/>
      </w:pPr>
      <w:r>
        <w:rPr>
          <w:rStyle w:val="FootnoteReference"/>
        </w:rPr>
        <w:footnoteRef/>
      </w:r>
      <w:r>
        <w:t xml:space="preserve"> </w:t>
      </w:r>
      <w:r>
        <w:rPr>
          <w:i/>
        </w:rPr>
        <w:t>Id</w:t>
      </w:r>
      <w:r>
        <w:t>.</w:t>
      </w:r>
    </w:p>
  </w:footnote>
  <w:footnote w:id="46">
    <w:p w14:paraId="52D4301E" w14:textId="5DA7AB1E" w:rsidR="00AA275F" w:rsidRPr="00AF1FAA" w:rsidRDefault="00AA275F">
      <w:pPr>
        <w:pStyle w:val="FootnoteText"/>
        <w:rPr>
          <w:i/>
        </w:rPr>
      </w:pPr>
      <w:r>
        <w:rPr>
          <w:rStyle w:val="FootnoteReference"/>
        </w:rPr>
        <w:footnoteRef/>
      </w:r>
      <w:r>
        <w:t xml:space="preserve"> </w:t>
      </w:r>
      <w:r>
        <w:rPr>
          <w:i/>
        </w:rPr>
        <w:t xml:space="preserve">Id. </w:t>
      </w:r>
      <w:r w:rsidRPr="00AF1FAA">
        <w:t>at 10271, para. 52.</w:t>
      </w:r>
    </w:p>
  </w:footnote>
  <w:footnote w:id="47">
    <w:p w14:paraId="354FD9CD" w14:textId="0FF48869" w:rsidR="00AA275F" w:rsidRDefault="00AA275F">
      <w:pPr>
        <w:pStyle w:val="FootnoteText"/>
      </w:pPr>
      <w:r>
        <w:rPr>
          <w:rStyle w:val="FootnoteReference"/>
        </w:rPr>
        <w:footnoteRef/>
      </w:r>
      <w:r>
        <w:t xml:space="preserve"> Alabama Comments at 5-6; FNCGB Comments at 4-5; Florida Comments at 3.</w:t>
      </w:r>
    </w:p>
  </w:footnote>
  <w:footnote w:id="48">
    <w:p w14:paraId="0E731432" w14:textId="292CC500" w:rsidR="00AA275F" w:rsidRPr="00EF2509" w:rsidRDefault="00AA275F" w:rsidP="0059111C">
      <w:pPr>
        <w:pStyle w:val="FootnoteText"/>
      </w:pPr>
      <w:r>
        <w:rPr>
          <w:rStyle w:val="FootnoteReference"/>
        </w:rPr>
        <w:footnoteRef/>
      </w:r>
      <w:r>
        <w:t xml:space="preserve"> APCO Comments at 5; FirstNet Comments at 6; Illinois Comments at 6; Indiana Comments at 3-4.</w:t>
      </w:r>
    </w:p>
  </w:footnote>
  <w:footnote w:id="49">
    <w:p w14:paraId="08A9F8EB" w14:textId="358E5D94" w:rsidR="00AA275F" w:rsidRDefault="00AA275F">
      <w:pPr>
        <w:pStyle w:val="FootnoteText"/>
      </w:pPr>
      <w:r>
        <w:rPr>
          <w:rStyle w:val="FootnoteReference"/>
        </w:rPr>
        <w:footnoteRef/>
      </w:r>
      <w:r>
        <w:t xml:space="preserve"> FNCGB Comments at 4-5; Florida Comments at 3.</w:t>
      </w:r>
    </w:p>
  </w:footnote>
  <w:footnote w:id="50">
    <w:p w14:paraId="39E35E8A" w14:textId="4FC5CF54" w:rsidR="00AA275F" w:rsidRDefault="00AA275F">
      <w:pPr>
        <w:pStyle w:val="FootnoteText"/>
      </w:pPr>
      <w:r>
        <w:rPr>
          <w:rStyle w:val="FootnoteReference"/>
        </w:rPr>
        <w:footnoteRef/>
      </w:r>
      <w:r>
        <w:t xml:space="preserve"> FirstNet Comments at 6.</w:t>
      </w:r>
    </w:p>
  </w:footnote>
  <w:footnote w:id="51">
    <w:p w14:paraId="0050B252" w14:textId="31A8C2AB" w:rsidR="00AA275F" w:rsidRPr="006133FD" w:rsidRDefault="00AA275F">
      <w:pPr>
        <w:pStyle w:val="FootnoteText"/>
      </w:pPr>
      <w:r>
        <w:rPr>
          <w:rStyle w:val="FootnoteReference"/>
        </w:rPr>
        <w:footnoteRef/>
      </w:r>
      <w:r>
        <w:t xml:space="preserve"> APCO Comments at 5; Illinois Comments at 6-7. </w:t>
      </w:r>
    </w:p>
  </w:footnote>
  <w:footnote w:id="52">
    <w:p w14:paraId="2E2BB589" w14:textId="7CB19D41" w:rsidR="00AA275F" w:rsidRDefault="00AA275F">
      <w:pPr>
        <w:pStyle w:val="FootnoteText"/>
      </w:pPr>
      <w:r>
        <w:rPr>
          <w:rStyle w:val="FootnoteReference"/>
        </w:rPr>
        <w:footnoteRef/>
      </w:r>
      <w:r>
        <w:t xml:space="preserve"> Illinois Comments at 7.</w:t>
      </w:r>
    </w:p>
  </w:footnote>
  <w:footnote w:id="53">
    <w:p w14:paraId="4BFAD153" w14:textId="3F1DDD6F" w:rsidR="00AA275F" w:rsidRDefault="00AA275F" w:rsidP="007255C4">
      <w:pPr>
        <w:pStyle w:val="FootnoteText"/>
      </w:pPr>
      <w:r>
        <w:rPr>
          <w:rStyle w:val="FootnoteReference"/>
        </w:rPr>
        <w:footnoteRef/>
      </w:r>
      <w:r>
        <w:t xml:space="preserve"> DVA Comments at 3;</w:t>
      </w:r>
      <w:r w:rsidRPr="001541CD">
        <w:rPr>
          <w:i/>
        </w:rPr>
        <w:t xml:space="preserve"> </w:t>
      </w:r>
      <w:r>
        <w:rPr>
          <w:i/>
        </w:rPr>
        <w:t xml:space="preserve">see also </w:t>
      </w:r>
      <w:r>
        <w:t>Florida Comments at 5 (arguing that States should be granted reasonable time extensions, on a case-by-case basis, when circumstances hinder the timely completion of the RFP).</w:t>
      </w:r>
    </w:p>
  </w:footnote>
  <w:footnote w:id="54">
    <w:p w14:paraId="2191C561" w14:textId="21CE777C" w:rsidR="00AA275F" w:rsidRDefault="00AA275F">
      <w:pPr>
        <w:pStyle w:val="FootnoteText"/>
      </w:pPr>
      <w:r>
        <w:rPr>
          <w:rStyle w:val="FootnoteReference"/>
        </w:rPr>
        <w:footnoteRef/>
      </w:r>
      <w:r>
        <w:t xml:space="preserve"> Fairfax Comments at 5; FirstNet Comments at 7; NASCIO Comments at 2; Nevada Comments at 3; Pennsylvania Comments at 7. </w:t>
      </w:r>
    </w:p>
  </w:footnote>
  <w:footnote w:id="55">
    <w:p w14:paraId="0514F4F6" w14:textId="0D902510" w:rsidR="00AA275F" w:rsidRPr="00661E05" w:rsidRDefault="00AA275F">
      <w:pPr>
        <w:pStyle w:val="FootnoteText"/>
      </w:pPr>
      <w:r>
        <w:rPr>
          <w:rStyle w:val="FootnoteReference"/>
        </w:rPr>
        <w:footnoteRef/>
      </w:r>
      <w:r>
        <w:t xml:space="preserve"> </w:t>
      </w:r>
      <w:r>
        <w:rPr>
          <w:i/>
        </w:rPr>
        <w:t xml:space="preserve">See </w:t>
      </w:r>
      <w:r>
        <w:t xml:space="preserve">TXPSBP Comments at 3 (arguing if 180-days is set as a deadline, waivers should be available); Fairfax Comments at 5 (noting no statutory timeframe is required but still supporting the 180-day timeframe); Pennsylvania Comments at 4-5 (also noting no statutory timeframe for submission and supporting the 180-day timeframe).  </w:t>
      </w:r>
    </w:p>
  </w:footnote>
  <w:footnote w:id="56">
    <w:p w14:paraId="12207572" w14:textId="77777777" w:rsidR="00AA275F" w:rsidRDefault="00AA275F" w:rsidP="005F4907">
      <w:pPr>
        <w:pStyle w:val="FootnoteText"/>
      </w:pPr>
      <w:r>
        <w:rPr>
          <w:rStyle w:val="FootnoteReference"/>
        </w:rPr>
        <w:footnoteRef/>
      </w:r>
      <w:r>
        <w:t xml:space="preserve"> APCO Comments at 2</w:t>
      </w:r>
    </w:p>
  </w:footnote>
  <w:footnote w:id="57">
    <w:p w14:paraId="0246488C" w14:textId="3D027EDD" w:rsidR="00AA275F" w:rsidRDefault="00AA275F" w:rsidP="005F4907">
      <w:pPr>
        <w:pStyle w:val="FootnoteText"/>
      </w:pPr>
      <w:r>
        <w:rPr>
          <w:rStyle w:val="FootnoteReference"/>
        </w:rPr>
        <w:footnoteRef/>
      </w:r>
      <w:r>
        <w:t xml:space="preserve"> Attachment to Letter, dated May 22, 2017 from Joseph P. Marx, Assistant Vice President, AT&amp;T Services Inc., to Marlene H. Dortch, Secretary, Federal Communications Commission, at 1-2 (filed May 22, 2017 in PS Docket 16-269) (AT&amp;T May 22 </w:t>
      </w:r>
      <w:r>
        <w:rPr>
          <w:i/>
        </w:rPr>
        <w:t>Ex Parte</w:t>
      </w:r>
      <w:r>
        <w:t xml:space="preserve">).  </w:t>
      </w:r>
    </w:p>
  </w:footnote>
  <w:footnote w:id="58">
    <w:p w14:paraId="0A3373BA" w14:textId="19EFFAF6" w:rsidR="00AA275F" w:rsidRDefault="00AA275F">
      <w:pPr>
        <w:pStyle w:val="FootnoteText"/>
      </w:pPr>
      <w:r>
        <w:rPr>
          <w:rStyle w:val="FootnoteReference"/>
        </w:rPr>
        <w:footnoteRef/>
      </w:r>
      <w:r>
        <w:t xml:space="preserve"> Public Safety Spectrum Act, § 6302(e)(1).</w:t>
      </w:r>
    </w:p>
  </w:footnote>
  <w:footnote w:id="59">
    <w:p w14:paraId="3C2EC099" w14:textId="760054FD" w:rsidR="00AA275F" w:rsidRDefault="00AA275F">
      <w:pPr>
        <w:pStyle w:val="FootnoteText"/>
      </w:pPr>
      <w:r>
        <w:rPr>
          <w:rStyle w:val="FootnoteReference"/>
        </w:rPr>
        <w:footnoteRef/>
      </w:r>
      <w:r>
        <w:t xml:space="preserve"> </w:t>
      </w:r>
      <w:r w:rsidRPr="00AE2161">
        <w:t xml:space="preserve">Letter, dated </w:t>
      </w:r>
      <w:r>
        <w:t>June 15</w:t>
      </w:r>
      <w:r w:rsidRPr="00AE2161">
        <w:t xml:space="preserve">, 2017 from </w:t>
      </w:r>
      <w:r>
        <w:t>John T. Nakahata, Counsel to Rivada Networks,</w:t>
      </w:r>
      <w:r w:rsidRPr="00AE2161">
        <w:t xml:space="preserve"> to Marlene H</w:t>
      </w:r>
      <w:r>
        <w:t>.</w:t>
      </w:r>
      <w:r w:rsidRPr="00AE2161">
        <w:t xml:space="preserve"> Dortch, Secretary, Federal Communications Commission at 1-2 (filed </w:t>
      </w:r>
      <w:r>
        <w:t>June</w:t>
      </w:r>
      <w:r w:rsidRPr="00AE2161">
        <w:t xml:space="preserve"> </w:t>
      </w:r>
      <w:r>
        <w:t>15</w:t>
      </w:r>
      <w:r w:rsidRPr="00AE2161">
        <w:t>, 2017 in PS Docket 16-269) (</w:t>
      </w:r>
      <w:r>
        <w:t>Rivada</w:t>
      </w:r>
      <w:r w:rsidRPr="00AE2161">
        <w:t xml:space="preserve"> </w:t>
      </w:r>
      <w:r>
        <w:t>June 15</w:t>
      </w:r>
      <w:r w:rsidRPr="00AE2161">
        <w:t xml:space="preserve"> </w:t>
      </w:r>
      <w:r w:rsidRPr="007661C1">
        <w:rPr>
          <w:i/>
        </w:rPr>
        <w:t>Ex Parte</w:t>
      </w:r>
      <w:r w:rsidRPr="00AE2161">
        <w:t>)</w:t>
      </w:r>
      <w:r>
        <w:t xml:space="preserve"> at 2.</w:t>
      </w:r>
    </w:p>
  </w:footnote>
  <w:footnote w:id="60">
    <w:p w14:paraId="71819A42" w14:textId="59E45784" w:rsidR="00AA275F" w:rsidRDefault="00AA275F">
      <w:pPr>
        <w:pStyle w:val="FootnoteText"/>
      </w:pPr>
      <w:r>
        <w:rPr>
          <w:rStyle w:val="FootnoteReference"/>
        </w:rPr>
        <w:footnoteRef/>
      </w:r>
      <w:r>
        <w:t xml:space="preserve"> FNCGB Comments at 5, Florida Comments at 4.</w:t>
      </w:r>
    </w:p>
  </w:footnote>
  <w:footnote w:id="61">
    <w:p w14:paraId="0138A3C8" w14:textId="06E02A86" w:rsidR="00AA275F" w:rsidRPr="00CF46F7" w:rsidRDefault="00AA275F">
      <w:pPr>
        <w:pStyle w:val="FootnoteText"/>
      </w:pPr>
      <w:r>
        <w:rPr>
          <w:rStyle w:val="FootnoteReference"/>
        </w:rPr>
        <w:footnoteRef/>
      </w:r>
      <w:r>
        <w:t xml:space="preserve"> </w:t>
      </w:r>
      <w:r>
        <w:rPr>
          <w:i/>
        </w:rPr>
        <w:t>See, e.g.</w:t>
      </w:r>
      <w:r>
        <w:t>, Alabama Comments at 6 (arguing states should have the ability to dispute a rejected alternative plan and be afforded the ability to cure).</w:t>
      </w:r>
    </w:p>
  </w:footnote>
  <w:footnote w:id="62">
    <w:p w14:paraId="2F4C0FC9" w14:textId="7EB40B06" w:rsidR="00AA275F" w:rsidRPr="001D5383" w:rsidRDefault="00AA275F" w:rsidP="001D5383">
      <w:pPr>
        <w:pStyle w:val="FootnoteText"/>
      </w:pPr>
      <w:r>
        <w:rPr>
          <w:rStyle w:val="FootnoteReference"/>
        </w:rPr>
        <w:footnoteRef/>
      </w:r>
      <w:r>
        <w:t xml:space="preserve"> </w:t>
      </w:r>
      <w:r>
        <w:rPr>
          <w:i/>
        </w:rPr>
        <w:t>NPRM</w:t>
      </w:r>
      <w:r>
        <w:t xml:space="preserve">, 31 FCC Rcd at 10271, para. 53. </w:t>
      </w:r>
      <w:r w:rsidRPr="001D5383">
        <w:t>Specifically, Section 6302(e)(3)(C)(i) states that states making a timely opt-out decision shall:</w:t>
      </w:r>
    </w:p>
    <w:p w14:paraId="14064D4A" w14:textId="77777777" w:rsidR="00AA275F" w:rsidRPr="001D5383" w:rsidRDefault="00AA275F" w:rsidP="001D5383">
      <w:pPr>
        <w:pStyle w:val="FootnoteText"/>
      </w:pPr>
      <w:r w:rsidRPr="001D5383">
        <w:t xml:space="preserve">…submit an alternative plan for the construction, maintenance, operation, and improvements of the radio access network within the State to the Commission, and such plan shall demonstrate— </w:t>
      </w:r>
    </w:p>
    <w:p w14:paraId="50CFDD5C" w14:textId="77777777" w:rsidR="00AA275F" w:rsidRPr="001D5383" w:rsidRDefault="00AA275F" w:rsidP="001D5383">
      <w:pPr>
        <w:pStyle w:val="FootnoteText"/>
        <w:numPr>
          <w:ilvl w:val="0"/>
          <w:numId w:val="9"/>
        </w:numPr>
      </w:pPr>
      <w:r w:rsidRPr="001D5383">
        <w:t xml:space="preserve">that the State will be in compliance with the minimum technical interoperability requirements developed under section 6203; and </w:t>
      </w:r>
    </w:p>
    <w:p w14:paraId="4FA762C0" w14:textId="4F0706B2" w:rsidR="00AA275F" w:rsidRDefault="00AA275F" w:rsidP="001D5383">
      <w:pPr>
        <w:pStyle w:val="FootnoteText"/>
        <w:numPr>
          <w:ilvl w:val="0"/>
          <w:numId w:val="9"/>
        </w:numPr>
      </w:pPr>
      <w:r w:rsidRPr="001D5383">
        <w:t>interoperability with the nationwide public safety broadband network.</w:t>
      </w:r>
      <w:r>
        <w:t xml:space="preserve"> </w:t>
      </w:r>
    </w:p>
    <w:p w14:paraId="1EE532F6" w14:textId="47081AA0" w:rsidR="00AA275F" w:rsidRPr="00B05EE7" w:rsidRDefault="00AA275F" w:rsidP="00F35E55">
      <w:pPr>
        <w:pStyle w:val="FootnoteText"/>
        <w:ind w:left="90"/>
      </w:pPr>
      <w:r>
        <w:t>Public Safety Spectrum Act, § 6302(e)(3)(C)(i).</w:t>
      </w:r>
    </w:p>
  </w:footnote>
  <w:footnote w:id="63">
    <w:p w14:paraId="238B4124" w14:textId="50BDA304" w:rsidR="00AA275F" w:rsidRPr="00270852" w:rsidRDefault="00AA275F">
      <w:pPr>
        <w:pStyle w:val="FootnoteText"/>
        <w:rPr>
          <w:i/>
        </w:rPr>
      </w:pPr>
      <w:r>
        <w:rPr>
          <w:rStyle w:val="FootnoteReference"/>
        </w:rPr>
        <w:footnoteRef/>
      </w:r>
      <w:r w:rsidRPr="00B05EE7">
        <w:rPr>
          <w:i/>
        </w:rPr>
        <w:t>NPRM</w:t>
      </w:r>
      <w:r>
        <w:t>, 31 FCC Rcd at 10271, para. 53</w:t>
      </w:r>
      <w:r>
        <w:rPr>
          <w:i/>
        </w:rPr>
        <w:t>.</w:t>
      </w:r>
    </w:p>
  </w:footnote>
  <w:footnote w:id="64">
    <w:p w14:paraId="33A3CDF3" w14:textId="60E79879" w:rsidR="00AA275F" w:rsidRDefault="00AA275F">
      <w:pPr>
        <w:pStyle w:val="FootnoteText"/>
      </w:pPr>
      <w:r>
        <w:rPr>
          <w:rStyle w:val="FootnoteReference"/>
        </w:rPr>
        <w:footnoteRef/>
      </w:r>
      <w:r>
        <w:t xml:space="preserve"> DVA Comments at 4-5; Fairfax Comments at 6; Pennsylvania Comments at 6.</w:t>
      </w:r>
    </w:p>
  </w:footnote>
  <w:footnote w:id="65">
    <w:p w14:paraId="3C533674" w14:textId="7B103654" w:rsidR="00AA275F" w:rsidRPr="00810591" w:rsidRDefault="00AA275F">
      <w:pPr>
        <w:pStyle w:val="FootnoteText"/>
      </w:pPr>
      <w:r>
        <w:rPr>
          <w:rStyle w:val="FootnoteReference"/>
        </w:rPr>
        <w:footnoteRef/>
      </w:r>
      <w:r>
        <w:t xml:space="preserve"> </w:t>
      </w:r>
      <w:r>
        <w:rPr>
          <w:i/>
        </w:rPr>
        <w:t>See, e.g.</w:t>
      </w:r>
      <w:r>
        <w:t xml:space="preserve">, TXPSBP Comments at 4 (asserting a standard format should not be necessary provided it is clear what elements should be included).  </w:t>
      </w:r>
    </w:p>
  </w:footnote>
  <w:footnote w:id="66">
    <w:p w14:paraId="352AABBB" w14:textId="7948C455" w:rsidR="00AA275F" w:rsidRDefault="00AA275F">
      <w:pPr>
        <w:pStyle w:val="FootnoteText"/>
      </w:pPr>
      <w:r>
        <w:rPr>
          <w:rStyle w:val="FootnoteReference"/>
        </w:rPr>
        <w:footnoteRef/>
      </w:r>
      <w:r>
        <w:t xml:space="preserve"> We will discuss the specific requirements for these showings below.</w:t>
      </w:r>
    </w:p>
  </w:footnote>
  <w:footnote w:id="67">
    <w:p w14:paraId="7996FD0A" w14:textId="6E684CF8" w:rsidR="00AA275F" w:rsidRPr="00477D8B" w:rsidRDefault="00AA275F">
      <w:pPr>
        <w:pStyle w:val="FootnoteText"/>
      </w:pPr>
      <w:r>
        <w:rPr>
          <w:rStyle w:val="FootnoteReference"/>
        </w:rPr>
        <w:footnoteRef/>
      </w:r>
      <w:r>
        <w:t xml:space="preserve"> </w:t>
      </w:r>
      <w:r>
        <w:rPr>
          <w:i/>
        </w:rPr>
        <w:t>NPRM,</w:t>
      </w:r>
      <w:r>
        <w:t xml:space="preserve"> 31 FCC Rcd at 10272, para. 54.</w:t>
      </w:r>
    </w:p>
  </w:footnote>
  <w:footnote w:id="68">
    <w:p w14:paraId="6737D5B9" w14:textId="06FE1B2E" w:rsidR="00AA275F" w:rsidRDefault="00AA275F" w:rsidP="00EB61C8">
      <w:pPr>
        <w:pStyle w:val="FootnoteText"/>
        <w:spacing w:after="0"/>
        <w:rPr>
          <w:i/>
        </w:rPr>
      </w:pPr>
      <w:r>
        <w:rPr>
          <w:rStyle w:val="FootnoteReference"/>
        </w:rPr>
        <w:footnoteRef/>
      </w:r>
      <w:r>
        <w:t xml:space="preserve"> </w:t>
      </w:r>
      <w:r>
        <w:rPr>
          <w:i/>
        </w:rPr>
        <w:t>Id.</w:t>
      </w:r>
    </w:p>
    <w:p w14:paraId="054F5245" w14:textId="77777777" w:rsidR="00AA275F" w:rsidRPr="00E51158" w:rsidRDefault="00AA275F" w:rsidP="00EB61C8">
      <w:pPr>
        <w:pStyle w:val="FootnoteText"/>
        <w:spacing w:after="0"/>
      </w:pPr>
    </w:p>
  </w:footnote>
  <w:footnote w:id="69">
    <w:p w14:paraId="635C7053" w14:textId="0D010E21" w:rsidR="00AA275F" w:rsidRPr="00E9226F" w:rsidRDefault="00AA275F" w:rsidP="00E90896">
      <w:pPr>
        <w:pStyle w:val="FootnoteText"/>
      </w:pPr>
      <w:r>
        <w:rPr>
          <w:rStyle w:val="FootnoteReference"/>
        </w:rPr>
        <w:footnoteRef/>
      </w:r>
      <w:r>
        <w:t xml:space="preserve"> </w:t>
      </w:r>
      <w:r>
        <w:rPr>
          <w:i/>
        </w:rPr>
        <w:t>Id.</w:t>
      </w:r>
      <w:r>
        <w:t xml:space="preserve"> at para 53.</w:t>
      </w:r>
    </w:p>
  </w:footnote>
  <w:footnote w:id="70">
    <w:p w14:paraId="536E8B9D" w14:textId="77777777" w:rsidR="00AA275F" w:rsidRPr="00A55AD0" w:rsidRDefault="00AA275F" w:rsidP="00D4536B">
      <w:pPr>
        <w:pStyle w:val="FootnoteText"/>
      </w:pPr>
      <w:r>
        <w:rPr>
          <w:rStyle w:val="FootnoteReference"/>
        </w:rPr>
        <w:footnoteRef/>
      </w:r>
      <w:r>
        <w:t xml:space="preserve"> </w:t>
      </w:r>
      <w:r>
        <w:rPr>
          <w:i/>
        </w:rPr>
        <w:t xml:space="preserve">Id. </w:t>
      </w:r>
      <w:r>
        <w:t>at 10273, para. 59.</w:t>
      </w:r>
    </w:p>
  </w:footnote>
  <w:footnote w:id="71">
    <w:p w14:paraId="2A653575" w14:textId="24C86145" w:rsidR="00AA275F" w:rsidRDefault="00AA275F" w:rsidP="00EB61C8">
      <w:pPr>
        <w:pStyle w:val="FootnoteText"/>
        <w:spacing w:after="0"/>
      </w:pPr>
      <w:r>
        <w:rPr>
          <w:rStyle w:val="FootnoteReference"/>
        </w:rPr>
        <w:footnoteRef/>
      </w:r>
      <w:r>
        <w:t xml:space="preserve"> Alabama Comments at 7, Illinois Comments at 8.  APCO and FirstNet believe access should be extremely limited.  FirstNet Comments at 8, APCO Comments at 6-7.</w:t>
      </w:r>
    </w:p>
  </w:footnote>
  <w:footnote w:id="72">
    <w:p w14:paraId="02D20D4A" w14:textId="635C091F" w:rsidR="00AA275F" w:rsidRDefault="00AA275F">
      <w:pPr>
        <w:pStyle w:val="FootnoteText"/>
      </w:pPr>
      <w:r>
        <w:rPr>
          <w:rStyle w:val="FootnoteReference"/>
        </w:rPr>
        <w:footnoteRef/>
      </w:r>
      <w:r>
        <w:t xml:space="preserve"> DVA Comments at 6, Florida Comments at 7.</w:t>
      </w:r>
    </w:p>
  </w:footnote>
  <w:footnote w:id="73">
    <w:p w14:paraId="572BCFA8" w14:textId="0177E75D" w:rsidR="00AA275F" w:rsidRDefault="00AA275F">
      <w:pPr>
        <w:pStyle w:val="FootnoteText"/>
      </w:pPr>
      <w:r>
        <w:rPr>
          <w:rStyle w:val="FootnoteReference"/>
        </w:rPr>
        <w:footnoteRef/>
      </w:r>
      <w:r>
        <w:t xml:space="preserve"> DVA Comments at 5, Indiana Comments at 5, NASCIO Comments at 3.  </w:t>
      </w:r>
    </w:p>
  </w:footnote>
  <w:footnote w:id="74">
    <w:p w14:paraId="78B83333" w14:textId="05407CA2" w:rsidR="00AA275F" w:rsidRDefault="00AA275F">
      <w:pPr>
        <w:pStyle w:val="FootnoteText"/>
      </w:pPr>
      <w:r>
        <w:rPr>
          <w:rStyle w:val="FootnoteReference"/>
        </w:rPr>
        <w:footnoteRef/>
      </w:r>
      <w:r>
        <w:t xml:space="preserve"> APCO Comments at 7, Florida Comments at 5. </w:t>
      </w:r>
      <w:r>
        <w:rPr>
          <w:i/>
        </w:rPr>
        <w:t>But see</w:t>
      </w:r>
      <w:r>
        <w:t xml:space="preserve"> SouthernLinc Comments at 12 (arguing that the Commission</w:t>
      </w:r>
      <w:r w:rsidRPr="003C3C7B">
        <w:t xml:space="preserve"> should protect the proprietary and confidential information through the use of protective orders comparable to those implemented in merger proceedings</w:t>
      </w:r>
      <w:r>
        <w:t>).</w:t>
      </w:r>
    </w:p>
  </w:footnote>
  <w:footnote w:id="75">
    <w:p w14:paraId="35EE97F0" w14:textId="43BE74EB" w:rsidR="00AA275F" w:rsidRDefault="00AA275F">
      <w:pPr>
        <w:pStyle w:val="FootnoteText"/>
      </w:pPr>
      <w:r>
        <w:rPr>
          <w:rStyle w:val="FootnoteReference"/>
        </w:rPr>
        <w:footnoteRef/>
      </w:r>
      <w:r>
        <w:t xml:space="preserve"> Stephen Whitaker Comments at 3, Dr. Michael Myers Comments at 11.</w:t>
      </w:r>
    </w:p>
  </w:footnote>
  <w:footnote w:id="76">
    <w:p w14:paraId="4E528C02" w14:textId="2D99FBE6" w:rsidR="00AA275F" w:rsidRDefault="00AA275F">
      <w:pPr>
        <w:pStyle w:val="FootnoteText"/>
      </w:pPr>
      <w:r>
        <w:rPr>
          <w:rStyle w:val="FootnoteReference"/>
        </w:rPr>
        <w:footnoteRef/>
      </w:r>
      <w:r>
        <w:t xml:space="preserve"> Illinois Comments at 9, FirstNet Comments at 7 (asserting there is no need for the Commission’s decision to involve any entity other than the FCC, the opt-out state/territory, and FirstNet).</w:t>
      </w:r>
    </w:p>
  </w:footnote>
  <w:footnote w:id="77">
    <w:p w14:paraId="760EC936" w14:textId="641E3140" w:rsidR="00AA275F" w:rsidRDefault="00AA275F">
      <w:pPr>
        <w:pStyle w:val="FootnoteText"/>
      </w:pPr>
      <w:r>
        <w:rPr>
          <w:rStyle w:val="FootnoteReference"/>
        </w:rPr>
        <w:footnoteRef/>
      </w:r>
      <w:r>
        <w:t xml:space="preserve"> APCO Comments at 6.</w:t>
      </w:r>
    </w:p>
  </w:footnote>
  <w:footnote w:id="78">
    <w:p w14:paraId="3AE61C84" w14:textId="7C87D2C3" w:rsidR="00AA275F" w:rsidRDefault="00AA275F">
      <w:pPr>
        <w:pStyle w:val="FootnoteText"/>
      </w:pPr>
      <w:r>
        <w:rPr>
          <w:rStyle w:val="FootnoteReference"/>
        </w:rPr>
        <w:footnoteRef/>
      </w:r>
      <w:r>
        <w:t xml:space="preserve"> Nevada Comments at 6; Fairfax Comments at 7.</w:t>
      </w:r>
    </w:p>
  </w:footnote>
  <w:footnote w:id="79">
    <w:p w14:paraId="12725117" w14:textId="01AD8DB0" w:rsidR="00AA275F" w:rsidRDefault="00AA275F" w:rsidP="00695364">
      <w:pPr>
        <w:pStyle w:val="FootnoteText"/>
      </w:pPr>
      <w:r>
        <w:rPr>
          <w:rStyle w:val="FootnoteReference"/>
        </w:rPr>
        <w:footnoteRef/>
      </w:r>
      <w:r>
        <w:t xml:space="preserve"> APCO Comments at 5; FirstNet Reply Comments at 6. </w:t>
      </w:r>
    </w:p>
  </w:footnote>
  <w:footnote w:id="80">
    <w:p w14:paraId="469DA32B" w14:textId="68162BDB" w:rsidR="00AA275F" w:rsidRDefault="00AA275F" w:rsidP="00695364">
      <w:pPr>
        <w:pStyle w:val="FootnoteText"/>
      </w:pPr>
      <w:r>
        <w:rPr>
          <w:rStyle w:val="FootnoteReference"/>
        </w:rPr>
        <w:footnoteRef/>
      </w:r>
      <w:r>
        <w:t xml:space="preserve"> Alabama Comments at 6; FNCGB Comments at 5, 8; TXPSBP Comments at 4.</w:t>
      </w:r>
    </w:p>
  </w:footnote>
  <w:footnote w:id="81">
    <w:p w14:paraId="288981DD" w14:textId="718ED672" w:rsidR="00AA275F" w:rsidRDefault="00AA275F" w:rsidP="00695364">
      <w:pPr>
        <w:pStyle w:val="FootnoteText"/>
      </w:pPr>
      <w:r>
        <w:rPr>
          <w:rStyle w:val="FootnoteReference"/>
        </w:rPr>
        <w:footnoteRef/>
      </w:r>
      <w:r>
        <w:t xml:space="preserve"> Nevada Comments at 5,7; NASCIO Comments at 2; Pennsylvania Comments at 6.</w:t>
      </w:r>
    </w:p>
  </w:footnote>
  <w:footnote w:id="82">
    <w:p w14:paraId="7F91D149" w14:textId="0DC93D1C" w:rsidR="00AA275F" w:rsidRPr="00501ABD" w:rsidRDefault="00AA275F" w:rsidP="00D4536B">
      <w:pPr>
        <w:pStyle w:val="FootnoteText"/>
      </w:pPr>
      <w:r>
        <w:rPr>
          <w:rStyle w:val="FootnoteReference"/>
        </w:rPr>
        <w:footnoteRef/>
      </w:r>
      <w:r>
        <w:t xml:space="preserve"> APCO Comments at 7; FirstNet Comments at 10; Illinois Comments at 11; NASCIO Comments at 3.  </w:t>
      </w:r>
      <w:r>
        <w:rPr>
          <w:i/>
        </w:rPr>
        <w:t xml:space="preserve">But see </w:t>
      </w:r>
      <w:r>
        <w:t>Stephen Whitaker Comments at 6 (stating that i</w:t>
      </w:r>
      <w:r w:rsidRPr="00501ABD">
        <w:t xml:space="preserve">t is </w:t>
      </w:r>
      <w:r>
        <w:t>“</w:t>
      </w:r>
      <w:r w:rsidRPr="00501ABD">
        <w:t>both unwise and counterproductive to unnecessarily wield the heavy</w:t>
      </w:r>
      <w:r>
        <w:t xml:space="preserve"> </w:t>
      </w:r>
      <w:r w:rsidRPr="00501ABD">
        <w:t>hand when the goal is to build both local and national capacity to build, manage and oversee such a complex, first of its kind, national, interoperable infrastructure</w:t>
      </w:r>
      <w:r>
        <w:t>”).</w:t>
      </w:r>
    </w:p>
  </w:footnote>
  <w:footnote w:id="83">
    <w:p w14:paraId="1816CEBD" w14:textId="7C3A0A00" w:rsidR="00AA275F" w:rsidRPr="004C0ACA" w:rsidRDefault="00AA275F" w:rsidP="00D4536B">
      <w:pPr>
        <w:pStyle w:val="FootnoteText"/>
      </w:pPr>
      <w:r>
        <w:rPr>
          <w:rStyle w:val="FootnoteReference"/>
        </w:rPr>
        <w:footnoteRef/>
      </w:r>
      <w:r>
        <w:t xml:space="preserve"> Florida Comments at 11; Nevada Comments at 5; Pennsylvania Comments at 6.  </w:t>
      </w:r>
      <w:r>
        <w:rPr>
          <w:i/>
        </w:rPr>
        <w:t xml:space="preserve">But see </w:t>
      </w:r>
      <w:r>
        <w:t>APCO Comments at 7 (t</w:t>
      </w:r>
      <w:r w:rsidRPr="004C0ACA">
        <w:t xml:space="preserve">he Commission should evaluate state opt </w:t>
      </w:r>
      <w:r>
        <w:t xml:space="preserve">out </w:t>
      </w:r>
      <w:r w:rsidRPr="004C0ACA">
        <w:t>plans based solely on whether they comply with the requirements for interoperability at the time the plan is submitted and that its evaluation would not extend to issues that the Act reserves for NTIA review</w:t>
      </w:r>
      <w:r>
        <w:t>).</w:t>
      </w:r>
    </w:p>
  </w:footnote>
  <w:footnote w:id="84">
    <w:p w14:paraId="428B31C8" w14:textId="29A397C8" w:rsidR="00AA275F" w:rsidRPr="0011151A" w:rsidRDefault="00AA275F">
      <w:pPr>
        <w:pStyle w:val="FootnoteText"/>
      </w:pPr>
      <w:r>
        <w:rPr>
          <w:rStyle w:val="FootnoteReference"/>
        </w:rPr>
        <w:footnoteRef/>
      </w:r>
      <w:r>
        <w:t xml:space="preserve"> </w:t>
      </w:r>
      <w:r w:rsidRPr="00A6671D">
        <w:rPr>
          <w:i/>
        </w:rPr>
        <w:t xml:space="preserve">See </w:t>
      </w:r>
      <w:r>
        <w:t>47 C.F.R. § 1.1208.</w:t>
      </w:r>
    </w:p>
  </w:footnote>
  <w:footnote w:id="85">
    <w:p w14:paraId="7BFACE6C" w14:textId="3BBA354B" w:rsidR="00AA275F" w:rsidRPr="002629AE" w:rsidRDefault="00AA275F">
      <w:pPr>
        <w:pStyle w:val="FootnoteText"/>
      </w:pPr>
      <w:r>
        <w:rPr>
          <w:rStyle w:val="FootnoteReference"/>
        </w:rPr>
        <w:footnoteRef/>
      </w:r>
      <w:r>
        <w:t xml:space="preserve"> </w:t>
      </w:r>
      <w:r>
        <w:rPr>
          <w:i/>
        </w:rPr>
        <w:t xml:space="preserve">See </w:t>
      </w:r>
      <w:r>
        <w:t xml:space="preserve">DVA Comments at 5 (supporting inclusion of NTIA and FirstNet in the Commission process, but advocating ensuring that the NTIA and Commission processes remain separate); Florida Comments at 5 (supporting inclusion of FirstNet and NTIA so long as states have an opportunity to respond to comments); NASCIO Comments at 3 (same); Illinois Comments at 9.  </w:t>
      </w:r>
    </w:p>
  </w:footnote>
  <w:footnote w:id="86">
    <w:p w14:paraId="35ED2281" w14:textId="29B6044B" w:rsidR="00AA275F" w:rsidRPr="002629AE" w:rsidRDefault="00AA275F">
      <w:pPr>
        <w:pStyle w:val="FootnoteText"/>
      </w:pPr>
      <w:r>
        <w:rPr>
          <w:rStyle w:val="FootnoteReference"/>
        </w:rPr>
        <w:footnoteRef/>
      </w:r>
      <w:r>
        <w:t xml:space="preserve"> </w:t>
      </w:r>
      <w:r>
        <w:rPr>
          <w:i/>
        </w:rPr>
        <w:t>See, e.g.</w:t>
      </w:r>
      <w:r>
        <w:t xml:space="preserve">, DVA Comments at 5; Illinois Comments at 8; Indiana Comments at 5; Nevada Comments at 6.  </w:t>
      </w:r>
    </w:p>
  </w:footnote>
  <w:footnote w:id="87">
    <w:p w14:paraId="49AAAF3D" w14:textId="418077D8" w:rsidR="00AA275F" w:rsidRPr="002629AE" w:rsidRDefault="00AA275F">
      <w:pPr>
        <w:pStyle w:val="FootnoteText"/>
      </w:pPr>
      <w:r>
        <w:rPr>
          <w:rStyle w:val="FootnoteReference"/>
        </w:rPr>
        <w:footnoteRef/>
      </w:r>
      <w:r>
        <w:t xml:space="preserve"> </w:t>
      </w:r>
      <w:r>
        <w:rPr>
          <w:i/>
        </w:rPr>
        <w:t xml:space="preserve">See </w:t>
      </w:r>
      <w:r>
        <w:t>NASCIO Comments at 3.</w:t>
      </w:r>
    </w:p>
  </w:footnote>
  <w:footnote w:id="88">
    <w:p w14:paraId="3D5CD9A2" w14:textId="0C8C746B" w:rsidR="00AA275F" w:rsidRDefault="00AA275F" w:rsidP="00361855">
      <w:pPr>
        <w:pStyle w:val="FootnoteText"/>
      </w:pPr>
      <w:r>
        <w:rPr>
          <w:rStyle w:val="FootnoteReference"/>
        </w:rPr>
        <w:footnoteRef/>
      </w:r>
      <w:r>
        <w:t xml:space="preserve"> </w:t>
      </w:r>
      <w:r>
        <w:rPr>
          <w:i/>
        </w:rPr>
        <w:t xml:space="preserve">See generally </w:t>
      </w:r>
      <w:r>
        <w:t>47 C.F.R. § 0.459.</w:t>
      </w:r>
    </w:p>
  </w:footnote>
  <w:footnote w:id="89">
    <w:p w14:paraId="7E4B76DC" w14:textId="3804D2A2" w:rsidR="00AA275F" w:rsidRDefault="00AA275F" w:rsidP="00D4536B">
      <w:pPr>
        <w:pStyle w:val="FootnoteText"/>
      </w:pPr>
      <w:r>
        <w:rPr>
          <w:rStyle w:val="FootnoteReference"/>
        </w:rPr>
        <w:footnoteRef/>
      </w:r>
      <w:r>
        <w:t xml:space="preserve"> </w:t>
      </w:r>
      <w:r w:rsidRPr="00AE2161">
        <w:t xml:space="preserve">AT&amp;T </w:t>
      </w:r>
      <w:r>
        <w:t>June 14</w:t>
      </w:r>
      <w:r w:rsidRPr="00AE2161">
        <w:t xml:space="preserve"> </w:t>
      </w:r>
      <w:r w:rsidRPr="007661C1">
        <w:rPr>
          <w:i/>
        </w:rPr>
        <w:t>Ex Parte</w:t>
      </w:r>
      <w:r>
        <w:t xml:space="preserve"> at 3-4.</w:t>
      </w:r>
    </w:p>
  </w:footnote>
  <w:footnote w:id="90">
    <w:p w14:paraId="542CB38B" w14:textId="2DF3F6FA" w:rsidR="00AA275F" w:rsidRPr="007661C1" w:rsidRDefault="00AA275F">
      <w:pPr>
        <w:pStyle w:val="FootnoteText"/>
      </w:pPr>
      <w:r>
        <w:rPr>
          <w:rStyle w:val="FootnoteReference"/>
        </w:rPr>
        <w:footnoteRef/>
      </w:r>
      <w:r>
        <w:t xml:space="preserve"> </w:t>
      </w:r>
      <w:r>
        <w:rPr>
          <w:i/>
        </w:rPr>
        <w:t xml:space="preserve">See </w:t>
      </w:r>
      <w:r>
        <w:t xml:space="preserve">Rivada June 15 </w:t>
      </w:r>
      <w:r>
        <w:rPr>
          <w:i/>
        </w:rPr>
        <w:t>Ex Parte</w:t>
      </w:r>
      <w:r>
        <w:t xml:space="preserve"> at 2.</w:t>
      </w:r>
    </w:p>
  </w:footnote>
  <w:footnote w:id="91">
    <w:p w14:paraId="4992613B" w14:textId="77777777" w:rsidR="00AA275F" w:rsidRDefault="00AA275F" w:rsidP="00276787">
      <w:pPr>
        <w:pStyle w:val="FootnoteText"/>
      </w:pPr>
      <w:r>
        <w:rPr>
          <w:rStyle w:val="FootnoteReference"/>
        </w:rPr>
        <w:footnoteRef/>
      </w:r>
      <w:r>
        <w:t xml:space="preserve"> FirstNet Reply Comments at 6.  </w:t>
      </w:r>
    </w:p>
  </w:footnote>
  <w:footnote w:id="92">
    <w:p w14:paraId="7979748E" w14:textId="2FAAD616" w:rsidR="00AA275F" w:rsidRPr="00276787" w:rsidRDefault="00AA275F">
      <w:pPr>
        <w:pStyle w:val="FootnoteText"/>
      </w:pPr>
      <w:r>
        <w:rPr>
          <w:rStyle w:val="FootnoteReference"/>
        </w:rPr>
        <w:footnoteRef/>
      </w:r>
      <w:r>
        <w:t xml:space="preserve"> </w:t>
      </w:r>
      <w:r>
        <w:rPr>
          <w:i/>
        </w:rPr>
        <w:t>See, e.g.</w:t>
      </w:r>
      <w:r>
        <w:t>, Florida Comments at 10 (urging an “open dialogue” between the applicant and Commission staff); Illinois Comments at 8 (arguing the Commission should accept amendments to ensure accurate and up to date information); Nevada Comments at 5 (urging the ability for states to correct deficiencies); SouthernLinc Comments at 15-16); TXPSBP Comments at 4 (asserting the process should be cooperative and interactive).</w:t>
      </w:r>
    </w:p>
  </w:footnote>
  <w:footnote w:id="93">
    <w:p w14:paraId="2704C44A" w14:textId="77777777" w:rsidR="00AA275F" w:rsidRPr="00E94877" w:rsidRDefault="00AA275F" w:rsidP="00D4536B">
      <w:pPr>
        <w:pStyle w:val="FootnoteText"/>
      </w:pPr>
      <w:r>
        <w:rPr>
          <w:rStyle w:val="FootnoteReference"/>
        </w:rPr>
        <w:footnoteRef/>
      </w:r>
      <w:r>
        <w:t xml:space="preserve"> Public Safety Spectrum Act at § 6302(e)(2)(C)(iv)</w:t>
      </w:r>
    </w:p>
  </w:footnote>
  <w:footnote w:id="94">
    <w:p w14:paraId="1B66891A" w14:textId="1152D17B" w:rsidR="00AA275F" w:rsidRDefault="00AA275F" w:rsidP="00CF231D">
      <w:pPr>
        <w:pStyle w:val="FootnoteText"/>
      </w:pPr>
      <w:r>
        <w:rPr>
          <w:rStyle w:val="FootnoteReference"/>
        </w:rPr>
        <w:footnoteRef/>
      </w:r>
      <w:r>
        <w:t xml:space="preserve"> </w:t>
      </w:r>
      <w:r>
        <w:rPr>
          <w:i/>
        </w:rPr>
        <w:t>NPRM</w:t>
      </w:r>
      <w:r>
        <w:t>, 31 FCC Rcd at 10272, para. 57.</w:t>
      </w:r>
    </w:p>
  </w:footnote>
  <w:footnote w:id="95">
    <w:p w14:paraId="2DA7F5A8" w14:textId="288438C5" w:rsidR="00AA275F" w:rsidRPr="00CF231D" w:rsidRDefault="00AA275F">
      <w:pPr>
        <w:pStyle w:val="FootnoteText"/>
        <w:rPr>
          <w:i/>
        </w:rPr>
      </w:pPr>
      <w:r>
        <w:rPr>
          <w:rStyle w:val="FootnoteReference"/>
        </w:rPr>
        <w:footnoteRef/>
      </w:r>
      <w:r>
        <w:t xml:space="preserve"> </w:t>
      </w:r>
      <w:r>
        <w:rPr>
          <w:i/>
        </w:rPr>
        <w:t>Id.</w:t>
      </w:r>
    </w:p>
  </w:footnote>
  <w:footnote w:id="96">
    <w:p w14:paraId="0D3C601F" w14:textId="77777777" w:rsidR="00AA275F" w:rsidRPr="00CF231D" w:rsidRDefault="00AA275F" w:rsidP="00CF231D">
      <w:pPr>
        <w:pStyle w:val="FootnoteText"/>
        <w:rPr>
          <w:i/>
        </w:rPr>
      </w:pPr>
      <w:r>
        <w:rPr>
          <w:rStyle w:val="FootnoteReference"/>
        </w:rPr>
        <w:footnoteRef/>
      </w:r>
      <w:r>
        <w:t xml:space="preserve"> </w:t>
      </w:r>
      <w:r>
        <w:rPr>
          <w:i/>
        </w:rPr>
        <w:t>Id.</w:t>
      </w:r>
    </w:p>
  </w:footnote>
  <w:footnote w:id="97">
    <w:p w14:paraId="32ECAF18" w14:textId="77777777" w:rsidR="00AA275F" w:rsidRPr="00CF231D" w:rsidRDefault="00AA275F" w:rsidP="00CF231D">
      <w:pPr>
        <w:pStyle w:val="FootnoteText"/>
        <w:rPr>
          <w:i/>
        </w:rPr>
      </w:pPr>
      <w:r>
        <w:rPr>
          <w:rStyle w:val="FootnoteReference"/>
        </w:rPr>
        <w:footnoteRef/>
      </w:r>
      <w:r>
        <w:t xml:space="preserve"> </w:t>
      </w:r>
      <w:r>
        <w:rPr>
          <w:i/>
        </w:rPr>
        <w:t>Id.</w:t>
      </w:r>
    </w:p>
  </w:footnote>
  <w:footnote w:id="98">
    <w:p w14:paraId="44D2EE33" w14:textId="77777777" w:rsidR="00AA275F" w:rsidRPr="00CF231D" w:rsidRDefault="00AA275F" w:rsidP="00D32E67">
      <w:pPr>
        <w:pStyle w:val="FootnoteText"/>
        <w:rPr>
          <w:i/>
        </w:rPr>
      </w:pPr>
      <w:r>
        <w:rPr>
          <w:rStyle w:val="FootnoteReference"/>
        </w:rPr>
        <w:footnoteRef/>
      </w:r>
      <w:r>
        <w:t xml:space="preserve"> </w:t>
      </w:r>
      <w:r>
        <w:rPr>
          <w:i/>
        </w:rPr>
        <w:t>Id.</w:t>
      </w:r>
    </w:p>
  </w:footnote>
  <w:footnote w:id="99">
    <w:p w14:paraId="5A9BB446" w14:textId="01D2BA22" w:rsidR="00AA275F" w:rsidRDefault="00AA275F">
      <w:pPr>
        <w:pStyle w:val="FootnoteText"/>
      </w:pPr>
      <w:r>
        <w:rPr>
          <w:rStyle w:val="FootnoteReference"/>
        </w:rPr>
        <w:footnoteRef/>
      </w:r>
      <w:r>
        <w:t xml:space="preserve"> FNCGB Comments at 11, NASCIO Comments at 3, Nevada Comments at 6, Pennsylvania Comments at 8, SouthernLinc Comments at 12.</w:t>
      </w:r>
    </w:p>
  </w:footnote>
  <w:footnote w:id="100">
    <w:p w14:paraId="1501D6AC" w14:textId="77777777" w:rsidR="00AA275F" w:rsidRDefault="00AA275F" w:rsidP="00D814CC">
      <w:pPr>
        <w:pStyle w:val="FootnoteText"/>
      </w:pPr>
      <w:r>
        <w:rPr>
          <w:rStyle w:val="FootnoteReference"/>
        </w:rPr>
        <w:footnoteRef/>
      </w:r>
      <w:r>
        <w:t xml:space="preserve"> Illinois Comments at 10</w:t>
      </w:r>
    </w:p>
  </w:footnote>
  <w:footnote w:id="101">
    <w:p w14:paraId="5C785C4F" w14:textId="5786CCB0" w:rsidR="00AA275F" w:rsidRDefault="00AA275F">
      <w:pPr>
        <w:pStyle w:val="FootnoteText"/>
      </w:pPr>
      <w:r>
        <w:rPr>
          <w:rStyle w:val="FootnoteReference"/>
        </w:rPr>
        <w:footnoteRef/>
      </w:r>
      <w:r>
        <w:t xml:space="preserve"> FNCGB Comments at 11, Illinois Comments at 11.</w:t>
      </w:r>
    </w:p>
  </w:footnote>
  <w:footnote w:id="102">
    <w:p w14:paraId="0B6BEF59" w14:textId="4B9B7072" w:rsidR="00AA275F" w:rsidRDefault="00AA275F">
      <w:pPr>
        <w:pStyle w:val="FootnoteText"/>
      </w:pPr>
      <w:r>
        <w:rPr>
          <w:rStyle w:val="FootnoteReference"/>
        </w:rPr>
        <w:footnoteRef/>
      </w:r>
      <w:r>
        <w:t xml:space="preserve"> Nevada Comments at 6, Pennsylvania Comments at 8.</w:t>
      </w:r>
    </w:p>
  </w:footnote>
  <w:footnote w:id="103">
    <w:p w14:paraId="2B052783" w14:textId="5FDA1F20" w:rsidR="00AA275F" w:rsidRDefault="00AA275F">
      <w:pPr>
        <w:pStyle w:val="FootnoteText"/>
      </w:pPr>
      <w:r>
        <w:rPr>
          <w:rStyle w:val="FootnoteReference"/>
        </w:rPr>
        <w:footnoteRef/>
      </w:r>
      <w:r>
        <w:t xml:space="preserve"> APCO Comments at 7, FirstNet Comments at 9-10</w:t>
      </w:r>
    </w:p>
  </w:footnote>
  <w:footnote w:id="104">
    <w:p w14:paraId="5938B9CB" w14:textId="2EAE1BB0" w:rsidR="00AA275F" w:rsidRDefault="00AA275F">
      <w:pPr>
        <w:pStyle w:val="FootnoteText"/>
      </w:pPr>
      <w:r>
        <w:rPr>
          <w:rStyle w:val="FootnoteReference"/>
        </w:rPr>
        <w:footnoteRef/>
      </w:r>
      <w:r>
        <w:t xml:space="preserve"> Alabama Comments at 8; Florida Comments at 8; TXPSBP Comments at 5-6.</w:t>
      </w:r>
    </w:p>
  </w:footnote>
  <w:footnote w:id="105">
    <w:p w14:paraId="4439C2BC" w14:textId="509C7F24" w:rsidR="00AA275F" w:rsidRDefault="00AA275F">
      <w:pPr>
        <w:pStyle w:val="FootnoteText"/>
      </w:pPr>
      <w:r>
        <w:rPr>
          <w:rStyle w:val="FootnoteReference"/>
        </w:rPr>
        <w:footnoteRef/>
      </w:r>
      <w:r>
        <w:t xml:space="preserve"> Illinois Comments at 11.</w:t>
      </w:r>
    </w:p>
  </w:footnote>
  <w:footnote w:id="106">
    <w:p w14:paraId="3B70F256" w14:textId="6868FB10" w:rsidR="00AA275F" w:rsidRDefault="00AA275F">
      <w:pPr>
        <w:pStyle w:val="FootnoteText"/>
      </w:pPr>
      <w:r>
        <w:rPr>
          <w:rStyle w:val="FootnoteReference"/>
        </w:rPr>
        <w:footnoteRef/>
      </w:r>
      <w:r>
        <w:t xml:space="preserve"> APCO Comments at 7; Florida Comments at 8.</w:t>
      </w:r>
    </w:p>
  </w:footnote>
  <w:footnote w:id="107">
    <w:p w14:paraId="4A1C9AD1" w14:textId="1A94DDA0" w:rsidR="00AA275F" w:rsidRDefault="00AA275F">
      <w:pPr>
        <w:pStyle w:val="FootnoteText"/>
      </w:pPr>
      <w:r>
        <w:rPr>
          <w:rStyle w:val="FootnoteReference"/>
        </w:rPr>
        <w:footnoteRef/>
      </w:r>
      <w:r>
        <w:t xml:space="preserve"> </w:t>
      </w:r>
      <w:r w:rsidRPr="00DE00C9">
        <w:t>Pub</w:t>
      </w:r>
      <w:r>
        <w:t>lic Safety Spectrum Act, § 6302(e)(2)(C)(ii).</w:t>
      </w:r>
    </w:p>
  </w:footnote>
  <w:footnote w:id="108">
    <w:p w14:paraId="659FF979" w14:textId="1E7483A2" w:rsidR="00AA275F" w:rsidRPr="001D58C8" w:rsidRDefault="00AA275F">
      <w:pPr>
        <w:pStyle w:val="FootnoteText"/>
      </w:pPr>
      <w:r>
        <w:rPr>
          <w:rStyle w:val="FootnoteReference"/>
        </w:rPr>
        <w:footnoteRef/>
      </w:r>
      <w:r>
        <w:t xml:space="preserve"> </w:t>
      </w:r>
      <w:r>
        <w:rPr>
          <w:i/>
        </w:rPr>
        <w:t xml:space="preserve">See id. </w:t>
      </w:r>
      <w:r>
        <w:t>§ 6302(h)(2)(C).</w:t>
      </w:r>
    </w:p>
  </w:footnote>
  <w:footnote w:id="109">
    <w:p w14:paraId="45A40A79" w14:textId="4E9D9A8A" w:rsidR="00AA275F" w:rsidRDefault="00AA275F">
      <w:pPr>
        <w:pStyle w:val="FootnoteText"/>
      </w:pPr>
      <w:r>
        <w:rPr>
          <w:rStyle w:val="FootnoteReference"/>
        </w:rPr>
        <w:footnoteRef/>
      </w:r>
      <w:r>
        <w:t xml:space="preserve"> </w:t>
      </w:r>
      <w:r>
        <w:rPr>
          <w:i/>
        </w:rPr>
        <w:t>NPRM</w:t>
      </w:r>
      <w:r>
        <w:t>, 31 FCC Rcd at 10275, para. 64.</w:t>
      </w:r>
    </w:p>
  </w:footnote>
  <w:footnote w:id="110">
    <w:p w14:paraId="0B7625E2" w14:textId="32BD1796" w:rsidR="00AA275F" w:rsidRDefault="00AA275F">
      <w:pPr>
        <w:pStyle w:val="FootnoteText"/>
      </w:pPr>
      <w:r>
        <w:rPr>
          <w:rStyle w:val="FootnoteReference"/>
        </w:rPr>
        <w:footnoteRef/>
      </w:r>
      <w:r>
        <w:t xml:space="preserve"> </w:t>
      </w:r>
      <w:r>
        <w:rPr>
          <w:i/>
        </w:rPr>
        <w:t>Id.</w:t>
      </w:r>
      <w:r>
        <w:t>, para. 64.</w:t>
      </w:r>
    </w:p>
  </w:footnote>
  <w:footnote w:id="111">
    <w:p w14:paraId="0DFAC6AD" w14:textId="4D29F4F3" w:rsidR="00AA275F" w:rsidRDefault="00AA275F">
      <w:pPr>
        <w:pStyle w:val="FootnoteText"/>
      </w:pPr>
      <w:r>
        <w:rPr>
          <w:rStyle w:val="FootnoteReference"/>
        </w:rPr>
        <w:footnoteRef/>
      </w:r>
      <w:r>
        <w:t xml:space="preserve"> </w:t>
      </w:r>
      <w:r>
        <w:rPr>
          <w:i/>
        </w:rPr>
        <w:t>Id.</w:t>
      </w:r>
      <w:r>
        <w:t>, para. 65.</w:t>
      </w:r>
    </w:p>
  </w:footnote>
  <w:footnote w:id="112">
    <w:p w14:paraId="7D2B56CF" w14:textId="238D8A62" w:rsidR="00AA275F" w:rsidRDefault="00AA275F">
      <w:pPr>
        <w:pStyle w:val="FootnoteText"/>
      </w:pPr>
      <w:r>
        <w:rPr>
          <w:rStyle w:val="FootnoteReference"/>
        </w:rPr>
        <w:footnoteRef/>
      </w:r>
      <w:r>
        <w:t xml:space="preserve"> APCO Comments at 8; Fairfax Comments at 9; Illinois Comments at 14.</w:t>
      </w:r>
    </w:p>
  </w:footnote>
  <w:footnote w:id="113">
    <w:p w14:paraId="0218066C" w14:textId="33FF941F" w:rsidR="00AA275F" w:rsidRPr="004C7307" w:rsidRDefault="00AA275F">
      <w:pPr>
        <w:pStyle w:val="FootnoteText"/>
      </w:pPr>
      <w:r>
        <w:rPr>
          <w:rStyle w:val="FootnoteReference"/>
        </w:rPr>
        <w:footnoteRef/>
      </w:r>
      <w:r>
        <w:t xml:space="preserve"> FirstNet Comments at 12-13. </w:t>
      </w:r>
      <w:r>
        <w:rPr>
          <w:i/>
        </w:rPr>
        <w:t xml:space="preserve">But see </w:t>
      </w:r>
      <w:r>
        <w:t>Illinois Comments at 14 (arguing that a</w:t>
      </w:r>
      <w:r w:rsidRPr="004C7307">
        <w:t>ll the demarcation points between the FirstNet infrastructure and state’s RAN responsibilities must be clearly defined and documented before alternate plans are submitted</w:t>
      </w:r>
      <w:r>
        <w:t>).</w:t>
      </w:r>
    </w:p>
  </w:footnote>
  <w:footnote w:id="114">
    <w:p w14:paraId="76BA2206" w14:textId="6EE22713" w:rsidR="00AA275F" w:rsidRPr="004C7307" w:rsidRDefault="00AA275F">
      <w:pPr>
        <w:pStyle w:val="FootnoteText"/>
      </w:pPr>
      <w:r>
        <w:rPr>
          <w:rStyle w:val="FootnoteReference"/>
        </w:rPr>
        <w:footnoteRef/>
      </w:r>
      <w:r>
        <w:t xml:space="preserve"> DVA Comments at 9, Fairfax Comments at 9; </w:t>
      </w:r>
      <w:r>
        <w:rPr>
          <w:i/>
        </w:rPr>
        <w:t xml:space="preserve">but see </w:t>
      </w:r>
      <w:r>
        <w:t>TXPSBP Comments at 9 (asserting that w</w:t>
      </w:r>
      <w:r w:rsidRPr="004C7307">
        <w:t>hile the statutory definition of RAN does not list user equipment or applications as part of the RAN, it is possible that RAN-dependent compatibility issues may arise concerning user equipment and/or applications. To the extent such issues impact the RAN, then they would seem relevant to the FCC’s decision</w:t>
      </w:r>
      <w:r>
        <w:t>).</w:t>
      </w:r>
    </w:p>
  </w:footnote>
  <w:footnote w:id="115">
    <w:p w14:paraId="2D6FF339" w14:textId="7C961699" w:rsidR="00AA275F" w:rsidRDefault="00AA275F" w:rsidP="00E94877">
      <w:pPr>
        <w:pStyle w:val="FootnoteText"/>
      </w:pPr>
      <w:r>
        <w:rPr>
          <w:rStyle w:val="FootnoteReference"/>
        </w:rPr>
        <w:footnoteRef/>
      </w:r>
      <w:r>
        <w:t xml:space="preserve"> </w:t>
      </w:r>
      <w:r>
        <w:rPr>
          <w:i/>
        </w:rPr>
        <w:t>NPRM</w:t>
      </w:r>
      <w:r>
        <w:t>, 31 FCC Rcd at 10272-73, paras. 58-60.</w:t>
      </w:r>
    </w:p>
  </w:footnote>
  <w:footnote w:id="116">
    <w:p w14:paraId="3AA23E5B" w14:textId="77777777" w:rsidR="00AA275F" w:rsidRPr="004F517B" w:rsidRDefault="00AA275F" w:rsidP="00E94877">
      <w:pPr>
        <w:pStyle w:val="FootnoteText"/>
      </w:pPr>
      <w:r>
        <w:rPr>
          <w:rStyle w:val="FootnoteReference"/>
        </w:rPr>
        <w:footnoteRef/>
      </w:r>
      <w:r>
        <w:t xml:space="preserve"> </w:t>
      </w:r>
      <w:r>
        <w:rPr>
          <w:i/>
        </w:rPr>
        <w:t xml:space="preserve">Id. </w:t>
      </w:r>
      <w:r>
        <w:t>at 10273, para. 60.</w:t>
      </w:r>
    </w:p>
  </w:footnote>
  <w:footnote w:id="117">
    <w:p w14:paraId="7D3F0AC3" w14:textId="77777777" w:rsidR="00AA275F" w:rsidRDefault="00AA275F" w:rsidP="00E94877">
      <w:pPr>
        <w:pStyle w:val="FootnoteText"/>
      </w:pPr>
      <w:r>
        <w:rPr>
          <w:rStyle w:val="FootnoteReference"/>
        </w:rPr>
        <w:footnoteRef/>
      </w:r>
      <w:r>
        <w:t xml:space="preserve"> </w:t>
      </w:r>
      <w:r>
        <w:rPr>
          <w:i/>
        </w:rPr>
        <w:t xml:space="preserve">Id. </w:t>
      </w:r>
      <w:r>
        <w:t>at 10273, para. 61.</w:t>
      </w:r>
    </w:p>
  </w:footnote>
  <w:footnote w:id="118">
    <w:p w14:paraId="768CD5A5" w14:textId="77777777" w:rsidR="00AA275F" w:rsidRDefault="00AA275F" w:rsidP="00E94877">
      <w:pPr>
        <w:pStyle w:val="FootnoteText"/>
      </w:pPr>
      <w:r>
        <w:rPr>
          <w:rStyle w:val="FootnoteReference"/>
        </w:rPr>
        <w:footnoteRef/>
      </w:r>
      <w:r>
        <w:t xml:space="preserve"> </w:t>
      </w:r>
      <w:r>
        <w:rPr>
          <w:i/>
        </w:rPr>
        <w:t xml:space="preserve">Id. </w:t>
      </w:r>
      <w:r>
        <w:t>at 10274, para. 62.</w:t>
      </w:r>
    </w:p>
  </w:footnote>
  <w:footnote w:id="119">
    <w:p w14:paraId="13ED100F" w14:textId="7867A060" w:rsidR="00AA275F" w:rsidRDefault="00AA275F" w:rsidP="0060197F">
      <w:pPr>
        <w:pStyle w:val="FootnoteText"/>
        <w:ind w:left="720" w:hanging="720"/>
      </w:pPr>
      <w:r>
        <w:rPr>
          <w:rStyle w:val="FootnoteReference"/>
        </w:rPr>
        <w:footnoteRef/>
      </w:r>
      <w:r>
        <w:t xml:space="preserve"> </w:t>
      </w:r>
      <w:r>
        <w:rPr>
          <w:i/>
        </w:rPr>
        <w:t xml:space="preserve">Id. </w:t>
      </w:r>
      <w:r w:rsidRPr="0060197F">
        <w:t>at</w:t>
      </w:r>
      <w:r>
        <w:t xml:space="preserve"> para. 63.</w:t>
      </w:r>
    </w:p>
  </w:footnote>
  <w:footnote w:id="120">
    <w:p w14:paraId="75E9D349" w14:textId="48CE5768" w:rsidR="00AA275F" w:rsidRDefault="00AA275F" w:rsidP="00883502">
      <w:pPr>
        <w:pStyle w:val="FootnoteText"/>
      </w:pPr>
      <w:r>
        <w:rPr>
          <w:rStyle w:val="FootnoteReference"/>
        </w:rPr>
        <w:footnoteRef/>
      </w:r>
      <w:r>
        <w:t xml:space="preserve"> Public Safety Spectrum Act § 6203(a)-(b).</w:t>
      </w:r>
    </w:p>
  </w:footnote>
  <w:footnote w:id="121">
    <w:p w14:paraId="265B8E6F" w14:textId="16EC75B8" w:rsidR="00AA275F" w:rsidRPr="00BF47F1" w:rsidRDefault="00AA275F" w:rsidP="00883502">
      <w:pPr>
        <w:pStyle w:val="FootnoteText"/>
      </w:pPr>
      <w:r>
        <w:rPr>
          <w:rStyle w:val="FootnoteReference"/>
        </w:rPr>
        <w:footnoteRef/>
      </w:r>
      <w:r>
        <w:t xml:space="preserve"> </w:t>
      </w:r>
      <w:r w:rsidRPr="008640CF">
        <w:rPr>
          <w:i/>
        </w:rPr>
        <w:t>Id.</w:t>
      </w:r>
      <w:r>
        <w:t xml:space="preserve"> at § 6203(c); Recommended Minimum Technical Requirements to Ensure Nationwide Interoperability for the Nationwide Public Safety Broadband Network, Final Report (May 22, 2012) </w:t>
      </w:r>
      <w:r>
        <w:rPr>
          <w:i/>
        </w:rPr>
        <w:t>available at</w:t>
      </w:r>
      <w:r w:rsidRPr="006575CC">
        <w:t xml:space="preserve"> </w:t>
      </w:r>
      <w:r w:rsidRPr="001305C5">
        <w:t>https://apps.fcc.gov/edocs_public/attachmatch/FCC-12-68A3.pdf.</w:t>
      </w:r>
      <w:r>
        <w:rPr>
          <w:i/>
        </w:rPr>
        <w:t xml:space="preserve"> </w:t>
      </w:r>
    </w:p>
  </w:footnote>
  <w:footnote w:id="122">
    <w:p w14:paraId="2173F5FE" w14:textId="2AB875E2" w:rsidR="00AA275F" w:rsidRDefault="00AA275F" w:rsidP="00883502">
      <w:pPr>
        <w:pStyle w:val="FootnoteText"/>
      </w:pPr>
      <w:r>
        <w:rPr>
          <w:rStyle w:val="FootnoteReference"/>
        </w:rPr>
        <w:footnoteRef/>
      </w:r>
      <w:r w:rsidRPr="70DBC34B">
        <w:t xml:space="preserve"> </w:t>
      </w:r>
      <w:r w:rsidRPr="001F78C6">
        <w:rPr>
          <w:i/>
          <w:iCs/>
        </w:rPr>
        <w:t>Recommendations of the Technical Advisory Board for First Responder Interoperability</w:t>
      </w:r>
      <w:r w:rsidRPr="00E90896">
        <w:t xml:space="preserve">, </w:t>
      </w:r>
      <w:r w:rsidRPr="70DBC34B">
        <w:t>PS Docket 12-74, Order of Transmittal, 27 FCC Rcd 7733 (2012)</w:t>
      </w:r>
      <w:r>
        <w:t>.</w:t>
      </w:r>
    </w:p>
  </w:footnote>
  <w:footnote w:id="123">
    <w:p w14:paraId="78B0D78E" w14:textId="018F2A1C" w:rsidR="00AA275F" w:rsidRPr="001F78C6" w:rsidRDefault="00AA275F" w:rsidP="00883502">
      <w:pPr>
        <w:pStyle w:val="FootnoteText"/>
        <w:rPr>
          <w:i/>
          <w:highlight w:val="yellow"/>
        </w:rPr>
      </w:pPr>
      <w:r>
        <w:rPr>
          <w:rStyle w:val="FootnoteReference"/>
        </w:rPr>
        <w:footnoteRef/>
      </w:r>
      <w:r w:rsidRPr="56191D61">
        <w:t xml:space="preserve"> </w:t>
      </w:r>
      <w:r w:rsidRPr="00FB0B85">
        <w:rPr>
          <w:i/>
          <w:iCs/>
        </w:rPr>
        <w:t>Id.</w:t>
      </w:r>
      <w:r w:rsidRPr="00E90896">
        <w:t xml:space="preserve"> </w:t>
      </w:r>
      <w:r w:rsidRPr="00E90896">
        <w:rPr>
          <w:i/>
        </w:rPr>
        <w:t xml:space="preserve"> </w:t>
      </w:r>
      <w:r w:rsidRPr="00B46573">
        <w:t>Given that the FirstNet Board had not yet been constituted, the</w:t>
      </w:r>
      <w:r w:rsidRPr="00FB0B85">
        <w:t xml:space="preserve"> Commission delivered the Report to </w:t>
      </w:r>
      <w:r w:rsidRPr="00B46573">
        <w:t>the Administrator of the National Telecommunications and Information Administration (NTIA), pending the formation of the FirstNet Board.</w:t>
      </w:r>
    </w:p>
  </w:footnote>
  <w:footnote w:id="124">
    <w:p w14:paraId="6D17D018" w14:textId="6C4F20D4" w:rsidR="00AA275F" w:rsidRPr="001F78C6" w:rsidRDefault="00AA275F">
      <w:pPr>
        <w:pStyle w:val="FootnoteText"/>
        <w:rPr>
          <w:highlight w:val="yellow"/>
        </w:rPr>
      </w:pPr>
      <w:r>
        <w:rPr>
          <w:rStyle w:val="FootnoteReference"/>
        </w:rPr>
        <w:footnoteRef/>
      </w:r>
      <w:r w:rsidRPr="06E48517">
        <w:t xml:space="preserve"> </w:t>
      </w:r>
      <w:r>
        <w:t>Public Safety Spectrum Act § 6302(e)(3)(C)(i)(I).</w:t>
      </w:r>
    </w:p>
  </w:footnote>
  <w:footnote w:id="125">
    <w:p w14:paraId="2081B935" w14:textId="1621BB59" w:rsidR="00AA275F" w:rsidRDefault="00AA275F">
      <w:pPr>
        <w:pStyle w:val="FootnoteText"/>
      </w:pPr>
      <w:r>
        <w:rPr>
          <w:rStyle w:val="FootnoteReference"/>
        </w:rPr>
        <w:footnoteRef/>
      </w:r>
      <w:r>
        <w:t xml:space="preserve"> </w:t>
      </w:r>
      <w:r w:rsidRPr="00085198">
        <w:rPr>
          <w:i/>
        </w:rPr>
        <w:t>Id.</w:t>
      </w:r>
      <w:r>
        <w:t xml:space="preserve"> § 6302(e)(3)(C</w:t>
      </w:r>
      <w:r w:rsidRPr="0005172A">
        <w:t>)</w:t>
      </w:r>
      <w:r>
        <w:t>(i)(I)</w:t>
      </w:r>
      <w:r w:rsidRPr="0005172A">
        <w:t>.</w:t>
      </w:r>
    </w:p>
  </w:footnote>
  <w:footnote w:id="126">
    <w:p w14:paraId="61F61C02" w14:textId="238BE20E" w:rsidR="00AA275F" w:rsidRPr="00987862" w:rsidRDefault="00AA275F">
      <w:pPr>
        <w:pStyle w:val="FootnoteText"/>
        <w:rPr>
          <w:i/>
        </w:rPr>
      </w:pPr>
      <w:r>
        <w:rPr>
          <w:rStyle w:val="FootnoteReference"/>
        </w:rPr>
        <w:footnoteRef/>
      </w:r>
      <w:r>
        <w:t xml:space="preserve"> </w:t>
      </w:r>
      <w:r>
        <w:rPr>
          <w:i/>
        </w:rPr>
        <w:t>NPRM</w:t>
      </w:r>
      <w:r w:rsidRPr="00E90896">
        <w:t xml:space="preserve">, </w:t>
      </w:r>
      <w:r>
        <w:t xml:space="preserve">31 FCC Rcd at 10276, paras. 68-69. The Commission included selected recommendations from the Interoperability Board Report as Appendix B to the </w:t>
      </w:r>
      <w:r>
        <w:rPr>
          <w:i/>
        </w:rPr>
        <w:t xml:space="preserve">NPRM </w:t>
      </w:r>
      <w:r>
        <w:t xml:space="preserve">and we include them as Appendix B to this Report and Order. While the text of the </w:t>
      </w:r>
      <w:r w:rsidRPr="001305C5">
        <w:rPr>
          <w:i/>
        </w:rPr>
        <w:t>NPRM</w:t>
      </w:r>
      <w:r>
        <w:t xml:space="preserve"> inadvertently referenced requirements “(29), (39),” Appendix B correctly included requirements (29)-(39) for inclusion.  </w:t>
      </w:r>
    </w:p>
  </w:footnote>
  <w:footnote w:id="127">
    <w:p w14:paraId="32D2BE51" w14:textId="17FC8CA7" w:rsidR="00AA275F" w:rsidRDefault="00AA275F">
      <w:pPr>
        <w:pStyle w:val="FootnoteText"/>
      </w:pPr>
      <w:r>
        <w:rPr>
          <w:rStyle w:val="FootnoteReference"/>
        </w:rPr>
        <w:footnoteRef/>
      </w:r>
      <w:r>
        <w:t xml:space="preserve"> Alabama Comments at 10.</w:t>
      </w:r>
    </w:p>
  </w:footnote>
  <w:footnote w:id="128">
    <w:p w14:paraId="550E6320" w14:textId="3A8077FD" w:rsidR="00AA275F" w:rsidRPr="00AB6830" w:rsidRDefault="00AA275F">
      <w:pPr>
        <w:pStyle w:val="FootnoteText"/>
      </w:pPr>
      <w:r>
        <w:rPr>
          <w:rStyle w:val="FootnoteReference"/>
        </w:rPr>
        <w:footnoteRef/>
      </w:r>
      <w:r>
        <w:t xml:space="preserve"> DVA Comments at 10.  Requirement 38 relates to the security of the NPSBN, recommending a nationwide common security profile for user plane and control plan traffic base d on 3GPP standards. </w:t>
      </w:r>
      <w:r>
        <w:rPr>
          <w:i/>
        </w:rPr>
        <w:t xml:space="preserve">See </w:t>
      </w:r>
      <w:r>
        <w:t xml:space="preserve">Interoperability Board Report at 1.3.7.  </w:t>
      </w:r>
    </w:p>
  </w:footnote>
  <w:footnote w:id="129">
    <w:p w14:paraId="05497CAA" w14:textId="32582D68" w:rsidR="00AA275F" w:rsidRDefault="00AA275F">
      <w:pPr>
        <w:pStyle w:val="FootnoteText"/>
      </w:pPr>
      <w:r>
        <w:rPr>
          <w:rStyle w:val="FootnoteReference"/>
        </w:rPr>
        <w:footnoteRef/>
      </w:r>
      <w:r>
        <w:t xml:space="preserve"> Illinois Comments at 16.</w:t>
      </w:r>
    </w:p>
  </w:footnote>
  <w:footnote w:id="130">
    <w:p w14:paraId="15C9D839" w14:textId="6B51A551" w:rsidR="00AA275F" w:rsidRPr="007C7843" w:rsidRDefault="00AA275F" w:rsidP="0047498D">
      <w:pPr>
        <w:pStyle w:val="FootnoteText"/>
      </w:pPr>
      <w:r>
        <w:rPr>
          <w:rStyle w:val="FootnoteReference"/>
        </w:rPr>
        <w:footnoteRef/>
      </w:r>
      <w:r>
        <w:t xml:space="preserve"> Letter, dated June 5, 2017 from Patrick Donovan, First Responder Network Authority, to Marlene H. Dortch, Secretary, Federal Communications Commission, and Spreadsheet entitled “State RAN Opt-Out RequirementsˍFCCˍv1.0.xlsx” (filed June 5, 2017 in PS Docket 16-269) (FirstNet June 5 </w:t>
      </w:r>
      <w:r w:rsidRPr="007661C1">
        <w:rPr>
          <w:i/>
        </w:rPr>
        <w:t>Ex Parte</w:t>
      </w:r>
      <w:r>
        <w:t>).</w:t>
      </w:r>
    </w:p>
  </w:footnote>
  <w:footnote w:id="131">
    <w:p w14:paraId="2016973B" w14:textId="710E8959" w:rsidR="00AA275F" w:rsidRPr="007C7843" w:rsidRDefault="00AA275F" w:rsidP="00472A1E">
      <w:pPr>
        <w:pStyle w:val="FootnoteText"/>
      </w:pPr>
      <w:r>
        <w:rPr>
          <w:rStyle w:val="FootnoteReference"/>
        </w:rPr>
        <w:footnoteRef/>
      </w:r>
      <w:r>
        <w:t xml:space="preserve"> </w:t>
      </w:r>
      <w:r>
        <w:rPr>
          <w:i/>
        </w:rPr>
        <w:t>Id.</w:t>
      </w:r>
    </w:p>
  </w:footnote>
  <w:footnote w:id="132">
    <w:p w14:paraId="1DB47BF1" w14:textId="2CCA6356" w:rsidR="00AA275F" w:rsidRDefault="00AA275F" w:rsidP="00472A1E">
      <w:pPr>
        <w:pStyle w:val="FootnoteText"/>
      </w:pPr>
      <w:r>
        <w:rPr>
          <w:rStyle w:val="FootnoteReference"/>
        </w:rPr>
        <w:footnoteRef/>
      </w:r>
      <w:r>
        <w:t xml:space="preserve"> Letter, dated June 16, 2017 from Patrick Donovan, First Responder Network Authority to Marlene H. Dortch, Secretary, Federal Communications Commission, and Spreadsheet entitled “</w:t>
      </w:r>
      <w:r w:rsidRPr="0047498D">
        <w:t>State RAN Opt-Out Requirements_FCC_v2.0</w:t>
      </w:r>
      <w:r>
        <w:t xml:space="preserve">.xlsx” (filed June 16, 2017 in PS Docket 16-269) (FirstNet June 16 </w:t>
      </w:r>
      <w:r w:rsidRPr="007661C1">
        <w:rPr>
          <w:i/>
        </w:rPr>
        <w:t>Ex Parte</w:t>
      </w:r>
      <w:r>
        <w:t xml:space="preserve">).  We note that while the letter is dated after the June 15, 2017 Sunshine Notice was issued, the letter reports on meetings held on June 14, 2017 before the Sunshine period and is therefore permissible.  </w:t>
      </w:r>
      <w:r>
        <w:rPr>
          <w:i/>
        </w:rPr>
        <w:t xml:space="preserve">See </w:t>
      </w:r>
      <w:r>
        <w:t xml:space="preserve">47 C.F.R. § 1.1206(b).  </w:t>
      </w:r>
    </w:p>
  </w:footnote>
  <w:footnote w:id="133">
    <w:p w14:paraId="48602B9F" w14:textId="70FD03AA" w:rsidR="00AA275F" w:rsidRDefault="00AA275F">
      <w:pPr>
        <w:pStyle w:val="FootnoteText"/>
      </w:pPr>
      <w:r>
        <w:rPr>
          <w:rStyle w:val="FootnoteReference"/>
        </w:rPr>
        <w:footnoteRef/>
      </w:r>
      <w:r>
        <w:t xml:space="preserve"> For example, one of the referenced requirements would place obligations on FirstNet’s sharing agreement.  This does not relate to technical interoperability of the state RAN within the Commission’s scope of review.  </w:t>
      </w:r>
    </w:p>
  </w:footnote>
  <w:footnote w:id="134">
    <w:p w14:paraId="18FAF642" w14:textId="1F7058A1" w:rsidR="00AA275F" w:rsidRDefault="00AA275F" w:rsidP="005067AB">
      <w:pPr>
        <w:pStyle w:val="FootnoteText"/>
      </w:pPr>
      <w:r>
        <w:rPr>
          <w:rStyle w:val="FootnoteReference"/>
        </w:rPr>
        <w:footnoteRef/>
      </w:r>
      <w:r>
        <w:t xml:space="preserve"> </w:t>
      </w:r>
      <w:r w:rsidRPr="0005172A">
        <w:t>P</w:t>
      </w:r>
      <w:r>
        <w:t>ublic Safety Spectrum Act § 6302(e)(3)(C</w:t>
      </w:r>
      <w:r w:rsidRPr="0005172A">
        <w:t>)</w:t>
      </w:r>
      <w:r>
        <w:t>(i)(I)</w:t>
      </w:r>
      <w:r w:rsidRPr="0005172A">
        <w:t>.</w:t>
      </w:r>
    </w:p>
  </w:footnote>
  <w:footnote w:id="135">
    <w:p w14:paraId="4254040D" w14:textId="2480F7CA" w:rsidR="00AA275F" w:rsidRDefault="00AA275F" w:rsidP="0005172A">
      <w:pPr>
        <w:pStyle w:val="FootnoteText"/>
      </w:pPr>
      <w:r>
        <w:rPr>
          <w:rStyle w:val="FootnoteReference"/>
        </w:rPr>
        <w:footnoteRef/>
      </w:r>
      <w:r>
        <w:t xml:space="preserve"> </w:t>
      </w:r>
      <w:r>
        <w:rPr>
          <w:i/>
        </w:rPr>
        <w:t>NPRM</w:t>
      </w:r>
      <w:r w:rsidRPr="00E90896">
        <w:t xml:space="preserve">, </w:t>
      </w:r>
      <w:r>
        <w:t>31 FCC Rcd at 10276, para 70.</w:t>
      </w:r>
    </w:p>
  </w:footnote>
  <w:footnote w:id="136">
    <w:p w14:paraId="2C2C2BE2" w14:textId="1CD1994C" w:rsidR="00AA275F" w:rsidRPr="00987862" w:rsidRDefault="00AA275F" w:rsidP="00A1267B">
      <w:pPr>
        <w:pStyle w:val="FootnoteText"/>
        <w:tabs>
          <w:tab w:val="left" w:pos="5536"/>
        </w:tabs>
        <w:rPr>
          <w:i/>
        </w:rPr>
      </w:pPr>
      <w:r>
        <w:rPr>
          <w:rStyle w:val="FootnoteReference"/>
        </w:rPr>
        <w:footnoteRef/>
      </w:r>
      <w:r>
        <w:t xml:space="preserve"> </w:t>
      </w:r>
      <w:r>
        <w:rPr>
          <w:i/>
        </w:rPr>
        <w:t>Id.</w:t>
      </w:r>
    </w:p>
  </w:footnote>
  <w:footnote w:id="137">
    <w:p w14:paraId="41275D3B" w14:textId="3125C665" w:rsidR="00AA275F" w:rsidRDefault="00AA275F" w:rsidP="00FB168E">
      <w:pPr>
        <w:pStyle w:val="FootnoteText"/>
      </w:pPr>
      <w:r>
        <w:rPr>
          <w:rStyle w:val="FootnoteReference"/>
        </w:rPr>
        <w:footnoteRef/>
      </w:r>
      <w:r>
        <w:t xml:space="preserve"> </w:t>
      </w:r>
      <w:r>
        <w:rPr>
          <w:i/>
        </w:rPr>
        <w:t xml:space="preserve">Id. </w:t>
      </w:r>
      <w:r w:rsidRPr="00B46573">
        <w:t>at</w:t>
      </w:r>
      <w:r w:rsidRPr="00CE7592">
        <w:t xml:space="preserve"> </w:t>
      </w:r>
      <w:r>
        <w:t>para. 67.</w:t>
      </w:r>
    </w:p>
  </w:footnote>
  <w:footnote w:id="138">
    <w:p w14:paraId="6DC2A76A" w14:textId="3A02B285" w:rsidR="00AA275F" w:rsidRDefault="00AA275F" w:rsidP="005067AB">
      <w:pPr>
        <w:pStyle w:val="FootnoteText"/>
      </w:pPr>
      <w:r>
        <w:rPr>
          <w:rStyle w:val="FootnoteReference"/>
        </w:rPr>
        <w:footnoteRef/>
      </w:r>
      <w:r>
        <w:t xml:space="preserve"> FNCGB Comments at 15; Fairfax Comments at 10; SouthernLinc Comments at 14.</w:t>
      </w:r>
    </w:p>
  </w:footnote>
  <w:footnote w:id="139">
    <w:p w14:paraId="5F9D6C97" w14:textId="14876C2A" w:rsidR="00AA275F" w:rsidRDefault="00AA275F" w:rsidP="005067AB">
      <w:pPr>
        <w:pStyle w:val="FootnoteText"/>
      </w:pPr>
      <w:r>
        <w:rPr>
          <w:rStyle w:val="FootnoteReference"/>
        </w:rPr>
        <w:footnoteRef/>
      </w:r>
      <w:r>
        <w:t xml:space="preserve"> APCO Comments at 8-9; NASCIO Comments at 4.</w:t>
      </w:r>
    </w:p>
  </w:footnote>
  <w:footnote w:id="140">
    <w:p w14:paraId="73606707" w14:textId="714B9F06" w:rsidR="00AA275F" w:rsidRDefault="00AA275F" w:rsidP="00C2230A">
      <w:pPr>
        <w:pStyle w:val="FootnoteText"/>
      </w:pPr>
      <w:r>
        <w:rPr>
          <w:rStyle w:val="FootnoteReference"/>
        </w:rPr>
        <w:footnoteRef/>
      </w:r>
      <w:r>
        <w:t xml:space="preserve"> APCO Comments at 8; DVA Comments at 9; Illinois Comments at 15-16.</w:t>
      </w:r>
    </w:p>
  </w:footnote>
  <w:footnote w:id="141">
    <w:p w14:paraId="545D6C82" w14:textId="68934BD5" w:rsidR="00AA275F" w:rsidRDefault="00AA275F" w:rsidP="00C2230A">
      <w:pPr>
        <w:pStyle w:val="FootnoteText"/>
      </w:pPr>
      <w:r>
        <w:rPr>
          <w:rStyle w:val="FootnoteReference"/>
        </w:rPr>
        <w:footnoteRef/>
      </w:r>
      <w:r>
        <w:t xml:space="preserve"> Alabama Comments at 10; FNCGB Comments at 14-15; TXPSBP Comments at 9-10.</w:t>
      </w:r>
    </w:p>
  </w:footnote>
  <w:footnote w:id="142">
    <w:p w14:paraId="1F940FF3" w14:textId="77777777" w:rsidR="00AA275F" w:rsidRDefault="00AA275F" w:rsidP="00786E09">
      <w:pPr>
        <w:pStyle w:val="FootnoteText"/>
      </w:pPr>
      <w:r>
        <w:rPr>
          <w:rStyle w:val="FootnoteReference"/>
        </w:rPr>
        <w:footnoteRef/>
      </w:r>
      <w:r>
        <w:t xml:space="preserve"> FirstNet Comments at 12.</w:t>
      </w:r>
    </w:p>
  </w:footnote>
  <w:footnote w:id="143">
    <w:p w14:paraId="0E349746" w14:textId="77777777" w:rsidR="00AA275F" w:rsidRDefault="00AA275F" w:rsidP="00786E09">
      <w:pPr>
        <w:pStyle w:val="FootnoteText"/>
      </w:pPr>
      <w:r>
        <w:rPr>
          <w:rStyle w:val="FootnoteReference"/>
        </w:rPr>
        <w:footnoteRef/>
      </w:r>
      <w:r>
        <w:t xml:space="preserve"> FNCGB Comments at 14; Illinois Comments at 14; NASCIO Comments at 4; TXPSBP Comments at 6-7.</w:t>
      </w:r>
    </w:p>
  </w:footnote>
  <w:footnote w:id="144">
    <w:p w14:paraId="27547E82" w14:textId="72F579BE" w:rsidR="00AA275F" w:rsidRDefault="00AA275F">
      <w:pPr>
        <w:pStyle w:val="FootnoteText"/>
      </w:pPr>
      <w:r>
        <w:rPr>
          <w:rStyle w:val="FootnoteReference"/>
        </w:rPr>
        <w:footnoteRef/>
      </w:r>
      <w:r>
        <w:t xml:space="preserve"> Texas Comments at 7.</w:t>
      </w:r>
    </w:p>
  </w:footnote>
  <w:footnote w:id="145">
    <w:p w14:paraId="22D9A864" w14:textId="77777777" w:rsidR="00AA275F" w:rsidRPr="007C7843" w:rsidRDefault="00AA275F" w:rsidP="007661C1">
      <w:pPr>
        <w:pStyle w:val="FootnoteText"/>
      </w:pPr>
      <w:r>
        <w:rPr>
          <w:rStyle w:val="FootnoteReference"/>
        </w:rPr>
        <w:footnoteRef/>
      </w:r>
      <w:r>
        <w:t xml:space="preserve"> FirstNet June 5 </w:t>
      </w:r>
      <w:r w:rsidRPr="007661C1">
        <w:rPr>
          <w:i/>
        </w:rPr>
        <w:t>Ex Parte</w:t>
      </w:r>
      <w:r>
        <w:t>.</w:t>
      </w:r>
    </w:p>
  </w:footnote>
  <w:footnote w:id="146">
    <w:p w14:paraId="131DD315" w14:textId="77777777" w:rsidR="00AA275F" w:rsidRPr="006656CC" w:rsidRDefault="00AA275F" w:rsidP="007661C1">
      <w:pPr>
        <w:pStyle w:val="FootnoteText"/>
      </w:pPr>
      <w:r>
        <w:rPr>
          <w:rStyle w:val="FootnoteReference"/>
        </w:rPr>
        <w:footnoteRef/>
      </w:r>
      <w:r>
        <w:t xml:space="preserve"> FirstNet June 16 </w:t>
      </w:r>
      <w:r w:rsidRPr="007661C1">
        <w:rPr>
          <w:i/>
        </w:rPr>
        <w:t>Ex Parte</w:t>
      </w:r>
      <w:r>
        <w:t xml:space="preserve"> and spreadsheet.  Recommended requirement [4] states that hardware and software systems comprising the NPSBN SHALL support APNs defined for PSAN usage, whereas recommended requirement [5] states that hardware and software systems comprising the NPSBN SHALL support nationwide APNs for interoperability.  </w:t>
      </w:r>
      <w:r>
        <w:rPr>
          <w:i/>
        </w:rPr>
        <w:t xml:space="preserve">See </w:t>
      </w:r>
      <w:r>
        <w:t xml:space="preserve">Interoperability Board Report at 1.3.1.  </w:t>
      </w:r>
    </w:p>
  </w:footnote>
  <w:footnote w:id="147">
    <w:p w14:paraId="6B02E6D6" w14:textId="771D750A" w:rsidR="00AA275F" w:rsidRDefault="00AA275F" w:rsidP="003F05DE">
      <w:pPr>
        <w:pStyle w:val="FootnoteText"/>
      </w:pPr>
      <w:r>
        <w:rPr>
          <w:rStyle w:val="FootnoteReference"/>
        </w:rPr>
        <w:footnoteRef/>
      </w:r>
      <w:r w:rsidRPr="0060197F">
        <w:t xml:space="preserve"> Alabama Comments at 9-10, FNCGB Reply Comments at 8, </w:t>
      </w:r>
      <w:r>
        <w:t xml:space="preserve">Rivada June 15 </w:t>
      </w:r>
      <w:r>
        <w:rPr>
          <w:i/>
        </w:rPr>
        <w:t>Ex Parte</w:t>
      </w:r>
      <w:r>
        <w:t xml:space="preserve"> at 3 </w:t>
      </w:r>
      <w:r w:rsidRPr="0060197F">
        <w:t>and SouthernLinc Comments at 5</w:t>
      </w:r>
      <w:r>
        <w:t>.</w:t>
      </w:r>
    </w:p>
  </w:footnote>
  <w:footnote w:id="148">
    <w:p w14:paraId="5AC6CEEE" w14:textId="356A30F1" w:rsidR="00AA275F" w:rsidRPr="004C10C8" w:rsidRDefault="00AA275F">
      <w:pPr>
        <w:pStyle w:val="FootnoteText"/>
      </w:pPr>
      <w:r>
        <w:rPr>
          <w:rStyle w:val="FootnoteReference"/>
        </w:rPr>
        <w:footnoteRef/>
      </w:r>
      <w:r>
        <w:t xml:space="preserve"> FirstNet June 16 </w:t>
      </w:r>
      <w:r w:rsidRPr="007661C1">
        <w:rPr>
          <w:i/>
        </w:rPr>
        <w:t>Ex Parte</w:t>
      </w:r>
      <w:r>
        <w:t xml:space="preserve"> and attached spreadsheet.  </w:t>
      </w:r>
    </w:p>
  </w:footnote>
  <w:footnote w:id="149">
    <w:p w14:paraId="425846A1" w14:textId="4A27982C" w:rsidR="00AA275F" w:rsidRDefault="00AA275F">
      <w:pPr>
        <w:pStyle w:val="FootnoteText"/>
      </w:pPr>
      <w:r>
        <w:rPr>
          <w:rStyle w:val="FootnoteReference"/>
        </w:rPr>
        <w:footnoteRef/>
      </w:r>
      <w:r>
        <w:t xml:space="preserve"> FirstNet Reply Comments at 7-8; APCO Reply Comments at 2; Letter, dated June 14, 2017, from Kenneth S. Fellman, on behalf of the FNCGB, to Marlene H. Dortch, Secretary, Federal Communications Commission, at 5 (filed June 14, 2017)(FNCGB June 14 </w:t>
      </w:r>
      <w:r w:rsidRPr="007661C1">
        <w:rPr>
          <w:i/>
        </w:rPr>
        <w:t>Ex Parte</w:t>
      </w:r>
      <w:r>
        <w:t xml:space="preserve">)(supporting inclusion of a core, but similarly supporting limiting Commission review solely to interoperability); Letter, dated June 14, 2017, from Trey Hanbury, on behalf of SouthernLinc, to Marlene H. Dortch, Secretary, Federal Communications Commission, at 5 (filed June 14, 2017)(SouthernLinc June 14 </w:t>
      </w:r>
      <w:r w:rsidRPr="007661C1">
        <w:rPr>
          <w:i/>
        </w:rPr>
        <w:t>Ex Parte</w:t>
      </w:r>
      <w:r>
        <w:t>)(“The Draft Order’s silence on core network architectures properly reflects the scope of the Commission’s review authority”).</w:t>
      </w:r>
    </w:p>
  </w:footnote>
  <w:footnote w:id="150">
    <w:p w14:paraId="642228F8" w14:textId="3ACC1C5A" w:rsidR="00AA275F" w:rsidRDefault="00AA275F">
      <w:pPr>
        <w:pStyle w:val="FootnoteText"/>
      </w:pPr>
      <w:r>
        <w:rPr>
          <w:rStyle w:val="FootnoteReference"/>
        </w:rPr>
        <w:footnoteRef/>
      </w:r>
      <w:r>
        <w:t xml:space="preserve"> </w:t>
      </w:r>
      <w:r>
        <w:rPr>
          <w:i/>
        </w:rPr>
        <w:t>NPRM</w:t>
      </w:r>
      <w:r w:rsidRPr="00E90896">
        <w:t xml:space="preserve">, </w:t>
      </w:r>
      <w:r>
        <w:t>31 FCC Rcd at 10276, para 71.</w:t>
      </w:r>
    </w:p>
  </w:footnote>
  <w:footnote w:id="151">
    <w:p w14:paraId="0A165817" w14:textId="549DC940" w:rsidR="00AA275F" w:rsidRPr="002F1C16" w:rsidRDefault="00AA275F">
      <w:pPr>
        <w:pStyle w:val="FootnoteText"/>
        <w:rPr>
          <w:i/>
        </w:rPr>
      </w:pPr>
      <w:r>
        <w:rPr>
          <w:rStyle w:val="FootnoteReference"/>
        </w:rPr>
        <w:footnoteRef/>
      </w:r>
      <w:r>
        <w:t xml:space="preserve"> </w:t>
      </w:r>
      <w:r>
        <w:rPr>
          <w:i/>
        </w:rPr>
        <w:t>Id.</w:t>
      </w:r>
    </w:p>
  </w:footnote>
  <w:footnote w:id="152">
    <w:p w14:paraId="3C85625C" w14:textId="77777777" w:rsidR="00AA275F" w:rsidRPr="002F1C16" w:rsidRDefault="00AA275F" w:rsidP="002F1C16">
      <w:pPr>
        <w:pStyle w:val="FootnoteText"/>
        <w:rPr>
          <w:i/>
        </w:rPr>
      </w:pPr>
      <w:r>
        <w:rPr>
          <w:rStyle w:val="FootnoteReference"/>
        </w:rPr>
        <w:footnoteRef/>
      </w:r>
      <w:r>
        <w:t xml:space="preserve"> </w:t>
      </w:r>
      <w:r>
        <w:rPr>
          <w:i/>
        </w:rPr>
        <w:t>Id.</w:t>
      </w:r>
    </w:p>
  </w:footnote>
  <w:footnote w:id="153">
    <w:p w14:paraId="262DDC9F" w14:textId="77777777" w:rsidR="00AA275F" w:rsidRPr="002F1C16" w:rsidRDefault="00AA275F" w:rsidP="002F1C16">
      <w:pPr>
        <w:pStyle w:val="FootnoteText"/>
        <w:rPr>
          <w:i/>
        </w:rPr>
      </w:pPr>
      <w:r>
        <w:rPr>
          <w:rStyle w:val="FootnoteReference"/>
        </w:rPr>
        <w:footnoteRef/>
      </w:r>
      <w:r>
        <w:t xml:space="preserve"> </w:t>
      </w:r>
      <w:r>
        <w:rPr>
          <w:i/>
        </w:rPr>
        <w:t>Id.</w:t>
      </w:r>
    </w:p>
  </w:footnote>
  <w:footnote w:id="154">
    <w:p w14:paraId="52660C19" w14:textId="67F89746" w:rsidR="00AA275F" w:rsidRDefault="00AA275F" w:rsidP="006B5E1D">
      <w:pPr>
        <w:pStyle w:val="FootnoteText"/>
      </w:pPr>
      <w:r>
        <w:rPr>
          <w:rStyle w:val="FootnoteReference"/>
        </w:rPr>
        <w:footnoteRef/>
      </w:r>
      <w:r>
        <w:t xml:space="preserve"> </w:t>
      </w:r>
      <w:r>
        <w:rPr>
          <w:i/>
        </w:rPr>
        <w:t xml:space="preserve">Id., </w:t>
      </w:r>
      <w:r>
        <w:t>at 10277, para 72.</w:t>
      </w:r>
    </w:p>
  </w:footnote>
  <w:footnote w:id="155">
    <w:p w14:paraId="19EAD78B" w14:textId="7C549AD9" w:rsidR="00AA275F" w:rsidRPr="006B5E1D" w:rsidRDefault="00AA275F">
      <w:pPr>
        <w:pStyle w:val="FootnoteText"/>
        <w:rPr>
          <w:i/>
        </w:rPr>
      </w:pPr>
      <w:r>
        <w:rPr>
          <w:rStyle w:val="FootnoteReference"/>
        </w:rPr>
        <w:footnoteRef/>
      </w:r>
      <w:r>
        <w:t xml:space="preserve"> </w:t>
      </w:r>
      <w:r>
        <w:rPr>
          <w:i/>
        </w:rPr>
        <w:t>Id.</w:t>
      </w:r>
    </w:p>
  </w:footnote>
  <w:footnote w:id="156">
    <w:p w14:paraId="2892909A" w14:textId="46CAB12E" w:rsidR="00AA275F" w:rsidRDefault="00AA275F">
      <w:pPr>
        <w:pStyle w:val="FootnoteText"/>
      </w:pPr>
      <w:r>
        <w:rPr>
          <w:rStyle w:val="FootnoteReference"/>
        </w:rPr>
        <w:footnoteRef/>
      </w:r>
      <w:r>
        <w:t xml:space="preserve"> Alabama Comments at 11; DVA Comments at 10; Fairfax Comments at 10; Illinois Comments at 17.</w:t>
      </w:r>
    </w:p>
  </w:footnote>
  <w:footnote w:id="157">
    <w:p w14:paraId="3654FEFE" w14:textId="29FA7EE3" w:rsidR="00AA275F" w:rsidRDefault="00AA275F">
      <w:pPr>
        <w:pStyle w:val="FootnoteText"/>
      </w:pPr>
      <w:r>
        <w:rPr>
          <w:rStyle w:val="FootnoteReference"/>
        </w:rPr>
        <w:footnoteRef/>
      </w:r>
      <w:r>
        <w:t xml:space="preserve"> FNCGB Comments at 16; DVA Comments at 11; NASCIO Comments at 4 (self-certification limited to those situations where a factual showing is not currently feasible.)</w:t>
      </w:r>
    </w:p>
  </w:footnote>
  <w:footnote w:id="158">
    <w:p w14:paraId="24C6EEB4" w14:textId="5ADB9553" w:rsidR="00AA275F" w:rsidRDefault="00AA275F">
      <w:pPr>
        <w:pStyle w:val="FootnoteText"/>
      </w:pPr>
      <w:r>
        <w:rPr>
          <w:rStyle w:val="FootnoteReference"/>
        </w:rPr>
        <w:footnoteRef/>
      </w:r>
      <w:r>
        <w:t xml:space="preserve"> Illinois Comments at 17-18.  However, there is opposition to third-party certification.  </w:t>
      </w:r>
      <w:r>
        <w:rPr>
          <w:i/>
        </w:rPr>
        <w:t xml:space="preserve">See </w:t>
      </w:r>
      <w:r>
        <w:t>Nevada Comments at 9; Pennsylvania Comments at 9.</w:t>
      </w:r>
    </w:p>
  </w:footnote>
  <w:footnote w:id="159">
    <w:p w14:paraId="038DB7A8" w14:textId="06FFD1FB" w:rsidR="00AA275F" w:rsidRDefault="00AA275F">
      <w:pPr>
        <w:pStyle w:val="FootnoteText"/>
      </w:pPr>
      <w:r>
        <w:rPr>
          <w:rStyle w:val="FootnoteReference"/>
        </w:rPr>
        <w:footnoteRef/>
      </w:r>
      <w:r>
        <w:t xml:space="preserve"> FirstNet Comments at 14-15.</w:t>
      </w:r>
    </w:p>
  </w:footnote>
  <w:footnote w:id="160">
    <w:p w14:paraId="1C38F66D" w14:textId="46D059E8" w:rsidR="00AA275F" w:rsidRDefault="00AA275F" w:rsidP="004C166C">
      <w:pPr>
        <w:pStyle w:val="FootnoteText"/>
      </w:pPr>
      <w:r>
        <w:rPr>
          <w:rStyle w:val="FootnoteReference"/>
        </w:rPr>
        <w:footnoteRef/>
      </w:r>
      <w:r>
        <w:t xml:space="preserve"> </w:t>
      </w:r>
      <w:r>
        <w:rPr>
          <w:i/>
        </w:rPr>
        <w:t>NPRM</w:t>
      </w:r>
      <w:r w:rsidRPr="00E90896">
        <w:t xml:space="preserve">, </w:t>
      </w:r>
      <w:r>
        <w:t xml:space="preserve">31 FCC Rcd at 10277, para. 73 </w:t>
      </w:r>
      <w:r>
        <w:rPr>
          <w:i/>
        </w:rPr>
        <w:t xml:space="preserve">citing </w:t>
      </w:r>
      <w:r>
        <w:t xml:space="preserve">Pub. L. No. 112-96 </w:t>
      </w:r>
      <w:r>
        <w:rPr>
          <w:shd w:val="clear" w:color="auto" w:fill="FFFFFF"/>
        </w:rPr>
        <w:t xml:space="preserve">§ 6302(h)(2). </w:t>
      </w:r>
    </w:p>
  </w:footnote>
  <w:footnote w:id="161">
    <w:p w14:paraId="19786E78" w14:textId="5ACFD1F0" w:rsidR="00AA275F" w:rsidRPr="00BC3DD1" w:rsidRDefault="00AA275F" w:rsidP="00BC3DD1">
      <w:pPr>
        <w:pStyle w:val="FootnoteText"/>
      </w:pPr>
      <w:r>
        <w:rPr>
          <w:rStyle w:val="FootnoteReference"/>
        </w:rPr>
        <w:footnoteRef/>
      </w:r>
      <w:r>
        <w:t xml:space="preserve"> Alabama Comments at 11; FNCGB Comments at 17; DVA Comments at 12.  </w:t>
      </w:r>
      <w:r>
        <w:rPr>
          <w:i/>
        </w:rPr>
        <w:t>But see</w:t>
      </w:r>
      <w:r>
        <w:t xml:space="preserve"> APCO Comments at 9</w:t>
      </w:r>
      <w:r w:rsidRPr="00BC3DD1">
        <w:t xml:space="preserve"> </w:t>
      </w:r>
      <w:r>
        <w:t>(arguing that providing a written explanation of the Commission’s decision would be of no import or relevance to the standard of review set by Section 6302(h) of the Act and would impose delays).</w:t>
      </w:r>
    </w:p>
  </w:footnote>
  <w:footnote w:id="162">
    <w:p w14:paraId="13BF46AA" w14:textId="79F5AF58" w:rsidR="00AA275F" w:rsidRDefault="00AA275F" w:rsidP="00B556EB">
      <w:pPr>
        <w:pStyle w:val="FootnoteText"/>
      </w:pPr>
      <w:r>
        <w:rPr>
          <w:rStyle w:val="FootnoteReference"/>
        </w:rPr>
        <w:footnoteRef/>
      </w:r>
      <w:r>
        <w:t xml:space="preserve"> 5 U.S.C. § 601 </w:t>
      </w:r>
      <w:r>
        <w:rPr>
          <w:i/>
        </w:rPr>
        <w:t>et seq</w:t>
      </w:r>
      <w:r>
        <w:t>.</w:t>
      </w:r>
    </w:p>
  </w:footnote>
  <w:footnote w:id="163">
    <w:p w14:paraId="7A524318" w14:textId="77777777" w:rsidR="00AA275F" w:rsidRDefault="00AA275F" w:rsidP="00B556EB">
      <w:pPr>
        <w:pStyle w:val="FootnoteText"/>
      </w:pPr>
      <w:r>
        <w:rPr>
          <w:rStyle w:val="FootnoteReference"/>
        </w:rPr>
        <w:footnoteRef/>
      </w:r>
      <w:r>
        <w:t xml:space="preserve"> </w:t>
      </w:r>
      <w:r>
        <w:rPr>
          <w:i/>
          <w:iCs/>
        </w:rPr>
        <w:t xml:space="preserve">See </w:t>
      </w:r>
      <w:r>
        <w:t>44 U.S.C. § 3506(c)(4).</w:t>
      </w:r>
    </w:p>
  </w:footnote>
  <w:footnote w:id="164">
    <w:p w14:paraId="40E4ED86" w14:textId="77777777" w:rsidR="00AA275F" w:rsidRDefault="00AA275F" w:rsidP="00B556EB">
      <w:pPr>
        <w:pStyle w:val="FootnoteText"/>
      </w:pPr>
      <w:r>
        <w:rPr>
          <w:rStyle w:val="FootnoteReference"/>
        </w:rPr>
        <w:footnoteRef/>
      </w:r>
      <w:r>
        <w:t xml:space="preserve"> </w:t>
      </w:r>
      <w:r>
        <w:rPr>
          <w:i/>
          <w:iCs/>
        </w:rPr>
        <w:t>See</w:t>
      </w:r>
      <w:r>
        <w:t xml:space="preserve"> 5 U.S.C. § 801(a)(1)(A).</w:t>
      </w:r>
    </w:p>
  </w:footnote>
  <w:footnote w:id="165">
    <w:p w14:paraId="06A097F5" w14:textId="77777777" w:rsidR="00AA275F" w:rsidRDefault="00AA275F" w:rsidP="00793E36">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166">
    <w:p w14:paraId="59F23C7D" w14:textId="77777777" w:rsidR="00AA275F" w:rsidRDefault="00AA275F" w:rsidP="00793E36">
      <w:pPr>
        <w:pStyle w:val="FootnoteText"/>
      </w:pPr>
      <w:r>
        <w:rPr>
          <w:rStyle w:val="FootnoteReference"/>
        </w:rPr>
        <w:footnoteRef/>
      </w:r>
      <w:r>
        <w:t xml:space="preserve"> </w:t>
      </w:r>
      <w:r w:rsidRPr="00651442">
        <w:t>5 U.S.C. § 605(b).</w:t>
      </w:r>
    </w:p>
  </w:footnote>
  <w:footnote w:id="167">
    <w:p w14:paraId="3D0760E0" w14:textId="77777777" w:rsidR="00AA275F" w:rsidRDefault="00AA275F" w:rsidP="00793E36">
      <w:pPr>
        <w:pStyle w:val="FootnoteText"/>
      </w:pPr>
      <w:r>
        <w:rPr>
          <w:rStyle w:val="FootnoteReference"/>
        </w:rPr>
        <w:footnoteRef/>
      </w:r>
      <w:r>
        <w:t xml:space="preserve"> </w:t>
      </w:r>
      <w:r w:rsidRPr="00651442">
        <w:t>5 U.S.C. § 601(6).</w:t>
      </w:r>
    </w:p>
  </w:footnote>
  <w:footnote w:id="168">
    <w:p w14:paraId="5F1C4691" w14:textId="77777777" w:rsidR="00AA275F" w:rsidRDefault="00AA275F" w:rsidP="00793E36">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69">
    <w:p w14:paraId="5ACC16AB" w14:textId="77777777" w:rsidR="00AA275F" w:rsidRDefault="00AA275F" w:rsidP="00793E36">
      <w:pPr>
        <w:pStyle w:val="FootnoteText"/>
      </w:pPr>
      <w:r>
        <w:rPr>
          <w:rStyle w:val="FootnoteReference"/>
        </w:rPr>
        <w:footnoteRef/>
      </w:r>
      <w:r>
        <w:t xml:space="preserve"> </w:t>
      </w:r>
      <w:r w:rsidRPr="00651442">
        <w:t>15 U.S.C. § 632.</w:t>
      </w:r>
    </w:p>
  </w:footnote>
  <w:footnote w:id="170">
    <w:p w14:paraId="628E90D6" w14:textId="09352444" w:rsidR="00AA275F" w:rsidRDefault="00AA275F" w:rsidP="000A5F98">
      <w:pPr>
        <w:pStyle w:val="FootnoteText"/>
      </w:pPr>
      <w:r>
        <w:rPr>
          <w:rStyle w:val="FootnoteReference"/>
        </w:rPr>
        <w:footnoteRef/>
      </w:r>
      <w:r>
        <w:t xml:space="preserve"> </w:t>
      </w:r>
      <w:r>
        <w:rPr>
          <w:i/>
        </w:rPr>
        <w:t xml:space="preserve">See </w:t>
      </w:r>
      <w:r w:rsidRPr="00A177A1">
        <w:rPr>
          <w:i/>
        </w:rPr>
        <w:t>Procedures for Commission Review of State Opt-Out Request from the FirstNet Radio Access Network</w:t>
      </w:r>
      <w:r>
        <w:rPr>
          <w:i/>
        </w:rPr>
        <w:t xml:space="preserve"> et. al.</w:t>
      </w:r>
      <w:r>
        <w:t xml:space="preserve">, PS Docket 16-269, </w:t>
      </w:r>
      <w:r w:rsidRPr="005615CB">
        <w:t>Report and Order and Notice of Proposed Rulemaking</w:t>
      </w:r>
      <w:r>
        <w:t>, 31 FCC Rcd 10253 at 10284, Appendix C.</w:t>
      </w:r>
      <w:r w:rsidRPr="00596CD4">
        <w:rPr>
          <w:b/>
        </w:rPr>
        <w:t xml:space="preserve">  </w:t>
      </w:r>
    </w:p>
  </w:footnote>
  <w:footnote w:id="171">
    <w:p w14:paraId="12573F1B" w14:textId="77777777" w:rsidR="00AA275F" w:rsidRDefault="00AA275F" w:rsidP="000A5F98">
      <w:pPr>
        <w:pStyle w:val="FootnoteText"/>
      </w:pPr>
      <w:r>
        <w:rPr>
          <w:rStyle w:val="FootnoteReference"/>
        </w:rPr>
        <w:footnoteRef/>
      </w:r>
      <w:r>
        <w:t xml:space="preserve"> </w:t>
      </w:r>
      <w:r>
        <w:rPr>
          <w:i/>
        </w:rPr>
        <w:t xml:space="preserve">Id. </w:t>
      </w:r>
      <w:r>
        <w:t>at 10254, para 2.</w:t>
      </w:r>
    </w:p>
  </w:footnote>
  <w:footnote w:id="172">
    <w:p w14:paraId="381CAEB9" w14:textId="77777777" w:rsidR="00AA275F" w:rsidRDefault="00AA275F" w:rsidP="000A5F98">
      <w:pPr>
        <w:pStyle w:val="FootnoteText"/>
      </w:pPr>
      <w:r>
        <w:rPr>
          <w:rStyle w:val="FootnoteReference"/>
        </w:rPr>
        <w:footnoteRef/>
      </w:r>
      <w:r>
        <w:t xml:space="preserve"> </w:t>
      </w:r>
      <w:r>
        <w:rPr>
          <w:i/>
        </w:rPr>
        <w:t>Id.</w:t>
      </w:r>
      <w:r>
        <w:t xml:space="preserve"> at 10284.</w:t>
      </w:r>
    </w:p>
  </w:footnote>
  <w:footnote w:id="173">
    <w:p w14:paraId="3F67C6B9" w14:textId="77777777" w:rsidR="00AA275F" w:rsidRDefault="00AA275F" w:rsidP="00793E36">
      <w:pPr>
        <w:pStyle w:val="FootnoteText"/>
      </w:pPr>
      <w:r>
        <w:rPr>
          <w:rStyle w:val="FootnoteReference"/>
        </w:rPr>
        <w:footnoteRef/>
      </w:r>
      <w:r>
        <w:t xml:space="preserve"> </w:t>
      </w:r>
      <w:r>
        <w:rPr>
          <w:i/>
        </w:rPr>
        <w:t>See</w:t>
      </w:r>
      <w:r>
        <w:t xml:space="preserve"> 5 U.S.C. § 605(b). </w:t>
      </w:r>
    </w:p>
  </w:footnote>
  <w:footnote w:id="174">
    <w:p w14:paraId="0B3F870B" w14:textId="77777777" w:rsidR="00AA275F" w:rsidRDefault="00AA275F" w:rsidP="00793E36">
      <w:pPr>
        <w:pStyle w:val="FootnoteText"/>
      </w:pPr>
      <w:r>
        <w:rPr>
          <w:rStyle w:val="FootnoteReference"/>
        </w:rPr>
        <w:footnoteRef/>
      </w:r>
      <w:r>
        <w:t xml:space="preserve"> Middle Class Tax Relief and Job Creation Act of 2012, Pub. L. No. 112-96, 126 Stat. 156 (2012).</w:t>
      </w:r>
    </w:p>
  </w:footnote>
  <w:footnote w:id="175">
    <w:p w14:paraId="1F2C70B0" w14:textId="77777777" w:rsidR="00AA275F" w:rsidRDefault="00AA275F" w:rsidP="00793E36">
      <w:pPr>
        <w:pStyle w:val="FootnoteText"/>
      </w:pPr>
      <w:r>
        <w:rPr>
          <w:rStyle w:val="FootnoteReference"/>
        </w:rPr>
        <w:footnoteRef/>
      </w:r>
      <w:r>
        <w:t xml:space="preserve"> </w:t>
      </w:r>
      <w:r>
        <w:rPr>
          <w:i/>
          <w:iCs/>
        </w:rPr>
        <w:t>See id.</w:t>
      </w:r>
      <w:r>
        <w:t xml:space="preserve"> § 6204.</w:t>
      </w:r>
    </w:p>
  </w:footnote>
  <w:footnote w:id="176">
    <w:p w14:paraId="06EBD28D" w14:textId="77777777" w:rsidR="00AA275F" w:rsidRDefault="00AA275F" w:rsidP="00793E36">
      <w:pPr>
        <w:pStyle w:val="FootnoteText"/>
      </w:pPr>
      <w:r>
        <w:rPr>
          <w:rStyle w:val="FootnoteReference"/>
        </w:rPr>
        <w:footnoteRef/>
      </w:r>
      <w:r>
        <w:t xml:space="preserve"> </w:t>
      </w:r>
      <w:r>
        <w:rPr>
          <w:i/>
          <w:iCs/>
        </w:rPr>
        <w:t>See id.</w:t>
      </w:r>
      <w:r>
        <w:t xml:space="preserve"> § 6101.</w:t>
      </w:r>
    </w:p>
  </w:footnote>
  <w:footnote w:id="177">
    <w:p w14:paraId="1FF9310F" w14:textId="77777777" w:rsidR="00AA275F" w:rsidRDefault="00AA275F" w:rsidP="00793E36">
      <w:pPr>
        <w:pStyle w:val="FootnoteText"/>
      </w:pPr>
      <w:r>
        <w:rPr>
          <w:rStyle w:val="FootnoteReference"/>
        </w:rPr>
        <w:footnoteRef/>
      </w:r>
      <w:r>
        <w:t xml:space="preserve"> </w:t>
      </w:r>
      <w:r>
        <w:rPr>
          <w:i/>
          <w:iCs/>
        </w:rPr>
        <w:t>See id.</w:t>
      </w:r>
      <w:r>
        <w:t xml:space="preserve"> § 6201(a).</w:t>
      </w:r>
    </w:p>
  </w:footnote>
  <w:footnote w:id="178">
    <w:p w14:paraId="35DBCB04" w14:textId="77777777" w:rsidR="00AA275F" w:rsidRDefault="00AA275F" w:rsidP="00793E36">
      <w:pPr>
        <w:pStyle w:val="FootnoteText"/>
      </w:pPr>
      <w:r>
        <w:rPr>
          <w:rStyle w:val="FootnoteReference"/>
        </w:rPr>
        <w:footnoteRef/>
      </w:r>
      <w:r>
        <w:t xml:space="preserve"> </w:t>
      </w:r>
      <w:r>
        <w:rPr>
          <w:i/>
          <w:iCs/>
        </w:rPr>
        <w:t>See id.</w:t>
      </w:r>
      <w:r>
        <w:t xml:space="preserve"> § 6201(c)</w:t>
      </w:r>
    </w:p>
  </w:footnote>
  <w:footnote w:id="179">
    <w:p w14:paraId="4C0825A1" w14:textId="77777777" w:rsidR="00AA275F" w:rsidRDefault="00AA275F" w:rsidP="00793E36">
      <w:pPr>
        <w:pStyle w:val="FootnoteText"/>
      </w:pPr>
      <w:r>
        <w:rPr>
          <w:rStyle w:val="FootnoteReference"/>
        </w:rPr>
        <w:footnoteRef/>
      </w:r>
      <w:r>
        <w:t xml:space="preserve"> </w:t>
      </w:r>
      <w:r>
        <w:rPr>
          <w:i/>
          <w:iCs/>
        </w:rPr>
        <w:t>See id.</w:t>
      </w:r>
      <w:r>
        <w:t xml:space="preserve"> </w:t>
      </w:r>
      <w:r>
        <w:rPr>
          <w:shd w:val="clear" w:color="auto" w:fill="FFFFFF"/>
        </w:rPr>
        <w:t>§ 6302(e)(2).</w:t>
      </w:r>
    </w:p>
  </w:footnote>
  <w:footnote w:id="180">
    <w:p w14:paraId="6F986EC5" w14:textId="46CF6DCA" w:rsidR="00AA275F" w:rsidRDefault="00AA275F" w:rsidP="00793E36">
      <w:pPr>
        <w:pStyle w:val="FootnoteText"/>
      </w:pPr>
      <w:r>
        <w:rPr>
          <w:rStyle w:val="FootnoteReference"/>
          <w:sz w:val="18"/>
          <w:szCs w:val="18"/>
        </w:rPr>
        <w:footnoteRef/>
      </w:r>
      <w:r>
        <w:rPr>
          <w:sz w:val="18"/>
          <w:szCs w:val="18"/>
        </w:rPr>
        <w:t xml:space="preserve"> </w:t>
      </w:r>
      <w:r>
        <w:rPr>
          <w:i/>
        </w:rPr>
        <w:t>See</w:t>
      </w:r>
      <w:r>
        <w:t xml:space="preserve"> Spectrum Act § 6206(b).  The statute contemplates that portions of the network may be deployed by State governments, </w:t>
      </w:r>
      <w:r>
        <w:rPr>
          <w:i/>
        </w:rPr>
        <w:t>see</w:t>
      </w:r>
      <w:r>
        <w:t xml:space="preserve"> Spectrum Act § 6302(e), which are categorically excluded from the definition of “small governmental jurisdictions” for purposes of RFA. </w:t>
      </w:r>
    </w:p>
  </w:footnote>
  <w:footnote w:id="181">
    <w:p w14:paraId="43402E7F" w14:textId="77777777" w:rsidR="00AA275F" w:rsidRDefault="00AA275F" w:rsidP="00E1629D">
      <w:pPr>
        <w:pStyle w:val="FootnoteText"/>
      </w:pPr>
      <w:r>
        <w:rPr>
          <w:rStyle w:val="FootnoteReference"/>
        </w:rPr>
        <w:footnoteRef/>
      </w:r>
      <w:r>
        <w:t xml:space="preserve"> </w:t>
      </w:r>
      <w:r w:rsidRPr="0032543F">
        <w:rPr>
          <w:i/>
        </w:rPr>
        <w:t>See</w:t>
      </w:r>
      <w:r>
        <w:t xml:space="preserve"> 5 U.S.C. § 801(a)(1)(A).</w:t>
      </w:r>
    </w:p>
  </w:footnote>
  <w:footnote w:id="182">
    <w:p w14:paraId="10448A1E" w14:textId="77777777" w:rsidR="00AA275F" w:rsidRDefault="00AA275F" w:rsidP="00E1629D">
      <w:pPr>
        <w:pStyle w:val="FootnoteText"/>
      </w:pPr>
      <w:r>
        <w:rPr>
          <w:rStyle w:val="FootnoteReference"/>
        </w:rPr>
        <w:footnoteRef/>
      </w:r>
      <w:r>
        <w:t xml:space="preserve"> </w:t>
      </w:r>
      <w:r w:rsidRPr="0032543F">
        <w:rPr>
          <w:i/>
        </w:rPr>
        <w:t>See</w:t>
      </w:r>
      <w:r>
        <w:t xml:space="preserve"> </w:t>
      </w:r>
      <w:r w:rsidRPr="0032543F">
        <w:rPr>
          <w:i/>
        </w:rPr>
        <w:t>id.</w:t>
      </w:r>
      <w:r>
        <w:t xml:space="preserve"> § 605(b).</w:t>
      </w:r>
    </w:p>
  </w:footnote>
  <w:footnote w:id="183">
    <w:p w14:paraId="3EE4B75A" w14:textId="77777777" w:rsidR="00AA275F" w:rsidRPr="00C2604D" w:rsidRDefault="00AA275F" w:rsidP="00957E05">
      <w:pPr>
        <w:pStyle w:val="FootnoteText"/>
      </w:pPr>
      <w:r w:rsidRPr="00C2604D">
        <w:rPr>
          <w:rStyle w:val="FootnoteReference"/>
        </w:rPr>
        <w:footnoteRef/>
      </w:r>
      <w:r w:rsidRPr="00C2604D">
        <w:t xml:space="preserve"> Lynn Stanton, </w:t>
      </w:r>
      <w:r w:rsidRPr="00C2604D">
        <w:rPr>
          <w:i/>
        </w:rPr>
        <w:t>FirstNet, AT&amp;T Deliver State Plans, Starting Clock on Reviews, Opt-in/OptOut Decisions</w:t>
      </w:r>
      <w:r w:rsidRPr="00C2604D">
        <w:t>, TRDaily (Jun. 20,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5859" w14:textId="77777777" w:rsidR="008F06B3" w:rsidRDefault="008F06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D8AE" w14:textId="7EDBAC53" w:rsidR="00604255" w:rsidRPr="00AA3A12" w:rsidRDefault="00604255" w:rsidP="00604255">
    <w:pPr>
      <w:pStyle w:val="Header"/>
    </w:pPr>
    <w:r>
      <w:tab/>
    </w:r>
    <w:r w:rsidRPr="00AA3A12">
      <w:t>Federal Communications Commission</w:t>
    </w:r>
    <w:r w:rsidRPr="00AA3A12">
      <w:tab/>
    </w:r>
    <w:r>
      <w:t>FCC 17-75</w:t>
    </w:r>
  </w:p>
  <w:p w14:paraId="37E66E31"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72576" behindDoc="1" locked="0" layoutInCell="0" allowOverlap="1" wp14:anchorId="1E1E259E" wp14:editId="0595F3BF">
              <wp:simplePos x="0" y="0"/>
              <wp:positionH relativeFrom="margin">
                <wp:posOffset>-5</wp:posOffset>
              </wp:positionH>
              <wp:positionV relativeFrom="paragraph">
                <wp:posOffset>-5</wp:posOffset>
              </wp:positionV>
              <wp:extent cx="5944870" cy="13335"/>
              <wp:effectExtent l="0" t="0" r="0" b="698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01CB72F5" id="Rectangle 1" o:spid="_x0000_s1026" style="position:absolute;margin-left:0;margin-top:0;width:468.1pt;height:1.0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" o:allowincell="f" fillcolor="black" stroked="f">
              <v:path arrowok="t"/>
              <w10:wrap anchorx="margin"/>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8815" w14:textId="77777777" w:rsidR="00604255" w:rsidRDefault="00604255">
    <w:pPr>
      <w:pStyle w:val="Header"/>
      <w:pBdr>
        <w:bottom w:val="single" w:sz="12" w:space="1" w:color="auto"/>
      </w:pBdr>
      <w:rPr>
        <w:b w:val="0"/>
      </w:rPr>
    </w:pPr>
    <w:r>
      <w:tab/>
      <w:t>Federal Communications Commission</w:t>
    </w:r>
    <w:r>
      <w:tab/>
      <w:t>FCC 17-75</w:t>
    </w:r>
  </w:p>
  <w:p w14:paraId="7F187A92" w14:textId="77777777" w:rsidR="00604255" w:rsidRDefault="00604255">
    <w:pPr>
      <w:tabs>
        <w:tab w:val="left" w:pos="-720"/>
      </w:tabs>
      <w:suppressAutoHyphens/>
      <w:spacing w:line="19" w:lineRule="exact"/>
      <w:rPr>
        <w:spacing w:val="-2"/>
      </w:rPr>
    </w:pPr>
  </w:p>
  <w:p w14:paraId="69233749" w14:textId="77777777" w:rsidR="00604255" w:rsidRDefault="006042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F0A0" w14:textId="753E7EEA" w:rsidR="00604255" w:rsidRPr="00AA3A12" w:rsidRDefault="00604255" w:rsidP="00604255">
    <w:pPr>
      <w:pStyle w:val="Header"/>
    </w:pPr>
    <w:r>
      <w:tab/>
    </w:r>
    <w:r w:rsidRPr="00AA3A12">
      <w:t>Federal Communications Commission</w:t>
    </w:r>
    <w:r w:rsidRPr="00AA3A12">
      <w:tab/>
    </w:r>
    <w:r>
      <w:t>FCC 17-75</w:t>
    </w:r>
  </w:p>
  <w:p w14:paraId="5712095C"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76672" behindDoc="1" locked="0" layoutInCell="0" allowOverlap="1" wp14:anchorId="69FDE317" wp14:editId="4BFDCCEF">
              <wp:simplePos x="0" y="0"/>
              <wp:positionH relativeFrom="margin">
                <wp:posOffset>-5</wp:posOffset>
              </wp:positionH>
              <wp:positionV relativeFrom="paragraph">
                <wp:posOffset>-5</wp:posOffset>
              </wp:positionV>
              <wp:extent cx="5944870" cy="13335"/>
              <wp:effectExtent l="0" t="0" r="0" b="698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0597C636" id="Rectangle 1" o:spid="_x0000_s1026" style="position:absolute;margin-left:0;margin-top:0;width:468.1pt;height:1.05pt;z-index:-251639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" o:allowincell="f" fillcolor="black" stroked="f">
              <v:path arrowok="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A3F1" w14:textId="078527CE" w:rsidR="00604255" w:rsidRPr="00AA3A12" w:rsidRDefault="00604255" w:rsidP="00604255">
    <w:pPr>
      <w:pStyle w:val="Header"/>
    </w:pPr>
    <w:r>
      <w:tab/>
    </w:r>
    <w:r w:rsidRPr="00AA3A12">
      <w:t>Federal Communications Commission</w:t>
    </w:r>
    <w:r w:rsidRPr="00AA3A12">
      <w:tab/>
    </w:r>
    <w:r>
      <w:t>FCC 17-75</w:t>
    </w:r>
  </w:p>
  <w:p w14:paraId="5DC8113E"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48000" behindDoc="1" locked="0" layoutInCell="0" allowOverlap="1" wp14:anchorId="5F4A564E" wp14:editId="41DDE5EC">
              <wp:simplePos x="0" y="0"/>
              <wp:positionH relativeFrom="margin">
                <wp:posOffset>-5</wp:posOffset>
              </wp:positionH>
              <wp:positionV relativeFrom="paragraph">
                <wp:posOffset>-5</wp:posOffset>
              </wp:positionV>
              <wp:extent cx="5944870" cy="1333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20F2BD0D" id="Rectangle 1" o:spid="_x0000_s1026" style="position:absolute;margin-left:0;margin-top:0;width:468.1pt;height:1.0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A3h6RMPwIAAH0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7F74" w14:textId="519D5780" w:rsidR="00604255" w:rsidRPr="00AA3A12" w:rsidRDefault="00604255" w:rsidP="00604255">
    <w:pPr>
      <w:pStyle w:val="Header"/>
    </w:pPr>
    <w:r>
      <w:tab/>
    </w:r>
    <w:r w:rsidRPr="00AA3A12">
      <w:t>Federal Communications Commission</w:t>
    </w:r>
    <w:r w:rsidRPr="00AA3A12">
      <w:tab/>
    </w:r>
    <w:r>
      <w:t>FCC 17-75</w:t>
    </w:r>
  </w:p>
  <w:p w14:paraId="660B4906"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43904" behindDoc="1" locked="0" layoutInCell="0" allowOverlap="1" wp14:anchorId="59FD5ABF" wp14:editId="678F3CFB">
              <wp:simplePos x="0" y="0"/>
              <wp:positionH relativeFrom="margin">
                <wp:posOffset>-5</wp:posOffset>
              </wp:positionH>
              <wp:positionV relativeFrom="paragraph">
                <wp:posOffset>-5</wp:posOffset>
              </wp:positionV>
              <wp:extent cx="5944870" cy="1333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03809F10" id="Rectangle 1" o:spid="_x0000_s1026" style="position:absolute;margin-left:0;margin-top:0;width:468.1pt;height:1.0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" o:allowincell="f" fillcolor="black" stroked="f">
              <v:path arrowok="t"/>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AD21" w14:textId="5EED8446" w:rsidR="00604255" w:rsidRPr="00AA3A12" w:rsidRDefault="00604255" w:rsidP="00604255">
    <w:pPr>
      <w:pStyle w:val="Header"/>
    </w:pPr>
    <w:r>
      <w:tab/>
    </w:r>
    <w:r w:rsidRPr="00AA3A12">
      <w:t>Federal Communications Commission</w:t>
    </w:r>
    <w:r w:rsidRPr="00AA3A12">
      <w:tab/>
    </w:r>
    <w:r>
      <w:t>FCC 17-75</w:t>
    </w:r>
  </w:p>
  <w:p w14:paraId="3D8293AB"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52096" behindDoc="1" locked="0" layoutInCell="0" allowOverlap="1" wp14:anchorId="5567E84D" wp14:editId="0E47C25E">
              <wp:simplePos x="0" y="0"/>
              <wp:positionH relativeFrom="margin">
                <wp:posOffset>-5</wp:posOffset>
              </wp:positionH>
              <wp:positionV relativeFrom="paragraph">
                <wp:posOffset>-5</wp:posOffset>
              </wp:positionV>
              <wp:extent cx="5944870" cy="1333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73062B4D" id="Rectangle 1" o:spid="_x0000_s1026" style="position:absolute;margin-left:0;margin-top:0;width:468.1pt;height:1.0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By/qELPwIAAH0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679A" w14:textId="74D3EBDE" w:rsidR="00AA275F" w:rsidRDefault="00AA275F">
    <w:pPr>
      <w:pStyle w:val="Header"/>
      <w:pBdr>
        <w:bottom w:val="single" w:sz="12" w:space="1" w:color="auto"/>
      </w:pBdr>
      <w:rPr>
        <w:b w:val="0"/>
      </w:rPr>
    </w:pPr>
    <w:r>
      <w:rPr>
        <w:noProof/>
        <w:snapToGrid/>
      </w:rPr>
      <mc:AlternateContent>
        <mc:Choice Requires="wps">
          <w:drawing>
            <wp:anchor distT="0" distB="0" distL="114300" distR="114300" simplePos="0" relativeHeight="251658240" behindDoc="0" locked="0" layoutInCell="1" allowOverlap="1" wp14:anchorId="4F812BF0" wp14:editId="435F9769">
              <wp:simplePos x="0" y="0"/>
              <wp:positionH relativeFrom="column">
                <wp:posOffset>9525</wp:posOffset>
              </wp:positionH>
              <wp:positionV relativeFrom="paragraph">
                <wp:posOffset>180975</wp:posOffset>
              </wp:positionV>
              <wp:extent cx="5981700"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2C6BD7" id="_x0000_t32" coordsize="21600,21600" o:spt="32" o:oned="t" path="m,l21600,21600e" filled="f">
              <v:path arrowok="t" fillok="f" o:connecttype="none"/>
              <o:lock v:ext="edit" shapetype="t"/>
            </v:shapetype>
            <v:shape id="AutoShape 3" o:spid="_x0000_s1026" type="#_x0000_t32" style="position:absolute;margin-left:.75pt;margin-top:14.25pt;width:4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Wm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LefaY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"/>
          </w:pict>
        </mc:Fallback>
      </mc:AlternateContent>
    </w:r>
    <w:r>
      <w:tab/>
      <w:t>Federal Communications Commission</w:t>
    </w:r>
    <w:r>
      <w:tab/>
      <w:t>FCC 17-75</w:t>
    </w:r>
  </w:p>
  <w:p w14:paraId="79E940A7" w14:textId="77777777" w:rsidR="00AA275F" w:rsidRDefault="00AA275F">
    <w:pPr>
      <w:tabs>
        <w:tab w:val="left" w:pos="-720"/>
      </w:tabs>
      <w:suppressAutoHyphens/>
      <w:spacing w:line="19" w:lineRule="exact"/>
      <w:rPr>
        <w:spacing w:val="-2"/>
      </w:rPr>
    </w:pPr>
  </w:p>
  <w:p w14:paraId="04625257" w14:textId="77777777" w:rsidR="00AA275F" w:rsidRDefault="00AA27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63D8" w14:textId="036C0933" w:rsidR="00604255" w:rsidRPr="00AA3A12" w:rsidRDefault="00604255" w:rsidP="00604255">
    <w:pPr>
      <w:pStyle w:val="Header"/>
    </w:pPr>
    <w:r>
      <w:tab/>
    </w:r>
    <w:r w:rsidRPr="00AA3A12">
      <w:t>Federal Communications Commission</w:t>
    </w:r>
    <w:r w:rsidRPr="00AA3A12">
      <w:tab/>
    </w:r>
    <w:r>
      <w:t>FCC 17-75</w:t>
    </w:r>
  </w:p>
  <w:p w14:paraId="4C1B3D52"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57728" behindDoc="1" locked="0" layoutInCell="0" allowOverlap="1" wp14:anchorId="4C0C4330" wp14:editId="0D7A5E75">
              <wp:simplePos x="0" y="0"/>
              <wp:positionH relativeFrom="margin">
                <wp:posOffset>-5</wp:posOffset>
              </wp:positionH>
              <wp:positionV relativeFrom="paragraph">
                <wp:posOffset>-5</wp:posOffset>
              </wp:positionV>
              <wp:extent cx="5944870" cy="13335"/>
              <wp:effectExtent l="0" t="0" r="0" b="698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1F5F8F04" id="Rectangle 1" o:spid="_x0000_s1026" style="position:absolute;margin-left:0;margin-top:0;width:468.1pt;height:1.0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ADVnJQPwIAAH0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A4A5" w14:textId="141BB364" w:rsidR="00604255" w:rsidRPr="00AA3A12" w:rsidRDefault="00604255" w:rsidP="00604255">
    <w:pPr>
      <w:pStyle w:val="Header"/>
    </w:pPr>
    <w:r>
      <w:tab/>
    </w:r>
    <w:r w:rsidRPr="00AA3A12">
      <w:t>Federal Communications Commission</w:t>
    </w:r>
    <w:r w:rsidRPr="00AA3A12">
      <w:tab/>
    </w:r>
    <w:r>
      <w:t>FCC 17-75</w:t>
    </w:r>
  </w:p>
  <w:p w14:paraId="211E33D9"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60288" behindDoc="1" locked="0" layoutInCell="0" allowOverlap="1" wp14:anchorId="1EB7C082" wp14:editId="0A61094E">
              <wp:simplePos x="0" y="0"/>
              <wp:positionH relativeFrom="margin">
                <wp:posOffset>-5</wp:posOffset>
              </wp:positionH>
              <wp:positionV relativeFrom="paragraph">
                <wp:posOffset>-5</wp:posOffset>
              </wp:positionV>
              <wp:extent cx="5944870" cy="13335"/>
              <wp:effectExtent l="0" t="0" r="0" b="69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1ABBAC45" id="Rectangle 1" o:spid="_x0000_s1026" style="position:absolute;margin-left:0;margin-top:0;width:468.1pt;height:1.0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BGL3cXPwIAAH0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BD1A" w14:textId="4FCF795C" w:rsidR="00604255" w:rsidRPr="00AA3A12" w:rsidRDefault="00604255" w:rsidP="00604255">
    <w:pPr>
      <w:pStyle w:val="Header"/>
    </w:pPr>
    <w:r>
      <w:tab/>
    </w:r>
    <w:r w:rsidRPr="00AA3A12">
      <w:t>Federal Communications Commission</w:t>
    </w:r>
    <w:r w:rsidRPr="00AA3A12">
      <w:tab/>
    </w:r>
    <w:r>
      <w:t>FCC 17-75</w:t>
    </w:r>
  </w:p>
  <w:p w14:paraId="5B0C43A5"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59776" behindDoc="1" locked="0" layoutInCell="0" allowOverlap="1" wp14:anchorId="008BE970" wp14:editId="12870EA9">
              <wp:simplePos x="0" y="0"/>
              <wp:positionH relativeFrom="margin">
                <wp:posOffset>-5</wp:posOffset>
              </wp:positionH>
              <wp:positionV relativeFrom="paragraph">
                <wp:posOffset>-5</wp:posOffset>
              </wp:positionV>
              <wp:extent cx="5944870" cy="13335"/>
              <wp:effectExtent l="0" t="0" r="0" b="698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6F993166" id="Rectangle 1" o:spid="_x0000_s1026" style="position:absolute;margin-left:0;margin-top:0;width:468.1pt;height:1.0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Dr6eiFPwIAAH4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8B72" w14:textId="612AE667" w:rsidR="00604255" w:rsidRPr="00AA3A12" w:rsidRDefault="00604255" w:rsidP="00604255">
    <w:pPr>
      <w:pStyle w:val="Header"/>
    </w:pPr>
    <w:r>
      <w:tab/>
    </w:r>
    <w:r w:rsidRPr="00AA3A12">
      <w:t>Federal Communications Commission</w:t>
    </w:r>
    <w:r w:rsidRPr="00AA3A12">
      <w:tab/>
    </w:r>
    <w:r>
      <w:t>FCC 17-75</w:t>
    </w:r>
  </w:p>
  <w:p w14:paraId="03458A21" w14:textId="77777777" w:rsidR="00604255" w:rsidRDefault="00604255" w:rsidP="00604255">
    <w:pPr>
      <w:tabs>
        <w:tab w:val="left" w:pos="0"/>
      </w:tabs>
      <w:spacing w:after="160" w:line="19" w:lineRule="exact"/>
      <w:rPr>
        <w:spacing w:val="-2"/>
      </w:rPr>
    </w:pPr>
    <w:r>
      <w:rPr>
        <w:noProof/>
        <w:sz w:val="20"/>
      </w:rPr>
      <mc:AlternateContent>
        <mc:Choice Requires="wps">
          <w:drawing>
            <wp:anchor distT="0" distB="0" distL="114300" distR="114300" simplePos="0" relativeHeight="251668480" behindDoc="1" locked="0" layoutInCell="0" allowOverlap="1" wp14:anchorId="1DD0D52E" wp14:editId="6F8EFA3C">
              <wp:simplePos x="0" y="0"/>
              <wp:positionH relativeFrom="margin">
                <wp:posOffset>-5</wp:posOffset>
              </wp:positionH>
              <wp:positionV relativeFrom="paragraph">
                <wp:posOffset>-5</wp:posOffset>
              </wp:positionV>
              <wp:extent cx="5944870" cy="13335"/>
              <wp:effectExtent l="0" t="0" r="0" b="698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5505" cy="13970"/>
                      </a:xfrm>
                      <a:prstGeom prst="rect">
                        <a:avLst/>
                      </a:prstGeom>
                      <a:solidFill>
                        <a:prstClr val="black"/>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w15="http://schemas.microsoft.com/office/word/2012/wordml">
          <w:pict>
            <v:rect w14:anchorId="48C029AB" id="Rectangle 1" o:spid="_x0000_s1026" style="position:absolute;margin-left:0;margin-top:0;width:468.1pt;height:1.0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" o:allowincell="f" fillcolor="black" stroked="f">
              <v:path arrowok="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A8"/>
    <w:multiLevelType w:val="hybridMultilevel"/>
    <w:tmpl w:val="427E3586"/>
    <w:lvl w:ilvl="0" w:tplc="5E4E73A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DA7718"/>
    <w:multiLevelType w:val="hybridMultilevel"/>
    <w:tmpl w:val="306AA15A"/>
    <w:lvl w:ilvl="0" w:tplc="8BB66054">
      <w:start w:val="1"/>
      <w:numFmt w:val="decimal"/>
      <w:lvlText w:val="%1."/>
      <w:lvlJc w:val="left"/>
      <w:pPr>
        <w:ind w:left="720" w:hanging="360"/>
      </w:pPr>
    </w:lvl>
    <w:lvl w:ilvl="1" w:tplc="DCD20968">
      <w:start w:val="1"/>
      <w:numFmt w:val="lowerLetter"/>
      <w:lvlText w:val="%2."/>
      <w:lvlJc w:val="left"/>
      <w:pPr>
        <w:ind w:left="1440" w:hanging="360"/>
      </w:pPr>
    </w:lvl>
    <w:lvl w:ilvl="2" w:tplc="18829360">
      <w:start w:val="1"/>
      <w:numFmt w:val="lowerRoman"/>
      <w:lvlText w:val="%3."/>
      <w:lvlJc w:val="right"/>
      <w:pPr>
        <w:ind w:left="2160" w:hanging="180"/>
      </w:pPr>
    </w:lvl>
    <w:lvl w:ilvl="3" w:tplc="5404A360">
      <w:start w:val="1"/>
      <w:numFmt w:val="decimal"/>
      <w:lvlText w:val="%4."/>
      <w:lvlJc w:val="left"/>
      <w:pPr>
        <w:ind w:left="2880" w:hanging="360"/>
      </w:pPr>
    </w:lvl>
    <w:lvl w:ilvl="4" w:tplc="1F6CDE88">
      <w:start w:val="1"/>
      <w:numFmt w:val="lowerLetter"/>
      <w:lvlText w:val="%5."/>
      <w:lvlJc w:val="left"/>
      <w:pPr>
        <w:ind w:left="3600" w:hanging="360"/>
      </w:pPr>
    </w:lvl>
    <w:lvl w:ilvl="5" w:tplc="9D30D88E">
      <w:start w:val="1"/>
      <w:numFmt w:val="lowerRoman"/>
      <w:lvlText w:val="%6."/>
      <w:lvlJc w:val="right"/>
      <w:pPr>
        <w:ind w:left="4320" w:hanging="180"/>
      </w:pPr>
    </w:lvl>
    <w:lvl w:ilvl="6" w:tplc="563CD4CE">
      <w:start w:val="1"/>
      <w:numFmt w:val="decimal"/>
      <w:lvlText w:val="%7."/>
      <w:lvlJc w:val="left"/>
      <w:pPr>
        <w:ind w:left="5040" w:hanging="360"/>
      </w:pPr>
    </w:lvl>
    <w:lvl w:ilvl="7" w:tplc="5EF65AFC">
      <w:start w:val="1"/>
      <w:numFmt w:val="lowerLetter"/>
      <w:lvlText w:val="%8."/>
      <w:lvlJc w:val="left"/>
      <w:pPr>
        <w:ind w:left="5760" w:hanging="360"/>
      </w:pPr>
    </w:lvl>
    <w:lvl w:ilvl="8" w:tplc="EFC059C6">
      <w:start w:val="1"/>
      <w:numFmt w:val="lowerRoman"/>
      <w:lvlText w:val="%9."/>
      <w:lvlJc w:val="right"/>
      <w:pPr>
        <w:ind w:left="6480" w:hanging="180"/>
      </w:pPr>
    </w:lvl>
  </w:abstractNum>
  <w:abstractNum w:abstractNumId="4">
    <w:nsid w:val="109F6737"/>
    <w:multiLevelType w:val="hybridMultilevel"/>
    <w:tmpl w:val="5D3C36E6"/>
    <w:lvl w:ilvl="0" w:tplc="B254B1A4">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E264CC4"/>
    <w:multiLevelType w:val="hybridMultilevel"/>
    <w:tmpl w:val="DC64A0A4"/>
    <w:lvl w:ilvl="0" w:tplc="312E0F2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740701"/>
    <w:multiLevelType w:val="hybridMultilevel"/>
    <w:tmpl w:val="B4F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06EF3"/>
    <w:multiLevelType w:val="hybridMultilevel"/>
    <w:tmpl w:val="77DE1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BAE47F9"/>
    <w:multiLevelType w:val="hybridMultilevel"/>
    <w:tmpl w:val="2918C26E"/>
    <w:lvl w:ilvl="0" w:tplc="42AC19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EE434D"/>
    <w:multiLevelType w:val="hybridMultilevel"/>
    <w:tmpl w:val="C7906EB2"/>
    <w:lvl w:ilvl="0" w:tplc="B33ECD8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9B7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2A717B6"/>
    <w:multiLevelType w:val="hybridMultilevel"/>
    <w:tmpl w:val="5EF0A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244DBC"/>
    <w:multiLevelType w:val="hybridMultilevel"/>
    <w:tmpl w:val="0C7EBCCC"/>
    <w:lvl w:ilvl="0" w:tplc="C25A71F4">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CFF46CF"/>
    <w:multiLevelType w:val="hybridMultilevel"/>
    <w:tmpl w:val="6A3040B0"/>
    <w:lvl w:ilvl="0" w:tplc="F1444BD6">
      <w:start w:val="1"/>
      <w:numFmt w:val="decimal"/>
      <w:lvlText w:val="%1."/>
      <w:lvlJc w:val="left"/>
      <w:pPr>
        <w:ind w:left="720" w:hanging="360"/>
      </w:pPr>
    </w:lvl>
    <w:lvl w:ilvl="1" w:tplc="E9B680FE">
      <w:start w:val="1"/>
      <w:numFmt w:val="lowerLetter"/>
      <w:lvlText w:val="%2."/>
      <w:lvlJc w:val="left"/>
      <w:pPr>
        <w:ind w:left="1440" w:hanging="360"/>
      </w:pPr>
    </w:lvl>
    <w:lvl w:ilvl="2" w:tplc="387ECB86">
      <w:start w:val="1"/>
      <w:numFmt w:val="lowerRoman"/>
      <w:lvlText w:val="%3."/>
      <w:lvlJc w:val="right"/>
      <w:pPr>
        <w:ind w:left="2160" w:hanging="180"/>
      </w:pPr>
    </w:lvl>
    <w:lvl w:ilvl="3" w:tplc="51B4E6D0">
      <w:start w:val="1"/>
      <w:numFmt w:val="decimal"/>
      <w:lvlText w:val="%4."/>
      <w:lvlJc w:val="left"/>
      <w:pPr>
        <w:ind w:left="2880" w:hanging="360"/>
      </w:pPr>
    </w:lvl>
    <w:lvl w:ilvl="4" w:tplc="4A0AC2CC">
      <w:start w:val="1"/>
      <w:numFmt w:val="lowerLetter"/>
      <w:lvlText w:val="%5."/>
      <w:lvlJc w:val="left"/>
      <w:pPr>
        <w:ind w:left="3600" w:hanging="360"/>
      </w:pPr>
    </w:lvl>
    <w:lvl w:ilvl="5" w:tplc="81ECE366">
      <w:start w:val="1"/>
      <w:numFmt w:val="lowerRoman"/>
      <w:lvlText w:val="%6."/>
      <w:lvlJc w:val="right"/>
      <w:pPr>
        <w:ind w:left="4320" w:hanging="180"/>
      </w:pPr>
    </w:lvl>
    <w:lvl w:ilvl="6" w:tplc="4FD4C8FC">
      <w:start w:val="1"/>
      <w:numFmt w:val="decimal"/>
      <w:lvlText w:val="%7."/>
      <w:lvlJc w:val="left"/>
      <w:pPr>
        <w:ind w:left="5040" w:hanging="360"/>
      </w:pPr>
    </w:lvl>
    <w:lvl w:ilvl="7" w:tplc="0DC00046">
      <w:start w:val="1"/>
      <w:numFmt w:val="lowerLetter"/>
      <w:lvlText w:val="%8."/>
      <w:lvlJc w:val="left"/>
      <w:pPr>
        <w:ind w:left="5760" w:hanging="360"/>
      </w:pPr>
    </w:lvl>
    <w:lvl w:ilvl="8" w:tplc="D596783C">
      <w:start w:val="1"/>
      <w:numFmt w:val="lowerRoman"/>
      <w:lvlText w:val="%9."/>
      <w:lvlJc w:val="right"/>
      <w:pPr>
        <w:ind w:left="6480" w:hanging="180"/>
      </w:pPr>
    </w:lvl>
  </w:abstractNum>
  <w:abstractNum w:abstractNumId="20">
    <w:nsid w:val="6FE86FDC"/>
    <w:multiLevelType w:val="hybridMultilevel"/>
    <w:tmpl w:val="56BC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18"/>
  </w:num>
  <w:num w:numId="3">
    <w:abstractNumId w:val="8"/>
  </w:num>
  <w:num w:numId="4">
    <w:abstractNumId w:val="15"/>
  </w:num>
  <w:num w:numId="5">
    <w:abstractNumId w:val="7"/>
  </w:num>
  <w:num w:numId="6">
    <w:abstractNumId w:val="2"/>
  </w:num>
  <w:num w:numId="7">
    <w:abstractNumId w:val="10"/>
  </w:num>
  <w:num w:numId="8">
    <w:abstractNumId w:val="9"/>
  </w:num>
  <w:num w:numId="9">
    <w:abstractNumId w:val="17"/>
  </w:num>
  <w:num w:numId="10">
    <w:abstractNumId w:val="20"/>
  </w:num>
  <w:num w:numId="11">
    <w:abstractNumId w:val="1"/>
  </w:num>
  <w:num w:numId="12">
    <w:abstractNumId w:val="21"/>
  </w:num>
  <w:num w:numId="13">
    <w:abstractNumId w:val="11"/>
  </w:num>
  <w:num w:numId="14">
    <w:abstractNumId w:val="18"/>
    <w:lvlOverride w:ilvl="0">
      <w:startOverride w:val="1"/>
    </w:lvlOverride>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6"/>
  </w:num>
  <w:num w:numId="19">
    <w:abstractNumId w:val="18"/>
  </w:num>
  <w:num w:numId="20">
    <w:abstractNumId w:val="12"/>
  </w:num>
  <w:num w:numId="21">
    <w:abstractNumId w:val="13"/>
  </w:num>
  <w:num w:numId="22">
    <w:abstractNumId w:val="0"/>
  </w:num>
  <w:num w:numId="23">
    <w:abstractNumId w:val="4"/>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64"/>
    <w:rsid w:val="00001798"/>
    <w:rsid w:val="00002FD6"/>
    <w:rsid w:val="00004CC4"/>
    <w:rsid w:val="000159B9"/>
    <w:rsid w:val="00015E3B"/>
    <w:rsid w:val="000308D7"/>
    <w:rsid w:val="00034BA5"/>
    <w:rsid w:val="00036039"/>
    <w:rsid w:val="0003636D"/>
    <w:rsid w:val="00037F90"/>
    <w:rsid w:val="00041A9D"/>
    <w:rsid w:val="00043B55"/>
    <w:rsid w:val="00044AA3"/>
    <w:rsid w:val="0005172A"/>
    <w:rsid w:val="000524E3"/>
    <w:rsid w:val="000620CB"/>
    <w:rsid w:val="0006551E"/>
    <w:rsid w:val="00066037"/>
    <w:rsid w:val="00073682"/>
    <w:rsid w:val="00076325"/>
    <w:rsid w:val="00081433"/>
    <w:rsid w:val="00084EC3"/>
    <w:rsid w:val="00085198"/>
    <w:rsid w:val="000875BF"/>
    <w:rsid w:val="0009315E"/>
    <w:rsid w:val="000955B0"/>
    <w:rsid w:val="00096D8C"/>
    <w:rsid w:val="000A3532"/>
    <w:rsid w:val="000A530F"/>
    <w:rsid w:val="000A5F98"/>
    <w:rsid w:val="000A673F"/>
    <w:rsid w:val="000B01BE"/>
    <w:rsid w:val="000B1E86"/>
    <w:rsid w:val="000B37B2"/>
    <w:rsid w:val="000B4A06"/>
    <w:rsid w:val="000C0159"/>
    <w:rsid w:val="000C0B65"/>
    <w:rsid w:val="000C7636"/>
    <w:rsid w:val="000C7649"/>
    <w:rsid w:val="000D0AC9"/>
    <w:rsid w:val="000D40B0"/>
    <w:rsid w:val="000E05FE"/>
    <w:rsid w:val="000E0956"/>
    <w:rsid w:val="000E1144"/>
    <w:rsid w:val="000E27F0"/>
    <w:rsid w:val="000E3D42"/>
    <w:rsid w:val="000E53AA"/>
    <w:rsid w:val="000F497B"/>
    <w:rsid w:val="00103CAA"/>
    <w:rsid w:val="001058A4"/>
    <w:rsid w:val="001065AE"/>
    <w:rsid w:val="00107341"/>
    <w:rsid w:val="0011016F"/>
    <w:rsid w:val="0011151A"/>
    <w:rsid w:val="0011199E"/>
    <w:rsid w:val="001121D9"/>
    <w:rsid w:val="001128CE"/>
    <w:rsid w:val="00122BD5"/>
    <w:rsid w:val="0012327A"/>
    <w:rsid w:val="00126357"/>
    <w:rsid w:val="0012696B"/>
    <w:rsid w:val="00126D47"/>
    <w:rsid w:val="001305C5"/>
    <w:rsid w:val="00133F79"/>
    <w:rsid w:val="00141C74"/>
    <w:rsid w:val="00153B8A"/>
    <w:rsid w:val="001541CD"/>
    <w:rsid w:val="001542EE"/>
    <w:rsid w:val="0015523C"/>
    <w:rsid w:val="00162220"/>
    <w:rsid w:val="00162461"/>
    <w:rsid w:val="00181214"/>
    <w:rsid w:val="00181BBD"/>
    <w:rsid w:val="0018400E"/>
    <w:rsid w:val="00184658"/>
    <w:rsid w:val="001860C1"/>
    <w:rsid w:val="001867F8"/>
    <w:rsid w:val="001905F0"/>
    <w:rsid w:val="00191ADA"/>
    <w:rsid w:val="00192A18"/>
    <w:rsid w:val="001930BC"/>
    <w:rsid w:val="00194A66"/>
    <w:rsid w:val="00197339"/>
    <w:rsid w:val="001A31E8"/>
    <w:rsid w:val="001A540E"/>
    <w:rsid w:val="001B131B"/>
    <w:rsid w:val="001B2DD8"/>
    <w:rsid w:val="001B368B"/>
    <w:rsid w:val="001B3732"/>
    <w:rsid w:val="001B410C"/>
    <w:rsid w:val="001B798F"/>
    <w:rsid w:val="001C10CF"/>
    <w:rsid w:val="001C2037"/>
    <w:rsid w:val="001C348A"/>
    <w:rsid w:val="001C36A0"/>
    <w:rsid w:val="001C4265"/>
    <w:rsid w:val="001C6E7F"/>
    <w:rsid w:val="001D060B"/>
    <w:rsid w:val="001D2456"/>
    <w:rsid w:val="001D3CB7"/>
    <w:rsid w:val="001D5383"/>
    <w:rsid w:val="001D58C8"/>
    <w:rsid w:val="001D67A8"/>
    <w:rsid w:val="001D6BCF"/>
    <w:rsid w:val="001E01CA"/>
    <w:rsid w:val="001E551A"/>
    <w:rsid w:val="001F0B11"/>
    <w:rsid w:val="001F4D3E"/>
    <w:rsid w:val="001F78C6"/>
    <w:rsid w:val="00211283"/>
    <w:rsid w:val="0021314C"/>
    <w:rsid w:val="00214B05"/>
    <w:rsid w:val="0021630A"/>
    <w:rsid w:val="002177E1"/>
    <w:rsid w:val="00220461"/>
    <w:rsid w:val="00220C27"/>
    <w:rsid w:val="00224AE8"/>
    <w:rsid w:val="002300CF"/>
    <w:rsid w:val="00232812"/>
    <w:rsid w:val="00237B42"/>
    <w:rsid w:val="00241EB5"/>
    <w:rsid w:val="00242812"/>
    <w:rsid w:val="00244826"/>
    <w:rsid w:val="0025124E"/>
    <w:rsid w:val="00251722"/>
    <w:rsid w:val="002526C1"/>
    <w:rsid w:val="00253403"/>
    <w:rsid w:val="00253C3A"/>
    <w:rsid w:val="002548AB"/>
    <w:rsid w:val="00254DAB"/>
    <w:rsid w:val="002563F6"/>
    <w:rsid w:val="002629AE"/>
    <w:rsid w:val="00267A40"/>
    <w:rsid w:val="00270852"/>
    <w:rsid w:val="0027344D"/>
    <w:rsid w:val="00275CF5"/>
    <w:rsid w:val="00276787"/>
    <w:rsid w:val="00281CDA"/>
    <w:rsid w:val="0028301F"/>
    <w:rsid w:val="00284BC0"/>
    <w:rsid w:val="00285017"/>
    <w:rsid w:val="0028675C"/>
    <w:rsid w:val="00287F57"/>
    <w:rsid w:val="0029216F"/>
    <w:rsid w:val="00292B18"/>
    <w:rsid w:val="00295292"/>
    <w:rsid w:val="0029639D"/>
    <w:rsid w:val="002A1F10"/>
    <w:rsid w:val="002A2D2E"/>
    <w:rsid w:val="002A4336"/>
    <w:rsid w:val="002A6ECD"/>
    <w:rsid w:val="002B41AA"/>
    <w:rsid w:val="002B4819"/>
    <w:rsid w:val="002B758F"/>
    <w:rsid w:val="002C00E8"/>
    <w:rsid w:val="002C1B22"/>
    <w:rsid w:val="002C1CC1"/>
    <w:rsid w:val="002D437B"/>
    <w:rsid w:val="002D7F2F"/>
    <w:rsid w:val="002E2E81"/>
    <w:rsid w:val="002E3504"/>
    <w:rsid w:val="002F1C16"/>
    <w:rsid w:val="002F339B"/>
    <w:rsid w:val="002F5735"/>
    <w:rsid w:val="002F5792"/>
    <w:rsid w:val="0030672C"/>
    <w:rsid w:val="003069B8"/>
    <w:rsid w:val="00310A87"/>
    <w:rsid w:val="00311509"/>
    <w:rsid w:val="00312596"/>
    <w:rsid w:val="003155AD"/>
    <w:rsid w:val="0031639B"/>
    <w:rsid w:val="00317F99"/>
    <w:rsid w:val="00323505"/>
    <w:rsid w:val="00330BA9"/>
    <w:rsid w:val="003321D4"/>
    <w:rsid w:val="003366B7"/>
    <w:rsid w:val="00336B8E"/>
    <w:rsid w:val="00341DDF"/>
    <w:rsid w:val="00343749"/>
    <w:rsid w:val="00345584"/>
    <w:rsid w:val="00353512"/>
    <w:rsid w:val="0035487B"/>
    <w:rsid w:val="00355BF7"/>
    <w:rsid w:val="003561EA"/>
    <w:rsid w:val="00361855"/>
    <w:rsid w:val="003660ED"/>
    <w:rsid w:val="003712E2"/>
    <w:rsid w:val="00372B6D"/>
    <w:rsid w:val="00372E05"/>
    <w:rsid w:val="00373AD0"/>
    <w:rsid w:val="003754AA"/>
    <w:rsid w:val="003802A1"/>
    <w:rsid w:val="00382053"/>
    <w:rsid w:val="00382638"/>
    <w:rsid w:val="00386F4D"/>
    <w:rsid w:val="00391436"/>
    <w:rsid w:val="003946B8"/>
    <w:rsid w:val="00394ABA"/>
    <w:rsid w:val="00394E26"/>
    <w:rsid w:val="00395A2B"/>
    <w:rsid w:val="003A639D"/>
    <w:rsid w:val="003B0550"/>
    <w:rsid w:val="003B694F"/>
    <w:rsid w:val="003B6A72"/>
    <w:rsid w:val="003B6BC6"/>
    <w:rsid w:val="003B779C"/>
    <w:rsid w:val="003C24C8"/>
    <w:rsid w:val="003C3C7B"/>
    <w:rsid w:val="003C4C27"/>
    <w:rsid w:val="003D0251"/>
    <w:rsid w:val="003D6558"/>
    <w:rsid w:val="003F05DE"/>
    <w:rsid w:val="003F171C"/>
    <w:rsid w:val="003F626D"/>
    <w:rsid w:val="003F7693"/>
    <w:rsid w:val="0040427E"/>
    <w:rsid w:val="004057F5"/>
    <w:rsid w:val="0041145F"/>
    <w:rsid w:val="00412FC5"/>
    <w:rsid w:val="00420B6E"/>
    <w:rsid w:val="00422276"/>
    <w:rsid w:val="004226BB"/>
    <w:rsid w:val="004242F1"/>
    <w:rsid w:val="0043201B"/>
    <w:rsid w:val="004333AF"/>
    <w:rsid w:val="00435B49"/>
    <w:rsid w:val="004407D1"/>
    <w:rsid w:val="0044420D"/>
    <w:rsid w:val="004444A6"/>
    <w:rsid w:val="00444D5D"/>
    <w:rsid w:val="00445A00"/>
    <w:rsid w:val="00445A15"/>
    <w:rsid w:val="00451B0F"/>
    <w:rsid w:val="00452336"/>
    <w:rsid w:val="004530DA"/>
    <w:rsid w:val="004543AF"/>
    <w:rsid w:val="00454F47"/>
    <w:rsid w:val="00463A32"/>
    <w:rsid w:val="0046460E"/>
    <w:rsid w:val="00465C09"/>
    <w:rsid w:val="00466830"/>
    <w:rsid w:val="00470ADF"/>
    <w:rsid w:val="00471579"/>
    <w:rsid w:val="00471F28"/>
    <w:rsid w:val="00472A1E"/>
    <w:rsid w:val="0047498D"/>
    <w:rsid w:val="00477C33"/>
    <w:rsid w:val="00477D8B"/>
    <w:rsid w:val="00480833"/>
    <w:rsid w:val="00486958"/>
    <w:rsid w:val="00486C6A"/>
    <w:rsid w:val="004949A7"/>
    <w:rsid w:val="004A3082"/>
    <w:rsid w:val="004A686D"/>
    <w:rsid w:val="004B4F37"/>
    <w:rsid w:val="004C0623"/>
    <w:rsid w:val="004C0ACA"/>
    <w:rsid w:val="004C10C8"/>
    <w:rsid w:val="004C166C"/>
    <w:rsid w:val="004C17A1"/>
    <w:rsid w:val="004C2EE3"/>
    <w:rsid w:val="004C56AA"/>
    <w:rsid w:val="004C7307"/>
    <w:rsid w:val="004E05C2"/>
    <w:rsid w:val="004E12B1"/>
    <w:rsid w:val="004E4A22"/>
    <w:rsid w:val="004F517B"/>
    <w:rsid w:val="004F61E3"/>
    <w:rsid w:val="004F64B5"/>
    <w:rsid w:val="00501ABD"/>
    <w:rsid w:val="00502286"/>
    <w:rsid w:val="005067AB"/>
    <w:rsid w:val="00506843"/>
    <w:rsid w:val="00507F7B"/>
    <w:rsid w:val="00511968"/>
    <w:rsid w:val="005121BE"/>
    <w:rsid w:val="00514593"/>
    <w:rsid w:val="00515341"/>
    <w:rsid w:val="0052280A"/>
    <w:rsid w:val="0052298E"/>
    <w:rsid w:val="005257B8"/>
    <w:rsid w:val="00526C64"/>
    <w:rsid w:val="005324D6"/>
    <w:rsid w:val="00533C09"/>
    <w:rsid w:val="00535B24"/>
    <w:rsid w:val="00545CEB"/>
    <w:rsid w:val="00552342"/>
    <w:rsid w:val="0055614C"/>
    <w:rsid w:val="005607F1"/>
    <w:rsid w:val="00560BD9"/>
    <w:rsid w:val="005615CB"/>
    <w:rsid w:val="005620FA"/>
    <w:rsid w:val="00564B0F"/>
    <w:rsid w:val="00565051"/>
    <w:rsid w:val="0056560A"/>
    <w:rsid w:val="005657CD"/>
    <w:rsid w:val="00572B31"/>
    <w:rsid w:val="00576E3C"/>
    <w:rsid w:val="00581FC6"/>
    <w:rsid w:val="005825D3"/>
    <w:rsid w:val="005832B5"/>
    <w:rsid w:val="0059111C"/>
    <w:rsid w:val="005A13C5"/>
    <w:rsid w:val="005A1F67"/>
    <w:rsid w:val="005B224A"/>
    <w:rsid w:val="005C2D26"/>
    <w:rsid w:val="005C31A1"/>
    <w:rsid w:val="005C3DD0"/>
    <w:rsid w:val="005D1969"/>
    <w:rsid w:val="005D1C60"/>
    <w:rsid w:val="005D2701"/>
    <w:rsid w:val="005D579A"/>
    <w:rsid w:val="005E14C2"/>
    <w:rsid w:val="005E245B"/>
    <w:rsid w:val="005E3274"/>
    <w:rsid w:val="005E4890"/>
    <w:rsid w:val="005E4C6F"/>
    <w:rsid w:val="005E4E62"/>
    <w:rsid w:val="005E53D0"/>
    <w:rsid w:val="005E7888"/>
    <w:rsid w:val="005F4907"/>
    <w:rsid w:val="005F4BA0"/>
    <w:rsid w:val="005F70FC"/>
    <w:rsid w:val="0060197F"/>
    <w:rsid w:val="00602D5C"/>
    <w:rsid w:val="00603B25"/>
    <w:rsid w:val="00603F13"/>
    <w:rsid w:val="00604255"/>
    <w:rsid w:val="0060509D"/>
    <w:rsid w:val="00606DDD"/>
    <w:rsid w:val="006072D0"/>
    <w:rsid w:val="00607BA5"/>
    <w:rsid w:val="0061180A"/>
    <w:rsid w:val="00612AB3"/>
    <w:rsid w:val="00612B41"/>
    <w:rsid w:val="006133FD"/>
    <w:rsid w:val="0061521F"/>
    <w:rsid w:val="006173F9"/>
    <w:rsid w:val="00626908"/>
    <w:rsid w:val="00626EB6"/>
    <w:rsid w:val="00630DC0"/>
    <w:rsid w:val="00631845"/>
    <w:rsid w:val="00632944"/>
    <w:rsid w:val="00634217"/>
    <w:rsid w:val="0063472F"/>
    <w:rsid w:val="00635814"/>
    <w:rsid w:val="00636C3B"/>
    <w:rsid w:val="00640174"/>
    <w:rsid w:val="006437CB"/>
    <w:rsid w:val="0064763B"/>
    <w:rsid w:val="00650807"/>
    <w:rsid w:val="00651442"/>
    <w:rsid w:val="00652617"/>
    <w:rsid w:val="00655D03"/>
    <w:rsid w:val="006575CC"/>
    <w:rsid w:val="00661E05"/>
    <w:rsid w:val="0066288B"/>
    <w:rsid w:val="00664B14"/>
    <w:rsid w:val="006656CC"/>
    <w:rsid w:val="00666B6D"/>
    <w:rsid w:val="00680F31"/>
    <w:rsid w:val="00683388"/>
    <w:rsid w:val="00683F84"/>
    <w:rsid w:val="00686AB2"/>
    <w:rsid w:val="006918A4"/>
    <w:rsid w:val="00692B8C"/>
    <w:rsid w:val="00692E05"/>
    <w:rsid w:val="006930AE"/>
    <w:rsid w:val="00695364"/>
    <w:rsid w:val="006979CE"/>
    <w:rsid w:val="006A0156"/>
    <w:rsid w:val="006A4BD8"/>
    <w:rsid w:val="006A6A81"/>
    <w:rsid w:val="006B2E66"/>
    <w:rsid w:val="006B5E1D"/>
    <w:rsid w:val="006B672A"/>
    <w:rsid w:val="006D1C6A"/>
    <w:rsid w:val="006D51F7"/>
    <w:rsid w:val="006D6EA7"/>
    <w:rsid w:val="006E0EDE"/>
    <w:rsid w:val="006E54E5"/>
    <w:rsid w:val="006E5F9B"/>
    <w:rsid w:val="006E6EFF"/>
    <w:rsid w:val="006F006C"/>
    <w:rsid w:val="006F1691"/>
    <w:rsid w:val="006F7393"/>
    <w:rsid w:val="006F794F"/>
    <w:rsid w:val="0070224F"/>
    <w:rsid w:val="00704BA7"/>
    <w:rsid w:val="007115F7"/>
    <w:rsid w:val="00714D48"/>
    <w:rsid w:val="007207F6"/>
    <w:rsid w:val="007255C4"/>
    <w:rsid w:val="0072630A"/>
    <w:rsid w:val="00741E69"/>
    <w:rsid w:val="00745229"/>
    <w:rsid w:val="007517E1"/>
    <w:rsid w:val="00752DA9"/>
    <w:rsid w:val="00762C69"/>
    <w:rsid w:val="00763356"/>
    <w:rsid w:val="007661C1"/>
    <w:rsid w:val="00775D46"/>
    <w:rsid w:val="00777A1B"/>
    <w:rsid w:val="0078247B"/>
    <w:rsid w:val="00784E1C"/>
    <w:rsid w:val="00785689"/>
    <w:rsid w:val="00786327"/>
    <w:rsid w:val="00786E09"/>
    <w:rsid w:val="00790D3F"/>
    <w:rsid w:val="00793E36"/>
    <w:rsid w:val="0079754B"/>
    <w:rsid w:val="007A0B67"/>
    <w:rsid w:val="007A1E6D"/>
    <w:rsid w:val="007A34BF"/>
    <w:rsid w:val="007B0EB2"/>
    <w:rsid w:val="007B7746"/>
    <w:rsid w:val="007B7845"/>
    <w:rsid w:val="007C4673"/>
    <w:rsid w:val="007D2FA0"/>
    <w:rsid w:val="007E0694"/>
    <w:rsid w:val="007E3CC6"/>
    <w:rsid w:val="007E3DD1"/>
    <w:rsid w:val="007F071C"/>
    <w:rsid w:val="007F18A0"/>
    <w:rsid w:val="00810591"/>
    <w:rsid w:val="00810B6F"/>
    <w:rsid w:val="00811A5D"/>
    <w:rsid w:val="00822CE0"/>
    <w:rsid w:val="0082582D"/>
    <w:rsid w:val="0083088C"/>
    <w:rsid w:val="00831859"/>
    <w:rsid w:val="00832F34"/>
    <w:rsid w:val="00833B26"/>
    <w:rsid w:val="008356D4"/>
    <w:rsid w:val="0083760E"/>
    <w:rsid w:val="008404AB"/>
    <w:rsid w:val="0084064E"/>
    <w:rsid w:val="00841AB1"/>
    <w:rsid w:val="00841EFF"/>
    <w:rsid w:val="0084594C"/>
    <w:rsid w:val="00847BC7"/>
    <w:rsid w:val="00850027"/>
    <w:rsid w:val="00851B5D"/>
    <w:rsid w:val="008542F1"/>
    <w:rsid w:val="00861BFD"/>
    <w:rsid w:val="00861E4E"/>
    <w:rsid w:val="00862F82"/>
    <w:rsid w:val="008637AF"/>
    <w:rsid w:val="00863879"/>
    <w:rsid w:val="008640CF"/>
    <w:rsid w:val="00883502"/>
    <w:rsid w:val="0088418A"/>
    <w:rsid w:val="00884FD5"/>
    <w:rsid w:val="008873B7"/>
    <w:rsid w:val="008875EA"/>
    <w:rsid w:val="008910E6"/>
    <w:rsid w:val="0089227C"/>
    <w:rsid w:val="008934D9"/>
    <w:rsid w:val="0089718B"/>
    <w:rsid w:val="008A444D"/>
    <w:rsid w:val="008A78E7"/>
    <w:rsid w:val="008B1676"/>
    <w:rsid w:val="008B36BE"/>
    <w:rsid w:val="008B60DF"/>
    <w:rsid w:val="008B6405"/>
    <w:rsid w:val="008B7C6D"/>
    <w:rsid w:val="008C03C9"/>
    <w:rsid w:val="008C68F1"/>
    <w:rsid w:val="008D5924"/>
    <w:rsid w:val="008E02F8"/>
    <w:rsid w:val="008E08E4"/>
    <w:rsid w:val="008E1566"/>
    <w:rsid w:val="008E65BC"/>
    <w:rsid w:val="008F06B3"/>
    <w:rsid w:val="008F2F8F"/>
    <w:rsid w:val="008F4EC9"/>
    <w:rsid w:val="00901C39"/>
    <w:rsid w:val="009055DE"/>
    <w:rsid w:val="0090562A"/>
    <w:rsid w:val="0090751B"/>
    <w:rsid w:val="00907703"/>
    <w:rsid w:val="009100D5"/>
    <w:rsid w:val="009174EE"/>
    <w:rsid w:val="00921803"/>
    <w:rsid w:val="00926503"/>
    <w:rsid w:val="00926DB0"/>
    <w:rsid w:val="00927EBB"/>
    <w:rsid w:val="00932388"/>
    <w:rsid w:val="00935270"/>
    <w:rsid w:val="00935900"/>
    <w:rsid w:val="00940020"/>
    <w:rsid w:val="00941B42"/>
    <w:rsid w:val="009440CE"/>
    <w:rsid w:val="00944EEE"/>
    <w:rsid w:val="009465C9"/>
    <w:rsid w:val="009467EF"/>
    <w:rsid w:val="009518AF"/>
    <w:rsid w:val="0095473D"/>
    <w:rsid w:val="00954F29"/>
    <w:rsid w:val="00957B12"/>
    <w:rsid w:val="00957E05"/>
    <w:rsid w:val="00960970"/>
    <w:rsid w:val="00962E7D"/>
    <w:rsid w:val="00963112"/>
    <w:rsid w:val="0096633F"/>
    <w:rsid w:val="009675CC"/>
    <w:rsid w:val="009717C3"/>
    <w:rsid w:val="0097260E"/>
    <w:rsid w:val="009726D8"/>
    <w:rsid w:val="009764F2"/>
    <w:rsid w:val="009819A5"/>
    <w:rsid w:val="0098205F"/>
    <w:rsid w:val="00987862"/>
    <w:rsid w:val="00991C33"/>
    <w:rsid w:val="00993D1B"/>
    <w:rsid w:val="009A1625"/>
    <w:rsid w:val="009A3819"/>
    <w:rsid w:val="009A7031"/>
    <w:rsid w:val="009D06AF"/>
    <w:rsid w:val="009D17AE"/>
    <w:rsid w:val="009D3561"/>
    <w:rsid w:val="009E179F"/>
    <w:rsid w:val="009E6105"/>
    <w:rsid w:val="009F0EC2"/>
    <w:rsid w:val="009F1B83"/>
    <w:rsid w:val="009F5BA6"/>
    <w:rsid w:val="009F71B5"/>
    <w:rsid w:val="009F76DB"/>
    <w:rsid w:val="00A01459"/>
    <w:rsid w:val="00A01CBE"/>
    <w:rsid w:val="00A01D2F"/>
    <w:rsid w:val="00A028E8"/>
    <w:rsid w:val="00A03E00"/>
    <w:rsid w:val="00A05180"/>
    <w:rsid w:val="00A1267B"/>
    <w:rsid w:val="00A14397"/>
    <w:rsid w:val="00A16078"/>
    <w:rsid w:val="00A16FDB"/>
    <w:rsid w:val="00A177A1"/>
    <w:rsid w:val="00A20990"/>
    <w:rsid w:val="00A27073"/>
    <w:rsid w:val="00A309A2"/>
    <w:rsid w:val="00A32C3B"/>
    <w:rsid w:val="00A41E70"/>
    <w:rsid w:val="00A442CC"/>
    <w:rsid w:val="00A45F4F"/>
    <w:rsid w:val="00A55AD0"/>
    <w:rsid w:val="00A56F52"/>
    <w:rsid w:val="00A5793B"/>
    <w:rsid w:val="00A600A9"/>
    <w:rsid w:val="00A61F27"/>
    <w:rsid w:val="00A628A1"/>
    <w:rsid w:val="00A64E27"/>
    <w:rsid w:val="00A6671D"/>
    <w:rsid w:val="00A73319"/>
    <w:rsid w:val="00A73A2F"/>
    <w:rsid w:val="00A80813"/>
    <w:rsid w:val="00A825B1"/>
    <w:rsid w:val="00A92C1E"/>
    <w:rsid w:val="00A95396"/>
    <w:rsid w:val="00A9728E"/>
    <w:rsid w:val="00AA275F"/>
    <w:rsid w:val="00AA2D46"/>
    <w:rsid w:val="00AA3959"/>
    <w:rsid w:val="00AA4849"/>
    <w:rsid w:val="00AA55B7"/>
    <w:rsid w:val="00AA5B9E"/>
    <w:rsid w:val="00AB2407"/>
    <w:rsid w:val="00AB53DF"/>
    <w:rsid w:val="00AB58D9"/>
    <w:rsid w:val="00AB6830"/>
    <w:rsid w:val="00AC1B6E"/>
    <w:rsid w:val="00AC26D7"/>
    <w:rsid w:val="00AC2BD0"/>
    <w:rsid w:val="00AC40C9"/>
    <w:rsid w:val="00AD2BC2"/>
    <w:rsid w:val="00AD7969"/>
    <w:rsid w:val="00AE1AE9"/>
    <w:rsid w:val="00AE24E7"/>
    <w:rsid w:val="00AE3A50"/>
    <w:rsid w:val="00AE4B9E"/>
    <w:rsid w:val="00AE644C"/>
    <w:rsid w:val="00AE772A"/>
    <w:rsid w:val="00AF0ADC"/>
    <w:rsid w:val="00AF1FAA"/>
    <w:rsid w:val="00B01A74"/>
    <w:rsid w:val="00B0504E"/>
    <w:rsid w:val="00B05EE7"/>
    <w:rsid w:val="00B067E4"/>
    <w:rsid w:val="00B07E5C"/>
    <w:rsid w:val="00B10412"/>
    <w:rsid w:val="00B1614F"/>
    <w:rsid w:val="00B263C2"/>
    <w:rsid w:val="00B31161"/>
    <w:rsid w:val="00B34E66"/>
    <w:rsid w:val="00B45B83"/>
    <w:rsid w:val="00B46573"/>
    <w:rsid w:val="00B52EF8"/>
    <w:rsid w:val="00B556EB"/>
    <w:rsid w:val="00B56BCC"/>
    <w:rsid w:val="00B57AEA"/>
    <w:rsid w:val="00B62CF3"/>
    <w:rsid w:val="00B640FD"/>
    <w:rsid w:val="00B74A8F"/>
    <w:rsid w:val="00B811F7"/>
    <w:rsid w:val="00B84863"/>
    <w:rsid w:val="00B86C48"/>
    <w:rsid w:val="00B95002"/>
    <w:rsid w:val="00B971DB"/>
    <w:rsid w:val="00BA0D31"/>
    <w:rsid w:val="00BA37E2"/>
    <w:rsid w:val="00BA5DC6"/>
    <w:rsid w:val="00BA6196"/>
    <w:rsid w:val="00BA7D83"/>
    <w:rsid w:val="00BB2183"/>
    <w:rsid w:val="00BB34C6"/>
    <w:rsid w:val="00BC0039"/>
    <w:rsid w:val="00BC151E"/>
    <w:rsid w:val="00BC1E76"/>
    <w:rsid w:val="00BC2EDC"/>
    <w:rsid w:val="00BC3DD1"/>
    <w:rsid w:val="00BC6D8C"/>
    <w:rsid w:val="00BD7CFF"/>
    <w:rsid w:val="00BE0456"/>
    <w:rsid w:val="00BE30AB"/>
    <w:rsid w:val="00BE5ADF"/>
    <w:rsid w:val="00BE7416"/>
    <w:rsid w:val="00BF47F1"/>
    <w:rsid w:val="00BF5C29"/>
    <w:rsid w:val="00BF7EBE"/>
    <w:rsid w:val="00C0310A"/>
    <w:rsid w:val="00C0547D"/>
    <w:rsid w:val="00C05E15"/>
    <w:rsid w:val="00C12B79"/>
    <w:rsid w:val="00C14583"/>
    <w:rsid w:val="00C14C0F"/>
    <w:rsid w:val="00C20FDB"/>
    <w:rsid w:val="00C2230A"/>
    <w:rsid w:val="00C34006"/>
    <w:rsid w:val="00C36A7B"/>
    <w:rsid w:val="00C426B1"/>
    <w:rsid w:val="00C435AF"/>
    <w:rsid w:val="00C43685"/>
    <w:rsid w:val="00C44E40"/>
    <w:rsid w:val="00C53C7C"/>
    <w:rsid w:val="00C60D30"/>
    <w:rsid w:val="00C66160"/>
    <w:rsid w:val="00C67117"/>
    <w:rsid w:val="00C721AC"/>
    <w:rsid w:val="00C724E0"/>
    <w:rsid w:val="00C75F32"/>
    <w:rsid w:val="00C77D6B"/>
    <w:rsid w:val="00C80571"/>
    <w:rsid w:val="00C81CC6"/>
    <w:rsid w:val="00C83E44"/>
    <w:rsid w:val="00C84F1C"/>
    <w:rsid w:val="00C85A1C"/>
    <w:rsid w:val="00C90319"/>
    <w:rsid w:val="00C90D6A"/>
    <w:rsid w:val="00C92DF6"/>
    <w:rsid w:val="00CA247E"/>
    <w:rsid w:val="00CA394F"/>
    <w:rsid w:val="00CA4980"/>
    <w:rsid w:val="00CB438A"/>
    <w:rsid w:val="00CB5ADC"/>
    <w:rsid w:val="00CC40BB"/>
    <w:rsid w:val="00CC65FD"/>
    <w:rsid w:val="00CC72B6"/>
    <w:rsid w:val="00CC7FA2"/>
    <w:rsid w:val="00CD0DBD"/>
    <w:rsid w:val="00CD338B"/>
    <w:rsid w:val="00CE1C9C"/>
    <w:rsid w:val="00CE4B46"/>
    <w:rsid w:val="00CE61BC"/>
    <w:rsid w:val="00CE61FB"/>
    <w:rsid w:val="00CE7592"/>
    <w:rsid w:val="00CF231D"/>
    <w:rsid w:val="00CF46F7"/>
    <w:rsid w:val="00D0218D"/>
    <w:rsid w:val="00D04056"/>
    <w:rsid w:val="00D0596A"/>
    <w:rsid w:val="00D11C05"/>
    <w:rsid w:val="00D12B1A"/>
    <w:rsid w:val="00D131F6"/>
    <w:rsid w:val="00D16A71"/>
    <w:rsid w:val="00D20CDE"/>
    <w:rsid w:val="00D23876"/>
    <w:rsid w:val="00D25474"/>
    <w:rsid w:val="00D25FB5"/>
    <w:rsid w:val="00D313BE"/>
    <w:rsid w:val="00D315D1"/>
    <w:rsid w:val="00D316E3"/>
    <w:rsid w:val="00D32E67"/>
    <w:rsid w:val="00D3322E"/>
    <w:rsid w:val="00D33597"/>
    <w:rsid w:val="00D351BC"/>
    <w:rsid w:val="00D35BD4"/>
    <w:rsid w:val="00D363AF"/>
    <w:rsid w:val="00D37014"/>
    <w:rsid w:val="00D419D6"/>
    <w:rsid w:val="00D43AEC"/>
    <w:rsid w:val="00D44223"/>
    <w:rsid w:val="00D4536B"/>
    <w:rsid w:val="00D47238"/>
    <w:rsid w:val="00D52F53"/>
    <w:rsid w:val="00D56E9D"/>
    <w:rsid w:val="00D60D03"/>
    <w:rsid w:val="00D610F5"/>
    <w:rsid w:val="00D61D02"/>
    <w:rsid w:val="00D666D9"/>
    <w:rsid w:val="00D70B07"/>
    <w:rsid w:val="00D70FE1"/>
    <w:rsid w:val="00D725F1"/>
    <w:rsid w:val="00D73643"/>
    <w:rsid w:val="00D73D6E"/>
    <w:rsid w:val="00D80DF9"/>
    <w:rsid w:val="00D8112A"/>
    <w:rsid w:val="00D814CC"/>
    <w:rsid w:val="00D871E0"/>
    <w:rsid w:val="00D87B4F"/>
    <w:rsid w:val="00D90DB7"/>
    <w:rsid w:val="00D921A9"/>
    <w:rsid w:val="00D92D2B"/>
    <w:rsid w:val="00D9623F"/>
    <w:rsid w:val="00D978B4"/>
    <w:rsid w:val="00DA1C87"/>
    <w:rsid w:val="00DA2529"/>
    <w:rsid w:val="00DA5CE6"/>
    <w:rsid w:val="00DA703F"/>
    <w:rsid w:val="00DB130A"/>
    <w:rsid w:val="00DB2EBB"/>
    <w:rsid w:val="00DB6279"/>
    <w:rsid w:val="00DC10A1"/>
    <w:rsid w:val="00DC478A"/>
    <w:rsid w:val="00DC655F"/>
    <w:rsid w:val="00DD0B59"/>
    <w:rsid w:val="00DD5ADF"/>
    <w:rsid w:val="00DD6447"/>
    <w:rsid w:val="00DD7EBD"/>
    <w:rsid w:val="00DE00C9"/>
    <w:rsid w:val="00DF4D87"/>
    <w:rsid w:val="00DF4EAA"/>
    <w:rsid w:val="00DF5B38"/>
    <w:rsid w:val="00DF62B6"/>
    <w:rsid w:val="00E05820"/>
    <w:rsid w:val="00E07225"/>
    <w:rsid w:val="00E10E62"/>
    <w:rsid w:val="00E14711"/>
    <w:rsid w:val="00E1629D"/>
    <w:rsid w:val="00E17056"/>
    <w:rsid w:val="00E26A83"/>
    <w:rsid w:val="00E45442"/>
    <w:rsid w:val="00E469CC"/>
    <w:rsid w:val="00E5114F"/>
    <w:rsid w:val="00E51158"/>
    <w:rsid w:val="00E5409F"/>
    <w:rsid w:val="00E5484A"/>
    <w:rsid w:val="00E55AAF"/>
    <w:rsid w:val="00E5635C"/>
    <w:rsid w:val="00E62276"/>
    <w:rsid w:val="00E6230E"/>
    <w:rsid w:val="00E67550"/>
    <w:rsid w:val="00E7267D"/>
    <w:rsid w:val="00E77AB0"/>
    <w:rsid w:val="00E810BD"/>
    <w:rsid w:val="00E90896"/>
    <w:rsid w:val="00E9226F"/>
    <w:rsid w:val="00E94877"/>
    <w:rsid w:val="00EB61C8"/>
    <w:rsid w:val="00EB657C"/>
    <w:rsid w:val="00EC1CD0"/>
    <w:rsid w:val="00EC1D38"/>
    <w:rsid w:val="00EC346A"/>
    <w:rsid w:val="00EC413B"/>
    <w:rsid w:val="00ED5113"/>
    <w:rsid w:val="00EE2FF9"/>
    <w:rsid w:val="00EE6488"/>
    <w:rsid w:val="00EE6E57"/>
    <w:rsid w:val="00EF1C59"/>
    <w:rsid w:val="00EF2509"/>
    <w:rsid w:val="00EF3296"/>
    <w:rsid w:val="00F01EB0"/>
    <w:rsid w:val="00F021FA"/>
    <w:rsid w:val="00F11224"/>
    <w:rsid w:val="00F15C0C"/>
    <w:rsid w:val="00F15C27"/>
    <w:rsid w:val="00F168E3"/>
    <w:rsid w:val="00F213E4"/>
    <w:rsid w:val="00F23670"/>
    <w:rsid w:val="00F23B6F"/>
    <w:rsid w:val="00F27C3C"/>
    <w:rsid w:val="00F32E15"/>
    <w:rsid w:val="00F332C4"/>
    <w:rsid w:val="00F354B4"/>
    <w:rsid w:val="00F35E55"/>
    <w:rsid w:val="00F364F8"/>
    <w:rsid w:val="00F372B1"/>
    <w:rsid w:val="00F4015E"/>
    <w:rsid w:val="00F40666"/>
    <w:rsid w:val="00F40F33"/>
    <w:rsid w:val="00F4217D"/>
    <w:rsid w:val="00F42720"/>
    <w:rsid w:val="00F44F89"/>
    <w:rsid w:val="00F45F68"/>
    <w:rsid w:val="00F53CAF"/>
    <w:rsid w:val="00F54878"/>
    <w:rsid w:val="00F54F3D"/>
    <w:rsid w:val="00F62E97"/>
    <w:rsid w:val="00F64209"/>
    <w:rsid w:val="00F70B30"/>
    <w:rsid w:val="00F72BA5"/>
    <w:rsid w:val="00F74F57"/>
    <w:rsid w:val="00F76104"/>
    <w:rsid w:val="00F76269"/>
    <w:rsid w:val="00F80642"/>
    <w:rsid w:val="00F82FEA"/>
    <w:rsid w:val="00F83BEE"/>
    <w:rsid w:val="00F86D44"/>
    <w:rsid w:val="00F86E47"/>
    <w:rsid w:val="00F876E5"/>
    <w:rsid w:val="00F925A7"/>
    <w:rsid w:val="00F93BF5"/>
    <w:rsid w:val="00F95A57"/>
    <w:rsid w:val="00F95E36"/>
    <w:rsid w:val="00FA37F9"/>
    <w:rsid w:val="00FA7EE6"/>
    <w:rsid w:val="00FB0B85"/>
    <w:rsid w:val="00FB168E"/>
    <w:rsid w:val="00FB51B8"/>
    <w:rsid w:val="00FC7476"/>
    <w:rsid w:val="00FD025F"/>
    <w:rsid w:val="00FD29E8"/>
    <w:rsid w:val="00FD37E6"/>
    <w:rsid w:val="00FE0CB9"/>
    <w:rsid w:val="00FE12B8"/>
    <w:rsid w:val="00FE1B66"/>
    <w:rsid w:val="01006AF9"/>
    <w:rsid w:val="01A4B9C1"/>
    <w:rsid w:val="03064245"/>
    <w:rsid w:val="066D703F"/>
    <w:rsid w:val="06792703"/>
    <w:rsid w:val="06E48517"/>
    <w:rsid w:val="0AECD013"/>
    <w:rsid w:val="0B669469"/>
    <w:rsid w:val="0ED67A32"/>
    <w:rsid w:val="0F8E2EE0"/>
    <w:rsid w:val="1493FA5A"/>
    <w:rsid w:val="182C8787"/>
    <w:rsid w:val="19C11E80"/>
    <w:rsid w:val="1A1EBB84"/>
    <w:rsid w:val="1B32CA11"/>
    <w:rsid w:val="1ED93816"/>
    <w:rsid w:val="201D9196"/>
    <w:rsid w:val="20E05AF8"/>
    <w:rsid w:val="210147A7"/>
    <w:rsid w:val="24808539"/>
    <w:rsid w:val="24CA9B94"/>
    <w:rsid w:val="24E28A69"/>
    <w:rsid w:val="25444ABA"/>
    <w:rsid w:val="2553B491"/>
    <w:rsid w:val="2696CE0E"/>
    <w:rsid w:val="26995EBF"/>
    <w:rsid w:val="269EBB94"/>
    <w:rsid w:val="2870A4F2"/>
    <w:rsid w:val="2B412793"/>
    <w:rsid w:val="2C5B5C43"/>
    <w:rsid w:val="2D8AD36C"/>
    <w:rsid w:val="2E258BE7"/>
    <w:rsid w:val="348EEE4E"/>
    <w:rsid w:val="349B31F2"/>
    <w:rsid w:val="35F73568"/>
    <w:rsid w:val="36EE7998"/>
    <w:rsid w:val="379BEF6E"/>
    <w:rsid w:val="380816D0"/>
    <w:rsid w:val="381DBDF0"/>
    <w:rsid w:val="3C25AEDD"/>
    <w:rsid w:val="3DEA4EDB"/>
    <w:rsid w:val="3EDCE2DE"/>
    <w:rsid w:val="3FF08036"/>
    <w:rsid w:val="4774AEC5"/>
    <w:rsid w:val="487FBD82"/>
    <w:rsid w:val="496F67C0"/>
    <w:rsid w:val="4B413BEE"/>
    <w:rsid w:val="4BA0C698"/>
    <w:rsid w:val="4C83267B"/>
    <w:rsid w:val="4CDB1411"/>
    <w:rsid w:val="4F87FCAC"/>
    <w:rsid w:val="51A79F60"/>
    <w:rsid w:val="56191D61"/>
    <w:rsid w:val="56DA03B5"/>
    <w:rsid w:val="59B7813A"/>
    <w:rsid w:val="5A1B8A3B"/>
    <w:rsid w:val="5A2676B6"/>
    <w:rsid w:val="5A43F436"/>
    <w:rsid w:val="5D8975D0"/>
    <w:rsid w:val="5E6C6293"/>
    <w:rsid w:val="5F1C9058"/>
    <w:rsid w:val="6011E5E7"/>
    <w:rsid w:val="6141517D"/>
    <w:rsid w:val="62256D30"/>
    <w:rsid w:val="6265A95A"/>
    <w:rsid w:val="62A82C3E"/>
    <w:rsid w:val="639FF5D8"/>
    <w:rsid w:val="646F01E3"/>
    <w:rsid w:val="647CEE4E"/>
    <w:rsid w:val="65CD3BFB"/>
    <w:rsid w:val="66623D92"/>
    <w:rsid w:val="66D0D8FF"/>
    <w:rsid w:val="6707C6DD"/>
    <w:rsid w:val="6776888D"/>
    <w:rsid w:val="6A2F5ABD"/>
    <w:rsid w:val="6AE7CF1C"/>
    <w:rsid w:val="6B5EEE8C"/>
    <w:rsid w:val="6C13AEDD"/>
    <w:rsid w:val="6C938426"/>
    <w:rsid w:val="6D63BF21"/>
    <w:rsid w:val="6E3D202F"/>
    <w:rsid w:val="70DBC34B"/>
    <w:rsid w:val="717894C7"/>
    <w:rsid w:val="7266636D"/>
    <w:rsid w:val="726DEB51"/>
    <w:rsid w:val="7373432A"/>
    <w:rsid w:val="738627C3"/>
    <w:rsid w:val="7421DC5D"/>
    <w:rsid w:val="7478E304"/>
    <w:rsid w:val="74980A46"/>
    <w:rsid w:val="7571397E"/>
    <w:rsid w:val="7633432F"/>
    <w:rsid w:val="77441463"/>
    <w:rsid w:val="7A01E959"/>
    <w:rsid w:val="7AC3B69C"/>
    <w:rsid w:val="7B783984"/>
    <w:rsid w:val="7B8F7340"/>
    <w:rsid w:val="7C84C9CA"/>
    <w:rsid w:val="7DE2C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FB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06"/>
    <w:pPr>
      <w:widowControl w:val="0"/>
    </w:pPr>
    <w:rPr>
      <w:snapToGrid w:val="0"/>
      <w:kern w:val="28"/>
      <w:sz w:val="22"/>
    </w:rPr>
  </w:style>
  <w:style w:type="paragraph" w:styleId="Heading1">
    <w:name w:val="heading 1"/>
    <w:basedOn w:val="Normal"/>
    <w:next w:val="ParaNum"/>
    <w:link w:val="Heading1Char"/>
    <w:qFormat/>
    <w:rsid w:val="000B4A0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4A06"/>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0B4A0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0B4A06"/>
    <w:pPr>
      <w:keepNext/>
      <w:numPr>
        <w:ilvl w:val="3"/>
        <w:numId w:val="3"/>
      </w:numPr>
      <w:tabs>
        <w:tab w:val="left" w:pos="2880"/>
      </w:tabs>
      <w:spacing w:after="120"/>
      <w:outlineLvl w:val="3"/>
    </w:pPr>
    <w:rPr>
      <w:b/>
    </w:rPr>
  </w:style>
  <w:style w:type="paragraph" w:styleId="Heading5">
    <w:name w:val="heading 5"/>
    <w:basedOn w:val="Normal"/>
    <w:next w:val="ParaNum"/>
    <w:qFormat/>
    <w:rsid w:val="000B4A0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B4A06"/>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B4A0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4A0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B4A0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4A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4A06"/>
  </w:style>
  <w:style w:type="paragraph" w:customStyle="1" w:styleId="ParaNum">
    <w:name w:val="ParaNum"/>
    <w:basedOn w:val="Normal"/>
    <w:link w:val="ParaNumChar"/>
    <w:rsid w:val="000B4A06"/>
    <w:pPr>
      <w:numPr>
        <w:numId w:val="2"/>
      </w:numPr>
      <w:tabs>
        <w:tab w:val="clear" w:pos="1080"/>
        <w:tab w:val="num" w:pos="1440"/>
      </w:tabs>
      <w:spacing w:after="120"/>
    </w:pPr>
  </w:style>
  <w:style w:type="paragraph" w:styleId="EndnoteText">
    <w:name w:val="endnote text"/>
    <w:basedOn w:val="Normal"/>
    <w:semiHidden/>
    <w:rsid w:val="000B4A06"/>
    <w:rPr>
      <w:sz w:val="20"/>
    </w:rPr>
  </w:style>
  <w:style w:type="character" w:styleId="EndnoteReference">
    <w:name w:val="endnote reference"/>
    <w:semiHidden/>
    <w:rsid w:val="000B4A06"/>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B4A06"/>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0B4A06"/>
    <w:rPr>
      <w:rFonts w:ascii="Times New Roman" w:hAnsi="Times New Roman"/>
      <w:dstrike w:val="0"/>
      <w:color w:val="auto"/>
      <w:sz w:val="20"/>
      <w:vertAlign w:val="superscript"/>
    </w:rPr>
  </w:style>
  <w:style w:type="paragraph" w:styleId="TOC1">
    <w:name w:val="toc 1"/>
    <w:basedOn w:val="Normal"/>
    <w:next w:val="Normal"/>
    <w:rsid w:val="000B4A06"/>
    <w:pPr>
      <w:tabs>
        <w:tab w:val="left" w:pos="360"/>
        <w:tab w:val="right" w:leader="dot" w:pos="9360"/>
      </w:tabs>
      <w:suppressAutoHyphens/>
      <w:ind w:left="360" w:right="720" w:hanging="360"/>
    </w:pPr>
    <w:rPr>
      <w:caps/>
      <w:noProof/>
    </w:rPr>
  </w:style>
  <w:style w:type="paragraph" w:styleId="TOC2">
    <w:name w:val="toc 2"/>
    <w:basedOn w:val="Normal"/>
    <w:next w:val="Normal"/>
    <w:rsid w:val="000B4A06"/>
    <w:pPr>
      <w:tabs>
        <w:tab w:val="left" w:pos="720"/>
        <w:tab w:val="right" w:leader="dot" w:pos="9360"/>
      </w:tabs>
      <w:suppressAutoHyphens/>
      <w:ind w:left="720" w:right="720" w:hanging="360"/>
    </w:pPr>
    <w:rPr>
      <w:noProof/>
    </w:rPr>
  </w:style>
  <w:style w:type="paragraph" w:styleId="TOC3">
    <w:name w:val="toc 3"/>
    <w:basedOn w:val="Normal"/>
    <w:next w:val="Normal"/>
    <w:rsid w:val="000B4A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4A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4A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4A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4A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4A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4A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4A06"/>
    <w:pPr>
      <w:tabs>
        <w:tab w:val="right" w:pos="9360"/>
      </w:tabs>
      <w:suppressAutoHyphens/>
    </w:pPr>
  </w:style>
  <w:style w:type="character" w:customStyle="1" w:styleId="EquationCaption">
    <w:name w:val="_Equation Caption"/>
    <w:rsid w:val="000B4A06"/>
  </w:style>
  <w:style w:type="paragraph" w:styleId="Header">
    <w:name w:val="header"/>
    <w:basedOn w:val="Normal"/>
    <w:link w:val="HeaderChar"/>
    <w:autoRedefine/>
    <w:rsid w:val="000B4A06"/>
    <w:pPr>
      <w:tabs>
        <w:tab w:val="center" w:pos="4680"/>
        <w:tab w:val="right" w:pos="9360"/>
      </w:tabs>
    </w:pPr>
    <w:rPr>
      <w:b/>
    </w:rPr>
  </w:style>
  <w:style w:type="paragraph" w:styleId="Footer">
    <w:name w:val="footer"/>
    <w:basedOn w:val="Normal"/>
    <w:link w:val="FooterChar"/>
    <w:rsid w:val="000B4A06"/>
    <w:pPr>
      <w:tabs>
        <w:tab w:val="center" w:pos="4320"/>
        <w:tab w:val="right" w:pos="8640"/>
      </w:tabs>
    </w:pPr>
  </w:style>
  <w:style w:type="character" w:styleId="PageNumber">
    <w:name w:val="page number"/>
    <w:basedOn w:val="DefaultParagraphFont"/>
    <w:rsid w:val="000B4A06"/>
  </w:style>
  <w:style w:type="paragraph" w:styleId="BlockText">
    <w:name w:val="Block Text"/>
    <w:basedOn w:val="Normal"/>
    <w:rsid w:val="000B4A06"/>
    <w:pPr>
      <w:spacing w:after="240"/>
      <w:ind w:left="1440" w:right="1440"/>
    </w:pPr>
  </w:style>
  <w:style w:type="paragraph" w:customStyle="1" w:styleId="Paratitle">
    <w:name w:val="Para title"/>
    <w:basedOn w:val="Normal"/>
    <w:rsid w:val="000B4A06"/>
    <w:pPr>
      <w:tabs>
        <w:tab w:val="center" w:pos="9270"/>
      </w:tabs>
      <w:spacing w:after="240"/>
    </w:pPr>
    <w:rPr>
      <w:spacing w:val="-2"/>
    </w:rPr>
  </w:style>
  <w:style w:type="paragraph" w:customStyle="1" w:styleId="Bullet">
    <w:name w:val="Bullet"/>
    <w:basedOn w:val="Normal"/>
    <w:rsid w:val="000B4A06"/>
    <w:pPr>
      <w:tabs>
        <w:tab w:val="left" w:pos="2160"/>
      </w:tabs>
      <w:spacing w:after="220"/>
      <w:ind w:left="2160" w:hanging="720"/>
    </w:pPr>
  </w:style>
  <w:style w:type="paragraph" w:customStyle="1" w:styleId="TableFormat">
    <w:name w:val="TableFormat"/>
    <w:basedOn w:val="Bullet"/>
    <w:rsid w:val="000B4A06"/>
    <w:pPr>
      <w:tabs>
        <w:tab w:val="clear" w:pos="2160"/>
        <w:tab w:val="left" w:pos="5040"/>
      </w:tabs>
      <w:ind w:left="5040" w:hanging="3600"/>
    </w:pPr>
  </w:style>
  <w:style w:type="paragraph" w:customStyle="1" w:styleId="TOCTitle">
    <w:name w:val="TOC Title"/>
    <w:basedOn w:val="Normal"/>
    <w:rsid w:val="000B4A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4A06"/>
    <w:pPr>
      <w:jc w:val="center"/>
    </w:pPr>
    <w:rPr>
      <w:rFonts w:ascii="Times New Roman Bold" w:hAnsi="Times New Roman Bold"/>
      <w:b/>
      <w:bCs/>
      <w:caps/>
      <w:szCs w:val="22"/>
    </w:rPr>
  </w:style>
  <w:style w:type="character" w:styleId="Hyperlink">
    <w:name w:val="Hyperlink"/>
    <w:rsid w:val="000B4A06"/>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26C64"/>
  </w:style>
  <w:style w:type="character" w:customStyle="1" w:styleId="ParaNumChar">
    <w:name w:val="ParaNum Char"/>
    <w:link w:val="ParaNum"/>
    <w:locked/>
    <w:rsid w:val="00526C64"/>
    <w:rPr>
      <w:snapToGrid w:val="0"/>
      <w:kern w:val="28"/>
      <w:sz w:val="22"/>
    </w:rPr>
  </w:style>
  <w:style w:type="character" w:customStyle="1" w:styleId="Heading1Char">
    <w:name w:val="Heading 1 Char"/>
    <w:basedOn w:val="DefaultParagraphFont"/>
    <w:link w:val="Heading1"/>
    <w:rsid w:val="003155AD"/>
    <w:rPr>
      <w:rFonts w:ascii="Times New Roman Bold" w:hAnsi="Times New Roman Bold"/>
      <w:b/>
      <w:caps/>
      <w:snapToGrid w:val="0"/>
      <w:kern w:val="28"/>
      <w:sz w:val="22"/>
    </w:rPr>
  </w:style>
  <w:style w:type="character" w:styleId="CommentReference">
    <w:name w:val="annotation reference"/>
    <w:basedOn w:val="DefaultParagraphFont"/>
    <w:rsid w:val="002F339B"/>
    <w:rPr>
      <w:sz w:val="16"/>
      <w:szCs w:val="16"/>
    </w:rPr>
  </w:style>
  <w:style w:type="paragraph" w:styleId="CommentText">
    <w:name w:val="annotation text"/>
    <w:basedOn w:val="Normal"/>
    <w:link w:val="CommentTextChar"/>
    <w:rsid w:val="002F339B"/>
    <w:rPr>
      <w:sz w:val="20"/>
    </w:rPr>
  </w:style>
  <w:style w:type="character" w:customStyle="1" w:styleId="CommentTextChar">
    <w:name w:val="Comment Text Char"/>
    <w:basedOn w:val="DefaultParagraphFont"/>
    <w:link w:val="CommentText"/>
    <w:rsid w:val="002F339B"/>
    <w:rPr>
      <w:snapToGrid w:val="0"/>
      <w:kern w:val="28"/>
    </w:rPr>
  </w:style>
  <w:style w:type="paragraph" w:styleId="CommentSubject">
    <w:name w:val="annotation subject"/>
    <w:basedOn w:val="CommentText"/>
    <w:next w:val="CommentText"/>
    <w:link w:val="CommentSubjectChar"/>
    <w:rsid w:val="002F339B"/>
    <w:rPr>
      <w:b/>
      <w:bCs/>
    </w:rPr>
  </w:style>
  <w:style w:type="character" w:customStyle="1" w:styleId="CommentSubjectChar">
    <w:name w:val="Comment Subject Char"/>
    <w:basedOn w:val="CommentTextChar"/>
    <w:link w:val="CommentSubject"/>
    <w:rsid w:val="002F339B"/>
    <w:rPr>
      <w:b/>
      <w:bCs/>
      <w:snapToGrid w:val="0"/>
      <w:kern w:val="28"/>
    </w:rPr>
  </w:style>
  <w:style w:type="paragraph" w:styleId="BalloonText">
    <w:name w:val="Balloon Text"/>
    <w:basedOn w:val="Normal"/>
    <w:link w:val="BalloonTextChar"/>
    <w:rsid w:val="002F339B"/>
    <w:rPr>
      <w:rFonts w:ascii="Segoe UI" w:hAnsi="Segoe UI" w:cs="Segoe UI"/>
      <w:sz w:val="18"/>
      <w:szCs w:val="18"/>
    </w:rPr>
  </w:style>
  <w:style w:type="character" w:customStyle="1" w:styleId="BalloonTextChar">
    <w:name w:val="Balloon Text Char"/>
    <w:basedOn w:val="DefaultParagraphFont"/>
    <w:link w:val="BalloonText"/>
    <w:rsid w:val="002F339B"/>
    <w:rPr>
      <w:rFonts w:ascii="Segoe UI" w:hAnsi="Segoe UI" w:cs="Segoe UI"/>
      <w:snapToGrid w:val="0"/>
      <w:kern w:val="28"/>
      <w:sz w:val="18"/>
      <w:szCs w:val="18"/>
    </w:rPr>
  </w:style>
  <w:style w:type="character" w:customStyle="1" w:styleId="Heading2Char">
    <w:name w:val="Heading 2 Char"/>
    <w:link w:val="Heading2"/>
    <w:rsid w:val="00B556EB"/>
    <w:rPr>
      <w:b/>
      <w:snapToGrid w:val="0"/>
      <w:kern w:val="28"/>
      <w:sz w:val="22"/>
    </w:rPr>
  </w:style>
  <w:style w:type="character" w:customStyle="1" w:styleId="FooterChar">
    <w:name w:val="Footer Char"/>
    <w:link w:val="Footer"/>
    <w:rsid w:val="00A9728E"/>
    <w:rPr>
      <w:snapToGrid w:val="0"/>
      <w:kern w:val="28"/>
      <w:sz w:val="22"/>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A9728E"/>
    <w:rPr>
      <w:snapToGrid w:val="0"/>
      <w:kern w:val="28"/>
      <w:lang w:val="en-US" w:eastAsia="en-US"/>
    </w:rPr>
  </w:style>
  <w:style w:type="paragraph" w:customStyle="1" w:styleId="StyleParaNumItalic">
    <w:name w:val="Style ParaNum + Italic"/>
    <w:basedOn w:val="ParaNum"/>
    <w:link w:val="StyleParaNumItalicChar"/>
    <w:rsid w:val="00A9728E"/>
    <w:pPr>
      <w:widowControl/>
      <w:tabs>
        <w:tab w:val="left" w:pos="1440"/>
      </w:tabs>
      <w:spacing w:after="240"/>
    </w:pPr>
    <w:rPr>
      <w:i/>
      <w:iCs/>
      <w:snapToGrid/>
    </w:rPr>
  </w:style>
  <w:style w:type="character" w:customStyle="1" w:styleId="StyleParaNumItalicChar">
    <w:name w:val="Style ParaNum + Italic Char"/>
    <w:link w:val="StyleParaNumItalic"/>
    <w:locked/>
    <w:rsid w:val="00A9728E"/>
    <w:rPr>
      <w:i/>
      <w:iCs/>
      <w:kern w:val="28"/>
      <w:sz w:val="22"/>
    </w:rPr>
  </w:style>
  <w:style w:type="paragraph" w:styleId="Revision">
    <w:name w:val="Revision"/>
    <w:hidden/>
    <w:uiPriority w:val="99"/>
    <w:semiHidden/>
    <w:rsid w:val="001860C1"/>
    <w:rPr>
      <w:snapToGrid w:val="0"/>
      <w:kern w:val="28"/>
      <w:sz w:val="22"/>
    </w:rPr>
  </w:style>
  <w:style w:type="character" w:customStyle="1" w:styleId="HeaderChar">
    <w:name w:val="Header Char"/>
    <w:basedOn w:val="DefaultParagraphFont"/>
    <w:link w:val="Header"/>
    <w:rsid w:val="0009315E"/>
    <w:rPr>
      <w:b/>
      <w:snapToGrid w:val="0"/>
      <w:kern w:val="28"/>
      <w:sz w:val="22"/>
    </w:rPr>
  </w:style>
  <w:style w:type="paragraph" w:styleId="ListParagraph">
    <w:name w:val="List Paragraph"/>
    <w:basedOn w:val="Normal"/>
    <w:uiPriority w:val="34"/>
    <w:qFormat/>
    <w:rsid w:val="0009315E"/>
    <w:pPr>
      <w:ind w:left="720"/>
      <w:contextualSpacing/>
    </w:pPr>
  </w:style>
  <w:style w:type="character" w:customStyle="1" w:styleId="FootnoteTextCharChar4Char">
    <w:name w:val="Footnote Text Char Char4 Char"/>
    <w:aliases w:val="Footnote Text Char1 Char3 Char Char,Footnote Text Char Char4 Char Char Char,Footnote Text Char5 Char Char Char Char Char,Footnote Text Char4 Char Char Char2 Char Char Char"/>
    <w:basedOn w:val="DefaultParagraphFont"/>
    <w:semiHidden/>
    <w:rsid w:val="000A5F9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06"/>
    <w:pPr>
      <w:widowControl w:val="0"/>
    </w:pPr>
    <w:rPr>
      <w:snapToGrid w:val="0"/>
      <w:kern w:val="28"/>
      <w:sz w:val="22"/>
    </w:rPr>
  </w:style>
  <w:style w:type="paragraph" w:styleId="Heading1">
    <w:name w:val="heading 1"/>
    <w:basedOn w:val="Normal"/>
    <w:next w:val="ParaNum"/>
    <w:link w:val="Heading1Char"/>
    <w:qFormat/>
    <w:rsid w:val="000B4A0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4A06"/>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0B4A0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0B4A06"/>
    <w:pPr>
      <w:keepNext/>
      <w:numPr>
        <w:ilvl w:val="3"/>
        <w:numId w:val="3"/>
      </w:numPr>
      <w:tabs>
        <w:tab w:val="left" w:pos="2880"/>
      </w:tabs>
      <w:spacing w:after="120"/>
      <w:outlineLvl w:val="3"/>
    </w:pPr>
    <w:rPr>
      <w:b/>
    </w:rPr>
  </w:style>
  <w:style w:type="paragraph" w:styleId="Heading5">
    <w:name w:val="heading 5"/>
    <w:basedOn w:val="Normal"/>
    <w:next w:val="ParaNum"/>
    <w:qFormat/>
    <w:rsid w:val="000B4A0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B4A06"/>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B4A0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4A0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B4A0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4A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4A06"/>
  </w:style>
  <w:style w:type="paragraph" w:customStyle="1" w:styleId="ParaNum">
    <w:name w:val="ParaNum"/>
    <w:basedOn w:val="Normal"/>
    <w:link w:val="ParaNumChar"/>
    <w:rsid w:val="000B4A06"/>
    <w:pPr>
      <w:numPr>
        <w:numId w:val="2"/>
      </w:numPr>
      <w:tabs>
        <w:tab w:val="clear" w:pos="1080"/>
        <w:tab w:val="num" w:pos="1440"/>
      </w:tabs>
      <w:spacing w:after="120"/>
    </w:pPr>
  </w:style>
  <w:style w:type="paragraph" w:styleId="EndnoteText">
    <w:name w:val="endnote text"/>
    <w:basedOn w:val="Normal"/>
    <w:semiHidden/>
    <w:rsid w:val="000B4A06"/>
    <w:rPr>
      <w:sz w:val="20"/>
    </w:rPr>
  </w:style>
  <w:style w:type="character" w:styleId="EndnoteReference">
    <w:name w:val="endnote reference"/>
    <w:semiHidden/>
    <w:rsid w:val="000B4A06"/>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B4A06"/>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0B4A06"/>
    <w:rPr>
      <w:rFonts w:ascii="Times New Roman" w:hAnsi="Times New Roman"/>
      <w:dstrike w:val="0"/>
      <w:color w:val="auto"/>
      <w:sz w:val="20"/>
      <w:vertAlign w:val="superscript"/>
    </w:rPr>
  </w:style>
  <w:style w:type="paragraph" w:styleId="TOC1">
    <w:name w:val="toc 1"/>
    <w:basedOn w:val="Normal"/>
    <w:next w:val="Normal"/>
    <w:rsid w:val="000B4A06"/>
    <w:pPr>
      <w:tabs>
        <w:tab w:val="left" w:pos="360"/>
        <w:tab w:val="right" w:leader="dot" w:pos="9360"/>
      </w:tabs>
      <w:suppressAutoHyphens/>
      <w:ind w:left="360" w:right="720" w:hanging="360"/>
    </w:pPr>
    <w:rPr>
      <w:caps/>
      <w:noProof/>
    </w:rPr>
  </w:style>
  <w:style w:type="paragraph" w:styleId="TOC2">
    <w:name w:val="toc 2"/>
    <w:basedOn w:val="Normal"/>
    <w:next w:val="Normal"/>
    <w:rsid w:val="000B4A06"/>
    <w:pPr>
      <w:tabs>
        <w:tab w:val="left" w:pos="720"/>
        <w:tab w:val="right" w:leader="dot" w:pos="9360"/>
      </w:tabs>
      <w:suppressAutoHyphens/>
      <w:ind w:left="720" w:right="720" w:hanging="360"/>
    </w:pPr>
    <w:rPr>
      <w:noProof/>
    </w:rPr>
  </w:style>
  <w:style w:type="paragraph" w:styleId="TOC3">
    <w:name w:val="toc 3"/>
    <w:basedOn w:val="Normal"/>
    <w:next w:val="Normal"/>
    <w:rsid w:val="000B4A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4A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4A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4A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4A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4A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4A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4A06"/>
    <w:pPr>
      <w:tabs>
        <w:tab w:val="right" w:pos="9360"/>
      </w:tabs>
      <w:suppressAutoHyphens/>
    </w:pPr>
  </w:style>
  <w:style w:type="character" w:customStyle="1" w:styleId="EquationCaption">
    <w:name w:val="_Equation Caption"/>
    <w:rsid w:val="000B4A06"/>
  </w:style>
  <w:style w:type="paragraph" w:styleId="Header">
    <w:name w:val="header"/>
    <w:basedOn w:val="Normal"/>
    <w:link w:val="HeaderChar"/>
    <w:autoRedefine/>
    <w:rsid w:val="000B4A06"/>
    <w:pPr>
      <w:tabs>
        <w:tab w:val="center" w:pos="4680"/>
        <w:tab w:val="right" w:pos="9360"/>
      </w:tabs>
    </w:pPr>
    <w:rPr>
      <w:b/>
    </w:rPr>
  </w:style>
  <w:style w:type="paragraph" w:styleId="Footer">
    <w:name w:val="footer"/>
    <w:basedOn w:val="Normal"/>
    <w:link w:val="FooterChar"/>
    <w:rsid w:val="000B4A06"/>
    <w:pPr>
      <w:tabs>
        <w:tab w:val="center" w:pos="4320"/>
        <w:tab w:val="right" w:pos="8640"/>
      </w:tabs>
    </w:pPr>
  </w:style>
  <w:style w:type="character" w:styleId="PageNumber">
    <w:name w:val="page number"/>
    <w:basedOn w:val="DefaultParagraphFont"/>
    <w:rsid w:val="000B4A06"/>
  </w:style>
  <w:style w:type="paragraph" w:styleId="BlockText">
    <w:name w:val="Block Text"/>
    <w:basedOn w:val="Normal"/>
    <w:rsid w:val="000B4A06"/>
    <w:pPr>
      <w:spacing w:after="240"/>
      <w:ind w:left="1440" w:right="1440"/>
    </w:pPr>
  </w:style>
  <w:style w:type="paragraph" w:customStyle="1" w:styleId="Paratitle">
    <w:name w:val="Para title"/>
    <w:basedOn w:val="Normal"/>
    <w:rsid w:val="000B4A06"/>
    <w:pPr>
      <w:tabs>
        <w:tab w:val="center" w:pos="9270"/>
      </w:tabs>
      <w:spacing w:after="240"/>
    </w:pPr>
    <w:rPr>
      <w:spacing w:val="-2"/>
    </w:rPr>
  </w:style>
  <w:style w:type="paragraph" w:customStyle="1" w:styleId="Bullet">
    <w:name w:val="Bullet"/>
    <w:basedOn w:val="Normal"/>
    <w:rsid w:val="000B4A06"/>
    <w:pPr>
      <w:tabs>
        <w:tab w:val="left" w:pos="2160"/>
      </w:tabs>
      <w:spacing w:after="220"/>
      <w:ind w:left="2160" w:hanging="720"/>
    </w:pPr>
  </w:style>
  <w:style w:type="paragraph" w:customStyle="1" w:styleId="TableFormat">
    <w:name w:val="TableFormat"/>
    <w:basedOn w:val="Bullet"/>
    <w:rsid w:val="000B4A06"/>
    <w:pPr>
      <w:tabs>
        <w:tab w:val="clear" w:pos="2160"/>
        <w:tab w:val="left" w:pos="5040"/>
      </w:tabs>
      <w:ind w:left="5040" w:hanging="3600"/>
    </w:pPr>
  </w:style>
  <w:style w:type="paragraph" w:customStyle="1" w:styleId="TOCTitle">
    <w:name w:val="TOC Title"/>
    <w:basedOn w:val="Normal"/>
    <w:rsid w:val="000B4A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4A06"/>
    <w:pPr>
      <w:jc w:val="center"/>
    </w:pPr>
    <w:rPr>
      <w:rFonts w:ascii="Times New Roman Bold" w:hAnsi="Times New Roman Bold"/>
      <w:b/>
      <w:bCs/>
      <w:caps/>
      <w:szCs w:val="22"/>
    </w:rPr>
  </w:style>
  <w:style w:type="character" w:styleId="Hyperlink">
    <w:name w:val="Hyperlink"/>
    <w:rsid w:val="000B4A06"/>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26C64"/>
  </w:style>
  <w:style w:type="character" w:customStyle="1" w:styleId="ParaNumChar">
    <w:name w:val="ParaNum Char"/>
    <w:link w:val="ParaNum"/>
    <w:locked/>
    <w:rsid w:val="00526C64"/>
    <w:rPr>
      <w:snapToGrid w:val="0"/>
      <w:kern w:val="28"/>
      <w:sz w:val="22"/>
    </w:rPr>
  </w:style>
  <w:style w:type="character" w:customStyle="1" w:styleId="Heading1Char">
    <w:name w:val="Heading 1 Char"/>
    <w:basedOn w:val="DefaultParagraphFont"/>
    <w:link w:val="Heading1"/>
    <w:rsid w:val="003155AD"/>
    <w:rPr>
      <w:rFonts w:ascii="Times New Roman Bold" w:hAnsi="Times New Roman Bold"/>
      <w:b/>
      <w:caps/>
      <w:snapToGrid w:val="0"/>
      <w:kern w:val="28"/>
      <w:sz w:val="22"/>
    </w:rPr>
  </w:style>
  <w:style w:type="character" w:styleId="CommentReference">
    <w:name w:val="annotation reference"/>
    <w:basedOn w:val="DefaultParagraphFont"/>
    <w:rsid w:val="002F339B"/>
    <w:rPr>
      <w:sz w:val="16"/>
      <w:szCs w:val="16"/>
    </w:rPr>
  </w:style>
  <w:style w:type="paragraph" w:styleId="CommentText">
    <w:name w:val="annotation text"/>
    <w:basedOn w:val="Normal"/>
    <w:link w:val="CommentTextChar"/>
    <w:rsid w:val="002F339B"/>
    <w:rPr>
      <w:sz w:val="20"/>
    </w:rPr>
  </w:style>
  <w:style w:type="character" w:customStyle="1" w:styleId="CommentTextChar">
    <w:name w:val="Comment Text Char"/>
    <w:basedOn w:val="DefaultParagraphFont"/>
    <w:link w:val="CommentText"/>
    <w:rsid w:val="002F339B"/>
    <w:rPr>
      <w:snapToGrid w:val="0"/>
      <w:kern w:val="28"/>
    </w:rPr>
  </w:style>
  <w:style w:type="paragraph" w:styleId="CommentSubject">
    <w:name w:val="annotation subject"/>
    <w:basedOn w:val="CommentText"/>
    <w:next w:val="CommentText"/>
    <w:link w:val="CommentSubjectChar"/>
    <w:rsid w:val="002F339B"/>
    <w:rPr>
      <w:b/>
      <w:bCs/>
    </w:rPr>
  </w:style>
  <w:style w:type="character" w:customStyle="1" w:styleId="CommentSubjectChar">
    <w:name w:val="Comment Subject Char"/>
    <w:basedOn w:val="CommentTextChar"/>
    <w:link w:val="CommentSubject"/>
    <w:rsid w:val="002F339B"/>
    <w:rPr>
      <w:b/>
      <w:bCs/>
      <w:snapToGrid w:val="0"/>
      <w:kern w:val="28"/>
    </w:rPr>
  </w:style>
  <w:style w:type="paragraph" w:styleId="BalloonText">
    <w:name w:val="Balloon Text"/>
    <w:basedOn w:val="Normal"/>
    <w:link w:val="BalloonTextChar"/>
    <w:rsid w:val="002F339B"/>
    <w:rPr>
      <w:rFonts w:ascii="Segoe UI" w:hAnsi="Segoe UI" w:cs="Segoe UI"/>
      <w:sz w:val="18"/>
      <w:szCs w:val="18"/>
    </w:rPr>
  </w:style>
  <w:style w:type="character" w:customStyle="1" w:styleId="BalloonTextChar">
    <w:name w:val="Balloon Text Char"/>
    <w:basedOn w:val="DefaultParagraphFont"/>
    <w:link w:val="BalloonText"/>
    <w:rsid w:val="002F339B"/>
    <w:rPr>
      <w:rFonts w:ascii="Segoe UI" w:hAnsi="Segoe UI" w:cs="Segoe UI"/>
      <w:snapToGrid w:val="0"/>
      <w:kern w:val="28"/>
      <w:sz w:val="18"/>
      <w:szCs w:val="18"/>
    </w:rPr>
  </w:style>
  <w:style w:type="character" w:customStyle="1" w:styleId="Heading2Char">
    <w:name w:val="Heading 2 Char"/>
    <w:link w:val="Heading2"/>
    <w:rsid w:val="00B556EB"/>
    <w:rPr>
      <w:b/>
      <w:snapToGrid w:val="0"/>
      <w:kern w:val="28"/>
      <w:sz w:val="22"/>
    </w:rPr>
  </w:style>
  <w:style w:type="character" w:customStyle="1" w:styleId="FooterChar">
    <w:name w:val="Footer Char"/>
    <w:link w:val="Footer"/>
    <w:rsid w:val="00A9728E"/>
    <w:rPr>
      <w:snapToGrid w:val="0"/>
      <w:kern w:val="28"/>
      <w:sz w:val="22"/>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A9728E"/>
    <w:rPr>
      <w:snapToGrid w:val="0"/>
      <w:kern w:val="28"/>
      <w:lang w:val="en-US" w:eastAsia="en-US"/>
    </w:rPr>
  </w:style>
  <w:style w:type="paragraph" w:customStyle="1" w:styleId="StyleParaNumItalic">
    <w:name w:val="Style ParaNum + Italic"/>
    <w:basedOn w:val="ParaNum"/>
    <w:link w:val="StyleParaNumItalicChar"/>
    <w:rsid w:val="00A9728E"/>
    <w:pPr>
      <w:widowControl/>
      <w:tabs>
        <w:tab w:val="left" w:pos="1440"/>
      </w:tabs>
      <w:spacing w:after="240"/>
    </w:pPr>
    <w:rPr>
      <w:i/>
      <w:iCs/>
      <w:snapToGrid/>
    </w:rPr>
  </w:style>
  <w:style w:type="character" w:customStyle="1" w:styleId="StyleParaNumItalicChar">
    <w:name w:val="Style ParaNum + Italic Char"/>
    <w:link w:val="StyleParaNumItalic"/>
    <w:locked/>
    <w:rsid w:val="00A9728E"/>
    <w:rPr>
      <w:i/>
      <w:iCs/>
      <w:kern w:val="28"/>
      <w:sz w:val="22"/>
    </w:rPr>
  </w:style>
  <w:style w:type="paragraph" w:styleId="Revision">
    <w:name w:val="Revision"/>
    <w:hidden/>
    <w:uiPriority w:val="99"/>
    <w:semiHidden/>
    <w:rsid w:val="001860C1"/>
    <w:rPr>
      <w:snapToGrid w:val="0"/>
      <w:kern w:val="28"/>
      <w:sz w:val="22"/>
    </w:rPr>
  </w:style>
  <w:style w:type="character" w:customStyle="1" w:styleId="HeaderChar">
    <w:name w:val="Header Char"/>
    <w:basedOn w:val="DefaultParagraphFont"/>
    <w:link w:val="Header"/>
    <w:rsid w:val="0009315E"/>
    <w:rPr>
      <w:b/>
      <w:snapToGrid w:val="0"/>
      <w:kern w:val="28"/>
      <w:sz w:val="22"/>
    </w:rPr>
  </w:style>
  <w:style w:type="paragraph" w:styleId="ListParagraph">
    <w:name w:val="List Paragraph"/>
    <w:basedOn w:val="Normal"/>
    <w:uiPriority w:val="34"/>
    <w:qFormat/>
    <w:rsid w:val="0009315E"/>
    <w:pPr>
      <w:ind w:left="720"/>
      <w:contextualSpacing/>
    </w:pPr>
  </w:style>
  <w:style w:type="character" w:customStyle="1" w:styleId="FootnoteTextCharChar4Char">
    <w:name w:val="Footnote Text Char Char4 Char"/>
    <w:aliases w:val="Footnote Text Char1 Char3 Char Char,Footnote Text Char Char4 Char Char Char,Footnote Text Char5 Char Char Char Char Char,Footnote Text Char4 Char Char Char2 Char Char Char"/>
    <w:basedOn w:val="DefaultParagraphFont"/>
    <w:semiHidden/>
    <w:rsid w:val="000A5F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12483</Words>
  <Characters>68706</Characters>
  <Application>Microsoft Office Word</Application>
  <DocSecurity>0</DocSecurity>
  <Lines>1016</Lines>
  <Paragraphs>259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2017-05-23T13:33:00Z</cp:lastPrinted>
  <dcterms:created xsi:type="dcterms:W3CDTF">2017-07-19T21:04:00Z</dcterms:created>
  <dcterms:modified xsi:type="dcterms:W3CDTF">2017-07-19T21:04:00Z</dcterms:modified>
  <cp:category> </cp:category>
  <cp:contentStatus> </cp:contentStatus>
</cp:coreProperties>
</file>