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D5" w:rsidRDefault="009E37D5" w:rsidP="009E37D5">
      <w:pPr>
        <w:jc w:val="center"/>
        <w:rPr>
          <w:b/>
        </w:rPr>
      </w:pPr>
      <w:bookmarkStart w:id="0" w:name="_Toc477187541"/>
      <w:bookmarkStart w:id="1" w:name="_Toc477187681"/>
      <w:bookmarkStart w:id="2" w:name="_Toc477187937"/>
      <w:bookmarkStart w:id="3" w:name="_Toc477188039"/>
      <w:bookmarkStart w:id="4" w:name="_Toc477188126"/>
      <w:bookmarkStart w:id="5" w:name="_Toc477189014"/>
      <w:bookmarkStart w:id="6" w:name="_Toc477445779"/>
      <w:bookmarkStart w:id="7" w:name="_Toc477452997"/>
      <w:bookmarkStart w:id="8" w:name="_Toc477453163"/>
      <w:bookmarkStart w:id="9" w:name="_Toc477796022"/>
      <w:bookmarkStart w:id="10" w:name="_Toc478050617"/>
      <w:bookmarkStart w:id="11" w:name="_Toc478138479"/>
      <w:bookmarkStart w:id="12" w:name="_Toc478139494"/>
      <w:bookmarkStart w:id="13" w:name="_Toc478139600"/>
      <w:bookmarkStart w:id="14" w:name="_Toc478139651"/>
      <w:bookmarkStart w:id="15" w:name="_GoBack"/>
      <w:bookmarkEnd w:id="15"/>
      <w:r w:rsidRPr="0070224F">
        <w:rPr>
          <w:rFonts w:ascii="Times New Roman Bold" w:hAnsi="Times New Roman Bold"/>
          <w:b/>
          <w:kern w:val="0"/>
          <w:szCs w:val="22"/>
        </w:rPr>
        <w:t>Before</w:t>
      </w:r>
      <w:r>
        <w:rPr>
          <w:b/>
        </w:rPr>
        <w:t xml:space="preserve"> the</w:t>
      </w:r>
    </w:p>
    <w:p w:rsidR="009E37D5" w:rsidRDefault="009E37D5" w:rsidP="009E37D5">
      <w:pPr>
        <w:pStyle w:val="StyleBoldCentered"/>
      </w:pPr>
      <w:r>
        <w:t>F</w:t>
      </w:r>
      <w:r>
        <w:rPr>
          <w:caps w:val="0"/>
        </w:rPr>
        <w:t>ederal Communications Commission</w:t>
      </w:r>
    </w:p>
    <w:p w:rsidR="009E37D5" w:rsidRDefault="009E37D5" w:rsidP="009E37D5">
      <w:pPr>
        <w:pStyle w:val="StyleBoldCentered"/>
      </w:pPr>
      <w:r>
        <w:rPr>
          <w:caps w:val="0"/>
        </w:rPr>
        <w:t>Washington, D.C. 20554</w:t>
      </w:r>
    </w:p>
    <w:p w:rsidR="009E37D5" w:rsidRDefault="009E37D5" w:rsidP="009E37D5"/>
    <w:p w:rsidR="009E37D5" w:rsidRDefault="009E37D5" w:rsidP="009E37D5"/>
    <w:tbl>
      <w:tblPr>
        <w:tblW w:w="0" w:type="auto"/>
        <w:tblLayout w:type="fixed"/>
        <w:tblLook w:val="0000" w:firstRow="0" w:lastRow="0" w:firstColumn="0" w:lastColumn="0" w:noHBand="0" w:noVBand="0"/>
      </w:tblPr>
      <w:tblGrid>
        <w:gridCol w:w="4698"/>
        <w:gridCol w:w="630"/>
        <w:gridCol w:w="4248"/>
      </w:tblGrid>
      <w:tr w:rsidR="009E37D5" w:rsidTr="0012387F">
        <w:tc>
          <w:tcPr>
            <w:tcW w:w="4698" w:type="dxa"/>
          </w:tcPr>
          <w:p w:rsidR="009E37D5" w:rsidRDefault="009E37D5" w:rsidP="0012387F">
            <w:pPr>
              <w:tabs>
                <w:tab w:val="center" w:pos="4680"/>
              </w:tabs>
              <w:suppressAutoHyphens/>
              <w:rPr>
                <w:spacing w:val="-2"/>
              </w:rPr>
            </w:pPr>
            <w:r>
              <w:rPr>
                <w:spacing w:val="-2"/>
              </w:rPr>
              <w:t>In the Matter of</w:t>
            </w:r>
          </w:p>
          <w:p w:rsidR="009E37D5" w:rsidRDefault="009E37D5" w:rsidP="0012387F">
            <w:pPr>
              <w:tabs>
                <w:tab w:val="center" w:pos="4680"/>
              </w:tabs>
              <w:suppressAutoHyphens/>
              <w:rPr>
                <w:spacing w:val="-2"/>
              </w:rPr>
            </w:pPr>
          </w:p>
          <w:p w:rsidR="009E37D5" w:rsidRPr="007115F7" w:rsidRDefault="009E37D5" w:rsidP="0012387F">
            <w:pPr>
              <w:tabs>
                <w:tab w:val="center" w:pos="4680"/>
              </w:tabs>
              <w:suppressAutoHyphens/>
              <w:rPr>
                <w:spacing w:val="-2"/>
              </w:rPr>
            </w:pPr>
            <w:r>
              <w:rPr>
                <w:spacing w:val="-2"/>
              </w:rPr>
              <w:t>Improving Competitive Broadband Access to Multiple Tenant Environments</w:t>
            </w:r>
          </w:p>
        </w:tc>
        <w:tc>
          <w:tcPr>
            <w:tcW w:w="630" w:type="dxa"/>
          </w:tcPr>
          <w:p w:rsidR="009E37D5" w:rsidRDefault="009E37D5" w:rsidP="0012387F">
            <w:pPr>
              <w:tabs>
                <w:tab w:val="center" w:pos="4680"/>
              </w:tabs>
              <w:suppressAutoHyphens/>
              <w:rPr>
                <w:b/>
                <w:spacing w:val="-2"/>
              </w:rPr>
            </w:pPr>
            <w:r>
              <w:rPr>
                <w:b/>
                <w:spacing w:val="-2"/>
              </w:rPr>
              <w:t>)</w:t>
            </w:r>
          </w:p>
          <w:p w:rsidR="009E37D5" w:rsidRDefault="009E37D5" w:rsidP="0012387F">
            <w:pPr>
              <w:tabs>
                <w:tab w:val="center" w:pos="4680"/>
              </w:tabs>
              <w:suppressAutoHyphens/>
              <w:rPr>
                <w:b/>
                <w:spacing w:val="-2"/>
              </w:rPr>
            </w:pPr>
            <w:r>
              <w:rPr>
                <w:b/>
                <w:spacing w:val="-2"/>
              </w:rPr>
              <w:t>)</w:t>
            </w:r>
          </w:p>
          <w:p w:rsidR="009E37D5" w:rsidRDefault="009E37D5" w:rsidP="0012387F">
            <w:pPr>
              <w:tabs>
                <w:tab w:val="center" w:pos="4680"/>
              </w:tabs>
              <w:suppressAutoHyphens/>
              <w:rPr>
                <w:b/>
                <w:spacing w:val="-2"/>
              </w:rPr>
            </w:pPr>
            <w:r>
              <w:rPr>
                <w:b/>
                <w:spacing w:val="-2"/>
              </w:rPr>
              <w:t>)</w:t>
            </w:r>
          </w:p>
          <w:p w:rsidR="009E37D5" w:rsidRPr="001A1C22" w:rsidRDefault="009E37D5" w:rsidP="0012387F">
            <w:pPr>
              <w:tabs>
                <w:tab w:val="center" w:pos="4680"/>
              </w:tabs>
              <w:suppressAutoHyphens/>
              <w:rPr>
                <w:b/>
                <w:spacing w:val="-2"/>
              </w:rPr>
            </w:pPr>
            <w:r>
              <w:rPr>
                <w:b/>
                <w:spacing w:val="-2"/>
              </w:rPr>
              <w:t>)</w:t>
            </w:r>
          </w:p>
        </w:tc>
        <w:tc>
          <w:tcPr>
            <w:tcW w:w="4248" w:type="dxa"/>
          </w:tcPr>
          <w:p w:rsidR="009E37D5" w:rsidRDefault="009E37D5" w:rsidP="0012387F">
            <w:pPr>
              <w:tabs>
                <w:tab w:val="center" w:pos="4680"/>
              </w:tabs>
              <w:suppressAutoHyphens/>
              <w:rPr>
                <w:spacing w:val="-2"/>
              </w:rPr>
            </w:pPr>
          </w:p>
          <w:p w:rsidR="009E37D5" w:rsidRDefault="009E37D5" w:rsidP="0012387F">
            <w:pPr>
              <w:pStyle w:val="TOAHeading"/>
              <w:tabs>
                <w:tab w:val="clear" w:pos="9360"/>
                <w:tab w:val="center" w:pos="4680"/>
              </w:tabs>
              <w:rPr>
                <w:spacing w:val="-2"/>
              </w:rPr>
            </w:pPr>
          </w:p>
          <w:p w:rsidR="009E37D5" w:rsidRDefault="009E37D5" w:rsidP="0012387F">
            <w:pPr>
              <w:tabs>
                <w:tab w:val="center" w:pos="4680"/>
              </w:tabs>
              <w:suppressAutoHyphens/>
              <w:rPr>
                <w:spacing w:val="-2"/>
              </w:rPr>
            </w:pPr>
            <w:r>
              <w:rPr>
                <w:spacing w:val="-2"/>
              </w:rPr>
              <w:t>GN Docket No. 17-142</w:t>
            </w:r>
          </w:p>
        </w:tc>
      </w:tr>
    </w:tbl>
    <w:p w:rsidR="009E37D5" w:rsidRDefault="009E37D5" w:rsidP="009E37D5"/>
    <w:p w:rsidR="009E37D5" w:rsidRDefault="009E37D5" w:rsidP="009E37D5">
      <w:pPr>
        <w:pStyle w:val="StyleBoldCentered"/>
      </w:pPr>
      <w:r>
        <w:t>notice of INQUIRY</w:t>
      </w:r>
    </w:p>
    <w:p w:rsidR="009E37D5" w:rsidRDefault="009E37D5" w:rsidP="009E37D5">
      <w:pPr>
        <w:tabs>
          <w:tab w:val="left" w:pos="-720"/>
        </w:tabs>
        <w:suppressAutoHyphens/>
        <w:rPr>
          <w:spacing w:val="-2"/>
        </w:rPr>
      </w:pPr>
    </w:p>
    <w:p w:rsidR="009E37D5" w:rsidRDefault="009E37D5" w:rsidP="009E37D5">
      <w:pPr>
        <w:tabs>
          <w:tab w:val="left" w:pos="720"/>
          <w:tab w:val="right" w:pos="9360"/>
        </w:tabs>
        <w:suppressAutoHyphens/>
        <w:rPr>
          <w:b/>
          <w:spacing w:val="-2"/>
        </w:rPr>
      </w:pPr>
      <w:r>
        <w:rPr>
          <w:b/>
          <w:spacing w:val="-2"/>
        </w:rPr>
        <w:t xml:space="preserve">Adopted:  </w:t>
      </w:r>
      <w:r w:rsidR="000701D6">
        <w:rPr>
          <w:b/>
          <w:spacing w:val="-2"/>
        </w:rPr>
        <w:t>June 22, 2017</w:t>
      </w:r>
      <w:r>
        <w:rPr>
          <w:b/>
          <w:spacing w:val="-2"/>
        </w:rPr>
        <w:tab/>
        <w:t xml:space="preserve">Released:  </w:t>
      </w:r>
      <w:r w:rsidR="00697B6A">
        <w:rPr>
          <w:b/>
          <w:spacing w:val="-2"/>
        </w:rPr>
        <w:t>June 23, 2017</w:t>
      </w:r>
    </w:p>
    <w:p w:rsidR="009E37D5" w:rsidRDefault="009E37D5" w:rsidP="009E37D5">
      <w:pPr>
        <w:tabs>
          <w:tab w:val="left" w:pos="720"/>
          <w:tab w:val="right" w:pos="9360"/>
        </w:tabs>
        <w:suppressAutoHyphens/>
        <w:rPr>
          <w:b/>
          <w:spacing w:val="-2"/>
        </w:rPr>
      </w:pPr>
    </w:p>
    <w:p w:rsidR="009175E3" w:rsidRPr="009175E3" w:rsidRDefault="009E37D5" w:rsidP="009175E3">
      <w:pPr>
        <w:rPr>
          <w:spacing w:val="-2"/>
        </w:rPr>
      </w:pPr>
      <w:r>
        <w:rPr>
          <w:spacing w:val="-2"/>
        </w:rPr>
        <w:t>By the Commission:</w:t>
      </w:r>
      <w:r w:rsidR="009175E3">
        <w:rPr>
          <w:spacing w:val="-2"/>
        </w:rPr>
        <w:t xml:space="preserve"> </w:t>
      </w:r>
      <w:r w:rsidR="009175E3" w:rsidRPr="009175E3">
        <w:rPr>
          <w:spacing w:val="-2"/>
        </w:rPr>
        <w:t>Chairman Pai and Commissioners Clyburn and O’Rielly issuing separate statements.</w:t>
      </w:r>
    </w:p>
    <w:p w:rsidR="009E37D5" w:rsidRPr="000A4BE1" w:rsidRDefault="009E37D5" w:rsidP="009E37D5">
      <w:pPr>
        <w:tabs>
          <w:tab w:val="left" w:pos="720"/>
          <w:tab w:val="right" w:pos="9360"/>
        </w:tabs>
        <w:suppressAutoHyphens/>
        <w:rPr>
          <w:spacing w:val="-2"/>
        </w:rPr>
      </w:pPr>
    </w:p>
    <w:p w:rsidR="009E37D5" w:rsidRDefault="009E37D5" w:rsidP="009E37D5">
      <w:pPr>
        <w:tabs>
          <w:tab w:val="left" w:pos="720"/>
          <w:tab w:val="right" w:pos="9360"/>
        </w:tabs>
        <w:suppressAutoHyphens/>
        <w:rPr>
          <w:b/>
          <w:spacing w:val="-2"/>
        </w:rPr>
      </w:pPr>
    </w:p>
    <w:p w:rsidR="009E37D5" w:rsidRDefault="009E37D5" w:rsidP="009E37D5">
      <w:pPr>
        <w:tabs>
          <w:tab w:val="left" w:pos="720"/>
          <w:tab w:val="right" w:pos="9360"/>
        </w:tabs>
        <w:suppressAutoHyphens/>
        <w:rPr>
          <w:b/>
          <w:spacing w:val="-2"/>
        </w:rPr>
      </w:pPr>
      <w:r>
        <w:rPr>
          <w:b/>
          <w:spacing w:val="-2"/>
        </w:rPr>
        <w:t xml:space="preserve">Comment Date: </w:t>
      </w:r>
      <w:r w:rsidR="00697B6A">
        <w:rPr>
          <w:b/>
          <w:spacing w:val="-2"/>
        </w:rPr>
        <w:t>July 24, 2017</w:t>
      </w:r>
    </w:p>
    <w:p w:rsidR="009E37D5" w:rsidRDefault="009E37D5" w:rsidP="009E37D5">
      <w:pPr>
        <w:tabs>
          <w:tab w:val="left" w:pos="720"/>
          <w:tab w:val="right" w:pos="9360"/>
        </w:tabs>
        <w:suppressAutoHyphens/>
        <w:rPr>
          <w:b/>
          <w:spacing w:val="-2"/>
        </w:rPr>
      </w:pPr>
      <w:r>
        <w:rPr>
          <w:b/>
          <w:spacing w:val="-2"/>
        </w:rPr>
        <w:t xml:space="preserve">Reply Comment Date: </w:t>
      </w:r>
      <w:r w:rsidR="00697B6A">
        <w:rPr>
          <w:b/>
          <w:spacing w:val="-2"/>
        </w:rPr>
        <w:t>August 22, 2017</w:t>
      </w:r>
    </w:p>
    <w:p w:rsidR="009E37D5" w:rsidRDefault="009E37D5" w:rsidP="009E37D5"/>
    <w:p w:rsidR="009E37D5" w:rsidRDefault="009E37D5" w:rsidP="009E37D5">
      <w:pPr>
        <w:pStyle w:val="TOCTitle"/>
      </w:pPr>
      <w:bookmarkStart w:id="16" w:name="TOChere"/>
      <w:r>
        <w:t>Table of Contents</w:t>
      </w:r>
    </w:p>
    <w:p w:rsidR="009E37D5" w:rsidRDefault="009E37D5" w:rsidP="009E37D5">
      <w:pPr>
        <w:pStyle w:val="Paratitle"/>
      </w:pPr>
      <w:r>
        <w:tab/>
        <w:t>Para</w:t>
      </w:r>
      <w:bookmarkStart w:id="17" w:name="start_here"/>
      <w:bookmarkEnd w:id="17"/>
      <w:r w:rsidR="009B4B10">
        <w:t>.</w:t>
      </w:r>
    </w:p>
    <w:p w:rsidR="009E37D5" w:rsidRPr="009E37D5" w:rsidRDefault="009E37D5" w:rsidP="009E37D5">
      <w:pPr>
        <w:pStyle w:val="TOC1"/>
        <w:rPr>
          <w:rFonts w:ascii="Calibri" w:hAnsi="Calibri"/>
          <w:caps w:val="0"/>
          <w:snapToGrid/>
          <w:kern w:val="0"/>
          <w:szCs w:val="22"/>
        </w:rPr>
      </w:pPr>
      <w:r>
        <w:t>I.</w:t>
      </w:r>
      <w:r w:rsidRPr="009E37D5">
        <w:rPr>
          <w:rFonts w:ascii="Calibri" w:hAnsi="Calibri"/>
          <w:caps w:val="0"/>
          <w:snapToGrid/>
          <w:kern w:val="0"/>
          <w:szCs w:val="22"/>
        </w:rPr>
        <w:tab/>
      </w:r>
      <w:r>
        <w:t>introduction</w:t>
      </w:r>
      <w:r>
        <w:tab/>
        <w:t>1</w:t>
      </w:r>
    </w:p>
    <w:p w:rsidR="009E37D5" w:rsidRPr="009E37D5" w:rsidRDefault="009E37D5" w:rsidP="009E37D5">
      <w:pPr>
        <w:pStyle w:val="TOC1"/>
        <w:rPr>
          <w:rFonts w:ascii="Calibri" w:hAnsi="Calibri"/>
          <w:caps w:val="0"/>
          <w:snapToGrid/>
          <w:kern w:val="0"/>
          <w:szCs w:val="22"/>
        </w:rPr>
      </w:pPr>
      <w:r>
        <w:t>II.</w:t>
      </w:r>
      <w:r w:rsidRPr="009E37D5">
        <w:rPr>
          <w:rFonts w:ascii="Calibri" w:hAnsi="Calibri"/>
          <w:caps w:val="0"/>
          <w:snapToGrid/>
          <w:kern w:val="0"/>
          <w:szCs w:val="22"/>
        </w:rPr>
        <w:tab/>
      </w:r>
      <w:r>
        <w:t>background</w:t>
      </w:r>
      <w:r>
        <w:tab/>
        <w:t>4</w:t>
      </w:r>
    </w:p>
    <w:p w:rsidR="009E37D5" w:rsidRPr="009E37D5" w:rsidRDefault="009E37D5" w:rsidP="009E37D5">
      <w:pPr>
        <w:pStyle w:val="TOC1"/>
        <w:rPr>
          <w:rFonts w:ascii="Calibri" w:hAnsi="Calibri"/>
          <w:caps w:val="0"/>
          <w:snapToGrid/>
          <w:kern w:val="0"/>
          <w:szCs w:val="22"/>
        </w:rPr>
      </w:pPr>
      <w:r>
        <w:t>III.</w:t>
      </w:r>
      <w:r w:rsidRPr="009E37D5">
        <w:rPr>
          <w:rFonts w:ascii="Calibri" w:hAnsi="Calibri"/>
          <w:caps w:val="0"/>
          <w:snapToGrid/>
          <w:kern w:val="0"/>
          <w:szCs w:val="22"/>
        </w:rPr>
        <w:tab/>
      </w:r>
      <w:r>
        <w:t>discussion</w:t>
      </w:r>
      <w:r>
        <w:tab/>
        <w:t>10</w:t>
      </w:r>
    </w:p>
    <w:p w:rsidR="009E37D5" w:rsidRPr="009E37D5" w:rsidRDefault="009E37D5" w:rsidP="009E37D5">
      <w:pPr>
        <w:pStyle w:val="TOC1"/>
        <w:rPr>
          <w:rFonts w:ascii="Calibri" w:hAnsi="Calibri"/>
          <w:caps w:val="0"/>
          <w:snapToGrid/>
          <w:kern w:val="0"/>
          <w:szCs w:val="22"/>
        </w:rPr>
      </w:pPr>
      <w:r w:rsidRPr="00DD0DC1">
        <w:rPr>
          <w:caps w:val="0"/>
        </w:rPr>
        <w:t>IV.</w:t>
      </w:r>
      <w:r w:rsidRPr="009E37D5">
        <w:rPr>
          <w:rFonts w:ascii="Calibri" w:hAnsi="Calibri"/>
          <w:caps w:val="0"/>
          <w:snapToGrid/>
          <w:kern w:val="0"/>
          <w:szCs w:val="22"/>
        </w:rPr>
        <w:tab/>
      </w:r>
      <w:r w:rsidRPr="00DD0DC1">
        <w:rPr>
          <w:caps w:val="0"/>
        </w:rPr>
        <w:t>PROCEDURAL MATTERS</w:t>
      </w:r>
      <w:r>
        <w:tab/>
        <w:t>22</w:t>
      </w:r>
    </w:p>
    <w:p w:rsidR="009E37D5" w:rsidRPr="009E37D5" w:rsidRDefault="009E37D5" w:rsidP="009E37D5">
      <w:pPr>
        <w:pStyle w:val="TOC2"/>
        <w:tabs>
          <w:tab w:val="left" w:pos="360"/>
        </w:tabs>
        <w:rPr>
          <w:rFonts w:ascii="Calibri" w:hAnsi="Calibri"/>
          <w:snapToGrid/>
          <w:kern w:val="0"/>
          <w:szCs w:val="22"/>
        </w:rPr>
      </w:pPr>
      <w:r>
        <w:t>A.</w:t>
      </w:r>
      <w:r w:rsidRPr="009E37D5">
        <w:rPr>
          <w:rFonts w:ascii="Calibri" w:hAnsi="Calibri"/>
          <w:snapToGrid/>
          <w:kern w:val="0"/>
          <w:szCs w:val="22"/>
        </w:rPr>
        <w:tab/>
      </w:r>
      <w:r w:rsidRPr="00DD0DC1">
        <w:rPr>
          <w:i/>
        </w:rPr>
        <w:t>Ex Parte</w:t>
      </w:r>
      <w:r>
        <w:t xml:space="preserve"> Rules</w:t>
      </w:r>
      <w:r>
        <w:tab/>
        <w:t>22</w:t>
      </w:r>
    </w:p>
    <w:p w:rsidR="009E37D5" w:rsidRPr="009E37D5" w:rsidRDefault="009E37D5" w:rsidP="009E37D5">
      <w:pPr>
        <w:pStyle w:val="TOC2"/>
        <w:tabs>
          <w:tab w:val="left" w:pos="360"/>
        </w:tabs>
        <w:rPr>
          <w:rFonts w:ascii="Calibri" w:hAnsi="Calibri"/>
          <w:snapToGrid/>
          <w:kern w:val="0"/>
          <w:szCs w:val="22"/>
        </w:rPr>
      </w:pPr>
      <w:r>
        <w:t>B.</w:t>
      </w:r>
      <w:r w:rsidRPr="009E37D5">
        <w:rPr>
          <w:rFonts w:ascii="Calibri" w:hAnsi="Calibri"/>
          <w:snapToGrid/>
          <w:kern w:val="0"/>
          <w:szCs w:val="22"/>
        </w:rPr>
        <w:tab/>
      </w:r>
      <w:r>
        <w:t>Filing of Comments and Reply Comments</w:t>
      </w:r>
      <w:r>
        <w:tab/>
        <w:t>23</w:t>
      </w:r>
    </w:p>
    <w:p w:rsidR="009E37D5" w:rsidRPr="009E37D5" w:rsidRDefault="009E37D5" w:rsidP="009E37D5">
      <w:pPr>
        <w:pStyle w:val="TOC2"/>
        <w:tabs>
          <w:tab w:val="left" w:pos="360"/>
        </w:tabs>
        <w:rPr>
          <w:rFonts w:ascii="Calibri" w:hAnsi="Calibri"/>
          <w:snapToGrid/>
          <w:kern w:val="0"/>
          <w:szCs w:val="22"/>
        </w:rPr>
      </w:pPr>
      <w:r>
        <w:t>C.</w:t>
      </w:r>
      <w:r w:rsidRPr="009E37D5">
        <w:rPr>
          <w:rFonts w:ascii="Calibri" w:hAnsi="Calibri"/>
          <w:snapToGrid/>
          <w:kern w:val="0"/>
          <w:szCs w:val="22"/>
        </w:rPr>
        <w:tab/>
      </w:r>
      <w:r>
        <w:t>Contact Person</w:t>
      </w:r>
      <w:r>
        <w:tab/>
        <w:t>24</w:t>
      </w:r>
    </w:p>
    <w:p w:rsidR="009E37D5" w:rsidRPr="009E37D5" w:rsidRDefault="009E37D5" w:rsidP="009E37D5">
      <w:pPr>
        <w:pStyle w:val="TOC1"/>
        <w:rPr>
          <w:rFonts w:ascii="Calibri" w:hAnsi="Calibri"/>
          <w:caps w:val="0"/>
          <w:snapToGrid/>
          <w:kern w:val="0"/>
          <w:szCs w:val="22"/>
        </w:rPr>
      </w:pPr>
      <w:r>
        <w:t>V.</w:t>
      </w:r>
      <w:r w:rsidRPr="009E37D5">
        <w:rPr>
          <w:rFonts w:ascii="Calibri" w:hAnsi="Calibri"/>
          <w:caps w:val="0"/>
          <w:snapToGrid/>
          <w:kern w:val="0"/>
          <w:szCs w:val="22"/>
        </w:rPr>
        <w:tab/>
      </w:r>
      <w:r w:rsidRPr="00DD0DC1">
        <w:rPr>
          <w:caps w:val="0"/>
        </w:rPr>
        <w:t>ORDERING CLAUSE</w:t>
      </w:r>
      <w:r>
        <w:tab/>
        <w:t>25</w:t>
      </w:r>
      <w:bookmarkEnd w:id="16"/>
    </w:p>
    <w:p w:rsidR="009E37D5" w:rsidRDefault="009E37D5" w:rsidP="009E37D5"/>
    <w:p w:rsidR="009E37D5" w:rsidRDefault="009E37D5" w:rsidP="009E37D5">
      <w:pPr>
        <w:pStyle w:val="Heading1"/>
      </w:pPr>
      <w:bookmarkStart w:id="18" w:name="_Toc482098526"/>
      <w:bookmarkStart w:id="19" w:name="_Toc482353532"/>
      <w:bookmarkStart w:id="20" w:name="_Toc483383123"/>
      <w:bookmarkStart w:id="21" w:name="_Toc483920524"/>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Introduction</w:t>
      </w:r>
      <w:bookmarkEnd w:id="18"/>
      <w:bookmarkEnd w:id="19"/>
      <w:bookmarkEnd w:id="20"/>
      <w:bookmarkEnd w:id="21"/>
    </w:p>
    <w:p w:rsidR="009E37D5" w:rsidRDefault="009E37D5" w:rsidP="009E37D5">
      <w:pPr>
        <w:pStyle w:val="ParaNum"/>
      </w:pPr>
      <w:r>
        <w:t>High-speed Internet access is an increasingly important gateway to jobs, health care, education, and information, allowing innovators and entrepreneurs to create businesses and revolutionize entire industries.</w:t>
      </w:r>
      <w:r>
        <w:rPr>
          <w:rStyle w:val="FootnoteReference"/>
        </w:rPr>
        <w:footnoteReference w:id="2"/>
      </w:r>
      <w:r>
        <w:t xml:space="preserve">  In this </w:t>
      </w:r>
      <w:r>
        <w:rPr>
          <w:i/>
        </w:rPr>
        <w:t xml:space="preserve">Notice of Inquiry </w:t>
      </w:r>
      <w:r>
        <w:t>(Notice), we continue to explore ways in which we can accelerate the deployment of next-generation networks and services and better enable innovation and competition in the market for high-speed Internet access.</w:t>
      </w:r>
      <w:r>
        <w:rPr>
          <w:rStyle w:val="FootnoteReference"/>
        </w:rPr>
        <w:footnoteReference w:id="3"/>
      </w:r>
      <w:r>
        <w:t xml:space="preserve">  </w:t>
      </w:r>
    </w:p>
    <w:p w:rsidR="009E37D5" w:rsidRDefault="009E37D5" w:rsidP="009E37D5">
      <w:pPr>
        <w:pStyle w:val="ParaNum"/>
      </w:pPr>
      <w:r>
        <w:t xml:space="preserve">Specifically, we seek comment on ways to facilitate greater consumer choice and enhance broadband deployment in multiple tenant environments (MTEs).  MTEs are commercial or residential premises such as apartment buildings, condominium buildings, shopping malls, or </w:t>
      </w:r>
      <w:r>
        <w:lastRenderedPageBreak/>
        <w:t>cooperatives that are occupied by multiple entities.</w:t>
      </w:r>
      <w:r>
        <w:rPr>
          <w:rStyle w:val="FootnoteReference"/>
        </w:rPr>
        <w:footnoteReference w:id="4"/>
      </w:r>
      <w:r>
        <w:t xml:space="preserve">  Some argue that further Commission action addressing restrictive arrangements between broadband providers and MTEs is necessary to foster additional competition.</w:t>
      </w:r>
      <w:r>
        <w:rPr>
          <w:rStyle w:val="FootnoteReference"/>
        </w:rPr>
        <w:footnoteReference w:id="5"/>
      </w:r>
      <w:r>
        <w:t xml:space="preserve">  Others contend that we should address through preemption excessive regulation that stifles broadband deployment and competition in MTEs.</w:t>
      </w:r>
      <w:r>
        <w:rPr>
          <w:rStyle w:val="FootnoteReference"/>
        </w:rPr>
        <w:footnoteReference w:id="6"/>
      </w:r>
      <w:r>
        <w:t xml:space="preserve">  We recognize the importance of addressing these views and fostering competition and infrastructure investment in MTEs, and accordingly seek comment in this Notice on whether and how we should act.      </w:t>
      </w:r>
    </w:p>
    <w:p w:rsidR="009E37D5" w:rsidRDefault="009E37D5" w:rsidP="009E37D5">
      <w:pPr>
        <w:pStyle w:val="ParaNum"/>
      </w:pPr>
      <w:r>
        <w:t>The Commission previously has prohibited providers from entering into or enforcing exclusive agreements to provide services to customers in commercial and residential MTEs.</w:t>
      </w:r>
      <w:r>
        <w:rPr>
          <w:rStyle w:val="FootnoteReference"/>
        </w:rPr>
        <w:footnoteReference w:id="7"/>
      </w:r>
      <w:r>
        <w:t xml:space="preserve">  In this </w:t>
      </w:r>
      <w:r w:rsidRPr="00E5285D">
        <w:t>Notice</w:t>
      </w:r>
      <w:r>
        <w:t xml:space="preserve">, we seek comment on the state of broadband competition in MTEs and whether additional Commission action in this area is warranted to eliminate or reduce barriers faced by broadband providers that seek to serve MTE occupants.  </w:t>
      </w:r>
    </w:p>
    <w:p w:rsidR="009E37D5" w:rsidRPr="002330CF" w:rsidRDefault="009E37D5" w:rsidP="009E37D5">
      <w:pPr>
        <w:pStyle w:val="Heading1"/>
      </w:pPr>
      <w:bookmarkStart w:id="22" w:name="_Toc482098527"/>
      <w:bookmarkStart w:id="23" w:name="_Toc482353533"/>
      <w:bookmarkStart w:id="24" w:name="_Toc483383124"/>
      <w:bookmarkStart w:id="25" w:name="_Toc483920525"/>
      <w:r>
        <w:t>Background</w:t>
      </w:r>
      <w:bookmarkEnd w:id="22"/>
      <w:bookmarkEnd w:id="23"/>
      <w:bookmarkEnd w:id="24"/>
      <w:bookmarkEnd w:id="25"/>
    </w:p>
    <w:p w:rsidR="009E37D5" w:rsidRDefault="009E37D5" w:rsidP="009E37D5">
      <w:pPr>
        <w:pStyle w:val="ParaNum"/>
      </w:pPr>
      <w:r>
        <w:rPr>
          <w:i/>
        </w:rPr>
        <w:t>Previous Commission Actions</w:t>
      </w:r>
      <w:r>
        <w:t xml:space="preserve">.  As part of the Commission’s efforts to foster competition in local communications markets pursuant to the Telecommunications Act of 1996, the Commission </w:t>
      </w:r>
      <w:r>
        <w:lastRenderedPageBreak/>
        <w:t xml:space="preserve">adopted the </w:t>
      </w:r>
      <w:r>
        <w:rPr>
          <w:i/>
        </w:rPr>
        <w:t>2000 Competitive Networks Order</w:t>
      </w:r>
      <w:r>
        <w:t xml:space="preserve">.  This </w:t>
      </w:r>
      <w:r>
        <w:rPr>
          <w:i/>
        </w:rPr>
        <w:t>Order</w:t>
      </w:r>
      <w:r>
        <w:t xml:space="preserve"> implemented several measures to ensure that competing telecommunications providers could provide services to customers in MTEs.</w:t>
      </w:r>
      <w:r>
        <w:rPr>
          <w:rStyle w:val="FootnoteReference"/>
        </w:rPr>
        <w:footnoteReference w:id="8"/>
      </w:r>
      <w:r>
        <w:t xml:space="preserve">  More specifically, the order: (1) prohibited common carriers from entering into contracts that restrict or effectively restrict owners and managers of commercial MTEs from permitting access to competing common carriers in order to serve tenants; (2) clarified the Commission’s rules governing control of in-building wiring and facilitated the exercise of building owner options regarding that wiring; and (3) concluded that the access mandated by Section 224 of the Communications Act of 1934, as amended (the Act)</w:t>
      </w:r>
      <w:r>
        <w:rPr>
          <w:rStyle w:val="FootnoteReference"/>
        </w:rPr>
        <w:footnoteReference w:id="9"/>
      </w:r>
      <w:r>
        <w:t xml:space="preserve"> includes access to conduits or rights-of-way that are owned or controlled by a utility within MTEs.</w:t>
      </w:r>
      <w:r>
        <w:rPr>
          <w:rStyle w:val="FootnoteReference"/>
        </w:rPr>
        <w:footnoteReference w:id="10"/>
      </w:r>
    </w:p>
    <w:p w:rsidR="009E37D5" w:rsidRDefault="009E37D5" w:rsidP="009E37D5">
      <w:pPr>
        <w:pStyle w:val="ParaNum"/>
      </w:pPr>
      <w:r>
        <w:t xml:space="preserve">Several years later in the </w:t>
      </w:r>
      <w:r w:rsidRPr="000539CB">
        <w:rPr>
          <w:i/>
        </w:rPr>
        <w:t>2007</w:t>
      </w:r>
      <w:r>
        <w:t xml:space="preserve"> </w:t>
      </w:r>
      <w:r>
        <w:rPr>
          <w:i/>
        </w:rPr>
        <w:t>Exclusive Service Contracts Order</w:t>
      </w:r>
      <w:r>
        <w:t xml:space="preserve">, the Commission concluded that exclusive agreements to provide multichannel video programming distributor (MVPD) services to customers in multiple dwelling units (MDUs) harm competition and broadband deployment, and prohibited </w:t>
      </w:r>
      <w:r w:rsidRPr="008D3B8B">
        <w:t>cable operators and others subject to the relevant statutory provisions</w:t>
      </w:r>
      <w:r>
        <w:t xml:space="preserve"> from entering into or enforcing such agreements.</w:t>
      </w:r>
      <w:r>
        <w:rPr>
          <w:rStyle w:val="FootnoteReference"/>
        </w:rPr>
        <w:footnoteReference w:id="11"/>
      </w:r>
      <w:r>
        <w:t xml:space="preserve">  The following year, in an effort to promote regulatory parity, the Commission, in the </w:t>
      </w:r>
      <w:r>
        <w:rPr>
          <w:i/>
        </w:rPr>
        <w:t>2008 Competitive Networks Order</w:t>
      </w:r>
      <w:r>
        <w:t>, also restricted telecommunications carriers from executing or enforcing exclusive agreements in residential MTEs.</w:t>
      </w:r>
      <w:r>
        <w:rPr>
          <w:rStyle w:val="FootnoteReference"/>
        </w:rPr>
        <w:footnoteReference w:id="12"/>
      </w:r>
    </w:p>
    <w:p w:rsidR="009E37D5" w:rsidRDefault="009E37D5" w:rsidP="009E37D5">
      <w:pPr>
        <w:pStyle w:val="ParaNum"/>
      </w:pPr>
      <w:r>
        <w:t xml:space="preserve">The Commission subsequently released the </w:t>
      </w:r>
      <w:r>
        <w:rPr>
          <w:i/>
        </w:rPr>
        <w:t>2010 Exclusive Service Contracts Order</w:t>
      </w:r>
      <w:r>
        <w:t xml:space="preserve"> to address the issues of exclusive marketing and bulk billing arrangements</w:t>
      </w:r>
      <w:r w:rsidRPr="00705DD0">
        <w:t xml:space="preserve"> </w:t>
      </w:r>
      <w:r>
        <w:t xml:space="preserve">between MVPDs and MDUs raised in the Notice of Proposed Rulemaking attached to the </w:t>
      </w:r>
      <w:r>
        <w:rPr>
          <w:i/>
        </w:rPr>
        <w:t>2007 Exclusive Service Contracts Order</w:t>
      </w:r>
      <w:r>
        <w:t>.</w:t>
      </w:r>
      <w:r>
        <w:rPr>
          <w:rStyle w:val="FootnoteReference"/>
        </w:rPr>
        <w:footnoteReference w:id="13"/>
      </w:r>
      <w:r>
        <w:t xml:space="preserve">  The Commission defines an exclusive marketing arrangement as an arrangement, either written or in practice, between an MDU owner and an MVPD that gives the MVPD, usually in exchange for some consideration, the exclusive right to certain means of marketing its service to residents in the MDU.</w:t>
      </w:r>
      <w:r>
        <w:rPr>
          <w:rStyle w:val="FootnoteReference"/>
        </w:rPr>
        <w:footnoteReference w:id="14"/>
      </w:r>
      <w:r>
        <w:t xml:space="preserve">  Typically, this includes advertising in the MDU’s common areas, placement of the MVPD’s brand on the MDU building’s web page, placement of the MVPD’s brochures in “welcome packs” for new residents, sponsoring events on the premises of the MDU, and slipping brochures under residents’ doors.</w:t>
      </w:r>
      <w:r>
        <w:rPr>
          <w:rStyle w:val="FootnoteReference"/>
        </w:rPr>
        <w:footnoteReference w:id="15"/>
      </w:r>
      <w:r>
        <w:t xml:space="preserve">  Bulk billing is “an arrangement in which one MVPD provides video service to every resident of an MDU, usually at a significant discount from the retail rate that each resident would pay if he or she contracted with the MVPD individually.”</w:t>
      </w:r>
      <w:r>
        <w:rPr>
          <w:rStyle w:val="FootnoteReference"/>
        </w:rPr>
        <w:footnoteReference w:id="16"/>
      </w:r>
      <w:r>
        <w:t xml:space="preserve">  In the </w:t>
      </w:r>
      <w:r w:rsidRPr="00580F37">
        <w:rPr>
          <w:i/>
        </w:rPr>
        <w:t>2010 Exclusive Service Contracts Order</w:t>
      </w:r>
      <w:r>
        <w:t>, the Commission chose not to prohibit MVPDs from using bulk billing arrangements, concluding that such arrangements predominantly benefit consumers through reduced rates and operational efficiencies and by enhancing deployment of broadband.</w:t>
      </w:r>
      <w:r>
        <w:rPr>
          <w:rStyle w:val="FootnoteReference"/>
        </w:rPr>
        <w:footnoteReference w:id="17"/>
      </w:r>
      <w:r>
        <w:t xml:space="preserve">  The Commission also declined to prohibit MVPDs from using exclusive marketing arrangements, finding that it could not, based on the record, conclude that such arrangements significantly hinder or prevent other MVPDs from providing service to MDU residents.</w:t>
      </w:r>
      <w:r>
        <w:rPr>
          <w:rStyle w:val="FootnoteReference"/>
        </w:rPr>
        <w:footnoteReference w:id="18"/>
      </w:r>
      <w:r>
        <w:t xml:space="preserve">  At the same time, the Commission reserved the right to re-examine one or both of these practices in the years ahead if warranted by changes in marketplace conditions and their effect on consumers.</w:t>
      </w:r>
      <w:r>
        <w:rPr>
          <w:rStyle w:val="FootnoteReference"/>
        </w:rPr>
        <w:footnoteReference w:id="19"/>
      </w:r>
    </w:p>
    <w:p w:rsidR="009E37D5" w:rsidRDefault="009E37D5" w:rsidP="009E37D5">
      <w:pPr>
        <w:pStyle w:val="ParaNum"/>
      </w:pPr>
      <w:r>
        <w:rPr>
          <w:i/>
        </w:rPr>
        <w:t>Statutory Basis for Previous Commission Action.</w:t>
      </w:r>
      <w:r w:rsidRPr="002330CF">
        <w:t xml:space="preserve">  </w:t>
      </w:r>
      <w:r>
        <w:t xml:space="preserve">The Commission has previously found that Sections 201(b) and 628 of the Act provide statutory authority to prohibit the execution and </w:t>
      </w:r>
      <w:r w:rsidRPr="007F7BBE">
        <w:t xml:space="preserve">enforcement </w:t>
      </w:r>
      <w:r>
        <w:t>of anti-competitive contractual arrangements granting common carriers and covered MVPDs exclusive access to MTEs.</w:t>
      </w:r>
      <w:r>
        <w:rPr>
          <w:rStyle w:val="FootnoteReference"/>
        </w:rPr>
        <w:footnoteReference w:id="20"/>
      </w:r>
      <w:r>
        <w:t xml:space="preserve">  Section 201(b) of the Act expressly authorizes the Commission to regulate all “charges, practices, classifications, and regulations for and in connection with [interstate or foreign] communication service,” to ensure that such practices are “just and reasonable.”</w:t>
      </w:r>
      <w:r>
        <w:rPr>
          <w:rStyle w:val="FootnoteReference"/>
        </w:rPr>
        <w:footnoteReference w:id="21"/>
      </w:r>
      <w:r>
        <w:t xml:space="preserve">  In the </w:t>
      </w:r>
      <w:r w:rsidRPr="00C02B84">
        <w:rPr>
          <w:i/>
        </w:rPr>
        <w:t>2008 Competitive Networks Order</w:t>
      </w:r>
      <w:r>
        <w:t>, the Commission found that a carrier’s execution or enforcement of an exclusive access provision within an MTE is an “unreasonable practice,” and that the Commission thus has “ample authority” under Section 201(b) to prohibit such exclusivity provisions in the provision of telecommunications services.</w:t>
      </w:r>
      <w:r>
        <w:rPr>
          <w:rStyle w:val="FootnoteReference"/>
        </w:rPr>
        <w:footnoteReference w:id="22"/>
      </w:r>
      <w:r>
        <w:t xml:space="preserve">  Section 628 makes it unlawful for a cable operator or common carrier that provides </w:t>
      </w:r>
      <w:r w:rsidRPr="006377E7">
        <w:t>video programming</w:t>
      </w:r>
      <w:r>
        <w:t xml:space="preserve"> by any means directly to subscribers “to engage in unfair methods of competition or unfair or deceptive acts or practices, the purpose or effect of which is to hinder significantly or to prevent any multichannel video programming distributor from providing . . . programming to subscribers or customers.”</w:t>
      </w:r>
      <w:r>
        <w:rPr>
          <w:rStyle w:val="FootnoteReference"/>
        </w:rPr>
        <w:footnoteReference w:id="23"/>
      </w:r>
      <w:r>
        <w:t xml:space="preserve">  In the </w:t>
      </w:r>
      <w:r w:rsidRPr="00C02B84">
        <w:rPr>
          <w:i/>
        </w:rPr>
        <w:t>2007 Exclusive Service Contracts Order</w:t>
      </w:r>
      <w:r>
        <w:t>, the Commission held that it had “ample authority under Section 628(b) of the Act to adopt rules prohibiting cable operators from executing or enforcing</w:t>
      </w:r>
      <w:r w:rsidRPr="006377E7">
        <w:t xml:space="preserve"> </w:t>
      </w:r>
      <w:r>
        <w:t>contracts that give them the exclusive right to provide video programming services (alone or in combination with other services) to MDUs”</w:t>
      </w:r>
      <w:r>
        <w:rPr>
          <w:rStyle w:val="FootnoteReference"/>
        </w:rPr>
        <w:footnoteReference w:id="24"/>
      </w:r>
      <w:r>
        <w:t>—a determination upheld by the D.C. Circuit.</w:t>
      </w:r>
      <w:r>
        <w:rPr>
          <w:rStyle w:val="FootnoteReference"/>
        </w:rPr>
        <w:footnoteReference w:id="25"/>
      </w:r>
      <w:r>
        <w:t xml:space="preserve">  Thus, the Commission’s existing rules prohibit both the execution and </w:t>
      </w:r>
      <w:r w:rsidRPr="006377E7">
        <w:t xml:space="preserve">enforcement </w:t>
      </w:r>
      <w:r>
        <w:t>of any contractual provisions granting cable operators and common carriers exclusive access to MTEs.</w:t>
      </w:r>
      <w:r>
        <w:rPr>
          <w:rStyle w:val="FootnoteReference"/>
        </w:rPr>
        <w:footnoteReference w:id="26"/>
      </w:r>
    </w:p>
    <w:p w:rsidR="009E37D5" w:rsidRDefault="009E37D5" w:rsidP="009B4B10">
      <w:pPr>
        <w:pStyle w:val="ParaNum"/>
        <w:widowControl/>
      </w:pPr>
      <w:r>
        <w:rPr>
          <w:i/>
        </w:rPr>
        <w:t>Competitive Barriers in the MTE Marketplace</w:t>
      </w:r>
      <w:r>
        <w:t>.  As recently as 2016, parties such as INCOMPAS and ITTA have alleged that competitive fixed and mobile broadband service providers continue to face challenges in expanding their service footprint because of various contractual arrangements in the MTE marketplace.</w:t>
      </w:r>
      <w:r>
        <w:rPr>
          <w:rStyle w:val="FootnoteReference"/>
        </w:rPr>
        <w:footnoteReference w:id="27"/>
      </w:r>
      <w:r>
        <w:t xml:space="preserve">  S</w:t>
      </w:r>
      <w:r w:rsidRPr="005810F1">
        <w:t>maller ISPs have</w:t>
      </w:r>
      <w:r>
        <w:t xml:space="preserve"> also</w:t>
      </w:r>
      <w:r w:rsidRPr="005810F1">
        <w:t xml:space="preserve"> alleged that certain non-contractual arrangements achieve the same anticompetitive end result as, for example, the prohibited exclusive service arrangements.</w:t>
      </w:r>
      <w:r>
        <w:rPr>
          <w:rStyle w:val="FootnoteReference"/>
        </w:rPr>
        <w:footnoteReference w:id="28"/>
      </w:r>
      <w:r>
        <w:t xml:space="preserve">  </w:t>
      </w:r>
    </w:p>
    <w:p w:rsidR="009E37D5" w:rsidRDefault="009E37D5" w:rsidP="009E37D5">
      <w:pPr>
        <w:pStyle w:val="ParaNum"/>
      </w:pPr>
      <w:r>
        <w:t>At the same time</w:t>
      </w:r>
      <w:r w:rsidRPr="002A16D4">
        <w:t xml:space="preserve">, </w:t>
      </w:r>
      <w:r>
        <w:t>some providers argue that certain state regulations intended to encourage competitive MTE access may actually hinder their ability to provide a competing service.  For instance, in a separate proceeding,</w:t>
      </w:r>
      <w:r w:rsidRPr="002A16D4">
        <w:t xml:space="preserve"> the Multifam</w:t>
      </w:r>
      <w:r>
        <w:t>ily Broadband Council (MBC</w:t>
      </w:r>
      <w:r w:rsidRPr="002A16D4">
        <w:t xml:space="preserve">) argues that </w:t>
      </w:r>
      <w:r>
        <w:t xml:space="preserve">some measures aimed at promoting </w:t>
      </w:r>
      <w:r w:rsidRPr="002A16D4">
        <w:t>competitive M</w:t>
      </w:r>
      <w:r>
        <w:t>TE</w:t>
      </w:r>
      <w:r w:rsidRPr="002A16D4">
        <w:t xml:space="preserve"> access</w:t>
      </w:r>
      <w:r>
        <w:t xml:space="preserve"> may have the perverse effect of stifling</w:t>
      </w:r>
      <w:r w:rsidRPr="002A16D4">
        <w:t xml:space="preserve"> broadband competition</w:t>
      </w:r>
      <w:r>
        <w:t xml:space="preserve"> by privileging large, well-financed network providers over smaller ones which may be unable to enter into certain contractual terms (for example, undisturbed use of inside wiring</w:t>
      </w:r>
      <w:r>
        <w:rPr>
          <w:rStyle w:val="FootnoteReference"/>
        </w:rPr>
        <w:footnoteReference w:id="29"/>
      </w:r>
      <w:r>
        <w:t xml:space="preserve"> or bulk billing arrangements) that may be necessary to secure the financing needed to deploy networks to multi-tenant buildings</w:t>
      </w:r>
      <w:r w:rsidRPr="002A16D4">
        <w:t>.</w:t>
      </w:r>
      <w:r w:rsidRPr="002A16D4">
        <w:rPr>
          <w:rStyle w:val="FootnoteReference"/>
        </w:rPr>
        <w:footnoteReference w:id="30"/>
      </w:r>
      <w:r w:rsidRPr="002A16D4">
        <w:t xml:space="preserve">  Specifically, MBC</w:t>
      </w:r>
      <w:r>
        <w:t xml:space="preserve"> has asked </w:t>
      </w:r>
      <w:r w:rsidRPr="002A16D4">
        <w:t>the Commission to preempt a San Francisco, California ordinance</w:t>
      </w:r>
      <w:r>
        <w:t xml:space="preserve"> requiring</w:t>
      </w:r>
      <w:r w:rsidRPr="002A16D4">
        <w:t xml:space="preserve"> M</w:t>
      </w:r>
      <w:r>
        <w:t>TE</w:t>
      </w:r>
      <w:r w:rsidRPr="002A16D4">
        <w:t xml:space="preserve"> owners to permit competing broadband providers to use existing wiring in the M</w:t>
      </w:r>
      <w:r>
        <w:t>TE</w:t>
      </w:r>
      <w:r w:rsidRPr="002A16D4">
        <w:t xml:space="preserve"> upon request from an occupant</w:t>
      </w:r>
      <w:r>
        <w:t>.</w:t>
      </w:r>
      <w:r>
        <w:rPr>
          <w:rStyle w:val="FootnoteReference"/>
        </w:rPr>
        <w:footnoteReference w:id="31"/>
      </w:r>
    </w:p>
    <w:p w:rsidR="009E37D5" w:rsidRDefault="009E37D5" w:rsidP="009E37D5">
      <w:pPr>
        <w:pStyle w:val="Heading1"/>
      </w:pPr>
      <w:bookmarkStart w:id="26" w:name="_Toc482098528"/>
      <w:bookmarkStart w:id="27" w:name="_Toc482353534"/>
      <w:bookmarkStart w:id="28" w:name="_Toc483383125"/>
      <w:bookmarkStart w:id="29" w:name="_Toc483920526"/>
      <w:r>
        <w:t>Discussion</w:t>
      </w:r>
      <w:bookmarkEnd w:id="26"/>
      <w:bookmarkEnd w:id="27"/>
      <w:bookmarkEnd w:id="28"/>
      <w:bookmarkEnd w:id="29"/>
    </w:p>
    <w:p w:rsidR="009E37D5" w:rsidRDefault="009E37D5" w:rsidP="009E37D5">
      <w:pPr>
        <w:pStyle w:val="ParaNum"/>
      </w:pPr>
      <w:r>
        <w:t>With an eye towards both promoting competition and easing deployment of broadband services within MTEs, we seek comment on a variety of issues regarding the provisioning of competitive broadband services within MTEs.</w:t>
      </w:r>
      <w:r>
        <w:rPr>
          <w:rStyle w:val="FootnoteReference"/>
        </w:rPr>
        <w:footnoteReference w:id="32"/>
      </w:r>
      <w:r>
        <w:t xml:space="preserve">  We also seek comment on the Commission’s jurisdictional and statutory authority for addressing MTE access issues.</w:t>
      </w:r>
    </w:p>
    <w:p w:rsidR="009E37D5" w:rsidRPr="005D7B35" w:rsidRDefault="009E37D5" w:rsidP="009B4B10">
      <w:pPr>
        <w:pStyle w:val="ParaNum"/>
        <w:widowControl/>
      </w:pPr>
      <w:r>
        <w:t>As a general matter, we seek comment on the current state of broadband competition in MTEs.  Does building-by-building competition for exclusive marketing, bulk billing, and access to wiring provide greater opportunities and incentives for companies to deploy or upgrade wiring and compete in MTEs, thus preserving the benefits of competition for consumers?  Is there any evidence of a market failure in the provision of broadband service to MTEs and their residents?  Are there technical or operational challenges associated with the use of a single facility by two or more providers?  If so, what consumer harms are associated with these challenges?  Under what circumstances, if any, should the government have a role in dictating the terms of contracts between service providers and building owners?</w:t>
      </w:r>
      <w:r>
        <w:rPr>
          <w:rStyle w:val="FootnoteReference"/>
        </w:rPr>
        <w:footnoteReference w:id="33"/>
      </w:r>
      <w:r>
        <w:t xml:space="preserve"> </w:t>
      </w:r>
    </w:p>
    <w:p w:rsidR="009E37D5" w:rsidRPr="009614FA" w:rsidRDefault="009E37D5" w:rsidP="009E37D5">
      <w:pPr>
        <w:pStyle w:val="ParaNum"/>
      </w:pPr>
      <w:r>
        <w:rPr>
          <w:i/>
        </w:rPr>
        <w:t>State and Local Regulatory Barriers</w:t>
      </w:r>
      <w:r>
        <w:t>.  As part of our ongoing efforts to facilitate broadband deployment and competition, we seek comment on whether there are state and local regulations that may inhibit or have the effect of inhibiting broadband deployment and competition within MTEs.  Some have argued that certain local regulations effectively limit broadband competition in MTEs by inhibiting market entry and foisting infrastructure access requirements onto private companies.</w:t>
      </w:r>
      <w:r>
        <w:rPr>
          <w:rStyle w:val="FootnoteReference"/>
        </w:rPr>
        <w:footnoteReference w:id="34"/>
      </w:r>
      <w:r>
        <w:t xml:space="preserve">  To the extent that state and local regulations inhibit broadband deployment in MTEs, what form do such regulatory barriers most often take?  Do such infrastructure access mandates have the effect of reducing investment in new infrastructure or discouraging maintenance of existing infrastructure?  How is the quality of service to consumers affected by these policies?  Commenters are encouraged to provide examples of specific statutes and regulatory measures that hinder broadband deployment and competition within MTEs.    </w:t>
      </w:r>
    </w:p>
    <w:p w:rsidR="009E37D5" w:rsidRDefault="009E37D5" w:rsidP="009B4B10">
      <w:pPr>
        <w:pStyle w:val="ParaNum"/>
        <w:widowControl/>
      </w:pPr>
      <w:r w:rsidRPr="00DA393A">
        <w:rPr>
          <w:i/>
        </w:rPr>
        <w:t>Exclusive Marketing and Bulk Billing Arrangements</w:t>
      </w:r>
      <w:r w:rsidRPr="00DA393A">
        <w:t xml:space="preserve">.  We seek comment on whether we should revisit the Commission’s </w:t>
      </w:r>
      <w:r>
        <w:t xml:space="preserve">decision in </w:t>
      </w:r>
      <w:r w:rsidRPr="00682274">
        <w:t>the</w:t>
      </w:r>
      <w:r>
        <w:t xml:space="preserve"> </w:t>
      </w:r>
      <w:r>
        <w:rPr>
          <w:i/>
        </w:rPr>
        <w:t>2010 Exclusive Contracts Order</w:t>
      </w:r>
      <w:r w:rsidRPr="00DA393A">
        <w:t xml:space="preserve"> </w:t>
      </w:r>
      <w:r>
        <w:t xml:space="preserve">not to take action </w:t>
      </w:r>
      <w:r w:rsidRPr="00DA393A">
        <w:t xml:space="preserve">regarding </w:t>
      </w:r>
      <w:r>
        <w:t xml:space="preserve">MVPDs’ </w:t>
      </w:r>
      <w:r w:rsidRPr="00DA393A">
        <w:t>exclusive marketing and bulk billing arrangements.</w:t>
      </w:r>
      <w:r>
        <w:rPr>
          <w:rStyle w:val="FootnoteReference"/>
        </w:rPr>
        <w:footnoteReference w:id="35"/>
      </w:r>
      <w:r w:rsidRPr="00DA393A">
        <w:t xml:space="preserve">  Recently, INCOMPAS has alleged that some of these practices adversely affect competition in the M</w:t>
      </w:r>
      <w:r>
        <w:t>TE</w:t>
      </w:r>
      <w:r w:rsidRPr="00DA393A">
        <w:t xml:space="preserve"> market.</w:t>
      </w:r>
      <w:r w:rsidRPr="00DA393A">
        <w:rPr>
          <w:sz w:val="20"/>
          <w:vertAlign w:val="superscript"/>
        </w:rPr>
        <w:footnoteReference w:id="36"/>
      </w:r>
      <w:r w:rsidRPr="00DA393A">
        <w:t xml:space="preserve">  How prevalent are these arrangements in the market?  What are the typical terms of these arrangements?  Are </w:t>
      </w:r>
      <w:r>
        <w:t xml:space="preserve">certain </w:t>
      </w:r>
      <w:r w:rsidRPr="00DA393A">
        <w:t xml:space="preserve">provisions included in contracts between </w:t>
      </w:r>
      <w:r>
        <w:t xml:space="preserve">providers and </w:t>
      </w:r>
      <w:r w:rsidRPr="00DA393A">
        <w:t>M</w:t>
      </w:r>
      <w:r>
        <w:t>TE</w:t>
      </w:r>
      <w:r w:rsidRPr="00DA393A">
        <w:t xml:space="preserve"> owners more often than others?  Does the size of an M</w:t>
      </w:r>
      <w:r>
        <w:t>TE</w:t>
      </w:r>
      <w:r w:rsidRPr="00DA393A">
        <w:t xml:space="preserve"> affect whether certain provisions are includ</w:t>
      </w:r>
      <w:r>
        <w:t>ed</w:t>
      </w:r>
      <w:r w:rsidRPr="00DA393A">
        <w:t xml:space="preserve"> in the contract?  How, </w:t>
      </w:r>
      <w:r>
        <w:t>specifically (including any examples),</w:t>
      </w:r>
      <w:r w:rsidRPr="00DA393A">
        <w:t xml:space="preserve"> do these provisions affect </w:t>
      </w:r>
      <w:r>
        <w:t xml:space="preserve">broadband </w:t>
      </w:r>
      <w:r w:rsidRPr="00DA393A">
        <w:t>competition</w:t>
      </w:r>
      <w:r>
        <w:t>, if at all</w:t>
      </w:r>
      <w:r w:rsidRPr="00DA393A">
        <w:t>?</w:t>
      </w:r>
      <w:r>
        <w:t xml:space="preserve">  Do exclusive marketing and bulk billing arrangements hinder competition in the MTE market?  If so, we seek comment on any circumstances that may have changed since the Commission concluded that “</w:t>
      </w:r>
      <w:r w:rsidRPr="00721061">
        <w:t>bulk billing arrangements predominantly benefit consumers, through reduced rates and operational efficiencies, and by enhancing deployment of broadband</w:t>
      </w:r>
      <w:r>
        <w:t>.”</w:t>
      </w:r>
      <w:r>
        <w:rPr>
          <w:rStyle w:val="FootnoteReference"/>
        </w:rPr>
        <w:footnoteReference w:id="37"/>
      </w:r>
      <w:r>
        <w:t xml:space="preserve">  Would restricting exclusive marketing and bulk billing arrangements help to encourage competition within MTEs without stifling deployment efforts?  Or would prohibiting these arrangements have the effect of increasing prices to consumers?  Would the effect of restricting bulk billing arrangements be particularly noticeable in locations that otherwise might be less attractive to service?</w:t>
      </w:r>
      <w:r>
        <w:rPr>
          <w:rStyle w:val="FootnoteReference"/>
        </w:rPr>
        <w:footnoteReference w:id="38"/>
      </w:r>
      <w:r>
        <w:t xml:space="preserve">  Would prohibiting these arrangements lead to additional competition sufficient to avoid or outweigh potential price increases?  If we decide that regulations are warranted, should those rules apply to all carriers, to all broadband providers, or just to MVPDs that are subject to Section 628 of the Act?  To what extent is there confusion among tenants and/or landlords on the distinction between exclusive service agreements, which are not permitted by the Commission’s rules,</w:t>
      </w:r>
      <w:r>
        <w:rPr>
          <w:rStyle w:val="FootnoteReference"/>
        </w:rPr>
        <w:footnoteReference w:id="39"/>
      </w:r>
      <w:r>
        <w:t xml:space="preserve"> and exclusive marketing agreements, which are currently permitted by the Commission?  If we continue to find that exclusive marketing agreements are in the public interest, should we require specific disclaimers or other disclosures by providers with an exclusive marketing agreement in an MTE to make clear that there is no exclusive service agreement?</w:t>
      </w:r>
    </w:p>
    <w:p w:rsidR="009E37D5" w:rsidRPr="00DA393A" w:rsidRDefault="009E37D5" w:rsidP="009E37D5">
      <w:pPr>
        <w:pStyle w:val="ParaNum"/>
      </w:pPr>
      <w:r w:rsidRPr="00DA393A">
        <w:rPr>
          <w:i/>
        </w:rPr>
        <w:t>Revenue Sharing Agreements</w:t>
      </w:r>
      <w:r w:rsidRPr="00DA393A">
        <w:t xml:space="preserve">.  We seek comment on </w:t>
      </w:r>
      <w:r>
        <w:t>how</w:t>
      </w:r>
      <w:r w:rsidRPr="00DA393A">
        <w:t xml:space="preserve"> revenue sharing agreements are affecting broadband competition </w:t>
      </w:r>
      <w:r>
        <w:t>with</w:t>
      </w:r>
      <w:r w:rsidRPr="00DA393A">
        <w:t>in M</w:t>
      </w:r>
      <w:r>
        <w:t>TE</w:t>
      </w:r>
      <w:r w:rsidRPr="00DA393A">
        <w:t xml:space="preserve">s.  </w:t>
      </w:r>
      <w:r>
        <w:t>S</w:t>
      </w:r>
      <w:r w:rsidRPr="00DA393A">
        <w:t xml:space="preserve">uch agreements entail a carrier agreeing to pay a </w:t>
      </w:r>
      <w:r w:rsidRPr="00DA393A">
        <w:rPr>
          <w:i/>
        </w:rPr>
        <w:t>pro rata</w:t>
      </w:r>
      <w:r w:rsidRPr="00DA393A">
        <w:t xml:space="preserve"> share of the revenue generated from the tenants’ subscription service fees, and in many cases, a “door fee” to the M</w:t>
      </w:r>
      <w:r>
        <w:t>TE</w:t>
      </w:r>
      <w:r w:rsidRPr="00DA393A">
        <w:t xml:space="preserve"> owners to have access to the M</w:t>
      </w:r>
      <w:r>
        <w:t>TE</w:t>
      </w:r>
      <w:r w:rsidRPr="00DA393A">
        <w:t>.</w:t>
      </w:r>
      <w:r w:rsidRPr="00DA393A">
        <w:rPr>
          <w:sz w:val="20"/>
          <w:vertAlign w:val="superscript"/>
        </w:rPr>
        <w:footnoteReference w:id="40"/>
      </w:r>
      <w:r w:rsidRPr="00DA393A">
        <w:t xml:space="preserve">  How are these agreements structured</w:t>
      </w:r>
      <w:r>
        <w:t>, and what are their typical terms</w:t>
      </w:r>
      <w:r w:rsidRPr="00DA393A">
        <w:t xml:space="preserve">?  How frequently </w:t>
      </w:r>
      <w:r>
        <w:t>are these agreements used</w:t>
      </w:r>
      <w:r w:rsidRPr="00DA393A">
        <w:t xml:space="preserve"> in the market</w:t>
      </w:r>
      <w:r>
        <w:t>place</w:t>
      </w:r>
      <w:r w:rsidRPr="00DA393A">
        <w:t xml:space="preserve">?  </w:t>
      </w:r>
      <w:r>
        <w:t>How commonly are they included</w:t>
      </w:r>
      <w:r w:rsidRPr="00DA393A">
        <w:t xml:space="preserve"> in agreements with residential M</w:t>
      </w:r>
      <w:r>
        <w:t>TE</w:t>
      </w:r>
      <w:r w:rsidRPr="00DA393A">
        <w:t xml:space="preserve">s </w:t>
      </w:r>
      <w:r>
        <w:t xml:space="preserve">compared to </w:t>
      </w:r>
      <w:r w:rsidRPr="00DA393A">
        <w:t>commercial M</w:t>
      </w:r>
      <w:r>
        <w:t>TE</w:t>
      </w:r>
      <w:r w:rsidRPr="00DA393A">
        <w:t>s?  Do these agreements affect the price M</w:t>
      </w:r>
      <w:r>
        <w:t>TE</w:t>
      </w:r>
      <w:r w:rsidRPr="00DA393A">
        <w:t xml:space="preserve"> tenants ultimately pay for service</w:t>
      </w:r>
      <w:r>
        <w:t>, and if so, in what way</w:t>
      </w:r>
      <w:r w:rsidRPr="00DA393A">
        <w:t>?</w:t>
      </w:r>
      <w:r>
        <w:t xml:space="preserve">  Are these arrangements problematic only if they are exclusive, or even if more than one carrier is able to enter into them?</w:t>
      </w:r>
      <w:r w:rsidRPr="00DA393A">
        <w:t xml:space="preserve"> </w:t>
      </w:r>
      <w:r>
        <w:t xml:space="preserve"> </w:t>
      </w:r>
      <w:r w:rsidRPr="00DA393A">
        <w:t>Does the size of an M</w:t>
      </w:r>
      <w:r>
        <w:t>TE</w:t>
      </w:r>
      <w:r w:rsidRPr="00DA393A">
        <w:t xml:space="preserve"> affect whether </w:t>
      </w:r>
      <w:r>
        <w:t>these</w:t>
      </w:r>
      <w:r w:rsidRPr="00DA393A">
        <w:t xml:space="preserve"> provisions are includ</w:t>
      </w:r>
      <w:r>
        <w:t>ed</w:t>
      </w:r>
      <w:r w:rsidRPr="00DA393A">
        <w:t xml:space="preserve"> in the contract?  Are the agreements negotiated strictly between M</w:t>
      </w:r>
      <w:r>
        <w:t>TE</w:t>
      </w:r>
      <w:r w:rsidRPr="00DA393A">
        <w:t xml:space="preserve"> owners and </w:t>
      </w:r>
      <w:r>
        <w:t>broadband Internet access service providers,</w:t>
      </w:r>
      <w:r w:rsidRPr="00DA393A">
        <w:t xml:space="preserve"> or are intermediaries involved</w:t>
      </w:r>
      <w:r>
        <w:t>?  If commenters assert that intermediaries are involved, we encourage them to describe the types of intermediaries.  Do such agreements have an impact, either positive or negative, on the level of broadband competition within MTEs?</w:t>
      </w:r>
      <w:r w:rsidRPr="00B55744">
        <w:t xml:space="preserve"> </w:t>
      </w:r>
      <w:r>
        <w:t xml:space="preserve"> We seek comment on how to best address revenue sharing agreements in a way that will promote competitive provider access to MTE markets without hindering deployment.  The submission of specific examples, substantiated by cost-benefit analyses, and other factual or quantitative evidence is particularly encouraged.</w:t>
      </w:r>
    </w:p>
    <w:p w:rsidR="009E37D5" w:rsidRPr="00DA393A" w:rsidRDefault="009E37D5" w:rsidP="009E37D5">
      <w:pPr>
        <w:pStyle w:val="ParaNum"/>
      </w:pPr>
      <w:r w:rsidRPr="00DA393A">
        <w:rPr>
          <w:i/>
        </w:rPr>
        <w:t xml:space="preserve">Exclusive Wiring Arrangements.  </w:t>
      </w:r>
      <w:r w:rsidRPr="00DA393A">
        <w:t xml:space="preserve">We also seek comment on </w:t>
      </w:r>
      <w:r>
        <w:t>how</w:t>
      </w:r>
      <w:r w:rsidRPr="00DA393A">
        <w:t xml:space="preserve"> exclusive wiring arrangements are affecting </w:t>
      </w:r>
      <w:r>
        <w:t xml:space="preserve">the level of </w:t>
      </w:r>
      <w:r w:rsidRPr="00DA393A">
        <w:t xml:space="preserve">broadband competition </w:t>
      </w:r>
      <w:r>
        <w:t>with</w:t>
      </w:r>
      <w:r w:rsidRPr="00DA393A">
        <w:t>in M</w:t>
      </w:r>
      <w:r>
        <w:t>TE</w:t>
      </w:r>
      <w:r w:rsidRPr="00DA393A">
        <w:t xml:space="preserve">s.  Under </w:t>
      </w:r>
      <w:r>
        <w:t>S</w:t>
      </w:r>
      <w:r w:rsidRPr="00DA393A">
        <w:t xml:space="preserve">ection 76.802(a) of the Commission’s rules, after a customer has ceased </w:t>
      </w:r>
      <w:r>
        <w:t xml:space="preserve">purchasing </w:t>
      </w:r>
      <w:r w:rsidRPr="00DA393A">
        <w:t>service</w:t>
      </w:r>
      <w:r>
        <w:t xml:space="preserve"> from a provider</w:t>
      </w:r>
      <w:r w:rsidRPr="00DA393A">
        <w:t xml:space="preserve">, incumbent </w:t>
      </w:r>
      <w:r>
        <w:t>cable operators</w:t>
      </w:r>
      <w:r w:rsidRPr="00DA393A">
        <w:t xml:space="preserve"> are required to make unused wiring available to others before removing it.</w:t>
      </w:r>
      <w:r w:rsidRPr="00DA393A">
        <w:rPr>
          <w:vertAlign w:val="superscript"/>
        </w:rPr>
        <w:footnoteReference w:id="41"/>
      </w:r>
      <w:r w:rsidRPr="00DA393A">
        <w:t xml:space="preserve">  INCOMPAS </w:t>
      </w:r>
      <w:r>
        <w:t>has</w:t>
      </w:r>
      <w:r w:rsidRPr="00DA393A">
        <w:t xml:space="preserve"> alleged that </w:t>
      </w:r>
      <w:r>
        <w:t>MTE building owners purchase that inside wiring and then lease back the</w:t>
      </w:r>
      <w:r w:rsidRPr="00DA393A">
        <w:t xml:space="preserve"> idle wiring </w:t>
      </w:r>
      <w:r>
        <w:t xml:space="preserve">exclusively to the incumbent cable operator, </w:t>
      </w:r>
      <w:r w:rsidRPr="00DA393A">
        <w:t>leaving competitors with the choice of either installing duplicative wiring in residential units or not serving the building at all.</w:t>
      </w:r>
      <w:r w:rsidRPr="00DA393A">
        <w:rPr>
          <w:vertAlign w:val="superscript"/>
        </w:rPr>
        <w:footnoteReference w:id="42"/>
      </w:r>
      <w:r w:rsidRPr="00DA393A">
        <w:t xml:space="preserve">  </w:t>
      </w:r>
      <w:r>
        <w:t xml:space="preserve">We seek comment on the prevalence of this practice.  </w:t>
      </w:r>
      <w:r w:rsidRPr="00DA393A">
        <w:t xml:space="preserve">What are the typical terms of </w:t>
      </w:r>
      <w:r>
        <w:t>these</w:t>
      </w:r>
      <w:r w:rsidRPr="00DA393A">
        <w:t xml:space="preserve"> agreements?  Do these lease agreements </w:t>
      </w:r>
      <w:r>
        <w:t xml:space="preserve">typically </w:t>
      </w:r>
      <w:r w:rsidRPr="00DA393A">
        <w:t>involve granting exclusive rights to the wiring?</w:t>
      </w:r>
      <w:r>
        <w:t xml:space="preserve">  Are there ways exclusive access rights could be offered initially to multiple carriers, such as through a competitive bidding process, that would assuage concerns with exclusive arrangements? </w:t>
      </w:r>
      <w:r w:rsidRPr="00DA393A">
        <w:t xml:space="preserve"> How do the exclusive wiring agreements differ from exclusive service agreements</w:t>
      </w:r>
      <w:r>
        <w:t>,</w:t>
      </w:r>
      <w:r w:rsidRPr="00DA393A">
        <w:t xml:space="preserve"> which prevent competitors from gaining access to M</w:t>
      </w:r>
      <w:r>
        <w:t>TE</w:t>
      </w:r>
      <w:r w:rsidRPr="00DA393A">
        <w:t xml:space="preserve"> tenants?  </w:t>
      </w:r>
      <w:r>
        <w:t>How can these</w:t>
      </w:r>
      <w:r w:rsidRPr="00DA393A">
        <w:t xml:space="preserve"> agreements </w:t>
      </w:r>
      <w:r>
        <w:t>be reconciled with</w:t>
      </w:r>
      <w:r w:rsidRPr="00DA393A">
        <w:t xml:space="preserve"> </w:t>
      </w:r>
      <w:r>
        <w:t>S</w:t>
      </w:r>
      <w:r w:rsidRPr="00DA393A">
        <w:t>ection 76.802’s prohibition on using ownership interest in property located on the subscriber’s side of the demarcation point to prevent alternative service providers from accessing the “home run” wiring?</w:t>
      </w:r>
      <w:r w:rsidRPr="00DA393A">
        <w:rPr>
          <w:sz w:val="20"/>
          <w:vertAlign w:val="superscript"/>
        </w:rPr>
        <w:footnoteReference w:id="43"/>
      </w:r>
      <w:bookmarkStart w:id="30" w:name="SP;8b3b0000958a4"/>
      <w:bookmarkStart w:id="31" w:name="IN;1"/>
      <w:bookmarkStart w:id="32" w:name="IN;2"/>
      <w:bookmarkEnd w:id="30"/>
      <w:bookmarkEnd w:id="31"/>
      <w:bookmarkEnd w:id="32"/>
      <w:r>
        <w:t xml:space="preserve">  If exclusive wiring arrangements are stifling competition in MTEs, how can the Commission address them without discouraging deployment within such markets?  Conversely, do these arrangements promote competition, and if so, how?</w:t>
      </w:r>
    </w:p>
    <w:p w:rsidR="009E37D5" w:rsidRPr="00DA393A" w:rsidRDefault="009E37D5" w:rsidP="009E37D5">
      <w:pPr>
        <w:pStyle w:val="ParaNum"/>
      </w:pPr>
      <w:r w:rsidRPr="00DA393A">
        <w:rPr>
          <w:i/>
        </w:rPr>
        <w:t>Other Contractual Provisions and Practices</w:t>
      </w:r>
      <w:r w:rsidRPr="00DA393A">
        <w:t>.  We also seek comment on whether there are other types of contractual provisions</w:t>
      </w:r>
      <w:r>
        <w:t xml:space="preserve"> and non-contractual practices</w:t>
      </w:r>
      <w:r w:rsidRPr="00DA393A">
        <w:t xml:space="preserve">, besides the ones mentioned above, that impact the ability of </w:t>
      </w:r>
      <w:r>
        <w:t xml:space="preserve">broadband </w:t>
      </w:r>
      <w:r w:rsidRPr="00DA393A">
        <w:t xml:space="preserve">providers to </w:t>
      </w:r>
      <w:r>
        <w:t>compete</w:t>
      </w:r>
      <w:r w:rsidRPr="00DA393A">
        <w:t xml:space="preserve"> in M</w:t>
      </w:r>
      <w:r>
        <w:t>TE</w:t>
      </w:r>
      <w:r w:rsidRPr="00DA393A">
        <w:t>s.</w:t>
      </w:r>
      <w:r>
        <w:rPr>
          <w:rStyle w:val="FootnoteReference"/>
        </w:rPr>
        <w:footnoteReference w:id="44"/>
      </w:r>
      <w:r>
        <w:t xml:space="preserve">  If so, what are these provisions and/or practices, and how do they impact competition within MTEs?  Are </w:t>
      </w:r>
      <w:r w:rsidRPr="00DC5A55">
        <w:t>any complained-of practices already prohibited by our rules</w:t>
      </w:r>
      <w:r>
        <w:t>?</w:t>
      </w:r>
    </w:p>
    <w:p w:rsidR="009E37D5" w:rsidRPr="00CE53BA" w:rsidRDefault="009E37D5" w:rsidP="009E37D5">
      <w:pPr>
        <w:pStyle w:val="ParaNum"/>
        <w:rPr>
          <w:snapToGrid/>
          <w:kern w:val="0"/>
          <w:szCs w:val="22"/>
        </w:rPr>
      </w:pPr>
      <w:r w:rsidRPr="00F01F08">
        <w:rPr>
          <w:i/>
        </w:rPr>
        <w:t>Legal Authority</w:t>
      </w:r>
      <w:r w:rsidRPr="00DA393A">
        <w:t>.  Finally, to the extent that commenters urge the Commission to address</w:t>
      </w:r>
      <w:r>
        <w:t xml:space="preserve"> any of</w:t>
      </w:r>
      <w:r w:rsidRPr="00DA393A">
        <w:t xml:space="preserve"> these </w:t>
      </w:r>
      <w:r>
        <w:t xml:space="preserve">various </w:t>
      </w:r>
      <w:r w:rsidRPr="00DA393A">
        <w:t xml:space="preserve">issues, we </w:t>
      </w:r>
      <w:r>
        <w:t xml:space="preserve">seek </w:t>
      </w:r>
      <w:r w:rsidRPr="00DA393A">
        <w:t>input on the jurisdictional and statutory basis for doing so.</w:t>
      </w:r>
      <w:bookmarkStart w:id="33" w:name="I35778425CEC011DC930DD406B17F0A85"/>
      <w:bookmarkStart w:id="34" w:name="SR;8382"/>
      <w:bookmarkStart w:id="35" w:name="SR;8383"/>
      <w:bookmarkStart w:id="36" w:name="SP;7b9b000044381"/>
      <w:bookmarkStart w:id="37" w:name="I1AE808E3CEBC11DC930DD406B17F0A85"/>
      <w:bookmarkStart w:id="38" w:name="SP;d86d0000be040"/>
      <w:bookmarkStart w:id="39" w:name="I1AE808E4CEBC11DC930DD406B17F0A85"/>
      <w:bookmarkStart w:id="40" w:name="SP;28cc0000ccca6"/>
      <w:bookmarkStart w:id="41" w:name="Document2zzI9d35c3411e2d11dcbb09b8c642ce"/>
      <w:bookmarkStart w:id="42" w:name="Document2zzI9d35c3421e2d11dcbb09b8c642ce"/>
      <w:bookmarkStart w:id="43" w:name="Document2zzI9d35c3481e2d11dcbb09b8c642ce"/>
      <w:bookmarkStart w:id="44" w:name="Document2zzI9d35c3491e2d11dcbb09b8c642ce"/>
      <w:bookmarkStart w:id="45" w:name="Document2zzI9d35c34e1e2d11dcbb09b8c642ce"/>
      <w:bookmarkStart w:id="46" w:name="Document2zzI9d35c34f1e2d11dcbb09b8c642ce"/>
      <w:bookmarkStart w:id="47" w:name="Document2zzI9d35c3501e2d11dcbb09b8c642ce"/>
      <w:bookmarkStart w:id="48" w:name="Document2zzI9d35c3511e2d11dcbb09b8c642ce"/>
      <w:bookmarkStart w:id="49" w:name="SR;24039"/>
      <w:bookmarkStart w:id="50" w:name="SR;24040"/>
      <w:bookmarkStart w:id="51" w:name="SR;24049"/>
      <w:bookmarkStart w:id="52" w:name="SR;2405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 xml:space="preserve">  </w:t>
      </w:r>
      <w:r w:rsidRPr="00DA393A">
        <w:t>In prohibiting exclusive service arrangements</w:t>
      </w:r>
      <w:r>
        <w:t xml:space="preserve"> within MTEs</w:t>
      </w:r>
      <w:r w:rsidRPr="00DA393A">
        <w:t xml:space="preserve">, the Commission </w:t>
      </w:r>
      <w:r>
        <w:t xml:space="preserve">has previously </w:t>
      </w:r>
      <w:r w:rsidRPr="00DA393A">
        <w:t>relied on</w:t>
      </w:r>
      <w:r>
        <w:t xml:space="preserve"> S</w:t>
      </w:r>
      <w:r w:rsidRPr="00DA393A">
        <w:t>ections 201(b) and 628 of the Act</w:t>
      </w:r>
      <w:r>
        <w:t>.</w:t>
      </w:r>
      <w:r>
        <w:rPr>
          <w:rStyle w:val="FootnoteReference"/>
        </w:rPr>
        <w:footnoteReference w:id="45"/>
      </w:r>
      <w:r>
        <w:t xml:space="preserve"> </w:t>
      </w:r>
    </w:p>
    <w:p w:rsidR="009E37D5" w:rsidRPr="00567E51" w:rsidRDefault="009E37D5" w:rsidP="009E37D5">
      <w:pPr>
        <w:pStyle w:val="ParaNum"/>
        <w:rPr>
          <w:snapToGrid/>
          <w:kern w:val="0"/>
          <w:szCs w:val="22"/>
        </w:rPr>
      </w:pPr>
      <w:r>
        <w:t xml:space="preserve">We seek comment on these statutory provisions and our authority to </w:t>
      </w:r>
      <w:r w:rsidRPr="00915F33">
        <w:t>facilitate broadband deployment and competition within M</w:t>
      </w:r>
      <w:r>
        <w:t>TE</w:t>
      </w:r>
      <w:r w:rsidRPr="00915F33">
        <w:t xml:space="preserve">s.  </w:t>
      </w:r>
      <w:r>
        <w:t>We also seek comment on our statutory authority to regulate contractual arrangements between building owners and service providers.  Section 628 focuses on actions by cable operators and common carriers that provide video service that “</w:t>
      </w:r>
      <w:r w:rsidRPr="00012701">
        <w:t xml:space="preserve">hinder significantly or </w:t>
      </w:r>
      <w:r>
        <w:t xml:space="preserve">[] </w:t>
      </w:r>
      <w:r w:rsidRPr="00012701">
        <w:t>prevent any multichannel video programming distributor from providing satellite cable programming or satellite broadcast programming to subscribers or consumers.</w:t>
      </w:r>
      <w:r>
        <w:t>”</w:t>
      </w:r>
      <w:r>
        <w:rPr>
          <w:rStyle w:val="FootnoteReference"/>
        </w:rPr>
        <w:footnoteReference w:id="46"/>
      </w:r>
      <w:r>
        <w:t xml:space="preserve">  In the </w:t>
      </w:r>
      <w:r w:rsidRPr="00EB31A8">
        <w:rPr>
          <w:i/>
        </w:rPr>
        <w:t>2007 Exclusive Service Contracts Order</w:t>
      </w:r>
      <w:r>
        <w:t>, the Commission recognized that the business model for competitive entrants was a triple-play bundle of video, broadband, and telephone, and that “[a]</w:t>
      </w:r>
      <w:r w:rsidRPr="00012701">
        <w:t>n exclusivity clause in a MDU</w:t>
      </w:r>
      <w:r>
        <w:t>’</w:t>
      </w:r>
      <w:r w:rsidRPr="00012701">
        <w:t xml:space="preserve">s agreement with a MVPD denies all these </w:t>
      </w:r>
      <w:r>
        <w:t xml:space="preserve">[competitive] </w:t>
      </w:r>
      <w:r w:rsidRPr="00012701">
        <w:t>benefits to the MDU</w:t>
      </w:r>
      <w:r>
        <w:t>’</w:t>
      </w:r>
      <w:r w:rsidRPr="00012701">
        <w:t>s residents</w:t>
      </w:r>
      <w:r>
        <w:t>.”</w:t>
      </w:r>
      <w:r>
        <w:rPr>
          <w:rStyle w:val="FootnoteReference"/>
        </w:rPr>
        <w:footnoteReference w:id="47"/>
      </w:r>
      <w:r>
        <w:t xml:space="preserve">  Is this still the case, and if so, do the issues listed above hinder significantly or prevent MVPD competition (as opposed to just broadband competition)?  </w:t>
      </w:r>
      <w:r w:rsidRPr="00BF24B2">
        <w:t xml:space="preserve">Should the Commission revisit whether its determination that Section 628(b) extends to matters that </w:t>
      </w:r>
      <w:r>
        <w:t>do not explicitly involve</w:t>
      </w:r>
      <w:r w:rsidRPr="00BF24B2">
        <w:t xml:space="preserve"> access to satellite-delivered cable programming is consistent with public policy and the intent of Congress?</w:t>
      </w:r>
      <w:r>
        <w:rPr>
          <w:rStyle w:val="FootnoteReference"/>
        </w:rPr>
        <w:footnoteReference w:id="48"/>
      </w:r>
      <w:r>
        <w:t xml:space="preserve">  </w:t>
      </w:r>
      <w:r w:rsidRPr="00915F33">
        <w:t xml:space="preserve">Can we </w:t>
      </w:r>
      <w:r>
        <w:t>act</w:t>
      </w:r>
      <w:r w:rsidRPr="00915F33">
        <w:t xml:space="preserve"> under </w:t>
      </w:r>
      <w:r>
        <w:t xml:space="preserve">Sections 201(b) and 628 </w:t>
      </w:r>
      <w:r w:rsidRPr="00915F33">
        <w:t>to facilitate broadband competition</w:t>
      </w:r>
      <w:r>
        <w:t xml:space="preserve"> within MTEs, just as we have previously acted pursuant to these statutes to facilitate competition for telecommunications and video services within MTEs</w:t>
      </w:r>
      <w:r w:rsidRPr="00915F33">
        <w:t>?</w:t>
      </w:r>
    </w:p>
    <w:p w:rsidR="009E37D5" w:rsidRPr="00675CB9" w:rsidRDefault="009E37D5" w:rsidP="009E37D5">
      <w:pPr>
        <w:pStyle w:val="ParaNum"/>
        <w:rPr>
          <w:snapToGrid/>
          <w:kern w:val="0"/>
          <w:szCs w:val="22"/>
        </w:rPr>
      </w:pPr>
      <w:r>
        <w:t xml:space="preserve">We also seek comment on the extent to which Section 253 of the Act can serve as a basis for the Commission to address state or local regulations with respect to facilities deployment and competition in MTEs.  </w:t>
      </w:r>
      <w:r>
        <w:rPr>
          <w:snapToGrid/>
          <w:kern w:val="0"/>
          <w:szCs w:val="22"/>
        </w:rPr>
        <w:t>Section 253(a) generally provides that no state and local legal requirements “may prohibit or have the effect of prohibiting” the provision of interstate or intrastate telecommunications services,</w:t>
      </w:r>
      <w:r>
        <w:rPr>
          <w:rStyle w:val="FootnoteReference"/>
          <w:snapToGrid/>
          <w:kern w:val="0"/>
          <w:szCs w:val="22"/>
        </w:rPr>
        <w:footnoteReference w:id="49"/>
      </w:r>
      <w:r>
        <w:rPr>
          <w:snapToGrid/>
          <w:kern w:val="0"/>
          <w:szCs w:val="22"/>
        </w:rPr>
        <w:t xml:space="preserve"> and provides the Commission with “a rule of preemption” that “articulates a reasonably broad limitation on state and local governments’ authority to regulation telecommunications providers.”</w:t>
      </w:r>
      <w:r>
        <w:rPr>
          <w:rStyle w:val="FootnoteReference"/>
          <w:snapToGrid/>
          <w:kern w:val="0"/>
          <w:szCs w:val="22"/>
        </w:rPr>
        <w:footnoteReference w:id="50"/>
      </w:r>
      <w:r>
        <w:rPr>
          <w:snapToGrid/>
          <w:kern w:val="0"/>
          <w:szCs w:val="22"/>
        </w:rPr>
        <w:t xml:space="preserve">  In </w:t>
      </w:r>
      <w:r>
        <w:t xml:space="preserve">the </w:t>
      </w:r>
      <w:r w:rsidRPr="00A81EA9">
        <w:rPr>
          <w:i/>
        </w:rPr>
        <w:t>2017 Wireline Infrastructure Notice</w:t>
      </w:r>
      <w:r>
        <w:t xml:space="preserve">, we proposed that under Section 201(b) and Section 253, we have the </w:t>
      </w:r>
      <w:r w:rsidRPr="00917287">
        <w:t>authority to engage in a rulemaking to adopt rules that further define when a state or local legal requirement or practice constitutes an effective barrier to the provision of telecommunications service under Section 253(a).</w:t>
      </w:r>
      <w:r w:rsidRPr="00917287">
        <w:rPr>
          <w:rStyle w:val="FootnoteReference"/>
        </w:rPr>
        <w:footnoteReference w:id="51"/>
      </w:r>
      <w:r w:rsidRPr="00917287">
        <w:t xml:space="preserve">  Are there rules we should adopt pursuant to Section 253 to address state and local regulations that may expressly prohibit or have the effect of prohibiting the provision of telecommunications services in MTEs?  Does Section 253 establish limits on the ability of a state or local authority to require that facilities be made available to competing providers?  When would such state or local regulation prevent or have the effect of preventing deployment of telecommunications services?  Are there other preemptive actions we should take under our Section 253 authority to promote the deployment of next-generation networks and services to MTEs?  To the extent certain facilities are used exclusively for interstate </w:t>
      </w:r>
      <w:r>
        <w:t>services, e.g., for ISP-bound traffic, what is the appropriate role for states over such facilities?</w:t>
      </w:r>
    </w:p>
    <w:p w:rsidR="009E37D5" w:rsidRPr="008571C2" w:rsidRDefault="009E37D5" w:rsidP="009E37D5">
      <w:pPr>
        <w:pStyle w:val="ParaNum"/>
        <w:rPr>
          <w:snapToGrid/>
          <w:kern w:val="0"/>
          <w:szCs w:val="22"/>
        </w:rPr>
      </w:pPr>
      <w:r w:rsidRPr="008571C2">
        <w:rPr>
          <w:snapToGrid/>
          <w:kern w:val="0"/>
          <w:szCs w:val="22"/>
        </w:rPr>
        <w:t>Are there other sources of</w:t>
      </w:r>
      <w:r w:rsidRPr="00915F33">
        <w:t xml:space="preserve"> authority</w:t>
      </w:r>
      <w:r w:rsidRPr="00F479ED">
        <w:t xml:space="preserve"> </w:t>
      </w:r>
      <w:r>
        <w:t>on which the Commission may rely</w:t>
      </w:r>
      <w:r w:rsidRPr="00915F33">
        <w:t xml:space="preserve"> to prevent parties from entering into </w:t>
      </w:r>
      <w:r>
        <w:t xml:space="preserve">any </w:t>
      </w:r>
      <w:r w:rsidRPr="00915F33">
        <w:t xml:space="preserve">agreements </w:t>
      </w:r>
      <w:r>
        <w:t>and contractual provisions on which this Notice seeks comment and which are deemed to be anticompetitive</w:t>
      </w:r>
      <w:r w:rsidRPr="00DA393A">
        <w:t>?</w:t>
      </w:r>
      <w:r>
        <w:t xml:space="preserve">  If so, which types of agreements may we prohibit and why?  We also seek comment on the constitutional implications, if any, of addressing such agreements.</w:t>
      </w:r>
    </w:p>
    <w:p w:rsidR="009E37D5" w:rsidRDefault="009E37D5" w:rsidP="009E37D5">
      <w:pPr>
        <w:pStyle w:val="ParaNum"/>
      </w:pPr>
      <w:r>
        <w:t>We also seek comment on the potential impact of our proposed reclassification of broadband Internet access service as an information service on our legal authority to address broadband deployment and competition within MTEs.</w:t>
      </w:r>
      <w:r>
        <w:rPr>
          <w:rStyle w:val="FootnoteReference"/>
        </w:rPr>
        <w:footnoteReference w:id="52"/>
      </w:r>
      <w:r>
        <w:t xml:space="preserve">  In the event that we decide to reclassify broadband as an information service, </w:t>
      </w:r>
      <w:r w:rsidRPr="00E50406">
        <w:t xml:space="preserve">can we continue to rely on Title II of the Communications Act </w:t>
      </w:r>
      <w:r>
        <w:t xml:space="preserve">insofar as </w:t>
      </w:r>
      <w:r w:rsidRPr="00E50406">
        <w:t>the facilities at issue tend to carry non-broadband telecommunications services—for instance, traditional voice services?  In addition</w:t>
      </w:r>
      <w:r>
        <w:t>, are there sources of authority within or outside Title II under which we could promote broadband competition among Internet service providers (ISPs) that provide services in MTEs but are not subject to Section 628?  What sources of statutory authority other than Section 628, if any, would enable us to prohibit non-cable ISPs from executing or enforcing anti-competitive arrangements?  How should Section 706 of the Telecommunications Act of 1996 inform our efforts?</w:t>
      </w:r>
      <w:r>
        <w:rPr>
          <w:rStyle w:val="FootnoteReference"/>
        </w:rPr>
        <w:footnoteReference w:id="53"/>
      </w:r>
      <w:r>
        <w:t xml:space="preserve">  Would creating additional rules to regulate anticompetitive MTE-related arrangements for one set of ISPs within MTEs create a regulatory disparity between those ISPs and other ISPs?  If so, what might be the competitive consequences of such a regulatory disparity?</w:t>
      </w:r>
    </w:p>
    <w:p w:rsidR="009E37D5" w:rsidRDefault="009E37D5" w:rsidP="009E37D5">
      <w:pPr>
        <w:pStyle w:val="ParaNum"/>
      </w:pPr>
      <w:r>
        <w:rPr>
          <w:i/>
        </w:rPr>
        <w:t>Other Actions</w:t>
      </w:r>
      <w:r>
        <w:t>.  What other actions should the Commission take to promote competitive entry into MTEs?  For example, should it encourage cities or states to adopt model codes that promote competitive access to MTEs?  If so, what arrangements should those model codes prohibit or mandate?  Should the Commission facilitate the compilation of best practices regarding competitive entry to MTEs?  What data and analysis would be most useful to state and local decision makers when considering policies that may promote or hinder competitive access to MTEs?</w:t>
      </w:r>
    </w:p>
    <w:p w:rsidR="009E37D5" w:rsidRDefault="009E37D5" w:rsidP="009E37D5">
      <w:pPr>
        <w:pStyle w:val="Heading1"/>
      </w:pPr>
      <w:r>
        <w:t>Procedural Matters</w:t>
      </w:r>
    </w:p>
    <w:p w:rsidR="009E37D5" w:rsidRPr="002A57BF" w:rsidRDefault="009E37D5" w:rsidP="009E37D5">
      <w:pPr>
        <w:pStyle w:val="Heading2"/>
      </w:pPr>
      <w:bookmarkStart w:id="53" w:name="_Toc386545061"/>
      <w:bookmarkStart w:id="54" w:name="_Toc386712801"/>
      <w:bookmarkStart w:id="55" w:name="_Toc386718147"/>
      <w:bookmarkStart w:id="56" w:name="_Toc386719080"/>
      <w:bookmarkStart w:id="57" w:name="_Toc387323144"/>
      <w:bookmarkStart w:id="58" w:name="_Toc387323723"/>
      <w:bookmarkStart w:id="59" w:name="_Toc387323785"/>
      <w:bookmarkStart w:id="60" w:name="_Toc387323857"/>
      <w:bookmarkStart w:id="61" w:name="_Toc387645430"/>
      <w:bookmarkStart w:id="62" w:name="_Toc387645674"/>
      <w:bookmarkStart w:id="63" w:name="_Toc387645981"/>
      <w:bookmarkStart w:id="64" w:name="_Toc387646125"/>
      <w:bookmarkStart w:id="65" w:name="_Toc387745064"/>
      <w:bookmarkStart w:id="66" w:name="_Toc387922705"/>
      <w:bookmarkStart w:id="67" w:name="_Toc387922862"/>
      <w:bookmarkStart w:id="68" w:name="_Toc387923003"/>
      <w:bookmarkStart w:id="69" w:name="_Toc387923323"/>
      <w:bookmarkStart w:id="70" w:name="_Toc387923754"/>
      <w:bookmarkStart w:id="71" w:name="_Toc387924473"/>
      <w:bookmarkStart w:id="72" w:name="_Toc388526899"/>
      <w:bookmarkStart w:id="73" w:name="_Toc389026275"/>
      <w:bookmarkStart w:id="74" w:name="_Toc391479542"/>
      <w:bookmarkStart w:id="75" w:name="_Toc391561447"/>
      <w:bookmarkStart w:id="76" w:name="_Toc391562808"/>
      <w:bookmarkStart w:id="77" w:name="_Toc391642493"/>
      <w:bookmarkStart w:id="78" w:name="_Toc394323251"/>
      <w:bookmarkStart w:id="79" w:name="_Toc394323546"/>
      <w:bookmarkStart w:id="80" w:name="_Toc394323640"/>
      <w:bookmarkStart w:id="81" w:name="_Toc394642415"/>
      <w:bookmarkStart w:id="82" w:name="_Toc445192995"/>
      <w:bookmarkStart w:id="83" w:name="_Toc445193088"/>
      <w:bookmarkStart w:id="84" w:name="_Toc445193159"/>
      <w:bookmarkStart w:id="85" w:name="_Toc445276292"/>
      <w:bookmarkStart w:id="86" w:name="_Toc445367881"/>
      <w:bookmarkStart w:id="87" w:name="_Toc477445784"/>
      <w:bookmarkStart w:id="88" w:name="_Toc477453002"/>
      <w:bookmarkStart w:id="89" w:name="_Toc477453168"/>
      <w:bookmarkStart w:id="90" w:name="_Toc477796027"/>
      <w:bookmarkStart w:id="91" w:name="_Toc478050625"/>
      <w:bookmarkStart w:id="92" w:name="_Toc478138487"/>
      <w:bookmarkStart w:id="93" w:name="_Toc478139502"/>
      <w:bookmarkStart w:id="94" w:name="_Toc478139608"/>
      <w:bookmarkStart w:id="95" w:name="_Toc478139659"/>
      <w:bookmarkStart w:id="96" w:name="_Toc478394354"/>
      <w:bookmarkStart w:id="97" w:name="_Toc478398216"/>
      <w:bookmarkStart w:id="98" w:name="_Toc478403111"/>
      <w:bookmarkStart w:id="99" w:name="_Toc478460155"/>
      <w:bookmarkStart w:id="100" w:name="_Toc478476702"/>
      <w:bookmarkStart w:id="101" w:name="_Toc479943040"/>
      <w:bookmarkStart w:id="102" w:name="_Toc480388544"/>
      <w:bookmarkStart w:id="103" w:name="_Toc482098530"/>
      <w:bookmarkStart w:id="104" w:name="_Toc482353536"/>
      <w:bookmarkStart w:id="105" w:name="_Toc483383127"/>
      <w:bookmarkStart w:id="106" w:name="_Toc483920528"/>
      <w:r w:rsidRPr="00D24967">
        <w:rPr>
          <w:i/>
        </w:rPr>
        <w:t>Ex Parte</w:t>
      </w:r>
      <w:r w:rsidRPr="002A57BF">
        <w:t xml:space="preserve"> Rules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2A57BF">
        <w:t xml:space="preserve"> </w:t>
      </w:r>
    </w:p>
    <w:p w:rsidR="009E37D5" w:rsidRDefault="009E37D5" w:rsidP="009E37D5">
      <w:pPr>
        <w:pStyle w:val="ParaNum"/>
      </w:pPr>
      <w:r w:rsidRPr="002A57BF">
        <w:t>This</w:t>
      </w:r>
      <w:r w:rsidRPr="00D24C79">
        <w:t xml:space="preserve"> proceeding shall be treated as a “permit-but-disclose” proceeding in accordance with the Commission’s </w:t>
      </w:r>
      <w:r w:rsidRPr="00D24C79">
        <w:rPr>
          <w:i/>
        </w:rPr>
        <w:t xml:space="preserve">ex parte </w:t>
      </w:r>
      <w:r w:rsidRPr="00D24C79">
        <w:t>rules.</w:t>
      </w:r>
      <w:r>
        <w:rPr>
          <w:rStyle w:val="FootnoteReference"/>
        </w:rPr>
        <w:footnoteReference w:id="54"/>
      </w:r>
      <w:r>
        <w:t xml:space="preserve"> </w:t>
      </w:r>
      <w:r w:rsidRPr="00D24C79">
        <w:t xml:space="preserve"> Persons making </w:t>
      </w:r>
      <w:r w:rsidRPr="00D24C79">
        <w:rPr>
          <w:i/>
        </w:rPr>
        <w:t xml:space="preserve">ex parte </w:t>
      </w:r>
      <w:r w:rsidRPr="00D24C79">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24C79">
        <w:rPr>
          <w:i/>
        </w:rPr>
        <w:t xml:space="preserve">ex parte </w:t>
      </w:r>
      <w:r w:rsidRPr="00D24C79">
        <w:t xml:space="preserve">presentations are reminded that memoranda summarizing the presentation must (1) list all persons attending or otherwise participating in the meeting at which the </w:t>
      </w:r>
      <w:r w:rsidRPr="00D24C79">
        <w:rPr>
          <w:i/>
        </w:rPr>
        <w:t xml:space="preserve">ex parte </w:t>
      </w:r>
      <w:r w:rsidRPr="00D24C79">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24C79">
        <w:rPr>
          <w:i/>
        </w:rPr>
        <w:t xml:space="preserve">ex parte </w:t>
      </w:r>
      <w:r w:rsidRPr="00D24C79">
        <w:t xml:space="preserve">meetings are deemed to be written </w:t>
      </w:r>
      <w:r w:rsidRPr="00D24C79">
        <w:rPr>
          <w:i/>
        </w:rPr>
        <w:t>ex parte</w:t>
      </w:r>
      <w:r w:rsidRPr="00D24C79">
        <w:t xml:space="preserve"> presentations and must be filed consistent with </w:t>
      </w:r>
      <w:r>
        <w:t>R</w:t>
      </w:r>
      <w:r w:rsidRPr="002A57BF">
        <w:t>ule</w:t>
      </w:r>
      <w:r w:rsidRPr="00D24C79">
        <w:t xml:space="preserve"> 1.1206(b).  In proceedings governed by </w:t>
      </w:r>
      <w:r>
        <w:t>R</w:t>
      </w:r>
      <w:r w:rsidRPr="002A57BF">
        <w:t>ule</w:t>
      </w:r>
      <w:r w:rsidRPr="00D24C79">
        <w:t xml:space="preserve"> 1.49(f) or for which the Commission has made available a method of electronic filing, written </w:t>
      </w:r>
      <w:r w:rsidRPr="00D24C79">
        <w:rPr>
          <w:i/>
        </w:rPr>
        <w:t xml:space="preserve">ex parte </w:t>
      </w:r>
      <w:r w:rsidRPr="00D24C79">
        <w:t xml:space="preserve">presentations and memoranda summarizing oral </w:t>
      </w:r>
      <w:r w:rsidRPr="00D24C79">
        <w:rPr>
          <w:i/>
        </w:rPr>
        <w:t xml:space="preserve">ex parte </w:t>
      </w:r>
      <w:r w:rsidRPr="00D24C79">
        <w:t>presentations, and all attachments thereto, must be filed through the electronic comment filing system available for that proceeding, and must be filed in their native format (</w:t>
      </w:r>
      <w:r w:rsidRPr="00D24C79">
        <w:rPr>
          <w:i/>
        </w:rPr>
        <w:t>e.g.</w:t>
      </w:r>
      <w:r w:rsidRPr="00D24C79">
        <w:t xml:space="preserve">, .doc, .xml, .ppt, searchable .pdf).  Participants in this proceeding should familiarize themselves with the Commission’s </w:t>
      </w:r>
      <w:r w:rsidRPr="00D24C79">
        <w:rPr>
          <w:i/>
        </w:rPr>
        <w:t xml:space="preserve">ex parte </w:t>
      </w:r>
      <w:r w:rsidRPr="00D24C79">
        <w:t>rules.</w:t>
      </w:r>
    </w:p>
    <w:p w:rsidR="009E37D5" w:rsidRPr="002A57BF" w:rsidRDefault="009E37D5" w:rsidP="009E37D5">
      <w:pPr>
        <w:pStyle w:val="Heading2"/>
      </w:pPr>
      <w:bookmarkStart w:id="107" w:name="_Toc386545062"/>
      <w:bookmarkStart w:id="108" w:name="_Toc386712802"/>
      <w:bookmarkStart w:id="109" w:name="_Toc386718148"/>
      <w:bookmarkStart w:id="110" w:name="_Toc386719081"/>
      <w:bookmarkStart w:id="111" w:name="_Toc387323145"/>
      <w:bookmarkStart w:id="112" w:name="_Toc387323724"/>
      <w:bookmarkStart w:id="113" w:name="_Toc387323786"/>
      <w:bookmarkStart w:id="114" w:name="_Toc387323858"/>
      <w:bookmarkStart w:id="115" w:name="_Toc387645431"/>
      <w:bookmarkStart w:id="116" w:name="_Toc387645675"/>
      <w:bookmarkStart w:id="117" w:name="_Toc387645982"/>
      <w:bookmarkStart w:id="118" w:name="_Toc387646126"/>
      <w:bookmarkStart w:id="119" w:name="_Toc387745065"/>
      <w:bookmarkStart w:id="120" w:name="_Toc387922706"/>
      <w:bookmarkStart w:id="121" w:name="_Toc387922863"/>
      <w:bookmarkStart w:id="122" w:name="_Toc387923004"/>
      <w:bookmarkStart w:id="123" w:name="_Toc387923324"/>
      <w:bookmarkStart w:id="124" w:name="_Toc387923755"/>
      <w:bookmarkStart w:id="125" w:name="_Toc387924474"/>
      <w:bookmarkStart w:id="126" w:name="_Toc388526900"/>
      <w:bookmarkStart w:id="127" w:name="_Toc389026276"/>
      <w:bookmarkStart w:id="128" w:name="_Toc391479543"/>
      <w:bookmarkStart w:id="129" w:name="_Toc391561448"/>
      <w:bookmarkStart w:id="130" w:name="_Toc391562809"/>
      <w:bookmarkStart w:id="131" w:name="_Toc391642494"/>
      <w:bookmarkStart w:id="132" w:name="_Toc394323252"/>
      <w:bookmarkStart w:id="133" w:name="_Toc394323547"/>
      <w:bookmarkStart w:id="134" w:name="_Toc394323641"/>
      <w:bookmarkStart w:id="135" w:name="_Toc394642416"/>
      <w:bookmarkStart w:id="136" w:name="_Toc445192996"/>
      <w:bookmarkStart w:id="137" w:name="_Toc445193089"/>
      <w:bookmarkStart w:id="138" w:name="_Toc445193160"/>
      <w:bookmarkStart w:id="139" w:name="_Toc445276293"/>
      <w:bookmarkStart w:id="140" w:name="_Toc445367882"/>
      <w:bookmarkStart w:id="141" w:name="_Toc477445787"/>
      <w:bookmarkStart w:id="142" w:name="_Toc477453005"/>
      <w:bookmarkStart w:id="143" w:name="_Toc477453171"/>
      <w:bookmarkStart w:id="144" w:name="_Toc477796030"/>
      <w:bookmarkStart w:id="145" w:name="_Toc478050628"/>
      <w:bookmarkStart w:id="146" w:name="_Toc478138490"/>
      <w:bookmarkStart w:id="147" w:name="_Toc478139505"/>
      <w:bookmarkStart w:id="148" w:name="_Toc478139611"/>
      <w:bookmarkStart w:id="149" w:name="_Toc478139662"/>
      <w:bookmarkStart w:id="150" w:name="_Toc478394357"/>
      <w:bookmarkStart w:id="151" w:name="_Toc478398219"/>
      <w:bookmarkStart w:id="152" w:name="_Toc478403114"/>
      <w:bookmarkStart w:id="153" w:name="_Toc478460158"/>
      <w:bookmarkStart w:id="154" w:name="_Toc478476705"/>
      <w:bookmarkStart w:id="155" w:name="_Toc479943043"/>
      <w:bookmarkStart w:id="156" w:name="_Toc480388547"/>
      <w:bookmarkStart w:id="157" w:name="_Toc482098531"/>
      <w:bookmarkStart w:id="158" w:name="_Toc482353537"/>
      <w:bookmarkStart w:id="159" w:name="_Toc483383128"/>
      <w:bookmarkStart w:id="160" w:name="_Toc483920529"/>
      <w:r>
        <w:t>Filing of Comments and Reply Comments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9E37D5" w:rsidRPr="00D24C79" w:rsidRDefault="009E37D5" w:rsidP="009E37D5">
      <w:pPr>
        <w:pStyle w:val="ParaNum"/>
        <w:rPr>
          <w:szCs w:val="22"/>
        </w:rPr>
      </w:pPr>
      <w:r w:rsidRPr="00D24C79">
        <w:t xml:space="preserve">Pursuant to </w:t>
      </w:r>
      <w:r>
        <w:t>S</w:t>
      </w:r>
      <w:r w:rsidRPr="002A57BF">
        <w:t>ections</w:t>
      </w:r>
      <w:r w:rsidRPr="00D24C79">
        <w:t xml:space="preserve"> 1.415 and 1.419 of the Commission’s rules, 47 </w:t>
      </w:r>
      <w:r w:rsidRPr="00470D28">
        <w:t>CFR</w:t>
      </w:r>
      <w:r w:rsidRPr="00D24C79">
        <w:t xml:space="preserve"> §§ 1.415, 1.419, interested parties may file comments and reply comments on or before the dates indicated on the first page of this document.  Comments may be filed using the Commission’s Electronic Comment Filing System (ECFS).  </w:t>
      </w:r>
      <w:r w:rsidRPr="00D24C79">
        <w:rPr>
          <w:i/>
        </w:rPr>
        <w:t>See Electronic Filing of Documents in Rulemaking Proceedings</w:t>
      </w:r>
      <w:r w:rsidRPr="00D24C79">
        <w:t xml:space="preserve">, 63 </w:t>
      </w:r>
      <w:r w:rsidRPr="00470D28">
        <w:t>FR</w:t>
      </w:r>
      <w:r w:rsidRPr="00D24C79">
        <w:t xml:space="preserve"> 24121 (</w:t>
      </w:r>
      <w:r w:rsidRPr="00D24C79">
        <w:rPr>
          <w:szCs w:val="22"/>
        </w:rPr>
        <w:t>1998).</w:t>
      </w:r>
    </w:p>
    <w:p w:rsidR="009E37D5" w:rsidRPr="00D24C79" w:rsidRDefault="009E37D5" w:rsidP="009E37D5">
      <w:pPr>
        <w:rPr>
          <w:szCs w:val="22"/>
        </w:rPr>
      </w:pPr>
    </w:p>
    <w:p w:rsidR="009E37D5" w:rsidRDefault="009E37D5" w:rsidP="009E37D5">
      <w:pPr>
        <w:widowControl/>
        <w:numPr>
          <w:ilvl w:val="0"/>
          <w:numId w:val="9"/>
        </w:numPr>
        <w:rPr>
          <w:szCs w:val="22"/>
        </w:rPr>
      </w:pPr>
      <w:r w:rsidRPr="00D24C79">
        <w:rPr>
          <w:szCs w:val="22"/>
        </w:rPr>
        <w:t xml:space="preserve">Electronic Filers:  Comments may be filed electronically using the Internet by accessing the ECFS:  </w:t>
      </w:r>
      <w:hyperlink r:id="rId8" w:history="1">
        <w:r w:rsidRPr="00C55AE5">
          <w:rPr>
            <w:rStyle w:val="Hyperlink"/>
            <w:szCs w:val="22"/>
          </w:rPr>
          <w:t>http://apps.fcc.gov/ecfs/</w:t>
        </w:r>
      </w:hyperlink>
      <w:r>
        <w:rPr>
          <w:szCs w:val="22"/>
        </w:rPr>
        <w:t>.</w:t>
      </w:r>
    </w:p>
    <w:p w:rsidR="009E37D5" w:rsidRPr="00352812" w:rsidRDefault="009E37D5" w:rsidP="009E37D5">
      <w:pPr>
        <w:rPr>
          <w:szCs w:val="22"/>
        </w:rPr>
      </w:pPr>
    </w:p>
    <w:p w:rsidR="009E37D5" w:rsidRPr="00D24C79" w:rsidRDefault="009E37D5" w:rsidP="009E37D5">
      <w:pPr>
        <w:widowControl/>
        <w:numPr>
          <w:ilvl w:val="0"/>
          <w:numId w:val="7"/>
        </w:numPr>
        <w:rPr>
          <w:szCs w:val="22"/>
        </w:rPr>
      </w:pPr>
      <w:r w:rsidRPr="00185242">
        <w:rPr>
          <w:szCs w:val="22"/>
        </w:rPr>
        <w:t xml:space="preserve">Paper Filers:  Parties who choose to file by </w:t>
      </w:r>
      <w:r>
        <w:rPr>
          <w:szCs w:val="22"/>
        </w:rPr>
        <w:t>paper must file an original and</w:t>
      </w:r>
      <w:r w:rsidRPr="00D24C79">
        <w:rPr>
          <w:szCs w:val="22"/>
        </w:rPr>
        <w:t xml:space="preserve"> one copy of each filing.  If more than one docket or rulemaking number appears in the caption of this proceeding, filers must submit two additional copies for each additional docket or rulemaking number.</w:t>
      </w:r>
    </w:p>
    <w:p w:rsidR="009E37D5" w:rsidRPr="00D24C79" w:rsidRDefault="009E37D5" w:rsidP="009E37D5">
      <w:pPr>
        <w:rPr>
          <w:szCs w:val="22"/>
        </w:rPr>
      </w:pPr>
    </w:p>
    <w:p w:rsidR="009E37D5" w:rsidRPr="00352812" w:rsidRDefault="009E37D5" w:rsidP="009E37D5">
      <w:pPr>
        <w:ind w:left="720"/>
        <w:rPr>
          <w:szCs w:val="22"/>
        </w:rPr>
      </w:pPr>
      <w:r w:rsidRPr="00D24C7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E37D5" w:rsidRPr="00185242" w:rsidRDefault="009E37D5" w:rsidP="009E37D5">
      <w:pPr>
        <w:rPr>
          <w:szCs w:val="22"/>
        </w:rPr>
      </w:pPr>
    </w:p>
    <w:p w:rsidR="009E37D5" w:rsidRPr="00D24C79" w:rsidRDefault="009E37D5" w:rsidP="009E37D5">
      <w:pPr>
        <w:widowControl/>
        <w:numPr>
          <w:ilvl w:val="0"/>
          <w:numId w:val="8"/>
        </w:numPr>
        <w:rPr>
          <w:szCs w:val="22"/>
        </w:rPr>
      </w:pPr>
      <w:r w:rsidRPr="00185242">
        <w:rPr>
          <w:szCs w:val="22"/>
        </w:rPr>
        <w:t>All hand-delivered or messenger-delivered paper filings for the Commission’s Secretary must be delivered to FCC Headquarters at 445 12</w:t>
      </w:r>
      <w:r w:rsidRPr="00185242">
        <w:rPr>
          <w:szCs w:val="22"/>
          <w:vertAlign w:val="superscript"/>
        </w:rPr>
        <w:t>th</w:t>
      </w:r>
      <w:r w:rsidRPr="00185242">
        <w:rPr>
          <w:szCs w:val="22"/>
        </w:rPr>
        <w:t xml:space="preserve"> St., SW, Room TW-A325, Washington, DC 20554.  The filing hours are 8:00 a.m. to 7:00 p.m.  </w:t>
      </w:r>
      <w:r w:rsidRPr="00D24C79">
        <w:rPr>
          <w:szCs w:val="22"/>
        </w:rPr>
        <w:t xml:space="preserve"> All hand deliveries must be held together with rubber bands or fasteners.  Any envelopes and boxes must be disposed of </w:t>
      </w:r>
      <w:r w:rsidRPr="00080146">
        <w:rPr>
          <w:szCs w:val="22"/>
          <w:u w:val="single"/>
        </w:rPr>
        <w:t>before</w:t>
      </w:r>
      <w:r w:rsidRPr="00D24C79">
        <w:rPr>
          <w:szCs w:val="22"/>
        </w:rPr>
        <w:t xml:space="preserve"> entering the building.  </w:t>
      </w:r>
    </w:p>
    <w:p w:rsidR="009E37D5" w:rsidRPr="00D24C79" w:rsidRDefault="009E37D5" w:rsidP="009E37D5">
      <w:pPr>
        <w:ind w:left="1080"/>
        <w:rPr>
          <w:szCs w:val="22"/>
        </w:rPr>
      </w:pPr>
    </w:p>
    <w:p w:rsidR="009E37D5" w:rsidRPr="00D24C79" w:rsidRDefault="009E37D5" w:rsidP="009E37D5">
      <w:pPr>
        <w:widowControl/>
        <w:numPr>
          <w:ilvl w:val="0"/>
          <w:numId w:val="8"/>
        </w:numPr>
        <w:rPr>
          <w:szCs w:val="22"/>
        </w:rPr>
      </w:pPr>
      <w:r w:rsidRPr="00D24C79">
        <w:rPr>
          <w:szCs w:val="22"/>
        </w:rPr>
        <w:t>Commercial overnight mail (other than U.S. Postal Service Express Mail and Priority Mail) must be sent to 9300 East Hampton Drive, Capitol Heights, MD  20743.</w:t>
      </w:r>
    </w:p>
    <w:p w:rsidR="009E37D5" w:rsidRPr="00D24C79" w:rsidRDefault="009E37D5" w:rsidP="009E37D5">
      <w:pPr>
        <w:rPr>
          <w:szCs w:val="22"/>
        </w:rPr>
      </w:pPr>
    </w:p>
    <w:p w:rsidR="009E37D5" w:rsidRPr="00352812" w:rsidRDefault="009E37D5" w:rsidP="009E37D5">
      <w:pPr>
        <w:widowControl/>
        <w:numPr>
          <w:ilvl w:val="0"/>
          <w:numId w:val="8"/>
        </w:numPr>
        <w:rPr>
          <w:szCs w:val="22"/>
        </w:rPr>
      </w:pPr>
      <w:r w:rsidRPr="00D24C79">
        <w:rPr>
          <w:szCs w:val="22"/>
        </w:rPr>
        <w:t>U.S. Postal Service first-class, Express, and Priority mail must be addressed to 445 12</w:t>
      </w:r>
      <w:r w:rsidRPr="00D24C79">
        <w:rPr>
          <w:szCs w:val="22"/>
          <w:vertAlign w:val="superscript"/>
        </w:rPr>
        <w:t>th</w:t>
      </w:r>
      <w:r w:rsidRPr="00D24C79">
        <w:rPr>
          <w:szCs w:val="22"/>
        </w:rPr>
        <w:t xml:space="preserve"> Street, SW, Washington DC  20554</w:t>
      </w:r>
      <w:r w:rsidRPr="00352812">
        <w:rPr>
          <w:szCs w:val="22"/>
        </w:rPr>
        <w:t>.</w:t>
      </w:r>
    </w:p>
    <w:p w:rsidR="009E37D5" w:rsidRPr="00470D28" w:rsidRDefault="009E37D5" w:rsidP="009E37D5">
      <w:pPr>
        <w:rPr>
          <w:sz w:val="24"/>
        </w:rPr>
      </w:pPr>
    </w:p>
    <w:p w:rsidR="009E37D5" w:rsidRDefault="009E37D5" w:rsidP="009E37D5">
      <w:pPr>
        <w:widowControl/>
        <w:numPr>
          <w:ilvl w:val="0"/>
          <w:numId w:val="7"/>
        </w:numPr>
        <w:spacing w:after="120"/>
      </w:pPr>
      <w:r w:rsidRPr="00D24C79">
        <w:t xml:space="preserve">People with Disabilities:  To request materials in accessible formats for people with disabilities (braille, large print, </w:t>
      </w:r>
      <w:r w:rsidRPr="00352812">
        <w:rPr>
          <w:szCs w:val="22"/>
        </w:rPr>
        <w:t>electronic</w:t>
      </w:r>
      <w:r w:rsidRPr="00352812">
        <w:t xml:space="preserve"> files, audio format), send an </w:t>
      </w:r>
      <w:r w:rsidRPr="00D24C79">
        <w:t xml:space="preserve">e-mail to </w:t>
      </w:r>
      <w:hyperlink r:id="rId9" w:history="1">
        <w:r w:rsidRPr="00D24C79">
          <w:t>fcc504@fcc.gov</w:t>
        </w:r>
      </w:hyperlink>
      <w:r w:rsidRPr="00D24C79">
        <w:t xml:space="preserve"> or call the Consumer &amp; Governmental Affairs Bureau at 202-418-0530 (voice), 202-418-0432 (tty).</w:t>
      </w:r>
    </w:p>
    <w:p w:rsidR="009E37D5" w:rsidRDefault="009E37D5" w:rsidP="009E37D5">
      <w:pPr>
        <w:pStyle w:val="Heading2"/>
      </w:pPr>
      <w:bookmarkStart w:id="161" w:name="_Toc445193000"/>
      <w:bookmarkStart w:id="162" w:name="_Toc445193093"/>
      <w:bookmarkStart w:id="163" w:name="_Toc445193164"/>
      <w:bookmarkStart w:id="164" w:name="_Toc445276297"/>
      <w:bookmarkStart w:id="165" w:name="_Toc445367886"/>
      <w:bookmarkStart w:id="166" w:name="_Toc477445789"/>
      <w:bookmarkStart w:id="167" w:name="_Toc477453007"/>
      <w:bookmarkStart w:id="168" w:name="_Toc477453173"/>
      <w:bookmarkStart w:id="169" w:name="_Toc477796032"/>
      <w:bookmarkStart w:id="170" w:name="_Toc478050630"/>
      <w:bookmarkStart w:id="171" w:name="_Toc478138492"/>
      <w:bookmarkStart w:id="172" w:name="_Toc478139507"/>
      <w:bookmarkStart w:id="173" w:name="_Toc478139613"/>
      <w:bookmarkStart w:id="174" w:name="_Toc478139664"/>
      <w:bookmarkStart w:id="175" w:name="_Toc478394359"/>
      <w:bookmarkStart w:id="176" w:name="_Toc478398221"/>
      <w:bookmarkStart w:id="177" w:name="_Toc478403116"/>
      <w:bookmarkStart w:id="178" w:name="_Toc478460160"/>
      <w:bookmarkStart w:id="179" w:name="_Toc478476707"/>
      <w:bookmarkStart w:id="180" w:name="_Toc479943045"/>
      <w:bookmarkStart w:id="181" w:name="_Toc480388548"/>
      <w:bookmarkStart w:id="182" w:name="_Toc482098532"/>
      <w:bookmarkStart w:id="183" w:name="_Toc482353538"/>
      <w:bookmarkStart w:id="184" w:name="_Toc483383129"/>
      <w:bookmarkStart w:id="185" w:name="_Toc483920530"/>
      <w:r>
        <w:t>Contact Person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9E37D5" w:rsidRPr="00223ABA" w:rsidRDefault="009E37D5" w:rsidP="009E37D5">
      <w:pPr>
        <w:pStyle w:val="ParaNum"/>
      </w:pPr>
      <w:r w:rsidRPr="002A57BF">
        <w:t>For further information about this proceeding, please contact</w:t>
      </w:r>
      <w:r>
        <w:t xml:space="preserve"> John Visclosky</w:t>
      </w:r>
      <w:r w:rsidRPr="002A57BF">
        <w:t xml:space="preserve">, FCC Wireline Competition Bureau, </w:t>
      </w:r>
      <w:r>
        <w:t xml:space="preserve">Competition Policy Division, </w:t>
      </w:r>
      <w:r w:rsidRPr="002A57BF">
        <w:t>Room</w:t>
      </w:r>
      <w:r>
        <w:t xml:space="preserve"> 5-C111</w:t>
      </w:r>
      <w:r w:rsidRPr="002A57BF">
        <w:t>, 445 12th Street, S.W., Wash</w:t>
      </w:r>
      <w:r>
        <w:t xml:space="preserve">ington, D.C. 20554, (202) 418-0825, </w:t>
      </w:r>
      <w:hyperlink r:id="rId10" w:history="1">
        <w:r w:rsidRPr="009A5F85">
          <w:rPr>
            <w:rStyle w:val="Hyperlink"/>
          </w:rPr>
          <w:t>John.Visclosky@fcc.gov</w:t>
        </w:r>
      </w:hyperlink>
      <w:r>
        <w:t>.</w:t>
      </w:r>
    </w:p>
    <w:p w:rsidR="009E37D5" w:rsidRDefault="009E37D5" w:rsidP="009E37D5">
      <w:pPr>
        <w:pStyle w:val="Heading1"/>
      </w:pPr>
      <w:r>
        <w:t>Ordering Clause</w:t>
      </w:r>
    </w:p>
    <w:p w:rsidR="009E37D5" w:rsidRPr="00A217B8" w:rsidRDefault="009E37D5" w:rsidP="009E37D5">
      <w:pPr>
        <w:pStyle w:val="ParaNum"/>
      </w:pPr>
      <w:r w:rsidRPr="00A217B8">
        <w:t xml:space="preserve">Accordingly, IT IS ORDERED that, pursuant to </w:t>
      </w:r>
      <w:r>
        <w:t xml:space="preserve">the authority contained in Sections 1, 2(a), 4(i), 4(j), 201(b), 202, 303(r), 403, 601(4), 601(6), and 628 </w:t>
      </w:r>
      <w:r w:rsidRPr="00A217B8">
        <w:t>of the Communications Act of 1934, as amended, 47 U.S.C. §§ 151</w:t>
      </w:r>
      <w:r>
        <w:t>, 152(a)</w:t>
      </w:r>
      <w:r w:rsidRPr="00A217B8">
        <w:t>,</w:t>
      </w:r>
      <w:r>
        <w:t xml:space="preserve"> 154(i), 154(j),</w:t>
      </w:r>
      <w:r w:rsidRPr="00A217B8">
        <w:t xml:space="preserve"> 201</w:t>
      </w:r>
      <w:r>
        <w:t>(b), 202,</w:t>
      </w:r>
      <w:r w:rsidRPr="00A217B8">
        <w:t xml:space="preserve"> 303(r),</w:t>
      </w:r>
      <w:r>
        <w:t xml:space="preserve"> 403, 521(4), 521(6), and 548,</w:t>
      </w:r>
      <w:r w:rsidRPr="00A217B8">
        <w:t xml:space="preserve"> </w:t>
      </w:r>
      <w:r>
        <w:t xml:space="preserve">and Section 706 of the Telecommunications Act of 1996, 47 U.S.C. § 1302, </w:t>
      </w:r>
      <w:r w:rsidRPr="00A217B8">
        <w:t xml:space="preserve">this Notice of </w:t>
      </w:r>
      <w:r>
        <w:t>Inquiry</w:t>
      </w:r>
      <w:r w:rsidRPr="00A217B8">
        <w:t xml:space="preserve"> IS ADOPTED.</w:t>
      </w:r>
    </w:p>
    <w:p w:rsidR="009E37D5" w:rsidRDefault="009E37D5" w:rsidP="009E37D5"/>
    <w:p w:rsidR="009E37D5" w:rsidRPr="00FE7186" w:rsidRDefault="009E37D5" w:rsidP="009E37D5">
      <w:pPr>
        <w:keepNext/>
        <w:keepLines/>
        <w:widowControl/>
        <w:rPr>
          <w:szCs w:val="22"/>
        </w:rPr>
      </w:pPr>
      <w:r w:rsidRPr="00FE7186">
        <w:rPr>
          <w:szCs w:val="22"/>
        </w:rPr>
        <w:tab/>
      </w:r>
      <w:r>
        <w:rPr>
          <w:szCs w:val="22"/>
        </w:rPr>
        <w:tab/>
      </w:r>
      <w:r>
        <w:rPr>
          <w:szCs w:val="22"/>
        </w:rPr>
        <w:tab/>
      </w:r>
      <w:r>
        <w:rPr>
          <w:szCs w:val="22"/>
        </w:rPr>
        <w:tab/>
      </w:r>
      <w:r>
        <w:rPr>
          <w:szCs w:val="22"/>
        </w:rPr>
        <w:tab/>
      </w:r>
      <w:r>
        <w:rPr>
          <w:szCs w:val="22"/>
        </w:rPr>
        <w:tab/>
      </w:r>
      <w:r w:rsidRPr="00FE7186">
        <w:rPr>
          <w:szCs w:val="22"/>
        </w:rPr>
        <w:t>FEDERAL COMMUNICATIONS COMMISSION</w:t>
      </w:r>
    </w:p>
    <w:p w:rsidR="009E37D5" w:rsidRPr="00FE7186" w:rsidRDefault="009E37D5" w:rsidP="009E37D5">
      <w:pPr>
        <w:keepNext/>
        <w:keepLines/>
        <w:widowControl/>
        <w:rPr>
          <w:szCs w:val="22"/>
        </w:rPr>
      </w:pPr>
    </w:p>
    <w:p w:rsidR="009E37D5" w:rsidRPr="00FE7186" w:rsidRDefault="009E37D5" w:rsidP="009E37D5">
      <w:pPr>
        <w:keepNext/>
        <w:keepLines/>
        <w:widowControl/>
        <w:rPr>
          <w:szCs w:val="22"/>
        </w:rPr>
      </w:pPr>
    </w:p>
    <w:p w:rsidR="009E37D5" w:rsidRPr="00FE7186" w:rsidRDefault="009E37D5" w:rsidP="009E37D5">
      <w:pPr>
        <w:keepNext/>
        <w:keepLines/>
        <w:widowControl/>
        <w:rPr>
          <w:szCs w:val="22"/>
        </w:rPr>
      </w:pPr>
    </w:p>
    <w:p w:rsidR="009E37D5" w:rsidRPr="00FE7186" w:rsidRDefault="009E37D5" w:rsidP="009E37D5">
      <w:pPr>
        <w:keepNext/>
        <w:keepLines/>
        <w:widowControl/>
        <w:rPr>
          <w:szCs w:val="22"/>
        </w:rPr>
      </w:pPr>
    </w:p>
    <w:p w:rsidR="009E37D5" w:rsidRPr="00FE7186" w:rsidRDefault="009E37D5" w:rsidP="009E37D5">
      <w:pPr>
        <w:keepNext/>
        <w:keepLines/>
        <w:widowControl/>
        <w:rPr>
          <w:szCs w:val="22"/>
        </w:rPr>
      </w:pPr>
      <w:r w:rsidRPr="00FE7186">
        <w:rPr>
          <w:szCs w:val="22"/>
        </w:rPr>
        <w:tab/>
      </w:r>
      <w:r w:rsidRPr="00FE7186">
        <w:rPr>
          <w:szCs w:val="22"/>
        </w:rPr>
        <w:tab/>
      </w:r>
      <w:r w:rsidRPr="00FE7186">
        <w:rPr>
          <w:szCs w:val="22"/>
        </w:rPr>
        <w:tab/>
      </w:r>
      <w:r w:rsidRPr="00FE7186">
        <w:rPr>
          <w:szCs w:val="22"/>
        </w:rPr>
        <w:tab/>
      </w:r>
      <w:r w:rsidRPr="00FE7186">
        <w:rPr>
          <w:szCs w:val="22"/>
        </w:rPr>
        <w:tab/>
      </w:r>
      <w:r w:rsidRPr="00FE7186">
        <w:rPr>
          <w:szCs w:val="22"/>
        </w:rPr>
        <w:tab/>
        <w:t>Marlene H. Dortch</w:t>
      </w:r>
    </w:p>
    <w:p w:rsidR="009E37D5" w:rsidRDefault="009E37D5" w:rsidP="009E37D5">
      <w:pPr>
        <w:pStyle w:val="ParaNum"/>
        <w:numPr>
          <w:ilvl w:val="0"/>
          <w:numId w:val="0"/>
        </w:numPr>
      </w:pPr>
      <w:r>
        <w:rPr>
          <w:szCs w:val="22"/>
        </w:rPr>
        <w:t xml:space="preserve">  </w:t>
      </w:r>
      <w:r>
        <w:rPr>
          <w:szCs w:val="22"/>
        </w:rPr>
        <w:tab/>
      </w:r>
      <w:r>
        <w:rPr>
          <w:szCs w:val="22"/>
        </w:rPr>
        <w:tab/>
      </w:r>
      <w:r>
        <w:rPr>
          <w:szCs w:val="22"/>
        </w:rPr>
        <w:tab/>
      </w:r>
      <w:r>
        <w:rPr>
          <w:szCs w:val="22"/>
        </w:rPr>
        <w:tab/>
      </w:r>
      <w:r>
        <w:rPr>
          <w:szCs w:val="22"/>
        </w:rPr>
        <w:tab/>
      </w:r>
      <w:r>
        <w:rPr>
          <w:szCs w:val="22"/>
        </w:rPr>
        <w:tab/>
        <w:t>Secretary</w:t>
      </w:r>
    </w:p>
    <w:p w:rsidR="00AB1813" w:rsidRDefault="00AB1813" w:rsidP="009E37D5">
      <w:pPr>
        <w:sectPr w:rsidR="00AB1813" w:rsidSect="009175E3">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pPr>
    </w:p>
    <w:p w:rsidR="00AB1813" w:rsidRDefault="00AB1813" w:rsidP="00AB1813">
      <w:pPr>
        <w:spacing w:after="240"/>
        <w:jc w:val="center"/>
        <w:rPr>
          <w:b/>
        </w:rPr>
      </w:pPr>
      <w:r>
        <w:rPr>
          <w:b/>
        </w:rPr>
        <w:t>STATEMENT OF</w:t>
      </w:r>
      <w:r>
        <w:rPr>
          <w:b/>
        </w:rPr>
        <w:br/>
        <w:t>CHAIRMAN AJIT PAI</w:t>
      </w:r>
    </w:p>
    <w:p w:rsidR="00AB1813" w:rsidRPr="008B6D47" w:rsidRDefault="00AB1813" w:rsidP="00AB1813">
      <w:pPr>
        <w:autoSpaceDE w:val="0"/>
        <w:autoSpaceDN w:val="0"/>
        <w:adjustRightInd w:val="0"/>
        <w:ind w:left="720" w:hanging="720"/>
      </w:pPr>
      <w:r w:rsidRPr="008B6D47">
        <w:t>Re:</w:t>
      </w:r>
      <w:r w:rsidRPr="008B6D47">
        <w:tab/>
      </w:r>
      <w:r w:rsidRPr="008B6D47">
        <w:rPr>
          <w:i/>
        </w:rPr>
        <w:t>Improving Competitive Broadband Access to Multiple Tenant Environments</w:t>
      </w:r>
      <w:r w:rsidRPr="00D214C0">
        <w:t xml:space="preserve">, </w:t>
      </w:r>
      <w:r w:rsidRPr="008B6D47">
        <w:t>GN Docket No. 17-142.</w:t>
      </w:r>
    </w:p>
    <w:p w:rsidR="00AB1813" w:rsidRDefault="00AB1813" w:rsidP="00824D59">
      <w:pPr>
        <w:spacing w:after="120"/>
        <w:ind w:firstLine="720"/>
      </w:pPr>
      <w:r w:rsidRPr="00D214C0">
        <w:rPr>
          <w:i/>
        </w:rPr>
        <w:t>Melrose Place</w:t>
      </w:r>
      <w:r>
        <w:t xml:space="preserve">, </w:t>
      </w:r>
      <w:r w:rsidRPr="00D214C0">
        <w:rPr>
          <w:i/>
        </w:rPr>
        <w:t>The Jeffersons</w:t>
      </w:r>
      <w:r>
        <w:t xml:space="preserve">, </w:t>
      </w:r>
      <w:r w:rsidRPr="00D214C0">
        <w:rPr>
          <w:i/>
        </w:rPr>
        <w:t>Seinfeld</w:t>
      </w:r>
      <w:r>
        <w:t xml:space="preserve">, </w:t>
      </w:r>
      <w:r w:rsidRPr="00D214C0">
        <w:rPr>
          <w:i/>
        </w:rPr>
        <w:t>Perfect Strangers</w:t>
      </w:r>
      <w:r>
        <w:t xml:space="preserve">, </w:t>
      </w:r>
      <w:r>
        <w:rPr>
          <w:i/>
        </w:rPr>
        <w:t>Three’s Company</w:t>
      </w:r>
      <w:r>
        <w:t xml:space="preserve">, </w:t>
      </w:r>
      <w:r w:rsidRPr="00282379">
        <w:rPr>
          <w:i/>
        </w:rPr>
        <w:t>Friends</w:t>
      </w:r>
      <w:r>
        <w:t xml:space="preserve">, </w:t>
      </w:r>
      <w:r w:rsidRPr="00D214C0">
        <w:rPr>
          <w:i/>
        </w:rPr>
        <w:t>Good Times</w:t>
      </w:r>
      <w:r>
        <w:t xml:space="preserve">, and </w:t>
      </w:r>
      <w:r w:rsidRPr="00D214C0">
        <w:rPr>
          <w:i/>
        </w:rPr>
        <w:t>The Big Bang Theory</w:t>
      </w:r>
      <w:r>
        <w:t>.  What do these television shows have in common?  Each takes place in an apartment building—or, in the parlance, a multiple tenant environment (MTE).  MTEs are residential or commercial premises, including apartment buildings and shopping centers, that are occupied by multiple tenants.</w:t>
      </w:r>
    </w:p>
    <w:p w:rsidR="00AB1813" w:rsidRDefault="00AB1813" w:rsidP="00824D59">
      <w:pPr>
        <w:spacing w:after="120"/>
        <w:ind w:firstLine="720"/>
      </w:pPr>
      <w:r>
        <w:t>People who live or work in MTEs want and need high-speed Internet access.  But we’ve heard that there are sometimes barriers that discourage or even prevent broadband providers from serving them.  For instance, a few months ago, I visited Rocket Fiber in Detroit, Michigan.  I saw for myself how this scrappy startup is connecting Motor City residents with a new gigabit broadband network.  But the company explained to me that they were having trouble getting access to MTEs in order to provide Internet access and competitive choice to folks in apartment buildings.  This is a problem for both the tenants (for obvious reasons) and the company (since it could get a bigger return on investment serving a more densely-populated geographic area).</w:t>
      </w:r>
    </w:p>
    <w:p w:rsidR="00AB1813" w:rsidRDefault="00AB1813" w:rsidP="00824D59">
      <w:pPr>
        <w:spacing w:after="120"/>
        <w:ind w:firstLine="720"/>
      </w:pPr>
      <w:r>
        <w:t xml:space="preserve">To make sure we’ve got an accurate snapshot of the broadband marketplace within MTEs, we’re beginning this </w:t>
      </w:r>
      <w:r w:rsidRPr="00B17A52">
        <w:rPr>
          <w:i/>
        </w:rPr>
        <w:t>N</w:t>
      </w:r>
      <w:r>
        <w:rPr>
          <w:i/>
        </w:rPr>
        <w:t>otice of Inquiry</w:t>
      </w:r>
      <w:r>
        <w:t>.  We’ll also think about what we can and should do to incentivize Internet service providers to make infrastructure investments relating to MTEs.</w:t>
      </w:r>
    </w:p>
    <w:p w:rsidR="00AB1813" w:rsidRDefault="00AB1813" w:rsidP="00824D59">
      <w:pPr>
        <w:spacing w:after="120"/>
        <w:ind w:firstLine="720"/>
      </w:pPr>
      <w:r>
        <w:t xml:space="preserve">Among other things, we’ll look at the state and local regulatory landscape.  For example, </w:t>
      </w:r>
      <w:r w:rsidRPr="00C54A76">
        <w:t>in an effort to promote competition within MTEs</w:t>
      </w:r>
      <w:r>
        <w:t xml:space="preserve">, at least one community has </w:t>
      </w:r>
      <w:r w:rsidRPr="00C54A76">
        <w:t xml:space="preserve">banned certain contractual arrangements </w:t>
      </w:r>
      <w:r>
        <w:t xml:space="preserve">that </w:t>
      </w:r>
      <w:r w:rsidRPr="00C54A76">
        <w:t xml:space="preserve">guarantee an Internet service provider </w:t>
      </w:r>
      <w:r>
        <w:t xml:space="preserve">the </w:t>
      </w:r>
      <w:r w:rsidRPr="00C54A76">
        <w:t>undisturbed use of inside wiring</w:t>
      </w:r>
      <w:r>
        <w:t>.  However, new entrants apparently often use such contracts as evidence of likely success when seeking funding from lenders or investors.  Does banning such contracts enhance or diminish competition in the broader marketplace?  We’re soliciting the facts that will help us answer that question.</w:t>
      </w:r>
    </w:p>
    <w:p w:rsidR="00AB1813" w:rsidRDefault="00AB1813" w:rsidP="00824D59">
      <w:pPr>
        <w:spacing w:after="120"/>
        <w:ind w:firstLine="720"/>
      </w:pPr>
      <w:r>
        <w:t>Additionally, some argue that certain business practices impede competition, such as Internet service providers making deals with landlords or homeowners associations to exclusively market to residents, or to bill all of them together at a discount.  It’s also been suggested that revenue-sharing agreements between ISPs and landlords aren’t in the best interest of residents.  On the other hand, many contend these exclusive marketing and bulk-billing agreements may provide lower prices and better service to MTE residents.  Who’s right?  Here, too, we hope to collect the facts that can inform our judgment.</w:t>
      </w:r>
    </w:p>
    <w:p w:rsidR="00AB1813" w:rsidRDefault="00AB1813" w:rsidP="00824D59">
      <w:pPr>
        <w:spacing w:after="120"/>
        <w:ind w:firstLine="720"/>
      </w:pPr>
      <w:r>
        <w:t xml:space="preserve">In sum, we’re faced with tough questions of both law and economics.  I hope that this </w:t>
      </w:r>
      <w:r w:rsidRPr="00D214C0">
        <w:rPr>
          <w:i/>
        </w:rPr>
        <w:t>Notice</w:t>
      </w:r>
      <w:r>
        <w:t xml:space="preserve"> presages a healthy discussion.  For whether Americans live in a deluxe apartment in the sky, 129 West 81</w:t>
      </w:r>
      <w:r w:rsidRPr="00282379">
        <w:rPr>
          <w:vertAlign w:val="superscript"/>
        </w:rPr>
        <w:t>st</w:t>
      </w:r>
      <w:r>
        <w:t xml:space="preserve"> Street, a Chicago housing project, or a stylish courtyard apartment complex in West Hollywood, they deserve digital opportunity.</w:t>
      </w:r>
    </w:p>
    <w:p w:rsidR="00AB1813" w:rsidRDefault="00AB1813" w:rsidP="00824D59">
      <w:pPr>
        <w:spacing w:after="120"/>
        <w:ind w:firstLine="720"/>
      </w:pPr>
      <w:r>
        <w:t>Finally, as we commence this inquiry, I would like to thank the dedicated staff of the Wireline Competition Bureau, the Media Bureau, and the Office of General Counsel for their work on this item: Michelle Carey, Adam Copeland, Katie Costello, Madeleine Findley, Martha Heller, Daniel Kahn, Karen Kosar, Billy Layton, Bakari Middleton, Kris Monteith, Mary Beth Murphy, Brendan Murray, Eric Ralph, and John Visclosky.</w:t>
      </w:r>
    </w:p>
    <w:p w:rsidR="00AB1813" w:rsidRPr="005577AD" w:rsidRDefault="00AB1813" w:rsidP="00AB1813">
      <w:pPr>
        <w:ind w:firstLine="720"/>
      </w:pPr>
    </w:p>
    <w:p w:rsidR="00AB1813" w:rsidRPr="009023F8" w:rsidRDefault="00AB1813" w:rsidP="00AB1813"/>
    <w:p w:rsidR="00AB1813" w:rsidRPr="00ED27C0" w:rsidRDefault="00AB1813" w:rsidP="00AB1813"/>
    <w:p w:rsidR="00AB1813" w:rsidRDefault="00AB1813" w:rsidP="009E37D5">
      <w:pPr>
        <w:sectPr w:rsidR="00AB1813" w:rsidSect="009175E3">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cols w:space="720"/>
          <w:noEndnote/>
          <w:titlePg/>
        </w:sectPr>
      </w:pPr>
    </w:p>
    <w:p w:rsidR="008E6DDD" w:rsidRPr="00EA058A" w:rsidRDefault="008E6DDD" w:rsidP="008E6DDD">
      <w:pPr>
        <w:spacing w:after="120"/>
        <w:contextualSpacing/>
        <w:jc w:val="center"/>
        <w:rPr>
          <w:b/>
          <w:color w:val="000000"/>
          <w:szCs w:val="22"/>
        </w:rPr>
      </w:pPr>
      <w:r w:rsidRPr="00EA058A">
        <w:rPr>
          <w:b/>
          <w:color w:val="000000"/>
          <w:szCs w:val="22"/>
        </w:rPr>
        <w:t>STATEMENT OF</w:t>
      </w:r>
    </w:p>
    <w:p w:rsidR="008E6DDD" w:rsidRPr="00EA058A" w:rsidRDefault="008E6DDD" w:rsidP="008E6DDD">
      <w:pPr>
        <w:spacing w:after="120"/>
        <w:contextualSpacing/>
        <w:jc w:val="center"/>
        <w:rPr>
          <w:b/>
          <w:color w:val="000000"/>
          <w:szCs w:val="22"/>
        </w:rPr>
      </w:pPr>
      <w:r w:rsidRPr="00EA058A">
        <w:rPr>
          <w:b/>
          <w:color w:val="000000"/>
          <w:szCs w:val="22"/>
        </w:rPr>
        <w:t>COMMISSIONER MIGNON L. CLYBURN</w:t>
      </w:r>
    </w:p>
    <w:p w:rsidR="008E6DDD" w:rsidRPr="00EA058A" w:rsidRDefault="008E6DDD" w:rsidP="008E6DDD">
      <w:pPr>
        <w:spacing w:after="120"/>
        <w:jc w:val="center"/>
        <w:rPr>
          <w:b/>
          <w:color w:val="000000"/>
          <w:szCs w:val="22"/>
        </w:rPr>
      </w:pPr>
    </w:p>
    <w:p w:rsidR="008E6DDD" w:rsidRPr="00EA058A" w:rsidRDefault="008E6DDD" w:rsidP="008E6DDD">
      <w:pPr>
        <w:spacing w:after="120"/>
        <w:ind w:left="720" w:hanging="720"/>
        <w:rPr>
          <w:color w:val="000000"/>
          <w:szCs w:val="22"/>
        </w:rPr>
      </w:pPr>
      <w:r w:rsidRPr="00EA058A">
        <w:rPr>
          <w:color w:val="000000"/>
          <w:szCs w:val="22"/>
        </w:rPr>
        <w:t>Re:</w:t>
      </w:r>
      <w:r w:rsidRPr="00EA058A">
        <w:rPr>
          <w:i/>
          <w:color w:val="000000"/>
          <w:szCs w:val="22"/>
        </w:rPr>
        <w:tab/>
        <w:t xml:space="preserve">Improving Competitive Broadband Access to Multiple Tenant </w:t>
      </w:r>
      <w:r>
        <w:rPr>
          <w:i/>
          <w:color w:val="000000"/>
        </w:rPr>
        <w:t>Environments</w:t>
      </w:r>
      <w:r w:rsidRPr="00EA058A">
        <w:rPr>
          <w:color w:val="000000"/>
          <w:szCs w:val="22"/>
        </w:rPr>
        <w:t>, GN Docket No. 17-142</w:t>
      </w:r>
    </w:p>
    <w:p w:rsidR="008E6DDD" w:rsidRPr="00EA058A" w:rsidRDefault="008E6DDD" w:rsidP="008E6DDD">
      <w:pPr>
        <w:spacing w:after="120"/>
        <w:ind w:firstLine="720"/>
        <w:rPr>
          <w:color w:val="000000"/>
          <w:szCs w:val="22"/>
        </w:rPr>
      </w:pPr>
      <w:r w:rsidRPr="00EA058A">
        <w:rPr>
          <w:color w:val="000000"/>
          <w:szCs w:val="22"/>
        </w:rPr>
        <w:t xml:space="preserve">If the lack of fixed broadband is problem number one, the clear number two, is figuring out how to unleash greater opportunities for competition and choice. Today, a mere 24 percent of census blocks in the United States have competition, and in rural America, where the economics of building broadband make it a more difficult business case, choice is rare to non-existent. Only six percent of rural census blocks have fixed broadband competition but, what may surprise some, is that broadband competition is a problem in densely populated areas as well. </w:t>
      </w:r>
    </w:p>
    <w:p w:rsidR="008E6DDD" w:rsidRPr="00EA058A" w:rsidRDefault="008E6DDD" w:rsidP="008E6DDD">
      <w:pPr>
        <w:spacing w:after="120"/>
        <w:ind w:firstLine="720"/>
        <w:rPr>
          <w:color w:val="000000"/>
          <w:szCs w:val="22"/>
        </w:rPr>
      </w:pPr>
      <w:r w:rsidRPr="00EA058A">
        <w:rPr>
          <w:color w:val="000000"/>
          <w:szCs w:val="22"/>
        </w:rPr>
        <w:t xml:space="preserve">Millions of Americans have no competitive options, not due to a broadband provider’s unwillingness to challenge an incumbent, but because someone else is foreclosing such opportunities. Businesses and households in Multiple Tenant Environments, or MTEs, are sometimes precluded from choosing a broadband provider, because of arrangements between the incumbent and the property owner.  </w:t>
      </w:r>
    </w:p>
    <w:p w:rsidR="008E6DDD" w:rsidRPr="00EA058A" w:rsidRDefault="008E6DDD" w:rsidP="008E6DDD">
      <w:pPr>
        <w:spacing w:after="120"/>
        <w:ind w:firstLine="720"/>
        <w:rPr>
          <w:color w:val="000000"/>
          <w:szCs w:val="22"/>
        </w:rPr>
      </w:pPr>
      <w:r w:rsidRPr="00EA058A">
        <w:rPr>
          <w:color w:val="000000"/>
          <w:szCs w:val="22"/>
        </w:rPr>
        <w:t xml:space="preserve">This is why, I am pleased that we are adopting this Notice of Inquiry (NOI), which seeks comment on how we can enhance broadband deployment, and promote competition for businesses and residents in such communities. More specifically, we ask how state and local policies have impacted broadband deployment in MTEs, and hope to identify what contractual or non-contractual practices, impact broadband providers in these locations. Additionally, this NOI seeks comment, on what statutory provisions serve as the basis for providing broadband deployment and competition, within MTEs. </w:t>
      </w:r>
    </w:p>
    <w:p w:rsidR="008E6DDD" w:rsidRPr="00EA058A" w:rsidRDefault="008E6DDD" w:rsidP="008E6DDD">
      <w:pPr>
        <w:spacing w:after="120"/>
        <w:ind w:firstLine="720"/>
        <w:rPr>
          <w:color w:val="000000"/>
          <w:szCs w:val="22"/>
        </w:rPr>
      </w:pPr>
      <w:r w:rsidRPr="00EA058A">
        <w:rPr>
          <w:color w:val="000000"/>
          <w:szCs w:val="22"/>
        </w:rPr>
        <w:t xml:space="preserve">But this is not our first rodeo when it comes to addressing this issue. In fact, the Commission banned exclusive agreements that it concluded locked up this market. But there are reports, that these rules we enacted, are being circumvented. For example, even though a broadband provider may be prohibited from entering into an exclusive agreement, that may not stop an MTE from choosing to simply reject competing services, despite strong interest from their residents. Additionally, some provide network operators’ marketing materials in their new resident welcome packets, which encourages those residents to purchase services from those specific companies. Some companies even offer property owners a revenue sharing deal, which may actually incent anticompetitive practices. We ask if these practices are predatory, and if it is determined that they are, they should end. </w:t>
      </w:r>
    </w:p>
    <w:p w:rsidR="008E6DDD" w:rsidRPr="00EA058A" w:rsidRDefault="008E6DDD" w:rsidP="008E6DDD">
      <w:pPr>
        <w:spacing w:after="120"/>
        <w:ind w:firstLine="720"/>
        <w:rPr>
          <w:color w:val="000000"/>
          <w:szCs w:val="22"/>
        </w:rPr>
      </w:pPr>
      <w:r w:rsidRPr="00EA058A">
        <w:rPr>
          <w:color w:val="000000"/>
          <w:szCs w:val="22"/>
        </w:rPr>
        <w:t xml:space="preserve">This NOI represents an important first step, to ensure that barriers to competition are torn down. Many MTE occupants are unaware of the deals between their building owners and these companies, but it is important for consumers and potential competitors, to have the power to compete and choose the provider, that would serve them best. Competition most often than not, brings lower prices and greater innovation, so it is imperative that we do all we can, to promote these ideals. </w:t>
      </w:r>
    </w:p>
    <w:p w:rsidR="008E6DDD" w:rsidRPr="00EA058A" w:rsidRDefault="008E6DDD" w:rsidP="008E6DDD">
      <w:pPr>
        <w:spacing w:after="120"/>
        <w:ind w:firstLine="720"/>
        <w:rPr>
          <w:szCs w:val="22"/>
        </w:rPr>
      </w:pPr>
      <w:r w:rsidRPr="00EA058A">
        <w:rPr>
          <w:color w:val="000000"/>
          <w:szCs w:val="22"/>
        </w:rPr>
        <w:t xml:space="preserve">My thanks go to the Wireline Competition Bureau, for your efforts, to facilitate greater choice and enhance broadband deployment. </w:t>
      </w:r>
      <w:r w:rsidRPr="00EA058A">
        <w:rPr>
          <w:szCs w:val="22"/>
        </w:rPr>
        <w:t xml:space="preserve">And special congratulations to Kris Monteith on her first meeting as permanent Bureau Chief. </w:t>
      </w:r>
    </w:p>
    <w:p w:rsidR="00AB1813" w:rsidRPr="00F82B4A" w:rsidRDefault="00AB1813" w:rsidP="00AB1813">
      <w:pPr>
        <w:spacing w:after="120"/>
        <w:ind w:firstLine="720"/>
      </w:pPr>
      <w:r>
        <w:rPr>
          <w:sz w:val="24"/>
          <w:szCs w:val="24"/>
        </w:rPr>
        <w:t xml:space="preserve"> </w:t>
      </w:r>
    </w:p>
    <w:p w:rsidR="00AB1813" w:rsidRDefault="00AB1813" w:rsidP="00AB1813">
      <w:pPr>
        <w:ind w:firstLine="720"/>
        <w:rPr>
          <w:sz w:val="24"/>
          <w:szCs w:val="24"/>
        </w:rPr>
        <w:sectPr w:rsidR="00AB1813" w:rsidSect="009175E3">
          <w:headerReference w:type="even" r:id="rId22"/>
          <w:headerReference w:type="default" r:id="rId23"/>
          <w:footerReference w:type="even" r:id="rId24"/>
          <w:footerReference w:type="default" r:id="rId25"/>
          <w:headerReference w:type="first" r:id="rId26"/>
          <w:footerReference w:type="first" r:id="rId27"/>
          <w:endnotePr>
            <w:numFmt w:val="decimal"/>
          </w:endnotePr>
          <w:pgSz w:w="12240" w:h="15840"/>
          <w:pgMar w:top="1440" w:right="1440" w:bottom="720" w:left="1440" w:header="720" w:footer="720" w:gutter="0"/>
          <w:cols w:space="720"/>
          <w:noEndnote/>
          <w:titlePg/>
        </w:sectPr>
      </w:pPr>
      <w:r>
        <w:rPr>
          <w:sz w:val="24"/>
          <w:szCs w:val="24"/>
        </w:rPr>
        <w:t xml:space="preserve">. </w:t>
      </w:r>
    </w:p>
    <w:p w:rsidR="00AB1813" w:rsidRPr="004B499C" w:rsidRDefault="00AB1813" w:rsidP="00AB1813">
      <w:pPr>
        <w:spacing w:after="240"/>
        <w:jc w:val="center"/>
        <w:rPr>
          <w:b/>
        </w:rPr>
      </w:pPr>
      <w:r w:rsidRPr="004B499C">
        <w:rPr>
          <w:b/>
        </w:rPr>
        <w:t>STATEMENT OF</w:t>
      </w:r>
      <w:r>
        <w:rPr>
          <w:b/>
        </w:rPr>
        <w:t xml:space="preserve"> </w:t>
      </w:r>
      <w:r>
        <w:rPr>
          <w:b/>
        </w:rPr>
        <w:br/>
      </w:r>
      <w:r w:rsidRPr="004B499C">
        <w:rPr>
          <w:b/>
        </w:rPr>
        <w:t>COMMISSIONER MICHAEL O’RIELLY</w:t>
      </w:r>
    </w:p>
    <w:p w:rsidR="00AB1813" w:rsidRDefault="00AB1813" w:rsidP="00AB1813">
      <w:pPr>
        <w:ind w:left="720" w:hanging="720"/>
        <w:rPr>
          <w:i/>
        </w:rPr>
      </w:pPr>
      <w:r w:rsidRPr="004B499C">
        <w:rPr>
          <w:i/>
        </w:rPr>
        <w:t>Re:</w:t>
      </w:r>
      <w:r w:rsidRPr="004B499C">
        <w:rPr>
          <w:i/>
        </w:rPr>
        <w:tab/>
        <w:t>Improving Competitive Broadband Access to Multiple Tenant Environments, GN Docket No. 17-</w:t>
      </w:r>
      <w:r>
        <w:rPr>
          <w:i/>
        </w:rPr>
        <w:t>142</w:t>
      </w:r>
    </w:p>
    <w:p w:rsidR="00AB1813" w:rsidRPr="004B499C" w:rsidRDefault="00AB1813" w:rsidP="00AB1813">
      <w:pPr>
        <w:ind w:left="720" w:hanging="720"/>
        <w:rPr>
          <w:i/>
        </w:rPr>
      </w:pPr>
    </w:p>
    <w:p w:rsidR="00AB1813" w:rsidRDefault="00AB1813" w:rsidP="00AB1813">
      <w:pPr>
        <w:spacing w:after="120"/>
      </w:pPr>
      <w:r w:rsidRPr="004B499C">
        <w:tab/>
        <w:t xml:space="preserve">The Notice of Inquiry before us opens another line of </w:t>
      </w:r>
      <w:r>
        <w:t>questions</w:t>
      </w:r>
      <w:r w:rsidRPr="004B499C">
        <w:t xml:space="preserve"> </w:t>
      </w:r>
      <w:r>
        <w:t>about</w:t>
      </w:r>
      <w:r w:rsidRPr="004B499C">
        <w:t xml:space="preserve"> how to promote broadband deployment, innovation, and competition.  </w:t>
      </w:r>
      <w:r>
        <w:t xml:space="preserve">I applaud the Chairman for his work on the matter.  </w:t>
      </w:r>
      <w:r w:rsidRPr="004B499C">
        <w:t>While I support having these discussions</w:t>
      </w:r>
      <w:r>
        <w:t xml:space="preserve"> and I am willing to initiate this proceeding</w:t>
      </w:r>
      <w:r w:rsidRPr="004B499C">
        <w:t xml:space="preserve">, I do want to be clear that I </w:t>
      </w:r>
      <w:r>
        <w:t xml:space="preserve">do wonder about </w:t>
      </w:r>
      <w:r w:rsidRPr="004B499C">
        <w:t xml:space="preserve">some of the ideas contained in this particular Notice.  </w:t>
      </w:r>
    </w:p>
    <w:p w:rsidR="00AB1813" w:rsidRDefault="00AB1813" w:rsidP="00AB1813">
      <w:pPr>
        <w:spacing w:after="120"/>
        <w:ind w:firstLine="720"/>
      </w:pPr>
      <w:r>
        <w:t>First</w:t>
      </w:r>
      <w:r w:rsidRPr="004B499C">
        <w:t xml:space="preserve">, I do not believe that the Commission has authority to regulate marketing practices, such as web advertisements and the placement of brochures in the building or in welcome packs for new residents.  </w:t>
      </w:r>
      <w:r>
        <w:t>Second</w:t>
      </w:r>
      <w:r w:rsidRPr="004B499C">
        <w:t xml:space="preserve">, some of the concerns raised in the item, including about unfair or deceptive acts and practices </w:t>
      </w:r>
      <w:r>
        <w:t>may</w:t>
      </w:r>
      <w:r w:rsidRPr="004B499C">
        <w:t xml:space="preserve"> be better addressed by the FTC.  Finally, if the Commission ultimately adopts its recent proposal to classify broadband as an information service, much of this discussion would </w:t>
      </w:r>
      <w:r>
        <w:t xml:space="preserve">seem to </w:t>
      </w:r>
      <w:r w:rsidRPr="004B499C">
        <w:t xml:space="preserve">be moot.  My </w:t>
      </w:r>
      <w:r>
        <w:t xml:space="preserve">previous </w:t>
      </w:r>
      <w:r w:rsidRPr="004B499C">
        <w:t xml:space="preserve">views on section 706 as legal authority are well known and the idea of applying Title II to an information service solely because the facilities might also carry a legacy voice service would be </w:t>
      </w:r>
      <w:r>
        <w:t xml:space="preserve">a deeply questionable step </w:t>
      </w:r>
      <w:r w:rsidRPr="004B499C">
        <w:t xml:space="preserve">that could discourage the deployment of broadband, contrary to the goals of the item.  </w:t>
      </w:r>
    </w:p>
    <w:p w:rsidR="00AB1813" w:rsidRPr="004B499C" w:rsidRDefault="00AB1813" w:rsidP="00AB1813">
      <w:pPr>
        <w:spacing w:after="120"/>
        <w:ind w:firstLine="720"/>
      </w:pPr>
      <w:r>
        <w:t>I look forward to carefully reviewing the record in this proceeding with an eye towards ensuring that any resulting proposals are grounded in the statute and sound public policy</w:t>
      </w:r>
      <w:r w:rsidRPr="004B499C">
        <w:t>.</w:t>
      </w:r>
    </w:p>
    <w:p w:rsidR="00AB1813" w:rsidRPr="00851AF0" w:rsidRDefault="00AB1813" w:rsidP="00AB1813"/>
    <w:p w:rsidR="002C00E8" w:rsidRPr="009E37D5" w:rsidRDefault="002C00E8" w:rsidP="00AB1813">
      <w:pPr>
        <w:ind w:firstLine="720"/>
      </w:pPr>
    </w:p>
    <w:sectPr w:rsidR="002C00E8" w:rsidRPr="009E37D5" w:rsidSect="009175E3">
      <w:headerReference w:type="even" r:id="rId28"/>
      <w:headerReference w:type="default" r:id="rId29"/>
      <w:footerReference w:type="even" r:id="rId30"/>
      <w:footerReference w:type="default" r:id="rId31"/>
      <w:headerReference w:type="first" r:id="rId32"/>
      <w:footerReference w:type="first" r:id="rId33"/>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EB" w:rsidRDefault="00520BEB">
      <w:pPr>
        <w:spacing w:line="20" w:lineRule="exact"/>
      </w:pPr>
    </w:p>
  </w:endnote>
  <w:endnote w:type="continuationSeparator" w:id="0">
    <w:p w:rsidR="00520BEB" w:rsidRDefault="00520BEB">
      <w:r>
        <w:t xml:space="preserve"> </w:t>
      </w:r>
    </w:p>
  </w:endnote>
  <w:endnote w:type="continuationNotice" w:id="1">
    <w:p w:rsidR="00520BEB" w:rsidRDefault="00520B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E3" w:rsidRDefault="009175E3">
    <w:pPr>
      <w:pStyle w:val="Footer"/>
      <w:jc w:val="center"/>
    </w:pPr>
    <w:r>
      <w:fldChar w:fldCharType="begin"/>
    </w:r>
    <w:r>
      <w:instrText xml:space="preserve"> PAGE   \* MERGEFORMAT </w:instrText>
    </w:r>
    <w:r>
      <w:fldChar w:fldCharType="separate"/>
    </w:r>
    <w:r w:rsidR="00CD033B">
      <w:rPr>
        <w:noProof/>
      </w:rPr>
      <w:t>14</w:t>
    </w:r>
    <w:r>
      <w:rPr>
        <w:noProof/>
      </w:rPr>
      <w:fldChar w:fldCharType="end"/>
    </w:r>
  </w:p>
  <w:p w:rsidR="00D25FB5" w:rsidRDefault="00D25FB5">
    <w:pPr>
      <w:pStyle w:val="Footer"/>
      <w:tabs>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344D3">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E3" w:rsidRDefault="009175E3">
    <w:pPr>
      <w:pStyle w:val="Footer"/>
      <w:jc w:val="center"/>
    </w:pPr>
    <w:r>
      <w:fldChar w:fldCharType="begin"/>
    </w:r>
    <w:r>
      <w:instrText xml:space="preserve"> PAGE   \* MERGEFORMAT </w:instrText>
    </w:r>
    <w:r>
      <w:fldChar w:fldCharType="separate"/>
    </w:r>
    <w:r w:rsidR="00CD033B">
      <w:rPr>
        <w:noProof/>
      </w:rPr>
      <w:t>12</w:t>
    </w:r>
    <w:r>
      <w:rPr>
        <w:noProof/>
      </w:rPr>
      <w:fldChar w:fldCharType="end"/>
    </w:r>
  </w:p>
  <w:p w:rsidR="00D25FB5" w:rsidRDefault="00D25FB5">
    <w:pPr>
      <w:pStyle w:val="Footer"/>
      <w:tabs>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B1813">
      <w:rPr>
        <w:noProof/>
      </w:rPr>
      <w:t>2</w:t>
    </w:r>
    <w:r>
      <w:fldChar w:fldCharType="end"/>
    </w:r>
  </w:p>
  <w:p w:rsidR="00D25FB5" w:rsidRDefault="00D25FB5">
    <w:pPr>
      <w:suppressAutoHyphens/>
      <w:spacing w:line="227"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E3" w:rsidRDefault="009175E3">
    <w:pPr>
      <w:pStyle w:val="Footer"/>
      <w:jc w:val="center"/>
    </w:pPr>
    <w:r>
      <w:fldChar w:fldCharType="begin"/>
    </w:r>
    <w:r>
      <w:instrText xml:space="preserve"> PAGE   \* MERGEFORMAT </w:instrText>
    </w:r>
    <w:r>
      <w:fldChar w:fldCharType="separate"/>
    </w:r>
    <w:r w:rsidR="00CD033B">
      <w:rPr>
        <w:noProof/>
      </w:rPr>
      <w:t>13</w:t>
    </w:r>
    <w:r>
      <w:rPr>
        <w:noProof/>
      </w:rPr>
      <w:fldChar w:fldCharType="end"/>
    </w:r>
  </w:p>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EB" w:rsidRDefault="00520BEB">
      <w:r>
        <w:separator/>
      </w:r>
    </w:p>
  </w:footnote>
  <w:footnote w:type="continuationSeparator" w:id="0">
    <w:p w:rsidR="00520BEB" w:rsidRDefault="00520BEB" w:rsidP="00C721AC">
      <w:pPr>
        <w:spacing w:before="120"/>
        <w:rPr>
          <w:sz w:val="20"/>
        </w:rPr>
      </w:pPr>
      <w:r>
        <w:rPr>
          <w:sz w:val="20"/>
        </w:rPr>
        <w:t xml:space="preserve">(Continued from previous page)  </w:t>
      </w:r>
      <w:r>
        <w:rPr>
          <w:sz w:val="20"/>
        </w:rPr>
        <w:separator/>
      </w:r>
    </w:p>
  </w:footnote>
  <w:footnote w:type="continuationNotice" w:id="1">
    <w:p w:rsidR="00520BEB" w:rsidRDefault="00520BEB" w:rsidP="00C721AC">
      <w:pPr>
        <w:jc w:val="right"/>
        <w:rPr>
          <w:sz w:val="20"/>
        </w:rPr>
      </w:pPr>
      <w:r>
        <w:rPr>
          <w:sz w:val="20"/>
        </w:rPr>
        <w:t>(continued….)</w:t>
      </w:r>
    </w:p>
  </w:footnote>
  <w:footnote w:id="2">
    <w:p w:rsidR="009E37D5" w:rsidRPr="008F3C58" w:rsidRDefault="009E37D5" w:rsidP="009E37D5">
      <w:pPr>
        <w:pStyle w:val="FootnoteText"/>
      </w:pPr>
      <w:r>
        <w:rPr>
          <w:rStyle w:val="FootnoteReference"/>
        </w:rPr>
        <w:footnoteRef/>
      </w:r>
      <w:r>
        <w:t xml:space="preserve"> </w:t>
      </w:r>
      <w:r>
        <w:rPr>
          <w:i/>
        </w:rPr>
        <w:t>See Accelerating Wireline Broadband Deployment by Removing Barriers to Infrastructure Investment</w:t>
      </w:r>
      <w:r>
        <w:t>, WC Docket No. 17-84, Notice of Proposed Rulemaking, Notice of Inquiry, and Request for Comment, FCC 17-37, at 2, para. 1 (Apr. 21, 2017) (</w:t>
      </w:r>
      <w:r>
        <w:rPr>
          <w:i/>
        </w:rPr>
        <w:t>2017 Wireline Infrastructure Notice</w:t>
      </w:r>
      <w:r>
        <w:t>).</w:t>
      </w:r>
    </w:p>
  </w:footnote>
  <w:footnote w:id="3">
    <w:p w:rsidR="009E37D5" w:rsidRPr="00595FB6" w:rsidRDefault="009E37D5" w:rsidP="009E37D5">
      <w:pPr>
        <w:pStyle w:val="FootnoteText"/>
      </w:pPr>
      <w:r>
        <w:rPr>
          <w:rStyle w:val="FootnoteReference"/>
        </w:rPr>
        <w:footnoteRef/>
      </w:r>
      <w:r>
        <w:t xml:space="preserve"> </w:t>
      </w:r>
      <w:r>
        <w:rPr>
          <w:i/>
        </w:rPr>
        <w:t>See, e.g.</w:t>
      </w:r>
      <w:r>
        <w:t>,</w:t>
      </w:r>
      <w:r>
        <w:rPr>
          <w:i/>
        </w:rPr>
        <w:t xml:space="preserve"> id.</w:t>
      </w:r>
      <w:r>
        <w:t xml:space="preserve">; </w:t>
      </w:r>
      <w:r>
        <w:rPr>
          <w:i/>
        </w:rPr>
        <w:t>Accelerating Wireless Broadband Deployment by Removing Barriers to Infrastructure Investment</w:t>
      </w:r>
      <w:r>
        <w:t>, WT Docket No. 17-79, Notice of Proposed Rulemaking and Notice of Inquiry, FCC 17-38 (Apr. 21, 2017).</w:t>
      </w:r>
    </w:p>
  </w:footnote>
  <w:footnote w:id="4">
    <w:p w:rsidR="009E37D5" w:rsidRDefault="009E37D5" w:rsidP="009E37D5">
      <w:pPr>
        <w:pStyle w:val="FootnoteText"/>
      </w:pPr>
      <w:r>
        <w:rPr>
          <w:rStyle w:val="FootnoteReference"/>
        </w:rPr>
        <w:footnoteRef/>
      </w:r>
      <w:r>
        <w:t xml:space="preserve"> We note that when referring to residential MTEs, the Commission’s rules and past Commission actions have used the term multiple dwelling unit, or MDU.  </w:t>
      </w:r>
      <w:r>
        <w:rPr>
          <w:i/>
        </w:rPr>
        <w:t xml:space="preserve">See, e.g., </w:t>
      </w:r>
      <w:r>
        <w:t xml:space="preserve">47 CFR § 76.800(a) (defining an MDU as a “multiple dwelling unit building (e.g., an apartment building, condominium building or cooperative)”); </w:t>
      </w:r>
      <w:r>
        <w:rPr>
          <w:i/>
        </w:rPr>
        <w:t>Exclusive Service Contracts for Provision of Video Services in Multiple Dwelling Units and Other Real Estate Developments</w:t>
      </w:r>
      <w:r>
        <w:t>, MB Docket No. 07-51, Report and Order and Further Notice of Proposed Rulemaking, 22 FCC Rcd 20235, 20235, para. 1 (2007)</w:t>
      </w:r>
      <w:r w:rsidRPr="00215BE3">
        <w:t xml:space="preserve"> </w:t>
      </w:r>
      <w:r>
        <w:t>(</w:t>
      </w:r>
      <w:r>
        <w:rPr>
          <w:i/>
        </w:rPr>
        <w:t>2007 Exclusive Service Contracts Order</w:t>
      </w:r>
      <w:r>
        <w:t xml:space="preserve">), </w:t>
      </w:r>
      <w:r>
        <w:rPr>
          <w:i/>
          <w:iCs/>
        </w:rPr>
        <w:t>aff’</w:t>
      </w:r>
      <w:r w:rsidRPr="000F2E06">
        <w:rPr>
          <w:i/>
          <w:iCs/>
        </w:rPr>
        <w:t>d,</w:t>
      </w:r>
      <w:r>
        <w:rPr>
          <w:i/>
        </w:rPr>
        <w:t xml:space="preserve"> </w:t>
      </w:r>
      <w:r w:rsidRPr="00A802A0">
        <w:rPr>
          <w:i/>
        </w:rPr>
        <w:t>National Cable &amp; Telecommun. Ass’n v. FCC</w:t>
      </w:r>
      <w:r w:rsidRPr="00A802A0">
        <w:t>,</w:t>
      </w:r>
      <w:r>
        <w:t xml:space="preserve"> </w:t>
      </w:r>
      <w:r w:rsidRPr="00A802A0">
        <w:t>567 F.3d 659</w:t>
      </w:r>
      <w:r w:rsidRPr="00675CB9">
        <w:t xml:space="preserve"> (D.C. Cir. 2009)</w:t>
      </w:r>
      <w:r>
        <w:t xml:space="preserve"> (</w:t>
      </w:r>
      <w:r>
        <w:rPr>
          <w:i/>
        </w:rPr>
        <w:t>NCTA</w:t>
      </w:r>
      <w:r>
        <w:t>).  We also note that the Commission has interpreted the term MDU to include “</w:t>
      </w:r>
      <w:r w:rsidRPr="00D8096E">
        <w:t>gated communities, mobile home parks, garden apartments, and other centrally managed residential real estate developments</w:t>
      </w:r>
      <w:r>
        <w:t xml:space="preserve">,” and the Fourth Circuit Court of Appeals applied the Commission’s MDU exclusivity prohibition to a homeowners association.  </w:t>
      </w:r>
      <w:r>
        <w:rPr>
          <w:i/>
        </w:rPr>
        <w:t>2007 Exclusive Service Contracts Order</w:t>
      </w:r>
      <w:r>
        <w:t xml:space="preserve">, 22 FCC Rcd at 20238, para. 7; </w:t>
      </w:r>
      <w:r>
        <w:rPr>
          <w:i/>
        </w:rPr>
        <w:t xml:space="preserve">see </w:t>
      </w:r>
      <w:r w:rsidRPr="00640769">
        <w:rPr>
          <w:i/>
        </w:rPr>
        <w:t>Lansdowne on the Potomac Homeowners Ass'n v. OpenBand at Lansdowne</w:t>
      </w:r>
      <w:r w:rsidRPr="007B5C4E">
        <w:rPr>
          <w:i/>
        </w:rPr>
        <w:t>, LLC</w:t>
      </w:r>
      <w:r w:rsidRPr="00640769">
        <w:t xml:space="preserve">, </w:t>
      </w:r>
      <w:r w:rsidRPr="00640769">
        <w:rPr>
          <w:color w:val="212121"/>
        </w:rPr>
        <w:t>713 F.3d 187 (4</w:t>
      </w:r>
      <w:r>
        <w:rPr>
          <w:color w:val="212121"/>
        </w:rPr>
        <w:t>th</w:t>
      </w:r>
      <w:r w:rsidRPr="00640769">
        <w:rPr>
          <w:color w:val="212121"/>
        </w:rPr>
        <w:t xml:space="preserve"> Cir. 2013)</w:t>
      </w:r>
      <w:r>
        <w:rPr>
          <w:color w:val="212121"/>
        </w:rPr>
        <w:t xml:space="preserve"> (</w:t>
      </w:r>
      <w:r>
        <w:rPr>
          <w:i/>
          <w:color w:val="212121"/>
        </w:rPr>
        <w:t>Lansdowne on the Potomac</w:t>
      </w:r>
      <w:r>
        <w:rPr>
          <w:color w:val="212121"/>
        </w:rPr>
        <w:t>)</w:t>
      </w:r>
      <w:r w:rsidRPr="00640769">
        <w:t>.</w:t>
      </w:r>
      <w:r>
        <w:t xml:space="preserve">  The Commission’s rules prohibiting carriers from entering into exclusive agreements to provide telecommunications services to customers in MTEs employ the term “multiunit premises” to refer to commercial or residential premises occupied by multiple entities.  </w:t>
      </w:r>
      <w:r>
        <w:rPr>
          <w:i/>
        </w:rPr>
        <w:t xml:space="preserve">See </w:t>
      </w:r>
      <w:r>
        <w:t>47 CFR § 64.2501 (defining a “multiunit premises” as “any contiguous area under common ownership or control that contains two or more distinct units”).  For purposes of this item, the term MTE refers to all of these entities collectively.</w:t>
      </w:r>
    </w:p>
  </w:footnote>
  <w:footnote w:id="5">
    <w:p w:rsidR="009E37D5" w:rsidRDefault="009E37D5" w:rsidP="009E37D5">
      <w:pPr>
        <w:pStyle w:val="FootnoteText"/>
      </w:pPr>
      <w:r>
        <w:rPr>
          <w:rStyle w:val="FootnoteReference"/>
        </w:rPr>
        <w:footnoteRef/>
      </w:r>
      <w:r>
        <w:t xml:space="preserve"> </w:t>
      </w:r>
      <w:r>
        <w:rPr>
          <w:i/>
        </w:rPr>
        <w:t>See</w:t>
      </w:r>
      <w:r>
        <w:t xml:space="preserve"> Letter from Angie Kronenberg, Chief Advocate &amp; General Counsel, INCOMPAS, to Marlene H. Dortch, Secretary, FCC at 4 (Feb. 13, 2017), </w:t>
      </w:r>
      <w:hyperlink r:id="rId1" w:history="1">
        <w:r w:rsidRPr="00344D6D">
          <w:rPr>
            <w:rStyle w:val="Hyperlink"/>
          </w:rPr>
          <w:t>https://ecfsapi.fcc.gov/file/10213980822348/Ex%20Parte%20Letter%20for%20Chairman%20Pai%20Meeting%20on%20Feb.%209%2C%202017--Broadband%20Deployment%20Agenda.pdf</w:t>
        </w:r>
      </w:hyperlink>
      <w:r>
        <w:t xml:space="preserve"> (INCOMPAS Feb. 13, 2017 </w:t>
      </w:r>
      <w:r>
        <w:rPr>
          <w:i/>
        </w:rPr>
        <w:t xml:space="preserve">Ex Parte </w:t>
      </w:r>
      <w:r>
        <w:t>Letter); ITTA – The Voice of Mid-Size</w:t>
      </w:r>
      <w:r w:rsidRPr="00F66C3B">
        <w:t xml:space="preserve"> Communications Companies</w:t>
      </w:r>
      <w:r>
        <w:t xml:space="preserve"> (ITTA) </w:t>
      </w:r>
      <w:r w:rsidRPr="00F66C3B">
        <w:t xml:space="preserve">Comments, MB Docket </w:t>
      </w:r>
      <w:r>
        <w:t xml:space="preserve">No. </w:t>
      </w:r>
      <w:r w:rsidRPr="00F66C3B">
        <w:t>16-247, at 9</w:t>
      </w:r>
      <w:r>
        <w:t xml:space="preserve"> </w:t>
      </w:r>
      <w:r w:rsidRPr="00F66C3B">
        <w:t>(Sept. 21, 2016)</w:t>
      </w:r>
      <w:r>
        <w:t xml:space="preserve">, </w:t>
      </w:r>
      <w:hyperlink r:id="rId2" w:history="1">
        <w:r w:rsidRPr="00344D6D">
          <w:rPr>
            <w:rStyle w:val="Hyperlink"/>
          </w:rPr>
          <w:t>https://ecfsapi.fcc.gov/file/1092186801069/ITTA%20Comments%20on%20Video%20Competition%20Report%20PN%20FINAL%20092116.pdf</w:t>
        </w:r>
      </w:hyperlink>
      <w:r>
        <w:t xml:space="preserve"> (ITTA Comments).</w:t>
      </w:r>
    </w:p>
  </w:footnote>
  <w:footnote w:id="6">
    <w:p w:rsidR="009E37D5" w:rsidRDefault="009E37D5" w:rsidP="009E37D5">
      <w:pPr>
        <w:pStyle w:val="FootnoteText"/>
      </w:pPr>
      <w:r>
        <w:rPr>
          <w:rStyle w:val="FootnoteReference"/>
        </w:rPr>
        <w:footnoteRef/>
      </w:r>
      <w:r>
        <w:t xml:space="preserve"> </w:t>
      </w:r>
      <w:r>
        <w:rPr>
          <w:i/>
        </w:rPr>
        <w:t>S</w:t>
      </w:r>
      <w:r w:rsidRPr="00381095">
        <w:rPr>
          <w:i/>
        </w:rPr>
        <w:t>ee</w:t>
      </w:r>
      <w:r>
        <w:t xml:space="preserve"> </w:t>
      </w:r>
      <w:r w:rsidRPr="00E41C6B">
        <w:t>Petition of the Multifamily Broadband Council</w:t>
      </w:r>
      <w:r>
        <w:t xml:space="preserve"> (MBC)</w:t>
      </w:r>
      <w:r w:rsidRPr="00E41C6B">
        <w:t xml:space="preserve"> Seeking Preemption of Article 52 of the San Francisco Police Code</w:t>
      </w:r>
      <w:r>
        <w:t xml:space="preserve">, MB Docket No. 17-91, at ii-iii, 1-2 (filed Feb. 24, 2017), </w:t>
      </w:r>
      <w:hyperlink r:id="rId3" w:history="1">
        <w:r w:rsidRPr="00344D6D">
          <w:rPr>
            <w:rStyle w:val="Hyperlink"/>
          </w:rPr>
          <w:t>https://ecfsapi.fcc.gov/file/10404438110416/MBC%20Preemption%20Petition%20(2-24-17)-c1%20(002).pdf</w:t>
        </w:r>
      </w:hyperlink>
      <w:r>
        <w:t xml:space="preserve"> (MBC Preemption Petition); </w:t>
      </w:r>
      <w:r>
        <w:rPr>
          <w:i/>
        </w:rPr>
        <w:t>see also Media Bureau Seeks Comment on Petition for Preemption of Article 52 of the San Francisco Police Code Filed by the Multifamily Broadband Council</w:t>
      </w:r>
      <w:r>
        <w:t xml:space="preserve">, MB Docket No. 17-91, Public Notice, DA 17-318 (rel. Apr. 4, 2017), </w:t>
      </w:r>
      <w:hyperlink r:id="rId4" w:history="1">
        <w:r w:rsidRPr="00F14C1C">
          <w:rPr>
            <w:rStyle w:val="Hyperlink"/>
          </w:rPr>
          <w:t>https://apps.fcc.gov/edocs_public/attachmatch/DA-17-318A1.pdf</w:t>
        </w:r>
      </w:hyperlink>
      <w:r>
        <w:t>.</w:t>
      </w:r>
    </w:p>
  </w:footnote>
  <w:footnote w:id="7">
    <w:p w:rsidR="009E37D5" w:rsidRPr="005C7DD5" w:rsidRDefault="009E37D5" w:rsidP="009E37D5">
      <w:pPr>
        <w:pStyle w:val="FootnoteText"/>
        <w:rPr>
          <w:i/>
        </w:rPr>
      </w:pPr>
      <w:r>
        <w:rPr>
          <w:rStyle w:val="FootnoteReference"/>
        </w:rPr>
        <w:footnoteRef/>
      </w:r>
      <w:r>
        <w:t xml:space="preserve"> </w:t>
      </w:r>
      <w:r>
        <w:rPr>
          <w:i/>
        </w:rPr>
        <w:t>See Promotion of Competitive Networks in Local Telecommunications Markets et al.</w:t>
      </w:r>
      <w:r>
        <w:t>, WT Docket No. 99-217, CC Docket Nos. 96-98, 88-57, First Report and Order and Further Notice of Proposed Rulemaking in WT Docket No. 99-217, Fifth Report and Order and Memorandum Opinion and Order in CC Docket No. 96-98, and Fourth Report and Order and Memorandum Opinion and Order in CC Docket No. 88-57, 15 FCC Rcd 22983, 22985, para. 1 (2000) (</w:t>
      </w:r>
      <w:r>
        <w:rPr>
          <w:i/>
        </w:rPr>
        <w:t>2000 Competitive Networks Order</w:t>
      </w:r>
      <w:r>
        <w:t xml:space="preserve">); </w:t>
      </w:r>
      <w:r>
        <w:rPr>
          <w:i/>
        </w:rPr>
        <w:t>2007 Exclusive Service Contracts Order</w:t>
      </w:r>
      <w:r>
        <w:t xml:space="preserve">, 22 FCC Rcd at 20236, para. 1; </w:t>
      </w:r>
      <w:r>
        <w:rPr>
          <w:i/>
        </w:rPr>
        <w:t>Promotion of Competitive Networks in Local Telecommunications Markets</w:t>
      </w:r>
      <w:r>
        <w:t>, WT Docket No. 99-217, Report and Order, 23 FCC Rcd 5385, 5386, para. 5 (2008) (</w:t>
      </w:r>
      <w:r>
        <w:rPr>
          <w:i/>
        </w:rPr>
        <w:t>2008 Competitive Networks Order</w:t>
      </w:r>
      <w:r>
        <w:t>).</w:t>
      </w:r>
    </w:p>
  </w:footnote>
  <w:footnote w:id="8">
    <w:p w:rsidR="009E37D5" w:rsidRDefault="009E37D5" w:rsidP="009E37D5">
      <w:pPr>
        <w:pStyle w:val="FootnoteText"/>
      </w:pPr>
      <w:r>
        <w:rPr>
          <w:rStyle w:val="FootnoteReference"/>
        </w:rPr>
        <w:footnoteRef/>
      </w:r>
      <w:r>
        <w:t xml:space="preserve"> </w:t>
      </w:r>
      <w:r w:rsidRPr="00851944">
        <w:rPr>
          <w:i/>
        </w:rPr>
        <w:t>See</w:t>
      </w:r>
      <w:r>
        <w:t xml:space="preserve"> </w:t>
      </w:r>
      <w:r>
        <w:rPr>
          <w:i/>
        </w:rPr>
        <w:t>2000 Competitive Networks Order</w:t>
      </w:r>
      <w:r>
        <w:t>, 15 FCC Rcd at 22985, para. 1.</w:t>
      </w:r>
    </w:p>
  </w:footnote>
  <w:footnote w:id="9">
    <w:p w:rsidR="009E37D5" w:rsidRPr="00C36A46" w:rsidRDefault="009E37D5" w:rsidP="009E37D5">
      <w:pPr>
        <w:pStyle w:val="FootnoteText"/>
      </w:pPr>
      <w:r>
        <w:rPr>
          <w:rStyle w:val="FootnoteReference"/>
        </w:rPr>
        <w:footnoteRef/>
      </w:r>
      <w:r>
        <w:t xml:space="preserve"> </w:t>
      </w:r>
      <w:r>
        <w:rPr>
          <w:i/>
        </w:rPr>
        <w:t xml:space="preserve">See </w:t>
      </w:r>
      <w:r>
        <w:t>47 U.S.C. § 224.</w:t>
      </w:r>
    </w:p>
  </w:footnote>
  <w:footnote w:id="10">
    <w:p w:rsidR="009E37D5" w:rsidRPr="00682274" w:rsidRDefault="009E37D5" w:rsidP="009E37D5">
      <w:pPr>
        <w:pStyle w:val="FootnoteText"/>
        <w:rPr>
          <w:i/>
        </w:rPr>
      </w:pPr>
      <w:r>
        <w:rPr>
          <w:rStyle w:val="FootnoteReference"/>
        </w:rPr>
        <w:footnoteRef/>
      </w:r>
      <w:r>
        <w:t xml:space="preserve"> </w:t>
      </w:r>
      <w:r>
        <w:rPr>
          <w:i/>
        </w:rPr>
        <w:t>See 2000 Competitive Networks Order</w:t>
      </w:r>
      <w:r>
        <w:t xml:space="preserve">, 15 FCC Rcd at 22985, para. 1.  The Order also prohibited most restrictions on the ability of parties with a direct or indirect ownership or leasehold interest in property, including tenants in MTEs, to place antennas one meter or less in diameter used to receive or transmit any fixed wireless service in areas within their exclusive use or control.  </w:t>
      </w:r>
      <w:r>
        <w:rPr>
          <w:i/>
        </w:rPr>
        <w:t>See id.</w:t>
      </w:r>
    </w:p>
  </w:footnote>
  <w:footnote w:id="11">
    <w:p w:rsidR="009E37D5" w:rsidRPr="00D422D0" w:rsidRDefault="009E37D5" w:rsidP="009E37D5">
      <w:pPr>
        <w:pStyle w:val="FootnoteText"/>
      </w:pPr>
      <w:r>
        <w:rPr>
          <w:rStyle w:val="FootnoteReference"/>
        </w:rPr>
        <w:footnoteRef/>
      </w:r>
      <w:r>
        <w:t xml:space="preserve"> </w:t>
      </w:r>
      <w:r>
        <w:rPr>
          <w:i/>
        </w:rPr>
        <w:t>See 2007 Exclusive Service Contracts Order</w:t>
      </w:r>
      <w:r>
        <w:t xml:space="preserve">, 22 FCC Rcd at 20236, para. 1; </w:t>
      </w:r>
      <w:r>
        <w:rPr>
          <w:i/>
        </w:rPr>
        <w:t>see also 2008 Competitive Networks Order</w:t>
      </w:r>
      <w:r>
        <w:t xml:space="preserve">, 23 FCC Rcd at 5386, para. 5.  The </w:t>
      </w:r>
      <w:r>
        <w:rPr>
          <w:i/>
        </w:rPr>
        <w:t>2007 Exclusive Service Contracts Order</w:t>
      </w:r>
      <w:r>
        <w:t xml:space="preserve"> was subsequently affirmed on appeal, with the D.C. Circuit concluding “that the Commission acted well within the bounds of both Section 628 and general administrative law” in prohibiting exclusivity agreements between cable operators and owners of MDUs.  </w:t>
      </w:r>
      <w:r>
        <w:rPr>
          <w:i/>
        </w:rPr>
        <w:t>NCTA</w:t>
      </w:r>
      <w:r>
        <w:t>, 567 F.3d at 661.  Section 628 applies to entities affiliated with common carriers, such as DIRECTV, which is a subsidiary of AT&amp;</w:t>
      </w:r>
      <w:r w:rsidRPr="005A5E7D">
        <w:t xml:space="preserve">T.  </w:t>
      </w:r>
      <w:r w:rsidRPr="00675CB9">
        <w:rPr>
          <w:i/>
          <w:iCs/>
        </w:rPr>
        <w:t>See</w:t>
      </w:r>
      <w:r w:rsidRPr="00675CB9">
        <w:t xml:space="preserve"> 47 U.S.C. § 548(j)</w:t>
      </w:r>
      <w:r>
        <w:t>;</w:t>
      </w:r>
      <w:r w:rsidRPr="00675CB9">
        <w:t xml:space="preserve"> </w:t>
      </w:r>
      <w:r w:rsidRPr="00675CB9">
        <w:rPr>
          <w:i/>
          <w:iCs/>
        </w:rPr>
        <w:t>Exclusive Service Contracts for Provision of Video Services in Multiple Dwelling Units and Other Real Estate Developments</w:t>
      </w:r>
      <w:r w:rsidRPr="00675CB9">
        <w:t xml:space="preserve">, </w:t>
      </w:r>
      <w:r>
        <w:t xml:space="preserve">MB Docket No. 07-51, </w:t>
      </w:r>
      <w:r w:rsidRPr="00721061">
        <w:t>Second Report and Order</w:t>
      </w:r>
      <w:r>
        <w:t>,</w:t>
      </w:r>
      <w:r w:rsidRPr="00721061">
        <w:t xml:space="preserve"> </w:t>
      </w:r>
      <w:r w:rsidRPr="00675CB9">
        <w:t xml:space="preserve">25 FCC Rcd 2460, 2474-5, paras. 40-41 (2010) </w:t>
      </w:r>
      <w:r>
        <w:t>(</w:t>
      </w:r>
      <w:r w:rsidRPr="00091F80">
        <w:rPr>
          <w:i/>
        </w:rPr>
        <w:t>2010</w:t>
      </w:r>
      <w:r>
        <w:rPr>
          <w:i/>
        </w:rPr>
        <w:t xml:space="preserve"> Exclusive Service Contracts Order</w:t>
      </w:r>
      <w:r w:rsidRPr="00675CB9">
        <w:t>)</w:t>
      </w:r>
      <w:r w:rsidRPr="00721061">
        <w:t xml:space="preserve"> </w:t>
      </w:r>
      <w:r w:rsidRPr="00675CB9">
        <w:t xml:space="preserve">(holding that a </w:t>
      </w:r>
      <w:r>
        <w:t>“private cable operator”</w:t>
      </w:r>
      <w:r w:rsidRPr="00675CB9">
        <w:t xml:space="preserve"> affiliated with a common carrier is subject to the building exclusivity prohibition).</w:t>
      </w:r>
    </w:p>
  </w:footnote>
  <w:footnote w:id="12">
    <w:p w:rsidR="009E37D5" w:rsidRDefault="009E37D5" w:rsidP="009E37D5">
      <w:pPr>
        <w:pStyle w:val="FootnoteText"/>
      </w:pPr>
      <w:r>
        <w:rPr>
          <w:rStyle w:val="FootnoteReference"/>
        </w:rPr>
        <w:footnoteRef/>
      </w:r>
      <w:r>
        <w:t xml:space="preserve"> </w:t>
      </w:r>
      <w:r>
        <w:rPr>
          <w:i/>
        </w:rPr>
        <w:t>See 2008 Competitive Networks Order</w:t>
      </w:r>
      <w:r>
        <w:t>, 23 FCC Rcd at 5386-87, para. 5 (finding that, in an environment of increasingly competitive bundled service offerings, “the importance of regulatory parity is particularly compelling in our determination to remove this impediment to fair competition,” and that there was nothing in the record that supported denying residential users “the competitive benefits that commercial customers enjoy by virtue of the [</w:t>
      </w:r>
      <w:r>
        <w:rPr>
          <w:i/>
        </w:rPr>
        <w:t>2000 Competitive Network Order</w:t>
      </w:r>
      <w:r>
        <w:t>’s] prohibition” of exclusive contracts in the commercial context).</w:t>
      </w:r>
    </w:p>
  </w:footnote>
  <w:footnote w:id="13">
    <w:p w:rsidR="009E37D5" w:rsidRPr="00FB1A5B" w:rsidRDefault="009E37D5" w:rsidP="009E37D5">
      <w:pPr>
        <w:pStyle w:val="FootnoteText"/>
      </w:pPr>
      <w:r>
        <w:rPr>
          <w:rStyle w:val="FootnoteReference"/>
        </w:rPr>
        <w:footnoteRef/>
      </w:r>
      <w:r>
        <w:t xml:space="preserve"> </w:t>
      </w:r>
      <w:r>
        <w:rPr>
          <w:i/>
        </w:rPr>
        <w:t>See 2010 Exclusive Service Contracts Order</w:t>
      </w:r>
      <w:r>
        <w:t xml:space="preserve">, 25 FCC Rcd at 2461, para. 1.  </w:t>
      </w:r>
    </w:p>
  </w:footnote>
  <w:footnote w:id="14">
    <w:p w:rsidR="009E37D5" w:rsidRPr="00580F37" w:rsidRDefault="009E37D5" w:rsidP="009E37D5">
      <w:pPr>
        <w:pStyle w:val="FootnoteText"/>
      </w:pPr>
      <w:r>
        <w:rPr>
          <w:rStyle w:val="FootnoteReference"/>
        </w:rPr>
        <w:footnoteRef/>
      </w:r>
      <w:r>
        <w:t xml:space="preserve"> </w:t>
      </w:r>
      <w:r>
        <w:rPr>
          <w:i/>
        </w:rPr>
        <w:t>See 2010 Exclusive Service Contracts Order</w:t>
      </w:r>
      <w:r>
        <w:t>, 25 FCC Rcd at 2471, para. 30.</w:t>
      </w:r>
    </w:p>
  </w:footnote>
  <w:footnote w:id="15">
    <w:p w:rsidR="009E37D5" w:rsidRPr="00B139DD" w:rsidRDefault="009E37D5" w:rsidP="009E37D5">
      <w:pPr>
        <w:pStyle w:val="FootnoteText"/>
      </w:pPr>
      <w:r>
        <w:rPr>
          <w:rStyle w:val="FootnoteReference"/>
        </w:rPr>
        <w:footnoteRef/>
      </w:r>
      <w:r>
        <w:t xml:space="preserve"> </w:t>
      </w:r>
      <w:r>
        <w:rPr>
          <w:i/>
        </w:rPr>
        <w:t>See id</w:t>
      </w:r>
      <w:r>
        <w:t>.</w:t>
      </w:r>
    </w:p>
  </w:footnote>
  <w:footnote w:id="16">
    <w:p w:rsidR="009E37D5" w:rsidRDefault="009E37D5" w:rsidP="009E37D5">
      <w:pPr>
        <w:pStyle w:val="FootnoteText"/>
      </w:pPr>
      <w:r>
        <w:rPr>
          <w:rStyle w:val="FootnoteReference"/>
        </w:rPr>
        <w:footnoteRef/>
      </w:r>
      <w:r>
        <w:t xml:space="preserve"> </w:t>
      </w:r>
      <w:r>
        <w:rPr>
          <w:i/>
        </w:rPr>
        <w:t>2010 Exclusive Service Contracts Order</w:t>
      </w:r>
      <w:r>
        <w:t xml:space="preserve">, 25 FCC Rcd at 2461, para 3.  </w:t>
      </w:r>
    </w:p>
  </w:footnote>
  <w:footnote w:id="17">
    <w:p w:rsidR="009E37D5" w:rsidRDefault="009E37D5" w:rsidP="009E37D5">
      <w:pPr>
        <w:pStyle w:val="FootnoteText"/>
      </w:pPr>
      <w:r>
        <w:rPr>
          <w:rStyle w:val="FootnoteReference"/>
        </w:rPr>
        <w:footnoteRef/>
      </w:r>
      <w:r>
        <w:t xml:space="preserve"> </w:t>
      </w:r>
      <w:r>
        <w:rPr>
          <w:i/>
        </w:rPr>
        <w:t>See id.</w:t>
      </w:r>
      <w:r>
        <w:t xml:space="preserve"> at 2461, para. 2.</w:t>
      </w:r>
    </w:p>
  </w:footnote>
  <w:footnote w:id="18">
    <w:p w:rsidR="009E37D5" w:rsidRDefault="009E37D5" w:rsidP="009E37D5">
      <w:pPr>
        <w:pStyle w:val="FootnoteText"/>
      </w:pPr>
      <w:r>
        <w:rPr>
          <w:rStyle w:val="FootnoteReference"/>
        </w:rPr>
        <w:footnoteRef/>
      </w:r>
      <w:r>
        <w:t xml:space="preserve"> </w:t>
      </w:r>
      <w:r>
        <w:rPr>
          <w:i/>
        </w:rPr>
        <w:t>See id.</w:t>
      </w:r>
      <w:r>
        <w:t xml:space="preserve"> at 2462, para. 3.</w:t>
      </w:r>
    </w:p>
  </w:footnote>
  <w:footnote w:id="19">
    <w:p w:rsidR="009E37D5" w:rsidRDefault="009E37D5" w:rsidP="009E37D5">
      <w:pPr>
        <w:pStyle w:val="FootnoteText"/>
      </w:pPr>
      <w:r>
        <w:rPr>
          <w:rStyle w:val="FootnoteReference"/>
        </w:rPr>
        <w:footnoteRef/>
      </w:r>
      <w:r>
        <w:t xml:space="preserve"> </w:t>
      </w:r>
      <w:r>
        <w:rPr>
          <w:i/>
        </w:rPr>
        <w:t>See id.</w:t>
      </w:r>
      <w:r>
        <w:t xml:space="preserve"> at 2462, para. 4.</w:t>
      </w:r>
    </w:p>
  </w:footnote>
  <w:footnote w:id="20">
    <w:p w:rsidR="009E37D5" w:rsidRDefault="009E37D5" w:rsidP="009E37D5">
      <w:pPr>
        <w:pStyle w:val="FootnoteText"/>
      </w:pPr>
      <w:r>
        <w:rPr>
          <w:rStyle w:val="FootnoteReference"/>
        </w:rPr>
        <w:footnoteRef/>
      </w:r>
      <w:r>
        <w:t xml:space="preserve"> 47 U.S.C. §§ 201(b), 548(b), (j).</w:t>
      </w:r>
    </w:p>
  </w:footnote>
  <w:footnote w:id="21">
    <w:p w:rsidR="009E37D5" w:rsidRDefault="009E37D5" w:rsidP="009E37D5">
      <w:pPr>
        <w:pStyle w:val="FootnoteText"/>
      </w:pPr>
      <w:r>
        <w:rPr>
          <w:rStyle w:val="FootnoteReference"/>
        </w:rPr>
        <w:footnoteRef/>
      </w:r>
      <w:r>
        <w:t xml:space="preserve"> </w:t>
      </w:r>
      <w:r w:rsidRPr="0022360C">
        <w:t xml:space="preserve">47 </w:t>
      </w:r>
      <w:r>
        <w:t>U.S.C. § 201(b).</w:t>
      </w:r>
    </w:p>
  </w:footnote>
  <w:footnote w:id="22">
    <w:p w:rsidR="009E37D5" w:rsidRDefault="009E37D5" w:rsidP="009E37D5">
      <w:pPr>
        <w:pStyle w:val="FootnoteText"/>
      </w:pPr>
      <w:r>
        <w:rPr>
          <w:rStyle w:val="FootnoteReference"/>
        </w:rPr>
        <w:footnoteRef/>
      </w:r>
      <w:r>
        <w:t xml:space="preserve"> </w:t>
      </w:r>
      <w:r w:rsidRPr="00851944">
        <w:rPr>
          <w:i/>
        </w:rPr>
        <w:t>See</w:t>
      </w:r>
      <w:r>
        <w:t xml:space="preserve"> </w:t>
      </w:r>
      <w:r w:rsidRPr="00B32C7A">
        <w:rPr>
          <w:i/>
        </w:rPr>
        <w:t>2008 Competitive Networks Order</w:t>
      </w:r>
      <w:r>
        <w:t xml:space="preserve">, 23 FCC Rcd at 5391, paras. 14-15 (citing </w:t>
      </w:r>
      <w:r w:rsidRPr="0022360C">
        <w:t xml:space="preserve">47 </w:t>
      </w:r>
      <w:r>
        <w:t xml:space="preserve">U.S.C. § 201(b)); </w:t>
      </w:r>
      <w:r w:rsidRPr="00BD00E1">
        <w:rPr>
          <w:i/>
        </w:rPr>
        <w:t>see also</w:t>
      </w:r>
      <w:r>
        <w:t xml:space="preserve"> 47 U.S.C. § 254(b)(3) (detailing the Act’s overarching commitment to universal service and ensuring consistently competitive and diverse telecommunications service regardless of demographics);</w:t>
      </w:r>
      <w:r w:rsidRPr="00BD00E1">
        <w:t xml:space="preserve"> </w:t>
      </w:r>
      <w:r>
        <w:t>47 U.S.C. § 257(b) (charging the Commission with protecting competition in telecommunications markets, stating that “the Commission shall seek to promote the policies and purposes of this Act favoring diversity of media voices, vigorous economic competition, technological advancement, and promotion of the public interest, convenience, and necessity”).</w:t>
      </w:r>
    </w:p>
  </w:footnote>
  <w:footnote w:id="23">
    <w:p w:rsidR="009E37D5" w:rsidRDefault="009E37D5" w:rsidP="009E37D5">
      <w:pPr>
        <w:pStyle w:val="FootnoteText"/>
      </w:pPr>
      <w:r>
        <w:rPr>
          <w:rStyle w:val="FootnoteReference"/>
        </w:rPr>
        <w:footnoteRef/>
      </w:r>
      <w:r>
        <w:t xml:space="preserve"> </w:t>
      </w:r>
      <w:r w:rsidRPr="0022360C">
        <w:t xml:space="preserve">47 </w:t>
      </w:r>
      <w:r>
        <w:t>U.S.C. § 548(b), (j).</w:t>
      </w:r>
    </w:p>
  </w:footnote>
  <w:footnote w:id="24">
    <w:p w:rsidR="009E37D5" w:rsidRDefault="009E37D5" w:rsidP="009E37D5">
      <w:pPr>
        <w:pStyle w:val="FootnoteText"/>
      </w:pPr>
      <w:r>
        <w:rPr>
          <w:rStyle w:val="FootnoteReference"/>
        </w:rPr>
        <w:footnoteRef/>
      </w:r>
      <w:r>
        <w:t xml:space="preserve"> </w:t>
      </w:r>
      <w:r w:rsidRPr="00EB31A8">
        <w:rPr>
          <w:i/>
        </w:rPr>
        <w:t>2007 Exclusive Service Contracts Order</w:t>
      </w:r>
      <w:r>
        <w:t xml:space="preserve">, 22 FCC Rcd at 20254, para. 40. </w:t>
      </w:r>
    </w:p>
  </w:footnote>
  <w:footnote w:id="25">
    <w:p w:rsidR="009E37D5" w:rsidRDefault="009E37D5" w:rsidP="009E37D5">
      <w:pPr>
        <w:pStyle w:val="FootnoteText"/>
      </w:pPr>
      <w:r>
        <w:rPr>
          <w:rStyle w:val="FootnoteReference"/>
        </w:rPr>
        <w:footnoteRef/>
      </w:r>
      <w:r>
        <w:t xml:space="preserve"> </w:t>
      </w:r>
      <w:r>
        <w:rPr>
          <w:i/>
        </w:rPr>
        <w:t>NCTA</w:t>
      </w:r>
      <w:r w:rsidRPr="00A802A0">
        <w:t>,</w:t>
      </w:r>
      <w:r>
        <w:t xml:space="preserve"> </w:t>
      </w:r>
      <w:r w:rsidRPr="00675CB9">
        <w:t xml:space="preserve">567 F.3d </w:t>
      </w:r>
      <w:r>
        <w:t xml:space="preserve">at </w:t>
      </w:r>
      <w:r w:rsidRPr="00675CB9">
        <w:t xml:space="preserve">666 </w:t>
      </w:r>
      <w:r>
        <w:t>(c</w:t>
      </w:r>
      <w:r w:rsidRPr="004B2C98">
        <w:t xml:space="preserve">oncluding </w:t>
      </w:r>
      <w:r>
        <w:t>“</w:t>
      </w:r>
      <w:r w:rsidRPr="004B2C98">
        <w:t xml:space="preserve">that </w:t>
      </w:r>
      <w:r>
        <w:t>S</w:t>
      </w:r>
      <w:r w:rsidRPr="004B2C98">
        <w:t>ection 628(b) authorizes the Commission's action</w:t>
      </w:r>
      <w:r>
        <w:t xml:space="preserve">” in the </w:t>
      </w:r>
      <w:r w:rsidRPr="00EB31A8">
        <w:rPr>
          <w:i/>
        </w:rPr>
        <w:t>2007 Exclusive Service Contracts Order</w:t>
      </w:r>
      <w:r>
        <w:t>).</w:t>
      </w:r>
    </w:p>
  </w:footnote>
  <w:footnote w:id="26">
    <w:p w:rsidR="009E37D5" w:rsidRDefault="009E37D5" w:rsidP="009E37D5">
      <w:pPr>
        <w:pStyle w:val="FootnoteText"/>
      </w:pPr>
      <w:r>
        <w:rPr>
          <w:rStyle w:val="FootnoteReference"/>
        </w:rPr>
        <w:footnoteRef/>
      </w:r>
      <w:r>
        <w:t xml:space="preserve"> </w:t>
      </w:r>
      <w:r>
        <w:rPr>
          <w:i/>
        </w:rPr>
        <w:t>See</w:t>
      </w:r>
      <w:r>
        <w:t xml:space="preserve"> </w:t>
      </w:r>
      <w:r w:rsidRPr="00F01F08">
        <w:t>4</w:t>
      </w:r>
      <w:r>
        <w:t xml:space="preserve">7 CFR § 76.2000 (prohibiting exclusive video programming service contracts in MDUs); 47 CFR § 64.2500 (prohibiting common carriers from entering into or enforcing exclusive service contracts in MTEs).  </w:t>
      </w:r>
    </w:p>
  </w:footnote>
  <w:footnote w:id="27">
    <w:p w:rsidR="009E37D5" w:rsidRDefault="009E37D5" w:rsidP="009E37D5">
      <w:pPr>
        <w:pStyle w:val="FootnoteText"/>
      </w:pPr>
      <w:r>
        <w:rPr>
          <w:rStyle w:val="FootnoteReference"/>
        </w:rPr>
        <w:footnoteRef/>
      </w:r>
      <w:r>
        <w:t xml:space="preserve"> </w:t>
      </w:r>
      <w:r>
        <w:rPr>
          <w:i/>
        </w:rPr>
        <w:t>See</w:t>
      </w:r>
      <w:r>
        <w:t xml:space="preserve"> INCOMPAS Feb. 13, 2017 </w:t>
      </w:r>
      <w:r>
        <w:rPr>
          <w:i/>
        </w:rPr>
        <w:t xml:space="preserve">Ex Parte </w:t>
      </w:r>
      <w:r>
        <w:t>Letter at 4;</w:t>
      </w:r>
      <w:r w:rsidDel="00192AB2">
        <w:t xml:space="preserve"> </w:t>
      </w:r>
      <w:r>
        <w:t>ITTA Comments at 9.</w:t>
      </w:r>
    </w:p>
  </w:footnote>
  <w:footnote w:id="28">
    <w:p w:rsidR="009E37D5" w:rsidRDefault="009E37D5" w:rsidP="009E37D5">
      <w:pPr>
        <w:pStyle w:val="FootnoteText"/>
      </w:pPr>
      <w:r>
        <w:rPr>
          <w:rStyle w:val="FootnoteReference"/>
        </w:rPr>
        <w:footnoteRef/>
      </w:r>
      <w:r>
        <w:t xml:space="preserve"> Interview by Chris Mitchell, </w:t>
      </w:r>
      <w:r w:rsidRPr="007627F0">
        <w:t>Community Broadband Bits Podcast, with Charles Barr, President, Webpass, and Lauren</w:t>
      </w:r>
      <w:r>
        <w:t xml:space="preserve"> Saine, Policy Advisor, Webpass (Apr. 12, 2016), </w:t>
      </w:r>
      <w:r w:rsidRPr="007627F0">
        <w:t>transcript available at</w:t>
      </w:r>
      <w:r>
        <w:t xml:space="preserve"> </w:t>
      </w:r>
      <w:hyperlink r:id="rId5" w:history="1">
        <w:r w:rsidRPr="007627F0">
          <w:rPr>
            <w:rStyle w:val="Hyperlink"/>
          </w:rPr>
          <w:t>https://muninetworks.org/content/transcript-community-broadband-bits-episode-197</w:t>
        </w:r>
      </w:hyperlink>
      <w:r w:rsidRPr="007627F0">
        <w:t xml:space="preserve"> (discussing non-contractual practices between M</w:t>
      </w:r>
      <w:r>
        <w:t>TE</w:t>
      </w:r>
      <w:r w:rsidRPr="007627F0">
        <w:t xml:space="preserve"> owners and providers that</w:t>
      </w:r>
      <w:r>
        <w:t>,</w:t>
      </w:r>
      <w:r w:rsidRPr="007627F0">
        <w:t xml:space="preserve"> according to Mr. Barr</w:t>
      </w:r>
      <w:r>
        <w:t>,</w:t>
      </w:r>
      <w:r w:rsidRPr="007627F0">
        <w:t xml:space="preserve"> “basically creat[e] </w:t>
      </w:r>
      <w:r>
        <w:t>exclusive agreements physically</w:t>
      </w:r>
      <w:r w:rsidRPr="007627F0">
        <w:t>”).</w:t>
      </w:r>
    </w:p>
  </w:footnote>
  <w:footnote w:id="29">
    <w:p w:rsidR="009E37D5" w:rsidRDefault="009E37D5" w:rsidP="009E37D5">
      <w:pPr>
        <w:pStyle w:val="FootnoteText"/>
      </w:pPr>
      <w:r>
        <w:rPr>
          <w:rStyle w:val="FootnoteReference"/>
        </w:rPr>
        <w:footnoteRef/>
      </w:r>
      <w:r>
        <w:t xml:space="preserve"> An arrangement to obtain undisturbed use of inside wiring occurs when the property owner of an MTE agrees to grant a communications provider exclusive use of designated wiring within an MTE.  </w:t>
      </w:r>
      <w:r>
        <w:rPr>
          <w:i/>
        </w:rPr>
        <w:t xml:space="preserve">See </w:t>
      </w:r>
      <w:r>
        <w:t xml:space="preserve">MBC Preemption Petition at 3-4. </w:t>
      </w:r>
    </w:p>
  </w:footnote>
  <w:footnote w:id="30">
    <w:p w:rsidR="009E37D5" w:rsidRPr="00D12917" w:rsidRDefault="009E37D5" w:rsidP="009E37D5">
      <w:pPr>
        <w:pStyle w:val="FootnoteText"/>
      </w:pPr>
      <w:r>
        <w:rPr>
          <w:rStyle w:val="FootnoteReference"/>
        </w:rPr>
        <w:footnoteRef/>
      </w:r>
      <w:r>
        <w:t xml:space="preserve"> </w:t>
      </w:r>
      <w:r>
        <w:rPr>
          <w:i/>
        </w:rPr>
        <w:t>S</w:t>
      </w:r>
      <w:r w:rsidRPr="00381095">
        <w:rPr>
          <w:i/>
        </w:rPr>
        <w:t>ee</w:t>
      </w:r>
      <w:r>
        <w:t xml:space="preserve"> MBC Preemption Petition</w:t>
      </w:r>
      <w:r w:rsidRPr="00E41C6B" w:rsidDel="00192AB2">
        <w:t xml:space="preserve"> </w:t>
      </w:r>
      <w:r>
        <w:t>at ii-iii, 1-2.</w:t>
      </w:r>
    </w:p>
  </w:footnote>
  <w:footnote w:id="31">
    <w:p w:rsidR="009E37D5" w:rsidRPr="00C9331B" w:rsidRDefault="009E37D5" w:rsidP="009E37D5">
      <w:pPr>
        <w:pStyle w:val="FootnoteText"/>
      </w:pPr>
      <w:r>
        <w:rPr>
          <w:rStyle w:val="FootnoteReference"/>
        </w:rPr>
        <w:footnoteRef/>
      </w:r>
      <w:r>
        <w:t xml:space="preserve"> </w:t>
      </w:r>
      <w:r>
        <w:rPr>
          <w:i/>
        </w:rPr>
        <w:t>See id.</w:t>
      </w:r>
      <w:r>
        <w:t xml:space="preserve"> at ii-iii.</w:t>
      </w:r>
    </w:p>
  </w:footnote>
  <w:footnote w:id="32">
    <w:p w:rsidR="009E37D5" w:rsidRPr="002D34AD" w:rsidRDefault="009E37D5" w:rsidP="009E37D5">
      <w:pPr>
        <w:pStyle w:val="FootnoteText"/>
        <w:rPr>
          <w:i/>
        </w:rPr>
      </w:pPr>
      <w:r>
        <w:rPr>
          <w:rStyle w:val="FootnoteReference"/>
        </w:rPr>
        <w:footnoteRef/>
      </w:r>
      <w:r>
        <w:t xml:space="preserve"> In seeking comment on these issues, we do not intend to revisit the regulatory framework for business data services adopted earlier this year.  </w:t>
      </w:r>
      <w:r>
        <w:rPr>
          <w:i/>
        </w:rPr>
        <w:t xml:space="preserve">See generally </w:t>
      </w:r>
      <w:r w:rsidRPr="002D34AD">
        <w:rPr>
          <w:i/>
          <w:iCs/>
        </w:rPr>
        <w:t>Business Data Services in an Internet Protocol Environment</w:t>
      </w:r>
      <w:r>
        <w:rPr>
          <w:i/>
          <w:iCs/>
        </w:rPr>
        <w:t xml:space="preserve"> et al.</w:t>
      </w:r>
      <w:r w:rsidRPr="00DB56C8">
        <w:t>, WC Docket Nos. 16-143, 05-25, GN Docket No. 13-5, RM-10593, Report and Order, 32 FCC Rcd 3459 (2017).</w:t>
      </w:r>
    </w:p>
    <w:p w:rsidR="009E37D5" w:rsidRPr="002D34AD" w:rsidRDefault="009E37D5" w:rsidP="009E37D5">
      <w:pPr>
        <w:pStyle w:val="FootnoteText"/>
      </w:pPr>
    </w:p>
  </w:footnote>
  <w:footnote w:id="33">
    <w:p w:rsidR="009E37D5" w:rsidRDefault="009E37D5" w:rsidP="009E37D5">
      <w:pPr>
        <w:pStyle w:val="FootnoteText"/>
      </w:pPr>
      <w:r>
        <w:rPr>
          <w:rStyle w:val="FootnoteReference"/>
        </w:rPr>
        <w:footnoteRef/>
      </w:r>
      <w:r>
        <w:t xml:space="preserve"> </w:t>
      </w:r>
      <w:r>
        <w:rPr>
          <w:i/>
        </w:rPr>
        <w:t xml:space="preserve">See </w:t>
      </w:r>
      <w:r w:rsidRPr="007F122A">
        <w:t>Letter from Steven F. Morris, Vice President and Associate General Counsel, NCTA – The Internet &amp; Television Association, to Marlene H. Dortch, Secretary, FCC, GN Docket No. 17-142</w:t>
      </w:r>
      <w:r>
        <w:t>, at 1</w:t>
      </w:r>
      <w:r w:rsidRPr="007F122A">
        <w:t xml:space="preserve"> (filed June 15, 2017) (NCTA June 15, 2017 </w:t>
      </w:r>
      <w:r w:rsidRPr="007F122A">
        <w:rPr>
          <w:i/>
          <w:iCs/>
        </w:rPr>
        <w:t>Ex Parte</w:t>
      </w:r>
      <w:r w:rsidRPr="007F122A">
        <w:t xml:space="preserve"> Letter).</w:t>
      </w:r>
    </w:p>
  </w:footnote>
  <w:footnote w:id="34">
    <w:p w:rsidR="009E37D5" w:rsidRPr="006205AC" w:rsidRDefault="009E37D5" w:rsidP="009E37D5">
      <w:pPr>
        <w:pStyle w:val="FootnoteText"/>
      </w:pPr>
      <w:r>
        <w:rPr>
          <w:rStyle w:val="FootnoteReference"/>
        </w:rPr>
        <w:footnoteRef/>
      </w:r>
      <w:r>
        <w:t xml:space="preserve"> </w:t>
      </w:r>
      <w:r>
        <w:rPr>
          <w:i/>
        </w:rPr>
        <w:t>See id</w:t>
      </w:r>
      <w:r>
        <w:t>.</w:t>
      </w:r>
    </w:p>
  </w:footnote>
  <w:footnote w:id="35">
    <w:p w:rsidR="009E37D5" w:rsidRDefault="009E37D5" w:rsidP="009E37D5">
      <w:pPr>
        <w:pStyle w:val="FootnoteText"/>
      </w:pPr>
      <w:r>
        <w:rPr>
          <w:rStyle w:val="FootnoteReference"/>
        </w:rPr>
        <w:footnoteRef/>
      </w:r>
      <w:r>
        <w:t xml:space="preserve"> </w:t>
      </w:r>
      <w:r>
        <w:rPr>
          <w:i/>
        </w:rPr>
        <w:t>See 2010 Exclusive Service Contracts Order</w:t>
      </w:r>
      <w:r>
        <w:t xml:space="preserve">, 25 FCC Rcd at 2461-62, paras. 2-3; </w:t>
      </w:r>
      <w:r>
        <w:rPr>
          <w:i/>
          <w:iCs/>
        </w:rPr>
        <w:t>s</w:t>
      </w:r>
      <w:r w:rsidRPr="00097140">
        <w:rPr>
          <w:i/>
          <w:iCs/>
        </w:rPr>
        <w:t xml:space="preserve">ee also </w:t>
      </w:r>
      <w:r w:rsidRPr="00097140">
        <w:t>Letter from Donald L. Herman, Jr., Counsel, Horry Telephone Cooperative, to Marlene H. Dortch, Secretary, FCC, GN Docket No. 17-142 (filed June 12, 2017).</w:t>
      </w:r>
    </w:p>
  </w:footnote>
  <w:footnote w:id="36">
    <w:p w:rsidR="009E37D5" w:rsidRDefault="009E37D5" w:rsidP="009E37D5">
      <w:pPr>
        <w:pStyle w:val="FootnoteText"/>
      </w:pPr>
      <w:r>
        <w:rPr>
          <w:rStyle w:val="FootnoteReference"/>
        </w:rPr>
        <w:footnoteRef/>
      </w:r>
      <w:r>
        <w:t xml:space="preserve"> </w:t>
      </w:r>
      <w:r>
        <w:rPr>
          <w:i/>
        </w:rPr>
        <w:t xml:space="preserve">See </w:t>
      </w:r>
      <w:r>
        <w:t xml:space="preserve">INCOMPAS Feb. 13, 2017 </w:t>
      </w:r>
      <w:r>
        <w:rPr>
          <w:i/>
        </w:rPr>
        <w:t xml:space="preserve">Ex Parte </w:t>
      </w:r>
      <w:r>
        <w:t>Letter at 4.</w:t>
      </w:r>
    </w:p>
  </w:footnote>
  <w:footnote w:id="37">
    <w:p w:rsidR="009E37D5" w:rsidRDefault="009E37D5" w:rsidP="009E37D5">
      <w:pPr>
        <w:pStyle w:val="FootnoteText"/>
      </w:pPr>
      <w:r>
        <w:rPr>
          <w:rStyle w:val="FootnoteReference"/>
        </w:rPr>
        <w:footnoteRef/>
      </w:r>
      <w:r>
        <w:t xml:space="preserve"> </w:t>
      </w:r>
      <w:r>
        <w:rPr>
          <w:i/>
        </w:rPr>
        <w:t>2010 Exclusive Service Contracts Order</w:t>
      </w:r>
      <w:r>
        <w:t>, 25 FCC Rcd at 2461, para. 2.</w:t>
      </w:r>
    </w:p>
  </w:footnote>
  <w:footnote w:id="38">
    <w:p w:rsidR="009E37D5" w:rsidRPr="007F122A" w:rsidRDefault="009E37D5" w:rsidP="009E37D5">
      <w:pPr>
        <w:pStyle w:val="FootnoteText"/>
      </w:pPr>
      <w:r>
        <w:rPr>
          <w:rStyle w:val="FootnoteReference"/>
        </w:rPr>
        <w:footnoteRef/>
      </w:r>
      <w:r>
        <w:t xml:space="preserve"> NCTA June 15, 2017 </w:t>
      </w:r>
      <w:r w:rsidRPr="00BF24B2">
        <w:rPr>
          <w:i/>
        </w:rPr>
        <w:t>Ex Parte</w:t>
      </w:r>
      <w:r>
        <w:t xml:space="preserve"> Letter at 1.</w:t>
      </w:r>
    </w:p>
  </w:footnote>
  <w:footnote w:id="39">
    <w:p w:rsidR="009E37D5" w:rsidRDefault="009E37D5" w:rsidP="009E37D5">
      <w:pPr>
        <w:pStyle w:val="FootnoteText"/>
      </w:pPr>
      <w:r>
        <w:rPr>
          <w:rStyle w:val="FootnoteReference"/>
        </w:rPr>
        <w:footnoteRef/>
      </w:r>
      <w:r>
        <w:t xml:space="preserve"> </w:t>
      </w:r>
      <w:r>
        <w:rPr>
          <w:i/>
        </w:rPr>
        <w:t>See</w:t>
      </w:r>
      <w:r>
        <w:t xml:space="preserve"> </w:t>
      </w:r>
      <w:r w:rsidRPr="00F01F08">
        <w:t>4</w:t>
      </w:r>
      <w:r>
        <w:t>7 CFR § 76.2000; 47 CFR § 64.2500.</w:t>
      </w:r>
    </w:p>
  </w:footnote>
  <w:footnote w:id="40">
    <w:p w:rsidR="009E37D5" w:rsidRDefault="009E37D5" w:rsidP="009E37D5">
      <w:pPr>
        <w:pStyle w:val="FootnoteText"/>
      </w:pPr>
      <w:r>
        <w:rPr>
          <w:rStyle w:val="FootnoteReference"/>
        </w:rPr>
        <w:footnoteRef/>
      </w:r>
      <w:r>
        <w:t xml:space="preserve"> </w:t>
      </w:r>
      <w:r>
        <w:rPr>
          <w:i/>
        </w:rPr>
        <w:t xml:space="preserve">See </w:t>
      </w:r>
      <w:r>
        <w:t xml:space="preserve">Broadband Now, </w:t>
      </w:r>
      <w:r>
        <w:rPr>
          <w:i/>
        </w:rPr>
        <w:t>Apartment Landlords Are Holding Your Internet Hostage</w:t>
      </w:r>
      <w:r>
        <w:t xml:space="preserve"> (July 14, 2016), </w:t>
      </w:r>
      <w:hyperlink r:id="rId6" w:history="1">
        <w:r w:rsidRPr="002954E5">
          <w:rPr>
            <w:rStyle w:val="Hyperlink"/>
          </w:rPr>
          <w:t>http://broadbandnow.com/report/apartment-landlords-holding-internet-hostage/</w:t>
        </w:r>
      </w:hyperlink>
      <w:r>
        <w:t xml:space="preserve">.  “Door fees” are arrangements in which an MTE owner charges a fee for broadband providers to provide services within a building, and generally take the form of revenue sharing, although flat rates for access are also common.  </w:t>
      </w:r>
      <w:r>
        <w:rPr>
          <w:i/>
        </w:rPr>
        <w:t>See id</w:t>
      </w:r>
      <w:r>
        <w:t>.</w:t>
      </w:r>
    </w:p>
  </w:footnote>
  <w:footnote w:id="41">
    <w:p w:rsidR="009E37D5" w:rsidRDefault="009E37D5" w:rsidP="009E37D5">
      <w:pPr>
        <w:pStyle w:val="FootnoteText"/>
      </w:pPr>
      <w:r>
        <w:rPr>
          <w:rStyle w:val="FootnoteReference"/>
        </w:rPr>
        <w:footnoteRef/>
      </w:r>
      <w:r>
        <w:t xml:space="preserve"> </w:t>
      </w:r>
      <w:r>
        <w:rPr>
          <w:i/>
        </w:rPr>
        <w:t xml:space="preserve">See </w:t>
      </w:r>
      <w:r>
        <w:t>47 CFR § 76.802(a).</w:t>
      </w:r>
    </w:p>
  </w:footnote>
  <w:footnote w:id="42">
    <w:p w:rsidR="009E37D5" w:rsidRDefault="009E37D5" w:rsidP="009E37D5">
      <w:pPr>
        <w:pStyle w:val="FootnoteText"/>
      </w:pPr>
      <w:r>
        <w:rPr>
          <w:rStyle w:val="FootnoteReference"/>
        </w:rPr>
        <w:footnoteRef/>
      </w:r>
      <w:r>
        <w:t xml:space="preserve"> </w:t>
      </w:r>
      <w:r>
        <w:rPr>
          <w:i/>
        </w:rPr>
        <w:t xml:space="preserve">See </w:t>
      </w:r>
      <w:r>
        <w:t xml:space="preserve">INCOMPAS Feb. 13, 2017 </w:t>
      </w:r>
      <w:r>
        <w:rPr>
          <w:i/>
        </w:rPr>
        <w:t xml:space="preserve">Ex Parte </w:t>
      </w:r>
      <w:r>
        <w:t xml:space="preserve">Letter at 4; </w:t>
      </w:r>
      <w:r w:rsidRPr="004B4CAF">
        <w:rPr>
          <w:i/>
        </w:rPr>
        <w:t>see also</w:t>
      </w:r>
      <w:r>
        <w:t xml:space="preserve"> ITTA Comments</w:t>
      </w:r>
      <w:r w:rsidRPr="00F66C3B">
        <w:t xml:space="preserve"> at 9</w:t>
      </w:r>
      <w:r>
        <w:t xml:space="preserve"> (noting that this access is “required by law to ensure that consumers in apartment buildings and similar places can obtain video service from a competing provider”)</w:t>
      </w:r>
      <w:r w:rsidRPr="00F66C3B">
        <w:t>.</w:t>
      </w:r>
      <w:r>
        <w:rPr>
          <w:sz w:val="23"/>
          <w:szCs w:val="23"/>
        </w:rPr>
        <w:t xml:space="preserve"> </w:t>
      </w:r>
      <w:r>
        <w:t xml:space="preserve"> </w:t>
      </w:r>
    </w:p>
  </w:footnote>
  <w:footnote w:id="43">
    <w:p w:rsidR="009E37D5" w:rsidRDefault="009E37D5" w:rsidP="009E37D5">
      <w:pPr>
        <w:pStyle w:val="FootnoteText"/>
      </w:pPr>
      <w:r>
        <w:rPr>
          <w:rStyle w:val="FootnoteReference"/>
        </w:rPr>
        <w:footnoteRef/>
      </w:r>
      <w:r>
        <w:t xml:space="preserve"> </w:t>
      </w:r>
      <w:r w:rsidRPr="0022360C">
        <w:t xml:space="preserve">47 </w:t>
      </w:r>
      <w:r>
        <w:t>CFR</w:t>
      </w:r>
      <w:r w:rsidRPr="0022360C">
        <w:t xml:space="preserve"> § 76.804</w:t>
      </w:r>
      <w:r>
        <w:t>.</w:t>
      </w:r>
    </w:p>
  </w:footnote>
  <w:footnote w:id="44">
    <w:p w:rsidR="009E37D5" w:rsidRPr="0044769C" w:rsidRDefault="009E37D5" w:rsidP="009E37D5">
      <w:pPr>
        <w:pStyle w:val="FootnoteText"/>
      </w:pPr>
      <w:r>
        <w:rPr>
          <w:rStyle w:val="FootnoteReference"/>
        </w:rPr>
        <w:footnoteRef/>
      </w:r>
      <w:r>
        <w:t xml:space="preserve"> For example, in </w:t>
      </w:r>
      <w:r w:rsidRPr="00640769">
        <w:rPr>
          <w:i/>
        </w:rPr>
        <w:t>Lansdowne</w:t>
      </w:r>
      <w:r>
        <w:t>,</w:t>
      </w:r>
      <w:r w:rsidRPr="00640769">
        <w:rPr>
          <w:i/>
        </w:rPr>
        <w:t xml:space="preserve"> </w:t>
      </w:r>
      <w:r w:rsidRPr="00DC5A55">
        <w:t>a</w:t>
      </w:r>
      <w:r>
        <w:t xml:space="preserve"> property owner granted an</w:t>
      </w:r>
      <w:r w:rsidRPr="00DC5A55">
        <w:t xml:space="preserve"> exclusive easement </w:t>
      </w:r>
      <w:r>
        <w:t xml:space="preserve">to an MVPD.  </w:t>
      </w:r>
      <w:r>
        <w:rPr>
          <w:i/>
        </w:rPr>
        <w:t xml:space="preserve">See </w:t>
      </w:r>
      <w:r>
        <w:rPr>
          <w:i/>
          <w:color w:val="212121"/>
        </w:rPr>
        <w:t>Lansdowne on the Potomac</w:t>
      </w:r>
      <w:r w:rsidRPr="00640769">
        <w:t xml:space="preserve">, </w:t>
      </w:r>
      <w:r w:rsidRPr="00640769">
        <w:rPr>
          <w:color w:val="212121"/>
        </w:rPr>
        <w:t xml:space="preserve">713 F.3d </w:t>
      </w:r>
      <w:r>
        <w:rPr>
          <w:color w:val="212121"/>
        </w:rPr>
        <w:t xml:space="preserve">at </w:t>
      </w:r>
      <w:r w:rsidRPr="00640769">
        <w:rPr>
          <w:color w:val="212121"/>
        </w:rPr>
        <w:t>187</w:t>
      </w:r>
      <w:r>
        <w:rPr>
          <w:color w:val="212121"/>
        </w:rPr>
        <w:t>.</w:t>
      </w:r>
      <w:r>
        <w:t xml:space="preserve">  The Commission filed an amicus brief with the court arguing that the exclusive easement </w:t>
      </w:r>
      <w:r w:rsidRPr="00DC5A55">
        <w:t xml:space="preserve">was tantamount to </w:t>
      </w:r>
      <w:r>
        <w:t xml:space="preserve">a contract that granted an MVPD </w:t>
      </w:r>
      <w:r w:rsidRPr="00DC5A55">
        <w:t>exclusive access</w:t>
      </w:r>
      <w:r>
        <w:t xml:space="preserve">, </w:t>
      </w:r>
      <w:r w:rsidRPr="00DC5A55">
        <w:t xml:space="preserve">and therefore </w:t>
      </w:r>
      <w:r>
        <w:t xml:space="preserve">was </w:t>
      </w:r>
      <w:r w:rsidRPr="00DC5A55">
        <w:t>prohibited</w:t>
      </w:r>
      <w:r>
        <w:t xml:space="preserve"> under the Commission’s bar on contractual terms giving a cable operator the “</w:t>
      </w:r>
      <w:r w:rsidRPr="0006197E">
        <w:t xml:space="preserve">exclusive right to provide any video programming service (alone or in combination with </w:t>
      </w:r>
      <w:r w:rsidRPr="0044769C">
        <w:t xml:space="preserve">other services) to a MDU.”  </w:t>
      </w:r>
      <w:r w:rsidRPr="00575927">
        <w:rPr>
          <w:i/>
        </w:rPr>
        <w:t>Id.</w:t>
      </w:r>
      <w:r w:rsidRPr="00C80D45">
        <w:t xml:space="preserve"> at 204 (citing </w:t>
      </w:r>
      <w:r w:rsidRPr="0044769C">
        <w:t>47 CFR § 76.2000)</w:t>
      </w:r>
      <w:r w:rsidRPr="00C80D45">
        <w:t>.  The court agreed with this reasoning</w:t>
      </w:r>
      <w:r>
        <w:t>,</w:t>
      </w:r>
      <w:r w:rsidRPr="00575927">
        <w:t xml:space="preserve"> declar</w:t>
      </w:r>
      <w:r>
        <w:t>ing</w:t>
      </w:r>
      <w:r w:rsidRPr="00C80D45">
        <w:t xml:space="preserve"> the easement null and void and </w:t>
      </w:r>
      <w:r w:rsidRPr="00575927">
        <w:t>enjoin</w:t>
      </w:r>
      <w:r>
        <w:t>ing</w:t>
      </w:r>
      <w:r w:rsidRPr="00C80D45">
        <w:t xml:space="preserve"> its enforcement.  </w:t>
      </w:r>
      <w:r w:rsidRPr="00C80D45">
        <w:rPr>
          <w:i/>
        </w:rPr>
        <w:t>See</w:t>
      </w:r>
      <w:r>
        <w:rPr>
          <w:i/>
        </w:rPr>
        <w:t xml:space="preserve"> id</w:t>
      </w:r>
      <w:r>
        <w:t>.,</w:t>
      </w:r>
      <w:r w:rsidRPr="00C80D45">
        <w:t xml:space="preserve"> at 207-208.</w:t>
      </w:r>
    </w:p>
  </w:footnote>
  <w:footnote w:id="45">
    <w:p w:rsidR="009E37D5" w:rsidRDefault="009E37D5" w:rsidP="009E37D5">
      <w:pPr>
        <w:pStyle w:val="FootnoteText"/>
      </w:pPr>
      <w:r>
        <w:rPr>
          <w:rStyle w:val="FootnoteReference"/>
        </w:rPr>
        <w:footnoteRef/>
      </w:r>
      <w:r>
        <w:t xml:space="preserve"> 47 U.S.C. </w:t>
      </w:r>
      <w:r w:rsidRPr="002F2805">
        <w:t>§§</w:t>
      </w:r>
      <w:r>
        <w:t xml:space="preserve"> 201(b), 548.  </w:t>
      </w:r>
      <w:r>
        <w:rPr>
          <w:i/>
        </w:rPr>
        <w:t>See, e.g.</w:t>
      </w:r>
      <w:r>
        <w:t>,</w:t>
      </w:r>
      <w:r>
        <w:rPr>
          <w:i/>
        </w:rPr>
        <w:t xml:space="preserve"> </w:t>
      </w:r>
      <w:r w:rsidRPr="00EB31A8">
        <w:rPr>
          <w:i/>
        </w:rPr>
        <w:t>2007 Exclusive Service Contracts Order</w:t>
      </w:r>
      <w:r>
        <w:t xml:space="preserve">, 22 FCC Rcd at 20254-55, 20260, paras. 40, 51; </w:t>
      </w:r>
      <w:r w:rsidRPr="00EB31A8">
        <w:rPr>
          <w:i/>
        </w:rPr>
        <w:t>2008 Competitive Networks Order</w:t>
      </w:r>
      <w:r>
        <w:t xml:space="preserve">, 23 FCC Rcd at 5391-93, paras. 15-19; </w:t>
      </w:r>
      <w:r w:rsidRPr="00EB31A8">
        <w:rPr>
          <w:i/>
        </w:rPr>
        <w:t>2010 Exclusive Service Contracts Order</w:t>
      </w:r>
      <w:r>
        <w:t>, 25 FCC Rcd at 2462-63, paras. 5-8.  W</w:t>
      </w:r>
      <w:r w:rsidRPr="00C671C4">
        <w:t>e note that the</w:t>
      </w:r>
      <w:r>
        <w:t>se</w:t>
      </w:r>
      <w:r w:rsidRPr="00C671C4">
        <w:t xml:space="preserve"> </w:t>
      </w:r>
      <w:r>
        <w:t xml:space="preserve">and other decisions </w:t>
      </w:r>
      <w:r w:rsidRPr="00C671C4">
        <w:t xml:space="preserve">in this </w:t>
      </w:r>
      <w:r>
        <w:t>area</w:t>
      </w:r>
      <w:r w:rsidRPr="00C671C4">
        <w:t>—which we discuss above—pre-dated the agency’s 2015 decision to classify broadband as a Title II telecommunications service.  We thus believe that the Commission has authority to take action with respect to the physical facilities that providers seek to deploy within MTEs.</w:t>
      </w:r>
    </w:p>
  </w:footnote>
  <w:footnote w:id="46">
    <w:p w:rsidR="009E37D5" w:rsidRDefault="009E37D5" w:rsidP="009E37D5">
      <w:pPr>
        <w:pStyle w:val="FootnoteText"/>
      </w:pPr>
      <w:r>
        <w:rPr>
          <w:rStyle w:val="FootnoteReference"/>
        </w:rPr>
        <w:footnoteRef/>
      </w:r>
      <w:r>
        <w:t xml:space="preserve"> 47 U.S.C. </w:t>
      </w:r>
      <w:r w:rsidRPr="002F2805">
        <w:t>§</w:t>
      </w:r>
      <w:r>
        <w:t xml:space="preserve"> 548(b), (j).</w:t>
      </w:r>
    </w:p>
  </w:footnote>
  <w:footnote w:id="47">
    <w:p w:rsidR="009E37D5" w:rsidRPr="00012701" w:rsidRDefault="009E37D5" w:rsidP="009E37D5">
      <w:pPr>
        <w:pStyle w:val="FootnoteText"/>
      </w:pPr>
      <w:r>
        <w:rPr>
          <w:rStyle w:val="FootnoteReference"/>
        </w:rPr>
        <w:footnoteRef/>
      </w:r>
      <w:r>
        <w:t xml:space="preserve"> </w:t>
      </w:r>
      <w:r w:rsidRPr="00EB31A8">
        <w:rPr>
          <w:i/>
        </w:rPr>
        <w:t>2007 Exclusive Service Contracts Order</w:t>
      </w:r>
      <w:r>
        <w:t xml:space="preserve">, 22 FCC Rcd at </w:t>
      </w:r>
      <w:r w:rsidRPr="00012701">
        <w:t>20245</w:t>
      </w:r>
      <w:r>
        <w:t xml:space="preserve">, para. 19.  </w:t>
      </w:r>
      <w:r w:rsidRPr="00EC798C">
        <w:rPr>
          <w:i/>
        </w:rPr>
        <w:t>See also id</w:t>
      </w:r>
      <w:r>
        <w:t xml:space="preserve">. at 20257, para. 46 (citing a commenter who argued that “because </w:t>
      </w:r>
      <w:r w:rsidRPr="0010395A">
        <w:t>the deployment of broadband networks and the provision of video service are intrinsically linked, exclusivity clauses that prevent it from providing video services compromise its ability to deploy other advanced telecommunications services, by inhibiting its ability to market a package of services that consumers demand and reducing the revenues it needs to support investment in new and innovative services</w:t>
      </w:r>
      <w:r>
        <w:t>”).</w:t>
      </w:r>
    </w:p>
  </w:footnote>
  <w:footnote w:id="48">
    <w:p w:rsidR="009E37D5" w:rsidRPr="00BF24B2" w:rsidRDefault="009E37D5" w:rsidP="009E37D5">
      <w:pPr>
        <w:pStyle w:val="FootnoteText"/>
        <w:rPr>
          <w:i/>
        </w:rPr>
      </w:pPr>
      <w:r>
        <w:rPr>
          <w:rStyle w:val="FootnoteReference"/>
        </w:rPr>
        <w:footnoteRef/>
      </w:r>
      <w:r>
        <w:t xml:space="preserve"> </w:t>
      </w:r>
      <w:r>
        <w:rPr>
          <w:i/>
        </w:rPr>
        <w:t xml:space="preserve">See </w:t>
      </w:r>
      <w:r>
        <w:t xml:space="preserve">NCTA June 15, 2017 </w:t>
      </w:r>
      <w:r w:rsidRPr="00BF24B2">
        <w:rPr>
          <w:i/>
        </w:rPr>
        <w:t>Ex Parte</w:t>
      </w:r>
      <w:r>
        <w:t xml:space="preserve"> Letter at 2; </w:t>
      </w:r>
      <w:r>
        <w:rPr>
          <w:i/>
        </w:rPr>
        <w:t>see also NCTA</w:t>
      </w:r>
      <w:r>
        <w:t>, 567 F.3d at 664 (noting the “broad and sweeping terms” of Section 628(b) of the Act, and stating that “while the specificity of section 628’s references to satellite cable and satellite broadcast programming may reveal the primary evil that Congress had in mind, nothing in the statute . . . limits the Commission to regulating anticompetitive practices in the delivery of those kinds of programming by methods addressed to that narrow concern alone”).</w:t>
      </w:r>
    </w:p>
  </w:footnote>
  <w:footnote w:id="49">
    <w:p w:rsidR="009E37D5" w:rsidRDefault="009E37D5" w:rsidP="009E37D5">
      <w:pPr>
        <w:pStyle w:val="FootnoteText"/>
      </w:pPr>
      <w:r>
        <w:rPr>
          <w:rStyle w:val="FootnoteReference"/>
        </w:rPr>
        <w:footnoteRef/>
      </w:r>
      <w:r>
        <w:t xml:space="preserve"> 47 U.S.C</w:t>
      </w:r>
      <w:r w:rsidRPr="00470868">
        <w:rPr>
          <w:szCs w:val="22"/>
        </w:rPr>
        <w:t>.</w:t>
      </w:r>
      <w:r>
        <w:rPr>
          <w:szCs w:val="22"/>
        </w:rPr>
        <w:t xml:space="preserve"> </w:t>
      </w:r>
      <w:r w:rsidRPr="002F2805">
        <w:t>§</w:t>
      </w:r>
      <w:r>
        <w:t xml:space="preserve"> 253(a).</w:t>
      </w:r>
    </w:p>
  </w:footnote>
  <w:footnote w:id="50">
    <w:p w:rsidR="009E37D5" w:rsidRDefault="009E37D5" w:rsidP="009E37D5">
      <w:pPr>
        <w:pStyle w:val="FootnoteText"/>
      </w:pPr>
      <w:r>
        <w:rPr>
          <w:rStyle w:val="FootnoteReference"/>
        </w:rPr>
        <w:footnoteRef/>
      </w:r>
      <w:r>
        <w:t xml:space="preserve"> </w:t>
      </w:r>
      <w:r w:rsidRPr="00A81EA9">
        <w:rPr>
          <w:i/>
        </w:rPr>
        <w:t>Level 3 Commc’ns L.L.C. v. City of St. Louis, Mo.</w:t>
      </w:r>
      <w:r>
        <w:t>, 477 F.3d 528, 531-32 (8th Cir 2007) (Level 3).</w:t>
      </w:r>
    </w:p>
  </w:footnote>
  <w:footnote w:id="51">
    <w:p w:rsidR="009E37D5" w:rsidRDefault="009E37D5" w:rsidP="009E37D5">
      <w:pPr>
        <w:pStyle w:val="FootnoteText"/>
      </w:pPr>
      <w:r>
        <w:rPr>
          <w:rStyle w:val="FootnoteReference"/>
        </w:rPr>
        <w:footnoteRef/>
      </w:r>
      <w:r>
        <w:t xml:space="preserve"> </w:t>
      </w:r>
      <w:r>
        <w:rPr>
          <w:i/>
        </w:rPr>
        <w:t>See 2017 Wireline Infrastructure Notice</w:t>
      </w:r>
      <w:r>
        <w:t>, FCC 17-37 at 35, para. 109.</w:t>
      </w:r>
    </w:p>
  </w:footnote>
  <w:footnote w:id="52">
    <w:p w:rsidR="009E37D5" w:rsidRPr="00682274" w:rsidRDefault="009E37D5" w:rsidP="009E37D5">
      <w:pPr>
        <w:pStyle w:val="FootnoteText"/>
      </w:pPr>
      <w:r>
        <w:rPr>
          <w:rStyle w:val="FootnoteReference"/>
        </w:rPr>
        <w:footnoteRef/>
      </w:r>
      <w:r>
        <w:t xml:space="preserve"> </w:t>
      </w:r>
      <w:r>
        <w:rPr>
          <w:i/>
        </w:rPr>
        <w:t>See Restoring Internet Freedom</w:t>
      </w:r>
      <w:r>
        <w:t>, WC Docket No. 17-108, Notice of Proposed Rulemaking, FCC 17-60</w:t>
      </w:r>
      <w:r w:rsidRPr="00F479ED">
        <w:t xml:space="preserve">, at </w:t>
      </w:r>
      <w:r w:rsidRPr="00D65479">
        <w:t>8</w:t>
      </w:r>
      <w:r w:rsidRPr="00F479ED">
        <w:t xml:space="preserve">, para. </w:t>
      </w:r>
      <w:r w:rsidRPr="00D65479">
        <w:t>24</w:t>
      </w:r>
      <w:r w:rsidRPr="00F479ED">
        <w:t xml:space="preserve"> (May</w:t>
      </w:r>
      <w:r>
        <w:t xml:space="preserve"> 23</w:t>
      </w:r>
      <w:r w:rsidRPr="00F479ED">
        <w:t>, 2017).</w:t>
      </w:r>
    </w:p>
  </w:footnote>
  <w:footnote w:id="53">
    <w:p w:rsidR="009E37D5" w:rsidRDefault="009E37D5" w:rsidP="009E37D5">
      <w:pPr>
        <w:pStyle w:val="FootnoteText"/>
      </w:pPr>
      <w:r>
        <w:rPr>
          <w:rStyle w:val="FootnoteReference"/>
        </w:rPr>
        <w:footnoteRef/>
      </w:r>
      <w:r>
        <w:t xml:space="preserve"> </w:t>
      </w:r>
      <w:r>
        <w:rPr>
          <w:i/>
        </w:rPr>
        <w:t>See</w:t>
      </w:r>
      <w:r w:rsidRPr="00556878">
        <w:rPr>
          <w:i/>
        </w:rPr>
        <w:t xml:space="preserve"> </w:t>
      </w:r>
      <w:r>
        <w:t>47 U.S.C. § 1302.</w:t>
      </w:r>
    </w:p>
  </w:footnote>
  <w:footnote w:id="54">
    <w:p w:rsidR="009E37D5" w:rsidRDefault="009E37D5" w:rsidP="009E37D5">
      <w:pPr>
        <w:pStyle w:val="FootnoteText"/>
      </w:pPr>
      <w:r>
        <w:rPr>
          <w:rStyle w:val="FootnoteReference"/>
        </w:rPr>
        <w:footnoteRef/>
      </w:r>
      <w:r>
        <w:t xml:space="preserve"> 47 CF</w:t>
      </w:r>
      <w:r w:rsidRPr="002F2805">
        <w:t xml:space="preserve">R. §§ 1.1200 </w:t>
      </w:r>
      <w:r w:rsidRPr="002F2805">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7C" w:rsidRDefault="00790C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293D92">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CD033B">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9B0A1D1"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Pr="00293D92" w:rsidRDefault="00CD033B" w:rsidP="00293D92">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DF55CD6"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rsidRPr="00293D92">
      <w:tab/>
      <w:t>Federal Communications Commission</w:t>
    </w:r>
    <w:r w:rsidR="00D25FB5" w:rsidRPr="00293D92">
      <w:tab/>
    </w:r>
    <w:r w:rsidR="00CD0127" w:rsidRPr="00293D92">
      <w:rPr>
        <w:spacing w:val="-2"/>
      </w:rPr>
      <w:t>FCC 17-78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0701D6">
      <w:t>FCC 17-78</w:t>
    </w:r>
  </w:p>
  <w:p w:rsidR="00D25FB5" w:rsidRDefault="00CD033B">
    <w:pPr>
      <w:tabs>
        <w:tab w:val="left" w:pos="-720"/>
      </w:tabs>
      <w:suppressAutoHyphens/>
      <w:spacing w:line="19" w:lineRule="exact"/>
      <w:rPr>
        <w:spacing w:val="-2"/>
      </w:rPr>
    </w:pPr>
    <w:r>
      <w:rPr>
        <w:noProof/>
      </w:rPr>
      <mc:AlternateContent>
        <mc:Choice Requires="wps">
          <w:drawing>
            <wp:anchor distT="0" distB="0" distL="114300" distR="114300" simplePos="0" relativeHeight="251654144" behindDoc="1" locked="0" layoutInCell="0" allowOverlap="1">
              <wp:simplePos x="0" y="0"/>
              <wp:positionH relativeFrom="margin">
                <wp:posOffset>0</wp:posOffset>
              </wp:positionH>
              <wp:positionV relativeFrom="paragraph">
                <wp:posOffset>0</wp:posOffset>
              </wp:positionV>
              <wp:extent cx="5943600" cy="12065"/>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6EF2879" id="Rectangle 1" o:spid="_x0000_s1026" style="position:absolute;margin-left:0;margin-top:0;width:468pt;height:.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48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mbeOPO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D033B" w:rsidP="00810B6F">
    <w:pPr>
      <w:pStyle w:val="Header"/>
      <w:rPr>
        <w:b w:val="0"/>
      </w:rPr>
    </w:pPr>
    <w:r>
      <w:rPr>
        <w:noProof/>
      </w:rPr>
      <mc:AlternateContent>
        <mc:Choice Requires="wps">
          <w:drawing>
            <wp:anchor distT="0" distB="0" distL="114300" distR="114300" simplePos="0" relativeHeight="25165516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DC03C3A" id="Rectangle 3" o:spid="_x0000_s1026" style="position:absolute;margin-left:.6pt;margin-top:12.65pt;width:468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y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m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D8SCvL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701D6">
      <w:rPr>
        <w:spacing w:val="-2"/>
      </w:rPr>
      <w:t>FCC 17-78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CD033B">
    <w:pPr>
      <w:tabs>
        <w:tab w:val="left" w:pos="-720"/>
      </w:tabs>
      <w:suppressAutoHyphens/>
      <w:spacing w:line="19" w:lineRule="exact"/>
      <w:rPr>
        <w:spacing w:val="-2"/>
      </w:rPr>
    </w:pPr>
    <w:r>
      <w:rPr>
        <w:noProof/>
      </w:rPr>
      <mc:AlternateContent>
        <mc:Choice Requires="wps">
          <w:drawing>
            <wp:anchor distT="0" distB="0" distL="114300" distR="114300" simplePos="0" relativeHeight="251656192"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4F20BB6" id="Rectangle 1" o:spid="_x0000_s1026"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rm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q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XAxa5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D033B" w:rsidP="00810B6F">
    <w:pPr>
      <w:pStyle w:val="Header"/>
      <w:rPr>
        <w:b w:val="0"/>
      </w:rPr>
    </w:pPr>
    <w:r>
      <w:rPr>
        <w:noProof/>
      </w:rPr>
      <mc:AlternateContent>
        <mc:Choice Requires="wps">
          <w:drawing>
            <wp:anchor distT="0" distB="0" distL="114300" distR="114300" simplePos="0" relativeHeight="25165721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C512166"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D0127">
      <w:rPr>
        <w:spacing w:val="-2"/>
      </w:rPr>
      <w:t>FCC 17-78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26" w:rsidRDefault="00C344D3" w:rsidP="00A50D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A50D26">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CD033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80218F5"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Pr="00A50D26" w:rsidRDefault="00CD033B" w:rsidP="00A50D26">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7701998"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D25FB5" w:rsidRPr="00A50D26">
      <w:tab/>
      <w:t>Federal Communications Commission</w:t>
    </w:r>
    <w:r w:rsidR="00D25FB5" w:rsidRPr="00A50D26">
      <w:tab/>
    </w:r>
    <w:r w:rsidR="00CD0127" w:rsidRPr="00A50D26">
      <w:rPr>
        <w:spacing w:val="-2"/>
      </w:rPr>
      <w:t>FCC 17-78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92" w:rsidRDefault="00C344D3" w:rsidP="00293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D5"/>
    <w:rsid w:val="00036039"/>
    <w:rsid w:val="00037F90"/>
    <w:rsid w:val="000701D6"/>
    <w:rsid w:val="000875BF"/>
    <w:rsid w:val="00096D8C"/>
    <w:rsid w:val="000C0B65"/>
    <w:rsid w:val="000E05FE"/>
    <w:rsid w:val="000E3D42"/>
    <w:rsid w:val="00122BD5"/>
    <w:rsid w:val="00132463"/>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20BEB"/>
    <w:rsid w:val="0055614C"/>
    <w:rsid w:val="00592E02"/>
    <w:rsid w:val="005E14C2"/>
    <w:rsid w:val="00607BA5"/>
    <w:rsid w:val="0061180A"/>
    <w:rsid w:val="00626EB6"/>
    <w:rsid w:val="00655D03"/>
    <w:rsid w:val="00683388"/>
    <w:rsid w:val="00683F84"/>
    <w:rsid w:val="00697B6A"/>
    <w:rsid w:val="006A6A81"/>
    <w:rsid w:val="006F7393"/>
    <w:rsid w:val="0070224F"/>
    <w:rsid w:val="007115F7"/>
    <w:rsid w:val="00785689"/>
    <w:rsid w:val="00790C7C"/>
    <w:rsid w:val="0079754B"/>
    <w:rsid w:val="007A1E6D"/>
    <w:rsid w:val="007A78E6"/>
    <w:rsid w:val="007B0EB2"/>
    <w:rsid w:val="007B7FF4"/>
    <w:rsid w:val="00810B6F"/>
    <w:rsid w:val="00822CE0"/>
    <w:rsid w:val="00824D59"/>
    <w:rsid w:val="00841AB1"/>
    <w:rsid w:val="008C68F1"/>
    <w:rsid w:val="008E6DDD"/>
    <w:rsid w:val="009175E3"/>
    <w:rsid w:val="00921803"/>
    <w:rsid w:val="00926503"/>
    <w:rsid w:val="009726D8"/>
    <w:rsid w:val="009A2821"/>
    <w:rsid w:val="009B4B10"/>
    <w:rsid w:val="009E37D5"/>
    <w:rsid w:val="009F76DB"/>
    <w:rsid w:val="00A32C3B"/>
    <w:rsid w:val="00A45F4F"/>
    <w:rsid w:val="00A600A9"/>
    <w:rsid w:val="00AA55B7"/>
    <w:rsid w:val="00AA5B9E"/>
    <w:rsid w:val="00AB1813"/>
    <w:rsid w:val="00AB2407"/>
    <w:rsid w:val="00AB53DF"/>
    <w:rsid w:val="00B07E5C"/>
    <w:rsid w:val="00B37448"/>
    <w:rsid w:val="00B811F7"/>
    <w:rsid w:val="00BA5DC6"/>
    <w:rsid w:val="00BA6196"/>
    <w:rsid w:val="00BC6D8C"/>
    <w:rsid w:val="00C34006"/>
    <w:rsid w:val="00C344D3"/>
    <w:rsid w:val="00C426B1"/>
    <w:rsid w:val="00C66160"/>
    <w:rsid w:val="00C721AC"/>
    <w:rsid w:val="00C90D6A"/>
    <w:rsid w:val="00CA247E"/>
    <w:rsid w:val="00CC72B6"/>
    <w:rsid w:val="00CD0127"/>
    <w:rsid w:val="00CD033B"/>
    <w:rsid w:val="00D0218D"/>
    <w:rsid w:val="00D25FB5"/>
    <w:rsid w:val="00D44223"/>
    <w:rsid w:val="00DA2529"/>
    <w:rsid w:val="00DB130A"/>
    <w:rsid w:val="00DB2EBB"/>
    <w:rsid w:val="00DC10A1"/>
    <w:rsid w:val="00DC655F"/>
    <w:rsid w:val="00DD0B59"/>
    <w:rsid w:val="00DD7EBD"/>
    <w:rsid w:val="00DE11E2"/>
    <w:rsid w:val="00DF62B6"/>
    <w:rsid w:val="00E07225"/>
    <w:rsid w:val="00E5409F"/>
    <w:rsid w:val="00E55BC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D3"/>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C344D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C344D3"/>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qFormat/>
    <w:rsid w:val="00C344D3"/>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344D3"/>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
    <w:basedOn w:val="Normal"/>
    <w:next w:val="ParaNum"/>
    <w:qFormat/>
    <w:rsid w:val="00C344D3"/>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C344D3"/>
    <w:pPr>
      <w:numPr>
        <w:ilvl w:val="5"/>
        <w:numId w:val="3"/>
      </w:numPr>
      <w:tabs>
        <w:tab w:val="left" w:pos="4320"/>
      </w:tabs>
      <w:spacing w:after="120"/>
      <w:outlineLvl w:val="5"/>
    </w:pPr>
    <w:rPr>
      <w:b/>
    </w:rPr>
  </w:style>
  <w:style w:type="paragraph" w:styleId="Heading7">
    <w:name w:val="heading 7"/>
    <w:basedOn w:val="Normal"/>
    <w:next w:val="ParaNum"/>
    <w:qFormat/>
    <w:rsid w:val="00C344D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344D3"/>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C344D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344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44D3"/>
  </w:style>
  <w:style w:type="paragraph" w:customStyle="1" w:styleId="ParaNum">
    <w:name w:val="ParaNum"/>
    <w:basedOn w:val="Normal"/>
    <w:link w:val="ParaNumChar"/>
    <w:rsid w:val="00C344D3"/>
    <w:pPr>
      <w:numPr>
        <w:numId w:val="2"/>
      </w:numPr>
      <w:tabs>
        <w:tab w:val="clear" w:pos="1080"/>
        <w:tab w:val="num" w:pos="1440"/>
      </w:tabs>
      <w:spacing w:after="120"/>
    </w:pPr>
  </w:style>
  <w:style w:type="paragraph" w:styleId="EndnoteText">
    <w:name w:val="endnote text"/>
    <w:basedOn w:val="Normal"/>
    <w:semiHidden/>
    <w:rsid w:val="00C344D3"/>
    <w:rPr>
      <w:sz w:val="20"/>
    </w:rPr>
  </w:style>
  <w:style w:type="character" w:styleId="EndnoteReference">
    <w:name w:val="endnote reference"/>
    <w:semiHidden/>
    <w:rsid w:val="00C344D3"/>
    <w:rPr>
      <w:vertAlign w:val="superscript"/>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C344D3"/>
    <w:pPr>
      <w:spacing w:after="120"/>
    </w:pPr>
  </w:style>
  <w:style w:type="character" w:styleId="FootnoteReference">
    <w:name w:val="footnote reference"/>
    <w:aliases w:val="Appel note de bas de p,Style 12,(NECG) Footnote Reference,Style 124,o,fr,Style 3,Style 13,FR,Style 6,Style 17,Footnote Reference/,Style 7,Footnote Reference1,Style 4,Style 34,Style 9,Style 20,callout,-E Funotenzeichen"/>
    <w:rsid w:val="00C344D3"/>
    <w:rPr>
      <w:rFonts w:ascii="Times New Roman" w:hAnsi="Times New Roman"/>
      <w:dstrike w:val="0"/>
      <w:color w:val="auto"/>
      <w:sz w:val="20"/>
      <w:vertAlign w:val="superscript"/>
    </w:rPr>
  </w:style>
  <w:style w:type="paragraph" w:styleId="TOC1">
    <w:name w:val="toc 1"/>
    <w:basedOn w:val="Normal"/>
    <w:next w:val="Normal"/>
    <w:rsid w:val="00C344D3"/>
    <w:pPr>
      <w:tabs>
        <w:tab w:val="left" w:pos="360"/>
        <w:tab w:val="right" w:leader="dot" w:pos="9360"/>
      </w:tabs>
      <w:suppressAutoHyphens/>
      <w:ind w:left="360" w:right="720" w:hanging="360"/>
    </w:pPr>
    <w:rPr>
      <w:caps/>
      <w:noProof/>
    </w:rPr>
  </w:style>
  <w:style w:type="paragraph" w:styleId="TOC2">
    <w:name w:val="toc 2"/>
    <w:basedOn w:val="Normal"/>
    <w:next w:val="Normal"/>
    <w:rsid w:val="00C344D3"/>
    <w:pPr>
      <w:tabs>
        <w:tab w:val="left" w:pos="720"/>
        <w:tab w:val="right" w:leader="dot" w:pos="9360"/>
      </w:tabs>
      <w:suppressAutoHyphens/>
      <w:ind w:left="720" w:right="720" w:hanging="360"/>
    </w:pPr>
    <w:rPr>
      <w:noProof/>
    </w:rPr>
  </w:style>
  <w:style w:type="paragraph" w:styleId="TOC3">
    <w:name w:val="toc 3"/>
    <w:basedOn w:val="Normal"/>
    <w:next w:val="Normal"/>
    <w:semiHidden/>
    <w:rsid w:val="00C344D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344D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344D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344D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344D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344D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344D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344D3"/>
    <w:pPr>
      <w:tabs>
        <w:tab w:val="right" w:pos="9360"/>
      </w:tabs>
      <w:suppressAutoHyphens/>
    </w:pPr>
  </w:style>
  <w:style w:type="character" w:customStyle="1" w:styleId="EquationCaption">
    <w:name w:val="_Equation Caption"/>
    <w:rsid w:val="00C344D3"/>
  </w:style>
  <w:style w:type="paragraph" w:styleId="Header">
    <w:name w:val="header"/>
    <w:basedOn w:val="Normal"/>
    <w:autoRedefine/>
    <w:rsid w:val="00C344D3"/>
    <w:pPr>
      <w:tabs>
        <w:tab w:val="center" w:pos="4680"/>
        <w:tab w:val="right" w:pos="9360"/>
      </w:tabs>
    </w:pPr>
    <w:rPr>
      <w:b/>
    </w:rPr>
  </w:style>
  <w:style w:type="paragraph" w:styleId="Footer">
    <w:name w:val="footer"/>
    <w:basedOn w:val="Normal"/>
    <w:link w:val="FooterChar"/>
    <w:rsid w:val="00C344D3"/>
    <w:pPr>
      <w:tabs>
        <w:tab w:val="center" w:pos="4320"/>
        <w:tab w:val="right" w:pos="8640"/>
      </w:tabs>
    </w:pPr>
  </w:style>
  <w:style w:type="character" w:styleId="PageNumber">
    <w:name w:val="page number"/>
    <w:basedOn w:val="DefaultParagraphFont"/>
    <w:rsid w:val="00C344D3"/>
  </w:style>
  <w:style w:type="paragraph" w:styleId="BlockText">
    <w:name w:val="Block Text"/>
    <w:basedOn w:val="Normal"/>
    <w:rsid w:val="00C344D3"/>
    <w:pPr>
      <w:spacing w:after="240"/>
      <w:ind w:left="1440" w:right="1440"/>
    </w:pPr>
  </w:style>
  <w:style w:type="paragraph" w:customStyle="1" w:styleId="Paratitle">
    <w:name w:val="Para title"/>
    <w:basedOn w:val="Normal"/>
    <w:rsid w:val="00C344D3"/>
    <w:pPr>
      <w:tabs>
        <w:tab w:val="center" w:pos="9270"/>
      </w:tabs>
      <w:spacing w:after="240"/>
    </w:pPr>
    <w:rPr>
      <w:spacing w:val="-2"/>
    </w:rPr>
  </w:style>
  <w:style w:type="paragraph" w:customStyle="1" w:styleId="Bullet">
    <w:name w:val="Bullet"/>
    <w:basedOn w:val="Normal"/>
    <w:rsid w:val="00C344D3"/>
    <w:pPr>
      <w:tabs>
        <w:tab w:val="left" w:pos="2160"/>
      </w:tabs>
      <w:spacing w:after="220"/>
      <w:ind w:left="2160" w:hanging="720"/>
    </w:pPr>
  </w:style>
  <w:style w:type="paragraph" w:customStyle="1" w:styleId="TableFormat">
    <w:name w:val="TableFormat"/>
    <w:basedOn w:val="Bullet"/>
    <w:rsid w:val="00C344D3"/>
    <w:pPr>
      <w:tabs>
        <w:tab w:val="clear" w:pos="2160"/>
        <w:tab w:val="left" w:pos="5040"/>
      </w:tabs>
      <w:ind w:left="5040" w:hanging="3600"/>
    </w:pPr>
  </w:style>
  <w:style w:type="paragraph" w:customStyle="1" w:styleId="TOCTitle">
    <w:name w:val="TOC Title"/>
    <w:basedOn w:val="Normal"/>
    <w:rsid w:val="00C344D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344D3"/>
    <w:pPr>
      <w:jc w:val="center"/>
    </w:pPr>
    <w:rPr>
      <w:rFonts w:ascii="Times New Roman Bold" w:hAnsi="Times New Roman Bold"/>
      <w:b/>
      <w:bCs/>
      <w:caps/>
      <w:szCs w:val="22"/>
    </w:rPr>
  </w:style>
  <w:style w:type="character" w:styleId="Hyperlink">
    <w:name w:val="Hyperlink"/>
    <w:rsid w:val="00C344D3"/>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9E37D5"/>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9E37D5"/>
    <w:rPr>
      <w:b/>
      <w:snapToGrid w:val="0"/>
      <w:kern w:val="28"/>
      <w:sz w:val="22"/>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link w:val="FootnoteText"/>
    <w:rsid w:val="009E37D5"/>
  </w:style>
  <w:style w:type="character" w:customStyle="1" w:styleId="ParaNumChar">
    <w:name w:val="ParaNum Char"/>
    <w:link w:val="ParaNum"/>
    <w:locked/>
    <w:rsid w:val="009E37D5"/>
    <w:rPr>
      <w:snapToGrid w:val="0"/>
      <w:kern w:val="28"/>
      <w:sz w:val="22"/>
    </w:rPr>
  </w:style>
  <w:style w:type="character" w:customStyle="1" w:styleId="FooterChar">
    <w:name w:val="Footer Char"/>
    <w:link w:val="Footer"/>
    <w:rsid w:val="009175E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D3"/>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C344D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C344D3"/>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qFormat/>
    <w:rsid w:val="00C344D3"/>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344D3"/>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
    <w:basedOn w:val="Normal"/>
    <w:next w:val="ParaNum"/>
    <w:qFormat/>
    <w:rsid w:val="00C344D3"/>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C344D3"/>
    <w:pPr>
      <w:numPr>
        <w:ilvl w:val="5"/>
        <w:numId w:val="3"/>
      </w:numPr>
      <w:tabs>
        <w:tab w:val="left" w:pos="4320"/>
      </w:tabs>
      <w:spacing w:after="120"/>
      <w:outlineLvl w:val="5"/>
    </w:pPr>
    <w:rPr>
      <w:b/>
    </w:rPr>
  </w:style>
  <w:style w:type="paragraph" w:styleId="Heading7">
    <w:name w:val="heading 7"/>
    <w:basedOn w:val="Normal"/>
    <w:next w:val="ParaNum"/>
    <w:qFormat/>
    <w:rsid w:val="00C344D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344D3"/>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C344D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344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44D3"/>
  </w:style>
  <w:style w:type="paragraph" w:customStyle="1" w:styleId="ParaNum">
    <w:name w:val="ParaNum"/>
    <w:basedOn w:val="Normal"/>
    <w:link w:val="ParaNumChar"/>
    <w:rsid w:val="00C344D3"/>
    <w:pPr>
      <w:numPr>
        <w:numId w:val="2"/>
      </w:numPr>
      <w:tabs>
        <w:tab w:val="clear" w:pos="1080"/>
        <w:tab w:val="num" w:pos="1440"/>
      </w:tabs>
      <w:spacing w:after="120"/>
    </w:pPr>
  </w:style>
  <w:style w:type="paragraph" w:styleId="EndnoteText">
    <w:name w:val="endnote text"/>
    <w:basedOn w:val="Normal"/>
    <w:semiHidden/>
    <w:rsid w:val="00C344D3"/>
    <w:rPr>
      <w:sz w:val="20"/>
    </w:rPr>
  </w:style>
  <w:style w:type="character" w:styleId="EndnoteReference">
    <w:name w:val="endnote reference"/>
    <w:semiHidden/>
    <w:rsid w:val="00C344D3"/>
    <w:rPr>
      <w:vertAlign w:val="superscript"/>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C344D3"/>
    <w:pPr>
      <w:spacing w:after="120"/>
    </w:pPr>
  </w:style>
  <w:style w:type="character" w:styleId="FootnoteReference">
    <w:name w:val="footnote reference"/>
    <w:aliases w:val="Appel note de bas de p,Style 12,(NECG) Footnote Reference,Style 124,o,fr,Style 3,Style 13,FR,Style 6,Style 17,Footnote Reference/,Style 7,Footnote Reference1,Style 4,Style 34,Style 9,Style 20,callout,-E Funotenzeichen"/>
    <w:rsid w:val="00C344D3"/>
    <w:rPr>
      <w:rFonts w:ascii="Times New Roman" w:hAnsi="Times New Roman"/>
      <w:dstrike w:val="0"/>
      <w:color w:val="auto"/>
      <w:sz w:val="20"/>
      <w:vertAlign w:val="superscript"/>
    </w:rPr>
  </w:style>
  <w:style w:type="paragraph" w:styleId="TOC1">
    <w:name w:val="toc 1"/>
    <w:basedOn w:val="Normal"/>
    <w:next w:val="Normal"/>
    <w:rsid w:val="00C344D3"/>
    <w:pPr>
      <w:tabs>
        <w:tab w:val="left" w:pos="360"/>
        <w:tab w:val="right" w:leader="dot" w:pos="9360"/>
      </w:tabs>
      <w:suppressAutoHyphens/>
      <w:ind w:left="360" w:right="720" w:hanging="360"/>
    </w:pPr>
    <w:rPr>
      <w:caps/>
      <w:noProof/>
    </w:rPr>
  </w:style>
  <w:style w:type="paragraph" w:styleId="TOC2">
    <w:name w:val="toc 2"/>
    <w:basedOn w:val="Normal"/>
    <w:next w:val="Normal"/>
    <w:rsid w:val="00C344D3"/>
    <w:pPr>
      <w:tabs>
        <w:tab w:val="left" w:pos="720"/>
        <w:tab w:val="right" w:leader="dot" w:pos="9360"/>
      </w:tabs>
      <w:suppressAutoHyphens/>
      <w:ind w:left="720" w:right="720" w:hanging="360"/>
    </w:pPr>
    <w:rPr>
      <w:noProof/>
    </w:rPr>
  </w:style>
  <w:style w:type="paragraph" w:styleId="TOC3">
    <w:name w:val="toc 3"/>
    <w:basedOn w:val="Normal"/>
    <w:next w:val="Normal"/>
    <w:semiHidden/>
    <w:rsid w:val="00C344D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344D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344D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344D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344D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344D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344D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344D3"/>
    <w:pPr>
      <w:tabs>
        <w:tab w:val="right" w:pos="9360"/>
      </w:tabs>
      <w:suppressAutoHyphens/>
    </w:pPr>
  </w:style>
  <w:style w:type="character" w:customStyle="1" w:styleId="EquationCaption">
    <w:name w:val="_Equation Caption"/>
    <w:rsid w:val="00C344D3"/>
  </w:style>
  <w:style w:type="paragraph" w:styleId="Header">
    <w:name w:val="header"/>
    <w:basedOn w:val="Normal"/>
    <w:autoRedefine/>
    <w:rsid w:val="00C344D3"/>
    <w:pPr>
      <w:tabs>
        <w:tab w:val="center" w:pos="4680"/>
        <w:tab w:val="right" w:pos="9360"/>
      </w:tabs>
    </w:pPr>
    <w:rPr>
      <w:b/>
    </w:rPr>
  </w:style>
  <w:style w:type="paragraph" w:styleId="Footer">
    <w:name w:val="footer"/>
    <w:basedOn w:val="Normal"/>
    <w:link w:val="FooterChar"/>
    <w:rsid w:val="00C344D3"/>
    <w:pPr>
      <w:tabs>
        <w:tab w:val="center" w:pos="4320"/>
        <w:tab w:val="right" w:pos="8640"/>
      </w:tabs>
    </w:pPr>
  </w:style>
  <w:style w:type="character" w:styleId="PageNumber">
    <w:name w:val="page number"/>
    <w:basedOn w:val="DefaultParagraphFont"/>
    <w:rsid w:val="00C344D3"/>
  </w:style>
  <w:style w:type="paragraph" w:styleId="BlockText">
    <w:name w:val="Block Text"/>
    <w:basedOn w:val="Normal"/>
    <w:rsid w:val="00C344D3"/>
    <w:pPr>
      <w:spacing w:after="240"/>
      <w:ind w:left="1440" w:right="1440"/>
    </w:pPr>
  </w:style>
  <w:style w:type="paragraph" w:customStyle="1" w:styleId="Paratitle">
    <w:name w:val="Para title"/>
    <w:basedOn w:val="Normal"/>
    <w:rsid w:val="00C344D3"/>
    <w:pPr>
      <w:tabs>
        <w:tab w:val="center" w:pos="9270"/>
      </w:tabs>
      <w:spacing w:after="240"/>
    </w:pPr>
    <w:rPr>
      <w:spacing w:val="-2"/>
    </w:rPr>
  </w:style>
  <w:style w:type="paragraph" w:customStyle="1" w:styleId="Bullet">
    <w:name w:val="Bullet"/>
    <w:basedOn w:val="Normal"/>
    <w:rsid w:val="00C344D3"/>
    <w:pPr>
      <w:tabs>
        <w:tab w:val="left" w:pos="2160"/>
      </w:tabs>
      <w:spacing w:after="220"/>
      <w:ind w:left="2160" w:hanging="720"/>
    </w:pPr>
  </w:style>
  <w:style w:type="paragraph" w:customStyle="1" w:styleId="TableFormat">
    <w:name w:val="TableFormat"/>
    <w:basedOn w:val="Bullet"/>
    <w:rsid w:val="00C344D3"/>
    <w:pPr>
      <w:tabs>
        <w:tab w:val="clear" w:pos="2160"/>
        <w:tab w:val="left" w:pos="5040"/>
      </w:tabs>
      <w:ind w:left="5040" w:hanging="3600"/>
    </w:pPr>
  </w:style>
  <w:style w:type="paragraph" w:customStyle="1" w:styleId="TOCTitle">
    <w:name w:val="TOC Title"/>
    <w:basedOn w:val="Normal"/>
    <w:rsid w:val="00C344D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344D3"/>
    <w:pPr>
      <w:jc w:val="center"/>
    </w:pPr>
    <w:rPr>
      <w:rFonts w:ascii="Times New Roman Bold" w:hAnsi="Times New Roman Bold"/>
      <w:b/>
      <w:bCs/>
      <w:caps/>
      <w:szCs w:val="22"/>
    </w:rPr>
  </w:style>
  <w:style w:type="character" w:styleId="Hyperlink">
    <w:name w:val="Hyperlink"/>
    <w:rsid w:val="00C344D3"/>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9E37D5"/>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9E37D5"/>
    <w:rPr>
      <w:b/>
      <w:snapToGrid w:val="0"/>
      <w:kern w:val="28"/>
      <w:sz w:val="22"/>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link w:val="FootnoteText"/>
    <w:rsid w:val="009E37D5"/>
  </w:style>
  <w:style w:type="character" w:customStyle="1" w:styleId="ParaNumChar">
    <w:name w:val="ParaNum Char"/>
    <w:link w:val="ParaNum"/>
    <w:locked/>
    <w:rsid w:val="009E37D5"/>
    <w:rPr>
      <w:snapToGrid w:val="0"/>
      <w:kern w:val="28"/>
      <w:sz w:val="22"/>
    </w:rPr>
  </w:style>
  <w:style w:type="character" w:customStyle="1" w:styleId="FooterChar">
    <w:name w:val="Footer Char"/>
    <w:link w:val="Footer"/>
    <w:rsid w:val="009175E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yperlink" Target="mailto:John.Visclosky@fcc.gov" TargetMode="Externa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fsapi.fcc.gov/file/10404438110416/MBC%20Preemption%20Petition%20(2-24-17)-c1%20(002).pdf" TargetMode="External"/><Relationship Id="rId2" Type="http://schemas.openxmlformats.org/officeDocument/2006/relationships/hyperlink" Target="https://ecfsapi.fcc.gov/file/1092186801069/ITTA%20Comments%20on%20Video%20Competition%20Report%20PN%20FINAL%20092116.pdf" TargetMode="External"/><Relationship Id="rId1" Type="http://schemas.openxmlformats.org/officeDocument/2006/relationships/hyperlink" Target="https://ecfsapi.fcc.gov/file/10213980822348/Ex%20Parte%20Letter%20for%20Chairman%20Pai%20Meeting%20on%20Feb.%209%2C%202017--Broadband%20Deployment%20Agenda.pdf" TargetMode="External"/><Relationship Id="rId6" Type="http://schemas.openxmlformats.org/officeDocument/2006/relationships/hyperlink" Target="http://broadbandnow.com/report/apartment-landlords-holding-internet-hostage/" TargetMode="External"/><Relationship Id="rId5" Type="http://schemas.openxmlformats.org/officeDocument/2006/relationships/hyperlink" Target="https://muninetworks.org/content/transcript-community-broadband-bits-episode-197" TargetMode="External"/><Relationship Id="rId4" Type="http://schemas.openxmlformats.org/officeDocument/2006/relationships/hyperlink" Target="https://apps.fcc.gov/edocs_public/attachmatch/DA-17-318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5384</Words>
  <Characters>30550</Characters>
  <Application>Microsoft Office Word</Application>
  <DocSecurity>0</DocSecurity>
  <Lines>455</Lines>
  <Paragraphs>93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36047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2017-06-23T17:48:00Z</dcterms:created>
  <dcterms:modified xsi:type="dcterms:W3CDTF">2017-06-23T17:48:00Z</dcterms:modified>
  <cp:category> </cp:category>
  <cp:contentStatus> </cp:contentStatus>
</cp:coreProperties>
</file>