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rsidTr="00A4361E">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271C2E" w:rsidRPr="00863145" w:rsidRDefault="00271C2E" w:rsidP="00271C2E">
            <w:pPr>
              <w:tabs>
                <w:tab w:val="center" w:pos="4680"/>
              </w:tabs>
              <w:suppressAutoHyphens/>
              <w:rPr>
                <w:spacing w:val="-2"/>
              </w:rPr>
            </w:pPr>
            <w:r w:rsidRPr="00863145">
              <w:rPr>
                <w:spacing w:val="-2"/>
              </w:rPr>
              <w:t>Connect America Fund</w:t>
            </w:r>
          </w:p>
          <w:p w:rsidR="00271C2E" w:rsidRPr="00863145" w:rsidRDefault="00271C2E" w:rsidP="00271C2E">
            <w:pPr>
              <w:tabs>
                <w:tab w:val="center" w:pos="4680"/>
              </w:tabs>
              <w:suppressAutoHyphens/>
              <w:rPr>
                <w:spacing w:val="-2"/>
              </w:rPr>
            </w:pPr>
          </w:p>
          <w:p w:rsidR="00271C2E" w:rsidRPr="00863145" w:rsidRDefault="00271C2E" w:rsidP="00271C2E">
            <w:pPr>
              <w:tabs>
                <w:tab w:val="center" w:pos="4680"/>
              </w:tabs>
              <w:suppressAutoHyphens/>
              <w:rPr>
                <w:spacing w:val="-2"/>
              </w:rPr>
            </w:pPr>
            <w:r w:rsidRPr="00863145">
              <w:rPr>
                <w:spacing w:val="-2"/>
              </w:rPr>
              <w:t>ETC Annual Reports and Certifications</w:t>
            </w:r>
          </w:p>
          <w:p w:rsidR="004C2EE3" w:rsidRPr="007115F7" w:rsidRDefault="004C2EE3" w:rsidP="007115F7">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271C2E"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271C2E" w:rsidRPr="00271C2E" w:rsidRDefault="00271C2E" w:rsidP="00271C2E">
            <w:pPr>
              <w:pStyle w:val="TOAHeading"/>
              <w:tabs>
                <w:tab w:val="center" w:pos="4680"/>
              </w:tabs>
              <w:rPr>
                <w:spacing w:val="-2"/>
              </w:rPr>
            </w:pPr>
            <w:r w:rsidRPr="00271C2E">
              <w:rPr>
                <w:spacing w:val="-2"/>
              </w:rPr>
              <w:t>WC Docket No. 10-90</w:t>
            </w:r>
          </w:p>
          <w:p w:rsidR="00271C2E" w:rsidRPr="00271C2E" w:rsidRDefault="00271C2E" w:rsidP="00271C2E">
            <w:pPr>
              <w:pStyle w:val="TOAHeading"/>
              <w:tabs>
                <w:tab w:val="center" w:pos="4680"/>
              </w:tabs>
              <w:rPr>
                <w:spacing w:val="-2"/>
              </w:rPr>
            </w:pPr>
          </w:p>
          <w:p w:rsidR="004C2EE3" w:rsidRDefault="00271C2E" w:rsidP="00271C2E">
            <w:pPr>
              <w:tabs>
                <w:tab w:val="center" w:pos="4680"/>
              </w:tabs>
              <w:suppressAutoHyphens/>
              <w:rPr>
                <w:spacing w:val="-2"/>
              </w:rPr>
            </w:pPr>
            <w:r w:rsidRPr="00271C2E">
              <w:rPr>
                <w:spacing w:val="-2"/>
              </w:rPr>
              <w:t>WC Docket No. 14-58</w:t>
            </w:r>
          </w:p>
        </w:tc>
      </w:tr>
    </w:tbl>
    <w:p w:rsidR="004C2EE3" w:rsidRDefault="004C2EE3" w:rsidP="0070224F"/>
    <w:p w:rsidR="00841AB1" w:rsidRDefault="001C0B46" w:rsidP="00F021FA">
      <w:pPr>
        <w:pStyle w:val="StyleBoldCentered"/>
      </w:pPr>
      <w:r>
        <w:t>Report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A416A7">
        <w:rPr>
          <w:b/>
          <w:spacing w:val="-2"/>
        </w:rPr>
        <w:t>July 6</w:t>
      </w:r>
      <w:r w:rsidR="001C0B46">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416A7">
        <w:rPr>
          <w:b/>
          <w:spacing w:val="-2"/>
        </w:rPr>
        <w:t>July 7</w:t>
      </w:r>
      <w:r w:rsidR="001C0B46">
        <w:rPr>
          <w:b/>
          <w:spacing w:val="-2"/>
        </w:rPr>
        <w:t>, 2017</w:t>
      </w:r>
    </w:p>
    <w:p w:rsidR="00822CE0" w:rsidRDefault="00822CE0"/>
    <w:p w:rsidR="004C2EE3" w:rsidRDefault="004C2EE3">
      <w:pPr>
        <w:rPr>
          <w:spacing w:val="-2"/>
        </w:rPr>
      </w:pPr>
      <w:r>
        <w:t xml:space="preserve">By </w:t>
      </w:r>
      <w:r w:rsidR="004E4A22">
        <w:t>the</w:t>
      </w:r>
      <w:r w:rsidR="002A2D2E">
        <w:t xml:space="preserve"> </w:t>
      </w:r>
      <w:r w:rsidR="001C0B46">
        <w:rPr>
          <w:spacing w:val="-2"/>
        </w:rPr>
        <w:t>Commission</w:t>
      </w:r>
      <w:r>
        <w:rPr>
          <w:spacing w:val="-2"/>
        </w:rPr>
        <w:t>:</w:t>
      </w:r>
    </w:p>
    <w:p w:rsidR="00822CE0" w:rsidRDefault="00822CE0">
      <w:pPr>
        <w:rPr>
          <w:spacing w:val="-2"/>
        </w:rPr>
      </w:pPr>
    </w:p>
    <w:p w:rsidR="001C0B46" w:rsidRPr="00F21DE1" w:rsidRDefault="001C0B46" w:rsidP="00271C2E">
      <w:pPr>
        <w:pStyle w:val="ParaNum"/>
      </w:pPr>
      <w:r>
        <w:t xml:space="preserve">In </w:t>
      </w:r>
      <w:r w:rsidRPr="0057511D">
        <w:t xml:space="preserve">this </w:t>
      </w:r>
      <w:r>
        <w:t xml:space="preserve">Report and </w:t>
      </w:r>
      <w:r w:rsidRPr="0057511D">
        <w:t xml:space="preserve">Order, </w:t>
      </w:r>
      <w:r>
        <w:t>by eliminating several rules that are either duplicative of other reporting requirements or are simply no longer necessary,</w:t>
      </w:r>
      <w:r w:rsidRPr="0057511D">
        <w:t xml:space="preserve"> we </w:t>
      </w:r>
      <w:r>
        <w:t>streamline the annual reporting requirements for eligible telecommunications carriers (ETCs) that receive high-cost universal service support.   We also re-emphasize the importance of providing the public with access to non-confidential information filed by ETCs, and we direct the Universal Service Administrative Company (USAC) to work closely with state and Tribal governments and other stakeholders to improve public access to the information that ETCs will continue to file.  In doing so, we reduce ETCs’ regulatory burdens while strengthening the tools for program oversight in furtherance of our goal of protecting the high cost universal support program against waste, fraud, and abuse.</w:t>
      </w:r>
    </w:p>
    <w:p w:rsidR="001C0B46" w:rsidRPr="004C5339" w:rsidRDefault="001C0B46" w:rsidP="001C0B46">
      <w:pPr>
        <w:pStyle w:val="ListParagraph"/>
        <w:numPr>
          <w:ilvl w:val="0"/>
          <w:numId w:val="7"/>
        </w:numPr>
        <w:spacing w:after="120" w:line="240" w:lineRule="auto"/>
        <w:ind w:left="0" w:firstLine="720"/>
        <w:contextualSpacing w:val="0"/>
        <w:rPr>
          <w:rFonts w:ascii="Times New Roman" w:hAnsi="Times New Roman"/>
        </w:rPr>
      </w:pPr>
      <w:r w:rsidRPr="004C5339">
        <w:rPr>
          <w:rFonts w:ascii="Times New Roman" w:hAnsi="Times New Roman"/>
          <w:i/>
        </w:rPr>
        <w:t>Background</w:t>
      </w:r>
      <w:r w:rsidRPr="004C5339">
        <w:rPr>
          <w:rFonts w:ascii="Times New Roman" w:hAnsi="Times New Roman"/>
        </w:rPr>
        <w:t xml:space="preserve">.  In the </w:t>
      </w:r>
      <w:r w:rsidRPr="004C5339">
        <w:rPr>
          <w:rFonts w:ascii="Times New Roman" w:hAnsi="Times New Roman"/>
          <w:i/>
        </w:rPr>
        <w:t>Rate-of-Return Reform FNPRM</w:t>
      </w:r>
      <w:r w:rsidRPr="004C5339">
        <w:rPr>
          <w:rFonts w:ascii="Times New Roman" w:hAnsi="Times New Roman"/>
        </w:rPr>
        <w:t xml:space="preserve">, we proposed </w:t>
      </w:r>
      <w:r>
        <w:rPr>
          <w:rFonts w:ascii="Times New Roman" w:hAnsi="Times New Roman"/>
        </w:rPr>
        <w:t xml:space="preserve">to modify or eliminate several ETC reporting obligations in order to reduce unnecessary </w:t>
      </w:r>
      <w:r w:rsidRPr="004C5339">
        <w:rPr>
          <w:rFonts w:ascii="Times New Roman" w:hAnsi="Times New Roman"/>
        </w:rPr>
        <w:t>regulatory reporting burdens on ETCs, particularly those that are small businesses.</w:t>
      </w:r>
      <w:r>
        <w:rPr>
          <w:rStyle w:val="FootnoteReference"/>
        </w:rPr>
        <w:footnoteReference w:id="2"/>
      </w:r>
      <w:r w:rsidRPr="004C5339">
        <w:rPr>
          <w:rFonts w:ascii="Times New Roman" w:hAnsi="Times New Roman"/>
        </w:rPr>
        <w:t xml:space="preserve"> </w:t>
      </w:r>
      <w:r>
        <w:rPr>
          <w:rFonts w:ascii="Times New Roman" w:hAnsi="Times New Roman"/>
        </w:rPr>
        <w:t xml:space="preserve"> Specifically, w</w:t>
      </w:r>
      <w:r w:rsidRPr="004C5339">
        <w:rPr>
          <w:rFonts w:ascii="Times New Roman" w:hAnsi="Times New Roman"/>
        </w:rPr>
        <w:t xml:space="preserve">e sought comment on modifying or eliminating </w:t>
      </w:r>
      <w:r>
        <w:rPr>
          <w:rFonts w:ascii="Times New Roman" w:hAnsi="Times New Roman"/>
        </w:rPr>
        <w:t xml:space="preserve">ETCs’ obligations to </w:t>
      </w:r>
      <w:r w:rsidRPr="004C5339">
        <w:rPr>
          <w:rFonts w:ascii="Times New Roman" w:hAnsi="Times New Roman"/>
        </w:rPr>
        <w:t xml:space="preserve">report (1) </w:t>
      </w:r>
      <w:r>
        <w:rPr>
          <w:rFonts w:ascii="Times New Roman" w:hAnsi="Times New Roman"/>
        </w:rPr>
        <w:t xml:space="preserve">network </w:t>
      </w:r>
      <w:r w:rsidRPr="004C5339">
        <w:rPr>
          <w:rFonts w:ascii="Times New Roman" w:hAnsi="Times New Roman"/>
        </w:rPr>
        <w:t xml:space="preserve">outage information; (2) unfulfilled service requests; (3) the number of complaints </w:t>
      </w:r>
      <w:r>
        <w:rPr>
          <w:rFonts w:ascii="Times New Roman" w:hAnsi="Times New Roman"/>
        </w:rPr>
        <w:t xml:space="preserve">received by an ETC </w:t>
      </w:r>
      <w:r w:rsidRPr="004C5339">
        <w:rPr>
          <w:rFonts w:ascii="Times New Roman" w:hAnsi="Times New Roman"/>
        </w:rPr>
        <w:t>per 1,000 subscribers for both voice and broadband service</w:t>
      </w:r>
      <w:r>
        <w:rPr>
          <w:rFonts w:ascii="Times New Roman" w:hAnsi="Times New Roman"/>
        </w:rPr>
        <w:t>s</w:t>
      </w:r>
      <w:r w:rsidRPr="004C5339">
        <w:rPr>
          <w:rFonts w:ascii="Times New Roman" w:hAnsi="Times New Roman"/>
        </w:rPr>
        <w:t xml:space="preserve">; </w:t>
      </w:r>
      <w:r>
        <w:rPr>
          <w:rFonts w:ascii="Times New Roman" w:hAnsi="Times New Roman"/>
        </w:rPr>
        <w:t xml:space="preserve">and </w:t>
      </w:r>
      <w:r w:rsidRPr="004C5339">
        <w:rPr>
          <w:rFonts w:ascii="Times New Roman" w:hAnsi="Times New Roman"/>
        </w:rPr>
        <w:t>(4) pricing for voice and broadband</w:t>
      </w:r>
      <w:r>
        <w:rPr>
          <w:rFonts w:ascii="Times New Roman" w:hAnsi="Times New Roman"/>
        </w:rPr>
        <w:t xml:space="preserve"> services.  We also sought comment on eliminating the requirements that ETCs certify </w:t>
      </w:r>
      <w:r w:rsidRPr="004C5339">
        <w:rPr>
          <w:rFonts w:ascii="Times New Roman" w:hAnsi="Times New Roman"/>
        </w:rPr>
        <w:t>compl</w:t>
      </w:r>
      <w:r>
        <w:rPr>
          <w:rFonts w:ascii="Times New Roman" w:hAnsi="Times New Roman"/>
        </w:rPr>
        <w:t>iance</w:t>
      </w:r>
      <w:r w:rsidRPr="004C5339">
        <w:rPr>
          <w:rFonts w:ascii="Times New Roman" w:hAnsi="Times New Roman"/>
        </w:rPr>
        <w:t xml:space="preserve"> with applicable service quality standards </w:t>
      </w:r>
      <w:r>
        <w:rPr>
          <w:rFonts w:ascii="Times New Roman" w:hAnsi="Times New Roman"/>
        </w:rPr>
        <w:t xml:space="preserve">and </w:t>
      </w:r>
      <w:r w:rsidRPr="004C5339">
        <w:rPr>
          <w:rFonts w:ascii="Times New Roman" w:hAnsi="Times New Roman"/>
        </w:rPr>
        <w:t xml:space="preserve">that </w:t>
      </w:r>
      <w:r>
        <w:rPr>
          <w:rFonts w:ascii="Times New Roman" w:hAnsi="Times New Roman"/>
        </w:rPr>
        <w:t xml:space="preserve">they </w:t>
      </w:r>
      <w:r w:rsidRPr="004C5339">
        <w:rPr>
          <w:rFonts w:ascii="Times New Roman" w:hAnsi="Times New Roman"/>
        </w:rPr>
        <w:t>file</w:t>
      </w:r>
      <w:r>
        <w:rPr>
          <w:rFonts w:ascii="Times New Roman" w:hAnsi="Times New Roman"/>
        </w:rPr>
        <w:t xml:space="preserve"> duplicate</w:t>
      </w:r>
      <w:r w:rsidRPr="004C5339">
        <w:rPr>
          <w:rFonts w:ascii="Times New Roman" w:hAnsi="Times New Roman"/>
        </w:rPr>
        <w:t xml:space="preserve"> </w:t>
      </w:r>
      <w:r>
        <w:rPr>
          <w:rFonts w:ascii="Times New Roman" w:hAnsi="Times New Roman"/>
        </w:rPr>
        <w:t xml:space="preserve">copies </w:t>
      </w:r>
      <w:r w:rsidRPr="004C5339">
        <w:rPr>
          <w:rFonts w:ascii="Times New Roman" w:hAnsi="Times New Roman"/>
        </w:rPr>
        <w:t xml:space="preserve">of Form 481 with the FCC, </w:t>
      </w:r>
      <w:r>
        <w:rPr>
          <w:rFonts w:ascii="Times New Roman" w:hAnsi="Times New Roman"/>
        </w:rPr>
        <w:t xml:space="preserve">and with </w:t>
      </w:r>
      <w:r w:rsidRPr="004C5339">
        <w:rPr>
          <w:rFonts w:ascii="Times New Roman" w:hAnsi="Times New Roman"/>
        </w:rPr>
        <w:t>states</w:t>
      </w:r>
      <w:r>
        <w:rPr>
          <w:rFonts w:ascii="Times New Roman" w:hAnsi="Times New Roman"/>
        </w:rPr>
        <w:t>,</w:t>
      </w:r>
      <w:r w:rsidRPr="004C5339">
        <w:rPr>
          <w:rFonts w:ascii="Times New Roman" w:hAnsi="Times New Roman"/>
        </w:rPr>
        <w:t xml:space="preserve"> and/or Tribal governments.</w:t>
      </w:r>
      <w:r>
        <w:rPr>
          <w:rStyle w:val="FootnoteReference"/>
        </w:rPr>
        <w:footnoteReference w:id="3"/>
      </w:r>
    </w:p>
    <w:p w:rsidR="001C0B46" w:rsidRPr="004C5339" w:rsidRDefault="001C0B46" w:rsidP="001C0B46">
      <w:pPr>
        <w:pStyle w:val="ListParagraph"/>
        <w:numPr>
          <w:ilvl w:val="0"/>
          <w:numId w:val="7"/>
        </w:numPr>
        <w:spacing w:after="120"/>
        <w:ind w:left="0" w:firstLine="720"/>
        <w:contextualSpacing w:val="0"/>
        <w:rPr>
          <w:rFonts w:ascii="Times New Roman" w:hAnsi="Times New Roman"/>
        </w:rPr>
      </w:pPr>
      <w:r w:rsidRPr="004C5339">
        <w:rPr>
          <w:rFonts w:ascii="Times New Roman" w:hAnsi="Times New Roman"/>
          <w:i/>
        </w:rPr>
        <w:t>Discussion</w:t>
      </w:r>
      <w:r w:rsidRPr="004C5339">
        <w:rPr>
          <w:rFonts w:ascii="Times New Roman" w:hAnsi="Times New Roman"/>
        </w:rPr>
        <w:t xml:space="preserve">.  </w:t>
      </w:r>
      <w:r>
        <w:rPr>
          <w:rFonts w:ascii="Times New Roman" w:hAnsi="Times New Roman"/>
        </w:rPr>
        <w:t xml:space="preserve">Based on the record before us, </w:t>
      </w:r>
      <w:r w:rsidRPr="004C5339">
        <w:rPr>
          <w:rFonts w:ascii="Times New Roman" w:hAnsi="Times New Roman"/>
        </w:rPr>
        <w:t xml:space="preserve">we find that </w:t>
      </w:r>
      <w:r>
        <w:rPr>
          <w:rFonts w:ascii="Times New Roman" w:hAnsi="Times New Roman"/>
        </w:rPr>
        <w:t>we can eliminate all</w:t>
      </w:r>
      <w:r w:rsidRPr="004C5339">
        <w:rPr>
          <w:rFonts w:ascii="Times New Roman" w:hAnsi="Times New Roman"/>
        </w:rPr>
        <w:t xml:space="preserve"> elements of the Commission’s annual </w:t>
      </w:r>
      <w:r>
        <w:rPr>
          <w:rFonts w:ascii="Times New Roman" w:hAnsi="Times New Roman"/>
        </w:rPr>
        <w:t xml:space="preserve">high-cost </w:t>
      </w:r>
      <w:r w:rsidRPr="004C5339">
        <w:rPr>
          <w:rFonts w:ascii="Times New Roman" w:hAnsi="Times New Roman"/>
        </w:rPr>
        <w:t>reporting rules</w:t>
      </w:r>
      <w:r>
        <w:rPr>
          <w:rFonts w:ascii="Times New Roman" w:hAnsi="Times New Roman"/>
        </w:rPr>
        <w:t xml:space="preserve"> on which we sought comment</w:t>
      </w:r>
      <w:r w:rsidRPr="004C5339">
        <w:rPr>
          <w:rFonts w:ascii="Times New Roman" w:hAnsi="Times New Roman"/>
        </w:rPr>
        <w:t xml:space="preserve"> without </w:t>
      </w:r>
      <w:r>
        <w:rPr>
          <w:rFonts w:ascii="Times New Roman" w:hAnsi="Times New Roman"/>
        </w:rPr>
        <w:t xml:space="preserve">compromising </w:t>
      </w:r>
      <w:r w:rsidRPr="004C5339">
        <w:rPr>
          <w:rFonts w:ascii="Times New Roman" w:hAnsi="Times New Roman"/>
        </w:rPr>
        <w:t xml:space="preserve">our ability to monitor whether </w:t>
      </w:r>
      <w:r>
        <w:rPr>
          <w:rFonts w:ascii="Times New Roman" w:hAnsi="Times New Roman"/>
        </w:rPr>
        <w:t xml:space="preserve">ETCs are using </w:t>
      </w:r>
      <w:r w:rsidRPr="004C5339">
        <w:rPr>
          <w:rFonts w:ascii="Times New Roman" w:hAnsi="Times New Roman"/>
        </w:rPr>
        <w:t>high-cost universal service support for its intended purpose.</w:t>
      </w:r>
      <w:r>
        <w:rPr>
          <w:rStyle w:val="FootnoteReference"/>
        </w:rPr>
        <w:footnoteReference w:id="4"/>
      </w:r>
      <w:r w:rsidRPr="004C5339">
        <w:rPr>
          <w:rFonts w:ascii="Times New Roman" w:hAnsi="Times New Roman"/>
        </w:rPr>
        <w:t xml:space="preserve">  </w:t>
      </w:r>
      <w:r>
        <w:rPr>
          <w:rFonts w:ascii="Times New Roman" w:hAnsi="Times New Roman"/>
        </w:rPr>
        <w:t xml:space="preserve">We agree with the vast majority of commenters that note “reporting obligations should be </w:t>
      </w:r>
      <w:r>
        <w:rPr>
          <w:rFonts w:ascii="Times New Roman" w:hAnsi="Times New Roman"/>
        </w:rPr>
        <w:lastRenderedPageBreak/>
        <w:t>effectively and efficiently tailored to monitoring ETCs’ modified service obligations.”</w:t>
      </w:r>
      <w:r>
        <w:rPr>
          <w:rStyle w:val="FootnoteReference"/>
        </w:rPr>
        <w:footnoteReference w:id="5"/>
      </w:r>
      <w:r>
        <w:rPr>
          <w:rFonts w:ascii="Times New Roman" w:hAnsi="Times New Roman"/>
        </w:rPr>
        <w:t xml:space="preserve">  At the same time, we reiterate the importance of providing access to non-confidential information to </w:t>
      </w:r>
      <w:r w:rsidRPr="004C5339">
        <w:rPr>
          <w:rFonts w:ascii="Times New Roman" w:hAnsi="Times New Roman"/>
        </w:rPr>
        <w:t xml:space="preserve">the public and </w:t>
      </w:r>
      <w:r>
        <w:rPr>
          <w:rFonts w:ascii="Times New Roman" w:hAnsi="Times New Roman"/>
        </w:rPr>
        <w:t>to</w:t>
      </w:r>
      <w:r w:rsidRPr="004C5339">
        <w:rPr>
          <w:rFonts w:ascii="Times New Roman" w:hAnsi="Times New Roman"/>
        </w:rPr>
        <w:t xml:space="preserve"> states, U.S. Territories, and Tribal governments.</w:t>
      </w:r>
    </w:p>
    <w:p w:rsidR="001C0B46" w:rsidRPr="00094419" w:rsidRDefault="001C0B46" w:rsidP="001C0B46">
      <w:pPr>
        <w:pStyle w:val="ListParagraph"/>
        <w:numPr>
          <w:ilvl w:val="0"/>
          <w:numId w:val="7"/>
        </w:numPr>
        <w:spacing w:after="120" w:line="240" w:lineRule="auto"/>
        <w:ind w:left="0" w:firstLine="720"/>
        <w:contextualSpacing w:val="0"/>
        <w:rPr>
          <w:rFonts w:ascii="Times New Roman" w:hAnsi="Times New Roman"/>
        </w:rPr>
      </w:pPr>
      <w:r w:rsidRPr="00094419">
        <w:rPr>
          <w:rFonts w:ascii="Times New Roman" w:hAnsi="Times New Roman"/>
          <w:i/>
        </w:rPr>
        <w:t>Network outage reporting</w:t>
      </w:r>
      <w:r w:rsidRPr="00094419">
        <w:rPr>
          <w:rFonts w:ascii="Times New Roman" w:hAnsi="Times New Roman"/>
        </w:rPr>
        <w:t xml:space="preserve">.  First, because </w:t>
      </w:r>
      <w:r w:rsidRPr="00094419">
        <w:rPr>
          <w:rFonts w:ascii="Times New Roman" w:hAnsi="Times New Roman"/>
          <w:shd w:val="clear" w:color="auto" w:fill="FFFFFF"/>
        </w:rPr>
        <w:t xml:space="preserve">the Commission’s </w:t>
      </w:r>
      <w:r w:rsidRPr="00094419">
        <w:rPr>
          <w:rFonts w:ascii="Times New Roman" w:hAnsi="Times New Roman"/>
        </w:rPr>
        <w:t>Network Outage Reporting System (NORS) already collects detailed outage information, and does so in a more timely fashion than the FCC Form 481,</w:t>
      </w:r>
      <w:r w:rsidRPr="00094419">
        <w:rPr>
          <w:rStyle w:val="FootnoteReference"/>
        </w:rPr>
        <w:footnoteReference w:id="6"/>
      </w:r>
      <w:r w:rsidRPr="00094419">
        <w:rPr>
          <w:rFonts w:ascii="Times New Roman" w:hAnsi="Times New Roman"/>
        </w:rPr>
        <w:t xml:space="preserve"> we eliminate the rule requiring that ETCs’ annual reports include detailed information about any outages affecting voice service for at least 30 minutes that they have experienced in the prior calendar year.</w:t>
      </w:r>
      <w:r w:rsidRPr="00094419">
        <w:rPr>
          <w:rStyle w:val="FootnoteReference"/>
        </w:rPr>
        <w:footnoteReference w:id="7"/>
      </w:r>
      <w:r w:rsidRPr="00094419">
        <w:rPr>
          <w:rFonts w:ascii="Times New Roman" w:hAnsi="Times New Roman"/>
        </w:rPr>
        <w:t xml:space="preserve">  Moreover, g</w:t>
      </w:r>
      <w:r w:rsidRPr="00094419">
        <w:rPr>
          <w:rFonts w:ascii="Times New Roman" w:hAnsi="Times New Roman"/>
          <w:shd w:val="clear" w:color="auto" w:fill="FFFFFF"/>
        </w:rPr>
        <w:t xml:space="preserve">iven the sensitive nature of this data to both national security and commercial competitiveness, most ETCs seek confidential treatment of their outage reporting.  Centralizing our collection of outage information in </w:t>
      </w:r>
      <w:r w:rsidRPr="00094419">
        <w:rPr>
          <w:rFonts w:ascii="Times New Roman" w:hAnsi="Times New Roman"/>
        </w:rPr>
        <w:t xml:space="preserve">NORS will reduce the burden on ETCs of filing multiple requests for confidential treatment for the same information.  It will also allow USAC to make more of an ETC’s Form 481 data publicly available.  </w:t>
      </w:r>
    </w:p>
    <w:p w:rsidR="001C0B46" w:rsidRPr="00AB7DDA" w:rsidRDefault="001C0B46" w:rsidP="00E801E9">
      <w:pPr>
        <w:pStyle w:val="ListParagraph"/>
        <w:numPr>
          <w:ilvl w:val="0"/>
          <w:numId w:val="7"/>
        </w:numPr>
        <w:spacing w:after="120" w:line="240" w:lineRule="auto"/>
        <w:ind w:left="0" w:firstLine="720"/>
        <w:contextualSpacing w:val="0"/>
        <w:rPr>
          <w:rFonts w:ascii="Times New Roman" w:hAnsi="Times New Roman"/>
        </w:rPr>
      </w:pPr>
      <w:r w:rsidRPr="00E801E9">
        <w:rPr>
          <w:rFonts w:ascii="Times New Roman" w:hAnsi="Times New Roman"/>
        </w:rPr>
        <w:t>Most commenters support eliminating this duplicative requirement.</w:t>
      </w:r>
      <w:r>
        <w:rPr>
          <w:rStyle w:val="FootnoteReference"/>
        </w:rPr>
        <w:footnoteReference w:id="8"/>
      </w:r>
      <w:r w:rsidRPr="00E801E9">
        <w:rPr>
          <w:rFonts w:ascii="Times New Roman" w:hAnsi="Times New Roman"/>
        </w:rPr>
        <w:t xml:space="preserve">  We disagree with those commenters that suggest that reporting this information imposes no additional costs on carriers.</w:t>
      </w:r>
      <w:r>
        <w:rPr>
          <w:rStyle w:val="FootnoteReference"/>
        </w:rPr>
        <w:footnoteReference w:id="9"/>
      </w:r>
      <w:r w:rsidRPr="00E801E9">
        <w:rPr>
          <w:rFonts w:ascii="Times New Roman" w:hAnsi="Times New Roman"/>
        </w:rPr>
        <w:t xml:space="preserve">  Even if a carrier has information on outages readily available, preparing and submitting duplicative documentation entails costs.  We also disagree with suggestions that, because some states have deregulated telecommunications services in their states, we should retain certain federal reporting requirements.</w:t>
      </w:r>
      <w:r>
        <w:rPr>
          <w:rStyle w:val="FootnoteReference"/>
        </w:rPr>
        <w:footnoteReference w:id="10"/>
      </w:r>
      <w:r w:rsidRPr="00E801E9">
        <w:rPr>
          <w:rFonts w:ascii="Times New Roman" w:hAnsi="Times New Roman"/>
        </w:rPr>
        <w:t xml:space="preserve">  Because carriers already have a federal obligation to file this information through NORS, we find it inappropriate to continue to require carriers to incur additional costs solely to provide states with this information directly where we have determined it is unnecessary for our own high-cost universal service oversight.  </w:t>
      </w:r>
      <w:r w:rsidR="00165931" w:rsidRPr="00A90433">
        <w:rPr>
          <w:rFonts w:ascii="Times New Roman" w:hAnsi="Times New Roman"/>
        </w:rPr>
        <w:t>To the extent that state</w:t>
      </w:r>
      <w:r w:rsidR="0010439D" w:rsidRPr="00A90433">
        <w:rPr>
          <w:rFonts w:ascii="Times New Roman" w:hAnsi="Times New Roman"/>
        </w:rPr>
        <w:t xml:space="preserve"> agencies want </w:t>
      </w:r>
      <w:r w:rsidR="00165931" w:rsidRPr="00E009BC">
        <w:rPr>
          <w:rFonts w:ascii="Times New Roman" w:hAnsi="Times New Roman"/>
        </w:rPr>
        <w:t xml:space="preserve">network outage information for their own purposes, they </w:t>
      </w:r>
      <w:r w:rsidR="0010439D" w:rsidRPr="00847141">
        <w:rPr>
          <w:rFonts w:ascii="Times New Roman" w:hAnsi="Times New Roman"/>
        </w:rPr>
        <w:t xml:space="preserve">can, and some do, </w:t>
      </w:r>
      <w:r w:rsidR="00165931" w:rsidRPr="00847141">
        <w:rPr>
          <w:rFonts w:ascii="Times New Roman" w:hAnsi="Times New Roman"/>
        </w:rPr>
        <w:t xml:space="preserve">obtain </w:t>
      </w:r>
      <w:r w:rsidR="0010439D" w:rsidRPr="00847141">
        <w:rPr>
          <w:rFonts w:ascii="Times New Roman" w:hAnsi="Times New Roman"/>
        </w:rPr>
        <w:t>such</w:t>
      </w:r>
      <w:r w:rsidR="00165931" w:rsidRPr="00847141">
        <w:rPr>
          <w:rFonts w:ascii="Times New Roman" w:hAnsi="Times New Roman"/>
        </w:rPr>
        <w:t xml:space="preserve"> information through their own mechanisms.</w:t>
      </w:r>
      <w:r w:rsidR="00165931" w:rsidRPr="00A90433">
        <w:rPr>
          <w:rStyle w:val="FootnoteReference"/>
        </w:rPr>
        <w:footnoteReference w:id="11"/>
      </w:r>
    </w:p>
    <w:p w:rsidR="001C0B46" w:rsidRPr="00E801E9" w:rsidRDefault="001C0B46" w:rsidP="00E801E9">
      <w:pPr>
        <w:pStyle w:val="ListParagraph"/>
        <w:numPr>
          <w:ilvl w:val="0"/>
          <w:numId w:val="7"/>
        </w:numPr>
        <w:spacing w:after="120" w:line="240" w:lineRule="auto"/>
        <w:ind w:left="0" w:firstLine="720"/>
        <w:contextualSpacing w:val="0"/>
        <w:rPr>
          <w:rFonts w:ascii="Times New Roman" w:hAnsi="Times New Roman"/>
        </w:rPr>
      </w:pPr>
      <w:r w:rsidRPr="00E801E9">
        <w:rPr>
          <w:rFonts w:ascii="Times New Roman" w:hAnsi="Times New Roman"/>
          <w:i/>
        </w:rPr>
        <w:t>Unfulfilled service requests</w:t>
      </w:r>
      <w:r w:rsidRPr="00E801E9">
        <w:rPr>
          <w:rFonts w:ascii="Times New Roman" w:hAnsi="Times New Roman"/>
        </w:rPr>
        <w:t>.  Second, we eliminate the requirement that ETCs report the number of service requests they receive but do not fulfill.</w:t>
      </w:r>
      <w:r w:rsidRPr="00F129CE">
        <w:rPr>
          <w:rStyle w:val="FootnoteReference"/>
        </w:rPr>
        <w:footnoteReference w:id="12"/>
      </w:r>
      <w:r w:rsidRPr="00E801E9">
        <w:rPr>
          <w:rFonts w:ascii="Times New Roman" w:hAnsi="Times New Roman"/>
        </w:rPr>
        <w:t xml:space="preserve">  The underlying purpose of this rule when </w:t>
      </w:r>
      <w:r w:rsidRPr="00E801E9">
        <w:rPr>
          <w:rFonts w:ascii="Times New Roman" w:hAnsi="Times New Roman"/>
        </w:rPr>
        <w:lastRenderedPageBreak/>
        <w:t>adopted was to allow the Commission to monitor rate-of-return carriers’ progress in deploying broadband pursuant to the reasonable request standard.</w:t>
      </w:r>
      <w:r>
        <w:rPr>
          <w:rStyle w:val="FootnoteReference"/>
        </w:rPr>
        <w:footnoteReference w:id="13"/>
      </w:r>
      <w:r w:rsidRPr="00E801E9">
        <w:rPr>
          <w:rFonts w:ascii="Times New Roman" w:hAnsi="Times New Roman"/>
        </w:rPr>
        <w:t xml:space="preserve">  Based on our implementation, however, we find that the rule as written is not appropriately tailored to further the goal.  Absent uniform and clear standards for how individual carriers evaluate such requests, the data reported cannot support any meaningful evaluation.  In the </w:t>
      </w:r>
      <w:r w:rsidRPr="00E801E9">
        <w:rPr>
          <w:rFonts w:ascii="Times New Roman" w:hAnsi="Times New Roman"/>
          <w:i/>
        </w:rPr>
        <w:t>Rate-of-Return Reform Order</w:t>
      </w:r>
      <w:r w:rsidRPr="00E801E9">
        <w:rPr>
          <w:rFonts w:ascii="Times New Roman" w:hAnsi="Times New Roman"/>
        </w:rPr>
        <w:t>, the Commission replaced the reasonable request standard, the primary reason the Commission originally adopted this reporting requirement, with defined broadband obligations.</w:t>
      </w:r>
      <w:r>
        <w:rPr>
          <w:rStyle w:val="FootnoteReference"/>
        </w:rPr>
        <w:footnoteReference w:id="14"/>
      </w:r>
      <w:r w:rsidRPr="00E801E9">
        <w:rPr>
          <w:rFonts w:ascii="Times New Roman" w:hAnsi="Times New Roman"/>
        </w:rPr>
        <w:t xml:space="preserve">  Thus, now most high-cost recipients – particularly rate-of-return carriers regardless of whether they elected to receive model-based support or remain on the reformed support mechanisms – have specific broadband deployment obligations that we will be able to monitor through their annual submission of information about the exact locations to which they built in the prior calendar year.</w:t>
      </w:r>
      <w:r>
        <w:rPr>
          <w:rStyle w:val="FootnoteReference"/>
        </w:rPr>
        <w:footnoteReference w:id="15"/>
      </w:r>
      <w:r w:rsidRPr="00E801E9">
        <w:rPr>
          <w:rFonts w:ascii="Times New Roman" w:hAnsi="Times New Roman"/>
        </w:rPr>
        <w:t xml:space="preserve">  Even if the Commission provided ETCs with additional guidance, this objective metric is a more efficient way to measure compliance than reporting unfulfilled requests, which requires a subjective determination as to whether to include the data.  We therefore eliminate this specific reporting requirement for all ETCs.  </w:t>
      </w:r>
    </w:p>
    <w:p w:rsidR="001C0B46" w:rsidRDefault="001C0B46" w:rsidP="001C0B46">
      <w:pPr>
        <w:pStyle w:val="ListParagraph"/>
        <w:numPr>
          <w:ilvl w:val="0"/>
          <w:numId w:val="7"/>
        </w:numPr>
        <w:spacing w:after="120" w:line="240" w:lineRule="auto"/>
        <w:ind w:left="0" w:firstLine="720"/>
        <w:contextualSpacing w:val="0"/>
        <w:rPr>
          <w:rFonts w:ascii="Times New Roman" w:hAnsi="Times New Roman"/>
        </w:rPr>
      </w:pPr>
      <w:r>
        <w:rPr>
          <w:rFonts w:ascii="Times New Roman" w:hAnsi="Times New Roman"/>
        </w:rPr>
        <w:t>Most commenters support this outcome.</w:t>
      </w:r>
      <w:r>
        <w:rPr>
          <w:rStyle w:val="FootnoteReference"/>
        </w:rPr>
        <w:footnoteReference w:id="16"/>
      </w:r>
      <w:r>
        <w:rPr>
          <w:rFonts w:ascii="Times New Roman" w:hAnsi="Times New Roman"/>
        </w:rPr>
        <w:t xml:space="preserve">  As with the other reporting requirements we are eliminating, and for the same reasons, we disagree with those commenters that argue that reporting this information imposes no additional costs and that the Commission should continue collecting this information for the use of state commissions.</w:t>
      </w:r>
      <w:r>
        <w:rPr>
          <w:rStyle w:val="FootnoteReference"/>
        </w:rPr>
        <w:footnoteReference w:id="17"/>
      </w:r>
      <w:r>
        <w:rPr>
          <w:rFonts w:ascii="Times New Roman" w:hAnsi="Times New Roman"/>
        </w:rPr>
        <w:t xml:space="preserve">  In the </w:t>
      </w:r>
      <w:r>
        <w:rPr>
          <w:rFonts w:ascii="Times New Roman" w:hAnsi="Times New Roman"/>
          <w:i/>
        </w:rPr>
        <w:t>Rate-of-Return Reform Order</w:t>
      </w:r>
      <w:r>
        <w:rPr>
          <w:rFonts w:ascii="Times New Roman" w:hAnsi="Times New Roman"/>
        </w:rPr>
        <w:t>, the Commission directed USAC to provide the public access to ETCs’ non-confidential location information and develop an online map that will enable the public to visualize service availability.</w:t>
      </w:r>
      <w:r>
        <w:rPr>
          <w:rStyle w:val="FootnoteReference"/>
        </w:rPr>
        <w:footnoteReference w:id="18"/>
      </w:r>
      <w:r>
        <w:rPr>
          <w:rFonts w:ascii="Times New Roman" w:hAnsi="Times New Roman"/>
        </w:rPr>
        <w:t xml:space="preserve">  Because we believe the information USAC will make available online will be more useful to the public and equally useful to state commissions, we also decline to modify the requirement, as one commenter suggests.</w:t>
      </w:r>
      <w:r>
        <w:rPr>
          <w:rStyle w:val="FootnoteReference"/>
        </w:rPr>
        <w:footnoteReference w:id="19"/>
      </w:r>
    </w:p>
    <w:p w:rsidR="001C0B46" w:rsidRDefault="001C0B46" w:rsidP="001C0B46">
      <w:pPr>
        <w:pStyle w:val="ListParagraph"/>
        <w:numPr>
          <w:ilvl w:val="0"/>
          <w:numId w:val="7"/>
        </w:numPr>
        <w:spacing w:after="120" w:line="240" w:lineRule="auto"/>
        <w:ind w:left="0" w:firstLine="720"/>
        <w:contextualSpacing w:val="0"/>
        <w:rPr>
          <w:rFonts w:ascii="Times New Roman" w:hAnsi="Times New Roman"/>
        </w:rPr>
      </w:pPr>
      <w:r>
        <w:rPr>
          <w:rFonts w:ascii="Times New Roman" w:hAnsi="Times New Roman"/>
          <w:i/>
        </w:rPr>
        <w:t xml:space="preserve">Complaint reporting.  </w:t>
      </w:r>
      <w:r w:rsidRPr="00082BB7">
        <w:rPr>
          <w:rFonts w:ascii="Times New Roman" w:hAnsi="Times New Roman"/>
        </w:rPr>
        <w:t xml:space="preserve">Third, we </w:t>
      </w:r>
      <w:r>
        <w:rPr>
          <w:rFonts w:ascii="Times New Roman" w:hAnsi="Times New Roman"/>
        </w:rPr>
        <w:t>eliminate</w:t>
      </w:r>
      <w:r w:rsidRPr="00082BB7">
        <w:rPr>
          <w:rFonts w:ascii="Times New Roman" w:hAnsi="Times New Roman"/>
        </w:rPr>
        <w:t xml:space="preserve"> the obligation that ETCs annually report the number of complaints per 1</w:t>
      </w:r>
      <w:r>
        <w:rPr>
          <w:rFonts w:ascii="Times New Roman" w:hAnsi="Times New Roman"/>
        </w:rPr>
        <w:t>,</w:t>
      </w:r>
      <w:r w:rsidRPr="00082BB7">
        <w:rPr>
          <w:rFonts w:ascii="Times New Roman" w:hAnsi="Times New Roman"/>
        </w:rPr>
        <w:t>000 subscribers for voice and broadband</w:t>
      </w:r>
      <w:r>
        <w:rPr>
          <w:rFonts w:ascii="Times New Roman" w:hAnsi="Times New Roman"/>
        </w:rPr>
        <w:t xml:space="preserve"> services</w:t>
      </w:r>
      <w:r w:rsidRPr="00082BB7">
        <w:rPr>
          <w:rFonts w:ascii="Times New Roman" w:hAnsi="Times New Roman"/>
        </w:rPr>
        <w:t>.</w:t>
      </w:r>
      <w:r w:rsidRPr="00082BB7">
        <w:rPr>
          <w:rFonts w:ascii="Times New Roman" w:hAnsi="Times New Roman"/>
          <w:vertAlign w:val="superscript"/>
        </w:rPr>
        <w:footnoteReference w:id="20"/>
      </w:r>
      <w:r w:rsidRPr="00082BB7">
        <w:rPr>
          <w:rFonts w:ascii="Times New Roman" w:hAnsi="Times New Roman"/>
        </w:rPr>
        <w:t xml:space="preserve">  </w:t>
      </w:r>
      <w:r>
        <w:rPr>
          <w:rFonts w:ascii="Times New Roman" w:hAnsi="Times New Roman"/>
        </w:rPr>
        <w:t xml:space="preserve">Consumers who have complaints about ETCs can file complaints with our </w:t>
      </w:r>
      <w:r w:rsidRPr="00082BB7">
        <w:rPr>
          <w:rFonts w:ascii="Times New Roman" w:hAnsi="Times New Roman"/>
        </w:rPr>
        <w:t>Consumer and Governmental Affairs Bureau (CGB)</w:t>
      </w:r>
      <w:r>
        <w:rPr>
          <w:rFonts w:ascii="Times New Roman" w:hAnsi="Times New Roman"/>
        </w:rPr>
        <w:t xml:space="preserve"> or with states.  CGB </w:t>
      </w:r>
      <w:r w:rsidRPr="00082BB7">
        <w:rPr>
          <w:rFonts w:ascii="Times New Roman" w:hAnsi="Times New Roman"/>
        </w:rPr>
        <w:t>collects detailed information from each complainant, including the location and nature of the complaint.</w:t>
      </w:r>
      <w:r w:rsidRPr="00082BB7">
        <w:rPr>
          <w:rFonts w:ascii="Times New Roman" w:hAnsi="Times New Roman"/>
          <w:vertAlign w:val="superscript"/>
        </w:rPr>
        <w:footnoteReference w:id="21"/>
      </w:r>
      <w:r w:rsidRPr="00082BB7">
        <w:rPr>
          <w:rFonts w:ascii="Times New Roman" w:hAnsi="Times New Roman"/>
        </w:rPr>
        <w:t xml:space="preserve">  </w:t>
      </w:r>
      <w:r>
        <w:rPr>
          <w:rFonts w:ascii="Times New Roman" w:hAnsi="Times New Roman"/>
        </w:rPr>
        <w:t>Our e</w:t>
      </w:r>
      <w:r w:rsidRPr="00082BB7">
        <w:rPr>
          <w:rFonts w:ascii="Times New Roman" w:hAnsi="Times New Roman"/>
        </w:rPr>
        <w:t xml:space="preserve">xperience to date </w:t>
      </w:r>
      <w:r>
        <w:rPr>
          <w:rFonts w:ascii="Times New Roman" w:hAnsi="Times New Roman"/>
        </w:rPr>
        <w:t xml:space="preserve">is </w:t>
      </w:r>
      <w:r w:rsidRPr="00082BB7">
        <w:rPr>
          <w:rFonts w:ascii="Times New Roman" w:hAnsi="Times New Roman"/>
        </w:rPr>
        <w:t>that the high</w:t>
      </w:r>
      <w:r>
        <w:rPr>
          <w:rFonts w:ascii="Times New Roman" w:hAnsi="Times New Roman"/>
        </w:rPr>
        <w:t>-</w:t>
      </w:r>
      <w:r w:rsidRPr="00082BB7">
        <w:rPr>
          <w:rFonts w:ascii="Times New Roman" w:hAnsi="Times New Roman"/>
        </w:rPr>
        <w:t xml:space="preserve">level </w:t>
      </w:r>
      <w:r>
        <w:rPr>
          <w:rFonts w:ascii="Times New Roman" w:hAnsi="Times New Roman"/>
        </w:rPr>
        <w:t xml:space="preserve">complaint </w:t>
      </w:r>
      <w:r w:rsidRPr="00082BB7">
        <w:rPr>
          <w:rFonts w:ascii="Times New Roman" w:hAnsi="Times New Roman"/>
        </w:rPr>
        <w:t xml:space="preserve">data currently collected on Form 481 </w:t>
      </w:r>
      <w:r>
        <w:rPr>
          <w:rFonts w:ascii="Times New Roman" w:hAnsi="Times New Roman"/>
        </w:rPr>
        <w:t>is not</w:t>
      </w:r>
      <w:r w:rsidRPr="00082BB7">
        <w:rPr>
          <w:rFonts w:ascii="Times New Roman" w:hAnsi="Times New Roman"/>
        </w:rPr>
        <w:t xml:space="preserve"> as useful as the detailed data already collected </w:t>
      </w:r>
      <w:r>
        <w:rPr>
          <w:rFonts w:ascii="Times New Roman" w:hAnsi="Times New Roman"/>
        </w:rPr>
        <w:t xml:space="preserve">by CGB </w:t>
      </w:r>
      <w:r w:rsidRPr="00082BB7">
        <w:rPr>
          <w:rFonts w:ascii="Times New Roman" w:hAnsi="Times New Roman"/>
        </w:rPr>
        <w:t xml:space="preserve">through the complaint process, in part because the Form 481 data do not currently contain information about individual complaints.  We therefore </w:t>
      </w:r>
      <w:r>
        <w:rPr>
          <w:rFonts w:ascii="Times New Roman" w:hAnsi="Times New Roman"/>
        </w:rPr>
        <w:t xml:space="preserve">eliminate </w:t>
      </w:r>
      <w:r w:rsidRPr="00082BB7">
        <w:rPr>
          <w:rFonts w:ascii="Times New Roman" w:hAnsi="Times New Roman"/>
        </w:rPr>
        <w:t xml:space="preserve">this </w:t>
      </w:r>
      <w:r>
        <w:rPr>
          <w:rFonts w:ascii="Times New Roman" w:hAnsi="Times New Roman"/>
        </w:rPr>
        <w:t xml:space="preserve">reporting </w:t>
      </w:r>
      <w:r w:rsidRPr="00082BB7">
        <w:rPr>
          <w:rFonts w:ascii="Times New Roman" w:hAnsi="Times New Roman"/>
        </w:rPr>
        <w:t xml:space="preserve">requirement </w:t>
      </w:r>
      <w:r>
        <w:rPr>
          <w:rFonts w:ascii="Times New Roman" w:hAnsi="Times New Roman"/>
        </w:rPr>
        <w:t xml:space="preserve">and </w:t>
      </w:r>
      <w:r w:rsidRPr="00082BB7">
        <w:rPr>
          <w:rFonts w:ascii="Times New Roman" w:hAnsi="Times New Roman"/>
        </w:rPr>
        <w:t xml:space="preserve">direct </w:t>
      </w:r>
      <w:r>
        <w:rPr>
          <w:rFonts w:ascii="Times New Roman" w:hAnsi="Times New Roman"/>
        </w:rPr>
        <w:t xml:space="preserve">the Wireline Competition Bureau (WCB) </w:t>
      </w:r>
      <w:r w:rsidRPr="00082BB7">
        <w:rPr>
          <w:rFonts w:ascii="Times New Roman" w:hAnsi="Times New Roman"/>
        </w:rPr>
        <w:t xml:space="preserve">to consult with </w:t>
      </w:r>
      <w:r>
        <w:rPr>
          <w:rFonts w:ascii="Times New Roman" w:hAnsi="Times New Roman"/>
        </w:rPr>
        <w:t xml:space="preserve">CGB </w:t>
      </w:r>
      <w:r w:rsidRPr="00082BB7">
        <w:rPr>
          <w:rFonts w:ascii="Times New Roman" w:hAnsi="Times New Roman"/>
        </w:rPr>
        <w:t xml:space="preserve">to ensure that </w:t>
      </w:r>
      <w:r>
        <w:rPr>
          <w:rFonts w:ascii="Times New Roman" w:hAnsi="Times New Roman"/>
        </w:rPr>
        <w:t xml:space="preserve">we </w:t>
      </w:r>
      <w:r w:rsidRPr="00082BB7">
        <w:rPr>
          <w:rFonts w:ascii="Times New Roman" w:hAnsi="Times New Roman"/>
        </w:rPr>
        <w:t>collect the necessary complaint data to adequately measure the performance of carriers receiving universal service funding</w:t>
      </w:r>
      <w:r>
        <w:rPr>
          <w:rFonts w:ascii="Times New Roman" w:hAnsi="Times New Roman"/>
        </w:rPr>
        <w:t xml:space="preserve">.  </w:t>
      </w:r>
    </w:p>
    <w:p w:rsidR="001C0B46" w:rsidRDefault="001C0B46" w:rsidP="001C0B46">
      <w:pPr>
        <w:pStyle w:val="ListParagraph"/>
        <w:numPr>
          <w:ilvl w:val="0"/>
          <w:numId w:val="7"/>
        </w:numPr>
        <w:spacing w:after="120" w:line="240" w:lineRule="auto"/>
        <w:ind w:left="0" w:firstLine="720"/>
        <w:contextualSpacing w:val="0"/>
        <w:rPr>
          <w:rFonts w:ascii="Times New Roman" w:hAnsi="Times New Roman"/>
        </w:rPr>
      </w:pPr>
      <w:r>
        <w:rPr>
          <w:rFonts w:ascii="Times New Roman" w:hAnsi="Times New Roman"/>
        </w:rPr>
        <w:t>Most commenters support elimination of this duplicative requirement.</w:t>
      </w:r>
      <w:r>
        <w:rPr>
          <w:rStyle w:val="FootnoteReference"/>
        </w:rPr>
        <w:footnoteReference w:id="22"/>
      </w:r>
      <w:r>
        <w:rPr>
          <w:rFonts w:ascii="Times New Roman" w:hAnsi="Times New Roman"/>
        </w:rPr>
        <w:t xml:space="preserve">  Again, we disagree with commenters who argue that reporting this information entails no additional costs, and that the Commission should continue collecting this information for the use of state commissions.</w:t>
      </w:r>
      <w:r>
        <w:rPr>
          <w:rStyle w:val="FootnoteReference"/>
        </w:rPr>
        <w:footnoteReference w:id="23"/>
      </w:r>
      <w:r>
        <w:rPr>
          <w:rFonts w:ascii="Times New Roman" w:hAnsi="Times New Roman"/>
        </w:rPr>
        <w:t xml:space="preserve">  One commenter expresses support for clarifying terms to make the information more useful;</w:t>
      </w:r>
      <w:r>
        <w:rPr>
          <w:rStyle w:val="FootnoteReference"/>
        </w:rPr>
        <w:footnoteReference w:id="24"/>
      </w:r>
      <w:r>
        <w:rPr>
          <w:rFonts w:ascii="Times New Roman" w:hAnsi="Times New Roman"/>
        </w:rPr>
        <w:t xml:space="preserve"> however, we find that our existing collection of detailed information from consumer complaints filed with CGB is sufficient for our oversight purposes.</w:t>
      </w:r>
    </w:p>
    <w:p w:rsidR="001C0B46" w:rsidRDefault="001C0B46" w:rsidP="001C0B46">
      <w:pPr>
        <w:pStyle w:val="ListParagraph"/>
        <w:numPr>
          <w:ilvl w:val="0"/>
          <w:numId w:val="7"/>
        </w:numPr>
        <w:spacing w:after="120" w:line="240" w:lineRule="auto"/>
        <w:ind w:left="0" w:firstLine="720"/>
        <w:contextualSpacing w:val="0"/>
        <w:rPr>
          <w:rFonts w:ascii="Times New Roman" w:hAnsi="Times New Roman"/>
        </w:rPr>
      </w:pPr>
      <w:r>
        <w:rPr>
          <w:rFonts w:ascii="Times New Roman" w:hAnsi="Times New Roman"/>
          <w:i/>
        </w:rPr>
        <w:t>Pricing information.</w:t>
      </w:r>
      <w:r>
        <w:rPr>
          <w:rFonts w:ascii="Times New Roman" w:hAnsi="Times New Roman"/>
        </w:rPr>
        <w:t xml:space="preserve">  </w:t>
      </w:r>
      <w:r w:rsidRPr="00DB3A53">
        <w:rPr>
          <w:rFonts w:ascii="Times New Roman" w:hAnsi="Times New Roman"/>
        </w:rPr>
        <w:t>Fourth, we eliminate the obligation of ETCs to report annually information regarding the pricing of their voice and broadband service offerings.</w:t>
      </w:r>
      <w:r w:rsidRPr="00DB3A53">
        <w:rPr>
          <w:rStyle w:val="FootnoteReference"/>
        </w:rPr>
        <w:footnoteReference w:id="25"/>
      </w:r>
      <w:r w:rsidRPr="00DB3A53">
        <w:rPr>
          <w:rFonts w:ascii="Times New Roman" w:hAnsi="Times New Roman"/>
        </w:rPr>
        <w:t xml:space="preserve">  As implemented in FCC Form 481, ETCs are required to submit information regarding their voice rates as of January 1 </w:t>
      </w:r>
      <w:r>
        <w:rPr>
          <w:rFonts w:ascii="Times New Roman" w:hAnsi="Times New Roman"/>
        </w:rPr>
        <w:t xml:space="preserve">of </w:t>
      </w:r>
      <w:r w:rsidRPr="00DB3A53">
        <w:rPr>
          <w:rFonts w:ascii="Times New Roman" w:hAnsi="Times New Roman"/>
        </w:rPr>
        <w:t xml:space="preserve">each year, and separately list rates for each wire center to the extent the rates vary, </w:t>
      </w:r>
      <w:r>
        <w:rPr>
          <w:rFonts w:ascii="Times New Roman" w:hAnsi="Times New Roman"/>
        </w:rPr>
        <w:t xml:space="preserve">as well as </w:t>
      </w:r>
      <w:r w:rsidRPr="00DB3A53">
        <w:rPr>
          <w:rFonts w:ascii="Times New Roman" w:hAnsi="Times New Roman"/>
        </w:rPr>
        <w:t xml:space="preserve">indicate whether service is provided on a flat rate, measured or metered basis.  For broadband offerings, </w:t>
      </w:r>
      <w:r>
        <w:rPr>
          <w:rFonts w:ascii="Times New Roman" w:hAnsi="Times New Roman"/>
        </w:rPr>
        <w:t xml:space="preserve">ETCs must </w:t>
      </w:r>
      <w:r w:rsidRPr="00DB3A53">
        <w:rPr>
          <w:rFonts w:ascii="Times New Roman" w:hAnsi="Times New Roman"/>
        </w:rPr>
        <w:t>separately list each service offering that meets or exceeds the Commission’s minimum requirements and</w:t>
      </w:r>
      <w:r>
        <w:rPr>
          <w:rFonts w:ascii="Times New Roman" w:hAnsi="Times New Roman"/>
        </w:rPr>
        <w:t>,</w:t>
      </w:r>
      <w:r w:rsidRPr="00DB3A53">
        <w:rPr>
          <w:rFonts w:ascii="Times New Roman" w:hAnsi="Times New Roman"/>
        </w:rPr>
        <w:t xml:space="preserve"> if they do not have uniform rates across the study area, report each rate for individual exchanges.  The net result is a detailed worksheet with multiple rates listed for each wire center.  </w:t>
      </w:r>
    </w:p>
    <w:p w:rsidR="001C0B46" w:rsidRDefault="001C0B46" w:rsidP="001C0B46">
      <w:pPr>
        <w:pStyle w:val="ListParagraph"/>
        <w:numPr>
          <w:ilvl w:val="0"/>
          <w:numId w:val="7"/>
        </w:numPr>
        <w:spacing w:after="120" w:line="240" w:lineRule="auto"/>
        <w:ind w:left="0" w:firstLine="720"/>
        <w:contextualSpacing w:val="0"/>
        <w:rPr>
          <w:rFonts w:ascii="Times New Roman" w:hAnsi="Times New Roman"/>
        </w:rPr>
      </w:pPr>
      <w:r>
        <w:rPr>
          <w:rFonts w:ascii="Times New Roman" w:hAnsi="Times New Roman"/>
        </w:rPr>
        <w:t xml:space="preserve">As a practical matter, we have not made sufficient use of this pricing data to support its continued collection.  We </w:t>
      </w:r>
      <w:r w:rsidRPr="00DB3A53">
        <w:rPr>
          <w:rFonts w:ascii="Times New Roman" w:hAnsi="Times New Roman"/>
        </w:rPr>
        <w:t>primarily rely on the urban rate survey to develop annually the reasonable comparability benchmarks for both voice and broadband services, and annual certifications from providers that their rates do not exceed those benchmarks.</w:t>
      </w:r>
      <w:r>
        <w:rPr>
          <w:rStyle w:val="FootnoteReference"/>
        </w:rPr>
        <w:footnoteReference w:id="26"/>
      </w:r>
      <w:r w:rsidRPr="00DB3A53">
        <w:rPr>
          <w:rFonts w:ascii="Times New Roman" w:hAnsi="Times New Roman"/>
        </w:rPr>
        <w:t xml:space="preserve">  We therefore conclude that the public interest would be served </w:t>
      </w:r>
      <w:r>
        <w:rPr>
          <w:rFonts w:ascii="Times New Roman" w:hAnsi="Times New Roman"/>
        </w:rPr>
        <w:t xml:space="preserve">by discontinuing </w:t>
      </w:r>
      <w:r w:rsidRPr="00DB3A53">
        <w:rPr>
          <w:rFonts w:ascii="Times New Roman" w:hAnsi="Times New Roman"/>
        </w:rPr>
        <w:t>this</w:t>
      </w:r>
      <w:r>
        <w:rPr>
          <w:rFonts w:ascii="Times New Roman" w:hAnsi="Times New Roman"/>
        </w:rPr>
        <w:t xml:space="preserve"> particular information collection</w:t>
      </w:r>
      <w:r w:rsidRPr="00DB3A53">
        <w:rPr>
          <w:rFonts w:ascii="Times New Roman" w:hAnsi="Times New Roman"/>
        </w:rPr>
        <w:t xml:space="preserve">.  </w:t>
      </w:r>
    </w:p>
    <w:p w:rsidR="001C0B46" w:rsidRDefault="001C0B46" w:rsidP="001C0B46">
      <w:pPr>
        <w:pStyle w:val="ListParagraph"/>
        <w:numPr>
          <w:ilvl w:val="0"/>
          <w:numId w:val="7"/>
        </w:numPr>
        <w:spacing w:after="120" w:line="240" w:lineRule="auto"/>
        <w:ind w:left="0" w:firstLine="720"/>
        <w:contextualSpacing w:val="0"/>
        <w:rPr>
          <w:rFonts w:ascii="Times New Roman" w:hAnsi="Times New Roman"/>
        </w:rPr>
      </w:pPr>
      <w:r>
        <w:rPr>
          <w:rFonts w:ascii="Times New Roman" w:hAnsi="Times New Roman"/>
        </w:rPr>
        <w:t>Most commenters support removing this reporting requirement.</w:t>
      </w:r>
      <w:r>
        <w:rPr>
          <w:rStyle w:val="FootnoteReference"/>
        </w:rPr>
        <w:footnoteReference w:id="27"/>
      </w:r>
      <w:r>
        <w:rPr>
          <w:rFonts w:ascii="Times New Roman" w:hAnsi="Times New Roman"/>
        </w:rPr>
        <w:t xml:space="preserve">  We disagree again with commenters arguing that reporting this information requires no additional costs, and that the Commission should continue collecting this information for the use of state commissions.</w:t>
      </w:r>
      <w:r>
        <w:rPr>
          <w:rStyle w:val="FootnoteReference"/>
        </w:rPr>
        <w:footnoteReference w:id="28"/>
      </w:r>
      <w:r>
        <w:rPr>
          <w:rFonts w:ascii="Times New Roman" w:hAnsi="Times New Roman"/>
        </w:rPr>
        <w:t xml:space="preserve">  One commenter suggests that carriers only report what is needed to show compliance with the “reasonable comparability” benchmark;</w:t>
      </w:r>
      <w:r>
        <w:rPr>
          <w:rStyle w:val="FootnoteReference"/>
        </w:rPr>
        <w:footnoteReference w:id="29"/>
      </w:r>
      <w:r>
        <w:rPr>
          <w:rFonts w:ascii="Times New Roman" w:hAnsi="Times New Roman"/>
        </w:rPr>
        <w:t xml:space="preserve"> as noted above, we find that we already require submission of what is needed to show compliance with that benchmark through the urban rate survey and annual certifications. </w:t>
      </w:r>
    </w:p>
    <w:p w:rsidR="001C0B46" w:rsidRDefault="001C0B46" w:rsidP="001C0B46">
      <w:pPr>
        <w:pStyle w:val="ListParagraph"/>
        <w:numPr>
          <w:ilvl w:val="0"/>
          <w:numId w:val="7"/>
        </w:numPr>
        <w:spacing w:after="120" w:line="240" w:lineRule="auto"/>
        <w:ind w:left="0" w:firstLine="720"/>
        <w:contextualSpacing w:val="0"/>
        <w:rPr>
          <w:rFonts w:ascii="Times New Roman" w:hAnsi="Times New Roman"/>
        </w:rPr>
      </w:pPr>
      <w:r>
        <w:rPr>
          <w:rFonts w:ascii="Times New Roman" w:hAnsi="Times New Roman"/>
          <w:i/>
        </w:rPr>
        <w:t xml:space="preserve">Service quality </w:t>
      </w:r>
      <w:r w:rsidRPr="00457F26">
        <w:rPr>
          <w:rFonts w:ascii="Times New Roman" w:hAnsi="Times New Roman"/>
          <w:i/>
        </w:rPr>
        <w:t>certification</w:t>
      </w:r>
      <w:r>
        <w:rPr>
          <w:rFonts w:ascii="Times New Roman" w:hAnsi="Times New Roman"/>
        </w:rPr>
        <w:t xml:space="preserve">.  </w:t>
      </w:r>
      <w:r w:rsidRPr="003D39E6">
        <w:rPr>
          <w:rFonts w:ascii="Times New Roman" w:hAnsi="Times New Roman"/>
        </w:rPr>
        <w:t>Fifth</w:t>
      </w:r>
      <w:r>
        <w:rPr>
          <w:rFonts w:ascii="Times New Roman" w:hAnsi="Times New Roman"/>
        </w:rPr>
        <w:t>, we eliminate the requirement that an ETC certify its compliance with applicable service quality standards and consumer protection rules.</w:t>
      </w:r>
      <w:r>
        <w:rPr>
          <w:rStyle w:val="FootnoteReference"/>
        </w:rPr>
        <w:footnoteReference w:id="30"/>
      </w:r>
      <w:r>
        <w:rPr>
          <w:rFonts w:ascii="Times New Roman" w:hAnsi="Times New Roman"/>
        </w:rPr>
        <w:t xml:space="preserve">  Given that ETCs have an independent obligation to comply with all applicable service quality standards and consumer protection rules, we find that this certification is unnecessary for our oversight of ETCs.  Any failure to comply with rules and requirements can be pursued regardless of whether a certification of compliance with those rules has been made.  Both the Commission and USAC already have sufficient authority to investigate, audit, and pursue recovery of high-cost support for violation of program rules.</w:t>
      </w:r>
      <w:r>
        <w:rPr>
          <w:rStyle w:val="FootnoteReference"/>
        </w:rPr>
        <w:footnoteReference w:id="31"/>
      </w:r>
      <w:r>
        <w:rPr>
          <w:rFonts w:ascii="Times New Roman" w:hAnsi="Times New Roman"/>
        </w:rPr>
        <w:t xml:space="preserve">  </w:t>
      </w:r>
    </w:p>
    <w:p w:rsidR="001C0B46" w:rsidRPr="004C5339" w:rsidRDefault="001C0B46" w:rsidP="001C0B46">
      <w:pPr>
        <w:pStyle w:val="ListParagraph"/>
        <w:numPr>
          <w:ilvl w:val="0"/>
          <w:numId w:val="7"/>
        </w:numPr>
        <w:spacing w:after="120" w:line="240" w:lineRule="auto"/>
        <w:ind w:left="0" w:firstLine="720"/>
        <w:contextualSpacing w:val="0"/>
        <w:rPr>
          <w:rFonts w:ascii="Times New Roman" w:hAnsi="Times New Roman"/>
        </w:rPr>
      </w:pPr>
      <w:r>
        <w:rPr>
          <w:rFonts w:ascii="Times New Roman" w:hAnsi="Times New Roman"/>
        </w:rPr>
        <w:t>Commenters generally support eliminating this requirement.</w:t>
      </w:r>
      <w:r>
        <w:rPr>
          <w:rStyle w:val="FootnoteReference"/>
        </w:rPr>
        <w:footnoteReference w:id="32"/>
      </w:r>
      <w:r>
        <w:rPr>
          <w:rFonts w:ascii="Times New Roman" w:hAnsi="Times New Roman"/>
        </w:rPr>
        <w:t xml:space="preserve">  For the same reasons as stated above, we again disagree with commenters suggesting that providing this certification would not entail any additional costs, and that the Commission should continue collecting these certifications for states’ own oversight purposes.</w:t>
      </w:r>
      <w:r>
        <w:rPr>
          <w:rStyle w:val="FootnoteReference"/>
        </w:rPr>
        <w:footnoteReference w:id="33"/>
      </w:r>
    </w:p>
    <w:p w:rsidR="001C0B46" w:rsidRDefault="001C0B46" w:rsidP="001C0B46">
      <w:pPr>
        <w:pStyle w:val="ListParagraph"/>
        <w:numPr>
          <w:ilvl w:val="0"/>
          <w:numId w:val="7"/>
        </w:numPr>
        <w:spacing w:after="120" w:line="240" w:lineRule="auto"/>
        <w:ind w:left="0" w:firstLine="720"/>
        <w:contextualSpacing w:val="0"/>
        <w:rPr>
          <w:rFonts w:ascii="Times New Roman" w:hAnsi="Times New Roman"/>
        </w:rPr>
      </w:pPr>
      <w:r>
        <w:rPr>
          <w:rFonts w:ascii="Times New Roman" w:hAnsi="Times New Roman"/>
          <w:i/>
        </w:rPr>
        <w:t xml:space="preserve">Filing of duplicate FCC Forms </w:t>
      </w:r>
      <w:r w:rsidRPr="003D39E6">
        <w:rPr>
          <w:rFonts w:ascii="Times New Roman" w:hAnsi="Times New Roman"/>
          <w:i/>
        </w:rPr>
        <w:t>481</w:t>
      </w:r>
      <w:r>
        <w:rPr>
          <w:rFonts w:ascii="Times New Roman" w:hAnsi="Times New Roman"/>
        </w:rPr>
        <w:t xml:space="preserve">.  </w:t>
      </w:r>
      <w:r w:rsidRPr="003D39E6">
        <w:rPr>
          <w:rFonts w:ascii="Times New Roman" w:hAnsi="Times New Roman"/>
        </w:rPr>
        <w:t>Finally</w:t>
      </w:r>
      <w:r w:rsidRPr="00DB3A53">
        <w:rPr>
          <w:rFonts w:ascii="Times New Roman" w:hAnsi="Times New Roman"/>
        </w:rPr>
        <w:t xml:space="preserve">, </w:t>
      </w:r>
      <w:r>
        <w:rPr>
          <w:rFonts w:ascii="Times New Roman" w:hAnsi="Times New Roman"/>
        </w:rPr>
        <w:t xml:space="preserve">contingent upon USAC’s completion of the rollout of an online portal for recipients of high cost services, </w:t>
      </w:r>
      <w:r w:rsidRPr="00DB3A53">
        <w:rPr>
          <w:rFonts w:ascii="Times New Roman" w:hAnsi="Times New Roman"/>
        </w:rPr>
        <w:t xml:space="preserve">we </w:t>
      </w:r>
      <w:r>
        <w:rPr>
          <w:rFonts w:ascii="Times New Roman" w:hAnsi="Times New Roman"/>
        </w:rPr>
        <w:t xml:space="preserve">will no longer require ETCs </w:t>
      </w:r>
      <w:r w:rsidRPr="00DB3A53">
        <w:rPr>
          <w:rFonts w:ascii="Times New Roman" w:hAnsi="Times New Roman"/>
        </w:rPr>
        <w:t>to file duplicate copies of Form 481 with</w:t>
      </w:r>
      <w:r>
        <w:rPr>
          <w:rFonts w:ascii="Times New Roman" w:hAnsi="Times New Roman"/>
        </w:rPr>
        <w:t xml:space="preserve"> the FCC and with</w:t>
      </w:r>
      <w:r w:rsidRPr="00DB3A53">
        <w:rPr>
          <w:rFonts w:ascii="Times New Roman" w:hAnsi="Times New Roman"/>
        </w:rPr>
        <w:t xml:space="preserve"> </w:t>
      </w:r>
      <w:r>
        <w:rPr>
          <w:rFonts w:ascii="Times New Roman" w:hAnsi="Times New Roman"/>
        </w:rPr>
        <w:t xml:space="preserve">states, U.S. Territories, and/or Tribal governments beginning in </w:t>
      </w:r>
      <w:r w:rsidRPr="00786CE4">
        <w:rPr>
          <w:rFonts w:ascii="Times New Roman" w:hAnsi="Times New Roman"/>
        </w:rPr>
        <w:t>2018</w:t>
      </w:r>
      <w:r>
        <w:rPr>
          <w:rFonts w:ascii="Times New Roman" w:hAnsi="Times New Roman"/>
        </w:rPr>
        <w:t xml:space="preserve">.  In the </w:t>
      </w:r>
      <w:r>
        <w:rPr>
          <w:rFonts w:ascii="Times New Roman" w:hAnsi="Times New Roman"/>
          <w:i/>
        </w:rPr>
        <w:t>Rate-of-Return Reform Order</w:t>
      </w:r>
      <w:r>
        <w:rPr>
          <w:rFonts w:ascii="Times New Roman" w:hAnsi="Times New Roman"/>
        </w:rPr>
        <w:t>, the Commission directed USAC to “</w:t>
      </w:r>
      <w:r w:rsidRPr="00B30AE9">
        <w:rPr>
          <w:rFonts w:ascii="Times New Roman" w:hAnsi="Times New Roman"/>
        </w:rPr>
        <w:t>timely publish through electronic means all non-confidential high-cost data in open, standardized, electronic formats, consistent with the principles of the Office of Management and Budget’s Open Data Policy</w:t>
      </w:r>
      <w:r>
        <w:rPr>
          <w:rFonts w:ascii="Times New Roman" w:hAnsi="Times New Roman"/>
        </w:rPr>
        <w:t>,” and directed WCB</w:t>
      </w:r>
      <w:r w:rsidRPr="00B30AE9">
        <w:rPr>
          <w:rFonts w:ascii="Times New Roman" w:eastAsia="Times New Roman" w:hAnsi="Times New Roman"/>
          <w:snapToGrid w:val="0"/>
          <w:kern w:val="28"/>
        </w:rPr>
        <w:t xml:space="preserve"> </w:t>
      </w:r>
      <w:r>
        <w:rPr>
          <w:rFonts w:ascii="Times New Roman" w:eastAsia="Times New Roman" w:hAnsi="Times New Roman"/>
          <w:snapToGrid w:val="0"/>
          <w:kern w:val="28"/>
        </w:rPr>
        <w:t>“</w:t>
      </w:r>
      <w:r w:rsidRPr="00B30AE9">
        <w:rPr>
          <w:rFonts w:ascii="Times New Roman" w:hAnsi="Times New Roman"/>
        </w:rPr>
        <w:t xml:space="preserve">to work with USAC to put appropriate protections in place for ETCs to seek confidential treatment of </w:t>
      </w:r>
      <w:r>
        <w:rPr>
          <w:rFonts w:ascii="Times New Roman" w:hAnsi="Times New Roman"/>
        </w:rPr>
        <w:t xml:space="preserve">a </w:t>
      </w:r>
      <w:r w:rsidRPr="00B30AE9">
        <w:rPr>
          <w:rFonts w:ascii="Times New Roman" w:hAnsi="Times New Roman"/>
        </w:rPr>
        <w:t>limited subset of the information</w:t>
      </w:r>
      <w:r>
        <w:rPr>
          <w:rFonts w:ascii="Times New Roman" w:hAnsi="Times New Roman"/>
        </w:rPr>
        <w:t xml:space="preserve">.  </w:t>
      </w:r>
      <w:r w:rsidRPr="00B30AE9">
        <w:rPr>
          <w:rFonts w:ascii="Times New Roman" w:hAnsi="Times New Roman"/>
        </w:rPr>
        <w:t>Entities, such as states and Tribal governments, which already have access to confidentially filed information for ETCs</w:t>
      </w:r>
      <w:r>
        <w:rPr>
          <w:rFonts w:ascii="Times New Roman" w:hAnsi="Times New Roman"/>
        </w:rPr>
        <w:t>[]</w:t>
      </w:r>
      <w:r w:rsidRPr="00B30AE9">
        <w:rPr>
          <w:rFonts w:ascii="Times New Roman" w:hAnsi="Times New Roman"/>
        </w:rPr>
        <w:t xml:space="preserve"> within their jurisdiction, will continue to have access to such informatio</w:t>
      </w:r>
      <w:r>
        <w:rPr>
          <w:rFonts w:ascii="Times New Roman" w:hAnsi="Times New Roman"/>
        </w:rPr>
        <w:t>n through the online database.”</w:t>
      </w:r>
      <w:r>
        <w:rPr>
          <w:rStyle w:val="FootnoteReference"/>
        </w:rPr>
        <w:footnoteReference w:id="34"/>
      </w:r>
      <w:r>
        <w:rPr>
          <w:rFonts w:ascii="Times New Roman" w:hAnsi="Times New Roman"/>
          <w:i/>
        </w:rPr>
        <w:t xml:space="preserve">  </w:t>
      </w:r>
      <w:r>
        <w:rPr>
          <w:rFonts w:ascii="Times New Roman" w:hAnsi="Times New Roman"/>
        </w:rPr>
        <w:t>If USAC completes the rollout of its online portal after the 2018 Form 481 filing date, we will no longer require ETCs to file duplicate copies of Form 481 beginning in 2019.  We conclude that centralizing all filing requirements with USAC would benefit state and Tribal governments by reducing the need to sort through, in some cases, dozens of paper documents containing the same information as what will be available more readily through an online tool.  We reiterate to USAC the importance of working closely with state and Tribal governments and other stakeholders to provide the public with easy access to non-confidential data filed by ETCs.</w:t>
      </w:r>
    </w:p>
    <w:p w:rsidR="001C0B46" w:rsidRDefault="001C0B46" w:rsidP="001C0B46">
      <w:pPr>
        <w:pStyle w:val="ListParagraph"/>
        <w:numPr>
          <w:ilvl w:val="0"/>
          <w:numId w:val="7"/>
        </w:numPr>
        <w:spacing w:after="120" w:line="240" w:lineRule="auto"/>
        <w:ind w:left="0" w:firstLine="720"/>
        <w:contextualSpacing w:val="0"/>
        <w:rPr>
          <w:rFonts w:ascii="Times New Roman" w:hAnsi="Times New Roman"/>
        </w:rPr>
      </w:pPr>
      <w:r>
        <w:rPr>
          <w:rFonts w:ascii="Times New Roman" w:hAnsi="Times New Roman"/>
        </w:rPr>
        <w:t>Only two states and no Tribal governments raised concerns regarding this proposal.</w:t>
      </w:r>
      <w:r>
        <w:rPr>
          <w:rStyle w:val="FootnoteReference"/>
        </w:rPr>
        <w:footnoteReference w:id="35"/>
      </w:r>
      <w:r>
        <w:rPr>
          <w:rFonts w:ascii="Times New Roman" w:hAnsi="Times New Roman"/>
        </w:rPr>
        <w:t xml:space="preserve">  </w:t>
      </w:r>
      <w:r w:rsidRPr="00D92E11">
        <w:rPr>
          <w:rFonts w:ascii="Times New Roman" w:hAnsi="Times New Roman"/>
        </w:rPr>
        <w:t>Those commenters argue that it would be burdensome for states to actively seek ETCs’ reported information from USAC.</w:t>
      </w:r>
      <w:r w:rsidRPr="00D92E11">
        <w:rPr>
          <w:rStyle w:val="FootnoteReference"/>
        </w:rPr>
        <w:footnoteReference w:id="36"/>
      </w:r>
      <w:r w:rsidRPr="00D92E11">
        <w:rPr>
          <w:rFonts w:ascii="Times New Roman" w:hAnsi="Times New Roman"/>
        </w:rPr>
        <w:t xml:space="preserve">  </w:t>
      </w:r>
      <w:r w:rsidR="00F72A9B" w:rsidRPr="00D92E11">
        <w:rPr>
          <w:rFonts w:ascii="Times New Roman" w:hAnsi="Times New Roman"/>
        </w:rPr>
        <w:t>A</w:t>
      </w:r>
      <w:r w:rsidRPr="00D92E11">
        <w:rPr>
          <w:rFonts w:ascii="Times New Roman" w:hAnsi="Times New Roman"/>
        </w:rPr>
        <w:t>s others note, it is likely less burdensome for a state commission to log onto USAC’s system and access carriers’ reports than for ETCs, especially small companies, to submit their reports to the commissions in states in which they operate.</w:t>
      </w:r>
      <w:r w:rsidRPr="00D92E11">
        <w:rPr>
          <w:rStyle w:val="FootnoteReference"/>
        </w:rPr>
        <w:footnoteReference w:id="37"/>
      </w:r>
      <w:r>
        <w:rPr>
          <w:rFonts w:ascii="Times New Roman" w:hAnsi="Times New Roman"/>
        </w:rPr>
        <w:t xml:space="preserve">  </w:t>
      </w:r>
      <w:r w:rsidR="005B5394">
        <w:rPr>
          <w:rFonts w:ascii="Times New Roman" w:hAnsi="Times New Roman"/>
        </w:rPr>
        <w:t>Nonetheless, in light of state commenters’ concerns, we</w:t>
      </w:r>
      <w:r w:rsidR="00F72A9B">
        <w:rPr>
          <w:rFonts w:ascii="Times New Roman" w:hAnsi="Times New Roman"/>
        </w:rPr>
        <w:t xml:space="preserve"> </w:t>
      </w:r>
      <w:r w:rsidR="00CE14A6">
        <w:rPr>
          <w:rFonts w:ascii="Times New Roman" w:hAnsi="Times New Roman"/>
        </w:rPr>
        <w:t>direct</w:t>
      </w:r>
      <w:r w:rsidR="00F72A9B">
        <w:rPr>
          <w:rFonts w:ascii="Times New Roman" w:hAnsi="Times New Roman"/>
        </w:rPr>
        <w:t xml:space="preserve"> USAC to </w:t>
      </w:r>
      <w:r w:rsidR="0010439D">
        <w:rPr>
          <w:rFonts w:ascii="Times New Roman" w:hAnsi="Times New Roman"/>
        </w:rPr>
        <w:t xml:space="preserve">work with states and Tribal governments to </w:t>
      </w:r>
      <w:r w:rsidR="00F72A9B">
        <w:rPr>
          <w:rFonts w:ascii="Times New Roman" w:hAnsi="Times New Roman"/>
        </w:rPr>
        <w:t xml:space="preserve">facilitate </w:t>
      </w:r>
      <w:r w:rsidR="0010439D">
        <w:rPr>
          <w:rFonts w:ascii="Times New Roman" w:hAnsi="Times New Roman"/>
        </w:rPr>
        <w:t xml:space="preserve">their </w:t>
      </w:r>
      <w:r w:rsidR="00F72A9B">
        <w:rPr>
          <w:rFonts w:ascii="Times New Roman" w:hAnsi="Times New Roman"/>
        </w:rPr>
        <w:t xml:space="preserve">access to carriers’ submitted data. </w:t>
      </w:r>
      <w:r w:rsidR="005B5394">
        <w:rPr>
          <w:rFonts w:ascii="Times New Roman" w:hAnsi="Times New Roman"/>
        </w:rPr>
        <w:t xml:space="preserve">Other </w:t>
      </w:r>
      <w:r>
        <w:rPr>
          <w:rFonts w:ascii="Times New Roman" w:hAnsi="Times New Roman"/>
        </w:rPr>
        <w:t xml:space="preserve">commenters generally express support for </w:t>
      </w:r>
      <w:r w:rsidR="005B5394">
        <w:rPr>
          <w:rFonts w:ascii="Times New Roman" w:hAnsi="Times New Roman"/>
        </w:rPr>
        <w:t>removing the duplicate filing requirement</w:t>
      </w:r>
      <w:r>
        <w:rPr>
          <w:rFonts w:ascii="Times New Roman" w:hAnsi="Times New Roman"/>
        </w:rPr>
        <w:t>,</w:t>
      </w:r>
      <w:r>
        <w:rPr>
          <w:rStyle w:val="FootnoteReference"/>
        </w:rPr>
        <w:footnoteReference w:id="38"/>
      </w:r>
      <w:r>
        <w:rPr>
          <w:rFonts w:ascii="Times New Roman" w:hAnsi="Times New Roman"/>
        </w:rPr>
        <w:t xml:space="preserve"> </w:t>
      </w:r>
      <w:r w:rsidR="005B5394">
        <w:rPr>
          <w:rFonts w:ascii="Times New Roman" w:hAnsi="Times New Roman"/>
        </w:rPr>
        <w:t xml:space="preserve">although </w:t>
      </w:r>
      <w:r>
        <w:rPr>
          <w:rFonts w:ascii="Times New Roman" w:hAnsi="Times New Roman"/>
        </w:rPr>
        <w:t>several commenters expressed some concern about access to ETCs’ confidential data provided through USAC’s new online system.</w:t>
      </w:r>
      <w:r>
        <w:rPr>
          <w:rStyle w:val="FootnoteReference"/>
        </w:rPr>
        <w:footnoteReference w:id="39"/>
      </w:r>
      <w:r>
        <w:rPr>
          <w:rFonts w:ascii="Times New Roman" w:hAnsi="Times New Roman"/>
        </w:rPr>
        <w:t xml:space="preserve">  However, as we explained in the </w:t>
      </w:r>
      <w:r>
        <w:rPr>
          <w:rFonts w:ascii="Times New Roman" w:hAnsi="Times New Roman"/>
          <w:i/>
        </w:rPr>
        <w:t>Rate-of-Return Reform Order</w:t>
      </w:r>
      <w:r>
        <w:rPr>
          <w:rFonts w:ascii="Times New Roman" w:hAnsi="Times New Roman"/>
        </w:rPr>
        <w:t>, “[e]ntities, such as states and Tribal governments, which already have access to confidentially filed information for ETCs[] within their jurisdiction, will continue to have access to such information through the online database”; entities without such access will not newly gain access to confidential information.</w:t>
      </w:r>
      <w:r>
        <w:rPr>
          <w:rStyle w:val="FootnoteReference"/>
        </w:rPr>
        <w:footnoteReference w:id="40"/>
      </w:r>
      <w:r>
        <w:rPr>
          <w:rFonts w:ascii="Times New Roman" w:hAnsi="Times New Roman"/>
        </w:rPr>
        <w:t xml:space="preserve">  In light of </w:t>
      </w:r>
      <w:r w:rsidR="005B5394">
        <w:rPr>
          <w:rFonts w:ascii="Times New Roman" w:hAnsi="Times New Roman"/>
        </w:rPr>
        <w:t xml:space="preserve">those </w:t>
      </w:r>
      <w:r>
        <w:rPr>
          <w:rFonts w:ascii="Times New Roman" w:hAnsi="Times New Roman"/>
        </w:rPr>
        <w:t>commenters’ concerns, we reiterate our direction to USAC to ensure appropriate protections for ETCs seeking confidential treatment of specific information, pursuant to Section 0.459 of the Commission’s rules, and to make public the non-confidential data it receives.</w:t>
      </w:r>
      <w:r>
        <w:rPr>
          <w:rStyle w:val="FootnoteReference"/>
        </w:rPr>
        <w:footnoteReference w:id="41"/>
      </w:r>
      <w:r>
        <w:rPr>
          <w:rFonts w:ascii="Times New Roman" w:hAnsi="Times New Roman"/>
        </w:rPr>
        <w:t xml:space="preserve">  USAC’s publishing of non-confidential data will improve the public’s access to the data without compromising the confidentiality of sensitive information.   </w:t>
      </w:r>
    </w:p>
    <w:p w:rsidR="001C0B46" w:rsidRPr="000B42CB" w:rsidRDefault="001C0B46" w:rsidP="001C0B46">
      <w:pPr>
        <w:pStyle w:val="ListParagraph"/>
        <w:numPr>
          <w:ilvl w:val="0"/>
          <w:numId w:val="7"/>
        </w:numPr>
        <w:spacing w:after="120" w:line="240" w:lineRule="auto"/>
        <w:ind w:left="0" w:firstLine="720"/>
        <w:contextualSpacing w:val="0"/>
        <w:rPr>
          <w:rFonts w:ascii="Times New Roman" w:hAnsi="Times New Roman"/>
        </w:rPr>
      </w:pPr>
      <w:r>
        <w:rPr>
          <w:rFonts w:ascii="Times New Roman" w:hAnsi="Times New Roman"/>
        </w:rPr>
        <w:t>At this time, we decline to eliminate any other ETC reporting requirements.</w:t>
      </w:r>
      <w:r>
        <w:rPr>
          <w:rStyle w:val="FootnoteReference"/>
        </w:rPr>
        <w:footnoteReference w:id="42"/>
      </w:r>
      <w:r>
        <w:rPr>
          <w:rFonts w:ascii="Times New Roman" w:hAnsi="Times New Roman"/>
        </w:rPr>
        <w:t xml:space="preserve">  Other information we require ETCs to report is necessary to enable us to fulfill our oversight responsibilities and to protect against waste, fraud, and abuse.  Notwithstanding, we will continue to evaluate our reporting requirements to identify other requirements that we may be able to streamline or eliminate at a future point.</w:t>
      </w:r>
      <w:r>
        <w:rPr>
          <w:rStyle w:val="FootnoteReference"/>
        </w:rPr>
        <w:footnoteReference w:id="43"/>
      </w:r>
    </w:p>
    <w:p w:rsidR="001C0B46" w:rsidRDefault="001C0B46" w:rsidP="001C0B46">
      <w:pPr>
        <w:pStyle w:val="ParaNum"/>
        <w:numPr>
          <w:ilvl w:val="0"/>
          <w:numId w:val="7"/>
        </w:numPr>
        <w:ind w:left="0" w:firstLine="720"/>
      </w:pPr>
      <w:r>
        <w:t xml:space="preserve">Accordingly, IT IS ORDERED, pursuant to the authority contained in sections 1, 2, 4(i), 201-206, 214, 218-220, 251, 252, 254, 256, 303(r), 332, 403, and 405 of the Communications Act of 1934, as amended, and section 706 of the Telecommunications Act of 1996, 47 U.S.C. §§ 151, 152, 154(i), 155, 201-206, 214, 218-220, 251, 252, 254, 256, 303(r), 332, 403, 405, 1302, that this </w:t>
      </w:r>
      <w:r w:rsidRPr="008409C8">
        <w:rPr>
          <w:szCs w:val="22"/>
        </w:rPr>
        <w:t>Report and Order</w:t>
      </w:r>
      <w:r>
        <w:t xml:space="preserve"> IS ADOPTED, effective thirty (30) days after publication of the text or summary thereof in the Federal Register, except that modifications to Paperwork Reduction Act burdens shall become effective immediately upon announcement in the Federal Register of OMB approval.  </w:t>
      </w:r>
    </w:p>
    <w:p w:rsidR="00D84721" w:rsidRDefault="001C0B46" w:rsidP="00D84721">
      <w:pPr>
        <w:pStyle w:val="ParaNum"/>
        <w:widowControl/>
        <w:numPr>
          <w:ilvl w:val="0"/>
          <w:numId w:val="7"/>
        </w:numPr>
        <w:ind w:left="0" w:firstLine="720"/>
      </w:pPr>
      <w:r>
        <w:t xml:space="preserve">IT IS FURTHER ORDERED that Part 54 of the Commission’s rules, 47 CFR Part 54 IS AMENDED as set forth in Appendix A, and such rule amendments </w:t>
      </w:r>
      <w:r w:rsidRPr="00A6616D">
        <w:rPr>
          <w:caps/>
        </w:rPr>
        <w:t>shall be effective</w:t>
      </w:r>
      <w:r>
        <w:t xml:space="preserve"> immediately upon announcement in the Federal Register of OMB approval.</w:t>
      </w:r>
    </w:p>
    <w:p w:rsidR="00D84721" w:rsidRDefault="00D84721" w:rsidP="00D84721">
      <w:pPr>
        <w:pStyle w:val="ParaNum"/>
        <w:widowControl/>
        <w:numPr>
          <w:ilvl w:val="0"/>
          <w:numId w:val="7"/>
        </w:numPr>
        <w:ind w:left="0" w:firstLine="720"/>
      </w:pPr>
      <w:r w:rsidRPr="00EF2DC9">
        <w:t xml:space="preserve">IT IS FURTHER ORDERED that the Commission’s Consumer and Governmental Affairs Bureau, Reference Information Center, SHALL SEND a copy of this Report and Order, including the Final Regulatory Flexibility Analysis, to the Chief Counsel for Advocacy of the Small Business Administration.  </w:t>
      </w:r>
    </w:p>
    <w:p w:rsidR="001C0B46" w:rsidRDefault="001C0B46" w:rsidP="001C0B46">
      <w:pPr>
        <w:pStyle w:val="ParaNum"/>
        <w:widowControl/>
        <w:numPr>
          <w:ilvl w:val="0"/>
          <w:numId w:val="0"/>
        </w:numPr>
      </w:pPr>
    </w:p>
    <w:p w:rsidR="001C0B46" w:rsidRPr="0057511D" w:rsidRDefault="001C0B46" w:rsidP="001C0B46">
      <w:pPr>
        <w:ind w:left="3600" w:firstLine="720"/>
      </w:pPr>
      <w:r w:rsidRPr="0057511D">
        <w:t>FEDERAL COMMUNICATIONS COMMISSION</w:t>
      </w:r>
    </w:p>
    <w:p w:rsidR="001C0B46" w:rsidRPr="0057511D" w:rsidRDefault="001C0B46" w:rsidP="001C0B46"/>
    <w:p w:rsidR="001C0B46" w:rsidRPr="0057511D" w:rsidRDefault="001C0B46" w:rsidP="001C0B46"/>
    <w:p w:rsidR="001C0B46" w:rsidRPr="0057511D" w:rsidRDefault="001C0B46" w:rsidP="001C0B46"/>
    <w:p w:rsidR="001C0B46" w:rsidRPr="0057511D" w:rsidRDefault="001C0B46" w:rsidP="001C0B46"/>
    <w:p w:rsidR="001C0B46" w:rsidRPr="0057511D" w:rsidRDefault="001C0B46" w:rsidP="001C0B46">
      <w:r w:rsidRPr="0057511D">
        <w:tab/>
      </w:r>
      <w:r w:rsidRPr="0057511D">
        <w:tab/>
      </w:r>
      <w:r w:rsidRPr="0057511D">
        <w:tab/>
      </w:r>
      <w:r w:rsidRPr="0057511D">
        <w:tab/>
      </w:r>
      <w:r w:rsidRPr="0057511D">
        <w:tab/>
      </w:r>
      <w:r w:rsidRPr="0057511D">
        <w:tab/>
        <w:t>Marlene H. Dortch</w:t>
      </w:r>
    </w:p>
    <w:p w:rsidR="001C0B46" w:rsidRPr="0057511D" w:rsidRDefault="001C0B46" w:rsidP="001C0B46">
      <w:r w:rsidRPr="0057511D">
        <w:tab/>
      </w:r>
      <w:r w:rsidRPr="0057511D">
        <w:tab/>
      </w:r>
      <w:r w:rsidRPr="0057511D">
        <w:tab/>
      </w:r>
      <w:r w:rsidRPr="0057511D">
        <w:tab/>
      </w:r>
      <w:r w:rsidRPr="0057511D">
        <w:tab/>
      </w:r>
      <w:r w:rsidRPr="0057511D">
        <w:tab/>
        <w:t>Secretary</w:t>
      </w:r>
    </w:p>
    <w:p w:rsidR="001C0B46" w:rsidRPr="0057511D" w:rsidRDefault="001C0B46" w:rsidP="001C0B46">
      <w:pPr>
        <w:spacing w:after="120"/>
        <w:ind w:left="3600" w:firstLine="720"/>
        <w:sectPr w:rsidR="001C0B46" w:rsidRPr="0057511D"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r w:rsidRPr="0057511D">
        <w:t>F</w:t>
      </w:r>
      <w:r>
        <w:t>ederal Communications Commission</w:t>
      </w:r>
    </w:p>
    <w:p w:rsidR="001C0B46" w:rsidRPr="00271C2E" w:rsidRDefault="001C0B46" w:rsidP="00271C2E">
      <w:pPr>
        <w:jc w:val="center"/>
        <w:rPr>
          <w:b/>
        </w:rPr>
      </w:pPr>
      <w:r w:rsidRPr="00271C2E">
        <w:rPr>
          <w:b/>
        </w:rPr>
        <w:t>APPENDIX A</w:t>
      </w:r>
    </w:p>
    <w:p w:rsidR="00271C2E" w:rsidRDefault="00271C2E" w:rsidP="00271C2E">
      <w:pPr>
        <w:jc w:val="center"/>
        <w:rPr>
          <w:b/>
        </w:rPr>
      </w:pPr>
    </w:p>
    <w:p w:rsidR="001C0B46" w:rsidRPr="00271C2E" w:rsidRDefault="001C0B46" w:rsidP="00271C2E">
      <w:pPr>
        <w:jc w:val="center"/>
        <w:rPr>
          <w:b/>
        </w:rPr>
      </w:pPr>
      <w:r w:rsidRPr="00271C2E">
        <w:rPr>
          <w:b/>
        </w:rPr>
        <w:t>Final Rules</w:t>
      </w:r>
    </w:p>
    <w:p w:rsidR="001C0B46" w:rsidRDefault="001C0B46" w:rsidP="00271C2E">
      <w:pPr>
        <w:pStyle w:val="Heading2"/>
        <w:numPr>
          <w:ilvl w:val="0"/>
          <w:numId w:val="0"/>
        </w:numPr>
        <w:shd w:val="clear" w:color="auto" w:fill="FFFFFF"/>
        <w:spacing w:before="200"/>
        <w:rPr>
          <w:b w:val="0"/>
          <w:color w:val="000000"/>
          <w:szCs w:val="22"/>
        </w:rPr>
      </w:pPr>
      <w:r>
        <w:rPr>
          <w:b w:val="0"/>
          <w:color w:val="000000"/>
          <w:szCs w:val="22"/>
        </w:rPr>
        <w:t>For the reasons discussed in the preamble, the Federal Communications Commission amends 47 CFR part 54 as follows:</w:t>
      </w:r>
    </w:p>
    <w:p w:rsidR="001C0B46" w:rsidRPr="004B7255" w:rsidRDefault="001C0B46" w:rsidP="00271C2E">
      <w:pPr>
        <w:pStyle w:val="Heading2"/>
        <w:numPr>
          <w:ilvl w:val="0"/>
          <w:numId w:val="0"/>
        </w:numPr>
        <w:shd w:val="clear" w:color="auto" w:fill="FFFFFF"/>
        <w:spacing w:before="200"/>
        <w:ind w:left="1440" w:hanging="720"/>
        <w:rPr>
          <w:b w:val="0"/>
          <w:color w:val="000000"/>
          <w:szCs w:val="22"/>
        </w:rPr>
      </w:pPr>
      <w:r w:rsidRPr="004B7255">
        <w:rPr>
          <w:b w:val="0"/>
          <w:color w:val="000000"/>
          <w:szCs w:val="22"/>
        </w:rPr>
        <w:t>1.</w:t>
      </w:r>
      <w:r w:rsidRPr="004B7255">
        <w:rPr>
          <w:b w:val="0"/>
          <w:color w:val="000000"/>
          <w:szCs w:val="22"/>
        </w:rPr>
        <w:tab/>
      </w:r>
      <w:r>
        <w:rPr>
          <w:b w:val="0"/>
          <w:color w:val="000000"/>
          <w:szCs w:val="22"/>
        </w:rPr>
        <w:t>Revise paragraph (a) of § 54.313 to read as follows:</w:t>
      </w:r>
    </w:p>
    <w:p w:rsidR="001C0B46" w:rsidRPr="004B7255" w:rsidRDefault="001C0B46" w:rsidP="00271C2E">
      <w:pPr>
        <w:pStyle w:val="Heading2"/>
        <w:numPr>
          <w:ilvl w:val="0"/>
          <w:numId w:val="0"/>
        </w:numPr>
        <w:shd w:val="clear" w:color="auto" w:fill="FFFFFF"/>
        <w:spacing w:before="200"/>
        <w:ind w:left="270"/>
        <w:rPr>
          <w:color w:val="000000"/>
          <w:szCs w:val="22"/>
          <w:u w:val="single"/>
        </w:rPr>
      </w:pPr>
      <w:r w:rsidRPr="004B7255">
        <w:rPr>
          <w:color w:val="000000"/>
          <w:szCs w:val="22"/>
          <w:u w:val="single"/>
        </w:rPr>
        <w:t>§54.313  Annual reporting requirements for high-cost recipients.</w:t>
      </w:r>
    </w:p>
    <w:p w:rsidR="001C0B46" w:rsidRPr="004B7255" w:rsidRDefault="001C0B46" w:rsidP="001C0B46">
      <w:pPr>
        <w:pStyle w:val="NormalWeb"/>
        <w:shd w:val="clear" w:color="auto" w:fill="FFFFFF"/>
        <w:tabs>
          <w:tab w:val="left" w:pos="720"/>
        </w:tabs>
        <w:ind w:left="270" w:hanging="270"/>
        <w:rPr>
          <w:color w:val="000000"/>
          <w:sz w:val="22"/>
          <w:szCs w:val="22"/>
        </w:rPr>
      </w:pPr>
      <w:r w:rsidRPr="004B7255">
        <w:rPr>
          <w:color w:val="000000"/>
          <w:sz w:val="22"/>
          <w:szCs w:val="22"/>
        </w:rPr>
        <w:t>(a) Any recipient of high-cost support shall provide the following:</w:t>
      </w:r>
    </w:p>
    <w:p w:rsidR="001C0B46" w:rsidRPr="004B7255" w:rsidRDefault="001C0B46" w:rsidP="001C0B46">
      <w:pPr>
        <w:pStyle w:val="NormalWeb"/>
        <w:shd w:val="clear" w:color="auto" w:fill="FFFFFF"/>
        <w:tabs>
          <w:tab w:val="left" w:pos="720"/>
        </w:tabs>
        <w:ind w:left="630" w:hanging="360"/>
        <w:rPr>
          <w:color w:val="000000"/>
          <w:sz w:val="22"/>
          <w:szCs w:val="22"/>
        </w:rPr>
      </w:pPr>
      <w:r w:rsidRPr="004B7255">
        <w:rPr>
          <w:color w:val="000000"/>
          <w:sz w:val="22"/>
          <w:szCs w:val="22"/>
        </w:rPr>
        <w:t xml:space="preserve"> (1) Certification that the carrier is able to function in emergency situations as set forth in §54.202(a)(2);</w:t>
      </w:r>
    </w:p>
    <w:p w:rsidR="001C0B46" w:rsidRPr="004B7255" w:rsidRDefault="001C0B46" w:rsidP="001C0B46">
      <w:pPr>
        <w:pStyle w:val="NormalWeb"/>
        <w:shd w:val="clear" w:color="auto" w:fill="FFFFFF"/>
        <w:tabs>
          <w:tab w:val="left" w:pos="720"/>
        </w:tabs>
        <w:ind w:left="630" w:hanging="360"/>
        <w:rPr>
          <w:color w:val="000000"/>
          <w:sz w:val="22"/>
          <w:szCs w:val="22"/>
        </w:rPr>
      </w:pPr>
      <w:r w:rsidRPr="004B7255">
        <w:rPr>
          <w:color w:val="000000"/>
          <w:sz w:val="22"/>
          <w:szCs w:val="22"/>
        </w:rPr>
        <w:t>(2)</w:t>
      </w:r>
      <w:r w:rsidRPr="004B7255">
        <w:rPr>
          <w:rStyle w:val="apple-converted-space"/>
          <w:color w:val="000000"/>
          <w:sz w:val="22"/>
          <w:szCs w:val="22"/>
        </w:rPr>
        <w:t> </w:t>
      </w:r>
      <w:r w:rsidRPr="004B7255" w:rsidDel="00F023C7">
        <w:rPr>
          <w:i/>
          <w:iCs/>
          <w:color w:val="000000"/>
          <w:sz w:val="22"/>
          <w:szCs w:val="22"/>
        </w:rPr>
        <w:t xml:space="preserve"> </w:t>
      </w:r>
      <w:r w:rsidRPr="004B7255">
        <w:rPr>
          <w:color w:val="000000"/>
          <w:sz w:val="22"/>
          <w:szCs w:val="22"/>
        </w:rPr>
        <w:t xml:space="preserve">A certification that the pricing of the company's voice services is no more than two standard deviations above the applicable national average urban rate for voice service, as specified in the most recent public notice issued by the Wireline Competition Bureau and Wireless Telecommunications Bureau; </w:t>
      </w:r>
    </w:p>
    <w:p w:rsidR="001C0B46" w:rsidRPr="004B7255" w:rsidRDefault="001C0B46" w:rsidP="001C0B46">
      <w:pPr>
        <w:pStyle w:val="NormalWeb"/>
        <w:shd w:val="clear" w:color="auto" w:fill="FFFFFF"/>
        <w:tabs>
          <w:tab w:val="left" w:pos="720"/>
        </w:tabs>
        <w:ind w:left="630" w:hanging="360"/>
        <w:rPr>
          <w:color w:val="000000"/>
          <w:sz w:val="22"/>
          <w:szCs w:val="22"/>
        </w:rPr>
      </w:pPr>
      <w:r w:rsidRPr="004B7255">
        <w:rPr>
          <w:color w:val="000000"/>
          <w:sz w:val="22"/>
          <w:szCs w:val="22"/>
        </w:rPr>
        <w:t>(3) A certification that the pricing of a service that meets the Commission's broadband public interest obligations is no more than the applicable benchmark to be announced annually in a public notice issued by the Wireline Competition Bureau, or is no more than the non-promotional price charged for a comparable fixed wireline service in urban areas in the states or U.S. Territories where the eligible telecommunications carrier receives support;</w:t>
      </w:r>
    </w:p>
    <w:p w:rsidR="001C0B46" w:rsidRPr="004B7255" w:rsidRDefault="009A03CA" w:rsidP="001C0B46">
      <w:pPr>
        <w:pStyle w:val="NormalWeb"/>
        <w:shd w:val="clear" w:color="auto" w:fill="FFFFFF"/>
        <w:tabs>
          <w:tab w:val="left" w:pos="720"/>
        </w:tabs>
        <w:ind w:left="630" w:hanging="360"/>
        <w:rPr>
          <w:color w:val="000000"/>
          <w:sz w:val="22"/>
          <w:szCs w:val="22"/>
        </w:rPr>
      </w:pPr>
      <w:r>
        <w:rPr>
          <w:color w:val="000000"/>
          <w:sz w:val="22"/>
          <w:szCs w:val="22"/>
        </w:rPr>
        <w:t>(4</w:t>
      </w:r>
      <w:r w:rsidR="001C0B46" w:rsidRPr="004B7255">
        <w:rPr>
          <w:color w:val="000000"/>
          <w:sz w:val="22"/>
          <w:szCs w:val="22"/>
        </w:rPr>
        <w:t>) The recipient's holding company, operating companies, affiliates, and any branding (a “dba,” or “doing-business-as company” or brand designation), as well as universal service identifiers for each such entity by Study Area Codes, as that term is used by the Administrator. For purposes of this paragraph, “affiliates” has the meaning set forth in section 3(2) of the Communications Act of 1934, as amended;</w:t>
      </w:r>
    </w:p>
    <w:p w:rsidR="001C0B46" w:rsidRPr="004B7255" w:rsidRDefault="001C0B46" w:rsidP="001C0B46">
      <w:pPr>
        <w:pStyle w:val="NormalWeb"/>
        <w:shd w:val="clear" w:color="auto" w:fill="FFFFFF"/>
        <w:tabs>
          <w:tab w:val="left" w:pos="720"/>
        </w:tabs>
        <w:ind w:left="630" w:hanging="360"/>
        <w:rPr>
          <w:color w:val="000000"/>
          <w:sz w:val="22"/>
          <w:szCs w:val="22"/>
        </w:rPr>
      </w:pPr>
      <w:r w:rsidRPr="004B7255">
        <w:rPr>
          <w:color w:val="000000"/>
          <w:sz w:val="22"/>
          <w:szCs w:val="22"/>
        </w:rPr>
        <w:t>(</w:t>
      </w:r>
      <w:r w:rsidR="009A03CA">
        <w:rPr>
          <w:color w:val="000000"/>
          <w:sz w:val="22"/>
          <w:szCs w:val="22"/>
        </w:rPr>
        <w:t>5</w:t>
      </w:r>
      <w:r w:rsidRPr="004B7255">
        <w:rPr>
          <w:color w:val="000000"/>
          <w:sz w:val="22"/>
          <w:szCs w:val="22"/>
        </w:rPr>
        <w:t>)</w:t>
      </w:r>
      <w:r w:rsidRPr="004B7255">
        <w:rPr>
          <w:rStyle w:val="apple-converted-space"/>
          <w:color w:val="000000"/>
          <w:sz w:val="22"/>
          <w:szCs w:val="22"/>
        </w:rPr>
        <w:t> </w:t>
      </w:r>
      <w:r w:rsidRPr="004B7255" w:rsidDel="00F023C7">
        <w:rPr>
          <w:i/>
          <w:iCs/>
          <w:color w:val="000000"/>
          <w:sz w:val="22"/>
          <w:szCs w:val="22"/>
        </w:rPr>
        <w:t xml:space="preserve"> </w:t>
      </w:r>
      <w:r w:rsidRPr="004B7255">
        <w:rPr>
          <w:color w:val="000000"/>
          <w:sz w:val="22"/>
          <w:szCs w:val="22"/>
        </w:rPr>
        <w:t>To the extent the recipient serves Tribal lands, documents or information demonstrating that the ETC had discussions with Tribal governments that, at a minimum, included:</w:t>
      </w:r>
    </w:p>
    <w:p w:rsidR="001C0B46" w:rsidRPr="004B7255" w:rsidRDefault="001C0B46" w:rsidP="001C0B46">
      <w:pPr>
        <w:pStyle w:val="NormalWeb"/>
        <w:shd w:val="clear" w:color="auto" w:fill="FFFFFF"/>
        <w:tabs>
          <w:tab w:val="left" w:pos="720"/>
        </w:tabs>
        <w:ind w:left="990" w:hanging="360"/>
        <w:rPr>
          <w:color w:val="000000"/>
          <w:sz w:val="22"/>
          <w:szCs w:val="22"/>
        </w:rPr>
      </w:pPr>
      <w:r w:rsidRPr="004B7255">
        <w:rPr>
          <w:color w:val="000000"/>
          <w:sz w:val="22"/>
          <w:szCs w:val="22"/>
        </w:rPr>
        <w:t xml:space="preserve">(i) </w:t>
      </w:r>
      <w:r w:rsidRPr="004B7255">
        <w:rPr>
          <w:color w:val="000000"/>
          <w:sz w:val="22"/>
          <w:szCs w:val="22"/>
        </w:rPr>
        <w:tab/>
        <w:t>A needs assessment and deployment planning with a focus on Tribal community anchor institutions;</w:t>
      </w:r>
    </w:p>
    <w:p w:rsidR="001C0B46" w:rsidRPr="004B7255" w:rsidRDefault="001C0B46" w:rsidP="001C0B46">
      <w:pPr>
        <w:pStyle w:val="NormalWeb"/>
        <w:shd w:val="clear" w:color="auto" w:fill="FFFFFF"/>
        <w:tabs>
          <w:tab w:val="left" w:pos="720"/>
        </w:tabs>
        <w:ind w:left="990" w:hanging="360"/>
        <w:rPr>
          <w:color w:val="000000"/>
          <w:sz w:val="22"/>
          <w:szCs w:val="22"/>
        </w:rPr>
      </w:pPr>
      <w:r w:rsidRPr="004B7255">
        <w:rPr>
          <w:color w:val="000000"/>
          <w:sz w:val="22"/>
          <w:szCs w:val="22"/>
        </w:rPr>
        <w:t>(ii)</w:t>
      </w:r>
      <w:r w:rsidRPr="004B7255">
        <w:rPr>
          <w:color w:val="000000"/>
          <w:sz w:val="22"/>
          <w:szCs w:val="22"/>
        </w:rPr>
        <w:tab/>
        <w:t>Feasibility and sustainability planning;</w:t>
      </w:r>
    </w:p>
    <w:p w:rsidR="001C0B46" w:rsidRPr="004B7255" w:rsidRDefault="001C0B46" w:rsidP="001C0B46">
      <w:pPr>
        <w:pStyle w:val="NormalWeb"/>
        <w:shd w:val="clear" w:color="auto" w:fill="FFFFFF"/>
        <w:tabs>
          <w:tab w:val="left" w:pos="720"/>
        </w:tabs>
        <w:ind w:left="990" w:hanging="360"/>
        <w:rPr>
          <w:color w:val="000000"/>
          <w:sz w:val="22"/>
          <w:szCs w:val="22"/>
        </w:rPr>
      </w:pPr>
      <w:r w:rsidRPr="004B7255">
        <w:rPr>
          <w:color w:val="000000"/>
          <w:sz w:val="22"/>
          <w:szCs w:val="22"/>
        </w:rPr>
        <w:t>(iii) Marketing services in a culturally sensitive manner;</w:t>
      </w:r>
    </w:p>
    <w:p w:rsidR="001C0B46" w:rsidRPr="004B7255" w:rsidRDefault="001C0B46" w:rsidP="001C0B46">
      <w:pPr>
        <w:pStyle w:val="NormalWeb"/>
        <w:shd w:val="clear" w:color="auto" w:fill="FFFFFF"/>
        <w:tabs>
          <w:tab w:val="left" w:pos="720"/>
        </w:tabs>
        <w:ind w:left="990" w:hanging="360"/>
        <w:rPr>
          <w:color w:val="000000"/>
          <w:sz w:val="22"/>
          <w:szCs w:val="22"/>
        </w:rPr>
      </w:pPr>
      <w:r w:rsidRPr="004B7255">
        <w:rPr>
          <w:color w:val="000000"/>
          <w:sz w:val="22"/>
          <w:szCs w:val="22"/>
        </w:rPr>
        <w:t>(iv) Rights of way processes, land use permitting, facilities siting, environmental and cultural preservation review processes; and</w:t>
      </w:r>
    </w:p>
    <w:p w:rsidR="001C0B46" w:rsidRPr="004B7255" w:rsidRDefault="001C0B46" w:rsidP="001C0B46">
      <w:pPr>
        <w:pStyle w:val="NormalWeb"/>
        <w:shd w:val="clear" w:color="auto" w:fill="FFFFFF"/>
        <w:tabs>
          <w:tab w:val="left" w:pos="720"/>
        </w:tabs>
        <w:ind w:left="990" w:hanging="360"/>
        <w:rPr>
          <w:color w:val="000000"/>
          <w:sz w:val="22"/>
          <w:szCs w:val="22"/>
        </w:rPr>
      </w:pPr>
      <w:r w:rsidRPr="004B7255">
        <w:rPr>
          <w:color w:val="000000"/>
          <w:sz w:val="22"/>
          <w:szCs w:val="22"/>
        </w:rPr>
        <w:t xml:space="preserve">(v) </w:t>
      </w:r>
      <w:r w:rsidRPr="004B7255">
        <w:rPr>
          <w:color w:val="000000"/>
          <w:sz w:val="22"/>
          <w:szCs w:val="22"/>
        </w:rPr>
        <w:tab/>
        <w:t>Compliance with Tribal business and licensing requirements. Tribal business and licensing requirements include business practice licenses that Tribal and non-Tribal business entities, whether located on or off Tribal lands, must obtain upon application to the relevant Tribal government office or division to conduct any business or trade, or deliver any goods or services to the Tribes, Tribal members, or Tribal lands. These include certificates of public convenience and necessity, Tribal business licenses, master licenses, and other related forms of Tribal government licensure.</w:t>
      </w:r>
    </w:p>
    <w:p w:rsidR="001C0B46" w:rsidRPr="004B7255" w:rsidRDefault="001C0B46" w:rsidP="001C0B46">
      <w:pPr>
        <w:pStyle w:val="NormalWeb"/>
        <w:shd w:val="clear" w:color="auto" w:fill="FFFFFF"/>
        <w:tabs>
          <w:tab w:val="left" w:pos="720"/>
        </w:tabs>
        <w:ind w:left="630" w:hanging="360"/>
        <w:rPr>
          <w:color w:val="000000"/>
          <w:sz w:val="22"/>
          <w:szCs w:val="22"/>
        </w:rPr>
      </w:pPr>
      <w:r w:rsidRPr="004B7255">
        <w:rPr>
          <w:color w:val="000000"/>
          <w:sz w:val="22"/>
          <w:szCs w:val="22"/>
        </w:rPr>
        <w:t>(</w:t>
      </w:r>
      <w:r w:rsidR="009A03CA">
        <w:rPr>
          <w:color w:val="000000"/>
          <w:sz w:val="22"/>
          <w:szCs w:val="22"/>
        </w:rPr>
        <w:t>6</w:t>
      </w:r>
      <w:r w:rsidRPr="004B7255">
        <w:rPr>
          <w:color w:val="000000"/>
          <w:sz w:val="22"/>
          <w:szCs w:val="22"/>
        </w:rPr>
        <w:t>)</w:t>
      </w:r>
      <w:r w:rsidRPr="004B7255">
        <w:rPr>
          <w:rStyle w:val="apple-converted-space"/>
          <w:color w:val="000000"/>
          <w:sz w:val="22"/>
          <w:szCs w:val="22"/>
        </w:rPr>
        <w:t> </w:t>
      </w:r>
      <w:r w:rsidRPr="004B7255" w:rsidDel="00E53DFE">
        <w:rPr>
          <w:i/>
          <w:iCs/>
          <w:color w:val="000000"/>
          <w:sz w:val="22"/>
          <w:szCs w:val="22"/>
        </w:rPr>
        <w:t xml:space="preserve"> </w:t>
      </w:r>
      <w:r w:rsidRPr="004B7255">
        <w:rPr>
          <w:color w:val="000000"/>
          <w:sz w:val="22"/>
          <w:szCs w:val="22"/>
        </w:rPr>
        <w:t>The results of network performance tests pursuant to the methodology and in the format determined by the Wireline Competition Bureau, Wireless Telecommunications Bureau, and Office of Engineering and Technology.</w:t>
      </w:r>
    </w:p>
    <w:p w:rsidR="001C0B46" w:rsidRDefault="001C0B46" w:rsidP="001C0B46">
      <w:pPr>
        <w:shd w:val="clear" w:color="auto" w:fill="FFFFFF"/>
        <w:tabs>
          <w:tab w:val="left" w:pos="720"/>
        </w:tabs>
        <w:spacing w:before="100" w:beforeAutospacing="1" w:after="100" w:afterAutospacing="1"/>
        <w:sectPr w:rsidR="001C0B46">
          <w:pgSz w:w="12240" w:h="15840"/>
          <w:pgMar w:top="1440" w:right="1440" w:bottom="1440" w:left="1440" w:header="720" w:footer="720" w:gutter="0"/>
          <w:cols w:space="720"/>
          <w:docGrid w:linePitch="360"/>
        </w:sectPr>
      </w:pPr>
      <w:r>
        <w:t xml:space="preserve">* * * * * </w:t>
      </w:r>
    </w:p>
    <w:p w:rsidR="001C0B46" w:rsidRDefault="001C0B46" w:rsidP="001C0B46">
      <w:pPr>
        <w:jc w:val="center"/>
        <w:rPr>
          <w:b/>
        </w:rPr>
      </w:pPr>
      <w:r w:rsidRPr="00464D49">
        <w:rPr>
          <w:b/>
        </w:rPr>
        <w:t>APPENDIX B</w:t>
      </w:r>
    </w:p>
    <w:p w:rsidR="00271C2E" w:rsidRPr="00464D49" w:rsidRDefault="00271C2E" w:rsidP="001C0B46">
      <w:pPr>
        <w:jc w:val="center"/>
        <w:rPr>
          <w:b/>
        </w:rPr>
      </w:pPr>
    </w:p>
    <w:p w:rsidR="001C0B46" w:rsidRPr="00464D49" w:rsidRDefault="001C0B46" w:rsidP="001C0B46">
      <w:pPr>
        <w:jc w:val="center"/>
        <w:rPr>
          <w:b/>
        </w:rPr>
      </w:pPr>
      <w:r w:rsidRPr="00464D49">
        <w:rPr>
          <w:b/>
          <w:bCs/>
        </w:rPr>
        <w:t>Final Regulatory Flexibility Analysis</w:t>
      </w:r>
    </w:p>
    <w:p w:rsidR="001C0B46" w:rsidRPr="00464D49" w:rsidRDefault="001C0B46" w:rsidP="001C0B46"/>
    <w:p w:rsidR="001C0B46" w:rsidRPr="00464D49" w:rsidRDefault="001C0B46" w:rsidP="001C0B46">
      <w:pPr>
        <w:numPr>
          <w:ilvl w:val="0"/>
          <w:numId w:val="8"/>
        </w:numPr>
        <w:tabs>
          <w:tab w:val="clear" w:pos="1080"/>
          <w:tab w:val="num" w:pos="1440"/>
        </w:tabs>
        <w:spacing w:after="120"/>
      </w:pPr>
      <w:bookmarkStart w:id="1" w:name="_Toc412097292"/>
      <w:bookmarkStart w:id="2" w:name="_Toc412382109"/>
      <w:bookmarkStart w:id="3" w:name="_Toc412409137"/>
      <w:bookmarkStart w:id="4" w:name="_Toc412409984"/>
      <w:bookmarkStart w:id="5" w:name="_Toc412410092"/>
      <w:bookmarkStart w:id="6" w:name="_Toc412410347"/>
      <w:bookmarkStart w:id="7" w:name="_Toc412557231"/>
      <w:bookmarkStart w:id="8" w:name="_Toc412557591"/>
      <w:bookmarkStart w:id="9" w:name="_Toc412574957"/>
      <w:bookmarkStart w:id="10" w:name="_Toc413425054"/>
      <w:bookmarkStart w:id="11" w:name="_Toc446424672"/>
      <w:bookmarkStart w:id="12" w:name="_Toc447036381"/>
      <w:r w:rsidRPr="00464D49">
        <w:t>As required by the Regulatory Flexibility Act of 1980 (RFA)</w:t>
      </w:r>
      <w:r w:rsidRPr="00464D49">
        <w:rPr>
          <w:sz w:val="20"/>
          <w:vertAlign w:val="superscript"/>
        </w:rPr>
        <w:footnoteReference w:id="44"/>
      </w:r>
      <w:r w:rsidRPr="00464D49">
        <w:t xml:space="preserve"> as amended, an Initial Regulatory Flexibility Analysis (IRFA) was incorporated in the </w:t>
      </w:r>
      <w:r w:rsidRPr="00464D49">
        <w:rPr>
          <w:i/>
          <w:iCs/>
        </w:rPr>
        <w:t>Further Notice of Proposed Rulemaking</w:t>
      </w:r>
      <w:r w:rsidRPr="00464D49">
        <w:t xml:space="preserve"> adopted in March 2016 (</w:t>
      </w:r>
      <w:r w:rsidRPr="00464D49">
        <w:rPr>
          <w:i/>
        </w:rPr>
        <w:t>Rate-of-Return Reform FNPRM</w:t>
      </w:r>
      <w:r w:rsidRPr="00464D49">
        <w:t>).</w:t>
      </w:r>
      <w:r w:rsidRPr="00464D49">
        <w:rPr>
          <w:sz w:val="20"/>
          <w:vertAlign w:val="superscript"/>
        </w:rPr>
        <w:footnoteReference w:id="45"/>
      </w:r>
      <w:r w:rsidRPr="00464D49">
        <w:t xml:space="preserve">  The Commission sought written public comment on the proposals in the </w:t>
      </w:r>
      <w:r w:rsidRPr="00464D49">
        <w:rPr>
          <w:i/>
        </w:rPr>
        <w:t>Rate-of-Return Reform FNPRM</w:t>
      </w:r>
      <w:r w:rsidRPr="00464D49">
        <w:rPr>
          <w:iCs/>
          <w:shd w:val="clear" w:color="auto" w:fill="FFFFFF"/>
        </w:rPr>
        <w:t xml:space="preserve">, </w:t>
      </w:r>
      <w:r w:rsidRPr="00464D49">
        <w:t>including comment on the IRFA.  The Commission did not receive any relevant comments in response to this IRFA.  This Final Regulatory Flexibility Analysis (FRFA) conforms to the RFA.</w:t>
      </w:r>
      <w:r w:rsidRPr="00464D49">
        <w:rPr>
          <w:sz w:val="20"/>
          <w:vertAlign w:val="superscript"/>
        </w:rPr>
        <w:footnoteReference w:id="46"/>
      </w:r>
    </w:p>
    <w:p w:rsidR="001C0B46" w:rsidRPr="002C18DE" w:rsidRDefault="001C0B46" w:rsidP="001C0B46">
      <w:pPr>
        <w:pStyle w:val="ListParagraph"/>
        <w:keepNext/>
        <w:widowControl w:val="0"/>
        <w:numPr>
          <w:ilvl w:val="0"/>
          <w:numId w:val="9"/>
        </w:numPr>
        <w:spacing w:after="120" w:line="240" w:lineRule="auto"/>
        <w:ind w:left="1440" w:hanging="720"/>
        <w:outlineLvl w:val="1"/>
        <w:rPr>
          <w:rFonts w:ascii="Times New Roman" w:eastAsia="Times New Roman" w:hAnsi="Times New Roman"/>
          <w:b/>
          <w:snapToGrid w:val="0"/>
          <w:kern w:val="28"/>
          <w:szCs w:val="20"/>
        </w:rPr>
      </w:pPr>
      <w:bookmarkStart w:id="13" w:name="_Toc473709369"/>
      <w:bookmarkStart w:id="14" w:name="_Toc475612184"/>
      <w:bookmarkStart w:id="15" w:name="_Toc475635343"/>
      <w:r w:rsidRPr="002C18DE">
        <w:rPr>
          <w:rFonts w:ascii="Times New Roman" w:eastAsia="Times New Roman" w:hAnsi="Times New Roman"/>
          <w:b/>
          <w:snapToGrid w:val="0"/>
          <w:kern w:val="28"/>
          <w:szCs w:val="20"/>
        </w:rPr>
        <w:t xml:space="preserve">Need for, and Objective of, the </w:t>
      </w:r>
      <w:bookmarkEnd w:id="1"/>
      <w:bookmarkEnd w:id="2"/>
      <w:bookmarkEnd w:id="3"/>
      <w:bookmarkEnd w:id="4"/>
      <w:bookmarkEnd w:id="5"/>
      <w:bookmarkEnd w:id="6"/>
      <w:bookmarkEnd w:id="7"/>
      <w:bookmarkEnd w:id="8"/>
      <w:bookmarkEnd w:id="9"/>
      <w:bookmarkEnd w:id="10"/>
      <w:r w:rsidRPr="002C18DE">
        <w:rPr>
          <w:rFonts w:ascii="Times New Roman" w:eastAsia="Times New Roman" w:hAnsi="Times New Roman"/>
          <w:b/>
          <w:snapToGrid w:val="0"/>
          <w:kern w:val="28"/>
          <w:szCs w:val="20"/>
        </w:rPr>
        <w:t>Report and Order</w:t>
      </w:r>
      <w:bookmarkEnd w:id="11"/>
      <w:bookmarkEnd w:id="12"/>
      <w:bookmarkEnd w:id="13"/>
      <w:bookmarkEnd w:id="14"/>
      <w:bookmarkEnd w:id="15"/>
    </w:p>
    <w:p w:rsidR="001C0B46" w:rsidRPr="002C18DE" w:rsidRDefault="001C0B46" w:rsidP="001C0B46">
      <w:pPr>
        <w:pStyle w:val="ParaNum"/>
        <w:numPr>
          <w:ilvl w:val="0"/>
          <w:numId w:val="8"/>
        </w:numPr>
        <w:tabs>
          <w:tab w:val="clear" w:pos="1080"/>
          <w:tab w:val="num" w:pos="1440"/>
        </w:tabs>
      </w:pPr>
      <w:bookmarkStart w:id="16" w:name="_Toc412097293"/>
      <w:bookmarkStart w:id="17" w:name="_Toc412382110"/>
      <w:bookmarkStart w:id="18" w:name="_Toc412409138"/>
      <w:bookmarkStart w:id="19" w:name="_Toc412409985"/>
      <w:bookmarkStart w:id="20" w:name="_Toc412410093"/>
      <w:bookmarkStart w:id="21" w:name="_Toc412410348"/>
      <w:bookmarkStart w:id="22" w:name="_Toc412557232"/>
      <w:bookmarkStart w:id="23" w:name="_Toc412557592"/>
      <w:bookmarkStart w:id="24" w:name="_Toc412574958"/>
      <w:bookmarkStart w:id="25" w:name="_Toc413425055"/>
      <w:bookmarkStart w:id="26" w:name="_Toc446424673"/>
      <w:bookmarkStart w:id="27" w:name="_Toc447036382"/>
      <w:r w:rsidRPr="005B6C7B">
        <w:t>In this Report and Order, we streamline the annual reporting requirements for eligible telecommunications carriers (ETCs) tha</w:t>
      </w:r>
      <w:r w:rsidRPr="002C18DE">
        <w:t xml:space="preserve">t receive high-cost universal service support by eliminating several rules that are either duplicative of other reporting requirements or are simply no longer necessary.  We also reinforce the importance of providing the public with access to non-confidential information filed by ETCs and direct the Universal Service Administrative Company (USAC) to work closely with state and </w:t>
      </w:r>
      <w:r>
        <w:t>T</w:t>
      </w:r>
      <w:r w:rsidRPr="002C18DE">
        <w:t>ribal governments and other stakeholders to improve public access to the information that ETCs will continue to file.  In doing so, we reduce ETCs’ regulatory burden while strengthening the tools for program oversight in furtherance of our goal of protecting the high cost universal support program against waste, fraud, and abuse.</w:t>
      </w:r>
    </w:p>
    <w:p w:rsidR="001C0B46" w:rsidRPr="002C18DE" w:rsidRDefault="001C0B46" w:rsidP="001C0B46">
      <w:pPr>
        <w:pStyle w:val="ListParagraph"/>
        <w:keepNext/>
        <w:widowControl w:val="0"/>
        <w:numPr>
          <w:ilvl w:val="0"/>
          <w:numId w:val="9"/>
        </w:numPr>
        <w:spacing w:after="120" w:line="240" w:lineRule="auto"/>
        <w:ind w:left="1440" w:hanging="720"/>
        <w:outlineLvl w:val="1"/>
        <w:rPr>
          <w:rFonts w:ascii="Times New Roman" w:eastAsia="Times New Roman" w:hAnsi="Times New Roman"/>
          <w:b/>
          <w:snapToGrid w:val="0"/>
          <w:kern w:val="28"/>
          <w:szCs w:val="20"/>
        </w:rPr>
      </w:pPr>
      <w:bookmarkStart w:id="28" w:name="_Toc473709370"/>
      <w:bookmarkStart w:id="29" w:name="_Toc475612185"/>
      <w:bookmarkStart w:id="30" w:name="_Toc475635344"/>
      <w:r w:rsidRPr="002C18DE">
        <w:rPr>
          <w:rFonts w:ascii="Times New Roman" w:eastAsia="Times New Roman" w:hAnsi="Times New Roman"/>
          <w:b/>
          <w:snapToGrid w:val="0"/>
          <w:kern w:val="28"/>
          <w:szCs w:val="20"/>
        </w:rPr>
        <w:t>Summary of Significant Issues Raised by Public Comments in Response to the IRFA</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1C0B46" w:rsidRPr="002C18DE" w:rsidRDefault="001C0B46" w:rsidP="001C0B46">
      <w:pPr>
        <w:pStyle w:val="ParaNum"/>
        <w:numPr>
          <w:ilvl w:val="0"/>
          <w:numId w:val="8"/>
        </w:numPr>
        <w:tabs>
          <w:tab w:val="clear" w:pos="1080"/>
          <w:tab w:val="num" w:pos="1440"/>
        </w:tabs>
      </w:pPr>
      <w:bookmarkStart w:id="31" w:name="_Toc412097294"/>
      <w:bookmarkStart w:id="32" w:name="_Toc412382111"/>
      <w:bookmarkStart w:id="33" w:name="_Toc412409139"/>
      <w:bookmarkStart w:id="34" w:name="_Toc412409986"/>
      <w:bookmarkStart w:id="35" w:name="_Toc412410094"/>
      <w:bookmarkStart w:id="36" w:name="_Toc412410349"/>
      <w:bookmarkStart w:id="37" w:name="_Toc412557233"/>
      <w:bookmarkStart w:id="38" w:name="_Toc412557593"/>
      <w:bookmarkStart w:id="39" w:name="_Toc412574959"/>
      <w:bookmarkStart w:id="40" w:name="_Toc413425056"/>
      <w:r w:rsidRPr="005B6C7B">
        <w:t xml:space="preserve">There were no comments raised that specifically addressed the proposed updating of the ETC reporting requirements as presented in the </w:t>
      </w:r>
      <w:r w:rsidRPr="005B6C7B">
        <w:rPr>
          <w:i/>
        </w:rPr>
        <w:t xml:space="preserve">Rate-of-Return Reform FNPRM </w:t>
      </w:r>
      <w:r w:rsidRPr="005B6C7B">
        <w:t>IRFA.</w:t>
      </w:r>
      <w:r w:rsidRPr="00464D49">
        <w:rPr>
          <w:sz w:val="20"/>
          <w:vertAlign w:val="superscript"/>
        </w:rPr>
        <w:footnoteReference w:id="47"/>
      </w:r>
      <w:r w:rsidRPr="005B6C7B">
        <w:t xml:space="preserve">  Nonetheless, the Commission considered the potential impact o</w:t>
      </w:r>
      <w:r w:rsidRPr="002C18DE">
        <w:t xml:space="preserve">f the rules proposed in the IRFA on small entities and reduced the compliance burden for all small entities in order to reduce the economic impact of the rules enacted herein on such entities. </w:t>
      </w:r>
    </w:p>
    <w:p w:rsidR="001C0B46" w:rsidRPr="002C18DE" w:rsidRDefault="001C0B46" w:rsidP="001C0B46">
      <w:pPr>
        <w:pStyle w:val="ListParagraph"/>
        <w:keepNext/>
        <w:widowControl w:val="0"/>
        <w:numPr>
          <w:ilvl w:val="0"/>
          <w:numId w:val="9"/>
        </w:numPr>
        <w:spacing w:after="120" w:line="240" w:lineRule="auto"/>
        <w:ind w:left="1440" w:hanging="720"/>
        <w:outlineLvl w:val="1"/>
        <w:rPr>
          <w:rFonts w:ascii="Times New Roman" w:eastAsia="Times New Roman" w:hAnsi="Times New Roman"/>
          <w:b/>
          <w:snapToGrid w:val="0"/>
          <w:kern w:val="28"/>
          <w:szCs w:val="20"/>
        </w:rPr>
      </w:pPr>
      <w:bookmarkStart w:id="41" w:name="_Toc446424674"/>
      <w:bookmarkStart w:id="42" w:name="_Toc447036383"/>
      <w:bookmarkStart w:id="43" w:name="_Toc473709371"/>
      <w:bookmarkStart w:id="44" w:name="_Toc475612186"/>
      <w:bookmarkStart w:id="45" w:name="_Toc475635345"/>
      <w:r w:rsidRPr="002C18DE">
        <w:rPr>
          <w:rFonts w:ascii="Times New Roman" w:eastAsia="Times New Roman" w:hAnsi="Times New Roman"/>
          <w:b/>
          <w:snapToGrid w:val="0"/>
          <w:kern w:val="28"/>
          <w:szCs w:val="20"/>
        </w:rPr>
        <w:t>Response to Comments by the Chief Counsel for Advocacy of the Small Business Administration</w:t>
      </w:r>
      <w:bookmarkEnd w:id="41"/>
      <w:bookmarkEnd w:id="42"/>
      <w:bookmarkEnd w:id="43"/>
      <w:bookmarkEnd w:id="44"/>
      <w:bookmarkEnd w:id="45"/>
    </w:p>
    <w:p w:rsidR="001C0B46" w:rsidRPr="002C18DE" w:rsidRDefault="001C0B46" w:rsidP="001C0B46">
      <w:pPr>
        <w:pStyle w:val="ParaNum"/>
        <w:numPr>
          <w:ilvl w:val="0"/>
          <w:numId w:val="8"/>
        </w:numPr>
        <w:tabs>
          <w:tab w:val="clear" w:pos="1080"/>
          <w:tab w:val="num" w:pos="1440"/>
        </w:tabs>
      </w:pPr>
      <w:r w:rsidRPr="002C18DE">
        <w:t>Pursuant to the Small Business Jobs Act of 2010,</w:t>
      </w:r>
      <w:r w:rsidRPr="00464D49">
        <w:rPr>
          <w:sz w:val="20"/>
          <w:vertAlign w:val="superscript"/>
        </w:rPr>
        <w:footnoteReference w:id="48"/>
      </w:r>
      <w:r w:rsidRPr="002C18DE">
        <w:t xml:space="preserve"> which amended the RFA, the Commission is required to respond to any comments filed by the Chief Counsel of the Small Business Administration (SBA), and to provide a detailed statement of any change made to the proposed rule(s) as a result of those comments.  The Chief Counsel did not file any comments in response to the proposed rule(s) in this proceeding.</w:t>
      </w:r>
    </w:p>
    <w:p w:rsidR="001C0B46" w:rsidRPr="002C18DE" w:rsidRDefault="001C0B46" w:rsidP="001C0B46">
      <w:pPr>
        <w:pStyle w:val="ListParagraph"/>
        <w:keepNext/>
        <w:widowControl w:val="0"/>
        <w:numPr>
          <w:ilvl w:val="0"/>
          <w:numId w:val="9"/>
        </w:numPr>
        <w:spacing w:after="120" w:line="240" w:lineRule="auto"/>
        <w:ind w:left="1440" w:hanging="720"/>
        <w:outlineLvl w:val="1"/>
        <w:rPr>
          <w:rFonts w:ascii="Times New Roman" w:eastAsia="Times New Roman" w:hAnsi="Times New Roman"/>
          <w:b/>
          <w:snapToGrid w:val="0"/>
          <w:kern w:val="28"/>
          <w:szCs w:val="20"/>
        </w:rPr>
      </w:pPr>
      <w:bookmarkStart w:id="46" w:name="_Toc446424675"/>
      <w:bookmarkStart w:id="47" w:name="_Toc447036384"/>
      <w:bookmarkStart w:id="48" w:name="_Toc473709372"/>
      <w:bookmarkStart w:id="49" w:name="_Toc475612187"/>
      <w:bookmarkStart w:id="50" w:name="_Toc475635346"/>
      <w:r w:rsidRPr="002C18DE">
        <w:rPr>
          <w:rFonts w:ascii="Times New Roman" w:eastAsia="Times New Roman" w:hAnsi="Times New Roman"/>
          <w:b/>
          <w:snapToGrid w:val="0"/>
          <w:kern w:val="28"/>
          <w:szCs w:val="20"/>
        </w:rPr>
        <w:t>Description and Estimate of the Number of Small Entities to Which the Rules Would Apply</w:t>
      </w:r>
      <w:bookmarkEnd w:id="31"/>
      <w:bookmarkEnd w:id="32"/>
      <w:bookmarkEnd w:id="33"/>
      <w:bookmarkEnd w:id="34"/>
      <w:bookmarkEnd w:id="35"/>
      <w:bookmarkEnd w:id="36"/>
      <w:bookmarkEnd w:id="37"/>
      <w:bookmarkEnd w:id="38"/>
      <w:bookmarkEnd w:id="39"/>
      <w:bookmarkEnd w:id="40"/>
      <w:bookmarkEnd w:id="46"/>
      <w:bookmarkEnd w:id="47"/>
      <w:bookmarkEnd w:id="48"/>
      <w:bookmarkEnd w:id="49"/>
      <w:bookmarkEnd w:id="50"/>
    </w:p>
    <w:p w:rsidR="001C0B46" w:rsidRPr="002C18DE" w:rsidRDefault="001C0B46" w:rsidP="00271C2E">
      <w:pPr>
        <w:pStyle w:val="ParaNum"/>
        <w:widowControl/>
        <w:numPr>
          <w:ilvl w:val="0"/>
          <w:numId w:val="8"/>
        </w:numPr>
        <w:tabs>
          <w:tab w:val="clear" w:pos="1080"/>
          <w:tab w:val="num" w:pos="1440"/>
        </w:tabs>
      </w:pPr>
      <w:r w:rsidRPr="002C18DE">
        <w:t>The RFA directs agencies to provide a description of, and where feasible, an estimate of the number of small entities that may be affected by the proposed rules adopted</w:t>
      </w:r>
      <w:r w:rsidR="00D84721">
        <w:t xml:space="preserve"> herein</w:t>
      </w:r>
      <w:r w:rsidRPr="002C18DE">
        <w:t>.</w:t>
      </w:r>
      <w:r w:rsidRPr="00464D49">
        <w:rPr>
          <w:sz w:val="20"/>
          <w:vertAlign w:val="superscript"/>
        </w:rPr>
        <w:footnoteReference w:id="49"/>
      </w:r>
      <w:r w:rsidRPr="002C18DE">
        <w:t xml:space="preserve">  The RFA generally defines the term “small entity” as having the same meaning as the terms “small business,” “small organization,” and “small governmental jurisdiction.”</w:t>
      </w:r>
      <w:r w:rsidRPr="00464D49">
        <w:rPr>
          <w:sz w:val="20"/>
          <w:vertAlign w:val="superscript"/>
        </w:rPr>
        <w:footnoteReference w:id="50"/>
      </w:r>
      <w:r w:rsidRPr="002C18DE">
        <w:t xml:space="preserve">  In addition, the term “small business” has the same meaning as the term “small-business concern” under the Small Business Act.</w:t>
      </w:r>
      <w:r w:rsidRPr="00464D49">
        <w:rPr>
          <w:sz w:val="20"/>
          <w:vertAlign w:val="superscript"/>
        </w:rPr>
        <w:footnoteReference w:id="51"/>
      </w:r>
      <w:r w:rsidRPr="002C18DE">
        <w:t xml:space="preserve">  A small-business concern” is one which:  (1) is independently owned and operated; (2) is not dominant in its field of operation; and (3) satisfies any additional criteria established by the Small Business Administration (SBA).</w:t>
      </w:r>
      <w:r w:rsidRPr="00464D49">
        <w:rPr>
          <w:sz w:val="20"/>
          <w:vertAlign w:val="superscript"/>
        </w:rPr>
        <w:footnoteReference w:id="52"/>
      </w:r>
    </w:p>
    <w:p w:rsidR="00D84721" w:rsidRDefault="00D84721" w:rsidP="001C0B46">
      <w:pPr>
        <w:pStyle w:val="ParaNum"/>
        <w:numPr>
          <w:ilvl w:val="0"/>
          <w:numId w:val="8"/>
        </w:numPr>
        <w:tabs>
          <w:tab w:val="clear" w:pos="1080"/>
          <w:tab w:val="num" w:pos="1440"/>
        </w:tabs>
      </w:pPr>
      <w:r w:rsidRPr="00A94C0B">
        <w:rPr>
          <w:i/>
        </w:rPr>
        <w:t>Small Businesses, Small Organizations, Small Governmental Jurisdictions</w:t>
      </w:r>
      <w:r w:rsidRPr="00644BFC">
        <w:t xml:space="preserve">.  </w:t>
      </w:r>
      <w:r w:rsidRPr="006F3A15">
        <w:t xml:space="preserve">Our actions, over time, may affect small entities that are not easily categorized at present. </w:t>
      </w:r>
      <w:r>
        <w:t xml:space="preserve"> </w:t>
      </w:r>
      <w:r w:rsidRPr="006F3A15">
        <w:t>We therefore describe here, at the outset, three comprehensive small entity size standards that could be directly affected herein.</w:t>
      </w:r>
      <w:r>
        <w:rPr>
          <w:rStyle w:val="FootnoteReference"/>
        </w:rPr>
        <w:footnoteReference w:id="53"/>
      </w:r>
      <w:r w:rsidRPr="006F3A15">
        <w:t xml:space="preserve">  </w:t>
      </w:r>
      <w:r>
        <w:t>First, while there are industry specific size standards for small businesses that are used in the regulatory flexibility analysis, a</w:t>
      </w:r>
      <w:r w:rsidRPr="006F3A15">
        <w:t>ccor</w:t>
      </w:r>
      <w:r>
        <w:t>ding to data from the SBA’s Office of Advocacy, in general a small business is an independent business having fewer than 500 employees.</w:t>
      </w:r>
      <w:r>
        <w:rPr>
          <w:rStyle w:val="FootnoteReference"/>
        </w:rPr>
        <w:footnoteReference w:id="54"/>
      </w:r>
      <w:r>
        <w:t xml:space="preserve">  These types of small businesses represent 99.9</w:t>
      </w:r>
      <w:r w:rsidRPr="006F3A15">
        <w:t>% of all businesses in the United States</w:t>
      </w:r>
      <w:r>
        <w:t xml:space="preserve"> which translates to 28.8 million businesses</w:t>
      </w:r>
      <w:r w:rsidRPr="006F3A15">
        <w:t>.</w:t>
      </w:r>
      <w:r w:rsidRPr="006F3A15">
        <w:rPr>
          <w:rStyle w:val="FootnoteReference"/>
        </w:rPr>
        <w:footnoteReference w:id="55"/>
      </w:r>
      <w:r>
        <w:rPr>
          <w:bCs/>
        </w:rPr>
        <w:t xml:space="preserve">  Next, the type of small entity described as </w:t>
      </w:r>
      <w:r w:rsidRPr="00644BFC">
        <w:t xml:space="preserve">a </w:t>
      </w:r>
      <w:r w:rsidRPr="0066448F">
        <w:t>“small organization” is generally “any not-for-profit enterprise which is independently owned and operated and is not dominant in its field.”</w:t>
      </w:r>
      <w:r w:rsidRPr="00BC3055">
        <w:rPr>
          <w:rStyle w:val="FootnoteReference"/>
        </w:rPr>
        <w:footnoteReference w:id="56"/>
      </w:r>
      <w:r w:rsidRPr="0066448F">
        <w:t xml:space="preserve">  Nationwide, as of 2007, there were approximately 1,621,215 small organizations.</w:t>
      </w:r>
      <w:r w:rsidRPr="00BC3055">
        <w:rPr>
          <w:rStyle w:val="FootnoteReference"/>
        </w:rPr>
        <w:footnoteReference w:id="57"/>
      </w:r>
      <w:r w:rsidRPr="0066448F">
        <w:t xml:space="preserve"> </w:t>
      </w:r>
      <w:r>
        <w:t xml:space="preserve"> Finally, t</w:t>
      </w:r>
      <w:r w:rsidRPr="0066448F">
        <w:t xml:space="preserve">he </w:t>
      </w:r>
      <w:r>
        <w:t xml:space="preserve">small entity described as a </w:t>
      </w:r>
      <w:r w:rsidRPr="0066448F">
        <w:t>“sma</w:t>
      </w:r>
      <w:r>
        <w:t xml:space="preserve">ll governmental jurisdiction” is </w:t>
      </w:r>
      <w:r w:rsidRPr="0066448F">
        <w:t>defined generally as “governments of cities, towns, townships, villages, school districts, or special districts, with a population of less than fifty thousand.”</w:t>
      </w:r>
      <w:r w:rsidRPr="00BC3055">
        <w:rPr>
          <w:rStyle w:val="FootnoteReference"/>
        </w:rPr>
        <w:footnoteReference w:id="58"/>
      </w:r>
      <w:r w:rsidRPr="0066448F">
        <w:t xml:space="preserve">  </w:t>
      </w:r>
      <w:r w:rsidRPr="00D8403F">
        <w:t xml:space="preserve">U.S. Census Bureau data published in 2012 indicate that there were </w:t>
      </w:r>
      <w:r w:rsidRPr="00D8403F">
        <w:rPr>
          <w:color w:val="000000"/>
        </w:rPr>
        <w:t xml:space="preserve">89,476 </w:t>
      </w:r>
      <w:r w:rsidRPr="00D8403F">
        <w:t>local governmental jurisdictions in the United States.</w:t>
      </w:r>
      <w:r w:rsidRPr="00D8403F">
        <w:rPr>
          <w:rStyle w:val="FootnoteReference"/>
        </w:rPr>
        <w:footnoteReference w:id="59"/>
      </w:r>
      <w:r w:rsidRPr="0066448F">
        <w:t xml:space="preserve">  We estimate that, of this total, as many as 88,761 entities may qualify as “small governmental jurisdictions.”</w:t>
      </w:r>
      <w:r w:rsidRPr="00BC3055">
        <w:rPr>
          <w:vertAlign w:val="superscript"/>
        </w:rPr>
        <w:footnoteReference w:id="60"/>
      </w:r>
      <w:r w:rsidRPr="0066448F">
        <w:t xml:space="preserve">  Thus, we estimate that most governmental jurisdictions are small.</w:t>
      </w:r>
    </w:p>
    <w:p w:rsidR="001C0B46" w:rsidRPr="002C18DE" w:rsidRDefault="001C0B46" w:rsidP="001C0B46">
      <w:pPr>
        <w:pStyle w:val="ParaNum"/>
        <w:numPr>
          <w:ilvl w:val="0"/>
          <w:numId w:val="8"/>
        </w:numPr>
        <w:tabs>
          <w:tab w:val="clear" w:pos="1080"/>
          <w:tab w:val="num" w:pos="1440"/>
        </w:tabs>
      </w:pPr>
      <w:r w:rsidRPr="002C18DE">
        <w:rPr>
          <w:bCs/>
          <w:i/>
        </w:rPr>
        <w:t>Broadband Internet Access Service Providers</w:t>
      </w:r>
      <w:r w:rsidRPr="002C18DE">
        <w:rPr>
          <w:b/>
          <w:bCs/>
        </w:rPr>
        <w:t>.</w:t>
      </w:r>
      <w:r w:rsidRPr="002C18DE">
        <w:t xml:space="preserve">  The rules adopted in the Report and Order apply to broadband Internet access service providers.  The Economic Census places these firms, whose services might include Voice over Internet Protocol (VoIP), in either of two categories, depending on whether the service is provided over the provider’s own telecommunications facilities (e.g., cable and DSL ISPs), or over client-supplied telecommunications connections (e.g., dial-up ISPs).  The former are within the category of Wired Telecommunications Carriers,</w:t>
      </w:r>
      <w:r w:rsidRPr="00464D49">
        <w:rPr>
          <w:sz w:val="20"/>
          <w:vertAlign w:val="superscript"/>
        </w:rPr>
        <w:footnoteReference w:id="61"/>
      </w:r>
      <w:r w:rsidRPr="002C18DE">
        <w:t xml:space="preserve"> which has an SBA small business size standard of 1,500 or fewer employees.</w:t>
      </w:r>
      <w:r w:rsidRPr="00464D49">
        <w:rPr>
          <w:sz w:val="20"/>
          <w:vertAlign w:val="superscript"/>
        </w:rPr>
        <w:footnoteReference w:id="62"/>
      </w:r>
      <w:r w:rsidRPr="002C18DE">
        <w:t xml:space="preserve">  These are also labeled “broadband.”  The latter are within the category of All Other Telecommunications,</w:t>
      </w:r>
      <w:r w:rsidRPr="00464D49">
        <w:rPr>
          <w:sz w:val="20"/>
          <w:vertAlign w:val="superscript"/>
        </w:rPr>
        <w:footnoteReference w:id="63"/>
      </w:r>
      <w:r w:rsidRPr="002C18DE">
        <w:t xml:space="preserve"> which has a size standard of annual receipts of $32.5 million or less.</w:t>
      </w:r>
      <w:r w:rsidRPr="00464D49">
        <w:rPr>
          <w:sz w:val="20"/>
          <w:vertAlign w:val="superscript"/>
        </w:rPr>
        <w:footnoteReference w:id="64"/>
      </w:r>
      <w:r w:rsidRPr="002C18DE">
        <w:t xml:space="preserve">  These are labeled non-broadband.  Census data for 2012 shows that there were 3,117 firms in the first category that operated that year.  Of this total, 3,083 operated with fewer than 1,000 employees.</w:t>
      </w:r>
      <w:r w:rsidRPr="00464D49">
        <w:rPr>
          <w:vertAlign w:val="superscript"/>
        </w:rPr>
        <w:footnoteReference w:id="65"/>
      </w:r>
      <w:r w:rsidRPr="002C18DE">
        <w:t xml:space="preserve">  For the second category, census data for 2012 show that there were 1,442 firms that operated for the entire year.  Of these firms, a total of 1,400 had gross annual receipts of less than $25 million.</w:t>
      </w:r>
      <w:r w:rsidRPr="00464D49">
        <w:rPr>
          <w:sz w:val="20"/>
          <w:vertAlign w:val="superscript"/>
        </w:rPr>
        <w:footnoteReference w:id="66"/>
      </w:r>
      <w:r w:rsidRPr="002C18DE">
        <w:t xml:space="preserve">  Consequently, we estimate that the majority of broadband Internet access service provider firms are small entities.</w:t>
      </w:r>
    </w:p>
    <w:p w:rsidR="001C0B46" w:rsidRPr="00464D49" w:rsidRDefault="001C0B46" w:rsidP="001C0B46">
      <w:pPr>
        <w:spacing w:after="120"/>
        <w:ind w:firstLine="720"/>
      </w:pPr>
      <w:r>
        <w:t>8.</w:t>
      </w:r>
      <w:r>
        <w:tab/>
      </w:r>
      <w:r w:rsidRPr="00464D49">
        <w:t>The broadband Internet access service provider industry has changed since this definition was introduced.  The data cited above may therefore include entities that no longer provide broadband Internet access service, and may exclude entities that now provide such service.  To ensure that this FRFA describes the universe of small entities that our action might affect, we discuss in turn several different types of entities that might be providing broadband Internet access service.  We note that, although we have no specific information on the number of small entities that provide broadband Internet access service over unlicensed spectrum, we include these entities in our Final Regulatory Flexibility Analysis.</w:t>
      </w:r>
    </w:p>
    <w:p w:rsidR="001C0B46" w:rsidRPr="00464D49" w:rsidRDefault="001C0B46" w:rsidP="001C0B46">
      <w:pPr>
        <w:spacing w:after="120"/>
        <w:ind w:firstLine="720"/>
      </w:pPr>
      <w:bookmarkStart w:id="51" w:name="_Toc412097303"/>
      <w:bookmarkStart w:id="52" w:name="_Toc412382120"/>
      <w:bookmarkStart w:id="53" w:name="_Toc412409148"/>
      <w:bookmarkStart w:id="54" w:name="_Toc412409995"/>
      <w:bookmarkStart w:id="55" w:name="_Toc412410103"/>
      <w:bookmarkStart w:id="56" w:name="_Toc412410358"/>
      <w:bookmarkStart w:id="57" w:name="_Toc412557241"/>
      <w:bookmarkStart w:id="58" w:name="_Toc412557601"/>
      <w:bookmarkStart w:id="59" w:name="_Toc412574967"/>
      <w:bookmarkStart w:id="60" w:name="_Toc413425064"/>
      <w:bookmarkStart w:id="61" w:name="_Toc446424683"/>
      <w:bookmarkStart w:id="62" w:name="_Toc447036392"/>
      <w:r>
        <w:t>9.</w:t>
      </w:r>
      <w:r>
        <w:tab/>
      </w:r>
      <w:r w:rsidRPr="00464D49">
        <w:rPr>
          <w:i/>
        </w:rPr>
        <w:t>Wired Telecommunications Carriers</w:t>
      </w:r>
      <w:r w:rsidRPr="00464D49">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464D49">
        <w:rPr>
          <w:vertAlign w:val="superscript"/>
        </w:rPr>
        <w:footnoteReference w:id="67"/>
      </w:r>
      <w:r w:rsidRPr="00464D49">
        <w:rPr>
          <w:vertAlign w:val="superscript"/>
        </w:rPr>
        <w:t xml:space="preserve"> </w:t>
      </w:r>
      <w:r w:rsidRPr="00464D49">
        <w:t xml:space="preserve"> The SBA has developed a small business size standard for Wired Telecommunications Carriers, which consists of all such companies having 1,500 or fewer employees.</w:t>
      </w:r>
      <w:r w:rsidRPr="00464D49">
        <w:rPr>
          <w:vertAlign w:val="superscript"/>
        </w:rPr>
        <w:footnoteReference w:id="68"/>
      </w:r>
      <w:r w:rsidRPr="00464D49">
        <w:rPr>
          <w:vertAlign w:val="superscript"/>
        </w:rPr>
        <w:t xml:space="preserve"> </w:t>
      </w:r>
      <w:r w:rsidRPr="00464D49">
        <w:t xml:space="preserve"> Census data for 2012 shows that there were 3,117 firms that operated that year.  Of this total, 3,083 operated with fewer than 1,000 employees.</w:t>
      </w:r>
      <w:r w:rsidRPr="00464D49">
        <w:rPr>
          <w:vertAlign w:val="superscript"/>
        </w:rPr>
        <w:footnoteReference w:id="69"/>
      </w:r>
      <w:r w:rsidRPr="00464D49">
        <w:rPr>
          <w:vertAlign w:val="superscript"/>
        </w:rPr>
        <w:t xml:space="preserve"> </w:t>
      </w:r>
      <w:r w:rsidRPr="00464D49">
        <w:t xml:space="preserve"> Thus, under this size standard, the majority of firms in this industry can be considered small.</w:t>
      </w:r>
    </w:p>
    <w:p w:rsidR="001C0B46" w:rsidRPr="00464D49" w:rsidRDefault="001C0B46" w:rsidP="001C0B46">
      <w:pPr>
        <w:spacing w:after="120"/>
        <w:ind w:firstLine="720"/>
      </w:pPr>
      <w:r w:rsidRPr="002C18DE">
        <w:rPr>
          <w:bCs/>
        </w:rPr>
        <w:t>10.</w:t>
      </w:r>
      <w:r w:rsidRPr="002C18DE">
        <w:rPr>
          <w:bCs/>
        </w:rPr>
        <w:tab/>
      </w:r>
      <w:r w:rsidRPr="00464D49">
        <w:rPr>
          <w:bCs/>
          <w:i/>
        </w:rPr>
        <w:t>Local Exchange Carriers (LECs)</w:t>
      </w:r>
      <w:r w:rsidRPr="00464D49">
        <w:rPr>
          <w:i/>
        </w:rPr>
        <w:t xml:space="preserve">.  </w:t>
      </w:r>
      <w:r w:rsidRPr="00464D49">
        <w:t xml:space="preserve">Neither the Commission nor the SBA has developed a size standard for small businesses specifically applicable to local exchange services.  The closest applicable NAICS Code category is for Wired Telecommunications Carriers as defined in paragraph </w:t>
      </w:r>
      <w:r w:rsidR="00D84721">
        <w:t>9</w:t>
      </w:r>
      <w:r w:rsidRPr="00464D49">
        <w:t xml:space="preserve"> of this FRFA.  Under that size standard, such a business is small if it has 1,500 or fewer employees.</w:t>
      </w:r>
      <w:r w:rsidRPr="00464D49">
        <w:rPr>
          <w:spacing w:val="-2"/>
          <w:sz w:val="20"/>
          <w:vertAlign w:val="superscript"/>
        </w:rPr>
        <w:footnoteReference w:id="70"/>
      </w:r>
      <w:r w:rsidRPr="00464D49">
        <w:t xml:space="preserve">  Census data for 2012 show that there were 3,117 firms that operated that year.  Of this total, 3,083 operated with fewer than 1,000 employees.</w:t>
      </w:r>
      <w:r w:rsidRPr="00464D49">
        <w:rPr>
          <w:vertAlign w:val="superscript"/>
        </w:rPr>
        <w:footnoteReference w:id="71"/>
      </w:r>
      <w:r w:rsidRPr="00464D49">
        <w:rPr>
          <w:vertAlign w:val="superscript"/>
        </w:rPr>
        <w:t xml:space="preserve"> </w:t>
      </w:r>
      <w:r w:rsidRPr="00464D49">
        <w:t xml:space="preserve"> The Commission therefore estimates that most providers of local exchange carrier service are small entities that may be affected by the rules adopted.</w:t>
      </w:r>
    </w:p>
    <w:p w:rsidR="001C0B46" w:rsidRPr="00464D49" w:rsidRDefault="001C0B46" w:rsidP="001C0B46">
      <w:pPr>
        <w:spacing w:after="120"/>
        <w:ind w:firstLine="720"/>
      </w:pPr>
      <w:r>
        <w:rPr>
          <w:bCs/>
        </w:rPr>
        <w:t>11.</w:t>
      </w:r>
      <w:r>
        <w:rPr>
          <w:bCs/>
        </w:rPr>
        <w:tab/>
      </w:r>
      <w:r w:rsidRPr="00464D49">
        <w:rPr>
          <w:bCs/>
          <w:i/>
        </w:rPr>
        <w:t>Incumbent LECs.</w:t>
      </w:r>
      <w:r w:rsidRPr="00464D49">
        <w:rPr>
          <w:i/>
        </w:rPr>
        <w:t xml:space="preserve">  </w:t>
      </w:r>
      <w:r w:rsidRPr="00464D49">
        <w:t xml:space="preserve">Neither the Commission nor the SBA has developed a small business size standard specifically for incumbent local exchange services.  The closest applicable NAICS Code category is Wired Telecommunications Carriers as defined in paragraph </w:t>
      </w:r>
      <w:r w:rsidR="00D84721">
        <w:t>9</w:t>
      </w:r>
      <w:r w:rsidRPr="00464D49">
        <w:t xml:space="preserve"> of this FRFA.  Under that size standard, such a business is small if it has 1,500 or fewer employees.</w:t>
      </w:r>
      <w:r w:rsidRPr="00464D49">
        <w:rPr>
          <w:vertAlign w:val="superscript"/>
        </w:rPr>
        <w:footnoteReference w:id="72"/>
      </w:r>
      <w:r w:rsidRPr="00464D49">
        <w:t xml:space="preserve">  According to Commission data, 3,117 firms operated in that year.  Of this total, 3,083 operated with fewer than 1,000 employees.</w:t>
      </w:r>
      <w:r w:rsidRPr="00464D49">
        <w:rPr>
          <w:vertAlign w:val="superscript"/>
        </w:rPr>
        <w:footnoteReference w:id="73"/>
      </w:r>
      <w:r w:rsidRPr="00464D49">
        <w:rPr>
          <w:vertAlign w:val="superscript"/>
        </w:rPr>
        <w:t xml:space="preserve"> </w:t>
      </w:r>
      <w:r w:rsidRPr="00464D49">
        <w:t xml:space="preserve"> Consequently, the Commission estimates that most providers of incumbent local exchange service are small businesses that may be affected by the rules and policies adopted</w:t>
      </w:r>
      <w:r w:rsidRPr="00464D49">
        <w:rPr>
          <w:i/>
        </w:rPr>
        <w:t>.</w:t>
      </w:r>
      <w:r w:rsidRPr="00464D49">
        <w:t xml:space="preserve">  One thousand three hundred and seven (1,307) Incumbent Local Exchange Carriers reported that they were incumbent local exchange service providers.</w:t>
      </w:r>
      <w:r w:rsidRPr="00464D49">
        <w:rPr>
          <w:vertAlign w:val="superscript"/>
        </w:rPr>
        <w:footnoteReference w:id="74"/>
      </w:r>
      <w:r w:rsidRPr="00464D49">
        <w:t xml:space="preserve">  Of this total, an estimated 1,006 have 1,500 or fewer employees.</w:t>
      </w:r>
      <w:r w:rsidRPr="00464D49">
        <w:rPr>
          <w:vertAlign w:val="superscript"/>
        </w:rPr>
        <w:footnoteReference w:id="75"/>
      </w:r>
    </w:p>
    <w:p w:rsidR="001C0B46" w:rsidRPr="00464D49" w:rsidRDefault="001C0B46" w:rsidP="001C0B46">
      <w:pPr>
        <w:spacing w:after="120"/>
        <w:ind w:firstLine="720"/>
      </w:pPr>
      <w:r>
        <w:rPr>
          <w:bCs/>
        </w:rPr>
        <w:t>12.</w:t>
      </w:r>
      <w:r>
        <w:rPr>
          <w:bCs/>
        </w:rPr>
        <w:tab/>
      </w:r>
      <w:r w:rsidRPr="00464D49">
        <w:rPr>
          <w:bCs/>
          <w:i/>
        </w:rPr>
        <w:t>Competitive Local Exchange Carriers (Competitive LECs), Competitive Access Providers (CAPs), Shared-Tenant Service Providers, and Other Local Service Providers</w:t>
      </w:r>
      <w:r w:rsidRPr="00464D49">
        <w:rPr>
          <w:i/>
        </w:rPr>
        <w:t>.</w:t>
      </w:r>
      <w:r w:rsidRPr="00464D49">
        <w:t xml:space="preserve">  Neither the Commission nor the SBA has developed a small business size standard specifically for these service providers.  The appropriate NAICS Code category is Wired Telecommunications Carriers, as defined in paragraph </w:t>
      </w:r>
      <w:r w:rsidR="00D84721">
        <w:t>9</w:t>
      </w:r>
      <w:r w:rsidRPr="00464D49">
        <w:t xml:space="preserve"> of this FRFA.  Under that size standard, such a business is small if it has 1,500 or fewer employees.  U.S. Census data for 2012 indicate that 3,117 firms operated during that year.  Of that number, 3,083 operated with fewer than 1,000 employees.</w:t>
      </w:r>
      <w:r w:rsidRPr="00464D49">
        <w:rPr>
          <w:vertAlign w:val="superscript"/>
        </w:rPr>
        <w:footnoteReference w:id="76"/>
      </w:r>
      <w:r w:rsidRPr="00464D49">
        <w:t xml:space="preserve">  Based on this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sidRPr="00464D49">
        <w:rPr>
          <w:spacing w:val="-2"/>
          <w:sz w:val="20"/>
          <w:vertAlign w:val="superscript"/>
        </w:rPr>
        <w:footnoteReference w:id="77"/>
      </w:r>
      <w:r w:rsidRPr="00464D49">
        <w:t xml:space="preserve">   Of these 1,442 carriers, an estimated 1,256 have 1,500 or fewer employees.  In addition, 17 carriers have reported that they are Shared-Tenant Service Providers, and all 17 are estimated to have 1,500 or fewer employees.</w:t>
      </w:r>
      <w:r w:rsidRPr="00464D49">
        <w:rPr>
          <w:spacing w:val="-2"/>
          <w:sz w:val="20"/>
          <w:vertAlign w:val="superscript"/>
        </w:rPr>
        <w:footnoteReference w:id="78"/>
      </w:r>
      <w:r w:rsidRPr="00464D49">
        <w:t xml:space="preserve">   In addition, 72 carriers have reported that they are Other Local Service Providers.</w:t>
      </w:r>
      <w:r w:rsidRPr="00464D49">
        <w:rPr>
          <w:spacing w:val="-2"/>
          <w:sz w:val="20"/>
          <w:vertAlign w:val="superscript"/>
        </w:rPr>
        <w:footnoteReference w:id="79"/>
      </w:r>
      <w:r w:rsidRPr="00464D49">
        <w:t xml:space="preserve">   Of this total, 70 have 1,500 or fewer employees.</w:t>
      </w:r>
      <w:r w:rsidRPr="00464D49">
        <w:rPr>
          <w:spacing w:val="-2"/>
          <w:sz w:val="20"/>
          <w:vertAlign w:val="superscript"/>
        </w:rPr>
        <w:footnoteReference w:id="80"/>
      </w:r>
      <w:r w:rsidRPr="00464D49">
        <w:t xml:space="preserve">  Consequently, the Commission estimates that most providers of competitive local exchange service, competitive access providers, Shared-Tenant Service Providers, and Other Local Service Providers are small entities that may be affected by the adopted rules. </w:t>
      </w:r>
      <w:r>
        <w:t xml:space="preserve"> </w:t>
      </w:r>
    </w:p>
    <w:p w:rsidR="001C0B46" w:rsidRPr="00464D49" w:rsidRDefault="001C0B46" w:rsidP="001C0B46">
      <w:pPr>
        <w:spacing w:after="120"/>
        <w:ind w:firstLine="720"/>
      </w:pPr>
      <w:r>
        <w:rPr>
          <w:bCs/>
        </w:rPr>
        <w:t>13.</w:t>
      </w:r>
      <w:r>
        <w:rPr>
          <w:bCs/>
        </w:rPr>
        <w:tab/>
      </w:r>
      <w:r w:rsidRPr="00464D49">
        <w:rPr>
          <w:bCs/>
          <w:i/>
        </w:rPr>
        <w:t>Interexchange Carriers (IXCs)</w:t>
      </w:r>
      <w:r w:rsidRPr="00464D49">
        <w:rPr>
          <w:i/>
        </w:rPr>
        <w:t xml:space="preserve">.  </w:t>
      </w:r>
      <w:r w:rsidRPr="00464D49">
        <w:t xml:space="preserve">Neither the Commission nor the SBA has developed a definition for Interexchange Carriers.  The closest NAICS Code category is Wired Telecommunications Carriers as defined in paragraph </w:t>
      </w:r>
      <w:r w:rsidR="00D84721">
        <w:t>9</w:t>
      </w:r>
      <w:r w:rsidRPr="00464D49">
        <w:t xml:space="preserve"> of this FRFA.  The applicable size standard under SBA rules is that such a business is small if it has 1,500 or fewer employees.</w:t>
      </w:r>
      <w:r w:rsidRPr="00464D49">
        <w:rPr>
          <w:spacing w:val="-2"/>
          <w:sz w:val="20"/>
          <w:vertAlign w:val="superscript"/>
        </w:rPr>
        <w:footnoteReference w:id="81"/>
      </w:r>
      <w:r w:rsidRPr="00464D49">
        <w:t xml:space="preserve">  According to Commission data, 359 companies reported that their primary telecommunications service activity was the provision of interexchange services.</w:t>
      </w:r>
      <w:r w:rsidRPr="00464D49">
        <w:rPr>
          <w:spacing w:val="-2"/>
          <w:sz w:val="20"/>
          <w:vertAlign w:val="superscript"/>
        </w:rPr>
        <w:footnoteReference w:id="82"/>
      </w:r>
      <w:r w:rsidRPr="00464D49">
        <w:t xml:space="preserve">  Of this total, an estimated 317 have 1,500 or fewer employees and 42 have more than 1,500 employees.</w:t>
      </w:r>
      <w:r w:rsidRPr="00464D49">
        <w:rPr>
          <w:spacing w:val="-2"/>
          <w:sz w:val="20"/>
          <w:vertAlign w:val="superscript"/>
        </w:rPr>
        <w:footnoteReference w:id="83"/>
      </w:r>
      <w:r w:rsidRPr="00464D49">
        <w:t xml:space="preserve">  Consequently, the Commission estimates that the majority of interexchange service providers are small entities that may be affected by </w:t>
      </w:r>
      <w:r w:rsidR="00D84721">
        <w:t xml:space="preserve">the adopted </w:t>
      </w:r>
      <w:r w:rsidRPr="00464D49">
        <w:t>rules.</w:t>
      </w:r>
    </w:p>
    <w:p w:rsidR="001C0B46" w:rsidRPr="00464D49" w:rsidRDefault="001C0B46" w:rsidP="001C0B46">
      <w:pPr>
        <w:spacing w:after="120"/>
        <w:ind w:firstLine="720"/>
      </w:pPr>
      <w:r>
        <w:rPr>
          <w:bCs/>
        </w:rPr>
        <w:t>14.</w:t>
      </w:r>
      <w:r>
        <w:rPr>
          <w:bCs/>
        </w:rPr>
        <w:tab/>
      </w:r>
      <w:r w:rsidRPr="00464D49">
        <w:rPr>
          <w:bCs/>
          <w:i/>
        </w:rPr>
        <w:t>Prepaid Calling Card Providers.</w:t>
      </w:r>
      <w:r w:rsidRPr="00464D49">
        <w:rPr>
          <w:i/>
        </w:rPr>
        <w:t xml:space="preserve">  </w:t>
      </w:r>
      <w:r w:rsidRPr="00464D49">
        <w:t>Neither the Commission nor the SBA has developed a small business size standard specifically for prepaid calling card providers.  The appropriate NAICS Code category for prepaid calling card providers is Telecommunications Resellers.  This industry comprises establishments engaged in purchasing access and network capacity from owners and operators of telecommunications networks and reselling wired and wireless telecommunications services (except satellite) to businesses and households.  Mobile virtual networks operators (MVNOs) are included in this industry.</w:t>
      </w:r>
      <w:r w:rsidRPr="00464D49">
        <w:rPr>
          <w:sz w:val="20"/>
          <w:vertAlign w:val="superscript"/>
        </w:rPr>
        <w:footnoteReference w:id="84"/>
      </w:r>
      <w:r w:rsidRPr="00464D49">
        <w:t xml:space="preserve">  Under the applicable SBA size standard, such a business is small if it has 1,500 or fewer employees.</w:t>
      </w:r>
      <w:r w:rsidRPr="00464D49">
        <w:rPr>
          <w:spacing w:val="-2"/>
          <w:sz w:val="20"/>
          <w:vertAlign w:val="superscript"/>
        </w:rPr>
        <w:footnoteReference w:id="85"/>
      </w:r>
      <w:r w:rsidRPr="00464D49">
        <w:t xml:space="preserve">  U.S. Census data for 2012 show that 1,341 firms provided resale services during that year.  Of that number, 1,341 operated with fewer than 1,000 employees.</w:t>
      </w:r>
      <w:r w:rsidRPr="00464D49">
        <w:rPr>
          <w:vertAlign w:val="superscript"/>
        </w:rPr>
        <w:footnoteReference w:id="86"/>
      </w:r>
      <w:r w:rsidRPr="00464D49">
        <w:rPr>
          <w:vertAlign w:val="superscript"/>
        </w:rPr>
        <w:t xml:space="preserve"> </w:t>
      </w:r>
      <w:r w:rsidRPr="00464D49">
        <w:t xml:space="preserve"> Thus, under this category and the associated small business size standard, the majority of these prepaid calling card providers can be considered small entities.  According to Commission data, 193 carriers have reported that they are engaged in the provision of prepaid calling cards.</w:t>
      </w:r>
      <w:r w:rsidRPr="00464D49">
        <w:rPr>
          <w:vertAlign w:val="superscript"/>
        </w:rPr>
        <w:footnoteReference w:id="87"/>
      </w:r>
      <w:r w:rsidRPr="00464D49">
        <w:t xml:space="preserve">  All 193 carriers have 1,500 or fewer employees.</w:t>
      </w:r>
      <w:r w:rsidRPr="00464D49">
        <w:rPr>
          <w:vertAlign w:val="superscript"/>
        </w:rPr>
        <w:footnoteReference w:id="88"/>
      </w:r>
      <w:r w:rsidRPr="00464D49">
        <w:t xml:space="preserve">  Consequently, the Commission estimates that the majority of prepaid calling card providers are small entities that may be affected by the</w:t>
      </w:r>
      <w:r w:rsidR="00D84721">
        <w:t xml:space="preserve"> adopted</w:t>
      </w:r>
      <w:r w:rsidRPr="00464D49">
        <w:t xml:space="preserve"> rules.</w:t>
      </w:r>
    </w:p>
    <w:p w:rsidR="001C0B46" w:rsidRPr="00464D49" w:rsidRDefault="001C0B46" w:rsidP="001C0B46">
      <w:pPr>
        <w:spacing w:after="120"/>
        <w:ind w:firstLine="720"/>
      </w:pPr>
      <w:r w:rsidRPr="002C18DE">
        <w:rPr>
          <w:bCs/>
        </w:rPr>
        <w:t>15.</w:t>
      </w:r>
      <w:r w:rsidRPr="002C18DE">
        <w:rPr>
          <w:bCs/>
        </w:rPr>
        <w:tab/>
      </w:r>
      <w:r w:rsidRPr="00464D49">
        <w:rPr>
          <w:bCs/>
          <w:i/>
        </w:rPr>
        <w:t>Local Resellers</w:t>
      </w:r>
      <w:r w:rsidRPr="00464D49">
        <w:rPr>
          <w:i/>
        </w:rPr>
        <w:t xml:space="preserve">.  </w:t>
      </w:r>
      <w:r w:rsidRPr="00464D49">
        <w:t>The SBA has developed a small business size standard for the category of Telecommunications Resellers.  Under that size standard, such a business is small if it has 1,500 or fewer employees.</w:t>
      </w:r>
      <w:r w:rsidRPr="00464D49">
        <w:rPr>
          <w:spacing w:val="-2"/>
          <w:sz w:val="20"/>
          <w:vertAlign w:val="superscript"/>
        </w:rPr>
        <w:footnoteReference w:id="89"/>
      </w:r>
      <w:r w:rsidRPr="00464D49">
        <w:t xml:space="preserve">  Census data for 2012 show that 1,341 firms provided resale services during that year.  Of that number, 1,341 operated with fewer than 1,000 employees.</w:t>
      </w:r>
      <w:r w:rsidRPr="00464D49">
        <w:rPr>
          <w:vertAlign w:val="superscript"/>
        </w:rPr>
        <w:footnoteReference w:id="90"/>
      </w:r>
      <w:r w:rsidRPr="00464D49">
        <w:rPr>
          <w:vertAlign w:val="superscript"/>
        </w:rPr>
        <w:t xml:space="preserve"> </w:t>
      </w:r>
      <w:r w:rsidRPr="00464D49">
        <w:t xml:space="preserve"> Under this category and the associated small business size standard, the majority of these local resellers can be considered small entities.  According to Commission data, 213 carriers have reported that they are engaged in the provision of local resale services.</w:t>
      </w:r>
      <w:r w:rsidRPr="00464D49">
        <w:rPr>
          <w:spacing w:val="-2"/>
          <w:sz w:val="20"/>
          <w:vertAlign w:val="superscript"/>
        </w:rPr>
        <w:footnoteReference w:id="91"/>
      </w:r>
      <w:r w:rsidRPr="00464D49">
        <w:t xml:space="preserve">  Of this total, an estimated 211 have 1,500 or fewer employees.</w:t>
      </w:r>
      <w:r w:rsidRPr="00464D49">
        <w:rPr>
          <w:spacing w:val="-2"/>
          <w:sz w:val="20"/>
          <w:vertAlign w:val="superscript"/>
        </w:rPr>
        <w:footnoteReference w:id="92"/>
      </w:r>
      <w:r w:rsidRPr="00464D49">
        <w:t xml:space="preserve">  Consequently, the Commission estimates that the majority of local resellers are small entities that may be affected by </w:t>
      </w:r>
      <w:r w:rsidR="00D84721">
        <w:t xml:space="preserve">adopted </w:t>
      </w:r>
      <w:r w:rsidRPr="00464D49">
        <w:t xml:space="preserve">rules. </w:t>
      </w:r>
    </w:p>
    <w:p w:rsidR="001C0B46" w:rsidRPr="00464D49" w:rsidRDefault="001C0B46" w:rsidP="001C0B46">
      <w:pPr>
        <w:spacing w:after="120"/>
        <w:ind w:firstLine="720"/>
      </w:pPr>
      <w:r>
        <w:rPr>
          <w:bCs/>
        </w:rPr>
        <w:t>16.</w:t>
      </w:r>
      <w:r>
        <w:rPr>
          <w:bCs/>
        </w:rPr>
        <w:tab/>
      </w:r>
      <w:r w:rsidRPr="00464D49">
        <w:rPr>
          <w:bCs/>
          <w:i/>
        </w:rPr>
        <w:t>Toll Resellers</w:t>
      </w:r>
      <w:r w:rsidRPr="00464D49">
        <w:rPr>
          <w:i/>
        </w:rPr>
        <w:t>.</w:t>
      </w:r>
      <w:r w:rsidRPr="00464D49">
        <w:t xml:space="preserve">  The Commission has not developed a definition for Toll Resellers.  The closest NAICS Code Category is Telecommunications Resellers, and the SBA has developed a small business size standard for the category of Telecommunications Resellers.  Under that size standard, such a business is small if it has 1,500 or fewer employees.</w:t>
      </w:r>
      <w:r w:rsidRPr="00464D49">
        <w:rPr>
          <w:spacing w:val="-2"/>
          <w:sz w:val="20"/>
          <w:vertAlign w:val="superscript"/>
        </w:rPr>
        <w:footnoteReference w:id="93"/>
      </w:r>
      <w:r w:rsidRPr="00464D49">
        <w:t xml:space="preserve">  Census data for 2012 show that 1,341 firms provided resale services during that year.  Of that number, 1,341 operated with fewer than 1,000 employees.</w:t>
      </w:r>
      <w:r w:rsidRPr="00464D49">
        <w:rPr>
          <w:vertAlign w:val="superscript"/>
        </w:rPr>
        <w:footnoteReference w:id="94"/>
      </w:r>
      <w:r w:rsidRPr="00464D49">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sidRPr="00464D49">
        <w:rPr>
          <w:spacing w:val="-2"/>
          <w:sz w:val="20"/>
          <w:vertAlign w:val="superscript"/>
        </w:rPr>
        <w:footnoteReference w:id="95"/>
      </w:r>
      <w:r w:rsidRPr="00464D49">
        <w:t xml:space="preserve">  Of this total, an estimated 857 have 1,500 or fewer employees.</w:t>
      </w:r>
      <w:r w:rsidRPr="00464D49">
        <w:rPr>
          <w:spacing w:val="-2"/>
          <w:sz w:val="20"/>
          <w:vertAlign w:val="superscript"/>
        </w:rPr>
        <w:footnoteReference w:id="96"/>
      </w:r>
      <w:r w:rsidRPr="00464D49">
        <w:t xml:space="preserve">  Consequently, the Commission estimates that the majority of toll resellers are small entities that may be affected by the </w:t>
      </w:r>
      <w:r w:rsidR="00D84721">
        <w:t xml:space="preserve">adopted </w:t>
      </w:r>
      <w:r w:rsidRPr="00464D49">
        <w:t>rules.</w:t>
      </w:r>
    </w:p>
    <w:p w:rsidR="001C0B46" w:rsidRPr="00464D49" w:rsidRDefault="001C0B46" w:rsidP="001C0B46">
      <w:pPr>
        <w:spacing w:after="120"/>
        <w:ind w:firstLine="720"/>
      </w:pPr>
      <w:r>
        <w:rPr>
          <w:bCs/>
        </w:rPr>
        <w:t>17.</w:t>
      </w:r>
      <w:r>
        <w:rPr>
          <w:bCs/>
        </w:rPr>
        <w:tab/>
      </w:r>
      <w:r w:rsidRPr="00464D49">
        <w:rPr>
          <w:bCs/>
          <w:i/>
        </w:rPr>
        <w:t>Other Toll Carriers.</w:t>
      </w:r>
      <w:r w:rsidRPr="00464D49">
        <w:t xml:space="preserve">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NAICS Code category is for Wired Telecommunications Carriers, as defined in paragraph </w:t>
      </w:r>
      <w:r w:rsidR="00D84721">
        <w:t>9</w:t>
      </w:r>
      <w:r w:rsidRPr="00464D49">
        <w:t xml:space="preserve"> of this FRFA.  Under that size standard, such a business is small if it has 1,500 or fewer employees.</w:t>
      </w:r>
      <w:r w:rsidRPr="00464D49">
        <w:rPr>
          <w:spacing w:val="-2"/>
          <w:sz w:val="20"/>
          <w:vertAlign w:val="superscript"/>
        </w:rPr>
        <w:footnoteReference w:id="97"/>
      </w:r>
      <w:r w:rsidRPr="00464D49">
        <w:t xml:space="preserve">  Census data for 2012 shows that there were 3,117 firms that operated that year.  Of this total, 3,083 operated with fewer than 1,000 employees.</w:t>
      </w:r>
      <w:r w:rsidRPr="00464D49">
        <w:rPr>
          <w:vertAlign w:val="superscript"/>
        </w:rPr>
        <w:footnoteReference w:id="98"/>
      </w:r>
      <w:r w:rsidRPr="00464D49">
        <w:rPr>
          <w:vertAlign w:val="superscript"/>
        </w:rPr>
        <w:t xml:space="preserve"> </w:t>
      </w:r>
      <w:r w:rsidRPr="00464D49">
        <w:t xml:space="preserve">  Thus, under this category and the associated small business size standard, the majority of Other Toll Carriers can be considered small.  According to Commission data, 284 companies reported that their primary telecommunications service activity was the provision of other toll carriage.</w:t>
      </w:r>
      <w:r w:rsidRPr="00464D49">
        <w:rPr>
          <w:spacing w:val="-2"/>
          <w:sz w:val="20"/>
          <w:vertAlign w:val="superscript"/>
        </w:rPr>
        <w:footnoteReference w:id="99"/>
      </w:r>
      <w:r w:rsidRPr="00464D49">
        <w:t xml:space="preserve">  Of these, an estimated 279 have 1,500 or fewer employees.</w:t>
      </w:r>
      <w:r w:rsidRPr="00464D49">
        <w:rPr>
          <w:spacing w:val="-2"/>
          <w:sz w:val="20"/>
          <w:vertAlign w:val="superscript"/>
        </w:rPr>
        <w:footnoteReference w:id="100"/>
      </w:r>
      <w:r w:rsidRPr="00464D49">
        <w:t xml:space="preserve">  Consequently, the Commission estimates that most Other Toll Carriers that may be affected by our</w:t>
      </w:r>
      <w:r w:rsidR="00D84721">
        <w:t xml:space="preserve"> adopted</w:t>
      </w:r>
      <w:r w:rsidRPr="00464D49">
        <w:t xml:space="preserve"> rules are small.</w:t>
      </w:r>
    </w:p>
    <w:p w:rsidR="001C0B46" w:rsidRPr="00464D49" w:rsidRDefault="001C0B46" w:rsidP="00271C2E">
      <w:pPr>
        <w:widowControl/>
        <w:spacing w:after="120"/>
        <w:ind w:firstLine="720"/>
      </w:pPr>
      <w:r>
        <w:rPr>
          <w:bCs/>
        </w:rPr>
        <w:t>18.</w:t>
      </w:r>
      <w:r>
        <w:rPr>
          <w:bCs/>
        </w:rPr>
        <w:tab/>
      </w:r>
      <w:r w:rsidRPr="00464D49">
        <w:rPr>
          <w:bCs/>
          <w:i/>
        </w:rPr>
        <w:t>Wireless Telecommunications Carriers (except Satellite).</w:t>
      </w:r>
      <w:r w:rsidRPr="00464D49">
        <w:t xml:space="preserve">  This industry comprises establishments engaged in operating and maintaining switching and transmission facilities to provide communications via the airwaves, such as cellular services, paging services, wireless internet access, and wireless video services.</w:t>
      </w:r>
      <w:r w:rsidRPr="00464D49">
        <w:rPr>
          <w:sz w:val="20"/>
          <w:vertAlign w:val="superscript"/>
        </w:rPr>
        <w:footnoteReference w:id="101"/>
      </w:r>
      <w:r w:rsidRPr="00464D49">
        <w:t xml:space="preserve">  The appropriate size standard under SBA rules is that such a business is small if it has 1,500 or fewer employees.  For this industry, Census data for 2012 show that there were 967 firms that operated for the entire year.  Of this total, 955 firms had fewer than 1,000 employees.</w:t>
      </w:r>
      <w:r w:rsidRPr="00464D49">
        <w:rPr>
          <w:sz w:val="20"/>
          <w:vertAlign w:val="superscript"/>
        </w:rPr>
        <w:footnoteReference w:id="102"/>
      </w:r>
      <w:r w:rsidRPr="00464D49">
        <w:t xml:space="preserve">   Thus under this category and the associated size standard, the Commission estimates that the majority of wireless telecommunications carriers (except satellite) are small entities.  Similarly, according to internally developed Commission data, 413 carriers reported that they were engaged in the provision of wireless telephony, including cellular service, Personal Communications Service (PCS), and Specialized Mobile Radio (SMR) services.</w:t>
      </w:r>
      <w:r w:rsidRPr="00464D49">
        <w:rPr>
          <w:spacing w:val="-2"/>
          <w:sz w:val="20"/>
          <w:vertAlign w:val="superscript"/>
        </w:rPr>
        <w:footnoteReference w:id="103"/>
      </w:r>
      <w:r w:rsidRPr="00464D49">
        <w:t xml:space="preserve">  Of this total, an estimated 261 have 1,500 or fewer employees.</w:t>
      </w:r>
      <w:r w:rsidRPr="00464D49">
        <w:rPr>
          <w:spacing w:val="-2"/>
          <w:sz w:val="20"/>
          <w:vertAlign w:val="superscript"/>
        </w:rPr>
        <w:footnoteReference w:id="104"/>
      </w:r>
      <w:r w:rsidRPr="00464D49">
        <w:t xml:space="preserve">  Consequently, the Commission estimates that approximately half of these firms can be considered small.  Thus, using available data, we estimate that the majority of wireless firms can be considered small.</w:t>
      </w:r>
    </w:p>
    <w:p w:rsidR="001C0B46" w:rsidRPr="00464D49" w:rsidRDefault="001C0B46" w:rsidP="001C0B46">
      <w:pPr>
        <w:spacing w:after="120"/>
        <w:ind w:firstLine="720"/>
      </w:pPr>
      <w:r>
        <w:rPr>
          <w:bCs/>
        </w:rPr>
        <w:t>19.</w:t>
      </w:r>
      <w:r>
        <w:rPr>
          <w:bCs/>
        </w:rPr>
        <w:tab/>
      </w:r>
      <w:r w:rsidRPr="00464D49">
        <w:rPr>
          <w:bCs/>
          <w:i/>
        </w:rPr>
        <w:t>Cable and other Subscription Programming.</w:t>
      </w:r>
      <w:r w:rsidRPr="00464D49">
        <w:rPr>
          <w:sz w:val="20"/>
          <w:vertAlign w:val="superscript"/>
        </w:rPr>
        <w:footnoteReference w:id="105"/>
      </w:r>
      <w:r w:rsidRPr="00464D49">
        <w:t xml:space="preserve">  This industry comprises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sidRPr="00464D49">
        <w:rPr>
          <w:sz w:val="20"/>
          <w:vertAlign w:val="superscript"/>
        </w:rPr>
        <w:footnoteReference w:id="106"/>
      </w:r>
      <w:r w:rsidRPr="00464D49">
        <w:t xml:space="preserve"> The SBA has established a size standard for this industry stating that a business in this industry is small if it has 1,500 or fewer employees.</w:t>
      </w:r>
      <w:r w:rsidRPr="00464D49">
        <w:rPr>
          <w:sz w:val="20"/>
          <w:vertAlign w:val="superscript"/>
        </w:rPr>
        <w:footnoteReference w:id="107"/>
      </w:r>
      <w:r w:rsidRPr="00464D49">
        <w:t xml:space="preserve">  The 2012 Economic Census indicates that 367 firms were operational for that entire year. Of this total, 357 operated with less than 1,000 employees.</w:t>
      </w:r>
      <w:r w:rsidRPr="00464D49">
        <w:rPr>
          <w:sz w:val="20"/>
          <w:vertAlign w:val="superscript"/>
        </w:rPr>
        <w:footnoteReference w:id="108"/>
      </w:r>
      <w:r w:rsidRPr="00464D49">
        <w:t xml:space="preserve">  Accordingly we conclude that a substantial majority of firms in this industry are small under the applicable SBA size standard.</w:t>
      </w:r>
    </w:p>
    <w:p w:rsidR="001C0B46" w:rsidRPr="00464D49" w:rsidRDefault="001C0B46" w:rsidP="001C0B46">
      <w:pPr>
        <w:spacing w:after="120"/>
        <w:ind w:firstLine="720"/>
      </w:pPr>
      <w:r>
        <w:rPr>
          <w:bCs/>
        </w:rPr>
        <w:t>20.</w:t>
      </w:r>
      <w:r>
        <w:rPr>
          <w:bCs/>
        </w:rPr>
        <w:tab/>
      </w:r>
      <w:r w:rsidRPr="00464D49">
        <w:rPr>
          <w:bCs/>
          <w:i/>
        </w:rPr>
        <w:t>Cable Companies and Systems</w:t>
      </w:r>
      <w:r w:rsidRPr="00464D49">
        <w:rPr>
          <w:i/>
        </w:rPr>
        <w:t>.</w:t>
      </w:r>
      <w:r w:rsidRPr="00464D49">
        <w:t xml:space="preserve">  The Commission has developed its own small business size standards for the purpose of cable rate regulation. Under the Commission’s rules, a “small cable company” is one serving 400,000 or fewer subscribers nationwide.</w:t>
      </w:r>
      <w:r w:rsidRPr="00464D49">
        <w:rPr>
          <w:vertAlign w:val="superscript"/>
        </w:rPr>
        <w:footnoteReference w:id="109"/>
      </w:r>
      <w:r w:rsidRPr="00464D49">
        <w:rPr>
          <w:vertAlign w:val="superscript"/>
        </w:rPr>
        <w:t xml:space="preserve"> </w:t>
      </w:r>
      <w:r w:rsidRPr="00464D49">
        <w:t xml:space="preserve"> Industry data shows that there were are currently 660 cable operators.</w:t>
      </w:r>
      <w:r w:rsidRPr="00464D49">
        <w:rPr>
          <w:vertAlign w:val="superscript"/>
        </w:rPr>
        <w:footnoteReference w:id="110"/>
      </w:r>
      <w:r w:rsidRPr="00464D49">
        <w:rPr>
          <w:b/>
        </w:rPr>
        <w:t xml:space="preserve">  </w:t>
      </w:r>
      <w:r w:rsidRPr="00464D49">
        <w:t>Of this total, all but ten cable operators nationwide are small under this size standard.</w:t>
      </w:r>
      <w:r w:rsidRPr="00464D49">
        <w:rPr>
          <w:vertAlign w:val="superscript"/>
        </w:rPr>
        <w:footnoteReference w:id="111"/>
      </w:r>
      <w:r w:rsidRPr="00464D49">
        <w:rPr>
          <w:vertAlign w:val="superscript"/>
        </w:rPr>
        <w:t xml:space="preserve"> </w:t>
      </w:r>
      <w:r w:rsidRPr="00464D49">
        <w:t xml:space="preserve"> In addition, under the Commission’s rate regulation rules, a “small system” is a cable system serving 15,000 or fewer subscribers.</w:t>
      </w:r>
      <w:r w:rsidRPr="00464D49">
        <w:rPr>
          <w:vertAlign w:val="superscript"/>
        </w:rPr>
        <w:footnoteReference w:id="112"/>
      </w:r>
      <w:r w:rsidRPr="00464D49">
        <w:t xml:space="preserve">  Current Commission records show 4,421 cable systems nationwide.</w:t>
      </w:r>
      <w:r w:rsidRPr="00464D49">
        <w:rPr>
          <w:vertAlign w:val="superscript"/>
        </w:rPr>
        <w:footnoteReference w:id="113"/>
      </w:r>
      <w:r w:rsidRPr="00464D49">
        <w:t xml:space="preserve">  Of this total, 3,936 cable systems have less than 20,000 subscribers, and 485 systems have 20,000 or more subscribers, based on the same records.  Thus, under this standard, we estimate that most cable systems are small entities.</w:t>
      </w:r>
    </w:p>
    <w:p w:rsidR="001C0B46" w:rsidRPr="00464D49" w:rsidRDefault="001C0B46" w:rsidP="00271C2E">
      <w:pPr>
        <w:widowControl/>
        <w:spacing w:after="120"/>
        <w:ind w:firstLine="720"/>
      </w:pPr>
      <w:r>
        <w:rPr>
          <w:bCs/>
        </w:rPr>
        <w:t>21.</w:t>
      </w:r>
      <w:r>
        <w:rPr>
          <w:bCs/>
        </w:rPr>
        <w:tab/>
      </w:r>
      <w:r w:rsidRPr="00464D49">
        <w:rPr>
          <w:bCs/>
          <w:i/>
        </w:rPr>
        <w:t>Cable System Operators (Telecom Act Standard).</w:t>
      </w:r>
      <w:r w:rsidRPr="00464D49">
        <w:t xml:space="preserve">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 are approximately 52,403,705 cable video subscribers in the United States today.</w:t>
      </w:r>
      <w:r w:rsidRPr="00464D49">
        <w:rPr>
          <w:sz w:val="20"/>
          <w:vertAlign w:val="superscript"/>
        </w:rPr>
        <w:footnoteReference w:id="114"/>
      </w:r>
      <w:r w:rsidRPr="00464D49">
        <w:t xml:space="preserve"> Accordingly, an operator serving fewer than 524,037 subscribers shall be deemed a small operator if its annual revenues, when combined with the total annual revenues of all its affiliates, do not exceed $250 million in the aggregate.</w:t>
      </w:r>
      <w:r w:rsidRPr="00464D49">
        <w:rPr>
          <w:sz w:val="20"/>
          <w:vertAlign w:val="superscript"/>
        </w:rPr>
        <w:footnoteReference w:id="115"/>
      </w:r>
      <w:r w:rsidRPr="00464D49">
        <w:t xml:space="preserve">  Based on available data, we find that all but nine incumbent cable operators are small entities under this size standard.</w:t>
      </w:r>
      <w:r w:rsidRPr="00464D49">
        <w:rPr>
          <w:sz w:val="20"/>
          <w:vertAlign w:val="superscript"/>
        </w:rPr>
        <w:footnoteReference w:id="116"/>
      </w:r>
      <w:r w:rsidRPr="00464D49">
        <w:t xml:space="preserve">  We note that the Commission neither requests nor collects information on whether cable system operators are affiliated with entities whose gross annual revenues exceed $250 million.</w:t>
      </w:r>
      <w:r w:rsidRPr="00464D49">
        <w:rPr>
          <w:sz w:val="20"/>
          <w:vertAlign w:val="superscript"/>
        </w:rPr>
        <w:footnoteReference w:id="117"/>
      </w:r>
      <w:r w:rsidRPr="00464D49">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1C0B46" w:rsidRPr="00464D49" w:rsidRDefault="001C0B46" w:rsidP="001C0B46">
      <w:pPr>
        <w:spacing w:after="120"/>
        <w:ind w:firstLine="720"/>
      </w:pPr>
      <w:r>
        <w:rPr>
          <w:bCs/>
        </w:rPr>
        <w:t>22.</w:t>
      </w:r>
      <w:r>
        <w:rPr>
          <w:bCs/>
        </w:rPr>
        <w:tab/>
      </w:r>
      <w:r w:rsidRPr="00464D49">
        <w:rPr>
          <w:bCs/>
          <w:i/>
        </w:rPr>
        <w:t>All Other Telecommunications</w:t>
      </w:r>
      <w:r w:rsidRPr="00464D49">
        <w:t xml:space="preserve">.  </w:t>
      </w:r>
      <w:r w:rsidRPr="00464D49">
        <w:rPr>
          <w:bCs/>
        </w:rPr>
        <w:t>“</w:t>
      </w:r>
      <w:r w:rsidRPr="00464D49">
        <w:t>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464D49">
        <w:rPr>
          <w:sz w:val="20"/>
          <w:vertAlign w:val="superscript"/>
        </w:rPr>
        <w:footnoteReference w:id="118"/>
      </w:r>
      <w:r w:rsidRPr="00464D49">
        <w:t xml:space="preserve">  The SBA has developed a small business size standard for “All Other Telecommunications,” which consists of all such firms with gross annual receipts of $32.5 million or less.</w:t>
      </w:r>
      <w:r w:rsidRPr="00464D49">
        <w:rPr>
          <w:sz w:val="20"/>
          <w:vertAlign w:val="superscript"/>
        </w:rPr>
        <w:footnoteReference w:id="119"/>
      </w:r>
      <w:r w:rsidRPr="00464D49">
        <w:t xml:space="preserve">  For this category, Census Bureau data for 2012 show that there were 1,442 firms that operated for the entire year.   Of those firms, a total of 1,400 had annual receipts less than $25 million.</w:t>
      </w:r>
      <w:r w:rsidRPr="00464D49">
        <w:rPr>
          <w:sz w:val="20"/>
          <w:vertAlign w:val="superscript"/>
        </w:rPr>
        <w:footnoteReference w:id="120"/>
      </w:r>
      <w:r w:rsidRPr="00464D49">
        <w:t xml:space="preserve">  Consequently, we conclude that the majority of All Other Telecommunications firms can be considered small.</w:t>
      </w:r>
    </w:p>
    <w:p w:rsidR="001C0B46" w:rsidRPr="00464D49" w:rsidRDefault="001C0B46" w:rsidP="001C0B46">
      <w:pPr>
        <w:keepNext/>
        <w:numPr>
          <w:ilvl w:val="1"/>
          <w:numId w:val="0"/>
        </w:numPr>
        <w:tabs>
          <w:tab w:val="num" w:pos="1440"/>
        </w:tabs>
        <w:spacing w:after="120"/>
        <w:ind w:left="1440" w:hanging="720"/>
        <w:outlineLvl w:val="1"/>
        <w:rPr>
          <w:b/>
        </w:rPr>
      </w:pPr>
      <w:bookmarkStart w:id="63" w:name="_Toc473709373"/>
      <w:bookmarkStart w:id="64" w:name="_Toc475612188"/>
      <w:bookmarkStart w:id="65" w:name="_Toc475635347"/>
      <w:r>
        <w:rPr>
          <w:b/>
        </w:rPr>
        <w:t>E.</w:t>
      </w:r>
      <w:r>
        <w:rPr>
          <w:b/>
        </w:rPr>
        <w:tab/>
      </w:r>
      <w:r w:rsidRPr="00464D49">
        <w:rPr>
          <w:b/>
        </w:rPr>
        <w:t>Description of Projected Reporting, Recordkeeping, and Other Compliance</w:t>
      </w:r>
      <w:r w:rsidRPr="00464D49">
        <w:rPr>
          <w:b/>
        </w:rPr>
        <w:br/>
        <w:t>Requirements for Small Entities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1C0B46" w:rsidRPr="00464D49" w:rsidRDefault="001C0B46" w:rsidP="001C0B46">
      <w:pPr>
        <w:spacing w:after="120"/>
        <w:ind w:firstLine="720"/>
      </w:pPr>
      <w:bookmarkStart w:id="66" w:name="_Toc412097304"/>
      <w:bookmarkStart w:id="67" w:name="_Toc412382121"/>
      <w:bookmarkStart w:id="68" w:name="_Toc412409149"/>
      <w:bookmarkStart w:id="69" w:name="_Toc412409996"/>
      <w:bookmarkStart w:id="70" w:name="_Toc412410104"/>
      <w:bookmarkStart w:id="71" w:name="_Toc412410359"/>
      <w:bookmarkStart w:id="72" w:name="_Toc412557242"/>
      <w:bookmarkStart w:id="73" w:name="_Toc412557602"/>
      <w:bookmarkStart w:id="74" w:name="_Toc412574968"/>
      <w:bookmarkStart w:id="75" w:name="_Toc413425065"/>
      <w:r>
        <w:t>23.</w:t>
      </w:r>
      <w:r>
        <w:tab/>
      </w:r>
      <w:r w:rsidRPr="00464D49">
        <w:t xml:space="preserve">The Report and Order does not impose any specific reporting, recordkeeping, or compliance requirements for entities, including small entities.  Instead, by removing certain reporting requirements, the Report and Order streamlines existing reporting requirements.  In particular, the Report and Order eliminates ETCs’ obligations to report (1) network outage information; (2) unfulfilled service requests; (3) the number of complaints received by an ETC per 1,000 subscribers for both voice and broadband services; and (4) pricing for voice and broadband services.  The Report and Order also eliminates the requirement that an ETC certify its compliance with applicable service quality standards and consumer protection rules, as well as the requirement that ETCs must file duplicate copies of Form 481 with the FCC and with states, U.S. Territories, and/or Tribal governments. </w:t>
      </w:r>
    </w:p>
    <w:p w:rsidR="001C0B46" w:rsidRPr="002C18DE" w:rsidRDefault="001C0B46" w:rsidP="001C0B46">
      <w:pPr>
        <w:pStyle w:val="ListParagraph"/>
        <w:keepNext/>
        <w:widowControl w:val="0"/>
        <w:numPr>
          <w:ilvl w:val="0"/>
          <w:numId w:val="10"/>
        </w:numPr>
        <w:spacing w:after="120" w:line="240" w:lineRule="auto"/>
        <w:ind w:left="1440" w:hanging="720"/>
        <w:outlineLvl w:val="1"/>
        <w:rPr>
          <w:rFonts w:ascii="Times New Roman" w:eastAsia="Times New Roman" w:hAnsi="Times New Roman"/>
          <w:b/>
          <w:snapToGrid w:val="0"/>
          <w:kern w:val="28"/>
          <w:szCs w:val="20"/>
        </w:rPr>
      </w:pPr>
      <w:bookmarkStart w:id="76" w:name="_Toc446424684"/>
      <w:bookmarkStart w:id="77" w:name="_Toc447036393"/>
      <w:bookmarkStart w:id="78" w:name="_Toc473709374"/>
      <w:bookmarkStart w:id="79" w:name="_Toc475612189"/>
      <w:bookmarkStart w:id="80" w:name="_Toc475635348"/>
      <w:r w:rsidRPr="002C18DE">
        <w:rPr>
          <w:rFonts w:ascii="Times New Roman" w:eastAsia="Times New Roman" w:hAnsi="Times New Roman"/>
          <w:b/>
          <w:snapToGrid w:val="0"/>
          <w:kern w:val="28"/>
          <w:szCs w:val="20"/>
        </w:rPr>
        <w:t>Steps Taken to Minimize the Significant Economic Impact on Small Entities,</w:t>
      </w:r>
      <w:r w:rsidRPr="002C18DE">
        <w:rPr>
          <w:rFonts w:ascii="Times New Roman" w:eastAsia="Times New Roman" w:hAnsi="Times New Roman"/>
          <w:b/>
          <w:snapToGrid w:val="0"/>
          <w:kern w:val="28"/>
          <w:szCs w:val="20"/>
        </w:rPr>
        <w:br/>
        <w:t>and Significant Alternatives Considered</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1C0B46" w:rsidRPr="00464D49" w:rsidRDefault="001C0B46" w:rsidP="001C0B46">
      <w:pPr>
        <w:spacing w:after="120"/>
        <w:ind w:firstLine="720"/>
      </w:pPr>
      <w:r>
        <w:t>24.</w:t>
      </w:r>
      <w:r>
        <w:tab/>
      </w:r>
      <w:r w:rsidRPr="00464D49">
        <w:t>The RFA requires an agency to describe any significant alternatives that it has considered in reaching its proposed approach, which may include (among others) the following four alternatives: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464D49">
        <w:rPr>
          <w:sz w:val="20"/>
          <w:vertAlign w:val="superscript"/>
        </w:rPr>
        <w:footnoteReference w:id="121"/>
      </w:r>
      <w:r w:rsidRPr="00464D49">
        <w:t xml:space="preserve">  We have considered all of these factors subsequent to receiving substantive comments from the public and potentially affected entities.  The Commission has considered the economic impact on small entities, as identified in comments filed in response to the </w:t>
      </w:r>
      <w:r w:rsidRPr="00464D49">
        <w:rPr>
          <w:i/>
        </w:rPr>
        <w:t>Rate-of-Return Reform FNPRM</w:t>
      </w:r>
      <w:r w:rsidRPr="00464D49">
        <w:t xml:space="preserve"> and its IRFA, in reaching its final conclusions and taking action in this proceeding.</w:t>
      </w:r>
      <w:bookmarkStart w:id="81" w:name="_Toc412097305"/>
      <w:bookmarkStart w:id="82" w:name="_Toc412382122"/>
      <w:bookmarkStart w:id="83" w:name="_Toc412409150"/>
      <w:bookmarkStart w:id="84" w:name="_Toc412409997"/>
      <w:bookmarkStart w:id="85" w:name="_Toc412410105"/>
      <w:bookmarkStart w:id="86" w:name="_Toc412410360"/>
      <w:bookmarkStart w:id="87" w:name="_Toc412557243"/>
      <w:bookmarkStart w:id="88" w:name="_Toc412557603"/>
      <w:bookmarkStart w:id="89" w:name="_Toc412574969"/>
      <w:bookmarkStart w:id="90" w:name="_Toc413425066"/>
    </w:p>
    <w:p w:rsidR="001C0B46" w:rsidRPr="00464D49" w:rsidRDefault="001C0B46" w:rsidP="00271C2E">
      <w:pPr>
        <w:widowControl/>
        <w:spacing w:after="120"/>
        <w:ind w:firstLine="720"/>
      </w:pPr>
      <w:r>
        <w:t>25.</w:t>
      </w:r>
      <w:r>
        <w:tab/>
      </w:r>
      <w:r w:rsidRPr="00464D49">
        <w:t xml:space="preserve">In the </w:t>
      </w:r>
      <w:r w:rsidRPr="00464D49">
        <w:rPr>
          <w:i/>
        </w:rPr>
        <w:t>Rate-of-Return Reform FNPRM</w:t>
      </w:r>
      <w:r w:rsidRPr="00464D49">
        <w:t>,</w:t>
      </w:r>
      <w:r w:rsidRPr="00464D49">
        <w:rPr>
          <w:i/>
        </w:rPr>
        <w:t xml:space="preserve"> </w:t>
      </w:r>
      <w:r w:rsidRPr="00464D49">
        <w:t>we sought comment on whether to eliminate or modify several ETC reporting requirements.</w:t>
      </w:r>
      <w:r w:rsidRPr="00464D49">
        <w:rPr>
          <w:sz w:val="20"/>
          <w:vertAlign w:val="superscript"/>
        </w:rPr>
        <w:footnoteReference w:id="122"/>
      </w:r>
      <w:r w:rsidRPr="00464D49">
        <w:t xml:space="preserve">  In the Report and Order, we ultimately decline to modify any of the requirements, as some commenters suggest.  Instead, as explained above, the Report and Order completely eliminates certain reporting requirements.  Thus, the Report and Order does not impose any economic impact on affected entities, including small entities, but only reduces the burdens those entities face.  We further note in the Report and Order that we will continue to evaluate our reporting requirements to identify other requirements that we may be able to streamline or eliminate.</w:t>
      </w:r>
    </w:p>
    <w:p w:rsidR="001C0B46" w:rsidRPr="00464D49" w:rsidRDefault="001C0B46" w:rsidP="001C0B46">
      <w:pPr>
        <w:keepNext/>
        <w:numPr>
          <w:ilvl w:val="1"/>
          <w:numId w:val="0"/>
        </w:numPr>
        <w:tabs>
          <w:tab w:val="num" w:pos="1440"/>
        </w:tabs>
        <w:spacing w:after="120"/>
        <w:ind w:left="1440" w:hanging="720"/>
        <w:outlineLvl w:val="1"/>
        <w:rPr>
          <w:b/>
        </w:rPr>
      </w:pPr>
      <w:bookmarkStart w:id="91" w:name="_Toc446424685"/>
      <w:bookmarkStart w:id="92" w:name="_Toc447036394"/>
      <w:bookmarkStart w:id="93" w:name="_Toc473709375"/>
      <w:bookmarkStart w:id="94" w:name="_Toc475612190"/>
      <w:bookmarkStart w:id="95" w:name="_Toc475635349"/>
      <w:r>
        <w:rPr>
          <w:b/>
        </w:rPr>
        <w:t>G.</w:t>
      </w:r>
      <w:r>
        <w:rPr>
          <w:b/>
        </w:rPr>
        <w:tab/>
      </w:r>
      <w:r w:rsidRPr="00464D49">
        <w:rPr>
          <w:b/>
        </w:rPr>
        <w:t>Report to Congress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2C00E8" w:rsidRPr="002C00E8" w:rsidRDefault="001C0B46" w:rsidP="00271C2E">
      <w:pPr>
        <w:pStyle w:val="ParaNum"/>
        <w:numPr>
          <w:ilvl w:val="0"/>
          <w:numId w:val="0"/>
        </w:numPr>
        <w:ind w:firstLine="720"/>
      </w:pPr>
      <w:r>
        <w:t>26.</w:t>
      </w:r>
      <w:r>
        <w:tab/>
      </w:r>
      <w:r w:rsidRPr="00464D49">
        <w:t>The Commission will send a copy of the Report and Order and Order on Reconsideration, including this FRFA, in a report to be sent to Congress and the Government Accountability Office pursuant to the Small Business Regulatory Enforcement Fairness Act of 1996.</w:t>
      </w:r>
      <w:r w:rsidRPr="00464D49">
        <w:rPr>
          <w:sz w:val="20"/>
          <w:vertAlign w:val="superscript"/>
        </w:rPr>
        <w:footnoteReference w:id="123"/>
      </w:r>
      <w:r w:rsidRPr="00464D49">
        <w:t xml:space="preserve">  In addition, the Commission will send a copy of the Report and Order and Order on Reconsideration, including the FRFA, to the Chief Counsel for Advocacy of the Small Business Administration.  A copy of the Report and Order and Order on Reconsideration and FRFA (or summaries thereof) will also be published in the Federal Register.</w:t>
      </w:r>
      <w:r w:rsidRPr="00464D49">
        <w:rPr>
          <w:sz w:val="20"/>
          <w:vertAlign w:val="superscript"/>
        </w:rPr>
        <w:footnoteReference w:id="124"/>
      </w:r>
    </w:p>
    <w:sectPr w:rsidR="002C00E8" w:rsidRPr="002C00E8" w:rsidSect="001C0B46">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9F" w:rsidRDefault="0047069F">
      <w:pPr>
        <w:spacing w:line="20" w:lineRule="exact"/>
      </w:pPr>
    </w:p>
  </w:endnote>
  <w:endnote w:type="continuationSeparator" w:id="0">
    <w:p w:rsidR="0047069F" w:rsidRDefault="0047069F">
      <w:r>
        <w:t xml:space="preserve"> </w:t>
      </w:r>
    </w:p>
  </w:endnote>
  <w:endnote w:type="continuationNotice" w:id="1">
    <w:p w:rsidR="0047069F" w:rsidRDefault="004706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46" w:rsidRDefault="001C0B46" w:rsidP="0055614C">
    <w:pPr>
      <w:pStyle w:val="Footer"/>
      <w:framePr w:wrap="around" w:vAnchor="text" w:hAnchor="margin" w:xAlign="center" w:y="1"/>
    </w:pPr>
    <w:r>
      <w:fldChar w:fldCharType="begin"/>
    </w:r>
    <w:r>
      <w:instrText xml:space="preserve">PAGE  </w:instrText>
    </w:r>
    <w:r>
      <w:fldChar w:fldCharType="end"/>
    </w:r>
  </w:p>
  <w:p w:rsidR="001C0B46" w:rsidRDefault="001C0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46" w:rsidRPr="0057511D" w:rsidRDefault="001C0B46" w:rsidP="0055614C">
    <w:pPr>
      <w:pStyle w:val="Footer"/>
      <w:framePr w:wrap="around" w:vAnchor="text" w:hAnchor="margin" w:xAlign="center" w:y="1"/>
    </w:pPr>
    <w:r w:rsidRPr="0057511D">
      <w:fldChar w:fldCharType="begin"/>
    </w:r>
    <w:r w:rsidRPr="0057511D">
      <w:instrText xml:space="preserve">PAGE  </w:instrText>
    </w:r>
    <w:r w:rsidRPr="0057511D">
      <w:fldChar w:fldCharType="separate"/>
    </w:r>
    <w:r w:rsidR="002A6A84">
      <w:rPr>
        <w:noProof/>
      </w:rPr>
      <w:t>2</w:t>
    </w:r>
    <w:r w:rsidRPr="0057511D">
      <w:fldChar w:fldCharType="end"/>
    </w:r>
  </w:p>
  <w:p w:rsidR="001C0B46" w:rsidRPr="0057511D" w:rsidRDefault="001C0B4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1F" w:rsidRDefault="002F7D1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41A7A">
      <w:rPr>
        <w:noProof/>
      </w:rPr>
      <w:t>18</w:t>
    </w:r>
    <w:r>
      <w:fldChar w:fldCharType="end"/>
    </w:r>
  </w:p>
  <w:p w:rsidR="00D25FB5" w:rsidRDefault="00D25FB5">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9F" w:rsidRDefault="0047069F">
      <w:r>
        <w:separator/>
      </w:r>
    </w:p>
  </w:footnote>
  <w:footnote w:type="continuationSeparator" w:id="0">
    <w:p w:rsidR="0047069F" w:rsidRDefault="0047069F" w:rsidP="00C721AC">
      <w:pPr>
        <w:spacing w:before="120"/>
        <w:rPr>
          <w:sz w:val="20"/>
        </w:rPr>
      </w:pPr>
      <w:r>
        <w:rPr>
          <w:sz w:val="20"/>
        </w:rPr>
        <w:t xml:space="preserve">(Continued from previous page)  </w:t>
      </w:r>
      <w:r>
        <w:rPr>
          <w:sz w:val="20"/>
        </w:rPr>
        <w:separator/>
      </w:r>
    </w:p>
  </w:footnote>
  <w:footnote w:type="continuationNotice" w:id="1">
    <w:p w:rsidR="0047069F" w:rsidRDefault="0047069F" w:rsidP="00C721AC">
      <w:pPr>
        <w:jc w:val="right"/>
        <w:rPr>
          <w:sz w:val="20"/>
        </w:rPr>
      </w:pPr>
      <w:r>
        <w:rPr>
          <w:sz w:val="20"/>
        </w:rPr>
        <w:t>(continued….)</w:t>
      </w:r>
    </w:p>
  </w:footnote>
  <w:footnote w:id="2">
    <w:p w:rsidR="001C0B46" w:rsidRPr="00FE1198" w:rsidRDefault="001C0B46" w:rsidP="001C0B46">
      <w:pPr>
        <w:pStyle w:val="FootnoteText"/>
      </w:pPr>
      <w:r w:rsidRPr="00FE1198">
        <w:rPr>
          <w:rStyle w:val="FootnoteReference"/>
        </w:rPr>
        <w:footnoteRef/>
      </w:r>
      <w:r w:rsidRPr="00FE1198">
        <w:t xml:space="preserve"> </w:t>
      </w:r>
      <w:r w:rsidRPr="00FE1198">
        <w:rPr>
          <w:i/>
        </w:rPr>
        <w:t>See Connect America Fund; ETC Annual Reports and Certifications; Developing a Unified Intercarrier Compensation Regime</w:t>
      </w:r>
      <w:r w:rsidRPr="00FE1198">
        <w:t>, Report and Order, Order and Order on Reconsideration, and Further Notice of Proposed Rulemaking, 31 FCC Rcd 3087, 3229,</w:t>
      </w:r>
      <w:r w:rsidRPr="00FE1198">
        <w:rPr>
          <w:i/>
        </w:rPr>
        <w:t xml:space="preserve"> </w:t>
      </w:r>
      <w:r w:rsidRPr="00FE1198">
        <w:t>paras. 387-393 (2016) (</w:t>
      </w:r>
      <w:r w:rsidRPr="00FE1198">
        <w:rPr>
          <w:i/>
        </w:rPr>
        <w:t>Rate-of-Return Reform Order and/or FNPRM</w:t>
      </w:r>
      <w:r w:rsidRPr="00FE1198">
        <w:t>).</w:t>
      </w:r>
    </w:p>
  </w:footnote>
  <w:footnote w:id="3">
    <w:p w:rsidR="001C0B46" w:rsidRPr="00FE1198" w:rsidRDefault="001C0B46" w:rsidP="001C0B46">
      <w:pPr>
        <w:pStyle w:val="FootnoteText"/>
      </w:pPr>
      <w:r w:rsidRPr="00FE1198">
        <w:rPr>
          <w:rStyle w:val="FootnoteReference"/>
        </w:rPr>
        <w:footnoteRef/>
      </w:r>
      <w:r w:rsidRPr="00FE1198">
        <w:t xml:space="preserve"> </w:t>
      </w:r>
      <w:r w:rsidRPr="00FE1198">
        <w:rPr>
          <w:i/>
        </w:rPr>
        <w:t>See Rate-of-Return FNPRM</w:t>
      </w:r>
      <w:r w:rsidRPr="00FE1198">
        <w:t>, 31 FCC Rcd at 3229,</w:t>
      </w:r>
      <w:r w:rsidRPr="00FE1198">
        <w:rPr>
          <w:i/>
        </w:rPr>
        <w:t xml:space="preserve"> </w:t>
      </w:r>
      <w:r w:rsidRPr="00FE1198">
        <w:t xml:space="preserve">paras. 388-391. </w:t>
      </w:r>
      <w:r>
        <w:t xml:space="preserve"> </w:t>
      </w:r>
      <w:r w:rsidRPr="00FE1198">
        <w:rPr>
          <w:i/>
        </w:rPr>
        <w:t>See</w:t>
      </w:r>
      <w:r w:rsidRPr="00FE1198">
        <w:t xml:space="preserve"> </w:t>
      </w:r>
      <w:r w:rsidRPr="000F26AA">
        <w:rPr>
          <w:i/>
        </w:rPr>
        <w:t>also</w:t>
      </w:r>
      <w:r w:rsidRPr="00FE1198">
        <w:t xml:space="preserve"> 47 CFR § 54.313(a)(2) (outage reporting); 47 CFR § 54.313(a)(3) (unfulfilled service requests); 47 CFR §  54.313(a)(4) (consumer complaints); 47 CFR §  54.313(a)(7) (pricing); 47 CFR § 54.313(a)(5)</w:t>
      </w:r>
      <w:r>
        <w:t xml:space="preserve"> </w:t>
      </w:r>
      <w:r w:rsidRPr="00FE1198">
        <w:t>(service quality standards).</w:t>
      </w:r>
    </w:p>
  </w:footnote>
  <w:footnote w:id="4">
    <w:p w:rsidR="001C0B46" w:rsidRPr="00A90A4E" w:rsidRDefault="001C0B46" w:rsidP="001C0B46">
      <w:pPr>
        <w:pStyle w:val="FootnoteText"/>
      </w:pPr>
      <w:r w:rsidRPr="00A90A4E">
        <w:rPr>
          <w:rStyle w:val="FootnoteReference"/>
        </w:rPr>
        <w:footnoteRef/>
      </w:r>
      <w:r w:rsidRPr="00A90A4E">
        <w:t xml:space="preserve"> At this time we only act on the high-cost reporting rules in section 54.313 and not the Lifeline-specific reporting rules in section 54.422.</w:t>
      </w:r>
    </w:p>
  </w:footnote>
  <w:footnote w:id="5">
    <w:p w:rsidR="001C0B46" w:rsidRPr="00457F26" w:rsidRDefault="001C0B46" w:rsidP="001C0B46">
      <w:pPr>
        <w:pStyle w:val="FootnoteText"/>
      </w:pPr>
      <w:r w:rsidRPr="00457F26">
        <w:rPr>
          <w:rStyle w:val="FootnoteReference"/>
        </w:rPr>
        <w:footnoteRef/>
      </w:r>
      <w:r w:rsidRPr="00457F26">
        <w:t xml:space="preserve"> </w:t>
      </w:r>
      <w:r w:rsidRPr="00457F26">
        <w:rPr>
          <w:i/>
        </w:rPr>
        <w:t>See, e.g.</w:t>
      </w:r>
      <w:r w:rsidRPr="00457F26">
        <w:t xml:space="preserve">, </w:t>
      </w:r>
      <w:r w:rsidRPr="00FE1198">
        <w:t>United States Telecom Association Comments at 5 (</w:t>
      </w:r>
      <w:r w:rsidRPr="00457F26">
        <w:t xml:space="preserve">USTelecom Comments).  </w:t>
      </w:r>
      <w:r w:rsidRPr="00457F26">
        <w:rPr>
          <w:i/>
        </w:rPr>
        <w:t>See also</w:t>
      </w:r>
      <w:r w:rsidRPr="00457F26">
        <w:t xml:space="preserve"> </w:t>
      </w:r>
      <w:r w:rsidRPr="00FE1198">
        <w:t>Alexicon Telecommunications Consulting Comments at 12-13 (Alexicon Comments); ITTA-The Voice of Mid-Size Communications Companies Comments at 5 (ITTA Comments); NTCA-The Rural Broadband Association Comments at 39-40 (NTCA Comments);TCA, Inc.-Telcom Consulting Associates Comments at 9-10 (TCA Comments); Windstream Corporation Comments at 2 (Windstream Comments); WTA-Advocates for Rural Broadband Comments at 19-20 (WTA Comments); GVNW Consulting, Inc. Reply at 7-8 (GVNW Reply); NTCA-The Rural Broadband Association Reply at 16 (NTCA Reply); TCA, Inc.-Telcom Consulting Associates Reply at 5-6 (TCA Reply).</w:t>
      </w:r>
      <w:r w:rsidRPr="00457F26" w:rsidDel="007411F6">
        <w:t xml:space="preserve"> </w:t>
      </w:r>
    </w:p>
  </w:footnote>
  <w:footnote w:id="6">
    <w:p w:rsidR="001C0B46" w:rsidRPr="00457F26" w:rsidRDefault="001C0B46" w:rsidP="001C0B46">
      <w:pPr>
        <w:pStyle w:val="FootnoteText"/>
      </w:pPr>
      <w:r w:rsidRPr="00457F26">
        <w:rPr>
          <w:rStyle w:val="FootnoteReference"/>
        </w:rPr>
        <w:footnoteRef/>
      </w:r>
      <w:r w:rsidRPr="00457F26">
        <w:t xml:space="preserve"> </w:t>
      </w:r>
      <w:r w:rsidRPr="00FE1198">
        <w:rPr>
          <w:i/>
        </w:rPr>
        <w:t xml:space="preserve">See </w:t>
      </w:r>
      <w:r w:rsidRPr="00FE1198">
        <w:t>47 CFR pt. 4.</w:t>
      </w:r>
    </w:p>
  </w:footnote>
  <w:footnote w:id="7">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 xml:space="preserve">47 CFR § 54.313(a)(2).  The Bureau never sought PRA approval for reporting broadband outages.  </w:t>
      </w:r>
      <w:r w:rsidRPr="00FE1198">
        <w:rPr>
          <w:i/>
        </w:rPr>
        <w:t>See Proposed Extension of Part 4 of the Commission’s Rules Regarding Outage Reporting To Interconnected Voice Over Internet Protocol Service Providers and Broadband Internet Service Providers</w:t>
      </w:r>
      <w:r w:rsidRPr="00FE1198">
        <w:t>, PS Docket No. 11-82, Report and Order, 27 FCC Rcd 2650 (2012) (deferring action on possible performance degradation thresholds for measuring an outage of broadband Internet service).</w:t>
      </w:r>
    </w:p>
  </w:footnote>
  <w:footnote w:id="8">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Alexicon Comments at 12-13; ITTA Comments at 5; NTCA Comments at 39-40; TCA Comments at 9-10 (TCA Comments); USTelecom Comments at 5-7; Windstream Comments at 2; WTA Comments at 19-20; GVNW Reply at 7-8; NTCA Reply at 16; TCA Reply at 5-6.</w:t>
      </w:r>
    </w:p>
  </w:footnote>
  <w:footnote w:id="9">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Michigan Public Service Commission Reply at 2 (Michigan Reply).</w:t>
      </w:r>
    </w:p>
  </w:footnote>
  <w:footnote w:id="10">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Public Service Commission of the State of Missouri Comments at 3 (Missouri Comments); Michigan Reply at 4.</w:t>
      </w:r>
    </w:p>
  </w:footnote>
  <w:footnote w:id="11">
    <w:p w:rsidR="00165931" w:rsidRPr="00E801E9" w:rsidRDefault="00165931" w:rsidP="003A7AB5">
      <w:pPr>
        <w:pStyle w:val="FootnoteText"/>
      </w:pPr>
      <w:r>
        <w:rPr>
          <w:rStyle w:val="FootnoteReference"/>
        </w:rPr>
        <w:footnoteRef/>
      </w:r>
      <w:r>
        <w:t xml:space="preserve"> </w:t>
      </w:r>
      <w:r w:rsidR="00B41A43">
        <w:rPr>
          <w:i/>
        </w:rPr>
        <w:t>See</w:t>
      </w:r>
      <w:r w:rsidR="00E801E9">
        <w:t xml:space="preserve">, </w:t>
      </w:r>
      <w:r w:rsidR="00E801E9" w:rsidRPr="00847141">
        <w:rPr>
          <w:i/>
        </w:rPr>
        <w:t>e.g</w:t>
      </w:r>
      <w:r w:rsidR="00E801E9" w:rsidRPr="00E801E9">
        <w:t>.,</w:t>
      </w:r>
      <w:r w:rsidR="00E801E9">
        <w:t xml:space="preserve"> </w:t>
      </w:r>
      <w:r w:rsidR="00090D45">
        <w:t>16 Tex. Admin.</w:t>
      </w:r>
      <w:r w:rsidR="00E801E9">
        <w:t xml:space="preserve"> Code </w:t>
      </w:r>
      <w:r w:rsidR="00090D45">
        <w:t xml:space="preserve">§ </w:t>
      </w:r>
      <w:r w:rsidR="00E801E9">
        <w:t>26.51</w:t>
      </w:r>
      <w:r w:rsidR="00090D45">
        <w:t>(e) (2017)</w:t>
      </w:r>
      <w:r w:rsidR="00E801E9">
        <w:t xml:space="preserve"> (Texas</w:t>
      </w:r>
      <w:r w:rsidR="00090D45">
        <w:t xml:space="preserve"> state</w:t>
      </w:r>
      <w:r w:rsidR="00E801E9">
        <w:t xml:space="preserve"> </w:t>
      </w:r>
      <w:r w:rsidR="00090D45">
        <w:t>t</w:t>
      </w:r>
      <w:r w:rsidR="00E801E9">
        <w:t xml:space="preserve">elecommunications </w:t>
      </w:r>
      <w:r w:rsidR="00090D45">
        <w:t>o</w:t>
      </w:r>
      <w:r w:rsidR="00E801E9">
        <w:t xml:space="preserve">utage </w:t>
      </w:r>
      <w:r w:rsidR="00090D45">
        <w:t>r</w:t>
      </w:r>
      <w:r w:rsidR="00E801E9">
        <w:t xml:space="preserve">eporting </w:t>
      </w:r>
      <w:r w:rsidR="00090D45">
        <w:t>r</w:t>
      </w:r>
      <w:r w:rsidR="00E801E9">
        <w:t xml:space="preserve">equirements); </w:t>
      </w:r>
      <w:r w:rsidR="00090D45">
        <w:t xml:space="preserve">52 Pa. Code § </w:t>
      </w:r>
      <w:r w:rsidR="00E801E9">
        <w:t xml:space="preserve">67.1 </w:t>
      </w:r>
      <w:r w:rsidR="00090D45">
        <w:t xml:space="preserve">(2017) </w:t>
      </w:r>
      <w:r w:rsidR="00E801E9">
        <w:t>(</w:t>
      </w:r>
      <w:r w:rsidR="00090D45">
        <w:t>Pennsylvania</w:t>
      </w:r>
      <w:r w:rsidR="00E801E9">
        <w:t xml:space="preserve"> state telecommunications outage reporting requirements).</w:t>
      </w:r>
    </w:p>
  </w:footnote>
  <w:footnote w:id="12">
    <w:p w:rsidR="001C0B46" w:rsidRPr="00FE1198" w:rsidRDefault="001C0B46" w:rsidP="001C0B46">
      <w:pPr>
        <w:pStyle w:val="FootnoteText"/>
      </w:pPr>
      <w:r w:rsidRPr="00FE1198">
        <w:rPr>
          <w:rStyle w:val="FootnoteReference"/>
        </w:rPr>
        <w:footnoteRef/>
      </w:r>
      <w:r w:rsidRPr="00FE1198">
        <w:t xml:space="preserve"> </w:t>
      </w:r>
      <w:r w:rsidRPr="00FE1198">
        <w:rPr>
          <w:i/>
        </w:rPr>
        <w:t>See</w:t>
      </w:r>
      <w:r w:rsidRPr="00FE1198">
        <w:t xml:space="preserve"> 47 CFR § 54.313(a)(3). </w:t>
      </w:r>
    </w:p>
  </w:footnote>
  <w:footnote w:id="13">
    <w:p w:rsidR="001C0B46" w:rsidRPr="00FE1198" w:rsidRDefault="001C0B46" w:rsidP="001C0B46">
      <w:pPr>
        <w:pStyle w:val="FootnoteText"/>
      </w:pPr>
      <w:r w:rsidRPr="00FE1198">
        <w:rPr>
          <w:rStyle w:val="FootnoteReference"/>
        </w:rPr>
        <w:footnoteRef/>
      </w:r>
      <w:r w:rsidRPr="00FE1198">
        <w:t xml:space="preserve"> </w:t>
      </w:r>
      <w:r w:rsidRPr="00FE1198">
        <w:rPr>
          <w:i/>
        </w:rPr>
        <w:t>See USF/ICC Transformation Order</w:t>
      </w:r>
      <w:r w:rsidRPr="00FE1198">
        <w:rPr>
          <w:color w:val="000000"/>
        </w:rPr>
        <w:t xml:space="preserve">, 26 FCC Rcd at </w:t>
      </w:r>
      <w:r>
        <w:rPr>
          <w:color w:val="000000"/>
        </w:rPr>
        <w:t xml:space="preserve">17741, para. 208, </w:t>
      </w:r>
      <w:r w:rsidRPr="00FE1198">
        <w:rPr>
          <w:color w:val="000000"/>
        </w:rPr>
        <w:t>17852, para. 580</w:t>
      </w:r>
      <w:r w:rsidRPr="00FE1198">
        <w:rPr>
          <w:iCs/>
        </w:rPr>
        <w:t>.</w:t>
      </w:r>
    </w:p>
  </w:footnote>
  <w:footnote w:id="14">
    <w:p w:rsidR="001C0B46" w:rsidRPr="000F26AA" w:rsidRDefault="001C0B46" w:rsidP="001C0B46">
      <w:pPr>
        <w:pStyle w:val="FootnoteText"/>
      </w:pPr>
      <w:r w:rsidRPr="000F26AA">
        <w:rPr>
          <w:rStyle w:val="FootnoteReference"/>
        </w:rPr>
        <w:footnoteRef/>
      </w:r>
      <w:r w:rsidRPr="000F26AA">
        <w:t xml:space="preserve"> </w:t>
      </w:r>
      <w:r w:rsidRPr="000F26AA">
        <w:rPr>
          <w:i/>
        </w:rPr>
        <w:t xml:space="preserve">See Rate-of-Return Reform </w:t>
      </w:r>
      <w:r w:rsidRPr="000F26AA">
        <w:t>Order, 31 FCC Rcd at 3145-54, paras. 156-180.</w:t>
      </w:r>
    </w:p>
  </w:footnote>
  <w:footnote w:id="15">
    <w:p w:rsidR="001C0B46" w:rsidRPr="00FE1198" w:rsidRDefault="001C0B46" w:rsidP="001C0B46">
      <w:pPr>
        <w:pStyle w:val="FootnoteText"/>
      </w:pPr>
      <w:r w:rsidRPr="002F5992">
        <w:rPr>
          <w:rStyle w:val="FootnoteReference"/>
        </w:rPr>
        <w:footnoteRef/>
      </w:r>
      <w:r w:rsidRPr="002F5992">
        <w:t xml:space="preserve"> </w:t>
      </w:r>
      <w:r w:rsidRPr="002F5992">
        <w:rPr>
          <w:i/>
        </w:rPr>
        <w:t xml:space="preserve">See </w:t>
      </w:r>
      <w:r w:rsidRPr="002F5992">
        <w:t>47 CFR § 54.316.</w:t>
      </w:r>
    </w:p>
  </w:footnote>
  <w:footnote w:id="16">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 xml:space="preserve">Alexicon Comments at 12-13; ITTA Comments at 5; NTCA Comments </w:t>
      </w:r>
      <w:r>
        <w:t xml:space="preserve">at </w:t>
      </w:r>
      <w:r w:rsidRPr="00FE1198">
        <w:t>40-41; TCA Comments at 9-10; USTelecom Comments at 6-7; Windstream Comments at 2; WTA Comments at 19-20; GVNW Reply at 7-8; NTCA Reply at 16; TCA Reply at 5-6.</w:t>
      </w:r>
    </w:p>
  </w:footnote>
  <w:footnote w:id="17">
    <w:p w:rsidR="001C0B46" w:rsidRPr="00457F26" w:rsidRDefault="001C0B46" w:rsidP="001C0B46">
      <w:pPr>
        <w:pStyle w:val="FootnoteText"/>
      </w:pPr>
      <w:r w:rsidRPr="00457F26">
        <w:rPr>
          <w:rStyle w:val="FootnoteReference"/>
        </w:rPr>
        <w:footnoteRef/>
      </w:r>
      <w:r w:rsidRPr="00457F26">
        <w:t xml:space="preserve"> </w:t>
      </w:r>
      <w:r w:rsidRPr="00FE1198">
        <w:rPr>
          <w:i/>
        </w:rPr>
        <w:t xml:space="preserve">See </w:t>
      </w:r>
      <w:r w:rsidRPr="00FE1198">
        <w:t>Public Service Commission of the State of Missouri Comments at 3 (Missouri Comments); Michigan Reply at 4.</w:t>
      </w:r>
    </w:p>
  </w:footnote>
  <w:footnote w:id="18">
    <w:p w:rsidR="001C0B46" w:rsidRPr="00457F26" w:rsidRDefault="001C0B46" w:rsidP="001C0B46">
      <w:pPr>
        <w:pStyle w:val="FootnoteText"/>
      </w:pPr>
      <w:r w:rsidRPr="00457F26">
        <w:rPr>
          <w:rStyle w:val="FootnoteReference"/>
        </w:rPr>
        <w:footnoteRef/>
      </w:r>
      <w:r w:rsidRPr="00457F26">
        <w:t xml:space="preserve"> </w:t>
      </w:r>
      <w:r w:rsidRPr="00457F26">
        <w:rPr>
          <w:i/>
        </w:rPr>
        <w:t>Rate-of-Return Reform Order</w:t>
      </w:r>
      <w:r w:rsidRPr="00457F26">
        <w:t>,</w:t>
      </w:r>
      <w:r w:rsidRPr="00FE1198">
        <w:t xml:space="preserve"> 31 FCC Rcd at 3168, para. 221.</w:t>
      </w:r>
    </w:p>
  </w:footnote>
  <w:footnote w:id="19">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Missouri Comments at 4-5.</w:t>
      </w:r>
    </w:p>
  </w:footnote>
  <w:footnote w:id="20">
    <w:p w:rsidR="001C0B46" w:rsidRPr="00FE1198" w:rsidRDefault="001C0B46" w:rsidP="001C0B46">
      <w:pPr>
        <w:pStyle w:val="FootnoteText"/>
      </w:pPr>
      <w:r w:rsidRPr="00FE1198">
        <w:rPr>
          <w:rStyle w:val="FootnoteReference"/>
        </w:rPr>
        <w:footnoteRef/>
      </w:r>
      <w:r w:rsidRPr="00FE1198">
        <w:t xml:space="preserve"> </w:t>
      </w:r>
      <w:r w:rsidRPr="00FE1198">
        <w:rPr>
          <w:i/>
        </w:rPr>
        <w:t>See</w:t>
      </w:r>
      <w:r w:rsidRPr="00FE1198">
        <w:t xml:space="preserve"> 47 CFR § 54.313(a)(4).  </w:t>
      </w:r>
    </w:p>
  </w:footnote>
  <w:footnote w:id="21">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FCC, Consumer Complaint Data Center, https://www.fcc.gov/consumer-help-center-data.</w:t>
      </w:r>
    </w:p>
  </w:footnote>
  <w:footnote w:id="22">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Alexicon Comments at 12-13; ITTA Comments at 5; TCA Comments at 9-10; USTelecom Comments at 6-7; Windstream Comments at 2; WTA Comments at 19-20; GVNW Reply at 7-8; NTCA Reply at 16; TCA Reply at 5-6.</w:t>
      </w:r>
    </w:p>
  </w:footnote>
  <w:footnote w:id="23">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Missouri Comments at 4-5.</w:t>
      </w:r>
    </w:p>
  </w:footnote>
  <w:footnote w:id="24">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NTCA Comments at 41-42.</w:t>
      </w:r>
    </w:p>
  </w:footnote>
  <w:footnote w:id="25">
    <w:p w:rsidR="001C0B46" w:rsidRPr="00FE1198" w:rsidRDefault="001C0B46" w:rsidP="001C0B46">
      <w:pPr>
        <w:pStyle w:val="FootnoteText"/>
      </w:pPr>
      <w:r w:rsidRPr="00FE1198">
        <w:rPr>
          <w:rStyle w:val="FootnoteReference"/>
        </w:rPr>
        <w:footnoteRef/>
      </w:r>
      <w:r w:rsidRPr="00FE1198">
        <w:t xml:space="preserve"> See 47 CFR § 54.313(a)(7).</w:t>
      </w:r>
    </w:p>
  </w:footnote>
  <w:footnote w:id="26">
    <w:p w:rsidR="001C0B46" w:rsidRPr="00457F26" w:rsidRDefault="001C0B46" w:rsidP="001C0B46">
      <w:pPr>
        <w:pStyle w:val="FootnoteText"/>
      </w:pPr>
      <w:r w:rsidRPr="00457F26">
        <w:rPr>
          <w:rStyle w:val="FootnoteReference"/>
        </w:rPr>
        <w:footnoteRef/>
      </w:r>
      <w:r w:rsidRPr="00457F26">
        <w:t xml:space="preserve"> </w:t>
      </w:r>
      <w:r w:rsidRPr="00FE1198">
        <w:t>47 CFR §§ 54.313</w:t>
      </w:r>
      <w:r>
        <w:t>(a)(10), (12) (2016).</w:t>
      </w:r>
      <w:r w:rsidRPr="003E780A" w:rsidDel="003E780A">
        <w:rPr>
          <w:b/>
        </w:rPr>
        <w:t xml:space="preserve"> </w:t>
      </w:r>
    </w:p>
  </w:footnote>
  <w:footnote w:id="27">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Alexicon Comments at 12-13; ITTA Comments at 5; TCA Comments at 9-10; USTelecom Comments at 7; Windstream Comments at 2; WTA Comments at 19-20; GVNW Reply at 7-8.</w:t>
      </w:r>
    </w:p>
  </w:footnote>
  <w:footnote w:id="28">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Missouri Comments at 4-5.</w:t>
      </w:r>
    </w:p>
  </w:footnote>
  <w:footnote w:id="29">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NTCA Comments at 42.</w:t>
      </w:r>
    </w:p>
  </w:footnote>
  <w:footnote w:id="30">
    <w:p w:rsidR="001C0B46" w:rsidRPr="00457F26" w:rsidRDefault="001C0B46" w:rsidP="001C0B46">
      <w:pPr>
        <w:pStyle w:val="FootnoteText"/>
        <w:rPr>
          <w:i/>
        </w:rPr>
      </w:pPr>
      <w:r w:rsidRPr="00457F26">
        <w:rPr>
          <w:rStyle w:val="FootnoteReference"/>
        </w:rPr>
        <w:footnoteRef/>
      </w:r>
      <w:r w:rsidRPr="00457F26">
        <w:t xml:space="preserve"> </w:t>
      </w:r>
      <w:r w:rsidRPr="00FE1198">
        <w:rPr>
          <w:i/>
        </w:rPr>
        <w:t xml:space="preserve">See </w:t>
      </w:r>
      <w:r w:rsidRPr="00FE1198">
        <w:t>47 CFR §§ 54.313(a)(5)</w:t>
      </w:r>
      <w:r>
        <w:t>,</w:t>
      </w:r>
      <w:r w:rsidRPr="00FE1198">
        <w:t xml:space="preserve"> 54.422(b)(3).</w:t>
      </w:r>
    </w:p>
  </w:footnote>
  <w:footnote w:id="31">
    <w:p w:rsidR="001C0B46" w:rsidRPr="00FE1198" w:rsidRDefault="001C0B46" w:rsidP="001C0B46">
      <w:pPr>
        <w:pStyle w:val="FootnoteText"/>
      </w:pPr>
      <w:r w:rsidRPr="00FE1198">
        <w:rPr>
          <w:rStyle w:val="FootnoteReference"/>
        </w:rPr>
        <w:footnoteRef/>
      </w:r>
      <w:r w:rsidRPr="00FE1198">
        <w:t xml:space="preserve"> </w:t>
      </w:r>
      <w:r w:rsidRPr="00FE1198">
        <w:rPr>
          <w:i/>
        </w:rPr>
        <w:t>See, e.g.</w:t>
      </w:r>
      <w:r w:rsidRPr="00FE1198">
        <w:t>, 47 CFR § 54.707 (Audit Controls).</w:t>
      </w:r>
    </w:p>
  </w:footnote>
  <w:footnote w:id="32">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 xml:space="preserve">Alexicon Comments at 12-13; ITTA Comments at 5; TCA Comments at 9-10; USTelecom Comments at 7; Windstream Comments at 2; WTA Comments at 19-20; GVNW Reply at 7-8. </w:t>
      </w:r>
    </w:p>
  </w:footnote>
  <w:footnote w:id="33">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Missouri Comments at 4-5.</w:t>
      </w:r>
    </w:p>
  </w:footnote>
  <w:footnote w:id="34">
    <w:p w:rsidR="001C0B46" w:rsidRPr="00FE1198" w:rsidRDefault="001C0B46" w:rsidP="001C0B46">
      <w:pPr>
        <w:pStyle w:val="FootnoteText"/>
      </w:pPr>
      <w:r w:rsidRPr="00FE1198">
        <w:rPr>
          <w:rStyle w:val="FootnoteReference"/>
        </w:rPr>
        <w:footnoteRef/>
      </w:r>
      <w:r w:rsidRPr="00FE1198">
        <w:t xml:space="preserve"> </w:t>
      </w:r>
      <w:r w:rsidRPr="00FE1198">
        <w:rPr>
          <w:i/>
        </w:rPr>
        <w:t>Rate-of-Return Reform Order</w:t>
      </w:r>
      <w:r w:rsidRPr="00FE1198">
        <w:t>, 31 FCC Rcd at 3168-69, paras. 221-222</w:t>
      </w:r>
    </w:p>
  </w:footnote>
  <w:footnote w:id="35">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Missouri Comments at 1, 5; Michigan Reply at 5-6.</w:t>
      </w:r>
    </w:p>
  </w:footnote>
  <w:footnote w:id="36">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Missouri Comments at 1, 5; Michigan Reply at 5-6.</w:t>
      </w:r>
    </w:p>
  </w:footnote>
  <w:footnote w:id="37">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NTCA Reply at 16-17.</w:t>
      </w:r>
    </w:p>
  </w:footnote>
  <w:footnote w:id="38">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 xml:space="preserve">Alexicon Comments at 12-13; ITTA Comments at 5; NTCA Comments at 42-43; TCA Comments at 10; USTelecom Comments at 8-9; Windstream Comments at 3; WTA Comments at 19-20; GVNW Reply at 7-8.  </w:t>
      </w:r>
      <w:r w:rsidRPr="00FE1198">
        <w:rPr>
          <w:i/>
        </w:rPr>
        <w:t>See also</w:t>
      </w:r>
      <w:r w:rsidRPr="00FE1198">
        <w:t xml:space="preserve"> Letter of James J. Kalil, Executive Committee Member, Small Company Coalition, to Commissioner Michael O’Rielly, WC Docket No. 10-90 (filed June 1, 2015) (urging the Commission to allow data sharing between agencies and eliminate the requirement to send copies of filings to multiple agencies). </w:t>
      </w:r>
    </w:p>
  </w:footnote>
  <w:footnote w:id="39">
    <w:p w:rsidR="001C0B46" w:rsidRPr="00FE1198" w:rsidRDefault="001C0B46" w:rsidP="001C0B46">
      <w:pPr>
        <w:pStyle w:val="FootnoteText"/>
      </w:pPr>
      <w:r w:rsidRPr="00FE1198">
        <w:rPr>
          <w:rStyle w:val="FootnoteReference"/>
        </w:rPr>
        <w:footnoteRef/>
      </w:r>
      <w:r w:rsidRPr="00FE1198">
        <w:t xml:space="preserve"> </w:t>
      </w:r>
      <w:r w:rsidRPr="00FE1198">
        <w:rPr>
          <w:i/>
        </w:rPr>
        <w:t xml:space="preserve">See </w:t>
      </w:r>
      <w:r w:rsidRPr="00FE1198">
        <w:t>USTelecom Comments at 8-9; Windstream Comments at 3; WTA Comments at 19-20; GVNW Reply at 7-8; NTCA Reply 17-19; TCA Reply at 5-6.</w:t>
      </w:r>
    </w:p>
  </w:footnote>
  <w:footnote w:id="40">
    <w:p w:rsidR="001C0B46" w:rsidRPr="00FE1198" w:rsidRDefault="001C0B46" w:rsidP="001C0B46">
      <w:pPr>
        <w:pStyle w:val="FootnoteText"/>
      </w:pPr>
      <w:r w:rsidRPr="00FE1198">
        <w:rPr>
          <w:rStyle w:val="FootnoteReference"/>
        </w:rPr>
        <w:footnoteRef/>
      </w:r>
      <w:r w:rsidRPr="00FE1198">
        <w:t xml:space="preserve"> </w:t>
      </w:r>
      <w:r w:rsidRPr="00FE1198">
        <w:rPr>
          <w:i/>
        </w:rPr>
        <w:t>See Rate-of-Return Reform Order</w:t>
      </w:r>
      <w:r w:rsidRPr="00FE1198">
        <w:t>, 31 FCC Rcd at 3168-69,</w:t>
      </w:r>
      <w:r w:rsidRPr="00FE1198">
        <w:rPr>
          <w:i/>
        </w:rPr>
        <w:t xml:space="preserve"> </w:t>
      </w:r>
      <w:r w:rsidRPr="00FE1198">
        <w:t>para. 222.</w:t>
      </w:r>
    </w:p>
  </w:footnote>
  <w:footnote w:id="41">
    <w:p w:rsidR="001C0B46" w:rsidRPr="000F26AA" w:rsidRDefault="001C0B46" w:rsidP="001C0B46">
      <w:pPr>
        <w:pStyle w:val="FootnoteText"/>
      </w:pPr>
      <w:r w:rsidRPr="00FE1198">
        <w:rPr>
          <w:rStyle w:val="FootnoteReference"/>
        </w:rPr>
        <w:footnoteRef/>
      </w:r>
      <w:r w:rsidRPr="00FE1198">
        <w:t xml:space="preserve"> </w:t>
      </w:r>
      <w:r w:rsidRPr="00FE1198">
        <w:rPr>
          <w:i/>
        </w:rPr>
        <w:t>See id.</w:t>
      </w:r>
      <w:r w:rsidRPr="00FE1198">
        <w:t xml:space="preserve">; </w:t>
      </w:r>
      <w:r w:rsidRPr="00FE1198">
        <w:rPr>
          <w:i/>
          <w:color w:val="000000"/>
        </w:rPr>
        <w:t>Connect America Fund et al.</w:t>
      </w:r>
      <w:r w:rsidRPr="00FE1198">
        <w:rPr>
          <w:color w:val="000000"/>
        </w:rPr>
        <w:t>, Fifth Order on Reconsideration, 2</w:t>
      </w:r>
      <w:r>
        <w:rPr>
          <w:color w:val="000000"/>
        </w:rPr>
        <w:t>7</w:t>
      </w:r>
      <w:r w:rsidRPr="00FE1198">
        <w:rPr>
          <w:color w:val="000000"/>
        </w:rPr>
        <w:t xml:space="preserve"> FCC Rcd 14549, 14554-56, paras. 15-17 (2012)</w:t>
      </w:r>
      <w:r>
        <w:rPr>
          <w:color w:val="000000"/>
        </w:rPr>
        <w:t xml:space="preserve">.  </w:t>
      </w:r>
      <w:r>
        <w:rPr>
          <w:i/>
          <w:color w:val="000000"/>
        </w:rPr>
        <w:t>See also</w:t>
      </w:r>
      <w:r>
        <w:rPr>
          <w:color w:val="000000"/>
        </w:rPr>
        <w:t xml:space="preserve"> 47 CFR § 0.459(a)(4).</w:t>
      </w:r>
    </w:p>
  </w:footnote>
  <w:footnote w:id="42">
    <w:p w:rsidR="001C0B46" w:rsidRPr="00FE1198" w:rsidRDefault="001C0B46" w:rsidP="001C0B46">
      <w:pPr>
        <w:pStyle w:val="FootnoteText"/>
      </w:pPr>
      <w:r w:rsidRPr="00FE1198">
        <w:rPr>
          <w:rStyle w:val="FootnoteReference"/>
        </w:rPr>
        <w:footnoteRef/>
      </w:r>
      <w:r w:rsidRPr="00FE1198">
        <w:t xml:space="preserve"> </w:t>
      </w:r>
      <w:r w:rsidRPr="00FE1198">
        <w:rPr>
          <w:i/>
        </w:rPr>
        <w:t>See, e.g.</w:t>
      </w:r>
      <w:r w:rsidRPr="00FE1198">
        <w:t>, USTelecom Comments at 7-8 (suggesting that the Tribal engagement rule requires “significant revision”); Small Company Coalition Reply Comments at 2 (SCC Reply) (suggesting further consolidation of various certifications and regulatory filings).</w:t>
      </w:r>
    </w:p>
  </w:footnote>
  <w:footnote w:id="43">
    <w:p w:rsidR="001C0B46" w:rsidRPr="00457F26" w:rsidRDefault="001C0B46" w:rsidP="001C0B46">
      <w:pPr>
        <w:pStyle w:val="FootnoteText"/>
      </w:pPr>
      <w:r w:rsidRPr="00FE1198">
        <w:rPr>
          <w:rStyle w:val="FootnoteReference"/>
        </w:rPr>
        <w:footnoteRef/>
      </w:r>
      <w:r w:rsidRPr="00FE1198">
        <w:t xml:space="preserve"> </w:t>
      </w:r>
      <w:r w:rsidRPr="00FE1198">
        <w:rPr>
          <w:i/>
        </w:rPr>
        <w:t xml:space="preserve">See </w:t>
      </w:r>
      <w:r w:rsidRPr="00FE1198">
        <w:t>ITTA Comments at 5 (expressing support for “an ongoing review of whether to streamline and eliminate other requirements that are no longer necessary given action by the Commission or current market conditions”); SCC Reply at 2 (asking “the FCC to conduct an internal review of its various regulatory filings and certifications to determine their efficacy and consider eliminating or streamlining any filing and/or certification that may no longer be relevant or necessary in light of the ever-growing competitive marketplace”).</w:t>
      </w:r>
    </w:p>
  </w:footnote>
  <w:footnote w:id="44">
    <w:p w:rsidR="001C0B46" w:rsidRPr="002C18DE" w:rsidRDefault="001C0B46" w:rsidP="001C0B46">
      <w:pPr>
        <w:pStyle w:val="FootnoteText"/>
      </w:pPr>
      <w:r w:rsidRPr="002C18DE">
        <w:rPr>
          <w:rStyle w:val="FootnoteReference"/>
        </w:rPr>
        <w:footnoteRef/>
      </w:r>
      <w:r w:rsidRPr="002C18DE">
        <w:t xml:space="preserve"> 5 U.S.C. § 603.  The RFA, 5 U.S.C. §§ 601-612, has been amended by the Contract with America Advancement Act of 1996, Pub. L. No. 104-121, 110 Stat. 847 (1996) (CWAAA).  Title II of the CWAAA is the Small Business Regulatory Enforcement Fairness Act of 1996 (SBREFA).</w:t>
      </w:r>
    </w:p>
  </w:footnote>
  <w:footnote w:id="45">
    <w:p w:rsidR="001C0B46" w:rsidRPr="002C18DE" w:rsidRDefault="001C0B46" w:rsidP="001C0B46">
      <w:pPr>
        <w:pStyle w:val="FootnoteText"/>
      </w:pPr>
      <w:r w:rsidRPr="002C18DE">
        <w:rPr>
          <w:rStyle w:val="FootnoteReference"/>
        </w:rPr>
        <w:footnoteRef/>
      </w:r>
      <w:r w:rsidRPr="002C18DE">
        <w:t xml:space="preserve"> </w:t>
      </w:r>
      <w:r w:rsidRPr="002C18DE">
        <w:rPr>
          <w:i/>
        </w:rPr>
        <w:t>See Connect America Fund; ETC Annual Reports and Certifications; Developing a Unified Intercarrier Compensation Regime</w:t>
      </w:r>
      <w:r w:rsidRPr="002C18DE">
        <w:t>, Report and Order, Order and Order on Reconsideration, and Further Notice of Proposed Rulemaking, 31 FCC Rcd 3087, 3257-85 (2016) (</w:t>
      </w:r>
      <w:r w:rsidRPr="002C18DE">
        <w:rPr>
          <w:i/>
        </w:rPr>
        <w:t>Rate-of-Return Reform Order and/or FNPRM</w:t>
      </w:r>
      <w:r w:rsidRPr="002C18DE">
        <w:t>).</w:t>
      </w:r>
    </w:p>
  </w:footnote>
  <w:footnote w:id="46">
    <w:p w:rsidR="001C0B46" w:rsidRPr="002C18DE" w:rsidRDefault="001C0B46" w:rsidP="001C0B46">
      <w:pPr>
        <w:pStyle w:val="FootnoteText"/>
      </w:pPr>
      <w:r w:rsidRPr="002C18DE">
        <w:rPr>
          <w:rStyle w:val="FootnoteReference"/>
        </w:rPr>
        <w:footnoteRef/>
      </w:r>
      <w:r w:rsidRPr="002C18DE">
        <w:t xml:space="preserve"> </w:t>
      </w:r>
      <w:r w:rsidRPr="002C18DE">
        <w:rPr>
          <w:i/>
        </w:rPr>
        <w:t>See</w:t>
      </w:r>
      <w:r w:rsidRPr="002C18DE">
        <w:t xml:space="preserve"> 5 U.S.C. § 604.</w:t>
      </w:r>
    </w:p>
  </w:footnote>
  <w:footnote w:id="47">
    <w:p w:rsidR="001C0B46" w:rsidRPr="002C18DE" w:rsidRDefault="001C0B46" w:rsidP="001C0B46">
      <w:pPr>
        <w:pStyle w:val="FootnoteText"/>
      </w:pPr>
      <w:r w:rsidRPr="002C18DE">
        <w:rPr>
          <w:rStyle w:val="FootnoteReference"/>
        </w:rPr>
        <w:footnoteRef/>
      </w:r>
      <w:r w:rsidRPr="002C18DE">
        <w:t xml:space="preserve"> </w:t>
      </w:r>
      <w:r w:rsidRPr="002C18DE">
        <w:rPr>
          <w:i/>
        </w:rPr>
        <w:t>See Rate-of-Return FNPRM</w:t>
      </w:r>
      <w:r w:rsidRPr="002C18DE">
        <w:t>, 31 FCC Rcd at 3260, para. 15.</w:t>
      </w:r>
    </w:p>
  </w:footnote>
  <w:footnote w:id="48">
    <w:p w:rsidR="001C0B46" w:rsidRPr="002C18DE" w:rsidRDefault="001C0B46" w:rsidP="001C0B46">
      <w:pPr>
        <w:pStyle w:val="FootnoteText"/>
      </w:pPr>
      <w:r w:rsidRPr="002C18DE">
        <w:rPr>
          <w:rStyle w:val="FootnoteReference"/>
        </w:rPr>
        <w:footnoteRef/>
      </w:r>
      <w:r w:rsidRPr="002C18DE">
        <w:t xml:space="preserve"> 5 U.S.C. § 604(a)(3).</w:t>
      </w:r>
    </w:p>
  </w:footnote>
  <w:footnote w:id="49">
    <w:p w:rsidR="001C0B46" w:rsidRPr="002C18DE" w:rsidRDefault="001C0B46" w:rsidP="001C0B46">
      <w:pPr>
        <w:pStyle w:val="FootnoteText"/>
      </w:pPr>
      <w:r w:rsidRPr="002C18DE">
        <w:rPr>
          <w:rStyle w:val="FootnoteReference"/>
        </w:rPr>
        <w:footnoteRef/>
      </w:r>
      <w:r w:rsidRPr="002C18DE">
        <w:t xml:space="preserve"> </w:t>
      </w:r>
      <w:r w:rsidRPr="002C18DE">
        <w:rPr>
          <w:i/>
        </w:rPr>
        <w:t>See</w:t>
      </w:r>
      <w:r w:rsidRPr="002C18DE">
        <w:t xml:space="preserve"> </w:t>
      </w:r>
      <w:r w:rsidRPr="002C18DE">
        <w:rPr>
          <w:i/>
        </w:rPr>
        <w:t>id.</w:t>
      </w:r>
      <w:r w:rsidRPr="002C18DE">
        <w:t xml:space="preserve"> § 603(b)(3).</w:t>
      </w:r>
    </w:p>
  </w:footnote>
  <w:footnote w:id="50">
    <w:p w:rsidR="001C0B46" w:rsidRPr="002C18DE" w:rsidRDefault="001C0B46" w:rsidP="001C0B46">
      <w:pPr>
        <w:pStyle w:val="FootnoteText"/>
      </w:pPr>
      <w:r w:rsidRPr="002C18DE">
        <w:rPr>
          <w:rStyle w:val="FootnoteReference"/>
        </w:rPr>
        <w:footnoteRef/>
      </w:r>
      <w:r w:rsidRPr="002C18DE">
        <w:t xml:space="preserve"> </w:t>
      </w:r>
      <w:r w:rsidRPr="002C18DE">
        <w:rPr>
          <w:i/>
        </w:rPr>
        <w:t>See</w:t>
      </w:r>
      <w:r w:rsidRPr="002C18DE">
        <w:t xml:space="preserve"> </w:t>
      </w:r>
      <w:r w:rsidRPr="002C18DE">
        <w:rPr>
          <w:i/>
        </w:rPr>
        <w:t>id.</w:t>
      </w:r>
      <w:r w:rsidRPr="002C18DE">
        <w:t xml:space="preserve"> § 601(6).</w:t>
      </w:r>
    </w:p>
  </w:footnote>
  <w:footnote w:id="51">
    <w:p w:rsidR="001C0B46" w:rsidRPr="002C18DE" w:rsidRDefault="001C0B46" w:rsidP="001C0B46">
      <w:pPr>
        <w:pStyle w:val="FootnoteText"/>
      </w:pPr>
      <w:r w:rsidRPr="002C18DE">
        <w:rPr>
          <w:rStyle w:val="FootnoteReference"/>
        </w:rPr>
        <w:footnoteRef/>
      </w:r>
      <w:r w:rsidRPr="002C18DE">
        <w:t xml:space="preserve"> </w:t>
      </w:r>
      <w:r w:rsidRPr="002C18DE">
        <w:rPr>
          <w:i/>
        </w:rPr>
        <w:t>See</w:t>
      </w:r>
      <w:r w:rsidRPr="002C18DE">
        <w:t xml:space="preserve"> </w:t>
      </w:r>
      <w:r w:rsidRPr="002C18DE">
        <w:rPr>
          <w:i/>
        </w:rPr>
        <w:t>id.</w:t>
      </w:r>
      <w:r w:rsidRPr="002C18DE">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52">
    <w:p w:rsidR="001C0B46" w:rsidRPr="002C18DE" w:rsidRDefault="001C0B46" w:rsidP="001C0B46">
      <w:pPr>
        <w:pStyle w:val="FootnoteText"/>
      </w:pPr>
      <w:r w:rsidRPr="002C18DE">
        <w:rPr>
          <w:rStyle w:val="FootnoteReference"/>
        </w:rPr>
        <w:footnoteRef/>
      </w:r>
      <w:r w:rsidRPr="002C18DE">
        <w:t xml:space="preserve"> </w:t>
      </w:r>
      <w:r w:rsidRPr="002C18DE">
        <w:rPr>
          <w:i/>
        </w:rPr>
        <w:t>See</w:t>
      </w:r>
      <w:r w:rsidRPr="002C18DE">
        <w:t xml:space="preserve"> </w:t>
      </w:r>
      <w:r w:rsidRPr="002C18DE">
        <w:rPr>
          <w:i/>
        </w:rPr>
        <w:t>id.</w:t>
      </w:r>
      <w:r w:rsidRPr="002C18DE">
        <w:t xml:space="preserve"> § 632.</w:t>
      </w:r>
    </w:p>
  </w:footnote>
  <w:footnote w:id="53">
    <w:p w:rsidR="00D84721" w:rsidRPr="00B873AD" w:rsidRDefault="00D84721" w:rsidP="00D84721">
      <w:pPr>
        <w:pStyle w:val="FootnoteText"/>
      </w:pPr>
      <w:r w:rsidRPr="00B873AD">
        <w:rPr>
          <w:rStyle w:val="FootnoteReference"/>
        </w:rPr>
        <w:footnoteRef/>
      </w:r>
      <w:r w:rsidRPr="00B873AD">
        <w:t xml:space="preserve"> </w:t>
      </w:r>
      <w:r w:rsidRPr="00B873AD">
        <w:rPr>
          <w:i/>
        </w:rPr>
        <w:t>See</w:t>
      </w:r>
      <w:r w:rsidRPr="00B873AD">
        <w:t xml:space="preserve"> 5 U.S.C. § 601(3)-(6).</w:t>
      </w:r>
    </w:p>
  </w:footnote>
  <w:footnote w:id="54">
    <w:p w:rsidR="00D84721" w:rsidRPr="00B873AD" w:rsidRDefault="00D84721" w:rsidP="00D84721">
      <w:pPr>
        <w:pStyle w:val="FootnoteText"/>
      </w:pPr>
      <w:r w:rsidRPr="00B873AD">
        <w:rPr>
          <w:rStyle w:val="FootnoteReference"/>
        </w:rPr>
        <w:footnoteRef/>
      </w:r>
      <w:r w:rsidRPr="00B873AD">
        <w:t xml:space="preserve"> </w:t>
      </w:r>
      <w:r w:rsidRPr="00B873AD">
        <w:rPr>
          <w:i/>
        </w:rPr>
        <w:t>See</w:t>
      </w:r>
      <w:r w:rsidRPr="00B873AD">
        <w:t xml:space="preserve"> SBA, Office of Advocacy, “Frequently Asked Questions, Question 1 – What is a small business?” </w:t>
      </w:r>
      <w:hyperlink r:id="rId1" w:history="1">
        <w:r w:rsidRPr="00B873AD">
          <w:rPr>
            <w:rStyle w:val="Hyperlink"/>
          </w:rPr>
          <w:t>https://www.sba.gov/sites/default/files/advocacy/SB-FAQ-2016_WEB.pdf</w:t>
        </w:r>
      </w:hyperlink>
      <w:r w:rsidRPr="00B873AD">
        <w:t xml:space="preserve"> (June 2016)</w:t>
      </w:r>
    </w:p>
  </w:footnote>
  <w:footnote w:id="55">
    <w:p w:rsidR="00D84721" w:rsidRPr="00B873AD" w:rsidRDefault="00D84721" w:rsidP="00D84721">
      <w:pPr>
        <w:pStyle w:val="FootnoteText"/>
      </w:pPr>
      <w:r w:rsidRPr="00B873AD">
        <w:rPr>
          <w:rStyle w:val="FootnoteReference"/>
        </w:rPr>
        <w:footnoteRef/>
      </w:r>
      <w:r w:rsidRPr="00B873AD">
        <w:t xml:space="preserve"> </w:t>
      </w:r>
      <w:r w:rsidRPr="00B873AD">
        <w:rPr>
          <w:i/>
        </w:rPr>
        <w:t>See</w:t>
      </w:r>
      <w:r w:rsidRPr="00B873AD">
        <w:t xml:space="preserve"> SBA, Office of Advocacy, “Frequently Asked Questions, Question 2- How many small business are there in the U.S.?” </w:t>
      </w:r>
      <w:hyperlink r:id="rId2" w:history="1">
        <w:r w:rsidRPr="00B873AD">
          <w:rPr>
            <w:rStyle w:val="Hyperlink"/>
          </w:rPr>
          <w:t>https://www.sba.gov/sites/default/files/advocacy/SB-FAQ-2016_WEB.pdf</w:t>
        </w:r>
      </w:hyperlink>
      <w:r w:rsidRPr="00B873AD">
        <w:t xml:space="preserve"> (June 2016).</w:t>
      </w:r>
    </w:p>
  </w:footnote>
  <w:footnote w:id="56">
    <w:p w:rsidR="00D84721" w:rsidRPr="00B873AD" w:rsidRDefault="00D84721" w:rsidP="00D84721">
      <w:pPr>
        <w:pStyle w:val="FootnoteText"/>
      </w:pPr>
      <w:r w:rsidRPr="00B873AD">
        <w:rPr>
          <w:rStyle w:val="FootnoteReference"/>
        </w:rPr>
        <w:footnoteRef/>
      </w:r>
      <w:r w:rsidRPr="00B873AD">
        <w:t xml:space="preserve"> </w:t>
      </w:r>
      <w:r w:rsidRPr="00B873AD">
        <w:rPr>
          <w:spacing w:val="-2"/>
        </w:rPr>
        <w:t>5 U.S.C.</w:t>
      </w:r>
      <w:r w:rsidRPr="00B873AD">
        <w:t xml:space="preserve"> § 601(4).</w:t>
      </w:r>
    </w:p>
  </w:footnote>
  <w:footnote w:id="57">
    <w:p w:rsidR="00D84721" w:rsidRPr="00B873AD" w:rsidRDefault="00D84721" w:rsidP="00D84721">
      <w:pPr>
        <w:pStyle w:val="FootnoteText"/>
      </w:pPr>
      <w:r w:rsidRPr="00B873AD">
        <w:rPr>
          <w:rStyle w:val="FootnoteReference"/>
        </w:rPr>
        <w:footnoteRef/>
      </w:r>
      <w:r w:rsidRPr="00B873AD">
        <w:t xml:space="preserve"> </w:t>
      </w:r>
      <w:r w:rsidRPr="00B873AD">
        <w:rPr>
          <w:smallCaps/>
          <w:color w:val="000000"/>
        </w:rPr>
        <w:t>Independent Sector</w:t>
      </w:r>
      <w:r w:rsidRPr="00B873AD">
        <w:rPr>
          <w:color w:val="000000"/>
        </w:rPr>
        <w:t xml:space="preserve">, </w:t>
      </w:r>
      <w:r w:rsidRPr="00B873AD">
        <w:rPr>
          <w:smallCaps/>
          <w:color w:val="000000"/>
        </w:rPr>
        <w:t>The New Nonprofit Almanac &amp; Desk Reference</w:t>
      </w:r>
      <w:r w:rsidRPr="00B873AD">
        <w:rPr>
          <w:color w:val="000000"/>
        </w:rPr>
        <w:t xml:space="preserve"> (2010).</w:t>
      </w:r>
    </w:p>
  </w:footnote>
  <w:footnote w:id="58">
    <w:p w:rsidR="00D84721" w:rsidRPr="00B873AD" w:rsidRDefault="00D84721" w:rsidP="00D84721">
      <w:pPr>
        <w:pStyle w:val="FootnoteText"/>
      </w:pPr>
      <w:r w:rsidRPr="00B873AD">
        <w:rPr>
          <w:rStyle w:val="FootnoteReference"/>
          <w:spacing w:val="-2"/>
        </w:rPr>
        <w:footnoteRef/>
      </w:r>
      <w:r w:rsidRPr="00B873AD">
        <w:t xml:space="preserve"> 5 U.S.C. § 601(5).</w:t>
      </w:r>
    </w:p>
  </w:footnote>
  <w:footnote w:id="59">
    <w:p w:rsidR="00D84721" w:rsidRPr="00B873AD" w:rsidRDefault="00D84721" w:rsidP="00D84721">
      <w:pPr>
        <w:pStyle w:val="FootnoteText"/>
      </w:pPr>
      <w:r w:rsidRPr="00B873AD">
        <w:rPr>
          <w:rStyle w:val="FootnoteReference"/>
          <w:spacing w:val="-2"/>
        </w:rPr>
        <w:footnoteRef/>
      </w:r>
      <w:r w:rsidRPr="00B873AD">
        <w:t xml:space="preserve"> U.S. Census Bureau, Statistical Abstract of the United States: 2012 at 267, Table 428 (2011), </w:t>
      </w:r>
      <w:hyperlink r:id="rId3" w:history="1">
        <w:r w:rsidRPr="00B873AD">
          <w:rPr>
            <w:rStyle w:val="Hyperlink"/>
          </w:rPr>
          <w:t>http://www2.census.gov/library/publications/2011/compendia/statab/131ed/2012-statab.pdf</w:t>
        </w:r>
      </w:hyperlink>
      <w:r w:rsidRPr="00B873AD">
        <w:t xml:space="preserve">  (citing data from 2007). </w:t>
      </w:r>
    </w:p>
  </w:footnote>
  <w:footnote w:id="60">
    <w:p w:rsidR="00D84721" w:rsidRPr="00B873AD" w:rsidRDefault="00D84721" w:rsidP="00D84721">
      <w:pPr>
        <w:pStyle w:val="FootnoteText"/>
      </w:pPr>
      <w:r w:rsidRPr="00B873AD">
        <w:rPr>
          <w:rStyle w:val="FootnoteReference"/>
        </w:rPr>
        <w:footnoteRef/>
      </w:r>
      <w:r w:rsidRPr="00B873AD">
        <w:t xml:space="preserve"> The 2012 U.S. Census Bureau data for small governmental organizations are not presented based on the size of the population in each organization.  There were </w:t>
      </w:r>
      <w:r w:rsidRPr="00B873AD">
        <w:rPr>
          <w:color w:val="000000"/>
        </w:rPr>
        <w:t>89,476</w:t>
      </w:r>
      <w:r w:rsidRPr="00B873AD">
        <w:t xml:space="preserve"> local governmental organizations in the Census Bureau data for 2012, which is based on 2007 data.  As a basis of estimating how many of these 89,476 local government organizations were small, we note that there were a total of 715 cities and towns (incorporated places and minor civil divisions) with populations over 50,000 in 2011.  </w:t>
      </w:r>
      <w:r w:rsidRPr="00B873AD">
        <w:rPr>
          <w:i/>
        </w:rPr>
        <w:t xml:space="preserve">See </w:t>
      </w:r>
      <w:r w:rsidRPr="00B873AD">
        <w:t xml:space="preserve">U.S. Census Bureau, City and Town Totals Vintage: 2011, </w:t>
      </w:r>
      <w:hyperlink r:id="rId4" w:history="1">
        <w:r w:rsidRPr="00B873AD">
          <w:rPr>
            <w:rStyle w:val="Hyperlink"/>
          </w:rPr>
          <w:t>http://www.census.gov/popest/data/cities/totals/2011/index.html</w:t>
        </w:r>
      </w:hyperlink>
      <w:r w:rsidRPr="00B873AD">
        <w:t xml:space="preserve">.  If we subtract the 715 cities and towns that meet or exceed the 50,000 population threshold, we conclude that approximately 88,761 are small.  </w:t>
      </w:r>
    </w:p>
  </w:footnote>
  <w:footnote w:id="61">
    <w:p w:rsidR="001C0B46" w:rsidRPr="002C18DE" w:rsidRDefault="001C0B46" w:rsidP="001C0B46">
      <w:pPr>
        <w:pStyle w:val="FootnoteText"/>
      </w:pPr>
      <w:r w:rsidRPr="002C18DE">
        <w:rPr>
          <w:rStyle w:val="FootnoteReference"/>
        </w:rPr>
        <w:footnoteRef/>
      </w:r>
      <w:r w:rsidRPr="002C18DE">
        <w:t xml:space="preserve"> U.S. Census Bureau, 2012 NAICS Definitions, “517110 Wired Telecommunications Carriers,” </w:t>
      </w:r>
      <w:hyperlink r:id="rId5" w:history="1">
        <w:r w:rsidRPr="002C18DE">
          <w:rPr>
            <w:rStyle w:val="Hyperlink"/>
          </w:rPr>
          <w:t>http://www.census.gov/cgi-bin/sssd/naics/naicsrch?code=517110&amp;search=2012%20NAICS%20Search</w:t>
        </w:r>
      </w:hyperlink>
      <w:r w:rsidRPr="002C18DE">
        <w:t xml:space="preserve">. </w:t>
      </w:r>
    </w:p>
  </w:footnote>
  <w:footnote w:id="62">
    <w:p w:rsidR="001C0B46" w:rsidRPr="002C18DE" w:rsidRDefault="001C0B46" w:rsidP="001C0B46">
      <w:pPr>
        <w:pStyle w:val="FootnoteText"/>
      </w:pPr>
      <w:r w:rsidRPr="002C18DE">
        <w:rPr>
          <w:rStyle w:val="FootnoteReference"/>
        </w:rPr>
        <w:footnoteRef/>
      </w:r>
      <w:r w:rsidRPr="002C18DE">
        <w:t xml:space="preserve"> 13 CFR § 121.201, NAICS code 517110.</w:t>
      </w:r>
    </w:p>
  </w:footnote>
  <w:footnote w:id="63">
    <w:p w:rsidR="001C0B46" w:rsidRPr="002C18DE" w:rsidRDefault="001C0B46" w:rsidP="001C0B46">
      <w:pPr>
        <w:pStyle w:val="FootnoteText"/>
      </w:pPr>
      <w:r w:rsidRPr="002C18DE">
        <w:rPr>
          <w:rStyle w:val="FootnoteReference"/>
        </w:rPr>
        <w:footnoteRef/>
      </w:r>
      <w:r w:rsidRPr="002C18DE">
        <w:t xml:space="preserve"> U.S. Census Bureau, 2012 NAICS Definitions, “517919 All Other Telecommunications,”, </w:t>
      </w:r>
      <w:hyperlink r:id="rId6" w:history="1">
        <w:r w:rsidRPr="002C18DE">
          <w:rPr>
            <w:rStyle w:val="Hyperlink"/>
          </w:rPr>
          <w:t>http://www.census.gov/cgi-bin/sssd/naics/naicsrch?code=517919&amp;search=2012%20NAICS%20Search</w:t>
        </w:r>
      </w:hyperlink>
      <w:r w:rsidRPr="002C18DE">
        <w:t>.</w:t>
      </w:r>
    </w:p>
  </w:footnote>
  <w:footnote w:id="64">
    <w:p w:rsidR="001C0B46" w:rsidRPr="002C18DE" w:rsidRDefault="001C0B46" w:rsidP="001C0B46">
      <w:pPr>
        <w:pStyle w:val="FootnoteText"/>
      </w:pPr>
      <w:r w:rsidRPr="002C18DE">
        <w:rPr>
          <w:rStyle w:val="FootnoteReference"/>
        </w:rPr>
        <w:footnoteRef/>
      </w:r>
      <w:r w:rsidRPr="002C18DE">
        <w:t xml:space="preserve"> 13 CFR § 121.201, NAICS code 517919.</w:t>
      </w:r>
    </w:p>
  </w:footnote>
  <w:footnote w:id="65">
    <w:p w:rsidR="001C0B46" w:rsidRPr="002C18DE" w:rsidRDefault="001C0B46" w:rsidP="001C0B46">
      <w:pPr>
        <w:pStyle w:val="FootnoteText"/>
        <w:rPr>
          <w:color w:val="0000FF"/>
          <w:u w:val="single"/>
        </w:rPr>
      </w:pPr>
      <w:r w:rsidRPr="002C18DE">
        <w:rPr>
          <w:rStyle w:val="FootnoteReference"/>
        </w:rPr>
        <w:footnoteRef/>
      </w:r>
      <w:hyperlink r:id="rId7" w:history="1">
        <w:r w:rsidRPr="002C18DE">
          <w:rPr>
            <w:rStyle w:val="Hyperlink"/>
          </w:rPr>
          <w:t>http://factfinder.census.gov/faces/tableservices/jsf/pages/productview.xhtml?pid=ECN_2012_US_51SSSZ2&amp;prodType=table</w:t>
        </w:r>
      </w:hyperlink>
      <w:r w:rsidRPr="002C18DE">
        <w:t>.</w:t>
      </w:r>
    </w:p>
  </w:footnote>
  <w:footnote w:id="66">
    <w:p w:rsidR="001C0B46" w:rsidRPr="002C18DE" w:rsidRDefault="001C0B46" w:rsidP="001C0B46">
      <w:pPr>
        <w:pStyle w:val="FootnoteText"/>
        <w:rPr>
          <w:rStyle w:val="Hyperlink"/>
        </w:rPr>
      </w:pPr>
      <w:r w:rsidRPr="002C18DE">
        <w:rPr>
          <w:rStyle w:val="FootnoteReference"/>
        </w:rPr>
        <w:footnoteRef/>
      </w:r>
      <w:r w:rsidRPr="002C18DE">
        <w:t xml:space="preserve"> </w:t>
      </w:r>
      <w:r w:rsidRPr="002C18DE">
        <w:fldChar w:fldCharType="begin"/>
      </w:r>
      <w:r w:rsidR="002A6A84">
        <w:instrText>HYPERLINK "http://factfinder.census.gov/faces/tableservices/jsf/pages/productview.xhtml?pid=ECN_2012_US_51SSSZ4&amp;prodType=table"</w:instrText>
      </w:r>
      <w:r w:rsidRPr="002C18DE">
        <w:fldChar w:fldCharType="separate"/>
      </w:r>
      <w:r w:rsidRPr="002C18DE">
        <w:rPr>
          <w:rStyle w:val="Hyperlink"/>
        </w:rPr>
        <w:t>http://factfinder.census.gov/faces/tableservices/jsf/pages/productview.xhtml?</w:t>
      </w:r>
    </w:p>
    <w:p w:rsidR="001C0B46" w:rsidRPr="002C18DE" w:rsidRDefault="001C0B46" w:rsidP="001C0B46">
      <w:pPr>
        <w:pStyle w:val="FootnoteText"/>
      </w:pPr>
      <w:r w:rsidRPr="002C18DE">
        <w:rPr>
          <w:rStyle w:val="Hyperlink"/>
        </w:rPr>
        <w:t>pid=ECN_2012_US_51SSSZ4&amp;prodType=table</w:t>
      </w:r>
      <w:r w:rsidRPr="002C18DE">
        <w:fldChar w:fldCharType="end"/>
      </w:r>
      <w:r w:rsidRPr="002C18DE">
        <w:t>.</w:t>
      </w:r>
    </w:p>
  </w:footnote>
  <w:footnote w:id="67">
    <w:p w:rsidR="001C0B46" w:rsidRPr="002C18DE" w:rsidRDefault="001C0B46" w:rsidP="001C0B46">
      <w:pPr>
        <w:pStyle w:val="FootnoteText"/>
      </w:pPr>
      <w:r w:rsidRPr="002C18DE">
        <w:rPr>
          <w:rStyle w:val="FootnoteReference"/>
        </w:rPr>
        <w:footnoteRef/>
      </w:r>
      <w:r w:rsidRPr="002C18DE">
        <w:t xml:space="preserve"> </w:t>
      </w:r>
      <w:hyperlink r:id="rId8" w:history="1">
        <w:r w:rsidRPr="002C18DE">
          <w:rPr>
            <w:rStyle w:val="Hyperlink"/>
          </w:rPr>
          <w:t>http://www.census.gov/cgi-bin/sssd/naics/naicsrch</w:t>
        </w:r>
      </w:hyperlink>
      <w:r w:rsidRPr="002C18DE">
        <w:t>.</w:t>
      </w:r>
    </w:p>
  </w:footnote>
  <w:footnote w:id="68">
    <w:p w:rsidR="001C0B46" w:rsidRPr="002C18DE" w:rsidRDefault="001C0B46" w:rsidP="001C0B46">
      <w:pPr>
        <w:pStyle w:val="FootnoteText"/>
      </w:pPr>
      <w:r w:rsidRPr="002C18DE">
        <w:rPr>
          <w:rStyle w:val="FootnoteReference"/>
        </w:rPr>
        <w:footnoteRef/>
      </w:r>
      <w:r w:rsidRPr="002C18DE">
        <w:t xml:space="preserve"> </w:t>
      </w:r>
      <w:r w:rsidRPr="002C18DE">
        <w:rPr>
          <w:i/>
        </w:rPr>
        <w:t>See</w:t>
      </w:r>
      <w:r w:rsidRPr="002C18DE">
        <w:t xml:space="preserve"> 13 CFR </w:t>
      </w:r>
      <w:r w:rsidRPr="002C18DE">
        <w:rPr>
          <w:rStyle w:val="Footnote"/>
        </w:rPr>
        <w:t>§</w:t>
      </w:r>
      <w:r w:rsidRPr="002C18DE">
        <w:t xml:space="preserve"> 120.201, NAICS Code 517110.</w:t>
      </w:r>
    </w:p>
  </w:footnote>
  <w:footnote w:id="69">
    <w:p w:rsidR="001C0B46" w:rsidRPr="002C18DE" w:rsidRDefault="001C0B46" w:rsidP="001C0B46">
      <w:pPr>
        <w:pStyle w:val="FootnoteText"/>
        <w:rPr>
          <w:color w:val="0000FF"/>
          <w:u w:val="single"/>
        </w:rPr>
      </w:pPr>
      <w:r w:rsidRPr="002C18DE">
        <w:rPr>
          <w:rStyle w:val="FootnoteReference"/>
        </w:rPr>
        <w:footnoteRef/>
      </w:r>
      <w:hyperlink r:id="rId9" w:history="1">
        <w:r w:rsidRPr="002C18DE">
          <w:rPr>
            <w:rStyle w:val="Hyperlink"/>
          </w:rPr>
          <w:t>http://factfinder.census.gov/faces/tableservices/jsf/pages/productview.xhtml?pid=ECN_2012_US_51SSSZ2&amp;prodType=table</w:t>
        </w:r>
      </w:hyperlink>
      <w:r w:rsidRPr="002C18DE">
        <w:t>.</w:t>
      </w:r>
    </w:p>
  </w:footnote>
  <w:footnote w:id="70">
    <w:p w:rsidR="001C0B46" w:rsidRPr="002C18DE" w:rsidRDefault="001C0B46" w:rsidP="001C0B46">
      <w:pPr>
        <w:pStyle w:val="FootnoteText"/>
      </w:pPr>
      <w:r w:rsidRPr="002C18DE">
        <w:rPr>
          <w:rStyle w:val="FootnoteReference"/>
        </w:rPr>
        <w:footnoteRef/>
      </w:r>
      <w:r w:rsidRPr="002C18DE">
        <w:t xml:space="preserve"> </w:t>
      </w:r>
      <w:r w:rsidRPr="002C18DE">
        <w:rPr>
          <w:rStyle w:val="Footnote"/>
        </w:rPr>
        <w:t>13 CFR § 121.201, NAICS code 517110.</w:t>
      </w:r>
    </w:p>
  </w:footnote>
  <w:footnote w:id="71">
    <w:p w:rsidR="001C0B46" w:rsidRPr="002C18DE" w:rsidRDefault="001C0B46" w:rsidP="001C0B46">
      <w:pPr>
        <w:pStyle w:val="FootnoteText"/>
        <w:rPr>
          <w:color w:val="0000FF"/>
          <w:u w:val="single"/>
        </w:rPr>
      </w:pPr>
      <w:r w:rsidRPr="002C18DE">
        <w:rPr>
          <w:rStyle w:val="FootnoteReference"/>
        </w:rPr>
        <w:footnoteRef/>
      </w:r>
      <w:hyperlink r:id="rId10" w:history="1">
        <w:r w:rsidRPr="002C18DE">
          <w:rPr>
            <w:rStyle w:val="Hyperlink"/>
          </w:rPr>
          <w:t>http://factfinder.census.gov/faces/tableservices/jsf/pages/productview.xhtml?pid=ECN_2012_US_51SSSZ5&amp;prodType=table</w:t>
        </w:r>
      </w:hyperlink>
      <w:r w:rsidRPr="002C18DE">
        <w:t>.</w:t>
      </w:r>
    </w:p>
  </w:footnote>
  <w:footnote w:id="72">
    <w:p w:rsidR="001C0B46" w:rsidRPr="002C18DE" w:rsidRDefault="001C0B46" w:rsidP="001C0B46">
      <w:pPr>
        <w:pStyle w:val="FootnoteText"/>
      </w:pPr>
      <w:r w:rsidRPr="002C18DE">
        <w:rPr>
          <w:rStyle w:val="FootnoteReference"/>
        </w:rPr>
        <w:footnoteRef/>
      </w:r>
      <w:r w:rsidRPr="002C18DE">
        <w:t xml:space="preserve"> </w:t>
      </w:r>
      <w:r w:rsidRPr="002C18DE">
        <w:rPr>
          <w:rStyle w:val="Footnote"/>
        </w:rPr>
        <w:t>13 CFR § 121.201, NAICS code 517110.</w:t>
      </w:r>
    </w:p>
  </w:footnote>
  <w:footnote w:id="73">
    <w:p w:rsidR="001C0B46" w:rsidRPr="002C18DE" w:rsidRDefault="001C0B46" w:rsidP="001C0B46">
      <w:pPr>
        <w:pStyle w:val="FootnoteText"/>
        <w:rPr>
          <w:color w:val="0000FF"/>
          <w:u w:val="single"/>
        </w:rPr>
      </w:pPr>
      <w:r w:rsidRPr="002C18DE">
        <w:rPr>
          <w:rStyle w:val="FootnoteReference"/>
        </w:rPr>
        <w:footnoteRef/>
      </w:r>
      <w:hyperlink r:id="rId11" w:history="1">
        <w:r w:rsidRPr="002C18DE">
          <w:rPr>
            <w:rStyle w:val="Hyperlink"/>
          </w:rPr>
          <w:t>http://factfinder.census.gov/faces/tableservices/jsf/pages/productview.xhtml?pid=ECN_2012_US_51SSSZ5&amp;prodType=table</w:t>
        </w:r>
      </w:hyperlink>
      <w:r w:rsidRPr="002C18DE">
        <w:t>.</w:t>
      </w:r>
    </w:p>
  </w:footnote>
  <w:footnote w:id="74">
    <w:p w:rsidR="001C0B46" w:rsidRPr="002C18DE" w:rsidRDefault="001C0B46" w:rsidP="001C0B46">
      <w:pPr>
        <w:pStyle w:val="FootnoteText"/>
      </w:pPr>
      <w:r w:rsidRPr="002C18DE">
        <w:rPr>
          <w:rStyle w:val="FootnoteReference"/>
        </w:rPr>
        <w:footnoteRef/>
      </w:r>
      <w:r w:rsidRPr="002C18DE">
        <w:t xml:space="preserve"> </w:t>
      </w:r>
      <w:r w:rsidRPr="002C18DE">
        <w:rPr>
          <w:i/>
        </w:rPr>
        <w:t>See Trends in Telephone Service</w:t>
      </w:r>
      <w:r w:rsidRPr="002C18DE">
        <w:t>, Federal Communications Commission, Wireline Competition Bureau, Industry Analysis and Technology Division at Table 5.3 (Sept. 2010) (</w:t>
      </w:r>
      <w:r w:rsidRPr="002C18DE">
        <w:rPr>
          <w:i/>
        </w:rPr>
        <w:t>Trends in Telephone Service</w:t>
      </w:r>
      <w:r w:rsidRPr="002C18DE">
        <w:t>).</w:t>
      </w:r>
    </w:p>
  </w:footnote>
  <w:footnote w:id="75">
    <w:p w:rsidR="001C0B46" w:rsidRPr="002C18DE" w:rsidRDefault="001C0B46" w:rsidP="001C0B46">
      <w:pPr>
        <w:pStyle w:val="FootnoteText"/>
      </w:pPr>
      <w:r w:rsidRPr="002C18DE">
        <w:rPr>
          <w:rStyle w:val="FootnoteReference"/>
        </w:rPr>
        <w:footnoteRef/>
      </w:r>
      <w:r w:rsidRPr="002C18DE">
        <w:t xml:space="preserve"> </w:t>
      </w:r>
      <w:r w:rsidRPr="002C18DE">
        <w:rPr>
          <w:i/>
        </w:rPr>
        <w:t>Id.</w:t>
      </w:r>
    </w:p>
  </w:footnote>
  <w:footnote w:id="76">
    <w:p w:rsidR="001C0B46" w:rsidRPr="002C18DE" w:rsidRDefault="001C0B46" w:rsidP="001C0B46">
      <w:pPr>
        <w:pStyle w:val="FootnoteText"/>
        <w:rPr>
          <w:rStyle w:val="Hyperlink"/>
        </w:rPr>
      </w:pPr>
      <w:r w:rsidRPr="002C18DE">
        <w:rPr>
          <w:rStyle w:val="FootnoteReference"/>
        </w:rPr>
        <w:footnoteRef/>
      </w:r>
      <w:r w:rsidRPr="002C18DE">
        <w:t xml:space="preserve"> </w:t>
      </w:r>
      <w:r w:rsidRPr="002C18DE">
        <w:fldChar w:fldCharType="begin"/>
      </w:r>
      <w:r w:rsidR="002A6A84">
        <w:instrText>HYPERLINK "http://factfinder.census.gov/faces/tableservices/jsf/pages/productview.xhtml?pid=ECN_2012_US_51SSSZ5&amp;prodType=table"</w:instrText>
      </w:r>
      <w:r w:rsidRPr="002C18DE">
        <w:fldChar w:fldCharType="separate"/>
      </w:r>
      <w:r w:rsidRPr="002C18DE">
        <w:rPr>
          <w:rStyle w:val="Hyperlink"/>
        </w:rPr>
        <w:t>http://factfinder.census.gov/faces/tableservices/jsf/pages/productview.xhtml?</w:t>
      </w:r>
    </w:p>
    <w:p w:rsidR="001C0B46" w:rsidRPr="002C18DE" w:rsidRDefault="001C0B46" w:rsidP="001C0B46">
      <w:pPr>
        <w:pStyle w:val="FootnoteText"/>
      </w:pPr>
      <w:r w:rsidRPr="002C18DE">
        <w:rPr>
          <w:rStyle w:val="Hyperlink"/>
        </w:rPr>
        <w:t>pid=ECN_2012_US_51SSSZ5&amp;prodType=table</w:t>
      </w:r>
      <w:r w:rsidRPr="002C18DE">
        <w:fldChar w:fldCharType="end"/>
      </w:r>
      <w:r w:rsidRPr="002C18DE">
        <w:t>.</w:t>
      </w:r>
    </w:p>
  </w:footnote>
  <w:footnote w:id="77">
    <w:p w:rsidR="001C0B46" w:rsidRPr="002C18DE" w:rsidRDefault="001C0B46" w:rsidP="001C0B46">
      <w:pPr>
        <w:pStyle w:val="FootnoteText"/>
      </w:pPr>
      <w:r w:rsidRPr="002C18DE">
        <w:rPr>
          <w:rStyle w:val="FootnoteReference"/>
        </w:rPr>
        <w:footnoteRef/>
      </w:r>
      <w:r w:rsidRPr="002C18DE">
        <w:t xml:space="preserve"> </w:t>
      </w:r>
      <w:r w:rsidRPr="002C18DE">
        <w:rPr>
          <w:i/>
        </w:rPr>
        <w:t>See Trends in Telephone Service,</w:t>
      </w:r>
      <w:r w:rsidRPr="002C18DE">
        <w:t xml:space="preserve"> at tbl. 5.3.</w:t>
      </w:r>
    </w:p>
  </w:footnote>
  <w:footnote w:id="78">
    <w:p w:rsidR="001C0B46" w:rsidRPr="002C18DE" w:rsidRDefault="001C0B46" w:rsidP="001C0B46">
      <w:pPr>
        <w:pStyle w:val="FootnoteText"/>
      </w:pPr>
      <w:r w:rsidRPr="002C18DE">
        <w:rPr>
          <w:rStyle w:val="FootnoteReference"/>
        </w:rPr>
        <w:footnoteRef/>
      </w:r>
      <w:r w:rsidRPr="002C18DE">
        <w:t xml:space="preserve"> </w:t>
      </w:r>
      <w:r w:rsidRPr="002C18DE">
        <w:rPr>
          <w:i/>
        </w:rPr>
        <w:t>Id.</w:t>
      </w:r>
    </w:p>
  </w:footnote>
  <w:footnote w:id="79">
    <w:p w:rsidR="001C0B46" w:rsidRPr="002C18DE" w:rsidRDefault="001C0B46" w:rsidP="001C0B46">
      <w:pPr>
        <w:pStyle w:val="FootnoteText"/>
      </w:pPr>
      <w:r w:rsidRPr="002C18DE">
        <w:rPr>
          <w:rStyle w:val="FootnoteReference"/>
        </w:rPr>
        <w:footnoteRef/>
      </w:r>
      <w:r w:rsidRPr="002C18DE">
        <w:t xml:space="preserve"> </w:t>
      </w:r>
      <w:r w:rsidRPr="002C18DE">
        <w:rPr>
          <w:i/>
        </w:rPr>
        <w:t>Id.</w:t>
      </w:r>
    </w:p>
  </w:footnote>
  <w:footnote w:id="80">
    <w:p w:rsidR="001C0B46" w:rsidRPr="002C18DE" w:rsidRDefault="001C0B46" w:rsidP="001C0B46">
      <w:pPr>
        <w:pStyle w:val="FootnoteText"/>
      </w:pPr>
      <w:r w:rsidRPr="002C18DE">
        <w:rPr>
          <w:rStyle w:val="FootnoteReference"/>
        </w:rPr>
        <w:footnoteRef/>
      </w:r>
      <w:r w:rsidRPr="002C18DE">
        <w:t xml:space="preserve"> </w:t>
      </w:r>
      <w:r w:rsidRPr="002C18DE">
        <w:rPr>
          <w:i/>
        </w:rPr>
        <w:t>Id.</w:t>
      </w:r>
    </w:p>
  </w:footnote>
  <w:footnote w:id="81">
    <w:p w:rsidR="001C0B46" w:rsidRPr="002C18DE" w:rsidRDefault="001C0B46" w:rsidP="001C0B46">
      <w:pPr>
        <w:pStyle w:val="FootnoteText"/>
      </w:pPr>
      <w:r w:rsidRPr="002C18DE">
        <w:rPr>
          <w:rStyle w:val="FootnoteReference"/>
        </w:rPr>
        <w:footnoteRef/>
      </w:r>
      <w:r w:rsidRPr="002C18DE">
        <w:t xml:space="preserve"> </w:t>
      </w:r>
      <w:r w:rsidRPr="002C18DE">
        <w:rPr>
          <w:color w:val="000000"/>
        </w:rPr>
        <w:t>13 CFR § 121.201, NAICS code 517110.</w:t>
      </w:r>
    </w:p>
  </w:footnote>
  <w:footnote w:id="82">
    <w:p w:rsidR="001C0B46" w:rsidRPr="002C18DE" w:rsidRDefault="001C0B46" w:rsidP="001C0B46">
      <w:pPr>
        <w:pStyle w:val="FootnoteText"/>
      </w:pPr>
      <w:r w:rsidRPr="002C18DE">
        <w:rPr>
          <w:rStyle w:val="FootnoteReference"/>
        </w:rPr>
        <w:footnoteRef/>
      </w:r>
      <w:r w:rsidRPr="002C18DE">
        <w:t xml:space="preserve"> </w:t>
      </w:r>
      <w:r w:rsidRPr="002C18DE">
        <w:rPr>
          <w:i/>
        </w:rPr>
        <w:t>See Trends in Telephone Service,</w:t>
      </w:r>
      <w:r w:rsidRPr="002C18DE">
        <w:t xml:space="preserve"> at tbl. 5.3.</w:t>
      </w:r>
    </w:p>
  </w:footnote>
  <w:footnote w:id="83">
    <w:p w:rsidR="001C0B46" w:rsidRPr="002C18DE" w:rsidRDefault="001C0B46" w:rsidP="001C0B46">
      <w:pPr>
        <w:pStyle w:val="FootnoteText"/>
      </w:pPr>
      <w:r w:rsidRPr="002C18DE">
        <w:rPr>
          <w:rStyle w:val="FootnoteReference"/>
        </w:rPr>
        <w:footnoteRef/>
      </w:r>
      <w:r w:rsidRPr="002C18DE">
        <w:t xml:space="preserve"> </w:t>
      </w:r>
      <w:r w:rsidRPr="002C18DE">
        <w:rPr>
          <w:i/>
        </w:rPr>
        <w:t>Id.</w:t>
      </w:r>
    </w:p>
  </w:footnote>
  <w:footnote w:id="84">
    <w:p w:rsidR="001C0B46" w:rsidRPr="002C18DE" w:rsidRDefault="001C0B46" w:rsidP="001C0B46">
      <w:pPr>
        <w:pStyle w:val="FootnoteText"/>
      </w:pPr>
      <w:r w:rsidRPr="002C18DE">
        <w:rPr>
          <w:rStyle w:val="FootnoteReference"/>
        </w:rPr>
        <w:footnoteRef/>
      </w:r>
      <w:r w:rsidRPr="002C18DE">
        <w:t xml:space="preserve"> </w:t>
      </w:r>
      <w:hyperlink r:id="rId12" w:history="1">
        <w:r w:rsidRPr="002C18DE">
          <w:rPr>
            <w:rStyle w:val="Hyperlink"/>
          </w:rPr>
          <w:t>http://www.census.gov/cgi-bin/ssd/naics/naicsrch</w:t>
        </w:r>
      </w:hyperlink>
      <w:r w:rsidRPr="002C18DE">
        <w:t>.</w:t>
      </w:r>
    </w:p>
  </w:footnote>
  <w:footnote w:id="85">
    <w:p w:rsidR="001C0B46" w:rsidRPr="002C18DE" w:rsidRDefault="001C0B46" w:rsidP="001C0B46">
      <w:pPr>
        <w:pStyle w:val="FootnoteText"/>
      </w:pPr>
      <w:r w:rsidRPr="002C18DE">
        <w:rPr>
          <w:rStyle w:val="FootnoteReference"/>
        </w:rPr>
        <w:footnoteRef/>
      </w:r>
      <w:r w:rsidRPr="002C18DE">
        <w:t xml:space="preserve"> </w:t>
      </w:r>
      <w:r w:rsidRPr="002C18DE">
        <w:rPr>
          <w:color w:val="000000"/>
        </w:rPr>
        <w:t>13 CFR § 121.201, NAICS code 517911.</w:t>
      </w:r>
    </w:p>
  </w:footnote>
  <w:footnote w:id="86">
    <w:p w:rsidR="001C0B46" w:rsidRPr="002C18DE" w:rsidRDefault="001C0B46" w:rsidP="001C0B46">
      <w:pPr>
        <w:pStyle w:val="FootnoteText"/>
        <w:rPr>
          <w:rStyle w:val="Hyperlink"/>
        </w:rPr>
      </w:pPr>
      <w:r w:rsidRPr="002C18DE">
        <w:rPr>
          <w:rStyle w:val="FootnoteReference"/>
        </w:rPr>
        <w:footnoteRef/>
      </w:r>
      <w:r w:rsidRPr="002C18DE">
        <w:t xml:space="preserve"> </w:t>
      </w:r>
      <w:r w:rsidRPr="002C18DE">
        <w:fldChar w:fldCharType="begin"/>
      </w:r>
      <w:r w:rsidR="002A6A84">
        <w:instrText>HYPERLINK "http://factfinder.census.gov/faces/tableservices/jsf/pages/productview.xhtml?pid=ECN_2012_US_51SSSZ5&amp;prodType=table"</w:instrText>
      </w:r>
      <w:r w:rsidRPr="002C18DE">
        <w:fldChar w:fldCharType="separate"/>
      </w:r>
      <w:r w:rsidRPr="002C18DE">
        <w:rPr>
          <w:rStyle w:val="Hyperlink"/>
        </w:rPr>
        <w:t>http://factfinder.census.gov/faces/tableservices/jsf/pages/productview.xhtml?</w:t>
      </w:r>
    </w:p>
    <w:p w:rsidR="001C0B46" w:rsidRPr="002C18DE" w:rsidRDefault="001C0B46" w:rsidP="001C0B46">
      <w:pPr>
        <w:pStyle w:val="FootnoteText"/>
      </w:pPr>
      <w:r w:rsidRPr="002C18DE">
        <w:rPr>
          <w:rStyle w:val="Hyperlink"/>
        </w:rPr>
        <w:t>pid=ECN_2012_US_51SSSZ5&amp;prodType=table</w:t>
      </w:r>
      <w:r w:rsidRPr="002C18DE">
        <w:fldChar w:fldCharType="end"/>
      </w:r>
      <w:r w:rsidRPr="002C18DE">
        <w:rPr>
          <w:sz w:val="16"/>
          <w:szCs w:val="16"/>
        </w:rPr>
        <w:t>.</w:t>
      </w:r>
    </w:p>
  </w:footnote>
  <w:footnote w:id="87">
    <w:p w:rsidR="001C0B46" w:rsidRPr="002C18DE" w:rsidRDefault="001C0B46" w:rsidP="001C0B46">
      <w:pPr>
        <w:pStyle w:val="FootnoteText"/>
      </w:pPr>
      <w:r w:rsidRPr="002C18DE">
        <w:rPr>
          <w:rStyle w:val="FootnoteReference"/>
        </w:rPr>
        <w:footnoteRef/>
      </w:r>
      <w:r w:rsidRPr="002C18DE">
        <w:t xml:space="preserve"> </w:t>
      </w:r>
      <w:r w:rsidRPr="002C18DE">
        <w:rPr>
          <w:i/>
        </w:rPr>
        <w:t>See Trends in Telephone Service,</w:t>
      </w:r>
      <w:r w:rsidRPr="002C18DE">
        <w:t xml:space="preserve"> at tbl. 5.3.</w:t>
      </w:r>
    </w:p>
  </w:footnote>
  <w:footnote w:id="88">
    <w:p w:rsidR="001C0B46" w:rsidRPr="002C18DE" w:rsidRDefault="001C0B46" w:rsidP="001C0B46">
      <w:pPr>
        <w:pStyle w:val="FootnoteText"/>
      </w:pPr>
      <w:r w:rsidRPr="002C18DE">
        <w:rPr>
          <w:rStyle w:val="FootnoteReference"/>
        </w:rPr>
        <w:footnoteRef/>
      </w:r>
      <w:r w:rsidRPr="002C18DE">
        <w:t xml:space="preserve"> </w:t>
      </w:r>
      <w:r w:rsidRPr="002C18DE">
        <w:rPr>
          <w:i/>
        </w:rPr>
        <w:t>Id.</w:t>
      </w:r>
    </w:p>
  </w:footnote>
  <w:footnote w:id="89">
    <w:p w:rsidR="001C0B46" w:rsidRPr="002C18DE" w:rsidRDefault="001C0B46" w:rsidP="001C0B46">
      <w:pPr>
        <w:pStyle w:val="FootnoteText"/>
      </w:pPr>
      <w:r w:rsidRPr="002C18DE">
        <w:rPr>
          <w:rStyle w:val="FootnoteReference"/>
        </w:rPr>
        <w:footnoteRef/>
      </w:r>
      <w:r w:rsidRPr="002C18DE">
        <w:t xml:space="preserve"> </w:t>
      </w:r>
      <w:r w:rsidRPr="002C18DE">
        <w:rPr>
          <w:color w:val="000000"/>
        </w:rPr>
        <w:t>13 CFR § 121.201, NAICS code 517911.</w:t>
      </w:r>
    </w:p>
  </w:footnote>
  <w:footnote w:id="90">
    <w:p w:rsidR="001C0B46" w:rsidRPr="002C18DE" w:rsidRDefault="001C0B46" w:rsidP="001C0B46">
      <w:pPr>
        <w:pStyle w:val="FootnoteText"/>
      </w:pPr>
      <w:r w:rsidRPr="002C18DE">
        <w:rPr>
          <w:rStyle w:val="FootnoteReference"/>
        </w:rPr>
        <w:footnoteRef/>
      </w:r>
      <w:r w:rsidRPr="002C18DE">
        <w:t xml:space="preserve"> </w:t>
      </w:r>
      <w:r w:rsidRPr="002C18DE">
        <w:rPr>
          <w:i/>
        </w:rPr>
        <w:t>Id</w:t>
      </w:r>
      <w:r w:rsidRPr="002C18DE">
        <w:t>.</w:t>
      </w:r>
    </w:p>
  </w:footnote>
  <w:footnote w:id="91">
    <w:p w:rsidR="001C0B46" w:rsidRPr="002C18DE" w:rsidRDefault="001C0B46" w:rsidP="001C0B46">
      <w:pPr>
        <w:pStyle w:val="FootnoteText"/>
      </w:pPr>
      <w:r w:rsidRPr="002C18DE">
        <w:rPr>
          <w:rStyle w:val="FootnoteReference"/>
        </w:rPr>
        <w:footnoteRef/>
      </w:r>
      <w:r w:rsidRPr="002C18DE">
        <w:t xml:space="preserve"> </w:t>
      </w:r>
      <w:r w:rsidRPr="002C18DE">
        <w:rPr>
          <w:i/>
          <w:color w:val="000000"/>
        </w:rPr>
        <w:t>See Trends in Telephone Service,</w:t>
      </w:r>
      <w:r w:rsidRPr="002C18DE">
        <w:rPr>
          <w:color w:val="000000"/>
        </w:rPr>
        <w:t xml:space="preserve"> at tbl. 5.3.  </w:t>
      </w:r>
    </w:p>
  </w:footnote>
  <w:footnote w:id="92">
    <w:p w:rsidR="001C0B46" w:rsidRPr="002C18DE" w:rsidRDefault="001C0B46" w:rsidP="001C0B46">
      <w:pPr>
        <w:pStyle w:val="FootnoteText"/>
      </w:pPr>
      <w:r w:rsidRPr="002C18DE">
        <w:rPr>
          <w:rStyle w:val="FootnoteReference"/>
        </w:rPr>
        <w:footnoteRef/>
      </w:r>
      <w:r w:rsidRPr="002C18DE">
        <w:t xml:space="preserve"> </w:t>
      </w:r>
      <w:r w:rsidRPr="002C18DE">
        <w:rPr>
          <w:i/>
        </w:rPr>
        <w:t>Id.</w:t>
      </w:r>
    </w:p>
  </w:footnote>
  <w:footnote w:id="93">
    <w:p w:rsidR="001C0B46" w:rsidRPr="002C18DE" w:rsidRDefault="001C0B46" w:rsidP="001C0B46">
      <w:pPr>
        <w:pStyle w:val="FootnoteText"/>
      </w:pPr>
      <w:r w:rsidRPr="002C18DE">
        <w:rPr>
          <w:rStyle w:val="FootnoteReference"/>
        </w:rPr>
        <w:footnoteRef/>
      </w:r>
      <w:r w:rsidRPr="002C18DE">
        <w:t xml:space="preserve"> </w:t>
      </w:r>
      <w:r w:rsidRPr="002C18DE">
        <w:rPr>
          <w:color w:val="000000"/>
        </w:rPr>
        <w:t>13 CFR § 121.201, NAICS code 517911.</w:t>
      </w:r>
    </w:p>
  </w:footnote>
  <w:footnote w:id="94">
    <w:p w:rsidR="001C0B46" w:rsidRPr="002C18DE" w:rsidRDefault="001C0B46" w:rsidP="001C0B46">
      <w:pPr>
        <w:pStyle w:val="FootnoteText"/>
      </w:pPr>
      <w:r w:rsidRPr="002C18DE">
        <w:rPr>
          <w:rStyle w:val="FootnoteReference"/>
        </w:rPr>
        <w:footnoteRef/>
      </w:r>
      <w:r w:rsidRPr="002C18DE">
        <w:t xml:space="preserve"> </w:t>
      </w:r>
      <w:r w:rsidRPr="002C18DE">
        <w:rPr>
          <w:i/>
        </w:rPr>
        <w:t>Id</w:t>
      </w:r>
      <w:r w:rsidRPr="002C18DE">
        <w:t>.</w:t>
      </w:r>
    </w:p>
  </w:footnote>
  <w:footnote w:id="95">
    <w:p w:rsidR="001C0B46" w:rsidRPr="002C18DE" w:rsidRDefault="001C0B46" w:rsidP="001C0B46">
      <w:pPr>
        <w:pStyle w:val="FootnoteText"/>
      </w:pPr>
      <w:r w:rsidRPr="002C18DE">
        <w:rPr>
          <w:rStyle w:val="FootnoteReference"/>
        </w:rPr>
        <w:footnoteRef/>
      </w:r>
      <w:r w:rsidRPr="002C18DE">
        <w:t xml:space="preserve"> </w:t>
      </w:r>
      <w:r w:rsidRPr="002C18DE">
        <w:rPr>
          <w:i/>
        </w:rPr>
        <w:t>Trends in Telephone Service</w:t>
      </w:r>
      <w:r w:rsidRPr="002C18DE">
        <w:t>, at tbl.</w:t>
      </w:r>
      <w:r w:rsidRPr="002C18DE">
        <w:rPr>
          <w:color w:val="000000"/>
        </w:rPr>
        <w:t xml:space="preserve"> 5.3.</w:t>
      </w:r>
    </w:p>
  </w:footnote>
  <w:footnote w:id="96">
    <w:p w:rsidR="001C0B46" w:rsidRPr="002C18DE" w:rsidRDefault="001C0B46" w:rsidP="001C0B46">
      <w:pPr>
        <w:pStyle w:val="FootnoteText"/>
      </w:pPr>
      <w:r w:rsidRPr="002C18DE">
        <w:rPr>
          <w:rStyle w:val="FootnoteReference"/>
        </w:rPr>
        <w:footnoteRef/>
      </w:r>
      <w:r w:rsidRPr="002C18DE">
        <w:t xml:space="preserve"> </w:t>
      </w:r>
      <w:r w:rsidRPr="002C18DE">
        <w:rPr>
          <w:i/>
        </w:rPr>
        <w:t>Id.</w:t>
      </w:r>
    </w:p>
  </w:footnote>
  <w:footnote w:id="97">
    <w:p w:rsidR="001C0B46" w:rsidRPr="002C18DE" w:rsidRDefault="001C0B46" w:rsidP="001C0B46">
      <w:pPr>
        <w:pStyle w:val="FootnoteText"/>
      </w:pPr>
      <w:r w:rsidRPr="002C18DE">
        <w:rPr>
          <w:rStyle w:val="FootnoteReference"/>
        </w:rPr>
        <w:footnoteRef/>
      </w:r>
      <w:r w:rsidRPr="002C18DE">
        <w:t xml:space="preserve"> </w:t>
      </w:r>
      <w:r w:rsidRPr="002C18DE">
        <w:rPr>
          <w:color w:val="000000"/>
        </w:rPr>
        <w:t>13 CFR § 121.201, NAICS code 517110.</w:t>
      </w:r>
    </w:p>
  </w:footnote>
  <w:footnote w:id="98">
    <w:p w:rsidR="001C0B46" w:rsidRPr="002C18DE" w:rsidRDefault="001C0B46" w:rsidP="001C0B46">
      <w:pPr>
        <w:pStyle w:val="FootnoteText"/>
        <w:contextualSpacing/>
        <w:rPr>
          <w:rStyle w:val="Hyperlink"/>
        </w:rPr>
      </w:pPr>
      <w:r w:rsidRPr="002C18DE">
        <w:rPr>
          <w:rStyle w:val="FootnoteReference"/>
        </w:rPr>
        <w:footnoteRef/>
      </w:r>
      <w:r w:rsidRPr="002C18DE">
        <w:t xml:space="preserve"> </w:t>
      </w:r>
      <w:r w:rsidRPr="002C18DE">
        <w:fldChar w:fldCharType="begin"/>
      </w:r>
      <w:r w:rsidR="002A6A84">
        <w:instrText>HYPERLINK "http://factfinder.census.gov/faces/tableservices/jsf/pages/productview.xhtml?pid=ECN_2012_US_51SSSZ5&amp;prodType=table"</w:instrText>
      </w:r>
      <w:r w:rsidRPr="002C18DE">
        <w:fldChar w:fldCharType="separate"/>
      </w:r>
      <w:r w:rsidRPr="002C18DE">
        <w:rPr>
          <w:rStyle w:val="Hyperlink"/>
        </w:rPr>
        <w:t>http://factfinder.census.gov/faces/tableservices/jsf/pages/productview.xhtml?</w:t>
      </w:r>
    </w:p>
    <w:p w:rsidR="001C0B46" w:rsidRPr="002C18DE" w:rsidRDefault="001C0B46" w:rsidP="001C0B46">
      <w:pPr>
        <w:pStyle w:val="FootnoteText"/>
        <w:contextualSpacing/>
      </w:pPr>
      <w:r w:rsidRPr="002C18DE">
        <w:rPr>
          <w:rStyle w:val="Hyperlink"/>
        </w:rPr>
        <w:t>pid=ECN_2012_US_51SSSZ5&amp;prodType=table</w:t>
      </w:r>
      <w:r w:rsidRPr="002C18DE">
        <w:fldChar w:fldCharType="end"/>
      </w:r>
      <w:r w:rsidRPr="002C18DE">
        <w:t>.</w:t>
      </w:r>
    </w:p>
  </w:footnote>
  <w:footnote w:id="99">
    <w:p w:rsidR="001C0B46" w:rsidRPr="002C18DE" w:rsidRDefault="001C0B46" w:rsidP="001C0B46">
      <w:pPr>
        <w:pStyle w:val="FootnoteText"/>
      </w:pPr>
      <w:r w:rsidRPr="002C18DE">
        <w:rPr>
          <w:rStyle w:val="FootnoteReference"/>
        </w:rPr>
        <w:footnoteRef/>
      </w:r>
      <w:r w:rsidRPr="002C18DE">
        <w:t xml:space="preserve"> </w:t>
      </w:r>
      <w:r w:rsidRPr="002C18DE">
        <w:rPr>
          <w:i/>
        </w:rPr>
        <w:t>Trends in Telephone Service</w:t>
      </w:r>
      <w:r w:rsidRPr="002C18DE">
        <w:t>, at tbl.</w:t>
      </w:r>
      <w:r w:rsidRPr="002C18DE">
        <w:rPr>
          <w:color w:val="000000"/>
        </w:rPr>
        <w:t xml:space="preserve"> 5.3.</w:t>
      </w:r>
    </w:p>
  </w:footnote>
  <w:footnote w:id="100">
    <w:p w:rsidR="001C0B46" w:rsidRPr="002C18DE" w:rsidRDefault="001C0B46" w:rsidP="001C0B46">
      <w:pPr>
        <w:pStyle w:val="FootnoteText"/>
      </w:pPr>
      <w:r w:rsidRPr="002C18DE">
        <w:rPr>
          <w:rStyle w:val="FootnoteReference"/>
        </w:rPr>
        <w:footnoteRef/>
      </w:r>
      <w:r w:rsidRPr="002C18DE">
        <w:t xml:space="preserve"> </w:t>
      </w:r>
      <w:r w:rsidRPr="002C18DE">
        <w:rPr>
          <w:i/>
        </w:rPr>
        <w:t>Id.</w:t>
      </w:r>
    </w:p>
  </w:footnote>
  <w:footnote w:id="101">
    <w:p w:rsidR="001C0B46" w:rsidRPr="002C18DE" w:rsidRDefault="001C0B46" w:rsidP="001C0B46">
      <w:pPr>
        <w:pStyle w:val="FootnoteText"/>
      </w:pPr>
      <w:r w:rsidRPr="002C18DE">
        <w:rPr>
          <w:rStyle w:val="FootnoteReference"/>
        </w:rPr>
        <w:footnoteRef/>
      </w:r>
      <w:r w:rsidRPr="002C18DE">
        <w:t xml:space="preserve"> NAICS Code 517210.  </w:t>
      </w:r>
      <w:r w:rsidRPr="002C18DE">
        <w:rPr>
          <w:i/>
        </w:rPr>
        <w:t>See</w:t>
      </w:r>
      <w:r w:rsidRPr="002C18DE">
        <w:t xml:space="preserve"> </w:t>
      </w:r>
      <w:hyperlink r:id="rId13" w:history="1">
        <w:r w:rsidRPr="002C18DE">
          <w:rPr>
            <w:rStyle w:val="Hyperlink"/>
          </w:rPr>
          <w:t>http://www.census.gov/cgi-bin/ssd/naics/naiscsrch</w:t>
        </w:r>
      </w:hyperlink>
      <w:r w:rsidRPr="002C18DE">
        <w:t>.</w:t>
      </w:r>
    </w:p>
  </w:footnote>
  <w:footnote w:id="102">
    <w:p w:rsidR="001C0B46" w:rsidRPr="002C18DE" w:rsidRDefault="001C0B46" w:rsidP="001C0B46">
      <w:pPr>
        <w:pStyle w:val="FootnoteText"/>
      </w:pPr>
      <w:r w:rsidRPr="002C18DE">
        <w:rPr>
          <w:rStyle w:val="FootnoteReference"/>
        </w:rPr>
        <w:footnoteRef/>
      </w:r>
      <w:hyperlink r:id="rId14" w:history="1">
        <w:r w:rsidRPr="002C18DE">
          <w:rPr>
            <w:rStyle w:val="Hyperlink"/>
          </w:rPr>
          <w:t>http://factfinder.census.gov/faces/tableservices/jsf/pages/productview.xhtml?pid=ECN_2012_US_51SSSZ5&amp;prodType=table</w:t>
        </w:r>
      </w:hyperlink>
      <w:r w:rsidRPr="002C18DE">
        <w:rPr>
          <w:rStyle w:val="Hyperlink"/>
        </w:rPr>
        <w:t>.</w:t>
      </w:r>
      <w:r w:rsidRPr="002C18DE">
        <w:t xml:space="preserve"> </w:t>
      </w:r>
    </w:p>
  </w:footnote>
  <w:footnote w:id="103">
    <w:p w:rsidR="001C0B46" w:rsidRPr="002C18DE" w:rsidRDefault="001C0B46" w:rsidP="001C0B46">
      <w:pPr>
        <w:pStyle w:val="FootnoteText"/>
      </w:pPr>
      <w:r w:rsidRPr="002C18DE">
        <w:rPr>
          <w:rStyle w:val="FootnoteReference"/>
        </w:rPr>
        <w:footnoteRef/>
      </w:r>
      <w:r w:rsidRPr="002C18DE">
        <w:t xml:space="preserve"> </w:t>
      </w:r>
      <w:r w:rsidRPr="002C18DE">
        <w:rPr>
          <w:i/>
        </w:rPr>
        <w:t>Trends in Telephone Service</w:t>
      </w:r>
      <w:r w:rsidRPr="002C18DE">
        <w:t>, at tbl.</w:t>
      </w:r>
      <w:r w:rsidRPr="002C18DE">
        <w:rPr>
          <w:color w:val="000000"/>
        </w:rPr>
        <w:t xml:space="preserve"> 5.3.</w:t>
      </w:r>
    </w:p>
  </w:footnote>
  <w:footnote w:id="104">
    <w:p w:rsidR="001C0B46" w:rsidRPr="002C18DE" w:rsidRDefault="001C0B46" w:rsidP="001C0B46">
      <w:pPr>
        <w:pStyle w:val="FootnoteText"/>
      </w:pPr>
      <w:r w:rsidRPr="002C18DE">
        <w:rPr>
          <w:rStyle w:val="FootnoteReference"/>
        </w:rPr>
        <w:footnoteRef/>
      </w:r>
      <w:r w:rsidRPr="002C18DE">
        <w:t xml:space="preserve"> </w:t>
      </w:r>
      <w:r w:rsidRPr="002C18DE">
        <w:rPr>
          <w:i/>
        </w:rPr>
        <w:t>Id.</w:t>
      </w:r>
    </w:p>
  </w:footnote>
  <w:footnote w:id="105">
    <w:p w:rsidR="001C0B46" w:rsidRPr="002C18DE" w:rsidRDefault="001C0B46" w:rsidP="001C0B46">
      <w:pPr>
        <w:pStyle w:val="FootnoteText"/>
      </w:pPr>
      <w:r w:rsidRPr="002C18DE">
        <w:rPr>
          <w:rStyle w:val="FootnoteReference"/>
        </w:rPr>
        <w:footnoteRef/>
      </w:r>
      <w:r w:rsidRPr="002C18DE">
        <w:t xml:space="preserve"> In 2014, “Cable and Other Subscription Programming,” NAICS Code 515210, replaced a prior category, now obsolete, which was called “Cable and Other Program Distribution.” Cable and Other Program Distribution, prior to 2014, were placed under NAICS Code 517110, Wired Telecommunications Carriers.  Wired Telecommunications Carriers is still a current and valid NAICS Code Category. Because of the similarity between “Cable and Other Subscription Programming” and “Cable and other Program Distribution,” we will, in this proceeding, continue to use Wired Telecommunications Carrier data based on the U.S. Census. The alternative of using data gathered under Cable and Other Subscription Programming (NAICS Code 515210) is unavailable to us for two reasons.  First, the size standard established by the SBA for Cable and Other Subscription Programming is annual receipts of $38.5 million or less. Thus to use the annual receipts size standard would require the Commission either to switch from existing employee based size standard of 1,500 employees or less for Wired Telecommunications Carriers, or else would require the use of two size standards.  No official approval of either option has been granted by the Commission as of the time of the release of the </w:t>
      </w:r>
      <w:r w:rsidRPr="002C18DE">
        <w:rPr>
          <w:i/>
        </w:rPr>
        <w:t>FY 2015 NPRM</w:t>
      </w:r>
      <w:r w:rsidRPr="002C18DE">
        <w:t xml:space="preserve">. Second, the data available under the size standard of $38.5 million dollars or less is not applicable at this time, because the only currently available U.S. Census data for annual receipts of all businesses operating in the NAICS Code category of 515210 (Cable and other Subscription Programming) consists only of total receipts for all businesses operating in this category in 2007 and of total annual receipts for all businesses operatin6 in this category in 2012.  Hence the data do not provide any basis for determining, for either year, how many businesses were small because they had annual receipts of $38.5 million or less. </w:t>
      </w:r>
      <w:r w:rsidRPr="002C18DE">
        <w:rPr>
          <w:i/>
        </w:rPr>
        <w:t xml:space="preserve">See </w:t>
      </w:r>
      <w:hyperlink r:id="rId15" w:history="1">
        <w:r w:rsidRPr="002C18DE">
          <w:rPr>
            <w:rStyle w:val="Hyperlink"/>
          </w:rPr>
          <w:t>http://factfinder.census.gov/faces/tableservices/jsf/pages/productview.xhtml?pid=ECN_2012_US_51I2&amp;prodType=table</w:t>
        </w:r>
      </w:hyperlink>
      <w:r w:rsidRPr="002C18DE">
        <w:t>.</w:t>
      </w:r>
    </w:p>
  </w:footnote>
  <w:footnote w:id="106">
    <w:p w:rsidR="001C0B46" w:rsidRPr="002C18DE" w:rsidRDefault="001C0B46" w:rsidP="001C0B46">
      <w:pPr>
        <w:pStyle w:val="FootnoteText"/>
      </w:pPr>
      <w:r w:rsidRPr="002C18DE">
        <w:rPr>
          <w:rStyle w:val="FootnoteReference"/>
        </w:rPr>
        <w:footnoteRef/>
      </w:r>
      <w:r w:rsidRPr="002C18DE">
        <w:t xml:space="preserve"> https://www.census.gov/agi-bin/ssd/naics/naicsrch.</w:t>
      </w:r>
    </w:p>
  </w:footnote>
  <w:footnote w:id="107">
    <w:p w:rsidR="001C0B46" w:rsidRPr="002C18DE" w:rsidRDefault="001C0B46" w:rsidP="001C0B46">
      <w:pPr>
        <w:pStyle w:val="FootnoteText"/>
      </w:pPr>
      <w:r w:rsidRPr="002C18DE">
        <w:rPr>
          <w:rStyle w:val="FootnoteReference"/>
        </w:rPr>
        <w:footnoteRef/>
      </w:r>
      <w:r w:rsidRPr="002C18DE">
        <w:t xml:space="preserve"> 13 CFR 121.201, 20116 NAICSs Code 515210.</w:t>
      </w:r>
    </w:p>
  </w:footnote>
  <w:footnote w:id="108">
    <w:p w:rsidR="001C0B46" w:rsidRPr="002C18DE" w:rsidRDefault="001C0B46" w:rsidP="001C0B46">
      <w:pPr>
        <w:pStyle w:val="FootnoteText"/>
      </w:pPr>
      <w:r w:rsidRPr="002C18DE">
        <w:rPr>
          <w:rStyle w:val="FootnoteReference"/>
        </w:rPr>
        <w:footnoteRef/>
      </w:r>
      <w:r w:rsidRPr="002C18DE">
        <w:t xml:space="preserve"> </w:t>
      </w:r>
      <w:hyperlink r:id="rId16" w:history="1">
        <w:r w:rsidRPr="002C18DE">
          <w:rPr>
            <w:rStyle w:val="Hyperlink"/>
          </w:rPr>
          <w:t>http://factfinder.census.gov/faces/table</w:t>
        </w:r>
      </w:hyperlink>
      <w:r w:rsidRPr="002C18DE">
        <w:t xml:space="preserve"> services/jsf/pages/productview.xhtml?pid=ECN_2012_US_51SSSZ5&amp;prodType=table.</w:t>
      </w:r>
    </w:p>
  </w:footnote>
  <w:footnote w:id="109">
    <w:p w:rsidR="001C0B46" w:rsidRPr="002C18DE" w:rsidRDefault="001C0B46" w:rsidP="001C0B46">
      <w:pPr>
        <w:pStyle w:val="FootnoteText"/>
        <w:spacing w:line="240" w:lineRule="atLeast"/>
        <w:rPr>
          <w:i/>
        </w:rPr>
      </w:pPr>
      <w:r w:rsidRPr="002C18DE">
        <w:rPr>
          <w:rStyle w:val="FootnoteReference"/>
        </w:rPr>
        <w:footnoteRef/>
      </w:r>
      <w:r w:rsidRPr="002C18DE">
        <w:t xml:space="preserve"> 47 C.F.R. § 76.901(e).  The Commission determined that this size standard equates approximately to a size standard of $100 million or less in annual revenues.  </w:t>
      </w:r>
      <w:r w:rsidRPr="002C18DE">
        <w:rPr>
          <w:i/>
        </w:rPr>
        <w:t xml:space="preserve">Implementation of Sections of the Cable Television Consumer Protection And Competition Act of 1992: Rate Regulation, </w:t>
      </w:r>
      <w:r w:rsidRPr="002C18DE">
        <w:t>MM Docket No. 92-266, MM Docket No. 93-215</w:t>
      </w:r>
      <w:r w:rsidRPr="002C18DE">
        <w:rPr>
          <w:i/>
        </w:rPr>
        <w:t xml:space="preserve">, </w:t>
      </w:r>
      <w:r w:rsidRPr="002C18DE">
        <w:t>Sixth Report and Order and Eleventh Order on Reconsideration, 10 FCC Rcd 7393, 7408, para. 28 (1995).</w:t>
      </w:r>
    </w:p>
  </w:footnote>
  <w:footnote w:id="110">
    <w:p w:rsidR="001C0B46" w:rsidRPr="002C18DE" w:rsidRDefault="001C0B46" w:rsidP="001C0B46">
      <w:pPr>
        <w:pStyle w:val="FootnoteText"/>
      </w:pPr>
      <w:r w:rsidRPr="002C18DE">
        <w:rPr>
          <w:rStyle w:val="FootnoteReference"/>
        </w:rPr>
        <w:footnoteRef/>
      </w:r>
      <w:r w:rsidRPr="002C18DE">
        <w:t xml:space="preserve"> NCTA, Industry Data, Number of Cable Operators and Systems, </w:t>
      </w:r>
      <w:hyperlink r:id="rId17" w:history="1">
        <w:r w:rsidRPr="002C18DE">
          <w:rPr>
            <w:rStyle w:val="Hyperlink"/>
          </w:rPr>
          <w:t>http://www.ncta.com/Statistics.aspx</w:t>
        </w:r>
      </w:hyperlink>
      <w:r w:rsidRPr="002C18DE">
        <w:t xml:space="preserve"> (visited Oct. 20, 2016).  Depending upon the number of homes and the size of the geographic area served, cable operators use one or more cable systems to provide video service.  </w:t>
      </w:r>
      <w:r w:rsidRPr="002C18DE">
        <w:rPr>
          <w:i/>
        </w:rPr>
        <w:t xml:space="preserve">See Annual Assessment of the Status of Competition in the Market for Delivery of Video Programming, </w:t>
      </w:r>
      <w:r w:rsidRPr="002C18DE">
        <w:t>MB Docket No. 12-203, Fifteenth Report, 28 FCC Rcd 10496, 10505-6, para. 24 (2013) (“</w:t>
      </w:r>
      <w:r w:rsidRPr="002C18DE">
        <w:rPr>
          <w:i/>
        </w:rPr>
        <w:t>15</w:t>
      </w:r>
      <w:r w:rsidRPr="002C18DE">
        <w:rPr>
          <w:i/>
          <w:vertAlign w:val="superscript"/>
        </w:rPr>
        <w:t>th</w:t>
      </w:r>
      <w:r w:rsidRPr="002C18DE">
        <w:rPr>
          <w:i/>
        </w:rPr>
        <w:t xml:space="preserve"> Annual Competition Report</w:t>
      </w:r>
      <w:r w:rsidRPr="002C18DE">
        <w:t>”</w:t>
      </w:r>
      <w:r w:rsidRPr="002C18DE">
        <w:rPr>
          <w:i/>
        </w:rPr>
        <w:t>)</w:t>
      </w:r>
      <w:r w:rsidRPr="002C18DE">
        <w:t>.</w:t>
      </w:r>
    </w:p>
  </w:footnote>
  <w:footnote w:id="111">
    <w:p w:rsidR="001C0B46" w:rsidRPr="002C18DE" w:rsidRDefault="001C0B46" w:rsidP="001C0B46">
      <w:pPr>
        <w:pStyle w:val="FootnoteText"/>
        <w:rPr>
          <w:b/>
        </w:rPr>
      </w:pPr>
      <w:r w:rsidRPr="002C18DE">
        <w:rPr>
          <w:rStyle w:val="FootnoteReference"/>
        </w:rPr>
        <w:footnoteRef/>
      </w:r>
      <w:r w:rsidRPr="002C18DE">
        <w:t xml:space="preserve"> </w:t>
      </w:r>
      <w:r w:rsidRPr="002C18DE">
        <w:rPr>
          <w:i/>
        </w:rPr>
        <w:t xml:space="preserve">See </w:t>
      </w:r>
      <w:r w:rsidRPr="002C18DE">
        <w:t xml:space="preserve">SNL Kagan, “Top Cable MSOs – 12/12 Q”; available at </w:t>
      </w:r>
      <w:hyperlink r:id="rId18" w:history="1">
        <w:r w:rsidRPr="002C18DE">
          <w:rPr>
            <w:rStyle w:val="Hyperlink"/>
          </w:rPr>
          <w:t>http://www.snl.com/InteractiveX/TopCableMSOs.aspx?period=2012Q4&amp;sortcol=subscribersbasic&amp;sortorder=desc</w:t>
        </w:r>
      </w:hyperlink>
      <w:r w:rsidRPr="002C18DE">
        <w:t>.</w:t>
      </w:r>
      <w:r w:rsidRPr="002C18DE">
        <w:rPr>
          <w:b/>
        </w:rPr>
        <w:t xml:space="preserve">  </w:t>
      </w:r>
    </w:p>
  </w:footnote>
  <w:footnote w:id="112">
    <w:p w:rsidR="001C0B46" w:rsidRPr="002C18DE" w:rsidRDefault="001C0B46" w:rsidP="001C0B46">
      <w:pPr>
        <w:pStyle w:val="FootnoteText"/>
        <w:spacing w:line="240" w:lineRule="atLeast"/>
      </w:pPr>
      <w:r w:rsidRPr="002C18DE">
        <w:rPr>
          <w:rStyle w:val="FootnoteReference"/>
        </w:rPr>
        <w:footnoteRef/>
      </w:r>
      <w:r w:rsidRPr="002C18DE">
        <w:t xml:space="preserve"> 47 C.F.R. § 76.901(c).  </w:t>
      </w:r>
    </w:p>
  </w:footnote>
  <w:footnote w:id="113">
    <w:p w:rsidR="001C0B46" w:rsidRPr="002C18DE" w:rsidRDefault="001C0B46" w:rsidP="001C0B46">
      <w:pPr>
        <w:pStyle w:val="FootnoteText"/>
      </w:pPr>
      <w:r w:rsidRPr="002C18DE">
        <w:rPr>
          <w:rStyle w:val="FootnoteReference"/>
        </w:rPr>
        <w:footnoteRef/>
      </w:r>
      <w:r w:rsidRPr="002C18DE">
        <w:t xml:space="preserve"> The number of active, registered cable systems comes from the Commission’s Cable Operations and Licensing System (COALS) database on Oct. 20, 2016.  A cable system is a physical system integrated to a principal headend.</w:t>
      </w:r>
    </w:p>
  </w:footnote>
  <w:footnote w:id="114">
    <w:p w:rsidR="001C0B46" w:rsidRPr="002C18DE" w:rsidRDefault="001C0B46" w:rsidP="001C0B46">
      <w:pPr>
        <w:pStyle w:val="FootnoteText"/>
      </w:pPr>
      <w:r w:rsidRPr="002C18DE">
        <w:rPr>
          <w:rStyle w:val="FootnoteReference"/>
        </w:rPr>
        <w:footnoteRef/>
      </w:r>
      <w:r w:rsidRPr="002C18DE">
        <w:t xml:space="preserve"> </w:t>
      </w:r>
      <w:r w:rsidRPr="002C18DE">
        <w:rPr>
          <w:i/>
        </w:rPr>
        <w:t>See</w:t>
      </w:r>
      <w:r w:rsidRPr="002C18DE">
        <w:t xml:space="preserve"> SNL KAGAN at </w:t>
      </w:r>
      <w:r w:rsidRPr="002C18DE">
        <w:rPr>
          <w:rStyle w:val="Hyperlink"/>
        </w:rPr>
        <w:t>www.snl.com/interactivex/MultichannelIndustryBenchmarks.aspx.</w:t>
      </w:r>
    </w:p>
  </w:footnote>
  <w:footnote w:id="115">
    <w:p w:rsidR="001C0B46" w:rsidRPr="002C18DE" w:rsidRDefault="001C0B46" w:rsidP="001C0B46">
      <w:pPr>
        <w:pStyle w:val="FootnoteText"/>
      </w:pPr>
      <w:r w:rsidRPr="002C18DE">
        <w:rPr>
          <w:rStyle w:val="FootnoteReference"/>
        </w:rPr>
        <w:footnoteRef/>
      </w:r>
      <w:r w:rsidRPr="002C18DE">
        <w:t xml:space="preserve"> 47.901(f) and notes ff. 1, 2, and 3.</w:t>
      </w:r>
    </w:p>
  </w:footnote>
  <w:footnote w:id="116">
    <w:p w:rsidR="001C0B46" w:rsidRPr="002C18DE" w:rsidRDefault="001C0B46" w:rsidP="001C0B46">
      <w:pPr>
        <w:pStyle w:val="FootnoteText"/>
      </w:pPr>
      <w:r w:rsidRPr="002C18DE">
        <w:rPr>
          <w:rStyle w:val="FootnoteReference"/>
        </w:rPr>
        <w:footnoteRef/>
      </w:r>
      <w:r w:rsidRPr="002C18DE">
        <w:t xml:space="preserve"> </w:t>
      </w:r>
      <w:r w:rsidRPr="002C18DE">
        <w:rPr>
          <w:i/>
        </w:rPr>
        <w:t>See</w:t>
      </w:r>
      <w:r w:rsidRPr="002C18DE">
        <w:t xml:space="preserve"> SNL KAGAN at </w:t>
      </w:r>
      <w:hyperlink r:id="rId19" w:history="1">
        <w:r w:rsidRPr="002C18DE">
          <w:rPr>
            <w:rStyle w:val="Hyperlink"/>
          </w:rPr>
          <w:t>www.snl.com/Interactivex/TopCable</w:t>
        </w:r>
      </w:hyperlink>
      <w:r w:rsidRPr="002C18DE">
        <w:rPr>
          <w:rStyle w:val="Hyperlink"/>
        </w:rPr>
        <w:t xml:space="preserve"> MSOs.aspx.</w:t>
      </w:r>
    </w:p>
  </w:footnote>
  <w:footnote w:id="117">
    <w:p w:rsidR="001C0B46" w:rsidRPr="002C18DE" w:rsidRDefault="001C0B46" w:rsidP="001C0B46">
      <w:pPr>
        <w:pStyle w:val="FootnoteText"/>
      </w:pPr>
      <w:r w:rsidRPr="002C18DE">
        <w:rPr>
          <w:rStyle w:val="FootnoteReference"/>
        </w:rPr>
        <w:footnoteRef/>
      </w:r>
      <w:r w:rsidRPr="002C18DE">
        <w:t xml:space="preserve"> The Commission does receive such information on a case-by-case basis if a cable operator appeals a local franchise authority's finding that the operator does not qualify as a small cable operator pursuant to § 76.901(f) of the Commission's rules</w:t>
      </w:r>
      <w:r w:rsidRPr="002C18DE">
        <w:rPr>
          <w:i/>
        </w:rPr>
        <w:t>.  See</w:t>
      </w:r>
      <w:r w:rsidRPr="002C18DE">
        <w:t xml:space="preserve"> 47 CFR § 76.901(f).</w:t>
      </w:r>
    </w:p>
  </w:footnote>
  <w:footnote w:id="118">
    <w:p w:rsidR="001C0B46" w:rsidRPr="002C18DE" w:rsidRDefault="001C0B46" w:rsidP="001C0B46">
      <w:pPr>
        <w:pStyle w:val="FootnoteText"/>
      </w:pPr>
      <w:r w:rsidRPr="002C18DE">
        <w:rPr>
          <w:rStyle w:val="FootnoteReference"/>
        </w:rPr>
        <w:footnoteRef/>
      </w:r>
      <w:r w:rsidRPr="002C18DE">
        <w:t xml:space="preserve"> </w:t>
      </w:r>
      <w:hyperlink r:id="rId20" w:history="1">
        <w:r w:rsidRPr="002C18DE">
          <w:rPr>
            <w:rStyle w:val="Hyperlink"/>
          </w:rPr>
          <w:t>http://www.census.gov/cgi-bin/ssssd/naics/naicsrch</w:t>
        </w:r>
      </w:hyperlink>
      <w:r w:rsidRPr="002C18DE">
        <w:t>.</w:t>
      </w:r>
    </w:p>
  </w:footnote>
  <w:footnote w:id="119">
    <w:p w:rsidR="001C0B46" w:rsidRPr="002C18DE" w:rsidRDefault="001C0B46" w:rsidP="001C0B46">
      <w:pPr>
        <w:pStyle w:val="FootnoteText"/>
      </w:pPr>
      <w:r w:rsidRPr="002C18DE">
        <w:rPr>
          <w:rStyle w:val="FootnoteReference"/>
        </w:rPr>
        <w:footnoteRef/>
      </w:r>
      <w:r w:rsidRPr="002C18DE">
        <w:t xml:space="preserve"> 13 C.F.R 121.201; NAICs Code 517919.</w:t>
      </w:r>
    </w:p>
  </w:footnote>
  <w:footnote w:id="120">
    <w:p w:rsidR="001C0B46" w:rsidRPr="002C18DE" w:rsidRDefault="001C0B46" w:rsidP="001C0B46">
      <w:pPr>
        <w:pStyle w:val="FootnoteText"/>
      </w:pPr>
      <w:r w:rsidRPr="002C18DE">
        <w:rPr>
          <w:rStyle w:val="FootnoteReference"/>
        </w:rPr>
        <w:footnoteRef/>
      </w:r>
      <w:r w:rsidRPr="002C18DE">
        <w:t xml:space="preserve"> U.S. Census Bureau, </w:t>
      </w:r>
      <w:r w:rsidRPr="002C18DE">
        <w:rPr>
          <w:bCs/>
          <w:i/>
        </w:rPr>
        <w:t>2012 Economic Census of the United States</w:t>
      </w:r>
      <w:r w:rsidRPr="002C18DE">
        <w:t xml:space="preserve">, Table EC0751SSSZ4, Information: Subject Series - Establishment and Firm Size: Receipts Size of Firms for the United States: 2012 NAICS Code 517919, </w:t>
      </w:r>
      <w:r w:rsidRPr="002C18DE">
        <w:rPr>
          <w:i/>
        </w:rPr>
        <w:t>available at</w:t>
      </w:r>
      <w:r w:rsidRPr="002C18DE">
        <w:t xml:space="preserve"> http://factfinder.census.gov/faces/tableservices/jsf/pages/productview.xhtml?pid=ECN_2012_US_51SSSZ1&amp;prodType=table.</w:t>
      </w:r>
    </w:p>
  </w:footnote>
  <w:footnote w:id="121">
    <w:p w:rsidR="001C0B46" w:rsidRPr="002C18DE" w:rsidRDefault="001C0B46" w:rsidP="001C0B46">
      <w:pPr>
        <w:pStyle w:val="FootnoteText"/>
      </w:pPr>
      <w:r w:rsidRPr="002C18DE">
        <w:rPr>
          <w:rStyle w:val="FootnoteReference"/>
        </w:rPr>
        <w:footnoteRef/>
      </w:r>
      <w:r w:rsidRPr="002C18DE">
        <w:t xml:space="preserve"> 5 U.S.C. § 603(c).</w:t>
      </w:r>
    </w:p>
  </w:footnote>
  <w:footnote w:id="122">
    <w:p w:rsidR="001C0B46" w:rsidRPr="002C18DE" w:rsidRDefault="001C0B46" w:rsidP="001C0B46">
      <w:pPr>
        <w:pStyle w:val="FootnoteText"/>
      </w:pPr>
      <w:r w:rsidRPr="002C18DE">
        <w:rPr>
          <w:rStyle w:val="FootnoteReference"/>
        </w:rPr>
        <w:footnoteRef/>
      </w:r>
      <w:r w:rsidRPr="002C18DE">
        <w:t xml:space="preserve"> </w:t>
      </w:r>
      <w:r w:rsidRPr="002C18DE">
        <w:rPr>
          <w:i/>
        </w:rPr>
        <w:t>See Rate-of-Return Reform FNPRM</w:t>
      </w:r>
      <w:r w:rsidRPr="002C18DE">
        <w:t>, 31 FCC Rcd at 3229-30, paras. 387-393.</w:t>
      </w:r>
    </w:p>
  </w:footnote>
  <w:footnote w:id="123">
    <w:p w:rsidR="001C0B46" w:rsidRPr="002C18DE" w:rsidRDefault="001C0B46" w:rsidP="001C0B46">
      <w:pPr>
        <w:pStyle w:val="FootnoteText"/>
      </w:pPr>
      <w:r w:rsidRPr="002C18DE">
        <w:rPr>
          <w:rStyle w:val="FootnoteReference"/>
        </w:rPr>
        <w:footnoteRef/>
      </w:r>
      <w:r w:rsidRPr="002C18DE">
        <w:t xml:space="preserve"> 5 U.S.C. § 801(a)(1)(A).</w:t>
      </w:r>
    </w:p>
  </w:footnote>
  <w:footnote w:id="124">
    <w:p w:rsidR="001C0B46" w:rsidRPr="002C18DE" w:rsidRDefault="001C0B46" w:rsidP="001C0B46">
      <w:pPr>
        <w:pStyle w:val="FootnoteText"/>
      </w:pPr>
      <w:r w:rsidRPr="002C18DE">
        <w:rPr>
          <w:rStyle w:val="FootnoteReference"/>
        </w:rPr>
        <w:footnoteRef/>
      </w:r>
      <w:r w:rsidRPr="002C18DE">
        <w:t xml:space="preserve"> </w:t>
      </w:r>
      <w:r w:rsidRPr="002C18DE">
        <w:rPr>
          <w:i/>
        </w:rPr>
        <w:t>See id</w:t>
      </w:r>
      <w:r w:rsidRPr="002C18DE">
        <w:t>.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1F" w:rsidRDefault="002F7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46" w:rsidRPr="0057511D" w:rsidRDefault="001C0B46" w:rsidP="00810B6F">
    <w:pPr>
      <w:pStyle w:val="Header"/>
      <w:rPr>
        <w:b w:val="0"/>
      </w:rPr>
    </w:pPr>
    <w:r w:rsidRPr="0057511D">
      <w:tab/>
      <w:t>Federal Communications Commission</w:t>
    </w:r>
    <w:r w:rsidRPr="0057511D">
      <w:tab/>
      <w:t>FCC 17-</w:t>
    </w:r>
    <w:r w:rsidR="00A416A7">
      <w:t>87</w:t>
    </w:r>
  </w:p>
  <w:p w:rsidR="001C0B46" w:rsidRPr="0057511D" w:rsidRDefault="002A6A84">
    <w:pPr>
      <w:tabs>
        <w:tab w:val="left" w:pos="-720"/>
      </w:tabs>
      <w:suppressAutoHyphens/>
      <w:spacing w:line="19" w:lineRule="exact"/>
      <w:rPr>
        <w:spacing w:val="-2"/>
      </w:rPr>
    </w:pPr>
    <w:r>
      <w:rPr>
        <w:noProof/>
      </w:rPr>
      <w:pict>
        <v:rect id="_x0000_s2049"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1C0B46" w:rsidRPr="0057511D" w:rsidRDefault="001C0B46">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B46" w:rsidRPr="0057511D" w:rsidRDefault="002A6A84" w:rsidP="00810B6F">
    <w:pPr>
      <w:pStyle w:val="Header"/>
      <w:rPr>
        <w:b w:val="0"/>
      </w:rPr>
    </w:pPr>
    <w:r>
      <w:rPr>
        <w:b w:val="0"/>
        <w:noProof/>
      </w:rPr>
      <w:pict>
        <v:rect id="_x0000_s2050"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1C0B46" w:rsidRPr="0057511D">
      <w:tab/>
      <w:t>Federal Communications Commission</w:t>
    </w:r>
    <w:r w:rsidR="001C0B46" w:rsidRPr="0057511D">
      <w:tab/>
      <w:t>FCC 17-</w:t>
    </w:r>
    <w:r w:rsidR="00A416A7">
      <w:t>87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71C2E">
      <w:t>FCC 17-</w:t>
    </w:r>
    <w:r w:rsidR="00A416A7">
      <w:t>8</w:t>
    </w:r>
    <w:r w:rsidR="009F63D0">
      <w:t>7</w:t>
    </w:r>
  </w:p>
  <w:p w:rsidR="00D25FB5" w:rsidRDefault="002A6A84">
    <w:pPr>
      <w:tabs>
        <w:tab w:val="left" w:pos="-720"/>
      </w:tabs>
      <w:suppressAutoHyphens/>
      <w:spacing w:line="19" w:lineRule="exact"/>
      <w:rPr>
        <w:spacing w:val="-2"/>
      </w:rPr>
    </w:pPr>
    <w:r>
      <w:rPr>
        <w:noProof/>
      </w:rPr>
      <w:pict>
        <v:rect id="Rectangle 1" o:spid="_x0000_s2051" style="position:absolute;margin-left:0;margin-top:0;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A6A84" w:rsidP="00810B6F">
    <w:pPr>
      <w:pStyle w:val="Header"/>
      <w:rPr>
        <w:b w:val="0"/>
      </w:rPr>
    </w:pPr>
    <w:r>
      <w:rPr>
        <w:noProof/>
      </w:rPr>
      <w:pict>
        <v:rect id="Rectangle 3" o:spid="_x0000_s2053" style="position:absolute;margin-left:.6pt;margin-top:12.65pt;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0C5BD7"/>
    <w:multiLevelType w:val="hybridMultilevel"/>
    <w:tmpl w:val="F91E994E"/>
    <w:lvl w:ilvl="0" w:tplc="05388B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442DF3"/>
    <w:multiLevelType w:val="hybridMultilevel"/>
    <w:tmpl w:val="50868528"/>
    <w:lvl w:ilvl="0" w:tplc="C35E73D6">
      <w:start w:val="2"/>
      <w:numFmt w:val="decimal"/>
      <w:lvlText w:val="%1."/>
      <w:lvlJc w:val="left"/>
      <w:pPr>
        <w:ind w:left="4320" w:hanging="360"/>
      </w:pPr>
      <w:rPr>
        <w:rFonts w:hint="default"/>
        <w:i w:val="0"/>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3B446BBC"/>
    <w:multiLevelType w:val="hybridMultilevel"/>
    <w:tmpl w:val="91FE45CC"/>
    <w:lvl w:ilvl="0" w:tplc="96FCD66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F6536F1"/>
    <w:multiLevelType w:val="hybridMultilevel"/>
    <w:tmpl w:val="A3E63E1C"/>
    <w:lvl w:ilvl="0" w:tplc="11BEE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7"/>
  </w:num>
  <w:num w:numId="5">
    <w:abstractNumId w:val="3"/>
  </w:num>
  <w:num w:numId="6">
    <w:abstractNumId w:val="0"/>
  </w:num>
  <w:num w:numId="7">
    <w:abstractNumId w:val="5"/>
  </w:num>
  <w:num w:numId="8">
    <w:abstractNumId w:val="8"/>
    <w:lvlOverride w:ilvl="0">
      <w:startOverride w:val="1"/>
    </w:lvlOverride>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0B46"/>
    <w:rsid w:val="00036039"/>
    <w:rsid w:val="00037F90"/>
    <w:rsid w:val="00063A79"/>
    <w:rsid w:val="000875BF"/>
    <w:rsid w:val="00090D45"/>
    <w:rsid w:val="00096D8C"/>
    <w:rsid w:val="000C0B65"/>
    <w:rsid w:val="000E05FE"/>
    <w:rsid w:val="000E3D42"/>
    <w:rsid w:val="0010439D"/>
    <w:rsid w:val="00122BD5"/>
    <w:rsid w:val="00133F79"/>
    <w:rsid w:val="00162A9E"/>
    <w:rsid w:val="00165931"/>
    <w:rsid w:val="00194A66"/>
    <w:rsid w:val="001C0B46"/>
    <w:rsid w:val="001D6BCF"/>
    <w:rsid w:val="001E01CA"/>
    <w:rsid w:val="001E3E54"/>
    <w:rsid w:val="00257746"/>
    <w:rsid w:val="00261AFF"/>
    <w:rsid w:val="00271C2E"/>
    <w:rsid w:val="00275CF5"/>
    <w:rsid w:val="0028301F"/>
    <w:rsid w:val="00285017"/>
    <w:rsid w:val="002A2D2E"/>
    <w:rsid w:val="002A4B78"/>
    <w:rsid w:val="002A6A84"/>
    <w:rsid w:val="002B1192"/>
    <w:rsid w:val="002C00E8"/>
    <w:rsid w:val="002F7D1F"/>
    <w:rsid w:val="00343749"/>
    <w:rsid w:val="003660ED"/>
    <w:rsid w:val="003A2D09"/>
    <w:rsid w:val="003A7AB5"/>
    <w:rsid w:val="003B0550"/>
    <w:rsid w:val="003B694F"/>
    <w:rsid w:val="003F171C"/>
    <w:rsid w:val="003F1C56"/>
    <w:rsid w:val="00412FC5"/>
    <w:rsid w:val="00422276"/>
    <w:rsid w:val="004242F1"/>
    <w:rsid w:val="00434E20"/>
    <w:rsid w:val="00445A00"/>
    <w:rsid w:val="00447B38"/>
    <w:rsid w:val="00451B0F"/>
    <w:rsid w:val="0047069F"/>
    <w:rsid w:val="004C2EE3"/>
    <w:rsid w:val="004E4A22"/>
    <w:rsid w:val="004F22CD"/>
    <w:rsid w:val="004F6262"/>
    <w:rsid w:val="00511968"/>
    <w:rsid w:val="0055614C"/>
    <w:rsid w:val="005B5394"/>
    <w:rsid w:val="005C0ABC"/>
    <w:rsid w:val="005E14C2"/>
    <w:rsid w:val="00607BA5"/>
    <w:rsid w:val="0061180A"/>
    <w:rsid w:val="00626EB6"/>
    <w:rsid w:val="00655D03"/>
    <w:rsid w:val="006638A6"/>
    <w:rsid w:val="00683388"/>
    <w:rsid w:val="00683F84"/>
    <w:rsid w:val="006A6A81"/>
    <w:rsid w:val="006F7393"/>
    <w:rsid w:val="0070224F"/>
    <w:rsid w:val="007115F7"/>
    <w:rsid w:val="00785689"/>
    <w:rsid w:val="00796326"/>
    <w:rsid w:val="0079754B"/>
    <w:rsid w:val="007A1E6D"/>
    <w:rsid w:val="007B0EB2"/>
    <w:rsid w:val="0080418A"/>
    <w:rsid w:val="00810B6F"/>
    <w:rsid w:val="00822CE0"/>
    <w:rsid w:val="0084175A"/>
    <w:rsid w:val="00841AB1"/>
    <w:rsid w:val="00847141"/>
    <w:rsid w:val="008A5AEA"/>
    <w:rsid w:val="008C06C6"/>
    <w:rsid w:val="008C6075"/>
    <w:rsid w:val="008C68F1"/>
    <w:rsid w:val="008C6BCF"/>
    <w:rsid w:val="008D20B6"/>
    <w:rsid w:val="00921803"/>
    <w:rsid w:val="00926503"/>
    <w:rsid w:val="00944674"/>
    <w:rsid w:val="009726D8"/>
    <w:rsid w:val="009A03CA"/>
    <w:rsid w:val="009F63D0"/>
    <w:rsid w:val="009F76DB"/>
    <w:rsid w:val="00A12FB9"/>
    <w:rsid w:val="00A32C3B"/>
    <w:rsid w:val="00A416A7"/>
    <w:rsid w:val="00A4361E"/>
    <w:rsid w:val="00A45F4F"/>
    <w:rsid w:val="00A600A9"/>
    <w:rsid w:val="00A90433"/>
    <w:rsid w:val="00AA55B7"/>
    <w:rsid w:val="00AA5B9E"/>
    <w:rsid w:val="00AB2407"/>
    <w:rsid w:val="00AB53DF"/>
    <w:rsid w:val="00B07E5C"/>
    <w:rsid w:val="00B41A43"/>
    <w:rsid w:val="00B41A7A"/>
    <w:rsid w:val="00B811F7"/>
    <w:rsid w:val="00BA0ED8"/>
    <w:rsid w:val="00BA5DC6"/>
    <w:rsid w:val="00BA6196"/>
    <w:rsid w:val="00BC6D8C"/>
    <w:rsid w:val="00C34006"/>
    <w:rsid w:val="00C426B1"/>
    <w:rsid w:val="00C66160"/>
    <w:rsid w:val="00C721AC"/>
    <w:rsid w:val="00C90D6A"/>
    <w:rsid w:val="00C923A0"/>
    <w:rsid w:val="00C9554B"/>
    <w:rsid w:val="00CA20C9"/>
    <w:rsid w:val="00CA247E"/>
    <w:rsid w:val="00CC72B6"/>
    <w:rsid w:val="00CE14A6"/>
    <w:rsid w:val="00D0218D"/>
    <w:rsid w:val="00D12D53"/>
    <w:rsid w:val="00D25FB5"/>
    <w:rsid w:val="00D44223"/>
    <w:rsid w:val="00D51B7E"/>
    <w:rsid w:val="00D84721"/>
    <w:rsid w:val="00D92E11"/>
    <w:rsid w:val="00DA2529"/>
    <w:rsid w:val="00DB130A"/>
    <w:rsid w:val="00DB2EBB"/>
    <w:rsid w:val="00DC10A1"/>
    <w:rsid w:val="00DC655F"/>
    <w:rsid w:val="00DD0B59"/>
    <w:rsid w:val="00DD7EBD"/>
    <w:rsid w:val="00DF62B6"/>
    <w:rsid w:val="00DF62C0"/>
    <w:rsid w:val="00E009BC"/>
    <w:rsid w:val="00E07225"/>
    <w:rsid w:val="00E5409F"/>
    <w:rsid w:val="00E801E9"/>
    <w:rsid w:val="00EE6488"/>
    <w:rsid w:val="00F021FA"/>
    <w:rsid w:val="00F33092"/>
    <w:rsid w:val="00F62E97"/>
    <w:rsid w:val="00F64209"/>
    <w:rsid w:val="00F72A9B"/>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A84"/>
    <w:pPr>
      <w:widowControl w:val="0"/>
    </w:pPr>
    <w:rPr>
      <w:snapToGrid w:val="0"/>
      <w:kern w:val="28"/>
      <w:sz w:val="22"/>
    </w:rPr>
  </w:style>
  <w:style w:type="paragraph" w:styleId="Heading1">
    <w:name w:val="heading 1"/>
    <w:basedOn w:val="Normal"/>
    <w:next w:val="ParaNum"/>
    <w:qFormat/>
    <w:rsid w:val="002A6A8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A6A84"/>
    <w:pPr>
      <w:keepNext/>
      <w:numPr>
        <w:ilvl w:val="1"/>
        <w:numId w:val="3"/>
      </w:numPr>
      <w:spacing w:after="120"/>
      <w:outlineLvl w:val="1"/>
    </w:pPr>
    <w:rPr>
      <w:b/>
    </w:rPr>
  </w:style>
  <w:style w:type="paragraph" w:styleId="Heading3">
    <w:name w:val="heading 3"/>
    <w:basedOn w:val="Normal"/>
    <w:next w:val="ParaNum"/>
    <w:qFormat/>
    <w:rsid w:val="002A6A84"/>
    <w:pPr>
      <w:keepNext/>
      <w:numPr>
        <w:ilvl w:val="2"/>
        <w:numId w:val="3"/>
      </w:numPr>
      <w:tabs>
        <w:tab w:val="left" w:pos="2160"/>
      </w:tabs>
      <w:spacing w:after="120"/>
      <w:outlineLvl w:val="2"/>
    </w:pPr>
    <w:rPr>
      <w:b/>
    </w:rPr>
  </w:style>
  <w:style w:type="paragraph" w:styleId="Heading4">
    <w:name w:val="heading 4"/>
    <w:basedOn w:val="Normal"/>
    <w:next w:val="ParaNum"/>
    <w:qFormat/>
    <w:rsid w:val="002A6A84"/>
    <w:pPr>
      <w:keepNext/>
      <w:numPr>
        <w:ilvl w:val="3"/>
        <w:numId w:val="3"/>
      </w:numPr>
      <w:tabs>
        <w:tab w:val="left" w:pos="2880"/>
      </w:tabs>
      <w:spacing w:after="120"/>
      <w:outlineLvl w:val="3"/>
    </w:pPr>
    <w:rPr>
      <w:b/>
    </w:rPr>
  </w:style>
  <w:style w:type="paragraph" w:styleId="Heading5">
    <w:name w:val="heading 5"/>
    <w:basedOn w:val="Normal"/>
    <w:next w:val="ParaNum"/>
    <w:qFormat/>
    <w:rsid w:val="002A6A8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A6A84"/>
    <w:pPr>
      <w:numPr>
        <w:ilvl w:val="5"/>
        <w:numId w:val="3"/>
      </w:numPr>
      <w:tabs>
        <w:tab w:val="left" w:pos="4320"/>
      </w:tabs>
      <w:spacing w:after="120"/>
      <w:outlineLvl w:val="5"/>
    </w:pPr>
    <w:rPr>
      <w:b/>
    </w:rPr>
  </w:style>
  <w:style w:type="paragraph" w:styleId="Heading7">
    <w:name w:val="heading 7"/>
    <w:basedOn w:val="Normal"/>
    <w:next w:val="ParaNum"/>
    <w:qFormat/>
    <w:rsid w:val="002A6A8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A6A8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A6A8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A6A8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6A84"/>
  </w:style>
  <w:style w:type="paragraph" w:customStyle="1" w:styleId="ParaNum">
    <w:name w:val="ParaNum"/>
    <w:basedOn w:val="Normal"/>
    <w:link w:val="ParaNumCharChar1"/>
    <w:rsid w:val="002A6A84"/>
    <w:pPr>
      <w:numPr>
        <w:numId w:val="2"/>
      </w:numPr>
      <w:tabs>
        <w:tab w:val="clear" w:pos="1080"/>
        <w:tab w:val="num" w:pos="1440"/>
      </w:tabs>
      <w:spacing w:after="120"/>
    </w:pPr>
  </w:style>
  <w:style w:type="paragraph" w:styleId="EndnoteText">
    <w:name w:val="endnote text"/>
    <w:basedOn w:val="Normal"/>
    <w:semiHidden/>
    <w:rsid w:val="002A6A84"/>
    <w:rPr>
      <w:sz w:val="20"/>
    </w:rPr>
  </w:style>
  <w:style w:type="character" w:styleId="EndnoteReference">
    <w:name w:val="endnote reference"/>
    <w:semiHidden/>
    <w:rsid w:val="002A6A84"/>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2A6A84"/>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2A6A84"/>
    <w:rPr>
      <w:rFonts w:ascii="Times New Roman" w:hAnsi="Times New Roman"/>
      <w:dstrike w:val="0"/>
      <w:color w:val="auto"/>
      <w:sz w:val="20"/>
      <w:vertAlign w:val="superscript"/>
    </w:rPr>
  </w:style>
  <w:style w:type="paragraph" w:styleId="TOC1">
    <w:name w:val="toc 1"/>
    <w:basedOn w:val="Normal"/>
    <w:next w:val="Normal"/>
    <w:semiHidden/>
    <w:rsid w:val="002A6A8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A6A84"/>
    <w:pPr>
      <w:tabs>
        <w:tab w:val="left" w:pos="720"/>
        <w:tab w:val="right" w:leader="dot" w:pos="9360"/>
      </w:tabs>
      <w:suppressAutoHyphens/>
      <w:ind w:left="720" w:right="720" w:hanging="360"/>
    </w:pPr>
    <w:rPr>
      <w:noProof/>
    </w:rPr>
  </w:style>
  <w:style w:type="paragraph" w:styleId="TOC3">
    <w:name w:val="toc 3"/>
    <w:basedOn w:val="Normal"/>
    <w:next w:val="Normal"/>
    <w:semiHidden/>
    <w:rsid w:val="002A6A8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A6A8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A6A8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A6A8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A6A8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A6A8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A6A8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A6A84"/>
    <w:pPr>
      <w:tabs>
        <w:tab w:val="right" w:pos="9360"/>
      </w:tabs>
      <w:suppressAutoHyphens/>
    </w:pPr>
  </w:style>
  <w:style w:type="character" w:customStyle="1" w:styleId="EquationCaption">
    <w:name w:val="_Equation Caption"/>
    <w:rsid w:val="002A6A84"/>
  </w:style>
  <w:style w:type="paragraph" w:styleId="Header">
    <w:name w:val="header"/>
    <w:basedOn w:val="Normal"/>
    <w:link w:val="HeaderChar"/>
    <w:autoRedefine/>
    <w:rsid w:val="002A6A84"/>
    <w:pPr>
      <w:tabs>
        <w:tab w:val="center" w:pos="4680"/>
        <w:tab w:val="right" w:pos="9360"/>
      </w:tabs>
    </w:pPr>
    <w:rPr>
      <w:b/>
    </w:rPr>
  </w:style>
  <w:style w:type="paragraph" w:styleId="Footer">
    <w:name w:val="footer"/>
    <w:basedOn w:val="Normal"/>
    <w:link w:val="FooterChar"/>
    <w:rsid w:val="002A6A84"/>
    <w:pPr>
      <w:tabs>
        <w:tab w:val="center" w:pos="4320"/>
        <w:tab w:val="right" w:pos="8640"/>
      </w:tabs>
    </w:pPr>
  </w:style>
  <w:style w:type="character" w:styleId="PageNumber">
    <w:name w:val="page number"/>
    <w:basedOn w:val="DefaultParagraphFont"/>
    <w:rsid w:val="002A6A84"/>
  </w:style>
  <w:style w:type="paragraph" w:styleId="BlockText">
    <w:name w:val="Block Text"/>
    <w:basedOn w:val="Normal"/>
    <w:rsid w:val="002A6A84"/>
    <w:pPr>
      <w:spacing w:after="240"/>
      <w:ind w:left="1440" w:right="1440"/>
    </w:pPr>
  </w:style>
  <w:style w:type="paragraph" w:customStyle="1" w:styleId="Paratitle">
    <w:name w:val="Para title"/>
    <w:basedOn w:val="Normal"/>
    <w:rsid w:val="002A6A84"/>
    <w:pPr>
      <w:tabs>
        <w:tab w:val="center" w:pos="9270"/>
      </w:tabs>
      <w:spacing w:after="240"/>
    </w:pPr>
    <w:rPr>
      <w:spacing w:val="-2"/>
    </w:rPr>
  </w:style>
  <w:style w:type="paragraph" w:customStyle="1" w:styleId="Bullet">
    <w:name w:val="Bullet"/>
    <w:basedOn w:val="Normal"/>
    <w:rsid w:val="002A6A84"/>
    <w:pPr>
      <w:tabs>
        <w:tab w:val="left" w:pos="2160"/>
      </w:tabs>
      <w:spacing w:after="220"/>
      <w:ind w:left="2160" w:hanging="720"/>
    </w:pPr>
  </w:style>
  <w:style w:type="paragraph" w:customStyle="1" w:styleId="TableFormat">
    <w:name w:val="TableFormat"/>
    <w:basedOn w:val="Bullet"/>
    <w:rsid w:val="002A6A84"/>
    <w:pPr>
      <w:tabs>
        <w:tab w:val="clear" w:pos="2160"/>
        <w:tab w:val="left" w:pos="5040"/>
      </w:tabs>
      <w:ind w:left="5040" w:hanging="3600"/>
    </w:pPr>
  </w:style>
  <w:style w:type="paragraph" w:customStyle="1" w:styleId="TOCTitle">
    <w:name w:val="TOC Title"/>
    <w:basedOn w:val="Normal"/>
    <w:rsid w:val="002A6A8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A6A84"/>
    <w:pPr>
      <w:jc w:val="center"/>
    </w:pPr>
    <w:rPr>
      <w:rFonts w:ascii="Times New Roman Bold" w:hAnsi="Times New Roman Bold"/>
      <w:b/>
      <w:bCs/>
      <w:caps/>
      <w:szCs w:val="22"/>
    </w:rPr>
  </w:style>
  <w:style w:type="character" w:styleId="Hyperlink">
    <w:name w:val="Hyperlink"/>
    <w:rsid w:val="002A6A84"/>
    <w:rPr>
      <w:color w:val="0000FF"/>
      <w:u w:val="single"/>
    </w:rPr>
  </w:style>
  <w:style w:type="paragraph" w:styleId="ListParagraph">
    <w:name w:val="List Paragraph"/>
    <w:basedOn w:val="Normal"/>
    <w:uiPriority w:val="34"/>
    <w:qFormat/>
    <w:rsid w:val="001C0B46"/>
    <w:pPr>
      <w:widowControl/>
      <w:spacing w:after="160" w:line="259" w:lineRule="auto"/>
      <w:ind w:left="720"/>
      <w:contextualSpacing/>
    </w:pPr>
    <w:rPr>
      <w:rFonts w:ascii="Calibri" w:eastAsia="Calibri" w:hAnsi="Calibri"/>
      <w:snapToGrid/>
      <w:kern w:val="0"/>
      <w:szCs w:val="22"/>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1C0B46"/>
  </w:style>
  <w:style w:type="character" w:customStyle="1" w:styleId="ParaNumCharChar1">
    <w:name w:val="ParaNum Char Char1"/>
    <w:link w:val="ParaNum"/>
    <w:locked/>
    <w:rsid w:val="001C0B46"/>
    <w:rPr>
      <w:snapToGrid w:val="0"/>
      <w:kern w:val="28"/>
      <w:sz w:val="22"/>
    </w:rPr>
  </w:style>
  <w:style w:type="character" w:customStyle="1" w:styleId="HeaderChar">
    <w:name w:val="Header Char"/>
    <w:link w:val="Header"/>
    <w:rsid w:val="001C0B46"/>
    <w:rPr>
      <w:b/>
      <w:snapToGrid w:val="0"/>
      <w:kern w:val="28"/>
      <w:sz w:val="22"/>
    </w:rPr>
  </w:style>
  <w:style w:type="character" w:customStyle="1" w:styleId="FooterChar">
    <w:name w:val="Footer Char"/>
    <w:link w:val="Footer"/>
    <w:rsid w:val="001C0B46"/>
    <w:rPr>
      <w:snapToGrid w:val="0"/>
      <w:kern w:val="28"/>
      <w:sz w:val="22"/>
    </w:rPr>
  </w:style>
  <w:style w:type="character" w:customStyle="1" w:styleId="Heading2Char">
    <w:name w:val="Heading 2 Char"/>
    <w:link w:val="Heading2"/>
    <w:rsid w:val="001C0B46"/>
    <w:rPr>
      <w:b/>
      <w:snapToGrid w:val="0"/>
      <w:kern w:val="28"/>
      <w:sz w:val="22"/>
    </w:rPr>
  </w:style>
  <w:style w:type="paragraph" w:styleId="NormalWeb">
    <w:name w:val="Normal (Web)"/>
    <w:basedOn w:val="Normal"/>
    <w:uiPriority w:val="99"/>
    <w:unhideWhenUsed/>
    <w:rsid w:val="001C0B46"/>
    <w:pPr>
      <w:widowControl/>
      <w:spacing w:before="100" w:beforeAutospacing="1" w:after="100" w:afterAutospacing="1"/>
    </w:pPr>
    <w:rPr>
      <w:snapToGrid/>
      <w:kern w:val="0"/>
      <w:sz w:val="24"/>
      <w:szCs w:val="24"/>
    </w:rPr>
  </w:style>
  <w:style w:type="character" w:customStyle="1" w:styleId="apple-converted-space">
    <w:name w:val="apple-converted-space"/>
    <w:rsid w:val="001C0B46"/>
  </w:style>
  <w:style w:type="character" w:customStyle="1" w:styleId="Footnote">
    <w:name w:val="Footnote"/>
    <w:rsid w:val="001C0B46"/>
    <w:rPr>
      <w:rFonts w:cs="Times New Roman"/>
    </w:rPr>
  </w:style>
  <w:style w:type="paragraph" w:styleId="BalloonText">
    <w:name w:val="Balloon Text"/>
    <w:basedOn w:val="Normal"/>
    <w:link w:val="BalloonTextChar"/>
    <w:rsid w:val="002A4B78"/>
    <w:rPr>
      <w:rFonts w:ascii="Segoe UI" w:hAnsi="Segoe UI" w:cs="Segoe UI"/>
      <w:sz w:val="18"/>
      <w:szCs w:val="18"/>
    </w:rPr>
  </w:style>
  <w:style w:type="character" w:customStyle="1" w:styleId="BalloonTextChar">
    <w:name w:val="Balloon Text Char"/>
    <w:link w:val="BalloonText"/>
    <w:rsid w:val="002A4B78"/>
    <w:rPr>
      <w:rFonts w:ascii="Segoe UI" w:hAnsi="Segoe UI" w:cs="Segoe UI"/>
      <w:snapToGrid w:val="0"/>
      <w:kern w:val="28"/>
      <w:sz w:val="18"/>
      <w:szCs w:val="18"/>
    </w:rPr>
  </w:style>
  <w:style w:type="character" w:styleId="CommentReference">
    <w:name w:val="annotation reference"/>
    <w:rsid w:val="00E801E9"/>
    <w:rPr>
      <w:sz w:val="16"/>
      <w:szCs w:val="16"/>
    </w:rPr>
  </w:style>
  <w:style w:type="paragraph" w:styleId="CommentText">
    <w:name w:val="annotation text"/>
    <w:basedOn w:val="Normal"/>
    <w:link w:val="CommentTextChar"/>
    <w:rsid w:val="00E801E9"/>
    <w:rPr>
      <w:sz w:val="20"/>
    </w:rPr>
  </w:style>
  <w:style w:type="character" w:customStyle="1" w:styleId="CommentTextChar">
    <w:name w:val="Comment Text Char"/>
    <w:link w:val="CommentText"/>
    <w:rsid w:val="00E801E9"/>
    <w:rPr>
      <w:snapToGrid w:val="0"/>
      <w:kern w:val="28"/>
    </w:rPr>
  </w:style>
  <w:style w:type="paragraph" w:styleId="CommentSubject">
    <w:name w:val="annotation subject"/>
    <w:basedOn w:val="CommentText"/>
    <w:next w:val="CommentText"/>
    <w:link w:val="CommentSubjectChar"/>
    <w:rsid w:val="00E801E9"/>
    <w:rPr>
      <w:b/>
      <w:bCs/>
    </w:rPr>
  </w:style>
  <w:style w:type="character" w:customStyle="1" w:styleId="CommentSubjectChar">
    <w:name w:val="Comment Subject Char"/>
    <w:link w:val="CommentSubject"/>
    <w:rsid w:val="00E801E9"/>
    <w:rPr>
      <w:b/>
      <w:bCs/>
      <w:snapToGrid w:val="0"/>
      <w:kern w:val="28"/>
    </w:rPr>
  </w:style>
  <w:style w:type="paragraph" w:styleId="Revision">
    <w:name w:val="Revision"/>
    <w:hidden/>
    <w:uiPriority w:val="99"/>
    <w:semiHidden/>
    <w:rsid w:val="0084714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cgi-bin/sssd/naics/naicsrch" TargetMode="External"/><Relationship Id="rId13" Type="http://schemas.openxmlformats.org/officeDocument/2006/relationships/hyperlink" Target="http://www.census.gov/cgi-bin/ssd/naics/naiscsrch" TargetMode="External"/><Relationship Id="rId18" Type="http://schemas.openxmlformats.org/officeDocument/2006/relationships/hyperlink" Target="http://www.snl.com/InteractiveX/TopCableMSOs.aspx?period=2012Q4&amp;sortcol=subscribersbasic&amp;sortorder=desc" TargetMode="External"/><Relationship Id="rId3" Type="http://schemas.openxmlformats.org/officeDocument/2006/relationships/hyperlink" Target="http://www2.census.gov/library/publications/2011/compendia/statab/131ed/2012-statab.pdf" TargetMode="External"/><Relationship Id="rId7" Type="http://schemas.openxmlformats.org/officeDocument/2006/relationships/hyperlink" Target="http://factfinder.census.gov/faces/tableservices/jsf/pages/productview.xhtml?pid=ECN_2012_US_51SSSZ2&amp;prodType=table" TargetMode="External"/><Relationship Id="rId12" Type="http://schemas.openxmlformats.org/officeDocument/2006/relationships/hyperlink" Target="http://www.census.gov/cgi-bin/ssd/naics/naicsrch" TargetMode="External"/><Relationship Id="rId17" Type="http://schemas.openxmlformats.org/officeDocument/2006/relationships/hyperlink" Target="http://www.ncta.com/Statistics.aspx" TargetMode="External"/><Relationship Id="rId2" Type="http://schemas.openxmlformats.org/officeDocument/2006/relationships/hyperlink" Target="https://www.sba.gov/sites/default/files/advocacy/SB-FAQ-2016_WEB.pdf" TargetMode="External"/><Relationship Id="rId16" Type="http://schemas.openxmlformats.org/officeDocument/2006/relationships/hyperlink" Target="http://factfinder.census.gov/faces/table" TargetMode="External"/><Relationship Id="rId20" Type="http://schemas.openxmlformats.org/officeDocument/2006/relationships/hyperlink" Target="http://www.census.gov/cgi-bin/ssssd/naics/naicsrch" TargetMode="External"/><Relationship Id="rId1" Type="http://schemas.openxmlformats.org/officeDocument/2006/relationships/hyperlink" Target="https://www.sba.gov/sites/default/files/advocacy/SB-FAQ-2016_WEB.pdf" TargetMode="External"/><Relationship Id="rId6" Type="http://schemas.openxmlformats.org/officeDocument/2006/relationships/hyperlink" Target="http://www.census.gov/cgi-bin/sssd/naics/naicsrch?code=517919&amp;search=2012%20NAICS%20Search" TargetMode="External"/><Relationship Id="rId11" Type="http://schemas.openxmlformats.org/officeDocument/2006/relationships/hyperlink" Target="http://factfinder.census.gov/faces/tableservices/jsf/pages/productview.xhtml?pid=ECN_2012_US_51SSSZ5&amp;prodType=table" TargetMode="External"/><Relationship Id="rId5" Type="http://schemas.openxmlformats.org/officeDocument/2006/relationships/hyperlink" Target="http://www.census.gov/cgi-bin/sssd/naics/naicsrch?code=517110&amp;search=2012%20NAICS%20Search" TargetMode="External"/><Relationship Id="rId15" Type="http://schemas.openxmlformats.org/officeDocument/2006/relationships/hyperlink" Target="http://factfinder.census.gov/faces/tableservices/jsf/pages/productview.xhtml?pid=ECN_2012_US_51I2&amp;prodType=table" TargetMode="External"/><Relationship Id="rId10" Type="http://schemas.openxmlformats.org/officeDocument/2006/relationships/hyperlink" Target="http://factfinder.census.gov/faces/tableservices/jsf/pages/productview.xhtml?pid=ECN_2012_US_51SSSZ5&amp;prodType=table" TargetMode="External"/><Relationship Id="rId19" Type="http://schemas.openxmlformats.org/officeDocument/2006/relationships/hyperlink" Target="http://www.snl.com/Interactivex/TopCable" TargetMode="External"/><Relationship Id="rId4" Type="http://schemas.openxmlformats.org/officeDocument/2006/relationships/hyperlink" Target="http://www.census.gov/popest/data/cities/totals/2011/index.html" TargetMode="External"/><Relationship Id="rId9" Type="http://schemas.openxmlformats.org/officeDocument/2006/relationships/hyperlink" Target="http://factfinder.census.gov/faces/tableservices/jsf/pages/productview.xhtml?pid=ECN_2012_US_51SSSZ2&amp;prodType=table" TargetMode="External"/><Relationship Id="rId14" Type="http://schemas.openxmlformats.org/officeDocument/2006/relationships/hyperlink" Target="http://factfinder.census.gov/faces/tableservices/jsf/pages/productview.xhtml?pid=ECN_2012_US_51SSSZ5&amp;prodType=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6634</Words>
  <Characters>37901</Characters>
  <Application>Microsoft Office Word</Application>
  <DocSecurity>0</DocSecurity>
  <Lines>522</Lines>
  <Paragraphs>93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44716</CharactersWithSpaces>
  <SharedDoc>false</SharedDoc>
  <HyperlinkBase> </HyperlinkBase>
  <HLinks>
    <vt:vector size="144" baseType="variant">
      <vt:variant>
        <vt:i4>2818085</vt:i4>
      </vt:variant>
      <vt:variant>
        <vt:i4>69</vt:i4>
      </vt:variant>
      <vt:variant>
        <vt:i4>0</vt:i4>
      </vt:variant>
      <vt:variant>
        <vt:i4>5</vt:i4>
      </vt:variant>
      <vt:variant>
        <vt:lpwstr>http://www.census.gov/cgi-bin/ssssd/naics/naicsrch</vt:lpwstr>
      </vt:variant>
      <vt:variant>
        <vt:lpwstr/>
      </vt:variant>
      <vt:variant>
        <vt:i4>1966153</vt:i4>
      </vt:variant>
      <vt:variant>
        <vt:i4>66</vt:i4>
      </vt:variant>
      <vt:variant>
        <vt:i4>0</vt:i4>
      </vt:variant>
      <vt:variant>
        <vt:i4>5</vt:i4>
      </vt:variant>
      <vt:variant>
        <vt:lpwstr>http://www.snl.com/Interactivex/TopCable</vt:lpwstr>
      </vt:variant>
      <vt:variant>
        <vt:lpwstr/>
      </vt:variant>
      <vt:variant>
        <vt:i4>3932273</vt:i4>
      </vt:variant>
      <vt:variant>
        <vt:i4>63</vt:i4>
      </vt:variant>
      <vt:variant>
        <vt:i4>0</vt:i4>
      </vt:variant>
      <vt:variant>
        <vt:i4>5</vt:i4>
      </vt:variant>
      <vt:variant>
        <vt:lpwstr>http://www.snl.com/InteractiveX/TopCableMSOs.aspx?period=2012Q4&amp;sortcol=subscribersbasic&amp;sortorder=desc</vt:lpwstr>
      </vt:variant>
      <vt:variant>
        <vt:lpwstr/>
      </vt:variant>
      <vt:variant>
        <vt:i4>2556013</vt:i4>
      </vt:variant>
      <vt:variant>
        <vt:i4>60</vt:i4>
      </vt:variant>
      <vt:variant>
        <vt:i4>0</vt:i4>
      </vt:variant>
      <vt:variant>
        <vt:i4>5</vt:i4>
      </vt:variant>
      <vt:variant>
        <vt:lpwstr>http://www.ncta.com/Statistics.aspx</vt:lpwstr>
      </vt:variant>
      <vt:variant>
        <vt:lpwstr/>
      </vt:variant>
      <vt:variant>
        <vt:i4>1835091</vt:i4>
      </vt:variant>
      <vt:variant>
        <vt:i4>57</vt:i4>
      </vt:variant>
      <vt:variant>
        <vt:i4>0</vt:i4>
      </vt:variant>
      <vt:variant>
        <vt:i4>5</vt:i4>
      </vt:variant>
      <vt:variant>
        <vt:lpwstr>http://factfinder.census.gov/faces/table</vt:lpwstr>
      </vt:variant>
      <vt:variant>
        <vt:lpwstr/>
      </vt:variant>
      <vt:variant>
        <vt:i4>2359324</vt:i4>
      </vt:variant>
      <vt:variant>
        <vt:i4>54</vt:i4>
      </vt:variant>
      <vt:variant>
        <vt:i4>0</vt:i4>
      </vt:variant>
      <vt:variant>
        <vt:i4>5</vt:i4>
      </vt:variant>
      <vt:variant>
        <vt:lpwstr>http://factfinder.census.gov/faces/tableservices/jsf/pages/productview.xhtml?pid=ECN_2012_US_51I2&amp;prodType=table</vt:lpwstr>
      </vt:variant>
      <vt:variant>
        <vt:lpwstr/>
      </vt:variant>
      <vt:variant>
        <vt:i4>786486</vt:i4>
      </vt:variant>
      <vt:variant>
        <vt:i4>51</vt:i4>
      </vt:variant>
      <vt:variant>
        <vt:i4>0</vt:i4>
      </vt:variant>
      <vt:variant>
        <vt:i4>5</vt:i4>
      </vt:variant>
      <vt:variant>
        <vt:lpwstr>http://factfinder.census.gov/faces/tableservices/jsf/pages/productview.xhtml?pid=ECN_2012_US_51SSSZ5&amp;prodType=table</vt:lpwstr>
      </vt:variant>
      <vt:variant>
        <vt:lpwstr/>
      </vt:variant>
      <vt:variant>
        <vt:i4>4325463</vt:i4>
      </vt:variant>
      <vt:variant>
        <vt:i4>48</vt:i4>
      </vt:variant>
      <vt:variant>
        <vt:i4>0</vt:i4>
      </vt:variant>
      <vt:variant>
        <vt:i4>5</vt:i4>
      </vt:variant>
      <vt:variant>
        <vt:lpwstr>http://www.census.gov/cgi-bin/ssd/naics/naiscsrch</vt:lpwstr>
      </vt:variant>
      <vt:variant>
        <vt:lpwstr/>
      </vt:variant>
      <vt:variant>
        <vt:i4>786486</vt:i4>
      </vt:variant>
      <vt:variant>
        <vt:i4>45</vt:i4>
      </vt:variant>
      <vt:variant>
        <vt:i4>0</vt:i4>
      </vt:variant>
      <vt:variant>
        <vt:i4>5</vt:i4>
      </vt:variant>
      <vt:variant>
        <vt:lpwstr>http://factfinder.census.gov/faces/tableservices/jsf/pages/productview.xhtml?pid=ECN_2012_US_51SSSZ5&amp;prodType=table</vt:lpwstr>
      </vt:variant>
      <vt:variant>
        <vt:lpwstr/>
      </vt:variant>
      <vt:variant>
        <vt:i4>786486</vt:i4>
      </vt:variant>
      <vt:variant>
        <vt:i4>42</vt:i4>
      </vt:variant>
      <vt:variant>
        <vt:i4>0</vt:i4>
      </vt:variant>
      <vt:variant>
        <vt:i4>5</vt:i4>
      </vt:variant>
      <vt:variant>
        <vt:lpwstr>http://factfinder.census.gov/faces/tableservices/jsf/pages/productview.xhtml?pid=ECN_2012_US_51SSSZ5&amp;prodType=table</vt:lpwstr>
      </vt:variant>
      <vt:variant>
        <vt:lpwstr/>
      </vt:variant>
      <vt:variant>
        <vt:i4>5767254</vt:i4>
      </vt:variant>
      <vt:variant>
        <vt:i4>39</vt:i4>
      </vt:variant>
      <vt:variant>
        <vt:i4>0</vt:i4>
      </vt:variant>
      <vt:variant>
        <vt:i4>5</vt:i4>
      </vt:variant>
      <vt:variant>
        <vt:lpwstr>http://www.census.gov/cgi-bin/ssd/naics/naicsrch</vt:lpwstr>
      </vt:variant>
      <vt:variant>
        <vt:lpwstr/>
      </vt:variant>
      <vt:variant>
        <vt:i4>786486</vt:i4>
      </vt:variant>
      <vt:variant>
        <vt:i4>36</vt:i4>
      </vt:variant>
      <vt:variant>
        <vt:i4>0</vt:i4>
      </vt:variant>
      <vt:variant>
        <vt:i4>5</vt:i4>
      </vt:variant>
      <vt:variant>
        <vt:lpwstr>http://factfinder.census.gov/faces/tableservices/jsf/pages/productview.xhtml?pid=ECN_2012_US_51SSSZ5&amp;prodType=table</vt:lpwstr>
      </vt:variant>
      <vt:variant>
        <vt:lpwstr/>
      </vt:variant>
      <vt:variant>
        <vt:i4>786486</vt:i4>
      </vt:variant>
      <vt:variant>
        <vt:i4>33</vt:i4>
      </vt:variant>
      <vt:variant>
        <vt:i4>0</vt:i4>
      </vt:variant>
      <vt:variant>
        <vt:i4>5</vt:i4>
      </vt:variant>
      <vt:variant>
        <vt:lpwstr>http://factfinder.census.gov/faces/tableservices/jsf/pages/productview.xhtml?pid=ECN_2012_US_51SSSZ5&amp;prodType=table</vt:lpwstr>
      </vt:variant>
      <vt:variant>
        <vt:lpwstr/>
      </vt:variant>
      <vt:variant>
        <vt:i4>786486</vt:i4>
      </vt:variant>
      <vt:variant>
        <vt:i4>30</vt:i4>
      </vt:variant>
      <vt:variant>
        <vt:i4>0</vt:i4>
      </vt:variant>
      <vt:variant>
        <vt:i4>5</vt:i4>
      </vt:variant>
      <vt:variant>
        <vt:lpwstr>http://factfinder.census.gov/faces/tableservices/jsf/pages/productview.xhtml?pid=ECN_2012_US_51SSSZ5&amp;prodType=table</vt:lpwstr>
      </vt:variant>
      <vt:variant>
        <vt:lpwstr/>
      </vt:variant>
      <vt:variant>
        <vt:i4>720950</vt:i4>
      </vt:variant>
      <vt:variant>
        <vt:i4>27</vt:i4>
      </vt:variant>
      <vt:variant>
        <vt:i4>0</vt:i4>
      </vt:variant>
      <vt:variant>
        <vt:i4>5</vt:i4>
      </vt:variant>
      <vt:variant>
        <vt:lpwstr>http://factfinder.census.gov/faces/tableservices/jsf/pages/productview.xhtml?pid=ECN_2012_US_51SSSZ2&amp;prodType=table</vt:lpwstr>
      </vt:variant>
      <vt:variant>
        <vt:lpwstr/>
      </vt:variant>
      <vt:variant>
        <vt:i4>4522064</vt:i4>
      </vt:variant>
      <vt:variant>
        <vt:i4>24</vt:i4>
      </vt:variant>
      <vt:variant>
        <vt:i4>0</vt:i4>
      </vt:variant>
      <vt:variant>
        <vt:i4>5</vt:i4>
      </vt:variant>
      <vt:variant>
        <vt:lpwstr>http://www.census.gov/cgi-bin/sssd/naics/naicsrch</vt:lpwstr>
      </vt:variant>
      <vt:variant>
        <vt:lpwstr/>
      </vt:variant>
      <vt:variant>
        <vt:i4>852022</vt:i4>
      </vt:variant>
      <vt:variant>
        <vt:i4>21</vt:i4>
      </vt:variant>
      <vt:variant>
        <vt:i4>0</vt:i4>
      </vt:variant>
      <vt:variant>
        <vt:i4>5</vt:i4>
      </vt:variant>
      <vt:variant>
        <vt:lpwstr>http://factfinder.census.gov/faces/tableservices/jsf/pages/productview.xhtml?pid=ECN_2012_US_51SSSZ4&amp;prodType=table</vt:lpwstr>
      </vt:variant>
      <vt:variant>
        <vt:lpwstr/>
      </vt:variant>
      <vt:variant>
        <vt:i4>720950</vt:i4>
      </vt:variant>
      <vt:variant>
        <vt:i4>18</vt:i4>
      </vt:variant>
      <vt:variant>
        <vt:i4>0</vt:i4>
      </vt:variant>
      <vt:variant>
        <vt:i4>5</vt:i4>
      </vt:variant>
      <vt:variant>
        <vt:lpwstr>http://factfinder.census.gov/faces/tableservices/jsf/pages/productview.xhtml?pid=ECN_2012_US_51SSSZ2&amp;prodType=table</vt:lpwstr>
      </vt:variant>
      <vt:variant>
        <vt:lpwstr/>
      </vt:variant>
      <vt:variant>
        <vt:i4>6553720</vt:i4>
      </vt:variant>
      <vt:variant>
        <vt:i4>15</vt:i4>
      </vt:variant>
      <vt:variant>
        <vt:i4>0</vt:i4>
      </vt:variant>
      <vt:variant>
        <vt:i4>5</vt:i4>
      </vt:variant>
      <vt:variant>
        <vt:lpwstr>http://www.census.gov/cgi-bin/sssd/naics/naicsrch?code=517919&amp;search=2012%20NAICS%20Search</vt:lpwstr>
      </vt:variant>
      <vt:variant>
        <vt:lpwstr/>
      </vt:variant>
      <vt:variant>
        <vt:i4>6553721</vt:i4>
      </vt:variant>
      <vt:variant>
        <vt:i4>12</vt:i4>
      </vt:variant>
      <vt:variant>
        <vt:i4>0</vt:i4>
      </vt:variant>
      <vt:variant>
        <vt:i4>5</vt:i4>
      </vt:variant>
      <vt:variant>
        <vt:lpwstr>http://www.census.gov/cgi-bin/sssd/naics/naicsrch?code=517110&amp;search=2012%20NAICS%20Search</vt:lpwstr>
      </vt:variant>
      <vt:variant>
        <vt:lpwstr/>
      </vt:variant>
      <vt:variant>
        <vt:i4>3997733</vt:i4>
      </vt:variant>
      <vt:variant>
        <vt:i4>9</vt:i4>
      </vt:variant>
      <vt:variant>
        <vt:i4>0</vt:i4>
      </vt:variant>
      <vt:variant>
        <vt:i4>5</vt:i4>
      </vt:variant>
      <vt:variant>
        <vt:lpwstr>http://www.census.gov/popest/data/cities/totals/2011/index.html</vt:lpwstr>
      </vt:variant>
      <vt:variant>
        <vt:lpwstr/>
      </vt:variant>
      <vt:variant>
        <vt:i4>2359343</vt:i4>
      </vt:variant>
      <vt:variant>
        <vt:i4>6</vt:i4>
      </vt:variant>
      <vt:variant>
        <vt:i4>0</vt:i4>
      </vt:variant>
      <vt:variant>
        <vt:i4>5</vt:i4>
      </vt:variant>
      <vt:variant>
        <vt:lpwstr>http://www2.census.gov/library/publications/2011/compendia/statab/131ed/2012-statab.pdf</vt:lpwstr>
      </vt:variant>
      <vt:variant>
        <vt:lpwstr/>
      </vt:variant>
      <vt:variant>
        <vt:i4>458867</vt:i4>
      </vt:variant>
      <vt:variant>
        <vt:i4>3</vt:i4>
      </vt:variant>
      <vt:variant>
        <vt:i4>0</vt:i4>
      </vt:variant>
      <vt:variant>
        <vt:i4>5</vt:i4>
      </vt:variant>
      <vt:variant>
        <vt:lpwstr>https://www.sba.gov/sites/default/files/advocacy/SB-FAQ-2016_WEB.pdf</vt:lpwstr>
      </vt:variant>
      <vt:variant>
        <vt:lpwstr/>
      </vt:variant>
      <vt:variant>
        <vt:i4>458867</vt:i4>
      </vt:variant>
      <vt:variant>
        <vt:i4>0</vt:i4>
      </vt:variant>
      <vt:variant>
        <vt:i4>0</vt:i4>
      </vt:variant>
      <vt:variant>
        <vt:i4>5</vt:i4>
      </vt:variant>
      <vt:variant>
        <vt:lpwstr>https://www.sba.gov/sites/default/files/advocacy/SB-FAQ-2016_WEB.pdf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2017-07-14T20:56:00Z</dcterms:created>
  <dcterms:modified xsi:type="dcterms:W3CDTF">2017-07-14T20:56:00Z</dcterms:modified>
  <cp:category> </cp:category>
  <cp:contentStatus> </cp:contentStatus>
</cp:coreProperties>
</file>