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A2" w:rsidRPr="001A2905" w:rsidRDefault="009D0D21" w:rsidP="00976DA2">
      <w:pPr>
        <w:jc w:val="center"/>
        <w:rPr>
          <w:b/>
        </w:rPr>
      </w:pPr>
      <w:bookmarkStart w:id="0" w:name="_GoBack"/>
      <w:bookmarkEnd w:id="0"/>
      <w:r>
        <w:rPr>
          <w:rFonts w:ascii="Times New Roman Bold" w:hAnsi="Times New Roman Bold"/>
          <w:b/>
        </w:rPr>
        <w:t>Bef</w:t>
      </w:r>
      <w:r w:rsidR="00976DA2" w:rsidRPr="001A2905">
        <w:rPr>
          <w:rFonts w:ascii="Times New Roman Bold" w:hAnsi="Times New Roman Bold"/>
          <w:b/>
        </w:rPr>
        <w:t>ore</w:t>
      </w:r>
      <w:r w:rsidR="00976DA2" w:rsidRPr="00A46336">
        <w:rPr>
          <w:b/>
        </w:rPr>
        <w:t xml:space="preserve"> </w:t>
      </w:r>
      <w:r w:rsidR="00976DA2" w:rsidRPr="001A2905">
        <w:rPr>
          <w:b/>
        </w:rPr>
        <w:t>the</w:t>
      </w:r>
    </w:p>
    <w:p w:rsidR="00976DA2" w:rsidRPr="001A2905" w:rsidRDefault="00976DA2" w:rsidP="00976DA2">
      <w:pPr>
        <w:jc w:val="center"/>
        <w:rPr>
          <w:rFonts w:ascii="Times New Roman Bold" w:hAnsi="Times New Roman Bold"/>
          <w:b/>
          <w:bCs/>
          <w:caps/>
        </w:rPr>
      </w:pPr>
      <w:r w:rsidRPr="001A2905">
        <w:rPr>
          <w:rFonts w:ascii="Times New Roman Bold" w:hAnsi="Times New Roman Bold"/>
          <w:b/>
          <w:bCs/>
          <w:caps/>
        </w:rPr>
        <w:t>F</w:t>
      </w:r>
      <w:r w:rsidRPr="001A2905">
        <w:rPr>
          <w:rFonts w:ascii="Times New Roman Bold" w:hAnsi="Times New Roman Bold"/>
          <w:b/>
          <w:bCs/>
        </w:rPr>
        <w:t>ederal Communications Commission</w:t>
      </w:r>
    </w:p>
    <w:p w:rsidR="00976DA2" w:rsidRPr="001A2905" w:rsidRDefault="00976DA2" w:rsidP="00976DA2">
      <w:pPr>
        <w:jc w:val="center"/>
        <w:rPr>
          <w:rFonts w:ascii="Times New Roman Bold" w:hAnsi="Times New Roman Bold"/>
          <w:b/>
          <w:bCs/>
          <w:caps/>
        </w:rPr>
      </w:pPr>
      <w:r w:rsidRPr="001A2905">
        <w:rPr>
          <w:rFonts w:ascii="Times New Roman Bold" w:hAnsi="Times New Roman Bold"/>
          <w:b/>
          <w:bCs/>
        </w:rPr>
        <w:t>Washington, D.C. 20554</w:t>
      </w:r>
    </w:p>
    <w:p w:rsidR="00976DA2" w:rsidRPr="001A2905" w:rsidRDefault="00976DA2" w:rsidP="00976DA2"/>
    <w:tbl>
      <w:tblPr>
        <w:tblW w:w="0" w:type="auto"/>
        <w:tblLayout w:type="fixed"/>
        <w:tblLook w:val="0000" w:firstRow="0" w:lastRow="0" w:firstColumn="0" w:lastColumn="0" w:noHBand="0" w:noVBand="0"/>
      </w:tblPr>
      <w:tblGrid>
        <w:gridCol w:w="4698"/>
        <w:gridCol w:w="630"/>
        <w:gridCol w:w="4248"/>
      </w:tblGrid>
      <w:tr w:rsidR="00976DA2" w:rsidRPr="001A2905" w:rsidTr="00F32307">
        <w:trPr>
          <w:trHeight w:val="1692"/>
        </w:trPr>
        <w:tc>
          <w:tcPr>
            <w:tcW w:w="4698" w:type="dxa"/>
          </w:tcPr>
          <w:p w:rsidR="00976DA2" w:rsidRPr="001A2905" w:rsidRDefault="00976DA2" w:rsidP="00F32307">
            <w:pPr>
              <w:tabs>
                <w:tab w:val="center" w:pos="4680"/>
              </w:tabs>
              <w:suppressAutoHyphens/>
              <w:rPr>
                <w:spacing w:val="-2"/>
              </w:rPr>
            </w:pPr>
            <w:r w:rsidRPr="001A2905">
              <w:rPr>
                <w:spacing w:val="-2"/>
              </w:rPr>
              <w:t>In the Matter of</w:t>
            </w:r>
          </w:p>
          <w:p w:rsidR="00976DA2" w:rsidRPr="001A2905" w:rsidRDefault="00976DA2" w:rsidP="00F32307">
            <w:pPr>
              <w:tabs>
                <w:tab w:val="center" w:pos="4680"/>
              </w:tabs>
              <w:suppressAutoHyphens/>
              <w:rPr>
                <w:spacing w:val="-2"/>
              </w:rPr>
            </w:pPr>
          </w:p>
          <w:p w:rsidR="00976DA2" w:rsidRPr="001A2905" w:rsidRDefault="00976DA2" w:rsidP="00F32307">
            <w:pPr>
              <w:tabs>
                <w:tab w:val="center" w:pos="4680"/>
              </w:tabs>
              <w:suppressAutoHyphens/>
              <w:rPr>
                <w:spacing w:val="-2"/>
              </w:rPr>
            </w:pPr>
            <w:r w:rsidRPr="001A2905">
              <w:rPr>
                <w:spacing w:val="-2"/>
              </w:rPr>
              <w:t>Amendment of Parts 1, 2, 15, 90 and 95 of the</w:t>
            </w:r>
          </w:p>
          <w:p w:rsidR="00976DA2" w:rsidRPr="001A2905" w:rsidRDefault="00976DA2" w:rsidP="00F32307">
            <w:pPr>
              <w:tabs>
                <w:tab w:val="center" w:pos="4680"/>
              </w:tabs>
              <w:suppressAutoHyphens/>
              <w:rPr>
                <w:spacing w:val="-2"/>
              </w:rPr>
            </w:pPr>
            <w:r w:rsidRPr="001A2905">
              <w:rPr>
                <w:spacing w:val="-2"/>
              </w:rPr>
              <w:t xml:space="preserve">Commission’s Rules to Permit Radar Services </w:t>
            </w:r>
          </w:p>
          <w:p w:rsidR="00976DA2" w:rsidRPr="001A2905" w:rsidRDefault="00976DA2" w:rsidP="00F32307">
            <w:pPr>
              <w:tabs>
                <w:tab w:val="center" w:pos="4680"/>
              </w:tabs>
              <w:suppressAutoHyphens/>
              <w:rPr>
                <w:spacing w:val="-2"/>
              </w:rPr>
            </w:pPr>
            <w:r w:rsidRPr="001A2905">
              <w:rPr>
                <w:spacing w:val="-2"/>
              </w:rPr>
              <w:t xml:space="preserve">in the 76-81 GHz Band </w:t>
            </w:r>
          </w:p>
        </w:tc>
        <w:tc>
          <w:tcPr>
            <w:tcW w:w="630" w:type="dxa"/>
          </w:tcPr>
          <w:p w:rsidR="00976DA2" w:rsidRPr="001A2905" w:rsidRDefault="00976DA2" w:rsidP="00F32307">
            <w:pPr>
              <w:tabs>
                <w:tab w:val="center" w:pos="4680"/>
              </w:tabs>
              <w:suppressAutoHyphens/>
              <w:rPr>
                <w:b/>
                <w:spacing w:val="-2"/>
              </w:rPr>
            </w:pPr>
            <w:r w:rsidRPr="001A2905">
              <w:rPr>
                <w:b/>
                <w:spacing w:val="-2"/>
              </w:rPr>
              <w:t>)</w:t>
            </w:r>
          </w:p>
          <w:p w:rsidR="00976DA2" w:rsidRPr="001A2905" w:rsidRDefault="00976DA2" w:rsidP="00F32307">
            <w:pPr>
              <w:tabs>
                <w:tab w:val="center" w:pos="4680"/>
              </w:tabs>
              <w:suppressAutoHyphens/>
              <w:rPr>
                <w:b/>
                <w:spacing w:val="-2"/>
              </w:rPr>
            </w:pPr>
            <w:r w:rsidRPr="001A2905">
              <w:rPr>
                <w:b/>
                <w:spacing w:val="-2"/>
              </w:rPr>
              <w:t>)</w:t>
            </w:r>
          </w:p>
          <w:p w:rsidR="00976DA2" w:rsidRPr="001A2905" w:rsidRDefault="00976DA2" w:rsidP="00F32307">
            <w:pPr>
              <w:tabs>
                <w:tab w:val="center" w:pos="4680"/>
              </w:tabs>
              <w:suppressAutoHyphens/>
              <w:rPr>
                <w:b/>
                <w:spacing w:val="-2"/>
              </w:rPr>
            </w:pPr>
            <w:r w:rsidRPr="001A2905">
              <w:rPr>
                <w:b/>
                <w:spacing w:val="-2"/>
              </w:rPr>
              <w:t>)</w:t>
            </w:r>
          </w:p>
          <w:p w:rsidR="00976DA2" w:rsidRPr="001A2905" w:rsidRDefault="00976DA2" w:rsidP="00F32307">
            <w:pPr>
              <w:tabs>
                <w:tab w:val="center" w:pos="4680"/>
              </w:tabs>
              <w:suppressAutoHyphens/>
              <w:rPr>
                <w:b/>
                <w:spacing w:val="-2"/>
              </w:rPr>
            </w:pPr>
            <w:r w:rsidRPr="001A2905">
              <w:rPr>
                <w:b/>
                <w:spacing w:val="-2"/>
              </w:rPr>
              <w:t>)</w:t>
            </w:r>
          </w:p>
          <w:p w:rsidR="00976DA2" w:rsidRPr="001A2905" w:rsidRDefault="00976DA2" w:rsidP="00D247D4">
            <w:pPr>
              <w:tabs>
                <w:tab w:val="center" w:pos="4680"/>
              </w:tabs>
              <w:suppressAutoHyphens/>
              <w:rPr>
                <w:spacing w:val="-2"/>
              </w:rPr>
            </w:pPr>
            <w:r w:rsidRPr="001A2905">
              <w:rPr>
                <w:b/>
                <w:spacing w:val="-2"/>
              </w:rPr>
              <w:t>)</w:t>
            </w:r>
            <w:r w:rsidR="00D247D4" w:rsidRPr="001A2905">
              <w:rPr>
                <w:spacing w:val="-2"/>
              </w:rPr>
              <w:t xml:space="preserve"> </w:t>
            </w:r>
          </w:p>
        </w:tc>
        <w:tc>
          <w:tcPr>
            <w:tcW w:w="4248" w:type="dxa"/>
          </w:tcPr>
          <w:p w:rsidR="00976DA2" w:rsidRPr="001A2905" w:rsidRDefault="00976DA2" w:rsidP="00F32307">
            <w:pPr>
              <w:tabs>
                <w:tab w:val="center" w:pos="4680"/>
              </w:tabs>
              <w:suppressAutoHyphens/>
              <w:rPr>
                <w:spacing w:val="-2"/>
              </w:rPr>
            </w:pPr>
          </w:p>
          <w:p w:rsidR="00976DA2" w:rsidRPr="001A2905" w:rsidRDefault="00976DA2" w:rsidP="00F32307">
            <w:pPr>
              <w:tabs>
                <w:tab w:val="center" w:pos="4680"/>
              </w:tabs>
              <w:suppressAutoHyphens/>
              <w:rPr>
                <w:spacing w:val="-2"/>
              </w:rPr>
            </w:pPr>
          </w:p>
          <w:p w:rsidR="00976DA2" w:rsidRPr="001A2905" w:rsidRDefault="00976DA2" w:rsidP="00F32307">
            <w:pPr>
              <w:tabs>
                <w:tab w:val="center" w:pos="4680"/>
              </w:tabs>
              <w:suppressAutoHyphens/>
              <w:rPr>
                <w:spacing w:val="-2"/>
              </w:rPr>
            </w:pPr>
            <w:r w:rsidRPr="001A2905">
              <w:rPr>
                <w:spacing w:val="-2"/>
              </w:rPr>
              <w:t>ET Docket No. 15-26</w:t>
            </w:r>
          </w:p>
          <w:p w:rsidR="00976DA2" w:rsidRPr="001A2905" w:rsidRDefault="00976DA2" w:rsidP="00F32307">
            <w:pPr>
              <w:tabs>
                <w:tab w:val="center" w:pos="4680"/>
              </w:tabs>
              <w:suppressAutoHyphens/>
              <w:rPr>
                <w:spacing w:val="-2"/>
              </w:rPr>
            </w:pPr>
          </w:p>
        </w:tc>
      </w:tr>
      <w:tr w:rsidR="00976DA2" w:rsidRPr="001A2905" w:rsidTr="00F32307">
        <w:tc>
          <w:tcPr>
            <w:tcW w:w="4698" w:type="dxa"/>
          </w:tcPr>
          <w:p w:rsidR="00976DA2" w:rsidRPr="001A2905" w:rsidRDefault="00976DA2" w:rsidP="00F32307">
            <w:pPr>
              <w:tabs>
                <w:tab w:val="center" w:pos="4680"/>
              </w:tabs>
              <w:suppressAutoHyphens/>
              <w:rPr>
                <w:spacing w:val="-2"/>
              </w:rPr>
            </w:pPr>
          </w:p>
        </w:tc>
        <w:tc>
          <w:tcPr>
            <w:tcW w:w="630" w:type="dxa"/>
          </w:tcPr>
          <w:p w:rsidR="00976DA2" w:rsidRPr="001A2905" w:rsidRDefault="00976DA2" w:rsidP="00F32307">
            <w:pPr>
              <w:tabs>
                <w:tab w:val="center" w:pos="4680"/>
              </w:tabs>
              <w:suppressAutoHyphens/>
              <w:rPr>
                <w:b/>
                <w:spacing w:val="-2"/>
              </w:rPr>
            </w:pPr>
          </w:p>
        </w:tc>
        <w:tc>
          <w:tcPr>
            <w:tcW w:w="4248" w:type="dxa"/>
          </w:tcPr>
          <w:p w:rsidR="00976DA2" w:rsidRPr="001A2905" w:rsidRDefault="00976DA2" w:rsidP="00F32307">
            <w:pPr>
              <w:tabs>
                <w:tab w:val="center" w:pos="4680"/>
              </w:tabs>
              <w:suppressAutoHyphens/>
              <w:rPr>
                <w:spacing w:val="-2"/>
              </w:rPr>
            </w:pPr>
          </w:p>
        </w:tc>
      </w:tr>
    </w:tbl>
    <w:p w:rsidR="00976DA2" w:rsidRPr="001A2905" w:rsidRDefault="00976DA2" w:rsidP="00976DA2">
      <w:pPr>
        <w:jc w:val="center"/>
        <w:rPr>
          <w:rFonts w:ascii="Times New Roman Bold" w:hAnsi="Times New Roman Bold"/>
          <w:b/>
          <w:bCs/>
          <w:caps/>
        </w:rPr>
      </w:pPr>
      <w:r>
        <w:rPr>
          <w:rFonts w:ascii="Times New Roman Bold" w:hAnsi="Times New Roman Bold"/>
          <w:b/>
          <w:bCs/>
          <w:caps/>
        </w:rPr>
        <w:t xml:space="preserve">Report AND </w:t>
      </w:r>
      <w:r w:rsidRPr="001A2905">
        <w:rPr>
          <w:rFonts w:ascii="Times New Roman Bold" w:hAnsi="Times New Roman Bold"/>
          <w:b/>
          <w:bCs/>
          <w:caps/>
        </w:rPr>
        <w:t>ORDER</w:t>
      </w:r>
    </w:p>
    <w:p w:rsidR="00976DA2" w:rsidRPr="001A2905" w:rsidRDefault="00976DA2" w:rsidP="00976DA2">
      <w:pPr>
        <w:tabs>
          <w:tab w:val="left" w:pos="-720"/>
        </w:tabs>
        <w:suppressAutoHyphens/>
        <w:spacing w:line="227" w:lineRule="auto"/>
        <w:rPr>
          <w:spacing w:val="-2"/>
        </w:rPr>
      </w:pPr>
    </w:p>
    <w:p w:rsidR="00976DA2" w:rsidRDefault="00976DA2" w:rsidP="00B83E8A">
      <w:pPr>
        <w:tabs>
          <w:tab w:val="left" w:pos="720"/>
          <w:tab w:val="right" w:pos="9360"/>
        </w:tabs>
        <w:suppressAutoHyphens/>
        <w:spacing w:line="227" w:lineRule="auto"/>
        <w:jc w:val="right"/>
        <w:rPr>
          <w:spacing w:val="-2"/>
        </w:rPr>
      </w:pPr>
      <w:r>
        <w:rPr>
          <w:b/>
          <w:spacing w:val="-2"/>
        </w:rPr>
        <w:t xml:space="preserve">Adopted:  </w:t>
      </w:r>
      <w:r w:rsidR="00B83E8A">
        <w:rPr>
          <w:b/>
          <w:spacing w:val="-2"/>
        </w:rPr>
        <w:t>July 13, 2017</w:t>
      </w:r>
      <w:r>
        <w:rPr>
          <w:b/>
          <w:spacing w:val="-2"/>
        </w:rPr>
        <w:tab/>
        <w:t xml:space="preserve">Released:  </w:t>
      </w:r>
      <w:r w:rsidR="007D3C8D">
        <w:rPr>
          <w:b/>
          <w:spacing w:val="-2"/>
        </w:rPr>
        <w:t>July 14</w:t>
      </w:r>
      <w:r w:rsidR="00B83E8A">
        <w:rPr>
          <w:b/>
          <w:spacing w:val="-2"/>
        </w:rPr>
        <w:t>, 2017</w:t>
      </w:r>
    </w:p>
    <w:p w:rsidR="00976DA2" w:rsidRPr="001A2905" w:rsidRDefault="00976DA2" w:rsidP="00976DA2"/>
    <w:p w:rsidR="00976DA2" w:rsidRPr="001A2905" w:rsidRDefault="00976DA2" w:rsidP="00976DA2">
      <w:pPr>
        <w:rPr>
          <w:spacing w:val="-2"/>
        </w:rPr>
      </w:pPr>
      <w:r w:rsidRPr="001A2905">
        <w:t>By the Commission</w:t>
      </w:r>
      <w:r w:rsidRPr="001A2905">
        <w:rPr>
          <w:spacing w:val="-2"/>
        </w:rPr>
        <w:t>:</w:t>
      </w:r>
      <w:r w:rsidR="006A3956">
        <w:rPr>
          <w:spacing w:val="-2"/>
        </w:rPr>
        <w:t xml:space="preserve">  </w:t>
      </w:r>
      <w:r w:rsidR="006A3956">
        <w:t>Chairman Pai and Commissioners Clyburn and O’Rielly issuing separate statements.</w:t>
      </w:r>
    </w:p>
    <w:p w:rsidR="002F715F" w:rsidRDefault="002F715F" w:rsidP="002F715F">
      <w:pPr>
        <w:pStyle w:val="TOCTitle"/>
      </w:pPr>
      <w:bookmarkStart w:id="1" w:name="TOChere"/>
      <w:r>
        <w:t>Table of Contents</w:t>
      </w:r>
    </w:p>
    <w:p w:rsidR="002F715F" w:rsidRDefault="002F715F" w:rsidP="002F715F">
      <w:pPr>
        <w:pStyle w:val="Paratitle"/>
      </w:pPr>
      <w:r>
        <w:t>Heading</w:t>
      </w:r>
      <w:r>
        <w:tab/>
        <w:t>Paragraph #</w:t>
      </w:r>
      <w:bookmarkStart w:id="2" w:name="start_here"/>
      <w:bookmarkEnd w:id="2"/>
    </w:p>
    <w:p w:rsidR="002F715F" w:rsidRPr="00C40792" w:rsidRDefault="002F715F" w:rsidP="002F715F">
      <w:pPr>
        <w:pStyle w:val="TOC1"/>
        <w:rPr>
          <w:rFonts w:ascii="Calibri" w:hAnsi="Calibri"/>
          <w:caps w:val="0"/>
          <w:snapToGrid/>
          <w:kern w:val="0"/>
          <w:szCs w:val="22"/>
        </w:rPr>
      </w:pPr>
      <w:r>
        <w:t>I.</w:t>
      </w:r>
      <w:r w:rsidRPr="00C40792">
        <w:rPr>
          <w:rFonts w:ascii="Calibri" w:hAnsi="Calibri"/>
          <w:caps w:val="0"/>
          <w:snapToGrid/>
          <w:kern w:val="0"/>
          <w:szCs w:val="22"/>
        </w:rPr>
        <w:tab/>
      </w:r>
      <w:r>
        <w:t>INTRODUCTION</w:t>
      </w:r>
      <w:r>
        <w:tab/>
        <w:t>1</w:t>
      </w:r>
    </w:p>
    <w:p w:rsidR="002F715F" w:rsidRPr="00C40792" w:rsidRDefault="002F715F" w:rsidP="002F715F">
      <w:pPr>
        <w:pStyle w:val="TOC1"/>
        <w:rPr>
          <w:rFonts w:ascii="Calibri" w:hAnsi="Calibri"/>
          <w:caps w:val="0"/>
          <w:snapToGrid/>
          <w:kern w:val="0"/>
          <w:szCs w:val="22"/>
        </w:rPr>
      </w:pPr>
      <w:r>
        <w:t>II.</w:t>
      </w:r>
      <w:r w:rsidRPr="00C40792">
        <w:rPr>
          <w:rFonts w:ascii="Calibri" w:hAnsi="Calibri"/>
          <w:caps w:val="0"/>
          <w:snapToGrid/>
          <w:kern w:val="0"/>
          <w:szCs w:val="22"/>
        </w:rPr>
        <w:tab/>
      </w:r>
      <w:r>
        <w:t>Background</w:t>
      </w:r>
      <w:r>
        <w:tab/>
        <w:t>2</w:t>
      </w:r>
    </w:p>
    <w:p w:rsidR="002F715F" w:rsidRPr="00C40792" w:rsidRDefault="002F715F" w:rsidP="002F715F">
      <w:pPr>
        <w:pStyle w:val="TOC1"/>
        <w:rPr>
          <w:rFonts w:ascii="Calibri" w:hAnsi="Calibri"/>
          <w:caps w:val="0"/>
          <w:snapToGrid/>
          <w:kern w:val="0"/>
          <w:szCs w:val="22"/>
        </w:rPr>
      </w:pPr>
      <w:r>
        <w:t>III.</w:t>
      </w:r>
      <w:r w:rsidRPr="00C40792">
        <w:rPr>
          <w:rFonts w:ascii="Calibri" w:hAnsi="Calibri"/>
          <w:caps w:val="0"/>
          <w:snapToGrid/>
          <w:kern w:val="0"/>
          <w:szCs w:val="22"/>
        </w:rPr>
        <w:tab/>
      </w:r>
      <w:r>
        <w:t>Discussion</w:t>
      </w:r>
      <w:r>
        <w:tab/>
        <w:t>8</w:t>
      </w:r>
    </w:p>
    <w:p w:rsidR="002F715F" w:rsidRPr="00C40792" w:rsidRDefault="002F715F" w:rsidP="002F715F">
      <w:pPr>
        <w:pStyle w:val="TOC2"/>
        <w:tabs>
          <w:tab w:val="left" w:pos="360"/>
        </w:tabs>
        <w:rPr>
          <w:rFonts w:ascii="Calibri" w:hAnsi="Calibri"/>
          <w:snapToGrid/>
          <w:kern w:val="0"/>
          <w:szCs w:val="22"/>
        </w:rPr>
      </w:pPr>
      <w:r>
        <w:t>A.</w:t>
      </w:r>
      <w:r w:rsidRPr="00C40792">
        <w:rPr>
          <w:rFonts w:ascii="Calibri" w:hAnsi="Calibri"/>
          <w:snapToGrid/>
          <w:kern w:val="0"/>
          <w:szCs w:val="22"/>
        </w:rPr>
        <w:tab/>
      </w:r>
      <w:r>
        <w:t>Allocation Changes to the 77.5-78 GHz Band</w:t>
      </w:r>
      <w:r>
        <w:tab/>
        <w:t>10</w:t>
      </w:r>
    </w:p>
    <w:p w:rsidR="002F715F" w:rsidRPr="00C40792" w:rsidRDefault="002F715F" w:rsidP="002F715F">
      <w:pPr>
        <w:pStyle w:val="TOC3"/>
        <w:tabs>
          <w:tab w:val="left" w:pos="360"/>
        </w:tabs>
        <w:rPr>
          <w:rFonts w:ascii="Calibri" w:hAnsi="Calibri"/>
          <w:snapToGrid/>
          <w:kern w:val="0"/>
          <w:szCs w:val="22"/>
        </w:rPr>
      </w:pPr>
      <w:r>
        <w:t>1.</w:t>
      </w:r>
      <w:r w:rsidRPr="00C40792">
        <w:rPr>
          <w:rFonts w:ascii="Calibri" w:hAnsi="Calibri"/>
          <w:snapToGrid/>
          <w:kern w:val="0"/>
          <w:szCs w:val="22"/>
        </w:rPr>
        <w:tab/>
      </w:r>
      <w:r>
        <w:t>Primary Status for the RLS Allocation at 77.5-78 GHz</w:t>
      </w:r>
      <w:r>
        <w:tab/>
        <w:t>11</w:t>
      </w:r>
    </w:p>
    <w:p w:rsidR="002F715F" w:rsidRPr="00C40792" w:rsidRDefault="002F715F" w:rsidP="002F715F">
      <w:pPr>
        <w:pStyle w:val="TOC3"/>
        <w:tabs>
          <w:tab w:val="left" w:pos="360"/>
        </w:tabs>
        <w:rPr>
          <w:rFonts w:ascii="Calibri" w:hAnsi="Calibri"/>
          <w:snapToGrid/>
          <w:kern w:val="0"/>
          <w:szCs w:val="22"/>
        </w:rPr>
      </w:pPr>
      <w:r>
        <w:t>2.</w:t>
      </w:r>
      <w:r w:rsidRPr="00C40792">
        <w:rPr>
          <w:rFonts w:ascii="Calibri" w:hAnsi="Calibri"/>
          <w:snapToGrid/>
          <w:kern w:val="0"/>
          <w:szCs w:val="22"/>
        </w:rPr>
        <w:tab/>
      </w:r>
      <w:r>
        <w:t>Secondary Status for the Amateur Service and Amateur-Satellite Service Allocations in the 77.5-78 GHz Band</w:t>
      </w:r>
      <w:r>
        <w:tab/>
        <w:t>13</w:t>
      </w:r>
    </w:p>
    <w:p w:rsidR="002F715F" w:rsidRPr="00C40792" w:rsidRDefault="002F715F" w:rsidP="002F715F">
      <w:pPr>
        <w:pStyle w:val="TOC3"/>
        <w:tabs>
          <w:tab w:val="left" w:pos="360"/>
        </w:tabs>
        <w:rPr>
          <w:rFonts w:ascii="Calibri" w:hAnsi="Calibri"/>
          <w:snapToGrid/>
          <w:kern w:val="0"/>
          <w:szCs w:val="22"/>
        </w:rPr>
      </w:pPr>
      <w:r>
        <w:t>3.</w:t>
      </w:r>
      <w:r w:rsidRPr="00C40792">
        <w:rPr>
          <w:rFonts w:ascii="Calibri" w:hAnsi="Calibri"/>
          <w:snapToGrid/>
          <w:kern w:val="0"/>
          <w:szCs w:val="22"/>
        </w:rPr>
        <w:tab/>
      </w:r>
      <w:r>
        <w:t>RAS and SRS (space-to-Earth) Allocations in the 77.5-78 GHz Band</w:t>
      </w:r>
      <w:r>
        <w:tab/>
        <w:t>19</w:t>
      </w:r>
    </w:p>
    <w:p w:rsidR="002F715F" w:rsidRPr="00C40792" w:rsidRDefault="002F715F" w:rsidP="002F715F">
      <w:pPr>
        <w:pStyle w:val="TOC2"/>
        <w:tabs>
          <w:tab w:val="left" w:pos="360"/>
        </w:tabs>
        <w:rPr>
          <w:rFonts w:ascii="Calibri" w:hAnsi="Calibri"/>
          <w:snapToGrid/>
          <w:kern w:val="0"/>
          <w:szCs w:val="22"/>
        </w:rPr>
      </w:pPr>
      <w:r>
        <w:t>B.</w:t>
      </w:r>
      <w:r w:rsidRPr="00C40792">
        <w:rPr>
          <w:rFonts w:ascii="Calibri" w:hAnsi="Calibri"/>
          <w:snapToGrid/>
          <w:kern w:val="0"/>
          <w:szCs w:val="22"/>
        </w:rPr>
        <w:tab/>
      </w:r>
      <w:r>
        <w:t>Consolidating Vehicular Radar Operations into the 76-81 GHz Band</w:t>
      </w:r>
      <w:r>
        <w:tab/>
        <w:t>25</w:t>
      </w:r>
    </w:p>
    <w:p w:rsidR="002F715F" w:rsidRPr="00C40792" w:rsidRDefault="002F715F" w:rsidP="002F715F">
      <w:pPr>
        <w:pStyle w:val="TOC3"/>
        <w:tabs>
          <w:tab w:val="left" w:pos="360"/>
        </w:tabs>
        <w:rPr>
          <w:rFonts w:ascii="Calibri" w:hAnsi="Calibri"/>
          <w:snapToGrid/>
          <w:kern w:val="0"/>
          <w:szCs w:val="22"/>
        </w:rPr>
      </w:pPr>
      <w:r>
        <w:t>1.</w:t>
      </w:r>
      <w:r w:rsidRPr="00C40792">
        <w:rPr>
          <w:rFonts w:ascii="Calibri" w:hAnsi="Calibri"/>
          <w:snapToGrid/>
          <w:kern w:val="0"/>
          <w:szCs w:val="22"/>
        </w:rPr>
        <w:tab/>
      </w:r>
      <w:r>
        <w:t>Removing Unlicensed Vehicular Radar Operations from the 16.2-17.7 GHz and 46.7-46.9 GHz Bands</w:t>
      </w:r>
      <w:r>
        <w:tab/>
        <w:t>26</w:t>
      </w:r>
    </w:p>
    <w:p w:rsidR="002F715F" w:rsidRPr="00C40792" w:rsidRDefault="002F715F" w:rsidP="002F715F">
      <w:pPr>
        <w:pStyle w:val="TOC3"/>
        <w:tabs>
          <w:tab w:val="left" w:pos="360"/>
        </w:tabs>
        <w:rPr>
          <w:rFonts w:ascii="Calibri" w:hAnsi="Calibri"/>
          <w:snapToGrid/>
          <w:kern w:val="0"/>
          <w:szCs w:val="22"/>
        </w:rPr>
      </w:pPr>
      <w:r>
        <w:t>2.</w:t>
      </w:r>
      <w:r w:rsidRPr="00C40792">
        <w:rPr>
          <w:rFonts w:ascii="Calibri" w:hAnsi="Calibri"/>
          <w:snapToGrid/>
          <w:kern w:val="0"/>
          <w:szCs w:val="22"/>
        </w:rPr>
        <w:tab/>
      </w:r>
      <w:r>
        <w:t>Phasing out Unlicensed Wideband and Ultra-Wideband Vehicular Radar Operations in the 23.12-29 GHz and 22-29 GHz Bands Respectively</w:t>
      </w:r>
      <w:r>
        <w:tab/>
        <w:t>27</w:t>
      </w:r>
    </w:p>
    <w:p w:rsidR="002F715F" w:rsidRPr="00C40792" w:rsidRDefault="002F715F" w:rsidP="002F715F">
      <w:pPr>
        <w:pStyle w:val="TOC2"/>
        <w:tabs>
          <w:tab w:val="left" w:pos="360"/>
        </w:tabs>
        <w:rPr>
          <w:rFonts w:ascii="Calibri" w:hAnsi="Calibri"/>
          <w:snapToGrid/>
          <w:kern w:val="0"/>
          <w:szCs w:val="22"/>
        </w:rPr>
      </w:pPr>
      <w:r>
        <w:t>C.</w:t>
      </w:r>
      <w:r w:rsidRPr="00C40792">
        <w:rPr>
          <w:rFonts w:ascii="Calibri" w:hAnsi="Calibri"/>
          <w:snapToGrid/>
          <w:kern w:val="0"/>
          <w:szCs w:val="22"/>
        </w:rPr>
        <w:tab/>
      </w:r>
      <w:r>
        <w:t>Fixed and Other Mobile Radar Operations in the 76-81 GHz Band</w:t>
      </w:r>
      <w:r>
        <w:tab/>
        <w:t>33</w:t>
      </w:r>
    </w:p>
    <w:p w:rsidR="002F715F" w:rsidRPr="00C40792" w:rsidRDefault="002F715F" w:rsidP="002F715F">
      <w:pPr>
        <w:pStyle w:val="TOC3"/>
        <w:tabs>
          <w:tab w:val="left" w:pos="360"/>
        </w:tabs>
        <w:rPr>
          <w:rFonts w:ascii="Calibri" w:hAnsi="Calibri"/>
          <w:snapToGrid/>
          <w:kern w:val="0"/>
          <w:szCs w:val="22"/>
        </w:rPr>
      </w:pPr>
      <w:r>
        <w:t>1.</w:t>
      </w:r>
      <w:r w:rsidRPr="00C40792">
        <w:rPr>
          <w:rFonts w:ascii="Calibri" w:hAnsi="Calibri"/>
          <w:snapToGrid/>
          <w:kern w:val="0"/>
          <w:szCs w:val="22"/>
        </w:rPr>
        <w:tab/>
      </w:r>
      <w:r>
        <w:t>Fixed Radar Operations</w:t>
      </w:r>
      <w:r>
        <w:tab/>
        <w:t>33</w:t>
      </w:r>
    </w:p>
    <w:p w:rsidR="002F715F" w:rsidRPr="00C40792" w:rsidRDefault="002F715F" w:rsidP="002F715F">
      <w:pPr>
        <w:pStyle w:val="TOC3"/>
        <w:tabs>
          <w:tab w:val="left" w:pos="360"/>
        </w:tabs>
        <w:rPr>
          <w:rFonts w:ascii="Calibri" w:hAnsi="Calibri"/>
          <w:snapToGrid/>
          <w:kern w:val="0"/>
          <w:szCs w:val="22"/>
        </w:rPr>
      </w:pPr>
      <w:r>
        <w:t>2.</w:t>
      </w:r>
      <w:r w:rsidRPr="00C40792">
        <w:rPr>
          <w:rFonts w:ascii="Calibri" w:hAnsi="Calibri"/>
          <w:snapToGrid/>
          <w:kern w:val="0"/>
          <w:szCs w:val="22"/>
        </w:rPr>
        <w:tab/>
      </w:r>
      <w:r>
        <w:t>Airport Radar Operations</w:t>
      </w:r>
      <w:r>
        <w:tab/>
        <w:t>41</w:t>
      </w:r>
    </w:p>
    <w:p w:rsidR="002F715F" w:rsidRPr="00C40792" w:rsidRDefault="002F715F" w:rsidP="002F715F">
      <w:pPr>
        <w:pStyle w:val="TOC2"/>
        <w:tabs>
          <w:tab w:val="left" w:pos="360"/>
        </w:tabs>
        <w:rPr>
          <w:rFonts w:ascii="Calibri" w:hAnsi="Calibri"/>
          <w:snapToGrid/>
          <w:kern w:val="0"/>
          <w:szCs w:val="22"/>
        </w:rPr>
      </w:pPr>
      <w:r>
        <w:t>D.</w:t>
      </w:r>
      <w:r w:rsidRPr="00C40792">
        <w:rPr>
          <w:rFonts w:ascii="Calibri" w:hAnsi="Calibri"/>
          <w:snapToGrid/>
          <w:kern w:val="0"/>
          <w:szCs w:val="22"/>
        </w:rPr>
        <w:tab/>
      </w:r>
      <w:r>
        <w:t>Radar Operations in the 76-81 GHz Band Under Part 95 of the Commission’s Rules</w:t>
      </w:r>
      <w:r>
        <w:tab/>
        <w:t>52</w:t>
      </w:r>
    </w:p>
    <w:p w:rsidR="002F715F" w:rsidRPr="00C40792" w:rsidRDefault="002F715F" w:rsidP="002F715F">
      <w:pPr>
        <w:pStyle w:val="TOC3"/>
        <w:tabs>
          <w:tab w:val="left" w:pos="360"/>
        </w:tabs>
        <w:rPr>
          <w:rFonts w:ascii="Calibri" w:hAnsi="Calibri"/>
          <w:snapToGrid/>
          <w:kern w:val="0"/>
          <w:szCs w:val="22"/>
        </w:rPr>
      </w:pPr>
      <w:r>
        <w:t>1.</w:t>
      </w:r>
      <w:r w:rsidRPr="00C40792">
        <w:rPr>
          <w:rFonts w:ascii="Calibri" w:hAnsi="Calibri"/>
          <w:snapToGrid/>
          <w:kern w:val="0"/>
          <w:szCs w:val="22"/>
        </w:rPr>
        <w:tab/>
      </w:r>
      <w:r>
        <w:t>Licensing</w:t>
      </w:r>
      <w:r>
        <w:tab/>
        <w:t>52</w:t>
      </w:r>
    </w:p>
    <w:p w:rsidR="002F715F" w:rsidRPr="00C40792" w:rsidRDefault="002F715F" w:rsidP="002F715F">
      <w:pPr>
        <w:pStyle w:val="TOC3"/>
        <w:tabs>
          <w:tab w:val="left" w:pos="360"/>
        </w:tabs>
        <w:rPr>
          <w:rFonts w:ascii="Calibri" w:hAnsi="Calibri"/>
          <w:snapToGrid/>
          <w:kern w:val="0"/>
          <w:szCs w:val="22"/>
        </w:rPr>
      </w:pPr>
      <w:r>
        <w:t>2.</w:t>
      </w:r>
      <w:r w:rsidRPr="00C40792">
        <w:rPr>
          <w:rFonts w:ascii="Calibri" w:hAnsi="Calibri"/>
          <w:snapToGrid/>
          <w:kern w:val="0"/>
          <w:szCs w:val="22"/>
        </w:rPr>
        <w:tab/>
      </w:r>
      <w:r>
        <w:t>Technical Rules</w:t>
      </w:r>
      <w:r>
        <w:tab/>
        <w:t>56</w:t>
      </w:r>
    </w:p>
    <w:p w:rsidR="002F715F" w:rsidRPr="00C40792" w:rsidRDefault="002F715F" w:rsidP="002F715F">
      <w:pPr>
        <w:pStyle w:val="TOC1"/>
        <w:rPr>
          <w:rFonts w:ascii="Calibri" w:hAnsi="Calibri"/>
          <w:caps w:val="0"/>
          <w:snapToGrid/>
          <w:kern w:val="0"/>
          <w:szCs w:val="22"/>
        </w:rPr>
      </w:pPr>
      <w:r>
        <w:t>IV.</w:t>
      </w:r>
      <w:r w:rsidRPr="00C40792">
        <w:rPr>
          <w:rFonts w:ascii="Calibri" w:hAnsi="Calibri"/>
          <w:caps w:val="0"/>
          <w:snapToGrid/>
          <w:kern w:val="0"/>
          <w:szCs w:val="22"/>
        </w:rPr>
        <w:tab/>
      </w:r>
      <w:r>
        <w:t>PROCEDURAL MATTERS</w:t>
      </w:r>
      <w:r>
        <w:tab/>
        <w:t>61</w:t>
      </w:r>
    </w:p>
    <w:p w:rsidR="002F715F" w:rsidRPr="00C40792" w:rsidRDefault="002F715F" w:rsidP="002F715F">
      <w:pPr>
        <w:pStyle w:val="TOC2"/>
        <w:tabs>
          <w:tab w:val="left" w:pos="360"/>
        </w:tabs>
        <w:rPr>
          <w:rFonts w:ascii="Calibri" w:hAnsi="Calibri"/>
          <w:snapToGrid/>
          <w:kern w:val="0"/>
          <w:szCs w:val="22"/>
        </w:rPr>
      </w:pPr>
      <w:r>
        <w:t>A.</w:t>
      </w:r>
      <w:r w:rsidRPr="00C40792">
        <w:rPr>
          <w:rFonts w:ascii="Calibri" w:hAnsi="Calibri"/>
          <w:snapToGrid/>
          <w:kern w:val="0"/>
          <w:szCs w:val="22"/>
        </w:rPr>
        <w:tab/>
      </w:r>
      <w:r>
        <w:t>Final Regulatory Flexibility Analysis</w:t>
      </w:r>
      <w:r>
        <w:tab/>
        <w:t>61</w:t>
      </w:r>
    </w:p>
    <w:p w:rsidR="002F715F" w:rsidRPr="00C40792" w:rsidRDefault="002F715F" w:rsidP="002F715F">
      <w:pPr>
        <w:pStyle w:val="TOC2"/>
        <w:tabs>
          <w:tab w:val="left" w:pos="360"/>
        </w:tabs>
        <w:rPr>
          <w:rFonts w:ascii="Calibri" w:hAnsi="Calibri"/>
          <w:snapToGrid/>
          <w:kern w:val="0"/>
          <w:szCs w:val="22"/>
        </w:rPr>
      </w:pPr>
      <w:r>
        <w:t>B.</w:t>
      </w:r>
      <w:r w:rsidRPr="00C40792">
        <w:rPr>
          <w:rFonts w:ascii="Calibri" w:hAnsi="Calibri"/>
          <w:snapToGrid/>
          <w:kern w:val="0"/>
          <w:szCs w:val="22"/>
        </w:rPr>
        <w:tab/>
      </w:r>
      <w:r>
        <w:t>Paperwork Reduction Analysis</w:t>
      </w:r>
      <w:r>
        <w:tab/>
        <w:t>62</w:t>
      </w:r>
    </w:p>
    <w:p w:rsidR="002F715F" w:rsidRPr="00C40792" w:rsidRDefault="002F715F" w:rsidP="002F715F">
      <w:pPr>
        <w:pStyle w:val="TOC2"/>
        <w:tabs>
          <w:tab w:val="left" w:pos="360"/>
        </w:tabs>
        <w:rPr>
          <w:rFonts w:ascii="Calibri" w:hAnsi="Calibri"/>
          <w:snapToGrid/>
          <w:kern w:val="0"/>
          <w:szCs w:val="22"/>
        </w:rPr>
      </w:pPr>
      <w:r>
        <w:t>C.</w:t>
      </w:r>
      <w:r w:rsidRPr="00C40792">
        <w:rPr>
          <w:rFonts w:ascii="Calibri" w:hAnsi="Calibri"/>
          <w:snapToGrid/>
          <w:kern w:val="0"/>
          <w:szCs w:val="22"/>
        </w:rPr>
        <w:tab/>
      </w:r>
      <w:r>
        <w:t>Congressional Review Act</w:t>
      </w:r>
      <w:r>
        <w:tab/>
        <w:t>63</w:t>
      </w:r>
    </w:p>
    <w:p w:rsidR="002F715F" w:rsidRPr="00C40792" w:rsidRDefault="002F715F" w:rsidP="002F715F">
      <w:pPr>
        <w:pStyle w:val="TOC2"/>
        <w:tabs>
          <w:tab w:val="left" w:pos="360"/>
        </w:tabs>
        <w:rPr>
          <w:rFonts w:ascii="Calibri" w:hAnsi="Calibri"/>
          <w:snapToGrid/>
          <w:kern w:val="0"/>
          <w:szCs w:val="22"/>
        </w:rPr>
      </w:pPr>
      <w:r>
        <w:t>D.</w:t>
      </w:r>
      <w:r w:rsidRPr="00C40792">
        <w:rPr>
          <w:rFonts w:ascii="Calibri" w:hAnsi="Calibri"/>
          <w:snapToGrid/>
          <w:kern w:val="0"/>
          <w:szCs w:val="22"/>
        </w:rPr>
        <w:tab/>
      </w:r>
      <w:r>
        <w:t>Further Information</w:t>
      </w:r>
      <w:r>
        <w:tab/>
        <w:t>64</w:t>
      </w:r>
    </w:p>
    <w:p w:rsidR="002F715F" w:rsidRPr="00C40792" w:rsidRDefault="002F715F" w:rsidP="002F715F">
      <w:pPr>
        <w:pStyle w:val="TOC1"/>
        <w:rPr>
          <w:rFonts w:ascii="Calibri" w:hAnsi="Calibri"/>
          <w:caps w:val="0"/>
          <w:snapToGrid/>
          <w:kern w:val="0"/>
          <w:szCs w:val="22"/>
        </w:rPr>
      </w:pPr>
      <w:r w:rsidRPr="00C845FE">
        <w:rPr>
          <w:caps w:val="0"/>
        </w:rPr>
        <w:t>V.</w:t>
      </w:r>
      <w:r w:rsidRPr="00C40792">
        <w:rPr>
          <w:rFonts w:ascii="Calibri" w:hAnsi="Calibri"/>
          <w:caps w:val="0"/>
          <w:snapToGrid/>
          <w:kern w:val="0"/>
          <w:szCs w:val="22"/>
        </w:rPr>
        <w:tab/>
      </w:r>
      <w:r w:rsidRPr="00C845FE">
        <w:rPr>
          <w:caps w:val="0"/>
        </w:rPr>
        <w:t>ORDERING CLAUSES</w:t>
      </w:r>
      <w:r>
        <w:tab/>
        <w:t>65</w:t>
      </w:r>
    </w:p>
    <w:bookmarkEnd w:id="1"/>
    <w:p w:rsidR="00976DA2" w:rsidRPr="000C511A" w:rsidRDefault="0099704C" w:rsidP="00976DA2">
      <w:r>
        <w:t xml:space="preserve">APPENDIX A – </w:t>
      </w:r>
      <w:r w:rsidR="00976DA2" w:rsidRPr="000C511A">
        <w:t>Final Rules</w:t>
      </w:r>
    </w:p>
    <w:p w:rsidR="00976DA2" w:rsidRPr="000C511A" w:rsidRDefault="00976DA2" w:rsidP="00976DA2">
      <w:r w:rsidRPr="000C511A">
        <w:t>APPENDIX B</w:t>
      </w:r>
      <w:r w:rsidR="0099704C">
        <w:t xml:space="preserve"> –</w:t>
      </w:r>
      <w:r w:rsidR="00884D13">
        <w:t xml:space="preserve"> </w:t>
      </w:r>
      <w:r w:rsidRPr="000C511A">
        <w:t>Final Regulatory Flexibility Analysis</w:t>
      </w:r>
    </w:p>
    <w:p w:rsidR="00976DA2" w:rsidRDefault="00976DA2" w:rsidP="00976DA2">
      <w:r w:rsidRPr="000C511A">
        <w:t>APPENDIX C</w:t>
      </w:r>
      <w:r w:rsidR="0099704C">
        <w:t xml:space="preserve"> –</w:t>
      </w:r>
      <w:r w:rsidR="00884D13">
        <w:t xml:space="preserve"> </w:t>
      </w:r>
      <w:r w:rsidRPr="000C511A">
        <w:t>List of Comments</w:t>
      </w:r>
    </w:p>
    <w:p w:rsidR="0064486A" w:rsidRDefault="0064486A" w:rsidP="00976DA2">
      <w:pPr>
        <w:rPr>
          <w:spacing w:val="-2"/>
        </w:rPr>
      </w:pPr>
    </w:p>
    <w:p w:rsidR="00976DA2" w:rsidRPr="006712C6" w:rsidRDefault="00976DA2" w:rsidP="00976DA2">
      <w:pPr>
        <w:pStyle w:val="Heading1"/>
      </w:pPr>
      <w:bookmarkStart w:id="3" w:name="_Toc451907085"/>
      <w:bookmarkStart w:id="4" w:name="_Toc451973329"/>
      <w:bookmarkStart w:id="5" w:name="_Toc452449703"/>
      <w:bookmarkStart w:id="6" w:name="_Toc452449856"/>
      <w:bookmarkStart w:id="7" w:name="_Toc454322887"/>
      <w:bookmarkStart w:id="8" w:name="_Toc454323386"/>
      <w:bookmarkStart w:id="9" w:name="_Toc454323562"/>
      <w:bookmarkStart w:id="10" w:name="_Toc454365493"/>
      <w:bookmarkStart w:id="11" w:name="_Toc454456237"/>
      <w:bookmarkStart w:id="12" w:name="_Toc454456262"/>
      <w:bookmarkStart w:id="13" w:name="_Toc454456353"/>
      <w:bookmarkStart w:id="14" w:name="_Toc454457160"/>
      <w:bookmarkStart w:id="15" w:name="_Toc454457503"/>
      <w:bookmarkStart w:id="16" w:name="_Toc454460087"/>
      <w:bookmarkStart w:id="17" w:name="_Toc454460292"/>
      <w:bookmarkStart w:id="18" w:name="_Toc454461243"/>
      <w:bookmarkStart w:id="19" w:name="_Toc459723386"/>
      <w:bookmarkStart w:id="20" w:name="_Toc459829039"/>
      <w:bookmarkStart w:id="21" w:name="_Toc459829744"/>
      <w:bookmarkStart w:id="22" w:name="_Toc459911839"/>
      <w:bookmarkStart w:id="23" w:name="_Toc460402621"/>
      <w:bookmarkStart w:id="24" w:name="_Toc460435314"/>
      <w:bookmarkStart w:id="25" w:name="_Toc460523690"/>
      <w:bookmarkStart w:id="26" w:name="_Toc460607601"/>
      <w:bookmarkStart w:id="27" w:name="_Toc460873673"/>
      <w:bookmarkStart w:id="28" w:name="_Toc460881054"/>
      <w:bookmarkStart w:id="29" w:name="_Toc461004618"/>
      <w:bookmarkStart w:id="30" w:name="_Toc461030284"/>
      <w:bookmarkStart w:id="31" w:name="_Toc461091226"/>
      <w:bookmarkStart w:id="32" w:name="_Toc461435069"/>
      <w:bookmarkStart w:id="33" w:name="_Toc461526546"/>
      <w:bookmarkStart w:id="34" w:name="_Toc461728147"/>
      <w:bookmarkStart w:id="35" w:name="_Toc461804882"/>
      <w:bookmarkStart w:id="36" w:name="_Toc462125326"/>
      <w:bookmarkStart w:id="37" w:name="_Toc462237429"/>
      <w:bookmarkStart w:id="38" w:name="_Toc462656100"/>
      <w:bookmarkStart w:id="39" w:name="_Toc462675862"/>
      <w:bookmarkStart w:id="40" w:name="_Toc462786109"/>
      <w:bookmarkStart w:id="41" w:name="_Toc462808447"/>
      <w:bookmarkStart w:id="42" w:name="_Toc462911151"/>
      <w:bookmarkStart w:id="43" w:name="_Toc463267928"/>
      <w:bookmarkStart w:id="44" w:name="_Toc463946936"/>
      <w:bookmarkStart w:id="45" w:name="_Toc464208115"/>
      <w:bookmarkStart w:id="46" w:name="_Toc464209996"/>
      <w:bookmarkStart w:id="47" w:name="_Toc464210460"/>
      <w:bookmarkStart w:id="48" w:name="_Toc464649164"/>
      <w:bookmarkStart w:id="49" w:name="_Toc464649436"/>
      <w:bookmarkStart w:id="50" w:name="_Toc464660038"/>
      <w:bookmarkStart w:id="51" w:name="_Toc465939705"/>
      <w:bookmarkStart w:id="52" w:name="_Toc468184065"/>
      <w:bookmarkStart w:id="53" w:name="_Toc471485243"/>
      <w:bookmarkStart w:id="54" w:name="_Toc473911538"/>
      <w:bookmarkStart w:id="55" w:name="_Toc473911757"/>
      <w:bookmarkStart w:id="56" w:name="_Toc475023427"/>
      <w:bookmarkStart w:id="57" w:name="_Toc475564836"/>
      <w:bookmarkStart w:id="58" w:name="_Toc475995715"/>
      <w:bookmarkStart w:id="59" w:name="_Toc476168256"/>
      <w:bookmarkStart w:id="60" w:name="_Toc476230593"/>
      <w:bookmarkStart w:id="61" w:name="_Toc476319084"/>
      <w:bookmarkStart w:id="62" w:name="_Toc477171251"/>
      <w:bookmarkStart w:id="63" w:name="_Toc477176700"/>
      <w:bookmarkStart w:id="64" w:name="_Toc480544473"/>
      <w:bookmarkStart w:id="65" w:name="_Toc483252347"/>
      <w:bookmarkStart w:id="66" w:name="_Toc485387927"/>
      <w:bookmarkStart w:id="67" w:name="_Toc485640832"/>
      <w:bookmarkStart w:id="68" w:name="_Toc487543584"/>
      <w:bookmarkStart w:id="69" w:name="_Toc447638405"/>
      <w:bookmarkStart w:id="70" w:name="_Toc447701715"/>
      <w:bookmarkStart w:id="71" w:name="_Toc447729215"/>
      <w:bookmarkStart w:id="72" w:name="_Toc447811196"/>
      <w:bookmarkStart w:id="73" w:name="_Toc447815297"/>
      <w:bookmarkStart w:id="74" w:name="_Toc447815745"/>
      <w:bookmarkStart w:id="75" w:name="_Toc448393055"/>
      <w:bookmarkStart w:id="76" w:name="_Toc448394081"/>
      <w:bookmarkStart w:id="77" w:name="_Toc448394881"/>
      <w:bookmarkStart w:id="78" w:name="_Toc448395806"/>
      <w:bookmarkStart w:id="79" w:name="_Toc448410503"/>
      <w:bookmarkStart w:id="80" w:name="_Toc448503954"/>
      <w:bookmarkStart w:id="81" w:name="_Toc448736125"/>
      <w:bookmarkStart w:id="82" w:name="_Toc448736336"/>
      <w:r w:rsidRPr="006712C6">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051342" w:rsidRPr="006712C6" w:rsidRDefault="00B475D8" w:rsidP="00B83E8A">
      <w:pPr>
        <w:pStyle w:val="ParaNum"/>
        <w:widowControl/>
      </w:pPr>
      <w:r>
        <w:t xml:space="preserve">In this </w:t>
      </w:r>
      <w:r w:rsidRPr="00B11E57">
        <w:rPr>
          <w:i/>
        </w:rPr>
        <w:t>Report and Order</w:t>
      </w:r>
      <w:r>
        <w:t xml:space="preserve">, we establish </w:t>
      </w:r>
      <w:r w:rsidRPr="006712C6">
        <w:t xml:space="preserve">a </w:t>
      </w:r>
      <w:r w:rsidR="00603236">
        <w:t>flexible and streamlined regulatory framework for</w:t>
      </w:r>
      <w:r w:rsidRPr="006712C6">
        <w:t xml:space="preserve"> </w:t>
      </w:r>
      <w:r w:rsidR="00603236">
        <w:t>radar</w:t>
      </w:r>
      <w:r w:rsidRPr="006712C6">
        <w:t xml:space="preserve"> applications that will operate within the 76-81 GHz </w:t>
      </w:r>
      <w:r>
        <w:t>band.</w:t>
      </w:r>
      <w:r w:rsidR="00051342" w:rsidRPr="00367742">
        <w:rPr>
          <w:vertAlign w:val="superscript"/>
        </w:rPr>
        <w:footnoteReference w:id="2"/>
      </w:r>
      <w:r w:rsidR="00051342" w:rsidRPr="00367742">
        <w:t xml:space="preserve"> </w:t>
      </w:r>
      <w:r>
        <w:t xml:space="preserve"> </w:t>
      </w:r>
      <w:r w:rsidR="00D247D4">
        <w:t xml:space="preserve">Specifically, we give vehicular radars and </w:t>
      </w:r>
      <w:r w:rsidR="006903E2">
        <w:t xml:space="preserve">certain </w:t>
      </w:r>
      <w:r w:rsidR="00D247D4">
        <w:t xml:space="preserve">airport-based radars protection from harmful interference as well as a </w:t>
      </w:r>
      <w:r w:rsidR="00A93F4E">
        <w:t>contiguous</w:t>
      </w:r>
      <w:r w:rsidR="00D247D4">
        <w:t xml:space="preserve"> five gigahertz allocation, facilitating the development and deployment of new safety devices.  Doing so </w:t>
      </w:r>
      <w:r w:rsidR="006903E2">
        <w:t xml:space="preserve">also </w:t>
      </w:r>
      <w:r w:rsidR="00D247D4">
        <w:t>harmonizes our rules with international efforts to create a global allocation for vehicular radars, while promoting efficient use of spectrum by consolidating such radars into a single band</w:t>
      </w:r>
      <w:r w:rsidR="00A42BB0">
        <w:t xml:space="preserve">.  </w:t>
      </w:r>
      <w:r w:rsidR="006903E2">
        <w:t>In addition, w</w:t>
      </w:r>
      <w:r w:rsidR="006903E2" w:rsidRPr="00AA00F5">
        <w:t>e establish a comprehensive and consistent set of rules and policies to govern the operation of vehicular radars and certain airport</w:t>
      </w:r>
      <w:r w:rsidR="006903E2">
        <w:t>-based radars</w:t>
      </w:r>
      <w:r w:rsidR="006903E2" w:rsidRPr="00AA00F5">
        <w:t xml:space="preserve"> in the 76-81 GHz band</w:t>
      </w:r>
      <w:r w:rsidR="006903E2">
        <w:t xml:space="preserve">.  </w:t>
      </w:r>
      <w:r w:rsidR="00051342" w:rsidRPr="006712C6">
        <w:t xml:space="preserve">Collectively, these actions </w:t>
      </w:r>
      <w:r w:rsidR="00051342">
        <w:t>will encourage development of</w:t>
      </w:r>
      <w:r w:rsidR="00051342" w:rsidRPr="00493237">
        <w:t xml:space="preserve"> </w:t>
      </w:r>
      <w:r w:rsidR="00051342" w:rsidRPr="006712C6">
        <w:t xml:space="preserve">new and innovative radar applications that can provide important </w:t>
      </w:r>
      <w:r w:rsidR="00051342">
        <w:t>public benefits, while also ensuring that the authorized radar operations can</w:t>
      </w:r>
      <w:r w:rsidR="00903236">
        <w:t xml:space="preserve"> co</w:t>
      </w:r>
      <w:r w:rsidR="00051342">
        <w:t xml:space="preserve">exist with one another and </w:t>
      </w:r>
      <w:r w:rsidR="00051342" w:rsidRPr="00BE2031">
        <w:t>incumb</w:t>
      </w:r>
      <w:r w:rsidR="00051342">
        <w:t>ent uses.</w:t>
      </w:r>
    </w:p>
    <w:p w:rsidR="00976DA2" w:rsidRPr="006712C6" w:rsidRDefault="00976DA2" w:rsidP="00976DA2">
      <w:pPr>
        <w:pStyle w:val="Heading1"/>
      </w:pPr>
      <w:bookmarkStart w:id="83" w:name="_Toc451907086"/>
      <w:bookmarkStart w:id="84" w:name="_Toc451973330"/>
      <w:bookmarkStart w:id="85" w:name="_Toc452449704"/>
      <w:bookmarkStart w:id="86" w:name="_Toc452449857"/>
      <w:bookmarkStart w:id="87" w:name="_Toc454322888"/>
      <w:bookmarkStart w:id="88" w:name="_Toc454323387"/>
      <w:bookmarkStart w:id="89" w:name="_Toc454323563"/>
      <w:bookmarkStart w:id="90" w:name="_Toc454365494"/>
      <w:bookmarkStart w:id="91" w:name="_Toc454456238"/>
      <w:bookmarkStart w:id="92" w:name="_Toc454456263"/>
      <w:bookmarkStart w:id="93" w:name="_Toc454456354"/>
      <w:bookmarkStart w:id="94" w:name="_Toc454457161"/>
      <w:bookmarkStart w:id="95" w:name="_Toc454457504"/>
      <w:bookmarkStart w:id="96" w:name="_Toc454460088"/>
      <w:bookmarkStart w:id="97" w:name="_Toc454460293"/>
      <w:bookmarkStart w:id="98" w:name="_Toc454461244"/>
      <w:bookmarkStart w:id="99" w:name="_Toc459723387"/>
      <w:bookmarkStart w:id="100" w:name="_Toc459829040"/>
      <w:bookmarkStart w:id="101" w:name="_Toc459829745"/>
      <w:bookmarkStart w:id="102" w:name="_Toc459911840"/>
      <w:bookmarkStart w:id="103" w:name="_Toc460402622"/>
      <w:bookmarkStart w:id="104" w:name="_Toc460435315"/>
      <w:bookmarkStart w:id="105" w:name="_Toc460523691"/>
      <w:bookmarkStart w:id="106" w:name="_Toc460607602"/>
      <w:bookmarkStart w:id="107" w:name="_Toc460873674"/>
      <w:bookmarkStart w:id="108" w:name="_Toc460881055"/>
      <w:bookmarkStart w:id="109" w:name="_Toc461004619"/>
      <w:bookmarkStart w:id="110" w:name="_Toc461030285"/>
      <w:bookmarkStart w:id="111" w:name="_Toc461091227"/>
      <w:bookmarkStart w:id="112" w:name="_Toc461435070"/>
      <w:bookmarkStart w:id="113" w:name="_Toc461526547"/>
      <w:bookmarkStart w:id="114" w:name="_Toc461728148"/>
      <w:bookmarkStart w:id="115" w:name="_Toc461804883"/>
      <w:bookmarkStart w:id="116" w:name="_Toc462125327"/>
      <w:bookmarkStart w:id="117" w:name="_Toc462237430"/>
      <w:bookmarkStart w:id="118" w:name="_Toc462656101"/>
      <w:bookmarkStart w:id="119" w:name="_Toc462675863"/>
      <w:bookmarkStart w:id="120" w:name="_Toc462786110"/>
      <w:bookmarkStart w:id="121" w:name="_Toc462808448"/>
      <w:bookmarkStart w:id="122" w:name="_Toc462911152"/>
      <w:bookmarkStart w:id="123" w:name="_Toc463267929"/>
      <w:bookmarkStart w:id="124" w:name="_Toc463946937"/>
      <w:bookmarkStart w:id="125" w:name="_Toc464208116"/>
      <w:bookmarkStart w:id="126" w:name="_Toc464209997"/>
      <w:bookmarkStart w:id="127" w:name="_Toc464210461"/>
      <w:bookmarkStart w:id="128" w:name="_Toc464649165"/>
      <w:bookmarkStart w:id="129" w:name="_Toc464649437"/>
      <w:bookmarkStart w:id="130" w:name="_Toc464660039"/>
      <w:bookmarkStart w:id="131" w:name="_Toc465939706"/>
      <w:bookmarkStart w:id="132" w:name="_Toc468184066"/>
      <w:bookmarkStart w:id="133" w:name="_Toc471485244"/>
      <w:bookmarkStart w:id="134" w:name="_Toc473911539"/>
      <w:bookmarkStart w:id="135" w:name="_Toc473911758"/>
      <w:bookmarkStart w:id="136" w:name="_Toc475023428"/>
      <w:bookmarkStart w:id="137" w:name="_Toc475564837"/>
      <w:bookmarkStart w:id="138" w:name="_Toc475995716"/>
      <w:bookmarkStart w:id="139" w:name="_Toc476168257"/>
      <w:bookmarkStart w:id="140" w:name="_Toc476230594"/>
      <w:bookmarkStart w:id="141" w:name="_Toc476319085"/>
      <w:bookmarkStart w:id="142" w:name="_Toc477171252"/>
      <w:bookmarkStart w:id="143" w:name="_Toc477176701"/>
      <w:bookmarkStart w:id="144" w:name="_Toc480544474"/>
      <w:bookmarkStart w:id="145" w:name="_Toc483252348"/>
      <w:bookmarkStart w:id="146" w:name="_Toc485387928"/>
      <w:bookmarkStart w:id="147" w:name="_Toc485640833"/>
      <w:bookmarkStart w:id="148" w:name="_Toc487543585"/>
      <w:r w:rsidRPr="006712C6">
        <w:t>Background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367742" w:rsidRDefault="0026101E" w:rsidP="006F3BD7">
      <w:pPr>
        <w:pStyle w:val="ParaNum"/>
      </w:pPr>
      <w:r>
        <w:t>Radar</w:t>
      </w:r>
      <w:r w:rsidR="00367742">
        <w:t xml:space="preserve"> operation</w:t>
      </w:r>
      <w:r w:rsidR="00F71CA7">
        <w:t>s</w:t>
      </w:r>
      <w:r w:rsidR="00932C18">
        <w:t xml:space="preserve"> </w:t>
      </w:r>
      <w:r w:rsidR="00976DA2" w:rsidRPr="006712C6">
        <w:t>involve the</w:t>
      </w:r>
      <w:r w:rsidR="00932C18">
        <w:t xml:space="preserve"> </w:t>
      </w:r>
      <w:r w:rsidR="00E25608">
        <w:t>transmission of</w:t>
      </w:r>
      <w:r w:rsidR="00B83E8A">
        <w:t xml:space="preserve"> radio</w:t>
      </w:r>
      <w:r w:rsidR="00E061BB">
        <w:t>frequency</w:t>
      </w:r>
      <w:r w:rsidR="00E25608">
        <w:t xml:space="preserve"> </w:t>
      </w:r>
      <w:r w:rsidR="00E061BB">
        <w:t>(</w:t>
      </w:r>
      <w:r w:rsidR="00556633">
        <w:t>RF</w:t>
      </w:r>
      <w:r w:rsidR="00E061BB">
        <w:t>)</w:t>
      </w:r>
      <w:r w:rsidR="00556633">
        <w:t xml:space="preserve"> signals</w:t>
      </w:r>
      <w:r w:rsidR="00E25608">
        <w:t xml:space="preserve"> and analysis of the reflect</w:t>
      </w:r>
      <w:r w:rsidR="00DB77F5">
        <w:t>ions</w:t>
      </w:r>
      <w:r w:rsidR="00E25608">
        <w:t xml:space="preserve"> from objects or people </w:t>
      </w:r>
      <w:r>
        <w:t>to determine their speed, range, and direction.</w:t>
      </w:r>
      <w:r w:rsidR="00FD07AA">
        <w:rPr>
          <w:rStyle w:val="FootnoteReference"/>
        </w:rPr>
        <w:footnoteReference w:id="3"/>
      </w:r>
      <w:r w:rsidR="00FD07AA">
        <w:t xml:space="preserve">  </w:t>
      </w:r>
      <w:r w:rsidR="00976DA2" w:rsidRPr="006712C6">
        <w:t xml:space="preserve">Information regarding </w:t>
      </w:r>
      <w:r w:rsidR="00E87DBD">
        <w:t>the</w:t>
      </w:r>
      <w:r w:rsidR="00925DB5">
        <w:t xml:space="preserve"> speed,</w:t>
      </w:r>
      <w:r w:rsidR="00E87DBD">
        <w:t xml:space="preserve"> </w:t>
      </w:r>
      <w:r w:rsidR="00976DA2" w:rsidRPr="006712C6">
        <w:t>range</w:t>
      </w:r>
      <w:r w:rsidR="00E25608">
        <w:t xml:space="preserve">, </w:t>
      </w:r>
      <w:r w:rsidR="00925DB5">
        <w:t>and direction</w:t>
      </w:r>
      <w:r w:rsidR="00976DA2" w:rsidRPr="006712C6">
        <w:t xml:space="preserve"> </w:t>
      </w:r>
      <w:r w:rsidR="00E87DBD">
        <w:t xml:space="preserve">of nearby objects </w:t>
      </w:r>
      <w:r w:rsidR="00976DA2" w:rsidRPr="006712C6">
        <w:t xml:space="preserve">can facilitate a host of applications </w:t>
      </w:r>
      <w:r w:rsidR="00E87DBD">
        <w:t>tha</w:t>
      </w:r>
      <w:r w:rsidR="00367742">
        <w:t xml:space="preserve">t are beneficial to the public.  </w:t>
      </w:r>
      <w:r w:rsidR="00E92F6D">
        <w:t>T</w:t>
      </w:r>
      <w:r w:rsidR="00367742" w:rsidRPr="00367742">
        <w:t xml:space="preserve">he </w:t>
      </w:r>
      <w:r w:rsidR="00367742" w:rsidRPr="00367742">
        <w:rPr>
          <w:i/>
        </w:rPr>
        <w:t>NPRM</w:t>
      </w:r>
      <w:r w:rsidR="008252E2">
        <w:t xml:space="preserve"> </w:t>
      </w:r>
      <w:r w:rsidR="00012AA8">
        <w:t>that initiated this proceeding</w:t>
      </w:r>
      <w:r w:rsidR="00367742" w:rsidRPr="00367742">
        <w:t xml:space="preserve"> discussed the radar applications that have been deployed in the band – including vehicular radar applications that can prevent or lessen the severity of a significant number of traffic accidents, saving lives and reducing damage to property.</w:t>
      </w:r>
      <w:r w:rsidR="00012AA8" w:rsidRPr="006712C6">
        <w:rPr>
          <w:vertAlign w:val="superscript"/>
        </w:rPr>
        <w:footnoteReference w:id="4"/>
      </w:r>
      <w:r w:rsidR="00367742" w:rsidRPr="00367742">
        <w:t xml:space="preserve"> </w:t>
      </w:r>
    </w:p>
    <w:p w:rsidR="007C4DD0" w:rsidRDefault="00367742" w:rsidP="006F3BD7">
      <w:pPr>
        <w:pStyle w:val="ParaNum"/>
      </w:pPr>
      <w:r>
        <w:t>V</w:t>
      </w:r>
      <w:r w:rsidRPr="00367742">
        <w:t>ehicular radars can determine the distance and relative speed of objects in front of, beside, or behind a vehicle to improve the driver’s ability to perceive objects under poor visibility conditions or objects in blind spots.</w:t>
      </w:r>
      <w:r w:rsidR="000D1EC0" w:rsidRPr="006712C6">
        <w:rPr>
          <w:vertAlign w:val="superscript"/>
        </w:rPr>
        <w:footnoteReference w:id="5"/>
      </w:r>
      <w:r w:rsidRPr="00367742">
        <w:t xml:space="preserve"> </w:t>
      </w:r>
      <w:r w:rsidR="000D1EC0">
        <w:t xml:space="preserve"> </w:t>
      </w:r>
      <w:r w:rsidR="00651E9C">
        <w:t>L</w:t>
      </w:r>
      <w:r w:rsidRPr="00367742">
        <w:t>ong-range vehicular radar</w:t>
      </w:r>
      <w:r w:rsidR="0065647F">
        <w:t>s</w:t>
      </w:r>
      <w:r w:rsidRPr="00367742">
        <w:t xml:space="preserve"> (LRR</w:t>
      </w:r>
      <w:r w:rsidR="0065647F">
        <w:t>s</w:t>
      </w:r>
      <w:r w:rsidRPr="00367742">
        <w:t>)</w:t>
      </w:r>
      <w:r w:rsidR="002F11AE">
        <w:t xml:space="preserve"> </w:t>
      </w:r>
      <w:r w:rsidR="00BA6903">
        <w:t xml:space="preserve">use up to one gigahertz of bandwidth and </w:t>
      </w:r>
      <w:r w:rsidR="00723692">
        <w:t>typically provide</w:t>
      </w:r>
      <w:r w:rsidR="00A8461B">
        <w:t xml:space="preserve"> </w:t>
      </w:r>
      <w:r w:rsidR="003E1F3A">
        <w:t xml:space="preserve">a </w:t>
      </w:r>
      <w:r w:rsidR="00723692">
        <w:t>s</w:t>
      </w:r>
      <w:r w:rsidR="00E62822">
        <w:t>patial resolution on the order of 0.5 meters</w:t>
      </w:r>
      <w:r w:rsidRPr="00367742">
        <w:t>.</w:t>
      </w:r>
      <w:r w:rsidR="0065647F" w:rsidRPr="009C33B9">
        <w:rPr>
          <w:sz w:val="20"/>
          <w:vertAlign w:val="superscript"/>
        </w:rPr>
        <w:footnoteReference w:id="6"/>
      </w:r>
      <w:r w:rsidRPr="00367742">
        <w:t xml:space="preserve"> </w:t>
      </w:r>
      <w:r w:rsidR="00233C28">
        <w:t xml:space="preserve"> </w:t>
      </w:r>
      <w:r w:rsidR="00550CD6" w:rsidRPr="00367742">
        <w:t xml:space="preserve">Such radars </w:t>
      </w:r>
      <w:r w:rsidRPr="00367742">
        <w:t>have b</w:t>
      </w:r>
      <w:r w:rsidR="00064E30">
        <w:t>een deployed pursuant to a 1995</w:t>
      </w:r>
      <w:r w:rsidRPr="00367742">
        <w:t xml:space="preserve"> Commission </w:t>
      </w:r>
      <w:r w:rsidR="00064E30">
        <w:t>decision to mak</w:t>
      </w:r>
      <w:r w:rsidRPr="00367742">
        <w:t xml:space="preserve">e the 76-77 GHz band available </w:t>
      </w:r>
      <w:r w:rsidR="00550CD6">
        <w:t xml:space="preserve">for </w:t>
      </w:r>
      <w:r w:rsidR="00C970B0">
        <w:t xml:space="preserve">vehicular radar systems on an </w:t>
      </w:r>
      <w:r w:rsidR="00EA7E81" w:rsidRPr="00367742">
        <w:t>unlicensed basis (</w:t>
      </w:r>
      <w:r w:rsidR="00EA7E81" w:rsidRPr="007F27BD">
        <w:t>i.e</w:t>
      </w:r>
      <w:r w:rsidR="00EA7E81" w:rsidRPr="00367742">
        <w:t>.</w:t>
      </w:r>
      <w:r w:rsidR="004E1DA4">
        <w:t>,</w:t>
      </w:r>
      <w:r w:rsidR="00EA7E81" w:rsidRPr="00367742">
        <w:t xml:space="preserve"> under Part</w:t>
      </w:r>
      <w:r w:rsidR="00095295">
        <w:t xml:space="preserve"> 15 of the Commission’s rules)</w:t>
      </w:r>
      <w:r w:rsidRPr="00367742">
        <w:t>.</w:t>
      </w:r>
      <w:r w:rsidR="00A61DEE">
        <w:rPr>
          <w:rStyle w:val="FootnoteReference"/>
        </w:rPr>
        <w:footnoteReference w:id="7"/>
      </w:r>
      <w:r w:rsidR="00A61DEE">
        <w:t xml:space="preserve">  </w:t>
      </w:r>
      <w:r w:rsidRPr="00367742">
        <w:t xml:space="preserve">Subsequently, the </w:t>
      </w:r>
      <w:r w:rsidRPr="00B5772F">
        <w:rPr>
          <w:i/>
        </w:rPr>
        <w:lastRenderedPageBreak/>
        <w:t>2012</w:t>
      </w:r>
      <w:r w:rsidR="00534C8B">
        <w:rPr>
          <w:i/>
        </w:rPr>
        <w:t xml:space="preserve"> </w:t>
      </w:r>
      <w:r w:rsidRPr="00B5772F">
        <w:rPr>
          <w:i/>
        </w:rPr>
        <w:t>Radar R&amp;O</w:t>
      </w:r>
      <w:r w:rsidRPr="00367742">
        <w:t xml:space="preserve"> modified the Part 15 rules to allow greater technical flexibility for unlicensed vehicular radar app</w:t>
      </w:r>
      <w:r w:rsidR="00095295">
        <w:t>lications in the 76-77 GHz band</w:t>
      </w:r>
      <w:r w:rsidRPr="00367742">
        <w:t>.</w:t>
      </w:r>
      <w:r w:rsidRPr="00367742">
        <w:rPr>
          <w:vertAlign w:val="superscript"/>
        </w:rPr>
        <w:footnoteReference w:id="8"/>
      </w:r>
      <w:r w:rsidR="009E74FF">
        <w:t xml:space="preserve">  Under the existing rules, we have witnessed the development of an impressive host of LRR-related vehicle safety features, including </w:t>
      </w:r>
      <w:r w:rsidR="009E74FF" w:rsidRPr="00367742">
        <w:t xml:space="preserve">collision </w:t>
      </w:r>
      <w:r w:rsidR="009E74FF">
        <w:t xml:space="preserve">avoidance and </w:t>
      </w:r>
      <w:r w:rsidR="009E74FF" w:rsidRPr="00367742">
        <w:t>adaptive cruise control systems</w:t>
      </w:r>
      <w:r w:rsidR="009E74FF">
        <w:t>.</w:t>
      </w:r>
      <w:bookmarkStart w:id="149" w:name="_Ref462919758"/>
      <w:r w:rsidR="00B5772F">
        <w:t xml:space="preserve">  </w:t>
      </w:r>
      <w:r w:rsidR="005C6898">
        <w:t>T</w:t>
      </w:r>
      <w:r w:rsidR="009C33B9" w:rsidRPr="009C33B9">
        <w:t xml:space="preserve">he </w:t>
      </w:r>
      <w:r w:rsidR="005C6898">
        <w:t xml:space="preserve">vehicular radar </w:t>
      </w:r>
      <w:r w:rsidR="009C33B9" w:rsidRPr="009C33B9">
        <w:t xml:space="preserve">industry </w:t>
      </w:r>
      <w:r w:rsidR="005C6898">
        <w:t xml:space="preserve">also </w:t>
      </w:r>
      <w:r w:rsidR="009C33B9" w:rsidRPr="009C33B9">
        <w:t>has developed short-range vehicular radar</w:t>
      </w:r>
      <w:r w:rsidR="009D17B5">
        <w:t>s</w:t>
      </w:r>
      <w:r w:rsidR="009C33B9" w:rsidRPr="009C33B9">
        <w:t xml:space="preserve"> (SRR</w:t>
      </w:r>
      <w:r w:rsidR="009D17B5">
        <w:t>s</w:t>
      </w:r>
      <w:r w:rsidR="009C33B9" w:rsidRPr="009C33B9">
        <w:t xml:space="preserve">) </w:t>
      </w:r>
      <w:r w:rsidR="009D17B5">
        <w:t xml:space="preserve">that support such </w:t>
      </w:r>
      <w:r w:rsidR="009C33B9" w:rsidRPr="009C33B9">
        <w:t>applications</w:t>
      </w:r>
      <w:r w:rsidR="00BA6903">
        <w:t xml:space="preserve"> </w:t>
      </w:r>
      <w:r w:rsidR="009D17B5">
        <w:t xml:space="preserve">as blind spot detection, lane-change assist, and the detection of </w:t>
      </w:r>
      <w:r w:rsidR="00EC3F92">
        <w:t>pedestrians</w:t>
      </w:r>
      <w:r w:rsidR="009D17B5">
        <w:t xml:space="preserve"> and bicycles.  Such radars provide higher resolution </w:t>
      </w:r>
      <w:r w:rsidR="00EC3F92">
        <w:t>than</w:t>
      </w:r>
      <w:r w:rsidR="009D17B5">
        <w:t xml:space="preserve"> LRRs and, because they are especially useful for detecting objects in close proximity of a vehicle, benefit many types of passive and active safety applications.</w:t>
      </w:r>
      <w:r w:rsidR="00A625F9" w:rsidRPr="006712C6">
        <w:rPr>
          <w:vertAlign w:val="superscript"/>
        </w:rPr>
        <w:footnoteReference w:id="9"/>
      </w:r>
      <w:r w:rsidR="00A625F9">
        <w:t xml:space="preserve">  However, to provide this higher spa</w:t>
      </w:r>
      <w:r w:rsidR="004F53B4">
        <w:t>t</w:t>
      </w:r>
      <w:r w:rsidR="00A625F9">
        <w:t xml:space="preserve">ial </w:t>
      </w:r>
      <w:r w:rsidR="00D26727">
        <w:t>resol</w:t>
      </w:r>
      <w:r w:rsidR="00A625F9">
        <w:t>ution</w:t>
      </w:r>
      <w:r w:rsidR="00D26727">
        <w:t>, SRRs require an operating bandwidth of four gigahertz.</w:t>
      </w:r>
      <w:r w:rsidR="009C33B9" w:rsidRPr="009C33B9">
        <w:rPr>
          <w:vertAlign w:val="superscript"/>
        </w:rPr>
        <w:footnoteReference w:id="10"/>
      </w:r>
      <w:r w:rsidR="009C33B9" w:rsidRPr="009C33B9">
        <w:t xml:space="preserve">  </w:t>
      </w:r>
      <w:r w:rsidR="00BC1EA1">
        <w:t>Because</w:t>
      </w:r>
      <w:r w:rsidR="00BA6903">
        <w:t xml:space="preserve"> the Commission’s rules current</w:t>
      </w:r>
      <w:r w:rsidR="002A2E21">
        <w:t xml:space="preserve">ly authorize </w:t>
      </w:r>
      <w:r w:rsidR="001800AC">
        <w:t xml:space="preserve">only </w:t>
      </w:r>
      <w:r w:rsidR="002A2E21">
        <w:t>the 76-77 GHz band</w:t>
      </w:r>
      <w:r w:rsidR="00FF3F91">
        <w:t xml:space="preserve"> for millimeter-</w:t>
      </w:r>
      <w:r w:rsidR="00BA6903">
        <w:t>wave vehicular radars</w:t>
      </w:r>
      <w:r w:rsidR="00265BBD">
        <w:t xml:space="preserve"> operations</w:t>
      </w:r>
      <w:r w:rsidR="002A2E21">
        <w:t xml:space="preserve"> </w:t>
      </w:r>
      <w:r w:rsidR="00BA6903">
        <w:t xml:space="preserve">based on </w:t>
      </w:r>
      <w:r w:rsidR="002A2E21">
        <w:t xml:space="preserve">one-gigahertz bandwidth </w:t>
      </w:r>
      <w:r w:rsidR="00BA6903">
        <w:t xml:space="preserve">LRR </w:t>
      </w:r>
      <w:r w:rsidR="002A2E21">
        <w:t>applications</w:t>
      </w:r>
      <w:r w:rsidR="00B163DA">
        <w:t>, the</w:t>
      </w:r>
      <w:r w:rsidR="00BC1EA1">
        <w:t xml:space="preserve"> available spectrum </w:t>
      </w:r>
      <w:r w:rsidR="00B163DA">
        <w:t>is i</w:t>
      </w:r>
      <w:r w:rsidR="00B163DA" w:rsidRPr="009C33B9">
        <w:t xml:space="preserve">nsufficient to support </w:t>
      </w:r>
      <w:r w:rsidR="002A2E21">
        <w:t>four-gigahertz bandwidth SRR applications</w:t>
      </w:r>
      <w:r w:rsidR="009C33B9" w:rsidRPr="009C33B9">
        <w:t>.</w:t>
      </w:r>
      <w:r w:rsidR="00944BA7" w:rsidRPr="009C33B9">
        <w:rPr>
          <w:vertAlign w:val="superscript"/>
        </w:rPr>
        <w:footnoteReference w:id="11"/>
      </w:r>
      <w:bookmarkEnd w:id="149"/>
    </w:p>
    <w:p w:rsidR="008252E2" w:rsidRPr="00367742" w:rsidRDefault="00095295" w:rsidP="006F3BD7">
      <w:pPr>
        <w:pStyle w:val="ParaNum"/>
      </w:pPr>
      <w:r>
        <w:t xml:space="preserve">Several </w:t>
      </w:r>
      <w:r w:rsidR="0084427E" w:rsidRPr="0084427E">
        <w:t xml:space="preserve">specialized radar applications also operate in </w:t>
      </w:r>
      <w:r>
        <w:t>the 76-77 GHz band</w:t>
      </w:r>
      <w:r w:rsidR="0084427E" w:rsidRPr="0084427E">
        <w:t>.</w:t>
      </w:r>
      <w:r w:rsidR="00CC1CC1">
        <w:t xml:space="preserve">  </w:t>
      </w:r>
      <w:r w:rsidR="008252E2">
        <w:t xml:space="preserve">As part of the </w:t>
      </w:r>
      <w:r w:rsidR="008252E2" w:rsidRPr="00F30210">
        <w:rPr>
          <w:i/>
        </w:rPr>
        <w:t>2012 Radar R&amp;O</w:t>
      </w:r>
      <w:r w:rsidR="008252E2">
        <w:t xml:space="preserve">, the Commission extended the unlicensed use of </w:t>
      </w:r>
      <w:r w:rsidR="00CC1CC1">
        <w:t xml:space="preserve">the 76-77 GHz band </w:t>
      </w:r>
      <w:r w:rsidR="008252E2">
        <w:t xml:space="preserve">to fixed radars operating at airport locations under the </w:t>
      </w:r>
      <w:r w:rsidR="008252E2" w:rsidRPr="002F11AE">
        <w:t>same Part 15 rules and with the same emission</w:t>
      </w:r>
      <w:r w:rsidR="00E14091" w:rsidRPr="002F11AE">
        <w:t>s</w:t>
      </w:r>
      <w:r w:rsidR="008252E2" w:rsidRPr="002F11AE">
        <w:t xml:space="preserve"> limits that it applied to vehicular radars in the band.</w:t>
      </w:r>
      <w:r w:rsidR="008252E2" w:rsidRPr="002F11AE">
        <w:rPr>
          <w:rStyle w:val="FootnoteReference"/>
        </w:rPr>
        <w:footnoteReference w:id="12"/>
      </w:r>
      <w:r w:rsidR="008252E2" w:rsidRPr="002F11AE">
        <w:t xml:space="preserve">  </w:t>
      </w:r>
      <w:r w:rsidR="00FE312B" w:rsidRPr="0033278B">
        <w:t>These fixed radars include radars that detect foreign object debris (FOD)</w:t>
      </w:r>
      <w:r w:rsidR="00FE312B" w:rsidRPr="0033278B">
        <w:rPr>
          <w:rStyle w:val="FootnoteReference"/>
        </w:rPr>
        <w:footnoteReference w:id="13"/>
      </w:r>
      <w:r w:rsidR="00FE312B" w:rsidRPr="0033278B">
        <w:t xml:space="preserve"> on airport runways (known as “FOD detection radars”), and radars that monitor aircraft and service vehicles on taxiways and other airport vehicle service areas that have no public access (</w:t>
      </w:r>
      <w:r w:rsidR="00FE312B" w:rsidRPr="00723692">
        <w:t>e.g.</w:t>
      </w:r>
      <w:r w:rsidR="00FE312B" w:rsidRPr="0033278B">
        <w:t>, gate areas).</w:t>
      </w:r>
      <w:r w:rsidR="008252E2" w:rsidRPr="0033278B">
        <w:rPr>
          <w:vertAlign w:val="superscript"/>
        </w:rPr>
        <w:footnoteReference w:id="14"/>
      </w:r>
      <w:r w:rsidR="008252E2" w:rsidRPr="002F11AE">
        <w:t xml:space="preserve">  The</w:t>
      </w:r>
      <w:r w:rsidR="008252E2">
        <w:t xml:space="preserve"> Commission</w:t>
      </w:r>
      <w:r w:rsidR="00B62746">
        <w:t xml:space="preserve">, by </w:t>
      </w:r>
      <w:r w:rsidR="008252E2">
        <w:t>limit</w:t>
      </w:r>
      <w:r w:rsidR="00B62746">
        <w:t>ing</w:t>
      </w:r>
      <w:r w:rsidR="008252E2">
        <w:t xml:space="preserve"> fixed radar systems to airport </w:t>
      </w:r>
      <w:r w:rsidR="000C2FFB">
        <w:t>air operations areas</w:t>
      </w:r>
      <w:r w:rsidR="0094416B">
        <w:t>,</w:t>
      </w:r>
      <w:r w:rsidR="000C2FFB">
        <w:rPr>
          <w:rStyle w:val="FootnoteReference"/>
        </w:rPr>
        <w:footnoteReference w:id="15"/>
      </w:r>
      <w:r w:rsidR="008252E2">
        <w:t xml:space="preserve"> enabl</w:t>
      </w:r>
      <w:r w:rsidR="00B62746">
        <w:t>ed</w:t>
      </w:r>
      <w:r w:rsidR="005B31D5">
        <w:t xml:space="preserve"> airport</w:t>
      </w:r>
      <w:r w:rsidR="000B29B8">
        <w:t xml:space="preserve"> personnel</w:t>
      </w:r>
      <w:r w:rsidR="005B31D5">
        <w:t xml:space="preserve"> to better monitor </w:t>
      </w:r>
      <w:r w:rsidR="008252E2">
        <w:t xml:space="preserve">taxiways and improve debris detection on runways, while protecting vehicular radars from </w:t>
      </w:r>
      <w:r w:rsidR="00B62746">
        <w:t xml:space="preserve">potential </w:t>
      </w:r>
      <w:r w:rsidR="008252E2">
        <w:t>interference through geographic separation.</w:t>
      </w:r>
      <w:r>
        <w:rPr>
          <w:rStyle w:val="FootnoteReference"/>
        </w:rPr>
        <w:footnoteReference w:id="16"/>
      </w:r>
      <w:r>
        <w:t xml:space="preserve"> </w:t>
      </w:r>
      <w:r w:rsidR="008252E2">
        <w:t xml:space="preserve"> The Commission further addressed FOD detection radars in 2013, when it amended Part 90 to permit, in the 78-81 GHz band, the certification, licensing</w:t>
      </w:r>
      <w:r w:rsidR="0094416B">
        <w:t>,</w:t>
      </w:r>
      <w:r w:rsidR="008252E2">
        <w:t xml:space="preserve"> and use of fixed and mobile FOD detection radar equipment </w:t>
      </w:r>
      <w:r w:rsidR="00C54E47">
        <w:t xml:space="preserve">in airport </w:t>
      </w:r>
      <w:r w:rsidR="00917650">
        <w:t>air</w:t>
      </w:r>
      <w:r w:rsidR="007B0905">
        <w:t xml:space="preserve"> </w:t>
      </w:r>
      <w:r w:rsidR="00C54E47">
        <w:t>operations areas</w:t>
      </w:r>
      <w:r w:rsidR="008252E2">
        <w:t>.</w:t>
      </w:r>
      <w:r w:rsidR="008252E2" w:rsidRPr="006712C6">
        <w:rPr>
          <w:vertAlign w:val="superscript"/>
        </w:rPr>
        <w:footnoteReference w:id="17"/>
      </w:r>
      <w:r w:rsidR="008252E2">
        <w:t xml:space="preserve">  The Commission, however, did not adopt technical specifications for these licensed FOD detection radars.  </w:t>
      </w:r>
      <w:r w:rsidR="00D41F74">
        <w:t xml:space="preserve">Level probing radars (LPRs) </w:t>
      </w:r>
      <w:r w:rsidR="00B56568">
        <w:t xml:space="preserve">also </w:t>
      </w:r>
      <w:r w:rsidR="006225FA">
        <w:t>operate throughout the 75</w:t>
      </w:r>
      <w:r w:rsidR="00D41F74">
        <w:t xml:space="preserve">-85 GHz band, which includes </w:t>
      </w:r>
      <w:r w:rsidR="00C840B1">
        <w:t xml:space="preserve">the 76-81 GHz band </w:t>
      </w:r>
      <w:r w:rsidR="00D41F74">
        <w:t>segment</w:t>
      </w:r>
      <w:r w:rsidR="008252E2">
        <w:t>.</w:t>
      </w:r>
      <w:r w:rsidR="001B5016" w:rsidRPr="001E2768">
        <w:rPr>
          <w:rStyle w:val="FootnoteReference"/>
        </w:rPr>
        <w:footnoteReference w:id="18"/>
      </w:r>
      <w:r w:rsidR="008252E2">
        <w:t xml:space="preserve">  </w:t>
      </w:r>
      <w:r w:rsidR="00C840B1">
        <w:t xml:space="preserve">These radars </w:t>
      </w:r>
      <w:r w:rsidR="008252E2">
        <w:t>operate on an unlicensed basis</w:t>
      </w:r>
      <w:r w:rsidR="00C840B1">
        <w:t>, and</w:t>
      </w:r>
      <w:r w:rsidR="008252E2">
        <w:t xml:space="preserve"> are used to measure the amount of various materials contained in storage tanks or vessels or to measure water or other material levels in outdoor locations.</w:t>
      </w:r>
      <w:r w:rsidR="003C383A">
        <w:rPr>
          <w:rStyle w:val="FootnoteReference"/>
        </w:rPr>
        <w:footnoteReference w:id="19"/>
      </w:r>
    </w:p>
    <w:p w:rsidR="00CC4E73" w:rsidRDefault="00C04FA7" w:rsidP="00E60E1E">
      <w:pPr>
        <w:pStyle w:val="ParaNum"/>
        <w:widowControl/>
      </w:pPr>
      <w:r>
        <w:t>Licensed r</w:t>
      </w:r>
      <w:r w:rsidR="00824FB1" w:rsidRPr="00824FB1">
        <w:t>adar</w:t>
      </w:r>
      <w:r w:rsidR="00824FB1">
        <w:t xml:space="preserve"> applications </w:t>
      </w:r>
      <w:r w:rsidR="006D5C20">
        <w:t>operating</w:t>
      </w:r>
      <w:r w:rsidR="00824FB1" w:rsidRPr="00824FB1">
        <w:t xml:space="preserve"> in portions of the 76-81 GHz band</w:t>
      </w:r>
      <w:r w:rsidR="006D5C20">
        <w:t xml:space="preserve"> do so</w:t>
      </w:r>
      <w:r w:rsidR="00824FB1" w:rsidRPr="00824FB1">
        <w:t xml:space="preserve"> under </w:t>
      </w:r>
      <w:r w:rsidR="00824FB1">
        <w:t xml:space="preserve">the </w:t>
      </w:r>
      <w:r w:rsidR="00D247D4">
        <w:t>Radiolocation Service (RLS)</w:t>
      </w:r>
      <w:r w:rsidR="00824FB1">
        <w:t xml:space="preserve"> </w:t>
      </w:r>
      <w:r w:rsidR="00824FB1" w:rsidRPr="00824FB1">
        <w:t>allocation</w:t>
      </w:r>
      <w:r w:rsidR="00375EB1">
        <w:t>s</w:t>
      </w:r>
      <w:r w:rsidR="0084427E">
        <w:t xml:space="preserve"> in the </w:t>
      </w:r>
      <w:r w:rsidR="00824FB1" w:rsidRPr="00824FB1">
        <w:t>U.S. Table of Frequency Allocations (U.S. Table)</w:t>
      </w:r>
      <w:r w:rsidR="0084427E">
        <w:t>.</w:t>
      </w:r>
      <w:r w:rsidR="0084427E">
        <w:rPr>
          <w:rStyle w:val="FootnoteReference"/>
        </w:rPr>
        <w:footnoteReference w:id="20"/>
      </w:r>
      <w:r w:rsidR="00546D2F">
        <w:t xml:space="preserve">  </w:t>
      </w:r>
      <w:r w:rsidR="00233C28">
        <w:t xml:space="preserve">The band also contains allocations for the </w:t>
      </w:r>
      <w:r w:rsidR="00327FD5">
        <w:t>Amateur and A</w:t>
      </w:r>
      <w:r w:rsidR="00233C28">
        <w:t>mateur-</w:t>
      </w:r>
      <w:r w:rsidR="00327FD5">
        <w:t>S</w:t>
      </w:r>
      <w:r w:rsidR="00233C28">
        <w:t xml:space="preserve">atellite radio </w:t>
      </w:r>
      <w:r w:rsidR="003C5B71">
        <w:t>services.</w:t>
      </w:r>
      <w:r w:rsidR="00233C28">
        <w:t xml:space="preserve"> </w:t>
      </w:r>
      <w:r w:rsidR="00912AF7">
        <w:t xml:space="preserve"> </w:t>
      </w:r>
      <w:r w:rsidR="00233C28">
        <w:t xml:space="preserve">Amateur radio operators have stated that this frequency range (which </w:t>
      </w:r>
      <w:r w:rsidR="002F11AE">
        <w:t xml:space="preserve">they </w:t>
      </w:r>
      <w:r w:rsidR="00233C28">
        <w:t>identif</w:t>
      </w:r>
      <w:r w:rsidR="002F11AE">
        <w:t>y</w:t>
      </w:r>
      <w:r w:rsidR="00233C28">
        <w:t xml:space="preserve"> as the “4 mm band”) is well suited for experiments relating to short-range high-speed data communication</w:t>
      </w:r>
      <w:r w:rsidR="00912AF7">
        <w:t>s</w:t>
      </w:r>
      <w:r w:rsidR="00233C28">
        <w:t>.</w:t>
      </w:r>
      <w:r w:rsidR="00233C28">
        <w:rPr>
          <w:rStyle w:val="FootnoteReference"/>
        </w:rPr>
        <w:footnoteReference w:id="21"/>
      </w:r>
      <w:r w:rsidR="00233C28">
        <w:t xml:space="preserve">  </w:t>
      </w:r>
      <w:r w:rsidR="0097755D">
        <w:t>Since 1998, access for the Amateur Service in the 76-77 GHz band segment has been suspended to ensure against potential inter</w:t>
      </w:r>
      <w:r w:rsidR="00D82706">
        <w:t xml:space="preserve">ference to what were then newly </w:t>
      </w:r>
      <w:r w:rsidR="0097755D">
        <w:t>developing vehicular radar systems in that band.</w:t>
      </w:r>
      <w:r w:rsidR="0097755D">
        <w:rPr>
          <w:rStyle w:val="FootnoteReference"/>
        </w:rPr>
        <w:footnoteReference w:id="22"/>
      </w:r>
      <w:r w:rsidR="0097755D">
        <w:t xml:space="preserve">  </w:t>
      </w:r>
      <w:r w:rsidR="00233C28">
        <w:t xml:space="preserve">The band is further allocated to the </w:t>
      </w:r>
      <w:r w:rsidR="00A42BB0">
        <w:t>Radio Astronomy Service (RAS) and the Space Research Service (SRS)</w:t>
      </w:r>
      <w:r w:rsidR="003F4074">
        <w:t>, limited to space-to-Earth operations</w:t>
      </w:r>
      <w:r w:rsidR="00546D2F">
        <w:t xml:space="preserve">.  </w:t>
      </w:r>
      <w:r w:rsidR="00C4345A">
        <w:t>The RAS</w:t>
      </w:r>
      <w:r w:rsidR="00233C28">
        <w:t xml:space="preserve"> is a passive service </w:t>
      </w:r>
      <w:r w:rsidR="00CC4E73">
        <w:t>consisting of large earth stations that receive</w:t>
      </w:r>
      <w:r w:rsidR="00233C28">
        <w:t xml:space="preserve"> radio waves of cosmic origin to better understand our universe.</w:t>
      </w:r>
      <w:r w:rsidR="0087764A">
        <w:rPr>
          <w:rStyle w:val="FootnoteReference"/>
        </w:rPr>
        <w:footnoteReference w:id="23"/>
      </w:r>
      <w:r w:rsidR="00233C28">
        <w:t xml:space="preserve">  Research in the above-50 GHz range supports studies of star formation, properties of interstellar medium, detection of extra-solar planets, and similar research.  RAS installations </w:t>
      </w:r>
      <w:r w:rsidR="00546D2F">
        <w:t>typically have</w:t>
      </w:r>
      <w:r w:rsidR="00233C28">
        <w:t xml:space="preserve"> been sited in remote locations to </w:t>
      </w:r>
      <w:r w:rsidR="003E06DC">
        <w:t xml:space="preserve">minimize background radio noise </w:t>
      </w:r>
      <w:r w:rsidR="00FD170E">
        <w:t>as well as the risk of harmful</w:t>
      </w:r>
      <w:r w:rsidR="00233C28">
        <w:t xml:space="preserve"> interference from active services</w:t>
      </w:r>
      <w:r w:rsidR="00CC4E73">
        <w:t>.</w:t>
      </w:r>
      <w:r w:rsidR="005B31D5">
        <w:rPr>
          <w:rStyle w:val="FootnoteReference"/>
        </w:rPr>
        <w:footnoteReference w:id="24"/>
      </w:r>
      <w:r w:rsidR="00CC4E73">
        <w:t xml:space="preserve">  The SRS</w:t>
      </w:r>
      <w:r w:rsidR="00FC485C">
        <w:t xml:space="preserve"> (space-to-Earth)</w:t>
      </w:r>
      <w:r w:rsidR="00CC4E73">
        <w:t xml:space="preserve"> </w:t>
      </w:r>
      <w:r w:rsidR="00C469F1">
        <w:t>operations in the 76</w:t>
      </w:r>
      <w:r w:rsidR="00C469F1">
        <w:noBreakHyphen/>
        <w:t xml:space="preserve">81 GHz band are receive only on the Earth’s surface and involve the reception of signals from spacecraft or other objects in space </w:t>
      </w:r>
      <w:r w:rsidR="00CC4E73" w:rsidRPr="000E504E">
        <w:t>for scientific or t</w:t>
      </w:r>
      <w:r w:rsidR="00CC4E73">
        <w:t>echnological research purposes.</w:t>
      </w:r>
      <w:r w:rsidR="00CC4E73">
        <w:rPr>
          <w:rStyle w:val="FootnoteReference"/>
        </w:rPr>
        <w:footnoteReference w:id="25"/>
      </w:r>
    </w:p>
    <w:p w:rsidR="009876AA" w:rsidRDefault="00B62746" w:rsidP="006F3BD7">
      <w:pPr>
        <w:pStyle w:val="ParaNum"/>
      </w:pPr>
      <w:r w:rsidRPr="00B62746">
        <w:t xml:space="preserve">The </w:t>
      </w:r>
      <w:r w:rsidR="009876AA" w:rsidRPr="000E504E">
        <w:rPr>
          <w:i/>
        </w:rPr>
        <w:t>NPRM</w:t>
      </w:r>
      <w:r w:rsidR="009876AA">
        <w:t xml:space="preserve">, which proposed to authorize radar </w:t>
      </w:r>
      <w:r w:rsidR="00066D50">
        <w:t>operations</w:t>
      </w:r>
      <w:r w:rsidR="009876AA">
        <w:t xml:space="preserve"> throughout the entire 76-81 GHz band, was informed by a petition for rulemaking filed by Robert Bosch</w:t>
      </w:r>
      <w:r w:rsidR="008751FD">
        <w:t>,</w:t>
      </w:r>
      <w:r w:rsidR="009876AA">
        <w:t xml:space="preserve"> LLC (Bosch) that sought an expansion of the operation of vehicular radar systems from 76-77 GHz to the larger 76-81 GHz band.</w:t>
      </w:r>
      <w:r w:rsidR="009876AA" w:rsidRPr="006712C6">
        <w:rPr>
          <w:vertAlign w:val="superscript"/>
        </w:rPr>
        <w:footnoteReference w:id="26"/>
      </w:r>
      <w:r w:rsidR="009876AA">
        <w:t xml:space="preserve">  In its petition, Bosch </w:t>
      </w:r>
      <w:r w:rsidR="00C36876">
        <w:t xml:space="preserve">asserted </w:t>
      </w:r>
      <w:r w:rsidR="009876AA">
        <w:t xml:space="preserve">that </w:t>
      </w:r>
      <w:r w:rsidR="00410090">
        <w:t xml:space="preserve">expanding the available spectrum </w:t>
      </w:r>
      <w:r w:rsidR="00C36876">
        <w:t xml:space="preserve">for vehicular radar operations </w:t>
      </w:r>
      <w:r w:rsidR="009876AA">
        <w:t xml:space="preserve">would allow the development </w:t>
      </w:r>
      <w:r w:rsidR="00C36876">
        <w:t xml:space="preserve">and deployment </w:t>
      </w:r>
      <w:r w:rsidR="009876AA">
        <w:t xml:space="preserve">of a broad range of </w:t>
      </w:r>
      <w:r w:rsidR="00C36876">
        <w:t>SRR applications that would enhance the passive and active safety of all kinds of road users.</w:t>
      </w:r>
      <w:r w:rsidR="009876AA" w:rsidRPr="006712C6">
        <w:rPr>
          <w:vertAlign w:val="superscript"/>
        </w:rPr>
        <w:footnoteReference w:id="27"/>
      </w:r>
      <w:r w:rsidR="009876AA">
        <w:t xml:space="preserve">  </w:t>
      </w:r>
      <w:r w:rsidR="009D523A" w:rsidRPr="009D523A">
        <w:t xml:space="preserve">In its comments on Bosch’s petition, Continental Automotive Systems </w:t>
      </w:r>
      <w:r w:rsidR="009D523A">
        <w:t xml:space="preserve">(Continental) </w:t>
      </w:r>
      <w:r w:rsidR="009D523A" w:rsidRPr="009D523A">
        <w:t>contend</w:t>
      </w:r>
      <w:r w:rsidR="00A70070">
        <w:t>ed</w:t>
      </w:r>
      <w:r w:rsidR="009D523A" w:rsidRPr="009D523A">
        <w:t xml:space="preserve"> that a wider bandwidth of up to four gigahertz is needed for newer automotive radar deployments for better range separation, range accuracy, angular accuracy, and </w:t>
      </w:r>
      <w:r w:rsidR="009D523A">
        <w:t xml:space="preserve">reliable </w:t>
      </w:r>
      <w:r w:rsidR="009D523A" w:rsidRPr="009D523A">
        <w:t>object discrimination.</w:t>
      </w:r>
      <w:r w:rsidR="009D523A" w:rsidRPr="006712C6">
        <w:rPr>
          <w:vertAlign w:val="superscript"/>
        </w:rPr>
        <w:footnoteReference w:id="28"/>
      </w:r>
      <w:r w:rsidR="009D523A">
        <w:t xml:space="preserve">  </w:t>
      </w:r>
      <w:r w:rsidR="00A70D68">
        <w:t xml:space="preserve">The </w:t>
      </w:r>
      <w:r w:rsidR="00A70D68" w:rsidRPr="00506B67">
        <w:rPr>
          <w:i/>
        </w:rPr>
        <w:t>NPRM</w:t>
      </w:r>
      <w:r w:rsidR="00A70D68">
        <w:t xml:space="preserve"> </w:t>
      </w:r>
      <w:r w:rsidR="00A70070">
        <w:t xml:space="preserve">also </w:t>
      </w:r>
      <w:r w:rsidR="00A70D68">
        <w:t xml:space="preserve">stated that </w:t>
      </w:r>
      <w:r w:rsidR="00B76D18">
        <w:t>e</w:t>
      </w:r>
      <w:r w:rsidR="009876AA">
        <w:t xml:space="preserve">xpanding vehicular radar use to the entire 76-81 GHz band would support industry efforts to provide an internationally harmonized band capable of supporting both LRR and SRR </w:t>
      </w:r>
      <w:r w:rsidR="00932431">
        <w:t>operations</w:t>
      </w:r>
      <w:r w:rsidR="009876AA">
        <w:t>.</w:t>
      </w:r>
      <w:r w:rsidR="009876AA" w:rsidRPr="006712C6">
        <w:rPr>
          <w:vertAlign w:val="superscript"/>
        </w:rPr>
        <w:footnoteReference w:id="29"/>
      </w:r>
      <w:r w:rsidR="00FE312B">
        <w:t xml:space="preserve">  The </w:t>
      </w:r>
      <w:r w:rsidR="00FE312B" w:rsidRPr="00FE312B">
        <w:rPr>
          <w:i/>
        </w:rPr>
        <w:t>NPRM</w:t>
      </w:r>
      <w:r w:rsidR="00CD40DF">
        <w:t xml:space="preserve"> further </w:t>
      </w:r>
      <w:r w:rsidR="009876AA">
        <w:t>proposed to consolidate all vehicular radar use into th</w:t>
      </w:r>
      <w:r w:rsidR="00F0566A">
        <w:t>e 76-81 GHz</w:t>
      </w:r>
      <w:r w:rsidR="009876AA">
        <w:t xml:space="preserve"> band</w:t>
      </w:r>
      <w:r w:rsidR="00FE312B">
        <w:t xml:space="preserve">.  Specifically, </w:t>
      </w:r>
      <w:r w:rsidR="00CF3E19">
        <w:t>the Commission</w:t>
      </w:r>
      <w:r w:rsidR="00FE312B">
        <w:t xml:space="preserve"> proposed to modify certain Part 15 rules to eliminate</w:t>
      </w:r>
      <w:r w:rsidR="005B14E1">
        <w:t xml:space="preserve"> </w:t>
      </w:r>
      <w:r w:rsidR="009876AA">
        <w:t xml:space="preserve">provisions for </w:t>
      </w:r>
      <w:r w:rsidR="00FE312B">
        <w:t xml:space="preserve">the certification and operation of unlicensed vehicular radar devices </w:t>
      </w:r>
      <w:r w:rsidR="009876AA">
        <w:t xml:space="preserve">in </w:t>
      </w:r>
      <w:r w:rsidR="000A1522">
        <w:t xml:space="preserve">the 46.7-46.9 GHz band and </w:t>
      </w:r>
      <w:r w:rsidR="009876AA">
        <w:t xml:space="preserve">three segments </w:t>
      </w:r>
      <w:r w:rsidR="000A1522">
        <w:t>in</w:t>
      </w:r>
      <w:r w:rsidR="00800209">
        <w:t xml:space="preserve"> the 16-29</w:t>
      </w:r>
      <w:r w:rsidR="009876AA">
        <w:t xml:space="preserve"> GHz range.</w:t>
      </w:r>
      <w:r w:rsidR="009876AA">
        <w:rPr>
          <w:rStyle w:val="FootnoteReference"/>
        </w:rPr>
        <w:footnoteReference w:id="30"/>
      </w:r>
      <w:r w:rsidR="00EA7E81">
        <w:t xml:space="preserve"> </w:t>
      </w:r>
    </w:p>
    <w:p w:rsidR="00F20C07" w:rsidRDefault="00F20C07" w:rsidP="006F3BD7">
      <w:pPr>
        <w:pStyle w:val="ParaNum"/>
        <w:widowControl/>
      </w:pPr>
      <w:r>
        <w:t xml:space="preserve">The </w:t>
      </w:r>
      <w:r>
        <w:rPr>
          <w:i/>
        </w:rPr>
        <w:t xml:space="preserve">NPRM </w:t>
      </w:r>
      <w:r>
        <w:t>proposed to adopt a streamlined regulatory framework that could accommodate the commercial development and use of various radar technologies.  In partic</w:t>
      </w:r>
      <w:r w:rsidR="0094772B">
        <w:t xml:space="preserve">ular, </w:t>
      </w:r>
      <w:r w:rsidR="00FF3F91">
        <w:t>the Commission</w:t>
      </w:r>
      <w:r w:rsidR="0094772B">
        <w:t xml:space="preserve"> proposed to modify the U.S. Table</w:t>
      </w:r>
      <w:r>
        <w:t xml:space="preserve"> to provide a uniform </w:t>
      </w:r>
      <w:r w:rsidR="0097522F">
        <w:t>RLS</w:t>
      </w:r>
      <w:r>
        <w:t xml:space="preserve"> allocation across the entire 76-81 GHz band</w:t>
      </w:r>
      <w:r w:rsidR="00932431">
        <w:t xml:space="preserve"> by adding a primary RLS allocation at 77.5-78 GHz</w:t>
      </w:r>
      <w:r>
        <w:t>.</w:t>
      </w:r>
      <w:r w:rsidR="0097522F">
        <w:rPr>
          <w:rStyle w:val="FootnoteReference"/>
        </w:rPr>
        <w:footnoteReference w:id="31"/>
      </w:r>
      <w:r w:rsidR="0097522F">
        <w:t xml:space="preserve">  </w:t>
      </w:r>
      <w:r w:rsidR="00FF3F91">
        <w:t>The Commission</w:t>
      </w:r>
      <w:r>
        <w:t xml:space="preserve"> also proposed to </w:t>
      </w:r>
      <w:r w:rsidRPr="006712C6">
        <w:t xml:space="preserve">consolidate radar </w:t>
      </w:r>
      <w:r w:rsidR="00BE1718">
        <w:t>operations</w:t>
      </w:r>
      <w:r w:rsidRPr="006712C6">
        <w:t xml:space="preserve"> </w:t>
      </w:r>
      <w:r>
        <w:t xml:space="preserve">in the band </w:t>
      </w:r>
      <w:r w:rsidRPr="006712C6">
        <w:t xml:space="preserve">under </w:t>
      </w:r>
      <w:r w:rsidRPr="00BE2031">
        <w:t>the Part 9</w:t>
      </w:r>
      <w:r>
        <w:t>5 “licensed-by-rule” framework</w:t>
      </w:r>
      <w:r w:rsidR="00013DE6">
        <w:t xml:space="preserve">.  This would </w:t>
      </w:r>
      <w:r>
        <w:t xml:space="preserve">shift vehicular and other </w:t>
      </w:r>
      <w:r w:rsidR="00013DE6">
        <w:t>permitted fixed radar use</w:t>
      </w:r>
      <w:r>
        <w:t>s away from the Part 15 unlicensed operating model</w:t>
      </w:r>
      <w:r w:rsidR="00FB30F6">
        <w:t xml:space="preserve"> where they have no</w:t>
      </w:r>
      <w:r w:rsidR="004E6B41">
        <w:t xml:space="preserve"> interference protection status.</w:t>
      </w:r>
      <w:r w:rsidR="0097522F">
        <w:rPr>
          <w:rStyle w:val="FootnoteReference"/>
        </w:rPr>
        <w:footnoteReference w:id="32"/>
      </w:r>
      <w:r w:rsidR="00506B67">
        <w:t xml:space="preserve"> </w:t>
      </w:r>
      <w:r w:rsidR="00013DE6">
        <w:t xml:space="preserve"> </w:t>
      </w:r>
      <w:r w:rsidR="00CB374D">
        <w:t xml:space="preserve">It would also </w:t>
      </w:r>
      <w:r w:rsidR="00013DE6">
        <w:t xml:space="preserve">consolidate under Part 95 </w:t>
      </w:r>
      <w:r w:rsidR="00DD7409">
        <w:t xml:space="preserve">the </w:t>
      </w:r>
      <w:r w:rsidR="00013DE6">
        <w:t>authorization of FOD detection radars, which now are authorized either on an unlicensed basis under Part 15 or an individua</w:t>
      </w:r>
      <w:r w:rsidR="006225FA">
        <w:t>l</w:t>
      </w:r>
      <w:r w:rsidR="00013DE6">
        <w:t>l</w:t>
      </w:r>
      <w:r w:rsidR="006225FA">
        <w:t>y</w:t>
      </w:r>
      <w:r w:rsidR="00013DE6">
        <w:t xml:space="preserve"> licensed basis under Part 90. </w:t>
      </w:r>
      <w:r>
        <w:t xml:space="preserve"> Finally, </w:t>
      </w:r>
      <w:r w:rsidR="00FF3F91">
        <w:t>the Commission</w:t>
      </w:r>
      <w:r>
        <w:t xml:space="preserve"> discussed a wide variety of radar applications that might be provided, including LRR and SRR vehicular radar applications, ground-use aircraft-mounted radars</w:t>
      </w:r>
      <w:r w:rsidRPr="00F130CA">
        <w:t xml:space="preserve"> </w:t>
      </w:r>
      <w:r>
        <w:t xml:space="preserve">that could help prevent aircraft wing collisions </w:t>
      </w:r>
      <w:r w:rsidR="00781245">
        <w:t>at</w:t>
      </w:r>
      <w:r>
        <w:t xml:space="preserve"> airport</w:t>
      </w:r>
      <w:r w:rsidR="00CB374D">
        <w:t>s</w:t>
      </w:r>
      <w:r>
        <w:t>, and other fixed infrastructure radars that have traditionally not been authorized in the band.</w:t>
      </w:r>
      <w:r w:rsidR="0097522F">
        <w:rPr>
          <w:rStyle w:val="FootnoteReference"/>
        </w:rPr>
        <w:footnoteReference w:id="33"/>
      </w:r>
      <w:r w:rsidR="00F911E8">
        <w:t xml:space="preserve">  </w:t>
      </w:r>
      <w:r>
        <w:t xml:space="preserve">While the </w:t>
      </w:r>
      <w:r>
        <w:rPr>
          <w:i/>
        </w:rPr>
        <w:t>NPRM</w:t>
      </w:r>
      <w:r>
        <w:t xml:space="preserve"> propose</w:t>
      </w:r>
      <w:r w:rsidR="00C24BED">
        <w:t>d</w:t>
      </w:r>
      <w:r>
        <w:t xml:space="preserve"> rules </w:t>
      </w:r>
      <w:r w:rsidR="00C24BED">
        <w:t>to</w:t>
      </w:r>
      <w:r>
        <w:t xml:space="preserve"> expand the types and frequency range of radar uses beyond what is available under our current rules, </w:t>
      </w:r>
      <w:r w:rsidR="00AC4AA9">
        <w:t>it</w:t>
      </w:r>
      <w:r>
        <w:t xml:space="preserve"> also asked questions about compatibility issues </w:t>
      </w:r>
      <w:r w:rsidR="00104BD6">
        <w:t>between</w:t>
      </w:r>
      <w:r w:rsidR="00F86A53">
        <w:t xml:space="preserve"> new and existing </w:t>
      </w:r>
      <w:r>
        <w:t>services and sought to adopt final rules that would ensure that both new and incumbent operations would be able to share use of the band</w:t>
      </w:r>
      <w:r w:rsidR="0094772B">
        <w:t>.</w:t>
      </w:r>
      <w:r w:rsidR="00F911E8">
        <w:rPr>
          <w:rStyle w:val="FootnoteReference"/>
        </w:rPr>
        <w:footnoteReference w:id="34"/>
      </w:r>
    </w:p>
    <w:p w:rsidR="00976DA2" w:rsidRPr="006712C6" w:rsidRDefault="007671F8" w:rsidP="004F00E7">
      <w:pPr>
        <w:pStyle w:val="Heading1"/>
      </w:pPr>
      <w:bookmarkStart w:id="150" w:name="_Toc451907087"/>
      <w:bookmarkStart w:id="151" w:name="_Toc451973331"/>
      <w:bookmarkStart w:id="152" w:name="_Toc452449705"/>
      <w:bookmarkStart w:id="153" w:name="_Toc452449858"/>
      <w:bookmarkStart w:id="154" w:name="_Toc454322889"/>
      <w:bookmarkStart w:id="155" w:name="_Toc454323388"/>
      <w:bookmarkStart w:id="156" w:name="_Toc454323564"/>
      <w:bookmarkStart w:id="157" w:name="_Toc454365495"/>
      <w:bookmarkStart w:id="158" w:name="_Toc454456239"/>
      <w:bookmarkStart w:id="159" w:name="_Toc454456264"/>
      <w:bookmarkStart w:id="160" w:name="_Toc454456355"/>
      <w:bookmarkStart w:id="161" w:name="_Toc454457162"/>
      <w:bookmarkStart w:id="162" w:name="_Toc454457505"/>
      <w:bookmarkStart w:id="163" w:name="_Toc454460089"/>
      <w:bookmarkStart w:id="164" w:name="_Toc454460294"/>
      <w:bookmarkStart w:id="165" w:name="_Toc454461245"/>
      <w:bookmarkStart w:id="166" w:name="_Toc459723388"/>
      <w:bookmarkStart w:id="167" w:name="_Toc459829041"/>
      <w:bookmarkStart w:id="168" w:name="_Toc459829746"/>
      <w:bookmarkStart w:id="169" w:name="_Toc459911841"/>
      <w:bookmarkStart w:id="170" w:name="_Toc460402623"/>
      <w:bookmarkStart w:id="171" w:name="_Toc460435316"/>
      <w:bookmarkStart w:id="172" w:name="_Toc460523692"/>
      <w:bookmarkStart w:id="173" w:name="_Toc460607603"/>
      <w:bookmarkStart w:id="174" w:name="_Toc460873675"/>
      <w:bookmarkStart w:id="175" w:name="_Toc460881056"/>
      <w:bookmarkStart w:id="176" w:name="_Toc461004620"/>
      <w:bookmarkStart w:id="177" w:name="_Toc461030286"/>
      <w:bookmarkStart w:id="178" w:name="_Toc461091228"/>
      <w:bookmarkStart w:id="179" w:name="_Toc461435071"/>
      <w:bookmarkStart w:id="180" w:name="_Toc461526548"/>
      <w:bookmarkStart w:id="181" w:name="_Toc461728149"/>
      <w:bookmarkStart w:id="182" w:name="_Toc461804884"/>
      <w:bookmarkStart w:id="183" w:name="_Toc462125328"/>
      <w:bookmarkStart w:id="184" w:name="_Toc462237431"/>
      <w:bookmarkStart w:id="185" w:name="_Toc462656102"/>
      <w:bookmarkStart w:id="186" w:name="_Toc462675864"/>
      <w:bookmarkStart w:id="187" w:name="_Toc462786111"/>
      <w:bookmarkStart w:id="188" w:name="_Toc462808449"/>
      <w:bookmarkStart w:id="189" w:name="_Toc462911153"/>
      <w:bookmarkStart w:id="190" w:name="_Toc463267930"/>
      <w:bookmarkStart w:id="191" w:name="_Toc463946938"/>
      <w:bookmarkStart w:id="192" w:name="_Toc464208117"/>
      <w:bookmarkStart w:id="193" w:name="_Toc464209998"/>
      <w:bookmarkStart w:id="194" w:name="_Toc464210462"/>
      <w:bookmarkStart w:id="195" w:name="_Toc464649166"/>
      <w:bookmarkStart w:id="196" w:name="_Toc464649438"/>
      <w:bookmarkStart w:id="197" w:name="_Toc464660040"/>
      <w:bookmarkStart w:id="198" w:name="_Toc465939707"/>
      <w:bookmarkStart w:id="199" w:name="_Toc471485245"/>
      <w:bookmarkStart w:id="200" w:name="_Toc473911540"/>
      <w:bookmarkStart w:id="201" w:name="_Toc473911759"/>
      <w:bookmarkStart w:id="202" w:name="_Toc475023429"/>
      <w:bookmarkStart w:id="203" w:name="_Toc475564838"/>
      <w:bookmarkStart w:id="204" w:name="_Toc475995717"/>
      <w:bookmarkStart w:id="205" w:name="_Toc476168258"/>
      <w:bookmarkStart w:id="206" w:name="_Toc476230595"/>
      <w:bookmarkStart w:id="207" w:name="_Toc476319086"/>
      <w:bookmarkStart w:id="208" w:name="_Toc477171253"/>
      <w:bookmarkStart w:id="209" w:name="_Toc477176702"/>
      <w:bookmarkStart w:id="210" w:name="_Toc480544475"/>
      <w:bookmarkStart w:id="211" w:name="_Toc483252349"/>
      <w:bookmarkStart w:id="212" w:name="_Toc485387929"/>
      <w:bookmarkStart w:id="213" w:name="_Toc485640834"/>
      <w:bookmarkStart w:id="214" w:name="_Toc487543586"/>
      <w:r w:rsidRPr="006712C6">
        <w:t>Discussion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A00F5" w:rsidRDefault="00526F95" w:rsidP="006F3BD7">
      <w:pPr>
        <w:pStyle w:val="ParaNum"/>
        <w:widowControl/>
      </w:pPr>
      <w:r>
        <w:t>I</w:t>
      </w:r>
      <w:r w:rsidR="00B11E57">
        <w:t xml:space="preserve">n this </w:t>
      </w:r>
      <w:r w:rsidR="00B11E57" w:rsidRPr="00AA00F5">
        <w:rPr>
          <w:i/>
        </w:rPr>
        <w:t>Report and Order</w:t>
      </w:r>
      <w:r w:rsidR="00B11E57">
        <w:t xml:space="preserve">, </w:t>
      </w:r>
      <w:r w:rsidR="009F0BA6">
        <w:t xml:space="preserve">we </w:t>
      </w:r>
      <w:r w:rsidR="00A7766E">
        <w:t>modify Parts 1, 2, 15, 90, 95, and 97 of the Commission’s rules</w:t>
      </w:r>
      <w:r w:rsidR="006D5C20">
        <w:t xml:space="preserve"> </w:t>
      </w:r>
      <w:r w:rsidR="00A7766E">
        <w:t xml:space="preserve">to adopt the </w:t>
      </w:r>
      <w:r w:rsidR="00A7766E" w:rsidRPr="00AA00F5">
        <w:rPr>
          <w:szCs w:val="22"/>
        </w:rPr>
        <w:t>Commission’s</w:t>
      </w:r>
      <w:r w:rsidR="00E72445" w:rsidRPr="00AA00F5">
        <w:rPr>
          <w:kern w:val="0"/>
          <w:szCs w:val="22"/>
        </w:rPr>
        <w:t xml:space="preserve"> p</w:t>
      </w:r>
      <w:r w:rsidR="009F0BA6" w:rsidRPr="00AA00F5">
        <w:rPr>
          <w:szCs w:val="22"/>
        </w:rPr>
        <w:t>roposal to permit</w:t>
      </w:r>
      <w:r w:rsidR="009F0BA6">
        <w:t xml:space="preserve"> certain radar applications in the entire 76-81 GHz band, namely </w:t>
      </w:r>
      <w:r w:rsidR="00AA00F5">
        <w:t xml:space="preserve">vehicular </w:t>
      </w:r>
      <w:r w:rsidR="009F0BA6">
        <w:t xml:space="preserve">radars and fixed and mobile radars </w:t>
      </w:r>
      <w:r w:rsidR="00D05A23">
        <w:t xml:space="preserve">in </w:t>
      </w:r>
      <w:r w:rsidR="009F0BA6">
        <w:t>airport</w:t>
      </w:r>
      <w:r w:rsidR="009C4243">
        <w:t xml:space="preserve"> air operations areas</w:t>
      </w:r>
      <w:r w:rsidR="00013DE6">
        <w:t>.</w:t>
      </w:r>
      <w:r w:rsidR="006D5C20">
        <w:rPr>
          <w:rStyle w:val="FootnoteReference"/>
        </w:rPr>
        <w:footnoteReference w:id="35"/>
      </w:r>
      <w:r w:rsidR="006D5C20">
        <w:t xml:space="preserve">  </w:t>
      </w:r>
      <w:r w:rsidR="00013DE6">
        <w:t>To accomplish this objective</w:t>
      </w:r>
      <w:r w:rsidR="009F0BA6">
        <w:t xml:space="preserve">, </w:t>
      </w:r>
      <w:r w:rsidR="00013DE6">
        <w:t xml:space="preserve">we first address </w:t>
      </w:r>
      <w:r w:rsidR="00F14D23">
        <w:t>the appro</w:t>
      </w:r>
      <w:r w:rsidR="00AA00F5">
        <w:t xml:space="preserve">priate changes to the U.S. Table.  </w:t>
      </w:r>
      <w:r w:rsidR="004A13A9" w:rsidRPr="00661571">
        <w:t xml:space="preserve">We </w:t>
      </w:r>
      <w:r w:rsidR="004A13A9">
        <w:t xml:space="preserve">also address the interference concerns raised by amateur and radio astronomy constituents, </w:t>
      </w:r>
      <w:r w:rsidR="004A13A9" w:rsidRPr="00661571">
        <w:t xml:space="preserve">evaluate the compatibility of </w:t>
      </w:r>
      <w:r w:rsidR="004A13A9">
        <w:t xml:space="preserve">radar applications with those </w:t>
      </w:r>
      <w:r w:rsidR="004A13A9" w:rsidRPr="00661571">
        <w:t>incumbent operations</w:t>
      </w:r>
      <w:r w:rsidR="004A13A9">
        <w:t xml:space="preserve"> </w:t>
      </w:r>
      <w:r w:rsidR="004A13A9" w:rsidRPr="00661571">
        <w:t>in the 7</w:t>
      </w:r>
      <w:r w:rsidR="004A13A9">
        <w:t>6</w:t>
      </w:r>
      <w:r w:rsidR="004A13A9" w:rsidRPr="00661571">
        <w:t>-81 GHz band</w:t>
      </w:r>
      <w:r w:rsidR="004A13A9">
        <w:t>, and modify the emission</w:t>
      </w:r>
      <w:r w:rsidR="00F71CA7">
        <w:t>s</w:t>
      </w:r>
      <w:r w:rsidR="004A13A9">
        <w:t xml:space="preserve"> limits for the amateur services to</w:t>
      </w:r>
      <w:r w:rsidR="008A7C84">
        <w:t xml:space="preserve"> ensure that the potential for harmful interference to vehicular radar operations in the 76-81 GHz band is negligible</w:t>
      </w:r>
      <w:r w:rsidR="00AA00F5">
        <w:t>.</w:t>
      </w:r>
    </w:p>
    <w:p w:rsidR="00976DA2" w:rsidRDefault="00353EBE" w:rsidP="006A3956">
      <w:pPr>
        <w:pStyle w:val="ParaNum"/>
        <w:widowControl/>
      </w:pPr>
      <w:r>
        <w:t xml:space="preserve">Given </w:t>
      </w:r>
      <w:r w:rsidR="00795C30">
        <w:t xml:space="preserve">the </w:t>
      </w:r>
      <w:r>
        <w:t xml:space="preserve">large </w:t>
      </w:r>
      <w:r w:rsidR="00EC1487">
        <w:t xml:space="preserve">amount of </w:t>
      </w:r>
      <w:r>
        <w:t>contiguous spectrum we are providing for radar use</w:t>
      </w:r>
      <w:r w:rsidR="00B11E57">
        <w:t xml:space="preserve">, </w:t>
      </w:r>
      <w:r w:rsidR="00013DE6">
        <w:t>we consolidate vehicular radar</w:t>
      </w:r>
      <w:r w:rsidR="00D67307">
        <w:t>s</w:t>
      </w:r>
      <w:r w:rsidR="00013DE6">
        <w:t xml:space="preserve"> and other specific types of fixed and mobile radar operations in</w:t>
      </w:r>
      <w:r w:rsidR="000A1666">
        <w:t>to</w:t>
      </w:r>
      <w:r w:rsidR="00013DE6">
        <w:t xml:space="preserve"> the 76-81 GHz band.  First, we modify and eliminate certain Part 15 rules under which vehicular radar devices have been authorized on an unlicensed basis and transition those uses to the 76-81 GHz band; namely, we</w:t>
      </w:r>
      <w:r w:rsidR="00B11E57">
        <w:t xml:space="preserve"> </w:t>
      </w:r>
      <w:r w:rsidR="00DE6CEA">
        <w:t>remov</w:t>
      </w:r>
      <w:r w:rsidR="00392CDF">
        <w:t>e</w:t>
      </w:r>
      <w:r w:rsidR="00DE6CEA">
        <w:t xml:space="preserve"> vehicular radar operations from </w:t>
      </w:r>
      <w:r w:rsidR="00F14D23">
        <w:t xml:space="preserve">the </w:t>
      </w:r>
      <w:r w:rsidR="00DE6CEA">
        <w:t>16.2-17.7 GHz and 46.7-46.9 GHz bands and estab</w:t>
      </w:r>
      <w:r w:rsidR="00392CDF">
        <w:t xml:space="preserve">lish a gradual phasing out of </w:t>
      </w:r>
      <w:r>
        <w:t>wideband and ultra-wideband (UWB)</w:t>
      </w:r>
      <w:r w:rsidR="00526F95">
        <w:t xml:space="preserve"> </w:t>
      </w:r>
      <w:r w:rsidR="00AA470A">
        <w:t>vehicular radar operations in the 23.12-29.0 GHz band and the 22</w:t>
      </w:r>
      <w:r w:rsidR="00550707">
        <w:noBreakHyphen/>
      </w:r>
      <w:r w:rsidR="00AA470A">
        <w:t>29 GHz band, respectively.</w:t>
      </w:r>
      <w:r w:rsidR="00BD47A1">
        <w:rPr>
          <w:rStyle w:val="FootnoteReference"/>
        </w:rPr>
        <w:footnoteReference w:id="36"/>
      </w:r>
      <w:r w:rsidR="00AA470A">
        <w:t xml:space="preserve"> </w:t>
      </w:r>
      <w:r w:rsidR="00392CDF">
        <w:t xml:space="preserve"> </w:t>
      </w:r>
      <w:r w:rsidR="003F61B4">
        <w:t>Second, we will allow certain types of non-veh</w:t>
      </w:r>
      <w:r w:rsidR="00EC1487">
        <w:t xml:space="preserve">icular fixed and mobile radars </w:t>
      </w:r>
      <w:r w:rsidR="003F61B4">
        <w:t>to use the entire 76-81 GHz band</w:t>
      </w:r>
      <w:r w:rsidR="003F61B4" w:rsidRPr="00F41492">
        <w:t xml:space="preserve"> </w:t>
      </w:r>
      <w:r w:rsidR="004710E0">
        <w:t>only in</w:t>
      </w:r>
      <w:r w:rsidR="003F61B4">
        <w:t xml:space="preserve"> airport </w:t>
      </w:r>
      <w:r w:rsidR="004710E0">
        <w:t>operations areas</w:t>
      </w:r>
      <w:r w:rsidR="003F61B4">
        <w:t xml:space="preserve">, </w:t>
      </w:r>
      <w:r w:rsidR="00B930CF">
        <w:t>declining</w:t>
      </w:r>
      <w:r w:rsidR="003F61B4">
        <w:t xml:space="preserve"> at this time to allow these types of radar operations outside </w:t>
      </w:r>
      <w:r w:rsidR="00D05A23">
        <w:t xml:space="preserve">of </w:t>
      </w:r>
      <w:r w:rsidR="003F61B4">
        <w:t xml:space="preserve">airport grounds.  </w:t>
      </w:r>
      <w:r w:rsidR="00216858">
        <w:t xml:space="preserve">Finally, we </w:t>
      </w:r>
      <w:r w:rsidR="00216858" w:rsidRPr="006712C6">
        <w:t>consolidat</w:t>
      </w:r>
      <w:r w:rsidR="00216858">
        <w:t>e</w:t>
      </w:r>
      <w:r w:rsidR="00216858" w:rsidRPr="006712C6">
        <w:t xml:space="preserve"> the </w:t>
      </w:r>
      <w:r w:rsidR="00216858">
        <w:t xml:space="preserve">technical </w:t>
      </w:r>
      <w:r w:rsidR="00216858" w:rsidRPr="006712C6">
        <w:t>rules for</w:t>
      </w:r>
      <w:r w:rsidR="009D7A49">
        <w:t xml:space="preserve"> </w:t>
      </w:r>
      <w:r w:rsidR="00B63EDE">
        <w:t>the</w:t>
      </w:r>
      <w:r w:rsidR="009D7A49">
        <w:t xml:space="preserve"> </w:t>
      </w:r>
      <w:r w:rsidR="00216858" w:rsidRPr="006712C6">
        <w:t xml:space="preserve">radar </w:t>
      </w:r>
      <w:r w:rsidR="00216858">
        <w:t>operations</w:t>
      </w:r>
      <w:r w:rsidR="00B63EDE">
        <w:t xml:space="preserve"> that will operate</w:t>
      </w:r>
      <w:r w:rsidR="00216858">
        <w:t xml:space="preserve"> </w:t>
      </w:r>
      <w:r w:rsidR="00E53F75">
        <w:t>in the 76-81 GHz band</w:t>
      </w:r>
      <w:r w:rsidR="00216858" w:rsidRPr="006712C6">
        <w:t xml:space="preserve">, shifting those </w:t>
      </w:r>
      <w:r w:rsidR="00E167F8">
        <w:t>operations</w:t>
      </w:r>
      <w:r w:rsidR="00216858" w:rsidRPr="006712C6">
        <w:t xml:space="preserve"> currently </w:t>
      </w:r>
      <w:r w:rsidR="00216858">
        <w:t xml:space="preserve">authorized </w:t>
      </w:r>
      <w:r w:rsidR="00216858" w:rsidRPr="006712C6">
        <w:t xml:space="preserve">under the Part 15 </w:t>
      </w:r>
      <w:r w:rsidR="00216858">
        <w:t>‘</w:t>
      </w:r>
      <w:r w:rsidR="00216858" w:rsidRPr="006712C6">
        <w:t>unlicensed</w:t>
      </w:r>
      <w:r w:rsidR="00216858">
        <w:t>’</w:t>
      </w:r>
      <w:r w:rsidR="00216858" w:rsidRPr="006712C6">
        <w:t xml:space="preserve"> model</w:t>
      </w:r>
      <w:r w:rsidR="00216858">
        <w:t xml:space="preserve"> and the Part 90 ‘individually</w:t>
      </w:r>
      <w:r w:rsidR="005C16DE">
        <w:t xml:space="preserve"> </w:t>
      </w:r>
      <w:r w:rsidR="00216858">
        <w:t>licensed’ model</w:t>
      </w:r>
      <w:r w:rsidR="00216858" w:rsidRPr="006712C6">
        <w:t xml:space="preserve"> to the Part 95 </w:t>
      </w:r>
      <w:r w:rsidR="00216858">
        <w:t>‘</w:t>
      </w:r>
      <w:r w:rsidR="00216858" w:rsidRPr="006712C6">
        <w:t>license</w:t>
      </w:r>
      <w:r w:rsidR="00216858">
        <w:t>d</w:t>
      </w:r>
      <w:r w:rsidR="00216858" w:rsidRPr="006712C6">
        <w:t>-by-rule</w:t>
      </w:r>
      <w:r w:rsidR="00216858">
        <w:t>’</w:t>
      </w:r>
      <w:r w:rsidR="00216858" w:rsidRPr="006712C6">
        <w:t xml:space="preserve"> model</w:t>
      </w:r>
      <w:r w:rsidR="00216858">
        <w:t>.</w:t>
      </w:r>
      <w:r w:rsidR="00895D51" w:rsidRPr="001E2768">
        <w:rPr>
          <w:rStyle w:val="FootnoteReference"/>
        </w:rPr>
        <w:footnoteReference w:id="37"/>
      </w:r>
    </w:p>
    <w:p w:rsidR="00B442B9" w:rsidRDefault="008F49B6" w:rsidP="00C06785">
      <w:pPr>
        <w:pStyle w:val="Heading2"/>
      </w:pPr>
      <w:bookmarkStart w:id="215" w:name="_Toc459723389"/>
      <w:bookmarkStart w:id="216" w:name="_Toc459829042"/>
      <w:bookmarkStart w:id="217" w:name="_Toc459829747"/>
      <w:bookmarkStart w:id="218" w:name="_Toc459911842"/>
      <w:bookmarkStart w:id="219" w:name="_Toc460402624"/>
      <w:bookmarkStart w:id="220" w:name="_Toc460435317"/>
      <w:bookmarkStart w:id="221" w:name="_Toc460523693"/>
      <w:bookmarkStart w:id="222" w:name="_Toc460607604"/>
      <w:bookmarkStart w:id="223" w:name="_Toc460873676"/>
      <w:bookmarkStart w:id="224" w:name="_Toc460881057"/>
      <w:bookmarkStart w:id="225" w:name="_Toc461004621"/>
      <w:bookmarkStart w:id="226" w:name="_Toc461030287"/>
      <w:bookmarkStart w:id="227" w:name="_Toc461091229"/>
      <w:bookmarkStart w:id="228" w:name="_Toc461435072"/>
      <w:bookmarkStart w:id="229" w:name="_Toc461526549"/>
      <w:bookmarkStart w:id="230" w:name="_Toc461728150"/>
      <w:bookmarkStart w:id="231" w:name="_Toc461804885"/>
      <w:bookmarkStart w:id="232" w:name="_Toc462125329"/>
      <w:bookmarkStart w:id="233" w:name="_Toc462237432"/>
      <w:bookmarkStart w:id="234" w:name="_Toc462656103"/>
      <w:bookmarkStart w:id="235" w:name="_Toc462675865"/>
      <w:bookmarkStart w:id="236" w:name="_Toc462786112"/>
      <w:bookmarkStart w:id="237" w:name="_Toc462808450"/>
      <w:bookmarkStart w:id="238" w:name="_Toc462911154"/>
      <w:bookmarkStart w:id="239" w:name="_Toc463267931"/>
      <w:bookmarkStart w:id="240" w:name="_Toc463946939"/>
      <w:bookmarkStart w:id="241" w:name="_Toc464208118"/>
      <w:bookmarkStart w:id="242" w:name="_Toc464209999"/>
      <w:bookmarkStart w:id="243" w:name="_Toc464210463"/>
      <w:bookmarkStart w:id="244" w:name="_Toc464649167"/>
      <w:bookmarkStart w:id="245" w:name="_Toc464649439"/>
      <w:bookmarkStart w:id="246" w:name="_Toc464660041"/>
      <w:bookmarkStart w:id="247" w:name="_Toc465939708"/>
      <w:bookmarkStart w:id="248" w:name="_Toc468184068"/>
      <w:bookmarkStart w:id="249" w:name="_Toc471485246"/>
      <w:bookmarkStart w:id="250" w:name="_Toc473911541"/>
      <w:bookmarkStart w:id="251" w:name="_Toc473911760"/>
      <w:bookmarkStart w:id="252" w:name="_Toc475023430"/>
      <w:bookmarkStart w:id="253" w:name="_Toc475564839"/>
      <w:bookmarkStart w:id="254" w:name="_Toc475995718"/>
      <w:bookmarkStart w:id="255" w:name="_Toc476168259"/>
      <w:bookmarkStart w:id="256" w:name="_Toc476230596"/>
      <w:bookmarkStart w:id="257" w:name="_Toc476319087"/>
      <w:bookmarkStart w:id="258" w:name="_Toc477171254"/>
      <w:bookmarkStart w:id="259" w:name="_Toc477176703"/>
      <w:bookmarkStart w:id="260" w:name="_Toc480544476"/>
      <w:bookmarkStart w:id="261" w:name="_Toc483252350"/>
      <w:bookmarkStart w:id="262" w:name="_Toc485387930"/>
      <w:bookmarkStart w:id="263" w:name="_Toc485640835"/>
      <w:bookmarkStart w:id="264" w:name="_Toc487543587"/>
      <w:bookmarkStart w:id="265" w:name="_Toc451907088"/>
      <w:bookmarkStart w:id="266" w:name="_Toc451973332"/>
      <w:bookmarkStart w:id="267" w:name="_Toc452449706"/>
      <w:bookmarkStart w:id="268" w:name="_Toc452449859"/>
      <w:bookmarkStart w:id="269" w:name="_Toc454322890"/>
      <w:bookmarkStart w:id="270" w:name="_Toc454323389"/>
      <w:bookmarkStart w:id="271" w:name="_Toc454323565"/>
      <w:bookmarkStart w:id="272" w:name="_Toc454365496"/>
      <w:bookmarkStart w:id="273" w:name="_Toc454456240"/>
      <w:bookmarkStart w:id="274" w:name="_Toc454456265"/>
      <w:bookmarkStart w:id="275" w:name="_Toc454456356"/>
      <w:bookmarkStart w:id="276" w:name="_Toc454457163"/>
      <w:bookmarkStart w:id="277" w:name="_Toc454457506"/>
      <w:bookmarkStart w:id="278" w:name="_Toc454460090"/>
      <w:bookmarkStart w:id="279" w:name="_Toc454460295"/>
      <w:bookmarkStart w:id="280" w:name="_Toc454461246"/>
      <w:bookmarkEnd w:id="69"/>
      <w:bookmarkEnd w:id="70"/>
      <w:bookmarkEnd w:id="71"/>
      <w:bookmarkEnd w:id="72"/>
      <w:bookmarkEnd w:id="73"/>
      <w:bookmarkEnd w:id="74"/>
      <w:bookmarkEnd w:id="75"/>
      <w:bookmarkEnd w:id="76"/>
      <w:bookmarkEnd w:id="77"/>
      <w:bookmarkEnd w:id="78"/>
      <w:bookmarkEnd w:id="79"/>
      <w:bookmarkEnd w:id="80"/>
      <w:bookmarkEnd w:id="81"/>
      <w:bookmarkEnd w:id="82"/>
      <w:r>
        <w:t>Allocation Changes to</w:t>
      </w:r>
      <w:r w:rsidR="00B70C9F">
        <w:t xml:space="preserve"> </w:t>
      </w:r>
      <w:r w:rsidR="00B442B9">
        <w:t>the 7</w:t>
      </w:r>
      <w:r w:rsidR="0018421F">
        <w:t>7.5-78</w:t>
      </w:r>
      <w:r w:rsidR="00B442B9">
        <w:t xml:space="preserve"> GHz</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BE2798">
        <w:t xml:space="preserve"> Band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976DA2" w:rsidRDefault="000F2DB8" w:rsidP="006F3BD7">
      <w:pPr>
        <w:pStyle w:val="ParaNum"/>
        <w:widowControl/>
        <w:spacing w:after="220"/>
      </w:pPr>
      <w:bookmarkStart w:id="281" w:name="_Toc447638409"/>
      <w:bookmarkStart w:id="282" w:name="_Toc447701719"/>
      <w:bookmarkStart w:id="283" w:name="_Toc447729219"/>
      <w:bookmarkStart w:id="284" w:name="_Toc447811200"/>
      <w:bookmarkStart w:id="285" w:name="_Toc447815301"/>
      <w:bookmarkStart w:id="286" w:name="_Toc44781574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In the U.S. Table</w:t>
      </w:r>
      <w:r w:rsidR="00976DA2">
        <w:t xml:space="preserve">, the 76-77.5 GHz and 78-81 GHz bands </w:t>
      </w:r>
      <w:r>
        <w:t xml:space="preserve">currently </w:t>
      </w:r>
      <w:r w:rsidR="00976DA2">
        <w:t>are allocated to the RLS and the RAS on a primary basis, and to the Amateur Service on a secondary basis</w:t>
      </w:r>
      <w:r w:rsidR="00247C94">
        <w:t>.</w:t>
      </w:r>
      <w:r w:rsidR="00247C94" w:rsidRPr="00DA1420">
        <w:rPr>
          <w:vertAlign w:val="superscript"/>
        </w:rPr>
        <w:footnoteReference w:id="38"/>
      </w:r>
      <w:r w:rsidR="00976DA2">
        <w:t xml:space="preserve">  </w:t>
      </w:r>
      <w:r w:rsidR="00FF2704">
        <w:t xml:space="preserve">The </w:t>
      </w:r>
      <w:r w:rsidR="00976DA2">
        <w:t>Amateur-Satellite Service is secondary in the 77-77.5 GHz and 78-81 GHz bands</w:t>
      </w:r>
      <w:r w:rsidR="00475913">
        <w:t>,</w:t>
      </w:r>
      <w:r w:rsidR="00976DA2">
        <w:t xml:space="preserve"> and </w:t>
      </w:r>
      <w:r w:rsidR="00475913">
        <w:t xml:space="preserve">the </w:t>
      </w:r>
      <w:r w:rsidR="00976DA2">
        <w:t>SRS</w:t>
      </w:r>
      <w:r w:rsidR="00475913">
        <w:t xml:space="preserve"> </w:t>
      </w:r>
      <w:r w:rsidR="00754C0E">
        <w:t>(space-to-Earth)</w:t>
      </w:r>
      <w:r w:rsidR="00475913">
        <w:t xml:space="preserve"> is </w:t>
      </w:r>
      <w:r w:rsidR="00976DA2">
        <w:t>sec</w:t>
      </w:r>
      <w:r w:rsidR="006E1277">
        <w:t>ondary in the entire 76-81 GHz b</w:t>
      </w:r>
      <w:r w:rsidR="00976DA2">
        <w:t xml:space="preserve">and.  The 77.5-78 GHz segment is the only portion of the 76-81 GHz band that does not have an RLS allocation.  </w:t>
      </w:r>
      <w:r w:rsidR="00A827E8">
        <w:t>I</w:t>
      </w:r>
      <w:r w:rsidR="00976DA2">
        <w:t>t is allocated to the Amateur and Amateur</w:t>
      </w:r>
      <w:r w:rsidR="00327FD5">
        <w:t>-</w:t>
      </w:r>
      <w:r w:rsidR="00976DA2">
        <w:t>Satellite Services on a primary basis and to the RAS and SRS (space-to-Earth) on a secondary basis.  As a visual summary, this is the current status of the U.S. allocations in the 76-81 GHz band</w:t>
      </w:r>
      <w:r w:rsidR="00D67307">
        <w:t>:</w:t>
      </w:r>
      <w:r w:rsidR="008F49B6">
        <w:rPr>
          <w:rStyle w:val="FootnoteReference"/>
        </w:rPr>
        <w:footnoteReference w:id="39"/>
      </w:r>
    </w:p>
    <w:p w:rsidR="00932540" w:rsidRDefault="00AA5782" w:rsidP="005C6F9C">
      <w:pPr>
        <w:pStyle w:val="ParaNum"/>
        <w:numPr>
          <w:ilvl w:val="0"/>
          <w:numId w:val="0"/>
        </w:numPr>
      </w:pPr>
      <w:r>
        <w:rPr>
          <w:noProof/>
          <w:snapToGrid/>
        </w:rPr>
        <w:drawing>
          <wp:inline distT="0" distB="0" distL="0" distR="0">
            <wp:extent cx="5934075" cy="24288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428875"/>
                    </a:xfrm>
                    <a:prstGeom prst="rect">
                      <a:avLst/>
                    </a:prstGeom>
                    <a:noFill/>
                    <a:ln>
                      <a:noFill/>
                    </a:ln>
                  </pic:spPr>
                </pic:pic>
              </a:graphicData>
            </a:graphic>
          </wp:inline>
        </w:drawing>
      </w:r>
    </w:p>
    <w:p w:rsidR="00976DA2" w:rsidRPr="007F337A" w:rsidRDefault="00976DA2" w:rsidP="008F49B6">
      <w:pPr>
        <w:pStyle w:val="Heading3"/>
        <w:spacing w:before="240"/>
      </w:pPr>
      <w:bookmarkStart w:id="287" w:name="_Toc451907089"/>
      <w:bookmarkStart w:id="288" w:name="_Toc451973333"/>
      <w:bookmarkStart w:id="289" w:name="_Toc452449707"/>
      <w:bookmarkStart w:id="290" w:name="_Toc452449860"/>
      <w:bookmarkStart w:id="291" w:name="_Toc454322891"/>
      <w:bookmarkStart w:id="292" w:name="_Toc454323390"/>
      <w:bookmarkStart w:id="293" w:name="_Toc454323566"/>
      <w:bookmarkStart w:id="294" w:name="_Toc454365497"/>
      <w:bookmarkStart w:id="295" w:name="_Toc454456241"/>
      <w:bookmarkStart w:id="296" w:name="_Toc454456266"/>
      <w:bookmarkStart w:id="297" w:name="_Toc454456357"/>
      <w:bookmarkStart w:id="298" w:name="_Toc454457164"/>
      <w:bookmarkStart w:id="299" w:name="_Toc454457507"/>
      <w:bookmarkStart w:id="300" w:name="_Toc454460091"/>
      <w:bookmarkStart w:id="301" w:name="_Toc454460296"/>
      <w:bookmarkStart w:id="302" w:name="_Toc454461247"/>
      <w:bookmarkStart w:id="303" w:name="_Toc459723391"/>
      <w:bookmarkStart w:id="304" w:name="_Toc459829044"/>
      <w:bookmarkStart w:id="305" w:name="_Toc459829749"/>
      <w:bookmarkStart w:id="306" w:name="_Toc459911844"/>
      <w:bookmarkStart w:id="307" w:name="_Toc460402626"/>
      <w:bookmarkStart w:id="308" w:name="_Toc460435319"/>
      <w:bookmarkStart w:id="309" w:name="_Toc460523695"/>
      <w:bookmarkStart w:id="310" w:name="_Toc460607606"/>
      <w:bookmarkStart w:id="311" w:name="_Toc460873678"/>
      <w:bookmarkStart w:id="312" w:name="_Toc460881059"/>
      <w:bookmarkStart w:id="313" w:name="_Toc461004623"/>
      <w:bookmarkStart w:id="314" w:name="_Toc461030288"/>
      <w:bookmarkStart w:id="315" w:name="_Toc461091230"/>
      <w:bookmarkStart w:id="316" w:name="_Toc461435073"/>
      <w:bookmarkStart w:id="317" w:name="_Toc461526550"/>
      <w:bookmarkStart w:id="318" w:name="_Toc461728151"/>
      <w:bookmarkStart w:id="319" w:name="_Toc461804886"/>
      <w:bookmarkStart w:id="320" w:name="_Toc462125330"/>
      <w:bookmarkStart w:id="321" w:name="_Toc462237433"/>
      <w:bookmarkStart w:id="322" w:name="_Toc462656104"/>
      <w:bookmarkStart w:id="323" w:name="_Toc462675866"/>
      <w:bookmarkStart w:id="324" w:name="_Toc462786113"/>
      <w:bookmarkStart w:id="325" w:name="_Toc462808451"/>
      <w:bookmarkStart w:id="326" w:name="_Toc462911155"/>
      <w:bookmarkStart w:id="327" w:name="_Toc463267932"/>
      <w:bookmarkStart w:id="328" w:name="_Toc463946940"/>
      <w:bookmarkStart w:id="329" w:name="_Toc464208119"/>
      <w:bookmarkStart w:id="330" w:name="_Toc464210000"/>
      <w:bookmarkStart w:id="331" w:name="_Toc464210464"/>
      <w:bookmarkStart w:id="332" w:name="_Toc464649168"/>
      <w:bookmarkStart w:id="333" w:name="_Toc464649440"/>
      <w:bookmarkStart w:id="334" w:name="_Toc464660042"/>
      <w:bookmarkStart w:id="335" w:name="_Toc465939709"/>
      <w:bookmarkStart w:id="336" w:name="_Toc468184069"/>
      <w:bookmarkStart w:id="337" w:name="_Toc471485247"/>
      <w:bookmarkStart w:id="338" w:name="_Toc473911542"/>
      <w:bookmarkStart w:id="339" w:name="_Toc473911761"/>
      <w:bookmarkStart w:id="340" w:name="_Toc475023431"/>
      <w:bookmarkStart w:id="341" w:name="_Toc475564840"/>
      <w:bookmarkStart w:id="342" w:name="_Toc475995719"/>
      <w:bookmarkStart w:id="343" w:name="_Toc476168260"/>
      <w:bookmarkStart w:id="344" w:name="_Toc476230597"/>
      <w:bookmarkStart w:id="345" w:name="_Toc476319088"/>
      <w:bookmarkStart w:id="346" w:name="_Toc477171255"/>
      <w:bookmarkStart w:id="347" w:name="_Toc477176704"/>
      <w:bookmarkStart w:id="348" w:name="_Toc480544477"/>
      <w:bookmarkStart w:id="349" w:name="_Toc483252351"/>
      <w:bookmarkStart w:id="350" w:name="_Toc485387931"/>
      <w:bookmarkStart w:id="351" w:name="_Toc485640836"/>
      <w:bookmarkStart w:id="352" w:name="_Toc487543588"/>
      <w:r w:rsidRPr="007F337A">
        <w:t xml:space="preserve">Primary </w:t>
      </w:r>
      <w:r w:rsidR="006C5955">
        <w:t xml:space="preserve">Status for the </w:t>
      </w:r>
      <w:r w:rsidRPr="007F337A">
        <w:t xml:space="preserve">RLS Allocation </w:t>
      </w:r>
      <w:r w:rsidR="00B442B9">
        <w:t>at</w:t>
      </w:r>
      <w:r w:rsidRPr="007F337A">
        <w:t xml:space="preserve"> 77.5-78 GHz</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976DA2" w:rsidRDefault="00976DA2" w:rsidP="006F3BD7">
      <w:pPr>
        <w:pStyle w:val="ParaNum"/>
        <w:widowControl/>
      </w:pPr>
      <w:r>
        <w:t xml:space="preserve">To effectuate </w:t>
      </w:r>
      <w:r w:rsidR="00AC4AA9">
        <w:t>the</w:t>
      </w:r>
      <w:r>
        <w:t xml:space="preserve"> goal of expanding the available spectrum </w:t>
      </w:r>
      <w:r w:rsidR="0055043B">
        <w:t>for</w:t>
      </w:r>
      <w:r w:rsidRPr="00227585">
        <w:t xml:space="preserve"> radar </w:t>
      </w:r>
      <w:r>
        <w:t xml:space="preserve">operations in the 76-81 GHz band, </w:t>
      </w:r>
      <w:r w:rsidR="00AC4AA9">
        <w:t>the Commission</w:t>
      </w:r>
      <w:r>
        <w:t xml:space="preserve"> proposed to allocate the 77.5-78 GHz portion of the band to the RLS on a primary basis.</w:t>
      </w:r>
      <w:r>
        <w:rPr>
          <w:rStyle w:val="FootnoteReference"/>
        </w:rPr>
        <w:footnoteReference w:id="40"/>
      </w:r>
      <w:r>
        <w:t xml:space="preserve">  Doing so would </w:t>
      </w:r>
      <w:r w:rsidR="009D7A49">
        <w:t>make</w:t>
      </w:r>
      <w:r>
        <w:t xml:space="preserve"> the entire </w:t>
      </w:r>
      <w:r w:rsidRPr="00227585">
        <w:t xml:space="preserve">76-81 GHz </w:t>
      </w:r>
      <w:r>
        <w:t>band</w:t>
      </w:r>
      <w:r w:rsidRPr="00227585">
        <w:t xml:space="preserve"> available </w:t>
      </w:r>
      <w:r>
        <w:t>for</w:t>
      </w:r>
      <w:r w:rsidR="00846B3A">
        <w:t xml:space="preserve"> licensed</w:t>
      </w:r>
      <w:r>
        <w:t xml:space="preserve"> radar </w:t>
      </w:r>
      <w:r w:rsidRPr="00227585">
        <w:t>applications</w:t>
      </w:r>
      <w:r w:rsidR="009D7A49">
        <w:t xml:space="preserve"> on a primary basis</w:t>
      </w:r>
      <w:r>
        <w:t>.  In addition, adopting this allocation would bring the U.S. Table in line with the decision in the International Telecommunication Union (ITU) 2015 World Radiocommunication Conference (WRC-15) that</w:t>
      </w:r>
      <w:r w:rsidR="008F49B6">
        <w:t xml:space="preserve"> made </w:t>
      </w:r>
      <w:r w:rsidR="001A6724">
        <w:t xml:space="preserve">the </w:t>
      </w:r>
      <w:r w:rsidR="008F49B6">
        <w:t>RLS primary in</w:t>
      </w:r>
      <w:r>
        <w:t xml:space="preserve"> the 77.5-78 GHz</w:t>
      </w:r>
      <w:r w:rsidR="0072566F">
        <w:t xml:space="preserve"> band</w:t>
      </w:r>
      <w:r>
        <w:t xml:space="preserve">, thereby making the entire 76-81 GHz </w:t>
      </w:r>
      <w:r w:rsidR="00F047E1">
        <w:t>b</w:t>
      </w:r>
      <w:r>
        <w:t>and available internationally for</w:t>
      </w:r>
      <w:r w:rsidR="00522EA6">
        <w:t xml:space="preserve"> the</w:t>
      </w:r>
      <w:r>
        <w:t xml:space="preserve"> RLS.</w:t>
      </w:r>
      <w:r w:rsidRPr="00227585">
        <w:rPr>
          <w:vertAlign w:val="superscript"/>
        </w:rPr>
        <w:footnoteReference w:id="41"/>
      </w:r>
    </w:p>
    <w:p w:rsidR="00976DA2" w:rsidRDefault="00976DA2" w:rsidP="006F3BD7">
      <w:pPr>
        <w:pStyle w:val="ParaNum"/>
        <w:widowControl/>
      </w:pPr>
      <w:r w:rsidRPr="00393B72">
        <w:t>The proposal received significant support and no commenter</w:t>
      </w:r>
      <w:r w:rsidR="000F2DB8">
        <w:t xml:space="preserve"> opposed the proposed allocation</w:t>
      </w:r>
      <w:r w:rsidRPr="00393B72">
        <w:t>.</w:t>
      </w:r>
      <w:r w:rsidRPr="00393B72">
        <w:rPr>
          <w:vertAlign w:val="superscript"/>
        </w:rPr>
        <w:footnoteReference w:id="42"/>
      </w:r>
      <w:r>
        <w:t xml:space="preserve">  T</w:t>
      </w:r>
      <w:r w:rsidRPr="00227585">
        <w:t>he Consumer Electronics Association (CEA)</w:t>
      </w:r>
      <w:r w:rsidR="00EC1487">
        <w:rPr>
          <w:rStyle w:val="FootnoteReference"/>
        </w:rPr>
        <w:footnoteReference w:id="43"/>
      </w:r>
      <w:r w:rsidRPr="00227585">
        <w:t xml:space="preserve"> </w:t>
      </w:r>
      <w:r>
        <w:t xml:space="preserve">states </w:t>
      </w:r>
      <w:r w:rsidRPr="00227585">
        <w:t xml:space="preserve">that the 76-81 GHz band is an excellent technical fit for vehicular radars, and modifying the </w:t>
      </w:r>
      <w:r w:rsidR="00F53A0D">
        <w:t xml:space="preserve">U.S. </w:t>
      </w:r>
      <w:r w:rsidRPr="00227585">
        <w:t>Table will harmonize the deployment of these technologies with other countries’ allocations, allowing seamless global advancement in safety technologies, eventually leading to autonomous vehicles</w:t>
      </w:r>
      <w:r>
        <w:t>.</w:t>
      </w:r>
      <w:r w:rsidRPr="00227585">
        <w:rPr>
          <w:vertAlign w:val="superscript"/>
        </w:rPr>
        <w:footnoteReference w:id="44"/>
      </w:r>
      <w:r w:rsidRPr="00227585">
        <w:t xml:space="preserve">  The </w:t>
      </w:r>
      <w:r>
        <w:t>Automotive Group</w:t>
      </w:r>
      <w:r w:rsidRPr="00227585">
        <w:t xml:space="preserve"> </w:t>
      </w:r>
      <w:r>
        <w:t>support</w:t>
      </w:r>
      <w:r w:rsidR="00E96EF2">
        <w:t>s</w:t>
      </w:r>
      <w:r>
        <w:t xml:space="preserve"> </w:t>
      </w:r>
      <w:r w:rsidRPr="00227585">
        <w:t xml:space="preserve">the proposed allocation </w:t>
      </w:r>
      <w:r>
        <w:t xml:space="preserve">because it </w:t>
      </w:r>
      <w:r w:rsidRPr="00227585">
        <w:t>is consistent with current international efforts to create a globally harmonized spectrum</w:t>
      </w:r>
      <w:r w:rsidR="00B84E33">
        <w:t xml:space="preserve"> allocation for vehicular radar operations</w:t>
      </w:r>
      <w:r w:rsidRPr="00227585">
        <w:t xml:space="preserve"> in the 76-81 GHz band</w:t>
      </w:r>
      <w:r>
        <w:t>.</w:t>
      </w:r>
      <w:r w:rsidR="00B62746">
        <w:rPr>
          <w:rStyle w:val="FootnoteReference"/>
        </w:rPr>
        <w:footnoteReference w:id="45"/>
      </w:r>
      <w:r w:rsidR="00B62746">
        <w:t xml:space="preserve">  </w:t>
      </w:r>
      <w:r>
        <w:t xml:space="preserve">The Automotive Group </w:t>
      </w:r>
      <w:r w:rsidR="00E96EF2">
        <w:t xml:space="preserve">also </w:t>
      </w:r>
      <w:r>
        <w:t xml:space="preserve">states that such an allocation will </w:t>
      </w:r>
      <w:r w:rsidRPr="00227585">
        <w:t>allow vehicular radar suppliers and automobile manufacturers to take advantage of the economies</w:t>
      </w:r>
      <w:r w:rsidR="00846B3A">
        <w:t xml:space="preserve"> </w:t>
      </w:r>
      <w:r w:rsidRPr="00227585">
        <w:t>of</w:t>
      </w:r>
      <w:r w:rsidR="00846B3A">
        <w:t xml:space="preserve"> </w:t>
      </w:r>
      <w:r w:rsidRPr="00227585">
        <w:t xml:space="preserve">scale that result from </w:t>
      </w:r>
      <w:r>
        <w:t xml:space="preserve">spectrum </w:t>
      </w:r>
      <w:r w:rsidRPr="00227585">
        <w:t>harmonization</w:t>
      </w:r>
      <w:r>
        <w:t>,</w:t>
      </w:r>
      <w:r w:rsidRPr="00227585">
        <w:t xml:space="preserve"> </w:t>
      </w:r>
      <w:r>
        <w:t xml:space="preserve">which will </w:t>
      </w:r>
      <w:r w:rsidRPr="00227585">
        <w:t>make life-saving devices less expensive and more widely deployed</w:t>
      </w:r>
      <w:r>
        <w:t xml:space="preserve"> around the world</w:t>
      </w:r>
      <w:r w:rsidRPr="00227585">
        <w:t>.</w:t>
      </w:r>
      <w:r w:rsidRPr="00227585">
        <w:rPr>
          <w:vertAlign w:val="superscript"/>
        </w:rPr>
        <w:footnoteReference w:id="46"/>
      </w:r>
      <w:r w:rsidRPr="00742F8C">
        <w:t xml:space="preserve">  </w:t>
      </w:r>
      <w:r w:rsidR="00846B3A">
        <w:t>We find</w:t>
      </w:r>
      <w:r>
        <w:t xml:space="preserve"> these reasons</w:t>
      </w:r>
      <w:r w:rsidR="00846B3A">
        <w:t xml:space="preserve"> persuasive and </w:t>
      </w:r>
      <w:r>
        <w:t>adopt the proposed primary RLS allocation in the 77.5-78 GHz band,</w:t>
      </w:r>
      <w:r w:rsidR="001E6767">
        <w:t xml:space="preserve"> thereby</w:t>
      </w:r>
      <w:r>
        <w:t xml:space="preserve"> making the entire 76-81 GHz band available </w:t>
      </w:r>
      <w:r w:rsidR="00310196">
        <w:t xml:space="preserve">for </w:t>
      </w:r>
      <w:r w:rsidR="004A13A9">
        <w:t xml:space="preserve">licensed </w:t>
      </w:r>
      <w:r>
        <w:t>radar applications.</w:t>
      </w:r>
    </w:p>
    <w:p w:rsidR="00976DA2" w:rsidRPr="007F337A" w:rsidRDefault="00064066" w:rsidP="00CF304E">
      <w:pPr>
        <w:pStyle w:val="Heading3"/>
      </w:pPr>
      <w:bookmarkStart w:id="353" w:name="_Toc451907090"/>
      <w:bookmarkStart w:id="354" w:name="_Toc451973334"/>
      <w:bookmarkStart w:id="355" w:name="_Toc452449708"/>
      <w:bookmarkStart w:id="356" w:name="_Toc452449861"/>
      <w:bookmarkStart w:id="357" w:name="_Toc454322892"/>
      <w:bookmarkStart w:id="358" w:name="_Toc454323391"/>
      <w:bookmarkStart w:id="359" w:name="_Toc454323567"/>
      <w:bookmarkStart w:id="360" w:name="_Toc454365498"/>
      <w:bookmarkStart w:id="361" w:name="_Toc454456242"/>
      <w:bookmarkStart w:id="362" w:name="_Toc454456267"/>
      <w:bookmarkStart w:id="363" w:name="_Toc454456358"/>
      <w:bookmarkStart w:id="364" w:name="_Toc454457165"/>
      <w:bookmarkStart w:id="365" w:name="_Toc454457508"/>
      <w:bookmarkStart w:id="366" w:name="_Toc454460092"/>
      <w:bookmarkStart w:id="367" w:name="_Toc454460297"/>
      <w:bookmarkStart w:id="368" w:name="_Toc454461248"/>
      <w:bookmarkStart w:id="369" w:name="_Toc459723392"/>
      <w:bookmarkStart w:id="370" w:name="_Toc459829045"/>
      <w:bookmarkStart w:id="371" w:name="_Toc459829750"/>
      <w:bookmarkStart w:id="372" w:name="_Toc459911845"/>
      <w:bookmarkStart w:id="373" w:name="_Toc460402627"/>
      <w:bookmarkStart w:id="374" w:name="_Toc460435320"/>
      <w:bookmarkStart w:id="375" w:name="_Toc460523696"/>
      <w:bookmarkStart w:id="376" w:name="_Toc460607607"/>
      <w:bookmarkStart w:id="377" w:name="_Toc460873679"/>
      <w:bookmarkStart w:id="378" w:name="_Toc460881060"/>
      <w:bookmarkStart w:id="379" w:name="_Toc461004624"/>
      <w:bookmarkStart w:id="380" w:name="_Toc461030289"/>
      <w:bookmarkStart w:id="381" w:name="_Toc461091231"/>
      <w:bookmarkStart w:id="382" w:name="_Toc461435074"/>
      <w:bookmarkStart w:id="383" w:name="_Toc461526551"/>
      <w:bookmarkStart w:id="384" w:name="_Toc461728152"/>
      <w:bookmarkStart w:id="385" w:name="_Toc461804887"/>
      <w:bookmarkStart w:id="386" w:name="_Toc462125331"/>
      <w:bookmarkStart w:id="387" w:name="_Toc462237434"/>
      <w:bookmarkStart w:id="388" w:name="_Toc462656105"/>
      <w:bookmarkStart w:id="389" w:name="_Toc462675867"/>
      <w:bookmarkStart w:id="390" w:name="_Toc462786114"/>
      <w:bookmarkStart w:id="391" w:name="_Toc462808452"/>
      <w:bookmarkStart w:id="392" w:name="_Toc462911156"/>
      <w:bookmarkStart w:id="393" w:name="_Toc463267933"/>
      <w:bookmarkStart w:id="394" w:name="_Toc463946941"/>
      <w:bookmarkStart w:id="395" w:name="_Toc464208120"/>
      <w:bookmarkStart w:id="396" w:name="_Toc464210001"/>
      <w:bookmarkStart w:id="397" w:name="_Toc464210465"/>
      <w:bookmarkStart w:id="398" w:name="_Toc464649169"/>
      <w:bookmarkStart w:id="399" w:name="_Toc464649441"/>
      <w:bookmarkStart w:id="400" w:name="_Toc464660043"/>
      <w:bookmarkStart w:id="401" w:name="_Toc465939710"/>
      <w:bookmarkStart w:id="402" w:name="_Toc471485248"/>
      <w:bookmarkStart w:id="403" w:name="_Toc473911543"/>
      <w:bookmarkStart w:id="404" w:name="_Toc473911762"/>
      <w:bookmarkStart w:id="405" w:name="_Toc475023432"/>
      <w:bookmarkStart w:id="406" w:name="_Toc475564841"/>
      <w:bookmarkStart w:id="407" w:name="_Toc475995720"/>
      <w:bookmarkStart w:id="408" w:name="_Toc476168261"/>
      <w:bookmarkStart w:id="409" w:name="_Toc476230598"/>
      <w:bookmarkStart w:id="410" w:name="_Toc476319089"/>
      <w:bookmarkStart w:id="411" w:name="_Toc477171256"/>
      <w:bookmarkStart w:id="412" w:name="_Toc477176705"/>
      <w:bookmarkStart w:id="413" w:name="_Toc480544478"/>
      <w:bookmarkStart w:id="414" w:name="_Toc483252352"/>
      <w:bookmarkStart w:id="415" w:name="_Toc485387932"/>
      <w:bookmarkStart w:id="416" w:name="_Toc485640837"/>
      <w:bookmarkStart w:id="417" w:name="_Toc487543589"/>
      <w:r w:rsidRPr="007F337A">
        <w:t xml:space="preserve">Secondary Status </w:t>
      </w:r>
      <w:r>
        <w:t xml:space="preserve">for </w:t>
      </w:r>
      <w:r w:rsidRPr="007F337A">
        <w:t xml:space="preserve">the Amateur </w:t>
      </w:r>
      <w:r>
        <w:t xml:space="preserve">Service </w:t>
      </w:r>
      <w:r w:rsidRPr="007F337A">
        <w:t>and Amateur-Satellite Service Allocation</w:t>
      </w:r>
      <w:r>
        <w:t>s</w:t>
      </w:r>
      <w:r w:rsidRPr="007F337A">
        <w:t xml:space="preserve"> in the 77.5-78 GHz Band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B64C82" w:rsidRPr="00801F79" w:rsidRDefault="00B64C82" w:rsidP="006F3BD7">
      <w:pPr>
        <w:pStyle w:val="ParaNum"/>
        <w:widowControl/>
      </w:pPr>
      <w:bookmarkStart w:id="418" w:name="_Ref464464035"/>
      <w:r>
        <w:t>As noted above, the 76-77.5 GHz and 78-81 GHz bands are allocated</w:t>
      </w:r>
      <w:r w:rsidR="001A6724">
        <w:t xml:space="preserve"> in the U.S. Table</w:t>
      </w:r>
      <w:r>
        <w:t xml:space="preserve"> to the Amateur Service on a secondary basis</w:t>
      </w:r>
      <w:r w:rsidR="00880B19">
        <w:t>, although access in the 76-77 GHz band has been suspended since 1998</w:t>
      </w:r>
      <w:r>
        <w:t>;</w:t>
      </w:r>
      <w:r w:rsidR="00880B19">
        <w:rPr>
          <w:rStyle w:val="FootnoteReference"/>
        </w:rPr>
        <w:footnoteReference w:id="47"/>
      </w:r>
      <w:r>
        <w:t xml:space="preserve"> the 77-77.5 GHz and 78-81 GHz bands are allocated to</w:t>
      </w:r>
      <w:r w:rsidRPr="00F53837">
        <w:t xml:space="preserve"> </w:t>
      </w:r>
      <w:r>
        <w:t>the Amateur-Satellite Service on a secondary basis; and the 77.5-78 GHz band is allocated to both the Amateur and Amateur-Satellit</w:t>
      </w:r>
      <w:r w:rsidR="00880B19">
        <w:t xml:space="preserve">e Services on a primary basis.  </w:t>
      </w:r>
      <w:r>
        <w:t xml:space="preserve">In the </w:t>
      </w:r>
      <w:r w:rsidRPr="00801F79">
        <w:rPr>
          <w:i/>
        </w:rPr>
        <w:t>NPRM</w:t>
      </w:r>
      <w:r w:rsidRPr="00801F79">
        <w:t xml:space="preserve">, </w:t>
      </w:r>
      <w:r w:rsidR="00750280">
        <w:t>the Commission</w:t>
      </w:r>
      <w:r w:rsidR="0098387D">
        <w:t xml:space="preserve"> revisited the issue of how to structure future amateur use of the 76-81 GHz band.</w:t>
      </w:r>
      <w:r w:rsidR="0098387D" w:rsidRPr="00801F79">
        <w:rPr>
          <w:rStyle w:val="FootnoteReference"/>
        </w:rPr>
        <w:footnoteReference w:id="48"/>
      </w:r>
      <w:r w:rsidR="0098387D">
        <w:t xml:space="preserve">  Specifically, the Commis</w:t>
      </w:r>
      <w:r w:rsidR="008F51D3">
        <w:t>s</w:t>
      </w:r>
      <w:r w:rsidR="0098387D">
        <w:t>ion proposed to adopt “a comprehensive approach for amateur radio use on these frequencies”</w:t>
      </w:r>
      <w:r w:rsidR="00BD7D79">
        <w:t xml:space="preserve"> and tentatively concluded that “there is no apparent technical reason to treat the 76-77 GHz and the 77</w:t>
      </w:r>
      <w:r w:rsidR="00BD7D79">
        <w:noBreakHyphen/>
        <w:t>81 GHz bands differently.”</w:t>
      </w:r>
      <w:r w:rsidR="00BD7D79" w:rsidRPr="00801F79">
        <w:rPr>
          <w:rStyle w:val="FootnoteReference"/>
        </w:rPr>
        <w:footnoteReference w:id="49"/>
      </w:r>
      <w:r w:rsidR="00BD7D79">
        <w:t xml:space="preserve">  In that regard, t</w:t>
      </w:r>
      <w:r w:rsidR="0098387D">
        <w:t xml:space="preserve">he Commission asked </w:t>
      </w:r>
      <w:r w:rsidR="0098387D" w:rsidRPr="00801F79">
        <w:t xml:space="preserve">whether to </w:t>
      </w:r>
      <w:r w:rsidR="000477F0">
        <w:t>“</w:t>
      </w:r>
      <w:r w:rsidR="0098387D" w:rsidRPr="00801F79">
        <w:t xml:space="preserve">extend the </w:t>
      </w:r>
      <w:r w:rsidR="00BD7D79">
        <w:t xml:space="preserve">76-77 GHz amateur </w:t>
      </w:r>
      <w:r w:rsidR="0098387D" w:rsidRPr="00801F79">
        <w:t>suspension to the entire 76-81 GHz band</w:t>
      </w:r>
      <w:r w:rsidR="00BD7D79">
        <w:t>,</w:t>
      </w:r>
      <w:r w:rsidR="000477F0">
        <w:t>”</w:t>
      </w:r>
      <w:r w:rsidR="00BD7D79">
        <w:t xml:space="preserve"> and if so, whether to remove all </w:t>
      </w:r>
      <w:r w:rsidR="00BD7D79" w:rsidRPr="00801F79">
        <w:t>amateur allocations from the 76-81 GHz band.</w:t>
      </w:r>
      <w:r w:rsidR="00BD7D79" w:rsidRPr="00801F79">
        <w:rPr>
          <w:rStyle w:val="FootnoteReference"/>
        </w:rPr>
        <w:footnoteReference w:id="50"/>
      </w:r>
      <w:r w:rsidR="00BD7D79">
        <w:t xml:space="preserve">  Alternatively, the Commission asked if it were possible </w:t>
      </w:r>
      <w:r w:rsidR="000477F0">
        <w:t>“</w:t>
      </w:r>
      <w:r w:rsidR="00BD7D79">
        <w:t>to lift</w:t>
      </w:r>
      <w:r w:rsidR="0098387D" w:rsidRPr="00801F79">
        <w:t xml:space="preserve"> </w:t>
      </w:r>
      <w:r w:rsidR="000477F0">
        <w:t>[</w:t>
      </w:r>
      <w:r w:rsidR="0098387D" w:rsidRPr="00801F79">
        <w:t>the</w:t>
      </w:r>
      <w:r w:rsidR="000477F0">
        <w:t>]</w:t>
      </w:r>
      <w:r w:rsidR="0098387D" w:rsidRPr="00801F79">
        <w:t xml:space="preserve"> suspension of </w:t>
      </w:r>
      <w:r w:rsidR="00BD7D79">
        <w:t xml:space="preserve">the </w:t>
      </w:r>
      <w:r w:rsidR="0098387D" w:rsidRPr="00801F79">
        <w:t xml:space="preserve">amateur </w:t>
      </w:r>
      <w:r w:rsidR="00BD7D79">
        <w:t>service and conduct both am</w:t>
      </w:r>
      <w:r w:rsidR="0086362E">
        <w:t>ateur and vehicular radar opera</w:t>
      </w:r>
      <w:r w:rsidR="00BD7D79">
        <w:t>tions in the entire 76-81 GHz band.</w:t>
      </w:r>
      <w:r w:rsidR="000477F0">
        <w:t>”</w:t>
      </w:r>
      <w:r w:rsidR="00BD7D79" w:rsidRPr="00801F79">
        <w:rPr>
          <w:rStyle w:val="FootnoteReference"/>
        </w:rPr>
        <w:footnoteReference w:id="51"/>
      </w:r>
      <w:r w:rsidR="00BD7D79">
        <w:t xml:space="preserve">  </w:t>
      </w:r>
      <w:r w:rsidR="00335C72">
        <w:t>In that regard, t</w:t>
      </w:r>
      <w:r w:rsidR="00335C72" w:rsidRPr="00E10597">
        <w:rPr>
          <w:color w:val="000000"/>
          <w:szCs w:val="22"/>
        </w:rPr>
        <w:t xml:space="preserve">he </w:t>
      </w:r>
      <w:r w:rsidR="00335C72">
        <w:rPr>
          <w:color w:val="000000"/>
          <w:szCs w:val="22"/>
        </w:rPr>
        <w:t>Commission a</w:t>
      </w:r>
      <w:r w:rsidR="00335C72" w:rsidRPr="00E10597">
        <w:rPr>
          <w:color w:val="000000"/>
          <w:szCs w:val="22"/>
        </w:rPr>
        <w:t xml:space="preserve">sked </w:t>
      </w:r>
      <w:r w:rsidR="000855A7">
        <w:rPr>
          <w:color w:val="000000"/>
          <w:szCs w:val="22"/>
        </w:rPr>
        <w:t xml:space="preserve">for comment on its </w:t>
      </w:r>
      <w:r w:rsidR="00AF6EF7">
        <w:rPr>
          <w:color w:val="000000"/>
          <w:szCs w:val="22"/>
        </w:rPr>
        <w:t>proposals</w:t>
      </w:r>
      <w:r w:rsidR="000855A7">
        <w:rPr>
          <w:color w:val="000000"/>
          <w:szCs w:val="22"/>
        </w:rPr>
        <w:t xml:space="preserve"> from “commenters </w:t>
      </w:r>
      <w:r w:rsidR="00DE5374">
        <w:rPr>
          <w:color w:val="000000"/>
          <w:szCs w:val="22"/>
        </w:rPr>
        <w:t>[who]</w:t>
      </w:r>
      <w:r w:rsidR="000855A7">
        <w:rPr>
          <w:color w:val="000000"/>
          <w:szCs w:val="22"/>
        </w:rPr>
        <w:t xml:space="preserve"> believe that amateur operators can continue to use the millimeter</w:t>
      </w:r>
      <w:r w:rsidR="00DE5374">
        <w:rPr>
          <w:color w:val="000000"/>
          <w:szCs w:val="22"/>
        </w:rPr>
        <w:t>[-wave]</w:t>
      </w:r>
      <w:r w:rsidR="000855A7">
        <w:rPr>
          <w:color w:val="000000"/>
          <w:szCs w:val="22"/>
        </w:rPr>
        <w:t xml:space="preserve"> band” as to</w:t>
      </w:r>
      <w:r w:rsidR="00335C72" w:rsidRPr="00E10597">
        <w:rPr>
          <w:color w:val="000000"/>
          <w:szCs w:val="22"/>
        </w:rPr>
        <w:t xml:space="preserve"> “what additional rule modifications [the Commission] would have to adopt to realize successful shared use of the entire band</w:t>
      </w:r>
      <w:r w:rsidR="001B1948">
        <w:rPr>
          <w:color w:val="000000"/>
          <w:szCs w:val="22"/>
        </w:rPr>
        <w:t>,</w:t>
      </w:r>
      <w:r w:rsidR="00335C72" w:rsidRPr="00E10597">
        <w:rPr>
          <w:color w:val="000000"/>
          <w:szCs w:val="22"/>
        </w:rPr>
        <w:t>”</w:t>
      </w:r>
      <w:r w:rsidR="001B1948">
        <w:rPr>
          <w:color w:val="000000"/>
          <w:szCs w:val="22"/>
        </w:rPr>
        <w:t xml:space="preserve"> </w:t>
      </w:r>
      <w:r w:rsidR="000855A7">
        <w:t>citing</w:t>
      </w:r>
      <w:r w:rsidR="001B1948">
        <w:t>,</w:t>
      </w:r>
      <w:r w:rsidR="00E768C7">
        <w:t xml:space="preserve"> for example,</w:t>
      </w:r>
      <w:r w:rsidR="001B1948">
        <w:t xml:space="preserve"> edits to the Part 97 Amateur Radio Service </w:t>
      </w:r>
      <w:r w:rsidR="00E768C7">
        <w:t>emission</w:t>
      </w:r>
      <w:r w:rsidR="00973761">
        <w:t>s</w:t>
      </w:r>
      <w:r w:rsidR="00E768C7">
        <w:t xml:space="preserve"> limit</w:t>
      </w:r>
      <w:r w:rsidR="00A703A4">
        <w:t>s</w:t>
      </w:r>
      <w:r w:rsidR="00E768C7">
        <w:t xml:space="preserve"> </w:t>
      </w:r>
      <w:r w:rsidR="001B1948">
        <w:t>rules.</w:t>
      </w:r>
      <w:r w:rsidR="00335C72" w:rsidRPr="00451B2F">
        <w:rPr>
          <w:rStyle w:val="FootnoteReference"/>
          <w:sz w:val="22"/>
          <w:szCs w:val="22"/>
        </w:rPr>
        <w:footnoteReference w:id="52"/>
      </w:r>
      <w:r w:rsidR="00335C72" w:rsidRPr="00E10597">
        <w:rPr>
          <w:color w:val="000000"/>
          <w:szCs w:val="22"/>
        </w:rPr>
        <w:t xml:space="preserve"> </w:t>
      </w:r>
      <w:r w:rsidR="00335C72" w:rsidRPr="00E10597">
        <w:rPr>
          <w:szCs w:val="22"/>
        </w:rPr>
        <w:t xml:space="preserve"> </w:t>
      </w:r>
      <w:r w:rsidR="00BD7D79">
        <w:t xml:space="preserve">Finally, the Commission sought comment on “other approaches </w:t>
      </w:r>
      <w:r w:rsidR="0018559E">
        <w:t>that</w:t>
      </w:r>
      <w:r w:rsidR="00BD7D79">
        <w:t xml:space="preserve"> would achieve compatibility between the amateur </w:t>
      </w:r>
      <w:r w:rsidR="00BF050A">
        <w:t xml:space="preserve">and radiolocation </w:t>
      </w:r>
      <w:r w:rsidR="00BD7D79">
        <w:t xml:space="preserve">services </w:t>
      </w:r>
      <w:bookmarkEnd w:id="418"/>
      <w:r w:rsidR="00BD7D79">
        <w:t>within the 76-81 GHz band</w:t>
      </w:r>
      <w:r w:rsidR="00512E37">
        <w:t>.</w:t>
      </w:r>
      <w:r w:rsidR="00BF050A">
        <w:t>”</w:t>
      </w:r>
      <w:r w:rsidR="00BD7D79" w:rsidRPr="00801F79">
        <w:rPr>
          <w:rStyle w:val="FootnoteReference"/>
        </w:rPr>
        <w:footnoteReference w:id="53"/>
      </w:r>
    </w:p>
    <w:p w:rsidR="00647F79" w:rsidRDefault="004A13A9" w:rsidP="006F3BD7">
      <w:pPr>
        <w:pStyle w:val="ParaNum"/>
        <w:widowControl/>
      </w:pPr>
      <w:r>
        <w:t>T</w:t>
      </w:r>
      <w:r w:rsidR="00B64C82">
        <w:t>he amateur community strongly reject</w:t>
      </w:r>
      <w:r>
        <w:t>s</w:t>
      </w:r>
      <w:r w:rsidR="00B64C82">
        <w:t xml:space="preserve"> the idea of </w:t>
      </w:r>
      <w:r w:rsidR="00AF3E7D">
        <w:t>continuing the suspension of amateur</w:t>
      </w:r>
      <w:r w:rsidR="00A703A4">
        <w:t xml:space="preserve"> operations</w:t>
      </w:r>
      <w:r w:rsidR="00AF3E7D">
        <w:t xml:space="preserve"> in the 76-77 GHz band,</w:t>
      </w:r>
      <w:r w:rsidR="00AF3E7D" w:rsidRPr="00B63ED2">
        <w:rPr>
          <w:rStyle w:val="FootnoteReference"/>
        </w:rPr>
        <w:footnoteReference w:id="54"/>
      </w:r>
      <w:r w:rsidR="00AF3E7D">
        <w:t xml:space="preserve"> let alone </w:t>
      </w:r>
      <w:r w:rsidR="00B64C82">
        <w:t xml:space="preserve">eliminating amateur use </w:t>
      </w:r>
      <w:r w:rsidR="00A703A4">
        <w:t>of</w:t>
      </w:r>
      <w:r w:rsidR="00AF3E7D">
        <w:t xml:space="preserve"> the entire </w:t>
      </w:r>
      <w:r w:rsidR="00B64C82">
        <w:t>76-81 GHz band.</w:t>
      </w:r>
      <w:r w:rsidR="00AF3E7D" w:rsidRPr="00B63ED2">
        <w:rPr>
          <w:rStyle w:val="FootnoteReference"/>
        </w:rPr>
        <w:footnoteReference w:id="55"/>
      </w:r>
      <w:r w:rsidR="00B64C82">
        <w:t xml:space="preserve">  </w:t>
      </w:r>
      <w:r>
        <w:t>A</w:t>
      </w:r>
      <w:r w:rsidR="00B64C82">
        <w:t xml:space="preserve">mateurs </w:t>
      </w:r>
      <w:r>
        <w:t xml:space="preserve">claim they </w:t>
      </w:r>
      <w:r w:rsidR="00B64C82">
        <w:t xml:space="preserve">have been using the part of the band </w:t>
      </w:r>
      <w:r w:rsidR="00647F79">
        <w:t xml:space="preserve">not subject to the suspension </w:t>
      </w:r>
      <w:r w:rsidR="00B64C82" w:rsidRPr="007F27BD">
        <w:t>(i.e.,</w:t>
      </w:r>
      <w:r w:rsidR="00B64C82">
        <w:t xml:space="preserve"> 77-81 GHz) and remain interested in continued use of the entire 76-81 GHz band.</w:t>
      </w:r>
      <w:r w:rsidR="00B64C82" w:rsidRPr="00B63ED2">
        <w:rPr>
          <w:rStyle w:val="FootnoteReference"/>
        </w:rPr>
        <w:footnoteReference w:id="56"/>
      </w:r>
      <w:r w:rsidR="00B64C82">
        <w:t xml:space="preserve"> </w:t>
      </w:r>
      <w:r w:rsidR="00097DA0">
        <w:t xml:space="preserve"> ARRL, the National Association for A</w:t>
      </w:r>
      <w:r w:rsidR="00D97626">
        <w:t>mateur radio (formally known as the American Radio Relay League, Incorporated)</w:t>
      </w:r>
      <w:r w:rsidR="00BF7C30">
        <w:t xml:space="preserve">, and Bosch, an automotive components supplier, </w:t>
      </w:r>
      <w:r w:rsidR="00D97626">
        <w:t>cite ITU Report</w:t>
      </w:r>
      <w:r w:rsidR="00D97626" w:rsidRPr="00917FAC">
        <w:t xml:space="preserve"> </w:t>
      </w:r>
      <w:r w:rsidR="00D97626">
        <w:t>ITU-R M.2322-0</w:t>
      </w:r>
      <w:r w:rsidR="00D97626" w:rsidRPr="00B63ED2">
        <w:rPr>
          <w:rStyle w:val="FootnoteReference"/>
        </w:rPr>
        <w:footnoteReference w:id="57"/>
      </w:r>
      <w:r w:rsidR="00D97626">
        <w:t xml:space="preserve"> in arguing that the amateur radio services and vehicular radars are compatible</w:t>
      </w:r>
      <w:r w:rsidR="00D97626" w:rsidRPr="00B63ED2">
        <w:t>.</w:t>
      </w:r>
      <w:r w:rsidR="00D97626" w:rsidRPr="00B63ED2">
        <w:rPr>
          <w:rStyle w:val="FootnoteReference"/>
        </w:rPr>
        <w:footnoteReference w:id="58"/>
      </w:r>
      <w:r w:rsidR="00D97626">
        <w:t xml:space="preserve">  </w:t>
      </w:r>
      <w:r w:rsidR="00363C9B">
        <w:t>On the other hand, t</w:t>
      </w:r>
      <w:r w:rsidR="00E96EF2">
        <w:t xml:space="preserve">he Automotive </w:t>
      </w:r>
      <w:r w:rsidR="00903236">
        <w:t>Group is skeptical about the co</w:t>
      </w:r>
      <w:r w:rsidR="00E96EF2">
        <w:t>existence of amateur operations and vehicular radars</w:t>
      </w:r>
      <w:r w:rsidR="00A827E8">
        <w:t>.  It</w:t>
      </w:r>
      <w:r w:rsidR="00E96EF2">
        <w:t xml:space="preserve"> point</w:t>
      </w:r>
      <w:r w:rsidR="00A827E8">
        <w:t>s</w:t>
      </w:r>
      <w:r w:rsidR="00E96EF2">
        <w:t xml:space="preserve"> to the European regulators’ decision to move amateur operations to </w:t>
      </w:r>
      <w:r w:rsidR="00B03562">
        <w:t xml:space="preserve">the </w:t>
      </w:r>
      <w:r w:rsidR="00E96EF2">
        <w:t>75.5-76 GHz band because of the risk of interference to vehicular radars in the 76-81 GHz band</w:t>
      </w:r>
      <w:r w:rsidR="00A827E8">
        <w:t>,</w:t>
      </w:r>
      <w:r w:rsidR="00363C9B">
        <w:t xml:space="preserve"> and contends that </w:t>
      </w:r>
      <w:r w:rsidR="00363C9B" w:rsidRPr="00D14D2F">
        <w:t xml:space="preserve">suspension of amateur operations </w:t>
      </w:r>
      <w:r w:rsidR="00363C9B">
        <w:t>in</w:t>
      </w:r>
      <w:r w:rsidR="00363C9B" w:rsidRPr="00D14D2F">
        <w:t xml:space="preserve"> the entire 76-81 GHz band </w:t>
      </w:r>
      <w:r w:rsidR="00363C9B">
        <w:t>is warranted</w:t>
      </w:r>
      <w:r w:rsidR="00E96EF2">
        <w:t>.</w:t>
      </w:r>
      <w:r w:rsidR="00B64C82">
        <w:rPr>
          <w:rStyle w:val="FootnoteReference"/>
        </w:rPr>
        <w:footnoteReference w:id="59"/>
      </w:r>
    </w:p>
    <w:p w:rsidR="001A6AC4" w:rsidRDefault="00190A3E" w:rsidP="006F3BD7">
      <w:pPr>
        <w:pStyle w:val="ParaNum"/>
        <w:widowControl/>
      </w:pPr>
      <w:r w:rsidRPr="00082F75">
        <w:t xml:space="preserve">Contrary to ARRL’s and Bosch’s assertions, </w:t>
      </w:r>
      <w:r w:rsidR="0025446C" w:rsidRPr="00082F75">
        <w:t>the ITU</w:t>
      </w:r>
      <w:r w:rsidR="009218FE">
        <w:t xml:space="preserve">-R </w:t>
      </w:r>
      <w:r w:rsidR="00F9256E">
        <w:t>Report</w:t>
      </w:r>
      <w:r w:rsidRPr="00082F75">
        <w:t xml:space="preserve"> only analyzed and concluded</w:t>
      </w:r>
      <w:r>
        <w:t xml:space="preserve"> that vehicular radars will not cause interference to amateur </w:t>
      </w:r>
      <w:r w:rsidRPr="00082F75">
        <w:t>and other incumbent</w:t>
      </w:r>
      <w:r>
        <w:t xml:space="preserve"> operations in the 77.5-78 GHz band</w:t>
      </w:r>
      <w:r w:rsidR="00B03494">
        <w:t>,</w:t>
      </w:r>
      <w:r w:rsidR="00B64C82">
        <w:rPr>
          <w:rStyle w:val="FootnoteReference"/>
        </w:rPr>
        <w:footnoteReference w:id="60"/>
      </w:r>
      <w:r w:rsidR="005D0085">
        <w:t xml:space="preserve"> </w:t>
      </w:r>
      <w:r w:rsidR="00E96EF2">
        <w:t xml:space="preserve">but did not evaluate whether amateur operations </w:t>
      </w:r>
      <w:r w:rsidR="00C526B4">
        <w:t xml:space="preserve">could </w:t>
      </w:r>
      <w:r w:rsidR="004A13A9">
        <w:t xml:space="preserve">potentially </w:t>
      </w:r>
      <w:r w:rsidR="00E96EF2">
        <w:t>cause interference to vehicular radars.  Nevertheless, we believe that amateur operations</w:t>
      </w:r>
      <w:r w:rsidR="00DD7409">
        <w:t xml:space="preserve">, under certain conditions </w:t>
      </w:r>
      <w:r>
        <w:t xml:space="preserve">as </w:t>
      </w:r>
      <w:r w:rsidR="00DD7409">
        <w:t>discussed below,</w:t>
      </w:r>
      <w:r w:rsidR="00903236">
        <w:t xml:space="preserve"> can co</w:t>
      </w:r>
      <w:r w:rsidR="00E96EF2">
        <w:t xml:space="preserve">exist with </w:t>
      </w:r>
      <w:r w:rsidR="004E39A8">
        <w:t xml:space="preserve">vehicular </w:t>
      </w:r>
      <w:r w:rsidR="00E96EF2">
        <w:t>radar applicatio</w:t>
      </w:r>
      <w:r w:rsidR="00AB18DA">
        <w:t>ns in the 76-81 GHz band.  AR</w:t>
      </w:r>
      <w:r w:rsidR="00E96EF2">
        <w:t>RL notes the</w:t>
      </w:r>
      <w:r w:rsidR="00E96EF2" w:rsidRPr="00554F71">
        <w:t xml:space="preserve"> </w:t>
      </w:r>
      <w:r w:rsidR="00E96EF2" w:rsidRPr="00FE009E">
        <w:t>difficulty, cost, and impracticality of developing high-power transmitters</w:t>
      </w:r>
      <w:r w:rsidR="0086362E">
        <w:t xml:space="preserve"> for amateur operations</w:t>
      </w:r>
      <w:r w:rsidR="00E96EF2" w:rsidRPr="00FE009E">
        <w:t xml:space="preserve"> in the</w:t>
      </w:r>
      <w:r w:rsidR="004E39A8">
        <w:t xml:space="preserve"> millimeter-</w:t>
      </w:r>
      <w:r w:rsidR="00E96EF2">
        <w:t>wave bands.</w:t>
      </w:r>
      <w:r w:rsidR="00E96EF2" w:rsidRPr="00CF0F47">
        <w:rPr>
          <w:vertAlign w:val="superscript"/>
        </w:rPr>
        <w:footnoteReference w:id="61"/>
      </w:r>
      <w:r w:rsidR="00E96EF2">
        <w:t xml:space="preserve">  Also, the risk for potential interference is mitigated by the directionality of vehicular radar</w:t>
      </w:r>
      <w:r w:rsidR="00C074AA">
        <w:t>s’</w:t>
      </w:r>
      <w:r w:rsidR="00E96EF2">
        <w:t xml:space="preserve"> antennas – downward </w:t>
      </w:r>
      <w:r w:rsidR="00C526B4">
        <w:t xml:space="preserve">in </w:t>
      </w:r>
      <w:r w:rsidR="00E96EF2">
        <w:t>orientation and mount</w:t>
      </w:r>
      <w:r w:rsidR="00C526B4">
        <w:t>ed on a low</w:t>
      </w:r>
      <w:r w:rsidR="00E96EF2">
        <w:t xml:space="preserve"> position on the vehicles.</w:t>
      </w:r>
      <w:r w:rsidR="002C2E59">
        <w:rPr>
          <w:rStyle w:val="FootnoteReference"/>
        </w:rPr>
        <w:footnoteReference w:id="62"/>
      </w:r>
      <w:r w:rsidR="00E96EF2">
        <w:t xml:space="preserve">  Further, amateur operations are not </w:t>
      </w:r>
      <w:r w:rsidR="00D05A23">
        <w:t xml:space="preserve">widely </w:t>
      </w:r>
      <w:r w:rsidR="00A827E8">
        <w:t>deployed</w:t>
      </w:r>
      <w:r w:rsidR="00E96EF2">
        <w:t xml:space="preserve"> and the high path loss associated with </w:t>
      </w:r>
      <w:r w:rsidR="004E39A8">
        <w:t>transmissions in the millimeter-</w:t>
      </w:r>
      <w:r w:rsidR="00E96EF2">
        <w:t>wave</w:t>
      </w:r>
      <w:r w:rsidR="00904317">
        <w:t xml:space="preserve"> </w:t>
      </w:r>
      <w:r w:rsidR="00D05A23">
        <w:t>band</w:t>
      </w:r>
      <w:r w:rsidR="004E39A8">
        <w:t>s</w:t>
      </w:r>
      <w:r w:rsidR="00D05A23">
        <w:t xml:space="preserve"> </w:t>
      </w:r>
      <w:r w:rsidR="00903236">
        <w:t>makes co</w:t>
      </w:r>
      <w:r w:rsidR="00E96EF2">
        <w:t xml:space="preserve">existence of amateur operations and vehicle radars </w:t>
      </w:r>
      <w:r w:rsidR="004F43A3">
        <w:t>possible</w:t>
      </w:r>
      <w:r w:rsidR="00E96EF2">
        <w:t>.</w:t>
      </w:r>
      <w:r w:rsidR="00C526B4" w:rsidRPr="00CF0F47">
        <w:rPr>
          <w:vertAlign w:val="superscript"/>
        </w:rPr>
        <w:footnoteReference w:id="63"/>
      </w:r>
      <w:r w:rsidR="00E96EF2">
        <w:t xml:space="preserve">  </w:t>
      </w:r>
      <w:r w:rsidR="005D0085">
        <w:t xml:space="preserve">We thus conclude that we can lift the </w:t>
      </w:r>
      <w:r w:rsidR="00093501">
        <w:t xml:space="preserve">suspension of amateur operations in the 76-77 GHz band </w:t>
      </w:r>
      <w:r w:rsidR="002C2E59">
        <w:t xml:space="preserve">and </w:t>
      </w:r>
      <w:r w:rsidR="00093501">
        <w:t xml:space="preserve">allow amateurs to proceed with their operations in the entire 76-81 GHz </w:t>
      </w:r>
      <w:r w:rsidR="008E2753">
        <w:t>band</w:t>
      </w:r>
      <w:r w:rsidR="00565EBB">
        <w:t>.</w:t>
      </w:r>
      <w:r w:rsidR="00093501">
        <w:rPr>
          <w:rStyle w:val="FootnoteReference"/>
        </w:rPr>
        <w:footnoteReference w:id="64"/>
      </w:r>
    </w:p>
    <w:p w:rsidR="002C2E59" w:rsidRPr="00DC03C7" w:rsidRDefault="00565EBB" w:rsidP="006F3BD7">
      <w:pPr>
        <w:pStyle w:val="ParaNum"/>
        <w:rPr>
          <w:szCs w:val="22"/>
        </w:rPr>
      </w:pPr>
      <w:r w:rsidRPr="00DC03C7">
        <w:rPr>
          <w:szCs w:val="22"/>
        </w:rPr>
        <w:t>However,</w:t>
      </w:r>
      <w:r w:rsidR="00143A09" w:rsidRPr="00DC03C7">
        <w:rPr>
          <w:szCs w:val="22"/>
        </w:rPr>
        <w:t xml:space="preserve"> to address commenters’ </w:t>
      </w:r>
      <w:r w:rsidRPr="00DC03C7">
        <w:rPr>
          <w:szCs w:val="22"/>
        </w:rPr>
        <w:t>concerns about potential interference to vehicular radars from amateur operations</w:t>
      </w:r>
      <w:r w:rsidR="00DD7409" w:rsidRPr="00DC03C7">
        <w:rPr>
          <w:szCs w:val="22"/>
        </w:rPr>
        <w:t>,</w:t>
      </w:r>
      <w:r w:rsidRPr="00DC03C7">
        <w:rPr>
          <w:szCs w:val="22"/>
        </w:rPr>
        <w:t xml:space="preserve"> </w:t>
      </w:r>
      <w:r w:rsidR="0018559E" w:rsidRPr="00DC03C7">
        <w:rPr>
          <w:szCs w:val="22"/>
        </w:rPr>
        <w:t xml:space="preserve">we make changes to our </w:t>
      </w:r>
      <w:r w:rsidR="00A75670" w:rsidRPr="00DC03C7">
        <w:rPr>
          <w:szCs w:val="22"/>
        </w:rPr>
        <w:t xml:space="preserve">allocation and service </w:t>
      </w:r>
      <w:r w:rsidR="0018559E" w:rsidRPr="00DC03C7">
        <w:rPr>
          <w:szCs w:val="22"/>
        </w:rPr>
        <w:t xml:space="preserve">rules to realize successful shared use of the entire band.  First, </w:t>
      </w:r>
      <w:r w:rsidR="00ED7CBC" w:rsidRPr="00DC03C7">
        <w:rPr>
          <w:szCs w:val="22"/>
        </w:rPr>
        <w:t>in conjunction with adding the primary RLS allocation in the 77.5-78 GHz band</w:t>
      </w:r>
      <w:r w:rsidR="00255FC3" w:rsidRPr="00DC03C7">
        <w:rPr>
          <w:szCs w:val="22"/>
        </w:rPr>
        <w:t xml:space="preserve"> </w:t>
      </w:r>
      <w:r w:rsidR="00526402" w:rsidRPr="00DC03C7">
        <w:rPr>
          <w:szCs w:val="22"/>
        </w:rPr>
        <w:t>to match</w:t>
      </w:r>
      <w:r w:rsidR="00255FC3" w:rsidRPr="00DC03C7">
        <w:rPr>
          <w:szCs w:val="22"/>
        </w:rPr>
        <w:t xml:space="preserve"> the </w:t>
      </w:r>
      <w:r w:rsidR="00526402" w:rsidRPr="00DC03C7">
        <w:rPr>
          <w:szCs w:val="22"/>
        </w:rPr>
        <w:t xml:space="preserve">primary </w:t>
      </w:r>
      <w:r w:rsidR="00255FC3" w:rsidRPr="00DC03C7">
        <w:rPr>
          <w:szCs w:val="22"/>
        </w:rPr>
        <w:t>RLS allocation</w:t>
      </w:r>
      <w:r w:rsidR="003C6075" w:rsidRPr="00DC03C7">
        <w:rPr>
          <w:szCs w:val="22"/>
        </w:rPr>
        <w:t>s</w:t>
      </w:r>
      <w:r w:rsidR="00255FC3" w:rsidRPr="00DC03C7">
        <w:rPr>
          <w:szCs w:val="22"/>
        </w:rPr>
        <w:t xml:space="preserve"> </w:t>
      </w:r>
      <w:r w:rsidR="00526402" w:rsidRPr="00DC03C7">
        <w:rPr>
          <w:szCs w:val="22"/>
        </w:rPr>
        <w:t>in the 76-77.5 GHz and 78-81 GHz bands (thereby making the entire 76-81 GHz band available for licensed radar applications)</w:t>
      </w:r>
      <w:r w:rsidR="00255FC3" w:rsidRPr="00DC03C7">
        <w:rPr>
          <w:szCs w:val="22"/>
        </w:rPr>
        <w:t xml:space="preserve">, </w:t>
      </w:r>
      <w:r w:rsidR="0018559E" w:rsidRPr="00DC03C7">
        <w:rPr>
          <w:szCs w:val="22"/>
        </w:rPr>
        <w:t>w</w:t>
      </w:r>
      <w:r w:rsidRPr="00DC03C7">
        <w:rPr>
          <w:szCs w:val="22"/>
        </w:rPr>
        <w:t xml:space="preserve">e modify </w:t>
      </w:r>
      <w:bookmarkStart w:id="419" w:name="_Toc451907091"/>
      <w:bookmarkStart w:id="420" w:name="_Toc451973335"/>
      <w:bookmarkStart w:id="421" w:name="_Toc452449709"/>
      <w:bookmarkStart w:id="422" w:name="_Toc452449862"/>
      <w:bookmarkStart w:id="423" w:name="_Toc454322893"/>
      <w:bookmarkStart w:id="424" w:name="_Toc454323392"/>
      <w:bookmarkStart w:id="425" w:name="_Toc454323568"/>
      <w:bookmarkStart w:id="426" w:name="_Toc454365499"/>
      <w:bookmarkStart w:id="427" w:name="_Toc454456243"/>
      <w:bookmarkStart w:id="428" w:name="_Toc454456268"/>
      <w:bookmarkStart w:id="429" w:name="_Toc454456359"/>
      <w:bookmarkStart w:id="430" w:name="_Toc454457166"/>
      <w:bookmarkStart w:id="431" w:name="_Toc454457509"/>
      <w:bookmarkStart w:id="432" w:name="_Toc454460093"/>
      <w:bookmarkStart w:id="433" w:name="_Toc454460298"/>
      <w:bookmarkStart w:id="434" w:name="_Toc454461249"/>
      <w:bookmarkStart w:id="435" w:name="_Toc459723393"/>
      <w:bookmarkStart w:id="436" w:name="_Toc459829046"/>
      <w:bookmarkStart w:id="437" w:name="_Toc459829751"/>
      <w:bookmarkStart w:id="438" w:name="_Toc459911846"/>
      <w:bookmarkStart w:id="439" w:name="_Toc460402628"/>
      <w:bookmarkStart w:id="440" w:name="_Toc460435321"/>
      <w:bookmarkStart w:id="441" w:name="_Toc460523697"/>
      <w:bookmarkStart w:id="442" w:name="_Toc460607608"/>
      <w:bookmarkStart w:id="443" w:name="_Toc460873680"/>
      <w:bookmarkStart w:id="444" w:name="_Toc460881061"/>
      <w:bookmarkStart w:id="445" w:name="_Toc461004625"/>
      <w:bookmarkStart w:id="446" w:name="_Toc461030290"/>
      <w:bookmarkStart w:id="447" w:name="_Toc461091232"/>
      <w:bookmarkStart w:id="448" w:name="_Toc461435075"/>
      <w:bookmarkStart w:id="449" w:name="_Toc461526552"/>
      <w:r w:rsidR="00DE5A06" w:rsidRPr="00DC03C7">
        <w:rPr>
          <w:rStyle w:val="Emphasis"/>
          <w:i w:val="0"/>
          <w:szCs w:val="22"/>
        </w:rPr>
        <w:t>the Amateur Service and Amateur-</w:t>
      </w:r>
      <w:r w:rsidR="00DE5A06" w:rsidRPr="00DC03C7">
        <w:rPr>
          <w:szCs w:val="22"/>
        </w:rPr>
        <w:t>Satellite Service allocatio</w:t>
      </w:r>
      <w:r w:rsidR="007B43AE" w:rsidRPr="00DC03C7">
        <w:rPr>
          <w:szCs w:val="22"/>
        </w:rPr>
        <w:t xml:space="preserve">ns in the 77.5-78 GHz band from </w:t>
      </w:r>
      <w:r w:rsidR="00DE5A06" w:rsidRPr="00DC03C7">
        <w:rPr>
          <w:szCs w:val="22"/>
        </w:rPr>
        <w:t xml:space="preserve">primary to secondary </w:t>
      </w:r>
      <w:r w:rsidR="00143A09" w:rsidRPr="00DC03C7">
        <w:rPr>
          <w:szCs w:val="22"/>
        </w:rPr>
        <w:t>status</w:t>
      </w:r>
      <w:r w:rsidR="007B43AE" w:rsidRPr="00DC03C7">
        <w:rPr>
          <w:szCs w:val="22"/>
        </w:rPr>
        <w:t xml:space="preserve"> </w:t>
      </w:r>
      <w:r w:rsidR="00526402" w:rsidRPr="00DC03C7">
        <w:rPr>
          <w:szCs w:val="22"/>
        </w:rPr>
        <w:t>to</w:t>
      </w:r>
      <w:r w:rsidR="007B43AE" w:rsidRPr="00DC03C7">
        <w:rPr>
          <w:szCs w:val="22"/>
        </w:rPr>
        <w:t xml:space="preserve"> match the </w:t>
      </w:r>
      <w:r w:rsidR="00526402" w:rsidRPr="00DC03C7">
        <w:rPr>
          <w:szCs w:val="22"/>
        </w:rPr>
        <w:t xml:space="preserve">secondary </w:t>
      </w:r>
      <w:r w:rsidR="007B43AE" w:rsidRPr="00DC03C7">
        <w:rPr>
          <w:rStyle w:val="Emphasis"/>
          <w:i w:val="0"/>
          <w:szCs w:val="22"/>
        </w:rPr>
        <w:t>Amateur Service and Amateur-</w:t>
      </w:r>
      <w:r w:rsidR="007B43AE" w:rsidRPr="00DC03C7">
        <w:rPr>
          <w:szCs w:val="22"/>
        </w:rPr>
        <w:t xml:space="preserve">Satellite Service allocations in the </w:t>
      </w:r>
      <w:r w:rsidR="003C6075" w:rsidRPr="00DC03C7">
        <w:rPr>
          <w:szCs w:val="22"/>
        </w:rPr>
        <w:t>remainder of the</w:t>
      </w:r>
      <w:r w:rsidR="007B43AE" w:rsidRPr="00DC03C7">
        <w:rPr>
          <w:szCs w:val="22"/>
        </w:rPr>
        <w:t xml:space="preserve"> 76-81 GHz band</w:t>
      </w:r>
      <w:r w:rsidR="00A308F9" w:rsidRPr="00DC03C7">
        <w:rPr>
          <w:szCs w:val="22"/>
        </w:rPr>
        <w:t>.</w:t>
      </w:r>
      <w:r w:rsidR="00255FC3" w:rsidRPr="00DC03C7">
        <w:rPr>
          <w:szCs w:val="22"/>
        </w:rPr>
        <w:t xml:space="preserve">  </w:t>
      </w:r>
      <w:r w:rsidR="00F814EA" w:rsidRPr="00DC03C7">
        <w:rPr>
          <w:szCs w:val="22"/>
        </w:rPr>
        <w:t xml:space="preserve">We recognize that </w:t>
      </w:r>
      <w:r w:rsidR="007B43AE" w:rsidRPr="00DC03C7">
        <w:rPr>
          <w:szCs w:val="22"/>
        </w:rPr>
        <w:t xml:space="preserve">some commenters </w:t>
      </w:r>
      <w:r w:rsidR="00B353A5" w:rsidRPr="00DC03C7">
        <w:rPr>
          <w:szCs w:val="22"/>
        </w:rPr>
        <w:t>suggest</w:t>
      </w:r>
      <w:r w:rsidR="007B43AE" w:rsidRPr="00DC03C7">
        <w:rPr>
          <w:szCs w:val="22"/>
        </w:rPr>
        <w:t xml:space="preserve"> that the </w:t>
      </w:r>
      <w:r w:rsidR="007B43AE" w:rsidRPr="00DC03C7">
        <w:rPr>
          <w:rStyle w:val="Emphasis"/>
          <w:i w:val="0"/>
          <w:szCs w:val="22"/>
        </w:rPr>
        <w:t>Amateur Service and Amateur-</w:t>
      </w:r>
      <w:r w:rsidR="007B43AE" w:rsidRPr="00DC03C7">
        <w:rPr>
          <w:szCs w:val="22"/>
        </w:rPr>
        <w:t xml:space="preserve">Satellite Service allocations could be co-primary </w:t>
      </w:r>
      <w:r w:rsidR="00F814EA" w:rsidRPr="00DC03C7">
        <w:rPr>
          <w:szCs w:val="22"/>
        </w:rPr>
        <w:t>with</w:t>
      </w:r>
      <w:r w:rsidR="007B43AE" w:rsidRPr="00DC03C7">
        <w:rPr>
          <w:szCs w:val="22"/>
        </w:rPr>
        <w:t xml:space="preserve"> RLS in the 77.5-78 GHz band</w:t>
      </w:r>
      <w:r w:rsidR="00F814EA" w:rsidRPr="00DC03C7">
        <w:rPr>
          <w:szCs w:val="22"/>
        </w:rPr>
        <w:t>.</w:t>
      </w:r>
      <w:r w:rsidR="007B43AE" w:rsidRPr="00DC03C7">
        <w:rPr>
          <w:rStyle w:val="FootnoteReference"/>
          <w:sz w:val="22"/>
          <w:szCs w:val="22"/>
        </w:rPr>
        <w:footnoteReference w:id="65"/>
      </w:r>
      <w:r w:rsidR="00452942" w:rsidRPr="00DC03C7">
        <w:rPr>
          <w:szCs w:val="22"/>
        </w:rPr>
        <w:t xml:space="preserve"> </w:t>
      </w:r>
      <w:r w:rsidR="00FD049A" w:rsidRPr="00DC03C7">
        <w:rPr>
          <w:szCs w:val="22"/>
        </w:rPr>
        <w:t xml:space="preserve"> </w:t>
      </w:r>
      <w:r w:rsidR="00F814EA" w:rsidRPr="00DC03C7">
        <w:rPr>
          <w:szCs w:val="22"/>
        </w:rPr>
        <w:t xml:space="preserve">While doing so </w:t>
      </w:r>
      <w:r w:rsidR="00685C2F" w:rsidRPr="00DC03C7">
        <w:rPr>
          <w:szCs w:val="22"/>
        </w:rPr>
        <w:t xml:space="preserve">arguably </w:t>
      </w:r>
      <w:r w:rsidR="00F814EA" w:rsidRPr="00DC03C7">
        <w:rPr>
          <w:szCs w:val="22"/>
        </w:rPr>
        <w:t xml:space="preserve">would meet the </w:t>
      </w:r>
      <w:r w:rsidR="00255FC3" w:rsidRPr="00DC03C7">
        <w:rPr>
          <w:szCs w:val="22"/>
        </w:rPr>
        <w:t xml:space="preserve">objective of establishing a comprehensive and uniform approach to amateur use of the band on these </w:t>
      </w:r>
      <w:r w:rsidR="00B266DD" w:rsidRPr="00DC03C7">
        <w:rPr>
          <w:szCs w:val="22"/>
        </w:rPr>
        <w:t>frequencies</w:t>
      </w:r>
      <w:r w:rsidR="00F814EA" w:rsidRPr="00DC03C7">
        <w:rPr>
          <w:szCs w:val="22"/>
        </w:rPr>
        <w:t xml:space="preserve">, we cannot conclude that it would support our further goal of successfully </w:t>
      </w:r>
      <w:r w:rsidR="00ED7CBC" w:rsidRPr="00DC03C7">
        <w:rPr>
          <w:szCs w:val="22"/>
        </w:rPr>
        <w:t>migratin</w:t>
      </w:r>
      <w:r w:rsidR="00F814EA" w:rsidRPr="00DC03C7">
        <w:rPr>
          <w:szCs w:val="22"/>
        </w:rPr>
        <w:t>g</w:t>
      </w:r>
      <w:r w:rsidR="00ED7CBC" w:rsidRPr="00DC03C7">
        <w:rPr>
          <w:szCs w:val="22"/>
        </w:rPr>
        <w:t xml:space="preserve"> vehicular radars to the 76-81 GHz band.</w:t>
      </w:r>
      <w:r w:rsidR="00255FC3" w:rsidRPr="00DC03C7">
        <w:rPr>
          <w:szCs w:val="22"/>
        </w:rPr>
        <w:t xml:space="preserve">  </w:t>
      </w:r>
      <w:r w:rsidR="002C2E59" w:rsidRPr="00DC03C7">
        <w:rPr>
          <w:szCs w:val="22"/>
        </w:rPr>
        <w:t>As secondary users</w:t>
      </w:r>
      <w:r w:rsidR="006225FA" w:rsidRPr="00DC03C7">
        <w:rPr>
          <w:szCs w:val="22"/>
        </w:rPr>
        <w:t xml:space="preserve"> in the 76-81 GHz band,</w:t>
      </w:r>
      <w:r w:rsidRPr="00DC03C7">
        <w:rPr>
          <w:szCs w:val="22"/>
        </w:rPr>
        <w:t xml:space="preserve"> amateur</w:t>
      </w:r>
      <w:r w:rsidR="004A13A9" w:rsidRPr="00DC03C7">
        <w:rPr>
          <w:szCs w:val="22"/>
        </w:rPr>
        <w:t>s</w:t>
      </w:r>
      <w:r w:rsidRPr="00DC03C7">
        <w:rPr>
          <w:szCs w:val="22"/>
        </w:rPr>
        <w:t xml:space="preserve"> </w:t>
      </w:r>
      <w:r w:rsidR="006225FA" w:rsidRPr="00DC03C7">
        <w:rPr>
          <w:szCs w:val="22"/>
        </w:rPr>
        <w:t xml:space="preserve">will </w:t>
      </w:r>
      <w:r w:rsidR="004A13A9" w:rsidRPr="00DC03C7">
        <w:rPr>
          <w:szCs w:val="22"/>
        </w:rPr>
        <w:t xml:space="preserve">have an obligation to operate in a manner that minimizes the potential </w:t>
      </w:r>
      <w:r w:rsidR="000950CE" w:rsidRPr="00DC03C7">
        <w:rPr>
          <w:szCs w:val="22"/>
        </w:rPr>
        <w:t xml:space="preserve">for </w:t>
      </w:r>
      <w:r w:rsidR="00542A8C" w:rsidRPr="00DC03C7">
        <w:rPr>
          <w:szCs w:val="22"/>
        </w:rPr>
        <w:t>harmful</w:t>
      </w:r>
      <w:r w:rsidR="00B64C82" w:rsidRPr="00DC03C7">
        <w:rPr>
          <w:szCs w:val="22"/>
        </w:rPr>
        <w:t xml:space="preserve"> interference to </w:t>
      </w:r>
      <w:r w:rsidR="0039572E" w:rsidRPr="00DC03C7">
        <w:rPr>
          <w:szCs w:val="22"/>
        </w:rPr>
        <w:t>licensed r</w:t>
      </w:r>
      <w:r w:rsidR="00B64C82" w:rsidRPr="00DC03C7">
        <w:rPr>
          <w:szCs w:val="22"/>
        </w:rPr>
        <w:t xml:space="preserve">adar applications </w:t>
      </w:r>
      <w:r w:rsidR="006225FA" w:rsidRPr="00DC03C7">
        <w:rPr>
          <w:szCs w:val="22"/>
        </w:rPr>
        <w:t>that will operate under the</w:t>
      </w:r>
      <w:r w:rsidR="0039572E" w:rsidRPr="00DC03C7">
        <w:rPr>
          <w:szCs w:val="22"/>
        </w:rPr>
        <w:t xml:space="preserve"> primary RLS allocation throughout </w:t>
      </w:r>
      <w:r w:rsidR="00B64C82" w:rsidRPr="00DC03C7">
        <w:rPr>
          <w:szCs w:val="22"/>
        </w:rPr>
        <w:t>the entire 76-81 GHz band</w:t>
      </w:r>
      <w:r w:rsidR="00284FE9" w:rsidRPr="00DC03C7">
        <w:rPr>
          <w:szCs w:val="22"/>
        </w:rPr>
        <w:t>, and cannot claim protection from harmful interference from any primary service</w:t>
      </w:r>
      <w:r w:rsidR="00B64C82" w:rsidRPr="00DC03C7">
        <w:rPr>
          <w:szCs w:val="22"/>
        </w:rPr>
        <w:t>.</w:t>
      </w:r>
      <w:r w:rsidR="00D05A23" w:rsidRPr="00DC03C7">
        <w:rPr>
          <w:rStyle w:val="FootnoteReference"/>
          <w:sz w:val="22"/>
          <w:szCs w:val="22"/>
        </w:rPr>
        <w:footnoteReference w:id="66"/>
      </w:r>
      <w:r w:rsidR="00B64C82" w:rsidRPr="00DC03C7">
        <w:rPr>
          <w:szCs w:val="22"/>
        </w:rPr>
        <w:t xml:space="preserve">  </w:t>
      </w:r>
      <w:r w:rsidR="004A13A9" w:rsidRPr="00DC03C7">
        <w:rPr>
          <w:szCs w:val="22"/>
        </w:rPr>
        <w:t xml:space="preserve">If </w:t>
      </w:r>
      <w:r w:rsidR="003C6075" w:rsidRPr="00DC03C7">
        <w:rPr>
          <w:szCs w:val="22"/>
        </w:rPr>
        <w:t xml:space="preserve">amateurs cause </w:t>
      </w:r>
      <w:r w:rsidR="004A13A9" w:rsidRPr="00DC03C7">
        <w:rPr>
          <w:szCs w:val="22"/>
        </w:rPr>
        <w:t xml:space="preserve">any harmful interference, </w:t>
      </w:r>
      <w:r w:rsidR="003C6075" w:rsidRPr="00DC03C7">
        <w:rPr>
          <w:szCs w:val="22"/>
        </w:rPr>
        <w:t>they</w:t>
      </w:r>
      <w:r w:rsidR="004A13A9" w:rsidRPr="00DC03C7">
        <w:rPr>
          <w:szCs w:val="22"/>
        </w:rPr>
        <w:t xml:space="preserve"> </w:t>
      </w:r>
      <w:r w:rsidR="000950CE" w:rsidRPr="00DC03C7">
        <w:rPr>
          <w:szCs w:val="22"/>
        </w:rPr>
        <w:t>will be required to</w:t>
      </w:r>
      <w:r w:rsidR="004A13A9" w:rsidRPr="00DC03C7">
        <w:rPr>
          <w:szCs w:val="22"/>
        </w:rPr>
        <w:t xml:space="preserve"> provide an immediate remedy, </w:t>
      </w:r>
      <w:r w:rsidR="004F43A3" w:rsidRPr="00DC03C7">
        <w:rPr>
          <w:szCs w:val="22"/>
        </w:rPr>
        <w:t xml:space="preserve">up to and </w:t>
      </w:r>
      <w:r w:rsidR="004A13A9" w:rsidRPr="00DC03C7">
        <w:rPr>
          <w:szCs w:val="22"/>
        </w:rPr>
        <w:t xml:space="preserve">including </w:t>
      </w:r>
      <w:r w:rsidR="00A308F9" w:rsidRPr="00DC03C7">
        <w:rPr>
          <w:szCs w:val="22"/>
        </w:rPr>
        <w:t xml:space="preserve">terminating their </w:t>
      </w:r>
      <w:r w:rsidR="00255FC3" w:rsidRPr="00DC03C7">
        <w:rPr>
          <w:szCs w:val="22"/>
        </w:rPr>
        <w:t>operations.</w:t>
      </w:r>
    </w:p>
    <w:p w:rsidR="00D97115" w:rsidRDefault="009859D0" w:rsidP="006F3BD7">
      <w:pPr>
        <w:pStyle w:val="ParaNum"/>
      </w:pPr>
      <w:r>
        <w:t>Second, a</w:t>
      </w:r>
      <w:r w:rsidR="00B64C82">
        <w:t>s an added protection</w:t>
      </w:r>
      <w:r w:rsidR="000950CE" w:rsidRPr="000950CE">
        <w:t xml:space="preserve"> against potential interference to vehicular radar operations</w:t>
      </w:r>
      <w:r w:rsidR="00512E37">
        <w:t>,</w:t>
      </w:r>
      <w:r w:rsidR="00082F75" w:rsidRPr="00D14D2F">
        <w:t xml:space="preserve"> </w:t>
      </w:r>
      <w:r w:rsidR="00B64C82">
        <w:t xml:space="preserve">we will amend </w:t>
      </w:r>
      <w:r w:rsidR="00812A83">
        <w:t xml:space="preserve">the </w:t>
      </w:r>
      <w:r w:rsidR="00B64C82">
        <w:t xml:space="preserve">Part 97 </w:t>
      </w:r>
      <w:r w:rsidR="00812A83">
        <w:t xml:space="preserve">Amateur Radio Service rules </w:t>
      </w:r>
      <w:r w:rsidR="00773E4E">
        <w:t xml:space="preserve">to </w:t>
      </w:r>
      <w:r w:rsidR="00F16CF4">
        <w:t xml:space="preserve">specify the </w:t>
      </w:r>
      <w:r w:rsidR="007A1C49" w:rsidRPr="00CF0F47">
        <w:t xml:space="preserve">maximum </w:t>
      </w:r>
      <w:r w:rsidR="00D05A23">
        <w:t>equivalent isotropically radiated power (</w:t>
      </w:r>
      <w:r w:rsidR="007A1C49">
        <w:t>EIRP</w:t>
      </w:r>
      <w:r w:rsidR="00D05A23">
        <w:t>)</w:t>
      </w:r>
      <w:r w:rsidR="007A1C49" w:rsidRPr="00CF0F47">
        <w:t xml:space="preserve"> that Amateur Service and Amateur-Satellite Service stations in the 76-81 GHz band may transmit</w:t>
      </w:r>
      <w:r w:rsidR="007A1C49" w:rsidRPr="00D14D2F">
        <w:t>.</w:t>
      </w:r>
      <w:r w:rsidR="007A1C49" w:rsidRPr="00D14D2F">
        <w:rPr>
          <w:vertAlign w:val="superscript"/>
        </w:rPr>
        <w:footnoteReference w:id="67"/>
      </w:r>
      <w:r w:rsidR="00235F51">
        <w:t xml:space="preserve">  Currently, a 55 dBm peak EIRP is allowed for vehicular radars in the 76-77 GHz band in Part 15 of the Commission’s rules.</w:t>
      </w:r>
      <w:r w:rsidR="00235F51" w:rsidRPr="00FE009E">
        <w:rPr>
          <w:vertAlign w:val="superscript"/>
        </w:rPr>
        <w:footnoteReference w:id="68"/>
      </w:r>
      <w:r w:rsidR="00235F51">
        <w:t xml:space="preserve">  In contrast, the Part 97 rules for the Amateur Radio Service permit unlimited EIRP.</w:t>
      </w:r>
      <w:r w:rsidR="00235F51" w:rsidRPr="00BB2049">
        <w:rPr>
          <w:vertAlign w:val="superscript"/>
        </w:rPr>
        <w:footnoteReference w:id="69"/>
      </w:r>
      <w:r w:rsidR="00235F51">
        <w:t xml:space="preserve">  </w:t>
      </w:r>
      <w:r w:rsidR="007A1C49" w:rsidRPr="00D14D2F">
        <w:t xml:space="preserve">ARRL </w:t>
      </w:r>
      <w:r w:rsidR="007A1C49">
        <w:t xml:space="preserve">opposes </w:t>
      </w:r>
      <w:r w:rsidR="007A1C49" w:rsidRPr="00FE009E">
        <w:t>additional restrictions in the</w:t>
      </w:r>
      <w:r w:rsidR="00812A83">
        <w:t xml:space="preserve"> Part 97</w:t>
      </w:r>
      <w:r w:rsidR="007A1C49" w:rsidRPr="00FE009E">
        <w:t xml:space="preserve"> rules</w:t>
      </w:r>
      <w:r w:rsidR="007A1C49">
        <w:t xml:space="preserve">, arguing that the power used by </w:t>
      </w:r>
      <w:r w:rsidR="007A1C49" w:rsidRPr="008E1A66">
        <w:t>amateurs in the 76-81 GHz band is low</w:t>
      </w:r>
      <w:r w:rsidR="007A1C49">
        <w:t xml:space="preserve">er than </w:t>
      </w:r>
      <w:r w:rsidR="00D52D12">
        <w:t>55 dBm peak EIRP.</w:t>
      </w:r>
      <w:r w:rsidR="007A1C49" w:rsidRPr="00FE009E">
        <w:rPr>
          <w:vertAlign w:val="superscript"/>
        </w:rPr>
        <w:footnoteReference w:id="70"/>
      </w:r>
      <w:r w:rsidR="007A1C49" w:rsidRPr="008E1A66">
        <w:t xml:space="preserve"> </w:t>
      </w:r>
      <w:r w:rsidR="007A1C49">
        <w:t xml:space="preserve"> However, </w:t>
      </w:r>
      <w:r w:rsidR="00D52D12">
        <w:t>a</w:t>
      </w:r>
      <w:r w:rsidR="00D52D12" w:rsidRPr="00D52D12">
        <w:t xml:space="preserve">mateur licensee Gary Lauterbach reports of </w:t>
      </w:r>
      <w:r w:rsidR="00B2328C">
        <w:t>a</w:t>
      </w:r>
      <w:r w:rsidR="00D52D12" w:rsidRPr="00D52D12">
        <w:t>mateur</w:t>
      </w:r>
      <w:r w:rsidR="00B2328C">
        <w:t>s</w:t>
      </w:r>
      <w:r w:rsidR="00D52D12" w:rsidRPr="00D52D12">
        <w:t xml:space="preserve"> that are operating with a</w:t>
      </w:r>
      <w:r w:rsidR="00D52D12">
        <w:t>n</w:t>
      </w:r>
      <w:r w:rsidR="00D52D12" w:rsidRPr="00D52D12">
        <w:t xml:space="preserve"> </w:t>
      </w:r>
      <w:r w:rsidR="00D52D12">
        <w:t xml:space="preserve">EIRP </w:t>
      </w:r>
      <w:r w:rsidR="00B2328C">
        <w:t>ranging from 66</w:t>
      </w:r>
      <w:r w:rsidR="00B2328C">
        <w:noBreakHyphen/>
      </w:r>
      <w:r w:rsidR="00D52D12" w:rsidRPr="00D52D12">
        <w:t>71 dBm</w:t>
      </w:r>
      <w:r w:rsidR="00D52D12">
        <w:t xml:space="preserve">, </w:t>
      </w:r>
      <w:r w:rsidR="007A1C49">
        <w:t>exceed</w:t>
      </w:r>
      <w:r w:rsidR="00D52D12">
        <w:t>ing</w:t>
      </w:r>
      <w:r w:rsidR="007A1C49">
        <w:t xml:space="preserve"> the allowable vehicular radar </w:t>
      </w:r>
      <w:r w:rsidR="00B2328C">
        <w:t xml:space="preserve">peak </w:t>
      </w:r>
      <w:r w:rsidR="007A1C49">
        <w:t>EIRP limit</w:t>
      </w:r>
      <w:r w:rsidR="004D267F">
        <w:t>.</w:t>
      </w:r>
      <w:r w:rsidR="007A1C49" w:rsidRPr="00CF0F47">
        <w:rPr>
          <w:vertAlign w:val="superscript"/>
        </w:rPr>
        <w:footnoteReference w:id="71"/>
      </w:r>
      <w:r w:rsidR="004D267F">
        <w:t xml:space="preserve">  Without some limitation, even those</w:t>
      </w:r>
      <w:r w:rsidR="0025795A">
        <w:t xml:space="preserve"> amateurs</w:t>
      </w:r>
      <w:r w:rsidR="004D267F">
        <w:t xml:space="preserve"> that do operate at the limits described by ARRL might not continue that practice indefinitely.</w:t>
      </w:r>
      <w:r w:rsidR="00A308F9">
        <w:t xml:space="preserve">  </w:t>
      </w:r>
      <w:r w:rsidR="00082F75" w:rsidRPr="00082F75">
        <w:t>Although Bosch contends that no changes to the Part 97 rules are necessary to accommodate compatible sharing between amateur radio and automotive radar operations,</w:t>
      </w:r>
      <w:r w:rsidR="00082F75" w:rsidRPr="00082F75">
        <w:rPr>
          <w:rStyle w:val="FootnoteReference"/>
        </w:rPr>
        <w:footnoteReference w:id="72"/>
      </w:r>
      <w:r w:rsidR="00082F75">
        <w:t xml:space="preserve"> </w:t>
      </w:r>
      <w:r w:rsidR="006070CE" w:rsidRPr="006070CE">
        <w:t>Delphi Automotive Systems</w:t>
      </w:r>
      <w:r w:rsidR="006070CE">
        <w:t xml:space="preserve"> (Delphi)</w:t>
      </w:r>
      <w:r w:rsidR="007A1C49">
        <w:t xml:space="preserve"> su</w:t>
      </w:r>
      <w:r w:rsidR="00773E4E">
        <w:t>pports</w:t>
      </w:r>
      <w:r w:rsidR="007A1C49">
        <w:t xml:space="preserve"> </w:t>
      </w:r>
      <w:r w:rsidR="00685671">
        <w:t>adopting a single maximum emissions limit that would apply to all operations in the 76-81 GHz band</w:t>
      </w:r>
      <w:r w:rsidR="007A1C49">
        <w:t>.</w:t>
      </w:r>
      <w:r w:rsidR="007A1C49">
        <w:rPr>
          <w:rStyle w:val="FootnoteReference"/>
        </w:rPr>
        <w:footnoteReference w:id="73"/>
      </w:r>
      <w:r w:rsidR="004D267F">
        <w:t xml:space="preserve"> </w:t>
      </w:r>
      <w:r w:rsidR="007A1C49">
        <w:t xml:space="preserve"> </w:t>
      </w:r>
      <w:r w:rsidR="00082F75" w:rsidRPr="00082F75">
        <w:t>Furthermore, Lauterbach asserts that reasonable EIRP limits combined with physical separation and narrow bandwidth modulation will preclude any concerns of amateur interference to vehicular radar operations.</w:t>
      </w:r>
      <w:r w:rsidR="00082F75" w:rsidRPr="00082F75">
        <w:rPr>
          <w:rStyle w:val="FootnoteReference"/>
        </w:rPr>
        <w:footnoteReference w:id="74"/>
      </w:r>
      <w:r w:rsidR="00082F75">
        <w:t xml:space="preserve">  </w:t>
      </w:r>
      <w:r w:rsidR="00773E4E">
        <w:t xml:space="preserve">We </w:t>
      </w:r>
      <w:r w:rsidR="00F16CF4">
        <w:t>agree</w:t>
      </w:r>
      <w:r w:rsidR="00112394">
        <w:t xml:space="preserve"> </w:t>
      </w:r>
      <w:r w:rsidR="00D52D12">
        <w:t xml:space="preserve">with Delphi and Lauterbach, </w:t>
      </w:r>
      <w:r w:rsidR="00112394">
        <w:t>and accordingly</w:t>
      </w:r>
      <w:r w:rsidR="00D97115">
        <w:t xml:space="preserve"> </w:t>
      </w:r>
      <w:r w:rsidR="00112394">
        <w:t>s</w:t>
      </w:r>
      <w:r w:rsidR="004660FC">
        <w:t>pecify</w:t>
      </w:r>
      <w:r w:rsidR="00773E4E">
        <w:t xml:space="preserve"> a </w:t>
      </w:r>
      <w:r w:rsidR="00112394">
        <w:t xml:space="preserve">peak EIRP of </w:t>
      </w:r>
      <w:r w:rsidR="004660FC" w:rsidRPr="00D14D2F">
        <w:t xml:space="preserve">55 dBm </w:t>
      </w:r>
      <w:r w:rsidR="007A1C49">
        <w:t xml:space="preserve">for </w:t>
      </w:r>
      <w:r w:rsidR="003C6075">
        <w:t xml:space="preserve">operations of </w:t>
      </w:r>
      <w:r w:rsidR="00CA4218">
        <w:t>the a</w:t>
      </w:r>
      <w:r w:rsidR="00082F75">
        <w:t xml:space="preserve">mateur </w:t>
      </w:r>
      <w:r w:rsidR="00CA4218">
        <w:t>r</w:t>
      </w:r>
      <w:r w:rsidR="00082F75">
        <w:t xml:space="preserve">adio </w:t>
      </w:r>
      <w:r w:rsidR="00CA4218">
        <w:t>s</w:t>
      </w:r>
      <w:r w:rsidR="00082F75">
        <w:t>ervice</w:t>
      </w:r>
      <w:r w:rsidR="00CA4218">
        <w:t xml:space="preserve">s </w:t>
      </w:r>
      <w:r w:rsidR="007A1C49" w:rsidRPr="00D14D2F">
        <w:t>in the 76-81 GHz band</w:t>
      </w:r>
      <w:r w:rsidR="00B2328C">
        <w:t>, i.e., the same as the allowable vehicular radar peak EIRP limit</w:t>
      </w:r>
      <w:r w:rsidR="00112394">
        <w:t>.</w:t>
      </w:r>
      <w:r w:rsidR="00CA3AD0">
        <w:rPr>
          <w:rStyle w:val="FootnoteReference"/>
        </w:rPr>
        <w:footnoteReference w:id="75"/>
      </w:r>
      <w:r w:rsidR="00CA3AD0">
        <w:t xml:space="preserve"> </w:t>
      </w:r>
      <w:r w:rsidR="00D52D12">
        <w:t xml:space="preserve"> </w:t>
      </w:r>
      <w:r w:rsidR="004D267F">
        <w:t>F</w:t>
      </w:r>
      <w:r w:rsidR="009D6751">
        <w:t>or those amateurs currently oper</w:t>
      </w:r>
      <w:r w:rsidR="000164CA">
        <w:t xml:space="preserve">ating at </w:t>
      </w:r>
      <w:r w:rsidR="00082F75">
        <w:t xml:space="preserve">EIRP </w:t>
      </w:r>
      <w:r w:rsidR="000164CA">
        <w:t>levels greater than 55 </w:t>
      </w:r>
      <w:r w:rsidR="009D6751">
        <w:t xml:space="preserve">dBm, we believe that this rule will require </w:t>
      </w:r>
      <w:r w:rsidR="00D52D12">
        <w:t xml:space="preserve">only </w:t>
      </w:r>
      <w:r w:rsidR="009D6751">
        <w:t xml:space="preserve">a modest decrease in </w:t>
      </w:r>
      <w:r w:rsidR="00082F75">
        <w:t xml:space="preserve">their transmitted </w:t>
      </w:r>
      <w:r w:rsidR="009D6751">
        <w:t>power and should not signific</w:t>
      </w:r>
      <w:r w:rsidR="00082F75">
        <w:t>antly affect their operations.</w:t>
      </w:r>
    </w:p>
    <w:p w:rsidR="00B64C82" w:rsidRDefault="00D97115" w:rsidP="006F3BD7">
      <w:pPr>
        <w:pStyle w:val="ParaNum"/>
      </w:pPr>
      <w:r>
        <w:t xml:space="preserve">The rule changes </w:t>
      </w:r>
      <w:r w:rsidR="0041055A">
        <w:t xml:space="preserve">we </w:t>
      </w:r>
      <w:r>
        <w:t xml:space="preserve">adopt </w:t>
      </w:r>
      <w:r w:rsidR="0041055A">
        <w:t>modify</w:t>
      </w:r>
      <w:r w:rsidR="00127CF6">
        <w:t xml:space="preserve">ing </w:t>
      </w:r>
      <w:r>
        <w:t xml:space="preserve">the regulatory status of amateur stations </w:t>
      </w:r>
      <w:r w:rsidR="00512E37">
        <w:t>and capping the</w:t>
      </w:r>
      <w:r w:rsidR="00B2328C">
        <w:t>ir</w:t>
      </w:r>
      <w:r w:rsidR="00512E37">
        <w:t xml:space="preserve"> power levels </w:t>
      </w:r>
      <w:r w:rsidR="0041055A">
        <w:t xml:space="preserve">will </w:t>
      </w:r>
      <w:r>
        <w:t xml:space="preserve">ensure </w:t>
      </w:r>
      <w:r w:rsidR="00127CF6">
        <w:t xml:space="preserve">the </w:t>
      </w:r>
      <w:r>
        <w:t xml:space="preserve">continued operation </w:t>
      </w:r>
      <w:r w:rsidR="00127CF6">
        <w:t xml:space="preserve">of amateur stations </w:t>
      </w:r>
      <w:r>
        <w:t>in this band</w:t>
      </w:r>
      <w:r w:rsidR="00AA3C3A" w:rsidRPr="00A46336">
        <w:t>,</w:t>
      </w:r>
      <w:r w:rsidRPr="00A46336">
        <w:t xml:space="preserve"> </w:t>
      </w:r>
      <w:r>
        <w:t xml:space="preserve">and are a reasonable alternative to expanding the suspension of amateur operations from the 76-77 GHz band to the </w:t>
      </w:r>
      <w:r w:rsidR="00CA4218">
        <w:t>remainder of the</w:t>
      </w:r>
      <w:r>
        <w:t xml:space="preserve"> </w:t>
      </w:r>
      <w:r w:rsidR="00AA3C3A" w:rsidRPr="00A46336">
        <w:t>76-81 GHz</w:t>
      </w:r>
      <w:r w:rsidR="00AA3C3A">
        <w:t xml:space="preserve"> </w:t>
      </w:r>
      <w:r>
        <w:t xml:space="preserve">band or removing the amateur allocations altogether from the 76-81 GHz band.  In addition, these changes, </w:t>
      </w:r>
      <w:r w:rsidR="007A1C49" w:rsidRPr="00D14D2F">
        <w:t xml:space="preserve">coupled with the nature of amateur operations in </w:t>
      </w:r>
      <w:r>
        <w:t>the</w:t>
      </w:r>
      <w:r w:rsidR="007A1C49">
        <w:t xml:space="preserve"> </w:t>
      </w:r>
      <w:r w:rsidR="007A1C49" w:rsidRPr="00D14D2F">
        <w:t>band</w:t>
      </w:r>
      <w:r w:rsidR="003C2E34">
        <w:t xml:space="preserve"> (e.g.</w:t>
      </w:r>
      <w:r w:rsidR="007A1C49" w:rsidRPr="00D14D2F">
        <w:t>,</w:t>
      </w:r>
      <w:r>
        <w:t xml:space="preserve"> </w:t>
      </w:r>
      <w:r w:rsidRPr="00D14D2F">
        <w:t>largely experimental</w:t>
      </w:r>
      <w:r w:rsidR="00AA3C3A" w:rsidRPr="00A46336">
        <w:t>,</w:t>
      </w:r>
      <w:r w:rsidRPr="00D14D2F">
        <w:t xml:space="preserve"> occurring temporarily on mountaintops and locations where motor vehicle operation is not typical</w:t>
      </w:r>
      <w:r w:rsidR="00AA3C3A" w:rsidRPr="00A46336">
        <w:t>,</w:t>
      </w:r>
      <w:r w:rsidRPr="00A46336">
        <w:t xml:space="preserve"> </w:t>
      </w:r>
      <w:r>
        <w:t>and using antennas mounted on masts as high as practical</w:t>
      </w:r>
      <w:r w:rsidR="0022575E">
        <w:t>),</w:t>
      </w:r>
      <w:r w:rsidR="007A1C49" w:rsidRPr="00D14D2F">
        <w:rPr>
          <w:vertAlign w:val="superscript"/>
        </w:rPr>
        <w:footnoteReference w:id="76"/>
      </w:r>
      <w:r>
        <w:t xml:space="preserve"> </w:t>
      </w:r>
      <w:r w:rsidR="004660FC">
        <w:t>will ensure that</w:t>
      </w:r>
      <w:r w:rsidR="007A1C49" w:rsidRPr="00D14D2F">
        <w:t xml:space="preserve"> </w:t>
      </w:r>
      <w:r w:rsidR="007A1C49">
        <w:t xml:space="preserve">the potential for harmful interference from </w:t>
      </w:r>
      <w:r w:rsidR="007A1C49" w:rsidRPr="00D14D2F">
        <w:t xml:space="preserve">amateur operations to </w:t>
      </w:r>
      <w:r w:rsidR="00082F75">
        <w:t xml:space="preserve">vehicular </w:t>
      </w:r>
      <w:r w:rsidR="007A1C49" w:rsidRPr="00D14D2F">
        <w:t xml:space="preserve">radar operations in the 76-81 GHz band </w:t>
      </w:r>
      <w:r w:rsidR="004660FC">
        <w:t xml:space="preserve">is </w:t>
      </w:r>
      <w:r w:rsidR="007A1C49">
        <w:t>negligible</w:t>
      </w:r>
      <w:r w:rsidRPr="00D97115">
        <w:t xml:space="preserve"> </w:t>
      </w:r>
      <w:r>
        <w:t>and</w:t>
      </w:r>
      <w:r w:rsidRPr="006D6DAE">
        <w:t xml:space="preserve"> </w:t>
      </w:r>
      <w:r>
        <w:t xml:space="preserve">satisfy our efforts to ensure protection for the </w:t>
      </w:r>
      <w:r w:rsidRPr="00D10F17">
        <w:t xml:space="preserve">important safety </w:t>
      </w:r>
      <w:r w:rsidR="00364ED1">
        <w:t>functions</w:t>
      </w:r>
      <w:r w:rsidRPr="00D10F17">
        <w:t xml:space="preserve"> </w:t>
      </w:r>
      <w:r>
        <w:t>that vehicular radars will provide</w:t>
      </w:r>
      <w:r w:rsidR="007A1C49" w:rsidRPr="00D14D2F">
        <w:t>.</w:t>
      </w:r>
    </w:p>
    <w:p w:rsidR="00487FC8" w:rsidRPr="007F337A" w:rsidRDefault="00D22ACB" w:rsidP="00487FC8">
      <w:pPr>
        <w:pStyle w:val="Heading3"/>
      </w:pPr>
      <w:bookmarkStart w:id="450" w:name="_Toc471485249"/>
      <w:bookmarkStart w:id="451" w:name="_Toc473911544"/>
      <w:bookmarkStart w:id="452" w:name="_Toc473911763"/>
      <w:bookmarkStart w:id="453" w:name="_Toc475023433"/>
      <w:bookmarkStart w:id="454" w:name="_Toc475564842"/>
      <w:bookmarkStart w:id="455" w:name="_Toc475995721"/>
      <w:bookmarkStart w:id="456" w:name="_Toc476168262"/>
      <w:bookmarkStart w:id="457" w:name="_Toc476230599"/>
      <w:bookmarkStart w:id="458" w:name="_Toc476319090"/>
      <w:bookmarkStart w:id="459" w:name="_Toc477171257"/>
      <w:bookmarkStart w:id="460" w:name="_Toc477176706"/>
      <w:bookmarkStart w:id="461" w:name="_Toc480544479"/>
      <w:bookmarkStart w:id="462" w:name="_Toc483252353"/>
      <w:bookmarkStart w:id="463" w:name="_Toc485387933"/>
      <w:bookmarkStart w:id="464" w:name="_Toc485640838"/>
      <w:bookmarkStart w:id="465" w:name="_Toc487543590"/>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7F337A">
        <w:t>RAS and SRS (space-to-Earth) Allocations in the 77.5-78 GHz Band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2B66FD" w:rsidRDefault="00C4345A" w:rsidP="006F3BD7">
      <w:pPr>
        <w:pStyle w:val="ParaNum"/>
        <w:widowControl/>
      </w:pPr>
      <w:r w:rsidRPr="00C4345A">
        <w:t>As noted above, the 76-77.5 GHz and 78-81 GHz bands are currently allocated</w:t>
      </w:r>
      <w:r>
        <w:t xml:space="preserve"> in the U.S. Table </w:t>
      </w:r>
      <w:r w:rsidRPr="00C4345A">
        <w:t>to the RAS on a primary basis</w:t>
      </w:r>
      <w:r>
        <w:t>;</w:t>
      </w:r>
      <w:r w:rsidRPr="00C4345A">
        <w:t xml:space="preserve"> the 77.5-78 GHz band is allocated </w:t>
      </w:r>
      <w:r>
        <w:t>to the RAS on a secondary basis;</w:t>
      </w:r>
      <w:r w:rsidRPr="00C4345A">
        <w:t xml:space="preserve"> and the entire 76-81 GHz band is allocated to the SRS (space-to-Earth) on a secondary basis.</w:t>
      </w:r>
      <w:r>
        <w:t xml:space="preserve">  </w:t>
      </w:r>
      <w:r w:rsidR="00487FC8">
        <w:t>The</w:t>
      </w:r>
      <w:r w:rsidR="00DB28B2">
        <w:t xml:space="preserve"> </w:t>
      </w:r>
      <w:r w:rsidR="00487FC8" w:rsidRPr="00302405">
        <w:rPr>
          <w:i/>
        </w:rPr>
        <w:t>NPRM</w:t>
      </w:r>
      <w:r w:rsidR="00487FC8">
        <w:t xml:space="preserve"> </w:t>
      </w:r>
      <w:r w:rsidR="00BA0721">
        <w:t>sought comment on</w:t>
      </w:r>
      <w:r w:rsidR="00D278D2">
        <w:t xml:space="preserve"> </w:t>
      </w:r>
      <w:r w:rsidR="002F06FE">
        <w:t>possibly</w:t>
      </w:r>
      <w:r w:rsidR="00D278D2">
        <w:t xml:space="preserve"> </w:t>
      </w:r>
      <w:r w:rsidR="00D22ACB">
        <w:t xml:space="preserve">upgrading the </w:t>
      </w:r>
      <w:r w:rsidR="00487FC8" w:rsidRPr="00CB6B14">
        <w:t>R</w:t>
      </w:r>
      <w:r w:rsidR="00487FC8">
        <w:t xml:space="preserve">AS </w:t>
      </w:r>
      <w:r w:rsidR="00487FC8" w:rsidRPr="00CB6B14">
        <w:t xml:space="preserve">and </w:t>
      </w:r>
      <w:r w:rsidR="00487FC8">
        <w:t>SRS (space-to-Earth)</w:t>
      </w:r>
      <w:r w:rsidR="00487FC8" w:rsidRPr="00CB6B14">
        <w:t xml:space="preserve"> </w:t>
      </w:r>
      <w:r>
        <w:t xml:space="preserve">allocations </w:t>
      </w:r>
      <w:r w:rsidR="00487FC8" w:rsidRPr="00CB6B14">
        <w:t>in the 77.5-78 GHz band</w:t>
      </w:r>
      <w:r>
        <w:t xml:space="preserve"> from secondary to primary status</w:t>
      </w:r>
      <w:r w:rsidR="00691140">
        <w:t>.</w:t>
      </w:r>
      <w:r w:rsidR="00DB28B2" w:rsidRPr="00DA1420">
        <w:rPr>
          <w:vertAlign w:val="superscript"/>
        </w:rPr>
        <w:footnoteReference w:id="77"/>
      </w:r>
    </w:p>
    <w:p w:rsidR="000616C7" w:rsidRDefault="004E30F9" w:rsidP="006F3BD7">
      <w:pPr>
        <w:pStyle w:val="ParaNum"/>
      </w:pPr>
      <w:r>
        <w:t>T</w:t>
      </w:r>
      <w:r w:rsidR="00C4719B" w:rsidRPr="009F4623">
        <w:t>he National Radio Astronomy Observatory (NRAO) and the National Academy of Sciences’ Committee on Radio Frequencies (CORF)</w:t>
      </w:r>
      <w:r w:rsidR="00C4719B">
        <w:t xml:space="preserve"> support </w:t>
      </w:r>
      <w:r w:rsidR="008849E3">
        <w:t>upgrading the secondary</w:t>
      </w:r>
      <w:r w:rsidR="00C4719B">
        <w:t xml:space="preserve"> RAS allocation </w:t>
      </w:r>
      <w:r w:rsidR="008849E3">
        <w:t>in</w:t>
      </w:r>
      <w:r w:rsidR="00C4719B">
        <w:t xml:space="preserve"> the 77.5-78 GHz band </w:t>
      </w:r>
      <w:r w:rsidR="008849E3">
        <w:t>to primary status</w:t>
      </w:r>
      <w:bookmarkStart w:id="466" w:name="_Ref463255643"/>
      <w:r w:rsidR="008849E3">
        <w:t>.</w:t>
      </w:r>
      <w:r w:rsidR="00B86612">
        <w:rPr>
          <w:rStyle w:val="FootnoteReference"/>
        </w:rPr>
        <w:footnoteReference w:id="78"/>
      </w:r>
      <w:bookmarkEnd w:id="466"/>
      <w:r w:rsidR="00234D0D">
        <w:t xml:space="preserve">  </w:t>
      </w:r>
      <w:r w:rsidR="00B86612">
        <w:t xml:space="preserve">NRAO </w:t>
      </w:r>
      <w:r w:rsidR="00C4719B">
        <w:t>claims</w:t>
      </w:r>
      <w:r w:rsidR="00B86612">
        <w:t xml:space="preserve"> that vehicular radars may point near the boresight of a radio astronomy antenna, commonly visible from roads on higher ground, which could have a significant impact upon radio astronomy observations in the 77-81 GHz portion of the band.</w:t>
      </w:r>
      <w:r w:rsidR="00B86612">
        <w:rPr>
          <w:rStyle w:val="FootnoteReference"/>
        </w:rPr>
        <w:footnoteReference w:id="79"/>
      </w:r>
      <w:r w:rsidR="008434E1">
        <w:t xml:space="preserve">  CORF asserts that upgrading the RAS allocation would clarify the need to protect this service and may also prevent harmful interference to the RAS from transmitters at 77.5-78 GHz.</w:t>
      </w:r>
      <w:r w:rsidR="008434E1">
        <w:rPr>
          <w:rStyle w:val="FootnoteReference"/>
        </w:rPr>
        <w:footnoteReference w:id="80"/>
      </w:r>
      <w:r w:rsidR="008434E1">
        <w:t xml:space="preserve"> </w:t>
      </w:r>
      <w:r w:rsidR="00B86612">
        <w:t xml:space="preserve"> </w:t>
      </w:r>
      <w:r>
        <w:t xml:space="preserve">On the other hand, </w:t>
      </w:r>
      <w:r w:rsidRPr="00FF6E95">
        <w:t>Bosch argues that it is unnecessary to make any changes to the RAS allocations in the 76-81 GHz band</w:t>
      </w:r>
      <w:r>
        <w:t>,</w:t>
      </w:r>
      <w:r w:rsidRPr="00FF6E95">
        <w:t xml:space="preserve"> </w:t>
      </w:r>
      <w:r>
        <w:t xml:space="preserve">stating </w:t>
      </w:r>
      <w:r w:rsidRPr="00FF6E95">
        <w:t xml:space="preserve">there </w:t>
      </w:r>
      <w:r>
        <w:t xml:space="preserve">have been no </w:t>
      </w:r>
      <w:r w:rsidRPr="00FF6E95">
        <w:t xml:space="preserve">reports of harmful interference to the RAS in the U.S. or Europe </w:t>
      </w:r>
      <w:r>
        <w:t xml:space="preserve">since 1999 when </w:t>
      </w:r>
      <w:r w:rsidRPr="00FF6E95">
        <w:t xml:space="preserve">vehicular radar operations </w:t>
      </w:r>
      <w:r>
        <w:t xml:space="preserve">began operating </w:t>
      </w:r>
      <w:r w:rsidRPr="00FF6E95">
        <w:t>in the 76-77 GHz band, and studies indicate that 76-81 GHz band vehicular radars are compatible with RAS operations in the band.</w:t>
      </w:r>
      <w:r w:rsidRPr="00FF6E95">
        <w:rPr>
          <w:rStyle w:val="FootnoteReference"/>
        </w:rPr>
        <w:footnoteReference w:id="81"/>
      </w:r>
      <w:r>
        <w:t xml:space="preserve">  </w:t>
      </w:r>
      <w:r w:rsidR="00B86612">
        <w:t xml:space="preserve">Bosch </w:t>
      </w:r>
      <w:r w:rsidR="00C4719B">
        <w:t>states</w:t>
      </w:r>
      <w:r w:rsidR="00B86612">
        <w:t xml:space="preserve"> that NRAO’s </w:t>
      </w:r>
      <w:r w:rsidR="00CA4218">
        <w:t xml:space="preserve">vehicular radar interference </w:t>
      </w:r>
      <w:r w:rsidR="00B86612">
        <w:t>scenario is unlikely because the roads near radio astronomy observatories do not lead directly toward</w:t>
      </w:r>
      <w:r w:rsidR="008434E1">
        <w:t xml:space="preserve">s an </w:t>
      </w:r>
      <w:r w:rsidR="00A93F4E">
        <w:t>observatory’s</w:t>
      </w:r>
      <w:r w:rsidR="00B86612">
        <w:t xml:space="preserve"> antenna, and vehicular radars’ down</w:t>
      </w:r>
      <w:r w:rsidR="0041055A">
        <w:t>ward</w:t>
      </w:r>
      <w:r w:rsidR="00B86612">
        <w:t xml:space="preserve"> </w:t>
      </w:r>
      <w:r w:rsidR="00E376C4">
        <w:t xml:space="preserve">antenna </w:t>
      </w:r>
      <w:r w:rsidR="00B86612">
        <w:t xml:space="preserve">orientation </w:t>
      </w:r>
      <w:r w:rsidR="0041055A">
        <w:t xml:space="preserve">will </w:t>
      </w:r>
      <w:r w:rsidR="00B86612">
        <w:t>significantly mitigate any potential interference to RAS operations.</w:t>
      </w:r>
      <w:r w:rsidR="00B86612">
        <w:rPr>
          <w:rStyle w:val="FootnoteReference"/>
        </w:rPr>
        <w:footnoteReference w:id="82"/>
      </w:r>
    </w:p>
    <w:p w:rsidR="006A24EC" w:rsidRDefault="004E30F9" w:rsidP="006F3BD7">
      <w:pPr>
        <w:pStyle w:val="ParaNum"/>
      </w:pPr>
      <w:r>
        <w:t>To further the objectives of this proceeding, that is to support licensed vehicular radar use across a full five gigahertz block of millimeter-wave spectrum, we have decided to add a primary RLS allocation in th</w:t>
      </w:r>
      <w:r w:rsidR="006A24EC">
        <w:t>e</w:t>
      </w:r>
      <w:r>
        <w:t xml:space="preserve"> half</w:t>
      </w:r>
      <w:r w:rsidR="00CA4218">
        <w:t xml:space="preserve"> a</w:t>
      </w:r>
      <w:r>
        <w:t xml:space="preserve"> gigahertz</w:t>
      </w:r>
      <w:r w:rsidR="00F9256E">
        <w:t xml:space="preserve"> of spectrum</w:t>
      </w:r>
      <w:r w:rsidR="006A24EC">
        <w:t xml:space="preserve"> (i.e., 77.5-78 GHz) that previously had no RLS allocation</w:t>
      </w:r>
      <w:r>
        <w:t xml:space="preserve">.  </w:t>
      </w:r>
      <w:r w:rsidR="0012635A">
        <w:t>We find that th</w:t>
      </w:r>
      <w:r w:rsidR="006A24EC">
        <w:t>is</w:t>
      </w:r>
      <w:r w:rsidR="0012635A">
        <w:t xml:space="preserve"> addition does not introduce any new interference considerations </w:t>
      </w:r>
      <w:r w:rsidR="006A24EC">
        <w:t>for RAS operations, especially given the characteristics of vehicular radar operations and a history of no reported interference to RAS from vehicular radar operations in the portion of the band where RLS is primary.</w:t>
      </w:r>
      <w:r w:rsidR="006A24EC">
        <w:rPr>
          <w:rStyle w:val="FootnoteReference"/>
        </w:rPr>
        <w:footnoteReference w:id="83"/>
      </w:r>
      <w:r w:rsidR="006A24EC" w:rsidRPr="006A24EC">
        <w:t xml:space="preserve"> </w:t>
      </w:r>
      <w:r w:rsidR="006A24EC">
        <w:t xml:space="preserve"> However, while we agree with Bosch that it is not necessary to modify the existing RAS allocation, we nevertheless find that such a modification would be useful.  Important scientific research is conducted across the 76-81 GHz range, and maintaining the secondary RAS allocation in a portion of the band would suggest a distinction between RAS use of the </w:t>
      </w:r>
      <w:r w:rsidR="006A24EC" w:rsidRPr="00C4345A">
        <w:t>76-77.5 GHz</w:t>
      </w:r>
      <w:r w:rsidR="006A24EC">
        <w:t>/</w:t>
      </w:r>
      <w:r w:rsidR="006A24EC" w:rsidRPr="00C4345A">
        <w:t>78-81 GHz</w:t>
      </w:r>
      <w:r w:rsidR="006A24EC">
        <w:t xml:space="preserve"> bands and the 77.5-78 GHz band that does not exist.  Given the introduction of a primary </w:t>
      </w:r>
      <w:r w:rsidR="00897CB6">
        <w:t>RLS allocation</w:t>
      </w:r>
      <w:r w:rsidR="006A24EC">
        <w:t xml:space="preserve"> in the band, the inconsistent status afforded to the RAS – and any potential confusion it may cause – </w:t>
      </w:r>
      <w:r w:rsidR="00897CB6">
        <w:t>is particularly</w:t>
      </w:r>
      <w:r w:rsidR="006A24EC">
        <w:t xml:space="preserve"> relevant.  Furthermore, in the unlikely event that there were to be </w:t>
      </w:r>
      <w:r w:rsidR="00955148">
        <w:t>harmful</w:t>
      </w:r>
      <w:r w:rsidR="006A24EC">
        <w:t xml:space="preserve"> interference between vehicular radars and RAS, it would be difficult to determine whether the radars were operating in the portion of the band where RAS had primary or secondary rights.  By making both services co-primary throughout the band, we </w:t>
      </w:r>
      <w:r w:rsidR="00955148">
        <w:t>provide regulatory consistency between the two services and eliminate the potential problem, in the event of harmful interference, of determining protection rights in favor of</w:t>
      </w:r>
      <w:r w:rsidR="006A24EC">
        <w:t xml:space="preserve"> addressing and mitigating the interference concern.</w:t>
      </w:r>
    </w:p>
    <w:p w:rsidR="00F442CA" w:rsidRDefault="006A24EC" w:rsidP="006F3BD7">
      <w:pPr>
        <w:pStyle w:val="ParaNum"/>
      </w:pPr>
      <w:r>
        <w:t xml:space="preserve"> CORF also </w:t>
      </w:r>
      <w:r w:rsidRPr="00A46336">
        <w:t>suppor</w:t>
      </w:r>
      <w:r>
        <w:t>ts</w:t>
      </w:r>
      <w:r w:rsidRPr="00A46336">
        <w:t xml:space="preserve"> </w:t>
      </w:r>
      <w:r>
        <w:t>upgrading</w:t>
      </w:r>
      <w:r w:rsidRPr="00A46336">
        <w:t xml:space="preserve"> the </w:t>
      </w:r>
      <w:r>
        <w:t>secondary SRS (space-to-Earth) allocation in the 77.5-78 GHz band to primary status.</w:t>
      </w:r>
      <w:r>
        <w:rPr>
          <w:rStyle w:val="FootnoteReference"/>
        </w:rPr>
        <w:footnoteReference w:id="84"/>
      </w:r>
      <w:r>
        <w:t xml:space="preserve">  We find that the addition of a primary RLS allocation in 77.5-78 GHz band does not introduce any new interference considerations that would justify upgrading the secondary SRS (space-to-Earth) allocation in this band to primary status, and we therefore maintain its current secondary </w:t>
      </w:r>
      <w:r w:rsidR="00B171EE">
        <w:t>status</w:t>
      </w:r>
      <w:r>
        <w:t>.</w:t>
      </w:r>
      <w:r w:rsidRPr="00157E93">
        <w:t xml:space="preserve"> </w:t>
      </w:r>
      <w:r>
        <w:t xml:space="preserve"> As noted above, with the significant angular attenuation of vehicular radars’ transmissions towards an observatory’s antenna, coupled with the high free space path loss associated with transmissions in this frequency band</w:t>
      </w:r>
      <w:r w:rsidR="00BF74F0">
        <w:t>,</w:t>
      </w:r>
      <w:r>
        <w:t xml:space="preserve"> and widespread shielding typically provided by the terrain in the remote locations of observatories,</w:t>
      </w:r>
      <w:r w:rsidR="00812364">
        <w:rPr>
          <w:rStyle w:val="FootnoteReference"/>
        </w:rPr>
        <w:footnoteReference w:id="85"/>
      </w:r>
      <w:r w:rsidR="00812364">
        <w:t xml:space="preserve"> </w:t>
      </w:r>
      <w:r>
        <w:t>vehicular radar operations in the 77.5-78 GHz band will not have any more potential to cause harmful interference to SRS (space-to-Earth) operations in the 76-81 GHz band than vehicular radars that now operate</w:t>
      </w:r>
      <w:r w:rsidR="00E634B1">
        <w:t xml:space="preserve"> in the 76-77 GHz band</w:t>
      </w:r>
      <w:r w:rsidR="00BF74F0">
        <w:t>,</w:t>
      </w:r>
      <w:r>
        <w:t xml:space="preserve"> and have not caused harmful interference to SRS (space-</w:t>
      </w:r>
      <w:r w:rsidR="00996B46">
        <w:t>to-Earth) operations in the 76-81</w:t>
      </w:r>
      <w:r>
        <w:t xml:space="preserve"> GHz band.  SRS </w:t>
      </w:r>
      <w:r w:rsidR="001A7B50">
        <w:t xml:space="preserve">(space-to-Earth) </w:t>
      </w:r>
      <w:r>
        <w:t>has a secondary allocation throughout the band, and so the mixed allocation status that served as the basis for our decision to make RAS primary is not relevant here.</w:t>
      </w:r>
      <w:r w:rsidR="00B35E5E" w:rsidRPr="00DA1420">
        <w:rPr>
          <w:vertAlign w:val="superscript"/>
        </w:rPr>
        <w:footnoteReference w:id="86"/>
      </w:r>
    </w:p>
    <w:p w:rsidR="00B86612" w:rsidRDefault="00B5235E" w:rsidP="006F3BD7">
      <w:pPr>
        <w:pStyle w:val="ParaNum"/>
      </w:pPr>
      <w:r>
        <w:t xml:space="preserve">CORF and NRAO </w:t>
      </w:r>
      <w:r w:rsidR="00B35E5E">
        <w:t>proffer the idea of an on/</w:t>
      </w:r>
      <w:r w:rsidR="004310D2">
        <w:t>off mechanism for vehicular radars</w:t>
      </w:r>
      <w:r w:rsidR="005A3EFC">
        <w:t xml:space="preserve"> </w:t>
      </w:r>
      <w:r w:rsidR="005A3EFC" w:rsidRPr="00A46336">
        <w:t>that</w:t>
      </w:r>
      <w:r w:rsidR="004310D2">
        <w:t xml:space="preserve"> would automatically turn off the radars</w:t>
      </w:r>
      <w:r w:rsidR="004310D2" w:rsidRPr="004310D2">
        <w:t xml:space="preserve"> </w:t>
      </w:r>
      <w:r w:rsidR="004310D2">
        <w:t>in the</w:t>
      </w:r>
      <w:r w:rsidR="00212462">
        <w:t xml:space="preserve"> pre-coordinated</w:t>
      </w:r>
      <w:r w:rsidR="004310D2">
        <w:t xml:space="preserve"> vicinity of RAS observatories </w:t>
      </w:r>
      <w:r w:rsidR="004310D2" w:rsidRPr="004310D2">
        <w:t>to prevent vehicular radars from interfering with RAS operations</w:t>
      </w:r>
      <w:r w:rsidR="004310D2">
        <w:t>.</w:t>
      </w:r>
      <w:r w:rsidR="004310D2">
        <w:rPr>
          <w:rStyle w:val="FootnoteReference"/>
        </w:rPr>
        <w:footnoteReference w:id="87"/>
      </w:r>
      <w:r w:rsidR="004310D2">
        <w:t xml:space="preserve">  </w:t>
      </w:r>
      <w:r w:rsidR="00215A39">
        <w:t>We</w:t>
      </w:r>
      <w:r w:rsidR="004310D2">
        <w:t xml:space="preserve"> agree with the </w:t>
      </w:r>
      <w:r w:rsidR="00B86612">
        <w:t xml:space="preserve">commenters </w:t>
      </w:r>
      <w:r w:rsidR="004310D2">
        <w:t xml:space="preserve">who </w:t>
      </w:r>
      <w:r w:rsidR="00B86612">
        <w:t xml:space="preserve">question the practicality of a manual or automatic on/off switch </w:t>
      </w:r>
      <w:r w:rsidR="00A619B9">
        <w:t xml:space="preserve">and coordination zones </w:t>
      </w:r>
      <w:r w:rsidR="00B86612">
        <w:t>for vehicular radars, especially given the size and scope of the automotive fleet in this country as compared to the two RAS facilities that operate in the 76</w:t>
      </w:r>
      <w:r w:rsidR="00215A39">
        <w:noBreakHyphen/>
      </w:r>
      <w:r w:rsidR="00B86612">
        <w:t>81 GHz band.</w:t>
      </w:r>
      <w:r w:rsidR="00B86612">
        <w:rPr>
          <w:rStyle w:val="FootnoteReference"/>
        </w:rPr>
        <w:footnoteReference w:id="88"/>
      </w:r>
      <w:r w:rsidR="00B86612">
        <w:t xml:space="preserve">  The potential f</w:t>
      </w:r>
      <w:r w:rsidR="00723D0F">
        <w:t>or</w:t>
      </w:r>
      <w:r w:rsidR="00B86612">
        <w:t xml:space="preserve"> interference to the two relevant RAS facilities requires that there is a confluence of factors, including </w:t>
      </w:r>
      <w:r w:rsidR="00F375C0">
        <w:t xml:space="preserve">the observatory antenna </w:t>
      </w:r>
      <w:r w:rsidR="008C2811">
        <w:t>point</w:t>
      </w:r>
      <w:r w:rsidR="00F375C0">
        <w:t xml:space="preserve">ing at </w:t>
      </w:r>
      <w:r w:rsidR="00200F91">
        <w:t xml:space="preserve">a low elevation angle in the direction of a road, </w:t>
      </w:r>
      <w:r w:rsidR="00B86612">
        <w:t>vehicular radars</w:t>
      </w:r>
      <w:r w:rsidR="00723D0F">
        <w:t>’ antennas</w:t>
      </w:r>
      <w:r w:rsidR="00B86612">
        <w:t xml:space="preserve"> pointing toward the </w:t>
      </w:r>
      <w:r w:rsidR="00F375C0">
        <w:t>bore sight</w:t>
      </w:r>
      <w:r w:rsidR="00B86612">
        <w:t xml:space="preserve"> of the observatory’s antenna, and being in close proximity </w:t>
      </w:r>
      <w:r w:rsidR="007B05E2">
        <w:t xml:space="preserve">with no intervening objects that would </w:t>
      </w:r>
      <w:r w:rsidR="00B86612">
        <w:t>attenuat</w:t>
      </w:r>
      <w:r w:rsidR="007C72ED">
        <w:t>e</w:t>
      </w:r>
      <w:r w:rsidR="00B86612">
        <w:t xml:space="preserve"> the signal</w:t>
      </w:r>
      <w:r w:rsidR="00D66161">
        <w:t xml:space="preserve">. </w:t>
      </w:r>
      <w:r w:rsidR="00215A39">
        <w:t xml:space="preserve"> </w:t>
      </w:r>
      <w:r w:rsidR="00215A39" w:rsidRPr="00215A39">
        <w:t xml:space="preserve">We also observe that the two RAS sites in question are located in controlled areas where they may have the ability to </w:t>
      </w:r>
      <w:r w:rsidR="00C16ADF">
        <w:t xml:space="preserve">restrict unauthorized vehicles or otherwise </w:t>
      </w:r>
      <w:r w:rsidR="00215A39" w:rsidRPr="00215A39">
        <w:t xml:space="preserve">take preventative measures that are far more economical and sensible than requiring shut-off features for every vehicle equipped with these radars.  </w:t>
      </w:r>
      <w:r w:rsidR="0024543E">
        <w:t>For example, t</w:t>
      </w:r>
      <w:r w:rsidR="00215A39" w:rsidRPr="00215A39">
        <w:t xml:space="preserve">o the extent that vehicles have the capability to turn off radar-enhanced features (e.g., parking assist), signage directing drivers to turn off such radar-enabled features </w:t>
      </w:r>
      <w:r w:rsidR="00C16ADF">
        <w:t>might</w:t>
      </w:r>
      <w:r w:rsidR="00215A39" w:rsidRPr="00215A39">
        <w:t xml:space="preserve"> be an effective preventative measure.  </w:t>
      </w:r>
      <w:r w:rsidR="00146CF1">
        <w:t>For these reasons</w:t>
      </w:r>
      <w:r w:rsidR="00B86612">
        <w:t xml:space="preserve">, we decline to adopt CORF’s </w:t>
      </w:r>
      <w:r w:rsidR="00A619B9">
        <w:t xml:space="preserve">and NRAO’s </w:t>
      </w:r>
      <w:r w:rsidR="00B86612">
        <w:t xml:space="preserve">proposals for an automatic or manual on/off switch </w:t>
      </w:r>
      <w:r w:rsidR="00A619B9">
        <w:t xml:space="preserve">and coordination zones </w:t>
      </w:r>
      <w:r w:rsidR="00B86612">
        <w:t>for vehicular radars.</w:t>
      </w:r>
    </w:p>
    <w:p w:rsidR="007B2131" w:rsidRDefault="00497DC1" w:rsidP="00184F1B">
      <w:pPr>
        <w:pStyle w:val="ParaNum"/>
      </w:pPr>
      <w:r>
        <w:t>This is</w:t>
      </w:r>
      <w:r w:rsidRPr="00BC0D9F">
        <w:t xml:space="preserve"> </w:t>
      </w:r>
      <w:r w:rsidR="00976DA2" w:rsidRPr="00BC0D9F">
        <w:t>a visual summary</w:t>
      </w:r>
      <w:r w:rsidR="00976DA2" w:rsidRPr="000D3BD1">
        <w:t xml:space="preserve"> of the U.S. allocations in the </w:t>
      </w:r>
      <w:r w:rsidR="00976DA2">
        <w:t>76-81</w:t>
      </w:r>
      <w:r w:rsidR="00976DA2" w:rsidRPr="000D3BD1">
        <w:t xml:space="preserve"> GHz band </w:t>
      </w:r>
      <w:r w:rsidR="00070329">
        <w:t>showing the</w:t>
      </w:r>
      <w:r w:rsidR="00D54EDB">
        <w:t xml:space="preserve"> </w:t>
      </w:r>
      <w:r w:rsidR="00070329">
        <w:t xml:space="preserve">changes we are adopting </w:t>
      </w:r>
      <w:r>
        <w:t xml:space="preserve">in this </w:t>
      </w:r>
      <w:r w:rsidR="007657C5" w:rsidRPr="00E60E1E">
        <w:rPr>
          <w:i/>
        </w:rPr>
        <w:t>Report and O</w:t>
      </w:r>
      <w:r w:rsidRPr="00E60E1E">
        <w:rPr>
          <w:i/>
        </w:rPr>
        <w:t>rder</w:t>
      </w:r>
      <w:r>
        <w:t xml:space="preserve"> </w:t>
      </w:r>
      <w:r w:rsidR="00070329">
        <w:t>for</w:t>
      </w:r>
      <w:r w:rsidR="00D130A5">
        <w:t xml:space="preserve"> the Radiolocation, </w:t>
      </w:r>
      <w:r w:rsidR="00327FD5">
        <w:t xml:space="preserve">Amateur </w:t>
      </w:r>
      <w:r w:rsidR="00D130A5">
        <w:t xml:space="preserve">and Amateur-Satellite </w:t>
      </w:r>
      <w:r w:rsidR="00327FD5">
        <w:t>S</w:t>
      </w:r>
      <w:r w:rsidR="00070329">
        <w:t>ervices</w:t>
      </w:r>
      <w:r w:rsidR="00D54EDB">
        <w:t>, and Radio Astronomy allocations</w:t>
      </w:r>
      <w:r w:rsidR="00070329">
        <w:t xml:space="preserve">; there </w:t>
      </w:r>
      <w:r w:rsidR="00723D0F">
        <w:t xml:space="preserve">are </w:t>
      </w:r>
      <w:r w:rsidR="00070329">
        <w:t>no change</w:t>
      </w:r>
      <w:r w:rsidR="00723D0F">
        <w:t>s</w:t>
      </w:r>
      <w:r w:rsidR="00070329">
        <w:t xml:space="preserve"> to the </w:t>
      </w:r>
      <w:r w:rsidR="00327FD5">
        <w:t>Space Research S</w:t>
      </w:r>
      <w:r w:rsidR="00070329">
        <w:t>ervice</w:t>
      </w:r>
      <w:r w:rsidR="00ED6C0C">
        <w:t xml:space="preserve"> allocation:</w:t>
      </w:r>
      <w:r w:rsidR="00AD3008">
        <w:rPr>
          <w:rStyle w:val="FootnoteReference"/>
        </w:rPr>
        <w:footnoteReference w:id="89"/>
      </w:r>
    </w:p>
    <w:p w:rsidR="00976DA2" w:rsidRDefault="00AA5782" w:rsidP="00C23659">
      <w:pPr>
        <w:spacing w:after="120"/>
      </w:pPr>
      <w:r>
        <w:rPr>
          <w:noProof/>
          <w:snapToGrid/>
        </w:rPr>
        <w:drawing>
          <wp:inline distT="0" distB="0" distL="0" distR="0">
            <wp:extent cx="5943600" cy="24574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rsidR="003C0537" w:rsidRDefault="003C0537" w:rsidP="00C06785">
      <w:pPr>
        <w:pStyle w:val="Heading2"/>
      </w:pPr>
      <w:bookmarkStart w:id="467" w:name="_Toc451973337"/>
      <w:bookmarkStart w:id="468" w:name="_Toc452449711"/>
      <w:bookmarkStart w:id="469" w:name="_Toc452449864"/>
      <w:bookmarkStart w:id="470" w:name="_Toc451973338"/>
      <w:bookmarkStart w:id="471" w:name="_Toc452449712"/>
      <w:bookmarkStart w:id="472" w:name="_Toc452449865"/>
      <w:bookmarkStart w:id="473" w:name="_Toc448503958"/>
      <w:bookmarkStart w:id="474" w:name="_Toc459723394"/>
      <w:bookmarkStart w:id="475" w:name="_Toc459829047"/>
      <w:bookmarkStart w:id="476" w:name="_Toc459829752"/>
      <w:bookmarkStart w:id="477" w:name="_Toc459911847"/>
      <w:bookmarkStart w:id="478" w:name="_Toc460402629"/>
      <w:bookmarkStart w:id="479" w:name="_Toc460435322"/>
      <w:bookmarkStart w:id="480" w:name="_Toc460523698"/>
      <w:bookmarkStart w:id="481" w:name="_Toc460607609"/>
      <w:bookmarkStart w:id="482" w:name="_Toc460873681"/>
      <w:bookmarkStart w:id="483" w:name="_Toc460881062"/>
      <w:bookmarkStart w:id="484" w:name="_Toc461004626"/>
      <w:bookmarkStart w:id="485" w:name="_Toc461030291"/>
      <w:bookmarkStart w:id="486" w:name="_Toc461091233"/>
      <w:bookmarkStart w:id="487" w:name="_Toc461435076"/>
      <w:bookmarkStart w:id="488" w:name="_Toc461526553"/>
      <w:bookmarkStart w:id="489" w:name="_Toc461576080"/>
      <w:bookmarkStart w:id="490" w:name="_Toc461611725"/>
      <w:bookmarkStart w:id="491" w:name="_Toc461621979"/>
      <w:bookmarkStart w:id="492" w:name="_Toc461728154"/>
      <w:bookmarkStart w:id="493" w:name="_Toc461804889"/>
      <w:bookmarkStart w:id="494" w:name="_Toc462125333"/>
      <w:bookmarkStart w:id="495" w:name="_Toc462237436"/>
      <w:bookmarkStart w:id="496" w:name="_Toc462656107"/>
      <w:bookmarkStart w:id="497" w:name="_Toc462675869"/>
      <w:bookmarkStart w:id="498" w:name="_Toc462786116"/>
      <w:bookmarkStart w:id="499" w:name="_Toc462808454"/>
      <w:bookmarkStart w:id="500" w:name="_Toc462911158"/>
      <w:bookmarkStart w:id="501" w:name="_Toc463267935"/>
      <w:bookmarkStart w:id="502" w:name="_Toc463946943"/>
      <w:bookmarkStart w:id="503" w:name="_Toc464208122"/>
      <w:bookmarkStart w:id="504" w:name="_Toc464210003"/>
      <w:bookmarkStart w:id="505" w:name="_Toc464210467"/>
      <w:bookmarkStart w:id="506" w:name="_Toc464649171"/>
      <w:bookmarkStart w:id="507" w:name="_Toc464649443"/>
      <w:bookmarkStart w:id="508" w:name="_Toc464660045"/>
      <w:bookmarkStart w:id="509" w:name="_Toc465939712"/>
      <w:bookmarkStart w:id="510" w:name="_Toc468184072"/>
      <w:bookmarkStart w:id="511" w:name="_Toc471485250"/>
      <w:bookmarkStart w:id="512" w:name="_Toc473911545"/>
      <w:bookmarkStart w:id="513" w:name="_Toc473911764"/>
      <w:bookmarkStart w:id="514" w:name="_Toc475023434"/>
      <w:bookmarkStart w:id="515" w:name="_Toc475564843"/>
      <w:bookmarkStart w:id="516" w:name="_Toc475995722"/>
      <w:bookmarkStart w:id="517" w:name="_Toc476168263"/>
      <w:bookmarkStart w:id="518" w:name="_Toc476230600"/>
      <w:bookmarkStart w:id="519" w:name="_Toc476319091"/>
      <w:bookmarkStart w:id="520" w:name="_Toc477171258"/>
      <w:bookmarkStart w:id="521" w:name="_Toc477176707"/>
      <w:bookmarkStart w:id="522" w:name="_Toc480544480"/>
      <w:bookmarkStart w:id="523" w:name="_Toc483252354"/>
      <w:bookmarkStart w:id="524" w:name="_Toc485387934"/>
      <w:bookmarkStart w:id="525" w:name="_Toc485640839"/>
      <w:bookmarkStart w:id="526" w:name="_Toc487543591"/>
      <w:bookmarkStart w:id="527" w:name="_Toc452449890"/>
      <w:bookmarkStart w:id="528" w:name="_Toc454322898"/>
      <w:bookmarkStart w:id="529" w:name="_Toc454323399"/>
      <w:bookmarkStart w:id="530" w:name="_Toc454323575"/>
      <w:bookmarkStart w:id="531" w:name="_Toc454365506"/>
      <w:bookmarkStart w:id="532" w:name="_Toc454456250"/>
      <w:bookmarkStart w:id="533" w:name="_Toc454456275"/>
      <w:bookmarkStart w:id="534" w:name="_Toc454456366"/>
      <w:bookmarkStart w:id="535" w:name="_Toc454457173"/>
      <w:bookmarkStart w:id="536" w:name="_Toc454457516"/>
      <w:bookmarkStart w:id="537" w:name="_Toc454460100"/>
      <w:bookmarkStart w:id="538" w:name="_Toc454460305"/>
      <w:bookmarkStart w:id="539" w:name="_Toc454461256"/>
      <w:bookmarkStart w:id="540" w:name="_Toc448393058"/>
      <w:bookmarkStart w:id="541" w:name="_Toc448394084"/>
      <w:bookmarkStart w:id="542" w:name="_Toc448394884"/>
      <w:bookmarkStart w:id="543" w:name="_Toc448395809"/>
      <w:bookmarkStart w:id="544" w:name="_Toc448410507"/>
      <w:bookmarkStart w:id="545" w:name="_Toc448503959"/>
      <w:bookmarkStart w:id="546" w:name="_Toc448736129"/>
      <w:bookmarkStart w:id="547" w:name="_Toc448736341"/>
      <w:bookmarkStart w:id="548" w:name="_Toc451907093"/>
      <w:bookmarkStart w:id="549" w:name="_Toc451973339"/>
      <w:bookmarkStart w:id="550" w:name="_Toc452449713"/>
      <w:bookmarkStart w:id="551" w:name="_Toc452449866"/>
      <w:bookmarkStart w:id="552" w:name="_Toc454322894"/>
      <w:bookmarkStart w:id="553" w:name="_Toc454323393"/>
      <w:bookmarkStart w:id="554" w:name="_Toc454323569"/>
      <w:bookmarkStart w:id="555" w:name="_Toc454365500"/>
      <w:bookmarkStart w:id="556" w:name="_Toc454456244"/>
      <w:bookmarkStart w:id="557" w:name="_Toc454456269"/>
      <w:bookmarkStart w:id="558" w:name="_Toc454456360"/>
      <w:bookmarkStart w:id="559" w:name="_Toc454457167"/>
      <w:bookmarkStart w:id="560" w:name="_Toc454457510"/>
      <w:bookmarkStart w:id="561" w:name="_Toc454460094"/>
      <w:bookmarkStart w:id="562" w:name="_Toc454460299"/>
      <w:bookmarkStart w:id="563" w:name="_Toc454461250"/>
      <w:bookmarkEnd w:id="467"/>
      <w:bookmarkEnd w:id="468"/>
      <w:bookmarkEnd w:id="469"/>
      <w:bookmarkEnd w:id="470"/>
      <w:bookmarkEnd w:id="471"/>
      <w:bookmarkEnd w:id="472"/>
      <w:bookmarkEnd w:id="473"/>
      <w:r>
        <w:t>Consolidat</w:t>
      </w:r>
      <w:r w:rsidR="00910B8E">
        <w:t>ing</w:t>
      </w:r>
      <w:r>
        <w:t xml:space="preserve"> Vehicular Radar Operations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00910B8E">
        <w:t xml:space="preserve"> into the 76-81 GHz Band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D1584B" w:rsidRDefault="00E01D37" w:rsidP="006F3BD7">
      <w:pPr>
        <w:pStyle w:val="ParaNum"/>
      </w:pPr>
      <w:bookmarkStart w:id="564" w:name="_Toc461728155"/>
      <w:bookmarkStart w:id="565" w:name="_Toc461804890"/>
      <w:bookmarkStart w:id="566" w:name="_Toc462125334"/>
      <w:bookmarkStart w:id="567" w:name="_Toc462237437"/>
      <w:bookmarkStart w:id="568" w:name="_Toc462656108"/>
      <w:bookmarkStart w:id="569" w:name="_Toc462675870"/>
      <w:bookmarkStart w:id="570" w:name="_Toc462786117"/>
      <w:bookmarkStart w:id="571" w:name="_Toc462808455"/>
      <w:bookmarkStart w:id="572" w:name="_Toc462911159"/>
      <w:r>
        <w:t>As discussed above, with the allocation of th</w:t>
      </w:r>
      <w:r w:rsidR="00405258">
        <w:t>e entire 76-81 GHz band to the R</w:t>
      </w:r>
      <w:r>
        <w:t xml:space="preserve">adiolocation </w:t>
      </w:r>
      <w:r w:rsidR="00405258">
        <w:t>S</w:t>
      </w:r>
      <w:r>
        <w:t xml:space="preserve">ervice, we will allow vehicular radars </w:t>
      </w:r>
      <w:r w:rsidR="006225FA">
        <w:t xml:space="preserve">to operate </w:t>
      </w:r>
      <w:r>
        <w:t xml:space="preserve">in the entire band.  By doing so, we </w:t>
      </w:r>
      <w:bookmarkStart w:id="573" w:name="_Toc459723395"/>
      <w:bookmarkStart w:id="574" w:name="_Toc459829048"/>
      <w:bookmarkStart w:id="575" w:name="_Toc459829753"/>
      <w:bookmarkStart w:id="576" w:name="_Toc459911848"/>
      <w:bookmarkStart w:id="577" w:name="_Toc460402630"/>
      <w:bookmarkStart w:id="578" w:name="_Toc460435323"/>
      <w:bookmarkStart w:id="579" w:name="_Toc460523699"/>
      <w:bookmarkStart w:id="580" w:name="_Toc460607610"/>
      <w:bookmarkStart w:id="581" w:name="_Toc460873682"/>
      <w:bookmarkStart w:id="582" w:name="_Toc460881063"/>
      <w:bookmarkStart w:id="583" w:name="_Toc461004627"/>
      <w:bookmarkStart w:id="584" w:name="_Toc461030292"/>
      <w:bookmarkStart w:id="585" w:name="_Toc461091235"/>
      <w:bookmarkStart w:id="586" w:name="_Toc461435077"/>
      <w:bookmarkStart w:id="587" w:name="_Toc461526554"/>
      <w:bookmarkEnd w:id="564"/>
      <w:bookmarkEnd w:id="565"/>
      <w:bookmarkEnd w:id="566"/>
      <w:bookmarkEnd w:id="567"/>
      <w:bookmarkEnd w:id="568"/>
      <w:bookmarkEnd w:id="569"/>
      <w:bookmarkEnd w:id="570"/>
      <w:bookmarkEnd w:id="571"/>
      <w:bookmarkEnd w:id="572"/>
      <w:r w:rsidR="00D1584B">
        <w:t xml:space="preserve">support the </w:t>
      </w:r>
      <w:r w:rsidR="009E74FF">
        <w:t xml:space="preserve">continued </w:t>
      </w:r>
      <w:r w:rsidR="00D1584B">
        <w:t>growth and evolution of vehicular radar applications</w:t>
      </w:r>
      <w:r>
        <w:t xml:space="preserve"> by </w:t>
      </w:r>
      <w:r w:rsidR="00D1584B">
        <w:t>ensur</w:t>
      </w:r>
      <w:r>
        <w:t xml:space="preserve">ing </w:t>
      </w:r>
      <w:r w:rsidR="00D1584B">
        <w:t xml:space="preserve">that vehicle radar </w:t>
      </w:r>
      <w:r>
        <w:t xml:space="preserve">developers and </w:t>
      </w:r>
      <w:r w:rsidR="00D1584B">
        <w:t xml:space="preserve">manufacturers have sufficient spectrum </w:t>
      </w:r>
      <w:r>
        <w:t xml:space="preserve">to allow for </w:t>
      </w:r>
      <w:r w:rsidR="00D1584B">
        <w:t xml:space="preserve">design flexibility </w:t>
      </w:r>
      <w:r>
        <w:t xml:space="preserve">for these </w:t>
      </w:r>
      <w:r w:rsidR="00D1584B">
        <w:t xml:space="preserve">systems.  </w:t>
      </w:r>
      <w:r w:rsidR="008A689B">
        <w:t>Providing the additional four gigahertz of spectrum will allow for integration of all types of vehicular radar applications</w:t>
      </w:r>
      <w:r w:rsidR="009E74FF">
        <w:t xml:space="preserve">, including the numerous safety-related offerings that have been developed and deployed under our existing rules, and that benefit the traveling public on a daily basis.  </w:t>
      </w:r>
      <w:r w:rsidR="00D1584B">
        <w:t xml:space="preserve">The record shows broad support for </w:t>
      </w:r>
      <w:r w:rsidR="007723DB">
        <w:t>this decision</w:t>
      </w:r>
      <w:r w:rsidR="00D1584B">
        <w:t>, with commenters describing how access to this spectrum is necessary to support the deployment of important vehicular radar applications and provide associated public benefits</w:t>
      </w:r>
      <w:r w:rsidR="00D1584B" w:rsidRPr="00957181">
        <w:t>.</w:t>
      </w:r>
      <w:r w:rsidR="00D1584B" w:rsidRPr="008E4AAC">
        <w:rPr>
          <w:rStyle w:val="FootnoteReference"/>
        </w:rPr>
        <w:footnoteReference w:id="90"/>
      </w:r>
      <w:r w:rsidR="0056345E">
        <w:t xml:space="preserve">  </w:t>
      </w:r>
      <w:r w:rsidR="007723DB">
        <w:t>Therefore, we</w:t>
      </w:r>
      <w:r w:rsidR="00D1584B" w:rsidRPr="005A054E">
        <w:t xml:space="preserve"> </w:t>
      </w:r>
      <w:r w:rsidR="00D1584B">
        <w:t xml:space="preserve">adopt </w:t>
      </w:r>
      <w:r w:rsidR="008A689B">
        <w:t xml:space="preserve">rules </w:t>
      </w:r>
      <w:r w:rsidR="00D1584B">
        <w:t xml:space="preserve">to make the entire 76-81 GHz band available for </w:t>
      </w:r>
      <w:r w:rsidR="00D1584B" w:rsidRPr="005A054E">
        <w:t>vehicular</w:t>
      </w:r>
      <w:r w:rsidR="00D1584B">
        <w:t xml:space="preserve"> radar</w:t>
      </w:r>
      <w:r w:rsidR="00AB0B8E">
        <w:t xml:space="preserve"> operation</w:t>
      </w:r>
      <w:r w:rsidR="00D1584B">
        <w:t>s</w:t>
      </w:r>
      <w:r w:rsidR="007723DB">
        <w:t>,</w:t>
      </w:r>
      <w:r w:rsidR="008A689B">
        <w:rPr>
          <w:rStyle w:val="FootnoteReference"/>
        </w:rPr>
        <w:footnoteReference w:id="91"/>
      </w:r>
      <w:r w:rsidR="007723DB">
        <w:t xml:space="preserve"> as well as</w:t>
      </w:r>
      <w:r w:rsidR="009F3690">
        <w:t xml:space="preserve"> the </w:t>
      </w:r>
      <w:r w:rsidR="006828A0">
        <w:t xml:space="preserve">Commission’s </w:t>
      </w:r>
      <w:r w:rsidR="009F3690">
        <w:t xml:space="preserve">proposal to </w:t>
      </w:r>
      <w:r w:rsidR="003541FB">
        <w:t xml:space="preserve">consolidate future vehicular radar use into the 76-81 GHz band, thus ensuring </w:t>
      </w:r>
      <w:r w:rsidR="00671B55">
        <w:t>efficient use of spectrum resources</w:t>
      </w:r>
      <w:r w:rsidR="006828A0">
        <w:t>.</w:t>
      </w:r>
      <w:r w:rsidR="006828A0">
        <w:rPr>
          <w:rStyle w:val="FootnoteReference"/>
        </w:rPr>
        <w:footnoteReference w:id="92"/>
      </w:r>
    </w:p>
    <w:p w:rsidR="006C5955" w:rsidRDefault="006C5955" w:rsidP="00CF304E">
      <w:pPr>
        <w:pStyle w:val="Heading3"/>
      </w:pPr>
      <w:bookmarkStart w:id="588" w:name="_Toc461091234"/>
      <w:bookmarkStart w:id="589" w:name="_Toc461728156"/>
      <w:bookmarkStart w:id="590" w:name="_Toc461804891"/>
      <w:bookmarkStart w:id="591" w:name="_Toc462125335"/>
      <w:bookmarkStart w:id="592" w:name="_Toc462237438"/>
      <w:bookmarkStart w:id="593" w:name="_Toc462656109"/>
      <w:bookmarkStart w:id="594" w:name="_Toc462675871"/>
      <w:bookmarkStart w:id="595" w:name="_Toc462786118"/>
      <w:bookmarkStart w:id="596" w:name="_Toc462808456"/>
      <w:bookmarkStart w:id="597" w:name="_Toc462911160"/>
      <w:bookmarkStart w:id="598" w:name="_Toc463267936"/>
      <w:bookmarkStart w:id="599" w:name="_Toc463946944"/>
      <w:bookmarkStart w:id="600" w:name="_Toc464208123"/>
      <w:bookmarkStart w:id="601" w:name="_Toc464210004"/>
      <w:bookmarkStart w:id="602" w:name="_Toc464210468"/>
      <w:bookmarkStart w:id="603" w:name="_Toc464649172"/>
      <w:bookmarkStart w:id="604" w:name="_Toc464649444"/>
      <w:bookmarkStart w:id="605" w:name="_Toc464660046"/>
      <w:bookmarkStart w:id="606" w:name="_Toc465939713"/>
      <w:bookmarkStart w:id="607" w:name="_Toc468184073"/>
      <w:bookmarkStart w:id="608" w:name="_Toc471485251"/>
      <w:bookmarkStart w:id="609" w:name="_Toc473911546"/>
      <w:bookmarkStart w:id="610" w:name="_Toc473911765"/>
      <w:bookmarkStart w:id="611" w:name="_Toc475023435"/>
      <w:bookmarkStart w:id="612" w:name="_Toc475564844"/>
      <w:bookmarkStart w:id="613" w:name="_Toc475995723"/>
      <w:bookmarkStart w:id="614" w:name="_Toc476168264"/>
      <w:bookmarkStart w:id="615" w:name="_Toc476230601"/>
      <w:bookmarkStart w:id="616" w:name="_Toc476319092"/>
      <w:bookmarkStart w:id="617" w:name="_Toc477171259"/>
      <w:bookmarkStart w:id="618" w:name="_Toc477176708"/>
      <w:bookmarkStart w:id="619" w:name="_Toc480544481"/>
      <w:bookmarkStart w:id="620" w:name="_Toc483252355"/>
      <w:bookmarkStart w:id="621" w:name="_Toc485387935"/>
      <w:bookmarkStart w:id="622" w:name="_Toc485640840"/>
      <w:bookmarkStart w:id="623" w:name="_Toc487543592"/>
      <w:bookmarkEnd w:id="588"/>
      <w:r w:rsidRPr="000C511A">
        <w:t xml:space="preserve">Removing </w:t>
      </w:r>
      <w:r w:rsidR="00D1584B">
        <w:t xml:space="preserve">Unlicensed </w:t>
      </w:r>
      <w:r w:rsidRPr="000C511A">
        <w:t xml:space="preserve">Vehicular Radar Operations from </w:t>
      </w:r>
      <w:r w:rsidR="006E1277">
        <w:t xml:space="preserve">the </w:t>
      </w:r>
      <w:r w:rsidRPr="000C511A">
        <w:t>16.2-17.7 GHz and 46.7-46.9 GHz Bands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6C5955" w:rsidRPr="006C5955" w:rsidRDefault="006C5955" w:rsidP="006F3BD7">
      <w:pPr>
        <w:pStyle w:val="ParaNum"/>
      </w:pPr>
      <w:r w:rsidRPr="00CC7411">
        <w:t xml:space="preserve">As part of </w:t>
      </w:r>
      <w:r w:rsidR="000325C7">
        <w:t>the Commission’s</w:t>
      </w:r>
      <w:r w:rsidRPr="00CC7411">
        <w:t xml:space="preserve"> effort</w:t>
      </w:r>
      <w:r w:rsidR="000325C7">
        <w:t>s</w:t>
      </w:r>
      <w:r w:rsidRPr="00CC7411">
        <w:t xml:space="preserve"> to consolidate </w:t>
      </w:r>
      <w:r w:rsidR="00850F84">
        <w:t xml:space="preserve">future vehicular radar use into the </w:t>
      </w:r>
      <w:r w:rsidRPr="00CC7411">
        <w:t xml:space="preserve">76-81 GHz </w:t>
      </w:r>
      <w:r w:rsidRPr="00801F79">
        <w:t xml:space="preserve">band, </w:t>
      </w:r>
      <w:r w:rsidR="008E6E61">
        <w:t>the</w:t>
      </w:r>
      <w:r w:rsidRPr="00CC7411">
        <w:t xml:space="preserve"> </w:t>
      </w:r>
      <w:r w:rsidRPr="00CC7411">
        <w:rPr>
          <w:i/>
        </w:rPr>
        <w:t>NPRM</w:t>
      </w:r>
      <w:r w:rsidR="008E6E61">
        <w:t xml:space="preserve"> </w:t>
      </w:r>
      <w:r w:rsidR="00FA2E35">
        <w:t>noted</w:t>
      </w:r>
      <w:r w:rsidR="00B64608">
        <w:t xml:space="preserve"> that there is little or no use of vehicular radars in the </w:t>
      </w:r>
      <w:r w:rsidR="00B64608" w:rsidRPr="00CC7411">
        <w:t>16.2-17.7 GHz and 46.7-46.9 GHz bands</w:t>
      </w:r>
      <w:r w:rsidR="00B64608">
        <w:t>, and sought comment on</w:t>
      </w:r>
      <w:r w:rsidRPr="00CC7411">
        <w:t xml:space="preserve"> </w:t>
      </w:r>
      <w:r w:rsidR="00C32E05">
        <w:t>modify</w:t>
      </w:r>
      <w:r w:rsidR="00B64608">
        <w:t>ing</w:t>
      </w:r>
      <w:r w:rsidR="00C32E05">
        <w:t xml:space="preserve"> </w:t>
      </w:r>
      <w:r w:rsidR="000325C7">
        <w:t>the</w:t>
      </w:r>
      <w:r w:rsidR="00C32E05">
        <w:t xml:space="preserve"> Part 15 rules to no longer approve vehicular radar devices for operation in </w:t>
      </w:r>
      <w:r w:rsidRPr="00CC7411">
        <w:t>the</w:t>
      </w:r>
      <w:r w:rsidR="00B64608">
        <w:t>se bands</w:t>
      </w:r>
      <w:r w:rsidRPr="00CC7411">
        <w:t>.</w:t>
      </w:r>
      <w:r>
        <w:rPr>
          <w:rStyle w:val="FootnoteReference"/>
        </w:rPr>
        <w:footnoteReference w:id="93"/>
      </w:r>
      <w:r w:rsidRPr="00CC7411">
        <w:t xml:space="preserve">  No commenters opposed </w:t>
      </w:r>
      <w:r w:rsidR="000325C7">
        <w:t>this</w:t>
      </w:r>
      <w:r w:rsidRPr="00CC7411">
        <w:t xml:space="preserve"> </w:t>
      </w:r>
      <w:r w:rsidR="00B64608">
        <w:t>suggestion</w:t>
      </w:r>
      <w:r w:rsidR="00850F84">
        <w:t>.</w:t>
      </w:r>
      <w:r w:rsidR="0097355D">
        <w:t xml:space="preserve">  </w:t>
      </w:r>
      <w:r w:rsidR="00C32E05">
        <w:t xml:space="preserve">Rule section 15.252 provides technical rules for radar </w:t>
      </w:r>
      <w:r w:rsidR="00763094">
        <w:t xml:space="preserve">operations </w:t>
      </w:r>
      <w:r w:rsidR="00C32E05">
        <w:t xml:space="preserve">in the 16.2-17.7 GHz band for back-up assistance when a vehicle is in reverse, and rule section 15.253 provides technical rules for radar </w:t>
      </w:r>
      <w:r w:rsidR="00763094">
        <w:t xml:space="preserve">operations </w:t>
      </w:r>
      <w:r w:rsidR="00C32E05">
        <w:t xml:space="preserve">in the 46.7-46.9 GHz band for general vehicular </w:t>
      </w:r>
      <w:r w:rsidR="00A619B9">
        <w:t xml:space="preserve">radar </w:t>
      </w:r>
      <w:r w:rsidR="00C32E05">
        <w:t>systems.</w:t>
      </w:r>
      <w:r w:rsidR="00C32E05">
        <w:rPr>
          <w:rStyle w:val="FootnoteReference"/>
        </w:rPr>
        <w:footnoteReference w:id="94"/>
      </w:r>
      <w:r w:rsidR="00C32E05">
        <w:t xml:space="preserve">  </w:t>
      </w:r>
      <w:r w:rsidR="00A950A6">
        <w:t>A</w:t>
      </w:r>
      <w:r w:rsidR="00A950A6" w:rsidRPr="00CC7411">
        <w:t xml:space="preserve">n examination of </w:t>
      </w:r>
      <w:r w:rsidR="00A950A6">
        <w:t>the Commission’s</w:t>
      </w:r>
      <w:r w:rsidR="00A950A6" w:rsidRPr="00CC7411">
        <w:t xml:space="preserve"> equipme</w:t>
      </w:r>
      <w:r w:rsidR="00A950A6">
        <w:t>nt authorization database shows</w:t>
      </w:r>
      <w:r w:rsidR="00A950A6" w:rsidRPr="00CC7411">
        <w:t xml:space="preserve"> </w:t>
      </w:r>
      <w:r w:rsidR="00A950A6">
        <w:t xml:space="preserve">that only one device </w:t>
      </w:r>
      <w:r w:rsidR="00C950A9">
        <w:t>was</w:t>
      </w:r>
      <w:r w:rsidR="00A950A6">
        <w:t xml:space="preserve"> authorized </w:t>
      </w:r>
      <w:r w:rsidR="00A950A6" w:rsidRPr="00DF022C">
        <w:t xml:space="preserve">under Part 15 </w:t>
      </w:r>
      <w:r w:rsidR="00AA27E6">
        <w:t xml:space="preserve">sixteen years ago </w:t>
      </w:r>
      <w:r w:rsidR="00A950A6">
        <w:t>to operate in the 16.2-17.7 GHz band,</w:t>
      </w:r>
      <w:bookmarkStart w:id="624" w:name="_Ref462842460"/>
      <w:r w:rsidR="00A950A6">
        <w:rPr>
          <w:rStyle w:val="FootnoteReference"/>
        </w:rPr>
        <w:footnoteReference w:id="95"/>
      </w:r>
      <w:bookmarkEnd w:id="624"/>
      <w:r w:rsidR="00A950A6">
        <w:t xml:space="preserve"> and no equipment has been authorized to operate under Part 15 in </w:t>
      </w:r>
      <w:r w:rsidR="00A950A6" w:rsidRPr="00DF022C">
        <w:t>the 46.7-46.9 GHz band.</w:t>
      </w:r>
      <w:r w:rsidR="00A950A6">
        <w:t xml:space="preserve">  Given the</w:t>
      </w:r>
      <w:r w:rsidR="00A82BE0">
        <w:t xml:space="preserve"> </w:t>
      </w:r>
      <w:r w:rsidR="00B64608">
        <w:t>dearth of use of</w:t>
      </w:r>
      <w:r w:rsidR="00A950A6">
        <w:t xml:space="preserve"> these bands</w:t>
      </w:r>
      <w:r w:rsidR="00B64608">
        <w:t xml:space="preserve"> </w:t>
      </w:r>
      <w:r w:rsidR="00A950A6">
        <w:t xml:space="preserve">by vehicular radar </w:t>
      </w:r>
      <w:r w:rsidR="00B91B62">
        <w:t xml:space="preserve">systems and lack of opposition </w:t>
      </w:r>
      <w:r w:rsidR="00A82BE0">
        <w:t xml:space="preserve">from </w:t>
      </w:r>
      <w:r w:rsidR="00B91B62">
        <w:t xml:space="preserve">the </w:t>
      </w:r>
      <w:r w:rsidR="00A82BE0">
        <w:t xml:space="preserve">sole manufacturer of radar equipment in the </w:t>
      </w:r>
      <w:r w:rsidR="00A82BE0" w:rsidRPr="00CC7411">
        <w:t>16.2-17.7 GHz</w:t>
      </w:r>
      <w:r w:rsidR="00A82BE0">
        <w:t xml:space="preserve"> band,</w:t>
      </w:r>
      <w:r w:rsidR="00A82BE0" w:rsidRPr="00A82BE0">
        <w:rPr>
          <w:rStyle w:val="FootnoteReference"/>
        </w:rPr>
        <w:footnoteReference w:id="96"/>
      </w:r>
      <w:r w:rsidR="00A82BE0" w:rsidRPr="00A82BE0">
        <w:t xml:space="preserve"> </w:t>
      </w:r>
      <w:r w:rsidR="00A950A6" w:rsidRPr="00CC7411">
        <w:t xml:space="preserve">we delete the </w:t>
      </w:r>
      <w:r w:rsidR="00A950A6">
        <w:t xml:space="preserve">references to </w:t>
      </w:r>
      <w:r w:rsidR="00A950A6" w:rsidRPr="00CC7411">
        <w:t>vehicular radar operations in the 16.2-17.7 GHz and 46.7-46.9 GHz bands</w:t>
      </w:r>
      <w:r w:rsidR="00A950A6">
        <w:t xml:space="preserve"> from our Part 15 rules</w:t>
      </w:r>
      <w:r w:rsidR="0032333E">
        <w:t>,</w:t>
      </w:r>
      <w:r w:rsidR="0024543E">
        <w:rPr>
          <w:rStyle w:val="FootnoteReference"/>
        </w:rPr>
        <w:footnoteReference w:id="97"/>
      </w:r>
      <w:r w:rsidR="0032333E">
        <w:t xml:space="preserve"> and we will not accept applications for equipment certification under these rules</w:t>
      </w:r>
      <w:r w:rsidR="00365CA5">
        <w:t xml:space="preserve"> </w:t>
      </w:r>
      <w:r w:rsidR="0032333E">
        <w:t>effect</w:t>
      </w:r>
      <w:r w:rsidR="00365CA5">
        <w:t>ive</w:t>
      </w:r>
      <w:r w:rsidR="0032333E">
        <w:t xml:space="preserve"> upon the adoption of this </w:t>
      </w:r>
      <w:r w:rsidR="00673336" w:rsidRPr="007B0905">
        <w:rPr>
          <w:i/>
        </w:rPr>
        <w:t>Report and O</w:t>
      </w:r>
      <w:r w:rsidR="0032333E" w:rsidRPr="007B0905">
        <w:rPr>
          <w:i/>
        </w:rPr>
        <w:t>rder</w:t>
      </w:r>
      <w:r w:rsidR="00A950A6" w:rsidRPr="00CC7411">
        <w:t>.</w:t>
      </w:r>
      <w:r w:rsidR="00A950A6">
        <w:rPr>
          <w:rStyle w:val="FootnoteReference"/>
        </w:rPr>
        <w:footnoteReference w:id="98"/>
      </w:r>
      <w:r w:rsidR="00A950A6">
        <w:t xml:space="preserve">  </w:t>
      </w:r>
      <w:r w:rsidR="003C2E34">
        <w:t xml:space="preserve">In addition, we prohibit the continued </w:t>
      </w:r>
      <w:r w:rsidR="00FF7958" w:rsidRPr="00FF7958">
        <w:t xml:space="preserve">manufacture, </w:t>
      </w:r>
      <w:r w:rsidR="005846A4">
        <w:t xml:space="preserve">importation, </w:t>
      </w:r>
      <w:r w:rsidR="00FF7958" w:rsidRPr="00FF7958">
        <w:t xml:space="preserve">marketing, sale, </w:t>
      </w:r>
      <w:r w:rsidR="005846A4">
        <w:t xml:space="preserve">and </w:t>
      </w:r>
      <w:r w:rsidR="00FF7958" w:rsidRPr="00FF7958">
        <w:t>installation</w:t>
      </w:r>
      <w:r w:rsidR="005A3EFC">
        <w:t xml:space="preserve"> </w:t>
      </w:r>
      <w:r w:rsidR="005A3EFC" w:rsidRPr="00A46336">
        <w:t>for use in the United States</w:t>
      </w:r>
      <w:r w:rsidR="00FF7958" w:rsidRPr="00FF7958">
        <w:t xml:space="preserve"> </w:t>
      </w:r>
      <w:r w:rsidR="003C2E34">
        <w:t xml:space="preserve">of such equipment </w:t>
      </w:r>
      <w:r w:rsidR="00FF7958">
        <w:t xml:space="preserve">in the </w:t>
      </w:r>
      <w:r w:rsidR="00FF7958" w:rsidRPr="00CC7411">
        <w:t>16.2-17.7 GHz</w:t>
      </w:r>
      <w:r w:rsidR="00FF7958">
        <w:t xml:space="preserve"> band </w:t>
      </w:r>
      <w:r w:rsidR="003C2E34">
        <w:t xml:space="preserve">under </w:t>
      </w:r>
      <w:r w:rsidR="0023087E">
        <w:t xml:space="preserve">the sole </w:t>
      </w:r>
      <w:r w:rsidR="003C2E34">
        <w:t>existing equipment authorization</w:t>
      </w:r>
      <w:r w:rsidR="00FF7958">
        <w:t xml:space="preserve">, FCC ID No. </w:t>
      </w:r>
      <w:r w:rsidR="00FF7958" w:rsidRPr="0033278B">
        <w:t>L2C0004TR</w:t>
      </w:r>
      <w:r w:rsidR="00FF7958">
        <w:t xml:space="preserve">.  </w:t>
      </w:r>
      <w:r w:rsidR="00A950A6">
        <w:t>We</w:t>
      </w:r>
      <w:r w:rsidR="00A950A6" w:rsidRPr="00DF022C">
        <w:t xml:space="preserve"> grandfather</w:t>
      </w:r>
      <w:r w:rsidR="00A950A6">
        <w:t xml:space="preserve">, for </w:t>
      </w:r>
      <w:r w:rsidR="00F36E4E">
        <w:t>the life of the equipment</w:t>
      </w:r>
      <w:r w:rsidR="00A950A6">
        <w:t xml:space="preserve">, </w:t>
      </w:r>
      <w:r w:rsidR="00910B8E">
        <w:t xml:space="preserve">any </w:t>
      </w:r>
      <w:r w:rsidR="00A950A6">
        <w:t>vehicular radar</w:t>
      </w:r>
      <w:r w:rsidR="00365CA5">
        <w:t>s</w:t>
      </w:r>
      <w:r w:rsidR="00910B8E">
        <w:t xml:space="preserve"> </w:t>
      </w:r>
      <w:r w:rsidR="00A950A6">
        <w:t xml:space="preserve">that </w:t>
      </w:r>
      <w:r w:rsidR="00A619B9">
        <w:t xml:space="preserve">are </w:t>
      </w:r>
      <w:r w:rsidR="00A950A6">
        <w:t>already installed or in use</w:t>
      </w:r>
      <w:r w:rsidR="00497DC1">
        <w:t xml:space="preserve"> under </w:t>
      </w:r>
      <w:r w:rsidR="00FF7958">
        <w:t xml:space="preserve">this </w:t>
      </w:r>
      <w:r w:rsidR="00497DC1">
        <w:t>authorization</w:t>
      </w:r>
      <w:r w:rsidR="00A950A6">
        <w:t>,</w:t>
      </w:r>
      <w:r w:rsidR="00FF7958">
        <w:t xml:space="preserve"> </w:t>
      </w:r>
      <w:r w:rsidR="00352389" w:rsidRPr="00901DFD">
        <w:t>thus allowing such systems to continue operating for the life of the vehicle or until the supply of existing equipment necessary for maintenance is exhausted</w:t>
      </w:r>
      <w:r w:rsidR="00A950A6">
        <w:t>.</w:t>
      </w:r>
      <w:r w:rsidR="00BB5D6D">
        <w:rPr>
          <w:rStyle w:val="FootnoteReference"/>
        </w:rPr>
        <w:footnoteReference w:id="99"/>
      </w:r>
      <w:r w:rsidR="00A950A6">
        <w:t xml:space="preserve"> </w:t>
      </w:r>
      <w:r w:rsidR="001360BF">
        <w:t xml:space="preserve"> </w:t>
      </w:r>
      <w:r w:rsidR="003C2E34">
        <w:t>While o</w:t>
      </w:r>
      <w:r w:rsidR="0032333E">
        <w:t>ur prohibition of equipment certification applications in the time period between the adoption and effective date of the rules will ensure that no new equipment operates in these bands</w:t>
      </w:r>
      <w:r w:rsidR="005255AC">
        <w:t xml:space="preserve">, it does not detrimentally affect any radar manufacturers because of the scarce use of these bands, and the </w:t>
      </w:r>
      <w:r w:rsidR="00BE43D4">
        <w:t xml:space="preserve">newly created </w:t>
      </w:r>
      <w:r w:rsidR="005255AC">
        <w:t xml:space="preserve">opportunity to operate in a much larger swath of contiguous spectrum </w:t>
      </w:r>
      <w:r w:rsidR="007723DB">
        <w:t>with the adoption of this</w:t>
      </w:r>
      <w:r w:rsidR="005255AC">
        <w:t xml:space="preserve"> </w:t>
      </w:r>
      <w:r w:rsidR="00673336" w:rsidRPr="007B0905">
        <w:rPr>
          <w:i/>
        </w:rPr>
        <w:t>Report and O</w:t>
      </w:r>
      <w:r w:rsidR="005255AC" w:rsidRPr="007B0905">
        <w:rPr>
          <w:i/>
        </w:rPr>
        <w:t>rder</w:t>
      </w:r>
      <w:r w:rsidR="006F3BD7">
        <w:t>.</w:t>
      </w:r>
    </w:p>
    <w:p w:rsidR="006C5955" w:rsidRDefault="006C5955" w:rsidP="004F00E7">
      <w:pPr>
        <w:pStyle w:val="Heading3"/>
        <w:widowControl/>
      </w:pPr>
      <w:bookmarkStart w:id="625" w:name="_Toc459723396"/>
      <w:bookmarkStart w:id="626" w:name="_Toc459829049"/>
      <w:bookmarkStart w:id="627" w:name="_Toc459829754"/>
      <w:bookmarkStart w:id="628" w:name="_Toc459911849"/>
      <w:bookmarkStart w:id="629" w:name="_Toc460402631"/>
      <w:bookmarkStart w:id="630" w:name="_Toc460435324"/>
      <w:bookmarkStart w:id="631" w:name="_Toc460523700"/>
      <w:bookmarkStart w:id="632" w:name="_Toc460607611"/>
      <w:bookmarkStart w:id="633" w:name="_Toc460873683"/>
      <w:bookmarkStart w:id="634" w:name="_Toc460881064"/>
      <w:bookmarkStart w:id="635" w:name="_Toc461004628"/>
      <w:bookmarkStart w:id="636" w:name="_Toc461030293"/>
      <w:bookmarkStart w:id="637" w:name="_Toc461091236"/>
      <w:bookmarkStart w:id="638" w:name="_Toc461435078"/>
      <w:bookmarkStart w:id="639" w:name="_Toc461526555"/>
      <w:bookmarkStart w:id="640" w:name="_Toc461728157"/>
      <w:bookmarkStart w:id="641" w:name="_Toc461804892"/>
      <w:bookmarkStart w:id="642" w:name="_Toc462125336"/>
      <w:bookmarkStart w:id="643" w:name="_Toc462237439"/>
      <w:bookmarkStart w:id="644" w:name="_Toc462656110"/>
      <w:bookmarkStart w:id="645" w:name="_Toc462675872"/>
      <w:bookmarkStart w:id="646" w:name="_Toc462786119"/>
      <w:bookmarkStart w:id="647" w:name="_Toc462808457"/>
      <w:bookmarkStart w:id="648" w:name="_Toc462911161"/>
      <w:bookmarkStart w:id="649" w:name="_Toc463267937"/>
      <w:bookmarkStart w:id="650" w:name="_Toc463946945"/>
      <w:bookmarkStart w:id="651" w:name="_Toc464208124"/>
      <w:bookmarkStart w:id="652" w:name="_Toc464210005"/>
      <w:bookmarkStart w:id="653" w:name="_Toc464210469"/>
      <w:bookmarkStart w:id="654" w:name="_Toc464649173"/>
      <w:bookmarkStart w:id="655" w:name="_Toc464649445"/>
      <w:bookmarkStart w:id="656" w:name="_Toc464660047"/>
      <w:bookmarkStart w:id="657" w:name="_Toc465939714"/>
      <w:bookmarkStart w:id="658" w:name="_Toc468184074"/>
      <w:bookmarkStart w:id="659" w:name="_Toc471485252"/>
      <w:bookmarkStart w:id="660" w:name="_Toc473911547"/>
      <w:bookmarkStart w:id="661" w:name="_Toc473911766"/>
      <w:bookmarkStart w:id="662" w:name="_Toc475023436"/>
      <w:bookmarkStart w:id="663" w:name="_Toc475564845"/>
      <w:bookmarkStart w:id="664" w:name="_Toc475995724"/>
      <w:bookmarkStart w:id="665" w:name="_Toc476168265"/>
      <w:bookmarkStart w:id="666" w:name="_Toc476230602"/>
      <w:bookmarkStart w:id="667" w:name="_Toc476319093"/>
      <w:bookmarkStart w:id="668" w:name="_Toc477171260"/>
      <w:bookmarkStart w:id="669" w:name="_Toc477176709"/>
      <w:bookmarkStart w:id="670" w:name="_Toc480544482"/>
      <w:bookmarkStart w:id="671" w:name="_Toc483252356"/>
      <w:bookmarkStart w:id="672" w:name="_Toc485387936"/>
      <w:bookmarkStart w:id="673" w:name="_Toc485640841"/>
      <w:bookmarkStart w:id="674" w:name="_Toc487543593"/>
      <w:r w:rsidRPr="000C511A">
        <w:t xml:space="preserve">Phasing out </w:t>
      </w:r>
      <w:r w:rsidR="00D14A2B">
        <w:t xml:space="preserve">Unlicensed </w:t>
      </w:r>
      <w:r>
        <w:t xml:space="preserve">Wideband and Ultra-Wideband </w:t>
      </w:r>
      <w:r w:rsidRPr="000C511A">
        <w:t>Vehicular Radar Operations</w:t>
      </w:r>
      <w:bookmarkEnd w:id="527"/>
      <w:bookmarkEnd w:id="528"/>
      <w:bookmarkEnd w:id="529"/>
      <w:bookmarkEnd w:id="530"/>
      <w:bookmarkEnd w:id="531"/>
      <w:bookmarkEnd w:id="532"/>
      <w:bookmarkEnd w:id="533"/>
      <w:bookmarkEnd w:id="534"/>
      <w:bookmarkEnd w:id="535"/>
      <w:bookmarkEnd w:id="536"/>
      <w:bookmarkEnd w:id="537"/>
      <w:bookmarkEnd w:id="538"/>
      <w:bookmarkEnd w:id="539"/>
      <w:r>
        <w:t xml:space="preserve"> in the 23.12-29 GHz and 22-29 GHz Bands Respectively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t xml:space="preserve"> </w:t>
      </w:r>
    </w:p>
    <w:p w:rsidR="00474E3C" w:rsidRDefault="006828A0" w:rsidP="006F3BD7">
      <w:pPr>
        <w:pStyle w:val="ParaNum"/>
      </w:pPr>
      <w:r w:rsidRPr="00CC7411">
        <w:t xml:space="preserve">As part of </w:t>
      </w:r>
      <w:r>
        <w:t>the Commission’s</w:t>
      </w:r>
      <w:r w:rsidRPr="00CC7411">
        <w:t xml:space="preserve"> effort</w:t>
      </w:r>
      <w:r>
        <w:t>s</w:t>
      </w:r>
      <w:r w:rsidRPr="00CC7411">
        <w:t xml:space="preserve"> to consolidate </w:t>
      </w:r>
      <w:r>
        <w:t xml:space="preserve">future vehicular radar use into the </w:t>
      </w:r>
      <w:r w:rsidR="008559D7">
        <w:t>76</w:t>
      </w:r>
      <w:r w:rsidR="008559D7">
        <w:noBreakHyphen/>
      </w:r>
      <w:r w:rsidRPr="00CC7411">
        <w:t xml:space="preserve">81 GHz </w:t>
      </w:r>
      <w:r w:rsidRPr="00801F79">
        <w:t xml:space="preserve">band, </w:t>
      </w:r>
      <w:r>
        <w:t>the</w:t>
      </w:r>
      <w:r w:rsidRPr="00CC7411">
        <w:t xml:space="preserve"> </w:t>
      </w:r>
      <w:r w:rsidRPr="00CC7411">
        <w:rPr>
          <w:i/>
        </w:rPr>
        <w:t>NPRM</w:t>
      </w:r>
      <w:r>
        <w:t xml:space="preserve"> also proposed</w:t>
      </w:r>
      <w:r w:rsidR="009A5E34">
        <w:t xml:space="preserve"> to</w:t>
      </w:r>
      <w:r>
        <w:t xml:space="preserve"> </w:t>
      </w:r>
      <w:r w:rsidR="00474E3C">
        <w:t>phas</w:t>
      </w:r>
      <w:r w:rsidR="00D14A2B">
        <w:t>e</w:t>
      </w:r>
      <w:r w:rsidR="00474E3C">
        <w:t xml:space="preserve"> out </w:t>
      </w:r>
      <w:r w:rsidR="00CA7BFB">
        <w:t xml:space="preserve">unlicensed </w:t>
      </w:r>
      <w:r w:rsidR="00474E3C">
        <w:t xml:space="preserve">wideband vehicular radars authorized under </w:t>
      </w:r>
      <w:r w:rsidR="00D14A2B">
        <w:t xml:space="preserve">Section 15.252 </w:t>
      </w:r>
      <w:r w:rsidR="00474E3C">
        <w:t xml:space="preserve">to operate in the 23.12-29.0 GHz band, and </w:t>
      </w:r>
      <w:r w:rsidR="00CA7BFB">
        <w:t xml:space="preserve">unlicensed </w:t>
      </w:r>
      <w:r w:rsidR="00474E3C">
        <w:t>UWB vehicular radars authorized</w:t>
      </w:r>
      <w:r w:rsidR="001668DA">
        <w:t xml:space="preserve"> under </w:t>
      </w:r>
      <w:r w:rsidR="00D14A2B">
        <w:t xml:space="preserve">Section 15.515 </w:t>
      </w:r>
      <w:r w:rsidR="00474E3C">
        <w:t>to operate in the 22-29 GHz band</w:t>
      </w:r>
      <w:r w:rsidR="00CA24F3">
        <w:t xml:space="preserve"> (collectively, “</w:t>
      </w:r>
      <w:r w:rsidR="00CA7BFB">
        <w:t xml:space="preserve">unlicensed </w:t>
      </w:r>
      <w:r w:rsidR="00CA24F3">
        <w:t>24 GHz wideband and UWB vehicular radars”)</w:t>
      </w:r>
      <w:r w:rsidR="00474E3C">
        <w:t>.</w:t>
      </w:r>
      <w:r w:rsidR="00CB3C41">
        <w:t xml:space="preserve"> </w:t>
      </w:r>
      <w:r w:rsidR="00A619B9">
        <w:t xml:space="preserve"> </w:t>
      </w:r>
      <w:r w:rsidR="00474E3C">
        <w:t xml:space="preserve">Specifically, </w:t>
      </w:r>
      <w:r w:rsidR="000325C7">
        <w:t xml:space="preserve">the </w:t>
      </w:r>
      <w:r w:rsidR="000325C7" w:rsidRPr="000325C7">
        <w:rPr>
          <w:i/>
        </w:rPr>
        <w:t>NPRM</w:t>
      </w:r>
      <w:r w:rsidR="00474E3C">
        <w:t xml:space="preserve"> proposed to prohibit certification of new vehicular radars that do not operate in the 76-81 GHz range 30</w:t>
      </w:r>
      <w:r w:rsidR="00B86B55">
        <w:t xml:space="preserve"> </w:t>
      </w:r>
      <w:r w:rsidR="00474E3C">
        <w:t>days after publication of final rules in the Federal Register</w:t>
      </w:r>
      <w:r w:rsidR="009A5E34">
        <w:t xml:space="preserve"> (i.e., the effective date of the final rules in this proceeding)</w:t>
      </w:r>
      <w:r w:rsidR="00474E3C">
        <w:t xml:space="preserve">, but to grandfather, for the life of the equipment, </w:t>
      </w:r>
      <w:r w:rsidR="00CA7BFB" w:rsidRPr="00CA7BFB">
        <w:t xml:space="preserve">unlicensed 24 GHz wideband and UWB vehicular radars </w:t>
      </w:r>
      <w:r w:rsidR="00474E3C">
        <w:t>that are already installed or in</w:t>
      </w:r>
      <w:r w:rsidR="00CA24F3">
        <w:t xml:space="preserve"> use</w:t>
      </w:r>
      <w:r w:rsidR="00474E3C">
        <w:t>.</w:t>
      </w:r>
      <w:r w:rsidR="00474E3C">
        <w:rPr>
          <w:rStyle w:val="FootnoteReference"/>
        </w:rPr>
        <w:footnoteReference w:id="100"/>
      </w:r>
    </w:p>
    <w:p w:rsidR="00281075" w:rsidRDefault="00D80C8A" w:rsidP="005B6F86">
      <w:pPr>
        <w:pStyle w:val="ParaNum"/>
      </w:pPr>
      <w:r>
        <w:t>Several commenters associated with the automotive industry agree with the proposals to cease certification of new unlicensed 24 GHz wideband and UWB vehicular radars as of the effective date of the final rules in this proceeding, and to phase out future use of unlicensed 24 GHz wideband and UWB vehicular radars.</w:t>
      </w:r>
      <w:r>
        <w:rPr>
          <w:rStyle w:val="FootnoteReference"/>
        </w:rPr>
        <w:footnoteReference w:id="101"/>
      </w:r>
      <w:r>
        <w:t xml:space="preserve">  </w:t>
      </w:r>
      <w:r w:rsidRPr="00D80C8A">
        <w:t>Notably,</w:t>
      </w:r>
      <w:r>
        <w:t xml:space="preserve"> the Motor &amp; Equipment Manufacturers Association (MEMA) argues that “absent an early date for ending 24 GHz UWB radar equipment certifications and a firm sunset date for installation of new 24 GHz UWB vehicular radars in automobiles, there would be a disincentive to global harmonization of automobile radar technology at 76-81 GHz and an unnecessary delay in the redeployment of the 24 GHz band for other purposes.”</w:t>
      </w:r>
      <w:r>
        <w:rPr>
          <w:rStyle w:val="FootnoteReference"/>
        </w:rPr>
        <w:footnoteReference w:id="102"/>
      </w:r>
      <w:r>
        <w:t xml:space="preserve">  </w:t>
      </w:r>
      <w:r w:rsidR="00B4612F">
        <w:t>Other</w:t>
      </w:r>
      <w:r w:rsidR="006903D0">
        <w:t xml:space="preserve"> </w:t>
      </w:r>
      <w:r w:rsidR="00CF3FE1">
        <w:t xml:space="preserve">commenters associated with the automotive industry express concern with </w:t>
      </w:r>
      <w:r w:rsidR="000325C7">
        <w:t>the Commission’s</w:t>
      </w:r>
      <w:r w:rsidR="00CF3FE1">
        <w:t xml:space="preserve"> proposals</w:t>
      </w:r>
      <w:r w:rsidR="00CF3FE1" w:rsidRPr="00306D6A">
        <w:t xml:space="preserve"> </w:t>
      </w:r>
      <w:r w:rsidR="00CF3FE1">
        <w:t xml:space="preserve">to phase out future use of </w:t>
      </w:r>
      <w:r w:rsidR="00CA7BFB" w:rsidRPr="00CA7BFB">
        <w:t>unlicensed 24 GHz wideband and UWB vehicular radars</w:t>
      </w:r>
      <w:r w:rsidR="00CF3FE1">
        <w:t>.</w:t>
      </w:r>
      <w:r w:rsidR="00CF3FE1">
        <w:rPr>
          <w:rStyle w:val="FootnoteReference"/>
        </w:rPr>
        <w:footnoteReference w:id="103"/>
      </w:r>
      <w:r w:rsidR="00CF3FE1">
        <w:t xml:space="preserve">  </w:t>
      </w:r>
      <w:r w:rsidR="00C06785">
        <w:t>Parties were especially concerned that prohibit</w:t>
      </w:r>
      <w:r w:rsidR="00CF3FE1">
        <w:t>ing</w:t>
      </w:r>
      <w:r w:rsidR="00C06785">
        <w:t xml:space="preserve"> the </w:t>
      </w:r>
      <w:r w:rsidR="00C06785" w:rsidRPr="00CF3FE1">
        <w:t>certification</w:t>
      </w:r>
      <w:r w:rsidR="00C06785">
        <w:t xml:space="preserve"> of new vehicular radars that do not operate in the 76-81 GHz band beginning 30 days after the publication of final rules in the Federal Register would be insufficiently short.</w:t>
      </w:r>
      <w:r w:rsidR="00C06785">
        <w:rPr>
          <w:rStyle w:val="FootnoteReference"/>
        </w:rPr>
        <w:footnoteReference w:id="104"/>
      </w:r>
      <w:r w:rsidR="00C06785">
        <w:t xml:space="preserve">  </w:t>
      </w:r>
      <w:r w:rsidR="00242121">
        <w:t xml:space="preserve">Parties suggest we </w:t>
      </w:r>
      <w:r w:rsidR="00C06785">
        <w:t xml:space="preserve">continue accepting equipment certification applications for all </w:t>
      </w:r>
      <w:r w:rsidR="00CA7BFB" w:rsidRPr="00CA7BFB">
        <w:t xml:space="preserve">unlicensed 24 GHz wideband and UWB vehicular radars </w:t>
      </w:r>
      <w:r w:rsidR="00C06785">
        <w:t>and forgo a phase-out altogether</w:t>
      </w:r>
      <w:r w:rsidR="00242121">
        <w:t>,</w:t>
      </w:r>
      <w:r w:rsidR="00C06785">
        <w:rPr>
          <w:rStyle w:val="FootnoteReference"/>
        </w:rPr>
        <w:footnoteReference w:id="105"/>
      </w:r>
      <w:r w:rsidR="00242121">
        <w:t xml:space="preserve"> or a</w:t>
      </w:r>
      <w:r w:rsidR="00281075">
        <w:t xml:space="preserve">t a minimum, </w:t>
      </w:r>
      <w:r w:rsidR="00242121">
        <w:t>that we</w:t>
      </w:r>
      <w:r w:rsidR="00B4612F">
        <w:t xml:space="preserve"> </w:t>
      </w:r>
      <w:r w:rsidR="00281075">
        <w:t xml:space="preserve">harmonize the phase-out of </w:t>
      </w:r>
      <w:r w:rsidR="00281075" w:rsidRPr="00882123">
        <w:t>unlicensed 24 GHz wideband and UWB vehicular radars</w:t>
      </w:r>
      <w:r w:rsidR="00281075">
        <w:t xml:space="preserve"> with that adopted </w:t>
      </w:r>
      <w:r w:rsidR="00281075" w:rsidRPr="004D5586">
        <w:t xml:space="preserve">for </w:t>
      </w:r>
      <w:r w:rsidR="00281075">
        <w:t xml:space="preserve">24 GHz vehicular radars operating in the </w:t>
      </w:r>
      <w:r w:rsidR="00281075" w:rsidRPr="004D5586">
        <w:t xml:space="preserve">European Union </w:t>
      </w:r>
      <w:r w:rsidR="00281075">
        <w:t>(EU)</w:t>
      </w:r>
      <w:r w:rsidR="00B4612F">
        <w:t>,</w:t>
      </w:r>
      <w:r w:rsidR="006F304A">
        <w:t xml:space="preserve"> i.e., </w:t>
      </w:r>
      <w:r w:rsidR="00B14068">
        <w:t xml:space="preserve">a </w:t>
      </w:r>
      <w:r w:rsidR="00B14068" w:rsidRPr="004D5586">
        <w:t xml:space="preserve">January 1, 2022 phase-out </w:t>
      </w:r>
      <w:r w:rsidR="00F80027">
        <w:t>date</w:t>
      </w:r>
      <w:r w:rsidR="00B14068">
        <w:t>.</w:t>
      </w:r>
      <w:r w:rsidR="00281075">
        <w:rPr>
          <w:rStyle w:val="FootnoteReference"/>
        </w:rPr>
        <w:footnoteReference w:id="106"/>
      </w:r>
      <w:r w:rsidR="00B14068">
        <w:t xml:space="preserve">  A few commen</w:t>
      </w:r>
      <w:r w:rsidR="00281075">
        <w:t>ters submit that the Commission should continue to grant certifications for unlicensed 24 GHz wideband and UWB vehicular radars until at least January 1, 2022,</w:t>
      </w:r>
      <w:r w:rsidR="00281075">
        <w:rPr>
          <w:rStyle w:val="FootnoteReference"/>
        </w:rPr>
        <w:footnoteReference w:id="107"/>
      </w:r>
      <w:r w:rsidR="00281075">
        <w:t xml:space="preserve"> and allow in perpetuity the manufacture, marketing, sale, installation, and operation of such equipment</w:t>
      </w:r>
      <w:r w:rsidR="004D3F1B">
        <w:t>.</w:t>
      </w:r>
      <w:r w:rsidR="00281075">
        <w:rPr>
          <w:rStyle w:val="FootnoteReference"/>
        </w:rPr>
        <w:footnoteReference w:id="108"/>
      </w:r>
      <w:r w:rsidR="00042DE4">
        <w:t xml:space="preserve"> </w:t>
      </w:r>
      <w:r w:rsidR="004D3F1B">
        <w:t xml:space="preserve"> Some commenters point out that, </w:t>
      </w:r>
      <w:r w:rsidR="00042DE4">
        <w:t xml:space="preserve">at a minimum, </w:t>
      </w:r>
      <w:r w:rsidR="004D3F1B">
        <w:t>they be allowed to manufacture</w:t>
      </w:r>
      <w:r w:rsidR="005D5D4F">
        <w:t xml:space="preserve">, import, sell, </w:t>
      </w:r>
      <w:r w:rsidR="004D3F1B">
        <w:t>install</w:t>
      </w:r>
      <w:r w:rsidR="005D5D4F">
        <w:t>, and make permissive changes to</w:t>
      </w:r>
      <w:r w:rsidR="004D3F1B">
        <w:t xml:space="preserve"> </w:t>
      </w:r>
      <w:r w:rsidR="000E4CA2">
        <w:t xml:space="preserve">24 GHz </w:t>
      </w:r>
      <w:r w:rsidR="0046082B" w:rsidRPr="00882123">
        <w:t>w</w:t>
      </w:r>
      <w:r w:rsidR="0046082B">
        <w:t xml:space="preserve">ideband and UWB vehicular radar equipment </w:t>
      </w:r>
      <w:r w:rsidR="004D3F1B">
        <w:t>for the purposes of repairing or replacing defective</w:t>
      </w:r>
      <w:r w:rsidR="00C719CF">
        <w:t>, damaged,</w:t>
      </w:r>
      <w:r w:rsidR="004D3F1B">
        <w:t xml:space="preserve"> </w:t>
      </w:r>
      <w:r w:rsidR="004D3F1B" w:rsidRPr="004D3F1B">
        <w:t xml:space="preserve">or potentially malfunctioning </w:t>
      </w:r>
      <w:r w:rsidR="007A0A23">
        <w:t>devices</w:t>
      </w:r>
      <w:r w:rsidR="004D3F1B" w:rsidRPr="004D3F1B">
        <w:t xml:space="preserve"> </w:t>
      </w:r>
      <w:r w:rsidR="007A0A23">
        <w:t xml:space="preserve">that were </w:t>
      </w:r>
      <w:r w:rsidR="000E4CA2">
        <w:t xml:space="preserve">installed in vehicles sold before the sunset </w:t>
      </w:r>
      <w:r w:rsidR="0046082B">
        <w:t>date</w:t>
      </w:r>
      <w:r w:rsidR="007A0A23">
        <w:t>,</w:t>
      </w:r>
      <w:r w:rsidR="0046082B">
        <w:t xml:space="preserve"> </w:t>
      </w:r>
      <w:r w:rsidR="000E4CA2">
        <w:t>for the life of the vehicle.</w:t>
      </w:r>
      <w:r w:rsidR="000E4CA2">
        <w:rPr>
          <w:rStyle w:val="FootnoteReference"/>
        </w:rPr>
        <w:footnoteReference w:id="109"/>
      </w:r>
    </w:p>
    <w:p w:rsidR="001B4ADF" w:rsidRDefault="00242121" w:rsidP="006F3BD7">
      <w:pPr>
        <w:pStyle w:val="ParaNum"/>
      </w:pPr>
      <w:r>
        <w:t>It w</w:t>
      </w:r>
      <w:r w:rsidR="002640E1">
        <w:t>ill not</w:t>
      </w:r>
      <w:r w:rsidR="00C06785">
        <w:t xml:space="preserve"> serve the public interest to </w:t>
      </w:r>
      <w:r w:rsidR="00C06785" w:rsidRPr="00703C1A">
        <w:t>certify</w:t>
      </w:r>
      <w:r w:rsidR="00C06785">
        <w:t xml:space="preserve"> </w:t>
      </w:r>
      <w:r w:rsidR="001D6B10">
        <w:t xml:space="preserve">new </w:t>
      </w:r>
      <w:r w:rsidR="00CA7BFB" w:rsidRPr="00CA7BFB">
        <w:t xml:space="preserve">unlicensed 24 GHz wideband and UWB vehicular radars </w:t>
      </w:r>
      <w:r w:rsidR="00245DB4">
        <w:t>through</w:t>
      </w:r>
      <w:r w:rsidR="00047654">
        <w:t xml:space="preserve"> January 1, 2022, or allow such equipment to be manufactured, imported, marketed, sold, and installed in perpetuity</w:t>
      </w:r>
      <w:r w:rsidR="001621C7">
        <w:t xml:space="preserve"> for use in new vehicles in the United States</w:t>
      </w:r>
      <w:r w:rsidR="00C06785">
        <w:t>.</w:t>
      </w:r>
      <w:r>
        <w:t xml:space="preserve">  </w:t>
      </w:r>
      <w:r w:rsidR="00047654">
        <w:t xml:space="preserve">Doing so would impede </w:t>
      </w:r>
      <w:r w:rsidR="0027341A">
        <w:t>our</w:t>
      </w:r>
      <w:r w:rsidR="00047654">
        <w:t xml:space="preserve"> goal of consolidating </w:t>
      </w:r>
      <w:r w:rsidR="008B7393">
        <w:t xml:space="preserve">future </w:t>
      </w:r>
      <w:r w:rsidR="00047654">
        <w:t xml:space="preserve">vehicular radar operations in the 76-81 GHz band.  </w:t>
      </w:r>
      <w:r w:rsidR="001B4ADF">
        <w:t xml:space="preserve">As Bosch notes, “the point of the … proceeding was to further the worldwide plan to consolidate automotive radars in the 76-81 GHz band,” and </w:t>
      </w:r>
      <w:r w:rsidR="005A3EFC" w:rsidRPr="00A46336">
        <w:t>the</w:t>
      </w:r>
      <w:r w:rsidR="005A3EFC">
        <w:t xml:space="preserve"> </w:t>
      </w:r>
      <w:r w:rsidR="001B4ADF">
        <w:t>“</w:t>
      </w:r>
      <w:r w:rsidR="00A04B6D">
        <w:t>[</w:t>
      </w:r>
      <w:r w:rsidR="00A04B6D" w:rsidRPr="005A7E2E">
        <w:rPr>
          <w:szCs w:val="22"/>
        </w:rPr>
        <w:t>European Conference of Postal and Telecommunications Administration</w:t>
      </w:r>
      <w:r w:rsidR="00D151F4">
        <w:rPr>
          <w:szCs w:val="22"/>
        </w:rPr>
        <w:t>s</w:t>
      </w:r>
      <w:r w:rsidR="00A04B6D" w:rsidRPr="005A7E2E">
        <w:rPr>
          <w:szCs w:val="22"/>
        </w:rPr>
        <w:t xml:space="preserve"> (CEPT)</w:t>
      </w:r>
      <w:r w:rsidR="00A04B6D">
        <w:rPr>
          <w:szCs w:val="22"/>
        </w:rPr>
        <w:t xml:space="preserve">] </w:t>
      </w:r>
      <w:r w:rsidR="001B4ADF">
        <w:t>and the European Commission have concluded that [this] band should be the long-term, globally harmonized frequency band for all automotive radar applications in lieu of [22-29] GHz.”</w:t>
      </w:r>
      <w:r w:rsidR="001B4ADF">
        <w:rPr>
          <w:rStyle w:val="FootnoteReference"/>
        </w:rPr>
        <w:footnoteReference w:id="110"/>
      </w:r>
      <w:r w:rsidR="001B4ADF">
        <w:t xml:space="preserve">  Moreover, t</w:t>
      </w:r>
      <w:r w:rsidR="001B4ADF" w:rsidRPr="00703C1A">
        <w:rPr>
          <w:rFonts w:eastAsia="TimesNewRoman"/>
          <w:snapToGrid/>
          <w:kern w:val="0"/>
          <w:szCs w:val="22"/>
        </w:rPr>
        <w:t>he Part 95 service rules that we are adopting for vehicular radar operations in the 76-81 GHz band</w:t>
      </w:r>
      <w:r w:rsidR="001B4ADF">
        <w:rPr>
          <w:rStyle w:val="FootnoteReference"/>
        </w:rPr>
        <w:footnoteReference w:id="111"/>
      </w:r>
      <w:r w:rsidR="001B4ADF" w:rsidRPr="00703C1A">
        <w:rPr>
          <w:rFonts w:eastAsia="TimesNewRoman"/>
          <w:snapToGrid/>
          <w:kern w:val="0"/>
          <w:szCs w:val="22"/>
        </w:rPr>
        <w:t xml:space="preserve"> will provide those radar operations protection from harmful interference that is not currently available for </w:t>
      </w:r>
      <w:r w:rsidR="00CA7BFB" w:rsidRPr="00CA7BFB">
        <w:rPr>
          <w:rFonts w:eastAsia="TimesNewRoman"/>
          <w:snapToGrid/>
          <w:kern w:val="0"/>
          <w:szCs w:val="22"/>
        </w:rPr>
        <w:t>unlicensed 24 GHz wideband and UWB vehicular radars</w:t>
      </w:r>
      <w:r w:rsidR="00CA7BFB">
        <w:rPr>
          <w:rStyle w:val="FootnoteReference"/>
          <w:rFonts w:eastAsia="TimesNewRoman"/>
          <w:snapToGrid/>
          <w:kern w:val="0"/>
          <w:sz w:val="22"/>
          <w:szCs w:val="22"/>
          <w:vertAlign w:val="baseline"/>
        </w:rPr>
        <w:t>.</w:t>
      </w:r>
      <w:r w:rsidR="001B4ADF">
        <w:rPr>
          <w:rStyle w:val="FootnoteReference"/>
          <w:rFonts w:eastAsia="TimesNewRoman"/>
          <w:snapToGrid/>
          <w:kern w:val="0"/>
          <w:szCs w:val="22"/>
        </w:rPr>
        <w:footnoteReference w:id="112"/>
      </w:r>
      <w:r w:rsidR="001B4ADF" w:rsidRPr="00703C1A">
        <w:rPr>
          <w:rFonts w:eastAsia="TimesNewRoman"/>
          <w:snapToGrid/>
          <w:kern w:val="0"/>
          <w:szCs w:val="22"/>
        </w:rPr>
        <w:t xml:space="preserve">  Thus, we believe the best course of action is to require </w:t>
      </w:r>
      <w:r w:rsidR="00CA7BFB" w:rsidRPr="00CA7BFB">
        <w:t xml:space="preserve">unlicensed </w:t>
      </w:r>
      <w:r w:rsidR="00047654">
        <w:t xml:space="preserve">24 GHz </w:t>
      </w:r>
      <w:r w:rsidR="00CA7BFB" w:rsidRPr="00CA7BFB">
        <w:t>w</w:t>
      </w:r>
      <w:r w:rsidR="00CA7BFB">
        <w:t xml:space="preserve">ideband and UWB vehicular radar </w:t>
      </w:r>
      <w:r w:rsidR="001B4ADF" w:rsidRPr="001B4ADF">
        <w:t>equipment to phase out use</w:t>
      </w:r>
      <w:r w:rsidR="001B4ADF" w:rsidRPr="00703C1A">
        <w:rPr>
          <w:i/>
        </w:rPr>
        <w:t xml:space="preserve"> </w:t>
      </w:r>
      <w:r w:rsidR="001B4ADF" w:rsidRPr="001B4ADF">
        <w:t>of the</w:t>
      </w:r>
      <w:r w:rsidR="00703C1A">
        <w:t xml:space="preserve"> 22-29 GHz</w:t>
      </w:r>
      <w:r w:rsidR="001B4ADF" w:rsidRPr="001B4ADF">
        <w:t xml:space="preserve"> band.</w:t>
      </w:r>
    </w:p>
    <w:p w:rsidR="005B6F86" w:rsidRDefault="00242121" w:rsidP="00BD0A75">
      <w:pPr>
        <w:pStyle w:val="ParaNum"/>
        <w:widowControl/>
      </w:pPr>
      <w:r>
        <w:t xml:space="preserve">On the other hand, </w:t>
      </w:r>
      <w:r w:rsidR="006B29AD">
        <w:t xml:space="preserve">we agree that the </w:t>
      </w:r>
      <w:r w:rsidR="006B29AD" w:rsidRPr="005B6F86">
        <w:rPr>
          <w:i/>
        </w:rPr>
        <w:t>NPRM’</w:t>
      </w:r>
      <w:r w:rsidR="006B29AD">
        <w:t xml:space="preserve">s proposal to cease </w:t>
      </w:r>
      <w:r w:rsidR="006B29AD" w:rsidRPr="005B6F86">
        <w:rPr>
          <w:snapToGrid/>
        </w:rPr>
        <w:t xml:space="preserve">certification of new </w:t>
      </w:r>
      <w:r w:rsidR="006B29AD" w:rsidRPr="005B6F86">
        <w:rPr>
          <w:rFonts w:eastAsia="TimesNewRoman"/>
          <w:snapToGrid/>
          <w:kern w:val="0"/>
          <w:szCs w:val="22"/>
        </w:rPr>
        <w:t xml:space="preserve">unlicensed 24 GHz wideband and UWB vehicular radar </w:t>
      </w:r>
      <w:r w:rsidR="006B29AD" w:rsidRPr="005B6F86">
        <w:rPr>
          <w:snapToGrid/>
        </w:rPr>
        <w:t>equipment</w:t>
      </w:r>
      <w:r w:rsidR="006B29AD">
        <w:t xml:space="preserve"> 30 days after </w:t>
      </w:r>
      <w:r>
        <w:t>the effec</w:t>
      </w:r>
      <w:r w:rsidR="006B29AD">
        <w:t xml:space="preserve">tive date of the rules in this proceeding failed to account for the long automotive development cycle and manufacturers’ ongoing plans to use technologies with wide signal bandwidths. </w:t>
      </w:r>
      <w:r w:rsidR="00F80027">
        <w:t xml:space="preserve"> W</w:t>
      </w:r>
      <w:r w:rsidR="00047654">
        <w:t>e will provide more time f</w:t>
      </w:r>
      <w:r w:rsidR="00656074">
        <w:t xml:space="preserve">or </w:t>
      </w:r>
      <w:r w:rsidR="001621C7">
        <w:t>the</w:t>
      </w:r>
      <w:r w:rsidR="00656074">
        <w:t xml:space="preserve"> phase-out than proposed in </w:t>
      </w:r>
      <w:r w:rsidR="0027341A">
        <w:t>the</w:t>
      </w:r>
      <w:r w:rsidR="00656074">
        <w:t xml:space="preserve"> </w:t>
      </w:r>
      <w:r w:rsidR="00656074" w:rsidRPr="005B6F86">
        <w:rPr>
          <w:i/>
        </w:rPr>
        <w:t>NPRM</w:t>
      </w:r>
      <w:r w:rsidR="00656074">
        <w:t xml:space="preserve">, since that deadline could unduly burden manufacturers that </w:t>
      </w:r>
      <w:r w:rsidR="00FA0511">
        <w:t>may already have made significant investments in</w:t>
      </w:r>
      <w:r w:rsidR="00656074">
        <w:t xml:space="preserve"> developing new unlicensed 24 GHz wideband and/or UWB vehicular radars.  </w:t>
      </w:r>
      <w:r w:rsidR="00F80027">
        <w:t xml:space="preserve">For these reasons, </w:t>
      </w:r>
      <w:r w:rsidR="00245DB4">
        <w:t>we</w:t>
      </w:r>
      <w:r>
        <w:t xml:space="preserve"> will </w:t>
      </w:r>
      <w:r w:rsidR="00245DB4">
        <w:t>cease</w:t>
      </w:r>
      <w:r>
        <w:t xml:space="preserve"> certify</w:t>
      </w:r>
      <w:r w:rsidR="00245DB4">
        <w:t>ing</w:t>
      </w:r>
      <w:r>
        <w:t xml:space="preserve"> </w:t>
      </w:r>
      <w:r w:rsidR="00F80027">
        <w:t>unlicensed 24 GHz wideband and UWB vehicular radar equipment</w:t>
      </w:r>
      <w:r w:rsidR="00F80027" w:rsidRPr="00C935FA">
        <w:t xml:space="preserve"> </w:t>
      </w:r>
      <w:r w:rsidR="00F80027">
        <w:t xml:space="preserve">on or after one year from the date of publication in the Federal Register of this </w:t>
      </w:r>
      <w:r w:rsidR="00F80027" w:rsidRPr="005B6F86">
        <w:rPr>
          <w:i/>
        </w:rPr>
        <w:t>Report and Order</w:t>
      </w:r>
      <w:r w:rsidR="00F80027">
        <w:t xml:space="preserve">.  </w:t>
      </w:r>
      <w:r w:rsidR="00047654">
        <w:t>Given that our records</w:t>
      </w:r>
      <w:r w:rsidR="00047654" w:rsidRPr="009324F9">
        <w:t xml:space="preserve"> </w:t>
      </w:r>
      <w:r w:rsidR="00047654">
        <w:t xml:space="preserve">show a very small number of equipment certifications for unlicensed </w:t>
      </w:r>
      <w:r w:rsidR="00047654" w:rsidRPr="00CA7BFB">
        <w:t>24 GHz wideband and UWB vehicular radars</w:t>
      </w:r>
      <w:r w:rsidR="00047654">
        <w:t>, we do not believe such a course of action will be burdensome for manufacturers.</w:t>
      </w:r>
      <w:r w:rsidR="00047654">
        <w:rPr>
          <w:rStyle w:val="FootnoteReference"/>
        </w:rPr>
        <w:footnoteReference w:id="113"/>
      </w:r>
      <w:r w:rsidR="00656074">
        <w:t xml:space="preserve">  </w:t>
      </w:r>
      <w:r w:rsidR="00047654" w:rsidRPr="00656074">
        <w:t>We</w:t>
      </w:r>
      <w:r w:rsidR="00047654">
        <w:t xml:space="preserve"> will continue to allow the </w:t>
      </w:r>
      <w:r w:rsidR="00656074">
        <w:t xml:space="preserve">manufacture, importation, </w:t>
      </w:r>
      <w:r w:rsidR="00047654">
        <w:t>marketing, sale,</w:t>
      </w:r>
      <w:r w:rsidR="00656074">
        <w:t xml:space="preserve"> and</w:t>
      </w:r>
      <w:r w:rsidR="00047654">
        <w:t xml:space="preserve"> installation of, as well as Class II permissive changes</w:t>
      </w:r>
      <w:r w:rsidR="00047654">
        <w:rPr>
          <w:rStyle w:val="FootnoteReference"/>
        </w:rPr>
        <w:footnoteReference w:id="114"/>
      </w:r>
      <w:r w:rsidR="00047654">
        <w:t xml:space="preserve"> for, previously certified </w:t>
      </w:r>
      <w:r w:rsidR="00047654" w:rsidRPr="00882123">
        <w:t>unlicensed 24 GHz w</w:t>
      </w:r>
      <w:r w:rsidR="00047654">
        <w:t>ideband and UWB vehicular radar devices</w:t>
      </w:r>
      <w:r w:rsidR="00047654" w:rsidRPr="00C935FA">
        <w:t xml:space="preserve"> </w:t>
      </w:r>
      <w:r w:rsidR="00047654">
        <w:t>until January 1, 2022</w:t>
      </w:r>
      <w:r w:rsidR="00656074">
        <w:t>, consistent with the EU transition plan for 24 GHz vehicular radars.</w:t>
      </w:r>
      <w:r w:rsidR="00296209">
        <w:rPr>
          <w:rStyle w:val="FootnoteReference"/>
        </w:rPr>
        <w:footnoteReference w:id="115"/>
      </w:r>
      <w:r w:rsidR="00656074">
        <w:t xml:space="preserve"> </w:t>
      </w:r>
      <w:r w:rsidR="00296209">
        <w:t xml:space="preserve"> </w:t>
      </w:r>
      <w:r w:rsidR="00276D28">
        <w:t>A</w:t>
      </w:r>
      <w:r w:rsidR="001B52CC">
        <w:t>fter January 1, 2022,</w:t>
      </w:r>
      <w:r w:rsidR="00066928">
        <w:t xml:space="preserve"> we will </w:t>
      </w:r>
      <w:r w:rsidR="00540A18">
        <w:t>not</w:t>
      </w:r>
      <w:r w:rsidR="00066928">
        <w:t xml:space="preserve"> permit</w:t>
      </w:r>
      <w:r w:rsidR="00C935FA" w:rsidRPr="00C935FA">
        <w:t xml:space="preserve"> </w:t>
      </w:r>
      <w:r w:rsidR="006212AB">
        <w:t xml:space="preserve">the </w:t>
      </w:r>
      <w:r w:rsidR="00656074">
        <w:t xml:space="preserve">manufacture, importation, </w:t>
      </w:r>
      <w:r w:rsidR="00C935FA">
        <w:t xml:space="preserve">marketing, sale, </w:t>
      </w:r>
      <w:r w:rsidR="00656074">
        <w:t xml:space="preserve">or </w:t>
      </w:r>
      <w:r w:rsidR="0027341A">
        <w:t>installation</w:t>
      </w:r>
      <w:r w:rsidR="00C935FA">
        <w:t xml:space="preserve"> of</w:t>
      </w:r>
      <w:r w:rsidR="00ED1E76">
        <w:t xml:space="preserve">, or Class II permissive changes for, </w:t>
      </w:r>
      <w:r w:rsidR="00C935FA">
        <w:t>these devices</w:t>
      </w:r>
      <w:r w:rsidR="006212AB">
        <w:t xml:space="preserve"> for use in the United States</w:t>
      </w:r>
      <w:r w:rsidR="000F38AB">
        <w:t>, with one limited exception regarding sale and installation described below</w:t>
      </w:r>
      <w:r w:rsidR="00446077">
        <w:t>.</w:t>
      </w:r>
    </w:p>
    <w:p w:rsidR="00C06785" w:rsidRDefault="00342A15" w:rsidP="00BD0A75">
      <w:pPr>
        <w:pStyle w:val="ParaNum"/>
        <w:widowControl/>
      </w:pPr>
      <w:r w:rsidRPr="005B6F86">
        <w:rPr>
          <w:snapToGrid/>
          <w:kern w:val="0"/>
          <w:szCs w:val="22"/>
        </w:rPr>
        <w:t xml:space="preserve">Although it is important to promote the transition of </w:t>
      </w:r>
      <w:r w:rsidR="00882123" w:rsidRPr="005B6F86">
        <w:rPr>
          <w:snapToGrid/>
          <w:kern w:val="0"/>
          <w:szCs w:val="22"/>
        </w:rPr>
        <w:t xml:space="preserve">unlicensed 24 GHz wideband and UWB vehicular radars </w:t>
      </w:r>
      <w:r w:rsidRPr="005B6F86">
        <w:rPr>
          <w:snapToGrid/>
          <w:kern w:val="0"/>
          <w:szCs w:val="22"/>
        </w:rPr>
        <w:t>to the 76-81 GHz band, we recognize that it would be impractical and counterproductive to expect drivers to cease using vehicular radar applications that have been installed in their automobiles and forego the important safety features that they provide</w:t>
      </w:r>
      <w:r w:rsidR="005D5D4F">
        <w:rPr>
          <w:snapToGrid/>
          <w:kern w:val="0"/>
          <w:szCs w:val="22"/>
        </w:rPr>
        <w:t xml:space="preserve"> until the vehicle is replaced</w:t>
      </w:r>
      <w:r w:rsidRPr="005B6F86">
        <w:rPr>
          <w:snapToGrid/>
          <w:kern w:val="0"/>
          <w:szCs w:val="22"/>
        </w:rPr>
        <w:t xml:space="preserve">.  Thus, </w:t>
      </w:r>
      <w:r w:rsidR="00A53D2D" w:rsidRPr="005B6F86">
        <w:rPr>
          <w:snapToGrid/>
          <w:kern w:val="0"/>
          <w:szCs w:val="22"/>
        </w:rPr>
        <w:t xml:space="preserve">as we proposed in the </w:t>
      </w:r>
      <w:r w:rsidR="00A53D2D" w:rsidRPr="005B6F86">
        <w:rPr>
          <w:i/>
          <w:snapToGrid/>
          <w:kern w:val="0"/>
          <w:szCs w:val="22"/>
        </w:rPr>
        <w:t>NPRM</w:t>
      </w:r>
      <w:r w:rsidR="00830DB4" w:rsidRPr="005B6F86">
        <w:rPr>
          <w:snapToGrid/>
          <w:kern w:val="0"/>
          <w:szCs w:val="22"/>
        </w:rPr>
        <w:t>,</w:t>
      </w:r>
      <w:r w:rsidR="00A53D2D" w:rsidRPr="00B509A0">
        <w:rPr>
          <w:rStyle w:val="FootnoteReference"/>
        </w:rPr>
        <w:footnoteReference w:id="116"/>
      </w:r>
      <w:r w:rsidR="00F32258" w:rsidRPr="005B6F86">
        <w:rPr>
          <w:snapToGrid/>
          <w:kern w:val="0"/>
          <w:szCs w:val="22"/>
        </w:rPr>
        <w:t xml:space="preserve"> </w:t>
      </w:r>
      <w:r w:rsidR="00882123" w:rsidRPr="005B6F86">
        <w:rPr>
          <w:snapToGrid/>
          <w:kern w:val="0"/>
          <w:szCs w:val="22"/>
        </w:rPr>
        <w:t xml:space="preserve">unlicensed 24 GHz wideband and UWB vehicular radars </w:t>
      </w:r>
      <w:r w:rsidR="00446077" w:rsidRPr="005B6F86">
        <w:rPr>
          <w:snapToGrid/>
          <w:kern w:val="0"/>
          <w:szCs w:val="22"/>
        </w:rPr>
        <w:t xml:space="preserve">that are already installed or in use </w:t>
      </w:r>
      <w:r w:rsidR="00A45519" w:rsidRPr="005B6F86">
        <w:rPr>
          <w:snapToGrid/>
          <w:kern w:val="0"/>
          <w:szCs w:val="22"/>
        </w:rPr>
        <w:t>by</w:t>
      </w:r>
      <w:r w:rsidR="00EB17C5" w:rsidRPr="005B6F86">
        <w:rPr>
          <w:snapToGrid/>
          <w:kern w:val="0"/>
          <w:szCs w:val="22"/>
        </w:rPr>
        <w:t xml:space="preserve"> </w:t>
      </w:r>
      <w:r w:rsidR="0039047E" w:rsidRPr="005B6F86">
        <w:rPr>
          <w:snapToGrid/>
          <w:kern w:val="0"/>
          <w:szCs w:val="22"/>
        </w:rPr>
        <w:t>January 1, 2022</w:t>
      </w:r>
      <w:r w:rsidR="005D5D4F">
        <w:rPr>
          <w:snapToGrid/>
          <w:kern w:val="0"/>
          <w:szCs w:val="22"/>
        </w:rPr>
        <w:t xml:space="preserve"> may continue to operate in the vehicle</w:t>
      </w:r>
      <w:r w:rsidR="0039047E" w:rsidRPr="005B6F86">
        <w:rPr>
          <w:snapToGrid/>
          <w:kern w:val="0"/>
          <w:szCs w:val="22"/>
        </w:rPr>
        <w:t>.</w:t>
      </w:r>
      <w:r w:rsidR="005D5D4F">
        <w:rPr>
          <w:snapToGrid/>
          <w:kern w:val="0"/>
          <w:szCs w:val="22"/>
        </w:rPr>
        <w:t xml:space="preserve">  In that regard, we also provide a narrow exception to the phase-out requirements to permit, for the life of the vehicle, the continued sale and installation of </w:t>
      </w:r>
      <w:r w:rsidR="005D5D4F" w:rsidRPr="005B6F86">
        <w:rPr>
          <w:snapToGrid/>
          <w:kern w:val="0"/>
          <w:szCs w:val="22"/>
        </w:rPr>
        <w:t>unlicensed 2</w:t>
      </w:r>
      <w:r w:rsidR="005D5D4F">
        <w:rPr>
          <w:snapToGrid/>
          <w:kern w:val="0"/>
          <w:szCs w:val="22"/>
        </w:rPr>
        <w:t xml:space="preserve">4 GHz wideband and UWB radar devices for the exclusive purpose of repairing or replacing defective, damaged, or potentially malfunctioning equipment installed on or before January 1, 2022.  This exception is available only when </w:t>
      </w:r>
      <w:r w:rsidR="0017623E">
        <w:t>it is not possible to repair or replace</w:t>
      </w:r>
      <w:r w:rsidR="005D5D4F">
        <w:t xml:space="preserve"> the radar equipment designed to operate in the 24 GHz band with radar </w:t>
      </w:r>
      <w:r w:rsidR="004E05D6">
        <w:t>equipment</w:t>
      </w:r>
      <w:r w:rsidR="005D5D4F">
        <w:t xml:space="preserve"> designed to operate in the 76-81 GHz band,</w:t>
      </w:r>
      <w:r w:rsidR="00E403E3" w:rsidRPr="00B509A0">
        <w:rPr>
          <w:rStyle w:val="FootnoteReference"/>
        </w:rPr>
        <w:footnoteReference w:id="117"/>
      </w:r>
      <w:r w:rsidR="00E403E3">
        <w:t xml:space="preserve"> </w:t>
      </w:r>
      <w:r w:rsidR="005D5D4F">
        <w:t xml:space="preserve">and is limited to the repair and replacement of </w:t>
      </w:r>
      <w:r w:rsidR="005D5D4F" w:rsidRPr="005B6F86">
        <w:rPr>
          <w:snapToGrid/>
          <w:kern w:val="0"/>
          <w:szCs w:val="22"/>
        </w:rPr>
        <w:t>unlicensed 24 GHz wideband and UWB vehicular</w:t>
      </w:r>
      <w:r w:rsidR="005D5D4F">
        <w:t xml:space="preserve"> radar equipment that has been certified </w:t>
      </w:r>
      <w:r w:rsidR="005D5D4F" w:rsidRPr="005D5D4F">
        <w:t>for operation in the 24 GHz band.  We expect manufacturers to draw on existing stock of equipment that had been approved before January 1, 2022, and will address requests for additional relief (e.g. manufacture, importation, or product redesign) on a case-by-case basis</w:t>
      </w:r>
      <w:r w:rsidR="0017623E" w:rsidRPr="00F43527">
        <w:t>.</w:t>
      </w:r>
      <w:r w:rsidR="00182929" w:rsidRPr="00B509A0">
        <w:rPr>
          <w:rStyle w:val="FootnoteReference"/>
        </w:rPr>
        <w:footnoteReference w:id="118"/>
      </w:r>
      <w:r w:rsidR="005D5D4F">
        <w:t xml:space="preserve">  </w:t>
      </w:r>
      <w:r w:rsidR="00472511">
        <w:t>In e</w:t>
      </w:r>
      <w:r w:rsidR="00C935FA">
        <w:t xml:space="preserve">stablishing </w:t>
      </w:r>
      <w:r w:rsidR="00472511">
        <w:t xml:space="preserve">this </w:t>
      </w:r>
      <w:r w:rsidR="00C935FA">
        <w:t>multi-year transition period</w:t>
      </w:r>
      <w:r w:rsidR="00472511">
        <w:t>, we</w:t>
      </w:r>
      <w:r w:rsidR="00C935FA">
        <w:t xml:space="preserve"> promote a graceful migration of </w:t>
      </w:r>
      <w:r w:rsidR="00882123" w:rsidRPr="00882123">
        <w:t>unlicensed 24 GHz wideband and UWB vehicular radars</w:t>
      </w:r>
      <w:r w:rsidR="00656074">
        <w:t xml:space="preserve"> to the 76-81 GHz band to further our goal of consolidating future vehicular radar use in this band, </w:t>
      </w:r>
      <w:r w:rsidR="00C935FA">
        <w:t>without unduly impairing the availability or cost of vehicular radars or imposing undue burdens on manufacturers or the public.</w:t>
      </w:r>
    </w:p>
    <w:p w:rsidR="0049246A" w:rsidRDefault="0049246A" w:rsidP="006F3BD7">
      <w:pPr>
        <w:pStyle w:val="ParaNum"/>
      </w:pPr>
      <w:r>
        <w:t xml:space="preserve">Finally, </w:t>
      </w:r>
      <w:r w:rsidR="00EE389F">
        <w:t>at the request of several commenters,</w:t>
      </w:r>
      <w:r w:rsidR="00EE389F">
        <w:rPr>
          <w:rStyle w:val="FootnoteReference"/>
        </w:rPr>
        <w:footnoteReference w:id="119"/>
      </w:r>
      <w:r w:rsidR="00043942">
        <w:t xml:space="preserve"> </w:t>
      </w:r>
      <w:r w:rsidRPr="00910DBA">
        <w:t xml:space="preserve">we clarify that </w:t>
      </w:r>
      <w:r>
        <w:t xml:space="preserve">the proposal with regard to phasing out use of the 22-29 GHz band </w:t>
      </w:r>
      <w:r w:rsidR="00C6520F" w:rsidRPr="00A46336">
        <w:t>for wideband and UWB vehicular radar operations</w:t>
      </w:r>
      <w:r w:rsidR="00C6520F">
        <w:t xml:space="preserve"> </w:t>
      </w:r>
      <w:r w:rsidR="002C36B5">
        <w:t>that operate under Sections 15.252 and 15.515 of the rul</w:t>
      </w:r>
      <w:r w:rsidR="005D6495">
        <w:t>e</w:t>
      </w:r>
      <w:r w:rsidR="002C36B5">
        <w:t xml:space="preserve">s </w:t>
      </w:r>
      <w:r>
        <w:t>was not intended to apply to</w:t>
      </w:r>
      <w:r w:rsidRPr="00910DBA">
        <w:t xml:space="preserve"> </w:t>
      </w:r>
      <w:r>
        <w:t xml:space="preserve">the </w:t>
      </w:r>
      <w:r w:rsidR="00043942">
        <w:t>unlicensed</w:t>
      </w:r>
      <w:r>
        <w:t xml:space="preserve"> </w:t>
      </w:r>
      <w:r w:rsidRPr="00910DBA">
        <w:t>radar</w:t>
      </w:r>
      <w:r w:rsidR="002C36B5">
        <w:t xml:space="preserve">s that operate </w:t>
      </w:r>
      <w:r>
        <w:t xml:space="preserve">at 24.075-24.175 GHz </w:t>
      </w:r>
      <w:r w:rsidR="002C36B5">
        <w:t xml:space="preserve">and 24.0-24.25 GHz </w:t>
      </w:r>
      <w:r>
        <w:t>under Section</w:t>
      </w:r>
      <w:r w:rsidR="002C36B5">
        <w:t>s</w:t>
      </w:r>
      <w:r>
        <w:t xml:space="preserve"> 15.245 </w:t>
      </w:r>
      <w:r w:rsidR="002C36B5">
        <w:t>and</w:t>
      </w:r>
      <w:r>
        <w:t xml:space="preserve"> </w:t>
      </w:r>
      <w:r w:rsidR="002C36B5">
        <w:t>15.249 of the rules</w:t>
      </w:r>
      <w:r w:rsidR="00E376C4">
        <w:t>, respectively</w:t>
      </w:r>
      <w:r w:rsidR="00043942">
        <w:t xml:space="preserve">.  </w:t>
      </w:r>
      <w:r w:rsidR="00ED1E76">
        <w:t xml:space="preserve">These </w:t>
      </w:r>
      <w:r w:rsidR="002C36B5">
        <w:t>rules, which are not being modified, authorize a wide variety of devices that include, but are not limited to, vehicular-specific radars.  As such, radars that operate under these rules will continue to be certified and can continue to be used in vehicular applications</w:t>
      </w:r>
      <w:r w:rsidR="00ED1E76" w:rsidRPr="00910DBA">
        <w:t>.</w:t>
      </w:r>
      <w:r w:rsidR="00ED1E76">
        <w:rPr>
          <w:rStyle w:val="FootnoteReference"/>
        </w:rPr>
        <w:footnoteReference w:id="120"/>
      </w:r>
    </w:p>
    <w:p w:rsidR="008A4757" w:rsidRDefault="00ED1E76" w:rsidP="00E330A2">
      <w:pPr>
        <w:pStyle w:val="Heading2"/>
        <w:keepLines/>
      </w:pPr>
      <w:bookmarkStart w:id="675" w:name="_Toc452449714"/>
      <w:bookmarkStart w:id="676" w:name="_Toc452449867"/>
      <w:bookmarkStart w:id="677" w:name="_Toc451973340"/>
      <w:bookmarkStart w:id="678" w:name="_Toc452449715"/>
      <w:bookmarkStart w:id="679" w:name="_Toc452449868"/>
      <w:bookmarkStart w:id="680" w:name="_Toc452449716"/>
      <w:bookmarkStart w:id="681" w:name="_Toc452449869"/>
      <w:bookmarkStart w:id="682" w:name="_Toc451973341"/>
      <w:bookmarkStart w:id="683" w:name="_Toc452449870"/>
      <w:bookmarkStart w:id="684" w:name="_Toc452449872"/>
      <w:bookmarkStart w:id="685" w:name="_Toc452449874"/>
      <w:bookmarkStart w:id="686" w:name="_Toc452449875"/>
      <w:bookmarkStart w:id="687" w:name="_Toc452449876"/>
      <w:bookmarkStart w:id="688" w:name="_Toc452449877"/>
      <w:bookmarkStart w:id="689" w:name="_Toc452449878"/>
      <w:bookmarkStart w:id="690" w:name="_Toc452449719"/>
      <w:bookmarkStart w:id="691" w:name="_Toc452449879"/>
      <w:bookmarkStart w:id="692" w:name="_Toc452449721"/>
      <w:bookmarkStart w:id="693" w:name="_Toc452449881"/>
      <w:bookmarkStart w:id="694" w:name="_Toc461091238"/>
      <w:bookmarkStart w:id="695" w:name="_Toc461091239"/>
      <w:bookmarkStart w:id="696" w:name="_Toc461091240"/>
      <w:bookmarkStart w:id="697" w:name="_Toc461091241"/>
      <w:bookmarkStart w:id="698" w:name="_Toc447638410"/>
      <w:bookmarkStart w:id="699" w:name="_Toc447701720"/>
      <w:bookmarkStart w:id="700" w:name="_Toc447729220"/>
      <w:bookmarkStart w:id="701" w:name="_Toc447811201"/>
      <w:bookmarkStart w:id="702" w:name="_Toc447815302"/>
      <w:bookmarkStart w:id="703" w:name="_Toc447815750"/>
      <w:bookmarkStart w:id="704" w:name="_Toc448393060"/>
      <w:bookmarkStart w:id="705" w:name="_Toc448394086"/>
      <w:bookmarkStart w:id="706" w:name="_Toc448394886"/>
      <w:bookmarkStart w:id="707" w:name="_Toc448395811"/>
      <w:bookmarkStart w:id="708" w:name="_Toc448410509"/>
      <w:bookmarkStart w:id="709" w:name="_Toc448503961"/>
      <w:bookmarkStart w:id="710" w:name="_Toc448736131"/>
      <w:bookmarkStart w:id="711" w:name="_Toc448736343"/>
      <w:bookmarkStart w:id="712" w:name="_Toc451907097"/>
      <w:bookmarkStart w:id="713" w:name="_Toc451973345"/>
      <w:bookmarkStart w:id="714" w:name="_Toc452449723"/>
      <w:bookmarkStart w:id="715" w:name="_Toc452449883"/>
      <w:bookmarkStart w:id="716" w:name="_Toc454322896"/>
      <w:bookmarkStart w:id="717" w:name="_Toc454323395"/>
      <w:bookmarkStart w:id="718" w:name="_Toc454323571"/>
      <w:bookmarkStart w:id="719" w:name="_Toc454365502"/>
      <w:bookmarkStart w:id="720" w:name="_Toc454456246"/>
      <w:bookmarkStart w:id="721" w:name="_Toc454456271"/>
      <w:bookmarkStart w:id="722" w:name="_Toc454456362"/>
      <w:bookmarkStart w:id="723" w:name="_Toc454457169"/>
      <w:bookmarkStart w:id="724" w:name="_Toc454457512"/>
      <w:bookmarkStart w:id="725" w:name="_Toc454460096"/>
      <w:bookmarkStart w:id="726" w:name="_Toc454460301"/>
      <w:bookmarkStart w:id="727" w:name="_Toc454461252"/>
      <w:bookmarkStart w:id="728" w:name="_Toc471485253"/>
      <w:bookmarkStart w:id="729" w:name="_Toc473911548"/>
      <w:bookmarkStart w:id="730" w:name="_Toc473911767"/>
      <w:bookmarkStart w:id="731" w:name="_Toc475023437"/>
      <w:bookmarkStart w:id="732" w:name="_Toc475564846"/>
      <w:bookmarkStart w:id="733" w:name="_Toc475995725"/>
      <w:bookmarkStart w:id="734" w:name="_Toc476168266"/>
      <w:bookmarkStart w:id="735" w:name="_Toc476230603"/>
      <w:bookmarkStart w:id="736" w:name="_Toc476319094"/>
      <w:bookmarkStart w:id="737" w:name="_Toc477171261"/>
      <w:bookmarkStart w:id="738" w:name="_Toc477176710"/>
      <w:bookmarkStart w:id="739" w:name="_Toc480544483"/>
      <w:bookmarkStart w:id="740" w:name="_Toc483252357"/>
      <w:bookmarkStart w:id="741" w:name="_Toc485387937"/>
      <w:bookmarkStart w:id="742" w:name="_Toc485640842"/>
      <w:bookmarkStart w:id="743" w:name="_Toc487543594"/>
      <w:bookmarkEnd w:id="281"/>
      <w:bookmarkEnd w:id="282"/>
      <w:bookmarkEnd w:id="283"/>
      <w:bookmarkEnd w:id="284"/>
      <w:bookmarkEnd w:id="285"/>
      <w:bookmarkEnd w:id="28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Fixed and Other Mobile Radar Operations in the 76-81 GHz Band</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FD61DB" w:rsidRPr="000C511A" w:rsidRDefault="00FD61DB" w:rsidP="00E330A2">
      <w:pPr>
        <w:pStyle w:val="Heading3"/>
        <w:keepLines/>
        <w:widowControl/>
      </w:pPr>
      <w:bookmarkStart w:id="744" w:name="_Toc462911163"/>
      <w:bookmarkStart w:id="745" w:name="_Toc463267939"/>
      <w:bookmarkStart w:id="746" w:name="_Toc463946947"/>
      <w:bookmarkStart w:id="747" w:name="_Toc464208126"/>
      <w:bookmarkStart w:id="748" w:name="_Toc464210007"/>
      <w:bookmarkStart w:id="749" w:name="_Toc464210471"/>
      <w:bookmarkStart w:id="750" w:name="_Toc464649175"/>
      <w:bookmarkStart w:id="751" w:name="_Toc464649447"/>
      <w:bookmarkStart w:id="752" w:name="_Toc464660049"/>
      <w:bookmarkStart w:id="753" w:name="_Toc465939716"/>
      <w:bookmarkStart w:id="754" w:name="_Toc468184076"/>
      <w:bookmarkStart w:id="755" w:name="_Toc471485254"/>
      <w:bookmarkStart w:id="756" w:name="_Toc473911549"/>
      <w:bookmarkStart w:id="757" w:name="_Toc473911768"/>
      <w:bookmarkStart w:id="758" w:name="_Toc475023438"/>
      <w:bookmarkStart w:id="759" w:name="_Toc475564847"/>
      <w:bookmarkStart w:id="760" w:name="_Toc475995726"/>
      <w:bookmarkStart w:id="761" w:name="_Toc476168267"/>
      <w:bookmarkStart w:id="762" w:name="_Toc476230604"/>
      <w:bookmarkStart w:id="763" w:name="_Toc476319095"/>
      <w:bookmarkStart w:id="764" w:name="_Toc477171262"/>
      <w:bookmarkStart w:id="765" w:name="_Toc477176711"/>
      <w:bookmarkStart w:id="766" w:name="_Toc480544484"/>
      <w:bookmarkStart w:id="767" w:name="_Toc483252358"/>
      <w:bookmarkStart w:id="768" w:name="_Toc485387938"/>
      <w:bookmarkStart w:id="769" w:name="_Toc485640843"/>
      <w:bookmarkStart w:id="770" w:name="_Toc487543595"/>
      <w:r>
        <w:t>Fixed Radar Operations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t xml:space="preserve"> </w:t>
      </w:r>
      <w:r w:rsidR="00EA71C3">
        <w:t xml:space="preserve"> </w:t>
      </w:r>
    </w:p>
    <w:p w:rsidR="003F550A" w:rsidRDefault="00FD61DB" w:rsidP="00E330A2">
      <w:pPr>
        <w:pStyle w:val="ParaNum"/>
        <w:keepNext/>
        <w:keepLines/>
        <w:widowControl/>
      </w:pPr>
      <w:r>
        <w:t xml:space="preserve">The Commission’s Part 15 and Part 90 </w:t>
      </w:r>
      <w:r w:rsidR="00A619B9">
        <w:t xml:space="preserve">rules </w:t>
      </w:r>
      <w:r>
        <w:t>already permit certain non-vehicular fixed</w:t>
      </w:r>
      <w:r w:rsidR="008107D2">
        <w:t xml:space="preserve"> radar</w:t>
      </w:r>
      <w:r>
        <w:t xml:space="preserve"> operations </w:t>
      </w:r>
      <w:r w:rsidR="003F550A">
        <w:t>in the controlled environment</w:t>
      </w:r>
      <w:r w:rsidR="005E36C7">
        <w:t xml:space="preserve"> of airport air operations areas.</w:t>
      </w:r>
      <w:r w:rsidR="005E36C7">
        <w:rPr>
          <w:rStyle w:val="FootnoteReference"/>
        </w:rPr>
        <w:footnoteReference w:id="121"/>
      </w:r>
      <w:r w:rsidR="005E36C7">
        <w:t xml:space="preserve">  </w:t>
      </w:r>
      <w:r>
        <w:t>Specifically, FOD detection radars are currently authorized to operate</w:t>
      </w:r>
      <w:r w:rsidR="00EB4168">
        <w:t>, in airport air operations areas only,</w:t>
      </w:r>
      <w:r>
        <w:t xml:space="preserve"> as fixed devices in the 76-77 GHz band on an unlicensed basis</w:t>
      </w:r>
      <w:r>
        <w:rPr>
          <w:rStyle w:val="FootnoteReference"/>
        </w:rPr>
        <w:footnoteReference w:id="122"/>
      </w:r>
      <w:r>
        <w:t xml:space="preserve"> and as either fixed or mobile FOD </w:t>
      </w:r>
      <w:r w:rsidR="00A619B9">
        <w:t xml:space="preserve">detection </w:t>
      </w:r>
      <w:r>
        <w:t xml:space="preserve">devices </w:t>
      </w:r>
      <w:r w:rsidR="00EB4168">
        <w:t xml:space="preserve">in the 78-81 GHz band </w:t>
      </w:r>
      <w:r>
        <w:t>on a licensed</w:t>
      </w:r>
      <w:r w:rsidR="00EB4168">
        <w:t xml:space="preserve"> basis.</w:t>
      </w:r>
      <w:r>
        <w:rPr>
          <w:rStyle w:val="FootnoteReference"/>
        </w:rPr>
        <w:footnoteReference w:id="123"/>
      </w:r>
      <w:r>
        <w:t xml:space="preserve">  The </w:t>
      </w:r>
      <w:r w:rsidRPr="005E36C7">
        <w:rPr>
          <w:i/>
        </w:rPr>
        <w:t xml:space="preserve">NPRM </w:t>
      </w:r>
      <w:r>
        <w:t xml:space="preserve">discussed the potential use of non-vehicular radar applications outside </w:t>
      </w:r>
      <w:r w:rsidR="008107D2">
        <w:t xml:space="preserve">of </w:t>
      </w:r>
      <w:r>
        <w:t>airport settings, and proposed to adopt rules that would permit fixed</w:t>
      </w:r>
      <w:r w:rsidR="00C40D74">
        <w:t xml:space="preserve"> </w:t>
      </w:r>
      <w:r>
        <w:t xml:space="preserve">infrastructure </w:t>
      </w:r>
      <w:r w:rsidR="00DC4936" w:rsidRPr="00A46336">
        <w:t>radar</w:t>
      </w:r>
      <w:r w:rsidR="00DC4936">
        <w:t xml:space="preserve"> </w:t>
      </w:r>
      <w:r>
        <w:t>applic</w:t>
      </w:r>
      <w:r w:rsidR="00493C50">
        <w:t>ations in part or all of the 76</w:t>
      </w:r>
      <w:r w:rsidR="00493C50">
        <w:noBreakHyphen/>
      </w:r>
      <w:r>
        <w:t>81 GHz band</w:t>
      </w:r>
      <w:r w:rsidR="00D60E43">
        <w:t>, provided that there was sufficient demand for such use</w:t>
      </w:r>
      <w:r w:rsidR="00A27EF1">
        <w:t>s</w:t>
      </w:r>
      <w:r w:rsidR="00D60E43">
        <w:t xml:space="preserve"> and that studies could support sharing between the different </w:t>
      </w:r>
      <w:r w:rsidR="00AF6EF7">
        <w:t>applications</w:t>
      </w:r>
      <w:r w:rsidR="00D60E43">
        <w:t>, i.e., vehicular and non-vehicular radars</w:t>
      </w:r>
      <w:r>
        <w:t>.</w:t>
      </w:r>
      <w:r>
        <w:rPr>
          <w:rStyle w:val="FootnoteReference"/>
        </w:rPr>
        <w:footnoteReference w:id="124"/>
      </w:r>
      <w:r>
        <w:t xml:space="preserve">  </w:t>
      </w:r>
      <w:r w:rsidR="0064486A">
        <w:t>As</w:t>
      </w:r>
      <w:r w:rsidR="00ED1E76">
        <w:t xml:space="preserve"> discussed below, we </w:t>
      </w:r>
      <w:r w:rsidR="0064486A">
        <w:t xml:space="preserve">are maintaining the existing limitation </w:t>
      </w:r>
      <w:r w:rsidR="00A93F4E">
        <w:t xml:space="preserve">which restricts </w:t>
      </w:r>
      <w:r w:rsidR="0064486A">
        <w:t>non-vehicular fixed radar operations to airport air operations areas.  Our decision provides a more certain environment for the successful migration of vehicular radars to the 76-81 GHz band and is appropriate to the record.  However, we recognize the possibility that there may be situations in</w:t>
      </w:r>
      <w:r w:rsidR="006D0DD1">
        <w:t xml:space="preserve"> which</w:t>
      </w:r>
      <w:r w:rsidR="0064486A">
        <w:t xml:space="preserve"> </w:t>
      </w:r>
      <w:r w:rsidR="00ED1E76">
        <w:t xml:space="preserve">fixed radars </w:t>
      </w:r>
      <w:r w:rsidR="0064486A">
        <w:t>might be</w:t>
      </w:r>
      <w:r w:rsidR="00ED1E76">
        <w:t xml:space="preserve"> compatible with vehicular radars in the band</w:t>
      </w:r>
      <w:r w:rsidR="0064486A">
        <w:t>, and do not foreclose further exploration of such scenarios</w:t>
      </w:r>
      <w:r w:rsidR="00ED1E76">
        <w:t>.</w:t>
      </w:r>
    </w:p>
    <w:p w:rsidR="00FD61DB" w:rsidRDefault="00FD61DB" w:rsidP="007A0A23">
      <w:pPr>
        <w:pStyle w:val="ParaNum"/>
      </w:pPr>
      <w:r>
        <w:t xml:space="preserve">The </w:t>
      </w:r>
      <w:r w:rsidRPr="00ED170F">
        <w:rPr>
          <w:i/>
        </w:rPr>
        <w:t>NPRM</w:t>
      </w:r>
      <w:r>
        <w:t xml:space="preserve"> proposals drew on the </w:t>
      </w:r>
      <w:r>
        <w:rPr>
          <w:i/>
        </w:rPr>
        <w:t>2012 Radar R&amp;O</w:t>
      </w:r>
      <w:r>
        <w:t xml:space="preserve">, in which the Commission stated its belief that vehicular radars should be able to share the band with fixed radars.  There, the Commission did not permit widespread fixed radar operations based on the fact that there was no evidence of demand for fixed radar applications outside </w:t>
      </w:r>
      <w:r w:rsidR="008107D2">
        <w:t xml:space="preserve">of </w:t>
      </w:r>
      <w:r>
        <w:t>airport settings and because there was no conclusive data addressing compatibility</w:t>
      </w:r>
      <w:r w:rsidR="00ED7C17">
        <w:t xml:space="preserve"> between the two types of radars</w:t>
      </w:r>
      <w:r>
        <w:t>.</w:t>
      </w:r>
      <w:r>
        <w:rPr>
          <w:rStyle w:val="FootnoteReference"/>
        </w:rPr>
        <w:footnoteReference w:id="125"/>
      </w:r>
      <w:r>
        <w:t xml:space="preserve">  In the </w:t>
      </w:r>
      <w:r w:rsidRPr="00801F79">
        <w:rPr>
          <w:i/>
        </w:rPr>
        <w:t>NPRM</w:t>
      </w:r>
      <w:r w:rsidRPr="00801F79">
        <w:t xml:space="preserve">, </w:t>
      </w:r>
      <w:r w:rsidR="001D6246">
        <w:t>the Commission observed that there appeared to be some demand for the possible fixed uses that sharing of the 76-81 GHz band might permit;</w:t>
      </w:r>
      <w:r w:rsidR="001D6246">
        <w:rPr>
          <w:rStyle w:val="FootnoteReference"/>
        </w:rPr>
        <w:footnoteReference w:id="126"/>
      </w:r>
      <w:r w:rsidR="001D6246">
        <w:t xml:space="preserve"> nonetheless, </w:t>
      </w:r>
      <w:r w:rsidR="00074D4A">
        <w:t>the Commission</w:t>
      </w:r>
      <w:r w:rsidRPr="00801F79">
        <w:t xml:space="preserve"> recognized that the record may “still be evolving” and the</w:t>
      </w:r>
      <w:r>
        <w:t xml:space="preserve"> available information is “limited” and “does not have the support of all interested parties in the matter.”</w:t>
      </w:r>
      <w:r>
        <w:rPr>
          <w:rStyle w:val="FootnoteReference"/>
        </w:rPr>
        <w:footnoteReference w:id="127"/>
      </w:r>
      <w:r w:rsidR="003F550A" w:rsidRPr="003F550A">
        <w:t xml:space="preserve"> </w:t>
      </w:r>
    </w:p>
    <w:p w:rsidR="00FD61DB" w:rsidRDefault="001D6246" w:rsidP="00993EF1">
      <w:pPr>
        <w:pStyle w:val="ParaNum"/>
      </w:pPr>
      <w:r>
        <w:t xml:space="preserve">While several commenters expressed interest in </w:t>
      </w:r>
      <w:r w:rsidR="0034394F">
        <w:t>deploying</w:t>
      </w:r>
      <w:r>
        <w:t xml:space="preserve"> fixed radar applications in the 76</w:t>
      </w:r>
      <w:r w:rsidR="00987B9B">
        <w:noBreakHyphen/>
      </w:r>
      <w:r>
        <w:t>81 GHz band</w:t>
      </w:r>
      <w:r w:rsidR="00987B9B">
        <w:t>,</w:t>
      </w:r>
      <w:r>
        <w:rPr>
          <w:rStyle w:val="FootnoteReference"/>
        </w:rPr>
        <w:footnoteReference w:id="128"/>
      </w:r>
      <w:r>
        <w:t xml:space="preserve"> </w:t>
      </w:r>
      <w:r w:rsidR="00FD61DB">
        <w:t xml:space="preserve">there is substantial disagreement as to whether such applications could successfully coexist with vehicular radars.  </w:t>
      </w:r>
      <w:r w:rsidR="0063323B">
        <w:t xml:space="preserve">Navtech Radar Ltd. (Navtech) </w:t>
      </w:r>
      <w:r w:rsidR="00FD61DB">
        <w:t>contends that if a range of vehicular radar systems can coexist, there are no sound scientific reasons that this cannot be extended to other users, technologies, or applications in the band</w:t>
      </w:r>
      <w:r w:rsidR="00ED7C17">
        <w:t>.</w:t>
      </w:r>
      <w:r w:rsidR="00FD61DB">
        <w:rPr>
          <w:rStyle w:val="FootnoteReference"/>
        </w:rPr>
        <w:footnoteReference w:id="129"/>
      </w:r>
      <w:r w:rsidR="00ED7C17">
        <w:t xml:space="preserve">  S</w:t>
      </w:r>
      <w:r w:rsidR="00FD61DB">
        <w:t xml:space="preserve">everal fixed infrastructure proponents describe how their proposed applications will use similar technology and </w:t>
      </w:r>
      <w:r w:rsidR="001F5D33" w:rsidRPr="00A46336">
        <w:t>interference</w:t>
      </w:r>
      <w:r w:rsidR="001F5D33">
        <w:t xml:space="preserve"> </w:t>
      </w:r>
      <w:r w:rsidR="00FD61DB">
        <w:t>mitigation techniques as vehicular radars</w:t>
      </w:r>
      <w:r w:rsidR="00FD61DB" w:rsidRPr="008422A2">
        <w:rPr>
          <w:rStyle w:val="FootnoteReference"/>
        </w:rPr>
        <w:footnoteReference w:id="130"/>
      </w:r>
      <w:r w:rsidR="00FD61DB">
        <w:t xml:space="preserve"> and comply with the EIRP limits proposed in the </w:t>
      </w:r>
      <w:r w:rsidR="00FD61DB" w:rsidRPr="001D6246">
        <w:rPr>
          <w:i/>
        </w:rPr>
        <w:t>NPRM</w:t>
      </w:r>
      <w:r w:rsidR="00FD61DB">
        <w:t xml:space="preserve"> to ensure compatibility.</w:t>
      </w:r>
      <w:r w:rsidR="00FD61DB">
        <w:rPr>
          <w:rStyle w:val="FootnoteReference"/>
        </w:rPr>
        <w:footnoteReference w:id="131"/>
      </w:r>
      <w:r w:rsidR="00FD61DB">
        <w:t xml:space="preserve">  </w:t>
      </w:r>
      <w:r w:rsidR="007E6E0B">
        <w:t>Mantissa</w:t>
      </w:r>
      <w:r w:rsidR="00074D4A" w:rsidRPr="00074D4A">
        <w:t xml:space="preserve"> </w:t>
      </w:r>
      <w:r w:rsidR="00BD4ECB">
        <w:t xml:space="preserve">Ltd. (Mantissa) </w:t>
      </w:r>
      <w:r w:rsidR="00074D4A" w:rsidRPr="00074D4A">
        <w:t xml:space="preserve">claims that it can readily implement most of the techniques for mitigation of radar-to-radar interference (e.g., detect interference and change </w:t>
      </w:r>
      <w:r w:rsidR="007E6E0B">
        <w:t xml:space="preserve">timing </w:t>
      </w:r>
      <w:r w:rsidR="00074D4A" w:rsidRPr="00074D4A">
        <w:t xml:space="preserve">of </w:t>
      </w:r>
      <w:r w:rsidR="007E6E0B">
        <w:t xml:space="preserve">transmit </w:t>
      </w:r>
      <w:r w:rsidR="00074D4A" w:rsidRPr="00074D4A">
        <w:t>chirps</w:t>
      </w:r>
      <w:r w:rsidR="007E6E0B">
        <w:t xml:space="preserve"> or pulses</w:t>
      </w:r>
      <w:r w:rsidR="00074D4A" w:rsidRPr="00074D4A">
        <w:t xml:space="preserve">; application of driving direction specific pre-defined frequency band separation) </w:t>
      </w:r>
      <w:r w:rsidR="00074D4A">
        <w:t xml:space="preserve">that </w:t>
      </w:r>
      <w:r w:rsidR="00074D4A" w:rsidRPr="00074D4A">
        <w:t>the M</w:t>
      </w:r>
      <w:r w:rsidR="00A42F45">
        <w:t>O</w:t>
      </w:r>
      <w:r w:rsidR="00074D4A" w:rsidRPr="00074D4A">
        <w:t>re Safety for All by Radar Interference Mitigation (MOSARIM)</w:t>
      </w:r>
      <w:r w:rsidR="001E2E46" w:rsidRPr="00074D4A">
        <w:rPr>
          <w:rStyle w:val="FootnoteReference"/>
        </w:rPr>
        <w:footnoteReference w:id="132"/>
      </w:r>
      <w:r w:rsidR="00074D4A" w:rsidRPr="00074D4A">
        <w:t xml:space="preserve"> </w:t>
      </w:r>
      <w:r w:rsidR="009B1D0C" w:rsidRPr="00074D4A">
        <w:t xml:space="preserve">consortium </w:t>
      </w:r>
      <w:r w:rsidR="00074D4A" w:rsidRPr="00074D4A">
        <w:t>has identified that contribute to the compatibility between and among various vehicular radar types.</w:t>
      </w:r>
      <w:r w:rsidR="00074D4A" w:rsidRPr="00074D4A">
        <w:rPr>
          <w:rStyle w:val="FootnoteReference"/>
        </w:rPr>
        <w:footnoteReference w:id="133"/>
      </w:r>
      <w:r w:rsidR="00074D4A">
        <w:t xml:space="preserve">  </w:t>
      </w:r>
      <w:r w:rsidR="00FD61DB">
        <w:t>Trex</w:t>
      </w:r>
      <w:r w:rsidR="009A42A9">
        <w:t xml:space="preserve"> Enterprises Corporation</w:t>
      </w:r>
      <w:r w:rsidR="00FD61DB">
        <w:t xml:space="preserve"> urges the Commission to allow the 76-81 GHz band to be used for fixed radiolocation applications,</w:t>
      </w:r>
      <w:r w:rsidR="00FD61DB" w:rsidRPr="00286797">
        <w:t xml:space="preserve"> </w:t>
      </w:r>
      <w:r w:rsidR="003F7A92">
        <w:t>claiming</w:t>
      </w:r>
      <w:r w:rsidR="00FD61DB">
        <w:t xml:space="preserve"> that </w:t>
      </w:r>
      <w:r w:rsidR="006330D2">
        <w:t>“</w:t>
      </w:r>
      <w:r w:rsidR="00FD61DB">
        <w:t>well</w:t>
      </w:r>
      <w:r w:rsidR="006330D2">
        <w:t>-</w:t>
      </w:r>
      <w:r w:rsidR="00FD61DB">
        <w:t>coordinated non-automotive radar</w:t>
      </w:r>
      <w:r w:rsidR="009B1D0C">
        <w:t>s</w:t>
      </w:r>
      <w:r w:rsidR="00FD61DB">
        <w:t xml:space="preserve"> us</w:t>
      </w:r>
      <w:r w:rsidR="009B1D0C">
        <w:t>ing</w:t>
      </w:r>
      <w:r w:rsidR="00FD61DB">
        <w:t xml:space="preserve"> the same technolog</w:t>
      </w:r>
      <w:r w:rsidR="009B1D0C">
        <w:t xml:space="preserve">y </w:t>
      </w:r>
      <w:r w:rsidR="00FD61DB">
        <w:t xml:space="preserve">could easily coexist without any adverse impact on </w:t>
      </w:r>
      <w:r w:rsidR="00834A20">
        <w:t>automotive</w:t>
      </w:r>
      <w:r w:rsidR="00FD61DB">
        <w:t xml:space="preserve"> radar operations.</w:t>
      </w:r>
      <w:r w:rsidR="006330D2">
        <w:t>”</w:t>
      </w:r>
      <w:r w:rsidR="00FD61DB">
        <w:rPr>
          <w:rStyle w:val="FootnoteReference"/>
        </w:rPr>
        <w:footnoteReference w:id="134"/>
      </w:r>
    </w:p>
    <w:p w:rsidR="00FD61DB" w:rsidRDefault="00FD61DB" w:rsidP="00993EF1">
      <w:pPr>
        <w:pStyle w:val="ParaNum"/>
      </w:pPr>
      <w:r>
        <w:t>On the other hand, many commenters oppose allowing fixed radar operations in the 76</w:t>
      </w:r>
      <w:r>
        <w:noBreakHyphen/>
        <w:t>81 GHz band outside of airport</w:t>
      </w:r>
      <w:r w:rsidR="00195774">
        <w:t xml:space="preserve"> location</w:t>
      </w:r>
      <w:r>
        <w:t>s</w:t>
      </w:r>
      <w:r w:rsidR="00195774">
        <w:t>,</w:t>
      </w:r>
      <w:r>
        <w:t xml:space="preserve"> citing potential interference that could compromise the safe operation of vehicular radar systems.</w:t>
      </w:r>
      <w:r>
        <w:rPr>
          <w:rStyle w:val="FootnoteReference"/>
        </w:rPr>
        <w:footnoteReference w:id="135"/>
      </w:r>
      <w:r>
        <w:t xml:space="preserve"> </w:t>
      </w:r>
      <w:r w:rsidR="00ED7C17">
        <w:t xml:space="preserve"> </w:t>
      </w:r>
      <w:r w:rsidR="00BF559C">
        <w:t>M</w:t>
      </w:r>
      <w:r w:rsidR="00BF559C" w:rsidRPr="008422A2">
        <w:t xml:space="preserve">ercedes-Benz claims that fixed infrastructure radar applications are neither built on the same technological platforms as vehicular radars, nor </w:t>
      </w:r>
      <w:r w:rsidR="00BF559C">
        <w:t xml:space="preserve">are they </w:t>
      </w:r>
      <w:r w:rsidR="002145D6">
        <w:t>similar to vehicular radars</w:t>
      </w:r>
      <w:r w:rsidR="002145D6" w:rsidRPr="002145D6">
        <w:t xml:space="preserve">; </w:t>
      </w:r>
      <w:r w:rsidR="002145D6">
        <w:t xml:space="preserve">thus, </w:t>
      </w:r>
      <w:r w:rsidR="002145D6" w:rsidRPr="002145D6">
        <w:t>they are likely to cause interference to vehicular radar operations in the 76-81 GHz band.</w:t>
      </w:r>
      <w:r w:rsidR="00BF559C" w:rsidRPr="008422A2">
        <w:rPr>
          <w:rStyle w:val="FootnoteReference"/>
        </w:rPr>
        <w:footnoteReference w:id="136"/>
      </w:r>
      <w:r w:rsidR="00BF559C">
        <w:t xml:space="preserve">  It contrasts vehicular and fixed radar applications, stating that the introduction of fixed radars would introduce a set of applications “</w:t>
      </w:r>
      <w:r w:rsidR="00BF559C" w:rsidRPr="00795588">
        <w:t>with potentially very heterogeneous detection tasks and thus a wide range of signal designs</w:t>
      </w:r>
      <w:r w:rsidR="00BF559C">
        <w:t xml:space="preserve">.” </w:t>
      </w:r>
      <w:r w:rsidR="00ED7C17">
        <w:t xml:space="preserve"> </w:t>
      </w:r>
      <w:r w:rsidR="00BF559C" w:rsidRPr="00BF559C">
        <w:t>Mercedes-Benz claims that the signal characteristics of fixed radar systems being considered (e.g., larger detection ranges that use more transmit power and occupy wider bandwidths) would be especially harmful to high-resolution short-range vehicular radars, which need unimpeded access to large swaths of spectrum to operate reliably.</w:t>
      </w:r>
      <w:r w:rsidR="00BF559C" w:rsidRPr="00BF559C">
        <w:rPr>
          <w:rStyle w:val="FootnoteReference"/>
        </w:rPr>
        <w:footnoteReference w:id="137"/>
      </w:r>
      <w:r w:rsidR="007B1D9E">
        <w:t xml:space="preserve">  </w:t>
      </w:r>
      <w:r>
        <w:t xml:space="preserve">Similarly, Delphi describes how the use of multiple fixed radar installations could potentially increase the likelihood of interference to </w:t>
      </w:r>
      <w:r w:rsidR="00195774">
        <w:t>vehicular radars</w:t>
      </w:r>
      <w:r>
        <w:t>.</w:t>
      </w:r>
      <w:r>
        <w:rPr>
          <w:rStyle w:val="FootnoteReference"/>
        </w:rPr>
        <w:footnoteReference w:id="138"/>
      </w:r>
      <w:r>
        <w:t xml:space="preserve">  </w:t>
      </w:r>
      <w:r w:rsidR="00385845">
        <w:t>Delphi</w:t>
      </w:r>
      <w:r>
        <w:t xml:space="preserve"> also notes that the orientation of the radar was a key discussion point in all prior decisions that addressed the use of non-vehicular radar applications.</w:t>
      </w:r>
      <w:r>
        <w:rPr>
          <w:rStyle w:val="FootnoteReference"/>
        </w:rPr>
        <w:footnoteReference w:id="139"/>
      </w:r>
      <w:r>
        <w:t xml:space="preserve">  </w:t>
      </w:r>
      <w:r w:rsidRPr="008422A2">
        <w:t>Mercedes-Benz further asserts that tests have shown that Navtech’s proposed wideband fixed radar technology will cause harmful interference to vehicular radars.</w:t>
      </w:r>
      <w:r w:rsidRPr="008422A2">
        <w:rPr>
          <w:rStyle w:val="FootnoteReference"/>
        </w:rPr>
        <w:footnoteReference w:id="140"/>
      </w:r>
      <w:r w:rsidR="00E64EF5">
        <w:t xml:space="preserve">  </w:t>
      </w:r>
      <w:r w:rsidR="001E2E46" w:rsidRPr="001E2E46">
        <w:t xml:space="preserve">Bosch submits that the European Telecommunications Standard Institute’s </w:t>
      </w:r>
      <w:r w:rsidR="00280C2B">
        <w:t xml:space="preserve">(ETSI’s) </w:t>
      </w:r>
      <w:r w:rsidR="001E2E46" w:rsidRPr="001E2E46">
        <w:t xml:space="preserve">Technical </w:t>
      </w:r>
      <w:r w:rsidR="001D78FD">
        <w:t>Report TR 102 704 V1.2.1</w:t>
      </w:r>
      <w:r w:rsidR="001E2E46" w:rsidRPr="001E2E46">
        <w:t>, which recommends that fixed outdoor radar operations not be allowed in the 76-77 GHz band with vehicular radar operations, states that where fixed radars overlap in the direction of SRRs on public roads, the surveillance radars potentially blind vehicular radars operating in the same frequency and area.</w:t>
      </w:r>
      <w:r w:rsidR="001E2E46" w:rsidRPr="001E2E46">
        <w:rPr>
          <w:rStyle w:val="FootnoteReference"/>
        </w:rPr>
        <w:footnoteReference w:id="141"/>
      </w:r>
    </w:p>
    <w:p w:rsidR="00AF5C2E" w:rsidRDefault="005A7E2E" w:rsidP="001808E6">
      <w:pPr>
        <w:pStyle w:val="ParaNum"/>
        <w:widowControl/>
      </w:pPr>
      <w:r>
        <w:t xml:space="preserve">We find merit in the arguments of </w:t>
      </w:r>
      <w:r w:rsidRPr="008422A2">
        <w:t>Mercedes-Benz</w:t>
      </w:r>
      <w:r>
        <w:t xml:space="preserve">, Delphi, and similar commenters.  The proposal to permit fixed radars outside of airport locations would allow for the introduction of numerous radar devices that could employ different signal designs and operating characteristics, which in turn could be detrimental to vehicular radar operations.  First, while fixed radar manufacturers may expect to design equipment that is technically identical to vehicular radars, we cannot guarantee this would happen in practice – </w:t>
      </w:r>
      <w:r w:rsidR="001E2E46">
        <w:t>the Commission</w:t>
      </w:r>
      <w:r>
        <w:t xml:space="preserve"> neither proposed nor developed a record for us to mandate device specifications and guidelines.  We have a high degree of confidence that vehicular radar interests will continue to work</w:t>
      </w:r>
      <w:r w:rsidR="001E2E46">
        <w:t xml:space="preserve"> together</w:t>
      </w:r>
      <w:r>
        <w:t xml:space="preserve"> to ensure compatibility among different vehicular radars based on their existing efforts in this regard, </w:t>
      </w:r>
      <w:r w:rsidR="001E2E46" w:rsidRPr="001E2E46">
        <w:t>e.g., the comprehensive, worldwide effort to standardize automotive radar operations at 76-81 GHz is the result of years of international work and study</w:t>
      </w:r>
      <w:r w:rsidR="001E2E46">
        <w:t>,</w:t>
      </w:r>
      <w:r w:rsidR="001E2E46" w:rsidRPr="001E2E46">
        <w:rPr>
          <w:rStyle w:val="FootnoteReference"/>
        </w:rPr>
        <w:footnoteReference w:id="142"/>
      </w:r>
      <w:r w:rsidR="001E2E46" w:rsidRPr="001E2E46">
        <w:t xml:space="preserve"> </w:t>
      </w:r>
      <w:r>
        <w:t>and because widespread interference would undermine the utility and market acceptance of vehicular radars</w:t>
      </w:r>
      <w:r w:rsidR="001E2E46">
        <w:t xml:space="preserve">.  </w:t>
      </w:r>
      <w:r w:rsidR="001E2E46" w:rsidRPr="001E2E46">
        <w:t>For example, the MOSARIM consortium has identified several techniques for mitigating radar-to-radar interference that contribute to the compatibility between and among various types of automotive radars.</w:t>
      </w:r>
      <w:r w:rsidR="00FE606C" w:rsidRPr="001E2E46">
        <w:rPr>
          <w:rStyle w:val="FootnoteReference"/>
        </w:rPr>
        <w:footnoteReference w:id="143"/>
      </w:r>
      <w:r>
        <w:t xml:space="preserve"> </w:t>
      </w:r>
      <w:r w:rsidR="00FE606C">
        <w:t xml:space="preserve"> </w:t>
      </w:r>
    </w:p>
    <w:p w:rsidR="005A7E2E" w:rsidRDefault="005A7E2E" w:rsidP="00993EF1">
      <w:pPr>
        <w:pStyle w:val="ParaNum"/>
        <w:widowControl/>
      </w:pPr>
      <w:r w:rsidRPr="00D71940">
        <w:t>By</w:t>
      </w:r>
      <w:r>
        <w:t xml:space="preserve"> contrast, the introduction of fixed radar uses without </w:t>
      </w:r>
      <w:r w:rsidR="001E2E46">
        <w:t xml:space="preserve">any </w:t>
      </w:r>
      <w:r>
        <w:t>limitation</w:t>
      </w:r>
      <w:r w:rsidR="001E2E46">
        <w:t>s</w:t>
      </w:r>
      <w:r>
        <w:t xml:space="preserve"> </w:t>
      </w:r>
      <w:r w:rsidR="008107D2">
        <w:t xml:space="preserve">likely </w:t>
      </w:r>
      <w:r>
        <w:t>would introduce a much wider variety of use characteristics (e.g.</w:t>
      </w:r>
      <w:r w:rsidR="00A619B9">
        <w:t>,</w:t>
      </w:r>
      <w:r>
        <w:t xml:space="preserve"> perimeter detection, obstacle detection in industrial settings, highway accident detection), which </w:t>
      </w:r>
      <w:r w:rsidR="00772981">
        <w:t>c</w:t>
      </w:r>
      <w:r>
        <w:t>ould complicate the ability of parties to coordinate compatibility among users – as well as the motivation to do so, if some applications prove to be more tolerant of interference than others.  In addition, the proposal did not take into account how the wide range of possible fixed radar orientations might affect compatibility</w:t>
      </w:r>
      <w:r w:rsidR="000A706D">
        <w:t xml:space="preserve"> with vehicular radars</w:t>
      </w:r>
      <w:r>
        <w:t>, even though this has been a consideration in past proceedings.  For example, the Commission previously found that LPRs can</w:t>
      </w:r>
      <w:r w:rsidR="00903236">
        <w:t xml:space="preserve"> co</w:t>
      </w:r>
      <w:r w:rsidRPr="00631AB9">
        <w:t>exist successfully with vehicular radars</w:t>
      </w:r>
      <w:r>
        <w:t xml:space="preserve"> because</w:t>
      </w:r>
      <w:r w:rsidRPr="00631AB9">
        <w:t xml:space="preserve"> LPR equipment is installed in a downward-looking position at fixed locations</w:t>
      </w:r>
      <w:r>
        <w:t xml:space="preserve"> and </w:t>
      </w:r>
      <w:r w:rsidRPr="00631AB9">
        <w:t xml:space="preserve">the main-beam </w:t>
      </w:r>
      <w:r w:rsidR="00B83000">
        <w:t>power</w:t>
      </w:r>
      <w:r w:rsidRPr="00631AB9">
        <w:t xml:space="preserve"> limits have been carefully calculated to avoid harmful interference to other radio </w:t>
      </w:r>
      <w:r w:rsidR="008107D2">
        <w:t>operations</w:t>
      </w:r>
      <w:r>
        <w:t>.</w:t>
      </w:r>
      <w:r>
        <w:rPr>
          <w:rStyle w:val="FootnoteReference"/>
        </w:rPr>
        <w:footnoteReference w:id="144"/>
      </w:r>
      <w:r>
        <w:t xml:space="preserve">  In this case, we agree that widespread fixed </w:t>
      </w:r>
      <w:r w:rsidR="00375EB1" w:rsidRPr="00A46336">
        <w:t>radar</w:t>
      </w:r>
      <w:r w:rsidR="00375EB1">
        <w:t xml:space="preserve"> </w:t>
      </w:r>
      <w:r>
        <w:t xml:space="preserve">deployments could introduce new and unanticipated lines of interference for vehicular radar operations – interference that would be especially detrimental to the existing base of LRR equipment that is not easily upgraded or modified.  For these reasons, we find that </w:t>
      </w:r>
      <w:r w:rsidR="00A529E6">
        <w:t>the Commission’s</w:t>
      </w:r>
      <w:r>
        <w:t xml:space="preserve"> observation in the </w:t>
      </w:r>
      <w:r w:rsidRPr="00AD6D10">
        <w:rPr>
          <w:i/>
        </w:rPr>
        <w:t>NPRM</w:t>
      </w:r>
      <w:r>
        <w:t xml:space="preserve"> equating the potential interference of a fixed radar to that of a radar located on a stationary vehicle was overly simplistic,</w:t>
      </w:r>
      <w:r>
        <w:rPr>
          <w:rStyle w:val="FootnoteReference"/>
        </w:rPr>
        <w:footnoteReference w:id="145"/>
      </w:r>
      <w:r>
        <w:t xml:space="preserve"> and that there may be use cases in which a fixed radar could well be more interfering.</w:t>
      </w:r>
      <w:r>
        <w:rPr>
          <w:rStyle w:val="FootnoteReference"/>
        </w:rPr>
        <w:footnoteReference w:id="146"/>
      </w:r>
      <w:r>
        <w:t xml:space="preserve">  </w:t>
      </w:r>
    </w:p>
    <w:p w:rsidR="00FD61DB" w:rsidRDefault="00F32258" w:rsidP="00993EF1">
      <w:pPr>
        <w:pStyle w:val="ParaNum"/>
        <w:widowControl/>
      </w:pPr>
      <w:r w:rsidRPr="005A7E2E">
        <w:rPr>
          <w:szCs w:val="22"/>
        </w:rPr>
        <w:t xml:space="preserve">In addition, </w:t>
      </w:r>
      <w:r w:rsidR="00FD61DB" w:rsidRPr="005A7E2E">
        <w:rPr>
          <w:szCs w:val="22"/>
        </w:rPr>
        <w:t xml:space="preserve">studies on </w:t>
      </w:r>
      <w:r w:rsidR="001F5D33" w:rsidRPr="00A46336">
        <w:rPr>
          <w:szCs w:val="22"/>
        </w:rPr>
        <w:t>fixed radars’</w:t>
      </w:r>
      <w:r w:rsidR="001F5D33">
        <w:rPr>
          <w:szCs w:val="22"/>
        </w:rPr>
        <w:t xml:space="preserve"> </w:t>
      </w:r>
      <w:r w:rsidR="00FD61DB" w:rsidRPr="005A7E2E">
        <w:rPr>
          <w:szCs w:val="22"/>
        </w:rPr>
        <w:t xml:space="preserve">potential coexistence </w:t>
      </w:r>
      <w:r w:rsidR="00AF5C2E">
        <w:rPr>
          <w:szCs w:val="22"/>
        </w:rPr>
        <w:t xml:space="preserve">with vehicular radars </w:t>
      </w:r>
      <w:r w:rsidR="00FD61DB" w:rsidRPr="005A7E2E">
        <w:rPr>
          <w:szCs w:val="22"/>
        </w:rPr>
        <w:t xml:space="preserve">have not evolved to the point that we can confidently conclude that fixed radar operations at any location will not cause harmful interference to vehicular radar operations in the band.  </w:t>
      </w:r>
      <w:r w:rsidR="003112D3">
        <w:rPr>
          <w:szCs w:val="22"/>
        </w:rPr>
        <w:t>In that regard, t</w:t>
      </w:r>
      <w:r w:rsidR="003112D3" w:rsidRPr="005A7E2E">
        <w:rPr>
          <w:szCs w:val="22"/>
        </w:rPr>
        <w:t xml:space="preserve">he automotive industry </w:t>
      </w:r>
      <w:r w:rsidR="003112D3">
        <w:rPr>
          <w:szCs w:val="22"/>
        </w:rPr>
        <w:t xml:space="preserve">asserts </w:t>
      </w:r>
      <w:r w:rsidR="003112D3" w:rsidRPr="005A7E2E">
        <w:rPr>
          <w:szCs w:val="22"/>
        </w:rPr>
        <w:t xml:space="preserve">that additional testing should be conducted before we consider </w:t>
      </w:r>
      <w:r w:rsidR="003112D3" w:rsidRPr="005C40BB">
        <w:t>allow</w:t>
      </w:r>
      <w:r w:rsidR="003112D3">
        <w:t xml:space="preserve">ing </w:t>
      </w:r>
      <w:r w:rsidR="003112D3" w:rsidRPr="005C40BB">
        <w:t>fixed infrastructure radars</w:t>
      </w:r>
      <w:r w:rsidR="003112D3">
        <w:t xml:space="preserve"> </w:t>
      </w:r>
      <w:r w:rsidR="001F5D33" w:rsidRPr="00A46336">
        <w:t>to</w:t>
      </w:r>
      <w:r w:rsidR="003112D3" w:rsidRPr="005C40BB">
        <w:t xml:space="preserve"> operate </w:t>
      </w:r>
      <w:r w:rsidR="003112D3">
        <w:t xml:space="preserve">alongside vehicular radars </w:t>
      </w:r>
      <w:r w:rsidR="003112D3" w:rsidRPr="005C40BB">
        <w:t>in the 76-81 GHz ba</w:t>
      </w:r>
      <w:r w:rsidR="003112D3">
        <w:t>nd.</w:t>
      </w:r>
      <w:r w:rsidR="003112D3">
        <w:rPr>
          <w:rStyle w:val="FootnoteReference"/>
        </w:rPr>
        <w:footnoteReference w:id="147"/>
      </w:r>
      <w:r w:rsidR="003112D3">
        <w:t xml:space="preserve">  </w:t>
      </w:r>
      <w:r w:rsidR="004C386B">
        <w:rPr>
          <w:szCs w:val="22"/>
        </w:rPr>
        <w:t>Although</w:t>
      </w:r>
      <w:r w:rsidR="00FD61DB" w:rsidRPr="005A7E2E">
        <w:rPr>
          <w:szCs w:val="22"/>
        </w:rPr>
        <w:t xml:space="preserve"> Navtech </w:t>
      </w:r>
      <w:r w:rsidR="004C386B">
        <w:rPr>
          <w:szCs w:val="22"/>
        </w:rPr>
        <w:t xml:space="preserve">submits </w:t>
      </w:r>
      <w:r w:rsidR="001A1BE7">
        <w:rPr>
          <w:szCs w:val="22"/>
        </w:rPr>
        <w:t xml:space="preserve">European </w:t>
      </w:r>
      <w:r w:rsidR="004C386B">
        <w:rPr>
          <w:szCs w:val="22"/>
        </w:rPr>
        <w:t xml:space="preserve">study </w:t>
      </w:r>
      <w:r w:rsidR="003112D3">
        <w:rPr>
          <w:szCs w:val="22"/>
        </w:rPr>
        <w:t>data</w:t>
      </w:r>
      <w:r w:rsidR="004C386B">
        <w:rPr>
          <w:szCs w:val="22"/>
        </w:rPr>
        <w:t xml:space="preserve"> to support its view that</w:t>
      </w:r>
      <w:r w:rsidR="003112D3">
        <w:rPr>
          <w:szCs w:val="22"/>
        </w:rPr>
        <w:t xml:space="preserve"> non-vehicular fixed radar operations</w:t>
      </w:r>
      <w:r w:rsidR="001F5D33">
        <w:rPr>
          <w:szCs w:val="22"/>
        </w:rPr>
        <w:t xml:space="preserve"> can </w:t>
      </w:r>
      <w:r w:rsidR="001F5D33" w:rsidRPr="00A46336">
        <w:rPr>
          <w:szCs w:val="22"/>
        </w:rPr>
        <w:t>co</w:t>
      </w:r>
      <w:r w:rsidR="001A1BE7" w:rsidRPr="00A46336">
        <w:rPr>
          <w:szCs w:val="22"/>
        </w:rPr>
        <w:t>exist</w:t>
      </w:r>
      <w:r w:rsidR="001A1BE7">
        <w:rPr>
          <w:szCs w:val="22"/>
        </w:rPr>
        <w:t xml:space="preserve"> with vehicular radar operations</w:t>
      </w:r>
      <w:r w:rsidR="003112D3">
        <w:t>,</w:t>
      </w:r>
      <w:r w:rsidR="00990A5B">
        <w:t xml:space="preserve"> we are unconvinced based on the limitations of the studies and the uncertainty expressed in the Reports.</w:t>
      </w:r>
      <w:r w:rsidR="001825A3" w:rsidRPr="00B167CC">
        <w:rPr>
          <w:rStyle w:val="FootnoteReference"/>
          <w:sz w:val="22"/>
          <w:szCs w:val="22"/>
        </w:rPr>
        <w:footnoteReference w:id="148"/>
      </w:r>
      <w:r w:rsidR="001825A3">
        <w:t xml:space="preserve"> </w:t>
      </w:r>
      <w:r w:rsidR="001A1BE7">
        <w:t xml:space="preserve"> </w:t>
      </w:r>
      <w:r w:rsidR="00990A5B">
        <w:t xml:space="preserve">Moreover, </w:t>
      </w:r>
      <w:r w:rsidR="001A1BE7">
        <w:t>other studies have differe</w:t>
      </w:r>
      <w:r w:rsidR="00C117CF">
        <w:t>nt conclusions</w:t>
      </w:r>
      <w:r w:rsidR="001A1BE7">
        <w:t xml:space="preserve">.  </w:t>
      </w:r>
      <w:r w:rsidR="003112D3" w:rsidRPr="005A7E2E">
        <w:rPr>
          <w:szCs w:val="22"/>
        </w:rPr>
        <w:t xml:space="preserve">For example, </w:t>
      </w:r>
      <w:r w:rsidR="001A1BE7">
        <w:rPr>
          <w:szCs w:val="22"/>
        </w:rPr>
        <w:t xml:space="preserve">a </w:t>
      </w:r>
      <w:r w:rsidR="00990A5B">
        <w:rPr>
          <w:szCs w:val="22"/>
        </w:rPr>
        <w:t xml:space="preserve">2012 </w:t>
      </w:r>
      <w:r w:rsidR="003112D3" w:rsidRPr="005A7E2E">
        <w:rPr>
          <w:szCs w:val="22"/>
        </w:rPr>
        <w:t xml:space="preserve">test by the Electronic Communications Committee (ECC) of the </w:t>
      </w:r>
      <w:r w:rsidR="003112D3">
        <w:rPr>
          <w:szCs w:val="22"/>
        </w:rPr>
        <w:t>CEPT</w:t>
      </w:r>
      <w:r w:rsidR="003112D3" w:rsidRPr="005A7E2E">
        <w:rPr>
          <w:szCs w:val="22"/>
        </w:rPr>
        <w:t xml:space="preserve"> concluded that</w:t>
      </w:r>
      <w:r w:rsidR="00080AD2">
        <w:rPr>
          <w:szCs w:val="22"/>
        </w:rPr>
        <w:t>,</w:t>
      </w:r>
      <w:r w:rsidR="003112D3" w:rsidRPr="005A7E2E">
        <w:rPr>
          <w:szCs w:val="22"/>
        </w:rPr>
        <w:t xml:space="preserve"> </w:t>
      </w:r>
      <w:r w:rsidR="00080AD2" w:rsidRPr="005A7E2E">
        <w:rPr>
          <w:szCs w:val="22"/>
        </w:rPr>
        <w:t>in the 76-81 GHz band</w:t>
      </w:r>
      <w:r w:rsidR="00080AD2">
        <w:rPr>
          <w:szCs w:val="22"/>
        </w:rPr>
        <w:t>,</w:t>
      </w:r>
      <w:r w:rsidR="00080AD2" w:rsidRPr="005A7E2E">
        <w:rPr>
          <w:szCs w:val="22"/>
        </w:rPr>
        <w:t xml:space="preserve"> </w:t>
      </w:r>
      <w:r w:rsidR="003112D3" w:rsidRPr="005A7E2E">
        <w:rPr>
          <w:szCs w:val="22"/>
        </w:rPr>
        <w:t xml:space="preserve">there is </w:t>
      </w:r>
      <w:r w:rsidR="003112D3">
        <w:rPr>
          <w:szCs w:val="22"/>
        </w:rPr>
        <w:t xml:space="preserve">the </w:t>
      </w:r>
      <w:r w:rsidR="003112D3" w:rsidRPr="005A7E2E">
        <w:rPr>
          <w:szCs w:val="22"/>
        </w:rPr>
        <w:t xml:space="preserve">potential </w:t>
      </w:r>
      <w:r w:rsidR="003112D3">
        <w:rPr>
          <w:szCs w:val="22"/>
        </w:rPr>
        <w:t xml:space="preserve">for </w:t>
      </w:r>
      <w:r w:rsidR="003112D3" w:rsidRPr="005A7E2E">
        <w:rPr>
          <w:szCs w:val="22"/>
        </w:rPr>
        <w:t>interference from roadside fixed radars to vehicular radars.</w:t>
      </w:r>
      <w:r w:rsidR="003112D3" w:rsidRPr="00B167CC">
        <w:rPr>
          <w:rStyle w:val="FootnoteReference"/>
          <w:sz w:val="22"/>
          <w:szCs w:val="22"/>
        </w:rPr>
        <w:footnoteReference w:id="149"/>
      </w:r>
    </w:p>
    <w:p w:rsidR="00FD61DB" w:rsidRPr="006542F0" w:rsidRDefault="00FD61DB" w:rsidP="00993EF1">
      <w:pPr>
        <w:pStyle w:val="ParaNum"/>
        <w:widowControl/>
        <w:rPr>
          <w:szCs w:val="22"/>
        </w:rPr>
      </w:pPr>
      <w:r w:rsidRPr="00D87CDA">
        <w:rPr>
          <w:szCs w:val="22"/>
        </w:rPr>
        <w:t>Even though we recognize the innovative nature of some proposed application</w:t>
      </w:r>
      <w:r>
        <w:rPr>
          <w:szCs w:val="22"/>
        </w:rPr>
        <w:t>s</w:t>
      </w:r>
      <w:r w:rsidRPr="00D87CDA">
        <w:rPr>
          <w:szCs w:val="22"/>
        </w:rPr>
        <w:t xml:space="preserve"> of non-vehicular radars in the 76-81 GHz band, we will </w:t>
      </w:r>
      <w:r w:rsidR="00F32258">
        <w:rPr>
          <w:szCs w:val="22"/>
        </w:rPr>
        <w:t>keep</w:t>
      </w:r>
      <w:r w:rsidRPr="00D87CDA">
        <w:rPr>
          <w:szCs w:val="22"/>
        </w:rPr>
        <w:t xml:space="preserve"> fixed radar application</w:t>
      </w:r>
      <w:r w:rsidR="00A619B9">
        <w:rPr>
          <w:szCs w:val="22"/>
        </w:rPr>
        <w:t>s</w:t>
      </w:r>
      <w:r w:rsidR="00F32258">
        <w:rPr>
          <w:szCs w:val="22"/>
        </w:rPr>
        <w:t xml:space="preserve"> use</w:t>
      </w:r>
      <w:r w:rsidRPr="00D87CDA">
        <w:rPr>
          <w:szCs w:val="22"/>
        </w:rPr>
        <w:t xml:space="preserve"> </w:t>
      </w:r>
      <w:r w:rsidR="00F32258">
        <w:rPr>
          <w:szCs w:val="22"/>
        </w:rPr>
        <w:t xml:space="preserve">of </w:t>
      </w:r>
      <w:r w:rsidRPr="00D87CDA">
        <w:rPr>
          <w:szCs w:val="22"/>
        </w:rPr>
        <w:t xml:space="preserve">the 76-81 GHz band </w:t>
      </w:r>
      <w:r w:rsidR="00F32258">
        <w:rPr>
          <w:szCs w:val="22"/>
        </w:rPr>
        <w:t xml:space="preserve">limited </w:t>
      </w:r>
      <w:r w:rsidRPr="00D87CDA">
        <w:rPr>
          <w:szCs w:val="22"/>
        </w:rPr>
        <w:t>to airport locations</w:t>
      </w:r>
      <w:r w:rsidR="00F32258">
        <w:rPr>
          <w:szCs w:val="22"/>
        </w:rPr>
        <w:t>, as discussed in further detail below,</w:t>
      </w:r>
      <w:r w:rsidRPr="00D87CDA">
        <w:rPr>
          <w:szCs w:val="22"/>
        </w:rPr>
        <w:t xml:space="preserve"> at this time.  </w:t>
      </w:r>
      <w:r>
        <w:rPr>
          <w:szCs w:val="22"/>
        </w:rPr>
        <w:t xml:space="preserve">An important objective of this proceeding is to facilitate the migration of vehicular radars into the 76-81 GHz band, and we find that the public interest is best served by </w:t>
      </w:r>
      <w:r>
        <w:t xml:space="preserve">mitigating any risk </w:t>
      </w:r>
      <w:r w:rsidR="00374A7F">
        <w:t xml:space="preserve">that </w:t>
      </w:r>
      <w:r>
        <w:t xml:space="preserve">fixed radar operations could </w:t>
      </w:r>
      <w:r w:rsidR="006F5264">
        <w:t xml:space="preserve">cause </w:t>
      </w:r>
      <w:r>
        <w:t>harmful interfere</w:t>
      </w:r>
      <w:r w:rsidR="00E01C7F">
        <w:t xml:space="preserve">nce to </w:t>
      </w:r>
      <w:r>
        <w:t xml:space="preserve">and impair the reliability of vehicular radar operations </w:t>
      </w:r>
      <w:r w:rsidRPr="005E7A48">
        <w:t xml:space="preserve">in the </w:t>
      </w:r>
      <w:r w:rsidR="00AE75AB">
        <w:t>band.  Airports represent a unique use environment, where we already have a track record of successful non-vehicular radar deployments and whose cha</w:t>
      </w:r>
      <w:r w:rsidR="00AF6EF7">
        <w:t>ra</w:t>
      </w:r>
      <w:r w:rsidR="00AE75AB">
        <w:t xml:space="preserve">cteristics are already familiar to manufacturers who have designed and deployed vehicular radars that operate on the same frequencies.  </w:t>
      </w:r>
      <w:r w:rsidR="009D026D">
        <w:t xml:space="preserve">We are not permitting </w:t>
      </w:r>
      <w:r w:rsidR="00F851C2">
        <w:t>fixed radar</w:t>
      </w:r>
      <w:r w:rsidR="009D026D">
        <w:t xml:space="preserve"> operations </w:t>
      </w:r>
      <w:r w:rsidR="00F851C2">
        <w:t>in the 76-81 GHz band outside of airport air operations areas in</w:t>
      </w:r>
      <w:r w:rsidR="009D026D">
        <w:t xml:space="preserve"> order to avoid any possible hindrance to the successful migration of vehicular radars to the 76-81 GHz band.  This is particularly important g</w:t>
      </w:r>
      <w:r>
        <w:t xml:space="preserve">iven that vehicular radars offer demonstrated benefits </w:t>
      </w:r>
      <w:r w:rsidR="007E1989" w:rsidRPr="00D71940">
        <w:t>fo</w:t>
      </w:r>
      <w:r w:rsidR="00FC141C" w:rsidRPr="00D71940">
        <w:t>r driver, passenger, and pedestrian safety</w:t>
      </w:r>
      <w:r w:rsidR="007E1989" w:rsidRPr="00D71940">
        <w:t>,</w:t>
      </w:r>
      <w:r w:rsidR="00FC141C">
        <w:t xml:space="preserve"> </w:t>
      </w:r>
      <w:r>
        <w:t>and the development of such applications in the band has been identified as integral to the development of self-driving car</w:t>
      </w:r>
      <w:r w:rsidR="009D026D">
        <w:t>s and other autonomous vehicles.</w:t>
      </w:r>
      <w:r>
        <w:rPr>
          <w:rStyle w:val="FootnoteReference"/>
        </w:rPr>
        <w:footnoteReference w:id="150"/>
      </w:r>
      <w:r w:rsidR="0064486A" w:rsidRPr="0064486A">
        <w:t xml:space="preserve"> </w:t>
      </w:r>
      <w:r w:rsidR="0064486A">
        <w:t xml:space="preserve"> We acknowledge that, under careful coordination, it might nevertheless be possible for fixed radars to operate </w:t>
      </w:r>
      <w:r w:rsidR="00C231BE">
        <w:t xml:space="preserve">in the band </w:t>
      </w:r>
      <w:r w:rsidR="00955148">
        <w:t xml:space="preserve">at carefully selected locations </w:t>
      </w:r>
      <w:r w:rsidR="0064486A">
        <w:t>without causing harmful interference to vehicular radars.  Presently, there is insufficient information in the record to develop the specific criteria for a successful coordination process.</w:t>
      </w:r>
      <w:r w:rsidR="0064486A">
        <w:rPr>
          <w:rStyle w:val="FootnoteReference"/>
        </w:rPr>
        <w:footnoteReference w:id="151"/>
      </w:r>
      <w:r w:rsidR="0064486A">
        <w:t xml:space="preserve">  </w:t>
      </w:r>
      <w:r w:rsidR="00955148">
        <w:t>Interested parties may provide</w:t>
      </w:r>
      <w:r w:rsidR="0064486A">
        <w:t xml:space="preserve"> future filings </w:t>
      </w:r>
      <w:r w:rsidR="00955148">
        <w:t xml:space="preserve">that </w:t>
      </w:r>
      <w:r w:rsidR="0064486A">
        <w:t>might provide such detail</w:t>
      </w:r>
      <w:r w:rsidR="00955148">
        <w:t>.</w:t>
      </w:r>
      <w:r w:rsidR="0064486A">
        <w:t xml:space="preserve"> </w:t>
      </w:r>
      <w:r w:rsidR="00955148">
        <w:t xml:space="preserve"> We</w:t>
      </w:r>
      <w:r w:rsidR="0064486A">
        <w:t xml:space="preserve"> are open to the possibility that specific, limited fixed uses of 76-81 GHz radars outside of airport locations may be possible, provided we can be convinced that such use would not cause harmful interference to vehicular radar operations in the band.</w:t>
      </w:r>
    </w:p>
    <w:p w:rsidR="00FD61DB" w:rsidRPr="00986AE0" w:rsidRDefault="00FD61DB" w:rsidP="00FD61DB">
      <w:pPr>
        <w:pStyle w:val="Heading3"/>
      </w:pPr>
      <w:bookmarkStart w:id="771" w:name="_Toc462911164"/>
      <w:bookmarkStart w:id="772" w:name="_Toc463267940"/>
      <w:bookmarkStart w:id="773" w:name="_Toc463946948"/>
      <w:bookmarkStart w:id="774" w:name="_Toc464208127"/>
      <w:bookmarkStart w:id="775" w:name="_Toc464210008"/>
      <w:bookmarkStart w:id="776" w:name="_Toc464210472"/>
      <w:bookmarkStart w:id="777" w:name="_Toc464649176"/>
      <w:bookmarkStart w:id="778" w:name="_Toc464649448"/>
      <w:bookmarkStart w:id="779" w:name="_Toc464660050"/>
      <w:bookmarkStart w:id="780" w:name="_Toc465939717"/>
      <w:bookmarkStart w:id="781" w:name="_Toc468184077"/>
      <w:bookmarkStart w:id="782" w:name="_Toc471485255"/>
      <w:bookmarkStart w:id="783" w:name="_Toc473911550"/>
      <w:bookmarkStart w:id="784" w:name="_Toc473911769"/>
      <w:bookmarkStart w:id="785" w:name="_Toc475023439"/>
      <w:bookmarkStart w:id="786" w:name="_Toc475564848"/>
      <w:bookmarkStart w:id="787" w:name="_Toc475995727"/>
      <w:bookmarkStart w:id="788" w:name="_Toc476168268"/>
      <w:bookmarkStart w:id="789" w:name="_Toc476230605"/>
      <w:bookmarkStart w:id="790" w:name="_Toc476319096"/>
      <w:bookmarkStart w:id="791" w:name="_Toc477171263"/>
      <w:bookmarkStart w:id="792" w:name="_Toc477176712"/>
      <w:bookmarkStart w:id="793" w:name="_Toc480544485"/>
      <w:bookmarkStart w:id="794" w:name="_Toc483252359"/>
      <w:bookmarkStart w:id="795" w:name="_Toc485387939"/>
      <w:bookmarkStart w:id="796" w:name="_Toc485640844"/>
      <w:bookmarkStart w:id="797" w:name="_Toc487543596"/>
      <w:r>
        <w:t>Airport Radar Operations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t xml:space="preserve"> </w:t>
      </w:r>
    </w:p>
    <w:p w:rsidR="00FD61DB" w:rsidRDefault="009C4243" w:rsidP="00993EF1">
      <w:pPr>
        <w:pStyle w:val="ParaNum"/>
      </w:pPr>
      <w:r>
        <w:t xml:space="preserve">Currently, </w:t>
      </w:r>
      <w:r w:rsidR="00FD61DB">
        <w:t>FOD detection radars are operat</w:t>
      </w:r>
      <w:r>
        <w:t xml:space="preserve">ing </w:t>
      </w:r>
      <w:r w:rsidR="00FD61DB">
        <w:t xml:space="preserve">as fixed devices in the 76-77 GHz band </w:t>
      </w:r>
      <w:r>
        <w:t>un</w:t>
      </w:r>
      <w:r w:rsidR="0024737E">
        <w:t>d</w:t>
      </w:r>
      <w:r>
        <w:t>er Part 15</w:t>
      </w:r>
      <w:r w:rsidR="00FD61DB">
        <w:rPr>
          <w:rStyle w:val="FootnoteReference"/>
        </w:rPr>
        <w:footnoteReference w:id="152"/>
      </w:r>
      <w:r w:rsidR="00FD61DB">
        <w:t xml:space="preserve"> and </w:t>
      </w:r>
      <w:r>
        <w:t xml:space="preserve">can be authorized </w:t>
      </w:r>
      <w:r w:rsidR="00FD61DB">
        <w:t>as either fixed or mobile devices on a licensed basis</w:t>
      </w:r>
      <w:r w:rsidR="00232F57">
        <w:t xml:space="preserve"> under </w:t>
      </w:r>
      <w:r w:rsidR="001D78FD">
        <w:t>the Commission’s</w:t>
      </w:r>
      <w:r w:rsidR="00232F57">
        <w:t xml:space="preserve"> Part 90 rules</w:t>
      </w:r>
      <w:r w:rsidR="00FD61DB">
        <w:t xml:space="preserve"> in the 78-81 GHz band, </w:t>
      </w:r>
      <w:r w:rsidR="00455BA1">
        <w:t xml:space="preserve">in </w:t>
      </w:r>
      <w:r w:rsidR="00FD61DB">
        <w:t>airport</w:t>
      </w:r>
      <w:r w:rsidR="00455BA1">
        <w:t xml:space="preserve"> air operations areas</w:t>
      </w:r>
      <w:r w:rsidR="00FD61DB">
        <w:t xml:space="preserve"> only.</w:t>
      </w:r>
      <w:r w:rsidR="00FD61DB">
        <w:rPr>
          <w:rStyle w:val="FootnoteReference"/>
        </w:rPr>
        <w:footnoteReference w:id="153"/>
      </w:r>
      <w:r w:rsidR="00FD61DB">
        <w:t xml:space="preserve">  In the </w:t>
      </w:r>
      <w:r w:rsidR="00FD61DB">
        <w:rPr>
          <w:i/>
        </w:rPr>
        <w:t>NPRM</w:t>
      </w:r>
      <w:r w:rsidR="00FD61DB">
        <w:t xml:space="preserve">, </w:t>
      </w:r>
      <w:r w:rsidR="001D78FD">
        <w:t>the Commission</w:t>
      </w:r>
      <w:r w:rsidR="00FD61DB" w:rsidRPr="00801F79">
        <w:t xml:space="preserve"> proposed to permit FOD detection radar operations throughout the entire 76-81 GHz band on airport grounds only, under</w:t>
      </w:r>
      <w:r w:rsidR="00FD61DB">
        <w:t xml:space="preserve"> the same technical requirements as those provided under Part 15.  </w:t>
      </w:r>
      <w:r w:rsidR="001D78FD">
        <w:t xml:space="preserve">The </w:t>
      </w:r>
      <w:r w:rsidR="001D78FD" w:rsidRPr="001D78FD">
        <w:rPr>
          <w:i/>
        </w:rPr>
        <w:t>NPRM</w:t>
      </w:r>
      <w:r w:rsidR="001D78FD">
        <w:t xml:space="preserve"> </w:t>
      </w:r>
      <w:r w:rsidR="00FD61DB">
        <w:t xml:space="preserve">also sought comment on allowing </w:t>
      </w:r>
      <w:r w:rsidR="00F32258">
        <w:t xml:space="preserve">non-airborne </w:t>
      </w:r>
      <w:r w:rsidR="00FD61DB">
        <w:t xml:space="preserve">aircraft-mounted radar operations </w:t>
      </w:r>
      <w:r w:rsidR="00455BA1">
        <w:t xml:space="preserve">in </w:t>
      </w:r>
      <w:r w:rsidR="00FD61DB">
        <w:t>airport locations.</w:t>
      </w:r>
      <w:r w:rsidR="00FD61DB">
        <w:rPr>
          <w:rStyle w:val="FootnoteReference"/>
        </w:rPr>
        <w:footnoteReference w:id="154"/>
      </w:r>
    </w:p>
    <w:p w:rsidR="00FD61DB" w:rsidRDefault="00FD61DB" w:rsidP="00993EF1">
      <w:pPr>
        <w:pStyle w:val="ParaNum"/>
      </w:pPr>
      <w:r w:rsidRPr="00801F79">
        <w:t xml:space="preserve">As detailed below, we find that the successful operation of FOD detection radars </w:t>
      </w:r>
      <w:r w:rsidR="00904CD4">
        <w:t xml:space="preserve">authorized </w:t>
      </w:r>
      <w:r w:rsidR="00575602">
        <w:t xml:space="preserve">under Part 15 </w:t>
      </w:r>
      <w:r w:rsidRPr="00801F79">
        <w:t xml:space="preserve">serves as a model for permitting a wider range of </w:t>
      </w:r>
      <w:r>
        <w:t>radar applications, as long as they</w:t>
      </w:r>
      <w:r w:rsidR="005509DD" w:rsidRPr="005509DD">
        <w:t xml:space="preserve"> </w:t>
      </w:r>
      <w:r w:rsidR="005509DD">
        <w:t>are not airborne and</w:t>
      </w:r>
      <w:r>
        <w:t xml:space="preserve"> </w:t>
      </w:r>
      <w:r w:rsidR="001825A3">
        <w:t>remain</w:t>
      </w:r>
      <w:r w:rsidR="005509DD">
        <w:t xml:space="preserve"> </w:t>
      </w:r>
      <w:r>
        <w:t xml:space="preserve">restricted to airport </w:t>
      </w:r>
      <w:r w:rsidR="00BD7F51">
        <w:t>air operations area</w:t>
      </w:r>
      <w:r w:rsidR="00A619B9">
        <w:t xml:space="preserve"> </w:t>
      </w:r>
      <w:r>
        <w:t>deployments.</w:t>
      </w:r>
      <w:r w:rsidR="00846F4E">
        <w:t xml:space="preserve">  </w:t>
      </w:r>
      <w:r>
        <w:t xml:space="preserve">Innovation and technology advances as well business opportunities may create other radar applications that can be implemented within the confines of an airport.  Airports are </w:t>
      </w:r>
      <w:r w:rsidR="002B5B38">
        <w:t>carefully</w:t>
      </w:r>
      <w:r w:rsidR="00783F1C">
        <w:t xml:space="preserve"> </w:t>
      </w:r>
      <w:r>
        <w:t>controlled environments</w:t>
      </w:r>
      <w:r w:rsidR="004169A6">
        <w:t xml:space="preserve"> </w:t>
      </w:r>
      <w:r w:rsidR="00783F1C">
        <w:t xml:space="preserve">that have well established practices to </w:t>
      </w:r>
      <w:r w:rsidR="004169A6">
        <w:t xml:space="preserve">manage different </w:t>
      </w:r>
      <w:r w:rsidR="00783F1C">
        <w:t xml:space="preserve">authorized </w:t>
      </w:r>
      <w:r w:rsidR="004169A6">
        <w:t>users</w:t>
      </w:r>
      <w:r w:rsidR="00576568">
        <w:t>,</w:t>
      </w:r>
      <w:r>
        <w:t xml:space="preserve"> </w:t>
      </w:r>
      <w:r w:rsidR="00576568">
        <w:t xml:space="preserve">and there is </w:t>
      </w:r>
      <w:r>
        <w:t xml:space="preserve">adequate </w:t>
      </w:r>
      <w:r w:rsidR="00576568">
        <w:t xml:space="preserve">geographic </w:t>
      </w:r>
      <w:r>
        <w:t xml:space="preserve">separation </w:t>
      </w:r>
      <w:r w:rsidR="00CC22C4">
        <w:t xml:space="preserve">between </w:t>
      </w:r>
      <w:r>
        <w:t>public roads</w:t>
      </w:r>
      <w:r w:rsidR="00576568">
        <w:t xml:space="preserve"> </w:t>
      </w:r>
      <w:r w:rsidR="00CC22C4">
        <w:t>and</w:t>
      </w:r>
      <w:r w:rsidR="00576568">
        <w:t xml:space="preserve"> airport air operations areas</w:t>
      </w:r>
      <w:r w:rsidR="00A458C9">
        <w:t>,</w:t>
      </w:r>
      <w:r w:rsidR="00576568">
        <w:t xml:space="preserve"> so</w:t>
      </w:r>
      <w:r w:rsidR="00A458C9">
        <w:t xml:space="preserve"> </w:t>
      </w:r>
      <w:r w:rsidR="00455BA1">
        <w:t>expanded use of such radars will not cause harmful interference to vehicular ra</w:t>
      </w:r>
      <w:r>
        <w:t xml:space="preserve">dars.  </w:t>
      </w:r>
    </w:p>
    <w:p w:rsidR="00FD61DB" w:rsidRDefault="00FD61DB" w:rsidP="00993EF1">
      <w:pPr>
        <w:pStyle w:val="ParaNum"/>
      </w:pPr>
      <w:r w:rsidRPr="00986AE0">
        <w:rPr>
          <w:i/>
        </w:rPr>
        <w:t>FOD Detection Radars.</w:t>
      </w:r>
      <w:r>
        <w:t xml:space="preserve"> As proposed in the </w:t>
      </w:r>
      <w:r w:rsidRPr="00DC3FCF">
        <w:rPr>
          <w:i/>
        </w:rPr>
        <w:t>NPRM</w:t>
      </w:r>
      <w:r>
        <w:t>, we will permit FOD detection radar operations at airport locations in the entire 76-81 GHz band under the same technical requirements currently allowed for such operations in the 76-77 GHz band.</w:t>
      </w:r>
      <w:r w:rsidR="0007574A">
        <w:rPr>
          <w:rStyle w:val="FootnoteReference"/>
        </w:rPr>
        <w:footnoteReference w:id="155"/>
      </w:r>
      <w:r w:rsidRPr="00DB561A">
        <w:t xml:space="preserve"> </w:t>
      </w:r>
      <w:r>
        <w:t xml:space="preserve"> The record supports </w:t>
      </w:r>
      <w:r w:rsidR="005E08E5">
        <w:t>the Commission’s</w:t>
      </w:r>
      <w:r>
        <w:t xml:space="preserve"> proposal to expand the spectrum available for FOD </w:t>
      </w:r>
      <w:r w:rsidR="00ED7EAD">
        <w:t xml:space="preserve">detection </w:t>
      </w:r>
      <w:r>
        <w:t>radars at airports</w:t>
      </w:r>
      <w:r w:rsidR="00F0332F">
        <w:t xml:space="preserve"> </w:t>
      </w:r>
      <w:r w:rsidR="00C7468C" w:rsidRPr="00A46336">
        <w:t>by providing</w:t>
      </w:r>
      <w:r>
        <w:t xml:space="preserve"> a contiguous band of spectrum from 76 GHz to 81 GHz</w:t>
      </w:r>
      <w:r w:rsidR="00F0332F">
        <w:t>.</w:t>
      </w:r>
      <w:r w:rsidR="00F0332F">
        <w:rPr>
          <w:rStyle w:val="FootnoteReference"/>
        </w:rPr>
        <w:footnoteReference w:id="156"/>
      </w:r>
      <w:r w:rsidR="00F0332F">
        <w:t xml:space="preserve">  This expanded band</w:t>
      </w:r>
      <w:r>
        <w:t xml:space="preserve"> will foster the development of technologically improved and </w:t>
      </w:r>
      <w:r w:rsidRPr="00FF33A2">
        <w:t>cost-effective radar applications that will improve airport operations and provide important benefits to the airlines, airp</w:t>
      </w:r>
      <w:r w:rsidRPr="00711981">
        <w:t xml:space="preserve">ort personnel, and the </w:t>
      </w:r>
      <w:r w:rsidR="00574874">
        <w:t>traveling</w:t>
      </w:r>
      <w:r w:rsidR="00574874" w:rsidRPr="00711981">
        <w:t xml:space="preserve"> </w:t>
      </w:r>
      <w:r w:rsidRPr="00711981">
        <w:t>public.</w:t>
      </w:r>
      <w:r w:rsidR="00C30A20" w:rsidRPr="00C30A20">
        <w:rPr>
          <w:rStyle w:val="FootnoteReference"/>
        </w:rPr>
        <w:t xml:space="preserve"> </w:t>
      </w:r>
    </w:p>
    <w:p w:rsidR="00FD61DB" w:rsidRDefault="00FD61DB" w:rsidP="00993EF1">
      <w:pPr>
        <w:pStyle w:val="ParaNum"/>
      </w:pPr>
      <w:r w:rsidRPr="00B95C12">
        <w:t xml:space="preserve">The record </w:t>
      </w:r>
      <w:r>
        <w:t xml:space="preserve">also </w:t>
      </w:r>
      <w:r w:rsidRPr="00B95C12">
        <w:t>reflects</w:t>
      </w:r>
      <w:r w:rsidR="00ED7EAD">
        <w:t xml:space="preserve"> the</w:t>
      </w:r>
      <w:r w:rsidRPr="00B95C12">
        <w:t xml:space="preserve"> automotive industry</w:t>
      </w:r>
      <w:r>
        <w:t>’s concerns of potential interference to vehicular radars from the expanded FOD detection radar operations</w:t>
      </w:r>
      <w:r w:rsidRPr="00B95C12">
        <w:t>.</w:t>
      </w:r>
      <w:r>
        <w:t xml:space="preserve">  Bosch and Delphi insist on limiting FOD detection radar operations to airport locations that avoid illumination of public roadways, to minimize the potential for interference to vehicular radars.</w:t>
      </w:r>
      <w:r>
        <w:rPr>
          <w:rStyle w:val="FootnoteReference"/>
        </w:rPr>
        <w:footnoteReference w:id="157"/>
      </w:r>
      <w:r>
        <w:t xml:space="preserve">  Mercedes-Benz asserts that, after examination, 76-77 GHz FOD detection radar operations at airport locations that do not illuminate public roadways were found to not create the potential for interference to vehicular radars in the band.</w:t>
      </w:r>
      <w:r>
        <w:rPr>
          <w:rStyle w:val="FootnoteReference"/>
        </w:rPr>
        <w:footnoteReference w:id="158"/>
      </w:r>
      <w:r w:rsidR="0059128D">
        <w:t xml:space="preserve">  </w:t>
      </w:r>
      <w:r>
        <w:t>On the other hand, Navtech opposes such restrictions, contending that FOD detection rad</w:t>
      </w:r>
      <w:r w:rsidR="00903236">
        <w:t>ars and vehicular radars can co</w:t>
      </w:r>
      <w:r>
        <w:t>exist without this limitation.</w:t>
      </w:r>
      <w:r>
        <w:rPr>
          <w:rStyle w:val="FootnoteReference"/>
        </w:rPr>
        <w:footnoteReference w:id="159"/>
      </w:r>
      <w:r>
        <w:t xml:space="preserve">  Navtech argues that such a limitation could compromise the full performance of a safety critical device or require additional sensors to be installed, increasing costs and limiting the commercial advantage of high performance systems.</w:t>
      </w:r>
      <w:r>
        <w:rPr>
          <w:rStyle w:val="FootnoteReference"/>
        </w:rPr>
        <w:footnoteReference w:id="160"/>
      </w:r>
      <w:r>
        <w:t xml:space="preserve">  </w:t>
      </w:r>
    </w:p>
    <w:p w:rsidR="00FD61DB" w:rsidRDefault="00FD61DB" w:rsidP="00993EF1">
      <w:pPr>
        <w:pStyle w:val="ParaNum"/>
        <w:widowControl/>
      </w:pPr>
      <w:r>
        <w:t xml:space="preserve">We will maintain </w:t>
      </w:r>
      <w:r w:rsidR="00215D0B">
        <w:t xml:space="preserve">an </w:t>
      </w:r>
      <w:r w:rsidR="009B3809">
        <w:t xml:space="preserve">airport-based geographic </w:t>
      </w:r>
      <w:r>
        <w:t xml:space="preserve">restriction </w:t>
      </w:r>
      <w:r w:rsidR="009B3809">
        <w:t xml:space="preserve">on </w:t>
      </w:r>
      <w:r>
        <w:t>FOD detection radar operat</w:t>
      </w:r>
      <w:r w:rsidR="009B3809">
        <w:t>ions</w:t>
      </w:r>
      <w:r>
        <w:t xml:space="preserve">.  </w:t>
      </w:r>
      <w:r w:rsidR="00215D0B">
        <w:t>T</w:t>
      </w:r>
      <w:r w:rsidRPr="00886B99">
        <w:t xml:space="preserve">his restriction will provide geographic separation </w:t>
      </w:r>
      <w:r>
        <w:t xml:space="preserve">between </w:t>
      </w:r>
      <w:r w:rsidR="00907665">
        <w:t xml:space="preserve">airport-based </w:t>
      </w:r>
      <w:r>
        <w:t xml:space="preserve">radar operations and </w:t>
      </w:r>
      <w:r w:rsidRPr="00886B99">
        <w:t>vehicular radar operations on public roads</w:t>
      </w:r>
      <w:r>
        <w:t>,</w:t>
      </w:r>
      <w:r w:rsidRPr="00886B99">
        <w:t xml:space="preserve"> avoiding any possibility of harmful interference to vehicular radar op</w:t>
      </w:r>
      <w:r>
        <w:t xml:space="preserve">erations in the 76-81 GHz band.  </w:t>
      </w:r>
      <w:r w:rsidR="00E755B2">
        <w:t>Hence, Bosch and Delphi’s concerns over the potential illumination of public road</w:t>
      </w:r>
      <w:r w:rsidR="005232B2">
        <w:t>way</w:t>
      </w:r>
      <w:r w:rsidR="00E755B2">
        <w:t xml:space="preserve">s </w:t>
      </w:r>
      <w:r w:rsidR="00751A86" w:rsidRPr="00D95D76">
        <w:t>are</w:t>
      </w:r>
      <w:r w:rsidR="00E755B2">
        <w:t xml:space="preserve"> addressed by specifying </w:t>
      </w:r>
      <w:r w:rsidR="00BE74A3">
        <w:t xml:space="preserve">that FOD detection radars will be permitted </w:t>
      </w:r>
      <w:r w:rsidR="000E15F1">
        <w:t xml:space="preserve">in </w:t>
      </w:r>
      <w:r w:rsidR="00E755B2">
        <w:t xml:space="preserve">air operations areas </w:t>
      </w:r>
      <w:r w:rsidR="0088645C">
        <w:t>on</w:t>
      </w:r>
      <w:r w:rsidR="00BE74A3">
        <w:t xml:space="preserve"> airport</w:t>
      </w:r>
      <w:r w:rsidR="0088645C">
        <w:t xml:space="preserve"> ground</w:t>
      </w:r>
      <w:r w:rsidR="00BE74A3">
        <w:t>s</w:t>
      </w:r>
      <w:r w:rsidR="00E755B2">
        <w:t>.</w:t>
      </w:r>
      <w:r w:rsidR="00B42F70">
        <w:t xml:space="preserve">  </w:t>
      </w:r>
      <w:r w:rsidR="00E755B2">
        <w:t>Further, a</w:t>
      </w:r>
      <w:r>
        <w:t>s X</w:t>
      </w:r>
      <w:r w:rsidR="00496B68">
        <w:t>s</w:t>
      </w:r>
      <w:r>
        <w:t>ight Systems, Inc. (Xsight)</w:t>
      </w:r>
      <w:r w:rsidR="00B42F70">
        <w:t xml:space="preserve">, </w:t>
      </w:r>
      <w:r>
        <w:t>a</w:t>
      </w:r>
      <w:r w:rsidR="00CC22C4">
        <w:t xml:space="preserve"> manufacturer of</w:t>
      </w:r>
      <w:r>
        <w:t xml:space="preserve"> FOD detection radar</w:t>
      </w:r>
      <w:r w:rsidR="00CC22C4">
        <w:t>s</w:t>
      </w:r>
      <w:r w:rsidR="000E15F1">
        <w:t xml:space="preserve"> </w:t>
      </w:r>
      <w:r>
        <w:t>notes, “the limited geographic restriction (i.e., at airports) along with the propagation characteristics of the millimeter wave band yields negligible risk of interference potential between vehicular and FOD detection radars.”</w:t>
      </w:r>
      <w:r>
        <w:rPr>
          <w:rStyle w:val="FootnoteReference"/>
        </w:rPr>
        <w:footnoteReference w:id="161"/>
      </w:r>
      <w:r>
        <w:t xml:space="preserve">  Our experience </w:t>
      </w:r>
      <w:r w:rsidR="00B81C3F">
        <w:t xml:space="preserve">thus far </w:t>
      </w:r>
      <w:r w:rsidR="00254729">
        <w:t>sup</w:t>
      </w:r>
      <w:r w:rsidR="00844021">
        <w:t>p</w:t>
      </w:r>
      <w:r w:rsidR="00254729">
        <w:t>orts</w:t>
      </w:r>
      <w:r>
        <w:t xml:space="preserve"> this assertion.  Since 2012, when FOD detection radars were initially permitted at airports,</w:t>
      </w:r>
      <w:r>
        <w:rPr>
          <w:rStyle w:val="FootnoteReference"/>
        </w:rPr>
        <w:footnoteReference w:id="162"/>
      </w:r>
      <w:r>
        <w:t xml:space="preserve"> </w:t>
      </w:r>
      <w:r w:rsidR="0088645C">
        <w:t xml:space="preserve">the Commission has not </w:t>
      </w:r>
      <w:r w:rsidR="00254729">
        <w:t>received</w:t>
      </w:r>
      <w:r w:rsidR="0088645C">
        <w:t xml:space="preserve"> any</w:t>
      </w:r>
      <w:r w:rsidR="00254729">
        <w:t xml:space="preserve"> </w:t>
      </w:r>
      <w:r>
        <w:t>reports of harmful interference to vehicular radar operations in the band from FOD detection radars.</w:t>
      </w:r>
      <w:r w:rsidRPr="00795830">
        <w:t xml:space="preserve"> </w:t>
      </w:r>
      <w:r>
        <w:t xml:space="preserve"> Furthermore, given that parties disagree on the potential for 76-81 GHz band fixed radar operations outside of airport locations to cause harmful interference to vehicular radar operations in the band,</w:t>
      </w:r>
      <w:r>
        <w:rPr>
          <w:rStyle w:val="FootnoteReference"/>
        </w:rPr>
        <w:footnoteReference w:id="163"/>
      </w:r>
      <w:r>
        <w:t xml:space="preserve"> we believe that the restriction for 76-81 GHz band FOD detection radars to operate only </w:t>
      </w:r>
      <w:r w:rsidR="0088645C">
        <w:t xml:space="preserve">in air operations areas </w:t>
      </w:r>
      <w:r>
        <w:t>at airport locations remains a reasonable condition on their use.</w:t>
      </w:r>
      <w:r w:rsidRPr="00FF33A2">
        <w:t xml:space="preserve"> </w:t>
      </w:r>
      <w:r>
        <w:t xml:space="preserve"> </w:t>
      </w:r>
      <w:r w:rsidR="00496B68">
        <w:t>A</w:t>
      </w:r>
      <w:r w:rsidR="004169A6">
        <w:t xml:space="preserve">n airport-based </w:t>
      </w:r>
      <w:r>
        <w:t xml:space="preserve">restriction </w:t>
      </w:r>
      <w:r w:rsidR="0088645C">
        <w:t xml:space="preserve">in air </w:t>
      </w:r>
      <w:r w:rsidR="00AF6EF7">
        <w:t>operations</w:t>
      </w:r>
      <w:r w:rsidR="0088645C">
        <w:t xml:space="preserve"> areas </w:t>
      </w:r>
      <w:r>
        <w:t>is not new to FOD detection radars</w:t>
      </w:r>
      <w:r w:rsidR="00496B68">
        <w:t>;</w:t>
      </w:r>
      <w:r>
        <w:t xml:space="preserve"> contrary to Navtech’s arguments, </w:t>
      </w:r>
      <w:r w:rsidR="00496B68">
        <w:t xml:space="preserve">judicious equipment selection and </w:t>
      </w:r>
      <w:r w:rsidR="00496B68" w:rsidRPr="007F27BD">
        <w:t>placement (e.g</w:t>
      </w:r>
      <w:r w:rsidR="00496B68">
        <w:t>.</w:t>
      </w:r>
      <w:r w:rsidR="00592FFC" w:rsidRPr="00A46336">
        <w:t>,</w:t>
      </w:r>
      <w:r w:rsidR="00496B68">
        <w:t xml:space="preserve"> directional antennas) will allow </w:t>
      </w:r>
      <w:r>
        <w:t xml:space="preserve">parties to continue to conduct FOD detection </w:t>
      </w:r>
      <w:r w:rsidR="00977B1D">
        <w:t xml:space="preserve">radar </w:t>
      </w:r>
      <w:r>
        <w:t>operations</w:t>
      </w:r>
      <w:r w:rsidR="00496B68">
        <w:t xml:space="preserve"> with the same high level of performance </w:t>
      </w:r>
      <w:r w:rsidR="00977B1D">
        <w:t>and will not</w:t>
      </w:r>
      <w:r w:rsidR="00496B68">
        <w:t xml:space="preserve"> introduc</w:t>
      </w:r>
      <w:r w:rsidR="00977B1D">
        <w:t>e new</w:t>
      </w:r>
      <w:r>
        <w:t xml:space="preserve"> costs </w:t>
      </w:r>
      <w:r w:rsidR="00496B68">
        <w:t>that would jeopardize the commercial utility of such operations</w:t>
      </w:r>
      <w:r>
        <w:t>.</w:t>
      </w:r>
    </w:p>
    <w:p w:rsidR="00FD61DB" w:rsidRDefault="00FD61DB" w:rsidP="00993EF1">
      <w:pPr>
        <w:pStyle w:val="ParaNum"/>
      </w:pPr>
      <w:r>
        <w:t xml:space="preserve">As proposed in the </w:t>
      </w:r>
      <w:r w:rsidRPr="00A669A6">
        <w:rPr>
          <w:i/>
        </w:rPr>
        <w:t>NPRM</w:t>
      </w:r>
      <w:r>
        <w:t xml:space="preserve"> and supported by the record, we </w:t>
      </w:r>
      <w:r w:rsidRPr="00397996">
        <w:t xml:space="preserve">grandfather, for the life of the equipment, </w:t>
      </w:r>
      <w:r>
        <w:t xml:space="preserve">any </w:t>
      </w:r>
      <w:r w:rsidRPr="00397996">
        <w:t>FOD detection radars</w:t>
      </w:r>
      <w:r>
        <w:t xml:space="preserve"> </w:t>
      </w:r>
      <w:r w:rsidRPr="00397996">
        <w:t>that are</w:t>
      </w:r>
      <w:r>
        <w:t xml:space="preserve"> </w:t>
      </w:r>
      <w:r w:rsidRPr="00397996">
        <w:t>already installed or in use</w:t>
      </w:r>
      <w:r w:rsidR="00125D4C">
        <w:t>.  This will</w:t>
      </w:r>
      <w:r w:rsidR="0073689C" w:rsidRPr="00901DFD">
        <w:t xml:space="preserve"> allow such systems to continue operating </w:t>
      </w:r>
      <w:r w:rsidR="00125D4C">
        <w:t xml:space="preserve">pursuant to their current </w:t>
      </w:r>
      <w:r w:rsidR="007F3514">
        <w:t xml:space="preserve">(i.e., Part 15) </w:t>
      </w:r>
      <w:r w:rsidR="00125D4C">
        <w:t xml:space="preserve">operating parameters </w:t>
      </w:r>
      <w:r w:rsidR="0073689C" w:rsidRPr="00901DFD">
        <w:t xml:space="preserve">for the life of the </w:t>
      </w:r>
      <w:r w:rsidR="0073689C">
        <w:t xml:space="preserve">equipment </w:t>
      </w:r>
      <w:r w:rsidR="0073689C" w:rsidRPr="00901DFD">
        <w:t>or until the supply of existing equipment necessary for maintenance is exhausted</w:t>
      </w:r>
      <w:r>
        <w:t>.</w:t>
      </w:r>
      <w:r>
        <w:rPr>
          <w:rStyle w:val="FootnoteReference"/>
        </w:rPr>
        <w:footnoteReference w:id="164"/>
      </w:r>
      <w:r w:rsidR="009B2340">
        <w:t xml:space="preserve">  FOD detection radars are an important safety feature at airports; g</w:t>
      </w:r>
      <w:r w:rsidR="009B2340" w:rsidRPr="00376274">
        <w:t>randfathering</w:t>
      </w:r>
      <w:r w:rsidR="009B2340">
        <w:t xml:space="preserve"> </w:t>
      </w:r>
      <w:r w:rsidR="009B2340" w:rsidRPr="00376274">
        <w:t>FOD detection radars that are already installed or in use in the 76-</w:t>
      </w:r>
      <w:r w:rsidR="009B2340">
        <w:t>77 GHz and 78-81</w:t>
      </w:r>
      <w:r w:rsidR="009B2340" w:rsidRPr="00376274">
        <w:t xml:space="preserve"> GHz band</w:t>
      </w:r>
      <w:r w:rsidR="009B2340">
        <w:t>s serves the public interest.</w:t>
      </w:r>
      <w:r>
        <w:t xml:space="preserve">  </w:t>
      </w:r>
      <w:r w:rsidR="009B2340">
        <w:t>However, w</w:t>
      </w:r>
      <w:r>
        <w:t xml:space="preserve">e will not </w:t>
      </w:r>
      <w:r w:rsidRPr="00397996">
        <w:t>certif</w:t>
      </w:r>
      <w:r>
        <w:t xml:space="preserve">y any </w:t>
      </w:r>
      <w:r w:rsidRPr="00397996">
        <w:t>new</w:t>
      </w:r>
      <w:r>
        <w:t xml:space="preserve"> </w:t>
      </w:r>
      <w:r w:rsidRPr="00397996">
        <w:t>FOD detection radars under</w:t>
      </w:r>
      <w:r>
        <w:t xml:space="preserve"> Part 15 or</w:t>
      </w:r>
      <w:r w:rsidRPr="00397996">
        <w:t xml:space="preserve"> Part 90 </w:t>
      </w:r>
      <w:r>
        <w:t xml:space="preserve">of our rules </w:t>
      </w:r>
      <w:r w:rsidR="005255AC">
        <w:t xml:space="preserve">upon adoption of this </w:t>
      </w:r>
      <w:r w:rsidR="00673336" w:rsidRPr="001F1184">
        <w:rPr>
          <w:i/>
        </w:rPr>
        <w:t>Report and O</w:t>
      </w:r>
      <w:r w:rsidRPr="001F1184">
        <w:rPr>
          <w:i/>
        </w:rPr>
        <w:t>rder</w:t>
      </w:r>
      <w:r>
        <w:t>.</w:t>
      </w:r>
      <w:r w:rsidR="005255AC">
        <w:rPr>
          <w:rStyle w:val="FootnoteReference"/>
        </w:rPr>
        <w:footnoteReference w:id="165"/>
      </w:r>
      <w:r>
        <w:t xml:space="preserve">  </w:t>
      </w:r>
      <w:r w:rsidR="00D91DB0">
        <w:t xml:space="preserve">Considering that we </w:t>
      </w:r>
      <w:r w:rsidR="005255AC">
        <w:t>are adopting rules to allow for uniform certification of FOD</w:t>
      </w:r>
      <w:r w:rsidR="009377B2">
        <w:t xml:space="preserve"> </w:t>
      </w:r>
      <w:r w:rsidR="009377B2" w:rsidRPr="00A46336">
        <w:t>detection</w:t>
      </w:r>
      <w:r w:rsidR="005255AC" w:rsidRPr="00A46336">
        <w:t xml:space="preserve"> </w:t>
      </w:r>
      <w:r w:rsidR="009377B2" w:rsidRPr="00A46336">
        <w:t>radar</w:t>
      </w:r>
      <w:r w:rsidR="009377B2">
        <w:t xml:space="preserve"> </w:t>
      </w:r>
      <w:r w:rsidR="005255AC">
        <w:t xml:space="preserve">equipment under Part 95 and for </w:t>
      </w:r>
      <w:r w:rsidR="009377B2" w:rsidRPr="00A46336">
        <w:t>such radar</w:t>
      </w:r>
      <w:r w:rsidR="009377B2">
        <w:t xml:space="preserve"> </w:t>
      </w:r>
      <w:r w:rsidR="005255AC">
        <w:t>operations in the entire 76-81 GHz band</w:t>
      </w:r>
      <w:r w:rsidR="00D91DB0">
        <w:t xml:space="preserve"> under the same technical parameters as Part 15, we find that there is good cause to avoid situations where applications for </w:t>
      </w:r>
      <w:r w:rsidR="00E4187E" w:rsidRPr="00A46336">
        <w:t>such</w:t>
      </w:r>
      <w:r w:rsidR="00E4187E">
        <w:t xml:space="preserve"> </w:t>
      </w:r>
      <w:r w:rsidR="00D91DB0">
        <w:t xml:space="preserve">equipment authorizations are filed in the time period between the adoption date and the </w:t>
      </w:r>
      <w:r w:rsidR="00D91DB0" w:rsidRPr="00397996">
        <w:t>effective</w:t>
      </w:r>
      <w:r w:rsidR="00D91DB0">
        <w:t xml:space="preserve"> date of this </w:t>
      </w:r>
      <w:r w:rsidR="00673336" w:rsidRPr="001F1184">
        <w:rPr>
          <w:i/>
        </w:rPr>
        <w:t xml:space="preserve">Report and </w:t>
      </w:r>
      <w:r w:rsidR="00D91DB0" w:rsidRPr="001F1184">
        <w:rPr>
          <w:i/>
        </w:rPr>
        <w:t>Order</w:t>
      </w:r>
      <w:r w:rsidR="005255AC">
        <w:t xml:space="preserve">.  </w:t>
      </w:r>
      <w:r w:rsidRPr="007F11AC">
        <w:t>If entities want to operate existing FOD detection radar</w:t>
      </w:r>
      <w:r w:rsidR="006363F4">
        <w:t xml:space="preserve"> equipment</w:t>
      </w:r>
      <w:r w:rsidRPr="007F11AC">
        <w:t xml:space="preserve"> in the 77-78 GHz band</w:t>
      </w:r>
      <w:r w:rsidR="009B2340">
        <w:t xml:space="preserve"> (which has not previously been available for FOD detection radar use)</w:t>
      </w:r>
      <w:r w:rsidRPr="007F11AC">
        <w:t xml:space="preserve">, such equipment would </w:t>
      </w:r>
      <w:r w:rsidR="009B2340">
        <w:t xml:space="preserve">first </w:t>
      </w:r>
      <w:r w:rsidRPr="007F11AC">
        <w:t>have to be certified under our equipment authorization procedures to operate in the 77-78 GHz band</w:t>
      </w:r>
      <w:r w:rsidR="003D5AC4">
        <w:t xml:space="preserve"> under our Part 95 rules</w:t>
      </w:r>
      <w:r w:rsidR="006363F4">
        <w:t>.</w:t>
      </w:r>
    </w:p>
    <w:p w:rsidR="00FD61DB" w:rsidRDefault="00FD61DB" w:rsidP="00993EF1">
      <w:pPr>
        <w:pStyle w:val="ParaNum"/>
        <w:widowControl/>
      </w:pPr>
      <w:r w:rsidRPr="00986AE0">
        <w:rPr>
          <w:i/>
        </w:rPr>
        <w:t>Aircraft-mounted Radars.</w:t>
      </w:r>
      <w:r w:rsidRPr="00986AE0">
        <w:t xml:space="preserve"> </w:t>
      </w:r>
      <w:r>
        <w:t xml:space="preserve"> </w:t>
      </w:r>
      <w:r w:rsidRPr="00986AE0">
        <w:t>We</w:t>
      </w:r>
      <w:r>
        <w:t xml:space="preserve"> will </w:t>
      </w:r>
      <w:r w:rsidRPr="00996B95">
        <w:t xml:space="preserve">permit </w:t>
      </w:r>
      <w:r w:rsidR="00E4187E" w:rsidRPr="00A46336">
        <w:t>the</w:t>
      </w:r>
      <w:r w:rsidR="00E4187E">
        <w:t xml:space="preserve"> </w:t>
      </w:r>
      <w:r>
        <w:t xml:space="preserve">use of aircraft-mounted </w:t>
      </w:r>
      <w:r w:rsidRPr="00996B95">
        <w:t>radar applications</w:t>
      </w:r>
      <w:r>
        <w:t xml:space="preserve"> </w:t>
      </w:r>
      <w:r w:rsidRPr="00996B95">
        <w:t xml:space="preserve">in the </w:t>
      </w:r>
      <w:r>
        <w:t xml:space="preserve">entire </w:t>
      </w:r>
      <w:r w:rsidRPr="00996B95">
        <w:t>76-</w:t>
      </w:r>
      <w:r>
        <w:t>81</w:t>
      </w:r>
      <w:r w:rsidRPr="00996B95">
        <w:t xml:space="preserve"> GHz band</w:t>
      </w:r>
      <w:r>
        <w:t xml:space="preserve"> as long as they are used </w:t>
      </w:r>
      <w:r w:rsidR="00F851C2">
        <w:t>in</w:t>
      </w:r>
      <w:r>
        <w:t xml:space="preserve"> airport </w:t>
      </w:r>
      <w:r w:rsidR="0088645C">
        <w:t>air operations areas</w:t>
      </w:r>
      <w:r>
        <w:t xml:space="preserve"> while aircraft are on the ground.</w:t>
      </w:r>
      <w:r w:rsidR="00914D68">
        <w:t xml:space="preserve">  </w:t>
      </w:r>
      <w:r w:rsidR="00817121">
        <w:t xml:space="preserve">For these purposes, aircraft includes helicopters, as suggested by </w:t>
      </w:r>
      <w:r w:rsidR="00817121" w:rsidRPr="008B7950">
        <w:t>Rockwell</w:t>
      </w:r>
      <w:r w:rsidR="00817121">
        <w:t xml:space="preserve"> Collins</w:t>
      </w:r>
      <w:r w:rsidR="00E7730D">
        <w:t>, Inc.</w:t>
      </w:r>
      <w:r w:rsidR="00817121">
        <w:t xml:space="preserve"> (Rockwell) in comments to this proceeding.</w:t>
      </w:r>
      <w:r w:rsidR="00817121">
        <w:rPr>
          <w:rStyle w:val="FootnoteReference"/>
        </w:rPr>
        <w:footnoteReference w:id="166"/>
      </w:r>
      <w:r w:rsidR="00817121">
        <w:t xml:space="preserve">  </w:t>
      </w:r>
      <w:r>
        <w:t>These radars, which have also been referred to as “wingtip radars</w:t>
      </w:r>
      <w:r w:rsidR="002B5B38">
        <w:t>,</w:t>
      </w:r>
      <w:r>
        <w:t xml:space="preserve">” would be used to prevent and mitigate the severity of aircraft wingtip collisions while planes move between airport gates and runways.  Aircraft </w:t>
      </w:r>
      <w:r w:rsidRPr="0059436B">
        <w:t>wing</w:t>
      </w:r>
      <w:r>
        <w:t>tip</w:t>
      </w:r>
      <w:r w:rsidRPr="0059436B">
        <w:t xml:space="preserve"> collisions</w:t>
      </w:r>
      <w:r>
        <w:t xml:space="preserve"> account for approximately 25 percent of all aircraft ground accidents,</w:t>
      </w:r>
      <w:r w:rsidRPr="0059436B">
        <w:t xml:space="preserve"> </w:t>
      </w:r>
      <w:r>
        <w:t xml:space="preserve">and </w:t>
      </w:r>
      <w:r w:rsidRPr="0059436B">
        <w:t>involve</w:t>
      </w:r>
      <w:r>
        <w:t xml:space="preserve"> </w:t>
      </w:r>
      <w:r w:rsidRPr="0059436B">
        <w:t>substantial costs, both in terms of repairs to aircraft and ground facilities</w:t>
      </w:r>
      <w:r>
        <w:t>,</w:t>
      </w:r>
      <w:r w:rsidRPr="0059436B">
        <w:t xml:space="preserve"> and in lost time for</w:t>
      </w:r>
      <w:r>
        <w:t xml:space="preserve"> </w:t>
      </w:r>
      <w:r w:rsidRPr="0059436B">
        <w:t>passengers due to flight delays and cancellations</w:t>
      </w:r>
      <w:r>
        <w:t>.</w:t>
      </w:r>
      <w:r>
        <w:rPr>
          <w:rStyle w:val="FootnoteReference"/>
        </w:rPr>
        <w:footnoteReference w:id="167"/>
      </w:r>
      <w:r>
        <w:t xml:space="preserve">  We agree that aircraft-mounted radar applications can</w:t>
      </w:r>
      <w:r w:rsidR="00D20C85">
        <w:t xml:space="preserve"> help</w:t>
      </w:r>
      <w:r>
        <w:t xml:space="preserve"> protect aircraft during taxi</w:t>
      </w:r>
      <w:r w:rsidR="00977B1D">
        <w:t>ing</w:t>
      </w:r>
      <w:r>
        <w:t xml:space="preserve"> and ground maneuvering, improve airport operations, and provide significant benefits to the airline industry and traveling public, while still protecting vehicular radars from harmful interference.</w:t>
      </w:r>
    </w:p>
    <w:p w:rsidR="00FD61DB" w:rsidRDefault="004135E9" w:rsidP="00993EF1">
      <w:pPr>
        <w:pStyle w:val="ParaNum"/>
        <w:widowControl/>
      </w:pPr>
      <w:r>
        <w:t>Several commenters support the use of aircraft-mounted radars</w:t>
      </w:r>
      <w:r w:rsidR="00405595">
        <w:t xml:space="preserve"> on the ground</w:t>
      </w:r>
      <w:r>
        <w:t xml:space="preserve"> at airport locations on the basis that they would not pose any interference issues to vehicular radars and can coexist with FOD detection radars.</w:t>
      </w:r>
      <w:r>
        <w:rPr>
          <w:rStyle w:val="FootnoteReference"/>
        </w:rPr>
        <w:footnoteReference w:id="168"/>
      </w:r>
      <w:r>
        <w:t xml:space="preserve">  </w:t>
      </w:r>
      <w:r w:rsidR="00FD61DB">
        <w:t>Delphi argues that use of aircraft-mounted radars in the 76-81 GHz band while aircraft are stationary or taxiing should not pose any major interference problems to vehicular radars.</w:t>
      </w:r>
      <w:r w:rsidR="00FD61DB">
        <w:rPr>
          <w:rStyle w:val="FootnoteReference"/>
        </w:rPr>
        <w:footnoteReference w:id="169"/>
      </w:r>
      <w:r w:rsidR="00FD61DB">
        <w:t xml:space="preserve">  Bosch contends that because there is </w:t>
      </w:r>
      <w:r w:rsidR="00FD61DB" w:rsidRPr="00677C72">
        <w:rPr>
          <w:rFonts w:eastAsia="Calibri"/>
          <w:snapToGrid/>
          <w:kern w:val="0"/>
          <w:szCs w:val="22"/>
        </w:rPr>
        <w:t xml:space="preserve">substantial geographic separation between airport taxiways and public roads, and </w:t>
      </w:r>
      <w:r w:rsidR="00FD61DB" w:rsidRPr="00576993">
        <w:rPr>
          <w:rFonts w:eastAsia="Calibri"/>
          <w:snapToGrid/>
          <w:kern w:val="0"/>
          <w:szCs w:val="22"/>
        </w:rPr>
        <w:t xml:space="preserve">since aircraft-mounted radars are moving objects as are automobiles, </w:t>
      </w:r>
      <w:r w:rsidR="00FD61DB">
        <w:rPr>
          <w:rFonts w:eastAsia="Calibri"/>
          <w:snapToGrid/>
          <w:kern w:val="0"/>
          <w:szCs w:val="22"/>
        </w:rPr>
        <w:t xml:space="preserve">there is no </w:t>
      </w:r>
      <w:r w:rsidR="00FD61DB" w:rsidRPr="00576993">
        <w:rPr>
          <w:rFonts w:eastAsia="Calibri"/>
          <w:snapToGrid/>
          <w:kern w:val="0"/>
          <w:szCs w:val="22"/>
        </w:rPr>
        <w:t>significant likelihood of interference from aircraft-mounted radars to vehicular radars.</w:t>
      </w:r>
      <w:r w:rsidR="00FD61DB" w:rsidRPr="001E2BC7">
        <w:rPr>
          <w:rStyle w:val="FootnoteReference"/>
          <w:rFonts w:eastAsia="Calibri"/>
          <w:kern w:val="0"/>
          <w:szCs w:val="22"/>
        </w:rPr>
        <w:footnoteReference w:id="170"/>
      </w:r>
      <w:r w:rsidR="0059128D">
        <w:rPr>
          <w:rFonts w:eastAsia="Calibri"/>
          <w:snapToGrid/>
          <w:kern w:val="0"/>
          <w:szCs w:val="22"/>
        </w:rPr>
        <w:t xml:space="preserve"> </w:t>
      </w:r>
      <w:r w:rsidR="00FD61DB">
        <w:rPr>
          <w:rFonts w:eastAsia="Calibri"/>
          <w:snapToGrid/>
          <w:kern w:val="0"/>
          <w:szCs w:val="22"/>
        </w:rPr>
        <w:t xml:space="preserve"> </w:t>
      </w:r>
      <w:r w:rsidR="00BC1947">
        <w:t xml:space="preserve">Xsight argues that because of the FOD </w:t>
      </w:r>
      <w:r w:rsidR="00977B1D">
        <w:t xml:space="preserve">detection radar </w:t>
      </w:r>
      <w:r w:rsidR="00BC1947">
        <w:t>system architecture, the transient nature of aircraft-mounted radar operations</w:t>
      </w:r>
      <w:r w:rsidR="00E4187E" w:rsidRPr="00A46336">
        <w:t>,</w:t>
      </w:r>
      <w:r w:rsidR="00BC1947" w:rsidRPr="00A46336">
        <w:t xml:space="preserve"> </w:t>
      </w:r>
      <w:r w:rsidR="00BC1947">
        <w:t xml:space="preserve">and the use of this radar application </w:t>
      </w:r>
      <w:r w:rsidR="003B20E0">
        <w:t>in</w:t>
      </w:r>
      <w:r w:rsidR="00BC1947">
        <w:t xml:space="preserve"> gate areas and </w:t>
      </w:r>
      <w:r w:rsidR="003B20E0">
        <w:t>on</w:t>
      </w:r>
      <w:r w:rsidR="00A24FE6">
        <w:t xml:space="preserve"> an</w:t>
      </w:r>
      <w:r w:rsidR="00BF5D55">
        <w:t xml:space="preserve"> airport’s taxiways</w:t>
      </w:r>
      <w:r w:rsidR="00BC1947">
        <w:t>, ai</w:t>
      </w:r>
      <w:r w:rsidR="00903236">
        <w:t>rcraft-mounted radars can co</w:t>
      </w:r>
      <w:r w:rsidR="00BC1947">
        <w:t>exist with FOD detection radars in the same airport environment.</w:t>
      </w:r>
      <w:r w:rsidR="00BC1947">
        <w:rPr>
          <w:rStyle w:val="FootnoteReference"/>
        </w:rPr>
        <w:footnoteReference w:id="171"/>
      </w:r>
    </w:p>
    <w:p w:rsidR="00FD61DB" w:rsidRDefault="004135E9" w:rsidP="00993EF1">
      <w:pPr>
        <w:pStyle w:val="ParaNum"/>
      </w:pPr>
      <w:r>
        <w:t>CEA</w:t>
      </w:r>
      <w:r w:rsidR="00EC2105">
        <w:t xml:space="preserve"> is less certain about the use of aircraft-mounted radar</w:t>
      </w:r>
      <w:r w:rsidR="00E4187E" w:rsidRPr="00A46336">
        <w:t>s</w:t>
      </w:r>
      <w:r w:rsidR="00EC2105">
        <w:t xml:space="preserve"> on the ground, </w:t>
      </w:r>
      <w:r>
        <w:t>contend</w:t>
      </w:r>
      <w:r w:rsidR="00EC2105">
        <w:t>ing</w:t>
      </w:r>
      <w:r>
        <w:t xml:space="preserve"> that “there is insufficient record</w:t>
      </w:r>
      <w:r w:rsidR="00BF5D55">
        <w:t xml:space="preserve"> to support expanding the use of aircraft-mounted radars on the ground</w:t>
      </w:r>
      <w:r w:rsidR="00EC2105">
        <w:t>,</w:t>
      </w:r>
      <w:r>
        <w:t xml:space="preserve">” </w:t>
      </w:r>
      <w:r w:rsidR="00EC2105">
        <w:t xml:space="preserve">and </w:t>
      </w:r>
      <w:r w:rsidR="00BF5D55">
        <w:t xml:space="preserve">such radars </w:t>
      </w:r>
      <w:r>
        <w:t xml:space="preserve">“are likely to interfere with vehicular radar applications” </w:t>
      </w:r>
      <w:r w:rsidRPr="007B2238">
        <w:t xml:space="preserve">unless </w:t>
      </w:r>
      <w:r>
        <w:t>“</w:t>
      </w:r>
      <w:r w:rsidRPr="007B2238">
        <w:t xml:space="preserve">there is a clear path to keeping the </w:t>
      </w:r>
      <w:r>
        <w:t>power</w:t>
      </w:r>
      <w:r w:rsidRPr="007B2238">
        <w:t xml:space="preserve"> of such applications </w:t>
      </w:r>
      <w:r>
        <w:t xml:space="preserve">out of </w:t>
      </w:r>
      <w:r w:rsidRPr="007B2238">
        <w:t>roadways.</w:t>
      </w:r>
      <w:r>
        <w:t>”</w:t>
      </w:r>
      <w:r>
        <w:rPr>
          <w:rStyle w:val="FootnoteReference"/>
        </w:rPr>
        <w:footnoteReference w:id="172"/>
      </w:r>
      <w:r>
        <w:t xml:space="preserve">  We believe we have</w:t>
      </w:r>
      <w:r w:rsidR="003E66EA">
        <w:t xml:space="preserve"> set </w:t>
      </w:r>
      <w:r w:rsidR="00574874">
        <w:t xml:space="preserve">forth </w:t>
      </w:r>
      <w:r>
        <w:t xml:space="preserve">the clear path that CEA portends: </w:t>
      </w:r>
      <w:r w:rsidR="0081108E">
        <w:t xml:space="preserve"> </w:t>
      </w:r>
      <w:r w:rsidR="000058F7">
        <w:t>a</w:t>
      </w:r>
      <w:r w:rsidR="00FD61DB">
        <w:t>ircraft-mounted radar</w:t>
      </w:r>
      <w:r w:rsidR="0024737E">
        <w:t xml:space="preserve"> use </w:t>
      </w:r>
      <w:r w:rsidR="006363F4">
        <w:t>will be restricted to air operations areas of airports – areas that</w:t>
      </w:r>
      <w:r w:rsidR="00FD61DB">
        <w:t xml:space="preserve"> have no public vehicle access.  Similar to FOD detection radars, aircraft-mounted radars operating only</w:t>
      </w:r>
      <w:r w:rsidR="005232E1">
        <w:t xml:space="preserve"> in airport </w:t>
      </w:r>
      <w:r w:rsidR="003B20E0">
        <w:t xml:space="preserve">air </w:t>
      </w:r>
      <w:r w:rsidR="005232E1">
        <w:t>operations areas will</w:t>
      </w:r>
      <w:r w:rsidR="00FD61DB">
        <w:t xml:space="preserve"> have </w:t>
      </w:r>
      <w:r w:rsidR="00FD61DB" w:rsidRPr="00D80E5A">
        <w:rPr>
          <w:rFonts w:eastAsia="Calibri"/>
          <w:snapToGrid/>
          <w:kern w:val="0"/>
          <w:szCs w:val="22"/>
        </w:rPr>
        <w:t xml:space="preserve">sufficient geographic separation from public roads to mitigate the potential for aircraft-mounted radars to interfere </w:t>
      </w:r>
      <w:r w:rsidR="00FD61DB">
        <w:t xml:space="preserve">with vehicular radars.  </w:t>
      </w:r>
      <w:r w:rsidR="00B307C8">
        <w:t xml:space="preserve">Moreover, </w:t>
      </w:r>
      <w:r w:rsidR="00967114">
        <w:t>any interference to nearby vehicular radars would require a</w:t>
      </w:r>
      <w:r w:rsidR="00654361">
        <w:t>n extremely</w:t>
      </w:r>
      <w:r w:rsidR="00AA1600">
        <w:t xml:space="preserve"> unlikely</w:t>
      </w:r>
      <w:r w:rsidR="00967114">
        <w:t xml:space="preserve"> confluence of factors</w:t>
      </w:r>
      <w:r w:rsidR="0081108E">
        <w:t xml:space="preserve">:  </w:t>
      </w:r>
      <w:r w:rsidR="00B307C8">
        <w:t>even if a</w:t>
      </w:r>
      <w:r w:rsidR="00967114">
        <w:t xml:space="preserve"> wingtip radar</w:t>
      </w:r>
      <w:r w:rsidR="00B307C8">
        <w:t xml:space="preserve"> was in close enough proximity to a vehicle to avoid signal </w:t>
      </w:r>
      <w:r w:rsidR="00AA1600">
        <w:t xml:space="preserve">attenuation, </w:t>
      </w:r>
      <w:r w:rsidR="00B307C8">
        <w:t xml:space="preserve">the wingtip radar </w:t>
      </w:r>
      <w:r w:rsidR="005232E1">
        <w:t xml:space="preserve">signal </w:t>
      </w:r>
      <w:r w:rsidR="00AA1600">
        <w:t xml:space="preserve">would have to be </w:t>
      </w:r>
      <w:r w:rsidR="005232E1">
        <w:t xml:space="preserve">transmitted </w:t>
      </w:r>
      <w:r w:rsidR="00AA1600">
        <w:t xml:space="preserve">at an angle that illuminates the roadway area, the aircraft would have to be in a </w:t>
      </w:r>
      <w:r w:rsidR="00783F1C">
        <w:t>particular place</w:t>
      </w:r>
      <w:r w:rsidR="00AA1600">
        <w:t xml:space="preserve"> long enough for interference to be </w:t>
      </w:r>
      <w:r w:rsidR="00654361">
        <w:t>realized</w:t>
      </w:r>
      <w:r w:rsidR="00AA1600">
        <w:t xml:space="preserve">, </w:t>
      </w:r>
      <w:r w:rsidR="00654361">
        <w:t>and site-specific</w:t>
      </w:r>
      <w:r w:rsidR="00AA1600">
        <w:t xml:space="preserve"> features – such </w:t>
      </w:r>
      <w:r w:rsidR="00654361">
        <w:t>as</w:t>
      </w:r>
      <w:r w:rsidR="00AA1600">
        <w:t xml:space="preserve"> </w:t>
      </w:r>
      <w:r w:rsidR="00654361">
        <w:t xml:space="preserve">airport </w:t>
      </w:r>
      <w:r w:rsidR="00AA1600">
        <w:t xml:space="preserve">fencing – would have </w:t>
      </w:r>
      <w:r w:rsidR="00654361">
        <w:t>to insufficient</w:t>
      </w:r>
      <w:r w:rsidR="00574874">
        <w:t>ly</w:t>
      </w:r>
      <w:r w:rsidR="00654361">
        <w:t xml:space="preserve"> mitigat</w:t>
      </w:r>
      <w:r w:rsidR="00574874">
        <w:t>e</w:t>
      </w:r>
      <w:r w:rsidR="005232E1">
        <w:t xml:space="preserve"> potential interference</w:t>
      </w:r>
      <w:r w:rsidR="00967114">
        <w:t xml:space="preserve">.  </w:t>
      </w:r>
      <w:r w:rsidR="00654361">
        <w:t>We further note</w:t>
      </w:r>
      <w:r w:rsidR="00FD61DB">
        <w:t xml:space="preserve"> </w:t>
      </w:r>
      <w:r w:rsidR="00970B32">
        <w:t xml:space="preserve">that </w:t>
      </w:r>
      <w:r w:rsidR="00FD61DB">
        <w:t>the p</w:t>
      </w:r>
      <w:r w:rsidR="00ED2E65">
        <w:t>ublic benefits of such radars are</w:t>
      </w:r>
      <w:r w:rsidR="00FD61DB">
        <w:t xml:space="preserve"> clear: </w:t>
      </w:r>
      <w:r w:rsidR="0081108E">
        <w:t xml:space="preserve"> </w:t>
      </w:r>
      <w:r w:rsidR="00FD61DB">
        <w:t>these operations will have a significant impact on air traffic operations because they will assist in avoiding ground collision</w:t>
      </w:r>
      <w:r w:rsidR="00FF3698">
        <w:t>s</w:t>
      </w:r>
      <w:r w:rsidR="00FD61DB">
        <w:t xml:space="preserve"> between aircraft, and between aircraft and stationary objects (including service vehicles) on the airport grounds</w:t>
      </w:r>
      <w:r w:rsidR="00A52534">
        <w:t>, particularly given the projections of growth in airport use</w:t>
      </w:r>
      <w:r w:rsidR="00FD61DB">
        <w:t>.</w:t>
      </w:r>
      <w:r w:rsidR="005232E1">
        <w:rPr>
          <w:rStyle w:val="FootnoteReference"/>
        </w:rPr>
        <w:footnoteReference w:id="173"/>
      </w:r>
      <w:r w:rsidR="005232E1" w:rsidRPr="00AB19DE">
        <w:t xml:space="preserve"> </w:t>
      </w:r>
      <w:r w:rsidR="00AB19DE" w:rsidRPr="00AB19DE">
        <w:t xml:space="preserve"> </w:t>
      </w:r>
      <w:r w:rsidR="00AB19DE">
        <w:t xml:space="preserve">As air travel grows and as larger aircraft are added to the airlines’ fleets, airports </w:t>
      </w:r>
      <w:r w:rsidR="00FF3698">
        <w:t xml:space="preserve">will </w:t>
      </w:r>
      <w:r w:rsidR="00AB19DE">
        <w:t xml:space="preserve">become more congested, and thus, the potential for accidents </w:t>
      </w:r>
      <w:r w:rsidR="00FF3698">
        <w:t xml:space="preserve">will </w:t>
      </w:r>
      <w:r w:rsidR="00AB19DE">
        <w:t>increase.</w:t>
      </w:r>
    </w:p>
    <w:p w:rsidR="00CF54F4" w:rsidRDefault="00FD61DB" w:rsidP="00993EF1">
      <w:pPr>
        <w:pStyle w:val="ParaNum"/>
        <w:widowControl/>
      </w:pPr>
      <w:r>
        <w:t>We will not permit use of aircraft-mounted radars when the aircraft is airborne</w:t>
      </w:r>
      <w:r w:rsidR="00CF54F4">
        <w:t>, based on</w:t>
      </w:r>
      <w:r>
        <w:t xml:space="preserve"> the potential for </w:t>
      </w:r>
      <w:r w:rsidR="00CF54F4">
        <w:t>a</w:t>
      </w:r>
      <w:r w:rsidRPr="00661571">
        <w:t xml:space="preserve">irborne radar operations </w:t>
      </w:r>
      <w:r w:rsidR="00CF54F4">
        <w:t>to interfere with</w:t>
      </w:r>
      <w:r w:rsidRPr="00661571">
        <w:t xml:space="preserve"> RAS</w:t>
      </w:r>
      <w:r>
        <w:t xml:space="preserve"> operations</w:t>
      </w:r>
      <w:r w:rsidRPr="00661571">
        <w:t xml:space="preserve">.  </w:t>
      </w:r>
      <w:r w:rsidR="00664C5D">
        <w:t xml:space="preserve">Although </w:t>
      </w:r>
      <w:r w:rsidR="00493719" w:rsidRPr="00493719">
        <w:t>NRAO acknowledges that there are no obvious examples of U.S. millimeter-wave RAS sites that would be affected by the surface use of wingtip radars at airport locations</w:t>
      </w:r>
      <w:r w:rsidR="00664C5D">
        <w:t>,</w:t>
      </w:r>
      <w:r w:rsidR="00664C5D" w:rsidRPr="00C218EA">
        <w:rPr>
          <w:rStyle w:val="FootnoteReference"/>
        </w:rPr>
        <w:footnoteReference w:id="174"/>
      </w:r>
      <w:r w:rsidR="00664C5D">
        <w:t xml:space="preserve"> b</w:t>
      </w:r>
      <w:r>
        <w:t xml:space="preserve">oth NRAO </w:t>
      </w:r>
      <w:r w:rsidR="00831757">
        <w:t xml:space="preserve">and CORF </w:t>
      </w:r>
      <w:r>
        <w:t xml:space="preserve">strongly oppose </w:t>
      </w:r>
      <w:r w:rsidR="00CF54F4">
        <w:t xml:space="preserve">the </w:t>
      </w:r>
      <w:r>
        <w:t xml:space="preserve">airborne use of </w:t>
      </w:r>
      <w:r w:rsidR="00CF54F4">
        <w:t xml:space="preserve">such </w:t>
      </w:r>
      <w:r>
        <w:t xml:space="preserve">radars because airborne emissions can be particularly serious sources of interference to radio astronomy operations, given the impossibility of shielding </w:t>
      </w:r>
      <w:r w:rsidR="0048377F">
        <w:t xml:space="preserve">airborne wingtip </w:t>
      </w:r>
      <w:r w:rsidR="00574874">
        <w:t xml:space="preserve">radar </w:t>
      </w:r>
      <w:r w:rsidR="0048377F">
        <w:t xml:space="preserve">transmissions </w:t>
      </w:r>
      <w:r>
        <w:t>and the great range of visibility of aircraft in flight.</w:t>
      </w:r>
      <w:r>
        <w:rPr>
          <w:rStyle w:val="FootnoteReference"/>
        </w:rPr>
        <w:footnoteReference w:id="175"/>
      </w:r>
      <w:r w:rsidR="00CF54F4">
        <w:t xml:space="preserve"> </w:t>
      </w:r>
      <w:r w:rsidR="00831757">
        <w:t xml:space="preserve"> </w:t>
      </w:r>
      <w:r w:rsidR="00981EB7">
        <w:t>Such</w:t>
      </w:r>
      <w:r w:rsidR="00CF54F4">
        <w:t xml:space="preserve"> reasoning also applies to </w:t>
      </w:r>
      <w:r w:rsidR="00CF54F4" w:rsidRPr="00FC0B5A">
        <w:t>helicopter-mounted radar</w:t>
      </w:r>
      <w:r w:rsidR="00CF54F4">
        <w:t>s</w:t>
      </w:r>
      <w:r w:rsidR="00DD00A4">
        <w:t xml:space="preserve"> when the helicopter is airborne</w:t>
      </w:r>
      <w:r w:rsidR="00CF54F4">
        <w:t xml:space="preserve">.  </w:t>
      </w:r>
      <w:r w:rsidR="00DD00A4" w:rsidRPr="00DD00A4">
        <w:t xml:space="preserve">Rockwell </w:t>
      </w:r>
      <w:r w:rsidR="00DD00A4">
        <w:t xml:space="preserve">envisions systems that would be used </w:t>
      </w:r>
      <w:r w:rsidR="00084B3A">
        <w:t>“</w:t>
      </w:r>
      <w:r w:rsidR="00DD00A4" w:rsidRPr="00DD00A4">
        <w:t>in environments where a helicopter is most likely to encounter obstacles, particularly at low altitudes during take-off, l</w:t>
      </w:r>
      <w:r w:rsidR="00DD00A4">
        <w:t>anding, and hovering scenarios.”</w:t>
      </w:r>
      <w:r w:rsidR="00DD00A4">
        <w:rPr>
          <w:rStyle w:val="FootnoteReference"/>
        </w:rPr>
        <w:footnoteReference w:id="176"/>
      </w:r>
      <w:r w:rsidR="00DD00A4">
        <w:t xml:space="preserve">  </w:t>
      </w:r>
      <w:r w:rsidR="00E013B0">
        <w:t>A</w:t>
      </w:r>
      <w:r w:rsidR="00981EB7">
        <w:t>ccommodat</w:t>
      </w:r>
      <w:r w:rsidR="00E013B0">
        <w:t>ing</w:t>
      </w:r>
      <w:r w:rsidR="00981EB7">
        <w:t xml:space="preserve"> </w:t>
      </w:r>
      <w:r w:rsidR="00CC63AD">
        <w:t xml:space="preserve">Rockwell’s proposal </w:t>
      </w:r>
      <w:r w:rsidR="00E013B0">
        <w:t>would be</w:t>
      </w:r>
      <w:r w:rsidR="00CC63AD">
        <w:t xml:space="preserve"> inconsistent with our decision to prohibit airborne radar use.</w:t>
      </w:r>
      <w:r w:rsidR="00D405B2">
        <w:t xml:space="preserve">  </w:t>
      </w:r>
      <w:r w:rsidR="005A1D31" w:rsidRPr="005A1D31">
        <w:t>However, to the extent that there is a need to operate a radar while the helicopter is on the ground at an airport location, the rules</w:t>
      </w:r>
      <w:r w:rsidR="005A1D31">
        <w:t xml:space="preserve"> we adopt would permit such use</w:t>
      </w:r>
      <w:r w:rsidR="007A2BD5">
        <w:t>.</w:t>
      </w:r>
      <w:r w:rsidR="007A2BD5">
        <w:rPr>
          <w:rStyle w:val="FootnoteReference"/>
        </w:rPr>
        <w:footnoteReference w:id="177"/>
      </w:r>
    </w:p>
    <w:p w:rsidR="00FD61DB" w:rsidRDefault="00FD61DB" w:rsidP="00993EF1">
      <w:pPr>
        <w:pStyle w:val="ParaNum"/>
      </w:pPr>
      <w:r>
        <w:t xml:space="preserve">  </w:t>
      </w:r>
      <w:r w:rsidR="005E08E5">
        <w:t>The Commission</w:t>
      </w:r>
      <w:r>
        <w:t xml:space="preserve"> </w:t>
      </w:r>
      <w:r w:rsidR="00981EB7">
        <w:t xml:space="preserve">also </w:t>
      </w:r>
      <w:r>
        <w:t xml:space="preserve">sought comment in the </w:t>
      </w:r>
      <w:r w:rsidRPr="00A635E0">
        <w:rPr>
          <w:i/>
        </w:rPr>
        <w:t>NPRM</w:t>
      </w:r>
      <w:r>
        <w:t xml:space="preserve"> on whether it would be feasible to employ an automatic shut-off mechanism for aircraft-mounted radars that would prevent radar operations any time the aircraft is not on the ground.</w:t>
      </w:r>
      <w:r>
        <w:rPr>
          <w:rStyle w:val="FootnoteReference"/>
        </w:rPr>
        <w:footnoteReference w:id="178"/>
      </w:r>
      <w:r w:rsidRPr="00787489">
        <w:t xml:space="preserve"> </w:t>
      </w:r>
      <w:r w:rsidRPr="00EB1E3B">
        <w:t xml:space="preserve"> </w:t>
      </w:r>
      <w:r w:rsidR="00CC63AD" w:rsidRPr="00A0475B">
        <w:rPr>
          <w:rFonts w:eastAsia="Calibri"/>
          <w:snapToGrid/>
          <w:kern w:val="0"/>
          <w:szCs w:val="22"/>
        </w:rPr>
        <w:t xml:space="preserve">CORF argues for </w:t>
      </w:r>
      <w:r w:rsidR="009A4437">
        <w:rPr>
          <w:rFonts w:eastAsia="Calibri"/>
          <w:snapToGrid/>
          <w:kern w:val="0"/>
          <w:szCs w:val="22"/>
        </w:rPr>
        <w:t xml:space="preserve">such </w:t>
      </w:r>
      <w:r w:rsidR="00CC63AD" w:rsidRPr="00A0475B">
        <w:rPr>
          <w:rFonts w:eastAsia="Calibri"/>
          <w:snapToGrid/>
          <w:kern w:val="0"/>
          <w:szCs w:val="22"/>
        </w:rPr>
        <w:t xml:space="preserve">an automatic shut-off </w:t>
      </w:r>
      <w:r w:rsidR="009A4437">
        <w:rPr>
          <w:rFonts w:eastAsia="Calibri"/>
          <w:snapToGrid/>
          <w:kern w:val="0"/>
          <w:szCs w:val="22"/>
        </w:rPr>
        <w:t>feature,</w:t>
      </w:r>
      <w:r w:rsidR="00CC63AD" w:rsidRPr="00A0475B">
        <w:rPr>
          <w:rFonts w:eastAsia="Calibri"/>
          <w:snapToGrid/>
          <w:kern w:val="0"/>
          <w:szCs w:val="22"/>
        </w:rPr>
        <w:t xml:space="preserve"> given the likelihood of serious interference to RAS operations from airborne use of those radars</w:t>
      </w:r>
      <w:r w:rsidR="00CC63AD">
        <w:rPr>
          <w:rFonts w:eastAsia="Calibri"/>
          <w:snapToGrid/>
          <w:kern w:val="0"/>
          <w:szCs w:val="22"/>
        </w:rPr>
        <w:t>.</w:t>
      </w:r>
      <w:r w:rsidR="00CC63AD" w:rsidRPr="001E2BC7">
        <w:rPr>
          <w:rStyle w:val="FootnoteReference"/>
          <w:rFonts w:eastAsia="Calibri"/>
          <w:snapToGrid/>
          <w:kern w:val="0"/>
          <w:szCs w:val="22"/>
        </w:rPr>
        <w:footnoteReference w:id="179"/>
      </w:r>
      <w:r w:rsidR="00CC63AD">
        <w:rPr>
          <w:rFonts w:eastAsia="Calibri"/>
          <w:snapToGrid/>
          <w:kern w:val="0"/>
          <w:szCs w:val="22"/>
        </w:rPr>
        <w:t xml:space="preserve">  Moreover, while n</w:t>
      </w:r>
      <w:r w:rsidR="00CC63AD">
        <w:t xml:space="preserve">o commenters objected to an auto-shutoff mechanism for aircraft-mounted radars, </w:t>
      </w:r>
      <w:r>
        <w:t>Rockwell indicated that an auto-shutoff mechanism is technically feasible.</w:t>
      </w:r>
      <w:r>
        <w:rPr>
          <w:rStyle w:val="FootnoteReference"/>
        </w:rPr>
        <w:footnoteReference w:id="180"/>
      </w:r>
      <w:r>
        <w:t xml:space="preserve">  </w:t>
      </w:r>
      <w:r w:rsidR="00981EB7">
        <w:t xml:space="preserve">We find that an automatic shut-off mechanism </w:t>
      </w:r>
      <w:r w:rsidR="009A4437">
        <w:t>can offer</w:t>
      </w:r>
      <w:r w:rsidR="00981EB7">
        <w:t xml:space="preserve"> greater assurance that parties will comply with our ground-based use restriction</w:t>
      </w:r>
      <w:r w:rsidR="009A4437">
        <w:t xml:space="preserve"> for aircraft-mounted radars</w:t>
      </w:r>
      <w:r w:rsidR="00981EB7">
        <w:t xml:space="preserve">, and that it is </w:t>
      </w:r>
      <w:r w:rsidR="00041ED3">
        <w:t xml:space="preserve">both </w:t>
      </w:r>
      <w:r w:rsidR="00981EB7">
        <w:t xml:space="preserve">feasible </w:t>
      </w:r>
      <w:r w:rsidR="00041ED3">
        <w:t xml:space="preserve">and desirable </w:t>
      </w:r>
      <w:r w:rsidR="00981EB7">
        <w:t>to deploy this feature.</w:t>
      </w:r>
      <w:r w:rsidR="002B5B38">
        <w:rPr>
          <w:rStyle w:val="FootnoteReference"/>
        </w:rPr>
        <w:footnoteReference w:id="181"/>
      </w:r>
      <w:r w:rsidR="00981EB7">
        <w:t xml:space="preserve">  </w:t>
      </w:r>
      <w:r w:rsidR="00F15C2C">
        <w:t>In contrast</w:t>
      </w:r>
      <w:r w:rsidR="00E70B10">
        <w:t xml:space="preserve"> to our decision not to require an automatic or manual shut-off for vehicular radars,</w:t>
      </w:r>
      <w:r w:rsidR="00E4187E" w:rsidRPr="00A46336">
        <w:rPr>
          <w:rStyle w:val="FootnoteReference"/>
        </w:rPr>
        <w:footnoteReference w:id="182"/>
      </w:r>
      <w:r w:rsidR="00E70B10" w:rsidRPr="00A46336">
        <w:t xml:space="preserve"> </w:t>
      </w:r>
      <w:r w:rsidR="00E70B10">
        <w:t>the risk here is greater given t</w:t>
      </w:r>
      <w:r w:rsidR="00D42DEA">
        <w:t xml:space="preserve">he potential interference to </w:t>
      </w:r>
      <w:r w:rsidR="00DD0200">
        <w:t xml:space="preserve">the </w:t>
      </w:r>
      <w:r w:rsidR="00D42DEA">
        <w:t xml:space="preserve">RAS from </w:t>
      </w:r>
      <w:r w:rsidR="00574874">
        <w:t>airborne radars</w:t>
      </w:r>
      <w:r w:rsidR="0015501A">
        <w:t>,</w:t>
      </w:r>
      <w:r w:rsidR="00D42DEA">
        <w:t xml:space="preserve"> and </w:t>
      </w:r>
      <w:r w:rsidR="00EE0854">
        <w:t>based on the record</w:t>
      </w:r>
      <w:r w:rsidR="0015501A">
        <w:t>,</w:t>
      </w:r>
      <w:r w:rsidR="00EE0854">
        <w:t xml:space="preserve"> it is </w:t>
      </w:r>
      <w:r w:rsidR="0010712F">
        <w:t xml:space="preserve">feasible to include such capability for systems that will be deployed aboard aircraft. </w:t>
      </w:r>
      <w:r w:rsidR="00165FD4">
        <w:t xml:space="preserve"> </w:t>
      </w:r>
      <w:r>
        <w:t xml:space="preserve">Hence, we will require that aircraft-mounted radars include an automatic mechanism </w:t>
      </w:r>
      <w:r w:rsidR="007472C4">
        <w:t>that discontinues all 76-81 GHz radar functions while</w:t>
      </w:r>
      <w:r>
        <w:t xml:space="preserve"> the aircraft </w:t>
      </w:r>
      <w:r w:rsidR="007472C4">
        <w:t xml:space="preserve">is </w:t>
      </w:r>
      <w:r>
        <w:t>airborne.</w:t>
      </w:r>
      <w:r w:rsidR="00206EC1">
        <w:rPr>
          <w:rStyle w:val="FootnoteReference"/>
        </w:rPr>
        <w:footnoteReference w:id="183"/>
      </w:r>
      <w:r>
        <w:t xml:space="preserve"> </w:t>
      </w:r>
    </w:p>
    <w:p w:rsidR="00D71408" w:rsidRDefault="00D71408" w:rsidP="00D71408">
      <w:pPr>
        <w:pStyle w:val="Heading2"/>
      </w:pPr>
      <w:bookmarkStart w:id="798" w:name="_Toc461576089"/>
      <w:bookmarkStart w:id="799" w:name="_Toc461611735"/>
      <w:bookmarkStart w:id="800" w:name="_Toc461621989"/>
      <w:bookmarkStart w:id="801" w:name="_Toc461728162"/>
      <w:bookmarkStart w:id="802" w:name="_Toc461804897"/>
      <w:bookmarkStart w:id="803" w:name="_Toc462125341"/>
      <w:bookmarkStart w:id="804" w:name="_Toc462237444"/>
      <w:bookmarkStart w:id="805" w:name="_Toc462656115"/>
      <w:bookmarkStart w:id="806" w:name="_Toc462675877"/>
      <w:bookmarkStart w:id="807" w:name="_Toc462786124"/>
      <w:bookmarkStart w:id="808" w:name="_Toc462808462"/>
      <w:bookmarkStart w:id="809" w:name="_Toc462911165"/>
      <w:bookmarkStart w:id="810" w:name="_Toc463267941"/>
      <w:bookmarkStart w:id="811" w:name="_Toc463946949"/>
      <w:bookmarkStart w:id="812" w:name="_Toc464208128"/>
      <w:bookmarkStart w:id="813" w:name="_Toc464210009"/>
      <w:bookmarkStart w:id="814" w:name="_Toc464210473"/>
      <w:bookmarkStart w:id="815" w:name="_Toc464649177"/>
      <w:bookmarkStart w:id="816" w:name="_Toc464649449"/>
      <w:bookmarkStart w:id="817" w:name="_Toc464660051"/>
      <w:bookmarkStart w:id="818" w:name="_Toc465939718"/>
      <w:bookmarkStart w:id="819" w:name="_Toc468184078"/>
      <w:bookmarkStart w:id="820" w:name="_Toc471485256"/>
      <w:bookmarkStart w:id="821" w:name="_Toc473911551"/>
      <w:bookmarkStart w:id="822" w:name="_Toc473911770"/>
      <w:bookmarkStart w:id="823" w:name="_Toc475023440"/>
      <w:bookmarkStart w:id="824" w:name="_Toc475564849"/>
      <w:bookmarkStart w:id="825" w:name="_Toc475995728"/>
      <w:bookmarkStart w:id="826" w:name="_Toc476168269"/>
      <w:bookmarkStart w:id="827" w:name="_Toc476230606"/>
      <w:bookmarkStart w:id="828" w:name="_Toc476319097"/>
      <w:bookmarkStart w:id="829" w:name="_Toc477171264"/>
      <w:bookmarkStart w:id="830" w:name="_Toc477176713"/>
      <w:bookmarkStart w:id="831" w:name="_Toc480544486"/>
      <w:bookmarkStart w:id="832" w:name="_Toc483252360"/>
      <w:bookmarkStart w:id="833" w:name="_Toc485387940"/>
      <w:bookmarkStart w:id="834" w:name="_Toc485640845"/>
      <w:bookmarkStart w:id="835" w:name="_Toc487543597"/>
      <w:r>
        <w:t xml:space="preserve">Radar Operations in the </w:t>
      </w:r>
      <w:r w:rsidRPr="007F337A">
        <w:t xml:space="preserve">76-81 GHz Band </w:t>
      </w:r>
      <w:r>
        <w:t xml:space="preserve">Under </w:t>
      </w:r>
      <w:r w:rsidRPr="007F337A">
        <w:t>Part 95 of the Commission’s Rules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rsidR="00D71408" w:rsidRPr="00780AAA" w:rsidRDefault="00A81CF2" w:rsidP="00A81CF2">
      <w:pPr>
        <w:pStyle w:val="Heading3"/>
      </w:pPr>
      <w:bookmarkStart w:id="836" w:name="_Toc461576090"/>
      <w:bookmarkStart w:id="837" w:name="_Toc461611736"/>
      <w:bookmarkStart w:id="838" w:name="_Toc461621990"/>
      <w:bookmarkStart w:id="839" w:name="_Toc461728163"/>
      <w:bookmarkStart w:id="840" w:name="_Toc461804898"/>
      <w:bookmarkStart w:id="841" w:name="_Toc462786125"/>
      <w:bookmarkStart w:id="842" w:name="_Toc462808463"/>
      <w:bookmarkStart w:id="843" w:name="_Toc462911166"/>
      <w:bookmarkStart w:id="844" w:name="_Toc463267942"/>
      <w:bookmarkStart w:id="845" w:name="_Toc463946950"/>
      <w:bookmarkStart w:id="846" w:name="_Toc464208129"/>
      <w:bookmarkStart w:id="847" w:name="_Toc464210010"/>
      <w:bookmarkStart w:id="848" w:name="_Toc464210474"/>
      <w:bookmarkStart w:id="849" w:name="_Toc464649178"/>
      <w:bookmarkStart w:id="850" w:name="_Toc464649450"/>
      <w:bookmarkStart w:id="851" w:name="_Toc464660052"/>
      <w:bookmarkStart w:id="852" w:name="_Toc465939719"/>
      <w:bookmarkStart w:id="853" w:name="_Toc468184079"/>
      <w:bookmarkStart w:id="854" w:name="_Toc471485257"/>
      <w:bookmarkStart w:id="855" w:name="_Toc473911552"/>
      <w:bookmarkStart w:id="856" w:name="_Toc473911771"/>
      <w:bookmarkStart w:id="857" w:name="_Toc475023441"/>
      <w:bookmarkStart w:id="858" w:name="_Toc475564850"/>
      <w:bookmarkStart w:id="859" w:name="_Toc475995729"/>
      <w:bookmarkStart w:id="860" w:name="_Toc476168270"/>
      <w:bookmarkStart w:id="861" w:name="_Toc476230607"/>
      <w:bookmarkStart w:id="862" w:name="_Toc476319098"/>
      <w:bookmarkStart w:id="863" w:name="_Toc477171265"/>
      <w:bookmarkStart w:id="864" w:name="_Toc477176714"/>
      <w:bookmarkStart w:id="865" w:name="_Toc480544487"/>
      <w:bookmarkStart w:id="866" w:name="_Toc483252361"/>
      <w:bookmarkStart w:id="867" w:name="_Toc485387941"/>
      <w:bookmarkStart w:id="868" w:name="_Toc485640846"/>
      <w:bookmarkStart w:id="869" w:name="_Toc487543598"/>
      <w:r>
        <w:t>Licensing</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D71408" w:rsidRDefault="00D71408" w:rsidP="00993EF1">
      <w:pPr>
        <w:pStyle w:val="ParaNum"/>
      </w:pPr>
      <w:r>
        <w:t xml:space="preserve">Currently, radar operations are authorized under Part 15 or Part 90 of the Commission’s rules. </w:t>
      </w:r>
      <w:r w:rsidR="00E4187E">
        <w:t xml:space="preserve"> </w:t>
      </w:r>
      <w:r>
        <w:t xml:space="preserve">As proposed in the </w:t>
      </w:r>
      <w:r w:rsidRPr="00CF304E">
        <w:rPr>
          <w:i/>
        </w:rPr>
        <w:t>NPRM</w:t>
      </w:r>
      <w:r>
        <w:t>, we consolidate the 76-81 GHz radar operations under Part 95, to be licensed-by-rule and protected from interference.</w:t>
      </w:r>
      <w:r w:rsidR="005F03E8">
        <w:rPr>
          <w:rStyle w:val="FootnoteReference"/>
        </w:rPr>
        <w:footnoteReference w:id="184"/>
      </w:r>
      <w:r>
        <w:t xml:space="preserve">  </w:t>
      </w:r>
      <w:r w:rsidR="00ED1E76">
        <w:t>R</w:t>
      </w:r>
      <w:r>
        <w:t>adar applications operating in the 76-81 GHz range will now be governed by Subpart M, The 76-81 GHz Band Radar Service, in Part 95 of our rules.</w:t>
      </w:r>
      <w:bookmarkStart w:id="870" w:name="_Ref461808885"/>
      <w:r w:rsidR="00FA4DB0">
        <w:rPr>
          <w:rStyle w:val="FootnoteReference"/>
        </w:rPr>
        <w:footnoteReference w:id="185"/>
      </w:r>
      <w:bookmarkEnd w:id="870"/>
    </w:p>
    <w:p w:rsidR="00D71408" w:rsidRDefault="00D71408" w:rsidP="00993EF1">
      <w:pPr>
        <w:pStyle w:val="ParaNum"/>
        <w:widowControl/>
      </w:pPr>
      <w:r>
        <w:t>The majority of c</w:t>
      </w:r>
      <w:r w:rsidRPr="00493043">
        <w:t xml:space="preserve">ommenters overwhelmingly support the </w:t>
      </w:r>
      <w:r>
        <w:t>proposal to consolidate radar operations in the 76-81 GHz band under Part 95 (licensed-by-rule) instead of Part 90 (individually licensed) or Part 15 (unlicensed).</w:t>
      </w:r>
      <w:r w:rsidRPr="00493043">
        <w:rPr>
          <w:rStyle w:val="FootnoteReference"/>
        </w:rPr>
        <w:footnoteReference w:id="186"/>
      </w:r>
      <w:r w:rsidRPr="0041560F">
        <w:t xml:space="preserve"> </w:t>
      </w:r>
      <w:r>
        <w:t xml:space="preserve"> </w:t>
      </w:r>
      <w:r w:rsidRPr="00661571">
        <w:t xml:space="preserve">Delphi </w:t>
      </w:r>
      <w:r>
        <w:t xml:space="preserve">recognizes that </w:t>
      </w:r>
      <w:r w:rsidRPr="00661571">
        <w:t xml:space="preserve">the added level of interference protection Part 95 provides </w:t>
      </w:r>
      <w:r w:rsidR="00763BBD">
        <w:t xml:space="preserve">over Part 15 </w:t>
      </w:r>
      <w:r>
        <w:t xml:space="preserve">will </w:t>
      </w:r>
      <w:r w:rsidRPr="00661571">
        <w:t>be beneficial to the future of vehicular radars.</w:t>
      </w:r>
      <w:r w:rsidRPr="00661571">
        <w:rPr>
          <w:rStyle w:val="FootnoteReference"/>
        </w:rPr>
        <w:footnoteReference w:id="187"/>
      </w:r>
      <w:r w:rsidRPr="00661571">
        <w:t xml:space="preserve">  </w:t>
      </w:r>
      <w:r>
        <w:t xml:space="preserve">Similarly, </w:t>
      </w:r>
      <w:r w:rsidRPr="00661571">
        <w:t xml:space="preserve">Mercedes-Benz </w:t>
      </w:r>
      <w:r>
        <w:t>and CEA note that vehicular radars will benefit from the</w:t>
      </w:r>
      <w:r w:rsidRPr="0050756D">
        <w:t xml:space="preserve"> </w:t>
      </w:r>
      <w:r>
        <w:t>increased level of interference protection afforded as a Part 95 service, especially considering the advent of autonomously driven vehicles.</w:t>
      </w:r>
      <w:r w:rsidRPr="00661571">
        <w:rPr>
          <w:rStyle w:val="FootnoteReference"/>
        </w:rPr>
        <w:footnoteReference w:id="188"/>
      </w:r>
    </w:p>
    <w:p w:rsidR="00FC7DA2" w:rsidRDefault="00D71408" w:rsidP="00993EF1">
      <w:pPr>
        <w:pStyle w:val="ParaNum"/>
      </w:pPr>
      <w:r>
        <w:t xml:space="preserve">The benefits of a licensed-by-rule approach </w:t>
      </w:r>
      <w:r w:rsidRPr="00661571">
        <w:t xml:space="preserve">under our Part 95 rules </w:t>
      </w:r>
      <w:r>
        <w:t xml:space="preserve">are two-fold.  First, Part 95 will </w:t>
      </w:r>
      <w:r w:rsidRPr="00661571">
        <w:t>offer a level of interference protection</w:t>
      </w:r>
      <w:r w:rsidR="00A958C9">
        <w:t xml:space="preserve"> to 76-81 GHz band radar operations </w:t>
      </w:r>
      <w:r w:rsidR="00A958C9" w:rsidRPr="00661571">
        <w:t>that</w:t>
      </w:r>
      <w:r w:rsidRPr="00661571">
        <w:t xml:space="preserve"> the Part 15 rules cannot provide.</w:t>
      </w:r>
      <w:r w:rsidRPr="00661571">
        <w:rPr>
          <w:rStyle w:val="FootnoteReference"/>
        </w:rPr>
        <w:footnoteReference w:id="189"/>
      </w:r>
      <w:r w:rsidRPr="00661571">
        <w:t xml:space="preserve">  Whereas </w:t>
      </w:r>
      <w:r w:rsidR="00E4187E" w:rsidRPr="00A46336">
        <w:t>under</w:t>
      </w:r>
      <w:r w:rsidRPr="00661571">
        <w:t xml:space="preserve"> Part 15, unlicensed users must accept interference from licensed and unlicensed users, </w:t>
      </w:r>
      <w:r w:rsidR="0059231F" w:rsidRPr="00661571">
        <w:t>under Part 95, primary licensed users are protected from interference from secondary</w:t>
      </w:r>
      <w:r w:rsidR="00A24FE6">
        <w:t xml:space="preserve"> and unlicensed</w:t>
      </w:r>
      <w:r w:rsidR="0059231F" w:rsidRPr="00661571">
        <w:t xml:space="preserve"> users</w:t>
      </w:r>
      <w:r w:rsidRPr="00661571">
        <w:t>.</w:t>
      </w:r>
      <w:r w:rsidRPr="00661571">
        <w:rPr>
          <w:rStyle w:val="FootnoteReference"/>
        </w:rPr>
        <w:footnoteReference w:id="190"/>
      </w:r>
      <w:r>
        <w:t xml:space="preserve">  Second, a singular licensing model under Part 95 will reduce </w:t>
      </w:r>
      <w:r w:rsidR="0059231F">
        <w:t xml:space="preserve">the application and licensing burdens associated with </w:t>
      </w:r>
      <w:r w:rsidR="00A01D2B">
        <w:t xml:space="preserve">authorizing </w:t>
      </w:r>
      <w:r w:rsidR="0059231F">
        <w:t>radar operation</w:t>
      </w:r>
      <w:r w:rsidR="001E3DA2">
        <w:t>s</w:t>
      </w:r>
      <w:r w:rsidR="00A01D2B">
        <w:t xml:space="preserve"> under</w:t>
      </w:r>
      <w:r w:rsidR="00975663">
        <w:t xml:space="preserve"> an individual license model (such as</w:t>
      </w:r>
      <w:r w:rsidR="00A01D2B">
        <w:t xml:space="preserve"> </w:t>
      </w:r>
      <w:r w:rsidR="00975663">
        <w:t xml:space="preserve">the </w:t>
      </w:r>
      <w:r w:rsidR="00A01D2B">
        <w:t>Part 90</w:t>
      </w:r>
      <w:r w:rsidR="00975663">
        <w:t xml:space="preserve"> service rules for FOD detection radars at 78-81 GHz)</w:t>
      </w:r>
      <w:r w:rsidR="0059231F">
        <w:t xml:space="preserve">, </w:t>
      </w:r>
      <w:r>
        <w:t xml:space="preserve">and </w:t>
      </w:r>
      <w:r w:rsidR="00763BBD">
        <w:t xml:space="preserve">create </w:t>
      </w:r>
      <w:r>
        <w:t xml:space="preserve">time and cost efficiencies </w:t>
      </w:r>
      <w:r w:rsidR="00763BBD">
        <w:t xml:space="preserve">for </w:t>
      </w:r>
      <w:r>
        <w:t>deployment of these important services.</w:t>
      </w:r>
      <w:r>
        <w:rPr>
          <w:rStyle w:val="FootnoteReference"/>
        </w:rPr>
        <w:footnoteReference w:id="191"/>
      </w:r>
      <w:r>
        <w:t xml:space="preserve">  As Mercedes-Benz notes, such a licensing model will also result in fewer obstacles and greater flexibility for </w:t>
      </w:r>
      <w:r w:rsidRPr="002B7ABF">
        <w:t>original equipment manufacturers</w:t>
      </w:r>
      <w:r w:rsidR="00156B1C">
        <w:t xml:space="preserve"> </w:t>
      </w:r>
      <w:r w:rsidR="00156B1C" w:rsidRPr="00156B1C">
        <w:t>in developing innovative new safety features</w:t>
      </w:r>
      <w:r>
        <w:t>.</w:t>
      </w:r>
      <w:r>
        <w:rPr>
          <w:rStyle w:val="FootnoteReference"/>
        </w:rPr>
        <w:footnoteReference w:id="192"/>
      </w:r>
    </w:p>
    <w:p w:rsidR="00FC7DA2" w:rsidRDefault="00763BBD" w:rsidP="00993EF1">
      <w:pPr>
        <w:pStyle w:val="ParaNum"/>
      </w:pPr>
      <w:r>
        <w:t xml:space="preserve">Several </w:t>
      </w:r>
      <w:r w:rsidR="00FC7DA2">
        <w:t xml:space="preserve">commenters object to </w:t>
      </w:r>
      <w:r w:rsidR="006774AD">
        <w:t xml:space="preserve">using a </w:t>
      </w:r>
      <w:r w:rsidR="00967F89">
        <w:t xml:space="preserve">Part 95 </w:t>
      </w:r>
      <w:r w:rsidR="006774AD">
        <w:t>licens</w:t>
      </w:r>
      <w:r w:rsidR="00D7654D">
        <w:t xml:space="preserve">ed-by-rule </w:t>
      </w:r>
      <w:r w:rsidR="006774AD">
        <w:t xml:space="preserve">approach for </w:t>
      </w:r>
      <w:r w:rsidR="00FC7DA2" w:rsidRPr="007E581F">
        <w:t>FOD detection radar</w:t>
      </w:r>
      <w:r w:rsidR="006774AD">
        <w:t>s</w:t>
      </w:r>
      <w:r w:rsidR="00B537B5">
        <w:t xml:space="preserve"> in the 76-81 GHz band</w:t>
      </w:r>
      <w:r w:rsidR="00410FD4">
        <w:t xml:space="preserve"> because </w:t>
      </w:r>
      <w:r w:rsidR="00AA4D5F">
        <w:t>the nature of the licensed-by-rule</w:t>
      </w:r>
      <w:r w:rsidR="00410FD4">
        <w:t xml:space="preserve"> approach does not </w:t>
      </w:r>
      <w:r w:rsidR="00AA4D5F">
        <w:t>include a</w:t>
      </w:r>
      <w:r w:rsidR="00410FD4" w:rsidRPr="007F3B08">
        <w:t xml:space="preserve"> coordination </w:t>
      </w:r>
      <w:r w:rsidR="00AA4D5F">
        <w:t>requirement to</w:t>
      </w:r>
      <w:r w:rsidR="00410FD4" w:rsidRPr="007F3B08">
        <w:t xml:space="preserve"> safeguard against potential interference to other operations in the band.</w:t>
      </w:r>
      <w:r w:rsidR="00FC6BAB">
        <w:t xml:space="preserve">  </w:t>
      </w:r>
      <w:r w:rsidR="002B4638" w:rsidRPr="00157F0A">
        <w:t xml:space="preserve">The Automotive Group is concerned that without site-based licensing of FOD detection radars under Part 90, </w:t>
      </w:r>
      <w:r w:rsidR="005276EC">
        <w:t>there</w:t>
      </w:r>
      <w:r w:rsidR="002B4638" w:rsidRPr="00157F0A">
        <w:t xml:space="preserve"> will not </w:t>
      </w:r>
      <w:r w:rsidR="005276EC">
        <w:t>be</w:t>
      </w:r>
      <w:r w:rsidR="002B4638" w:rsidRPr="00157F0A">
        <w:t xml:space="preserve"> a reliable way of determining whether such radars are located far enough from roads to ensure that they will not cause harmful interference to vehicular radars.</w:t>
      </w:r>
      <w:r w:rsidR="002B4638" w:rsidRPr="00157F0A">
        <w:rPr>
          <w:rStyle w:val="FootnoteReference"/>
        </w:rPr>
        <w:footnoteReference w:id="193"/>
      </w:r>
      <w:r w:rsidR="00AA4D5F">
        <w:t xml:space="preserve">  CORF contends that because FOD detection radars operating under Part 95 would not have to be coordinated with Federal Government users such as RAS,</w:t>
      </w:r>
      <w:r w:rsidR="00AA4D5F" w:rsidRPr="00E86DAD">
        <w:rPr>
          <w:vertAlign w:val="superscript"/>
        </w:rPr>
        <w:footnoteReference w:id="194"/>
      </w:r>
      <w:r w:rsidR="00AA4D5F">
        <w:t xml:space="preserve"> and would no longer be operating as Part 15 unlicensed devices (which must cease operation if they cause harmful interference), we might create disincentives for operators in this band to be good spectral neighbors.</w:t>
      </w:r>
      <w:r w:rsidR="00AA4D5F" w:rsidRPr="00E86DAD">
        <w:rPr>
          <w:vertAlign w:val="superscript"/>
        </w:rPr>
        <w:footnoteReference w:id="195"/>
      </w:r>
      <w:r w:rsidR="00AA4D5F">
        <w:t xml:space="preserve">  </w:t>
      </w:r>
      <w:r>
        <w:t>We</w:t>
      </w:r>
      <w:r w:rsidR="00FC7DA2">
        <w:t xml:space="preserve"> find these concerns </w:t>
      </w:r>
      <w:r w:rsidR="0059128D">
        <w:t>unwarranted</w:t>
      </w:r>
      <w:r w:rsidR="00FC7DA2">
        <w:t xml:space="preserve">. </w:t>
      </w:r>
      <w:r w:rsidR="00D17495">
        <w:t xml:space="preserve"> C</w:t>
      </w:r>
      <w:r w:rsidR="0059128D">
        <w:t xml:space="preserve">urrently </w:t>
      </w:r>
      <w:r w:rsidR="00D17495">
        <w:t xml:space="preserve">there </w:t>
      </w:r>
      <w:r w:rsidR="006774AD">
        <w:t xml:space="preserve">are no </w:t>
      </w:r>
      <w:r w:rsidR="00B537B5">
        <w:t xml:space="preserve">FOD detection </w:t>
      </w:r>
      <w:r w:rsidR="006774AD">
        <w:t>radar operations licensed under Part 90</w:t>
      </w:r>
      <w:r w:rsidR="00D17495">
        <w:t>,</w:t>
      </w:r>
      <w:r w:rsidR="006774AD" w:rsidRPr="00E4033B">
        <w:rPr>
          <w:sz w:val="20"/>
          <w:vertAlign w:val="superscript"/>
        </w:rPr>
        <w:footnoteReference w:id="196"/>
      </w:r>
      <w:r w:rsidR="006774AD">
        <w:t xml:space="preserve"> </w:t>
      </w:r>
      <w:r w:rsidR="00D17495">
        <w:t>and the Part 90 rules already exempt any FOD detection radars that would be licensed from coordination with other Part 90 services.</w:t>
      </w:r>
      <w:r w:rsidR="00D17495">
        <w:rPr>
          <w:rStyle w:val="FootnoteReference"/>
        </w:rPr>
        <w:footnoteReference w:id="197"/>
      </w:r>
      <w:r w:rsidR="00D17495">
        <w:t xml:space="preserve"> </w:t>
      </w:r>
      <w:r w:rsidR="006774AD">
        <w:t xml:space="preserve"> </w:t>
      </w:r>
      <w:r w:rsidR="00D17495">
        <w:t xml:space="preserve">As a practical matter, </w:t>
      </w:r>
      <w:r w:rsidR="00121365">
        <w:t>a</w:t>
      </w:r>
      <w:r w:rsidR="00FC7DA2">
        <w:t xml:space="preserve">ll existing FOD detection radar operations are taking place </w:t>
      </w:r>
      <w:r w:rsidR="002631B9">
        <w:t>in the 76</w:t>
      </w:r>
      <w:r w:rsidR="002631B9">
        <w:noBreakHyphen/>
      </w:r>
      <w:r w:rsidR="00D17495">
        <w:t xml:space="preserve">77 GHz band </w:t>
      </w:r>
      <w:r w:rsidR="00FC7DA2">
        <w:t xml:space="preserve">on </w:t>
      </w:r>
      <w:r w:rsidR="00FC7DA2" w:rsidRPr="00E4033B">
        <w:t>an</w:t>
      </w:r>
      <w:r w:rsidR="00FC7DA2">
        <w:t xml:space="preserve"> unlicensed basis under our Part 15 rules </w:t>
      </w:r>
      <w:r w:rsidR="00FC7DA2" w:rsidRPr="00E86DAD">
        <w:t>without a coordination requirement</w:t>
      </w:r>
      <w:r w:rsidR="00FC7DA2">
        <w:t xml:space="preserve">, and </w:t>
      </w:r>
      <w:r w:rsidR="00D17495">
        <w:t>the Commission has</w:t>
      </w:r>
      <w:r w:rsidR="00FC7DA2" w:rsidRPr="00E86DAD">
        <w:t xml:space="preserve"> not received any reports of harmful interference </w:t>
      </w:r>
      <w:r w:rsidR="002631B9">
        <w:t>from these FOD detection radars</w:t>
      </w:r>
      <w:r w:rsidR="002631B9" w:rsidRPr="00E86DAD">
        <w:t xml:space="preserve"> </w:t>
      </w:r>
      <w:r w:rsidR="00FC7DA2" w:rsidRPr="00E86DAD">
        <w:t xml:space="preserve">to </w:t>
      </w:r>
      <w:r w:rsidR="00FC7DA2">
        <w:t>vehicular radar</w:t>
      </w:r>
      <w:r w:rsidR="003A15CC">
        <w:t>s</w:t>
      </w:r>
      <w:r w:rsidR="002631B9">
        <w:t xml:space="preserve">.  Nor has the Commission received reports of harmful interference from these FOD detection radars to </w:t>
      </w:r>
      <w:r w:rsidR="001130BE">
        <w:t>RAS operations</w:t>
      </w:r>
      <w:r w:rsidR="002631B9">
        <w:t>, particularly since t</w:t>
      </w:r>
      <w:r w:rsidR="001130BE">
        <w:t xml:space="preserve">he two RAS </w:t>
      </w:r>
      <w:r w:rsidR="002631B9">
        <w:t>facilities</w:t>
      </w:r>
      <w:r w:rsidR="001130BE">
        <w:t xml:space="preserve"> currently observing in the 76-81 GHz band are located in remote areas</w:t>
      </w:r>
      <w:r w:rsidR="00E71EC5">
        <w:t xml:space="preserve"> far from airports</w:t>
      </w:r>
      <w:r w:rsidR="00A619ED">
        <w:t xml:space="preserve">. </w:t>
      </w:r>
      <w:r w:rsidR="001130BE">
        <w:t xml:space="preserve"> </w:t>
      </w:r>
      <w:r w:rsidR="005276EC">
        <w:t xml:space="preserve">Given </w:t>
      </w:r>
      <w:r w:rsidR="00410FD4">
        <w:t xml:space="preserve">that operations of </w:t>
      </w:r>
      <w:r w:rsidR="00410FD4" w:rsidRPr="00E86DAD">
        <w:t xml:space="preserve">FOD detection radars </w:t>
      </w:r>
      <w:r w:rsidR="00410FD4">
        <w:t xml:space="preserve">will be restricted to </w:t>
      </w:r>
      <w:r w:rsidR="00410FD4" w:rsidRPr="00E86DAD">
        <w:t xml:space="preserve">airport </w:t>
      </w:r>
      <w:r w:rsidR="00410FD4">
        <w:t xml:space="preserve">air operations areas that do not have public vehicular access, </w:t>
      </w:r>
      <w:r w:rsidR="005276EC">
        <w:t xml:space="preserve">and </w:t>
      </w:r>
      <w:r w:rsidR="00FC7DA2">
        <w:t>c</w:t>
      </w:r>
      <w:r w:rsidR="00FC7DA2" w:rsidRPr="00E86DAD">
        <w:t>onsidering the narrow beamwidths, highly directional antennas, and large signal propagation losses at relatively short distances of radar operations in the 76-81 GHz band</w:t>
      </w:r>
      <w:r w:rsidR="00FC7DA2">
        <w:t xml:space="preserve">, </w:t>
      </w:r>
      <w:r w:rsidR="009E6D5B">
        <w:t xml:space="preserve">we see no </w:t>
      </w:r>
      <w:r w:rsidR="00410FD4">
        <w:t>need</w:t>
      </w:r>
      <w:r w:rsidR="009E6D5B">
        <w:t xml:space="preserve"> to impose any requirement that licensed FOD detection radars begin coordinating with other licensed services</w:t>
      </w:r>
      <w:r w:rsidR="00897FBE">
        <w:t>, and thus,</w:t>
      </w:r>
      <w:r w:rsidR="00897FBE" w:rsidRPr="00897FBE">
        <w:t xml:space="preserve"> </w:t>
      </w:r>
      <w:r w:rsidR="0015501A">
        <w:t xml:space="preserve">see </w:t>
      </w:r>
      <w:r w:rsidR="00897FBE">
        <w:t>no need to exclude FOD detection</w:t>
      </w:r>
      <w:r w:rsidR="00952F0B">
        <w:t xml:space="preserve"> radars from Part 95 regulation.</w:t>
      </w:r>
      <w:r w:rsidR="00FC6BAB" w:rsidRPr="00E86DAD">
        <w:rPr>
          <w:vertAlign w:val="superscript"/>
        </w:rPr>
        <w:footnoteReference w:id="198"/>
      </w:r>
    </w:p>
    <w:p w:rsidR="00D71408" w:rsidRDefault="004211EF" w:rsidP="006A44AD">
      <w:pPr>
        <w:pStyle w:val="Heading3"/>
      </w:pPr>
      <w:bookmarkStart w:id="871" w:name="_Toc471485258"/>
      <w:bookmarkStart w:id="872" w:name="_Toc473911553"/>
      <w:bookmarkStart w:id="873" w:name="_Toc473911772"/>
      <w:bookmarkStart w:id="874" w:name="_Toc475023442"/>
      <w:bookmarkStart w:id="875" w:name="_Toc475564851"/>
      <w:bookmarkStart w:id="876" w:name="_Toc475995730"/>
      <w:bookmarkStart w:id="877" w:name="_Toc476168271"/>
      <w:bookmarkStart w:id="878" w:name="_Toc476230608"/>
      <w:bookmarkStart w:id="879" w:name="_Toc476319099"/>
      <w:bookmarkStart w:id="880" w:name="_Toc477171266"/>
      <w:bookmarkStart w:id="881" w:name="_Toc477176715"/>
      <w:bookmarkStart w:id="882" w:name="_Toc480544488"/>
      <w:bookmarkStart w:id="883" w:name="_Toc483252362"/>
      <w:bookmarkStart w:id="884" w:name="_Toc485387942"/>
      <w:bookmarkStart w:id="885" w:name="_Toc485640847"/>
      <w:bookmarkStart w:id="886" w:name="_Toc487543599"/>
      <w:r>
        <w:t>Technical Rules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D71408" w:rsidRDefault="00D71408" w:rsidP="00993EF1">
      <w:pPr>
        <w:pStyle w:val="ParaNum"/>
      </w:pPr>
      <w:r>
        <w:t>Part 95 will include technical rules for radar operations in the 76-81 GHz band.  As proposed</w:t>
      </w:r>
      <w:r w:rsidR="00156B1C">
        <w:t xml:space="preserve"> in the </w:t>
      </w:r>
      <w:r w:rsidR="00156B1C" w:rsidRPr="00156B1C">
        <w:rPr>
          <w:i/>
        </w:rPr>
        <w:t>NPRM</w:t>
      </w:r>
      <w:r>
        <w:t xml:space="preserve">, we adopt technical </w:t>
      </w:r>
      <w:r w:rsidR="0059231F" w:rsidRPr="0059231F">
        <w:t xml:space="preserve">specifications for the newly expanded radar band that mirror those currently provided </w:t>
      </w:r>
      <w:r w:rsidR="00547628" w:rsidRPr="00547628">
        <w:t>for vehicular radars and FOD detection radars in the 76-</w:t>
      </w:r>
      <w:r w:rsidR="000F207A" w:rsidRPr="007259EF">
        <w:t>77</w:t>
      </w:r>
      <w:r w:rsidR="00547628" w:rsidRPr="00547628">
        <w:t xml:space="preserve"> GHz band </w:t>
      </w:r>
      <w:r w:rsidR="0059231F" w:rsidRPr="0059231F">
        <w:t xml:space="preserve">under </w:t>
      </w:r>
      <w:r w:rsidR="00AE67E9">
        <w:t>the</w:t>
      </w:r>
      <w:r w:rsidR="00547628">
        <w:t xml:space="preserve"> </w:t>
      </w:r>
      <w:r w:rsidR="0059231F" w:rsidRPr="0059231F">
        <w:t>Part 15 rules.</w:t>
      </w:r>
      <w:r w:rsidR="0059231F" w:rsidRPr="0059231F">
        <w:rPr>
          <w:vertAlign w:val="superscript"/>
        </w:rPr>
        <w:footnoteReference w:id="199"/>
      </w:r>
      <w:r w:rsidR="0059231F">
        <w:t xml:space="preserve">  </w:t>
      </w:r>
      <w:r>
        <w:t xml:space="preserve">Specifically, we </w:t>
      </w:r>
      <w:r w:rsidRPr="00FF6B44">
        <w:t xml:space="preserve">adopt the same average (50 dBm) and peak (55 dBm) </w:t>
      </w:r>
      <w:r w:rsidR="00EA5F84">
        <w:t>EIRP</w:t>
      </w:r>
      <w:r w:rsidRPr="00FF6B44">
        <w:t xml:space="preserve"> emissions limits for radar applications in the entire 76-81 GHz band as currently specified in our </w:t>
      </w:r>
      <w:r>
        <w:t xml:space="preserve">Part 15 </w:t>
      </w:r>
      <w:r w:rsidRPr="00FF6B44">
        <w:t>rules for unlicensed vehicular radars in the 76-77 GHz band</w:t>
      </w:r>
      <w:r>
        <w:t>.</w:t>
      </w:r>
      <w:r>
        <w:rPr>
          <w:rStyle w:val="FootnoteReference"/>
        </w:rPr>
        <w:footnoteReference w:id="200"/>
      </w:r>
      <w:r>
        <w:t xml:space="preserve"> </w:t>
      </w:r>
      <w:r w:rsidRPr="00FF6B44">
        <w:t xml:space="preserve"> </w:t>
      </w:r>
      <w:r>
        <w:t xml:space="preserve">We also </w:t>
      </w:r>
      <w:r w:rsidRPr="00FF6B44">
        <w:t xml:space="preserve">adopt other technical </w:t>
      </w:r>
      <w:r>
        <w:t xml:space="preserve">rules </w:t>
      </w:r>
      <w:r w:rsidRPr="00FF6B44">
        <w:t>for the newly expanded radar band that mirror those currently provided under Part 15</w:t>
      </w:r>
      <w:r>
        <w:t xml:space="preserve">, including </w:t>
      </w:r>
      <w:r w:rsidR="0025672B">
        <w:t>unwanted</w:t>
      </w:r>
      <w:r>
        <w:t xml:space="preserve"> emission</w:t>
      </w:r>
      <w:r w:rsidR="0025672B">
        <w:t>s</w:t>
      </w:r>
      <w:r>
        <w:t xml:space="preserve"> limits</w:t>
      </w:r>
      <w:r w:rsidRPr="00FF6B44">
        <w:t>.</w:t>
      </w:r>
      <w:r>
        <w:rPr>
          <w:rStyle w:val="FootnoteReference"/>
        </w:rPr>
        <w:footnoteReference w:id="201"/>
      </w:r>
      <w:r>
        <w:t xml:space="preserve">  T</w:t>
      </w:r>
      <w:r w:rsidRPr="00E31C40">
        <w:t xml:space="preserve">hese </w:t>
      </w:r>
      <w:r w:rsidR="00EA5F84">
        <w:t>EIRP</w:t>
      </w:r>
      <w:r>
        <w:t xml:space="preserve"> and unwanted emissions limits </w:t>
      </w:r>
      <w:r w:rsidR="00245D67">
        <w:t xml:space="preserve">are low enough to allow for continued operations of </w:t>
      </w:r>
      <w:r>
        <w:t xml:space="preserve">incumbent services in the 76-81 GHz band because Part </w:t>
      </w:r>
      <w:r w:rsidRPr="00E31C40">
        <w:t xml:space="preserve">15 vehicular and FOD detection radars in the 76-77 GHz band have </w:t>
      </w:r>
      <w:r>
        <w:t xml:space="preserve">been operating under these rules </w:t>
      </w:r>
      <w:r w:rsidRPr="00E31C40">
        <w:t>since 2012</w:t>
      </w:r>
      <w:r>
        <w:t xml:space="preserve"> without </w:t>
      </w:r>
      <w:r w:rsidRPr="00E31C40">
        <w:t xml:space="preserve">any reports of harmful interference </w:t>
      </w:r>
      <w:r>
        <w:t xml:space="preserve">from incumbents </w:t>
      </w:r>
      <w:r w:rsidRPr="00E31C40">
        <w:t xml:space="preserve">in the </w:t>
      </w:r>
      <w:r>
        <w:t>same</w:t>
      </w:r>
      <w:r w:rsidRPr="00E31C40">
        <w:t xml:space="preserve"> band.</w:t>
      </w:r>
      <w:r w:rsidR="00781245" w:rsidRPr="00E31C40">
        <w:rPr>
          <w:rStyle w:val="FootnoteReference"/>
        </w:rPr>
        <w:footnoteReference w:id="202"/>
      </w:r>
      <w:r w:rsidRPr="00997DE8">
        <w:t xml:space="preserve"> </w:t>
      </w:r>
      <w:r>
        <w:t xml:space="preserve"> Moreover, the technical rules we are establishing under Part 95 for all 76-81 GHz radar operations in this </w:t>
      </w:r>
      <w:r w:rsidRPr="00B30772">
        <w:rPr>
          <w:i/>
        </w:rPr>
        <w:t>Report and Order</w:t>
      </w:r>
      <w:r>
        <w:t xml:space="preserve"> will facilitate </w:t>
      </w:r>
      <w:r w:rsidRPr="00A45BC8">
        <w:t>coexistence</w:t>
      </w:r>
      <w:r>
        <w:t xml:space="preserve"> between these </w:t>
      </w:r>
      <w:r w:rsidRPr="0082796C">
        <w:t xml:space="preserve">radar services </w:t>
      </w:r>
      <w:r>
        <w:t xml:space="preserve">and other authorized services without </w:t>
      </w:r>
      <w:r w:rsidR="00FD2BFC">
        <w:t xml:space="preserve">imposing </w:t>
      </w:r>
      <w:r>
        <w:t xml:space="preserve">excessive coordination, application, </w:t>
      </w:r>
      <w:r w:rsidR="007F3514">
        <w:t>or</w:t>
      </w:r>
      <w:r>
        <w:t xml:space="preserve"> licensing burdens.</w:t>
      </w:r>
    </w:p>
    <w:p w:rsidR="00361EB5" w:rsidRDefault="00361EB5" w:rsidP="00993EF1">
      <w:pPr>
        <w:pStyle w:val="ParaNum"/>
        <w:widowControl/>
      </w:pPr>
      <w:bookmarkStart w:id="887" w:name="_Ref462924588"/>
      <w:r>
        <w:t xml:space="preserve">Vehicular radars currently certified under Part 15 to operate in the 76-77 GHz band need not be re-certified under Part 95 to continue to operate in that band.  </w:t>
      </w:r>
      <w:r w:rsidR="00535D26">
        <w:t>Similarly, FOD detection radars currently certified under Part 15 to operate in the 76-77 GHz band need not be re-certified under Part 95.  These</w:t>
      </w:r>
      <w:r>
        <w:t xml:space="preserve"> devices may continue their operations</w:t>
      </w:r>
      <w:r w:rsidR="00CC22C4">
        <w:t>, but will now do so</w:t>
      </w:r>
      <w:r>
        <w:t xml:space="preserve"> on a license</w:t>
      </w:r>
      <w:r w:rsidR="002A7B6A">
        <w:t>d</w:t>
      </w:r>
      <w:r>
        <w:t xml:space="preserve">-by-rule basis </w:t>
      </w:r>
      <w:r w:rsidR="00CC22C4">
        <w:t xml:space="preserve">and be </w:t>
      </w:r>
      <w:r>
        <w:t>entitled to interference protection from amateur operations in the 76-77 GHz</w:t>
      </w:r>
      <w:r w:rsidR="000F0402">
        <w:t xml:space="preserve"> band</w:t>
      </w:r>
      <w:r>
        <w:t xml:space="preserve">.  However, </w:t>
      </w:r>
      <w:r w:rsidR="001B436D">
        <w:t>any</w:t>
      </w:r>
      <w:r>
        <w:t xml:space="preserve"> changes for </w:t>
      </w:r>
      <w:r w:rsidR="00CC22C4">
        <w:t xml:space="preserve">such </w:t>
      </w:r>
      <w:r>
        <w:t xml:space="preserve">previously certified devices will </w:t>
      </w:r>
      <w:r w:rsidR="00A91037">
        <w:t xml:space="preserve">need to comply with </w:t>
      </w:r>
      <w:r>
        <w:t>the applicable Part 95 rules.</w:t>
      </w:r>
      <w:bookmarkEnd w:id="887"/>
      <w:r w:rsidR="005A7E2E">
        <w:rPr>
          <w:rStyle w:val="FootnoteReference"/>
        </w:rPr>
        <w:footnoteReference w:id="203"/>
      </w:r>
    </w:p>
    <w:p w:rsidR="008563C9" w:rsidRDefault="00ED649C" w:rsidP="00993EF1">
      <w:pPr>
        <w:pStyle w:val="ParaNum"/>
        <w:widowControl/>
      </w:pPr>
      <w:r>
        <w:t xml:space="preserve">Our new Part 95 radar rules do not </w:t>
      </w:r>
      <w:r w:rsidR="003E66EA">
        <w:t>establish</w:t>
      </w:r>
      <w:r>
        <w:t xml:space="preserve"> distinct spectrum blocks in the 76-81 GHz band for particular radar applications</w:t>
      </w:r>
      <w:r w:rsidR="003F21E7">
        <w:t xml:space="preserve"> such as LRR and SRR</w:t>
      </w:r>
      <w:r>
        <w:t>,</w:t>
      </w:r>
      <w:r w:rsidR="003F21E7">
        <w:t xml:space="preserve"> or</w:t>
      </w:r>
      <w:r w:rsidR="003F21E7" w:rsidRPr="003F21E7">
        <w:t xml:space="preserve"> </w:t>
      </w:r>
      <w:r w:rsidR="003F21E7">
        <w:t>FOD detection and aircraft-mounted radars.  Instead, we</w:t>
      </w:r>
      <w:r>
        <w:t xml:space="preserve"> </w:t>
      </w:r>
      <w:r w:rsidR="00574874">
        <w:t xml:space="preserve">will </w:t>
      </w:r>
      <w:r w:rsidR="00F07485">
        <w:t xml:space="preserve">rely on </w:t>
      </w:r>
      <w:r>
        <w:t>m</w:t>
      </w:r>
      <w:r w:rsidRPr="00FF6B44">
        <w:t xml:space="preserve">arket forces and standardization processes </w:t>
      </w:r>
      <w:r>
        <w:t xml:space="preserve">to drive the </w:t>
      </w:r>
      <w:r w:rsidRPr="00FF6B44">
        <w:t>u</w:t>
      </w:r>
      <w:r>
        <w:t>se</w:t>
      </w:r>
      <w:r w:rsidRPr="00FF6B44">
        <w:t xml:space="preserve"> of the band in accordance with application need</w:t>
      </w:r>
      <w:r>
        <w:t>s</w:t>
      </w:r>
      <w:r w:rsidRPr="00FF6B44">
        <w:t xml:space="preserve"> and </w:t>
      </w:r>
      <w:r>
        <w:t xml:space="preserve">the </w:t>
      </w:r>
      <w:r w:rsidRPr="00FF6B44">
        <w:t>state of technology</w:t>
      </w:r>
      <w:r w:rsidR="00F07485">
        <w:t xml:space="preserve">. </w:t>
      </w:r>
      <w:r>
        <w:t xml:space="preserve"> </w:t>
      </w:r>
      <w:r w:rsidR="00AA3AF0">
        <w:t>Although t</w:t>
      </w:r>
      <w:r w:rsidR="00CB4E28">
        <w:t>he Commission</w:t>
      </w:r>
      <w:r w:rsidR="00302405">
        <w:t xml:space="preserve"> recognized in the </w:t>
      </w:r>
      <w:r w:rsidR="00302405">
        <w:rPr>
          <w:i/>
        </w:rPr>
        <w:t>NPRM</w:t>
      </w:r>
      <w:r w:rsidR="00302405">
        <w:t xml:space="preserve"> an apparent industry consensus on locating SRR applications in the newly expanded frequencies</w:t>
      </w:r>
      <w:r w:rsidR="00E4187E">
        <w:t xml:space="preserve"> at </w:t>
      </w:r>
      <w:r w:rsidR="00E4187E" w:rsidRPr="00A46336">
        <w:t>77-81 GHz,</w:t>
      </w:r>
      <w:r w:rsidR="00302405">
        <w:t xml:space="preserve"> while retaining LRR use of the 76-77 GHz segment</w:t>
      </w:r>
      <w:r w:rsidR="00302405" w:rsidRPr="00ED649C">
        <w:t>,</w:t>
      </w:r>
      <w:r w:rsidR="00AA3AF0">
        <w:t xml:space="preserve"> it </w:t>
      </w:r>
      <w:r w:rsidR="00E4187E" w:rsidRPr="00A46336">
        <w:t>did not propose</w:t>
      </w:r>
      <w:r w:rsidR="00E4187E">
        <w:t xml:space="preserve"> </w:t>
      </w:r>
      <w:r w:rsidR="00AA3AF0">
        <w:t xml:space="preserve">to </w:t>
      </w:r>
      <w:r w:rsidR="00766122" w:rsidRPr="00A46336">
        <w:t>designate</w:t>
      </w:r>
      <w:r w:rsidR="00AA3AF0">
        <w:t xml:space="preserve"> specific portions of the band for </w:t>
      </w:r>
      <w:r w:rsidR="00E4187E">
        <w:t xml:space="preserve">SRR </w:t>
      </w:r>
      <w:r w:rsidR="00AA3AF0">
        <w:t>and LRR</w:t>
      </w:r>
      <w:r w:rsidR="00E4187E">
        <w:t xml:space="preserve"> </w:t>
      </w:r>
      <w:r w:rsidR="00E4187E" w:rsidRPr="00A46336">
        <w:t>use</w:t>
      </w:r>
      <w:r w:rsidR="00AA3AF0">
        <w:t>.</w:t>
      </w:r>
      <w:r w:rsidRPr="00ED649C">
        <w:rPr>
          <w:vertAlign w:val="superscript"/>
        </w:rPr>
        <w:footnoteReference w:id="204"/>
      </w:r>
      <w:r>
        <w:t xml:space="preserve"> </w:t>
      </w:r>
      <w:r w:rsidR="00AA3AF0">
        <w:t xml:space="preserve"> Delphi argues against </w:t>
      </w:r>
      <w:r w:rsidR="00AA3AF0" w:rsidRPr="00330BD4">
        <w:t>differentiat</w:t>
      </w:r>
      <w:r w:rsidR="00AA3AF0">
        <w:t>ing</w:t>
      </w:r>
      <w:r w:rsidR="00AA3AF0" w:rsidRPr="00330BD4">
        <w:t xml:space="preserve"> between </w:t>
      </w:r>
      <w:r w:rsidR="00AA3AF0">
        <w:t>L</w:t>
      </w:r>
      <w:r w:rsidR="00AA3AF0" w:rsidRPr="00330BD4">
        <w:t xml:space="preserve">RR and </w:t>
      </w:r>
      <w:r w:rsidR="00AA3AF0">
        <w:t>S</w:t>
      </w:r>
      <w:r w:rsidR="00AA3AF0" w:rsidRPr="00330BD4">
        <w:t xml:space="preserve">RR </w:t>
      </w:r>
      <w:r w:rsidR="00AA3AF0">
        <w:t>applications</w:t>
      </w:r>
      <w:r w:rsidR="00AA3AF0" w:rsidRPr="00330BD4">
        <w:t xml:space="preserve">, allowing both </w:t>
      </w:r>
      <w:r w:rsidR="00547628">
        <w:t xml:space="preserve">types of vehicular radars </w:t>
      </w:r>
      <w:r w:rsidR="00AA3AF0" w:rsidRPr="00330BD4">
        <w:t>to operate anyw</w:t>
      </w:r>
      <w:r w:rsidR="00547628">
        <w:t xml:space="preserve">here within the 76–81 GHz band </w:t>
      </w:r>
      <w:r w:rsidR="00547628" w:rsidRPr="00547628">
        <w:t>with the same emissions regulations as currently specified for LRR devices operation under Part 15</w:t>
      </w:r>
      <w:r w:rsidR="00E15722">
        <w:t>.</w:t>
      </w:r>
      <w:r w:rsidR="00AA3AF0" w:rsidRPr="00330BD4">
        <w:rPr>
          <w:vertAlign w:val="superscript"/>
        </w:rPr>
        <w:footnoteReference w:id="205"/>
      </w:r>
      <w:r w:rsidR="00AA3AF0">
        <w:t xml:space="preserve">  </w:t>
      </w:r>
      <w:r w:rsidR="00E15722">
        <w:t xml:space="preserve">On the other hand, </w:t>
      </w:r>
      <w:r w:rsidR="00AA3AF0">
        <w:t xml:space="preserve">Bosch </w:t>
      </w:r>
      <w:r w:rsidR="00302405">
        <w:t>state</w:t>
      </w:r>
      <w:r w:rsidR="00AA3AF0">
        <w:t>s</w:t>
      </w:r>
      <w:r w:rsidR="00302405">
        <w:t xml:space="preserve"> that because </w:t>
      </w:r>
      <w:r w:rsidR="00302405" w:rsidRPr="00330BD4">
        <w:t xml:space="preserve">sharing studies </w:t>
      </w:r>
      <w:r w:rsidR="00547628">
        <w:t>indicate that frequency sharing between SRR and LRR systems is not possible</w:t>
      </w:r>
      <w:r w:rsidR="00302405">
        <w:t xml:space="preserve">, we should </w:t>
      </w:r>
      <w:r w:rsidR="00302405" w:rsidRPr="00801F79">
        <w:t>separate LRR and SRR operations.</w:t>
      </w:r>
      <w:r w:rsidR="00302405" w:rsidRPr="00801F79">
        <w:rPr>
          <w:vertAlign w:val="superscript"/>
        </w:rPr>
        <w:footnoteReference w:id="206"/>
      </w:r>
      <w:r w:rsidR="003F21E7">
        <w:t xml:space="preserve">  </w:t>
      </w:r>
      <w:r w:rsidR="00AA3AF0">
        <w:t>Similarly</w:t>
      </w:r>
      <w:r>
        <w:t xml:space="preserve">, </w:t>
      </w:r>
      <w:r w:rsidR="002B2EE9">
        <w:t>Xsight states that, although it expects FOD detection and aircraft-mounted radars to be able to coexist without causing interference to each other, it suggests that the Commission could take extra precautions by designating a different one gigahertz frequency range (e.g., 80-81 GHz) for aircraft-mounted radar applications.</w:t>
      </w:r>
      <w:r w:rsidR="002B2EE9">
        <w:rPr>
          <w:rStyle w:val="FootnoteReference"/>
        </w:rPr>
        <w:footnoteReference w:id="207"/>
      </w:r>
    </w:p>
    <w:p w:rsidR="00821AAB" w:rsidRDefault="00E15722" w:rsidP="00993EF1">
      <w:pPr>
        <w:pStyle w:val="ParaNum"/>
        <w:widowControl/>
      </w:pPr>
      <w:r>
        <w:t>W</w:t>
      </w:r>
      <w:r w:rsidR="009474E6">
        <w:t xml:space="preserve">e find </w:t>
      </w:r>
      <w:r w:rsidR="009474E6" w:rsidRPr="00FF6B44">
        <w:t xml:space="preserve">it </w:t>
      </w:r>
      <w:r w:rsidR="009474E6">
        <w:t>un</w:t>
      </w:r>
      <w:r w:rsidR="009474E6" w:rsidRPr="00FF6B44">
        <w:t xml:space="preserve">necessary to </w:t>
      </w:r>
      <w:r w:rsidR="009474E6">
        <w:t>define and distinguish LRR and SRR use within our rules</w:t>
      </w:r>
      <w:r w:rsidR="00A43EB4">
        <w:t xml:space="preserve">.  </w:t>
      </w:r>
      <w:r>
        <w:t xml:space="preserve">Unlike </w:t>
      </w:r>
      <w:r w:rsidR="00CB4E28" w:rsidRPr="00CB4E28">
        <w:t>some fixed radar applications (e.g., roadside traffic monitoring) that have the potential to cause harmful interference to vehicular radar operations in many instances and warrant exclusion from operation in the 76-81 GHz</w:t>
      </w:r>
      <w:r w:rsidR="00821AAB">
        <w:t xml:space="preserve"> band</w:t>
      </w:r>
      <w:r w:rsidR="00CB4E28" w:rsidRPr="00CB4E28">
        <w:t xml:space="preserve"> until their compatibility with vehicular radar operations can be assured,</w:t>
      </w:r>
      <w:r w:rsidR="00CB4E28" w:rsidRPr="00CB4E28">
        <w:rPr>
          <w:rStyle w:val="FootnoteReference"/>
        </w:rPr>
        <w:footnoteReference w:id="208"/>
      </w:r>
      <w:r w:rsidR="00CB4E28" w:rsidRPr="00CB4E28">
        <w:t xml:space="preserve"> </w:t>
      </w:r>
      <w:r w:rsidR="008563C9" w:rsidRPr="00CB4E28">
        <w:t xml:space="preserve">the </w:t>
      </w:r>
      <w:r w:rsidR="0057653F">
        <w:t>compatible</w:t>
      </w:r>
      <w:r w:rsidR="008563C9" w:rsidRPr="00CB4E28">
        <w:t xml:space="preserve"> characteristics of vehicular radar</w:t>
      </w:r>
      <w:r w:rsidR="0057653F">
        <w:t>s</w:t>
      </w:r>
      <w:r w:rsidR="008563C9">
        <w:t xml:space="preserve"> operating </w:t>
      </w:r>
      <w:r w:rsidR="008563C9" w:rsidRPr="00CB4E28">
        <w:t>in the 76-81 GHz band</w:t>
      </w:r>
      <w:r w:rsidR="008563C9">
        <w:t xml:space="preserve"> </w:t>
      </w:r>
      <w:r w:rsidR="000A41A0">
        <w:t xml:space="preserve">will </w:t>
      </w:r>
      <w:r w:rsidR="008563C9">
        <w:t xml:space="preserve">allow </w:t>
      </w:r>
      <w:r w:rsidR="008563C9" w:rsidRPr="00CB4E28">
        <w:t>interested parties to determine whether particular segments of the 76-81 GHz band should be designated exclusively for LRR or SRR applications</w:t>
      </w:r>
      <w:r w:rsidR="008563C9">
        <w:t>.</w:t>
      </w:r>
      <w:r w:rsidR="0057653F">
        <w:t xml:space="preserve">  </w:t>
      </w:r>
      <w:r w:rsidR="00547628">
        <w:t>Vehicular radar operations involve low-</w:t>
      </w:r>
      <w:r w:rsidR="0057653F" w:rsidRPr="00CB4E28">
        <w:t>power</w:t>
      </w:r>
      <w:r w:rsidR="00547628">
        <w:t>, short-</w:t>
      </w:r>
      <w:r w:rsidR="0057653F" w:rsidRPr="00CB4E28">
        <w:t xml:space="preserve">range </w:t>
      </w:r>
      <w:r w:rsidR="00AE67E9">
        <w:t>transmissions</w:t>
      </w:r>
      <w:r w:rsidR="00547628">
        <w:t xml:space="preserve"> </w:t>
      </w:r>
      <w:r w:rsidR="0057653F" w:rsidRPr="00CB4E28">
        <w:t>with multiple shared channels where users can avoid congestion</w:t>
      </w:r>
      <w:r w:rsidR="0057653F">
        <w:t xml:space="preserve"> </w:t>
      </w:r>
      <w:r w:rsidR="00547628">
        <w:t>f</w:t>
      </w:r>
      <w:r w:rsidR="0057653F">
        <w:t xml:space="preserve">airly </w:t>
      </w:r>
      <w:r w:rsidR="0057653F" w:rsidRPr="00CB4E28">
        <w:t>easily</w:t>
      </w:r>
      <w:r w:rsidR="0057653F">
        <w:t>.</w:t>
      </w:r>
      <w:r w:rsidR="0057653F" w:rsidRPr="00CB4E28">
        <w:rPr>
          <w:rStyle w:val="FootnoteReference"/>
        </w:rPr>
        <w:footnoteReference w:id="209"/>
      </w:r>
      <w:r w:rsidR="0057653F">
        <w:t xml:space="preserve">  T</w:t>
      </w:r>
      <w:r w:rsidR="00302405">
        <w:t xml:space="preserve">his </w:t>
      </w:r>
      <w:r w:rsidR="00CB4E28">
        <w:t>approach is</w:t>
      </w:r>
      <w:r w:rsidR="00302405">
        <w:t xml:space="preserve"> particularly apt here, </w:t>
      </w:r>
      <w:r w:rsidR="00CB4E28">
        <w:t xml:space="preserve">especially </w:t>
      </w:r>
      <w:r w:rsidR="00302405">
        <w:t>given our expectation</w:t>
      </w:r>
      <w:r w:rsidR="00CB4E28">
        <w:t>s</w:t>
      </w:r>
      <w:r w:rsidR="00302405">
        <w:t xml:space="preserve"> that vehicular radars will be the most </w:t>
      </w:r>
      <w:r w:rsidR="00CB4E28">
        <w:t>predominant and widespread use</w:t>
      </w:r>
      <w:r w:rsidR="00302405">
        <w:t xml:space="preserve"> of the band.  Automotive equipment manufacturers have a strong incentive to ensure the successful deployment of vehicular radar technologies and have demonstrated an ability to work cooperatively through their unified efforts to make the </w:t>
      </w:r>
      <w:r w:rsidR="00CB4E28">
        <w:t xml:space="preserve">76-81 GHz </w:t>
      </w:r>
      <w:r w:rsidR="00302405">
        <w:t>band available for vehicular radars on a worldwide harmonized basis.</w:t>
      </w:r>
      <w:r w:rsidR="00067F06">
        <w:rPr>
          <w:rStyle w:val="FootnoteReference"/>
        </w:rPr>
        <w:footnoteReference w:id="210"/>
      </w:r>
      <w:r w:rsidR="00302405" w:rsidRPr="00DB08D1">
        <w:t xml:space="preserve"> </w:t>
      </w:r>
      <w:r w:rsidR="009C4243">
        <w:t xml:space="preserve"> </w:t>
      </w:r>
      <w:r w:rsidR="00302405">
        <w:t xml:space="preserve">Moreover, by taking a light-handed regulatory approach, we will </w:t>
      </w:r>
      <w:r w:rsidR="00CB4E28" w:rsidRPr="00CB4E28">
        <w:t xml:space="preserve">maintain manufacturers’ flexibility in designing and manufacturing vehicular radars and </w:t>
      </w:r>
      <w:r w:rsidR="00302405">
        <w:t>make it easier for vehicular radar</w:t>
      </w:r>
      <w:r w:rsidR="00CB4E28">
        <w:t xml:space="preserve"> manufacturers </w:t>
      </w:r>
      <w:r w:rsidR="00302405">
        <w:t>to optimize LRR and SRR</w:t>
      </w:r>
      <w:r w:rsidR="00E4187E">
        <w:t xml:space="preserve"> </w:t>
      </w:r>
      <w:r w:rsidR="00E4187E" w:rsidRPr="00A46336">
        <w:t>operations</w:t>
      </w:r>
      <w:r w:rsidR="00CB4E28">
        <w:t xml:space="preserve"> </w:t>
      </w:r>
      <w:r w:rsidR="00302405">
        <w:t xml:space="preserve">within the band </w:t>
      </w:r>
      <w:r w:rsidR="00CB4E28">
        <w:t>as</w:t>
      </w:r>
      <w:r w:rsidR="00302405">
        <w:t xml:space="preserve"> warranted by the development of future</w:t>
      </w:r>
      <w:r w:rsidR="00302405" w:rsidRPr="00FF6B44">
        <w:t xml:space="preserve"> innovati</w:t>
      </w:r>
      <w:r w:rsidR="00302405">
        <w:t>ve vehicular radar application</w:t>
      </w:r>
      <w:r w:rsidR="00E4187E" w:rsidRPr="00A46336">
        <w:t>s</w:t>
      </w:r>
      <w:r w:rsidR="008104A6">
        <w:t>, which, in turn, will</w:t>
      </w:r>
      <w:r w:rsidR="008563C9" w:rsidRPr="00CB4E28">
        <w:t xml:space="preserve"> further lessen the potential for interference between these applications</w:t>
      </w:r>
      <w:r w:rsidR="008104A6">
        <w:t>.</w:t>
      </w:r>
    </w:p>
    <w:p w:rsidR="00302405" w:rsidRDefault="00FB69B8" w:rsidP="00993EF1">
      <w:pPr>
        <w:pStyle w:val="ParaNum"/>
      </w:pPr>
      <w:r>
        <w:t xml:space="preserve">We apply the same analysis </w:t>
      </w:r>
      <w:r w:rsidR="00640674">
        <w:t>to the question of spectrum use by aircraft-mounted radars in the 76-81 GHz band</w:t>
      </w:r>
      <w:r w:rsidR="009474E6">
        <w:t xml:space="preserve">. </w:t>
      </w:r>
      <w:r w:rsidR="00E15722" w:rsidRPr="00821AAB">
        <w:t xml:space="preserve"> FOD detection and aircraft-mounted radar operations </w:t>
      </w:r>
      <w:r w:rsidR="00821AAB">
        <w:t>both</w:t>
      </w:r>
      <w:r w:rsidR="007F3514">
        <w:t xml:space="preserve"> involve low </w:t>
      </w:r>
      <w:r w:rsidR="00E15722" w:rsidRPr="00821AAB">
        <w:t>power short range transmissions with multiple shared channels where users can</w:t>
      </w:r>
      <w:r w:rsidR="00821AAB">
        <w:t xml:space="preserve"> avoid congestion fairly easily.  A</w:t>
      </w:r>
      <w:r w:rsidR="00821AAB" w:rsidRPr="001A4D17">
        <w:t>llow</w:t>
      </w:r>
      <w:r w:rsidR="00821AAB">
        <w:t>ing</w:t>
      </w:r>
      <w:r w:rsidR="00821AAB" w:rsidRPr="001A4D17">
        <w:t xml:space="preserve"> </w:t>
      </w:r>
      <w:r w:rsidR="00821AAB">
        <w:t xml:space="preserve">an </w:t>
      </w:r>
      <w:r w:rsidR="00821AAB" w:rsidRPr="001A4D17">
        <w:t>aircraft-mounted</w:t>
      </w:r>
      <w:r w:rsidR="00821AAB">
        <w:t xml:space="preserve">, FOD detection, or any other airport-based </w:t>
      </w:r>
      <w:r w:rsidR="00821AAB" w:rsidRPr="001A4D17">
        <w:t>radar</w:t>
      </w:r>
      <w:r w:rsidR="00821AAB">
        <w:t xml:space="preserve"> to operate anywhere within the entirety of the 76</w:t>
      </w:r>
      <w:r w:rsidR="00821AAB">
        <w:noBreakHyphen/>
        <w:t xml:space="preserve">81 GHz band </w:t>
      </w:r>
      <w:r w:rsidR="000A41A0">
        <w:t xml:space="preserve">will </w:t>
      </w:r>
      <w:r w:rsidR="00821AAB" w:rsidRPr="00DD2C84">
        <w:t xml:space="preserve">allow </w:t>
      </w:r>
      <w:r w:rsidR="00821AAB">
        <w:t xml:space="preserve">the industry, </w:t>
      </w:r>
      <w:r w:rsidR="00821AAB" w:rsidRPr="00DD2C84">
        <w:t>market forces</w:t>
      </w:r>
      <w:r w:rsidR="00821AAB">
        <w:t>,</w:t>
      </w:r>
      <w:r w:rsidR="00821AAB" w:rsidRPr="00DD2C84">
        <w:t xml:space="preserve"> and standard</w:t>
      </w:r>
      <w:r w:rsidR="00821AAB">
        <w:t xml:space="preserve">s bodies </w:t>
      </w:r>
      <w:r w:rsidR="00821AAB" w:rsidRPr="00DD2C84">
        <w:t xml:space="preserve">to optimize </w:t>
      </w:r>
      <w:r w:rsidR="00821AAB">
        <w:t>use</w:t>
      </w:r>
      <w:r w:rsidR="00821AAB" w:rsidRPr="00DD2C84">
        <w:t xml:space="preserve"> of the band </w:t>
      </w:r>
      <w:r w:rsidR="009474E6">
        <w:t>and</w:t>
      </w:r>
      <w:r w:rsidR="00E15722" w:rsidRPr="00821AAB">
        <w:t xml:space="preserve"> determine whether particular segments of the 76-81 GHz band should be designated exclusively for aircraft-mounted radar or FOD detection radar use to further lessen the potential for interference between these applications.  </w:t>
      </w:r>
      <w:r w:rsidR="006326C1">
        <w:t xml:space="preserve">This is particularly appropriate for the airport setting, </w:t>
      </w:r>
      <w:r w:rsidR="00ED7993">
        <w:t xml:space="preserve">which is already </w:t>
      </w:r>
      <w:r w:rsidR="007F3514">
        <w:t>highly coordinated and</w:t>
      </w:r>
      <w:r w:rsidR="00ED7993">
        <w:t xml:space="preserve"> controlled </w:t>
      </w:r>
      <w:r w:rsidR="006326C1">
        <w:t xml:space="preserve">to ensure safe and efficient operations.  </w:t>
      </w:r>
      <w:r w:rsidR="009474E6">
        <w:t xml:space="preserve">In addition, </w:t>
      </w:r>
      <w:r>
        <w:t>o</w:t>
      </w:r>
      <w:r w:rsidR="006326C1">
        <w:t xml:space="preserve">ur </w:t>
      </w:r>
      <w:r w:rsidR="00302405">
        <w:t>approach will serve the public interest</w:t>
      </w:r>
      <w:r w:rsidR="00302405" w:rsidRPr="00DD2C84">
        <w:t xml:space="preserve"> since it</w:t>
      </w:r>
      <w:r w:rsidR="00302405">
        <w:t xml:space="preserve"> will maintain manufacturers’ flexibility in designing and manufacturing radars</w:t>
      </w:r>
      <w:r>
        <w:t xml:space="preserve"> for use on airport grounds</w:t>
      </w:r>
      <w:r w:rsidR="00302405" w:rsidRPr="00DD2C84">
        <w:t xml:space="preserve">.  </w:t>
      </w:r>
      <w:r>
        <w:t xml:space="preserve">Therefore, we find </w:t>
      </w:r>
      <w:r w:rsidRPr="00FF6B44">
        <w:t xml:space="preserve">it </w:t>
      </w:r>
      <w:r>
        <w:t>un</w:t>
      </w:r>
      <w:r w:rsidRPr="00FF6B44">
        <w:t xml:space="preserve">necessary to </w:t>
      </w:r>
      <w:r>
        <w:t>restrict the use of aircraft-mounted radars to a one gigahertz block of spectrum within the 76-81 GHz band.</w:t>
      </w:r>
    </w:p>
    <w:p w:rsidR="00976DA2" w:rsidRPr="00CF304E" w:rsidRDefault="00976DA2" w:rsidP="00976DA2">
      <w:pPr>
        <w:pStyle w:val="Heading1"/>
      </w:pPr>
      <w:bookmarkStart w:id="888" w:name="_Toc448503970"/>
      <w:bookmarkStart w:id="889" w:name="_Toc448503971"/>
      <w:bookmarkStart w:id="890" w:name="_Toc448503974"/>
      <w:bookmarkStart w:id="891" w:name="_Toc376856096"/>
      <w:bookmarkStart w:id="892" w:name="_Toc376856265"/>
      <w:bookmarkStart w:id="893" w:name="_Toc376856309"/>
      <w:bookmarkStart w:id="894" w:name="_Toc376856502"/>
      <w:bookmarkStart w:id="895" w:name="_Toc380747773"/>
      <w:bookmarkStart w:id="896" w:name="_Toc380750753"/>
      <w:bookmarkStart w:id="897" w:name="_Toc447701731"/>
      <w:bookmarkStart w:id="898" w:name="_Toc447729233"/>
      <w:bookmarkStart w:id="899" w:name="_Toc447811223"/>
      <w:bookmarkStart w:id="900" w:name="_Toc447815324"/>
      <w:bookmarkStart w:id="901" w:name="_Toc447815772"/>
      <w:bookmarkStart w:id="902" w:name="_Toc448393076"/>
      <w:bookmarkStart w:id="903" w:name="_Toc448394102"/>
      <w:bookmarkStart w:id="904" w:name="_Toc448394903"/>
      <w:bookmarkStart w:id="905" w:name="_Toc448395828"/>
      <w:bookmarkStart w:id="906" w:name="_Toc448410525"/>
      <w:bookmarkStart w:id="907" w:name="_Toc448503978"/>
      <w:bookmarkStart w:id="908" w:name="_Toc448736143"/>
      <w:bookmarkStart w:id="909" w:name="_Toc448736356"/>
      <w:bookmarkStart w:id="910" w:name="_Toc451907105"/>
      <w:bookmarkStart w:id="911" w:name="_Toc451973353"/>
      <w:bookmarkStart w:id="912" w:name="_Toc452449730"/>
      <w:bookmarkStart w:id="913" w:name="_Toc452449891"/>
      <w:bookmarkStart w:id="914" w:name="_Toc454322899"/>
      <w:bookmarkStart w:id="915" w:name="_Toc454323400"/>
      <w:bookmarkStart w:id="916" w:name="_Toc454323576"/>
      <w:bookmarkStart w:id="917" w:name="_Toc454365507"/>
      <w:bookmarkStart w:id="918" w:name="_Toc454456251"/>
      <w:bookmarkStart w:id="919" w:name="_Toc454456276"/>
      <w:bookmarkStart w:id="920" w:name="_Toc454456367"/>
      <w:bookmarkStart w:id="921" w:name="_Toc454457174"/>
      <w:bookmarkStart w:id="922" w:name="_Toc454457517"/>
      <w:bookmarkStart w:id="923" w:name="_Toc454460101"/>
      <w:bookmarkStart w:id="924" w:name="_Toc454460306"/>
      <w:bookmarkStart w:id="925" w:name="_Toc454461257"/>
      <w:bookmarkStart w:id="926" w:name="_Toc459723403"/>
      <w:bookmarkStart w:id="927" w:name="_Toc459829056"/>
      <w:bookmarkStart w:id="928" w:name="_Toc459829761"/>
      <w:bookmarkStart w:id="929" w:name="_Toc459911856"/>
      <w:bookmarkStart w:id="930" w:name="_Toc460402638"/>
      <w:bookmarkStart w:id="931" w:name="_Toc460435331"/>
      <w:bookmarkStart w:id="932" w:name="_Toc460523707"/>
      <w:bookmarkStart w:id="933" w:name="_Toc460607618"/>
      <w:bookmarkStart w:id="934" w:name="_Toc460873690"/>
      <w:bookmarkStart w:id="935" w:name="_Toc460881071"/>
      <w:bookmarkStart w:id="936" w:name="_Toc461004635"/>
      <w:bookmarkStart w:id="937" w:name="_Toc461030303"/>
      <w:bookmarkStart w:id="938" w:name="_Toc461091248"/>
      <w:bookmarkStart w:id="939" w:name="_Toc461435086"/>
      <w:bookmarkStart w:id="940" w:name="_Toc461526563"/>
      <w:bookmarkStart w:id="941" w:name="_Toc461728165"/>
      <w:bookmarkStart w:id="942" w:name="_Toc461804900"/>
      <w:bookmarkStart w:id="943" w:name="_Toc462125344"/>
      <w:bookmarkStart w:id="944" w:name="_Toc462237447"/>
      <w:bookmarkStart w:id="945" w:name="_Toc462656118"/>
      <w:bookmarkStart w:id="946" w:name="_Toc462675880"/>
      <w:bookmarkStart w:id="947" w:name="_Toc462786127"/>
      <w:bookmarkStart w:id="948" w:name="_Toc462808465"/>
      <w:bookmarkStart w:id="949" w:name="_Toc462911168"/>
      <w:bookmarkStart w:id="950" w:name="_Toc463267944"/>
      <w:bookmarkStart w:id="951" w:name="_Toc463946952"/>
      <w:bookmarkStart w:id="952" w:name="_Toc464208131"/>
      <w:bookmarkStart w:id="953" w:name="_Toc464210012"/>
      <w:bookmarkStart w:id="954" w:name="_Toc464210476"/>
      <w:bookmarkStart w:id="955" w:name="_Toc464649180"/>
      <w:bookmarkStart w:id="956" w:name="_Toc464649452"/>
      <w:bookmarkStart w:id="957" w:name="_Toc464660054"/>
      <w:bookmarkStart w:id="958" w:name="_Toc465939721"/>
      <w:bookmarkStart w:id="959" w:name="_Toc468184081"/>
      <w:bookmarkStart w:id="960" w:name="_Toc471485259"/>
      <w:bookmarkStart w:id="961" w:name="_Toc473911554"/>
      <w:bookmarkStart w:id="962" w:name="_Toc473911773"/>
      <w:bookmarkStart w:id="963" w:name="_Toc475023443"/>
      <w:bookmarkStart w:id="964" w:name="_Toc475564852"/>
      <w:bookmarkStart w:id="965" w:name="_Toc475995731"/>
      <w:bookmarkStart w:id="966" w:name="_Toc476168272"/>
      <w:bookmarkStart w:id="967" w:name="_Toc476230609"/>
      <w:bookmarkStart w:id="968" w:name="_Toc476319100"/>
      <w:bookmarkStart w:id="969" w:name="_Toc477171267"/>
      <w:bookmarkStart w:id="970" w:name="_Toc477176716"/>
      <w:bookmarkStart w:id="971" w:name="_Toc480544489"/>
      <w:bookmarkStart w:id="972" w:name="_Toc483252363"/>
      <w:bookmarkStart w:id="973" w:name="_Toc485387943"/>
      <w:bookmarkStart w:id="974" w:name="_Toc485640848"/>
      <w:bookmarkStart w:id="975" w:name="_Toc487543600"/>
      <w:bookmarkEnd w:id="888"/>
      <w:bookmarkEnd w:id="889"/>
      <w:bookmarkEnd w:id="890"/>
      <w:r w:rsidRPr="00CF304E">
        <w:t>PROCEDURAL MATTERS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59141D" w:rsidRPr="000C511A" w:rsidRDefault="0059141D" w:rsidP="003546CC">
      <w:pPr>
        <w:pStyle w:val="Heading2"/>
      </w:pPr>
      <w:bookmarkStart w:id="976" w:name="_Toc509145798"/>
      <w:bookmarkStart w:id="977" w:name="_Toc376856099"/>
      <w:bookmarkStart w:id="978" w:name="_Toc376856268"/>
      <w:bookmarkStart w:id="979" w:name="_Toc376856312"/>
      <w:bookmarkStart w:id="980" w:name="_Toc376856505"/>
      <w:bookmarkStart w:id="981" w:name="_Toc380747776"/>
      <w:bookmarkStart w:id="982" w:name="_Toc454457175"/>
      <w:bookmarkStart w:id="983" w:name="_Toc454457518"/>
      <w:bookmarkStart w:id="984" w:name="_Toc454460102"/>
      <w:bookmarkStart w:id="985" w:name="_Toc454460307"/>
      <w:bookmarkStart w:id="986" w:name="_Toc454461258"/>
      <w:bookmarkStart w:id="987" w:name="_Toc459723404"/>
      <w:bookmarkStart w:id="988" w:name="_Toc459829057"/>
      <w:bookmarkStart w:id="989" w:name="_Toc459829762"/>
      <w:bookmarkStart w:id="990" w:name="_Toc459911857"/>
      <w:bookmarkStart w:id="991" w:name="_Toc460402639"/>
      <w:bookmarkStart w:id="992" w:name="_Toc460435332"/>
      <w:bookmarkStart w:id="993" w:name="_Toc460523708"/>
      <w:bookmarkStart w:id="994" w:name="_Toc460607619"/>
      <w:bookmarkStart w:id="995" w:name="_Toc460873691"/>
      <w:bookmarkStart w:id="996" w:name="_Toc460881072"/>
      <w:bookmarkStart w:id="997" w:name="_Toc461004636"/>
      <w:bookmarkStart w:id="998" w:name="_Toc461030304"/>
      <w:bookmarkStart w:id="999" w:name="_Toc461091249"/>
      <w:bookmarkStart w:id="1000" w:name="_Toc461435087"/>
      <w:bookmarkStart w:id="1001" w:name="_Toc461526564"/>
      <w:bookmarkStart w:id="1002" w:name="_Toc461728166"/>
      <w:bookmarkStart w:id="1003" w:name="_Toc461804901"/>
      <w:bookmarkStart w:id="1004" w:name="_Toc462125345"/>
      <w:bookmarkStart w:id="1005" w:name="_Toc462237448"/>
      <w:bookmarkStart w:id="1006" w:name="_Toc462656119"/>
      <w:bookmarkStart w:id="1007" w:name="_Toc462675881"/>
      <w:bookmarkStart w:id="1008" w:name="_Toc462786128"/>
      <w:bookmarkStart w:id="1009" w:name="_Toc462808466"/>
      <w:bookmarkStart w:id="1010" w:name="_Toc462911169"/>
      <w:bookmarkStart w:id="1011" w:name="_Toc463267945"/>
      <w:bookmarkStart w:id="1012" w:name="_Toc463946953"/>
      <w:bookmarkStart w:id="1013" w:name="_Toc464208132"/>
      <w:bookmarkStart w:id="1014" w:name="_Toc464210013"/>
      <w:bookmarkStart w:id="1015" w:name="_Toc464210477"/>
      <w:bookmarkStart w:id="1016" w:name="_Toc464649181"/>
      <w:bookmarkStart w:id="1017" w:name="_Toc464649453"/>
      <w:bookmarkStart w:id="1018" w:name="_Toc464660055"/>
      <w:bookmarkStart w:id="1019" w:name="_Toc465939722"/>
      <w:bookmarkStart w:id="1020" w:name="_Toc471485260"/>
      <w:bookmarkStart w:id="1021" w:name="_Toc473911555"/>
      <w:bookmarkStart w:id="1022" w:name="_Toc473911774"/>
      <w:bookmarkStart w:id="1023" w:name="_Toc475023444"/>
      <w:bookmarkStart w:id="1024" w:name="_Toc475564853"/>
      <w:bookmarkStart w:id="1025" w:name="_Toc475995732"/>
      <w:bookmarkStart w:id="1026" w:name="_Toc476168273"/>
      <w:bookmarkStart w:id="1027" w:name="_Toc476230610"/>
      <w:bookmarkStart w:id="1028" w:name="_Toc476319101"/>
      <w:bookmarkStart w:id="1029" w:name="_Toc477171268"/>
      <w:bookmarkStart w:id="1030" w:name="_Toc477176717"/>
      <w:bookmarkStart w:id="1031" w:name="_Toc480544490"/>
      <w:bookmarkStart w:id="1032" w:name="_Toc483252364"/>
      <w:bookmarkStart w:id="1033" w:name="_Toc485387944"/>
      <w:bookmarkStart w:id="1034" w:name="_Toc485640849"/>
      <w:bookmarkStart w:id="1035" w:name="_Toc487543601"/>
      <w:bookmarkStart w:id="1036" w:name="_Toc454457177"/>
      <w:bookmarkStart w:id="1037" w:name="_Toc454457520"/>
      <w:bookmarkStart w:id="1038" w:name="_Toc454460104"/>
      <w:bookmarkStart w:id="1039" w:name="_Toc454460309"/>
      <w:bookmarkStart w:id="1040" w:name="_Toc454461260"/>
      <w:bookmarkStart w:id="1041" w:name="_Toc459723406"/>
      <w:bookmarkStart w:id="1042" w:name="_Toc459829059"/>
      <w:bookmarkStart w:id="1043" w:name="_Toc459829764"/>
      <w:bookmarkStart w:id="1044" w:name="_Toc459911859"/>
      <w:bookmarkStart w:id="1045" w:name="_Toc460402641"/>
      <w:bookmarkStart w:id="1046" w:name="_Toc460435334"/>
      <w:bookmarkStart w:id="1047" w:name="_Toc460523710"/>
      <w:bookmarkStart w:id="1048" w:name="_Toc460607621"/>
      <w:bookmarkStart w:id="1049" w:name="_Toc460873693"/>
      <w:bookmarkStart w:id="1050" w:name="_Toc460881074"/>
      <w:bookmarkStart w:id="1051" w:name="_Toc461004638"/>
      <w:bookmarkStart w:id="1052" w:name="_Toc461030306"/>
      <w:bookmarkStart w:id="1053" w:name="_Toc461091251"/>
      <w:bookmarkStart w:id="1054" w:name="_Toc461435089"/>
      <w:bookmarkStart w:id="1055" w:name="_Toc461526566"/>
      <w:bookmarkStart w:id="1056" w:name="_Toc461728168"/>
      <w:bookmarkStart w:id="1057" w:name="_Toc461804903"/>
      <w:bookmarkStart w:id="1058" w:name="_Toc462125347"/>
      <w:bookmarkStart w:id="1059" w:name="_Toc462237450"/>
      <w:bookmarkStart w:id="1060" w:name="_Toc462656121"/>
      <w:bookmarkStart w:id="1061" w:name="_Toc462675883"/>
      <w:bookmarkStart w:id="1062" w:name="_Toc462786130"/>
      <w:bookmarkStart w:id="1063" w:name="_Toc462808468"/>
      <w:bookmarkStart w:id="1064" w:name="_Toc462911171"/>
      <w:bookmarkStart w:id="1065" w:name="_Toc463267947"/>
      <w:bookmarkStart w:id="1066" w:name="_Toc463946955"/>
      <w:bookmarkStart w:id="1067" w:name="_Toc464208134"/>
      <w:bookmarkStart w:id="1068" w:name="_Toc464210015"/>
      <w:bookmarkStart w:id="1069" w:name="_Toc464210479"/>
      <w:bookmarkStart w:id="1070" w:name="_Toc464649183"/>
      <w:bookmarkStart w:id="1071" w:name="_Toc464649455"/>
      <w:bookmarkStart w:id="1072" w:name="_Toc464660057"/>
      <w:bookmarkStart w:id="1073" w:name="_Toc465939724"/>
      <w:bookmarkStart w:id="1074" w:name="_Toc468184084"/>
      <w:bookmarkStart w:id="1075" w:name="_Toc112491217"/>
      <w:bookmarkStart w:id="1076" w:name="_Toc112563557"/>
      <w:bookmarkStart w:id="1077" w:name="_Toc112573877"/>
      <w:bookmarkStart w:id="1078" w:name="_Toc114039877"/>
      <w:bookmarkStart w:id="1079" w:name="_Toc114475871"/>
      <w:bookmarkStart w:id="1080" w:name="_Toc115059105"/>
      <w:bookmarkStart w:id="1081" w:name="_Toc115569549"/>
      <w:bookmarkStart w:id="1082" w:name="_Toc115586169"/>
      <w:bookmarkStart w:id="1083" w:name="_Toc116442646"/>
      <w:bookmarkStart w:id="1084" w:name="_Toc117581209"/>
      <w:bookmarkStart w:id="1085" w:name="_Toc118692062"/>
      <w:bookmarkStart w:id="1086" w:name="_Toc119314890"/>
      <w:bookmarkStart w:id="1087" w:name="_Toc119754048"/>
      <w:bookmarkStart w:id="1088" w:name="_Toc119754822"/>
      <w:bookmarkStart w:id="1089" w:name="_Toc119818399"/>
      <w:bookmarkStart w:id="1090" w:name="_Toc119986084"/>
      <w:bookmarkStart w:id="1091" w:name="_Toc120423889"/>
      <w:bookmarkStart w:id="1092" w:name="_Toc120424124"/>
      <w:bookmarkStart w:id="1093" w:name="_Toc121632988"/>
      <w:bookmarkStart w:id="1094" w:name="_Toc127261178"/>
      <w:bookmarkStart w:id="1095" w:name="_Toc127261305"/>
      <w:bookmarkStart w:id="1096" w:name="_Toc130622084"/>
      <w:bookmarkStart w:id="1097" w:name="_Toc130622205"/>
      <w:bookmarkStart w:id="1098" w:name="_Toc130629936"/>
      <w:bookmarkStart w:id="1099" w:name="_Toc130711861"/>
      <w:bookmarkStart w:id="1100" w:name="_Toc130717942"/>
      <w:bookmarkStart w:id="1101" w:name="_Toc130790458"/>
      <w:bookmarkStart w:id="1102" w:name="_Toc130808173"/>
      <w:bookmarkStart w:id="1103" w:name="_Toc132275635"/>
      <w:bookmarkStart w:id="1104" w:name="_Toc132504622"/>
      <w:bookmarkStart w:id="1105" w:name="_Toc132505090"/>
      <w:bookmarkStart w:id="1106" w:name="_Toc132513087"/>
      <w:bookmarkStart w:id="1107" w:name="_Toc132552474"/>
      <w:bookmarkStart w:id="1108" w:name="_Toc133054373"/>
      <w:bookmarkStart w:id="1109" w:name="_Toc133650425"/>
      <w:bookmarkStart w:id="1110" w:name="_Toc156967158"/>
      <w:bookmarkStart w:id="1111" w:name="_Toc156969077"/>
      <w:bookmarkStart w:id="1112" w:name="_Toc156970168"/>
      <w:bookmarkStart w:id="1113" w:name="_Toc156970268"/>
      <w:bookmarkStart w:id="1114" w:name="_Toc156970368"/>
      <w:bookmarkStart w:id="1115" w:name="_Toc156970468"/>
      <w:bookmarkStart w:id="1116" w:name="_Toc156970973"/>
      <w:bookmarkStart w:id="1117" w:name="_Toc156971073"/>
      <w:bookmarkStart w:id="1118" w:name="_Toc156971199"/>
      <w:bookmarkStart w:id="1119" w:name="_Toc156972517"/>
      <w:bookmarkStart w:id="1120" w:name="_Toc156972781"/>
      <w:bookmarkStart w:id="1121" w:name="_Toc156972996"/>
      <w:bookmarkStart w:id="1122" w:name="_Toc160259125"/>
      <w:bookmarkStart w:id="1123" w:name="_Toc160269458"/>
      <w:bookmarkStart w:id="1124" w:name="_Toc160508079"/>
      <w:bookmarkStart w:id="1125" w:name="_Toc160528787"/>
      <w:bookmarkStart w:id="1126" w:name="_Toc161476038"/>
      <w:bookmarkStart w:id="1127" w:name="_Toc161625588"/>
      <w:bookmarkStart w:id="1128" w:name="_Toc161625966"/>
      <w:bookmarkStart w:id="1129" w:name="_Toc161626035"/>
      <w:bookmarkStart w:id="1130" w:name="_Toc162666141"/>
      <w:bookmarkStart w:id="1131" w:name="_Toc162762857"/>
      <w:bookmarkStart w:id="1132" w:name="_Toc162835599"/>
      <w:bookmarkStart w:id="1133" w:name="_Toc162918166"/>
      <w:bookmarkStart w:id="1134" w:name="_Toc164831266"/>
      <w:bookmarkStart w:id="1135" w:name="_Toc169426157"/>
      <w:bookmarkStart w:id="1136" w:name="_Toc174249348"/>
      <w:bookmarkStart w:id="1137" w:name="_Toc376856101"/>
      <w:bookmarkStart w:id="1138" w:name="_Toc376856270"/>
      <w:bookmarkStart w:id="1139" w:name="_Toc376856314"/>
      <w:bookmarkStart w:id="1140" w:name="_Toc376856507"/>
      <w:bookmarkStart w:id="1141" w:name="_Toc380747778"/>
      <w:r w:rsidRPr="000C511A">
        <w:t>Final Regulatory Flexibility Analysis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003546CC">
        <w:t xml:space="preserve">  </w:t>
      </w:r>
    </w:p>
    <w:p w:rsidR="0059141D" w:rsidRPr="00661571" w:rsidRDefault="0059141D" w:rsidP="00993EF1">
      <w:pPr>
        <w:pStyle w:val="ParaNum"/>
        <w:widowControl/>
        <w:tabs>
          <w:tab w:val="left" w:pos="1440"/>
        </w:tabs>
      </w:pPr>
      <w:r w:rsidRPr="00A929ED">
        <w:t>As required by the Regulatory Flexibility Act of 1980 (RFA),</w:t>
      </w:r>
      <w:r w:rsidRPr="00A929ED">
        <w:rPr>
          <w:color w:val="000000"/>
          <w:sz w:val="20"/>
          <w:vertAlign w:val="superscript"/>
        </w:rPr>
        <w:footnoteReference w:id="211"/>
      </w:r>
      <w:r w:rsidRPr="00A929ED">
        <w:t xml:space="preserve"> the Commission has prepared a Final Regulatory Flexibility Analysis (FRFA) for th</w:t>
      </w:r>
      <w:r>
        <w:t>is</w:t>
      </w:r>
      <w:r w:rsidRPr="00A929ED">
        <w:t xml:space="preserve"> </w:t>
      </w:r>
      <w:r w:rsidRPr="00A929ED">
        <w:rPr>
          <w:i/>
        </w:rPr>
        <w:t>Report and Order</w:t>
      </w:r>
      <w:r w:rsidRPr="00A929ED">
        <w:t>.  The FRFA is set forth in A</w:t>
      </w:r>
      <w:r>
        <w:t>ppendix B.</w:t>
      </w:r>
      <w:r w:rsidRPr="00661571">
        <w:t xml:space="preserve"> </w:t>
      </w:r>
    </w:p>
    <w:p w:rsidR="0059141D" w:rsidRPr="000C511A" w:rsidRDefault="0059141D" w:rsidP="00C92B7B">
      <w:pPr>
        <w:pStyle w:val="Heading2"/>
        <w:rPr>
          <w:szCs w:val="22"/>
        </w:rPr>
      </w:pPr>
      <w:bookmarkStart w:id="1142" w:name="_Toc174249347"/>
      <w:bookmarkStart w:id="1143" w:name="_Toc169426156"/>
      <w:bookmarkStart w:id="1144" w:name="_Toc164831265"/>
      <w:bookmarkStart w:id="1145" w:name="_Toc162918165"/>
      <w:bookmarkStart w:id="1146" w:name="_Toc162835598"/>
      <w:bookmarkStart w:id="1147" w:name="_Toc162762856"/>
      <w:bookmarkStart w:id="1148" w:name="_Toc162666140"/>
      <w:bookmarkStart w:id="1149" w:name="_Toc161626034"/>
      <w:bookmarkStart w:id="1150" w:name="_Toc161625965"/>
      <w:bookmarkStart w:id="1151" w:name="_Toc161625587"/>
      <w:bookmarkStart w:id="1152" w:name="_Toc161476037"/>
      <w:bookmarkStart w:id="1153" w:name="_Toc160528786"/>
      <w:bookmarkStart w:id="1154" w:name="_Toc160508078"/>
      <w:bookmarkStart w:id="1155" w:name="_Toc160269457"/>
      <w:bookmarkStart w:id="1156" w:name="_Toc160259124"/>
      <w:bookmarkStart w:id="1157" w:name="_Toc156972995"/>
      <w:bookmarkStart w:id="1158" w:name="_Toc156972780"/>
      <w:bookmarkStart w:id="1159" w:name="_Toc156972516"/>
      <w:bookmarkStart w:id="1160" w:name="_Toc156971198"/>
      <w:bookmarkStart w:id="1161" w:name="_Toc156971072"/>
      <w:bookmarkStart w:id="1162" w:name="_Toc156970972"/>
      <w:bookmarkStart w:id="1163" w:name="_Toc156970467"/>
      <w:bookmarkStart w:id="1164" w:name="_Toc156970367"/>
      <w:bookmarkStart w:id="1165" w:name="_Toc156970267"/>
      <w:bookmarkStart w:id="1166" w:name="_Toc156970167"/>
      <w:bookmarkStart w:id="1167" w:name="_Toc156969076"/>
      <w:bookmarkStart w:id="1168" w:name="_Toc156967157"/>
      <w:bookmarkStart w:id="1169" w:name="_Toc133650424"/>
      <w:bookmarkStart w:id="1170" w:name="_Toc133054372"/>
      <w:bookmarkStart w:id="1171" w:name="_Toc132552473"/>
      <w:bookmarkStart w:id="1172" w:name="_Toc132513086"/>
      <w:bookmarkStart w:id="1173" w:name="_Toc132505089"/>
      <w:bookmarkStart w:id="1174" w:name="_Toc132504621"/>
      <w:bookmarkStart w:id="1175" w:name="_Toc132275634"/>
      <w:bookmarkStart w:id="1176" w:name="_Toc130808172"/>
      <w:bookmarkStart w:id="1177" w:name="_Toc130790457"/>
      <w:bookmarkStart w:id="1178" w:name="_Toc130717941"/>
      <w:bookmarkStart w:id="1179" w:name="_Toc130711860"/>
      <w:bookmarkStart w:id="1180" w:name="_Toc130629935"/>
      <w:bookmarkStart w:id="1181" w:name="_Toc130622204"/>
      <w:bookmarkStart w:id="1182" w:name="_Toc130622083"/>
      <w:bookmarkStart w:id="1183" w:name="_Toc127261304"/>
      <w:bookmarkStart w:id="1184" w:name="_Toc127261177"/>
      <w:bookmarkStart w:id="1185" w:name="_Toc121632987"/>
      <w:bookmarkStart w:id="1186" w:name="_Toc120424123"/>
      <w:bookmarkStart w:id="1187" w:name="_Toc120423888"/>
      <w:bookmarkStart w:id="1188" w:name="_Toc119986083"/>
      <w:bookmarkStart w:id="1189" w:name="_Toc119818398"/>
      <w:bookmarkStart w:id="1190" w:name="_Toc119754821"/>
      <w:bookmarkStart w:id="1191" w:name="_Toc119754047"/>
      <w:bookmarkStart w:id="1192" w:name="_Toc119314889"/>
      <w:bookmarkStart w:id="1193" w:name="_Toc118692061"/>
      <w:bookmarkStart w:id="1194" w:name="_Toc117581208"/>
      <w:bookmarkStart w:id="1195" w:name="_Toc116442645"/>
      <w:bookmarkStart w:id="1196" w:name="_Toc115586168"/>
      <w:bookmarkStart w:id="1197" w:name="_Toc115569548"/>
      <w:bookmarkStart w:id="1198" w:name="_Toc115059104"/>
      <w:bookmarkStart w:id="1199" w:name="_Toc114475870"/>
      <w:bookmarkStart w:id="1200" w:name="_Toc114039876"/>
      <w:bookmarkStart w:id="1201" w:name="_Toc112573876"/>
      <w:bookmarkStart w:id="1202" w:name="_Toc112563556"/>
      <w:bookmarkStart w:id="1203" w:name="_Toc112491216"/>
      <w:bookmarkStart w:id="1204" w:name="_Toc376856100"/>
      <w:bookmarkStart w:id="1205" w:name="_Toc376856269"/>
      <w:bookmarkStart w:id="1206" w:name="_Toc376856313"/>
      <w:bookmarkStart w:id="1207" w:name="_Toc376856506"/>
      <w:bookmarkStart w:id="1208" w:name="_Toc380747777"/>
      <w:bookmarkStart w:id="1209" w:name="_Toc454457176"/>
      <w:bookmarkStart w:id="1210" w:name="_Toc454457519"/>
      <w:bookmarkStart w:id="1211" w:name="_Toc454460103"/>
      <w:bookmarkStart w:id="1212" w:name="_Toc454460308"/>
      <w:bookmarkStart w:id="1213" w:name="_Toc454461259"/>
      <w:bookmarkStart w:id="1214" w:name="_Toc459723405"/>
      <w:bookmarkStart w:id="1215" w:name="_Toc459829058"/>
      <w:bookmarkStart w:id="1216" w:name="_Toc459829763"/>
      <w:bookmarkStart w:id="1217" w:name="_Toc459911858"/>
      <w:bookmarkStart w:id="1218" w:name="_Toc460402640"/>
      <w:bookmarkStart w:id="1219" w:name="_Toc460435333"/>
      <w:bookmarkStart w:id="1220" w:name="_Toc460523709"/>
      <w:bookmarkStart w:id="1221" w:name="_Toc460607620"/>
      <w:bookmarkStart w:id="1222" w:name="_Toc460873692"/>
      <w:bookmarkStart w:id="1223" w:name="_Toc460881073"/>
      <w:bookmarkStart w:id="1224" w:name="_Toc461004637"/>
      <w:bookmarkStart w:id="1225" w:name="_Toc461030305"/>
      <w:bookmarkStart w:id="1226" w:name="_Toc461091250"/>
      <w:bookmarkStart w:id="1227" w:name="_Toc461435088"/>
      <w:bookmarkStart w:id="1228" w:name="_Toc461526565"/>
      <w:bookmarkStart w:id="1229" w:name="_Toc461728167"/>
      <w:bookmarkStart w:id="1230" w:name="_Toc461804902"/>
      <w:bookmarkStart w:id="1231" w:name="_Toc462125346"/>
      <w:bookmarkStart w:id="1232" w:name="_Toc462237449"/>
      <w:bookmarkStart w:id="1233" w:name="_Toc462656120"/>
      <w:bookmarkStart w:id="1234" w:name="_Toc462675882"/>
      <w:bookmarkStart w:id="1235" w:name="_Toc462786129"/>
      <w:bookmarkStart w:id="1236" w:name="_Toc462808467"/>
      <w:bookmarkStart w:id="1237" w:name="_Toc462911170"/>
      <w:bookmarkStart w:id="1238" w:name="_Toc463267946"/>
      <w:bookmarkStart w:id="1239" w:name="_Toc463946954"/>
      <w:bookmarkStart w:id="1240" w:name="_Toc464208133"/>
      <w:bookmarkStart w:id="1241" w:name="_Toc464210014"/>
      <w:bookmarkStart w:id="1242" w:name="_Toc464210478"/>
      <w:bookmarkStart w:id="1243" w:name="_Toc464649182"/>
      <w:bookmarkStart w:id="1244" w:name="_Toc464649454"/>
      <w:bookmarkStart w:id="1245" w:name="_Toc464660056"/>
      <w:bookmarkStart w:id="1246" w:name="_Toc465939723"/>
      <w:bookmarkStart w:id="1247" w:name="_Toc471485261"/>
      <w:bookmarkStart w:id="1248" w:name="_Toc473911556"/>
      <w:bookmarkStart w:id="1249" w:name="_Toc473911775"/>
      <w:bookmarkStart w:id="1250" w:name="_Toc475023445"/>
      <w:bookmarkStart w:id="1251" w:name="_Toc475564854"/>
      <w:bookmarkStart w:id="1252" w:name="_Toc475995733"/>
      <w:bookmarkStart w:id="1253" w:name="_Toc476168274"/>
      <w:bookmarkStart w:id="1254" w:name="_Toc476230611"/>
      <w:bookmarkStart w:id="1255" w:name="_Toc476319102"/>
      <w:bookmarkStart w:id="1256" w:name="_Toc477171269"/>
      <w:bookmarkStart w:id="1257" w:name="_Toc477176718"/>
      <w:bookmarkStart w:id="1258" w:name="_Toc480544491"/>
      <w:bookmarkStart w:id="1259" w:name="_Toc483252365"/>
      <w:bookmarkStart w:id="1260" w:name="_Toc485387945"/>
      <w:bookmarkStart w:id="1261" w:name="_Toc485640850"/>
      <w:bookmarkStart w:id="1262" w:name="_Toc487543602"/>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0C511A">
        <w:t>Paperwork Reduction Analysis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rsidR="0059141D" w:rsidRPr="00E8419C" w:rsidRDefault="0059141D" w:rsidP="00993EF1">
      <w:pPr>
        <w:pStyle w:val="ParaNum"/>
        <w:keepNext/>
        <w:widowControl/>
        <w:tabs>
          <w:tab w:val="left" w:pos="1440"/>
        </w:tabs>
      </w:pPr>
      <w:bookmarkStart w:id="1263" w:name="_Toc112490696"/>
      <w:bookmarkStart w:id="1264" w:name="_Toc111859251"/>
      <w:bookmarkStart w:id="1265" w:name="_Toc111537488"/>
      <w:bookmarkStart w:id="1266" w:name="_Toc111537347"/>
      <w:bookmarkStart w:id="1267" w:name="_Toc111537247"/>
      <w:bookmarkStart w:id="1268" w:name="_Toc76893282"/>
      <w:bookmarkStart w:id="1269" w:name="_Toc76295493"/>
      <w:bookmarkStart w:id="1270" w:name="_Toc74547562"/>
      <w:bookmarkStart w:id="1271" w:name="_Toc72032950"/>
      <w:bookmarkStart w:id="1272" w:name="_Toc67996434"/>
      <w:bookmarkStart w:id="1273" w:name="_Toc35748947"/>
      <w:bookmarkStart w:id="1274" w:name="_Toc35746552"/>
      <w:bookmarkStart w:id="1275" w:name="_Toc35397615"/>
      <w:bookmarkStart w:id="1276" w:name="_Toc35252691"/>
      <w:bookmarkStart w:id="1277" w:name="_Toc35172916"/>
      <w:bookmarkStart w:id="1278" w:name="_Toc34629895"/>
      <w:bookmarkStart w:id="1279" w:name="_Toc33614948"/>
      <w:bookmarkStart w:id="1280" w:name="_Toc32107203"/>
      <w:bookmarkStart w:id="1281" w:name="_Toc32118305"/>
      <w:bookmarkStart w:id="1282" w:name="_Toc31195366"/>
      <w:bookmarkStart w:id="1283" w:name="_Toc31193072"/>
      <w:bookmarkStart w:id="1284" w:name="_Toc31192074"/>
      <w:bookmarkStart w:id="1285" w:name="_Toc30470458"/>
      <w:bookmarkStart w:id="1286" w:name="_Toc28493296"/>
      <w:bookmarkStart w:id="1287" w:name="_Toc28493101"/>
      <w:bookmarkStart w:id="1288" w:name="_Toc28479434"/>
      <w:bookmarkStart w:id="1289" w:name="_Toc28479348"/>
      <w:bookmarkStart w:id="1290" w:name="_Toc28479165"/>
      <w:bookmarkStart w:id="1291" w:name="_Toc28423365"/>
      <w:bookmarkStart w:id="1292" w:name="_Toc28422698"/>
      <w:bookmarkStart w:id="1293" w:name="_Toc28422520"/>
      <w:bookmarkStart w:id="1294" w:name="_Toc28422066"/>
      <w:bookmarkStart w:id="1295" w:name="_Toc28421745"/>
      <w:bookmarkStart w:id="1296" w:name="_Toc28420451"/>
      <w:bookmarkStart w:id="1297" w:name="_Ref24355653"/>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E8419C">
        <w:t xml:space="preserve"> </w:t>
      </w:r>
      <w:bookmarkEnd w:id="1297"/>
      <w:r w:rsidRPr="00E8419C">
        <w:t xml:space="preserve">This document does not contain </w:t>
      </w:r>
      <w:r>
        <w:t xml:space="preserve">new or modified </w:t>
      </w:r>
      <w:r w:rsidRPr="00E8419C">
        <w:t>information collection</w:t>
      </w:r>
      <w:r>
        <w:t xml:space="preserve"> requirements </w:t>
      </w:r>
      <w:r w:rsidRPr="00E8419C">
        <w:t>subject to the Paperwork Reduction Act of 1995 (PRA</w:t>
      </w:r>
      <w:r>
        <w:t>)</w:t>
      </w:r>
      <w:r w:rsidRPr="00E8419C">
        <w:t xml:space="preserve">, Public Law 104-13.  In addition, therefore, it does not contain any new or modified information collection burden for small business concerns with fewer than 25 employees, pursuant to the Small Business Paperwork Relief Act of 2002, Public Law 107-198, </w:t>
      </w:r>
      <w:r w:rsidRPr="00E8419C">
        <w:rPr>
          <w:i/>
        </w:rPr>
        <w:t>see</w:t>
      </w:r>
      <w:r w:rsidRPr="00E8419C">
        <w:t xml:space="preserve"> 44 U.S.C. </w:t>
      </w:r>
      <w:r>
        <w:t xml:space="preserve">§ </w:t>
      </w:r>
      <w:r w:rsidRPr="00E8419C">
        <w:t>3506(c)(4).</w:t>
      </w:r>
    </w:p>
    <w:p w:rsidR="00976DA2" w:rsidRPr="000C511A" w:rsidRDefault="00976DA2" w:rsidP="00C06785">
      <w:pPr>
        <w:pStyle w:val="Heading2"/>
      </w:pPr>
      <w:bookmarkStart w:id="1298" w:name="_Toc471485262"/>
      <w:bookmarkStart w:id="1299" w:name="_Toc473911557"/>
      <w:bookmarkStart w:id="1300" w:name="_Toc473911776"/>
      <w:bookmarkStart w:id="1301" w:name="_Toc475023446"/>
      <w:bookmarkStart w:id="1302" w:name="_Toc475564855"/>
      <w:bookmarkStart w:id="1303" w:name="_Toc475995734"/>
      <w:bookmarkStart w:id="1304" w:name="_Toc476168275"/>
      <w:bookmarkStart w:id="1305" w:name="_Toc476230612"/>
      <w:bookmarkStart w:id="1306" w:name="_Toc476319103"/>
      <w:bookmarkStart w:id="1307" w:name="_Toc477171270"/>
      <w:bookmarkStart w:id="1308" w:name="_Toc477176719"/>
      <w:bookmarkStart w:id="1309" w:name="_Toc480544492"/>
      <w:bookmarkStart w:id="1310" w:name="_Toc483252366"/>
      <w:bookmarkStart w:id="1311" w:name="_Toc485387946"/>
      <w:bookmarkStart w:id="1312" w:name="_Toc485640851"/>
      <w:bookmarkStart w:id="1313" w:name="_Toc487543603"/>
      <w:r w:rsidRPr="000C511A">
        <w:t>Congressional Review Act</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976DA2" w:rsidRPr="006B2D7B" w:rsidRDefault="00976DA2" w:rsidP="00993EF1">
      <w:pPr>
        <w:pStyle w:val="ParaNum"/>
        <w:widowControl/>
      </w:pPr>
      <w:r w:rsidRPr="00A048FA">
        <w:t xml:space="preserve">The Commission will send a copy of this </w:t>
      </w:r>
      <w:r w:rsidRPr="009A7A3E">
        <w:rPr>
          <w:i/>
        </w:rPr>
        <w:t xml:space="preserve">Report </w:t>
      </w:r>
      <w:r>
        <w:rPr>
          <w:i/>
        </w:rPr>
        <w:t>and</w:t>
      </w:r>
      <w:r w:rsidRPr="009A7A3E">
        <w:rPr>
          <w:i/>
        </w:rPr>
        <w:t xml:space="preserve"> Order</w:t>
      </w:r>
      <w:r w:rsidRPr="00A048FA">
        <w:t xml:space="preserve"> </w:t>
      </w:r>
      <w:r>
        <w:t xml:space="preserve">in ET Docket No. 15-26 </w:t>
      </w:r>
      <w:r w:rsidRPr="00A048FA">
        <w:t xml:space="preserve">to Congress and the Government Accountability Office pursuant to the Congressional Review Act, </w:t>
      </w:r>
      <w:r w:rsidRPr="00AB18DA">
        <w:rPr>
          <w:i/>
        </w:rPr>
        <w:t xml:space="preserve">see </w:t>
      </w:r>
      <w:r w:rsidRPr="00A048FA">
        <w:t>5 U.S.C. 801(a)(1)(A).</w:t>
      </w:r>
    </w:p>
    <w:p w:rsidR="00976DA2" w:rsidRPr="000C511A" w:rsidRDefault="00976DA2" w:rsidP="00C06785">
      <w:pPr>
        <w:pStyle w:val="Heading2"/>
      </w:pPr>
      <w:bookmarkStart w:id="1314" w:name="_Toc454457178"/>
      <w:bookmarkStart w:id="1315" w:name="_Toc454457521"/>
      <w:bookmarkStart w:id="1316" w:name="_Toc454460105"/>
      <w:bookmarkStart w:id="1317" w:name="_Toc454460310"/>
      <w:bookmarkStart w:id="1318" w:name="_Toc454461261"/>
      <w:bookmarkStart w:id="1319" w:name="_Toc459723407"/>
      <w:bookmarkStart w:id="1320" w:name="_Toc459829060"/>
      <w:bookmarkStart w:id="1321" w:name="_Toc459829765"/>
      <w:bookmarkStart w:id="1322" w:name="_Toc459911860"/>
      <w:bookmarkStart w:id="1323" w:name="_Toc460402642"/>
      <w:bookmarkStart w:id="1324" w:name="_Toc460435335"/>
      <w:bookmarkStart w:id="1325" w:name="_Toc460523711"/>
      <w:bookmarkStart w:id="1326" w:name="_Toc460607622"/>
      <w:bookmarkStart w:id="1327" w:name="_Toc460873694"/>
      <w:bookmarkStart w:id="1328" w:name="_Toc460881075"/>
      <w:bookmarkStart w:id="1329" w:name="_Toc461004639"/>
      <w:bookmarkStart w:id="1330" w:name="_Toc461030307"/>
      <w:bookmarkStart w:id="1331" w:name="_Toc461091252"/>
      <w:bookmarkStart w:id="1332" w:name="_Toc461435090"/>
      <w:bookmarkStart w:id="1333" w:name="_Toc461526567"/>
      <w:bookmarkStart w:id="1334" w:name="_Toc461728169"/>
      <w:bookmarkStart w:id="1335" w:name="_Toc461804904"/>
      <w:bookmarkStart w:id="1336" w:name="_Toc462125348"/>
      <w:bookmarkStart w:id="1337" w:name="_Toc462237451"/>
      <w:bookmarkStart w:id="1338" w:name="_Toc462656122"/>
      <w:bookmarkStart w:id="1339" w:name="_Toc462675884"/>
      <w:bookmarkStart w:id="1340" w:name="_Toc462786131"/>
      <w:bookmarkStart w:id="1341" w:name="_Toc462808469"/>
      <w:bookmarkStart w:id="1342" w:name="_Toc462911172"/>
      <w:bookmarkStart w:id="1343" w:name="_Toc463267948"/>
      <w:bookmarkStart w:id="1344" w:name="_Toc463946956"/>
      <w:bookmarkStart w:id="1345" w:name="_Toc464208135"/>
      <w:bookmarkStart w:id="1346" w:name="_Toc464210016"/>
      <w:bookmarkStart w:id="1347" w:name="_Toc464210480"/>
      <w:bookmarkStart w:id="1348" w:name="_Toc464649184"/>
      <w:bookmarkStart w:id="1349" w:name="_Toc464649456"/>
      <w:bookmarkStart w:id="1350" w:name="_Toc464660058"/>
      <w:bookmarkStart w:id="1351" w:name="_Toc465939725"/>
      <w:bookmarkStart w:id="1352" w:name="_Toc468184085"/>
      <w:bookmarkStart w:id="1353" w:name="_Toc471485263"/>
      <w:bookmarkStart w:id="1354" w:name="_Toc473911558"/>
      <w:bookmarkStart w:id="1355" w:name="_Toc473911777"/>
      <w:bookmarkStart w:id="1356" w:name="_Toc475023447"/>
      <w:bookmarkStart w:id="1357" w:name="_Toc475564856"/>
      <w:bookmarkStart w:id="1358" w:name="_Toc475995735"/>
      <w:bookmarkStart w:id="1359" w:name="_Toc476168276"/>
      <w:bookmarkStart w:id="1360" w:name="_Toc476230613"/>
      <w:bookmarkStart w:id="1361" w:name="_Toc476319104"/>
      <w:bookmarkStart w:id="1362" w:name="_Toc477171271"/>
      <w:bookmarkStart w:id="1363" w:name="_Toc477176720"/>
      <w:bookmarkStart w:id="1364" w:name="_Toc480544493"/>
      <w:bookmarkStart w:id="1365" w:name="_Toc483252367"/>
      <w:bookmarkStart w:id="1366" w:name="_Toc485387947"/>
      <w:bookmarkStart w:id="1367" w:name="_Toc485640852"/>
      <w:bookmarkStart w:id="1368" w:name="_Toc487543604"/>
      <w:r w:rsidRPr="000C511A">
        <w:t>Further Information</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976DA2" w:rsidRPr="00E8419C" w:rsidRDefault="00976DA2" w:rsidP="00993EF1">
      <w:pPr>
        <w:pStyle w:val="ParaNum"/>
      </w:pPr>
      <w:bookmarkStart w:id="1369" w:name="_Ref187483540"/>
      <w:r w:rsidRPr="00E8419C">
        <w:t xml:space="preserve">For further information regarding this </w:t>
      </w:r>
      <w:r w:rsidRPr="00FD45B1">
        <w:rPr>
          <w:i/>
        </w:rPr>
        <w:t>Report and Order</w:t>
      </w:r>
      <w:r w:rsidRPr="00E8419C">
        <w:t xml:space="preserve">, please contact </w:t>
      </w:r>
      <w:r w:rsidR="002A7B6A">
        <w:t>Howard Griboff</w:t>
      </w:r>
      <w:r w:rsidRPr="00E8419C">
        <w:t xml:space="preserve">, </w:t>
      </w:r>
      <w:r w:rsidR="000753D7" w:rsidRPr="00E8419C">
        <w:t xml:space="preserve">at </w:t>
      </w:r>
      <w:r w:rsidR="000753D7">
        <w:t xml:space="preserve">(202) </w:t>
      </w:r>
      <w:r w:rsidR="000753D7" w:rsidRPr="00E8419C">
        <w:t>418-</w:t>
      </w:r>
      <w:r w:rsidR="000753D7">
        <w:t xml:space="preserve">0657/ </w:t>
      </w:r>
      <w:hyperlink r:id="rId10" w:history="1">
        <w:r w:rsidR="000753D7" w:rsidRPr="00F91AD8">
          <w:rPr>
            <w:rStyle w:val="Hyperlink"/>
          </w:rPr>
          <w:t>Howard.Griboff@fcc.gov</w:t>
        </w:r>
      </w:hyperlink>
      <w:r w:rsidR="000753D7">
        <w:t xml:space="preserve">, or Patrick Forster at </w:t>
      </w:r>
      <w:r w:rsidR="000753D7" w:rsidRPr="000753D7">
        <w:t>(202) 418-7061</w:t>
      </w:r>
      <w:r w:rsidR="000753D7">
        <w:t xml:space="preserve">/ </w:t>
      </w:r>
      <w:hyperlink r:id="rId11" w:history="1">
        <w:r w:rsidR="00FD45B1" w:rsidRPr="00F91AD8">
          <w:rPr>
            <w:rStyle w:val="Hyperlink"/>
          </w:rPr>
          <w:t>Patrick.Forster@fcc.gov</w:t>
        </w:r>
      </w:hyperlink>
      <w:r w:rsidR="00FD45B1">
        <w:t xml:space="preserve">, </w:t>
      </w:r>
      <w:r w:rsidRPr="00E8419C">
        <w:t>Office of Engineering and Technology, Federal Communications Commission, 445 12</w:t>
      </w:r>
      <w:r w:rsidRPr="00FD45B1">
        <w:rPr>
          <w:vertAlign w:val="superscript"/>
        </w:rPr>
        <w:t>th</w:t>
      </w:r>
      <w:r w:rsidRPr="00E8419C">
        <w:t xml:space="preserve"> Street, S.W., Washington, DC 20554</w:t>
      </w:r>
      <w:bookmarkEnd w:id="1369"/>
      <w:r w:rsidR="000753D7">
        <w:t>.</w:t>
      </w:r>
    </w:p>
    <w:p w:rsidR="00976DA2" w:rsidRPr="00B51453" w:rsidRDefault="00976DA2" w:rsidP="00976DA2">
      <w:pPr>
        <w:pStyle w:val="Heading1"/>
        <w:rPr>
          <w:b w:val="0"/>
          <w:caps w:val="0"/>
        </w:rPr>
      </w:pPr>
      <w:bookmarkStart w:id="1370" w:name="_Toc380747779"/>
      <w:bookmarkStart w:id="1371" w:name="_Toc380750754"/>
      <w:bookmarkStart w:id="1372" w:name="_Toc454323577"/>
      <w:bookmarkStart w:id="1373" w:name="_Toc454365508"/>
      <w:bookmarkStart w:id="1374" w:name="_Toc454456252"/>
      <w:bookmarkStart w:id="1375" w:name="_Toc454456277"/>
      <w:bookmarkStart w:id="1376" w:name="_Toc454456368"/>
      <w:bookmarkStart w:id="1377" w:name="_Toc454457179"/>
      <w:bookmarkStart w:id="1378" w:name="_Toc454457522"/>
      <w:bookmarkStart w:id="1379" w:name="_Toc454460106"/>
      <w:bookmarkStart w:id="1380" w:name="_Toc454460311"/>
      <w:bookmarkStart w:id="1381" w:name="_Toc454461262"/>
      <w:bookmarkStart w:id="1382" w:name="_Toc459723408"/>
      <w:bookmarkStart w:id="1383" w:name="_Toc459829061"/>
      <w:bookmarkStart w:id="1384" w:name="_Toc459829766"/>
      <w:bookmarkStart w:id="1385" w:name="_Toc459911861"/>
      <w:bookmarkStart w:id="1386" w:name="_Toc460402643"/>
      <w:bookmarkStart w:id="1387" w:name="_Toc460435336"/>
      <w:bookmarkStart w:id="1388" w:name="_Toc460523712"/>
      <w:bookmarkStart w:id="1389" w:name="_Toc460607623"/>
      <w:bookmarkStart w:id="1390" w:name="_Toc460873695"/>
      <w:bookmarkStart w:id="1391" w:name="_Toc460881076"/>
      <w:bookmarkStart w:id="1392" w:name="_Toc461004640"/>
      <w:bookmarkStart w:id="1393" w:name="_Toc461030308"/>
      <w:bookmarkStart w:id="1394" w:name="_Toc461091253"/>
      <w:bookmarkStart w:id="1395" w:name="_Toc461435091"/>
      <w:bookmarkStart w:id="1396" w:name="_Toc461526568"/>
      <w:bookmarkStart w:id="1397" w:name="_Toc461728170"/>
      <w:bookmarkStart w:id="1398" w:name="_Toc461804905"/>
      <w:bookmarkStart w:id="1399" w:name="_Toc462125349"/>
      <w:bookmarkStart w:id="1400" w:name="_Toc462237452"/>
      <w:bookmarkStart w:id="1401" w:name="_Toc462656123"/>
      <w:bookmarkStart w:id="1402" w:name="_Toc462675885"/>
      <w:bookmarkStart w:id="1403" w:name="_Toc462786132"/>
      <w:bookmarkStart w:id="1404" w:name="_Toc462808470"/>
      <w:bookmarkStart w:id="1405" w:name="_Toc462911173"/>
      <w:bookmarkStart w:id="1406" w:name="_Toc463267949"/>
      <w:bookmarkStart w:id="1407" w:name="_Toc463946957"/>
      <w:bookmarkStart w:id="1408" w:name="_Toc464208136"/>
      <w:bookmarkStart w:id="1409" w:name="_Toc464210017"/>
      <w:bookmarkStart w:id="1410" w:name="_Toc464210481"/>
      <w:bookmarkStart w:id="1411" w:name="_Toc464649185"/>
      <w:bookmarkStart w:id="1412" w:name="_Toc464649457"/>
      <w:bookmarkStart w:id="1413" w:name="_Toc464660059"/>
      <w:bookmarkStart w:id="1414" w:name="_Toc465939726"/>
      <w:bookmarkStart w:id="1415" w:name="_Toc468184086"/>
      <w:bookmarkStart w:id="1416" w:name="_Toc471485264"/>
      <w:bookmarkStart w:id="1417" w:name="_Toc473911559"/>
      <w:bookmarkStart w:id="1418" w:name="_Toc473911778"/>
      <w:bookmarkStart w:id="1419" w:name="_Toc475023448"/>
      <w:bookmarkStart w:id="1420" w:name="_Toc475564857"/>
      <w:bookmarkStart w:id="1421" w:name="_Toc475995736"/>
      <w:bookmarkStart w:id="1422" w:name="_Toc476168277"/>
      <w:bookmarkStart w:id="1423" w:name="_Toc476230614"/>
      <w:bookmarkStart w:id="1424" w:name="_Toc476319105"/>
      <w:bookmarkStart w:id="1425" w:name="_Toc477171272"/>
      <w:bookmarkStart w:id="1426" w:name="_Toc477176721"/>
      <w:bookmarkStart w:id="1427" w:name="_Toc480544494"/>
      <w:bookmarkStart w:id="1428" w:name="_Toc483252368"/>
      <w:bookmarkStart w:id="1429" w:name="_Toc485387948"/>
      <w:bookmarkStart w:id="1430" w:name="_Toc485640853"/>
      <w:bookmarkStart w:id="1431" w:name="_Toc487543605"/>
      <w:r w:rsidRPr="00E8419C">
        <w:rPr>
          <w:b w:val="0"/>
          <w:caps w:val="0"/>
        </w:rPr>
        <w:t>ORDERING CLAUSES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rsidR="00976DA2" w:rsidRDefault="00976DA2" w:rsidP="00993EF1">
      <w:pPr>
        <w:pStyle w:val="ParaNum"/>
      </w:pPr>
      <w:r>
        <w:t>IT IS ORDERED</w:t>
      </w:r>
      <w:r w:rsidRPr="00E8419C">
        <w:t xml:space="preserve"> </w:t>
      </w:r>
      <w:r>
        <w:t xml:space="preserve">that </w:t>
      </w:r>
      <w:r w:rsidRPr="00E8419C">
        <w:t>pursuant to Sections 1, 2, 4(i), 301, 302</w:t>
      </w:r>
      <w:r>
        <w:t>(a)</w:t>
      </w:r>
      <w:r w:rsidRPr="00E8419C">
        <w:t>, and 303(f) of the Communications Act of 1934, 47 U.S.C. §§ 151, 152, 154(i), 301, 302</w:t>
      </w:r>
      <w:r>
        <w:t>(</w:t>
      </w:r>
      <w:r w:rsidRPr="00E8419C">
        <w:t>a</w:t>
      </w:r>
      <w:r>
        <w:t>)</w:t>
      </w:r>
      <w:r w:rsidRPr="00E8419C">
        <w:t xml:space="preserve">, and 303(f), </w:t>
      </w:r>
      <w:r>
        <w:t>this</w:t>
      </w:r>
      <w:r w:rsidRPr="00E8419C">
        <w:t xml:space="preserve"> </w:t>
      </w:r>
      <w:r w:rsidRPr="009A7A3E">
        <w:rPr>
          <w:i/>
        </w:rPr>
        <w:t>Report and Order</w:t>
      </w:r>
      <w:r>
        <w:t xml:space="preserve"> in ET Docket No. 15-26 IS ADOPTED.</w:t>
      </w:r>
    </w:p>
    <w:p w:rsidR="00976DA2" w:rsidRDefault="00976DA2" w:rsidP="00993EF1">
      <w:pPr>
        <w:pStyle w:val="ParaNum"/>
        <w:widowControl/>
      </w:pPr>
      <w:r w:rsidRPr="00344686">
        <w:t xml:space="preserve">IT IS FURTHER ORDERED that </w:t>
      </w:r>
      <w:r w:rsidR="003B19BF">
        <w:rPr>
          <w:szCs w:val="22"/>
        </w:rPr>
        <w:t>Parts 1, 2, 15, 90, 95</w:t>
      </w:r>
      <w:r w:rsidR="00AF3928">
        <w:rPr>
          <w:szCs w:val="22"/>
        </w:rPr>
        <w:t>,</w:t>
      </w:r>
      <w:r w:rsidR="003B19BF">
        <w:rPr>
          <w:szCs w:val="22"/>
        </w:rPr>
        <w:t xml:space="preserve"> and 97</w:t>
      </w:r>
      <w:r w:rsidRPr="00E8419C">
        <w:rPr>
          <w:szCs w:val="22"/>
        </w:rPr>
        <w:t xml:space="preserve"> of </w:t>
      </w:r>
      <w:r w:rsidRPr="00344686">
        <w:t>the Commission’s Rules, 47 C.F.R. Part</w:t>
      </w:r>
      <w:r>
        <w:t>s</w:t>
      </w:r>
      <w:r w:rsidRPr="00344686">
        <w:t xml:space="preserve"> </w:t>
      </w:r>
      <w:r w:rsidRPr="00E8419C">
        <w:rPr>
          <w:szCs w:val="22"/>
        </w:rPr>
        <w:t>1, 2, 15, 90</w:t>
      </w:r>
      <w:r w:rsidR="00AF3928">
        <w:rPr>
          <w:szCs w:val="22"/>
        </w:rPr>
        <w:t>, 95,</w:t>
      </w:r>
      <w:r w:rsidRPr="00E8419C">
        <w:rPr>
          <w:szCs w:val="22"/>
        </w:rPr>
        <w:t xml:space="preserve"> and 9</w:t>
      </w:r>
      <w:r w:rsidR="00AF3928">
        <w:rPr>
          <w:szCs w:val="22"/>
        </w:rPr>
        <w:t>7</w:t>
      </w:r>
      <w:r>
        <w:t xml:space="preserve"> ARE</w:t>
      </w:r>
      <w:r w:rsidRPr="00344686">
        <w:t xml:space="preserve"> AMENDED as specified in Appendix </w:t>
      </w:r>
      <w:r>
        <w:t>A</w:t>
      </w:r>
      <w:r w:rsidRPr="00344686">
        <w:t xml:space="preserve">, effective </w:t>
      </w:r>
      <w:r>
        <w:t xml:space="preserve">on a date (“Effective Date”) that is </w:t>
      </w:r>
      <w:r w:rsidRPr="00344686">
        <w:t>30 days after publication in the Federal Register.</w:t>
      </w:r>
    </w:p>
    <w:p w:rsidR="002218D3" w:rsidRPr="002218D3" w:rsidRDefault="002218D3" w:rsidP="00993EF1">
      <w:pPr>
        <w:pStyle w:val="ParaNum"/>
        <w:widowControl/>
      </w:pPr>
      <w:r w:rsidRPr="002218D3">
        <w:t xml:space="preserve">IT IS FURTHER ORDERED that, pursuant to the authority contained in Sections 4(i), 4(j), and 303 of the Communications Act, as amended, 47 U.S.C. §§ 154(i), 154(j) and 303, that ET Docket No. </w:t>
      </w:r>
      <w:r>
        <w:t>15-26</w:t>
      </w:r>
      <w:r w:rsidRPr="002218D3">
        <w:t xml:space="preserve"> </w:t>
      </w:r>
      <w:r>
        <w:t>IS</w:t>
      </w:r>
      <w:r w:rsidRPr="002218D3">
        <w:t xml:space="preserve"> CLOSED and the proceeding</w:t>
      </w:r>
      <w:r>
        <w:t xml:space="preserve"> is</w:t>
      </w:r>
      <w:r w:rsidRPr="002218D3">
        <w:t xml:space="preserve"> TERMINATED, should no petitions for reconsideration</w:t>
      </w:r>
      <w:r w:rsidR="00ED1E76">
        <w:t>,</w:t>
      </w:r>
      <w:r w:rsidRPr="002218D3">
        <w:t xml:space="preserve"> applications for review</w:t>
      </w:r>
      <w:r w:rsidR="00ED1E76">
        <w:t>, or petitions for judicial review</w:t>
      </w:r>
      <w:r w:rsidRPr="002218D3">
        <w:t xml:space="preserve"> be timely filed.</w:t>
      </w:r>
    </w:p>
    <w:p w:rsidR="00976DA2" w:rsidRDefault="00976DA2" w:rsidP="00993EF1">
      <w:pPr>
        <w:pStyle w:val="ParaNum"/>
        <w:widowControl/>
      </w:pPr>
      <w:r w:rsidRPr="009A7A3E">
        <w:t xml:space="preserve">IT IS FURTHER ORDERED that the Commission’s Consumer and Governmental Affairs Bureau, Reference Information Center, SHALL SEND a copy of the </w:t>
      </w:r>
      <w:r w:rsidRPr="006B2D7B">
        <w:rPr>
          <w:i/>
        </w:rPr>
        <w:t>Report and Order</w:t>
      </w:r>
      <w:r>
        <w:t xml:space="preserve"> in ET Docket No. 15-26</w:t>
      </w:r>
      <w:r w:rsidRPr="009A7A3E">
        <w:t>, including the Final Regulatory Flexibility Analysis, to the Chief Counsel for Advocacy of the Small Business Administration.</w:t>
      </w:r>
    </w:p>
    <w:p w:rsidR="0059141D" w:rsidRPr="0059141D" w:rsidRDefault="0059141D" w:rsidP="00993EF1">
      <w:pPr>
        <w:pStyle w:val="ParaNum"/>
        <w:widowControl/>
        <w:rPr>
          <w:color w:val="000000"/>
        </w:rPr>
      </w:pPr>
      <w:r w:rsidRPr="00C95A12">
        <w:t>IT IS FURTHER ORDERED that the Commission SHALL SEND a copy</w:t>
      </w:r>
      <w:r w:rsidRPr="005842F0">
        <w:t xml:space="preserve"> of this </w:t>
      </w:r>
      <w:r w:rsidRPr="00161FCE">
        <w:rPr>
          <w:i/>
        </w:rPr>
        <w:t>Report and Order</w:t>
      </w:r>
      <w:r w:rsidRPr="005842F0">
        <w:t xml:space="preserve"> to Congress and the Government Accountability Office pursuant to the Congressional Review Act, </w:t>
      </w:r>
      <w:r w:rsidRPr="005842F0">
        <w:rPr>
          <w:i/>
        </w:rPr>
        <w:t xml:space="preserve">see </w:t>
      </w:r>
      <w:r w:rsidRPr="005842F0">
        <w:t>5 U.S.C. §</w:t>
      </w:r>
      <w:r>
        <w:t> </w:t>
      </w:r>
      <w:r w:rsidRPr="005842F0">
        <w:t>801(a)(1)(A).</w:t>
      </w:r>
    </w:p>
    <w:p w:rsidR="00976DA2" w:rsidRDefault="00976DA2" w:rsidP="00976DA2"/>
    <w:p w:rsidR="006A3956" w:rsidRDefault="00976DA2" w:rsidP="006A3956">
      <w:r w:rsidRPr="00E8419C">
        <w:tab/>
      </w:r>
      <w:r w:rsidRPr="00E8419C">
        <w:tab/>
      </w:r>
      <w:r>
        <w:tab/>
      </w:r>
      <w:r>
        <w:tab/>
      </w:r>
      <w:r>
        <w:tab/>
      </w:r>
      <w:r>
        <w:tab/>
      </w:r>
      <w:r w:rsidR="006A3956">
        <w:t>FEDERAL COMMUNICATIONS COMMISSION</w:t>
      </w:r>
    </w:p>
    <w:p w:rsidR="006A3956" w:rsidRDefault="006A3956" w:rsidP="006A3956"/>
    <w:p w:rsidR="006A3956" w:rsidRDefault="006A3956" w:rsidP="006A3956"/>
    <w:p w:rsidR="006A3956" w:rsidRDefault="006A3956" w:rsidP="006A3956"/>
    <w:p w:rsidR="006A3956" w:rsidRDefault="006A3956" w:rsidP="006A3956"/>
    <w:p w:rsidR="006A3956" w:rsidRDefault="006A3956" w:rsidP="006A3956">
      <w:r>
        <w:tab/>
      </w:r>
      <w:r>
        <w:tab/>
      </w:r>
      <w:r>
        <w:tab/>
      </w:r>
      <w:r>
        <w:tab/>
      </w:r>
      <w:r>
        <w:tab/>
      </w:r>
      <w:r>
        <w:tab/>
        <w:t>Marlene H. Dortch</w:t>
      </w:r>
    </w:p>
    <w:p w:rsidR="006A3956" w:rsidRDefault="006A3956" w:rsidP="006A3956">
      <w:pPr>
        <w:sectPr w:rsidR="006A3956" w:rsidSect="009970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Secretary</w:t>
      </w:r>
    </w:p>
    <w:p w:rsidR="00C906A5" w:rsidRPr="00487E4A" w:rsidRDefault="00C906A5" w:rsidP="00C906A5">
      <w:pPr>
        <w:jc w:val="center"/>
        <w:rPr>
          <w:b/>
        </w:rPr>
      </w:pPr>
      <w:bookmarkStart w:id="1432" w:name="_Toc376856104"/>
      <w:bookmarkStart w:id="1433" w:name="_Toc376856273"/>
      <w:bookmarkStart w:id="1434" w:name="_Toc376856317"/>
      <w:bookmarkStart w:id="1435" w:name="_Toc376856510"/>
      <w:bookmarkStart w:id="1436" w:name="_Toc380730109"/>
      <w:bookmarkStart w:id="1437" w:name="_Toc380730117"/>
      <w:bookmarkStart w:id="1438" w:name="_Toc376856109"/>
      <w:bookmarkStart w:id="1439" w:name="_Toc376856278"/>
      <w:bookmarkStart w:id="1440" w:name="_Toc376856322"/>
      <w:bookmarkStart w:id="1441" w:name="_Toc376856515"/>
      <w:bookmarkStart w:id="1442" w:name="_Toc376856115"/>
      <w:bookmarkStart w:id="1443" w:name="_Toc376856284"/>
      <w:bookmarkStart w:id="1444" w:name="_Toc376856328"/>
      <w:bookmarkStart w:id="1445" w:name="_Toc376856531"/>
      <w:bookmarkStart w:id="1446" w:name="_Toc380730139"/>
      <w:r w:rsidRPr="00487E4A">
        <w:rPr>
          <w:b/>
        </w:rPr>
        <w:t>APPENDIX A</w:t>
      </w:r>
    </w:p>
    <w:p w:rsidR="00C906A5" w:rsidRPr="00487E4A" w:rsidRDefault="00C906A5" w:rsidP="00C906A5">
      <w:pPr>
        <w:jc w:val="center"/>
        <w:rPr>
          <w:b/>
          <w:szCs w:val="22"/>
        </w:rPr>
      </w:pPr>
    </w:p>
    <w:p w:rsidR="00C906A5" w:rsidRPr="00487E4A" w:rsidRDefault="00C906A5" w:rsidP="00C906A5">
      <w:pPr>
        <w:spacing w:after="220"/>
        <w:jc w:val="center"/>
        <w:rPr>
          <w:b/>
          <w:szCs w:val="22"/>
        </w:rPr>
      </w:pPr>
      <w:r w:rsidRPr="00487E4A">
        <w:rPr>
          <w:b/>
          <w:szCs w:val="22"/>
        </w:rPr>
        <w:t>Final Rules</w:t>
      </w:r>
    </w:p>
    <w:p w:rsidR="00C906A5" w:rsidRPr="00487E4A" w:rsidRDefault="00C906A5" w:rsidP="00C906A5">
      <w:pPr>
        <w:spacing w:after="220"/>
        <w:rPr>
          <w:szCs w:val="22"/>
        </w:rPr>
      </w:pPr>
      <w:r w:rsidRPr="00487E4A">
        <w:rPr>
          <w:szCs w:val="22"/>
        </w:rPr>
        <w:t>For the reasons set forth in the preamble, the Federal Communications Commissio</w:t>
      </w:r>
      <w:r w:rsidR="003442F1">
        <w:rPr>
          <w:szCs w:val="22"/>
        </w:rPr>
        <w:t xml:space="preserve">n amends Parts 1, 2, 15, 90, </w:t>
      </w:r>
      <w:r w:rsidRPr="00487E4A">
        <w:rPr>
          <w:szCs w:val="22"/>
        </w:rPr>
        <w:t>95</w:t>
      </w:r>
      <w:r w:rsidR="00AF3928">
        <w:rPr>
          <w:szCs w:val="22"/>
        </w:rPr>
        <w:t>,</w:t>
      </w:r>
      <w:r w:rsidRPr="00487E4A">
        <w:rPr>
          <w:szCs w:val="22"/>
        </w:rPr>
        <w:t xml:space="preserve"> </w:t>
      </w:r>
      <w:r w:rsidR="003442F1">
        <w:rPr>
          <w:szCs w:val="22"/>
        </w:rPr>
        <w:t xml:space="preserve">and 97 </w:t>
      </w:r>
      <w:r w:rsidRPr="00487E4A">
        <w:rPr>
          <w:szCs w:val="22"/>
        </w:rPr>
        <w:t>of Title 47 of the Code of Federal Regulations as follows:</w:t>
      </w:r>
    </w:p>
    <w:p w:rsidR="00C906A5" w:rsidRPr="00487E4A" w:rsidRDefault="00C906A5" w:rsidP="00C906A5">
      <w:pPr>
        <w:jc w:val="center"/>
        <w:rPr>
          <w:b/>
        </w:rPr>
      </w:pPr>
      <w:r w:rsidRPr="00487E4A">
        <w:rPr>
          <w:b/>
        </w:rPr>
        <w:t xml:space="preserve">PART </w:t>
      </w:r>
      <w:r w:rsidR="00317C4B">
        <w:rPr>
          <w:b/>
        </w:rPr>
        <w:t xml:space="preserve">1 – </w:t>
      </w:r>
      <w:r w:rsidRPr="00487E4A">
        <w:rPr>
          <w:b/>
        </w:rPr>
        <w:t>PRACTICE AND PROCEDURE</w:t>
      </w:r>
    </w:p>
    <w:p w:rsidR="00C906A5" w:rsidRPr="00487E4A" w:rsidRDefault="00C906A5" w:rsidP="00C906A5">
      <w:pPr>
        <w:jc w:val="center"/>
        <w:rPr>
          <w:b/>
        </w:rPr>
      </w:pPr>
    </w:p>
    <w:p w:rsidR="00C906A5" w:rsidRPr="00487E4A" w:rsidRDefault="00C906A5" w:rsidP="00C906A5">
      <w:pPr>
        <w:numPr>
          <w:ilvl w:val="0"/>
          <w:numId w:val="9"/>
        </w:numPr>
        <w:tabs>
          <w:tab w:val="left" w:pos="360"/>
          <w:tab w:val="right" w:pos="720"/>
        </w:tabs>
        <w:spacing w:after="220"/>
        <w:ind w:left="0" w:firstLine="0"/>
        <w:jc w:val="both"/>
        <w:rPr>
          <w:szCs w:val="22"/>
        </w:rPr>
      </w:pPr>
      <w:r w:rsidRPr="00487E4A">
        <w:t xml:space="preserve">The authority citation for part 1 continues to read as follows: </w:t>
      </w:r>
    </w:p>
    <w:p w:rsidR="00C906A5" w:rsidRPr="00487E4A" w:rsidRDefault="00C906A5" w:rsidP="00C906A5">
      <w:pPr>
        <w:tabs>
          <w:tab w:val="num" w:pos="360"/>
        </w:tabs>
        <w:suppressAutoHyphens/>
        <w:spacing w:after="220"/>
      </w:pPr>
      <w:r w:rsidRPr="00487E4A">
        <w:rPr>
          <w:b/>
          <w:szCs w:val="22"/>
        </w:rPr>
        <w:tab/>
      </w:r>
      <w:r w:rsidRPr="00EE26B5">
        <w:rPr>
          <w:b/>
          <w:bCs/>
          <w:smallCaps/>
          <w:snapToGrid/>
          <w:color w:val="000000" w:themeColor="text1"/>
          <w:kern w:val="0"/>
          <w:szCs w:val="22"/>
          <w:shd w:val="clear" w:color="auto" w:fill="FFFFFF"/>
        </w:rPr>
        <w:t>A</w:t>
      </w:r>
      <w:r w:rsidRPr="00EE26B5">
        <w:rPr>
          <w:rFonts w:ascii="Times New Roman Bold" w:hAnsi="Times New Roman Bold"/>
          <w:b/>
          <w:bCs/>
          <w:snapToGrid/>
          <w:color w:val="000000" w:themeColor="text1"/>
          <w:kern w:val="0"/>
          <w:szCs w:val="22"/>
          <w:shd w:val="clear" w:color="auto" w:fill="FFFFFF"/>
        </w:rPr>
        <w:t>uthority</w:t>
      </w:r>
      <w:r w:rsidRPr="00EE26B5">
        <w:rPr>
          <w:b/>
          <w:bCs/>
          <w:smallCaps/>
          <w:snapToGrid/>
          <w:kern w:val="0"/>
          <w:szCs w:val="22"/>
          <w:shd w:val="clear" w:color="auto" w:fill="FFFFFF"/>
        </w:rPr>
        <w:t>:</w:t>
      </w:r>
      <w:r w:rsidRPr="00EE26B5">
        <w:rPr>
          <w:bCs/>
          <w:snapToGrid/>
          <w:kern w:val="0"/>
          <w:szCs w:val="22"/>
          <w:shd w:val="clear" w:color="auto" w:fill="FFFFFF"/>
        </w:rPr>
        <w:t xml:space="preserve"> </w:t>
      </w:r>
      <w:r w:rsidRPr="00EE26B5">
        <w:rPr>
          <w:snapToGrid/>
          <w:kern w:val="0"/>
          <w:szCs w:val="22"/>
        </w:rPr>
        <w:t xml:space="preserve"> </w:t>
      </w:r>
      <w:r w:rsidRPr="00487E4A">
        <w:t xml:space="preserve">47 U.S.C. 151, 154(i), 154(j), 155, 157, </w:t>
      </w:r>
      <w:r w:rsidR="00E462A2">
        <w:t xml:space="preserve">160, 201, </w:t>
      </w:r>
      <w:r w:rsidRPr="00487E4A">
        <w:t>225, 227, 303</w:t>
      </w:r>
      <w:r w:rsidR="00ED2E65">
        <w:t>(r)</w:t>
      </w:r>
      <w:r w:rsidRPr="00487E4A">
        <w:t>, 309,</w:t>
      </w:r>
      <w:r w:rsidR="00E462A2">
        <w:t xml:space="preserve"> 332,</w:t>
      </w:r>
      <w:r w:rsidR="004050B9">
        <w:t xml:space="preserve"> </w:t>
      </w:r>
      <w:r w:rsidRPr="00487E4A">
        <w:t>1403, 1404, 1451, 1452</w:t>
      </w:r>
      <w:r w:rsidR="00E462A2">
        <w:t>, and 1455</w:t>
      </w:r>
      <w:r w:rsidRPr="00487E4A">
        <w:t>.</w:t>
      </w:r>
    </w:p>
    <w:p w:rsidR="00C906A5" w:rsidRPr="00487E4A" w:rsidRDefault="00F734C7" w:rsidP="00E14DCF">
      <w:pPr>
        <w:numPr>
          <w:ilvl w:val="0"/>
          <w:numId w:val="9"/>
        </w:numPr>
        <w:tabs>
          <w:tab w:val="left" w:pos="360"/>
          <w:tab w:val="right" w:pos="720"/>
        </w:tabs>
        <w:spacing w:after="220"/>
        <w:ind w:left="0" w:firstLine="0"/>
      </w:pPr>
      <w:r>
        <w:t xml:space="preserve">Amend </w:t>
      </w:r>
      <w:r w:rsidR="00C906A5" w:rsidRPr="00487E4A">
        <w:t xml:space="preserve">Section 1.1307 by </w:t>
      </w:r>
      <w:r w:rsidR="00ED2E65">
        <w:t xml:space="preserve">adding an entry for “76-81 GHz Radar Service (part 95)” above the entry for “Amateur Radio Service (part 97)” in </w:t>
      </w:r>
      <w:r w:rsidR="00E14DCF">
        <w:t>Table 1</w:t>
      </w:r>
      <w:r w:rsidR="00ED2E65">
        <w:t xml:space="preserve"> in paragraph (b)(1) and revising</w:t>
      </w:r>
      <w:r w:rsidR="00E14DCF">
        <w:t xml:space="preserve"> </w:t>
      </w:r>
      <w:r w:rsidR="00C906A5" w:rsidRPr="00487E4A">
        <w:t>paragraphs (b)(2)(i) and (ii) to read as follows:</w:t>
      </w:r>
    </w:p>
    <w:p w:rsidR="00C906A5" w:rsidRPr="00ED2E65" w:rsidRDefault="00C906A5" w:rsidP="00E36CA9">
      <w:pPr>
        <w:tabs>
          <w:tab w:val="left" w:pos="360"/>
          <w:tab w:val="right" w:pos="720"/>
        </w:tabs>
        <w:spacing w:after="120"/>
        <w:jc w:val="both"/>
        <w:rPr>
          <w:b/>
        </w:rPr>
      </w:pPr>
      <w:r w:rsidRPr="00ED2E65">
        <w:rPr>
          <w:b/>
        </w:rPr>
        <w:t xml:space="preserve">§ </w:t>
      </w:r>
      <w:r w:rsidRPr="00ED2E65">
        <w:rPr>
          <w:b/>
          <w:u w:val="single"/>
        </w:rPr>
        <w:t>1.1307 Actions that may have a significant environmental effect, for which Environmental Assessments (EAs) must be prepared</w:t>
      </w:r>
      <w:r w:rsidR="00ED2E65">
        <w:rPr>
          <w:b/>
          <w:u w:val="single"/>
        </w:rPr>
        <w:t>.</w:t>
      </w:r>
    </w:p>
    <w:p w:rsidR="00C906A5" w:rsidRDefault="00C906A5" w:rsidP="00C906A5">
      <w:pPr>
        <w:suppressAutoHyphens/>
        <w:spacing w:after="220"/>
      </w:pPr>
      <w:r w:rsidRPr="00487E4A">
        <w:t>* * * * *</w:t>
      </w:r>
    </w:p>
    <w:p w:rsidR="00E14DCF" w:rsidRDefault="00E14DCF" w:rsidP="00E14DCF">
      <w:pPr>
        <w:suppressAutoHyphens/>
        <w:spacing w:after="220"/>
      </w:pPr>
      <w:r>
        <w:t>(b) * * *</w:t>
      </w:r>
    </w:p>
    <w:p w:rsidR="00E14DCF" w:rsidRDefault="00E14DCF" w:rsidP="00E14DCF">
      <w:pPr>
        <w:suppressAutoHyphens/>
        <w:spacing w:after="220"/>
      </w:pPr>
      <w:r>
        <w:t>(1) * * *</w:t>
      </w:r>
    </w:p>
    <w:p w:rsidR="00E14DCF" w:rsidRPr="00C91435" w:rsidRDefault="009C4859" w:rsidP="00E36CA9">
      <w:pPr>
        <w:widowControl/>
        <w:ind w:firstLine="720"/>
        <w:jc w:val="center"/>
        <w:rPr>
          <w:snapToGrid/>
          <w:kern w:val="0"/>
          <w:szCs w:val="22"/>
        </w:rPr>
      </w:pPr>
      <w:r>
        <w:rPr>
          <w:snapToGrid/>
          <w:kern w:val="0"/>
          <w:szCs w:val="22"/>
        </w:rPr>
        <w:t xml:space="preserve">Table 1 – </w:t>
      </w:r>
      <w:r w:rsidR="00E14DCF" w:rsidRPr="00C91435">
        <w:rPr>
          <w:snapToGrid/>
          <w:kern w:val="0"/>
          <w:szCs w:val="22"/>
        </w:rPr>
        <w:t>Transmitters, Facilities and Operations Subject to R</w:t>
      </w:r>
      <w:r w:rsidR="00ED2E65">
        <w:rPr>
          <w:snapToGrid/>
          <w:kern w:val="0"/>
          <w:szCs w:val="22"/>
        </w:rPr>
        <w:t>outine Environmental Evaluation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2"/>
        <w:gridCol w:w="5036"/>
      </w:tblGrid>
      <w:tr w:rsidR="00E14DCF" w:rsidRPr="00C91435" w:rsidTr="00AD5CE8">
        <w:trPr>
          <w:tblCellSpacing w:w="7" w:type="dxa"/>
        </w:trPr>
        <w:tc>
          <w:tcPr>
            <w:tcW w:w="2329" w:type="pct"/>
            <w:tcBorders>
              <w:top w:val="outset" w:sz="6" w:space="0" w:color="auto"/>
              <w:left w:val="outset" w:sz="6" w:space="0" w:color="auto"/>
              <w:bottom w:val="outset" w:sz="6" w:space="0" w:color="auto"/>
              <w:right w:val="outset" w:sz="6" w:space="0" w:color="auto"/>
            </w:tcBorders>
            <w:vAlign w:val="center"/>
            <w:hideMark/>
          </w:tcPr>
          <w:p w:rsidR="00E14DCF" w:rsidRPr="00C91435" w:rsidRDefault="00E14DCF" w:rsidP="006855E2">
            <w:pPr>
              <w:widowControl/>
              <w:jc w:val="center"/>
              <w:rPr>
                <w:b/>
                <w:bCs/>
                <w:snapToGrid/>
                <w:kern w:val="0"/>
                <w:szCs w:val="22"/>
              </w:rPr>
            </w:pPr>
            <w:r w:rsidRPr="00C91435">
              <w:rPr>
                <w:b/>
                <w:bCs/>
                <w:snapToGrid/>
                <w:kern w:val="0"/>
                <w:szCs w:val="22"/>
              </w:rPr>
              <w:t xml:space="preserve">Service (title 47 CFR rule part) </w:t>
            </w:r>
          </w:p>
        </w:tc>
        <w:tc>
          <w:tcPr>
            <w:tcW w:w="2656" w:type="pct"/>
            <w:tcBorders>
              <w:top w:val="outset" w:sz="6" w:space="0" w:color="auto"/>
              <w:left w:val="outset" w:sz="6" w:space="0" w:color="auto"/>
              <w:bottom w:val="outset" w:sz="6" w:space="0" w:color="auto"/>
              <w:right w:val="outset" w:sz="6" w:space="0" w:color="auto"/>
            </w:tcBorders>
            <w:vAlign w:val="center"/>
            <w:hideMark/>
          </w:tcPr>
          <w:p w:rsidR="00E14DCF" w:rsidRPr="00C91435" w:rsidRDefault="00E14DCF" w:rsidP="006855E2">
            <w:pPr>
              <w:widowControl/>
              <w:jc w:val="center"/>
              <w:rPr>
                <w:b/>
                <w:bCs/>
                <w:snapToGrid/>
                <w:kern w:val="0"/>
                <w:szCs w:val="22"/>
              </w:rPr>
            </w:pPr>
            <w:r w:rsidRPr="00C91435">
              <w:rPr>
                <w:b/>
                <w:bCs/>
                <w:snapToGrid/>
                <w:kern w:val="0"/>
                <w:szCs w:val="22"/>
              </w:rPr>
              <w:t>Evaluation required if:</w:t>
            </w:r>
          </w:p>
        </w:tc>
      </w:tr>
      <w:tr w:rsidR="00524750" w:rsidRPr="00C91435" w:rsidTr="00AD5CE8">
        <w:trPr>
          <w:tblCellSpacing w:w="7" w:type="dxa"/>
        </w:trPr>
        <w:tc>
          <w:tcPr>
            <w:tcW w:w="4990" w:type="pct"/>
            <w:gridSpan w:val="2"/>
            <w:tcBorders>
              <w:top w:val="outset" w:sz="6" w:space="0" w:color="auto"/>
              <w:left w:val="outset" w:sz="6" w:space="0" w:color="auto"/>
              <w:bottom w:val="outset" w:sz="6" w:space="0" w:color="auto"/>
              <w:right w:val="outset" w:sz="6" w:space="0" w:color="auto"/>
            </w:tcBorders>
            <w:vAlign w:val="center"/>
          </w:tcPr>
          <w:p w:rsidR="00524750" w:rsidRPr="00C91435" w:rsidRDefault="00524750" w:rsidP="00AD5CE8">
            <w:pPr>
              <w:widowControl/>
              <w:jc w:val="center"/>
              <w:rPr>
                <w:snapToGrid/>
                <w:kern w:val="0"/>
                <w:szCs w:val="22"/>
              </w:rPr>
            </w:pPr>
            <w:r>
              <w:rPr>
                <w:snapToGrid/>
                <w:kern w:val="0"/>
                <w:szCs w:val="22"/>
              </w:rPr>
              <w:t>* * * * *</w:t>
            </w:r>
          </w:p>
        </w:tc>
      </w:tr>
      <w:tr w:rsidR="00E14DCF" w:rsidRPr="00C91435" w:rsidTr="00AD5CE8">
        <w:trPr>
          <w:tblCellSpacing w:w="7" w:type="dxa"/>
        </w:trPr>
        <w:tc>
          <w:tcPr>
            <w:tcW w:w="2329" w:type="pct"/>
            <w:tcBorders>
              <w:top w:val="outset" w:sz="6" w:space="0" w:color="auto"/>
              <w:left w:val="outset" w:sz="6" w:space="0" w:color="auto"/>
              <w:bottom w:val="outset" w:sz="6" w:space="0" w:color="auto"/>
              <w:right w:val="outset" w:sz="6" w:space="0" w:color="auto"/>
            </w:tcBorders>
            <w:vAlign w:val="center"/>
          </w:tcPr>
          <w:p w:rsidR="00E14DCF" w:rsidRPr="00C91435" w:rsidRDefault="00E14DCF" w:rsidP="006855E2">
            <w:pPr>
              <w:widowControl/>
              <w:rPr>
                <w:snapToGrid/>
                <w:kern w:val="0"/>
                <w:szCs w:val="22"/>
              </w:rPr>
            </w:pPr>
            <w:r w:rsidRPr="00C91435">
              <w:rPr>
                <w:snapToGrid/>
                <w:kern w:val="0"/>
                <w:szCs w:val="22"/>
              </w:rPr>
              <w:t>76-81 GHz Radar Service (part 95)</w:t>
            </w:r>
          </w:p>
        </w:tc>
        <w:tc>
          <w:tcPr>
            <w:tcW w:w="2656" w:type="pct"/>
            <w:tcBorders>
              <w:top w:val="outset" w:sz="6" w:space="0" w:color="auto"/>
              <w:left w:val="outset" w:sz="6" w:space="0" w:color="auto"/>
              <w:bottom w:val="outset" w:sz="6" w:space="0" w:color="auto"/>
              <w:right w:val="outset" w:sz="6" w:space="0" w:color="auto"/>
            </w:tcBorders>
            <w:vAlign w:val="center"/>
          </w:tcPr>
          <w:p w:rsidR="00E14DCF" w:rsidRPr="00C91435" w:rsidRDefault="00E14DCF" w:rsidP="006855E2">
            <w:pPr>
              <w:widowControl/>
              <w:rPr>
                <w:snapToGrid/>
                <w:kern w:val="0"/>
                <w:szCs w:val="22"/>
              </w:rPr>
            </w:pPr>
            <w:r w:rsidRPr="00C91435">
              <w:rPr>
                <w:snapToGrid/>
                <w:kern w:val="0"/>
                <w:szCs w:val="22"/>
              </w:rPr>
              <w:t>All included.</w:t>
            </w:r>
          </w:p>
        </w:tc>
      </w:tr>
      <w:tr w:rsidR="00524750" w:rsidRPr="00C91435" w:rsidTr="00AD5CE8">
        <w:trPr>
          <w:tblCellSpacing w:w="7" w:type="dxa"/>
        </w:trPr>
        <w:tc>
          <w:tcPr>
            <w:tcW w:w="4990" w:type="pct"/>
            <w:gridSpan w:val="2"/>
            <w:tcBorders>
              <w:top w:val="outset" w:sz="6" w:space="0" w:color="auto"/>
              <w:left w:val="outset" w:sz="6" w:space="0" w:color="auto"/>
              <w:bottom w:val="outset" w:sz="6" w:space="0" w:color="auto"/>
              <w:right w:val="outset" w:sz="6" w:space="0" w:color="auto"/>
            </w:tcBorders>
            <w:vAlign w:val="center"/>
          </w:tcPr>
          <w:p w:rsidR="00524750" w:rsidRPr="00C91435" w:rsidRDefault="00524750" w:rsidP="00AD5CE8">
            <w:pPr>
              <w:widowControl/>
              <w:jc w:val="center"/>
              <w:rPr>
                <w:snapToGrid/>
                <w:kern w:val="0"/>
                <w:szCs w:val="22"/>
              </w:rPr>
            </w:pPr>
            <w:r>
              <w:rPr>
                <w:snapToGrid/>
                <w:kern w:val="0"/>
                <w:szCs w:val="22"/>
              </w:rPr>
              <w:t>* * * * *</w:t>
            </w:r>
          </w:p>
        </w:tc>
      </w:tr>
    </w:tbl>
    <w:p w:rsidR="00E36CA9" w:rsidRDefault="00E36CA9" w:rsidP="00E36CA9">
      <w:pPr>
        <w:widowControl/>
        <w:rPr>
          <w:color w:val="000000"/>
          <w:szCs w:val="22"/>
          <w:shd w:val="clear" w:color="auto" w:fill="FFFFFF"/>
        </w:rPr>
      </w:pPr>
    </w:p>
    <w:p w:rsidR="00C906A5" w:rsidRDefault="00C906A5" w:rsidP="00E36CA9">
      <w:pPr>
        <w:widowControl/>
        <w:rPr>
          <w:color w:val="000000"/>
          <w:szCs w:val="22"/>
          <w:shd w:val="clear" w:color="auto" w:fill="FFFFFF"/>
        </w:rPr>
      </w:pPr>
      <w:r w:rsidRPr="00487E4A">
        <w:rPr>
          <w:color w:val="000000"/>
          <w:szCs w:val="22"/>
          <w:shd w:val="clear" w:color="auto" w:fill="FFFFFF"/>
        </w:rPr>
        <w:t xml:space="preserve">(2)(i) Mobile and portable transmitting devices that operate in the Commercial Mobile Radio Services pursuant to part 20 of this chapter; the Cellular Radiotelephone Service pursuant to part 22 of this chapter; the Personal Communications Services (PCS) pursuant to part 24 of this chapter; the Satellite Communications Services pursuant to part 25 of this chapter; the Miscellaneous Wireless Communications Services pursuant to part 27 of this chapter; </w:t>
      </w:r>
      <w:r w:rsidR="00996ED5">
        <w:rPr>
          <w:color w:val="000000"/>
          <w:szCs w:val="22"/>
          <w:shd w:val="clear" w:color="auto" w:fill="FFFFFF"/>
        </w:rPr>
        <w:t xml:space="preserve">the Upper Microwave Flexible Use Service pursuant to part 30 of this chapter; </w:t>
      </w:r>
      <w:r w:rsidRPr="00487E4A">
        <w:rPr>
          <w:color w:val="000000"/>
          <w:szCs w:val="22"/>
          <w:shd w:val="clear" w:color="auto" w:fill="FFFFFF"/>
        </w:rPr>
        <w:t xml:space="preserve">the Maritime Services (ship earth stations only) pursuant to part 80 of this chapter; the Specialized Mobile Radio Service, the 4.9 GHz Band Service, </w:t>
      </w:r>
      <w:r w:rsidR="00E13972">
        <w:rPr>
          <w:color w:val="000000"/>
          <w:szCs w:val="22"/>
          <w:shd w:val="clear" w:color="auto" w:fill="FFFFFF"/>
        </w:rPr>
        <w:t>and</w:t>
      </w:r>
      <w:r w:rsidRPr="00487E4A">
        <w:rPr>
          <w:color w:val="000000"/>
          <w:szCs w:val="22"/>
          <w:shd w:val="clear" w:color="auto" w:fill="FFFFFF"/>
        </w:rPr>
        <w:t xml:space="preserve"> the 3650 MHz Wireless Broadband Service pursuant to part 90 of this chapter; the Wireless Medical Telemetry Service (WMTS), the Medical Device Radiocommunication Service (MedRadio), </w:t>
      </w:r>
      <w:r w:rsidR="00E13972">
        <w:rPr>
          <w:color w:val="000000"/>
          <w:szCs w:val="22"/>
          <w:shd w:val="clear" w:color="auto" w:fill="FFFFFF"/>
        </w:rPr>
        <w:t>and</w:t>
      </w:r>
      <w:r w:rsidRPr="00487E4A">
        <w:rPr>
          <w:color w:val="000000"/>
          <w:szCs w:val="22"/>
          <w:shd w:val="clear" w:color="auto" w:fill="FFFFFF"/>
        </w:rPr>
        <w:t xml:space="preserve"> the 76-81 GHz Band Radar Service pursuant to part 95 of this chapter</w:t>
      </w:r>
      <w:r w:rsidR="005633F5">
        <w:rPr>
          <w:color w:val="000000"/>
          <w:szCs w:val="22"/>
          <w:shd w:val="clear" w:color="auto" w:fill="FFFFFF"/>
        </w:rPr>
        <w:t xml:space="preserve">; </w:t>
      </w:r>
      <w:r w:rsidR="00E13972">
        <w:rPr>
          <w:color w:val="000000"/>
          <w:szCs w:val="22"/>
          <w:shd w:val="clear" w:color="auto" w:fill="FFFFFF"/>
        </w:rPr>
        <w:t>and</w:t>
      </w:r>
      <w:r w:rsidR="005633F5">
        <w:rPr>
          <w:color w:val="000000"/>
          <w:szCs w:val="22"/>
          <w:shd w:val="clear" w:color="auto" w:fill="FFFFFF"/>
        </w:rPr>
        <w:t xml:space="preserve"> the Citizens Broadband Radio Service pursuant to part 96 of this chapter</w:t>
      </w:r>
      <w:r w:rsidRPr="00487E4A">
        <w:rPr>
          <w:color w:val="000000"/>
          <w:szCs w:val="22"/>
          <w:shd w:val="clear" w:color="auto" w:fill="FFFFFF"/>
        </w:rPr>
        <w:t xml:space="preserve"> are subject to routine environmental evaluation for RF exposure prior to equipment authorization or use, as specified in §§ 2.1091 and 2.1093 of this chapter.</w:t>
      </w:r>
    </w:p>
    <w:p w:rsidR="00E36CA9" w:rsidRPr="00487E4A" w:rsidRDefault="00E36CA9" w:rsidP="00E36CA9">
      <w:pPr>
        <w:widowControl/>
        <w:rPr>
          <w:color w:val="000000"/>
          <w:szCs w:val="22"/>
          <w:shd w:val="clear" w:color="auto" w:fill="FFFFFF"/>
        </w:rPr>
      </w:pPr>
    </w:p>
    <w:p w:rsidR="00C906A5" w:rsidRPr="00487E4A" w:rsidRDefault="00C906A5" w:rsidP="00C906A5">
      <w:pPr>
        <w:spacing w:after="220"/>
        <w:rPr>
          <w:color w:val="000000"/>
          <w:szCs w:val="22"/>
          <w:shd w:val="clear" w:color="auto" w:fill="FFFFFF"/>
        </w:rPr>
      </w:pPr>
      <w:r w:rsidRPr="00487E4A">
        <w:rPr>
          <w:color w:val="000000"/>
          <w:szCs w:val="22"/>
          <w:shd w:val="clear" w:color="auto" w:fill="FFFFFF"/>
        </w:rPr>
        <w:t>(ii) Unlicensed PCS, unlicensed NII</w:t>
      </w:r>
      <w:r>
        <w:rPr>
          <w:color w:val="000000"/>
          <w:szCs w:val="22"/>
          <w:shd w:val="clear" w:color="auto" w:fill="FFFFFF"/>
        </w:rPr>
        <w:t>,</w:t>
      </w:r>
      <w:r w:rsidR="00067F06">
        <w:rPr>
          <w:color w:val="000000"/>
          <w:szCs w:val="22"/>
          <w:shd w:val="clear" w:color="auto" w:fill="FFFFFF"/>
        </w:rPr>
        <w:t xml:space="preserve"> and millimeter-</w:t>
      </w:r>
      <w:r w:rsidRPr="00487E4A">
        <w:rPr>
          <w:color w:val="000000"/>
          <w:szCs w:val="22"/>
          <w:shd w:val="clear" w:color="auto" w:fill="FFFFFF"/>
        </w:rPr>
        <w:t>wave devices are also subject to routine environmental evaluation for RF exposure prior to equipment authorization or use, as specified in §§ 15.255(g), 15.257(g), 15.319(i), and 15.407(f) of this chapter.</w:t>
      </w:r>
    </w:p>
    <w:p w:rsidR="00C906A5" w:rsidRPr="00487E4A" w:rsidRDefault="00C906A5" w:rsidP="00C906A5">
      <w:pPr>
        <w:suppressAutoHyphens/>
        <w:spacing w:after="220"/>
        <w:rPr>
          <w:szCs w:val="22"/>
        </w:rPr>
      </w:pPr>
      <w:r w:rsidRPr="00487E4A">
        <w:rPr>
          <w:szCs w:val="22"/>
        </w:rPr>
        <w:t>* * * * *</w:t>
      </w:r>
    </w:p>
    <w:p w:rsidR="00C906A5" w:rsidRPr="000D0275" w:rsidRDefault="00C906A5" w:rsidP="00C906A5">
      <w:pPr>
        <w:widowControl/>
        <w:suppressAutoHyphens/>
        <w:jc w:val="center"/>
        <w:rPr>
          <w:b/>
          <w:snapToGrid/>
          <w:kern w:val="0"/>
          <w:szCs w:val="22"/>
        </w:rPr>
      </w:pPr>
      <w:r w:rsidRPr="000D0275">
        <w:rPr>
          <w:b/>
          <w:snapToGrid/>
          <w:kern w:val="0"/>
          <w:szCs w:val="22"/>
        </w:rPr>
        <w:t>PART 2 – FREQUENCY ALLOCATIONS AND RADIO TREATY MATTERS;</w:t>
      </w:r>
    </w:p>
    <w:p w:rsidR="00C906A5" w:rsidRPr="000D0275" w:rsidRDefault="00C906A5" w:rsidP="00C906A5">
      <w:pPr>
        <w:widowControl/>
        <w:suppressAutoHyphens/>
        <w:spacing w:after="220"/>
        <w:jc w:val="center"/>
        <w:rPr>
          <w:b/>
          <w:snapToGrid/>
          <w:kern w:val="0"/>
          <w:szCs w:val="22"/>
        </w:rPr>
      </w:pPr>
      <w:r w:rsidRPr="000D0275">
        <w:rPr>
          <w:b/>
          <w:snapToGrid/>
          <w:kern w:val="0"/>
          <w:szCs w:val="22"/>
        </w:rPr>
        <w:t>GENERAL RULES AND REGULATIONS</w:t>
      </w:r>
    </w:p>
    <w:p w:rsidR="00C906A5" w:rsidRPr="000D0275" w:rsidRDefault="00C906A5" w:rsidP="00C906A5">
      <w:pPr>
        <w:numPr>
          <w:ilvl w:val="0"/>
          <w:numId w:val="9"/>
        </w:numPr>
        <w:tabs>
          <w:tab w:val="left" w:pos="360"/>
          <w:tab w:val="right" w:pos="720"/>
        </w:tabs>
        <w:spacing w:after="220"/>
        <w:ind w:left="0" w:firstLine="0"/>
        <w:jc w:val="both"/>
        <w:rPr>
          <w:szCs w:val="22"/>
        </w:rPr>
      </w:pPr>
      <w:r w:rsidRPr="000D0275">
        <w:rPr>
          <w:szCs w:val="22"/>
        </w:rPr>
        <w:t>The authority citation for part 2 continues to read as follows:</w:t>
      </w:r>
    </w:p>
    <w:p w:rsidR="00C906A5" w:rsidRPr="000D0275" w:rsidRDefault="00C906A5" w:rsidP="00C906A5">
      <w:pPr>
        <w:widowControl/>
        <w:tabs>
          <w:tab w:val="num" w:pos="360"/>
        </w:tabs>
        <w:suppressAutoHyphens/>
        <w:spacing w:after="220"/>
        <w:rPr>
          <w:snapToGrid/>
          <w:kern w:val="0"/>
          <w:szCs w:val="22"/>
        </w:rPr>
      </w:pPr>
      <w:r>
        <w:rPr>
          <w:smallCaps/>
          <w:snapToGrid/>
          <w:kern w:val="0"/>
          <w:szCs w:val="22"/>
        </w:rPr>
        <w:tab/>
      </w:r>
      <w:r w:rsidRPr="00EE26B5">
        <w:rPr>
          <w:b/>
          <w:bCs/>
          <w:smallCaps/>
          <w:snapToGrid/>
          <w:kern w:val="0"/>
          <w:szCs w:val="22"/>
          <w:shd w:val="clear" w:color="auto" w:fill="FFFFFF"/>
        </w:rPr>
        <w:t>A</w:t>
      </w:r>
      <w:r w:rsidRPr="00EE26B5">
        <w:rPr>
          <w:rFonts w:ascii="Times New Roman Bold" w:hAnsi="Times New Roman Bold"/>
          <w:b/>
          <w:bCs/>
          <w:snapToGrid/>
          <w:kern w:val="0"/>
          <w:szCs w:val="22"/>
          <w:shd w:val="clear" w:color="auto" w:fill="FFFFFF"/>
        </w:rPr>
        <w:t>uthority</w:t>
      </w:r>
      <w:r w:rsidRPr="00EE26B5">
        <w:rPr>
          <w:b/>
          <w:bCs/>
          <w:smallCaps/>
          <w:snapToGrid/>
          <w:kern w:val="0"/>
          <w:szCs w:val="22"/>
          <w:shd w:val="clear" w:color="auto" w:fill="FFFFFF"/>
        </w:rPr>
        <w:t>:</w:t>
      </w:r>
      <w:r w:rsidRPr="00EE26B5">
        <w:rPr>
          <w:bCs/>
          <w:snapToGrid/>
          <w:kern w:val="0"/>
          <w:szCs w:val="22"/>
          <w:shd w:val="clear" w:color="auto" w:fill="FFFFFF"/>
        </w:rPr>
        <w:t xml:space="preserve"> </w:t>
      </w:r>
      <w:r w:rsidRPr="00EE26B5">
        <w:rPr>
          <w:snapToGrid/>
          <w:kern w:val="0"/>
          <w:szCs w:val="22"/>
        </w:rPr>
        <w:t xml:space="preserve"> </w:t>
      </w:r>
      <w:r w:rsidRPr="000D0275">
        <w:rPr>
          <w:snapToGrid/>
          <w:kern w:val="0"/>
          <w:szCs w:val="22"/>
        </w:rPr>
        <w:t>47 U.S.C. 154, 302a, 303, and 336, unless otherwise noted.</w:t>
      </w:r>
    </w:p>
    <w:p w:rsidR="00C906A5" w:rsidRPr="000D0275" w:rsidRDefault="00F734C7" w:rsidP="00C906A5">
      <w:pPr>
        <w:numPr>
          <w:ilvl w:val="0"/>
          <w:numId w:val="9"/>
        </w:numPr>
        <w:tabs>
          <w:tab w:val="left" w:pos="360"/>
          <w:tab w:val="right" w:pos="720"/>
        </w:tabs>
        <w:spacing w:after="220"/>
        <w:ind w:left="0" w:firstLine="0"/>
        <w:jc w:val="both"/>
        <w:rPr>
          <w:szCs w:val="22"/>
        </w:rPr>
      </w:pPr>
      <w:r>
        <w:rPr>
          <w:szCs w:val="22"/>
        </w:rPr>
        <w:t xml:space="preserve">Amend </w:t>
      </w:r>
      <w:r w:rsidR="00C906A5" w:rsidRPr="000D0275">
        <w:rPr>
          <w:szCs w:val="22"/>
        </w:rPr>
        <w:t>Section 2.106, the Table of Frequency Allocations, as follows:</w:t>
      </w:r>
    </w:p>
    <w:p w:rsidR="00C906A5" w:rsidRDefault="00C906A5" w:rsidP="00C906A5">
      <w:pPr>
        <w:widowControl/>
        <w:numPr>
          <w:ilvl w:val="0"/>
          <w:numId w:val="11"/>
        </w:numPr>
        <w:tabs>
          <w:tab w:val="left" w:pos="720"/>
        </w:tabs>
        <w:suppressAutoHyphens/>
        <w:spacing w:after="240"/>
        <w:rPr>
          <w:szCs w:val="22"/>
        </w:rPr>
      </w:pPr>
      <w:r w:rsidRPr="000D0275">
        <w:rPr>
          <w:szCs w:val="22"/>
        </w:rPr>
        <w:t>Page 62 is revised.</w:t>
      </w:r>
    </w:p>
    <w:p w:rsidR="00E462A2" w:rsidRDefault="00524750" w:rsidP="00E462A2">
      <w:pPr>
        <w:widowControl/>
        <w:numPr>
          <w:ilvl w:val="0"/>
          <w:numId w:val="11"/>
        </w:numPr>
        <w:tabs>
          <w:tab w:val="left" w:pos="720"/>
        </w:tabs>
        <w:suppressAutoHyphens/>
        <w:spacing w:after="240"/>
        <w:rPr>
          <w:szCs w:val="22"/>
        </w:rPr>
      </w:pPr>
      <w:r>
        <w:rPr>
          <w:szCs w:val="22"/>
        </w:rPr>
        <w:t>Under</w:t>
      </w:r>
      <w:r w:rsidR="00E462A2">
        <w:rPr>
          <w:szCs w:val="22"/>
        </w:rPr>
        <w:t xml:space="preserve"> </w:t>
      </w:r>
      <w:r>
        <w:rPr>
          <w:szCs w:val="22"/>
        </w:rPr>
        <w:t>“</w:t>
      </w:r>
      <w:r w:rsidR="00E462A2">
        <w:rPr>
          <w:szCs w:val="22"/>
        </w:rPr>
        <w:t>International Footnotes,</w:t>
      </w:r>
      <w:r>
        <w:rPr>
          <w:szCs w:val="22"/>
        </w:rPr>
        <w:t>” add, in numerical order,</w:t>
      </w:r>
      <w:r w:rsidR="00E462A2">
        <w:rPr>
          <w:szCs w:val="22"/>
        </w:rPr>
        <w:t xml:space="preserve"> footnote 5.559B.</w:t>
      </w:r>
    </w:p>
    <w:p w:rsidR="00524750" w:rsidRPr="000D0275" w:rsidRDefault="00524750" w:rsidP="00AD5CE8">
      <w:pPr>
        <w:widowControl/>
        <w:tabs>
          <w:tab w:val="left" w:pos="720"/>
        </w:tabs>
        <w:suppressAutoHyphens/>
        <w:spacing w:after="240"/>
        <w:ind w:left="360"/>
        <w:rPr>
          <w:szCs w:val="22"/>
        </w:rPr>
      </w:pPr>
      <w:r w:rsidRPr="000D0275">
        <w:rPr>
          <w:spacing w:val="-3"/>
          <w:szCs w:val="22"/>
        </w:rPr>
        <w:t>The revision and addition read as follows:</w:t>
      </w:r>
    </w:p>
    <w:p w:rsidR="00C906A5" w:rsidRPr="000D0275" w:rsidRDefault="00C906A5" w:rsidP="00C906A5">
      <w:pPr>
        <w:tabs>
          <w:tab w:val="left" w:pos="284"/>
          <w:tab w:val="left" w:pos="1134"/>
          <w:tab w:val="left" w:pos="1871"/>
          <w:tab w:val="left" w:pos="2268"/>
        </w:tabs>
        <w:overflowPunct w:val="0"/>
        <w:autoSpaceDE w:val="0"/>
        <w:autoSpaceDN w:val="0"/>
        <w:adjustRightInd w:val="0"/>
        <w:spacing w:before="80" w:after="120"/>
        <w:textAlignment w:val="baseline"/>
        <w:rPr>
          <w:b/>
          <w:spacing w:val="-3"/>
          <w:szCs w:val="22"/>
        </w:rPr>
      </w:pPr>
      <w:r w:rsidRPr="000D0275">
        <w:rPr>
          <w:b/>
          <w:spacing w:val="-3"/>
          <w:szCs w:val="22"/>
          <w:u w:val="single"/>
        </w:rPr>
        <w:t>§ 2.106   Table of Frequency Allocations</w:t>
      </w:r>
      <w:r w:rsidRPr="000D0275">
        <w:rPr>
          <w:b/>
          <w:spacing w:val="-3"/>
          <w:szCs w:val="22"/>
        </w:rPr>
        <w:t>.</w:t>
      </w:r>
    </w:p>
    <w:p w:rsidR="00C906A5" w:rsidRPr="000D0275" w:rsidRDefault="00C906A5" w:rsidP="00C906A5">
      <w:pPr>
        <w:tabs>
          <w:tab w:val="left" w:pos="284"/>
          <w:tab w:val="left" w:pos="1134"/>
          <w:tab w:val="left" w:pos="1871"/>
          <w:tab w:val="left" w:pos="2268"/>
        </w:tabs>
        <w:overflowPunct w:val="0"/>
        <w:autoSpaceDE w:val="0"/>
        <w:autoSpaceDN w:val="0"/>
        <w:adjustRightInd w:val="0"/>
        <w:spacing w:before="80" w:after="120"/>
        <w:ind w:firstLine="360"/>
        <w:textAlignment w:val="baseline"/>
        <w:rPr>
          <w:spacing w:val="-3"/>
          <w:szCs w:val="22"/>
        </w:rPr>
      </w:pPr>
    </w:p>
    <w:p w:rsidR="002A0871" w:rsidRDefault="00C906A5" w:rsidP="00C906A5">
      <w:pPr>
        <w:widowControl/>
        <w:rPr>
          <w:spacing w:val="-3"/>
          <w:szCs w:val="22"/>
        </w:rPr>
        <w:sectPr w:rsidR="002A0871" w:rsidSect="008436A4">
          <w:pgSz w:w="12240" w:h="15840"/>
          <w:pgMar w:top="1080" w:right="1440" w:bottom="1080" w:left="1440" w:header="720" w:footer="720" w:gutter="0"/>
          <w:cols w:space="720"/>
          <w:docGrid w:linePitch="360"/>
        </w:sectPr>
      </w:pPr>
      <w:r w:rsidRPr="000D0275">
        <w:rPr>
          <w:spacing w:val="-3"/>
          <w:szCs w:val="22"/>
        </w:rPr>
        <w:t>* * * * *</w:t>
      </w:r>
    </w:p>
    <w:tbl>
      <w:tblPr>
        <w:tblW w:w="4987" w:type="pct"/>
        <w:tblLayout w:type="fixed"/>
        <w:tblCellMar>
          <w:left w:w="58" w:type="dxa"/>
          <w:right w:w="0" w:type="dxa"/>
        </w:tblCellMar>
        <w:tblLook w:val="0000" w:firstRow="0" w:lastRow="0" w:firstColumn="0" w:lastColumn="0" w:noHBand="0" w:noVBand="0"/>
      </w:tblPr>
      <w:tblGrid>
        <w:gridCol w:w="6587"/>
        <w:gridCol w:w="2596"/>
        <w:gridCol w:w="2595"/>
        <w:gridCol w:w="1924"/>
      </w:tblGrid>
      <w:tr w:rsidR="001E3B31" w:rsidRPr="001E3B31" w:rsidTr="002A0871">
        <w:trPr>
          <w:trHeight w:val="399"/>
        </w:trPr>
        <w:tc>
          <w:tcPr>
            <w:tcW w:w="6587" w:type="dxa"/>
            <w:tcBorders>
              <w:top w:val="single" w:sz="6" w:space="0" w:color="auto"/>
              <w:bottom w:val="nil"/>
              <w:right w:val="double" w:sz="6" w:space="0" w:color="auto"/>
            </w:tcBorders>
            <w:noWrap/>
          </w:tcPr>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76-77.5</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RADIOLOCATION</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Amateur-satellite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Space research (space-to-Earth)</w:t>
            </w:r>
          </w:p>
        </w:tc>
        <w:tc>
          <w:tcPr>
            <w:tcW w:w="2596" w:type="dxa"/>
            <w:vMerge w:val="restart"/>
            <w:tcBorders>
              <w:top w:val="single" w:sz="6" w:space="0" w:color="auto"/>
              <w:left w:val="double" w:sz="6" w:space="0" w:color="auto"/>
              <w:right w:val="single" w:sz="6" w:space="0" w:color="auto"/>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1E3B31">
              <w:rPr>
                <w:rFonts w:ascii="Arial Narrow" w:hAnsi="Arial Narrow"/>
                <w:kern w:val="0"/>
                <w:sz w:val="17"/>
                <w:szCs w:val="22"/>
              </w:rPr>
              <w:t>76-81</w:t>
            </w: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1E3B31">
              <w:rPr>
                <w:rFonts w:ascii="Arial Narrow" w:hAnsi="Arial Narrow"/>
                <w:kern w:val="0"/>
                <w:sz w:val="17"/>
                <w:szCs w:val="22"/>
              </w:rPr>
              <w:t>RADIOLOCATION</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spacing w:line="204" w:lineRule="auto"/>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spacing w:line="144" w:lineRule="auto"/>
              <w:rPr>
                <w:rFonts w:ascii="Arial Narrow" w:hAnsi="Arial Narrow"/>
                <w:kern w:val="0"/>
                <w:sz w:val="17"/>
                <w:szCs w:val="22"/>
              </w:rPr>
            </w:pPr>
          </w:p>
          <w:p w:rsidR="001E3B31" w:rsidRPr="001E3B31" w:rsidRDefault="001E3B31" w:rsidP="001E3B31">
            <w:pPr>
              <w:widowControl/>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spacing w:line="144" w:lineRule="auto"/>
              <w:rPr>
                <w:rFonts w:ascii="Arial Narrow" w:hAnsi="Arial Narrow"/>
                <w:kern w:val="0"/>
                <w:sz w:val="17"/>
                <w:szCs w:val="22"/>
              </w:rPr>
            </w:pPr>
          </w:p>
          <w:p w:rsidR="001E3B31" w:rsidRPr="001E3B31" w:rsidRDefault="001E3B31" w:rsidP="001E3B31">
            <w:pPr>
              <w:widowControl/>
              <w:suppressAutoHyphens/>
              <w:spacing w:line="204" w:lineRule="auto"/>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1E3B31" w:rsidRPr="001E3B31" w:rsidRDefault="001E3B31" w:rsidP="00AD5CE8">
            <w:pPr>
              <w:widowControl/>
              <w:tabs>
                <w:tab w:val="left" w:pos="0"/>
                <w:tab w:val="left" w:pos="336"/>
                <w:tab w:val="left" w:pos="1892"/>
                <w:tab w:val="left" w:pos="2880"/>
                <w:tab w:val="left" w:pos="3600"/>
                <w:tab w:val="left" w:pos="4320"/>
                <w:tab w:val="left" w:pos="5040"/>
              </w:tabs>
              <w:suppressAutoHyphens/>
              <w:spacing w:line="192"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1E3B31">
              <w:rPr>
                <w:rFonts w:ascii="Arial Narrow" w:hAnsi="Arial Narrow"/>
                <w:kern w:val="0"/>
                <w:sz w:val="17"/>
                <w:szCs w:val="22"/>
              </w:rPr>
              <w:t>5.560  US342</w:t>
            </w:r>
          </w:p>
        </w:tc>
        <w:tc>
          <w:tcPr>
            <w:tcW w:w="2595" w:type="dxa"/>
            <w:tcBorders>
              <w:top w:val="single" w:sz="6" w:space="0" w:color="auto"/>
              <w:left w:val="single" w:sz="6" w:space="0" w:color="auto"/>
              <w:bottom w:val="single" w:sz="6" w:space="0" w:color="auto"/>
              <w:right w:val="double" w:sz="6" w:space="0" w:color="auto"/>
            </w:tcBorders>
            <w:noWrap/>
          </w:tcPr>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76-77</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RADIOLOCATION</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Amateur</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suppressAutoHyphens/>
              <w:spacing w:line="144" w:lineRule="auto"/>
              <w:rPr>
                <w:rFonts w:ascii="Arial Narrow" w:hAnsi="Arial Narrow"/>
                <w:kern w:val="0"/>
                <w:sz w:val="17"/>
                <w:szCs w:val="22"/>
              </w:rPr>
            </w:pPr>
          </w:p>
          <w:p w:rsidR="001E3B31" w:rsidRPr="001E3B31" w:rsidRDefault="001E3B31" w:rsidP="001E3B31">
            <w:pPr>
              <w:widowControl/>
              <w:suppressAutoHyphens/>
              <w:spacing w:line="204" w:lineRule="auto"/>
              <w:rPr>
                <w:rFonts w:ascii="Arial Narrow" w:hAnsi="Arial Narrow"/>
                <w:kern w:val="0"/>
                <w:sz w:val="17"/>
                <w:szCs w:val="22"/>
              </w:rPr>
            </w:pPr>
            <w:r w:rsidRPr="001E3B31">
              <w:rPr>
                <w:rFonts w:ascii="Arial Narrow" w:hAnsi="Arial Narrow"/>
                <w:kern w:val="0"/>
                <w:sz w:val="17"/>
                <w:szCs w:val="22"/>
              </w:rPr>
              <w:t>US342</w:t>
            </w:r>
          </w:p>
        </w:tc>
        <w:tc>
          <w:tcPr>
            <w:tcW w:w="1924" w:type="dxa"/>
            <w:vMerge w:val="restart"/>
            <w:tcBorders>
              <w:top w:val="single" w:sz="6" w:space="0" w:color="auto"/>
              <w:left w:val="double" w:sz="6" w:space="0" w:color="auto"/>
              <w:right w:val="nil"/>
            </w:tcBorders>
            <w:noWrap/>
          </w:tcPr>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RF Devices (15)</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Personal Radio (95)</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Amateur Radio (97)</w:t>
            </w: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tc>
      </w:tr>
      <w:tr w:rsidR="001E3B31" w:rsidRPr="001E3B31" w:rsidTr="002A0871">
        <w:trPr>
          <w:trHeight w:val="966"/>
        </w:trPr>
        <w:tc>
          <w:tcPr>
            <w:tcW w:w="6587" w:type="dxa"/>
            <w:tcBorders>
              <w:top w:val="nil"/>
              <w:left w:val="nil"/>
              <w:bottom w:val="single" w:sz="6" w:space="0" w:color="auto"/>
              <w:right w:val="double" w:sz="6" w:space="0" w:color="auto"/>
            </w:tcBorders>
            <w:noWrap/>
            <w:vAlign w:val="bottom"/>
          </w:tcPr>
          <w:p w:rsidR="001E3B31" w:rsidRPr="001E3B31" w:rsidRDefault="001E3B31" w:rsidP="001E3B31">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1E3B31" w:rsidRPr="001E3B31" w:rsidRDefault="001E3B31" w:rsidP="001E3B31">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1E3B31" w:rsidRPr="001E3B31" w:rsidRDefault="001E3B31" w:rsidP="001E3B31">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1E3B31" w:rsidRPr="001E3B31" w:rsidRDefault="001E3B31" w:rsidP="00AD5CE8">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p>
          <w:p w:rsidR="001E3B31" w:rsidRPr="001E3B31" w:rsidRDefault="001E3B31" w:rsidP="001E3B31">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1E3B31" w:rsidRPr="001E3B31" w:rsidRDefault="001E3B31" w:rsidP="001E3B31">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58"/>
              <w:rPr>
                <w:rFonts w:ascii="Arial Narrow" w:hAnsi="Arial Narrow"/>
                <w:kern w:val="0"/>
                <w:sz w:val="17"/>
                <w:szCs w:val="22"/>
              </w:rPr>
            </w:pPr>
          </w:p>
          <w:p w:rsidR="001E3B31" w:rsidRPr="001E3B31" w:rsidRDefault="001E3B31" w:rsidP="001E3B31">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1E3B31">
              <w:rPr>
                <w:rFonts w:ascii="Arial Narrow" w:hAnsi="Arial Narrow"/>
                <w:kern w:val="0"/>
                <w:sz w:val="17"/>
                <w:szCs w:val="22"/>
              </w:rPr>
              <w:t>5.149</w:t>
            </w:r>
          </w:p>
        </w:tc>
        <w:tc>
          <w:tcPr>
            <w:tcW w:w="2596" w:type="dxa"/>
            <w:vMerge/>
            <w:tcBorders>
              <w:left w:val="double" w:sz="6" w:space="0" w:color="auto"/>
              <w:right w:val="single" w:sz="6" w:space="0" w:color="auto"/>
            </w:tcBorders>
            <w:noWrap/>
            <w:vAlign w:val="bottom"/>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95" w:type="dxa"/>
            <w:vMerge w:val="restart"/>
            <w:tcBorders>
              <w:top w:val="single" w:sz="6" w:space="0" w:color="auto"/>
              <w:left w:val="single" w:sz="6" w:space="0" w:color="auto"/>
              <w:right w:val="double" w:sz="6" w:space="0" w:color="auto"/>
            </w:tcBorders>
            <w:noWrap/>
          </w:tcPr>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77-81</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RADIOLOCATION</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Amateur</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Amateur-satellite</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AD5CE8">
            <w:pPr>
              <w:widowControl/>
              <w:tabs>
                <w:tab w:val="left" w:pos="0"/>
                <w:tab w:val="left" w:pos="336"/>
                <w:tab w:val="left" w:pos="1892"/>
                <w:tab w:val="left" w:pos="2880"/>
                <w:tab w:val="left" w:pos="3600"/>
                <w:tab w:val="left" w:pos="4320"/>
                <w:tab w:val="left" w:pos="5040"/>
              </w:tabs>
              <w:suppressAutoHyphens/>
              <w:spacing w:line="360" w:lineRule="auto"/>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1E3B31">
              <w:rPr>
                <w:rFonts w:ascii="Arial Narrow" w:hAnsi="Arial Narrow"/>
                <w:kern w:val="0"/>
                <w:sz w:val="17"/>
                <w:szCs w:val="22"/>
              </w:rPr>
              <w:t>5.560  US342</w:t>
            </w:r>
          </w:p>
        </w:tc>
        <w:tc>
          <w:tcPr>
            <w:tcW w:w="1924" w:type="dxa"/>
            <w:vMerge/>
            <w:tcBorders>
              <w:left w:val="double" w:sz="6" w:space="0" w:color="auto"/>
              <w:right w:val="nil"/>
            </w:tcBorders>
            <w:noWrap/>
          </w:tcPr>
          <w:p w:rsidR="001E3B31" w:rsidRPr="001E3B31" w:rsidRDefault="001E3B31" w:rsidP="001E3B31">
            <w:pPr>
              <w:widowControl/>
              <w:suppressAutoHyphens/>
              <w:rPr>
                <w:rFonts w:ascii="Arial Narrow" w:hAnsi="Arial Narrow"/>
                <w:kern w:val="0"/>
                <w:sz w:val="17"/>
                <w:szCs w:val="22"/>
              </w:rPr>
            </w:pPr>
          </w:p>
        </w:tc>
      </w:tr>
      <w:tr w:rsidR="001E3B31" w:rsidRPr="001E3B31" w:rsidTr="002A0871">
        <w:trPr>
          <w:trHeight w:val="867"/>
        </w:trPr>
        <w:tc>
          <w:tcPr>
            <w:tcW w:w="6587" w:type="dxa"/>
            <w:tcBorders>
              <w:top w:val="single" w:sz="6" w:space="0" w:color="auto"/>
              <w:left w:val="nil"/>
              <w:bottom w:val="single" w:sz="6" w:space="0" w:color="auto"/>
              <w:right w:val="double" w:sz="6" w:space="0" w:color="auto"/>
            </w:tcBorders>
            <w:noWrap/>
          </w:tcPr>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77.5-78</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AMATEUR-SATELLITE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RADIOLOCATON  5.559B</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suppressAutoHyphens/>
              <w:spacing w:line="144" w:lineRule="auto"/>
              <w:ind w:left="-58"/>
              <w:rPr>
                <w:rFonts w:ascii="Arial Narrow" w:hAnsi="Arial Narrow"/>
                <w:i/>
                <w:kern w:val="0"/>
                <w:sz w:val="17"/>
                <w:szCs w:val="22"/>
              </w:rPr>
            </w:pPr>
          </w:p>
          <w:p w:rsidR="001E3B31" w:rsidRPr="001E3B31" w:rsidRDefault="001E3B31" w:rsidP="001E3B31">
            <w:pPr>
              <w:widowControl/>
              <w:suppressAutoHyphens/>
              <w:spacing w:line="204" w:lineRule="auto"/>
              <w:ind w:left="-58"/>
              <w:rPr>
                <w:rFonts w:ascii="Arial Narrow" w:hAnsi="Arial Narrow"/>
                <w:kern w:val="0"/>
                <w:sz w:val="17"/>
                <w:szCs w:val="22"/>
              </w:rPr>
            </w:pPr>
            <w:r w:rsidRPr="001E3B31">
              <w:rPr>
                <w:rFonts w:ascii="Arial Narrow" w:hAnsi="Arial Narrow"/>
                <w:kern w:val="0"/>
                <w:sz w:val="17"/>
                <w:szCs w:val="22"/>
              </w:rPr>
              <w:t>5.149</w:t>
            </w:r>
          </w:p>
        </w:tc>
        <w:tc>
          <w:tcPr>
            <w:tcW w:w="2596" w:type="dxa"/>
            <w:vMerge/>
            <w:tcBorders>
              <w:left w:val="double" w:sz="6" w:space="0" w:color="auto"/>
              <w:right w:val="single" w:sz="6" w:space="0" w:color="auto"/>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95" w:type="dxa"/>
            <w:vMerge/>
            <w:tcBorders>
              <w:left w:val="single" w:sz="6" w:space="0" w:color="auto"/>
              <w:right w:val="double" w:sz="6" w:space="0" w:color="auto"/>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1924" w:type="dxa"/>
            <w:vMerge/>
            <w:tcBorders>
              <w:left w:val="double" w:sz="6" w:space="0" w:color="auto"/>
              <w:right w:val="nil"/>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R="001E3B31" w:rsidRPr="001E3B31" w:rsidTr="002A0871">
        <w:trPr>
          <w:trHeight w:val="975"/>
        </w:trPr>
        <w:tc>
          <w:tcPr>
            <w:tcW w:w="6587" w:type="dxa"/>
            <w:tcBorders>
              <w:top w:val="single" w:sz="6" w:space="0" w:color="auto"/>
              <w:left w:val="nil"/>
              <w:bottom w:val="single" w:sz="6" w:space="0" w:color="auto"/>
              <w:right w:val="double" w:sz="6" w:space="0" w:color="auto"/>
            </w:tcBorders>
            <w:noWrap/>
          </w:tcPr>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78-79</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RADIOLOCATION</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Amateur-satellite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suppressAutoHyphens/>
              <w:spacing w:line="144" w:lineRule="auto"/>
              <w:ind w:left="-58"/>
              <w:rPr>
                <w:rFonts w:ascii="Arial Narrow" w:hAnsi="Arial Narrow"/>
                <w:i/>
                <w:kern w:val="0"/>
                <w:sz w:val="17"/>
                <w:szCs w:val="22"/>
              </w:rPr>
            </w:pPr>
          </w:p>
          <w:p w:rsidR="001E3B31" w:rsidRPr="001E3B31" w:rsidRDefault="001E3B31" w:rsidP="001E3B31">
            <w:pPr>
              <w:widowControl/>
              <w:suppressAutoHyphens/>
              <w:spacing w:line="204" w:lineRule="auto"/>
              <w:ind w:left="-58"/>
              <w:rPr>
                <w:rFonts w:ascii="Arial Narrow" w:hAnsi="Arial Narrow"/>
                <w:i/>
                <w:kern w:val="0"/>
                <w:sz w:val="17"/>
                <w:szCs w:val="22"/>
              </w:rPr>
            </w:pPr>
            <w:r w:rsidRPr="001E3B31">
              <w:rPr>
                <w:rFonts w:ascii="Arial Narrow" w:hAnsi="Arial Narrow"/>
                <w:kern w:val="0"/>
                <w:sz w:val="17"/>
                <w:szCs w:val="22"/>
              </w:rPr>
              <w:t>5.149  5.560</w:t>
            </w:r>
          </w:p>
        </w:tc>
        <w:tc>
          <w:tcPr>
            <w:tcW w:w="2596" w:type="dxa"/>
            <w:vMerge/>
            <w:tcBorders>
              <w:left w:val="double" w:sz="6" w:space="0" w:color="auto"/>
              <w:right w:val="single" w:sz="6" w:space="0" w:color="auto"/>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95" w:type="dxa"/>
            <w:vMerge/>
            <w:tcBorders>
              <w:left w:val="single" w:sz="6" w:space="0" w:color="auto"/>
              <w:right w:val="double" w:sz="6" w:space="0" w:color="auto"/>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1924" w:type="dxa"/>
            <w:vMerge/>
            <w:tcBorders>
              <w:left w:val="double" w:sz="6" w:space="0" w:color="auto"/>
              <w:right w:val="nil"/>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R="001E3B31" w:rsidRPr="001E3B31" w:rsidTr="002A0871">
        <w:trPr>
          <w:trHeight w:val="1227"/>
        </w:trPr>
        <w:tc>
          <w:tcPr>
            <w:tcW w:w="6587" w:type="dxa"/>
            <w:tcBorders>
              <w:top w:val="single" w:sz="6" w:space="0" w:color="auto"/>
              <w:left w:val="nil"/>
              <w:bottom w:val="single" w:sz="6" w:space="0" w:color="auto"/>
              <w:right w:val="double" w:sz="6" w:space="0" w:color="auto"/>
            </w:tcBorders>
            <w:noWrap/>
          </w:tcPr>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79-81</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RADIOLOCATION</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Amateur-satellite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suppressAutoHyphens/>
              <w:spacing w:line="192" w:lineRule="auto"/>
              <w:ind w:left="-58"/>
              <w:rPr>
                <w:rFonts w:ascii="Arial Narrow" w:hAnsi="Arial Narrow"/>
                <w:i/>
                <w:kern w:val="0"/>
                <w:sz w:val="17"/>
                <w:szCs w:val="22"/>
              </w:rPr>
            </w:pPr>
          </w:p>
          <w:p w:rsidR="001E3B31" w:rsidRDefault="001E3B31" w:rsidP="00AD5CE8">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p w:rsidR="001E3B31" w:rsidRPr="001E3B31" w:rsidRDefault="001E3B31" w:rsidP="001E3B31">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1E3B31">
              <w:rPr>
                <w:rFonts w:ascii="Arial Narrow" w:hAnsi="Arial Narrow"/>
                <w:kern w:val="0"/>
                <w:sz w:val="17"/>
                <w:szCs w:val="22"/>
              </w:rPr>
              <w:t xml:space="preserve">5.149 </w:t>
            </w:r>
          </w:p>
        </w:tc>
        <w:tc>
          <w:tcPr>
            <w:tcW w:w="2596" w:type="dxa"/>
            <w:vMerge/>
            <w:tcBorders>
              <w:left w:val="double" w:sz="6" w:space="0" w:color="auto"/>
              <w:bottom w:val="single" w:sz="6" w:space="0" w:color="auto"/>
              <w:right w:val="single" w:sz="6" w:space="0" w:color="auto"/>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95" w:type="dxa"/>
            <w:vMerge/>
            <w:tcBorders>
              <w:left w:val="single" w:sz="6" w:space="0" w:color="auto"/>
              <w:bottom w:val="single" w:sz="6" w:space="0" w:color="auto"/>
              <w:right w:val="double" w:sz="6" w:space="0" w:color="auto"/>
            </w:tcBorders>
            <w:noWrap/>
          </w:tcPr>
          <w:p w:rsidR="001E3B31" w:rsidRPr="001E3B31" w:rsidRDefault="001E3B31" w:rsidP="001E3B31">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1924" w:type="dxa"/>
            <w:vMerge/>
            <w:tcBorders>
              <w:left w:val="double" w:sz="6" w:space="0" w:color="auto"/>
              <w:bottom w:val="single" w:sz="6" w:space="0" w:color="auto"/>
              <w:right w:val="nil"/>
            </w:tcBorders>
            <w:noWrap/>
          </w:tcPr>
          <w:p w:rsidR="001E3B31" w:rsidRPr="001E3B31" w:rsidRDefault="001E3B31" w:rsidP="001E3B31">
            <w:pPr>
              <w:widowControl/>
              <w:suppressAutoHyphens/>
              <w:spacing w:line="36" w:lineRule="exact"/>
              <w:rPr>
                <w:rFonts w:ascii="Arial Narrow" w:hAnsi="Arial Narrow"/>
                <w:kern w:val="0"/>
                <w:sz w:val="17"/>
                <w:szCs w:val="22"/>
              </w:rPr>
            </w:pPr>
          </w:p>
        </w:tc>
      </w:tr>
      <w:tr w:rsidR="001E3B31" w:rsidRPr="001E3B31" w:rsidTr="002A0871">
        <w:tc>
          <w:tcPr>
            <w:tcW w:w="6587" w:type="dxa"/>
            <w:tcBorders>
              <w:top w:val="single" w:sz="6" w:space="0" w:color="auto"/>
              <w:left w:val="nil"/>
              <w:bottom w:val="single" w:sz="6" w:space="0" w:color="auto"/>
              <w:right w:val="double" w:sz="6" w:space="0" w:color="000000"/>
            </w:tcBorders>
            <w:noWrap/>
          </w:tcPr>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81-84</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FIXED  5.338A</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FIXED-SATELLITE (Earth-to-space)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MOBILE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MOBILE-SATELLITE (Earth-to-space)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suppressAutoHyphens/>
              <w:spacing w:line="192" w:lineRule="auto"/>
              <w:ind w:left="-58"/>
              <w:rPr>
                <w:rFonts w:ascii="Arial Narrow" w:hAnsi="Arial Narrow"/>
                <w:i/>
                <w:kern w:val="0"/>
                <w:sz w:val="17"/>
                <w:szCs w:val="22"/>
              </w:rPr>
            </w:pPr>
          </w:p>
          <w:p w:rsidR="001E3B31" w:rsidRPr="001E3B31" w:rsidRDefault="001E3B31" w:rsidP="001E3B31">
            <w:pPr>
              <w:widowControl/>
              <w:suppressAutoHyphens/>
              <w:spacing w:line="204" w:lineRule="auto"/>
              <w:ind w:left="-58"/>
              <w:rPr>
                <w:rFonts w:ascii="Arial Narrow" w:hAnsi="Arial Narrow"/>
                <w:kern w:val="0"/>
                <w:sz w:val="17"/>
                <w:szCs w:val="22"/>
              </w:rPr>
            </w:pPr>
            <w:r w:rsidRPr="001E3B31">
              <w:rPr>
                <w:rFonts w:ascii="Arial Narrow" w:hAnsi="Arial Narrow"/>
                <w:kern w:val="0"/>
                <w:sz w:val="17"/>
                <w:szCs w:val="22"/>
              </w:rPr>
              <w:t>5.149  5.561A</w:t>
            </w:r>
          </w:p>
        </w:tc>
        <w:tc>
          <w:tcPr>
            <w:tcW w:w="5191" w:type="dxa"/>
            <w:gridSpan w:val="2"/>
            <w:tcBorders>
              <w:top w:val="single" w:sz="6" w:space="0" w:color="auto"/>
              <w:left w:val="double" w:sz="6" w:space="0" w:color="000000"/>
              <w:bottom w:val="single" w:sz="6" w:space="0" w:color="auto"/>
              <w:right w:val="double" w:sz="6" w:space="0" w:color="000000"/>
            </w:tcBorders>
            <w:shd w:val="clear" w:color="auto" w:fill="auto"/>
            <w:noWrap/>
          </w:tcPr>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81-84</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 xml:space="preserve">FIXED  </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FIXED-SATELLITE (Earth-to-space)  US297</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MOBILE</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MOBILE-SATELLITE (Earth-to-space)</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Space research (space-to-Earth)</w:t>
            </w:r>
          </w:p>
          <w:p w:rsidR="001E3B31" w:rsidRPr="001E3B31" w:rsidRDefault="001E3B31" w:rsidP="001E3B31">
            <w:pPr>
              <w:widowControl/>
              <w:suppressAutoHyphens/>
              <w:spacing w:line="192" w:lineRule="auto"/>
              <w:rPr>
                <w:rFonts w:ascii="Arial Narrow" w:hAnsi="Arial Narrow"/>
                <w:kern w:val="0"/>
                <w:sz w:val="17"/>
                <w:szCs w:val="22"/>
              </w:rPr>
            </w:pPr>
          </w:p>
          <w:p w:rsidR="001E3B31" w:rsidRPr="001E3B31" w:rsidRDefault="001E3B31" w:rsidP="001E3B31">
            <w:pPr>
              <w:widowControl/>
              <w:suppressAutoHyphens/>
              <w:spacing w:line="204" w:lineRule="auto"/>
              <w:rPr>
                <w:rFonts w:ascii="Arial Narrow" w:hAnsi="Arial Narrow"/>
                <w:kern w:val="0"/>
                <w:sz w:val="17"/>
                <w:szCs w:val="22"/>
              </w:rPr>
            </w:pPr>
            <w:r w:rsidRPr="001E3B31">
              <w:rPr>
                <w:rFonts w:ascii="Arial Narrow" w:hAnsi="Arial Narrow"/>
                <w:kern w:val="0"/>
                <w:sz w:val="17"/>
                <w:szCs w:val="22"/>
              </w:rPr>
              <w:t>US161  US342  US389</w:t>
            </w:r>
          </w:p>
        </w:tc>
        <w:tc>
          <w:tcPr>
            <w:tcW w:w="1924" w:type="dxa"/>
            <w:tcBorders>
              <w:top w:val="single" w:sz="6" w:space="0" w:color="auto"/>
              <w:left w:val="double" w:sz="6" w:space="0" w:color="000000"/>
              <w:right w:val="nil"/>
            </w:tcBorders>
            <w:noWrap/>
          </w:tcPr>
          <w:p w:rsidR="001E3B31" w:rsidRPr="001E3B31" w:rsidRDefault="001E3B31" w:rsidP="001E3B31">
            <w:pPr>
              <w:widowControl/>
              <w:suppressAutoHyphens/>
              <w:rPr>
                <w:rFonts w:ascii="Arial Narrow" w:hAnsi="Arial Narrow"/>
                <w:kern w:val="0"/>
                <w:sz w:val="17"/>
                <w:szCs w:val="22"/>
              </w:rPr>
            </w:pP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RF Devices (15)</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Fixed Microwave (101)</w:t>
            </w:r>
          </w:p>
        </w:tc>
      </w:tr>
      <w:tr w:rsidR="001E3B31" w:rsidRPr="001E3B31" w:rsidTr="002A0871">
        <w:trPr>
          <w:trHeight w:val="1020"/>
        </w:trPr>
        <w:tc>
          <w:tcPr>
            <w:tcW w:w="6587" w:type="dxa"/>
            <w:tcBorders>
              <w:top w:val="single" w:sz="6" w:space="0" w:color="auto"/>
              <w:left w:val="nil"/>
              <w:bottom w:val="single" w:sz="4" w:space="0" w:color="auto"/>
              <w:right w:val="double" w:sz="6" w:space="0" w:color="auto"/>
            </w:tcBorders>
            <w:noWrap/>
          </w:tcPr>
          <w:p w:rsidR="001E3B31" w:rsidRPr="001E3B31" w:rsidRDefault="001E3B31" w:rsidP="001E3B31">
            <w:pPr>
              <w:widowControl/>
              <w:suppressAutoHyphens/>
              <w:ind w:left="-58"/>
              <w:rPr>
                <w:rFonts w:ascii="Arial Narrow" w:hAnsi="Arial Narrow"/>
                <w:i/>
                <w:kern w:val="0"/>
                <w:sz w:val="17"/>
                <w:szCs w:val="22"/>
              </w:rPr>
            </w:pPr>
            <w:r w:rsidRPr="001E3B31">
              <w:rPr>
                <w:rFonts w:ascii="Arial Narrow" w:hAnsi="Arial Narrow"/>
                <w:kern w:val="0"/>
                <w:sz w:val="17"/>
                <w:szCs w:val="22"/>
              </w:rPr>
              <w:t>84</w:t>
            </w:r>
            <w:r w:rsidRPr="001E3B31">
              <w:rPr>
                <w:rFonts w:ascii="Arial Narrow" w:hAnsi="Arial Narrow"/>
                <w:i/>
                <w:kern w:val="0"/>
                <w:sz w:val="17"/>
                <w:szCs w:val="22"/>
              </w:rPr>
              <w:t>-</w:t>
            </w:r>
            <w:r w:rsidRPr="001E3B31">
              <w:rPr>
                <w:rFonts w:ascii="Arial Narrow" w:hAnsi="Arial Narrow"/>
                <w:kern w:val="0"/>
                <w:sz w:val="17"/>
                <w:szCs w:val="22"/>
              </w:rPr>
              <w:t>86</w:t>
            </w:r>
          </w:p>
          <w:p w:rsidR="001E3B31" w:rsidRPr="001E3B31" w:rsidRDefault="001E3B31" w:rsidP="001E3B31">
            <w:pPr>
              <w:widowControl/>
              <w:suppressAutoHyphens/>
              <w:ind w:left="-58"/>
              <w:rPr>
                <w:rFonts w:ascii="Arial Narrow" w:hAnsi="Arial Narrow"/>
                <w:i/>
                <w:kern w:val="0"/>
                <w:sz w:val="17"/>
                <w:szCs w:val="22"/>
              </w:rPr>
            </w:pPr>
            <w:r w:rsidRPr="001E3B31">
              <w:rPr>
                <w:rFonts w:ascii="Arial Narrow" w:hAnsi="Arial Narrow"/>
                <w:kern w:val="0"/>
                <w:sz w:val="17"/>
                <w:szCs w:val="22"/>
              </w:rPr>
              <w:t>FIXED</w:t>
            </w:r>
            <w:r w:rsidRPr="001E3B31">
              <w:rPr>
                <w:rFonts w:ascii="Arial Narrow" w:hAnsi="Arial Narrow"/>
                <w:i/>
                <w:kern w:val="0"/>
                <w:sz w:val="17"/>
                <w:szCs w:val="22"/>
              </w:rPr>
              <w:t xml:space="preserve">  </w:t>
            </w:r>
            <w:r w:rsidRPr="001E3B31">
              <w:rPr>
                <w:rFonts w:ascii="Arial Narrow" w:hAnsi="Arial Narrow"/>
                <w:kern w:val="0"/>
                <w:sz w:val="17"/>
                <w:szCs w:val="22"/>
              </w:rPr>
              <w:t>5.338A</w:t>
            </w:r>
          </w:p>
          <w:p w:rsidR="001E3B31" w:rsidRPr="001E3B31" w:rsidRDefault="001E3B31" w:rsidP="001E3B31">
            <w:pPr>
              <w:widowControl/>
              <w:suppressAutoHyphens/>
              <w:ind w:left="-58"/>
              <w:rPr>
                <w:rFonts w:ascii="Arial Narrow" w:hAnsi="Arial Narrow"/>
                <w:i/>
                <w:kern w:val="0"/>
                <w:sz w:val="17"/>
                <w:szCs w:val="22"/>
              </w:rPr>
            </w:pPr>
            <w:r w:rsidRPr="001E3B31">
              <w:rPr>
                <w:rFonts w:ascii="Arial Narrow" w:hAnsi="Arial Narrow"/>
                <w:kern w:val="0"/>
                <w:sz w:val="17"/>
                <w:szCs w:val="22"/>
              </w:rPr>
              <w:t>FIXED</w:t>
            </w:r>
            <w:r w:rsidRPr="001E3B31">
              <w:rPr>
                <w:rFonts w:ascii="Arial Narrow" w:hAnsi="Arial Narrow"/>
                <w:i/>
                <w:kern w:val="0"/>
                <w:sz w:val="17"/>
                <w:szCs w:val="22"/>
              </w:rPr>
              <w:t>-</w:t>
            </w:r>
            <w:r w:rsidRPr="001E3B31">
              <w:rPr>
                <w:rFonts w:ascii="Arial Narrow" w:hAnsi="Arial Narrow"/>
                <w:kern w:val="0"/>
                <w:sz w:val="17"/>
                <w:szCs w:val="22"/>
              </w:rPr>
              <w:t>SATELLITE (Earth-to-space)  5.561B</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MOBILE</w:t>
            </w:r>
          </w:p>
          <w:p w:rsidR="001E3B31" w:rsidRPr="001E3B31" w:rsidRDefault="001E3B31" w:rsidP="001E3B31">
            <w:pPr>
              <w:widowControl/>
              <w:suppressAutoHyphens/>
              <w:ind w:left="-58"/>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spacing w:line="192" w:lineRule="auto"/>
              <w:ind w:left="-58"/>
              <w:rPr>
                <w:rFonts w:ascii="Arial Narrow" w:hAnsi="Arial Narrow"/>
                <w:i/>
                <w:kern w:val="0"/>
                <w:sz w:val="17"/>
                <w:szCs w:val="22"/>
              </w:rPr>
            </w:pPr>
          </w:p>
          <w:p w:rsidR="001E3B31" w:rsidRPr="001E3B31" w:rsidRDefault="001E3B31" w:rsidP="001E3B31">
            <w:pPr>
              <w:widowControl/>
              <w:suppressAutoHyphens/>
              <w:spacing w:line="204" w:lineRule="auto"/>
              <w:ind w:left="-58"/>
              <w:rPr>
                <w:rFonts w:ascii="Arial Narrow" w:hAnsi="Arial Narrow"/>
                <w:i/>
                <w:kern w:val="0"/>
                <w:sz w:val="17"/>
                <w:szCs w:val="22"/>
              </w:rPr>
            </w:pPr>
            <w:r w:rsidRPr="001E3B31">
              <w:rPr>
                <w:rFonts w:ascii="Arial Narrow" w:hAnsi="Arial Narrow"/>
                <w:kern w:val="0"/>
                <w:sz w:val="17"/>
                <w:szCs w:val="22"/>
              </w:rPr>
              <w:t>5.149</w:t>
            </w:r>
          </w:p>
        </w:tc>
        <w:tc>
          <w:tcPr>
            <w:tcW w:w="5191" w:type="dxa"/>
            <w:gridSpan w:val="2"/>
            <w:tcBorders>
              <w:top w:val="single" w:sz="6" w:space="0" w:color="auto"/>
              <w:left w:val="double" w:sz="6" w:space="0" w:color="auto"/>
              <w:bottom w:val="single" w:sz="6" w:space="0" w:color="auto"/>
              <w:right w:val="double" w:sz="6" w:space="0" w:color="000000"/>
            </w:tcBorders>
            <w:shd w:val="clear" w:color="auto" w:fill="auto"/>
            <w:noWrap/>
          </w:tcPr>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84-86</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 xml:space="preserve">FIXED </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FIXED-SATELLITE (Earth-to-space)</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MOBILE</w:t>
            </w:r>
          </w:p>
          <w:p w:rsidR="001E3B31" w:rsidRPr="001E3B31" w:rsidRDefault="001E3B31" w:rsidP="001E3B31">
            <w:pPr>
              <w:widowControl/>
              <w:suppressAutoHyphens/>
              <w:rPr>
                <w:rFonts w:ascii="Arial Narrow" w:hAnsi="Arial Narrow"/>
                <w:kern w:val="0"/>
                <w:sz w:val="17"/>
                <w:szCs w:val="22"/>
              </w:rPr>
            </w:pPr>
            <w:r w:rsidRPr="001E3B31">
              <w:rPr>
                <w:rFonts w:ascii="Arial Narrow" w:hAnsi="Arial Narrow"/>
                <w:kern w:val="0"/>
                <w:sz w:val="17"/>
                <w:szCs w:val="22"/>
              </w:rPr>
              <w:t>RADIO ASTRONOMY</w:t>
            </w:r>
          </w:p>
          <w:p w:rsidR="001E3B31" w:rsidRPr="001E3B31" w:rsidRDefault="001E3B31" w:rsidP="001E3B31">
            <w:pPr>
              <w:widowControl/>
              <w:suppressAutoHyphens/>
              <w:spacing w:line="192" w:lineRule="auto"/>
              <w:rPr>
                <w:rFonts w:ascii="Arial Narrow" w:hAnsi="Arial Narrow"/>
                <w:kern w:val="0"/>
                <w:sz w:val="17"/>
                <w:szCs w:val="22"/>
              </w:rPr>
            </w:pPr>
          </w:p>
          <w:p w:rsidR="001E3B31" w:rsidRPr="001E3B31" w:rsidRDefault="001E3B31" w:rsidP="001E3B31">
            <w:pPr>
              <w:widowControl/>
              <w:suppressAutoHyphens/>
              <w:spacing w:line="204" w:lineRule="auto"/>
              <w:rPr>
                <w:rFonts w:ascii="Arial Narrow" w:hAnsi="Arial Narrow"/>
                <w:kern w:val="0"/>
                <w:sz w:val="17"/>
                <w:szCs w:val="22"/>
              </w:rPr>
            </w:pPr>
            <w:r w:rsidRPr="001E3B31">
              <w:rPr>
                <w:rFonts w:ascii="Arial Narrow" w:hAnsi="Arial Narrow"/>
                <w:kern w:val="0"/>
                <w:sz w:val="17"/>
                <w:szCs w:val="22"/>
              </w:rPr>
              <w:t>US161  US342  US389</w:t>
            </w:r>
          </w:p>
        </w:tc>
        <w:tc>
          <w:tcPr>
            <w:tcW w:w="1924" w:type="dxa"/>
            <w:tcBorders>
              <w:left w:val="double" w:sz="6" w:space="0" w:color="000000"/>
              <w:bottom w:val="single" w:sz="6" w:space="0" w:color="auto"/>
              <w:right w:val="nil"/>
            </w:tcBorders>
            <w:noWrap/>
            <w:vAlign w:val="bottom"/>
          </w:tcPr>
          <w:p w:rsidR="001E3B31" w:rsidRPr="001E3B31" w:rsidRDefault="001E3B31" w:rsidP="001E3B31">
            <w:pPr>
              <w:widowControl/>
              <w:suppressAutoHyphens/>
              <w:spacing w:after="20"/>
              <w:jc w:val="right"/>
              <w:rPr>
                <w:rFonts w:ascii="Arial Narrow" w:hAnsi="Arial Narrow"/>
                <w:kern w:val="0"/>
                <w:sz w:val="17"/>
                <w:szCs w:val="22"/>
              </w:rPr>
            </w:pPr>
            <w:r w:rsidRPr="001E3B31">
              <w:rPr>
                <w:rFonts w:ascii="Arial Narrow" w:hAnsi="Arial Narrow"/>
                <w:kern w:val="0"/>
                <w:sz w:val="17"/>
                <w:szCs w:val="22"/>
              </w:rPr>
              <w:t xml:space="preserve">Page 62 </w:t>
            </w:r>
          </w:p>
        </w:tc>
      </w:tr>
    </w:tbl>
    <w:p w:rsidR="001E3B31" w:rsidRPr="000D0275" w:rsidRDefault="001E3B31" w:rsidP="00C906A5">
      <w:pPr>
        <w:widowControl/>
        <w:rPr>
          <w:snapToGrid/>
          <w:kern w:val="0"/>
          <w:szCs w:val="22"/>
        </w:rPr>
        <w:sectPr w:rsidR="001E3B31" w:rsidRPr="000D0275" w:rsidSect="00356910">
          <w:headerReference w:type="default" r:id="rId18"/>
          <w:pgSz w:w="15840" w:h="12240" w:orient="landscape"/>
          <w:pgMar w:top="714" w:right="1080" w:bottom="720" w:left="1080" w:header="720" w:footer="720" w:gutter="0"/>
          <w:cols w:space="720"/>
          <w:docGrid w:linePitch="360"/>
        </w:sectPr>
      </w:pPr>
    </w:p>
    <w:p w:rsidR="00E462A2" w:rsidRDefault="00C906A5" w:rsidP="00AD5CE8">
      <w:pPr>
        <w:widowControl/>
        <w:spacing w:after="220"/>
        <w:ind w:right="115"/>
        <w:rPr>
          <w:b/>
          <w:snapToGrid/>
          <w:kern w:val="0"/>
          <w:szCs w:val="22"/>
        </w:rPr>
      </w:pPr>
      <w:r w:rsidRPr="000D0275">
        <w:rPr>
          <w:b/>
          <w:snapToGrid/>
          <w:kern w:val="0"/>
          <w:szCs w:val="22"/>
        </w:rPr>
        <w:t>* * * * *</w:t>
      </w:r>
      <w:r w:rsidR="00E462A2" w:rsidRPr="00E462A2">
        <w:rPr>
          <w:b/>
          <w:snapToGrid/>
          <w:kern w:val="0"/>
          <w:szCs w:val="22"/>
        </w:rPr>
        <w:t xml:space="preserve"> </w:t>
      </w:r>
    </w:p>
    <w:p w:rsidR="00E462A2" w:rsidRPr="00A62A55" w:rsidRDefault="00E462A2" w:rsidP="00E462A2">
      <w:pPr>
        <w:widowControl/>
        <w:spacing w:after="120"/>
        <w:jc w:val="center"/>
        <w:rPr>
          <w:rFonts w:ascii="Times New Roman Bold" w:eastAsia="Calibri" w:hAnsi="Times New Roman Bold"/>
          <w:b/>
          <w:bCs/>
          <w:smallCaps/>
          <w:snapToGrid/>
          <w:kern w:val="0"/>
          <w:szCs w:val="22"/>
        </w:rPr>
      </w:pPr>
      <w:r w:rsidRPr="00A62A55">
        <w:rPr>
          <w:rFonts w:ascii="Times New Roman Bold" w:eastAsia="Calibri" w:hAnsi="Times New Roman Bold"/>
          <w:b/>
          <w:bCs/>
          <w:smallCaps/>
          <w:snapToGrid/>
          <w:kern w:val="0"/>
          <w:szCs w:val="22"/>
        </w:rPr>
        <w:t>International Footnotes</w:t>
      </w:r>
    </w:p>
    <w:p w:rsidR="00E462A2" w:rsidRPr="00A62A55" w:rsidRDefault="00E462A2" w:rsidP="00E462A2">
      <w:pPr>
        <w:widowControl/>
        <w:overflowPunct w:val="0"/>
        <w:autoSpaceDE w:val="0"/>
        <w:autoSpaceDN w:val="0"/>
        <w:spacing w:after="120"/>
        <w:textAlignment w:val="baseline"/>
        <w:rPr>
          <w:rFonts w:eastAsia="Calibri"/>
          <w:snapToGrid/>
          <w:kern w:val="0"/>
          <w:szCs w:val="22"/>
          <w:lang w:val="en-GB"/>
        </w:rPr>
      </w:pPr>
      <w:r w:rsidRPr="00A62A55">
        <w:rPr>
          <w:rFonts w:eastAsia="Calibri"/>
          <w:snapToGrid/>
          <w:kern w:val="0"/>
          <w:szCs w:val="22"/>
          <w:lang w:val="en-GB"/>
        </w:rPr>
        <w:t>   * * * * *</w:t>
      </w:r>
    </w:p>
    <w:p w:rsidR="00E462A2" w:rsidRPr="00A62A55" w:rsidRDefault="00E462A2" w:rsidP="00E462A2">
      <w:pPr>
        <w:widowControl/>
        <w:overflowPunct w:val="0"/>
        <w:autoSpaceDE w:val="0"/>
        <w:autoSpaceDN w:val="0"/>
        <w:spacing w:after="120"/>
        <w:textAlignment w:val="baseline"/>
        <w:rPr>
          <w:rFonts w:eastAsia="Calibri"/>
          <w:snapToGrid/>
          <w:kern w:val="0"/>
          <w:sz w:val="16"/>
          <w:szCs w:val="16"/>
          <w:lang w:val="en-GB"/>
        </w:rPr>
      </w:pPr>
      <w:r w:rsidRPr="00A62A55">
        <w:rPr>
          <w:rFonts w:eastAsia="Calibri"/>
          <w:snapToGrid/>
          <w:kern w:val="0"/>
          <w:szCs w:val="22"/>
          <w:lang w:val="en-GB"/>
        </w:rPr>
        <w:t>   5.559B  The use of the frequency band 77.5-78 GHz by the radiolocation service shall be limited to short-range radar for ground-based applications, including automotive radars.  The technical characteristics of these radars are provided in the most recent version of Recommendation ITU</w:t>
      </w:r>
      <w:r w:rsidRPr="00A62A55">
        <w:rPr>
          <w:rFonts w:eastAsia="Calibri"/>
          <w:snapToGrid/>
          <w:kern w:val="0"/>
          <w:szCs w:val="22"/>
          <w:lang w:val="en-GB"/>
        </w:rPr>
        <w:noBreakHyphen/>
        <w:t>R M.2057.  The provisions of No. 4.10 do not apply.</w:t>
      </w:r>
      <w:r w:rsidRPr="0081108E">
        <w:rPr>
          <w:rFonts w:eastAsia="Calibri"/>
          <w:snapToGrid/>
          <w:kern w:val="0"/>
          <w:szCs w:val="22"/>
          <w:lang w:val="en-GB"/>
        </w:rPr>
        <w:t>  (WRC</w:t>
      </w:r>
      <w:r w:rsidRPr="0081108E">
        <w:rPr>
          <w:rFonts w:eastAsia="Calibri"/>
          <w:snapToGrid/>
          <w:kern w:val="0"/>
          <w:szCs w:val="22"/>
          <w:lang w:val="en-GB"/>
        </w:rPr>
        <w:noBreakHyphen/>
        <w:t>15)</w:t>
      </w:r>
    </w:p>
    <w:p w:rsidR="00E462A2" w:rsidRPr="00A62A55" w:rsidRDefault="00E462A2" w:rsidP="00E462A2">
      <w:pPr>
        <w:widowControl/>
        <w:overflowPunct w:val="0"/>
        <w:autoSpaceDE w:val="0"/>
        <w:autoSpaceDN w:val="0"/>
        <w:spacing w:after="120"/>
        <w:textAlignment w:val="baseline"/>
        <w:rPr>
          <w:rFonts w:eastAsia="Calibri"/>
          <w:snapToGrid/>
          <w:kern w:val="0"/>
          <w:szCs w:val="22"/>
          <w:lang w:val="en-GB"/>
        </w:rPr>
      </w:pPr>
      <w:r w:rsidRPr="00A62A55">
        <w:rPr>
          <w:rFonts w:eastAsia="Calibri"/>
          <w:snapToGrid/>
          <w:kern w:val="0"/>
          <w:szCs w:val="22"/>
          <w:lang w:val="en-GB"/>
        </w:rPr>
        <w:t>   * * * * *</w:t>
      </w:r>
    </w:p>
    <w:p w:rsidR="00C906A5" w:rsidRPr="000D0275" w:rsidRDefault="00F734C7" w:rsidP="00C906A5">
      <w:pPr>
        <w:numPr>
          <w:ilvl w:val="0"/>
          <w:numId w:val="9"/>
        </w:numPr>
        <w:tabs>
          <w:tab w:val="left" w:pos="360"/>
          <w:tab w:val="right" w:pos="720"/>
        </w:tabs>
        <w:spacing w:after="220"/>
        <w:ind w:left="0" w:firstLine="0"/>
        <w:jc w:val="both"/>
        <w:rPr>
          <w:szCs w:val="22"/>
        </w:rPr>
      </w:pPr>
      <w:r>
        <w:rPr>
          <w:szCs w:val="22"/>
        </w:rPr>
        <w:t xml:space="preserve">Amend </w:t>
      </w:r>
      <w:r w:rsidR="00C906A5" w:rsidRPr="000D0275">
        <w:rPr>
          <w:szCs w:val="22"/>
        </w:rPr>
        <w:t xml:space="preserve">Section </w:t>
      </w:r>
      <w:r w:rsidR="00C906A5" w:rsidRPr="000D0275">
        <w:t>2.1091 by revising paragraph</w:t>
      </w:r>
      <w:r w:rsidR="00C906A5">
        <w:t>s</w:t>
      </w:r>
      <w:r w:rsidR="00C906A5" w:rsidRPr="000D0275">
        <w:t xml:space="preserve"> (c)(1)</w:t>
      </w:r>
      <w:r>
        <w:t xml:space="preserve"> introductory text</w:t>
      </w:r>
      <w:r w:rsidR="00C906A5" w:rsidRPr="000D0275">
        <w:t xml:space="preserve"> and (c)(2) to read as follow</w:t>
      </w:r>
      <w:r w:rsidR="004C7B3B">
        <w:t>s</w:t>
      </w:r>
      <w:r w:rsidR="00C906A5" w:rsidRPr="000D0275">
        <w:t xml:space="preserve">: </w:t>
      </w:r>
    </w:p>
    <w:p w:rsidR="00C906A5" w:rsidRPr="00487E4A" w:rsidRDefault="00C906A5" w:rsidP="00C906A5">
      <w:pPr>
        <w:spacing w:after="220"/>
        <w:rPr>
          <w:smallCaps/>
          <w:szCs w:val="22"/>
        </w:rPr>
      </w:pPr>
      <w:r w:rsidRPr="00487E4A">
        <w:rPr>
          <w:b/>
          <w:u w:val="single"/>
        </w:rPr>
        <w:t>§ 2.1091</w:t>
      </w:r>
      <w:r w:rsidRPr="00487E4A">
        <w:rPr>
          <w:b/>
          <w:color w:val="000000"/>
          <w:u w:val="single"/>
        </w:rPr>
        <w:t>  </w:t>
      </w:r>
      <w:r w:rsidRPr="00487E4A">
        <w:rPr>
          <w:b/>
          <w:u w:val="single"/>
        </w:rPr>
        <w:t> Radiofrequency radiation exposure evaluation: mobile devices</w:t>
      </w:r>
      <w:r w:rsidRPr="00487E4A">
        <w:rPr>
          <w:b/>
        </w:rPr>
        <w:t>.</w:t>
      </w:r>
    </w:p>
    <w:p w:rsidR="00C906A5" w:rsidRPr="00487E4A" w:rsidRDefault="00C906A5" w:rsidP="00C906A5">
      <w:pPr>
        <w:rPr>
          <w:szCs w:val="22"/>
        </w:rPr>
      </w:pPr>
      <w:r w:rsidRPr="00487E4A">
        <w:rPr>
          <w:szCs w:val="22"/>
        </w:rPr>
        <w:t>* * * * *</w:t>
      </w:r>
    </w:p>
    <w:p w:rsidR="00C906A5" w:rsidRPr="00487E4A" w:rsidRDefault="00C906A5" w:rsidP="00C906A5">
      <w:pPr>
        <w:spacing w:after="220"/>
        <w:rPr>
          <w:smallCaps/>
        </w:rPr>
      </w:pPr>
      <w:r w:rsidRPr="00487E4A">
        <w:t xml:space="preserve">(c)(1) Mobile 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w:t>
      </w:r>
      <w:r w:rsidR="00996ED5">
        <w:t xml:space="preserve">the Upper Microwave Flexible Use Service pursuant to part 30 of this chapter; </w:t>
      </w:r>
      <w:r w:rsidRPr="00487E4A">
        <w:t xml:space="preserve">the Maritime Services (ship earth station devices only) pursuant to part 80 of this chapter; the Specialized Mobile Radio Service, </w:t>
      </w:r>
      <w:r w:rsidR="003D2020">
        <w:t xml:space="preserve">and </w:t>
      </w:r>
      <w:r w:rsidRPr="00487E4A">
        <w:t>the 3650 MHz Wireless Broadband Service pursuant to part 90 of this chapter; the 76-81 GHz Band Radar Service pursuant to part 95 of this chapter</w:t>
      </w:r>
      <w:r w:rsidR="003D2020">
        <w:t>; and the Citizens Broadband Radio Service pursuant to part 96 of this chapter</w:t>
      </w:r>
      <w:r w:rsidRPr="00487E4A">
        <w:t xml:space="preserve"> are subject to routine environmental evaluation for RF exposure prior to equipment authorization or use if: </w:t>
      </w:r>
    </w:p>
    <w:p w:rsidR="00C906A5" w:rsidRPr="00487E4A" w:rsidRDefault="00C906A5" w:rsidP="00C906A5">
      <w:pPr>
        <w:spacing w:after="220"/>
      </w:pPr>
      <w:r w:rsidRPr="00487E4A">
        <w:t>(i) * * *</w:t>
      </w:r>
    </w:p>
    <w:p w:rsidR="00C906A5" w:rsidRPr="00487E4A" w:rsidRDefault="00C906A5" w:rsidP="00C906A5">
      <w:pPr>
        <w:spacing w:after="220"/>
      </w:pPr>
      <w:r w:rsidRPr="00487E4A">
        <w:t>(ii) * * *</w:t>
      </w:r>
    </w:p>
    <w:p w:rsidR="00C906A5" w:rsidRPr="00487E4A" w:rsidRDefault="00C906A5" w:rsidP="00C906A5">
      <w:pPr>
        <w:spacing w:after="220"/>
        <w:rPr>
          <w:smallCaps/>
          <w:szCs w:val="22"/>
        </w:rPr>
      </w:pPr>
      <w:r w:rsidRPr="00487E4A">
        <w:t>(2) Unlicensed personal communications service devices, unlicensed millimeter</w:t>
      </w:r>
      <w:r w:rsidR="00067F06">
        <w:t>-</w:t>
      </w:r>
      <w:r w:rsidRPr="00487E4A">
        <w:t>wave devices</w:t>
      </w:r>
      <w:r>
        <w:t>,</w:t>
      </w:r>
      <w:r w:rsidRPr="00487E4A">
        <w:t xml:space="preserve"> and unlicensed NII devices authorized under §§ 15.255(g), 15.257(g), 15.319(i), and 15.407(f) of this chapter are also subject to routine environmental evaluation for RF exposure prior to equipment authorization or use if their ERP is 3 watts or more or if they meet the definition of a portable device as specified in §2.1093(b) requiring evaluation under the provisions of that section.</w:t>
      </w:r>
    </w:p>
    <w:p w:rsidR="00C906A5" w:rsidRPr="000D0275" w:rsidRDefault="00F734C7" w:rsidP="00C906A5">
      <w:pPr>
        <w:numPr>
          <w:ilvl w:val="0"/>
          <w:numId w:val="9"/>
        </w:numPr>
        <w:tabs>
          <w:tab w:val="left" w:pos="360"/>
          <w:tab w:val="right" w:pos="720"/>
        </w:tabs>
        <w:spacing w:after="220"/>
        <w:ind w:left="0" w:firstLine="0"/>
        <w:jc w:val="both"/>
        <w:rPr>
          <w:szCs w:val="22"/>
        </w:rPr>
      </w:pPr>
      <w:r>
        <w:t xml:space="preserve">Amend </w:t>
      </w:r>
      <w:r w:rsidR="00C906A5" w:rsidRPr="000D0275">
        <w:t>Section 2.1093 by revising paragraph (c)(1) to read as follows</w:t>
      </w:r>
      <w:r w:rsidR="00C906A5" w:rsidRPr="000D0275">
        <w:rPr>
          <w:szCs w:val="22"/>
        </w:rPr>
        <w:t>:</w:t>
      </w:r>
    </w:p>
    <w:p w:rsidR="00C906A5" w:rsidRPr="000D0275" w:rsidRDefault="00C906A5" w:rsidP="00C906A5">
      <w:pPr>
        <w:spacing w:after="220"/>
        <w:rPr>
          <w:smallCaps/>
          <w:szCs w:val="22"/>
        </w:rPr>
      </w:pPr>
      <w:r w:rsidRPr="000D0275">
        <w:rPr>
          <w:b/>
          <w:u w:val="single"/>
        </w:rPr>
        <w:t>§ 2.1093</w:t>
      </w:r>
      <w:r w:rsidRPr="000D0275">
        <w:rPr>
          <w:b/>
          <w:color w:val="000000"/>
          <w:u w:val="single"/>
        </w:rPr>
        <w:t>  </w:t>
      </w:r>
      <w:r w:rsidRPr="000D0275">
        <w:rPr>
          <w:b/>
          <w:u w:val="single"/>
        </w:rPr>
        <w:t> Radiofrequency radiation exposure evaluation: portable devices</w:t>
      </w:r>
      <w:r w:rsidRPr="000D0275">
        <w:rPr>
          <w:b/>
        </w:rPr>
        <w:t>.</w:t>
      </w:r>
    </w:p>
    <w:p w:rsidR="00C906A5" w:rsidRPr="000D0275" w:rsidRDefault="00C906A5" w:rsidP="00C906A5">
      <w:pPr>
        <w:rPr>
          <w:szCs w:val="22"/>
        </w:rPr>
      </w:pPr>
      <w:r w:rsidRPr="000D0275">
        <w:rPr>
          <w:szCs w:val="22"/>
        </w:rPr>
        <w:t>* * * * *</w:t>
      </w:r>
    </w:p>
    <w:p w:rsidR="00C906A5" w:rsidRPr="000D0275" w:rsidRDefault="00C906A5" w:rsidP="00287301">
      <w:pPr>
        <w:widowControl/>
        <w:spacing w:after="220"/>
        <w:rPr>
          <w:smallCaps/>
          <w:szCs w:val="22"/>
        </w:rPr>
      </w:pPr>
      <w:r w:rsidRPr="000D0275">
        <w:t xml:space="preserve">(c)(1) Portable devices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w:t>
      </w:r>
      <w:r w:rsidR="00996ED5">
        <w:t xml:space="preserve">the Upper Microwave Flexible Use Service pursuant to part 30 of this chapter; </w:t>
      </w:r>
      <w:r w:rsidRPr="000D0275">
        <w:t>the Maritime Services (ship earth station devices only) pursuant to part 80 of this chapter; the Specialized Mobile Radio Service, the 4.9 GHz Band Service, and the 3650 MHz Wireless Broadband Service pursuant to part 90 of this chapter; the Wireless Medical Telemetry Service (WMTS), the Medical Device Radiocommunication Service (MedRadio), and the 76-81 GHz Band Radar Service pursuant to subparts H, I, and M of part 95 of this chapter, respectively</w:t>
      </w:r>
      <w:r w:rsidR="000C6302">
        <w:t>;</w:t>
      </w:r>
      <w:r w:rsidRPr="000D0275">
        <w:t xml:space="preserve"> unlicensed personal communication service, unlice</w:t>
      </w:r>
      <w:r w:rsidR="00067F06">
        <w:t>nsed NII devices and millimeter-</w:t>
      </w:r>
      <w:r w:rsidRPr="000D0275">
        <w:t>wave devices authorized under §§ 15.255(g), 15.257(g), 15.319(i), and 15.407(f) of this chapter</w:t>
      </w:r>
      <w:r w:rsidR="000C6302">
        <w:t>; and the Citizens Broadband Radio Service pursuant to part 96 of this chapter</w:t>
      </w:r>
      <w:r w:rsidRPr="000D0275">
        <w:t xml:space="preserve"> are subject to routine environmental evaluation for RF exposure prior to equipment authorization or use.</w:t>
      </w:r>
    </w:p>
    <w:p w:rsidR="00C906A5" w:rsidRPr="000D0275" w:rsidRDefault="00C906A5" w:rsidP="00C906A5">
      <w:pPr>
        <w:rPr>
          <w:szCs w:val="22"/>
        </w:rPr>
      </w:pPr>
      <w:r w:rsidRPr="000D0275">
        <w:rPr>
          <w:szCs w:val="22"/>
        </w:rPr>
        <w:t>* * * * *</w:t>
      </w:r>
    </w:p>
    <w:p w:rsidR="00C906A5" w:rsidRPr="00487E4A" w:rsidRDefault="00C906A5" w:rsidP="00C906A5">
      <w:pPr>
        <w:spacing w:after="220"/>
        <w:jc w:val="center"/>
        <w:rPr>
          <w:b/>
          <w:caps/>
          <w:szCs w:val="22"/>
        </w:rPr>
      </w:pPr>
      <w:r w:rsidRPr="00487E4A">
        <w:rPr>
          <w:b/>
          <w:caps/>
          <w:szCs w:val="22"/>
        </w:rPr>
        <w:t>Part 15 – RADIO FREQUENCY DEVICES</w:t>
      </w:r>
    </w:p>
    <w:p w:rsidR="00C906A5" w:rsidRPr="00487E4A" w:rsidRDefault="00C906A5" w:rsidP="00C906A5">
      <w:pPr>
        <w:numPr>
          <w:ilvl w:val="0"/>
          <w:numId w:val="9"/>
        </w:numPr>
        <w:tabs>
          <w:tab w:val="left" w:pos="360"/>
          <w:tab w:val="right" w:pos="720"/>
        </w:tabs>
        <w:spacing w:after="220"/>
        <w:ind w:left="0" w:firstLine="0"/>
        <w:jc w:val="both"/>
        <w:rPr>
          <w:szCs w:val="22"/>
        </w:rPr>
      </w:pPr>
      <w:r w:rsidRPr="00487E4A">
        <w:rPr>
          <w:szCs w:val="22"/>
        </w:rPr>
        <w:t>The authority citation for Part 15 continues to read as follows:</w:t>
      </w:r>
    </w:p>
    <w:p w:rsidR="00C906A5" w:rsidRPr="00487E4A" w:rsidRDefault="00C906A5" w:rsidP="00C906A5">
      <w:pPr>
        <w:spacing w:after="220"/>
        <w:ind w:firstLine="360"/>
        <w:rPr>
          <w:szCs w:val="22"/>
        </w:rPr>
      </w:pPr>
      <w:r w:rsidRPr="00EE26B5">
        <w:rPr>
          <w:b/>
          <w:bCs/>
          <w:smallCaps/>
          <w:snapToGrid/>
          <w:kern w:val="0"/>
          <w:szCs w:val="22"/>
          <w:shd w:val="clear" w:color="auto" w:fill="FFFFFF"/>
        </w:rPr>
        <w:t>A</w:t>
      </w:r>
      <w:r w:rsidRPr="00EE26B5">
        <w:rPr>
          <w:rFonts w:ascii="Times New Roman Bold" w:hAnsi="Times New Roman Bold"/>
          <w:b/>
          <w:bCs/>
          <w:snapToGrid/>
          <w:kern w:val="0"/>
          <w:szCs w:val="22"/>
          <w:shd w:val="clear" w:color="auto" w:fill="FFFFFF"/>
        </w:rPr>
        <w:t>uthority</w:t>
      </w:r>
      <w:r w:rsidRPr="00EE26B5">
        <w:rPr>
          <w:b/>
          <w:bCs/>
          <w:smallCaps/>
          <w:snapToGrid/>
          <w:kern w:val="0"/>
          <w:szCs w:val="22"/>
          <w:shd w:val="clear" w:color="auto" w:fill="FFFFFF"/>
        </w:rPr>
        <w:t>:</w:t>
      </w:r>
      <w:r w:rsidRPr="00EE26B5">
        <w:rPr>
          <w:bCs/>
          <w:snapToGrid/>
          <w:kern w:val="0"/>
          <w:szCs w:val="22"/>
          <w:shd w:val="clear" w:color="auto" w:fill="FFFFFF"/>
        </w:rPr>
        <w:t xml:space="preserve"> </w:t>
      </w:r>
      <w:r w:rsidRPr="00EE26B5">
        <w:rPr>
          <w:snapToGrid/>
          <w:kern w:val="0"/>
          <w:szCs w:val="22"/>
        </w:rPr>
        <w:t xml:space="preserve"> </w:t>
      </w:r>
      <w:r w:rsidRPr="00487E4A">
        <w:rPr>
          <w:szCs w:val="22"/>
        </w:rPr>
        <w:t>47 U.S.C. 154, 302a, 303, 304, 307, 336, 544a and 549.</w:t>
      </w:r>
    </w:p>
    <w:p w:rsidR="00C906A5" w:rsidRPr="00487E4A" w:rsidRDefault="0090250D" w:rsidP="00C906A5">
      <w:pPr>
        <w:numPr>
          <w:ilvl w:val="0"/>
          <w:numId w:val="9"/>
        </w:numPr>
        <w:tabs>
          <w:tab w:val="left" w:pos="360"/>
          <w:tab w:val="right" w:pos="720"/>
        </w:tabs>
        <w:spacing w:after="220"/>
        <w:ind w:left="0" w:firstLine="0"/>
        <w:jc w:val="both"/>
        <w:rPr>
          <w:szCs w:val="22"/>
        </w:rPr>
      </w:pPr>
      <w:r>
        <w:rPr>
          <w:szCs w:val="22"/>
        </w:rPr>
        <w:t xml:space="preserve">Amend </w:t>
      </w:r>
      <w:r w:rsidR="00C906A5" w:rsidRPr="00487E4A">
        <w:rPr>
          <w:szCs w:val="22"/>
        </w:rPr>
        <w:t>Section 15.37 by adding paragraphs (l)</w:t>
      </w:r>
      <w:r>
        <w:rPr>
          <w:szCs w:val="22"/>
        </w:rPr>
        <w:t xml:space="preserve"> through</w:t>
      </w:r>
      <w:r w:rsidR="00C91435">
        <w:rPr>
          <w:szCs w:val="22"/>
        </w:rPr>
        <w:t xml:space="preserve"> (p)</w:t>
      </w:r>
      <w:r w:rsidR="00C906A5" w:rsidRPr="00487E4A">
        <w:rPr>
          <w:szCs w:val="22"/>
        </w:rPr>
        <w:t xml:space="preserve"> to read as follows:</w:t>
      </w:r>
    </w:p>
    <w:p w:rsidR="00C906A5" w:rsidRPr="00487E4A" w:rsidRDefault="00C906A5" w:rsidP="00C906A5">
      <w:pPr>
        <w:rPr>
          <w:b/>
          <w:szCs w:val="22"/>
          <w:u w:val="single"/>
        </w:rPr>
      </w:pPr>
      <w:r w:rsidRPr="00487E4A">
        <w:rPr>
          <w:b/>
          <w:szCs w:val="22"/>
          <w:u w:val="single"/>
        </w:rPr>
        <w:t>§ 15.37   Transition provision</w:t>
      </w:r>
      <w:r w:rsidR="00AE5860">
        <w:rPr>
          <w:b/>
          <w:szCs w:val="22"/>
          <w:u w:val="single"/>
        </w:rPr>
        <w:t>s</w:t>
      </w:r>
      <w:r w:rsidRPr="00487E4A">
        <w:rPr>
          <w:b/>
          <w:szCs w:val="22"/>
          <w:u w:val="single"/>
        </w:rPr>
        <w:t xml:space="preserve"> for compliance with the rules</w:t>
      </w:r>
      <w:r w:rsidRPr="00487E4A">
        <w:rPr>
          <w:b/>
          <w:szCs w:val="22"/>
        </w:rPr>
        <w:t>.</w:t>
      </w:r>
    </w:p>
    <w:p w:rsidR="00C906A5" w:rsidRPr="00487E4A" w:rsidRDefault="00C906A5" w:rsidP="00C906A5">
      <w:pPr>
        <w:rPr>
          <w:b/>
          <w:szCs w:val="22"/>
          <w:u w:val="single"/>
        </w:rPr>
      </w:pPr>
    </w:p>
    <w:p w:rsidR="00C906A5" w:rsidRDefault="00C906A5" w:rsidP="00C906A5">
      <w:pPr>
        <w:rPr>
          <w:szCs w:val="22"/>
        </w:rPr>
      </w:pPr>
      <w:r w:rsidRPr="00487E4A">
        <w:rPr>
          <w:szCs w:val="22"/>
        </w:rPr>
        <w:t>* * * * *</w:t>
      </w:r>
    </w:p>
    <w:p w:rsidR="00B63EDE" w:rsidRPr="00487E4A" w:rsidRDefault="00B63EDE" w:rsidP="00C906A5">
      <w:pPr>
        <w:rPr>
          <w:szCs w:val="22"/>
        </w:rPr>
      </w:pPr>
    </w:p>
    <w:p w:rsidR="00C906A5" w:rsidRDefault="00C906A5" w:rsidP="00C906A5">
      <w:pPr>
        <w:rPr>
          <w:szCs w:val="22"/>
        </w:rPr>
      </w:pPr>
      <w:r w:rsidRPr="00487E4A">
        <w:rPr>
          <w:szCs w:val="22"/>
        </w:rPr>
        <w:t xml:space="preserve">(l) </w:t>
      </w:r>
      <w:r w:rsidR="000E15F1">
        <w:rPr>
          <w:szCs w:val="22"/>
        </w:rPr>
        <w:t>The certification of w</w:t>
      </w:r>
      <w:r>
        <w:rPr>
          <w:szCs w:val="22"/>
        </w:rPr>
        <w:t xml:space="preserve">ideband </w:t>
      </w:r>
      <w:r w:rsidRPr="00487E4A">
        <w:rPr>
          <w:szCs w:val="22"/>
        </w:rPr>
        <w:t>vehicular radar</w:t>
      </w:r>
      <w:r>
        <w:rPr>
          <w:szCs w:val="22"/>
        </w:rPr>
        <w:t>s</w:t>
      </w:r>
      <w:r w:rsidRPr="00487E4A">
        <w:rPr>
          <w:szCs w:val="22"/>
        </w:rPr>
        <w:t xml:space="preserve"> </w:t>
      </w:r>
      <w:r>
        <w:rPr>
          <w:szCs w:val="22"/>
        </w:rPr>
        <w:t xml:space="preserve">designed to </w:t>
      </w:r>
      <w:r w:rsidRPr="00487E4A">
        <w:rPr>
          <w:szCs w:val="22"/>
        </w:rPr>
        <w:t xml:space="preserve">operate in the </w:t>
      </w:r>
      <w:r>
        <w:rPr>
          <w:szCs w:val="22"/>
        </w:rPr>
        <w:t xml:space="preserve">23.12-29 GHz </w:t>
      </w:r>
      <w:r w:rsidRPr="00487E4A">
        <w:rPr>
          <w:szCs w:val="22"/>
        </w:rPr>
        <w:t>band</w:t>
      </w:r>
      <w:r>
        <w:rPr>
          <w:szCs w:val="22"/>
        </w:rPr>
        <w:t xml:space="preserve"> under §</w:t>
      </w:r>
      <w:r w:rsidR="005F3F09">
        <w:rPr>
          <w:szCs w:val="22"/>
        </w:rPr>
        <w:t> </w:t>
      </w:r>
      <w:r>
        <w:rPr>
          <w:szCs w:val="22"/>
        </w:rPr>
        <w:t>15.252 and ultra-wideband vehicular radars designed to operat</w:t>
      </w:r>
      <w:r w:rsidR="000E15F1">
        <w:rPr>
          <w:szCs w:val="22"/>
        </w:rPr>
        <w:t>e</w:t>
      </w:r>
      <w:r>
        <w:rPr>
          <w:szCs w:val="22"/>
        </w:rPr>
        <w:t xml:space="preserve"> in the 22-29 GHz band under § 15.515 </w:t>
      </w:r>
      <w:r w:rsidRPr="00487E4A">
        <w:rPr>
          <w:szCs w:val="22"/>
        </w:rPr>
        <w:t xml:space="preserve">shall </w:t>
      </w:r>
      <w:r>
        <w:rPr>
          <w:szCs w:val="22"/>
        </w:rPr>
        <w:t xml:space="preserve">not </w:t>
      </w:r>
      <w:r w:rsidRPr="00D71940">
        <w:rPr>
          <w:szCs w:val="22"/>
        </w:rPr>
        <w:t xml:space="preserve">be </w:t>
      </w:r>
      <w:r w:rsidR="00FC141C" w:rsidRPr="00D71940">
        <w:rPr>
          <w:szCs w:val="22"/>
        </w:rPr>
        <w:t>permitted</w:t>
      </w:r>
      <w:r w:rsidRPr="00D71940">
        <w:rPr>
          <w:szCs w:val="22"/>
        </w:rPr>
        <w:t xml:space="preserve"> on</w:t>
      </w:r>
      <w:r>
        <w:rPr>
          <w:szCs w:val="22"/>
        </w:rPr>
        <w:t xml:space="preserve"> or after</w:t>
      </w:r>
      <w:r w:rsidR="005846A4">
        <w:rPr>
          <w:szCs w:val="22"/>
        </w:rPr>
        <w:t xml:space="preserve"> [INSERT DATE ONE YEAR AFTER DATE OF FEDERAL REGISTER PUBLICATION]</w:t>
      </w:r>
      <w:r>
        <w:rPr>
          <w:szCs w:val="22"/>
        </w:rPr>
        <w:t xml:space="preserve">.  </w:t>
      </w:r>
    </w:p>
    <w:p w:rsidR="00C906A5" w:rsidRDefault="00C906A5" w:rsidP="00C906A5">
      <w:pPr>
        <w:rPr>
          <w:szCs w:val="22"/>
        </w:rPr>
      </w:pPr>
    </w:p>
    <w:p w:rsidR="00F734C7" w:rsidRDefault="00C906A5" w:rsidP="00C906A5">
      <w:pPr>
        <w:rPr>
          <w:bCs/>
          <w:snapToGrid/>
          <w:kern w:val="0"/>
          <w:szCs w:val="22"/>
        </w:rPr>
      </w:pPr>
      <w:r w:rsidRPr="00487E4A">
        <w:rPr>
          <w:szCs w:val="22"/>
        </w:rPr>
        <w:t>(</w:t>
      </w:r>
      <w:r>
        <w:rPr>
          <w:szCs w:val="22"/>
        </w:rPr>
        <w:t>m</w:t>
      </w:r>
      <w:r w:rsidRPr="00487E4A">
        <w:rPr>
          <w:szCs w:val="22"/>
        </w:rPr>
        <w:t xml:space="preserve">) The </w:t>
      </w:r>
      <w:r w:rsidR="00C13146">
        <w:rPr>
          <w:szCs w:val="22"/>
        </w:rPr>
        <w:t xml:space="preserve">manufacture, importation, </w:t>
      </w:r>
      <w:r w:rsidRPr="00487E4A">
        <w:rPr>
          <w:szCs w:val="22"/>
        </w:rPr>
        <w:t>marketing, sale</w:t>
      </w:r>
      <w:r>
        <w:rPr>
          <w:szCs w:val="22"/>
        </w:rPr>
        <w:t xml:space="preserve">, </w:t>
      </w:r>
      <w:r w:rsidR="00C13146">
        <w:rPr>
          <w:szCs w:val="22"/>
        </w:rPr>
        <w:t xml:space="preserve">and installation </w:t>
      </w:r>
      <w:r w:rsidRPr="00487E4A">
        <w:rPr>
          <w:szCs w:val="22"/>
        </w:rPr>
        <w:t xml:space="preserve">of </w:t>
      </w:r>
      <w:r>
        <w:rPr>
          <w:szCs w:val="22"/>
        </w:rPr>
        <w:t>wideband or ultra-wideband vehicular radars</w:t>
      </w:r>
      <w:r w:rsidRPr="00487E4A">
        <w:rPr>
          <w:szCs w:val="22"/>
        </w:rPr>
        <w:t xml:space="preserve"> that </w:t>
      </w:r>
      <w:r>
        <w:rPr>
          <w:szCs w:val="22"/>
        </w:rPr>
        <w:t xml:space="preserve">are designed to </w:t>
      </w:r>
      <w:r w:rsidRPr="00487E4A">
        <w:rPr>
          <w:szCs w:val="22"/>
        </w:rPr>
        <w:t xml:space="preserve">operate in the </w:t>
      </w:r>
      <w:r>
        <w:rPr>
          <w:szCs w:val="22"/>
        </w:rPr>
        <w:t xml:space="preserve">23.12-29 GHz </w:t>
      </w:r>
      <w:r w:rsidRPr="00487E4A">
        <w:rPr>
          <w:szCs w:val="22"/>
        </w:rPr>
        <w:t>band</w:t>
      </w:r>
      <w:r>
        <w:rPr>
          <w:szCs w:val="22"/>
        </w:rPr>
        <w:t xml:space="preserve"> under § 15.252 and</w:t>
      </w:r>
      <w:r w:rsidR="00904554">
        <w:rPr>
          <w:szCs w:val="22"/>
        </w:rPr>
        <w:t>/or</w:t>
      </w:r>
      <w:r>
        <w:rPr>
          <w:szCs w:val="22"/>
        </w:rPr>
        <w:t xml:space="preserve"> in the 22-29 GHz band under §</w:t>
      </w:r>
      <w:r w:rsidR="005846A4">
        <w:rPr>
          <w:szCs w:val="22"/>
        </w:rPr>
        <w:t xml:space="preserve"> </w:t>
      </w:r>
      <w:r>
        <w:rPr>
          <w:szCs w:val="22"/>
        </w:rPr>
        <w:t xml:space="preserve">15.515 </w:t>
      </w:r>
      <w:r w:rsidRPr="00487E4A">
        <w:rPr>
          <w:szCs w:val="22"/>
        </w:rPr>
        <w:t>shall not be permitted after January 1, 2022.</w:t>
      </w:r>
      <w:r w:rsidR="005F3F09" w:rsidRPr="005F3F09">
        <w:rPr>
          <w:szCs w:val="22"/>
        </w:rPr>
        <w:t xml:space="preserve"> </w:t>
      </w:r>
      <w:r w:rsidR="005F3F09">
        <w:rPr>
          <w:szCs w:val="22"/>
        </w:rPr>
        <w:t xml:space="preserve"> </w:t>
      </w:r>
      <w:r w:rsidR="005F3F09">
        <w:rPr>
          <w:bCs/>
          <w:snapToGrid/>
          <w:kern w:val="0"/>
          <w:szCs w:val="22"/>
        </w:rPr>
        <w:t>Notwithstanding the f</w:t>
      </w:r>
      <w:r w:rsidR="005F3F09" w:rsidRPr="0079551E">
        <w:rPr>
          <w:bCs/>
          <w:snapToGrid/>
          <w:kern w:val="0"/>
          <w:szCs w:val="22"/>
        </w:rPr>
        <w:t xml:space="preserve">oregoing, </w:t>
      </w:r>
      <w:r w:rsidR="00CD1B2B">
        <w:rPr>
          <w:bCs/>
          <w:snapToGrid/>
          <w:kern w:val="0"/>
          <w:szCs w:val="22"/>
        </w:rPr>
        <w:t xml:space="preserve">sale and </w:t>
      </w:r>
      <w:r w:rsidR="00E403E3">
        <w:rPr>
          <w:bCs/>
          <w:snapToGrid/>
          <w:kern w:val="0"/>
          <w:szCs w:val="22"/>
        </w:rPr>
        <w:t xml:space="preserve">installation of such radars is permitted, for the life of the vehicle, when the following conditions have been met: </w:t>
      </w:r>
    </w:p>
    <w:p w:rsidR="00F734C7" w:rsidRDefault="00F734C7" w:rsidP="00C906A5">
      <w:pPr>
        <w:rPr>
          <w:bCs/>
          <w:snapToGrid/>
          <w:kern w:val="0"/>
          <w:szCs w:val="22"/>
        </w:rPr>
      </w:pPr>
    </w:p>
    <w:p w:rsidR="00F734C7" w:rsidRDefault="00E403E3" w:rsidP="00C906A5">
      <w:pPr>
        <w:rPr>
          <w:szCs w:val="22"/>
        </w:rPr>
      </w:pPr>
      <w:r>
        <w:rPr>
          <w:bCs/>
          <w:snapToGrid/>
          <w:kern w:val="0"/>
          <w:szCs w:val="22"/>
        </w:rPr>
        <w:t xml:space="preserve">(1) </w:t>
      </w:r>
      <w:r w:rsidR="00F734C7">
        <w:rPr>
          <w:bCs/>
          <w:snapToGrid/>
          <w:kern w:val="0"/>
          <w:szCs w:val="22"/>
        </w:rPr>
        <w:t>T</w:t>
      </w:r>
      <w:r>
        <w:rPr>
          <w:bCs/>
          <w:snapToGrid/>
          <w:kern w:val="0"/>
          <w:szCs w:val="22"/>
        </w:rPr>
        <w:t xml:space="preserve">he </w:t>
      </w:r>
      <w:r w:rsidR="00CD1B2B">
        <w:rPr>
          <w:bCs/>
          <w:snapToGrid/>
          <w:kern w:val="0"/>
          <w:szCs w:val="22"/>
        </w:rPr>
        <w:t xml:space="preserve">sale and </w:t>
      </w:r>
      <w:r>
        <w:rPr>
          <w:bCs/>
          <w:snapToGrid/>
          <w:kern w:val="0"/>
          <w:szCs w:val="22"/>
        </w:rPr>
        <w:t xml:space="preserve">installation is </w:t>
      </w:r>
      <w:r w:rsidR="00C719CF">
        <w:t xml:space="preserve">for the exclusive purpose of repairing or replacing defective, damaged, or potentially malfunctioning radars </w:t>
      </w:r>
      <w:r>
        <w:t xml:space="preserve">that are designed to operate in the </w:t>
      </w:r>
      <w:r>
        <w:rPr>
          <w:szCs w:val="22"/>
        </w:rPr>
        <w:t xml:space="preserve">23.12-29 GHz </w:t>
      </w:r>
      <w:r w:rsidRPr="00487E4A">
        <w:rPr>
          <w:szCs w:val="22"/>
        </w:rPr>
        <w:t>band</w:t>
      </w:r>
      <w:r>
        <w:rPr>
          <w:szCs w:val="22"/>
        </w:rPr>
        <w:t xml:space="preserve"> under § 15.252 and/or in the 22-29 GHz band under § 15.515; </w:t>
      </w:r>
    </w:p>
    <w:p w:rsidR="00F734C7" w:rsidRDefault="00F734C7" w:rsidP="00C906A5">
      <w:pPr>
        <w:rPr>
          <w:szCs w:val="22"/>
        </w:rPr>
      </w:pPr>
    </w:p>
    <w:p w:rsidR="00F734C7" w:rsidRDefault="00E403E3" w:rsidP="00C906A5">
      <w:r>
        <w:rPr>
          <w:szCs w:val="22"/>
        </w:rPr>
        <w:t xml:space="preserve">(2) </w:t>
      </w:r>
      <w:r w:rsidR="00F734C7">
        <w:rPr>
          <w:szCs w:val="22"/>
        </w:rPr>
        <w:t>T</w:t>
      </w:r>
      <w:r>
        <w:rPr>
          <w:szCs w:val="22"/>
        </w:rPr>
        <w:t>he equipment being repaired or replaced has been installed in the vehicle</w:t>
      </w:r>
      <w:r>
        <w:t xml:space="preserve"> on or before January 1, 2022; and</w:t>
      </w:r>
    </w:p>
    <w:p w:rsidR="00F734C7" w:rsidRDefault="00E403E3" w:rsidP="00C906A5">
      <w:r>
        <w:t xml:space="preserve"> </w:t>
      </w:r>
    </w:p>
    <w:p w:rsidR="00C719CF" w:rsidRDefault="00E403E3" w:rsidP="00C906A5">
      <w:r>
        <w:t xml:space="preserve">(3) </w:t>
      </w:r>
      <w:r w:rsidR="00F734C7">
        <w:t>I</w:t>
      </w:r>
      <w:r>
        <w:t xml:space="preserve">t is not possible to </w:t>
      </w:r>
      <w:r w:rsidRPr="00393C72">
        <w:t xml:space="preserve">replace the </w:t>
      </w:r>
      <w:r>
        <w:t xml:space="preserve">vehicular radar equipment </w:t>
      </w:r>
      <w:r>
        <w:rPr>
          <w:szCs w:val="22"/>
        </w:rPr>
        <w:t xml:space="preserve">designed to </w:t>
      </w:r>
      <w:r w:rsidRPr="00487E4A">
        <w:rPr>
          <w:szCs w:val="22"/>
        </w:rPr>
        <w:t xml:space="preserve">operate in the </w:t>
      </w:r>
      <w:r>
        <w:rPr>
          <w:szCs w:val="22"/>
        </w:rPr>
        <w:t>23.12-29 GHz and/or 22-29 GHz bands</w:t>
      </w:r>
      <w:r w:rsidRPr="00393C72">
        <w:t xml:space="preserve"> with </w:t>
      </w:r>
      <w:r>
        <w:t xml:space="preserve">vehicular </w:t>
      </w:r>
      <w:r w:rsidRPr="00393C72">
        <w:t xml:space="preserve">radar equipment </w:t>
      </w:r>
      <w:r>
        <w:t xml:space="preserve">designed to </w:t>
      </w:r>
      <w:r w:rsidRPr="00393C72">
        <w:t>operat</w:t>
      </w:r>
      <w:r>
        <w:t>e</w:t>
      </w:r>
      <w:r w:rsidRPr="00393C72">
        <w:t xml:space="preserve"> in the 76-81 GHz band</w:t>
      </w:r>
      <w:r>
        <w:t>.</w:t>
      </w:r>
    </w:p>
    <w:p w:rsidR="00904554" w:rsidRDefault="00904554" w:rsidP="00C906A5"/>
    <w:p w:rsidR="00904554" w:rsidRDefault="00904554" w:rsidP="00C906A5">
      <w:r>
        <w:t>(n) Wideband or ultra-wideband vehicular radars operating in the 23.12-29 GHz band under § 15.252 and/or in the 22-29 GHz band under § 15.515 that are already installed or in use may continue to operate in accordance with their previously obtained certification.  Class II permissive changes for such equipment shall not be permitted after January 1, 2022</w:t>
      </w:r>
      <w:r w:rsidR="00E403E3">
        <w:t>.</w:t>
      </w:r>
    </w:p>
    <w:p w:rsidR="002F7CBA" w:rsidRPr="00487E4A" w:rsidRDefault="002F7CBA" w:rsidP="00C906A5">
      <w:pPr>
        <w:rPr>
          <w:szCs w:val="22"/>
        </w:rPr>
      </w:pPr>
    </w:p>
    <w:p w:rsidR="00C906A5" w:rsidRDefault="00513A97" w:rsidP="00C906A5">
      <w:pPr>
        <w:rPr>
          <w:szCs w:val="22"/>
        </w:rPr>
      </w:pPr>
      <w:r>
        <w:rPr>
          <w:szCs w:val="22"/>
        </w:rPr>
        <w:t>(o</w:t>
      </w:r>
      <w:r w:rsidR="00C906A5">
        <w:rPr>
          <w:szCs w:val="22"/>
        </w:rPr>
        <w:t xml:space="preserve">) </w:t>
      </w:r>
      <w:r w:rsidR="00F734C7">
        <w:rPr>
          <w:szCs w:val="22"/>
        </w:rPr>
        <w:t>Applicable July 13, 2017</w:t>
      </w:r>
      <w:r w:rsidR="009A5E34">
        <w:rPr>
          <w:szCs w:val="22"/>
        </w:rPr>
        <w:t>,</w:t>
      </w:r>
      <w:r w:rsidR="00C906A5">
        <w:rPr>
          <w:szCs w:val="22"/>
        </w:rPr>
        <w:t xml:space="preserve"> the certification, manufacture, </w:t>
      </w:r>
      <w:r w:rsidR="005846A4">
        <w:rPr>
          <w:szCs w:val="22"/>
        </w:rPr>
        <w:t xml:space="preserve">importation, </w:t>
      </w:r>
      <w:r w:rsidR="00C906A5">
        <w:rPr>
          <w:szCs w:val="22"/>
        </w:rPr>
        <w:t xml:space="preserve">marketing, sale, </w:t>
      </w:r>
      <w:r w:rsidR="005846A4">
        <w:rPr>
          <w:szCs w:val="22"/>
        </w:rPr>
        <w:t xml:space="preserve">and </w:t>
      </w:r>
      <w:r w:rsidR="00C906A5">
        <w:rPr>
          <w:szCs w:val="22"/>
        </w:rPr>
        <w:t xml:space="preserve">installation </w:t>
      </w:r>
      <w:r w:rsidR="00C906A5" w:rsidRPr="009A62A2">
        <w:rPr>
          <w:szCs w:val="22"/>
        </w:rPr>
        <w:t xml:space="preserve">of field disturbance sensors </w:t>
      </w:r>
      <w:r w:rsidR="00C906A5">
        <w:rPr>
          <w:szCs w:val="22"/>
        </w:rPr>
        <w:t xml:space="preserve">that are designed to operate in the 16.2-17.7 GHz and 46.7-46.9 GHz bands </w:t>
      </w:r>
      <w:r w:rsidR="00E828AC">
        <w:rPr>
          <w:szCs w:val="22"/>
        </w:rPr>
        <w:t>shall not be permitted</w:t>
      </w:r>
      <w:r w:rsidR="00C906A5">
        <w:rPr>
          <w:szCs w:val="22"/>
        </w:rPr>
        <w:t xml:space="preserve">.  Field disturbance sensors already installed </w:t>
      </w:r>
      <w:r w:rsidR="000E15F1">
        <w:rPr>
          <w:szCs w:val="22"/>
        </w:rPr>
        <w:t xml:space="preserve">or </w:t>
      </w:r>
      <w:r w:rsidR="00C906A5">
        <w:rPr>
          <w:szCs w:val="22"/>
        </w:rPr>
        <w:t>in use in the 16.2-17.7 GHz band may continue to operate in accordance with their previou</w:t>
      </w:r>
      <w:r w:rsidR="00E828AC">
        <w:rPr>
          <w:szCs w:val="22"/>
        </w:rPr>
        <w:t xml:space="preserve">sly obtained certification.  </w:t>
      </w:r>
      <w:r w:rsidR="00C906A5">
        <w:rPr>
          <w:szCs w:val="22"/>
        </w:rPr>
        <w:t xml:space="preserve">Class II permissive changes </w:t>
      </w:r>
      <w:r w:rsidR="00E828AC">
        <w:rPr>
          <w:szCs w:val="22"/>
        </w:rPr>
        <w:t xml:space="preserve">shall not be permitted </w:t>
      </w:r>
      <w:r w:rsidR="00C906A5">
        <w:rPr>
          <w:szCs w:val="22"/>
        </w:rPr>
        <w:t>for such equipment.</w:t>
      </w:r>
    </w:p>
    <w:p w:rsidR="00C906A5" w:rsidRDefault="00C906A5" w:rsidP="00C906A5">
      <w:pPr>
        <w:rPr>
          <w:szCs w:val="22"/>
        </w:rPr>
      </w:pPr>
    </w:p>
    <w:p w:rsidR="00C906A5" w:rsidRDefault="00513A97" w:rsidP="00C906A5">
      <w:pPr>
        <w:rPr>
          <w:szCs w:val="22"/>
        </w:rPr>
      </w:pPr>
      <w:r>
        <w:rPr>
          <w:szCs w:val="22"/>
        </w:rPr>
        <w:t>(p</w:t>
      </w:r>
      <w:r w:rsidR="00C906A5">
        <w:rPr>
          <w:szCs w:val="22"/>
        </w:rPr>
        <w:t xml:space="preserve">) Effective [INSERT DATE 30 DAYS AFTER DATE OF FEDERAL REGISTER PUBLICATION], </w:t>
      </w:r>
      <w:r w:rsidR="000E15F1">
        <w:rPr>
          <w:szCs w:val="22"/>
        </w:rPr>
        <w:t xml:space="preserve">the certification under </w:t>
      </w:r>
      <w:r w:rsidR="006209D1">
        <w:rPr>
          <w:szCs w:val="22"/>
        </w:rPr>
        <w:t>this p</w:t>
      </w:r>
      <w:r w:rsidR="000E15F1">
        <w:rPr>
          <w:szCs w:val="22"/>
        </w:rPr>
        <w:t xml:space="preserve">art of </w:t>
      </w:r>
      <w:r w:rsidR="00C906A5">
        <w:rPr>
          <w:szCs w:val="22"/>
        </w:rPr>
        <w:t xml:space="preserve">vehicular radars and fixed radar systems used in airport air operations areas </w:t>
      </w:r>
      <w:r w:rsidR="00FC141C" w:rsidRPr="00D71940">
        <w:rPr>
          <w:szCs w:val="22"/>
        </w:rPr>
        <w:t>that are designed to operate</w:t>
      </w:r>
      <w:r w:rsidR="00C906A5" w:rsidRPr="00D71940">
        <w:rPr>
          <w:szCs w:val="22"/>
        </w:rPr>
        <w:t xml:space="preserve"> in</w:t>
      </w:r>
      <w:r w:rsidR="00C906A5">
        <w:rPr>
          <w:szCs w:val="22"/>
        </w:rPr>
        <w:t xml:space="preserve"> the 76-77 GHz band shall not be permitted.  Vehicular radars and fixed radar systems used in airport air operations areas operating in the 76-77 GHz band that are already installed </w:t>
      </w:r>
      <w:r w:rsidR="000E15F1">
        <w:rPr>
          <w:szCs w:val="22"/>
        </w:rPr>
        <w:t xml:space="preserve">or </w:t>
      </w:r>
      <w:r w:rsidR="00C906A5">
        <w:rPr>
          <w:szCs w:val="22"/>
        </w:rPr>
        <w:t xml:space="preserve">in use may continue to operate in accordance with their previously obtained certification.  Any future certification, </w:t>
      </w:r>
      <w:r w:rsidR="001B436D">
        <w:rPr>
          <w:szCs w:val="22"/>
        </w:rPr>
        <w:t>or any</w:t>
      </w:r>
      <w:r w:rsidR="00C906A5">
        <w:rPr>
          <w:szCs w:val="22"/>
        </w:rPr>
        <w:t xml:space="preserve"> change of </w:t>
      </w:r>
      <w:r w:rsidR="001B436D">
        <w:rPr>
          <w:szCs w:val="22"/>
        </w:rPr>
        <w:t>already issued</w:t>
      </w:r>
      <w:r w:rsidR="00C906A5">
        <w:rPr>
          <w:szCs w:val="22"/>
        </w:rPr>
        <w:t xml:space="preserve"> </w:t>
      </w:r>
      <w:r w:rsidR="00C906A5" w:rsidRPr="00D71940">
        <w:rPr>
          <w:szCs w:val="22"/>
        </w:rPr>
        <w:t>certification</w:t>
      </w:r>
      <w:r w:rsidR="001B436D">
        <w:rPr>
          <w:szCs w:val="22"/>
        </w:rPr>
        <w:t xml:space="preserve"> </w:t>
      </w:r>
      <w:r w:rsidR="00C906A5">
        <w:rPr>
          <w:szCs w:val="22"/>
        </w:rPr>
        <w:t>and operations of such equipment</w:t>
      </w:r>
      <w:r w:rsidR="001B436D">
        <w:rPr>
          <w:szCs w:val="22"/>
        </w:rPr>
        <w:t>,</w:t>
      </w:r>
      <w:r w:rsidR="00C906A5">
        <w:rPr>
          <w:szCs w:val="22"/>
        </w:rPr>
        <w:t xml:space="preserve"> </w:t>
      </w:r>
      <w:r w:rsidR="000A0B07">
        <w:rPr>
          <w:szCs w:val="22"/>
        </w:rPr>
        <w:t xml:space="preserve">shall </w:t>
      </w:r>
      <w:r w:rsidR="00C906A5">
        <w:rPr>
          <w:szCs w:val="22"/>
        </w:rPr>
        <w:t>be under Part 95, Subpart M</w:t>
      </w:r>
      <w:r w:rsidR="006209D1">
        <w:rPr>
          <w:szCs w:val="22"/>
        </w:rPr>
        <w:t>, of this chapter</w:t>
      </w:r>
      <w:r w:rsidR="00C906A5">
        <w:rPr>
          <w:szCs w:val="22"/>
        </w:rPr>
        <w:t>.</w:t>
      </w:r>
    </w:p>
    <w:p w:rsidR="00C906A5" w:rsidRPr="00487E4A" w:rsidRDefault="00C906A5" w:rsidP="00C906A5">
      <w:pPr>
        <w:rPr>
          <w:szCs w:val="22"/>
        </w:rPr>
      </w:pPr>
    </w:p>
    <w:p w:rsidR="00C906A5" w:rsidRPr="00487E4A" w:rsidRDefault="00C906A5" w:rsidP="00C906A5">
      <w:pPr>
        <w:rPr>
          <w:b/>
          <w:szCs w:val="22"/>
        </w:rPr>
      </w:pPr>
      <w:r w:rsidRPr="00487E4A">
        <w:rPr>
          <w:b/>
          <w:szCs w:val="22"/>
        </w:rPr>
        <w:t>* * * * *</w:t>
      </w:r>
    </w:p>
    <w:p w:rsidR="00C906A5" w:rsidRPr="00487E4A" w:rsidRDefault="00C906A5" w:rsidP="00C906A5">
      <w:pPr>
        <w:rPr>
          <w:b/>
          <w:szCs w:val="22"/>
        </w:rPr>
      </w:pPr>
    </w:p>
    <w:p w:rsidR="00C906A5" w:rsidRPr="00487E4A" w:rsidRDefault="006209D1" w:rsidP="00C906A5">
      <w:pPr>
        <w:numPr>
          <w:ilvl w:val="0"/>
          <w:numId w:val="9"/>
        </w:numPr>
        <w:tabs>
          <w:tab w:val="left" w:pos="360"/>
          <w:tab w:val="right" w:pos="720"/>
        </w:tabs>
        <w:spacing w:after="220"/>
        <w:ind w:left="0" w:firstLine="0"/>
        <w:rPr>
          <w:szCs w:val="22"/>
        </w:rPr>
      </w:pPr>
      <w:r>
        <w:rPr>
          <w:szCs w:val="22"/>
        </w:rPr>
        <w:t xml:space="preserve">Amend </w:t>
      </w:r>
      <w:r w:rsidR="00C906A5" w:rsidRPr="00487E4A">
        <w:rPr>
          <w:szCs w:val="22"/>
        </w:rPr>
        <w:t xml:space="preserve">Section 15.252 by revising the </w:t>
      </w:r>
      <w:r>
        <w:rPr>
          <w:szCs w:val="22"/>
        </w:rPr>
        <w:t xml:space="preserve">section </w:t>
      </w:r>
      <w:r w:rsidR="00C906A5" w:rsidRPr="00487E4A">
        <w:rPr>
          <w:szCs w:val="22"/>
        </w:rPr>
        <w:t>heading</w:t>
      </w:r>
      <w:r>
        <w:rPr>
          <w:szCs w:val="22"/>
        </w:rPr>
        <w:t xml:space="preserve"> and</w:t>
      </w:r>
      <w:r w:rsidR="00C906A5">
        <w:rPr>
          <w:szCs w:val="22"/>
        </w:rPr>
        <w:t xml:space="preserve"> pa</w:t>
      </w:r>
      <w:r w:rsidR="00C906A5" w:rsidRPr="00487E4A">
        <w:rPr>
          <w:szCs w:val="22"/>
        </w:rPr>
        <w:t>ragraphs (a)</w:t>
      </w:r>
      <w:r>
        <w:rPr>
          <w:szCs w:val="22"/>
        </w:rPr>
        <w:t xml:space="preserve"> introductory text and</w:t>
      </w:r>
      <w:r w:rsidR="00C906A5">
        <w:rPr>
          <w:szCs w:val="22"/>
        </w:rPr>
        <w:t xml:space="preserve"> (a)(1), removing paragraph (b)(1), redesignating paragraphs (b)(2) </w:t>
      </w:r>
      <w:r>
        <w:rPr>
          <w:szCs w:val="22"/>
        </w:rPr>
        <w:t>through</w:t>
      </w:r>
      <w:r w:rsidR="00C906A5">
        <w:rPr>
          <w:szCs w:val="22"/>
        </w:rPr>
        <w:t xml:space="preserve"> (6) as </w:t>
      </w:r>
      <w:r>
        <w:rPr>
          <w:szCs w:val="22"/>
        </w:rPr>
        <w:t xml:space="preserve">paragraphs </w:t>
      </w:r>
      <w:r w:rsidR="00C906A5">
        <w:rPr>
          <w:szCs w:val="22"/>
        </w:rPr>
        <w:t xml:space="preserve">(b)(1) </w:t>
      </w:r>
      <w:r>
        <w:rPr>
          <w:szCs w:val="22"/>
        </w:rPr>
        <w:t>through</w:t>
      </w:r>
      <w:r w:rsidR="00C906A5">
        <w:rPr>
          <w:szCs w:val="22"/>
        </w:rPr>
        <w:t xml:space="preserve"> (5), </w:t>
      </w:r>
      <w:r>
        <w:rPr>
          <w:szCs w:val="22"/>
        </w:rPr>
        <w:t xml:space="preserve">revising newly redesignated paragraphs (b)(2) and (3), </w:t>
      </w:r>
      <w:r w:rsidR="00C906A5">
        <w:rPr>
          <w:szCs w:val="22"/>
        </w:rPr>
        <w:t xml:space="preserve">and adding paragraph (d) </w:t>
      </w:r>
      <w:r w:rsidR="00C906A5" w:rsidRPr="00487E4A">
        <w:rPr>
          <w:szCs w:val="22"/>
        </w:rPr>
        <w:t>to read as follows:</w:t>
      </w:r>
    </w:p>
    <w:p w:rsidR="00C906A5" w:rsidRPr="00487E4A" w:rsidRDefault="00C906A5" w:rsidP="00C906A5">
      <w:pPr>
        <w:rPr>
          <w:b/>
          <w:szCs w:val="22"/>
        </w:rPr>
      </w:pPr>
      <w:r w:rsidRPr="00487E4A">
        <w:rPr>
          <w:b/>
          <w:szCs w:val="22"/>
          <w:u w:val="single"/>
        </w:rPr>
        <w:t>§ 15.252   Operation of wideband vehicular radar systems within the band 23.12-29.0 GHz</w:t>
      </w:r>
      <w:r w:rsidRPr="00487E4A">
        <w:rPr>
          <w:b/>
          <w:szCs w:val="22"/>
        </w:rPr>
        <w:t>.</w:t>
      </w:r>
    </w:p>
    <w:p w:rsidR="00C906A5" w:rsidRPr="00487E4A" w:rsidRDefault="00C906A5" w:rsidP="00C906A5">
      <w:pPr>
        <w:rPr>
          <w:b/>
          <w:szCs w:val="22"/>
        </w:rPr>
      </w:pPr>
    </w:p>
    <w:p w:rsidR="00C906A5" w:rsidRPr="00487E4A" w:rsidRDefault="00C906A5" w:rsidP="00C906A5">
      <w:r w:rsidRPr="00487E4A">
        <w:rPr>
          <w:szCs w:val="22"/>
        </w:rPr>
        <w:t xml:space="preserve">(a) </w:t>
      </w:r>
      <w:r w:rsidRPr="00487E4A">
        <w:t xml:space="preserve">Operation under this section is limited to field disturbance sensors that are mounted in terrestrial transportation vehicles. </w:t>
      </w:r>
      <w:r>
        <w:t xml:space="preserve"> </w:t>
      </w:r>
      <w:r w:rsidRPr="00487E4A">
        <w:t xml:space="preserve">Terrestrial use is limited to earth surface-based, non-aviation applications. </w:t>
      </w:r>
    </w:p>
    <w:p w:rsidR="00C906A5" w:rsidRDefault="00C906A5" w:rsidP="00C906A5">
      <w:pPr>
        <w:rPr>
          <w:szCs w:val="22"/>
        </w:rPr>
      </w:pPr>
    </w:p>
    <w:p w:rsidR="00C906A5" w:rsidRPr="00487E4A" w:rsidRDefault="00C906A5" w:rsidP="00C906A5">
      <w:r w:rsidRPr="00487E4A">
        <w:rPr>
          <w:szCs w:val="22"/>
        </w:rPr>
        <w:t xml:space="preserve">(1) </w:t>
      </w:r>
      <w:r>
        <w:t>The -</w:t>
      </w:r>
      <w:r w:rsidRPr="00487E4A">
        <w:t>10 dB bandwidth of the fundamental emission</w:t>
      </w:r>
      <w:r>
        <w:t>s</w:t>
      </w:r>
      <w:r w:rsidRPr="00487E4A">
        <w:t xml:space="preserve"> shall be located within the 23.12-29.0 GHz band, exclusive of the 23.6-24.0 GHz restricted band, as appropriate, under all conditions of operation including the effects from stepped frequency, frequency hopping or other modulation techniques that may be employed as well as the frequency stability of the transmitter over expected variations in temperature and supply voltage.</w:t>
      </w:r>
    </w:p>
    <w:p w:rsidR="00C906A5" w:rsidRPr="00487E4A" w:rsidRDefault="00C906A5" w:rsidP="00C906A5">
      <w:pPr>
        <w:ind w:firstLine="475"/>
        <w:rPr>
          <w:szCs w:val="22"/>
        </w:rPr>
      </w:pPr>
    </w:p>
    <w:p w:rsidR="00C906A5" w:rsidRPr="00487E4A" w:rsidRDefault="00C906A5" w:rsidP="00C906A5">
      <w:pPr>
        <w:spacing w:after="220"/>
        <w:rPr>
          <w:szCs w:val="22"/>
        </w:rPr>
      </w:pPr>
      <w:r w:rsidRPr="00487E4A">
        <w:rPr>
          <w:szCs w:val="22"/>
        </w:rPr>
        <w:t>* * * * *</w:t>
      </w:r>
    </w:p>
    <w:p w:rsidR="00287301" w:rsidRDefault="00C906A5" w:rsidP="006209D1">
      <w:pPr>
        <w:widowControl/>
        <w:spacing w:before="100" w:beforeAutospacing="1" w:after="100" w:afterAutospacing="1"/>
        <w:rPr>
          <w:szCs w:val="22"/>
        </w:rPr>
      </w:pPr>
      <w:r w:rsidRPr="00487E4A">
        <w:rPr>
          <w:szCs w:val="22"/>
        </w:rPr>
        <w:t>(b)</w:t>
      </w:r>
      <w:r w:rsidR="006209D1">
        <w:rPr>
          <w:szCs w:val="22"/>
        </w:rPr>
        <w:t xml:space="preserve"> * * *</w:t>
      </w:r>
      <w:r w:rsidR="006209D1" w:rsidRPr="00487E4A" w:rsidDel="006209D1">
        <w:rPr>
          <w:szCs w:val="22"/>
        </w:rPr>
        <w:t xml:space="preserve"> </w:t>
      </w:r>
    </w:p>
    <w:p w:rsidR="00C906A5" w:rsidRPr="000D0275" w:rsidRDefault="00C906A5" w:rsidP="006209D1">
      <w:pPr>
        <w:widowControl/>
        <w:spacing w:before="100" w:beforeAutospacing="1" w:after="100" w:afterAutospacing="1"/>
        <w:rPr>
          <w:snapToGrid/>
          <w:kern w:val="0"/>
          <w:szCs w:val="22"/>
        </w:rPr>
      </w:pPr>
      <w:r w:rsidRPr="000D0275">
        <w:rPr>
          <w:snapToGrid/>
          <w:kern w:val="0"/>
          <w:szCs w:val="22"/>
        </w:rPr>
        <w:t>(2) In addition to the radiated emission</w:t>
      </w:r>
      <w:r>
        <w:rPr>
          <w:snapToGrid/>
          <w:kern w:val="0"/>
          <w:szCs w:val="22"/>
        </w:rPr>
        <w:t>s</w:t>
      </w:r>
      <w:r w:rsidRPr="000D0275">
        <w:rPr>
          <w:snapToGrid/>
          <w:kern w:val="0"/>
          <w:szCs w:val="22"/>
        </w:rPr>
        <w:t xml:space="preserve"> limits specified in the table in paragraph (b)(1) of this section, transmitters operating under the provisions of this section shall not exceed the following RMS average EIRP limits when measured using a resolution bandwidth of no less than 1 kHz:</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67"/>
        <w:gridCol w:w="3981"/>
      </w:tblGrid>
      <w:tr w:rsidR="00C906A5" w:rsidRPr="000D0275" w:rsidTr="00600AE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906A5" w:rsidRPr="006B7DED" w:rsidRDefault="00C906A5" w:rsidP="00600AEC">
            <w:pPr>
              <w:widowControl/>
              <w:jc w:val="center"/>
              <w:rPr>
                <w:b/>
                <w:bCs/>
                <w:snapToGrid/>
                <w:kern w:val="0"/>
                <w:szCs w:val="22"/>
              </w:rPr>
            </w:pPr>
            <w:r w:rsidRPr="006B7DED">
              <w:rPr>
                <w:b/>
              </w:rPr>
              <w:t xml:space="preserve">Frequency in MHz </w:t>
            </w:r>
          </w:p>
        </w:tc>
        <w:tc>
          <w:tcPr>
            <w:tcW w:w="0" w:type="auto"/>
            <w:tcBorders>
              <w:top w:val="outset" w:sz="6" w:space="0" w:color="auto"/>
              <w:left w:val="outset" w:sz="6" w:space="0" w:color="auto"/>
              <w:bottom w:val="outset" w:sz="6" w:space="0" w:color="auto"/>
              <w:right w:val="outset" w:sz="6" w:space="0" w:color="auto"/>
            </w:tcBorders>
            <w:hideMark/>
          </w:tcPr>
          <w:p w:rsidR="00C906A5" w:rsidRPr="006B7DED" w:rsidRDefault="00C906A5" w:rsidP="00600AEC">
            <w:pPr>
              <w:widowControl/>
              <w:jc w:val="center"/>
              <w:rPr>
                <w:b/>
                <w:bCs/>
                <w:snapToGrid/>
                <w:kern w:val="0"/>
                <w:szCs w:val="22"/>
              </w:rPr>
            </w:pPr>
            <w:r w:rsidRPr="006B7DED">
              <w:rPr>
                <w:b/>
              </w:rPr>
              <w:t xml:space="preserve">EIRP in dBm </w:t>
            </w:r>
          </w:p>
        </w:tc>
      </w:tr>
      <w:tr w:rsidR="00C906A5" w:rsidRPr="000D0275" w:rsidTr="00600AE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906A5" w:rsidRPr="000D0275" w:rsidRDefault="00C906A5" w:rsidP="00600AEC">
            <w:pPr>
              <w:widowControl/>
              <w:rPr>
                <w:snapToGrid/>
                <w:kern w:val="0"/>
                <w:szCs w:val="22"/>
              </w:rPr>
            </w:pPr>
            <w:r w:rsidRPr="00321518">
              <w:t>1164-1240</w:t>
            </w:r>
          </w:p>
        </w:tc>
        <w:tc>
          <w:tcPr>
            <w:tcW w:w="0" w:type="auto"/>
            <w:tcBorders>
              <w:top w:val="outset" w:sz="6" w:space="0" w:color="auto"/>
              <w:left w:val="outset" w:sz="6" w:space="0" w:color="auto"/>
              <w:bottom w:val="outset" w:sz="6" w:space="0" w:color="auto"/>
              <w:right w:val="outset" w:sz="6" w:space="0" w:color="auto"/>
            </w:tcBorders>
            <w:hideMark/>
          </w:tcPr>
          <w:p w:rsidR="00C906A5" w:rsidRPr="000D0275" w:rsidRDefault="00C906A5" w:rsidP="00600AEC">
            <w:pPr>
              <w:widowControl/>
              <w:jc w:val="right"/>
              <w:rPr>
                <w:snapToGrid/>
                <w:kern w:val="0"/>
                <w:szCs w:val="22"/>
              </w:rPr>
            </w:pPr>
            <w:r w:rsidRPr="00321518">
              <w:t xml:space="preserve">−85.3 </w:t>
            </w:r>
          </w:p>
        </w:tc>
      </w:tr>
      <w:tr w:rsidR="00C906A5" w:rsidRPr="000D0275" w:rsidTr="00600AE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906A5" w:rsidRPr="000D0275" w:rsidRDefault="00C906A5" w:rsidP="00600AEC">
            <w:pPr>
              <w:widowControl/>
              <w:rPr>
                <w:snapToGrid/>
                <w:kern w:val="0"/>
                <w:szCs w:val="22"/>
              </w:rPr>
            </w:pPr>
            <w:r w:rsidRPr="00321518">
              <w:t>1559-1610</w:t>
            </w:r>
          </w:p>
        </w:tc>
        <w:tc>
          <w:tcPr>
            <w:tcW w:w="0" w:type="auto"/>
            <w:tcBorders>
              <w:top w:val="outset" w:sz="6" w:space="0" w:color="auto"/>
              <w:left w:val="outset" w:sz="6" w:space="0" w:color="auto"/>
              <w:bottom w:val="outset" w:sz="6" w:space="0" w:color="auto"/>
              <w:right w:val="outset" w:sz="6" w:space="0" w:color="auto"/>
            </w:tcBorders>
            <w:hideMark/>
          </w:tcPr>
          <w:p w:rsidR="00C906A5" w:rsidRPr="000D0275" w:rsidRDefault="00C906A5" w:rsidP="00600AEC">
            <w:pPr>
              <w:widowControl/>
              <w:jc w:val="right"/>
              <w:rPr>
                <w:snapToGrid/>
                <w:kern w:val="0"/>
                <w:szCs w:val="22"/>
              </w:rPr>
            </w:pPr>
            <w:r w:rsidRPr="00321518">
              <w:t>−85.3</w:t>
            </w:r>
          </w:p>
        </w:tc>
      </w:tr>
    </w:tbl>
    <w:p w:rsidR="00C906A5" w:rsidRDefault="00C906A5" w:rsidP="00C906A5">
      <w:pPr>
        <w:rPr>
          <w:snapToGrid/>
          <w:kern w:val="0"/>
          <w:szCs w:val="22"/>
        </w:rPr>
      </w:pPr>
    </w:p>
    <w:p w:rsidR="00C906A5" w:rsidRPr="00487E4A" w:rsidRDefault="00C906A5" w:rsidP="00C906A5">
      <w:pPr>
        <w:rPr>
          <w:snapToGrid/>
          <w:kern w:val="0"/>
          <w:szCs w:val="22"/>
        </w:rPr>
      </w:pPr>
      <w:r w:rsidRPr="00487E4A">
        <w:rPr>
          <w:snapToGrid/>
          <w:kern w:val="0"/>
          <w:szCs w:val="22"/>
        </w:rPr>
        <w:t xml:space="preserve">(3) There is a limit on the peak level of the emissions contained within a 50 MHz bandwidth centered on the frequency at which the highest radiated emission occurs and this 50 MHz bandwidth must be contained within the 24.05-29.0 GHz band. </w:t>
      </w:r>
      <w:r>
        <w:rPr>
          <w:snapToGrid/>
          <w:kern w:val="0"/>
          <w:szCs w:val="22"/>
        </w:rPr>
        <w:t xml:space="preserve"> </w:t>
      </w:r>
      <w:r w:rsidRPr="00487E4A">
        <w:rPr>
          <w:snapToGrid/>
          <w:kern w:val="0"/>
          <w:szCs w:val="22"/>
        </w:rPr>
        <w:t>The peak EIRP limit is 20 log (RBW/50) dBm where RBW is the resolution bandwidth in MHz employed by the measurement instrument. RBW shall not be lower than 1 MHz or greater than 50 MHz</w:t>
      </w:r>
      <w:r>
        <w:rPr>
          <w:snapToGrid/>
          <w:kern w:val="0"/>
          <w:szCs w:val="22"/>
        </w:rPr>
        <w:t>.</w:t>
      </w:r>
      <w:r w:rsidRPr="00487E4A">
        <w:rPr>
          <w:snapToGrid/>
          <w:kern w:val="0"/>
          <w:szCs w:val="22"/>
        </w:rPr>
        <w:t xml:space="preserve"> </w:t>
      </w:r>
      <w:r>
        <w:rPr>
          <w:snapToGrid/>
          <w:kern w:val="0"/>
          <w:szCs w:val="22"/>
        </w:rPr>
        <w:t xml:space="preserve"> </w:t>
      </w:r>
      <w:r w:rsidRPr="00487E4A">
        <w:rPr>
          <w:snapToGrid/>
          <w:kern w:val="0"/>
          <w:szCs w:val="22"/>
        </w:rPr>
        <w:t>Further, RBW</w:t>
      </w:r>
      <w:r>
        <w:rPr>
          <w:snapToGrid/>
          <w:kern w:val="0"/>
          <w:szCs w:val="22"/>
        </w:rPr>
        <w:t xml:space="preserve"> shall not be greater than the </w:t>
      </w:r>
      <w:r>
        <w:rPr>
          <w:snapToGrid/>
          <w:kern w:val="0"/>
          <w:szCs w:val="22"/>
        </w:rPr>
        <w:noBreakHyphen/>
      </w:r>
      <w:r w:rsidRPr="00487E4A">
        <w:rPr>
          <w:snapToGrid/>
          <w:kern w:val="0"/>
          <w:szCs w:val="22"/>
        </w:rPr>
        <w:t>10</w:t>
      </w:r>
      <w:r>
        <w:rPr>
          <w:snapToGrid/>
          <w:kern w:val="0"/>
          <w:szCs w:val="22"/>
        </w:rPr>
        <w:t> </w:t>
      </w:r>
      <w:r w:rsidRPr="00487E4A">
        <w:rPr>
          <w:snapToGrid/>
          <w:kern w:val="0"/>
          <w:szCs w:val="22"/>
        </w:rPr>
        <w:t xml:space="preserve">dB bandwidth of the device under test. </w:t>
      </w:r>
      <w:r w:rsidR="000E15F1">
        <w:rPr>
          <w:snapToGrid/>
          <w:kern w:val="0"/>
          <w:szCs w:val="22"/>
        </w:rPr>
        <w:t xml:space="preserve"> </w:t>
      </w:r>
      <w:r w:rsidRPr="00487E4A">
        <w:rPr>
          <w:snapToGrid/>
          <w:kern w:val="0"/>
          <w:szCs w:val="22"/>
        </w:rPr>
        <w:t>For transmitters that employ frequency hopping, stepped frequency or similar modula</w:t>
      </w:r>
      <w:r>
        <w:rPr>
          <w:snapToGrid/>
          <w:kern w:val="0"/>
          <w:szCs w:val="22"/>
        </w:rPr>
        <w:t>tion types, measurement of the -</w:t>
      </w:r>
      <w:r w:rsidRPr="00487E4A">
        <w:rPr>
          <w:snapToGrid/>
          <w:kern w:val="0"/>
          <w:szCs w:val="22"/>
        </w:rPr>
        <w:t xml:space="preserve">10 dB minimum bandwidth specified in this paragraph shall be made with the frequency hop or step function disabled and with the transmitter operating continuously at a fundamental frequency. </w:t>
      </w:r>
      <w:r>
        <w:rPr>
          <w:snapToGrid/>
          <w:kern w:val="0"/>
          <w:szCs w:val="22"/>
        </w:rPr>
        <w:t xml:space="preserve"> </w:t>
      </w:r>
      <w:r w:rsidRPr="00487E4A">
        <w:rPr>
          <w:snapToGrid/>
          <w:kern w:val="0"/>
          <w:szCs w:val="22"/>
        </w:rPr>
        <w:t xml:space="preserve">The video bandwidth of the measurement instrument shall not be less than RBW. </w:t>
      </w:r>
      <w:r>
        <w:rPr>
          <w:snapToGrid/>
          <w:kern w:val="0"/>
          <w:szCs w:val="22"/>
        </w:rPr>
        <w:t xml:space="preserve"> </w:t>
      </w:r>
      <w:r w:rsidRPr="00487E4A">
        <w:rPr>
          <w:snapToGrid/>
          <w:kern w:val="0"/>
          <w:szCs w:val="22"/>
        </w:rPr>
        <w:t xml:space="preserve">The limit on peak emissions applies to the 50 MHz bandwidth centered on the frequency at which the highest level radiated emission occurs. </w:t>
      </w:r>
      <w:r w:rsidR="000E15F1">
        <w:rPr>
          <w:snapToGrid/>
          <w:kern w:val="0"/>
          <w:szCs w:val="22"/>
        </w:rPr>
        <w:t xml:space="preserve"> </w:t>
      </w:r>
      <w:r w:rsidRPr="00487E4A">
        <w:rPr>
          <w:snapToGrid/>
          <w:kern w:val="0"/>
          <w:szCs w:val="22"/>
        </w:rPr>
        <w:t>If RBW is greater than 3 MHz, the application for certification shall contain a detailed description of the test procedure, the instrumentation employed in the testing, and the calibration of the test setup.</w:t>
      </w:r>
    </w:p>
    <w:p w:rsidR="006209D1" w:rsidRDefault="006209D1" w:rsidP="00C906A5">
      <w:pPr>
        <w:ind w:firstLine="720"/>
        <w:rPr>
          <w:snapToGrid/>
          <w:kern w:val="0"/>
          <w:szCs w:val="22"/>
        </w:rPr>
      </w:pPr>
    </w:p>
    <w:p w:rsidR="00C906A5" w:rsidRPr="00D028ED" w:rsidRDefault="00C906A5" w:rsidP="00C906A5">
      <w:pPr>
        <w:ind w:firstLine="720"/>
        <w:rPr>
          <w:snapToGrid/>
          <w:kern w:val="0"/>
          <w:szCs w:val="22"/>
        </w:rPr>
      </w:pPr>
      <w:r w:rsidRPr="00D028ED">
        <w:rPr>
          <w:snapToGrid/>
          <w:kern w:val="0"/>
          <w:szCs w:val="22"/>
        </w:rPr>
        <w:t>* * *</w:t>
      </w:r>
      <w:r w:rsidR="006209D1">
        <w:rPr>
          <w:snapToGrid/>
          <w:kern w:val="0"/>
          <w:szCs w:val="22"/>
        </w:rPr>
        <w:t xml:space="preserve"> * *</w:t>
      </w:r>
    </w:p>
    <w:p w:rsidR="00C906A5" w:rsidRDefault="00C906A5" w:rsidP="00C906A5">
      <w:pPr>
        <w:rPr>
          <w:snapToGrid/>
          <w:kern w:val="0"/>
          <w:szCs w:val="22"/>
        </w:rPr>
      </w:pPr>
    </w:p>
    <w:p w:rsidR="00C906A5" w:rsidRPr="00D028ED" w:rsidRDefault="00C906A5" w:rsidP="00C906A5">
      <w:pPr>
        <w:ind w:firstLine="720"/>
        <w:rPr>
          <w:snapToGrid/>
          <w:kern w:val="0"/>
          <w:szCs w:val="22"/>
        </w:rPr>
      </w:pPr>
      <w:r w:rsidRPr="00D028ED">
        <w:rPr>
          <w:snapToGrid/>
          <w:kern w:val="0"/>
          <w:szCs w:val="22"/>
        </w:rPr>
        <w:t>(d) Wideband vehicular radar systems operating in the 23.12-29.0 GHz band are subject to the transition provisions of § 15.37(l)</w:t>
      </w:r>
      <w:r w:rsidR="0090250D">
        <w:rPr>
          <w:snapToGrid/>
          <w:kern w:val="0"/>
          <w:szCs w:val="22"/>
        </w:rPr>
        <w:t xml:space="preserve"> through</w:t>
      </w:r>
      <w:r>
        <w:rPr>
          <w:snapToGrid/>
          <w:kern w:val="0"/>
          <w:szCs w:val="22"/>
        </w:rPr>
        <w:t xml:space="preserve"> (n)</w:t>
      </w:r>
      <w:r w:rsidRPr="00D028ED">
        <w:rPr>
          <w:snapToGrid/>
          <w:kern w:val="0"/>
          <w:szCs w:val="22"/>
        </w:rPr>
        <w:t>.</w:t>
      </w:r>
    </w:p>
    <w:p w:rsidR="00C906A5" w:rsidRPr="00D028ED" w:rsidRDefault="00C906A5" w:rsidP="00C906A5">
      <w:pPr>
        <w:rPr>
          <w:snapToGrid/>
          <w:kern w:val="0"/>
          <w:szCs w:val="22"/>
        </w:rPr>
      </w:pPr>
    </w:p>
    <w:p w:rsidR="00C906A5" w:rsidRDefault="00C906A5" w:rsidP="00C906A5">
      <w:pPr>
        <w:numPr>
          <w:ilvl w:val="0"/>
          <w:numId w:val="9"/>
        </w:numPr>
        <w:tabs>
          <w:tab w:val="left" w:pos="360"/>
          <w:tab w:val="right" w:pos="720"/>
        </w:tabs>
        <w:spacing w:after="220"/>
        <w:ind w:left="0" w:firstLine="0"/>
        <w:jc w:val="both"/>
        <w:rPr>
          <w:szCs w:val="22"/>
        </w:rPr>
      </w:pPr>
      <w:r w:rsidRPr="000D0275">
        <w:rPr>
          <w:szCs w:val="22"/>
        </w:rPr>
        <w:tab/>
      </w:r>
      <w:r w:rsidR="006209D1">
        <w:rPr>
          <w:szCs w:val="22"/>
        </w:rPr>
        <w:t xml:space="preserve">Remove and reserve </w:t>
      </w:r>
      <w:r w:rsidRPr="000D0275">
        <w:rPr>
          <w:szCs w:val="22"/>
        </w:rPr>
        <w:t>Section 15.253.</w:t>
      </w:r>
    </w:p>
    <w:p w:rsidR="00C906A5" w:rsidRDefault="00C906A5" w:rsidP="00C906A5">
      <w:pPr>
        <w:tabs>
          <w:tab w:val="left" w:pos="360"/>
          <w:tab w:val="right" w:pos="720"/>
        </w:tabs>
        <w:spacing w:after="220"/>
        <w:jc w:val="both"/>
        <w:rPr>
          <w:szCs w:val="22"/>
        </w:rPr>
      </w:pPr>
      <w:r w:rsidRPr="00C30197">
        <w:rPr>
          <w:szCs w:val="22"/>
        </w:rPr>
        <w:t>§ 15.253   [Removed and Reserved]</w:t>
      </w:r>
    </w:p>
    <w:p w:rsidR="00C906A5" w:rsidRDefault="006209D1" w:rsidP="00C906A5">
      <w:pPr>
        <w:numPr>
          <w:ilvl w:val="0"/>
          <w:numId w:val="9"/>
        </w:numPr>
        <w:tabs>
          <w:tab w:val="left" w:pos="360"/>
          <w:tab w:val="right" w:pos="720"/>
        </w:tabs>
        <w:spacing w:after="220"/>
        <w:ind w:left="0" w:firstLine="0"/>
        <w:jc w:val="both"/>
        <w:rPr>
          <w:szCs w:val="22"/>
        </w:rPr>
      </w:pPr>
      <w:r>
        <w:rPr>
          <w:szCs w:val="22"/>
        </w:rPr>
        <w:t xml:space="preserve">Amend </w:t>
      </w:r>
      <w:r w:rsidR="00C906A5">
        <w:rPr>
          <w:szCs w:val="22"/>
        </w:rPr>
        <w:t>Section 15.515 by adding paragraph (h) to read as follows:</w:t>
      </w:r>
    </w:p>
    <w:p w:rsidR="00C906A5" w:rsidRDefault="00C906A5" w:rsidP="00C906A5">
      <w:pPr>
        <w:tabs>
          <w:tab w:val="left" w:pos="360"/>
          <w:tab w:val="right" w:pos="720"/>
        </w:tabs>
        <w:spacing w:after="220"/>
        <w:jc w:val="both"/>
        <w:rPr>
          <w:szCs w:val="22"/>
        </w:rPr>
      </w:pPr>
      <w:r>
        <w:rPr>
          <w:szCs w:val="22"/>
        </w:rPr>
        <w:t>* * * * *</w:t>
      </w:r>
    </w:p>
    <w:p w:rsidR="00C906A5" w:rsidRPr="00D028ED" w:rsidRDefault="00C906A5" w:rsidP="00C906A5">
      <w:pPr>
        <w:tabs>
          <w:tab w:val="left" w:pos="360"/>
          <w:tab w:val="right" w:pos="720"/>
        </w:tabs>
        <w:spacing w:after="220"/>
        <w:rPr>
          <w:b/>
          <w:caps/>
          <w:szCs w:val="22"/>
        </w:rPr>
      </w:pPr>
      <w:r w:rsidRPr="00D028ED">
        <w:rPr>
          <w:szCs w:val="22"/>
        </w:rPr>
        <w:tab/>
        <w:t xml:space="preserve">(h) </w:t>
      </w:r>
      <w:r w:rsidRPr="00D028ED">
        <w:rPr>
          <w:snapToGrid/>
          <w:kern w:val="0"/>
          <w:szCs w:val="22"/>
        </w:rPr>
        <w:t>UWB vehicular systems operating in the 22-29 GHz band are subject to the transition provisions of § 15.37(l)</w:t>
      </w:r>
      <w:r w:rsidR="0090250D">
        <w:rPr>
          <w:snapToGrid/>
          <w:kern w:val="0"/>
          <w:szCs w:val="22"/>
        </w:rPr>
        <w:t xml:space="preserve"> through</w:t>
      </w:r>
      <w:r w:rsidRPr="00D028ED">
        <w:rPr>
          <w:snapToGrid/>
          <w:kern w:val="0"/>
          <w:szCs w:val="22"/>
        </w:rPr>
        <w:t xml:space="preserve"> (n). </w:t>
      </w:r>
    </w:p>
    <w:p w:rsidR="00C906A5" w:rsidRPr="000D0275" w:rsidRDefault="00317C4B" w:rsidP="00C906A5">
      <w:pPr>
        <w:spacing w:after="220"/>
        <w:ind w:firstLine="475"/>
        <w:jc w:val="center"/>
        <w:rPr>
          <w:b/>
          <w:caps/>
          <w:szCs w:val="22"/>
        </w:rPr>
      </w:pPr>
      <w:r>
        <w:rPr>
          <w:b/>
          <w:caps/>
          <w:szCs w:val="22"/>
        </w:rPr>
        <w:t xml:space="preserve">PART 90 – </w:t>
      </w:r>
      <w:r w:rsidR="00C906A5" w:rsidRPr="000D0275">
        <w:rPr>
          <w:b/>
          <w:caps/>
          <w:szCs w:val="22"/>
        </w:rPr>
        <w:t>Private Land Mobile Radio Services</w:t>
      </w:r>
    </w:p>
    <w:p w:rsidR="00C906A5" w:rsidRPr="000D0275" w:rsidRDefault="00C906A5" w:rsidP="00C906A5">
      <w:pPr>
        <w:numPr>
          <w:ilvl w:val="0"/>
          <w:numId w:val="9"/>
        </w:numPr>
        <w:tabs>
          <w:tab w:val="left" w:pos="360"/>
          <w:tab w:val="right" w:pos="720"/>
        </w:tabs>
        <w:spacing w:after="220"/>
        <w:ind w:left="0" w:firstLine="0"/>
        <w:jc w:val="both"/>
        <w:rPr>
          <w:szCs w:val="22"/>
        </w:rPr>
      </w:pPr>
      <w:r w:rsidRPr="000D0275">
        <w:rPr>
          <w:szCs w:val="22"/>
        </w:rPr>
        <w:t>The authority citation for Part 90 continues to read as follows:</w:t>
      </w:r>
    </w:p>
    <w:p w:rsidR="00C906A5" w:rsidRPr="000D0275" w:rsidRDefault="00C906A5" w:rsidP="00C906A5">
      <w:pPr>
        <w:widowControl/>
        <w:spacing w:before="200" w:after="100" w:afterAutospacing="1"/>
        <w:ind w:firstLine="360"/>
        <w:rPr>
          <w:snapToGrid/>
          <w:kern w:val="0"/>
          <w:szCs w:val="22"/>
        </w:rPr>
      </w:pPr>
      <w:r w:rsidRPr="00EE26B5">
        <w:rPr>
          <w:b/>
          <w:bCs/>
          <w:smallCaps/>
          <w:snapToGrid/>
          <w:kern w:val="0"/>
          <w:szCs w:val="22"/>
          <w:shd w:val="clear" w:color="auto" w:fill="FFFFFF"/>
        </w:rPr>
        <w:t>A</w:t>
      </w:r>
      <w:r w:rsidRPr="00EE26B5">
        <w:rPr>
          <w:rFonts w:ascii="Times New Roman Bold" w:hAnsi="Times New Roman Bold"/>
          <w:b/>
          <w:bCs/>
          <w:snapToGrid/>
          <w:kern w:val="0"/>
          <w:szCs w:val="22"/>
          <w:shd w:val="clear" w:color="auto" w:fill="FFFFFF"/>
        </w:rPr>
        <w:t>uthority</w:t>
      </w:r>
      <w:r w:rsidRPr="00EE26B5">
        <w:rPr>
          <w:b/>
          <w:bCs/>
          <w:smallCaps/>
          <w:snapToGrid/>
          <w:kern w:val="0"/>
          <w:szCs w:val="22"/>
          <w:shd w:val="clear" w:color="auto" w:fill="FFFFFF"/>
        </w:rPr>
        <w:t>:</w:t>
      </w:r>
      <w:r w:rsidRPr="00EE26B5">
        <w:rPr>
          <w:bCs/>
          <w:snapToGrid/>
          <w:kern w:val="0"/>
          <w:szCs w:val="22"/>
          <w:shd w:val="clear" w:color="auto" w:fill="FFFFFF"/>
        </w:rPr>
        <w:t xml:space="preserve"> </w:t>
      </w:r>
      <w:r w:rsidRPr="00EE26B5">
        <w:rPr>
          <w:snapToGrid/>
          <w:kern w:val="0"/>
          <w:szCs w:val="22"/>
        </w:rPr>
        <w:t xml:space="preserve"> </w:t>
      </w:r>
      <w:r w:rsidRPr="000D0275">
        <w:rPr>
          <w:snapToGrid/>
          <w:kern w:val="0"/>
          <w:szCs w:val="22"/>
        </w:rPr>
        <w:t xml:space="preserve">Sections 4(i), 11, 303(g), 303(r), and 332(c)(7) of the Communications Act of 1934, as amended, 47 U.S.C. 154(i), 161, 303(g), 303(r), and 332(c)(7), and Title VI of the Middle Class Tax Relief and Job Creation Act of 2012, Pub. L. 112-96, 126 Stat. 156. </w:t>
      </w:r>
    </w:p>
    <w:p w:rsidR="00C906A5" w:rsidRPr="00B509A0" w:rsidRDefault="0090250D" w:rsidP="00C906A5">
      <w:pPr>
        <w:numPr>
          <w:ilvl w:val="0"/>
          <w:numId w:val="9"/>
        </w:numPr>
        <w:tabs>
          <w:tab w:val="left" w:pos="360"/>
          <w:tab w:val="right" w:pos="720"/>
        </w:tabs>
        <w:spacing w:after="220"/>
        <w:ind w:left="0" w:firstLine="0"/>
        <w:jc w:val="both"/>
        <w:rPr>
          <w:szCs w:val="22"/>
        </w:rPr>
      </w:pPr>
      <w:r>
        <w:rPr>
          <w:szCs w:val="22"/>
        </w:rPr>
        <w:t xml:space="preserve">Amend </w:t>
      </w:r>
      <w:r w:rsidR="00C906A5" w:rsidRPr="000D0275">
        <w:rPr>
          <w:szCs w:val="22"/>
        </w:rPr>
        <w:t xml:space="preserve">Section 90.103 by </w:t>
      </w:r>
      <w:r w:rsidR="00C906A5">
        <w:rPr>
          <w:szCs w:val="22"/>
        </w:rPr>
        <w:t xml:space="preserve">removing </w:t>
      </w:r>
      <w:r w:rsidR="00C906A5" w:rsidRPr="000D0275">
        <w:rPr>
          <w:szCs w:val="22"/>
        </w:rPr>
        <w:t>the entry</w:t>
      </w:r>
      <w:r w:rsidR="00C906A5">
        <w:rPr>
          <w:szCs w:val="22"/>
        </w:rPr>
        <w:t xml:space="preserve"> </w:t>
      </w:r>
      <w:r>
        <w:rPr>
          <w:szCs w:val="22"/>
        </w:rPr>
        <w:t>“78,000-81,000</w:t>
      </w:r>
      <w:r w:rsidR="00287301">
        <w:rPr>
          <w:szCs w:val="22"/>
        </w:rPr>
        <w:t>” in the table in paragraph (b).</w:t>
      </w:r>
    </w:p>
    <w:p w:rsidR="009B4009" w:rsidRPr="0008795C" w:rsidRDefault="00317C4B" w:rsidP="0008795C">
      <w:pPr>
        <w:spacing w:after="220"/>
        <w:jc w:val="center"/>
        <w:rPr>
          <w:b/>
          <w:szCs w:val="22"/>
        </w:rPr>
      </w:pPr>
      <w:r>
        <w:rPr>
          <w:b/>
          <w:szCs w:val="22"/>
        </w:rPr>
        <w:t xml:space="preserve">PART 95 – </w:t>
      </w:r>
      <w:r w:rsidR="00C906A5" w:rsidRPr="000D0275">
        <w:rPr>
          <w:b/>
          <w:szCs w:val="22"/>
        </w:rPr>
        <w:t>PERSONAL RADIO SERVICES</w:t>
      </w:r>
    </w:p>
    <w:p w:rsidR="00C6552D" w:rsidRDefault="00F903E6" w:rsidP="00AD5CE8">
      <w:pPr>
        <w:numPr>
          <w:ilvl w:val="0"/>
          <w:numId w:val="9"/>
        </w:numPr>
        <w:tabs>
          <w:tab w:val="left" w:pos="360"/>
          <w:tab w:val="right" w:pos="720"/>
        </w:tabs>
        <w:spacing w:after="220"/>
        <w:ind w:left="0" w:firstLine="0"/>
        <w:jc w:val="both"/>
      </w:pPr>
      <w:r>
        <w:t>Add</w:t>
      </w:r>
      <w:r w:rsidR="00022BEB">
        <w:t xml:space="preserve"> </w:t>
      </w:r>
      <w:r w:rsidR="00CA3C6E">
        <w:t>S</w:t>
      </w:r>
      <w:r w:rsidR="00022BEB">
        <w:t>ubpart M</w:t>
      </w:r>
      <w:r w:rsidR="00CA3C6E">
        <w:t xml:space="preserve"> to the Table of Conten</w:t>
      </w:r>
      <w:r w:rsidR="00F26124">
        <w:t>t</w:t>
      </w:r>
      <w:r w:rsidR="00CA3C6E">
        <w:t>s of Part 95</w:t>
      </w:r>
      <w:r w:rsidR="00AF1EA6">
        <w:t xml:space="preserve"> </w:t>
      </w:r>
      <w:r w:rsidR="00022BEB">
        <w:t>to read as follows:</w:t>
      </w:r>
    </w:p>
    <w:p w:rsidR="00CA3C6E" w:rsidRPr="00C6552D" w:rsidRDefault="00CA3C6E" w:rsidP="00CA3C6E">
      <w:pPr>
        <w:rPr>
          <w:b/>
          <w:u w:val="single"/>
        </w:rPr>
      </w:pPr>
      <w:r>
        <w:rPr>
          <w:b/>
          <w:u w:val="single"/>
        </w:rPr>
        <w:t xml:space="preserve">Subpart M – </w:t>
      </w:r>
      <w:r w:rsidRPr="00C6552D">
        <w:rPr>
          <w:b/>
          <w:u w:val="single"/>
        </w:rPr>
        <w:t>The 76-81 GHz Band Radar Service</w:t>
      </w:r>
    </w:p>
    <w:p w:rsidR="00CA3C6E" w:rsidRDefault="00CA3C6E" w:rsidP="00CA3C6E">
      <w:pPr>
        <w:pStyle w:val="CFRTOCsubpartdivider"/>
        <w:jc w:val="left"/>
      </w:pPr>
      <w:r w:rsidRPr="00FE6256">
        <w:t>Administrative Rules</w:t>
      </w:r>
    </w:p>
    <w:p w:rsidR="00CA3C6E" w:rsidRPr="00F903E6" w:rsidRDefault="00CA3C6E" w:rsidP="00CA3C6E">
      <w:r>
        <w:t>Sec.</w:t>
      </w:r>
    </w:p>
    <w:p w:rsidR="00CA3C6E" w:rsidRPr="00AD5CE8" w:rsidRDefault="00CA3C6E" w:rsidP="00CA3C6E">
      <w:r w:rsidRPr="00AD5CE8">
        <w:t>95.3301   Scope.</w:t>
      </w:r>
    </w:p>
    <w:p w:rsidR="00CA3C6E" w:rsidRPr="00AD5CE8" w:rsidRDefault="00CA3C6E" w:rsidP="00CA3C6E">
      <w:pPr>
        <w:rPr>
          <w:rFonts w:eastAsia="Calibri"/>
          <w:bCs/>
        </w:rPr>
      </w:pPr>
      <w:r w:rsidRPr="00AD5CE8">
        <w:t>95.</w:t>
      </w:r>
      <w:r w:rsidRPr="00AD5CE8">
        <w:rPr>
          <w:rFonts w:eastAsia="Calibri"/>
          <w:bCs/>
        </w:rPr>
        <w:t>3303   Definitions, The 76-81 GHz Band Radar Service.</w:t>
      </w:r>
    </w:p>
    <w:p w:rsidR="00CA3C6E" w:rsidRPr="0089346A" w:rsidRDefault="00CA3C6E" w:rsidP="00CA3C6E">
      <w:pPr>
        <w:rPr>
          <w:rFonts w:eastAsia="Calibri"/>
          <w:b/>
          <w:bCs/>
          <w:u w:val="single"/>
        </w:rPr>
      </w:pPr>
      <w:r w:rsidRPr="00AD5CE8">
        <w:t>95.</w:t>
      </w:r>
      <w:r w:rsidRPr="00AD5CE8">
        <w:rPr>
          <w:rFonts w:eastAsia="Calibri"/>
          <w:bCs/>
        </w:rPr>
        <w:t xml:space="preserve">3305   Radar </w:t>
      </w:r>
      <w:r>
        <w:rPr>
          <w:rFonts w:eastAsia="Calibri"/>
          <w:bCs/>
        </w:rPr>
        <w:t>o</w:t>
      </w:r>
      <w:r w:rsidRPr="00AD5CE8">
        <w:rPr>
          <w:rFonts w:eastAsia="Calibri"/>
          <w:bCs/>
        </w:rPr>
        <w:t xml:space="preserve">perator </w:t>
      </w:r>
      <w:r>
        <w:rPr>
          <w:rFonts w:eastAsia="Calibri"/>
          <w:bCs/>
        </w:rPr>
        <w:t>e</w:t>
      </w:r>
      <w:r w:rsidRPr="00AD5CE8">
        <w:rPr>
          <w:rFonts w:eastAsia="Calibri"/>
          <w:bCs/>
        </w:rPr>
        <w:t>ligibility in the 76-81 GHz Band</w:t>
      </w:r>
      <w:r w:rsidRPr="0089346A">
        <w:rPr>
          <w:rFonts w:eastAsia="Calibri"/>
          <w:b/>
          <w:bCs/>
        </w:rPr>
        <w:t>.</w:t>
      </w:r>
    </w:p>
    <w:p w:rsidR="00CA3C6E" w:rsidRDefault="00CA3C6E" w:rsidP="00CA3C6E">
      <w:pPr>
        <w:pStyle w:val="CFRTOCsubpartdivider"/>
        <w:jc w:val="left"/>
      </w:pPr>
      <w:r w:rsidRPr="00FE6256">
        <w:t>Operating Rules</w:t>
      </w:r>
    </w:p>
    <w:p w:rsidR="00CA3C6E" w:rsidRPr="00AD5CE8" w:rsidRDefault="00CA3C6E" w:rsidP="00CA3C6E">
      <w:r w:rsidRPr="00AD5CE8">
        <w:t>95.3331   Permissible 76-81 GHz Band Radar Service uses.</w:t>
      </w:r>
    </w:p>
    <w:p w:rsidR="00CA3C6E" w:rsidRPr="00AD5CE8" w:rsidRDefault="00CA3C6E" w:rsidP="00CA3C6E">
      <w:r w:rsidRPr="00AD5CE8">
        <w:t>95.3333   Airborne use of 76-81 GHz Band Radar Service is prohibited.</w:t>
      </w:r>
    </w:p>
    <w:p w:rsidR="00CA3C6E" w:rsidRPr="00F903E6" w:rsidRDefault="00CA3C6E" w:rsidP="00CA3C6E">
      <w:r w:rsidRPr="00AD5CE8">
        <w:t>95.3347   76-81 GHz Band Radar Service automatic control.</w:t>
      </w:r>
    </w:p>
    <w:p w:rsidR="00CA3C6E" w:rsidRDefault="00CA3C6E" w:rsidP="00CA3C6E">
      <w:pPr>
        <w:pStyle w:val="CFRTOCsubpartdivider"/>
        <w:jc w:val="left"/>
      </w:pPr>
      <w:r w:rsidRPr="00FE6256">
        <w:t>Technical Rules</w:t>
      </w:r>
    </w:p>
    <w:p w:rsidR="00CA3C6E" w:rsidRPr="00AD5CE8" w:rsidRDefault="00CA3C6E" w:rsidP="00CA3C6E">
      <w:r w:rsidRPr="00AD5CE8">
        <w:t>95.3361   Certification.</w:t>
      </w:r>
    </w:p>
    <w:p w:rsidR="00CA3C6E" w:rsidRPr="00AD5CE8" w:rsidRDefault="00CA3C6E" w:rsidP="00CA3C6E">
      <w:pPr>
        <w:rPr>
          <w:rFonts w:eastAsia="Calibri"/>
          <w:bCs/>
        </w:rPr>
      </w:pPr>
      <w:r w:rsidRPr="00AD5CE8">
        <w:rPr>
          <w:rFonts w:eastAsia="Calibri"/>
          <w:bCs/>
        </w:rPr>
        <w:t>95.3367   76-81 GHz Band Radar Service radiated power limits.</w:t>
      </w:r>
    </w:p>
    <w:p w:rsidR="00CA3C6E" w:rsidRPr="00F903E6" w:rsidRDefault="00CA3C6E" w:rsidP="00CA3C6E">
      <w:pPr>
        <w:rPr>
          <w:rFonts w:eastAsia="Calibri"/>
        </w:rPr>
      </w:pPr>
      <w:r w:rsidRPr="00AD5CE8">
        <w:rPr>
          <w:rFonts w:eastAsia="Calibri"/>
          <w:bCs/>
        </w:rPr>
        <w:t>95.3379   76-81 GHz Band Radar Service unwanted emissions limits.</w:t>
      </w:r>
    </w:p>
    <w:p w:rsidR="00CA3C6E" w:rsidRDefault="00CA3C6E" w:rsidP="00CA3C6E">
      <w:r w:rsidRPr="00AD5CE8">
        <w:t>95.3385   76-81 GHz Band Radar Service RF exposure evaluation.</w:t>
      </w:r>
    </w:p>
    <w:p w:rsidR="00CA3C6E" w:rsidRPr="00AD5CE8" w:rsidRDefault="00CA3C6E" w:rsidP="00CA3C6E"/>
    <w:p w:rsidR="0008795C" w:rsidRDefault="0008795C" w:rsidP="0008795C">
      <w:pPr>
        <w:numPr>
          <w:ilvl w:val="0"/>
          <w:numId w:val="9"/>
        </w:numPr>
        <w:tabs>
          <w:tab w:val="left" w:pos="360"/>
          <w:tab w:val="right" w:pos="720"/>
        </w:tabs>
        <w:spacing w:after="220"/>
        <w:ind w:left="0" w:firstLine="0"/>
        <w:jc w:val="both"/>
      </w:pPr>
      <w:r>
        <w:t>The authority citation for Part 95 continues to read as follows:</w:t>
      </w:r>
    </w:p>
    <w:p w:rsidR="0008795C" w:rsidRDefault="0008795C" w:rsidP="0008795C">
      <w:pPr>
        <w:tabs>
          <w:tab w:val="left" w:pos="360"/>
          <w:tab w:val="right" w:pos="720"/>
        </w:tabs>
        <w:spacing w:after="220"/>
        <w:jc w:val="both"/>
      </w:pPr>
      <w:r>
        <w:rPr>
          <w:b/>
        </w:rPr>
        <w:tab/>
      </w:r>
      <w:r w:rsidRPr="0008795C">
        <w:rPr>
          <w:b/>
        </w:rPr>
        <w:t>Authority:</w:t>
      </w:r>
      <w:r>
        <w:t xml:space="preserve">  47 U.S.C. 154, 301, 302(a), 303, and 307(e).  </w:t>
      </w:r>
    </w:p>
    <w:p w:rsidR="00C277D6" w:rsidRDefault="00C277D6" w:rsidP="00AD5CE8">
      <w:pPr>
        <w:numPr>
          <w:ilvl w:val="0"/>
          <w:numId w:val="9"/>
        </w:numPr>
        <w:tabs>
          <w:tab w:val="left" w:pos="360"/>
          <w:tab w:val="right" w:pos="720"/>
        </w:tabs>
        <w:spacing w:after="220"/>
        <w:ind w:left="0" w:firstLine="0"/>
        <w:jc w:val="both"/>
      </w:pPr>
      <w:r>
        <w:t>Revise Section 95.347 to read as follows:</w:t>
      </w:r>
    </w:p>
    <w:p w:rsidR="00C277D6" w:rsidRDefault="00C277D6" w:rsidP="00C277D6">
      <w:pPr>
        <w:tabs>
          <w:tab w:val="left" w:pos="360"/>
          <w:tab w:val="right" w:pos="720"/>
        </w:tabs>
        <w:spacing w:after="220"/>
        <w:jc w:val="both"/>
      </w:pPr>
      <w:r w:rsidRPr="00D763FF">
        <w:rPr>
          <w:b/>
          <w:u w:val="single"/>
        </w:rPr>
        <w:t>§ 95.347 Automatic control</w:t>
      </w:r>
      <w:r w:rsidR="00D763FF" w:rsidRPr="00D763FF">
        <w:rPr>
          <w:b/>
        </w:rPr>
        <w:t>.</w:t>
      </w:r>
    </w:p>
    <w:p w:rsidR="00C277D6" w:rsidRDefault="00C277D6" w:rsidP="00C277D6">
      <w:pPr>
        <w:tabs>
          <w:tab w:val="left" w:pos="360"/>
          <w:tab w:val="right" w:pos="720"/>
        </w:tabs>
        <w:spacing w:after="220"/>
        <w:jc w:val="both"/>
      </w:pPr>
      <w:r>
        <w:t>Operation of Personal Radio Services stations under automatic control is prohibited, unless otherwise allowed for a particular Personal Radio Service by rules in the subpart governing that specific service. See, e.g., §§ 95.1747, 95.2347, 95.2547, 95.3347.</w:t>
      </w:r>
    </w:p>
    <w:p w:rsidR="00CA3C6E" w:rsidRPr="00F903E6" w:rsidRDefault="00C277D6" w:rsidP="00AD5CE8">
      <w:pPr>
        <w:numPr>
          <w:ilvl w:val="0"/>
          <w:numId w:val="9"/>
        </w:numPr>
        <w:tabs>
          <w:tab w:val="left" w:pos="360"/>
          <w:tab w:val="right" w:pos="720"/>
        </w:tabs>
        <w:spacing w:after="220"/>
        <w:ind w:left="0" w:firstLine="0"/>
        <w:jc w:val="both"/>
      </w:pPr>
      <w:r>
        <w:t>Add S</w:t>
      </w:r>
      <w:r w:rsidR="00CA3C6E">
        <w:t>ubpart M</w:t>
      </w:r>
      <w:r w:rsidR="00AF1EA6">
        <w:t xml:space="preserve">, consisting of Sections 95.3301 through 95.3385, </w:t>
      </w:r>
      <w:r w:rsidR="00CA3C6E">
        <w:t>to read as follows:</w:t>
      </w:r>
    </w:p>
    <w:p w:rsidR="00E63658" w:rsidRDefault="003E1D02" w:rsidP="00E63658">
      <w:pPr>
        <w:rPr>
          <w:b/>
          <w:szCs w:val="22"/>
        </w:rPr>
      </w:pPr>
      <w:r>
        <w:rPr>
          <w:b/>
          <w:szCs w:val="22"/>
        </w:rPr>
        <w:t xml:space="preserve">Subpart M – </w:t>
      </w:r>
      <w:r w:rsidR="00C906A5" w:rsidRPr="000D0275">
        <w:rPr>
          <w:b/>
          <w:szCs w:val="22"/>
        </w:rPr>
        <w:t>The 76-81 GHz Band Radar Service</w:t>
      </w:r>
    </w:p>
    <w:p w:rsidR="00E63658" w:rsidRDefault="00E63658" w:rsidP="00E63658"/>
    <w:p w:rsidR="00C906A5" w:rsidRPr="000D0275" w:rsidRDefault="00E63658" w:rsidP="00E63658">
      <w:pPr>
        <w:pStyle w:val="CFRTOCsubpartdivider"/>
        <w:spacing w:before="0" w:after="0"/>
        <w:jc w:val="left"/>
        <w:rPr>
          <w:b/>
          <w:szCs w:val="22"/>
        </w:rPr>
      </w:pPr>
      <w:r w:rsidRPr="00FE6256">
        <w:t>Administrative Rules</w:t>
      </w:r>
    </w:p>
    <w:p w:rsidR="00C906A5" w:rsidRPr="00487E4A" w:rsidRDefault="00C906A5" w:rsidP="00C906A5">
      <w:pPr>
        <w:rPr>
          <w:b/>
          <w:szCs w:val="22"/>
          <w:u w:val="single"/>
        </w:rPr>
      </w:pPr>
    </w:p>
    <w:p w:rsidR="00C906A5" w:rsidRPr="00487E4A" w:rsidRDefault="00C906A5" w:rsidP="00C906A5">
      <w:pPr>
        <w:rPr>
          <w:b/>
          <w:szCs w:val="22"/>
        </w:rPr>
      </w:pPr>
      <w:r w:rsidRPr="00487E4A">
        <w:rPr>
          <w:b/>
          <w:szCs w:val="22"/>
          <w:u w:val="single"/>
        </w:rPr>
        <w:t>§ 95.3301   Scope</w:t>
      </w:r>
      <w:r w:rsidRPr="00487E4A">
        <w:rPr>
          <w:b/>
          <w:szCs w:val="22"/>
        </w:rPr>
        <w:t>.</w:t>
      </w:r>
    </w:p>
    <w:p w:rsidR="00C906A5" w:rsidRPr="00487E4A" w:rsidRDefault="00C906A5" w:rsidP="00C906A5">
      <w:pPr>
        <w:rPr>
          <w:b/>
          <w:szCs w:val="22"/>
        </w:rPr>
      </w:pPr>
    </w:p>
    <w:p w:rsidR="00C906A5" w:rsidRPr="00487E4A" w:rsidRDefault="00C906A5" w:rsidP="00C906A5">
      <w:pPr>
        <w:spacing w:after="220"/>
      </w:pPr>
      <w:r w:rsidRPr="00487E4A">
        <w:t xml:space="preserve">This subpart sets out the regulations </w:t>
      </w:r>
      <w:r>
        <w:t xml:space="preserve">that apply to </w:t>
      </w:r>
      <w:r w:rsidRPr="00487E4A">
        <w:t xml:space="preserve">radar systems </w:t>
      </w:r>
      <w:r>
        <w:t>operati</w:t>
      </w:r>
      <w:r w:rsidRPr="00487E4A">
        <w:t>n</w:t>
      </w:r>
      <w:r>
        <w:t>g in</w:t>
      </w:r>
      <w:r w:rsidRPr="00487E4A">
        <w:t xml:space="preserve"> the 76-81 GHz band.  This subpart does not apply to Level Probing Radars that operate under </w:t>
      </w:r>
      <w:r>
        <w:t xml:space="preserve">part </w:t>
      </w:r>
      <w:r w:rsidRPr="00487E4A">
        <w:t>15</w:t>
      </w:r>
      <w:r>
        <w:t xml:space="preserve"> </w:t>
      </w:r>
      <w:r w:rsidRPr="00487E4A">
        <w:t xml:space="preserve">of this </w:t>
      </w:r>
      <w:r w:rsidR="00F903E6">
        <w:t>t</w:t>
      </w:r>
      <w:r w:rsidRPr="00487E4A">
        <w:t>itle.</w:t>
      </w:r>
    </w:p>
    <w:p w:rsidR="00C906A5" w:rsidRDefault="00C906A5" w:rsidP="00C906A5">
      <w:pPr>
        <w:rPr>
          <w:rFonts w:eastAsia="Calibri"/>
          <w:b/>
          <w:bCs/>
          <w:snapToGrid/>
          <w:kern w:val="0"/>
          <w:szCs w:val="22"/>
        </w:rPr>
      </w:pPr>
      <w:r w:rsidRPr="00487E4A">
        <w:rPr>
          <w:b/>
          <w:szCs w:val="22"/>
          <w:u w:val="single"/>
        </w:rPr>
        <w:t>§ 95.</w:t>
      </w:r>
      <w:r w:rsidRPr="00750DA3">
        <w:rPr>
          <w:rFonts w:eastAsia="Calibri"/>
          <w:b/>
          <w:bCs/>
          <w:snapToGrid/>
          <w:kern w:val="0"/>
          <w:szCs w:val="22"/>
          <w:u w:val="single"/>
        </w:rPr>
        <w:t xml:space="preserve">3303 </w:t>
      </w:r>
      <w:r w:rsidR="00C6552D">
        <w:rPr>
          <w:rFonts w:eastAsia="Calibri"/>
          <w:b/>
          <w:bCs/>
          <w:snapToGrid/>
          <w:kern w:val="0"/>
          <w:szCs w:val="22"/>
          <w:u w:val="single"/>
        </w:rPr>
        <w:t xml:space="preserve">  </w:t>
      </w:r>
      <w:r>
        <w:rPr>
          <w:rFonts w:eastAsia="Calibri"/>
          <w:b/>
          <w:bCs/>
          <w:snapToGrid/>
          <w:kern w:val="0"/>
          <w:szCs w:val="22"/>
          <w:u w:val="single"/>
        </w:rPr>
        <w:t xml:space="preserve">Definitions, </w:t>
      </w:r>
      <w:r w:rsidR="00F903E6">
        <w:rPr>
          <w:rFonts w:eastAsia="Calibri"/>
          <w:b/>
          <w:bCs/>
          <w:snapToGrid/>
          <w:kern w:val="0"/>
          <w:szCs w:val="22"/>
          <w:u w:val="single"/>
        </w:rPr>
        <w:t>t</w:t>
      </w:r>
      <w:r>
        <w:rPr>
          <w:rFonts w:eastAsia="Calibri"/>
          <w:b/>
          <w:bCs/>
          <w:snapToGrid/>
          <w:kern w:val="0"/>
          <w:szCs w:val="22"/>
          <w:u w:val="single"/>
        </w:rPr>
        <w:t>he 76-81 GHz Band Radar Service</w:t>
      </w:r>
      <w:r w:rsidR="00C6552D">
        <w:rPr>
          <w:rFonts w:eastAsia="Calibri"/>
          <w:b/>
          <w:bCs/>
          <w:snapToGrid/>
          <w:kern w:val="0"/>
          <w:szCs w:val="22"/>
        </w:rPr>
        <w:t>.</w:t>
      </w:r>
    </w:p>
    <w:p w:rsidR="00C6552D" w:rsidRPr="00C6552D" w:rsidRDefault="00C6552D" w:rsidP="00C906A5">
      <w:pPr>
        <w:rPr>
          <w:rFonts w:eastAsia="Calibri"/>
          <w:b/>
          <w:bCs/>
          <w:snapToGrid/>
          <w:kern w:val="0"/>
          <w:szCs w:val="22"/>
        </w:rPr>
      </w:pPr>
    </w:p>
    <w:p w:rsidR="00C906A5" w:rsidRDefault="00C906A5" w:rsidP="00C906A5">
      <w:r>
        <w:rPr>
          <w:i/>
          <w:iCs/>
        </w:rPr>
        <w:t>Air operations area.</w:t>
      </w:r>
      <w:r>
        <w:t xml:space="preserve">  </w:t>
      </w:r>
      <w:r w:rsidR="00EB4168">
        <w:t>S</w:t>
      </w:r>
      <w:r w:rsidR="003911E9">
        <w:t xml:space="preserve">ee </w:t>
      </w:r>
      <w:r w:rsidR="003911E9" w:rsidRPr="00530ABC">
        <w:rPr>
          <w:rFonts w:eastAsia="Calibri"/>
          <w:snapToGrid/>
          <w:kern w:val="0"/>
          <w:szCs w:val="22"/>
        </w:rPr>
        <w:t>§</w:t>
      </w:r>
      <w:r w:rsidR="003911E9">
        <w:rPr>
          <w:rFonts w:eastAsia="Calibri"/>
          <w:snapToGrid/>
          <w:kern w:val="0"/>
          <w:szCs w:val="22"/>
        </w:rPr>
        <w:t xml:space="preserve"> </w:t>
      </w:r>
      <w:r w:rsidR="003911E9">
        <w:t>87.5 of this chapter.</w:t>
      </w:r>
    </w:p>
    <w:p w:rsidR="00C906A5" w:rsidRDefault="00C906A5" w:rsidP="00C906A5"/>
    <w:p w:rsidR="00C906A5" w:rsidRDefault="00C906A5" w:rsidP="00C906A5">
      <w:r w:rsidRPr="00D028ED">
        <w:rPr>
          <w:i/>
        </w:rPr>
        <w:t xml:space="preserve">Field </w:t>
      </w:r>
      <w:r>
        <w:rPr>
          <w:i/>
        </w:rPr>
        <w:t>d</w:t>
      </w:r>
      <w:r w:rsidRPr="00D028ED">
        <w:rPr>
          <w:i/>
        </w:rPr>
        <w:t xml:space="preserve">isturbance </w:t>
      </w:r>
      <w:r>
        <w:rPr>
          <w:i/>
        </w:rPr>
        <w:t>s</w:t>
      </w:r>
      <w:r w:rsidRPr="00D028ED">
        <w:rPr>
          <w:i/>
        </w:rPr>
        <w:t>ensor</w:t>
      </w:r>
      <w:r>
        <w:t xml:space="preserve">.  </w:t>
      </w:r>
      <w:r w:rsidR="00DF0043">
        <w:t xml:space="preserve">See </w:t>
      </w:r>
      <w:r w:rsidR="00DF0043" w:rsidRPr="00530ABC">
        <w:rPr>
          <w:rFonts w:eastAsia="Calibri"/>
          <w:snapToGrid/>
          <w:kern w:val="0"/>
          <w:szCs w:val="22"/>
        </w:rPr>
        <w:t>§</w:t>
      </w:r>
      <w:r w:rsidR="00DF0043">
        <w:rPr>
          <w:rFonts w:eastAsia="Calibri"/>
          <w:snapToGrid/>
          <w:kern w:val="0"/>
          <w:szCs w:val="22"/>
        </w:rPr>
        <w:t xml:space="preserve"> </w:t>
      </w:r>
      <w:r w:rsidR="00DF0043">
        <w:t>15.5(l) of this chapter.</w:t>
      </w:r>
    </w:p>
    <w:p w:rsidR="00C906A5" w:rsidRDefault="00C906A5" w:rsidP="00C906A5"/>
    <w:p w:rsidR="00C906A5" w:rsidRPr="00D028ED" w:rsidRDefault="003C39F2" w:rsidP="00C906A5">
      <w:pPr>
        <w:rPr>
          <w:i/>
        </w:rPr>
      </w:pPr>
      <w:r>
        <w:rPr>
          <w:i/>
        </w:rPr>
        <w:t>Foreign object debris (</w:t>
      </w:r>
      <w:r w:rsidR="00C906A5" w:rsidRPr="00D028ED">
        <w:rPr>
          <w:i/>
        </w:rPr>
        <w:t>FOD</w:t>
      </w:r>
      <w:r>
        <w:rPr>
          <w:i/>
        </w:rPr>
        <w:t>)</w:t>
      </w:r>
      <w:r w:rsidR="00C906A5" w:rsidRPr="00D028ED">
        <w:rPr>
          <w:i/>
        </w:rPr>
        <w:t xml:space="preserve"> </w:t>
      </w:r>
      <w:r w:rsidR="00C906A5">
        <w:rPr>
          <w:i/>
        </w:rPr>
        <w:t>d</w:t>
      </w:r>
      <w:r w:rsidR="00C906A5" w:rsidRPr="00D028ED">
        <w:rPr>
          <w:i/>
        </w:rPr>
        <w:t xml:space="preserve">etection </w:t>
      </w:r>
      <w:r w:rsidR="00C906A5">
        <w:rPr>
          <w:i/>
        </w:rPr>
        <w:t>r</w:t>
      </w:r>
      <w:r w:rsidR="00C906A5" w:rsidRPr="00AA0319">
        <w:rPr>
          <w:i/>
        </w:rPr>
        <w:t>adar</w:t>
      </w:r>
      <w:r w:rsidR="00C906A5" w:rsidRPr="00D028ED">
        <w:rPr>
          <w:i/>
        </w:rPr>
        <w:t>.</w:t>
      </w:r>
      <w:r w:rsidR="00C906A5">
        <w:rPr>
          <w:i/>
        </w:rPr>
        <w:t xml:space="preserve">  </w:t>
      </w:r>
      <w:r w:rsidR="00C906A5" w:rsidRPr="00D028ED">
        <w:t>A</w:t>
      </w:r>
      <w:r w:rsidR="00C906A5">
        <w:t xml:space="preserve"> radar device designed to detect foreign object debris in airport air operations areas and to monitor aircraft as well as service vehicles on taxiways, and other airport vehicle service areas that have no public vehicle access.</w:t>
      </w:r>
    </w:p>
    <w:p w:rsidR="00C906A5" w:rsidRDefault="00C906A5" w:rsidP="00C906A5"/>
    <w:p w:rsidR="00C906A5" w:rsidRDefault="00C906A5" w:rsidP="00C906A5">
      <w:r>
        <w:rPr>
          <w:i/>
        </w:rPr>
        <w:t>Radar.</w:t>
      </w:r>
      <w:r>
        <w:t xml:space="preserve">  </w:t>
      </w:r>
      <w:r w:rsidR="00E67318">
        <w:t xml:space="preserve">See </w:t>
      </w:r>
      <w:r w:rsidR="00E67318" w:rsidRPr="00530ABC">
        <w:rPr>
          <w:rFonts w:eastAsia="Calibri"/>
          <w:snapToGrid/>
          <w:kern w:val="0"/>
          <w:szCs w:val="22"/>
        </w:rPr>
        <w:t>§</w:t>
      </w:r>
      <w:r w:rsidR="00E67318">
        <w:rPr>
          <w:rFonts w:eastAsia="Calibri"/>
          <w:snapToGrid/>
          <w:kern w:val="0"/>
          <w:szCs w:val="22"/>
        </w:rPr>
        <w:t xml:space="preserve"> </w:t>
      </w:r>
      <w:r w:rsidR="00E67318">
        <w:t>2.1(c) of this chapter.</w:t>
      </w:r>
    </w:p>
    <w:p w:rsidR="00C906A5" w:rsidRPr="000D0275" w:rsidRDefault="00C906A5" w:rsidP="00C906A5">
      <w:pPr>
        <w:rPr>
          <w:b/>
          <w:szCs w:val="22"/>
          <w:u w:val="single"/>
        </w:rPr>
      </w:pPr>
    </w:p>
    <w:p w:rsidR="00C6552D" w:rsidRPr="00455DB5" w:rsidRDefault="00C6552D" w:rsidP="00C6552D">
      <w:pPr>
        <w:rPr>
          <w:rFonts w:eastAsia="Calibri"/>
          <w:b/>
          <w:bCs/>
          <w:snapToGrid/>
          <w:kern w:val="0"/>
          <w:szCs w:val="22"/>
        </w:rPr>
      </w:pPr>
      <w:r w:rsidRPr="00487E4A">
        <w:rPr>
          <w:b/>
          <w:szCs w:val="22"/>
          <w:u w:val="single"/>
        </w:rPr>
        <w:t>§ 95.</w:t>
      </w:r>
      <w:r>
        <w:rPr>
          <w:rFonts w:eastAsia="Calibri"/>
          <w:b/>
          <w:bCs/>
          <w:snapToGrid/>
          <w:kern w:val="0"/>
          <w:szCs w:val="22"/>
          <w:u w:val="single"/>
        </w:rPr>
        <w:t>3305</w:t>
      </w:r>
      <w:r w:rsidR="003C383A">
        <w:rPr>
          <w:rFonts w:eastAsia="Calibri"/>
          <w:b/>
          <w:bCs/>
          <w:snapToGrid/>
          <w:kern w:val="0"/>
          <w:szCs w:val="22"/>
          <w:u w:val="single"/>
        </w:rPr>
        <w:t xml:space="preserve">   R</w:t>
      </w:r>
      <w:r w:rsidRPr="00750DA3">
        <w:rPr>
          <w:rFonts w:eastAsia="Calibri"/>
          <w:b/>
          <w:bCs/>
          <w:snapToGrid/>
          <w:kern w:val="0"/>
          <w:szCs w:val="22"/>
          <w:u w:val="single"/>
        </w:rPr>
        <w:t xml:space="preserve">adar </w:t>
      </w:r>
      <w:r w:rsidR="00051B64">
        <w:rPr>
          <w:rFonts w:eastAsia="Calibri"/>
          <w:b/>
          <w:bCs/>
          <w:snapToGrid/>
          <w:kern w:val="0"/>
          <w:szCs w:val="22"/>
          <w:u w:val="single"/>
        </w:rPr>
        <w:t>o</w:t>
      </w:r>
      <w:r w:rsidRPr="00750DA3">
        <w:rPr>
          <w:rFonts w:eastAsia="Calibri"/>
          <w:b/>
          <w:bCs/>
          <w:snapToGrid/>
          <w:kern w:val="0"/>
          <w:szCs w:val="22"/>
          <w:u w:val="single"/>
        </w:rPr>
        <w:t xml:space="preserve">perator </w:t>
      </w:r>
      <w:r w:rsidR="00051B64">
        <w:rPr>
          <w:rFonts w:eastAsia="Calibri"/>
          <w:b/>
          <w:bCs/>
          <w:snapToGrid/>
          <w:kern w:val="0"/>
          <w:szCs w:val="22"/>
          <w:u w:val="single"/>
        </w:rPr>
        <w:t>e</w:t>
      </w:r>
      <w:r w:rsidRPr="00750DA3">
        <w:rPr>
          <w:rFonts w:eastAsia="Calibri"/>
          <w:b/>
          <w:bCs/>
          <w:snapToGrid/>
          <w:kern w:val="0"/>
          <w:szCs w:val="22"/>
          <w:u w:val="single"/>
        </w:rPr>
        <w:t>ligibility</w:t>
      </w:r>
      <w:r>
        <w:rPr>
          <w:rFonts w:eastAsia="Calibri"/>
          <w:b/>
          <w:bCs/>
          <w:snapToGrid/>
          <w:kern w:val="0"/>
          <w:szCs w:val="22"/>
          <w:u w:val="single"/>
        </w:rPr>
        <w:t xml:space="preserve"> in the </w:t>
      </w:r>
      <w:r w:rsidRPr="00750DA3">
        <w:rPr>
          <w:rFonts w:eastAsia="Calibri"/>
          <w:b/>
          <w:bCs/>
          <w:snapToGrid/>
          <w:kern w:val="0"/>
          <w:szCs w:val="22"/>
          <w:u w:val="single"/>
        </w:rPr>
        <w:t>76-81 GHz Band</w:t>
      </w:r>
      <w:r>
        <w:rPr>
          <w:rFonts w:eastAsia="Calibri"/>
          <w:b/>
          <w:bCs/>
          <w:snapToGrid/>
          <w:kern w:val="0"/>
          <w:szCs w:val="22"/>
        </w:rPr>
        <w:t>.</w:t>
      </w:r>
    </w:p>
    <w:p w:rsidR="00C6552D" w:rsidRPr="00530ABC" w:rsidRDefault="00C6552D" w:rsidP="00C6552D">
      <w:pPr>
        <w:widowControl/>
        <w:rPr>
          <w:rFonts w:eastAsia="Calibri"/>
          <w:b/>
          <w:bCs/>
          <w:snapToGrid/>
          <w:kern w:val="0"/>
          <w:szCs w:val="22"/>
        </w:rPr>
      </w:pPr>
    </w:p>
    <w:p w:rsidR="00C6552D" w:rsidRDefault="00C6552D" w:rsidP="00C6552D">
      <w:pPr>
        <w:rPr>
          <w:rFonts w:eastAsia="Calibri"/>
          <w:snapToGrid/>
          <w:kern w:val="0"/>
          <w:szCs w:val="22"/>
        </w:rPr>
      </w:pPr>
      <w:r w:rsidRPr="00530ABC">
        <w:rPr>
          <w:rFonts w:eastAsia="Calibri"/>
          <w:snapToGrid/>
          <w:kern w:val="0"/>
          <w:szCs w:val="22"/>
        </w:rPr>
        <w:t>Subject to the requirements of §§ 95.305 and 95.307, any person is eligible to operate a radar in the 76-81 GHz band without an individual license; such operation must comply with all applicable rules in this subpart.</w:t>
      </w:r>
    </w:p>
    <w:p w:rsidR="009D0BE6" w:rsidRDefault="009D0BE6" w:rsidP="00C6552D">
      <w:pPr>
        <w:rPr>
          <w:rFonts w:eastAsia="Calibri"/>
          <w:snapToGrid/>
          <w:kern w:val="0"/>
          <w:szCs w:val="22"/>
        </w:rPr>
      </w:pPr>
    </w:p>
    <w:p w:rsidR="00C906A5" w:rsidRDefault="009D0BE6" w:rsidP="00E63658">
      <w:pPr>
        <w:pStyle w:val="CFRTOCsubpartdivider"/>
        <w:spacing w:before="0" w:after="0"/>
        <w:jc w:val="left"/>
      </w:pPr>
      <w:r w:rsidRPr="00FE6256">
        <w:t>Operating Rules</w:t>
      </w:r>
    </w:p>
    <w:p w:rsidR="00E63658" w:rsidRPr="00E63658" w:rsidRDefault="00E63658" w:rsidP="00E63658"/>
    <w:p w:rsidR="00C906A5" w:rsidRPr="00487E4A" w:rsidRDefault="00C906A5" w:rsidP="00C906A5">
      <w:pPr>
        <w:rPr>
          <w:b/>
          <w:szCs w:val="22"/>
          <w:u w:val="single"/>
        </w:rPr>
      </w:pPr>
      <w:r>
        <w:rPr>
          <w:b/>
          <w:szCs w:val="22"/>
          <w:u w:val="single"/>
        </w:rPr>
        <w:t>§ 95.33</w:t>
      </w:r>
      <w:r w:rsidR="00C6552D">
        <w:rPr>
          <w:b/>
          <w:szCs w:val="22"/>
          <w:u w:val="single"/>
        </w:rPr>
        <w:t>31</w:t>
      </w:r>
      <w:r w:rsidRPr="00487E4A">
        <w:rPr>
          <w:b/>
          <w:szCs w:val="22"/>
          <w:u w:val="single"/>
        </w:rPr>
        <w:t xml:space="preserve">   Permissible 76-81 GHz Band Radar Service uses</w:t>
      </w:r>
      <w:r w:rsidRPr="00487E4A">
        <w:rPr>
          <w:b/>
          <w:szCs w:val="22"/>
        </w:rPr>
        <w:t>.</w:t>
      </w:r>
    </w:p>
    <w:p w:rsidR="00C906A5" w:rsidRPr="00487E4A" w:rsidRDefault="00C906A5" w:rsidP="00C906A5">
      <w:pPr>
        <w:rPr>
          <w:b/>
          <w:szCs w:val="22"/>
          <w:u w:val="single"/>
        </w:rPr>
      </w:pPr>
    </w:p>
    <w:p w:rsidR="00C906A5" w:rsidRPr="00487E4A" w:rsidRDefault="00C906A5" w:rsidP="00C906A5">
      <w:r>
        <w:rPr>
          <w:szCs w:val="22"/>
        </w:rPr>
        <w:t>Radar systems operating in the 76-81 GHz band may operate as vehicular radars, or as fixed or mobile radars in airport air operations areas, including but not limited to FOD detection radars and aircraft-mounted radars for ground use only.</w:t>
      </w:r>
    </w:p>
    <w:p w:rsidR="00C906A5" w:rsidRDefault="00C906A5" w:rsidP="00C906A5">
      <w:pPr>
        <w:rPr>
          <w:b/>
          <w:szCs w:val="22"/>
          <w:u w:val="single"/>
        </w:rPr>
      </w:pPr>
    </w:p>
    <w:p w:rsidR="00C906A5" w:rsidRPr="00487E4A" w:rsidRDefault="00C906A5" w:rsidP="00C906A5">
      <w:pPr>
        <w:rPr>
          <w:b/>
          <w:szCs w:val="22"/>
          <w:u w:val="single"/>
        </w:rPr>
      </w:pPr>
      <w:r>
        <w:rPr>
          <w:b/>
          <w:szCs w:val="22"/>
          <w:u w:val="single"/>
        </w:rPr>
        <w:t>§ 95.33</w:t>
      </w:r>
      <w:r w:rsidR="00C6552D">
        <w:rPr>
          <w:b/>
          <w:szCs w:val="22"/>
          <w:u w:val="single"/>
        </w:rPr>
        <w:t>33</w:t>
      </w:r>
      <w:r w:rsidRPr="00487E4A">
        <w:rPr>
          <w:b/>
          <w:szCs w:val="22"/>
          <w:u w:val="single"/>
        </w:rPr>
        <w:t xml:space="preserve">   Airborne use</w:t>
      </w:r>
      <w:r>
        <w:rPr>
          <w:b/>
          <w:szCs w:val="22"/>
          <w:u w:val="single"/>
        </w:rPr>
        <w:t xml:space="preserve"> </w:t>
      </w:r>
      <w:r w:rsidRPr="00487E4A">
        <w:rPr>
          <w:b/>
          <w:szCs w:val="22"/>
          <w:u w:val="single"/>
        </w:rPr>
        <w:t>of 76-81 GHz Band Radar Service is prohibited</w:t>
      </w:r>
      <w:r w:rsidRPr="00487E4A">
        <w:rPr>
          <w:b/>
          <w:szCs w:val="22"/>
        </w:rPr>
        <w:t>.</w:t>
      </w:r>
    </w:p>
    <w:p w:rsidR="00C906A5" w:rsidRPr="00487E4A" w:rsidRDefault="00C906A5" w:rsidP="00C906A5">
      <w:pPr>
        <w:rPr>
          <w:b/>
          <w:szCs w:val="22"/>
          <w:u w:val="single"/>
        </w:rPr>
      </w:pPr>
    </w:p>
    <w:p w:rsidR="00C906A5" w:rsidRDefault="00C906A5" w:rsidP="00C906A5">
      <w:pPr>
        <w:rPr>
          <w:szCs w:val="22"/>
        </w:rPr>
      </w:pPr>
      <w:r w:rsidRPr="009A62A2">
        <w:rPr>
          <w:szCs w:val="22"/>
        </w:rPr>
        <w:t>Notwithstanding the provisions of § 95.</w:t>
      </w:r>
      <w:r w:rsidR="003C39F2">
        <w:rPr>
          <w:szCs w:val="22"/>
        </w:rPr>
        <w:t>3</w:t>
      </w:r>
      <w:r w:rsidRPr="009A62A2">
        <w:rPr>
          <w:szCs w:val="22"/>
        </w:rPr>
        <w:t>3</w:t>
      </w:r>
      <w:r w:rsidR="00C6552D">
        <w:rPr>
          <w:szCs w:val="22"/>
        </w:rPr>
        <w:t>31</w:t>
      </w:r>
      <w:r w:rsidRPr="009A62A2">
        <w:rPr>
          <w:szCs w:val="22"/>
        </w:rPr>
        <w:t xml:space="preserve">, 76-81 GHz Band Radar Service </w:t>
      </w:r>
      <w:r w:rsidRPr="00D028ED">
        <w:rPr>
          <w:szCs w:val="22"/>
        </w:rPr>
        <w:t>is prohibited aboard aircraft</w:t>
      </w:r>
      <w:r w:rsidRPr="00487E4A">
        <w:rPr>
          <w:szCs w:val="22"/>
        </w:rPr>
        <w:t xml:space="preserve"> in flight.</w:t>
      </w:r>
      <w:r>
        <w:rPr>
          <w:szCs w:val="22"/>
        </w:rPr>
        <w:t xml:space="preserve">  Aircraft-mounted radars shall be equipped with a mechanism that will prevent operations once the aircraft becomes airborne.</w:t>
      </w:r>
    </w:p>
    <w:p w:rsidR="00C906A5" w:rsidRPr="00487E4A" w:rsidRDefault="00C906A5" w:rsidP="00C906A5"/>
    <w:p w:rsidR="002A64CB" w:rsidRPr="00487E4A" w:rsidRDefault="002A64CB" w:rsidP="002A64CB">
      <w:pPr>
        <w:rPr>
          <w:b/>
          <w:szCs w:val="22"/>
          <w:u w:val="single"/>
        </w:rPr>
      </w:pPr>
      <w:r>
        <w:rPr>
          <w:b/>
          <w:szCs w:val="22"/>
          <w:u w:val="single"/>
        </w:rPr>
        <w:t>§ 95.3347</w:t>
      </w:r>
      <w:r w:rsidRPr="00487E4A">
        <w:rPr>
          <w:b/>
          <w:szCs w:val="22"/>
          <w:u w:val="single"/>
        </w:rPr>
        <w:t xml:space="preserve">   </w:t>
      </w:r>
      <w:r w:rsidRPr="002A64CB">
        <w:rPr>
          <w:b/>
          <w:szCs w:val="22"/>
          <w:u w:val="single"/>
        </w:rPr>
        <w:t>76-81 GHz Band Radar Service automatic control</w:t>
      </w:r>
      <w:r w:rsidRPr="00487E4A">
        <w:rPr>
          <w:b/>
          <w:szCs w:val="22"/>
        </w:rPr>
        <w:t>.</w:t>
      </w:r>
    </w:p>
    <w:p w:rsidR="002A64CB" w:rsidRPr="00487E4A" w:rsidRDefault="002A64CB" w:rsidP="002A64CB">
      <w:pPr>
        <w:rPr>
          <w:b/>
          <w:szCs w:val="22"/>
          <w:u w:val="single"/>
        </w:rPr>
      </w:pPr>
    </w:p>
    <w:p w:rsidR="002A64CB" w:rsidRDefault="002A64CB" w:rsidP="002A64CB">
      <w:pPr>
        <w:rPr>
          <w:szCs w:val="22"/>
        </w:rPr>
      </w:pPr>
      <w:r w:rsidRPr="002A64CB">
        <w:rPr>
          <w:szCs w:val="22"/>
        </w:rPr>
        <w:t>Notwithstanding the provisions of §</w:t>
      </w:r>
      <w:r>
        <w:rPr>
          <w:szCs w:val="22"/>
        </w:rPr>
        <w:t xml:space="preserve"> </w:t>
      </w:r>
      <w:r w:rsidRPr="002A64CB">
        <w:rPr>
          <w:szCs w:val="22"/>
        </w:rPr>
        <w:t>95.347, 76-81 GHz Band Radar Service operations may be conducted under manual or automatic control.</w:t>
      </w:r>
    </w:p>
    <w:p w:rsidR="00C906A5" w:rsidRDefault="00C906A5" w:rsidP="00C906A5">
      <w:pPr>
        <w:rPr>
          <w:szCs w:val="22"/>
        </w:rPr>
      </w:pPr>
    </w:p>
    <w:p w:rsidR="00E63658" w:rsidRDefault="00E63658" w:rsidP="00C906A5">
      <w:pPr>
        <w:rPr>
          <w:szCs w:val="22"/>
        </w:rPr>
      </w:pPr>
    </w:p>
    <w:p w:rsidR="00E63658" w:rsidRDefault="00E63658" w:rsidP="00C906A5">
      <w:pPr>
        <w:rPr>
          <w:szCs w:val="22"/>
        </w:rPr>
      </w:pPr>
    </w:p>
    <w:p w:rsidR="00E63658" w:rsidRDefault="00E63658" w:rsidP="00E63658">
      <w:pPr>
        <w:pStyle w:val="CFRTOCsubpartdivider"/>
        <w:spacing w:before="0" w:after="0"/>
        <w:jc w:val="left"/>
      </w:pPr>
      <w:r w:rsidRPr="00FE6256">
        <w:t>Technical Rules</w:t>
      </w:r>
    </w:p>
    <w:p w:rsidR="00C906A5" w:rsidRPr="00487E4A" w:rsidRDefault="00C906A5" w:rsidP="00C906A5">
      <w:pPr>
        <w:ind w:firstLine="360"/>
        <w:jc w:val="center"/>
        <w:rPr>
          <w:szCs w:val="22"/>
        </w:rPr>
      </w:pPr>
    </w:p>
    <w:p w:rsidR="00C906A5" w:rsidRPr="00487E4A" w:rsidRDefault="00C906A5" w:rsidP="00C906A5">
      <w:pPr>
        <w:rPr>
          <w:b/>
          <w:szCs w:val="22"/>
          <w:u w:val="single"/>
        </w:rPr>
      </w:pPr>
      <w:r>
        <w:rPr>
          <w:b/>
          <w:szCs w:val="22"/>
          <w:u w:val="single"/>
        </w:rPr>
        <w:t>§ 95.33</w:t>
      </w:r>
      <w:r w:rsidR="00C6552D">
        <w:rPr>
          <w:b/>
          <w:szCs w:val="22"/>
          <w:u w:val="single"/>
        </w:rPr>
        <w:t>61</w:t>
      </w:r>
      <w:r w:rsidRPr="00487E4A">
        <w:rPr>
          <w:b/>
          <w:szCs w:val="22"/>
          <w:u w:val="single"/>
        </w:rPr>
        <w:t xml:space="preserve">   Certification</w:t>
      </w:r>
      <w:r w:rsidRPr="00487E4A">
        <w:rPr>
          <w:b/>
          <w:szCs w:val="22"/>
        </w:rPr>
        <w:t>.</w:t>
      </w:r>
    </w:p>
    <w:p w:rsidR="00CB1C67" w:rsidRDefault="00CB1C67" w:rsidP="00C906A5">
      <w:pPr>
        <w:rPr>
          <w:color w:val="000000"/>
          <w:szCs w:val="22"/>
          <w:shd w:val="clear" w:color="auto" w:fill="FFFFFF"/>
        </w:rPr>
      </w:pPr>
    </w:p>
    <w:p w:rsidR="00C906A5" w:rsidRDefault="00C906A5" w:rsidP="00C906A5">
      <w:pPr>
        <w:rPr>
          <w:szCs w:val="22"/>
        </w:rPr>
      </w:pPr>
      <w:r>
        <w:rPr>
          <w:color w:val="000000"/>
          <w:szCs w:val="22"/>
          <w:shd w:val="clear" w:color="auto" w:fill="FFFFFF"/>
        </w:rPr>
        <w:t>Radar e</w:t>
      </w:r>
      <w:r w:rsidRPr="00487E4A">
        <w:rPr>
          <w:color w:val="000000"/>
          <w:szCs w:val="22"/>
          <w:shd w:val="clear" w:color="auto" w:fill="FFFFFF"/>
        </w:rPr>
        <w:t xml:space="preserve">quipment operating in the </w:t>
      </w:r>
      <w:r w:rsidRPr="00487E4A">
        <w:rPr>
          <w:szCs w:val="22"/>
        </w:rPr>
        <w:t xml:space="preserve">76-81 GHz </w:t>
      </w:r>
      <w:r>
        <w:rPr>
          <w:szCs w:val="22"/>
        </w:rPr>
        <w:t>b</w:t>
      </w:r>
      <w:r w:rsidRPr="00487E4A">
        <w:rPr>
          <w:szCs w:val="22"/>
        </w:rPr>
        <w:t xml:space="preserve">and </w:t>
      </w:r>
      <w:r>
        <w:rPr>
          <w:szCs w:val="22"/>
        </w:rPr>
        <w:t xml:space="preserve">shall </w:t>
      </w:r>
      <w:r w:rsidRPr="00487E4A">
        <w:rPr>
          <w:szCs w:val="22"/>
        </w:rPr>
        <w:t>be certifi</w:t>
      </w:r>
      <w:r w:rsidR="003C39F2">
        <w:rPr>
          <w:szCs w:val="22"/>
        </w:rPr>
        <w:t>cat</w:t>
      </w:r>
      <w:r w:rsidRPr="00487E4A">
        <w:rPr>
          <w:szCs w:val="22"/>
        </w:rPr>
        <w:t xml:space="preserve">ed in accordance with this subpart and subpart J of part 2 of this chapter. </w:t>
      </w:r>
    </w:p>
    <w:p w:rsidR="00CB1C67" w:rsidRDefault="00CB1C67" w:rsidP="00C906A5">
      <w:pPr>
        <w:rPr>
          <w:szCs w:val="22"/>
        </w:rPr>
      </w:pPr>
    </w:p>
    <w:p w:rsidR="00C906A5" w:rsidRPr="00487E4A" w:rsidRDefault="00C906A5" w:rsidP="00C906A5">
      <w:pPr>
        <w:rPr>
          <w:rFonts w:eastAsia="Calibri"/>
          <w:b/>
          <w:bCs/>
          <w:szCs w:val="22"/>
          <w:u w:val="single"/>
        </w:rPr>
      </w:pPr>
      <w:r>
        <w:rPr>
          <w:rFonts w:eastAsia="Calibri"/>
          <w:b/>
          <w:bCs/>
          <w:szCs w:val="22"/>
          <w:u w:val="single"/>
        </w:rPr>
        <w:t>§ 95.33</w:t>
      </w:r>
      <w:r w:rsidR="00C6552D">
        <w:rPr>
          <w:rFonts w:eastAsia="Calibri"/>
          <w:b/>
          <w:bCs/>
          <w:szCs w:val="22"/>
          <w:u w:val="single"/>
        </w:rPr>
        <w:t>67</w:t>
      </w:r>
      <w:r w:rsidRPr="00487E4A">
        <w:rPr>
          <w:rFonts w:eastAsia="Calibri"/>
          <w:b/>
          <w:bCs/>
          <w:szCs w:val="22"/>
          <w:u w:val="single"/>
        </w:rPr>
        <w:t>   76-81 GHz Band Radar Service radiated power limits</w:t>
      </w:r>
      <w:r w:rsidRPr="00487E4A">
        <w:rPr>
          <w:rFonts w:eastAsia="Calibri"/>
          <w:b/>
          <w:bCs/>
          <w:szCs w:val="22"/>
        </w:rPr>
        <w:t>.</w:t>
      </w:r>
    </w:p>
    <w:p w:rsidR="00C906A5" w:rsidRPr="00487E4A" w:rsidRDefault="00C906A5" w:rsidP="00C906A5">
      <w:pPr>
        <w:rPr>
          <w:rFonts w:eastAsia="Calibri"/>
          <w:b/>
          <w:bCs/>
          <w:szCs w:val="22"/>
          <w:u w:val="single"/>
        </w:rPr>
      </w:pPr>
    </w:p>
    <w:p w:rsidR="00C906A5" w:rsidRPr="00487E4A" w:rsidRDefault="00C906A5" w:rsidP="00C906A5">
      <w:pPr>
        <w:rPr>
          <w:rFonts w:eastAsia="Calibri"/>
          <w:szCs w:val="22"/>
        </w:rPr>
      </w:pPr>
      <w:r w:rsidRPr="00487E4A">
        <w:rPr>
          <w:rFonts w:eastAsia="Calibri"/>
          <w:szCs w:val="22"/>
        </w:rPr>
        <w:t>The fundamental radiated emission limits within the 76-81 GHz band are expressed in terms of Equivalent Isotropically Radiated Power (EIRP) and are as follows:</w:t>
      </w:r>
    </w:p>
    <w:p w:rsidR="00C906A5" w:rsidRPr="00487E4A" w:rsidRDefault="00C906A5" w:rsidP="00C906A5">
      <w:pPr>
        <w:ind w:firstLine="360"/>
        <w:rPr>
          <w:rFonts w:eastAsia="Calibri"/>
          <w:szCs w:val="22"/>
        </w:rPr>
      </w:pPr>
    </w:p>
    <w:p w:rsidR="00C906A5" w:rsidRPr="00487E4A" w:rsidRDefault="00C906A5" w:rsidP="00C906A5">
      <w:pPr>
        <w:rPr>
          <w:rFonts w:eastAsia="Calibri"/>
          <w:szCs w:val="22"/>
        </w:rPr>
      </w:pPr>
      <w:r w:rsidRPr="00487E4A">
        <w:rPr>
          <w:rFonts w:eastAsia="Calibri"/>
          <w:szCs w:val="22"/>
        </w:rPr>
        <w:t>(</w:t>
      </w:r>
      <w:r w:rsidR="00996ED5">
        <w:rPr>
          <w:rFonts w:eastAsia="Calibri"/>
          <w:szCs w:val="22"/>
        </w:rPr>
        <w:t>a</w:t>
      </w:r>
      <w:r w:rsidRPr="00487E4A">
        <w:rPr>
          <w:rFonts w:eastAsia="Calibri"/>
          <w:szCs w:val="22"/>
        </w:rPr>
        <w:t xml:space="preserve">) The </w:t>
      </w:r>
      <w:r w:rsidR="00C91435">
        <w:rPr>
          <w:rFonts w:eastAsia="Calibri"/>
          <w:szCs w:val="22"/>
        </w:rPr>
        <w:t>maximum</w:t>
      </w:r>
      <w:r w:rsidRPr="00487E4A">
        <w:rPr>
          <w:rFonts w:eastAsia="Calibri"/>
          <w:szCs w:val="22"/>
        </w:rPr>
        <w:t xml:space="preserve"> power (EIRP) within the 76-81 GHz band shall not exceed 50 dBm based on measurements employing </w:t>
      </w:r>
      <w:r w:rsidR="00C91435">
        <w:rPr>
          <w:rFonts w:eastAsia="Calibri"/>
          <w:szCs w:val="22"/>
        </w:rPr>
        <w:t>a power</w:t>
      </w:r>
      <w:r w:rsidR="005C6D9E">
        <w:rPr>
          <w:rFonts w:eastAsia="Calibri"/>
          <w:szCs w:val="22"/>
        </w:rPr>
        <w:t xml:space="preserve"> averag</w:t>
      </w:r>
      <w:r w:rsidR="00C91435">
        <w:rPr>
          <w:rFonts w:eastAsia="Calibri"/>
          <w:szCs w:val="22"/>
        </w:rPr>
        <w:t>ing</w:t>
      </w:r>
      <w:r w:rsidRPr="00487E4A">
        <w:rPr>
          <w:rFonts w:eastAsia="Calibri"/>
          <w:szCs w:val="22"/>
        </w:rPr>
        <w:t xml:space="preserve"> detector with a 1 MHz </w:t>
      </w:r>
      <w:r w:rsidR="00EA38BB" w:rsidRPr="00EA38BB">
        <w:rPr>
          <w:rFonts w:eastAsia="Calibri"/>
          <w:szCs w:val="22"/>
        </w:rPr>
        <w:t>Resolution Bandwidth</w:t>
      </w:r>
      <w:r w:rsidR="00EA38BB">
        <w:rPr>
          <w:rFonts w:eastAsia="Calibri"/>
          <w:szCs w:val="22"/>
        </w:rPr>
        <w:t xml:space="preserve"> (</w:t>
      </w:r>
      <w:r w:rsidRPr="00487E4A">
        <w:rPr>
          <w:rFonts w:eastAsia="Calibri"/>
          <w:szCs w:val="22"/>
        </w:rPr>
        <w:t>RBW</w:t>
      </w:r>
      <w:r w:rsidR="00EA38BB">
        <w:rPr>
          <w:rFonts w:eastAsia="Calibri"/>
          <w:szCs w:val="22"/>
        </w:rPr>
        <w:t>)</w:t>
      </w:r>
      <w:r w:rsidRPr="00487E4A">
        <w:rPr>
          <w:rFonts w:eastAsia="Calibri"/>
          <w:szCs w:val="22"/>
        </w:rPr>
        <w:t>. </w:t>
      </w:r>
    </w:p>
    <w:p w:rsidR="00C906A5" w:rsidRPr="00487E4A" w:rsidRDefault="00C906A5" w:rsidP="00C906A5">
      <w:pPr>
        <w:ind w:firstLine="360"/>
        <w:rPr>
          <w:rFonts w:eastAsia="Calibri"/>
          <w:szCs w:val="22"/>
        </w:rPr>
      </w:pPr>
      <w:r w:rsidRPr="00487E4A">
        <w:rPr>
          <w:rFonts w:eastAsia="Calibri"/>
          <w:szCs w:val="22"/>
        </w:rPr>
        <w:t xml:space="preserve"> </w:t>
      </w:r>
    </w:p>
    <w:p w:rsidR="00C906A5" w:rsidRPr="00487E4A" w:rsidRDefault="00C906A5" w:rsidP="00C906A5">
      <w:pPr>
        <w:rPr>
          <w:rFonts w:eastAsia="Calibri"/>
          <w:szCs w:val="22"/>
        </w:rPr>
      </w:pPr>
      <w:r w:rsidRPr="00487E4A">
        <w:rPr>
          <w:rFonts w:eastAsia="Calibri"/>
          <w:szCs w:val="22"/>
        </w:rPr>
        <w:t>(</w:t>
      </w:r>
      <w:r w:rsidR="00996ED5">
        <w:rPr>
          <w:rFonts w:eastAsia="Calibri"/>
          <w:szCs w:val="22"/>
        </w:rPr>
        <w:t>b</w:t>
      </w:r>
      <w:r w:rsidRPr="00487E4A">
        <w:rPr>
          <w:rFonts w:eastAsia="Calibri"/>
          <w:szCs w:val="22"/>
        </w:rPr>
        <w:t>) The maximum peak power (EIRP) within the 76-81 GHz band shall not exceed 55 dBm based on measurements employing a</w:t>
      </w:r>
      <w:r w:rsidR="00C91435">
        <w:rPr>
          <w:rFonts w:eastAsia="Calibri"/>
          <w:szCs w:val="22"/>
        </w:rPr>
        <w:t xml:space="preserve"> peak</w:t>
      </w:r>
      <w:r w:rsidR="005C6D9E">
        <w:rPr>
          <w:rFonts w:eastAsia="Calibri"/>
          <w:szCs w:val="22"/>
        </w:rPr>
        <w:t xml:space="preserve"> </w:t>
      </w:r>
      <w:r w:rsidRPr="00487E4A">
        <w:rPr>
          <w:rFonts w:eastAsia="Calibri"/>
          <w:szCs w:val="22"/>
        </w:rPr>
        <w:t>detector with a 1 MHz RBW.</w:t>
      </w:r>
    </w:p>
    <w:p w:rsidR="00C906A5" w:rsidRPr="00487E4A" w:rsidRDefault="00C906A5" w:rsidP="00C906A5">
      <w:pPr>
        <w:ind w:firstLine="360"/>
        <w:rPr>
          <w:rFonts w:eastAsia="Calibri"/>
          <w:szCs w:val="22"/>
        </w:rPr>
      </w:pPr>
    </w:p>
    <w:p w:rsidR="00C906A5" w:rsidRPr="00487E4A" w:rsidRDefault="00C906A5" w:rsidP="00C906A5">
      <w:pPr>
        <w:rPr>
          <w:rFonts w:eastAsia="Calibri"/>
          <w:szCs w:val="22"/>
        </w:rPr>
      </w:pPr>
      <w:r>
        <w:rPr>
          <w:rFonts w:eastAsia="Calibri"/>
          <w:b/>
          <w:bCs/>
          <w:szCs w:val="22"/>
          <w:u w:val="single"/>
        </w:rPr>
        <w:t>§ 95.33</w:t>
      </w:r>
      <w:r w:rsidR="00C6552D">
        <w:rPr>
          <w:rFonts w:eastAsia="Calibri"/>
          <w:b/>
          <w:bCs/>
          <w:szCs w:val="22"/>
          <w:u w:val="single"/>
        </w:rPr>
        <w:t>79</w:t>
      </w:r>
      <w:r w:rsidRPr="00487E4A">
        <w:rPr>
          <w:rFonts w:eastAsia="Calibri"/>
          <w:b/>
          <w:bCs/>
          <w:szCs w:val="22"/>
          <w:u w:val="single"/>
        </w:rPr>
        <w:t>   76-81 GHz Band Radar Service unwanted emissions limits</w:t>
      </w:r>
      <w:r w:rsidRPr="00487E4A">
        <w:rPr>
          <w:rFonts w:eastAsia="Calibri"/>
          <w:b/>
          <w:bCs/>
          <w:szCs w:val="22"/>
        </w:rPr>
        <w:t>.</w:t>
      </w:r>
    </w:p>
    <w:p w:rsidR="00C906A5" w:rsidRPr="00487E4A" w:rsidRDefault="00C906A5" w:rsidP="00C906A5">
      <w:pPr>
        <w:ind w:firstLine="360"/>
        <w:rPr>
          <w:rFonts w:eastAsia="Calibri"/>
          <w:szCs w:val="22"/>
        </w:rPr>
      </w:pPr>
    </w:p>
    <w:p w:rsidR="00C906A5" w:rsidRPr="00487E4A" w:rsidRDefault="00C906A5" w:rsidP="00C906A5">
      <w:pPr>
        <w:rPr>
          <w:rFonts w:eastAsia="Calibri"/>
          <w:szCs w:val="22"/>
        </w:rPr>
      </w:pPr>
      <w:r w:rsidRPr="00487E4A">
        <w:rPr>
          <w:rFonts w:eastAsia="Calibri"/>
          <w:szCs w:val="22"/>
        </w:rPr>
        <w:t xml:space="preserve">(a) The </w:t>
      </w:r>
      <w:r w:rsidR="005C6D9E">
        <w:rPr>
          <w:rFonts w:eastAsia="Calibri"/>
          <w:szCs w:val="22"/>
        </w:rPr>
        <w:t>power density of any</w:t>
      </w:r>
      <w:r w:rsidRPr="00487E4A">
        <w:rPr>
          <w:rFonts w:eastAsia="Calibri"/>
          <w:szCs w:val="22"/>
        </w:rPr>
        <w:t xml:space="preserve"> emissions outside the 76-81 GHz band shall consist solely of spurious emissions and shall not exceed the following:</w:t>
      </w:r>
    </w:p>
    <w:p w:rsidR="00C906A5" w:rsidRPr="00487E4A" w:rsidRDefault="00C906A5" w:rsidP="00C906A5">
      <w:pPr>
        <w:ind w:firstLine="360"/>
        <w:rPr>
          <w:rFonts w:eastAsia="Calibri"/>
          <w:szCs w:val="22"/>
        </w:rPr>
      </w:pPr>
    </w:p>
    <w:p w:rsidR="00C906A5" w:rsidRPr="00487E4A" w:rsidRDefault="00C906A5" w:rsidP="00AD5CE8">
      <w:pPr>
        <w:spacing w:after="240"/>
        <w:rPr>
          <w:rFonts w:eastAsia="Calibri"/>
          <w:szCs w:val="22"/>
        </w:rPr>
      </w:pPr>
      <w:r w:rsidRPr="00487E4A">
        <w:rPr>
          <w:rFonts w:eastAsia="Calibri"/>
          <w:szCs w:val="22"/>
        </w:rPr>
        <w:t>(1) Radiated emissions below 40 GHz shall not exceed the field strength as shown in the</w:t>
      </w:r>
      <w:r w:rsidR="00042DC5">
        <w:rPr>
          <w:rFonts w:eastAsia="Calibri"/>
          <w:szCs w:val="22"/>
        </w:rPr>
        <w:t xml:space="preserve"> following</w:t>
      </w:r>
      <w:r w:rsidRPr="00487E4A">
        <w:rPr>
          <w:rFonts w:eastAsia="Calibri"/>
          <w:szCs w:val="22"/>
        </w:rPr>
        <w:t xml:space="preserve"> emission</w:t>
      </w:r>
      <w:r>
        <w:rPr>
          <w:rFonts w:eastAsia="Calibri"/>
          <w:szCs w:val="22"/>
        </w:rPr>
        <w:t>s</w:t>
      </w:r>
      <w:r w:rsidRPr="00487E4A">
        <w:rPr>
          <w:rFonts w:eastAsia="Calibri"/>
          <w:szCs w:val="22"/>
        </w:rPr>
        <w:t xml:space="preserve"> table.</w:t>
      </w:r>
    </w:p>
    <w:tbl>
      <w:tblPr>
        <w:tblW w:w="9270" w:type="dxa"/>
        <w:tblInd w:w="108" w:type="dxa"/>
        <w:tblCellMar>
          <w:left w:w="0" w:type="dxa"/>
          <w:right w:w="0" w:type="dxa"/>
        </w:tblCellMar>
        <w:tblLook w:val="04A0" w:firstRow="1" w:lastRow="0" w:firstColumn="1" w:lastColumn="0" w:noHBand="0" w:noVBand="1"/>
      </w:tblPr>
      <w:tblGrid>
        <w:gridCol w:w="2430"/>
        <w:gridCol w:w="3738"/>
        <w:gridCol w:w="3102"/>
      </w:tblGrid>
      <w:tr w:rsidR="00C906A5" w:rsidRPr="000D0275" w:rsidTr="00600AEC">
        <w:tc>
          <w:tcPr>
            <w:tcW w:w="243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C906A5" w:rsidRPr="00750DA3" w:rsidRDefault="00C906A5" w:rsidP="00600AEC">
            <w:pPr>
              <w:ind w:left="-108"/>
              <w:jc w:val="center"/>
              <w:rPr>
                <w:rFonts w:eastAsia="Calibri"/>
                <w:b/>
                <w:bCs/>
                <w:szCs w:val="22"/>
              </w:rPr>
            </w:pPr>
            <w:r w:rsidRPr="00750DA3">
              <w:rPr>
                <w:b/>
              </w:rPr>
              <w:t>Frequency (MHz)</w:t>
            </w:r>
          </w:p>
        </w:tc>
        <w:tc>
          <w:tcPr>
            <w:tcW w:w="37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906A5" w:rsidRPr="00750DA3" w:rsidRDefault="00C906A5" w:rsidP="00600AEC">
            <w:pPr>
              <w:jc w:val="center"/>
              <w:rPr>
                <w:rFonts w:eastAsia="Calibri"/>
                <w:b/>
                <w:bCs/>
                <w:szCs w:val="22"/>
              </w:rPr>
            </w:pPr>
            <w:r w:rsidRPr="00750DA3">
              <w:rPr>
                <w:b/>
              </w:rPr>
              <w:t>Field strength (microvolts/meter)</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6A5" w:rsidRPr="00750DA3" w:rsidRDefault="00C906A5" w:rsidP="00600AEC">
            <w:pPr>
              <w:ind w:right="-108"/>
              <w:jc w:val="center"/>
              <w:rPr>
                <w:rFonts w:eastAsia="Calibri"/>
                <w:b/>
                <w:bCs/>
                <w:szCs w:val="22"/>
              </w:rPr>
            </w:pPr>
            <w:r w:rsidRPr="00750DA3">
              <w:rPr>
                <w:b/>
              </w:rPr>
              <w:t>Measurement distance (meters)</w:t>
            </w:r>
          </w:p>
        </w:tc>
      </w:tr>
      <w:tr w:rsidR="00C906A5" w:rsidRPr="000D0275" w:rsidTr="00600AE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C906A5" w:rsidRPr="000D0275" w:rsidRDefault="00C906A5" w:rsidP="00600AEC">
            <w:pPr>
              <w:ind w:left="-108"/>
              <w:rPr>
                <w:rFonts w:eastAsia="Calibri"/>
                <w:szCs w:val="22"/>
              </w:rPr>
            </w:pPr>
            <w:r w:rsidRPr="00937EEF">
              <w:t>0.009-0.490</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rPr>
                <w:rFonts w:eastAsia="Calibri"/>
                <w:szCs w:val="22"/>
              </w:rPr>
            </w:pPr>
            <w:r w:rsidRPr="00937EEF">
              <w:t>2400/F(kHz)</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jc w:val="right"/>
              <w:rPr>
                <w:rFonts w:eastAsia="Calibri"/>
                <w:szCs w:val="22"/>
              </w:rPr>
            </w:pPr>
            <w:r w:rsidRPr="00937EEF">
              <w:t xml:space="preserve">300  </w:t>
            </w:r>
          </w:p>
        </w:tc>
      </w:tr>
      <w:tr w:rsidR="00C906A5" w:rsidRPr="000D0275" w:rsidTr="00600AE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C906A5" w:rsidRPr="000D0275" w:rsidRDefault="00C906A5" w:rsidP="00600AEC">
            <w:pPr>
              <w:ind w:left="-108"/>
              <w:rPr>
                <w:rFonts w:eastAsia="Calibri"/>
                <w:szCs w:val="22"/>
              </w:rPr>
            </w:pPr>
            <w:r w:rsidRPr="00937EEF">
              <w:t>0.490-1.705</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rPr>
                <w:rFonts w:eastAsia="Calibri"/>
                <w:szCs w:val="22"/>
              </w:rPr>
            </w:pPr>
            <w:r w:rsidRPr="00937EEF">
              <w:t>24000/F(kHz)</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jc w:val="right"/>
              <w:rPr>
                <w:rFonts w:eastAsia="Calibri"/>
                <w:szCs w:val="22"/>
              </w:rPr>
            </w:pPr>
            <w:r w:rsidRPr="00937EEF">
              <w:t>30</w:t>
            </w:r>
          </w:p>
        </w:tc>
      </w:tr>
      <w:tr w:rsidR="00C906A5" w:rsidRPr="000D0275" w:rsidTr="00600AE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C906A5" w:rsidRPr="000D0275" w:rsidRDefault="00C906A5" w:rsidP="00600AEC">
            <w:pPr>
              <w:ind w:left="-108"/>
              <w:rPr>
                <w:rFonts w:eastAsia="Calibri"/>
                <w:szCs w:val="22"/>
              </w:rPr>
            </w:pPr>
            <w:r w:rsidRPr="00937EEF">
              <w:t>1.705-30.0</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rPr>
                <w:rFonts w:eastAsia="Calibri"/>
                <w:szCs w:val="22"/>
              </w:rPr>
            </w:pPr>
            <w:r w:rsidRPr="00937EEF">
              <w:t>30</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jc w:val="right"/>
              <w:rPr>
                <w:rFonts w:eastAsia="Calibri"/>
                <w:szCs w:val="22"/>
              </w:rPr>
            </w:pPr>
            <w:r w:rsidRPr="00937EEF">
              <w:t>30</w:t>
            </w:r>
          </w:p>
        </w:tc>
      </w:tr>
      <w:tr w:rsidR="00C906A5" w:rsidRPr="000D0275" w:rsidTr="00600AE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C906A5" w:rsidRPr="000D0275" w:rsidRDefault="00C906A5" w:rsidP="00600AEC">
            <w:pPr>
              <w:ind w:left="-108"/>
              <w:rPr>
                <w:rFonts w:eastAsia="Calibri"/>
                <w:szCs w:val="22"/>
              </w:rPr>
            </w:pPr>
            <w:r w:rsidRPr="00937EEF">
              <w:t>30-88</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rPr>
                <w:rFonts w:eastAsia="Calibri"/>
                <w:szCs w:val="22"/>
              </w:rPr>
            </w:pPr>
            <w:r w:rsidRPr="00937EEF">
              <w:t>100</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jc w:val="right"/>
              <w:rPr>
                <w:rFonts w:eastAsia="Calibri"/>
                <w:szCs w:val="22"/>
              </w:rPr>
            </w:pPr>
            <w:r w:rsidRPr="00937EEF">
              <w:t>3</w:t>
            </w:r>
          </w:p>
        </w:tc>
      </w:tr>
      <w:tr w:rsidR="00C906A5" w:rsidRPr="000D0275" w:rsidTr="00600AE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C906A5" w:rsidRPr="000D0275" w:rsidRDefault="00C906A5" w:rsidP="00600AEC">
            <w:pPr>
              <w:ind w:left="-108"/>
              <w:rPr>
                <w:rFonts w:eastAsia="Calibri"/>
                <w:szCs w:val="22"/>
              </w:rPr>
            </w:pPr>
            <w:r w:rsidRPr="00937EEF">
              <w:t>88-216</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rPr>
                <w:rFonts w:eastAsia="Calibri"/>
                <w:szCs w:val="22"/>
              </w:rPr>
            </w:pPr>
            <w:r w:rsidRPr="00937EEF">
              <w:t>150</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C906A5" w:rsidRPr="000D0275" w:rsidRDefault="00C906A5" w:rsidP="00600AEC">
            <w:pPr>
              <w:jc w:val="right"/>
              <w:rPr>
                <w:rFonts w:eastAsia="Calibri"/>
                <w:szCs w:val="22"/>
              </w:rPr>
            </w:pPr>
            <w:r w:rsidRPr="00937EEF">
              <w:t>3</w:t>
            </w:r>
          </w:p>
        </w:tc>
      </w:tr>
      <w:tr w:rsidR="00C906A5" w:rsidRPr="000D0275" w:rsidTr="00600AE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C906A5" w:rsidRPr="000D0275" w:rsidRDefault="00C906A5" w:rsidP="00600AEC">
            <w:pPr>
              <w:ind w:left="-108"/>
              <w:rPr>
                <w:rFonts w:eastAsia="Calibri"/>
                <w:szCs w:val="22"/>
              </w:rPr>
            </w:pPr>
            <w:r w:rsidRPr="00937EEF">
              <w:t>216-960</w:t>
            </w:r>
          </w:p>
        </w:tc>
        <w:tc>
          <w:tcPr>
            <w:tcW w:w="3738"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906A5" w:rsidRPr="000D0275" w:rsidRDefault="00C906A5" w:rsidP="00600AEC">
            <w:pPr>
              <w:rPr>
                <w:rFonts w:eastAsia="Calibri"/>
                <w:szCs w:val="22"/>
              </w:rPr>
            </w:pPr>
            <w:r w:rsidRPr="00937EEF">
              <w:t>200</w:t>
            </w:r>
          </w:p>
        </w:tc>
        <w:tc>
          <w:tcPr>
            <w:tcW w:w="3102" w:type="dxa"/>
            <w:tcBorders>
              <w:top w:val="nil"/>
              <w:left w:val="nil"/>
              <w:bottom w:val="single" w:sz="4" w:space="0" w:color="auto"/>
              <w:right w:val="single" w:sz="8" w:space="0" w:color="auto"/>
            </w:tcBorders>
            <w:tcMar>
              <w:top w:w="0" w:type="dxa"/>
              <w:left w:w="108" w:type="dxa"/>
              <w:bottom w:w="0" w:type="dxa"/>
              <w:right w:w="108" w:type="dxa"/>
            </w:tcMar>
            <w:hideMark/>
          </w:tcPr>
          <w:p w:rsidR="00C906A5" w:rsidRPr="000D0275" w:rsidRDefault="00C906A5" w:rsidP="00600AEC">
            <w:pPr>
              <w:jc w:val="right"/>
              <w:rPr>
                <w:rFonts w:eastAsia="Calibri"/>
                <w:szCs w:val="22"/>
              </w:rPr>
            </w:pPr>
            <w:r w:rsidRPr="00937EEF">
              <w:t>3</w:t>
            </w:r>
          </w:p>
        </w:tc>
      </w:tr>
      <w:tr w:rsidR="00C906A5" w:rsidRPr="000D0275" w:rsidTr="00600AEC">
        <w:tc>
          <w:tcPr>
            <w:tcW w:w="243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06A5" w:rsidRPr="000D0275" w:rsidRDefault="00C906A5" w:rsidP="00600AEC">
            <w:pPr>
              <w:ind w:left="-108"/>
              <w:rPr>
                <w:rFonts w:eastAsia="Calibri"/>
                <w:szCs w:val="22"/>
              </w:rPr>
            </w:pPr>
            <w:r w:rsidRPr="00937EEF">
              <w:t>Above 960</w:t>
            </w:r>
          </w:p>
        </w:tc>
        <w:tc>
          <w:tcPr>
            <w:tcW w:w="373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C906A5" w:rsidRPr="000D0275" w:rsidRDefault="00C906A5" w:rsidP="00600AEC">
            <w:pPr>
              <w:rPr>
                <w:rFonts w:eastAsia="Calibri"/>
                <w:szCs w:val="22"/>
              </w:rPr>
            </w:pPr>
            <w:r w:rsidRPr="00937EEF">
              <w:t>500</w:t>
            </w:r>
          </w:p>
        </w:tc>
        <w:tc>
          <w:tcPr>
            <w:tcW w:w="31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06A5" w:rsidRPr="000D0275" w:rsidRDefault="00C906A5" w:rsidP="00600AEC">
            <w:pPr>
              <w:jc w:val="right"/>
              <w:rPr>
                <w:rFonts w:eastAsia="Calibri"/>
                <w:szCs w:val="22"/>
              </w:rPr>
            </w:pPr>
            <w:r w:rsidRPr="00937EEF">
              <w:t>3</w:t>
            </w:r>
          </w:p>
        </w:tc>
      </w:tr>
    </w:tbl>
    <w:p w:rsidR="00CB1C67" w:rsidRDefault="00CB1C67" w:rsidP="00C906A5">
      <w:pPr>
        <w:rPr>
          <w:rFonts w:eastAsia="Calibri"/>
          <w:szCs w:val="22"/>
        </w:rPr>
      </w:pPr>
    </w:p>
    <w:p w:rsidR="00C906A5" w:rsidRPr="00487E4A" w:rsidRDefault="00C906A5" w:rsidP="00C906A5">
      <w:pPr>
        <w:rPr>
          <w:rFonts w:eastAsia="Calibri"/>
          <w:szCs w:val="22"/>
        </w:rPr>
      </w:pPr>
      <w:r w:rsidRPr="00487E4A">
        <w:rPr>
          <w:rFonts w:eastAsia="Calibri"/>
          <w:szCs w:val="22"/>
        </w:rPr>
        <w:t>(i) In the emission</w:t>
      </w:r>
      <w:r>
        <w:rPr>
          <w:rFonts w:eastAsia="Calibri"/>
          <w:szCs w:val="22"/>
        </w:rPr>
        <w:t>s</w:t>
      </w:r>
      <w:r w:rsidRPr="00487E4A">
        <w:rPr>
          <w:rFonts w:eastAsia="Calibri"/>
          <w:szCs w:val="22"/>
        </w:rPr>
        <w:t xml:space="preserve"> table </w:t>
      </w:r>
      <w:r w:rsidR="00042DC5">
        <w:rPr>
          <w:rFonts w:eastAsia="Calibri"/>
          <w:szCs w:val="22"/>
        </w:rPr>
        <w:t>in paragraph (a)(1) of this section</w:t>
      </w:r>
      <w:r w:rsidRPr="00487E4A">
        <w:rPr>
          <w:rFonts w:eastAsia="Calibri"/>
          <w:szCs w:val="22"/>
        </w:rPr>
        <w:t>, the tighter limit applies at the band edges.</w:t>
      </w:r>
    </w:p>
    <w:p w:rsidR="00C906A5" w:rsidRPr="00487E4A" w:rsidRDefault="00C906A5" w:rsidP="00C906A5">
      <w:pPr>
        <w:ind w:firstLine="360"/>
        <w:rPr>
          <w:rFonts w:eastAsia="Calibri"/>
          <w:szCs w:val="22"/>
        </w:rPr>
      </w:pPr>
    </w:p>
    <w:p w:rsidR="00C906A5" w:rsidRPr="00487E4A" w:rsidRDefault="00C906A5" w:rsidP="00C906A5">
      <w:pPr>
        <w:widowControl/>
        <w:rPr>
          <w:rFonts w:eastAsia="Calibri"/>
          <w:szCs w:val="22"/>
        </w:rPr>
      </w:pPr>
      <w:r w:rsidRPr="00487E4A">
        <w:rPr>
          <w:rFonts w:eastAsia="Calibri"/>
          <w:szCs w:val="22"/>
        </w:rPr>
        <w:t>(ii) The limits in th</w:t>
      </w:r>
      <w:r w:rsidR="00042DC5">
        <w:rPr>
          <w:rFonts w:eastAsia="Calibri"/>
          <w:szCs w:val="22"/>
        </w:rPr>
        <w:t>e</w:t>
      </w:r>
      <w:r w:rsidRPr="00487E4A">
        <w:rPr>
          <w:rFonts w:eastAsia="Calibri"/>
          <w:szCs w:val="22"/>
        </w:rPr>
        <w:t xml:space="preserve"> table</w:t>
      </w:r>
      <w:r w:rsidR="00042DC5">
        <w:rPr>
          <w:rFonts w:eastAsia="Calibri"/>
          <w:szCs w:val="22"/>
        </w:rPr>
        <w:t xml:space="preserve"> in paragraph (a)(1) of this section</w:t>
      </w:r>
      <w:r w:rsidRPr="00487E4A">
        <w:rPr>
          <w:rFonts w:eastAsia="Calibri"/>
          <w:szCs w:val="22"/>
        </w:rPr>
        <w:t xml:space="preserve"> are based on the frequency of the unwanted emission</w:t>
      </w:r>
      <w:r>
        <w:rPr>
          <w:rFonts w:eastAsia="Calibri"/>
          <w:szCs w:val="22"/>
        </w:rPr>
        <w:t>s</w:t>
      </w:r>
      <w:r w:rsidRPr="00487E4A">
        <w:rPr>
          <w:rFonts w:eastAsia="Calibri"/>
          <w:szCs w:val="22"/>
        </w:rPr>
        <w:t xml:space="preserve"> and not the fundamental frequency.  However, the level of any unwanted emissions shall not exceed the level of the fundamental frequency.</w:t>
      </w:r>
    </w:p>
    <w:p w:rsidR="00C906A5" w:rsidRPr="00487E4A" w:rsidRDefault="00C906A5" w:rsidP="00C906A5">
      <w:pPr>
        <w:ind w:firstLine="360"/>
        <w:rPr>
          <w:rFonts w:eastAsia="Calibri"/>
          <w:szCs w:val="22"/>
        </w:rPr>
      </w:pPr>
    </w:p>
    <w:p w:rsidR="00C906A5" w:rsidRPr="00487E4A" w:rsidRDefault="00C906A5" w:rsidP="00E64EF5">
      <w:pPr>
        <w:widowControl/>
        <w:rPr>
          <w:rFonts w:eastAsia="Calibri"/>
          <w:szCs w:val="22"/>
        </w:rPr>
      </w:pPr>
      <w:r w:rsidRPr="00487E4A">
        <w:rPr>
          <w:rFonts w:eastAsia="Calibri"/>
          <w:szCs w:val="22"/>
        </w:rPr>
        <w:t>(iii) The emission</w:t>
      </w:r>
      <w:r>
        <w:rPr>
          <w:rFonts w:eastAsia="Calibri"/>
          <w:szCs w:val="22"/>
        </w:rPr>
        <w:t>s</w:t>
      </w:r>
      <w:r w:rsidRPr="00487E4A">
        <w:rPr>
          <w:rFonts w:eastAsia="Calibri"/>
          <w:szCs w:val="22"/>
        </w:rPr>
        <w:t xml:space="preserve"> limits shown in the table</w:t>
      </w:r>
      <w:r w:rsidR="00042DC5">
        <w:rPr>
          <w:rFonts w:eastAsia="Calibri"/>
          <w:szCs w:val="22"/>
        </w:rPr>
        <w:t xml:space="preserve"> in paragraph (a)(1) of this section</w:t>
      </w:r>
      <w:r w:rsidRPr="00487E4A">
        <w:rPr>
          <w:rFonts w:eastAsia="Calibri"/>
          <w:szCs w:val="22"/>
        </w:rPr>
        <w:t xml:space="preserve"> are based on measurements employing a CISPR quasi-peak detector except for the frequency bands 9.0-90.0 kHz, 110.0-490.0 kHz</w:t>
      </w:r>
      <w:r w:rsidR="005C6D9E">
        <w:rPr>
          <w:rFonts w:eastAsia="Calibri"/>
          <w:szCs w:val="22"/>
        </w:rPr>
        <w:t>,</w:t>
      </w:r>
      <w:r w:rsidRPr="00487E4A">
        <w:rPr>
          <w:rFonts w:eastAsia="Calibri"/>
          <w:szCs w:val="22"/>
        </w:rPr>
        <w:t xml:space="preserve"> and above 1000 MHz.  Radiated emission</w:t>
      </w:r>
      <w:r>
        <w:rPr>
          <w:rFonts w:eastAsia="Calibri"/>
          <w:szCs w:val="22"/>
        </w:rPr>
        <w:t>s</w:t>
      </w:r>
      <w:r w:rsidRPr="00487E4A">
        <w:rPr>
          <w:rFonts w:eastAsia="Calibri"/>
          <w:szCs w:val="22"/>
        </w:rPr>
        <w:t xml:space="preserve"> limits in these three bands are based on measurements employing an average detector with a 1 MHz RBW.</w:t>
      </w:r>
    </w:p>
    <w:p w:rsidR="00C906A5" w:rsidRPr="00487E4A" w:rsidRDefault="00C906A5" w:rsidP="00C906A5">
      <w:pPr>
        <w:rPr>
          <w:rFonts w:eastAsia="Calibri"/>
          <w:szCs w:val="22"/>
        </w:rPr>
      </w:pPr>
    </w:p>
    <w:p w:rsidR="00C906A5" w:rsidRPr="00487E4A" w:rsidRDefault="00C906A5" w:rsidP="00C906A5">
      <w:pPr>
        <w:rPr>
          <w:rFonts w:eastAsia="Calibri"/>
          <w:szCs w:val="22"/>
        </w:rPr>
      </w:pPr>
      <w:r w:rsidRPr="00487E4A">
        <w:rPr>
          <w:rFonts w:eastAsia="Calibri"/>
          <w:szCs w:val="22"/>
        </w:rPr>
        <w:t xml:space="preserve">(2) The power density of radiated emissions outside the </w:t>
      </w:r>
      <w:r w:rsidR="005C6D9E">
        <w:rPr>
          <w:rFonts w:eastAsia="Calibri"/>
          <w:szCs w:val="22"/>
        </w:rPr>
        <w:t>76-81 GHz</w:t>
      </w:r>
      <w:r w:rsidRPr="00487E4A">
        <w:rPr>
          <w:rFonts w:eastAsia="Calibri"/>
          <w:szCs w:val="22"/>
        </w:rPr>
        <w:t xml:space="preserve"> band above 40.0 GHz shall not exceed the following</w:t>
      </w:r>
      <w:r w:rsidR="005C6D9E">
        <w:rPr>
          <w:rFonts w:eastAsia="Calibri"/>
          <w:szCs w:val="22"/>
        </w:rPr>
        <w:t>, based on measurements</w:t>
      </w:r>
      <w:r w:rsidRPr="00487E4A">
        <w:rPr>
          <w:rFonts w:eastAsia="Calibri"/>
          <w:szCs w:val="22"/>
        </w:rPr>
        <w:t xml:space="preserve"> employing an average detector with a 1 MHz RBW:</w:t>
      </w:r>
    </w:p>
    <w:p w:rsidR="00C906A5" w:rsidRPr="00487E4A" w:rsidRDefault="00C906A5" w:rsidP="00C906A5">
      <w:pPr>
        <w:rPr>
          <w:rFonts w:eastAsia="Calibri"/>
          <w:szCs w:val="22"/>
        </w:rPr>
      </w:pPr>
    </w:p>
    <w:p w:rsidR="00C906A5" w:rsidRPr="00487E4A" w:rsidRDefault="00C906A5" w:rsidP="00C906A5">
      <w:pPr>
        <w:rPr>
          <w:rFonts w:eastAsia="Calibri"/>
          <w:szCs w:val="22"/>
        </w:rPr>
      </w:pPr>
      <w:r w:rsidRPr="00487E4A">
        <w:rPr>
          <w:rFonts w:eastAsia="Calibri"/>
          <w:szCs w:val="22"/>
        </w:rPr>
        <w:t xml:space="preserve">(i) For radiated emissions </w:t>
      </w:r>
      <w:r w:rsidR="005C6D9E">
        <w:rPr>
          <w:rFonts w:eastAsia="Calibri"/>
          <w:szCs w:val="22"/>
        </w:rPr>
        <w:t xml:space="preserve">outside the 76-81 GHz band </w:t>
      </w:r>
      <w:r w:rsidRPr="00487E4A">
        <w:rPr>
          <w:rFonts w:eastAsia="Calibri"/>
          <w:szCs w:val="22"/>
        </w:rPr>
        <w:t xml:space="preserve">between 40 </w:t>
      </w:r>
      <w:r w:rsidR="005C6D9E">
        <w:rPr>
          <w:rFonts w:eastAsia="Calibri"/>
          <w:szCs w:val="22"/>
        </w:rPr>
        <w:t xml:space="preserve">GHz </w:t>
      </w:r>
      <w:r w:rsidRPr="00487E4A">
        <w:rPr>
          <w:rFonts w:eastAsia="Calibri"/>
          <w:szCs w:val="22"/>
        </w:rPr>
        <w:t>and 200 GHz from field disturbance sensors and radar systems operating in the 76-81 GHz</w:t>
      </w:r>
      <w:r w:rsidR="005C6D9E">
        <w:rPr>
          <w:rFonts w:eastAsia="Calibri"/>
          <w:szCs w:val="22"/>
        </w:rPr>
        <w:t xml:space="preserve"> band</w:t>
      </w:r>
      <w:r w:rsidRPr="00487E4A">
        <w:rPr>
          <w:rFonts w:eastAsia="Calibri"/>
          <w:szCs w:val="22"/>
        </w:rPr>
        <w:t>: 600 pW/cm</w:t>
      </w:r>
      <w:r w:rsidRPr="00487E4A">
        <w:rPr>
          <w:rFonts w:eastAsia="Calibri"/>
          <w:szCs w:val="22"/>
          <w:vertAlign w:val="superscript"/>
        </w:rPr>
        <w:t>2</w:t>
      </w:r>
      <w:r w:rsidRPr="00487E4A">
        <w:rPr>
          <w:rFonts w:eastAsia="Calibri"/>
          <w:szCs w:val="22"/>
        </w:rPr>
        <w:t xml:space="preserve"> at a distance of 3 meters from the exterior surface of the radiating structure.</w:t>
      </w:r>
    </w:p>
    <w:p w:rsidR="00C906A5" w:rsidRPr="00487E4A" w:rsidRDefault="00C906A5" w:rsidP="00C906A5">
      <w:pPr>
        <w:rPr>
          <w:rFonts w:eastAsia="Calibri"/>
          <w:szCs w:val="22"/>
        </w:rPr>
      </w:pPr>
    </w:p>
    <w:p w:rsidR="00C906A5" w:rsidRPr="00487E4A" w:rsidRDefault="00C906A5" w:rsidP="00C906A5">
      <w:pPr>
        <w:rPr>
          <w:rFonts w:eastAsia="Calibri"/>
          <w:szCs w:val="22"/>
        </w:rPr>
      </w:pPr>
      <w:r w:rsidRPr="00487E4A">
        <w:rPr>
          <w:rFonts w:eastAsia="Calibri"/>
          <w:szCs w:val="22"/>
        </w:rPr>
        <w:t>(ii) For radiated emissions above 200 GHz from field disturbance sensors and radar systems operating in the 76-81 GHz band: 1000 pW/cm</w:t>
      </w:r>
      <w:r w:rsidRPr="00487E4A">
        <w:rPr>
          <w:rFonts w:eastAsia="Calibri"/>
          <w:szCs w:val="22"/>
          <w:vertAlign w:val="superscript"/>
        </w:rPr>
        <w:t>2</w:t>
      </w:r>
      <w:r w:rsidRPr="00487E4A">
        <w:rPr>
          <w:rFonts w:eastAsia="Calibri"/>
          <w:szCs w:val="22"/>
        </w:rPr>
        <w:t xml:space="preserve"> at a distance of 3 meters from the exterior surface of the radiating structure.</w:t>
      </w:r>
    </w:p>
    <w:p w:rsidR="00C906A5" w:rsidRPr="00487E4A" w:rsidRDefault="00C906A5" w:rsidP="00C906A5">
      <w:pPr>
        <w:rPr>
          <w:rFonts w:eastAsia="Calibri"/>
          <w:szCs w:val="22"/>
        </w:rPr>
      </w:pPr>
    </w:p>
    <w:p w:rsidR="00C906A5" w:rsidRDefault="00C906A5" w:rsidP="00C906A5">
      <w:pPr>
        <w:rPr>
          <w:rFonts w:eastAsia="Calibri"/>
          <w:szCs w:val="22"/>
        </w:rPr>
      </w:pPr>
      <w:r w:rsidRPr="00487E4A">
        <w:rPr>
          <w:rFonts w:eastAsia="Calibri"/>
          <w:szCs w:val="22"/>
        </w:rPr>
        <w:t>(3) For field disturbance sensors and radar systems operating in the 76-81 GHz band, the spectrum shall be investigated up to 231.0 GHz.</w:t>
      </w:r>
    </w:p>
    <w:p w:rsidR="00C906A5" w:rsidRPr="00487E4A" w:rsidRDefault="00C906A5" w:rsidP="00C906A5">
      <w:pPr>
        <w:rPr>
          <w:rFonts w:eastAsia="Calibri"/>
          <w:szCs w:val="22"/>
        </w:rPr>
      </w:pPr>
    </w:p>
    <w:p w:rsidR="00C906A5" w:rsidRPr="00487E4A" w:rsidRDefault="00C906A5" w:rsidP="00C906A5">
      <w:pPr>
        <w:spacing w:after="220"/>
        <w:rPr>
          <w:szCs w:val="22"/>
        </w:rPr>
      </w:pPr>
      <w:r w:rsidRPr="00487E4A">
        <w:rPr>
          <w:rFonts w:eastAsia="Calibri"/>
          <w:szCs w:val="22"/>
        </w:rPr>
        <w:t>(b) Fundamental emissions must be contained within the frequency bands specified in this section during all conditions of operation.  Equipment is presumed to oper</w:t>
      </w:r>
      <w:r>
        <w:rPr>
          <w:rFonts w:eastAsia="Calibri"/>
          <w:szCs w:val="22"/>
        </w:rPr>
        <w:t>ate over the temperature range -</w:t>
      </w:r>
      <w:r w:rsidRPr="00487E4A">
        <w:rPr>
          <w:rFonts w:eastAsia="Calibri"/>
          <w:szCs w:val="22"/>
        </w:rPr>
        <w:t>20 to +50 degrees Celsius with an input voltage variation of 85% to 115% of rated input voltage, unless justification is presented to demonstrate otherwise.</w:t>
      </w:r>
    </w:p>
    <w:p w:rsidR="00C906A5" w:rsidRPr="00487E4A" w:rsidRDefault="00C906A5" w:rsidP="00C906A5">
      <w:pPr>
        <w:rPr>
          <w:b/>
          <w:szCs w:val="22"/>
        </w:rPr>
      </w:pPr>
      <w:r w:rsidRPr="00487E4A">
        <w:rPr>
          <w:b/>
          <w:szCs w:val="22"/>
          <w:u w:val="single"/>
        </w:rPr>
        <w:t>§ 95.33</w:t>
      </w:r>
      <w:r w:rsidR="00EA38BB">
        <w:rPr>
          <w:b/>
          <w:szCs w:val="22"/>
          <w:u w:val="single"/>
        </w:rPr>
        <w:t>8</w:t>
      </w:r>
      <w:r>
        <w:rPr>
          <w:b/>
          <w:szCs w:val="22"/>
          <w:u w:val="single"/>
        </w:rPr>
        <w:t>5</w:t>
      </w:r>
      <w:r w:rsidRPr="00487E4A">
        <w:rPr>
          <w:b/>
          <w:szCs w:val="22"/>
          <w:u w:val="single"/>
        </w:rPr>
        <w:t xml:space="preserve">   76-81 GHz Band Radar Service RF exposure evaluation</w:t>
      </w:r>
      <w:r w:rsidRPr="00487E4A">
        <w:rPr>
          <w:b/>
          <w:szCs w:val="22"/>
        </w:rPr>
        <w:t>.</w:t>
      </w:r>
    </w:p>
    <w:p w:rsidR="00C906A5" w:rsidRPr="00487E4A" w:rsidRDefault="00C906A5" w:rsidP="00C906A5">
      <w:pPr>
        <w:rPr>
          <w:b/>
          <w:szCs w:val="22"/>
        </w:rPr>
      </w:pPr>
    </w:p>
    <w:p w:rsidR="00C906A5" w:rsidRPr="00487E4A" w:rsidRDefault="00C906A5" w:rsidP="00AD5CE8">
      <w:pPr>
        <w:spacing w:after="220"/>
        <w:rPr>
          <w:szCs w:val="22"/>
        </w:rPr>
      </w:pPr>
      <w:r w:rsidRPr="00487E4A">
        <w:rPr>
          <w:szCs w:val="22"/>
        </w:rPr>
        <w:t>Regardless of the power density levels permitted under this subpart, devices operating under the provisions of this subpart are subject to the radiofrequency radiation exposure requirements specified in §§ 1.1307(b), 2.1091</w:t>
      </w:r>
      <w:r w:rsidR="00E14DCF">
        <w:rPr>
          <w:szCs w:val="22"/>
        </w:rPr>
        <w:t>,</w:t>
      </w:r>
      <w:r w:rsidRPr="00487E4A">
        <w:rPr>
          <w:szCs w:val="22"/>
        </w:rPr>
        <w:t xml:space="preserve"> and 2.1093 of this chapter, as appropriate.  Applications for equipment authorization of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C906A5" w:rsidRPr="00487E4A" w:rsidRDefault="00214486" w:rsidP="00F64B49">
      <w:pPr>
        <w:keepNext/>
        <w:widowControl/>
        <w:jc w:val="center"/>
        <w:rPr>
          <w:b/>
          <w:szCs w:val="22"/>
        </w:rPr>
      </w:pPr>
      <w:r>
        <w:rPr>
          <w:b/>
          <w:szCs w:val="22"/>
        </w:rPr>
        <w:t>PART</w:t>
      </w:r>
      <w:r w:rsidR="00C906A5" w:rsidRPr="00487E4A">
        <w:rPr>
          <w:b/>
          <w:szCs w:val="22"/>
        </w:rPr>
        <w:t xml:space="preserve"> 97 – A</w:t>
      </w:r>
      <w:r w:rsidR="00AD5570">
        <w:rPr>
          <w:b/>
          <w:szCs w:val="22"/>
        </w:rPr>
        <w:t>MATEUR RADIO SERVICE</w:t>
      </w:r>
    </w:p>
    <w:p w:rsidR="00C906A5" w:rsidRPr="00487E4A" w:rsidRDefault="00C906A5" w:rsidP="00F64B49">
      <w:pPr>
        <w:keepNext/>
        <w:widowControl/>
        <w:rPr>
          <w:szCs w:val="22"/>
        </w:rPr>
      </w:pPr>
    </w:p>
    <w:p w:rsidR="00C906A5" w:rsidRPr="00487E4A" w:rsidRDefault="00C906A5" w:rsidP="00F64B49">
      <w:pPr>
        <w:keepNext/>
        <w:widowControl/>
        <w:numPr>
          <w:ilvl w:val="0"/>
          <w:numId w:val="9"/>
        </w:numPr>
        <w:tabs>
          <w:tab w:val="left" w:pos="360"/>
          <w:tab w:val="right" w:pos="720"/>
        </w:tabs>
        <w:spacing w:after="220"/>
        <w:ind w:left="0" w:firstLine="0"/>
        <w:jc w:val="both"/>
        <w:rPr>
          <w:szCs w:val="22"/>
        </w:rPr>
      </w:pPr>
      <w:r w:rsidRPr="00487E4A">
        <w:rPr>
          <w:szCs w:val="22"/>
        </w:rPr>
        <w:t>The authority citation for Part 97 continues to read as follows:</w:t>
      </w:r>
    </w:p>
    <w:p w:rsidR="00C906A5" w:rsidRPr="00487E4A" w:rsidRDefault="00C906A5" w:rsidP="00C906A5">
      <w:pPr>
        <w:tabs>
          <w:tab w:val="left" w:pos="1080"/>
        </w:tabs>
        <w:spacing w:after="220"/>
        <w:ind w:firstLine="360"/>
        <w:rPr>
          <w:szCs w:val="22"/>
        </w:rPr>
      </w:pPr>
      <w:r w:rsidRPr="00EE26B5">
        <w:rPr>
          <w:b/>
          <w:bCs/>
          <w:smallCaps/>
          <w:snapToGrid/>
          <w:kern w:val="0"/>
          <w:szCs w:val="22"/>
          <w:shd w:val="clear" w:color="auto" w:fill="FFFFFF"/>
        </w:rPr>
        <w:t>A</w:t>
      </w:r>
      <w:r w:rsidRPr="00EE26B5">
        <w:rPr>
          <w:rFonts w:ascii="Times New Roman Bold" w:hAnsi="Times New Roman Bold"/>
          <w:b/>
          <w:bCs/>
          <w:snapToGrid/>
          <w:kern w:val="0"/>
          <w:szCs w:val="22"/>
          <w:shd w:val="clear" w:color="auto" w:fill="FFFFFF"/>
        </w:rPr>
        <w:t>uthority</w:t>
      </w:r>
      <w:r w:rsidRPr="00EE26B5">
        <w:rPr>
          <w:b/>
          <w:bCs/>
          <w:smallCaps/>
          <w:snapToGrid/>
          <w:kern w:val="0"/>
          <w:szCs w:val="22"/>
          <w:shd w:val="clear" w:color="auto" w:fill="FFFFFF"/>
        </w:rPr>
        <w:t>:</w:t>
      </w:r>
      <w:r w:rsidRPr="00EE26B5">
        <w:rPr>
          <w:bCs/>
          <w:snapToGrid/>
          <w:kern w:val="0"/>
          <w:szCs w:val="22"/>
          <w:shd w:val="clear" w:color="auto" w:fill="FFFFFF"/>
        </w:rPr>
        <w:t xml:space="preserve"> </w:t>
      </w:r>
      <w:r w:rsidRPr="00EE26B5">
        <w:rPr>
          <w:snapToGrid/>
          <w:kern w:val="0"/>
          <w:szCs w:val="22"/>
        </w:rPr>
        <w:t xml:space="preserve"> </w:t>
      </w:r>
      <w:r w:rsidRPr="00487E4A">
        <w:rPr>
          <w:szCs w:val="22"/>
        </w:rPr>
        <w:t>48 Stat. 1066, 1082, as amended:</w:t>
      </w:r>
      <w:r w:rsidR="004F53B4">
        <w:rPr>
          <w:szCs w:val="22"/>
        </w:rPr>
        <w:t xml:space="preserve"> </w:t>
      </w:r>
      <w:r w:rsidRPr="00487E4A">
        <w:rPr>
          <w:szCs w:val="22"/>
        </w:rPr>
        <w:t xml:space="preserve"> 47 U.S.C. 154, 303.  Interpret or apply 48 Stat. 1064</w:t>
      </w:r>
      <w:r w:rsidRPr="00487E4A">
        <w:rPr>
          <w:szCs w:val="22"/>
        </w:rPr>
        <w:noBreakHyphen/>
        <w:t>1068, 1081-1105, as amended; 47 U.S.C. 151-155, 301-609, unless otherwise noted.</w:t>
      </w:r>
    </w:p>
    <w:p w:rsidR="00C906A5" w:rsidRPr="00487E4A" w:rsidRDefault="00042DC5" w:rsidP="00153575">
      <w:pPr>
        <w:numPr>
          <w:ilvl w:val="0"/>
          <w:numId w:val="9"/>
        </w:numPr>
        <w:tabs>
          <w:tab w:val="left" w:pos="360"/>
          <w:tab w:val="right" w:pos="720"/>
        </w:tabs>
        <w:spacing w:after="220"/>
        <w:ind w:left="0" w:firstLine="0"/>
        <w:rPr>
          <w:szCs w:val="22"/>
        </w:rPr>
      </w:pPr>
      <w:r>
        <w:rPr>
          <w:szCs w:val="22"/>
        </w:rPr>
        <w:t xml:space="preserve">Amend </w:t>
      </w:r>
      <w:r w:rsidR="00C906A5" w:rsidRPr="00487E4A">
        <w:rPr>
          <w:szCs w:val="22"/>
        </w:rPr>
        <w:t xml:space="preserve">Section 97.303 </w:t>
      </w:r>
      <w:r w:rsidR="003B52BA">
        <w:rPr>
          <w:szCs w:val="22"/>
        </w:rPr>
        <w:t>by</w:t>
      </w:r>
      <w:r w:rsidR="00153575">
        <w:rPr>
          <w:szCs w:val="22"/>
        </w:rPr>
        <w:t xml:space="preserve"> </w:t>
      </w:r>
      <w:r w:rsidR="00C906A5">
        <w:rPr>
          <w:szCs w:val="22"/>
        </w:rPr>
        <w:t>revising paragraph</w:t>
      </w:r>
      <w:r w:rsidR="00153575">
        <w:rPr>
          <w:szCs w:val="22"/>
        </w:rPr>
        <w:t>s</w:t>
      </w:r>
      <w:r w:rsidR="00C906A5">
        <w:rPr>
          <w:szCs w:val="22"/>
        </w:rPr>
        <w:t xml:space="preserve"> (c)</w:t>
      </w:r>
      <w:r w:rsidR="00153575">
        <w:rPr>
          <w:szCs w:val="22"/>
        </w:rPr>
        <w:t xml:space="preserve"> and (f)</w:t>
      </w:r>
      <w:r w:rsidR="00C906A5" w:rsidRPr="00487E4A">
        <w:rPr>
          <w:szCs w:val="22"/>
        </w:rPr>
        <w:t xml:space="preserve"> </w:t>
      </w:r>
      <w:r>
        <w:rPr>
          <w:szCs w:val="22"/>
        </w:rPr>
        <w:t xml:space="preserve">and removing and reserving paragraph (s) </w:t>
      </w:r>
      <w:r w:rsidR="00C906A5" w:rsidRPr="00487E4A">
        <w:rPr>
          <w:szCs w:val="22"/>
        </w:rPr>
        <w:t xml:space="preserve">to read as follows: </w:t>
      </w:r>
    </w:p>
    <w:p w:rsidR="00C906A5" w:rsidRPr="00487E4A" w:rsidRDefault="00C906A5" w:rsidP="00C906A5">
      <w:pPr>
        <w:widowControl/>
        <w:tabs>
          <w:tab w:val="left" w:pos="1080"/>
        </w:tabs>
        <w:spacing w:after="120"/>
        <w:rPr>
          <w:b/>
          <w:szCs w:val="22"/>
        </w:rPr>
      </w:pPr>
      <w:r w:rsidRPr="00487E4A">
        <w:rPr>
          <w:b/>
          <w:szCs w:val="22"/>
          <w:u w:val="single"/>
        </w:rPr>
        <w:t>§ 97.303   Frequency sharing requirements</w:t>
      </w:r>
      <w:r w:rsidRPr="00487E4A">
        <w:rPr>
          <w:b/>
          <w:szCs w:val="22"/>
        </w:rPr>
        <w:t>.</w:t>
      </w:r>
    </w:p>
    <w:p w:rsidR="00C906A5" w:rsidRPr="00487E4A" w:rsidRDefault="00C906A5" w:rsidP="00AD5CE8">
      <w:pPr>
        <w:widowControl/>
        <w:spacing w:after="120"/>
        <w:rPr>
          <w:szCs w:val="22"/>
        </w:rPr>
      </w:pPr>
      <w:r w:rsidRPr="00487E4A">
        <w:rPr>
          <w:szCs w:val="22"/>
        </w:rPr>
        <w:t>* * * * *</w:t>
      </w:r>
    </w:p>
    <w:p w:rsidR="00C906A5" w:rsidRPr="00487E4A" w:rsidRDefault="00C906A5" w:rsidP="00C906A5">
      <w:pPr>
        <w:widowControl/>
        <w:rPr>
          <w:szCs w:val="22"/>
        </w:rPr>
      </w:pPr>
      <w:r w:rsidRPr="00487E4A">
        <w:rPr>
          <w:szCs w:val="22"/>
        </w:rPr>
        <w:t>(c) Amateur stations transmitting in the 76-81 GHz segment, the 136-141 GHz segment, or the 241-248 GHz segment must not cause harmful interference to, and must accept interference from, stations authorized by the United States Government, the FCC, or other nations in the radiolocation service.</w:t>
      </w:r>
    </w:p>
    <w:p w:rsidR="00C906A5" w:rsidRPr="00487E4A" w:rsidRDefault="00C906A5" w:rsidP="00C906A5">
      <w:pPr>
        <w:widowControl/>
        <w:rPr>
          <w:szCs w:val="22"/>
        </w:rPr>
      </w:pPr>
    </w:p>
    <w:p w:rsidR="00C906A5" w:rsidRPr="00487E4A" w:rsidRDefault="00C906A5" w:rsidP="00C906A5">
      <w:pPr>
        <w:widowControl/>
        <w:rPr>
          <w:szCs w:val="22"/>
        </w:rPr>
      </w:pPr>
      <w:r w:rsidRPr="00487E4A">
        <w:rPr>
          <w:szCs w:val="22"/>
        </w:rPr>
        <w:t>* * * * *</w:t>
      </w:r>
    </w:p>
    <w:p w:rsidR="00C906A5" w:rsidRDefault="00C906A5" w:rsidP="00C906A5">
      <w:pPr>
        <w:widowControl/>
        <w:rPr>
          <w:szCs w:val="22"/>
        </w:rPr>
      </w:pPr>
    </w:p>
    <w:p w:rsidR="00153575" w:rsidRDefault="00153575" w:rsidP="00C906A5">
      <w:pPr>
        <w:widowControl/>
      </w:pPr>
      <w:r>
        <w:rPr>
          <w:szCs w:val="22"/>
        </w:rPr>
        <w:t xml:space="preserve">(f) </w:t>
      </w:r>
      <w:r w:rsidR="00D96DC9" w:rsidRPr="00D96DC9">
        <w:t>Amateur stations transmitting in the following segments must not cause harmful interference to radio astronomy stations: 3.332-3.339 GHz, 3.3458-3.3525 GHz, 76-81 GHz, 136-141 GHz, 241-248 GHz, 275-323 GHz, 327-371 GHz, 388-424 GHz, 426-442 GHz, 453-510 GHz, 623-711 GHz, 795-909 GHz, or 926-945 GHz. In addition, amateur stations transmitting in the following segments must not cause harmful interference to stations in the Earth exploration-satellite service (passive) or the space research service (passive): 275-277 GHz, 294-306 GHz, 316-334 GHz, 342-349 GHz, 363-365 GHz, 371-389 GHz, 416-434 GHz, 442-444 GHz, 496-506 GHz, 546</w:t>
      </w:r>
      <w:r w:rsidR="00D96DC9" w:rsidRPr="00D96DC9">
        <w:noBreakHyphen/>
        <w:t>568 GHz, 624-629 GHz, 634-654 GHz, 659-661 GHz, 684-692 GHz, 730-732 GHz, 851-853 GHz, or 951-956 GHz.</w:t>
      </w:r>
    </w:p>
    <w:p w:rsidR="00D96DC9" w:rsidRDefault="00D96DC9" w:rsidP="00C906A5">
      <w:pPr>
        <w:widowControl/>
      </w:pPr>
    </w:p>
    <w:p w:rsidR="00D96DC9" w:rsidRDefault="00D96DC9" w:rsidP="00C906A5">
      <w:pPr>
        <w:widowControl/>
      </w:pPr>
      <w:r>
        <w:t>* * * * *</w:t>
      </w:r>
    </w:p>
    <w:p w:rsidR="00D96DC9" w:rsidRDefault="00D96DC9" w:rsidP="00C906A5">
      <w:pPr>
        <w:widowControl/>
      </w:pPr>
      <w:r>
        <w:t>(s) [Reserved]</w:t>
      </w:r>
    </w:p>
    <w:p w:rsidR="00D96DC9" w:rsidRDefault="00D96DC9" w:rsidP="00C906A5">
      <w:pPr>
        <w:widowControl/>
      </w:pPr>
    </w:p>
    <w:p w:rsidR="00D96DC9" w:rsidRDefault="00D96DC9" w:rsidP="00C906A5">
      <w:pPr>
        <w:widowControl/>
      </w:pPr>
      <w:r>
        <w:t>* * * * *</w:t>
      </w:r>
    </w:p>
    <w:p w:rsidR="00C906A5" w:rsidRPr="00487E4A" w:rsidRDefault="00042DC5" w:rsidP="0053063B">
      <w:pPr>
        <w:numPr>
          <w:ilvl w:val="0"/>
          <w:numId w:val="9"/>
        </w:numPr>
        <w:tabs>
          <w:tab w:val="left" w:pos="360"/>
          <w:tab w:val="right" w:pos="720"/>
        </w:tabs>
        <w:spacing w:after="220"/>
        <w:ind w:left="0" w:firstLine="0"/>
        <w:jc w:val="both"/>
        <w:rPr>
          <w:szCs w:val="22"/>
        </w:rPr>
      </w:pPr>
      <w:r>
        <w:rPr>
          <w:szCs w:val="22"/>
        </w:rPr>
        <w:t xml:space="preserve">Amend </w:t>
      </w:r>
      <w:r w:rsidR="00C906A5" w:rsidRPr="00487E4A">
        <w:rPr>
          <w:szCs w:val="22"/>
        </w:rPr>
        <w:t>Section 97.313 by adding paragraph (</w:t>
      </w:r>
      <w:r>
        <w:rPr>
          <w:szCs w:val="22"/>
        </w:rPr>
        <w:t>m</w:t>
      </w:r>
      <w:r w:rsidR="00C906A5" w:rsidRPr="00487E4A">
        <w:rPr>
          <w:szCs w:val="22"/>
        </w:rPr>
        <w:t>) to read as follows:</w:t>
      </w:r>
    </w:p>
    <w:p w:rsidR="00C906A5" w:rsidRPr="00487E4A" w:rsidRDefault="00C906A5" w:rsidP="00C906A5">
      <w:pPr>
        <w:widowControl/>
        <w:tabs>
          <w:tab w:val="left" w:pos="1080"/>
        </w:tabs>
        <w:spacing w:after="120"/>
        <w:rPr>
          <w:b/>
          <w:szCs w:val="22"/>
        </w:rPr>
      </w:pPr>
      <w:r w:rsidRPr="00487E4A">
        <w:rPr>
          <w:b/>
          <w:szCs w:val="22"/>
          <w:u w:val="single"/>
        </w:rPr>
        <w:t>§ 97.313   Transmitter power standards</w:t>
      </w:r>
      <w:r w:rsidRPr="00487E4A">
        <w:rPr>
          <w:b/>
          <w:szCs w:val="22"/>
        </w:rPr>
        <w:t>.</w:t>
      </w:r>
    </w:p>
    <w:p w:rsidR="00C906A5" w:rsidRPr="00487E4A" w:rsidRDefault="00C906A5" w:rsidP="00C906A5">
      <w:pPr>
        <w:widowControl/>
        <w:spacing w:after="120"/>
        <w:ind w:firstLine="274"/>
        <w:rPr>
          <w:szCs w:val="22"/>
        </w:rPr>
      </w:pPr>
      <w:r w:rsidRPr="00487E4A">
        <w:rPr>
          <w:szCs w:val="22"/>
        </w:rPr>
        <w:t>* * * * *</w:t>
      </w:r>
    </w:p>
    <w:p w:rsidR="00C906A5" w:rsidRPr="00487E4A" w:rsidRDefault="00C906A5" w:rsidP="00C906A5">
      <w:pPr>
        <w:widowControl/>
        <w:rPr>
          <w:szCs w:val="22"/>
        </w:rPr>
      </w:pPr>
      <w:r w:rsidRPr="00487E4A">
        <w:rPr>
          <w:szCs w:val="22"/>
        </w:rPr>
        <w:t>(</w:t>
      </w:r>
      <w:r w:rsidR="00042DC5">
        <w:rPr>
          <w:szCs w:val="22"/>
        </w:rPr>
        <w:t>m</w:t>
      </w:r>
      <w:r w:rsidRPr="00487E4A">
        <w:rPr>
          <w:szCs w:val="22"/>
        </w:rPr>
        <w:t>) No station may transmit with a peak equivalent isotropically radiated power (EIRP) exceeding 316 W</w:t>
      </w:r>
      <w:r w:rsidR="002E02CE">
        <w:rPr>
          <w:szCs w:val="22"/>
        </w:rPr>
        <w:t xml:space="preserve"> </w:t>
      </w:r>
      <w:r w:rsidRPr="00487E4A">
        <w:rPr>
          <w:szCs w:val="22"/>
        </w:rPr>
        <w:t>in the 76-81 GHz (4 mm) band.</w:t>
      </w:r>
    </w:p>
    <w:p w:rsidR="00633A93" w:rsidRDefault="00633A93" w:rsidP="00C906A5">
      <w:pPr>
        <w:widowControl/>
        <w:rPr>
          <w:szCs w:val="22"/>
        </w:rPr>
        <w:sectPr w:rsidR="00633A93" w:rsidSect="00B823B5">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pPr>
    </w:p>
    <w:bookmarkEnd w:id="1432"/>
    <w:bookmarkEnd w:id="1433"/>
    <w:bookmarkEnd w:id="1434"/>
    <w:bookmarkEnd w:id="1435"/>
    <w:bookmarkEnd w:id="1436"/>
    <w:bookmarkEnd w:id="1437"/>
    <w:bookmarkEnd w:id="1438"/>
    <w:bookmarkEnd w:id="1439"/>
    <w:bookmarkEnd w:id="1440"/>
    <w:bookmarkEnd w:id="1441"/>
    <w:p w:rsidR="00976DA2" w:rsidRPr="00E8419C" w:rsidRDefault="00976DA2" w:rsidP="00976DA2">
      <w:pPr>
        <w:jc w:val="center"/>
        <w:rPr>
          <w:b/>
          <w:szCs w:val="22"/>
        </w:rPr>
      </w:pPr>
      <w:r w:rsidRPr="00E8419C">
        <w:rPr>
          <w:b/>
          <w:szCs w:val="22"/>
        </w:rPr>
        <w:t xml:space="preserve">APPENDIX </w:t>
      </w:r>
      <w:r>
        <w:rPr>
          <w:b/>
          <w:szCs w:val="22"/>
        </w:rPr>
        <w:t>B</w:t>
      </w:r>
    </w:p>
    <w:p w:rsidR="00976DA2" w:rsidRPr="00E8419C" w:rsidRDefault="00976DA2" w:rsidP="00976DA2">
      <w:pPr>
        <w:ind w:left="-187"/>
        <w:jc w:val="center"/>
        <w:rPr>
          <w:b/>
          <w:szCs w:val="22"/>
        </w:rPr>
      </w:pPr>
    </w:p>
    <w:p w:rsidR="00976DA2" w:rsidRPr="00E8419C" w:rsidRDefault="00976DA2" w:rsidP="00976DA2">
      <w:pPr>
        <w:ind w:left="-187"/>
        <w:jc w:val="center"/>
        <w:rPr>
          <w:b/>
          <w:szCs w:val="22"/>
        </w:rPr>
      </w:pPr>
      <w:r>
        <w:rPr>
          <w:b/>
          <w:szCs w:val="22"/>
        </w:rPr>
        <w:t>Final</w:t>
      </w:r>
      <w:r w:rsidRPr="00E8419C">
        <w:rPr>
          <w:b/>
          <w:szCs w:val="22"/>
        </w:rPr>
        <w:t xml:space="preserve"> Regulatory Flexibility Analysis</w:t>
      </w:r>
    </w:p>
    <w:p w:rsidR="00976DA2" w:rsidRPr="00E8419C" w:rsidRDefault="00976DA2" w:rsidP="00976DA2">
      <w:pPr>
        <w:ind w:left="-187"/>
        <w:jc w:val="center"/>
        <w:rPr>
          <w:b/>
          <w:szCs w:val="22"/>
        </w:rPr>
      </w:pPr>
    </w:p>
    <w:p w:rsidR="00976DA2" w:rsidRDefault="00976DA2" w:rsidP="00976DA2">
      <w:pPr>
        <w:widowControl/>
        <w:spacing w:after="120"/>
        <w:ind w:firstLine="720"/>
      </w:pPr>
      <w:r w:rsidRPr="00AA76A8">
        <w:t>As required by the Regulatory Flexibility Act of 1980, as amended (RFA),</w:t>
      </w:r>
      <w:r w:rsidRPr="00AA76A8">
        <w:rPr>
          <w:color w:val="000000"/>
          <w:sz w:val="20"/>
          <w:vertAlign w:val="superscript"/>
        </w:rPr>
        <w:footnoteReference w:id="212"/>
      </w:r>
      <w:r w:rsidRPr="00AA76A8">
        <w:t xml:space="preserve"> an Initial Regulatory Flexibility Analysis (IRFA) was incorporated in the Amendments to Part Parts 1, 2, 15, 90 and 95 of the Commission’s Rules to Permit Radar Services in the 76-81 GHz Band</w:t>
      </w:r>
      <w:r>
        <w:t xml:space="preserve">, </w:t>
      </w:r>
      <w:r w:rsidRPr="00AD284B">
        <w:rPr>
          <w:i/>
        </w:rPr>
        <w:t>Notice of Proposed Rulemaking and Reconsideration Order</w:t>
      </w:r>
      <w:r w:rsidRPr="007C28B6">
        <w:t>.</w:t>
      </w:r>
      <w:r w:rsidRPr="006712C6">
        <w:rPr>
          <w:vertAlign w:val="superscript"/>
        </w:rPr>
        <w:footnoteReference w:id="213"/>
      </w:r>
      <w:r>
        <w:t xml:space="preserve">  </w:t>
      </w:r>
      <w:r w:rsidRPr="007C28B6">
        <w:t xml:space="preserve">The Commission sought written public comment on the proposals in the </w:t>
      </w:r>
      <w:r w:rsidRPr="00AD284B">
        <w:rPr>
          <w:i/>
        </w:rPr>
        <w:t>NPRM</w:t>
      </w:r>
      <w:r w:rsidRPr="007C28B6">
        <w:t xml:space="preserve">, including comment on the IRFA. </w:t>
      </w:r>
      <w:r>
        <w:t xml:space="preserve"> </w:t>
      </w:r>
      <w:r w:rsidRPr="007C28B6">
        <w:t>This present Final Regulatory Flexibility Analysis (FRFA) conforms to the RFA.</w:t>
      </w:r>
      <w:r w:rsidRPr="00E8419C">
        <w:rPr>
          <w:sz w:val="20"/>
          <w:vertAlign w:val="superscript"/>
        </w:rPr>
        <w:footnoteReference w:id="214"/>
      </w:r>
    </w:p>
    <w:p w:rsidR="00976DA2" w:rsidRPr="00E8419C" w:rsidRDefault="00976DA2" w:rsidP="00976DA2">
      <w:pPr>
        <w:widowControl/>
        <w:tabs>
          <w:tab w:val="num" w:pos="1440"/>
        </w:tabs>
        <w:spacing w:after="120"/>
        <w:ind w:firstLine="720"/>
        <w:rPr>
          <w:b/>
          <w:szCs w:val="22"/>
        </w:rPr>
      </w:pPr>
      <w:r w:rsidRPr="00E8419C">
        <w:rPr>
          <w:b/>
          <w:szCs w:val="22"/>
        </w:rPr>
        <w:t>A.</w:t>
      </w:r>
      <w:r w:rsidRPr="00E8419C">
        <w:rPr>
          <w:b/>
          <w:szCs w:val="22"/>
        </w:rPr>
        <w:tab/>
        <w:t>Need for, and Objectives of, the Proposed Rules</w:t>
      </w:r>
    </w:p>
    <w:p w:rsidR="00AC30FD" w:rsidRDefault="00976DA2" w:rsidP="00AC30FD">
      <w:pPr>
        <w:spacing w:after="120"/>
        <w:ind w:firstLine="720"/>
        <w:rPr>
          <w:snapToGrid/>
          <w:kern w:val="0"/>
        </w:rPr>
      </w:pPr>
      <w:r w:rsidRPr="00E8419C">
        <w:t xml:space="preserve"> </w:t>
      </w:r>
      <w:r w:rsidRPr="00767458">
        <w:t xml:space="preserve">In </w:t>
      </w:r>
      <w:r w:rsidR="00AC30FD">
        <w:t xml:space="preserve">this </w:t>
      </w:r>
      <w:r w:rsidR="00AC30FD">
        <w:rPr>
          <w:i/>
          <w:iCs/>
        </w:rPr>
        <w:t>Report and Order</w:t>
      </w:r>
      <w:r w:rsidR="00AC30FD">
        <w:t xml:space="preserve">, we adopt various proposals made in an </w:t>
      </w:r>
      <w:r w:rsidR="00AC30FD">
        <w:rPr>
          <w:i/>
          <w:iCs/>
        </w:rPr>
        <w:t>NPRM</w:t>
      </w:r>
      <w:r w:rsidR="00AC30FD">
        <w:t xml:space="preserve"> adopted in 2015 to permit certain radar applications in the entire 76-81 GHz band, i.e., vehicular radars, and non-vehicular radars at airport locations, and we make the appropriate changes to the U.S. Table of Frequency Allocations.  Given this large contiguous spectrum band we are providing for vehicular radar use, we remove vehicular radar operations from the 16.2-17.7 GHz and 46.7-46.9 GHz bands, and establish a gradual phasing out of wideband and </w:t>
      </w:r>
      <w:r w:rsidR="00FF2787">
        <w:t>ultra-wideband (</w:t>
      </w:r>
      <w:r w:rsidR="00AC30FD">
        <w:t>UWB</w:t>
      </w:r>
      <w:r w:rsidR="00FF2787">
        <w:t>)</w:t>
      </w:r>
      <w:r w:rsidR="00AC30FD">
        <w:t xml:space="preserve"> vehicular radar operations in the 23.12-29.0 GHz band and the 22-29 GHz band, respectively.  We also evaluate the compatibility of radar applications with incumbent operations in the 76-81 GHz band.  Finally, we consolidate the technical rules for radar operations in the 76-81 GHz bands under Part 95.  By these actions, we establish a comprehensive and consistent set of rules and policies to govern the operation of vehicular radars, and non-vehicular radar operations at airport locations, in the 76-81 GHz band.</w:t>
      </w:r>
    </w:p>
    <w:p w:rsidR="00976DA2" w:rsidRPr="00767458" w:rsidRDefault="00976DA2" w:rsidP="00976DA2">
      <w:pPr>
        <w:tabs>
          <w:tab w:val="num" w:pos="1440"/>
        </w:tabs>
        <w:spacing w:after="120"/>
        <w:ind w:firstLine="720"/>
      </w:pPr>
      <w:r w:rsidRPr="00767458">
        <w:t xml:space="preserve">Radar applications discussed in the </w:t>
      </w:r>
      <w:r w:rsidRPr="00767458">
        <w:rPr>
          <w:i/>
        </w:rPr>
        <w:t xml:space="preserve">Report and Order </w:t>
      </w:r>
      <w:r w:rsidRPr="00767458">
        <w:t>include:</w:t>
      </w:r>
    </w:p>
    <w:p w:rsidR="00976DA2" w:rsidRPr="00767458" w:rsidRDefault="00976DA2" w:rsidP="00976DA2">
      <w:pPr>
        <w:numPr>
          <w:ilvl w:val="0"/>
          <w:numId w:val="17"/>
        </w:numPr>
        <w:tabs>
          <w:tab w:val="num" w:pos="1440"/>
        </w:tabs>
        <w:spacing w:after="120"/>
      </w:pPr>
      <w:r w:rsidRPr="00767458">
        <w:t xml:space="preserve">Vehicular radars that can determine the exact distance and relative speed of objects in front of, beside, or behind a car to improve the driver’s ability to perceive objects under bad visibility conditions or objects that are in blind spots.  Some examples of vehicular radar systems include collision warning and mitigation systems, blind spot detection systems, lane change assist, and parking aid systems. </w:t>
      </w:r>
    </w:p>
    <w:p w:rsidR="00976DA2" w:rsidRPr="00767458" w:rsidRDefault="00976DA2" w:rsidP="00976DA2">
      <w:pPr>
        <w:numPr>
          <w:ilvl w:val="0"/>
          <w:numId w:val="17"/>
        </w:numPr>
        <w:tabs>
          <w:tab w:val="num" w:pos="1440"/>
        </w:tabs>
        <w:spacing w:after="120"/>
      </w:pPr>
      <w:r w:rsidRPr="00767458">
        <w:t>Radars that detect foreign object debris (FOD) at airports.  The presence of FOD in an airport’s air operations area poses a significant threat to the safety of air travel.  FOD on taxiways and runways has the potential to damage aircraft during the critical phases of takeoffs and landings, which can lead to catastrophic loss of life, and at the very least, increased maintenance and operating costs.</w:t>
      </w:r>
    </w:p>
    <w:p w:rsidR="00976DA2" w:rsidRPr="00767458" w:rsidRDefault="00976DA2" w:rsidP="00976DA2">
      <w:pPr>
        <w:numPr>
          <w:ilvl w:val="0"/>
          <w:numId w:val="17"/>
        </w:numPr>
        <w:tabs>
          <w:tab w:val="num" w:pos="1440"/>
        </w:tabs>
        <w:spacing w:after="120"/>
      </w:pPr>
      <w:r w:rsidRPr="00767458">
        <w:t>Aircraft-mounted radars, that are intended to prevent or mitigate the severity of aircraft wing collisions while a plane is taxiing on the tarmac.  These radars are used only while aircraft are on the ground.  Mitigating the risk of wingtip collisions can reduce costs and improve safety for both aviation personnel and the traveling public.</w:t>
      </w:r>
    </w:p>
    <w:p w:rsidR="00976DA2" w:rsidRPr="00D26BB7" w:rsidRDefault="00976DA2" w:rsidP="00976DA2">
      <w:pPr>
        <w:widowControl/>
        <w:tabs>
          <w:tab w:val="num" w:pos="1440"/>
        </w:tabs>
        <w:spacing w:after="120"/>
        <w:ind w:firstLine="720"/>
        <w:rPr>
          <w:b/>
        </w:rPr>
      </w:pPr>
      <w:r w:rsidRPr="00D26BB7">
        <w:rPr>
          <w:b/>
        </w:rPr>
        <w:t>B.</w:t>
      </w:r>
      <w:r w:rsidRPr="00D26BB7">
        <w:rPr>
          <w:b/>
        </w:rPr>
        <w:tab/>
      </w:r>
      <w:bookmarkStart w:id="1447" w:name="_Toc441766270"/>
      <w:bookmarkStart w:id="1448" w:name="_Toc441849974"/>
      <w:bookmarkStart w:id="1449" w:name="_Toc442357080"/>
      <w:bookmarkStart w:id="1450" w:name="_Toc446365678"/>
      <w:bookmarkStart w:id="1451" w:name="_Toc447126341"/>
      <w:bookmarkStart w:id="1452" w:name="_Toc447546567"/>
      <w:bookmarkStart w:id="1453" w:name="_Toc448141333"/>
      <w:bookmarkStart w:id="1454" w:name="_Toc448923148"/>
      <w:bookmarkStart w:id="1455" w:name="_Toc448928031"/>
      <w:bookmarkStart w:id="1456" w:name="_Toc449976191"/>
      <w:bookmarkStart w:id="1457" w:name="_Toc450129845"/>
      <w:bookmarkStart w:id="1458" w:name="_Toc451847919"/>
      <w:bookmarkStart w:id="1459" w:name="_Toc451877945"/>
      <w:r w:rsidRPr="00D26BB7">
        <w:rPr>
          <w:b/>
        </w:rPr>
        <w:t>Summary of Significant Issues Raised by Public Comments in Response to the IRFA</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rsidR="00976DA2" w:rsidRPr="00E8419C" w:rsidRDefault="00976DA2" w:rsidP="00976DA2">
      <w:pPr>
        <w:widowControl/>
        <w:tabs>
          <w:tab w:val="num" w:pos="1440"/>
        </w:tabs>
        <w:spacing w:after="120"/>
        <w:ind w:firstLine="720"/>
      </w:pPr>
      <w:r>
        <w:t>There were no comments filed that specifically addressed the rules and policies proposed in the IRFA.</w:t>
      </w:r>
    </w:p>
    <w:p w:rsidR="00976DA2" w:rsidRPr="00302B1C" w:rsidRDefault="00976DA2" w:rsidP="00976DA2">
      <w:pPr>
        <w:widowControl/>
        <w:tabs>
          <w:tab w:val="num" w:pos="1440"/>
        </w:tabs>
        <w:spacing w:after="120"/>
        <w:ind w:left="1440" w:hanging="720"/>
        <w:outlineLvl w:val="1"/>
        <w:rPr>
          <w:b/>
        </w:rPr>
      </w:pPr>
      <w:bookmarkStart w:id="1460" w:name="_Toc454322900"/>
      <w:bookmarkStart w:id="1461" w:name="_Toc454323401"/>
      <w:r w:rsidRPr="00302B1C">
        <w:rPr>
          <w:b/>
        </w:rPr>
        <w:t>C.</w:t>
      </w:r>
      <w:r w:rsidRPr="00302B1C">
        <w:rPr>
          <w:b/>
        </w:rPr>
        <w:tab/>
        <w:t>Response to comments by the Chief Counsel for Advocacy of the Small Business Administration</w:t>
      </w:r>
      <w:bookmarkEnd w:id="1460"/>
      <w:bookmarkEnd w:id="1461"/>
      <w:r w:rsidRPr="00302B1C">
        <w:rPr>
          <w:b/>
        </w:rPr>
        <w:t xml:space="preserve"> </w:t>
      </w:r>
    </w:p>
    <w:p w:rsidR="00976DA2" w:rsidRPr="00E8419C" w:rsidRDefault="00976DA2" w:rsidP="00976DA2">
      <w:pPr>
        <w:widowControl/>
        <w:tabs>
          <w:tab w:val="num" w:pos="1440"/>
        </w:tabs>
        <w:spacing w:after="120"/>
        <w:ind w:firstLine="720"/>
      </w:pPr>
      <w:r w:rsidRPr="007C6F90">
        <w:t xml:space="preserve">The </w:t>
      </w:r>
      <w:r>
        <w:t>Chief Counsel did not file any comments in response to the proposed rules in this proceeding.</w:t>
      </w:r>
    </w:p>
    <w:p w:rsidR="00976DA2" w:rsidRPr="00767458" w:rsidRDefault="00976DA2" w:rsidP="00976DA2">
      <w:pPr>
        <w:widowControl/>
        <w:tabs>
          <w:tab w:val="num" w:pos="1440"/>
        </w:tabs>
        <w:spacing w:after="120"/>
        <w:ind w:left="1440" w:hanging="720"/>
        <w:outlineLvl w:val="1"/>
        <w:rPr>
          <w:b/>
          <w:szCs w:val="22"/>
        </w:rPr>
      </w:pPr>
      <w:r w:rsidRPr="00767458">
        <w:rPr>
          <w:b/>
          <w:szCs w:val="22"/>
        </w:rPr>
        <w:t>D.</w:t>
      </w:r>
      <w:r w:rsidRPr="00767458">
        <w:rPr>
          <w:b/>
          <w:szCs w:val="22"/>
        </w:rPr>
        <w:tab/>
        <w:t>Description and Estimate of the Number of Small Entities to Which the Proposed Rule Will Apply</w:t>
      </w:r>
    </w:p>
    <w:p w:rsidR="00976DA2" w:rsidRDefault="00976DA2" w:rsidP="00976DA2">
      <w:pPr>
        <w:widowControl/>
        <w:tabs>
          <w:tab w:val="num" w:pos="1440"/>
        </w:tabs>
        <w:spacing w:after="120"/>
        <w:ind w:firstLine="720"/>
      </w:pPr>
      <w:r w:rsidRPr="00E8419C">
        <w:t>The RFA directs agencies to provide a description of, and, where feasible, an estimate of, the number of small entities that may be affected by the rules adopted herein.</w:t>
      </w:r>
      <w:r w:rsidRPr="00E8419C">
        <w:rPr>
          <w:sz w:val="20"/>
          <w:vertAlign w:val="superscript"/>
        </w:rPr>
        <w:footnoteReference w:id="215"/>
      </w:r>
      <w:r w:rsidRPr="00E8419C">
        <w:t xml:space="preserve">  The RFA generally defines the term “small entity” as having the same meaning as the terms “small business,” “small organization,” and “small governmental jurisdiction.”</w:t>
      </w:r>
      <w:r w:rsidRPr="00E8419C">
        <w:rPr>
          <w:sz w:val="20"/>
          <w:vertAlign w:val="superscript"/>
        </w:rPr>
        <w:footnoteReference w:id="216"/>
      </w:r>
      <w:r w:rsidRPr="00E8419C">
        <w:t xml:space="preserve">  In addition, the term “small business” has the same meaning as the term “small business concern” under the Small Business Act.</w:t>
      </w:r>
      <w:r w:rsidRPr="00E8419C">
        <w:rPr>
          <w:sz w:val="20"/>
          <w:vertAlign w:val="superscript"/>
        </w:rPr>
        <w:footnoteReference w:id="217"/>
      </w:r>
      <w:r w:rsidRPr="00E8419C">
        <w:t xml:space="preserve">  A “small business concern” is one which: (1) is independently owned and operated; (2) is not dominant in its field of operation; and (3) satisfies any additional criteria established by the Small Business Administration (SBA).</w:t>
      </w:r>
      <w:r w:rsidRPr="00E8419C">
        <w:rPr>
          <w:sz w:val="20"/>
          <w:vertAlign w:val="superscript"/>
        </w:rPr>
        <w:footnoteReference w:id="218"/>
      </w:r>
    </w:p>
    <w:p w:rsidR="00976DA2" w:rsidRDefault="00976DA2" w:rsidP="00976DA2">
      <w:pPr>
        <w:widowControl/>
        <w:tabs>
          <w:tab w:val="num" w:pos="1440"/>
        </w:tabs>
        <w:spacing w:after="120"/>
        <w:ind w:firstLine="720"/>
      </w:pPr>
      <w:r w:rsidRPr="00B711E0">
        <w:rPr>
          <w:i/>
        </w:rPr>
        <w:t>Other Communications Equipment Manufacturing.</w:t>
      </w:r>
      <w:r>
        <w:t xml:space="preserve"> </w:t>
      </w:r>
      <w:r w:rsidR="00984952">
        <w:t xml:space="preserve"> </w:t>
      </w:r>
      <w:r w:rsidR="00984952" w:rsidRPr="004E6392">
        <w:rPr>
          <w:rFonts w:eastAsia="Calibri"/>
          <w:snapToGrid/>
          <w:kern w:val="0"/>
          <w:szCs w:val="22"/>
        </w:rPr>
        <w:t>This industry comprises establishments primarily engaged in manufacturing communications equipment (except telephone apparatus, and radio and television broadcast, and wireless communications equipment).  Examples of such manufacturing include fire detection and alarm systems manufacturing, Intercom systems and equipment manufacturing, and signals (e.g., highway, pedestrian, railway, traffic) manufacturing.</w:t>
      </w:r>
      <w:r w:rsidR="00984952" w:rsidRPr="004E6392">
        <w:rPr>
          <w:rStyle w:val="FootnoteReference"/>
          <w:rFonts w:eastAsia="Calibri"/>
          <w:snapToGrid/>
          <w:kern w:val="0"/>
          <w:sz w:val="22"/>
          <w:szCs w:val="22"/>
        </w:rPr>
        <w:footnoteReference w:id="219"/>
      </w:r>
      <w:r w:rsidR="00984952" w:rsidRPr="004E6392">
        <w:rPr>
          <w:rFonts w:eastAsia="Calibri"/>
          <w:snapToGrid/>
          <w:kern w:val="0"/>
          <w:szCs w:val="22"/>
        </w:rPr>
        <w:t xml:space="preserve"> </w:t>
      </w:r>
      <w:r w:rsidR="00984952">
        <w:rPr>
          <w:rFonts w:eastAsia="Calibri"/>
          <w:snapToGrid/>
          <w:kern w:val="0"/>
          <w:szCs w:val="22"/>
        </w:rPr>
        <w:t xml:space="preserve"> </w:t>
      </w:r>
      <w:r w:rsidR="00984952" w:rsidRPr="004E6392">
        <w:rPr>
          <w:rFonts w:eastAsia="Calibri"/>
          <w:snapToGrid/>
          <w:kern w:val="0"/>
          <w:szCs w:val="22"/>
        </w:rPr>
        <w:t>The SBA has established a size standard for this industry as 750 or fewer employees.</w:t>
      </w:r>
      <w:r w:rsidR="00984952" w:rsidRPr="004E6392">
        <w:rPr>
          <w:rFonts w:eastAsia="Calibri"/>
          <w:snapToGrid/>
          <w:kern w:val="0"/>
          <w:szCs w:val="22"/>
          <w:vertAlign w:val="superscript"/>
        </w:rPr>
        <w:footnoteReference w:id="220"/>
      </w:r>
      <w:r w:rsidR="00984952" w:rsidRPr="004E6392">
        <w:rPr>
          <w:rFonts w:eastAsia="Calibri"/>
          <w:snapToGrid/>
          <w:kern w:val="0"/>
          <w:szCs w:val="22"/>
        </w:rPr>
        <w:t xml:space="preserve"> </w:t>
      </w:r>
      <w:r w:rsidR="00984952">
        <w:rPr>
          <w:rFonts w:eastAsia="Calibri"/>
          <w:snapToGrid/>
          <w:kern w:val="0"/>
          <w:szCs w:val="22"/>
        </w:rPr>
        <w:t xml:space="preserve"> </w:t>
      </w:r>
      <w:r w:rsidR="00984952" w:rsidRPr="004E6392">
        <w:rPr>
          <w:rFonts w:eastAsia="Calibri"/>
          <w:snapToGrid/>
          <w:kern w:val="0"/>
          <w:szCs w:val="22"/>
        </w:rPr>
        <w:t>Census data for 2012 show that 383 establishments operated in that year.  Of that number, 379 operated with fewer than 500 employees.</w:t>
      </w:r>
      <w:r w:rsidR="00984952" w:rsidRPr="004E6392">
        <w:rPr>
          <w:rFonts w:eastAsia="Calibri"/>
          <w:snapToGrid/>
          <w:kern w:val="0"/>
          <w:szCs w:val="22"/>
          <w:vertAlign w:val="superscript"/>
        </w:rPr>
        <w:footnoteReference w:id="221"/>
      </w:r>
      <w:r w:rsidR="00984952" w:rsidRPr="004E6392">
        <w:rPr>
          <w:rFonts w:eastAsia="Calibri"/>
          <w:snapToGrid/>
          <w:kern w:val="0"/>
          <w:szCs w:val="22"/>
        </w:rPr>
        <w:t xml:space="preserve"> </w:t>
      </w:r>
      <w:r w:rsidR="00984952">
        <w:rPr>
          <w:rFonts w:eastAsia="Calibri"/>
          <w:snapToGrid/>
          <w:kern w:val="0"/>
          <w:szCs w:val="22"/>
        </w:rPr>
        <w:t xml:space="preserve"> </w:t>
      </w:r>
      <w:r w:rsidR="00984952" w:rsidRPr="004E6392">
        <w:rPr>
          <w:rFonts w:eastAsia="Calibri"/>
          <w:snapToGrid/>
          <w:kern w:val="0"/>
          <w:szCs w:val="22"/>
        </w:rPr>
        <w:t>Based on this data, we conclude that the majority of Other Communications Equipment Manufacturers are small.</w:t>
      </w:r>
    </w:p>
    <w:p w:rsidR="00976DA2" w:rsidRPr="00E8419C" w:rsidRDefault="00976DA2" w:rsidP="00976DA2">
      <w:pPr>
        <w:widowControl/>
        <w:tabs>
          <w:tab w:val="num" w:pos="1440"/>
        </w:tabs>
        <w:spacing w:after="120"/>
        <w:ind w:firstLine="720"/>
      </w:pPr>
      <w:r w:rsidRPr="0048481C">
        <w:rPr>
          <w:i/>
        </w:rPr>
        <w:t>Search, Detection, Navigation, Guidance, Aeronautical, and Nautical System and Instrument Manufacturing.</w:t>
      </w:r>
      <w:r>
        <w:t xml:space="preserve">  </w:t>
      </w:r>
      <w:r w:rsidR="00F9343B" w:rsidRPr="004E6392">
        <w:rPr>
          <w:rFonts w:eastAsia="Calibri"/>
          <w:snapToGrid/>
          <w:kern w:val="0"/>
          <w:szCs w:val="22"/>
        </w:rPr>
        <w:t>This U.S. industry comprises establishments primarily engaged in manufacturing search, detection, navigation, guidance, aeronautical, and nautical systems and instruments.  Examples of products made by these establishments are aircraft instruments (except engine), flight recorders, navigational instruments and systems, radar systems and equipment, and sonar systems and equipment.</w:t>
      </w:r>
      <w:r w:rsidR="00F9343B" w:rsidRPr="004E6392">
        <w:rPr>
          <w:rFonts w:eastAsia="Calibri"/>
          <w:snapToGrid/>
          <w:kern w:val="0"/>
          <w:szCs w:val="22"/>
          <w:vertAlign w:val="superscript"/>
        </w:rPr>
        <w:footnoteReference w:id="222"/>
      </w:r>
      <w:r w:rsidR="00F9343B" w:rsidRPr="004E6392">
        <w:rPr>
          <w:rFonts w:eastAsia="Calibri"/>
          <w:snapToGrid/>
          <w:kern w:val="0"/>
          <w:szCs w:val="22"/>
        </w:rPr>
        <w:t xml:space="preserve">  The SBA has established a size standard for this industry of 1,250 or fewer employees.</w:t>
      </w:r>
      <w:r w:rsidR="00F9343B" w:rsidRPr="004E6392">
        <w:rPr>
          <w:rFonts w:eastAsia="Calibri"/>
          <w:snapToGrid/>
          <w:kern w:val="0"/>
          <w:szCs w:val="22"/>
          <w:vertAlign w:val="superscript"/>
        </w:rPr>
        <w:footnoteReference w:id="223"/>
      </w:r>
      <w:r w:rsidR="00F9343B">
        <w:rPr>
          <w:rFonts w:eastAsia="Calibri"/>
          <w:snapToGrid/>
          <w:kern w:val="0"/>
          <w:szCs w:val="22"/>
        </w:rPr>
        <w:t xml:space="preserve">  </w:t>
      </w:r>
      <w:r w:rsidR="00F9343B" w:rsidRPr="004E6392">
        <w:rPr>
          <w:rFonts w:eastAsia="Calibri"/>
          <w:snapToGrid/>
          <w:kern w:val="0"/>
          <w:szCs w:val="22"/>
        </w:rPr>
        <w:t xml:space="preserve">Data from the 2012 Economic Census data for 2012 show that 588 establishments operated in that year. </w:t>
      </w:r>
      <w:r w:rsidR="00F9343B">
        <w:rPr>
          <w:rFonts w:eastAsia="Calibri"/>
          <w:snapToGrid/>
          <w:kern w:val="0"/>
          <w:szCs w:val="22"/>
        </w:rPr>
        <w:t xml:space="preserve"> </w:t>
      </w:r>
      <w:r w:rsidR="00F9343B" w:rsidRPr="004E6392">
        <w:rPr>
          <w:rFonts w:eastAsia="Calibri"/>
          <w:snapToGrid/>
          <w:kern w:val="0"/>
          <w:szCs w:val="22"/>
        </w:rPr>
        <w:t>Of that number, 533 operated with fewer than 500 employees.</w:t>
      </w:r>
      <w:r w:rsidR="00F9343B" w:rsidRPr="004E6392">
        <w:rPr>
          <w:rFonts w:eastAsia="Calibri"/>
          <w:snapToGrid/>
          <w:kern w:val="0"/>
          <w:szCs w:val="22"/>
          <w:vertAlign w:val="superscript"/>
        </w:rPr>
        <w:footnoteReference w:id="224"/>
      </w:r>
      <w:r w:rsidR="00F9343B">
        <w:rPr>
          <w:rFonts w:eastAsia="Calibri"/>
          <w:snapToGrid/>
          <w:kern w:val="0"/>
          <w:szCs w:val="22"/>
        </w:rPr>
        <w:t xml:space="preserve"> </w:t>
      </w:r>
      <w:r w:rsidR="00F9343B" w:rsidRPr="004E6392">
        <w:rPr>
          <w:rFonts w:eastAsia="Calibri"/>
          <w:snapToGrid/>
          <w:kern w:val="0"/>
          <w:szCs w:val="22"/>
        </w:rPr>
        <w:t xml:space="preserve"> Based on this data, we conclude that the majority of manufacturers in this industry are small</w:t>
      </w:r>
      <w:r>
        <w:t>.</w:t>
      </w:r>
    </w:p>
    <w:p w:rsidR="00976DA2" w:rsidRPr="00E8419C" w:rsidRDefault="00976DA2" w:rsidP="00976DA2">
      <w:pPr>
        <w:tabs>
          <w:tab w:val="num" w:pos="1440"/>
        </w:tabs>
        <w:spacing w:after="120"/>
        <w:ind w:firstLine="720"/>
        <w:rPr>
          <w:szCs w:val="22"/>
        </w:rPr>
      </w:pPr>
      <w:r w:rsidRPr="00E8419C">
        <w:rPr>
          <w:i/>
          <w:szCs w:val="22"/>
        </w:rPr>
        <w:t>Radio and Television Broadcasting and Wireless Communications Equipment Manufacturing.</w:t>
      </w:r>
      <w:r w:rsidRPr="00E8419C">
        <w:rPr>
          <w:szCs w:val="22"/>
        </w:rPr>
        <w:t xml:space="preserve">  </w:t>
      </w:r>
      <w:r w:rsidR="00F9343B" w:rsidRPr="004E6392">
        <w:rPr>
          <w:rFonts w:eastAsia="Calibri"/>
          <w:snapToGrid/>
          <w:kern w:val="0"/>
          <w:szCs w:val="22"/>
        </w:rPr>
        <w:t xml:space="preserve">This industry comprises establishments primarily engaged in manufacturing radio and television broadcast and wireless communications equipment.  Examples of products made by these establishments are: </w:t>
      </w:r>
      <w:r w:rsidR="0081108E">
        <w:rPr>
          <w:rFonts w:eastAsia="Calibri"/>
          <w:snapToGrid/>
          <w:kern w:val="0"/>
          <w:szCs w:val="22"/>
        </w:rPr>
        <w:t xml:space="preserve"> </w:t>
      </w:r>
      <w:r w:rsidR="00F9343B" w:rsidRPr="004E6392">
        <w:rPr>
          <w:rFonts w:eastAsia="Calibri"/>
          <w:snapToGrid/>
          <w:kern w:val="0"/>
          <w:szCs w:val="22"/>
        </w:rPr>
        <w:t>transmitting and receiving antennas, cable television equipment, GPS equipment, pagers, cellular phones, mobile communications equipment, and radio and television studio and broadcasting equipment.</w:t>
      </w:r>
      <w:r w:rsidR="00F9343B" w:rsidRPr="004E6392">
        <w:rPr>
          <w:rFonts w:eastAsia="Calibri"/>
          <w:snapToGrid/>
          <w:kern w:val="0"/>
          <w:szCs w:val="22"/>
          <w:vertAlign w:val="superscript"/>
        </w:rPr>
        <w:footnoteReference w:id="225"/>
      </w:r>
      <w:r w:rsidR="00F9343B" w:rsidRPr="004E6392">
        <w:rPr>
          <w:rFonts w:eastAsia="Calibri"/>
          <w:snapToGrid/>
          <w:kern w:val="0"/>
          <w:szCs w:val="22"/>
        </w:rPr>
        <w:t xml:space="preserve">  The Small Business Administration has established a size standard for this industry of 750 or fewer employees.</w:t>
      </w:r>
      <w:r w:rsidR="00F9343B" w:rsidRPr="004E6392">
        <w:rPr>
          <w:rFonts w:eastAsia="Calibri"/>
          <w:snapToGrid/>
          <w:kern w:val="0"/>
          <w:szCs w:val="22"/>
          <w:vertAlign w:val="superscript"/>
        </w:rPr>
        <w:footnoteReference w:id="226"/>
      </w:r>
      <w:r w:rsidR="00F9343B" w:rsidRPr="004E6392">
        <w:rPr>
          <w:rFonts w:eastAsia="Calibri"/>
          <w:snapToGrid/>
          <w:kern w:val="0"/>
          <w:szCs w:val="22"/>
        </w:rPr>
        <w:t xml:space="preserve">  Census data for 2012 show that 841 establishments operated in this industry in that year. Of that number, 819 establishments operated with fewer than 500 employees.</w:t>
      </w:r>
      <w:r w:rsidR="00F9343B" w:rsidRPr="004E6392">
        <w:rPr>
          <w:rFonts w:eastAsia="Calibri"/>
          <w:snapToGrid/>
          <w:kern w:val="0"/>
          <w:szCs w:val="22"/>
          <w:vertAlign w:val="superscript"/>
        </w:rPr>
        <w:footnoteReference w:id="227"/>
      </w:r>
      <w:r w:rsidR="00F9343B" w:rsidRPr="004E6392">
        <w:rPr>
          <w:rFonts w:eastAsia="Calibri"/>
          <w:snapToGrid/>
          <w:kern w:val="0"/>
          <w:szCs w:val="22"/>
        </w:rPr>
        <w:t xml:space="preserve">  Based on this data, we conclude that a majority of manufacturers in this industry are small.</w:t>
      </w:r>
    </w:p>
    <w:p w:rsidR="00976DA2" w:rsidRPr="00767458" w:rsidRDefault="00976DA2" w:rsidP="00976DA2">
      <w:pPr>
        <w:widowControl/>
        <w:tabs>
          <w:tab w:val="num" w:pos="1440"/>
        </w:tabs>
        <w:spacing w:after="120"/>
        <w:ind w:left="1440" w:hanging="720"/>
        <w:outlineLvl w:val="1"/>
        <w:rPr>
          <w:b/>
          <w:szCs w:val="22"/>
        </w:rPr>
      </w:pPr>
      <w:r w:rsidRPr="00767458">
        <w:rPr>
          <w:b/>
          <w:szCs w:val="22"/>
        </w:rPr>
        <w:t>E.</w:t>
      </w:r>
      <w:r w:rsidRPr="00767458">
        <w:rPr>
          <w:b/>
          <w:szCs w:val="22"/>
        </w:rPr>
        <w:tab/>
        <w:t>Description of Projected Reporting, Recordkeeping, and Other Compliance Requirements for Small Entities</w:t>
      </w:r>
    </w:p>
    <w:p w:rsidR="00976DA2" w:rsidRDefault="00976DA2" w:rsidP="00976DA2">
      <w:pPr>
        <w:spacing w:after="220"/>
        <w:ind w:left="-187" w:firstLine="720"/>
      </w:pPr>
      <w:r w:rsidRPr="00E8419C">
        <w:t xml:space="preserve">Radars operating in the 76-81 GHz band are required to be authorized under the Commission's certification procedure as a prerequisite to marketing and importation, and the </w:t>
      </w:r>
      <w:r>
        <w:t xml:space="preserve">rules adopted in the </w:t>
      </w:r>
      <w:r w:rsidRPr="00AD4361">
        <w:rPr>
          <w:i/>
        </w:rPr>
        <w:t>Report and Order</w:t>
      </w:r>
      <w:r>
        <w:t xml:space="preserve"> have no impact on </w:t>
      </w:r>
      <w:r w:rsidRPr="00E8419C">
        <w:t>that requirement.</w:t>
      </w:r>
    </w:p>
    <w:p w:rsidR="00976DA2" w:rsidRPr="00767458" w:rsidRDefault="00976DA2" w:rsidP="00976DA2">
      <w:pPr>
        <w:widowControl/>
        <w:tabs>
          <w:tab w:val="num" w:pos="1440"/>
        </w:tabs>
        <w:spacing w:after="120"/>
        <w:ind w:left="1440" w:hanging="720"/>
        <w:outlineLvl w:val="1"/>
        <w:rPr>
          <w:b/>
          <w:szCs w:val="22"/>
        </w:rPr>
      </w:pPr>
      <w:r w:rsidRPr="00767458">
        <w:rPr>
          <w:b/>
          <w:szCs w:val="22"/>
        </w:rPr>
        <w:t>F.</w:t>
      </w:r>
      <w:r w:rsidRPr="00767458">
        <w:rPr>
          <w:b/>
          <w:szCs w:val="22"/>
        </w:rPr>
        <w:tab/>
        <w:t>Steps Taken to Minimize Significant Economic Impact on Small Entities, and Significant Alternatives Considered</w:t>
      </w:r>
    </w:p>
    <w:p w:rsidR="00976DA2" w:rsidRPr="00E8419C" w:rsidRDefault="00976DA2" w:rsidP="00976DA2">
      <w:pPr>
        <w:widowControl/>
        <w:tabs>
          <w:tab w:val="num" w:pos="1440"/>
        </w:tabs>
        <w:spacing w:after="120"/>
        <w:ind w:firstLine="720"/>
      </w:pPr>
      <w:r w:rsidRPr="00E8419C">
        <w:t xml:space="preserve">The RFA requires an agency to describe any significant alternatives </w:t>
      </w:r>
      <w:r w:rsidRPr="00E8419C">
        <w:rPr>
          <w:color w:val="000000"/>
        </w:rPr>
        <w:t>that</w:t>
      </w:r>
      <w:r w:rsidRPr="00E8419C">
        <w:t xml:space="preserve"> it has considered in reaching its proposed approach, which may include the following four alternatives (among others): </w:t>
      </w:r>
      <w:r w:rsidR="0081108E">
        <w:t xml:space="preserve"> </w:t>
      </w:r>
      <w:r w:rsidRPr="00E8419C">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8419C">
        <w:rPr>
          <w:sz w:val="20"/>
          <w:vertAlign w:val="superscript"/>
        </w:rPr>
        <w:footnoteReference w:id="228"/>
      </w:r>
    </w:p>
    <w:p w:rsidR="00976DA2" w:rsidRDefault="00976DA2" w:rsidP="00976DA2">
      <w:pPr>
        <w:widowControl/>
        <w:tabs>
          <w:tab w:val="num" w:pos="1440"/>
        </w:tabs>
        <w:spacing w:after="120"/>
        <w:ind w:firstLine="720"/>
        <w:rPr>
          <w:color w:val="131313"/>
        </w:rPr>
      </w:pPr>
      <w:r w:rsidRPr="00E8419C">
        <w:t xml:space="preserve">The </w:t>
      </w:r>
      <w:r>
        <w:t xml:space="preserve">rules and policies </w:t>
      </w:r>
      <w:r w:rsidRPr="00E8419C">
        <w:t>th</w:t>
      </w:r>
      <w:r>
        <w:t xml:space="preserve">e </w:t>
      </w:r>
      <w:r w:rsidRPr="00D52357">
        <w:rPr>
          <w:i/>
        </w:rPr>
        <w:t>Report and Order</w:t>
      </w:r>
      <w:r>
        <w:t xml:space="preserve"> </w:t>
      </w:r>
      <w:r w:rsidRPr="00E8419C">
        <w:t xml:space="preserve">are deregulatory in nature, which we expect </w:t>
      </w:r>
      <w:r>
        <w:t xml:space="preserve">simplifies </w:t>
      </w:r>
      <w:r w:rsidRPr="00E8419C">
        <w:t>compliance requirements for all parties, particularly small entities, and permit</w:t>
      </w:r>
      <w:r>
        <w:t>s</w:t>
      </w:r>
      <w:r w:rsidRPr="00E8419C">
        <w:t xml:space="preserve"> the development of improved radar systems.  </w:t>
      </w:r>
      <w:r>
        <w:t xml:space="preserve">Allowing permissible radar operations to use the entire 76-81 GHz band </w:t>
      </w:r>
      <w:r w:rsidRPr="00E8419C">
        <w:t xml:space="preserve">will </w:t>
      </w:r>
      <w:r w:rsidRPr="00E8419C">
        <w:rPr>
          <w:color w:val="131313"/>
        </w:rPr>
        <w:t xml:space="preserve">reduce </w:t>
      </w:r>
      <w:r>
        <w:rPr>
          <w:color w:val="131313"/>
        </w:rPr>
        <w:t xml:space="preserve">radar equipment </w:t>
      </w:r>
      <w:r w:rsidRPr="00E8419C">
        <w:rPr>
          <w:color w:val="131313"/>
        </w:rPr>
        <w:t>prices and</w:t>
      </w:r>
      <w:r>
        <w:rPr>
          <w:color w:val="131313"/>
        </w:rPr>
        <w:t xml:space="preserve">, with regard to vehicular radars, </w:t>
      </w:r>
      <w:r w:rsidRPr="00E8419C">
        <w:rPr>
          <w:color w:val="131313"/>
        </w:rPr>
        <w:t>encourage deployment of automotive radars in lower-cost vehicles.  Consolidating</w:t>
      </w:r>
      <w:r>
        <w:rPr>
          <w:color w:val="131313"/>
        </w:rPr>
        <w:t xml:space="preserve"> regulation of the permissible radar applications in </w:t>
      </w:r>
      <w:r w:rsidRPr="00E8419C">
        <w:rPr>
          <w:color w:val="131313"/>
        </w:rPr>
        <w:t xml:space="preserve">Part 95 </w:t>
      </w:r>
      <w:r>
        <w:rPr>
          <w:color w:val="131313"/>
        </w:rPr>
        <w:t xml:space="preserve">of the Commission’s rules, </w:t>
      </w:r>
      <w:r w:rsidRPr="00E8419C">
        <w:rPr>
          <w:color w:val="131313"/>
        </w:rPr>
        <w:t xml:space="preserve">in lieu of </w:t>
      </w:r>
      <w:r>
        <w:rPr>
          <w:color w:val="131313"/>
        </w:rPr>
        <w:t xml:space="preserve">the </w:t>
      </w:r>
      <w:r w:rsidRPr="00E8419C">
        <w:rPr>
          <w:color w:val="131313"/>
        </w:rPr>
        <w:t xml:space="preserve">current </w:t>
      </w:r>
      <w:r>
        <w:rPr>
          <w:color w:val="131313"/>
        </w:rPr>
        <w:t xml:space="preserve">patchwork of </w:t>
      </w:r>
      <w:r w:rsidRPr="00E8419C">
        <w:rPr>
          <w:color w:val="131313"/>
        </w:rPr>
        <w:t>rules</w:t>
      </w:r>
      <w:r>
        <w:rPr>
          <w:color w:val="131313"/>
        </w:rPr>
        <w:t>,</w:t>
      </w:r>
      <w:r w:rsidRPr="00E8419C">
        <w:rPr>
          <w:color w:val="131313"/>
        </w:rPr>
        <w:t xml:space="preserve"> </w:t>
      </w:r>
      <w:r w:rsidR="003820C0">
        <w:rPr>
          <w:color w:val="131313"/>
        </w:rPr>
        <w:t xml:space="preserve">generally </w:t>
      </w:r>
      <w:r w:rsidRPr="00E8419C">
        <w:rPr>
          <w:color w:val="131313"/>
        </w:rPr>
        <w:t xml:space="preserve">will reduce unnecessary </w:t>
      </w:r>
      <w:r w:rsidR="003820C0">
        <w:rPr>
          <w:color w:val="131313"/>
        </w:rPr>
        <w:t xml:space="preserve">compliance </w:t>
      </w:r>
      <w:r w:rsidRPr="00E8419C">
        <w:rPr>
          <w:color w:val="131313"/>
        </w:rPr>
        <w:t>burdens for the general public</w:t>
      </w:r>
      <w:r w:rsidR="003820C0">
        <w:rPr>
          <w:color w:val="131313"/>
        </w:rPr>
        <w:t xml:space="preserve"> (e.g., permit operation by rule in lieu of an individual license)</w:t>
      </w:r>
      <w:r w:rsidRPr="00E8419C">
        <w:rPr>
          <w:color w:val="131313"/>
        </w:rPr>
        <w:t xml:space="preserve"> and will provide increased spectrum efficiency</w:t>
      </w:r>
      <w:bookmarkEnd w:id="1442"/>
      <w:bookmarkEnd w:id="1443"/>
      <w:bookmarkEnd w:id="1444"/>
      <w:bookmarkEnd w:id="1445"/>
      <w:bookmarkEnd w:id="1446"/>
      <w:r>
        <w:rPr>
          <w:color w:val="131313"/>
        </w:rPr>
        <w:t>.</w:t>
      </w:r>
    </w:p>
    <w:p w:rsidR="00976DA2" w:rsidRDefault="00976DA2" w:rsidP="00976DA2">
      <w:pPr>
        <w:widowControl/>
        <w:tabs>
          <w:tab w:val="num" w:pos="1440"/>
        </w:tabs>
        <w:spacing w:after="120"/>
        <w:ind w:firstLine="720"/>
        <w:rPr>
          <w:color w:val="131313"/>
        </w:rPr>
      </w:pPr>
    </w:p>
    <w:p w:rsidR="00976DA2" w:rsidRDefault="00976DA2" w:rsidP="00976DA2">
      <w:pPr>
        <w:widowControl/>
        <w:tabs>
          <w:tab w:val="num" w:pos="1440"/>
        </w:tabs>
        <w:spacing w:after="120"/>
        <w:ind w:firstLine="720"/>
      </w:pPr>
      <w:r w:rsidRPr="00C52359">
        <w:rPr>
          <w:b/>
          <w:color w:val="131313"/>
        </w:rPr>
        <w:t>Report to Congress:</w:t>
      </w:r>
      <w:r>
        <w:rPr>
          <w:b/>
          <w:color w:val="131313"/>
        </w:rPr>
        <w:t xml:space="preserve">  </w:t>
      </w:r>
      <w:r>
        <w:t xml:space="preserve">The Commission will send a copy of the </w:t>
      </w:r>
      <w:r w:rsidRPr="00C52359">
        <w:rPr>
          <w:i/>
        </w:rPr>
        <w:t>Report and Order</w:t>
      </w:r>
      <w:r>
        <w:t>, including this FRFA, in a reports to be sent to Congress pursuant to the Congressional Review Act.</w:t>
      </w:r>
      <w:r w:rsidRPr="00C52359">
        <w:rPr>
          <w:color w:val="000000"/>
          <w:sz w:val="20"/>
          <w:vertAlign w:val="superscript"/>
        </w:rPr>
        <w:footnoteReference w:id="229"/>
      </w:r>
      <w:r>
        <w:t xml:space="preserve">  In addition, the Commission will send a copy of the </w:t>
      </w:r>
      <w:r w:rsidRPr="00C52359">
        <w:rPr>
          <w:i/>
        </w:rPr>
        <w:t>Report and Order</w:t>
      </w:r>
      <w:r>
        <w:t xml:space="preserve">, including this FRFA, to the Chief Counsel for Advocacy of the SBA.  A copy of the </w:t>
      </w:r>
      <w:r w:rsidRPr="00C52359">
        <w:rPr>
          <w:i/>
        </w:rPr>
        <w:t>Report and Order</w:t>
      </w:r>
      <w:r>
        <w:t xml:space="preserve"> and FRFA (or summaries thereof) will also be published in the Federal Register.</w:t>
      </w:r>
      <w:r w:rsidRPr="00E8419C">
        <w:rPr>
          <w:sz w:val="20"/>
          <w:vertAlign w:val="superscript"/>
        </w:rPr>
        <w:footnoteReference w:id="230"/>
      </w:r>
    </w:p>
    <w:p w:rsidR="00EA1258" w:rsidRDefault="00976DA2" w:rsidP="00C528BC">
      <w:pPr>
        <w:pStyle w:val="ParaNum"/>
        <w:keepNext/>
        <w:widowControl/>
        <w:numPr>
          <w:ilvl w:val="0"/>
          <w:numId w:val="0"/>
        </w:numPr>
        <w:jc w:val="center"/>
        <w:rPr>
          <w:b/>
        </w:rPr>
      </w:pPr>
      <w:r w:rsidRPr="00A91C57">
        <w:rPr>
          <w:b/>
        </w:rPr>
        <w:t>APPENDIX C</w:t>
      </w:r>
    </w:p>
    <w:p w:rsidR="00EA1258" w:rsidRPr="00A91C57" w:rsidRDefault="00EA1258" w:rsidP="00976DA2">
      <w:pPr>
        <w:pStyle w:val="ParaNum"/>
        <w:numPr>
          <w:ilvl w:val="0"/>
          <w:numId w:val="0"/>
        </w:numPr>
        <w:jc w:val="center"/>
        <w:rPr>
          <w:b/>
        </w:rPr>
      </w:pPr>
      <w:r>
        <w:rPr>
          <w:b/>
        </w:rPr>
        <w:t>List of Comments</w:t>
      </w:r>
    </w:p>
    <w:p w:rsidR="00976DA2" w:rsidRDefault="00976DA2" w:rsidP="00976DA2">
      <w:pPr>
        <w:pStyle w:val="ParaNum"/>
        <w:numPr>
          <w:ilvl w:val="0"/>
          <w:numId w:val="0"/>
        </w:numPr>
        <w:rPr>
          <w:u w:val="single"/>
        </w:rPr>
      </w:pPr>
      <w:r>
        <w:rPr>
          <w:u w:val="single"/>
        </w:rPr>
        <w:t>Comments</w:t>
      </w:r>
    </w:p>
    <w:p w:rsidR="005B5E32" w:rsidRDefault="005B5E32" w:rsidP="00976DA2">
      <w:pPr>
        <w:widowControl/>
        <w:rPr>
          <w:snapToGrid/>
          <w:kern w:val="0"/>
          <w:szCs w:val="22"/>
        </w:rPr>
      </w:pPr>
      <w:r w:rsidRPr="00C63A36">
        <w:rPr>
          <w:snapToGrid/>
          <w:kern w:val="0"/>
          <w:szCs w:val="22"/>
        </w:rPr>
        <w:t>Alliance of Automobile Manufacturers, Inc.</w:t>
      </w:r>
    </w:p>
    <w:p w:rsidR="00976DA2" w:rsidRPr="00C63A36" w:rsidRDefault="00976DA2" w:rsidP="00E62C1B">
      <w:pPr>
        <w:widowControl/>
        <w:tabs>
          <w:tab w:val="left" w:pos="6045"/>
        </w:tabs>
        <w:rPr>
          <w:snapToGrid/>
          <w:kern w:val="0"/>
          <w:szCs w:val="22"/>
        </w:rPr>
      </w:pPr>
      <w:r w:rsidRPr="00C63A36">
        <w:rPr>
          <w:snapToGrid/>
          <w:kern w:val="0"/>
          <w:szCs w:val="22"/>
        </w:rPr>
        <w:t>ARRL, the national association for Amateur Radio</w:t>
      </w:r>
      <w:r w:rsidR="00E62C1B">
        <w:rPr>
          <w:snapToGrid/>
          <w:kern w:val="0"/>
          <w:szCs w:val="22"/>
        </w:rPr>
        <w:tab/>
      </w:r>
    </w:p>
    <w:p w:rsidR="00976DA2" w:rsidRPr="00C63A36" w:rsidRDefault="00976DA2" w:rsidP="00976DA2">
      <w:pPr>
        <w:widowControl/>
        <w:rPr>
          <w:snapToGrid/>
          <w:kern w:val="0"/>
          <w:szCs w:val="22"/>
        </w:rPr>
      </w:pPr>
      <w:r w:rsidRPr="00C63A36">
        <w:rPr>
          <w:snapToGrid/>
          <w:kern w:val="0"/>
          <w:szCs w:val="22"/>
        </w:rPr>
        <w:t>Automotive Safety Council</w:t>
      </w:r>
    </w:p>
    <w:p w:rsidR="00976DA2" w:rsidRPr="00C63A36" w:rsidRDefault="00976DA2" w:rsidP="00976DA2">
      <w:pPr>
        <w:widowControl/>
        <w:rPr>
          <w:snapToGrid/>
          <w:kern w:val="0"/>
          <w:szCs w:val="22"/>
        </w:rPr>
      </w:pPr>
      <w:r w:rsidRPr="00C63A36">
        <w:rPr>
          <w:snapToGrid/>
          <w:kern w:val="0"/>
          <w:szCs w:val="22"/>
        </w:rPr>
        <w:t>Barry Malowanchuck</w:t>
      </w:r>
    </w:p>
    <w:p w:rsidR="00976DA2" w:rsidRPr="00C63A36" w:rsidRDefault="00976DA2" w:rsidP="00976DA2">
      <w:pPr>
        <w:widowControl/>
        <w:rPr>
          <w:snapToGrid/>
          <w:kern w:val="0"/>
          <w:szCs w:val="22"/>
        </w:rPr>
      </w:pPr>
      <w:r w:rsidRPr="00C63A36">
        <w:rPr>
          <w:snapToGrid/>
          <w:kern w:val="0"/>
          <w:szCs w:val="22"/>
        </w:rPr>
        <w:t>Continental Automotive Systems, Inc.</w:t>
      </w:r>
    </w:p>
    <w:p w:rsidR="00976DA2" w:rsidRPr="00C63A36" w:rsidRDefault="00976DA2" w:rsidP="00976DA2">
      <w:pPr>
        <w:widowControl/>
        <w:rPr>
          <w:snapToGrid/>
          <w:kern w:val="0"/>
          <w:szCs w:val="22"/>
        </w:rPr>
      </w:pPr>
      <w:r w:rsidRPr="00C63A36">
        <w:rPr>
          <w:snapToGrid/>
          <w:kern w:val="0"/>
          <w:szCs w:val="22"/>
        </w:rPr>
        <w:t>Delphi Automotive Systems</w:t>
      </w:r>
    </w:p>
    <w:p w:rsidR="00976DA2" w:rsidRPr="00C63A36" w:rsidRDefault="00976DA2" w:rsidP="00976DA2">
      <w:pPr>
        <w:widowControl/>
        <w:rPr>
          <w:snapToGrid/>
          <w:kern w:val="0"/>
          <w:szCs w:val="22"/>
        </w:rPr>
      </w:pPr>
      <w:r w:rsidRPr="00C63A36">
        <w:rPr>
          <w:snapToGrid/>
          <w:kern w:val="0"/>
          <w:szCs w:val="22"/>
        </w:rPr>
        <w:t>Gary Lauterbach</w:t>
      </w:r>
    </w:p>
    <w:p w:rsidR="00976DA2" w:rsidRPr="00C63A36" w:rsidRDefault="00976DA2" w:rsidP="00976DA2">
      <w:pPr>
        <w:widowControl/>
        <w:rPr>
          <w:snapToGrid/>
          <w:kern w:val="0"/>
          <w:szCs w:val="22"/>
        </w:rPr>
      </w:pPr>
      <w:r w:rsidRPr="00C63A36">
        <w:rPr>
          <w:snapToGrid/>
          <w:kern w:val="0"/>
          <w:szCs w:val="22"/>
        </w:rPr>
        <w:t>Mantissa Ltd.</w:t>
      </w:r>
    </w:p>
    <w:p w:rsidR="00976DA2" w:rsidRPr="00C63A36" w:rsidRDefault="00976DA2" w:rsidP="00976DA2">
      <w:pPr>
        <w:widowControl/>
        <w:rPr>
          <w:snapToGrid/>
          <w:kern w:val="0"/>
          <w:szCs w:val="22"/>
        </w:rPr>
      </w:pPr>
      <w:r w:rsidRPr="00C63A36">
        <w:rPr>
          <w:snapToGrid/>
          <w:kern w:val="0"/>
          <w:szCs w:val="22"/>
        </w:rPr>
        <w:t>Mercedes-Benz USA, LLC</w:t>
      </w:r>
    </w:p>
    <w:p w:rsidR="00976DA2" w:rsidRPr="00C63A36" w:rsidRDefault="00976DA2" w:rsidP="00976DA2">
      <w:pPr>
        <w:widowControl/>
        <w:rPr>
          <w:snapToGrid/>
          <w:kern w:val="0"/>
          <w:szCs w:val="22"/>
        </w:rPr>
      </w:pPr>
      <w:r w:rsidRPr="00C63A36">
        <w:rPr>
          <w:snapToGrid/>
          <w:kern w:val="0"/>
          <w:szCs w:val="22"/>
        </w:rPr>
        <w:t>Michael Seguin</w:t>
      </w:r>
    </w:p>
    <w:p w:rsidR="00976DA2" w:rsidRPr="00C63A36" w:rsidRDefault="00976DA2" w:rsidP="00976DA2">
      <w:pPr>
        <w:widowControl/>
        <w:rPr>
          <w:snapToGrid/>
          <w:kern w:val="0"/>
          <w:szCs w:val="22"/>
        </w:rPr>
      </w:pPr>
      <w:r w:rsidRPr="00C63A36">
        <w:rPr>
          <w:snapToGrid/>
          <w:kern w:val="0"/>
          <w:szCs w:val="22"/>
        </w:rPr>
        <w:t>National Academy of Sciences’ Committee on Radio Frequencies</w:t>
      </w:r>
    </w:p>
    <w:p w:rsidR="00976DA2" w:rsidRPr="00C63A36" w:rsidRDefault="00976DA2" w:rsidP="00976DA2">
      <w:pPr>
        <w:widowControl/>
        <w:rPr>
          <w:snapToGrid/>
          <w:kern w:val="0"/>
          <w:szCs w:val="22"/>
        </w:rPr>
      </w:pPr>
      <w:r w:rsidRPr="00C63A36">
        <w:rPr>
          <w:snapToGrid/>
          <w:kern w:val="0"/>
          <w:szCs w:val="22"/>
        </w:rPr>
        <w:t>National Radio Astronomy Observatory</w:t>
      </w:r>
    </w:p>
    <w:p w:rsidR="00976DA2" w:rsidRPr="00C63A36" w:rsidRDefault="00976DA2" w:rsidP="00976DA2">
      <w:pPr>
        <w:widowControl/>
        <w:rPr>
          <w:snapToGrid/>
          <w:kern w:val="0"/>
          <w:szCs w:val="22"/>
        </w:rPr>
      </w:pPr>
      <w:r w:rsidRPr="00C63A36">
        <w:rPr>
          <w:snapToGrid/>
          <w:kern w:val="0"/>
          <w:szCs w:val="22"/>
        </w:rPr>
        <w:t>Navtech Radar Ltd.</w:t>
      </w:r>
    </w:p>
    <w:p w:rsidR="007C08C0" w:rsidRDefault="007C08C0" w:rsidP="00976DA2">
      <w:pPr>
        <w:widowControl/>
        <w:rPr>
          <w:snapToGrid/>
          <w:kern w:val="0"/>
          <w:szCs w:val="22"/>
        </w:rPr>
      </w:pPr>
      <w:r>
        <w:rPr>
          <w:snapToGrid/>
          <w:kern w:val="0"/>
          <w:szCs w:val="22"/>
        </w:rPr>
        <w:t>Nickolaus E. Leggett</w:t>
      </w:r>
    </w:p>
    <w:p w:rsidR="00976DA2" w:rsidRPr="00C63A36" w:rsidRDefault="00976DA2" w:rsidP="00976DA2">
      <w:pPr>
        <w:widowControl/>
        <w:rPr>
          <w:snapToGrid/>
          <w:kern w:val="0"/>
          <w:szCs w:val="22"/>
        </w:rPr>
      </w:pPr>
      <w:r w:rsidRPr="00C63A36">
        <w:rPr>
          <w:snapToGrid/>
          <w:kern w:val="0"/>
          <w:szCs w:val="22"/>
        </w:rPr>
        <w:t>Robert Bosch, LLC</w:t>
      </w:r>
    </w:p>
    <w:p w:rsidR="00976DA2" w:rsidRPr="00C63A36" w:rsidRDefault="00976DA2" w:rsidP="00976DA2">
      <w:pPr>
        <w:widowControl/>
        <w:rPr>
          <w:snapToGrid/>
          <w:kern w:val="0"/>
          <w:szCs w:val="22"/>
        </w:rPr>
      </w:pPr>
      <w:r w:rsidRPr="00C63A36">
        <w:rPr>
          <w:snapToGrid/>
          <w:kern w:val="0"/>
          <w:szCs w:val="22"/>
        </w:rPr>
        <w:t>Robert M. Bownes III</w:t>
      </w:r>
    </w:p>
    <w:p w:rsidR="00976DA2" w:rsidRPr="00C63A36" w:rsidRDefault="00976DA2" w:rsidP="00976DA2">
      <w:pPr>
        <w:widowControl/>
        <w:rPr>
          <w:snapToGrid/>
          <w:kern w:val="0"/>
          <w:szCs w:val="22"/>
        </w:rPr>
      </w:pPr>
      <w:r w:rsidRPr="00C63A36">
        <w:rPr>
          <w:snapToGrid/>
          <w:kern w:val="0"/>
          <w:szCs w:val="22"/>
        </w:rPr>
        <w:t>Robert R. Johnson</w:t>
      </w:r>
    </w:p>
    <w:p w:rsidR="00976DA2" w:rsidRPr="00C63A36" w:rsidRDefault="00976DA2" w:rsidP="00976DA2">
      <w:pPr>
        <w:widowControl/>
        <w:rPr>
          <w:snapToGrid/>
          <w:kern w:val="0"/>
          <w:szCs w:val="22"/>
        </w:rPr>
      </w:pPr>
      <w:r w:rsidRPr="00C63A36">
        <w:rPr>
          <w:snapToGrid/>
          <w:kern w:val="0"/>
          <w:szCs w:val="22"/>
        </w:rPr>
        <w:t>Rockwell Collins, Inc.</w:t>
      </w:r>
    </w:p>
    <w:p w:rsidR="00976DA2" w:rsidRPr="00C63A36" w:rsidRDefault="00976DA2" w:rsidP="00976DA2">
      <w:pPr>
        <w:widowControl/>
        <w:rPr>
          <w:snapToGrid/>
          <w:kern w:val="0"/>
          <w:szCs w:val="22"/>
        </w:rPr>
      </w:pPr>
      <w:r w:rsidRPr="00C63A36">
        <w:rPr>
          <w:snapToGrid/>
          <w:kern w:val="0"/>
          <w:szCs w:val="22"/>
        </w:rPr>
        <w:t>Ronald E. Telsch</w:t>
      </w:r>
    </w:p>
    <w:p w:rsidR="00976DA2" w:rsidRPr="00C63A36" w:rsidRDefault="00976DA2" w:rsidP="00976DA2">
      <w:pPr>
        <w:widowControl/>
        <w:rPr>
          <w:snapToGrid/>
          <w:kern w:val="0"/>
          <w:szCs w:val="22"/>
        </w:rPr>
      </w:pPr>
      <w:r w:rsidRPr="00C63A36">
        <w:rPr>
          <w:snapToGrid/>
          <w:kern w:val="0"/>
          <w:szCs w:val="22"/>
        </w:rPr>
        <w:t>Telecommunications Industry Association</w:t>
      </w:r>
    </w:p>
    <w:p w:rsidR="00976DA2" w:rsidRPr="00C63A36" w:rsidRDefault="00976DA2" w:rsidP="007C08C0">
      <w:pPr>
        <w:widowControl/>
        <w:ind w:left="720" w:hanging="720"/>
        <w:rPr>
          <w:snapToGrid/>
          <w:kern w:val="0"/>
          <w:szCs w:val="22"/>
        </w:rPr>
      </w:pPr>
      <w:r w:rsidRPr="00C63A36">
        <w:rPr>
          <w:snapToGrid/>
          <w:kern w:val="0"/>
          <w:szCs w:val="22"/>
        </w:rPr>
        <w:t>The Former Strategic Automotive Radar Frequency Allocation Group, Caterpillar, Delphi Automotive, and General Motors Company</w:t>
      </w:r>
    </w:p>
    <w:p w:rsidR="00976DA2" w:rsidRPr="00C63A36" w:rsidRDefault="00976DA2" w:rsidP="00976DA2">
      <w:pPr>
        <w:widowControl/>
        <w:rPr>
          <w:snapToGrid/>
          <w:kern w:val="0"/>
          <w:szCs w:val="22"/>
        </w:rPr>
      </w:pPr>
      <w:r w:rsidRPr="00C63A36">
        <w:rPr>
          <w:snapToGrid/>
          <w:kern w:val="0"/>
          <w:szCs w:val="22"/>
        </w:rPr>
        <w:t>Thomas D. Williams</w:t>
      </w:r>
    </w:p>
    <w:p w:rsidR="00976DA2" w:rsidRPr="00C63A36" w:rsidRDefault="00976DA2" w:rsidP="00976DA2">
      <w:pPr>
        <w:widowControl/>
        <w:rPr>
          <w:snapToGrid/>
          <w:kern w:val="0"/>
          <w:szCs w:val="22"/>
        </w:rPr>
      </w:pPr>
      <w:r w:rsidRPr="00C63A36">
        <w:rPr>
          <w:snapToGrid/>
          <w:kern w:val="0"/>
          <w:szCs w:val="22"/>
        </w:rPr>
        <w:t>Trimble Navigation Limited</w:t>
      </w:r>
    </w:p>
    <w:p w:rsidR="00976DA2" w:rsidRPr="00C63A36" w:rsidRDefault="00976DA2" w:rsidP="00976DA2">
      <w:pPr>
        <w:widowControl/>
        <w:rPr>
          <w:snapToGrid/>
          <w:kern w:val="0"/>
          <w:szCs w:val="22"/>
        </w:rPr>
      </w:pPr>
      <w:r w:rsidRPr="00C63A36">
        <w:rPr>
          <w:snapToGrid/>
          <w:kern w:val="0"/>
          <w:szCs w:val="22"/>
        </w:rPr>
        <w:t>William Polewarczyk</w:t>
      </w:r>
    </w:p>
    <w:p w:rsidR="00976DA2" w:rsidRDefault="00AC30FD" w:rsidP="00976DA2">
      <w:pPr>
        <w:pStyle w:val="ParaNum"/>
        <w:numPr>
          <w:ilvl w:val="0"/>
          <w:numId w:val="0"/>
        </w:numPr>
        <w:rPr>
          <w:u w:val="single"/>
        </w:rPr>
      </w:pPr>
      <w:r>
        <w:rPr>
          <w:snapToGrid/>
          <w:kern w:val="0"/>
          <w:szCs w:val="22"/>
        </w:rPr>
        <w:t>Xs</w:t>
      </w:r>
      <w:r w:rsidR="00976DA2" w:rsidRPr="00C63A36">
        <w:rPr>
          <w:snapToGrid/>
          <w:kern w:val="0"/>
          <w:szCs w:val="22"/>
        </w:rPr>
        <w:t>ight Systems</w:t>
      </w:r>
    </w:p>
    <w:p w:rsidR="00976DA2" w:rsidRDefault="00976DA2" w:rsidP="00976DA2">
      <w:pPr>
        <w:pStyle w:val="ParaNum"/>
        <w:numPr>
          <w:ilvl w:val="0"/>
          <w:numId w:val="0"/>
        </w:numPr>
        <w:rPr>
          <w:u w:val="single"/>
        </w:rPr>
      </w:pPr>
      <w:r>
        <w:rPr>
          <w:u w:val="single"/>
        </w:rPr>
        <w:t>Reply Comments</w:t>
      </w:r>
    </w:p>
    <w:p w:rsidR="00976DA2" w:rsidRPr="00C63A36" w:rsidRDefault="00976DA2" w:rsidP="00976DA2">
      <w:pPr>
        <w:widowControl/>
        <w:rPr>
          <w:snapToGrid/>
          <w:kern w:val="0"/>
          <w:szCs w:val="22"/>
        </w:rPr>
      </w:pPr>
      <w:r w:rsidRPr="00C63A36">
        <w:rPr>
          <w:snapToGrid/>
          <w:kern w:val="0"/>
          <w:szCs w:val="22"/>
        </w:rPr>
        <w:t>ARRL, the national association for Amateur Radio</w:t>
      </w:r>
    </w:p>
    <w:p w:rsidR="00976DA2" w:rsidRPr="00C63A36" w:rsidRDefault="00976DA2" w:rsidP="00976DA2">
      <w:pPr>
        <w:widowControl/>
        <w:spacing w:line="259" w:lineRule="auto"/>
        <w:rPr>
          <w:snapToGrid/>
          <w:kern w:val="0"/>
          <w:szCs w:val="22"/>
        </w:rPr>
      </w:pPr>
      <w:r w:rsidRPr="00C63A36">
        <w:rPr>
          <w:snapToGrid/>
          <w:kern w:val="0"/>
          <w:szCs w:val="22"/>
        </w:rPr>
        <w:t>Association of Global Automakers, Inc. (filed under Michael Cammisa)</w:t>
      </w:r>
    </w:p>
    <w:p w:rsidR="00976DA2" w:rsidRPr="00C63A36" w:rsidRDefault="00976DA2" w:rsidP="00976DA2">
      <w:pPr>
        <w:widowControl/>
        <w:rPr>
          <w:snapToGrid/>
          <w:kern w:val="0"/>
          <w:szCs w:val="22"/>
        </w:rPr>
      </w:pPr>
      <w:r w:rsidRPr="00C63A36">
        <w:rPr>
          <w:snapToGrid/>
          <w:kern w:val="0"/>
          <w:szCs w:val="22"/>
        </w:rPr>
        <w:t>Consumer Electronics Association</w:t>
      </w:r>
    </w:p>
    <w:p w:rsidR="00976DA2" w:rsidRPr="00C63A36" w:rsidRDefault="00976DA2" w:rsidP="00976DA2">
      <w:pPr>
        <w:widowControl/>
        <w:rPr>
          <w:snapToGrid/>
          <w:kern w:val="0"/>
          <w:szCs w:val="22"/>
        </w:rPr>
      </w:pPr>
      <w:r w:rsidRPr="00C63A36">
        <w:rPr>
          <w:snapToGrid/>
          <w:kern w:val="0"/>
          <w:szCs w:val="22"/>
        </w:rPr>
        <w:t>Mantissa Ltd.</w:t>
      </w:r>
    </w:p>
    <w:p w:rsidR="00976DA2" w:rsidRPr="00C63A36" w:rsidRDefault="00976DA2" w:rsidP="00976DA2">
      <w:pPr>
        <w:widowControl/>
        <w:rPr>
          <w:snapToGrid/>
          <w:kern w:val="0"/>
          <w:szCs w:val="22"/>
        </w:rPr>
      </w:pPr>
      <w:r w:rsidRPr="00C63A36">
        <w:rPr>
          <w:snapToGrid/>
          <w:kern w:val="0"/>
          <w:szCs w:val="22"/>
        </w:rPr>
        <w:t>Navtech Radar Ltd.</w:t>
      </w:r>
    </w:p>
    <w:p w:rsidR="007C08C0" w:rsidRDefault="007C08C0" w:rsidP="00976DA2">
      <w:pPr>
        <w:widowControl/>
        <w:rPr>
          <w:snapToGrid/>
          <w:kern w:val="0"/>
          <w:szCs w:val="22"/>
        </w:rPr>
      </w:pPr>
      <w:r>
        <w:rPr>
          <w:snapToGrid/>
          <w:kern w:val="0"/>
          <w:szCs w:val="22"/>
        </w:rPr>
        <w:t>Nickolaus E. Leggett</w:t>
      </w:r>
    </w:p>
    <w:p w:rsidR="00976DA2" w:rsidRPr="00C63A36" w:rsidRDefault="00976DA2" w:rsidP="00976DA2">
      <w:pPr>
        <w:widowControl/>
        <w:rPr>
          <w:snapToGrid/>
          <w:kern w:val="0"/>
          <w:szCs w:val="22"/>
        </w:rPr>
      </w:pPr>
      <w:r w:rsidRPr="00C63A36">
        <w:rPr>
          <w:snapToGrid/>
          <w:kern w:val="0"/>
          <w:szCs w:val="22"/>
        </w:rPr>
        <w:t>RhiZone Inc.</w:t>
      </w:r>
    </w:p>
    <w:p w:rsidR="00976DA2" w:rsidRPr="00C63A36" w:rsidRDefault="00976DA2" w:rsidP="00976DA2">
      <w:pPr>
        <w:widowControl/>
        <w:rPr>
          <w:snapToGrid/>
          <w:kern w:val="0"/>
          <w:szCs w:val="22"/>
        </w:rPr>
      </w:pPr>
      <w:r w:rsidRPr="00C63A36">
        <w:rPr>
          <w:snapToGrid/>
          <w:kern w:val="0"/>
          <w:szCs w:val="22"/>
        </w:rPr>
        <w:t>Robert Bosch</w:t>
      </w:r>
      <w:r w:rsidR="008751FD">
        <w:rPr>
          <w:snapToGrid/>
          <w:kern w:val="0"/>
          <w:szCs w:val="22"/>
        </w:rPr>
        <w:t>,</w:t>
      </w:r>
      <w:r w:rsidRPr="00C63A36">
        <w:rPr>
          <w:snapToGrid/>
          <w:kern w:val="0"/>
          <w:szCs w:val="22"/>
        </w:rPr>
        <w:t xml:space="preserve"> LLC</w:t>
      </w:r>
    </w:p>
    <w:p w:rsidR="00976DA2" w:rsidRPr="00C63A36" w:rsidRDefault="00976DA2" w:rsidP="00976DA2">
      <w:pPr>
        <w:widowControl/>
        <w:rPr>
          <w:snapToGrid/>
          <w:kern w:val="0"/>
          <w:szCs w:val="22"/>
        </w:rPr>
      </w:pPr>
      <w:r w:rsidRPr="00C63A36">
        <w:rPr>
          <w:snapToGrid/>
          <w:kern w:val="0"/>
          <w:szCs w:val="22"/>
        </w:rPr>
        <w:t>Sivers IMA</w:t>
      </w:r>
    </w:p>
    <w:p w:rsidR="00976DA2" w:rsidRPr="00C63A36" w:rsidRDefault="00976DA2" w:rsidP="007C08C0">
      <w:pPr>
        <w:widowControl/>
        <w:ind w:left="720" w:hanging="720"/>
        <w:rPr>
          <w:snapToGrid/>
          <w:kern w:val="0"/>
          <w:szCs w:val="22"/>
        </w:rPr>
      </w:pPr>
      <w:r w:rsidRPr="00C63A36">
        <w:rPr>
          <w:snapToGrid/>
          <w:kern w:val="0"/>
          <w:szCs w:val="22"/>
        </w:rPr>
        <w:t>The Former Strategic Automotive Radar Frequency Allocation Group, Caterpillar, Delphi Automotive, and General Motors Company</w:t>
      </w:r>
    </w:p>
    <w:p w:rsidR="00976DA2" w:rsidRDefault="00976DA2" w:rsidP="00976DA2">
      <w:pPr>
        <w:widowControl/>
        <w:rPr>
          <w:snapToGrid/>
          <w:kern w:val="0"/>
          <w:szCs w:val="22"/>
        </w:rPr>
      </w:pPr>
      <w:r w:rsidRPr="00C63A36">
        <w:rPr>
          <w:snapToGrid/>
          <w:kern w:val="0"/>
          <w:szCs w:val="22"/>
        </w:rPr>
        <w:t xml:space="preserve">Trimble Navigation </w:t>
      </w:r>
      <w:r w:rsidR="00CC4606">
        <w:rPr>
          <w:snapToGrid/>
          <w:kern w:val="0"/>
          <w:szCs w:val="22"/>
        </w:rPr>
        <w:t>Limited</w:t>
      </w:r>
    </w:p>
    <w:p w:rsidR="00976DA2" w:rsidRPr="00C63A36" w:rsidRDefault="00976DA2" w:rsidP="00976DA2">
      <w:pPr>
        <w:widowControl/>
        <w:rPr>
          <w:snapToGrid/>
          <w:kern w:val="0"/>
          <w:szCs w:val="22"/>
        </w:rPr>
      </w:pPr>
    </w:p>
    <w:p w:rsidR="00976DA2" w:rsidRDefault="00976DA2" w:rsidP="00976DA2">
      <w:pPr>
        <w:pStyle w:val="ParaNum"/>
        <w:numPr>
          <w:ilvl w:val="0"/>
          <w:numId w:val="0"/>
        </w:numPr>
        <w:rPr>
          <w:u w:val="single"/>
        </w:rPr>
      </w:pPr>
      <w:r>
        <w:rPr>
          <w:i/>
          <w:u w:val="single"/>
        </w:rPr>
        <w:t xml:space="preserve">Ex Parte </w:t>
      </w:r>
      <w:r>
        <w:rPr>
          <w:u w:val="single"/>
        </w:rPr>
        <w:t>Comments</w:t>
      </w:r>
    </w:p>
    <w:p w:rsidR="007C08C0" w:rsidRDefault="007C08C0" w:rsidP="007C08C0">
      <w:pPr>
        <w:widowControl/>
        <w:rPr>
          <w:snapToGrid/>
          <w:kern w:val="0"/>
          <w:szCs w:val="22"/>
        </w:rPr>
      </w:pPr>
      <w:r>
        <w:rPr>
          <w:snapToGrid/>
          <w:kern w:val="0"/>
          <w:szCs w:val="22"/>
        </w:rPr>
        <w:t>Alliance of Automobile Manufacturers and Association of Global Automakers</w:t>
      </w:r>
    </w:p>
    <w:p w:rsidR="007F4640" w:rsidRDefault="007F4640" w:rsidP="007F4640">
      <w:pPr>
        <w:widowControl/>
        <w:rPr>
          <w:snapToGrid/>
          <w:kern w:val="0"/>
          <w:szCs w:val="22"/>
        </w:rPr>
      </w:pPr>
      <w:r>
        <w:rPr>
          <w:snapToGrid/>
          <w:kern w:val="0"/>
          <w:szCs w:val="22"/>
        </w:rPr>
        <w:t>Alliance of Automobile Manufacturers, FCA US LLC, Toyota, and Mercedes-Benz USA, LLC</w:t>
      </w:r>
    </w:p>
    <w:p w:rsidR="007C08C0" w:rsidRDefault="007C08C0" w:rsidP="007C08C0">
      <w:pPr>
        <w:widowControl/>
        <w:ind w:left="720" w:hanging="720"/>
        <w:rPr>
          <w:snapToGrid/>
          <w:kern w:val="0"/>
          <w:szCs w:val="22"/>
        </w:rPr>
      </w:pPr>
      <w:r>
        <w:rPr>
          <w:snapToGrid/>
          <w:kern w:val="0"/>
          <w:szCs w:val="22"/>
        </w:rPr>
        <w:t xml:space="preserve">Alliance of Automobile Manufacturers, General Motors, FCA US LLC, Association of Global Automakers, Mercedes Benz USA, </w:t>
      </w:r>
      <w:r w:rsidR="003E6107">
        <w:rPr>
          <w:snapToGrid/>
          <w:kern w:val="0"/>
          <w:szCs w:val="22"/>
        </w:rPr>
        <w:t xml:space="preserve">and </w:t>
      </w:r>
      <w:r>
        <w:rPr>
          <w:snapToGrid/>
          <w:kern w:val="0"/>
          <w:szCs w:val="22"/>
        </w:rPr>
        <w:t>American Honda Motor Company</w:t>
      </w:r>
    </w:p>
    <w:p w:rsidR="00AA793C" w:rsidRDefault="00AA793C" w:rsidP="00883B73">
      <w:pPr>
        <w:widowControl/>
        <w:rPr>
          <w:snapToGrid/>
          <w:kern w:val="0"/>
          <w:szCs w:val="22"/>
        </w:rPr>
      </w:pPr>
      <w:r>
        <w:rPr>
          <w:snapToGrid/>
          <w:kern w:val="0"/>
          <w:szCs w:val="22"/>
        </w:rPr>
        <w:t>Association of Global Automakers</w:t>
      </w:r>
    </w:p>
    <w:p w:rsidR="007C08C0" w:rsidRDefault="00883B73" w:rsidP="00883B73">
      <w:pPr>
        <w:widowControl/>
        <w:rPr>
          <w:snapToGrid/>
          <w:kern w:val="0"/>
          <w:szCs w:val="22"/>
        </w:rPr>
      </w:pPr>
      <w:r w:rsidRPr="00C63A36">
        <w:rPr>
          <w:snapToGrid/>
          <w:kern w:val="0"/>
          <w:szCs w:val="22"/>
        </w:rPr>
        <w:t xml:space="preserve">Continental Automotive </w:t>
      </w:r>
      <w:r w:rsidR="007C08C0">
        <w:rPr>
          <w:snapToGrid/>
          <w:kern w:val="0"/>
          <w:szCs w:val="22"/>
        </w:rPr>
        <w:t>(filed under Ian Musselman)</w:t>
      </w:r>
    </w:p>
    <w:p w:rsidR="007C08C0" w:rsidRDefault="007C08C0" w:rsidP="007C08C0">
      <w:pPr>
        <w:widowControl/>
        <w:rPr>
          <w:snapToGrid/>
          <w:kern w:val="0"/>
          <w:szCs w:val="22"/>
        </w:rPr>
      </w:pPr>
      <w:r>
        <w:rPr>
          <w:snapToGrid/>
          <w:kern w:val="0"/>
          <w:szCs w:val="22"/>
        </w:rPr>
        <w:t>Freeport McMoRan Inc.</w:t>
      </w:r>
    </w:p>
    <w:p w:rsidR="00715FFB" w:rsidRDefault="00715FFB" w:rsidP="007C08C0">
      <w:pPr>
        <w:widowControl/>
        <w:rPr>
          <w:snapToGrid/>
          <w:kern w:val="0"/>
          <w:szCs w:val="22"/>
        </w:rPr>
      </w:pPr>
      <w:r w:rsidRPr="00715FFB">
        <w:rPr>
          <w:snapToGrid/>
          <w:kern w:val="0"/>
          <w:szCs w:val="22"/>
        </w:rPr>
        <w:t>General Motors Company</w:t>
      </w:r>
    </w:p>
    <w:p w:rsidR="007C08C0" w:rsidRDefault="007C08C0" w:rsidP="007C08C0">
      <w:pPr>
        <w:widowControl/>
        <w:rPr>
          <w:snapToGrid/>
          <w:kern w:val="0"/>
          <w:szCs w:val="22"/>
        </w:rPr>
      </w:pPr>
      <w:r>
        <w:rPr>
          <w:snapToGrid/>
          <w:kern w:val="0"/>
          <w:szCs w:val="22"/>
        </w:rPr>
        <w:t>IDS GeoRadar</w:t>
      </w:r>
    </w:p>
    <w:p w:rsidR="00976DA2" w:rsidRDefault="00976DA2" w:rsidP="007C08C0">
      <w:pPr>
        <w:widowControl/>
        <w:rPr>
          <w:snapToGrid/>
          <w:kern w:val="0"/>
          <w:szCs w:val="22"/>
        </w:rPr>
      </w:pPr>
      <w:r w:rsidRPr="00C63A36">
        <w:rPr>
          <w:snapToGrid/>
          <w:kern w:val="0"/>
          <w:szCs w:val="22"/>
        </w:rPr>
        <w:t>Mercedes-Benz USA, LLC</w:t>
      </w:r>
    </w:p>
    <w:p w:rsidR="007C08C0" w:rsidRPr="00C63A36" w:rsidRDefault="007C08C0" w:rsidP="007C08C0">
      <w:pPr>
        <w:widowControl/>
        <w:rPr>
          <w:snapToGrid/>
          <w:kern w:val="0"/>
          <w:szCs w:val="22"/>
        </w:rPr>
      </w:pPr>
      <w:r>
        <w:rPr>
          <w:snapToGrid/>
          <w:kern w:val="0"/>
          <w:szCs w:val="22"/>
        </w:rPr>
        <w:t>Motor &amp; Equipment Manufacturers Association (MEMA) (filed under Leigh Merino)</w:t>
      </w:r>
    </w:p>
    <w:p w:rsidR="00976DA2" w:rsidRPr="00C63A36" w:rsidRDefault="00976DA2" w:rsidP="00976DA2">
      <w:pPr>
        <w:widowControl/>
        <w:rPr>
          <w:snapToGrid/>
          <w:kern w:val="0"/>
          <w:szCs w:val="22"/>
        </w:rPr>
      </w:pPr>
      <w:r w:rsidRPr="00C63A36">
        <w:rPr>
          <w:snapToGrid/>
          <w:kern w:val="0"/>
          <w:szCs w:val="22"/>
        </w:rPr>
        <w:t>National Radio Astronomy Observatory</w:t>
      </w:r>
    </w:p>
    <w:p w:rsidR="00976DA2" w:rsidRDefault="00976DA2" w:rsidP="00976DA2">
      <w:pPr>
        <w:widowControl/>
        <w:rPr>
          <w:snapToGrid/>
          <w:kern w:val="0"/>
          <w:szCs w:val="22"/>
        </w:rPr>
      </w:pPr>
      <w:r w:rsidRPr="00C63A36">
        <w:rPr>
          <w:snapToGrid/>
          <w:kern w:val="0"/>
          <w:szCs w:val="22"/>
        </w:rPr>
        <w:t>Navtech Radar Ltd.</w:t>
      </w:r>
    </w:p>
    <w:p w:rsidR="007C08C0" w:rsidRPr="00C63A36" w:rsidRDefault="007C08C0" w:rsidP="00976DA2">
      <w:pPr>
        <w:widowControl/>
        <w:rPr>
          <w:snapToGrid/>
          <w:kern w:val="0"/>
          <w:szCs w:val="22"/>
        </w:rPr>
      </w:pPr>
      <w:r>
        <w:rPr>
          <w:snapToGrid/>
          <w:kern w:val="0"/>
          <w:szCs w:val="22"/>
        </w:rPr>
        <w:t>Robert Bosch, LLC</w:t>
      </w:r>
    </w:p>
    <w:p w:rsidR="00976DA2" w:rsidRPr="00C63A36" w:rsidRDefault="00976DA2" w:rsidP="00976DA2">
      <w:pPr>
        <w:widowControl/>
        <w:rPr>
          <w:snapToGrid/>
          <w:kern w:val="0"/>
          <w:szCs w:val="22"/>
        </w:rPr>
      </w:pPr>
      <w:r w:rsidRPr="00C63A36">
        <w:rPr>
          <w:snapToGrid/>
          <w:kern w:val="0"/>
          <w:szCs w:val="22"/>
        </w:rPr>
        <w:t>Rockwell Collins, Inc.</w:t>
      </w:r>
    </w:p>
    <w:p w:rsidR="00976DA2" w:rsidRPr="00C63A36" w:rsidRDefault="00976DA2" w:rsidP="00976DA2">
      <w:pPr>
        <w:widowControl/>
        <w:rPr>
          <w:snapToGrid/>
          <w:kern w:val="0"/>
          <w:szCs w:val="22"/>
        </w:rPr>
      </w:pPr>
      <w:r w:rsidRPr="00C63A36">
        <w:rPr>
          <w:snapToGrid/>
          <w:kern w:val="0"/>
          <w:szCs w:val="22"/>
        </w:rPr>
        <w:t>Trex Enterprises Corporation</w:t>
      </w:r>
    </w:p>
    <w:p w:rsidR="005012CF" w:rsidRDefault="00976DA2" w:rsidP="00B11E57">
      <w:pPr>
        <w:widowControl/>
        <w:rPr>
          <w:snapToGrid/>
          <w:kern w:val="0"/>
          <w:szCs w:val="22"/>
        </w:rPr>
        <w:sectPr w:rsidR="005012CF" w:rsidSect="00B823B5">
          <w:footnotePr>
            <w:numRestart w:val="eachSect"/>
          </w:footnotePr>
          <w:endnotePr>
            <w:numFmt w:val="decimal"/>
          </w:endnotePr>
          <w:pgSz w:w="12240" w:h="15840"/>
          <w:pgMar w:top="1440" w:right="1440" w:bottom="720" w:left="1440" w:header="720" w:footer="720" w:gutter="0"/>
          <w:cols w:space="720"/>
          <w:noEndnote/>
          <w:docGrid w:linePitch="299"/>
        </w:sectPr>
      </w:pPr>
      <w:r w:rsidRPr="00C63A36">
        <w:rPr>
          <w:snapToGrid/>
          <w:kern w:val="0"/>
          <w:szCs w:val="22"/>
        </w:rPr>
        <w:t>UATC, LLC</w:t>
      </w:r>
    </w:p>
    <w:p w:rsidR="00E62C1B" w:rsidRDefault="00E62C1B" w:rsidP="00E62C1B">
      <w:pPr>
        <w:spacing w:after="240"/>
        <w:jc w:val="center"/>
        <w:rPr>
          <w:b/>
        </w:rPr>
      </w:pPr>
      <w:r w:rsidRPr="00661E10">
        <w:rPr>
          <w:b/>
        </w:rPr>
        <w:t>STATEMENT OF</w:t>
      </w:r>
      <w:r>
        <w:rPr>
          <w:b/>
        </w:rPr>
        <w:br/>
      </w:r>
      <w:r w:rsidRPr="00661E10">
        <w:rPr>
          <w:b/>
        </w:rPr>
        <w:t>CHAIRMAN AJIT PAI</w:t>
      </w:r>
    </w:p>
    <w:p w:rsidR="00E62C1B" w:rsidRDefault="00E62C1B" w:rsidP="00C528BC">
      <w:pPr>
        <w:spacing w:after="120"/>
        <w:ind w:left="720" w:hanging="720"/>
      </w:pPr>
      <w:r>
        <w:t xml:space="preserve">Re: </w:t>
      </w:r>
      <w:r>
        <w:tab/>
      </w:r>
      <w:r w:rsidR="0026695C">
        <w:rPr>
          <w:i/>
        </w:rPr>
        <w:t xml:space="preserve">Amendment of </w:t>
      </w:r>
      <w:r w:rsidR="007A127F">
        <w:rPr>
          <w:i/>
        </w:rPr>
        <w:t>P</w:t>
      </w:r>
      <w:r>
        <w:rPr>
          <w:i/>
        </w:rPr>
        <w:t>arts 1, 2, 15, 90 and 95 of the Commission’s Rules to Permit Radar Services in the 76-81 GHz Band</w:t>
      </w:r>
      <w:r>
        <w:t>, ET Docket No. 15-26</w:t>
      </w:r>
      <w:r w:rsidR="0026695C">
        <w:t>.</w:t>
      </w:r>
    </w:p>
    <w:p w:rsidR="00E62C1B" w:rsidRDefault="00E62C1B" w:rsidP="00C528BC">
      <w:pPr>
        <w:spacing w:after="120"/>
        <w:ind w:firstLine="720"/>
      </w:pPr>
      <w:r>
        <w:t xml:space="preserve">I always try to be conscious of the rules of the road.  But when I’m in the car with my kids, vehicular safety becomes an all-encompassing concern.  </w:t>
      </w:r>
      <w:r w:rsidRPr="00A11FE8">
        <w:t>Thankfully, auto manufacturers are continuing to roll out new</w:t>
      </w:r>
      <w:r>
        <w:t>, proven</w:t>
      </w:r>
      <w:r w:rsidRPr="00A11FE8">
        <w:t xml:space="preserve"> technologies</w:t>
      </w:r>
      <w:r>
        <w:t xml:space="preserve"> that enable services like </w:t>
      </w:r>
      <w:r w:rsidRPr="00A11FE8">
        <w:t xml:space="preserve">collision avoidance, blind spot monitoring, </w:t>
      </w:r>
      <w:r>
        <w:t xml:space="preserve">and </w:t>
      </w:r>
      <w:r w:rsidRPr="00A11FE8">
        <w:t>lane change assistan</w:t>
      </w:r>
      <w:r>
        <w:t>ce.</w:t>
      </w:r>
      <w:r w:rsidRPr="00A11FE8">
        <w:t xml:space="preserve"> </w:t>
      </w:r>
      <w:r>
        <w:t xml:space="preserve"> V</w:t>
      </w:r>
      <w:r w:rsidRPr="00A11FE8">
        <w:t xml:space="preserve">ehicular radar systems can </w:t>
      </w:r>
      <w:r>
        <w:t xml:space="preserve">improve our driving experience and help our families </w:t>
      </w:r>
      <w:r w:rsidRPr="00A11FE8">
        <w:t>stay safe</w:t>
      </w:r>
      <w:r>
        <w:t>.</w:t>
      </w:r>
    </w:p>
    <w:p w:rsidR="00E62C1B" w:rsidRDefault="00E62C1B" w:rsidP="00C528BC">
      <w:pPr>
        <w:spacing w:after="120"/>
        <w:ind w:firstLine="720"/>
      </w:pPr>
      <w:r>
        <w:t>Today, the FCC does its part to promote this consumer-friendly innovation by giving these systems the bandwidth needed to operate fully and securely.  By allocating a contiguous 76–81 GHz band to these services, we expand the existing 76–77 GHz allocation for vehicular radars by four gigahertz.  We are also moving other vehicular radar operations from other bands to be consolidated into these frequencies.  Access to this contiguous block of spectrum will allow for new innovations and the expansion of potentially life-saving vehicular radar technologies.</w:t>
      </w:r>
    </w:p>
    <w:p w:rsidR="00E62C1B" w:rsidRDefault="00E62C1B" w:rsidP="00C528BC">
      <w:pPr>
        <w:spacing w:after="120"/>
        <w:ind w:firstLine="720"/>
      </w:pPr>
      <w:r>
        <w:t xml:space="preserve">We also open up this band to expand access for fixed and mobile radars in airport operations areas.  This could not only ensure safety, but hopefully prevent flight delays as well.  For instance, according to one commenter, wingtip collisions account for approximately 25% of all aircraft ground accidents.  “Wingtip radars” on aircraft may help with collision avoidance on the tarmac, among other areas. </w:t>
      </w:r>
    </w:p>
    <w:p w:rsidR="00E62C1B" w:rsidRPr="001074D3" w:rsidRDefault="00E62C1B" w:rsidP="00C528BC">
      <w:pPr>
        <w:spacing w:after="120"/>
        <w:ind w:firstLine="720"/>
      </w:pPr>
      <w:r>
        <w:t>My thanks to the staff who worked on this item: Rashmi Doshi, Patrick Forster, Howard Griboff, Matthew Hussey, Ira Keltz, Julie Knapp, Geraldine Matise, and Jamison Prime from the Office of Engineering and Technology; Tom Derenge and Scot Stone from the Wireless Telecommunications Bureau; Jeremy Marcus and Aspasia Paroutsas from the Enforcement Bureau; and David Horowitz and Anjali Singh from the Office of General Counsel.  Your work impacts the lives of millions of Americans, and is vital to improving vehicular safety.</w:t>
      </w:r>
    </w:p>
    <w:p w:rsidR="00C528BC" w:rsidRDefault="00C528BC" w:rsidP="00B11E57">
      <w:pPr>
        <w:widowControl/>
        <w:rPr>
          <w:snapToGrid/>
          <w:kern w:val="0"/>
          <w:szCs w:val="22"/>
        </w:rPr>
        <w:sectPr w:rsidR="00C528BC" w:rsidSect="00B823B5">
          <w:footnotePr>
            <w:numRestart w:val="eachSect"/>
          </w:footnotePr>
          <w:endnotePr>
            <w:numFmt w:val="decimal"/>
          </w:endnotePr>
          <w:pgSz w:w="12240" w:h="15840"/>
          <w:pgMar w:top="1440" w:right="1440" w:bottom="720" w:left="1440" w:header="720" w:footer="720" w:gutter="0"/>
          <w:cols w:space="720"/>
          <w:noEndnote/>
          <w:docGrid w:linePitch="299"/>
        </w:sectPr>
      </w:pPr>
    </w:p>
    <w:p w:rsidR="00E62C1B" w:rsidRPr="00E13C23" w:rsidRDefault="00E62C1B" w:rsidP="00E62C1B">
      <w:pPr>
        <w:jc w:val="center"/>
        <w:rPr>
          <w:b/>
          <w:sz w:val="24"/>
          <w:szCs w:val="24"/>
        </w:rPr>
      </w:pPr>
      <w:r w:rsidRPr="00E13C23">
        <w:rPr>
          <w:b/>
          <w:sz w:val="24"/>
          <w:szCs w:val="24"/>
        </w:rPr>
        <w:t xml:space="preserve">STATEMENT OF </w:t>
      </w:r>
    </w:p>
    <w:p w:rsidR="00E62C1B" w:rsidRPr="00E13C23" w:rsidRDefault="00E62C1B" w:rsidP="00E62C1B">
      <w:pPr>
        <w:jc w:val="center"/>
        <w:rPr>
          <w:b/>
          <w:sz w:val="24"/>
          <w:szCs w:val="24"/>
        </w:rPr>
      </w:pPr>
      <w:r w:rsidRPr="00E13C23">
        <w:rPr>
          <w:b/>
          <w:sz w:val="24"/>
          <w:szCs w:val="24"/>
        </w:rPr>
        <w:t>COMMISSIONER MIGNON L. CLYBURN</w:t>
      </w:r>
    </w:p>
    <w:p w:rsidR="00E62C1B" w:rsidRPr="00E13C23" w:rsidRDefault="00E62C1B" w:rsidP="00E62C1B">
      <w:pPr>
        <w:rPr>
          <w:sz w:val="24"/>
          <w:szCs w:val="24"/>
        </w:rPr>
      </w:pPr>
    </w:p>
    <w:p w:rsidR="00E62C1B" w:rsidRPr="0026695C" w:rsidRDefault="00E62C1B" w:rsidP="00E62C1B">
      <w:pPr>
        <w:ind w:left="720" w:hanging="720"/>
        <w:rPr>
          <w:szCs w:val="22"/>
        </w:rPr>
      </w:pPr>
      <w:r w:rsidRPr="0026695C">
        <w:rPr>
          <w:i/>
          <w:szCs w:val="22"/>
        </w:rPr>
        <w:t>Re:</w:t>
      </w:r>
      <w:r w:rsidRPr="0026695C">
        <w:rPr>
          <w:szCs w:val="22"/>
        </w:rPr>
        <w:tab/>
      </w:r>
      <w:r w:rsidRPr="0026695C">
        <w:rPr>
          <w:i/>
          <w:szCs w:val="22"/>
        </w:rPr>
        <w:t>Amendment of Parts 1, 2, 15, 90 and 95 of the Commission’s Rules to Permit Radar Services in the 76-81 GHz Band</w:t>
      </w:r>
      <w:r w:rsidRPr="0026695C">
        <w:rPr>
          <w:szCs w:val="22"/>
        </w:rPr>
        <w:t>, ET Docket No. 15-26</w:t>
      </w:r>
      <w:r w:rsidRPr="0026695C">
        <w:rPr>
          <w:szCs w:val="22"/>
        </w:rPr>
        <w:br/>
      </w:r>
    </w:p>
    <w:p w:rsidR="00E62C1B" w:rsidRPr="0026695C" w:rsidRDefault="00E62C1B" w:rsidP="00E62C1B">
      <w:pPr>
        <w:rPr>
          <w:szCs w:val="22"/>
        </w:rPr>
      </w:pPr>
      <w:r w:rsidRPr="0026695C">
        <w:rPr>
          <w:szCs w:val="22"/>
        </w:rPr>
        <w:tab/>
        <w:t>The first gasoline-powered automobile driven on American soil was built by John William Lambert in 1891.  Then referred to as a “horseless carriage,” it drove on three wheels</w:t>
      </w:r>
      <w:r w:rsidRPr="0026695C">
        <w:rPr>
          <w:szCs w:val="22"/>
          <w:shd w:val="clear" w:color="auto" w:fill="FFFFFF"/>
        </w:rPr>
        <w:t xml:space="preserve"> – </w:t>
      </w:r>
      <w:r w:rsidRPr="0026695C">
        <w:rPr>
          <w:szCs w:val="22"/>
        </w:rPr>
        <w:t>with two large wheels in the rear and one smaller wheel in the front</w:t>
      </w:r>
      <w:r w:rsidRPr="0026695C">
        <w:rPr>
          <w:szCs w:val="22"/>
          <w:shd w:val="clear" w:color="auto" w:fill="FFFFFF"/>
        </w:rPr>
        <w:t>.  It used a lever for steering</w:t>
      </w:r>
      <w:r w:rsidRPr="0026695C">
        <w:rPr>
          <w:szCs w:val="22"/>
        </w:rPr>
        <w:t xml:space="preserve"> and ran on a one-cylinder engine.  According to Ohio legend, the first car accident in American history occurred that same year in Ohio City when Lambert’s vehicle hit the roots of a tree stump and crashed into a hitching post.  Fortunately, no one suffered major injuries, and with help, the car continued on its way.</w:t>
      </w:r>
    </w:p>
    <w:p w:rsidR="00E62C1B" w:rsidRPr="0026695C" w:rsidRDefault="00E62C1B" w:rsidP="00E62C1B">
      <w:pPr>
        <w:rPr>
          <w:szCs w:val="22"/>
        </w:rPr>
      </w:pPr>
      <w:r w:rsidRPr="0026695C">
        <w:rPr>
          <w:szCs w:val="22"/>
        </w:rPr>
        <w:br/>
      </w:r>
      <w:r w:rsidRPr="0026695C">
        <w:rPr>
          <w:szCs w:val="22"/>
        </w:rPr>
        <w:tab/>
        <w:t xml:space="preserve">The transportation landscape has advanced significantly since Lambert’s early experiments.  What has not changed, however, is the critical importance of vehicle safety.  While we enthusiastically harness new technology that will ultimately propel us to a driverless future, we must maintain our focus on safety – and radar applications play an important role.  </w:t>
      </w:r>
      <w:r w:rsidRPr="0026695C">
        <w:rPr>
          <w:szCs w:val="22"/>
        </w:rPr>
        <w:br/>
      </w:r>
    </w:p>
    <w:p w:rsidR="00E62C1B" w:rsidRPr="0026695C" w:rsidRDefault="00E62C1B" w:rsidP="00E62C1B">
      <w:pPr>
        <w:rPr>
          <w:szCs w:val="22"/>
        </w:rPr>
      </w:pPr>
      <w:r w:rsidRPr="0026695C">
        <w:rPr>
          <w:szCs w:val="22"/>
        </w:rPr>
        <w:tab/>
        <w:t xml:space="preserve">Vehicular radars serve multiple safety functions, including the ability to determine the distance and movement of objects adjacent to vehicles, which helps to improve a driver’s perception in poor visibility conditions.  Those of us who use adaptive cruise control or collision avoidance systems know just how important and beneficial automotive radar applications can be.  And today’s decision will foster even more innovation for vehicular as well as non-vehicular radar systems, such as foreign object debris detection radars on airport runways and aircraft wingtip radars.  </w:t>
      </w:r>
      <w:r w:rsidRPr="0026695C">
        <w:rPr>
          <w:szCs w:val="22"/>
        </w:rPr>
        <w:br/>
      </w:r>
    </w:p>
    <w:p w:rsidR="00E62C1B" w:rsidRPr="0026695C" w:rsidRDefault="00E62C1B" w:rsidP="00E62C1B">
      <w:pPr>
        <w:rPr>
          <w:szCs w:val="22"/>
        </w:rPr>
      </w:pPr>
      <w:r w:rsidRPr="0026695C">
        <w:rPr>
          <w:szCs w:val="22"/>
        </w:rPr>
        <w:tab/>
        <w:t xml:space="preserve">Back in 1891, it was unlikely that Lambert could have predicted these spectacular advances in transportation.  Today, we too, are limited in predicting the innovative landmarks sure to be realized over the next 10, let alone 100 years.  It is my hope that this item will open the door to many exciting possibilities.  </w:t>
      </w:r>
    </w:p>
    <w:p w:rsidR="00E62C1B" w:rsidRPr="0026695C" w:rsidRDefault="00E62C1B" w:rsidP="00E62C1B">
      <w:pPr>
        <w:rPr>
          <w:szCs w:val="22"/>
        </w:rPr>
      </w:pPr>
      <w:r w:rsidRPr="0026695C">
        <w:rPr>
          <w:szCs w:val="22"/>
        </w:rPr>
        <w:br/>
      </w:r>
      <w:r w:rsidRPr="0026695C">
        <w:rPr>
          <w:szCs w:val="22"/>
        </w:rPr>
        <w:tab/>
        <w:t>Thank you</w:t>
      </w:r>
      <w:r w:rsidR="0026695C">
        <w:rPr>
          <w:szCs w:val="22"/>
        </w:rPr>
        <w:t>,</w:t>
      </w:r>
      <w:r w:rsidRPr="0026695C">
        <w:rPr>
          <w:szCs w:val="22"/>
        </w:rPr>
        <w:t xml:space="preserve"> Julie Knapp and the staff of the Office of Engineering and Technology for your important work on this item. </w:t>
      </w:r>
    </w:p>
    <w:p w:rsidR="00C528BC" w:rsidRDefault="00C528BC" w:rsidP="00E62C1B">
      <w:pPr>
        <w:jc w:val="center"/>
        <w:rPr>
          <w:b/>
        </w:rPr>
        <w:sectPr w:rsidR="00C528BC" w:rsidSect="00B823B5">
          <w:footnotePr>
            <w:numRestart w:val="eachSect"/>
          </w:footnotePr>
          <w:endnotePr>
            <w:numFmt w:val="decimal"/>
          </w:endnotePr>
          <w:pgSz w:w="12240" w:h="15840"/>
          <w:pgMar w:top="1440" w:right="1440" w:bottom="720" w:left="1440" w:header="720" w:footer="720" w:gutter="0"/>
          <w:cols w:space="720"/>
          <w:noEndnote/>
          <w:docGrid w:linePitch="299"/>
        </w:sectPr>
      </w:pPr>
    </w:p>
    <w:p w:rsidR="00E62C1B" w:rsidRDefault="00E62C1B" w:rsidP="00E62C1B">
      <w:pPr>
        <w:jc w:val="center"/>
        <w:rPr>
          <w:b/>
        </w:rPr>
      </w:pPr>
      <w:r w:rsidRPr="00021027">
        <w:rPr>
          <w:b/>
        </w:rPr>
        <w:t xml:space="preserve">STATEMENT OF </w:t>
      </w:r>
    </w:p>
    <w:p w:rsidR="00E62C1B" w:rsidRPr="00021027" w:rsidRDefault="00E62C1B" w:rsidP="00E62C1B">
      <w:pPr>
        <w:jc w:val="center"/>
        <w:rPr>
          <w:b/>
        </w:rPr>
      </w:pPr>
      <w:r w:rsidRPr="00021027">
        <w:rPr>
          <w:b/>
        </w:rPr>
        <w:t>COMMISSIONER MICHAEL O’RIELLY</w:t>
      </w:r>
    </w:p>
    <w:p w:rsidR="00E62C1B" w:rsidRPr="00021027" w:rsidRDefault="00E62C1B" w:rsidP="00E62C1B">
      <w:pPr>
        <w:jc w:val="center"/>
        <w:rPr>
          <w:b/>
        </w:rPr>
      </w:pPr>
    </w:p>
    <w:p w:rsidR="00E62C1B" w:rsidRDefault="00E62C1B" w:rsidP="00E62C1B">
      <w:pPr>
        <w:ind w:left="720" w:hanging="720"/>
        <w:rPr>
          <w:i/>
        </w:rPr>
      </w:pPr>
      <w:r w:rsidRPr="00021027">
        <w:rPr>
          <w:i/>
        </w:rPr>
        <w:t>Re:</w:t>
      </w:r>
      <w:r w:rsidRPr="00021027">
        <w:rPr>
          <w:i/>
        </w:rPr>
        <w:tab/>
      </w:r>
      <w:r>
        <w:rPr>
          <w:i/>
        </w:rPr>
        <w:t>Amendment of Parts 1, 2, 15, 90 and 95 of the Commission’s Rules to Permit Radar Services in the 76-81 GHz Band, ET Docket No. 15-26, Report and Order</w:t>
      </w:r>
      <w:r w:rsidR="0026695C">
        <w:rPr>
          <w:i/>
        </w:rPr>
        <w:t>.</w:t>
      </w:r>
    </w:p>
    <w:p w:rsidR="00E62C1B" w:rsidRPr="007D6623" w:rsidRDefault="00E62C1B" w:rsidP="00E62C1B">
      <w:pPr>
        <w:ind w:left="720" w:hanging="720"/>
        <w:rPr>
          <w:i/>
        </w:rPr>
      </w:pPr>
    </w:p>
    <w:p w:rsidR="00E62C1B" w:rsidRPr="007D6623" w:rsidRDefault="00E62C1B" w:rsidP="00C528BC">
      <w:pPr>
        <w:spacing w:after="120"/>
        <w:ind w:firstLine="720"/>
      </w:pPr>
      <w:r w:rsidRPr="007D6623">
        <w:t xml:space="preserve">I must admit that I have been more than hesitant to allocate such a large swath of spectrum to auto safety systems as the item before us does.  This institution has a mixed track record when it comes to seeing such technologies come to fruition.  Specifically, it is now almost two decades since the Commission allocated 5.9 GHz spectrum for dedicated short-range communications (DSRC) systems and still have little to show for it.  At least in this case, the vehicular radar technology exists and is deployed.  In fact, today’s item consolidates all radars in one place, in the 76-81 GHz band.  In return for access to this spectrum, the auto industry will vacate other bands, such as 16.2-17.7 GHz and 22-29 GHz, over time.  Moreover, this action is consistent with efforts to globally harmonize spectrum for vehicular radar operations in the 76-81 GHz band.  For this reason, I will vote for the item. </w:t>
      </w:r>
    </w:p>
    <w:p w:rsidR="00E62C1B" w:rsidRPr="007D6623" w:rsidRDefault="00E62C1B" w:rsidP="00C528BC">
      <w:pPr>
        <w:spacing w:after="120"/>
        <w:ind w:firstLine="720"/>
      </w:pPr>
      <w:r w:rsidRPr="007D6623">
        <w:t>While long range radars have been operating in one gigahertz of spectrum at 76-77 GHz, a case has been made that short-range radars need four gigahertz of spectrum to provide the necessary higher resolution to detect and identify objects at close range.  The practical functions of these radars include blind spot detection, lane change assist, collision warnings, autonomous braking, and the detection of pedestrians and bicycles.</w:t>
      </w:r>
      <w:r w:rsidRPr="007D6623">
        <w:rPr>
          <w:rStyle w:val="FootnoteReference"/>
        </w:rPr>
        <w:footnoteReference w:id="231"/>
      </w:r>
      <w:r w:rsidRPr="007D6623">
        <w:t xml:space="preserve"> </w:t>
      </w:r>
    </w:p>
    <w:p w:rsidR="00E62C1B" w:rsidRPr="007D6623" w:rsidRDefault="00E62C1B" w:rsidP="00C528BC">
      <w:pPr>
        <w:spacing w:after="120"/>
        <w:ind w:firstLine="720"/>
      </w:pPr>
      <w:r w:rsidRPr="007D6623">
        <w:t xml:space="preserve">When I hear of these benefits, I get an odd sense of déjà vu.  Several of these safety solutions are exactly the same or similar to those championed as reasons for DSRC.  As I have said before, it is necessary to determine exactly what safety systems will be provided using DSRC and whether they can be provided using other technologies, including the very technology we consider today.  Dedicated DSRC spectrum should not be used to provide safety functionalities – or any services for that matter – that can be offered using radars and other technologies being used or in the planning stages as we generally move towards more autonomous cars. </w:t>
      </w:r>
    </w:p>
    <w:p w:rsidR="00E62C1B" w:rsidRPr="007D6623" w:rsidRDefault="00E62C1B" w:rsidP="00C528BC">
      <w:pPr>
        <w:spacing w:after="120"/>
        <w:ind w:firstLine="720"/>
      </w:pPr>
      <w:r w:rsidRPr="007D6623">
        <w:t xml:space="preserve">Limiting use of the 5.9 GHz spectrum for only safety solutions that cannot be otherwise provided elsewhere would ensure that, at a minimum, unlicensed users can share spectrum with DSRC without causing harmful interference.  We may even find that the purported benefits of DSRC no longer hold up, but that will have to be a discussion for another day.  </w:t>
      </w:r>
    </w:p>
    <w:sectPr w:rsidR="00E62C1B" w:rsidRPr="007D6623" w:rsidSect="00B823B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92" w:rsidRDefault="00446B92">
      <w:pPr>
        <w:spacing w:line="20" w:lineRule="exact"/>
      </w:pPr>
    </w:p>
  </w:endnote>
  <w:endnote w:type="continuationSeparator" w:id="0">
    <w:p w:rsidR="00446B92" w:rsidRDefault="00446B92">
      <w:r>
        <w:t xml:space="preserve"> </w:t>
      </w:r>
    </w:p>
  </w:endnote>
  <w:endnote w:type="continuationNotice" w:id="1">
    <w:p w:rsidR="00446B92" w:rsidRDefault="00446B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rsidP="0055614C">
    <w:pPr>
      <w:pStyle w:val="Footer"/>
      <w:framePr w:wrap="around" w:vAnchor="text" w:hAnchor="margin" w:xAlign="center" w:y="1"/>
    </w:pPr>
    <w:r>
      <w:fldChar w:fldCharType="begin"/>
    </w:r>
    <w:r>
      <w:instrText xml:space="preserve">PAGE  </w:instrText>
    </w:r>
    <w:r>
      <w:fldChar w:fldCharType="end"/>
    </w:r>
  </w:p>
  <w:p w:rsidR="009D0BE6" w:rsidRDefault="009D0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rsidP="00330B6E">
    <w:pPr>
      <w:pStyle w:val="Footer"/>
      <w:jc w:val="center"/>
    </w:pPr>
    <w:r>
      <w:fldChar w:fldCharType="begin"/>
    </w:r>
    <w:r>
      <w:instrText xml:space="preserve"> PAGE   \* MERGEFORMAT </w:instrText>
    </w:r>
    <w:r>
      <w:fldChar w:fldCharType="separate"/>
    </w:r>
    <w:r w:rsidR="00BE08C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pPr>
      <w:pStyle w:val="Footer"/>
      <w:jc w:val="center"/>
      <w:rPr>
        <w:noProof/>
      </w:rPr>
    </w:pPr>
  </w:p>
  <w:p w:rsidR="009D0BE6" w:rsidRDefault="009D0BE6">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rsidP="0055614C">
    <w:pPr>
      <w:pStyle w:val="Footer"/>
      <w:framePr w:wrap="around" w:vAnchor="text" w:hAnchor="margin" w:xAlign="center" w:y="1"/>
    </w:pPr>
    <w:r>
      <w:fldChar w:fldCharType="begin"/>
    </w:r>
    <w:r>
      <w:instrText xml:space="preserve">PAGE  </w:instrText>
    </w:r>
    <w:r>
      <w:fldChar w:fldCharType="end"/>
    </w:r>
  </w:p>
  <w:p w:rsidR="009D0BE6" w:rsidRDefault="009D0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rsidP="0055614C">
    <w:pPr>
      <w:pStyle w:val="Footer"/>
      <w:framePr w:wrap="around" w:vAnchor="text" w:hAnchor="margin" w:xAlign="center" w:y="1"/>
    </w:pPr>
    <w:r>
      <w:fldChar w:fldCharType="begin"/>
    </w:r>
    <w:r>
      <w:instrText xml:space="preserve">PAGE  </w:instrText>
    </w:r>
    <w:r>
      <w:fldChar w:fldCharType="separate"/>
    </w:r>
    <w:r w:rsidR="008D284D">
      <w:rPr>
        <w:noProof/>
      </w:rPr>
      <w:t>52</w:t>
    </w:r>
    <w:r>
      <w:fldChar w:fldCharType="end"/>
    </w:r>
  </w:p>
  <w:p w:rsidR="009D0BE6" w:rsidRDefault="009D0BE6">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92" w:rsidRDefault="00446B92">
      <w:r>
        <w:separator/>
      </w:r>
    </w:p>
  </w:footnote>
  <w:footnote w:type="continuationSeparator" w:id="0">
    <w:p w:rsidR="00446B92" w:rsidRDefault="00446B92" w:rsidP="00C721AC">
      <w:pPr>
        <w:spacing w:before="120"/>
        <w:rPr>
          <w:sz w:val="20"/>
        </w:rPr>
      </w:pPr>
      <w:r>
        <w:rPr>
          <w:sz w:val="20"/>
        </w:rPr>
        <w:t xml:space="preserve">(Continued from previous page)  </w:t>
      </w:r>
      <w:r>
        <w:rPr>
          <w:sz w:val="20"/>
        </w:rPr>
        <w:separator/>
      </w:r>
    </w:p>
  </w:footnote>
  <w:footnote w:type="continuationNotice" w:id="1">
    <w:p w:rsidR="00446B92" w:rsidRDefault="00446B92" w:rsidP="00C721AC">
      <w:pPr>
        <w:jc w:val="right"/>
        <w:rPr>
          <w:sz w:val="20"/>
        </w:rPr>
      </w:pPr>
      <w:r>
        <w:rPr>
          <w:sz w:val="20"/>
        </w:rPr>
        <w:t>(continued….)</w:t>
      </w:r>
    </w:p>
  </w:footnote>
  <w:footnote w:id="2">
    <w:p w:rsidR="009D0BE6" w:rsidRDefault="009D0BE6" w:rsidP="00051342">
      <w:pPr>
        <w:pStyle w:val="FootnoteText"/>
      </w:pPr>
      <w:r>
        <w:rPr>
          <w:rStyle w:val="FootnoteReference"/>
        </w:rPr>
        <w:footnoteRef/>
      </w:r>
      <w:r>
        <w:t xml:space="preserve"> </w:t>
      </w:r>
      <w:r w:rsidRPr="00367742">
        <w:t>The 76-81 GHz band is part of the “millimeter</w:t>
      </w:r>
      <w:r>
        <w:t>-</w:t>
      </w:r>
      <w:r w:rsidRPr="00367742">
        <w:t>wave” spectrum.</w:t>
      </w:r>
      <w:r>
        <w:t xml:space="preserve">  The term “millimeter-wave” derives from the wavelength of radio signals on frequencies between 30 GHz and 300 GHz, which ranges between 10 and 1 millimeters.</w:t>
      </w:r>
    </w:p>
  </w:footnote>
  <w:footnote w:id="3">
    <w:p w:rsidR="009D0BE6" w:rsidRDefault="009D0BE6" w:rsidP="00FD07AA">
      <w:pPr>
        <w:pStyle w:val="FootnoteText"/>
      </w:pPr>
      <w:r>
        <w:rPr>
          <w:rStyle w:val="FootnoteReference"/>
        </w:rPr>
        <w:footnoteRef/>
      </w:r>
      <w:r>
        <w:t xml:space="preserve"> </w:t>
      </w:r>
      <w:r w:rsidRPr="00860300">
        <w:rPr>
          <w:i/>
        </w:rPr>
        <w:t xml:space="preserve">See </w:t>
      </w:r>
      <w:r>
        <w:t>47 CFR § 2.1(c) (radar is “[a] radiodetermination system based on the comparison of reference signals with radio signals reflected, or retransmitted, from the position to be determined.”); ITU Radio Regulations 1.100-.102 (2012).</w:t>
      </w:r>
    </w:p>
  </w:footnote>
  <w:footnote w:id="4">
    <w:p w:rsidR="009D0BE6" w:rsidRPr="00763550" w:rsidRDefault="009D0BE6" w:rsidP="00012AA8">
      <w:pPr>
        <w:pStyle w:val="FootnoteText"/>
      </w:pPr>
      <w:r>
        <w:rPr>
          <w:rStyle w:val="FootnoteReference"/>
        </w:rPr>
        <w:footnoteRef/>
      </w:r>
      <w:r>
        <w:t xml:space="preserve"> </w:t>
      </w:r>
      <w:r>
        <w:rPr>
          <w:i/>
        </w:rPr>
        <w:t>Amendment of Parts 1, 2, 15, 90 and 95 of the Commission’s Rules to Permit Radar Services in the 76-81 GHz Band</w:t>
      </w:r>
      <w:r>
        <w:t>, ET Docket No. 15-26, Notice of Proposed Rulemaking and Reconsideration Order, 30 FCC Rcd 1625 (2015) (</w:t>
      </w:r>
      <w:r>
        <w:rPr>
          <w:i/>
        </w:rPr>
        <w:t>NPRM</w:t>
      </w:r>
      <w:r>
        <w:t>).</w:t>
      </w:r>
      <w:r w:rsidRPr="00795F0B">
        <w:rPr>
          <w:snapToGrid w:val="0"/>
        </w:rPr>
        <w:t xml:space="preserve"> </w:t>
      </w:r>
      <w:r>
        <w:rPr>
          <w:snapToGrid w:val="0"/>
        </w:rPr>
        <w:t xml:space="preserve"> </w:t>
      </w:r>
    </w:p>
  </w:footnote>
  <w:footnote w:id="5">
    <w:p w:rsidR="009D0BE6" w:rsidRPr="00763550" w:rsidRDefault="009D0BE6" w:rsidP="000D1EC0">
      <w:pPr>
        <w:pStyle w:val="FootnoteText"/>
      </w:pPr>
      <w:r>
        <w:rPr>
          <w:rStyle w:val="FootnoteReference"/>
        </w:rPr>
        <w:footnoteRef/>
      </w:r>
      <w:r>
        <w:t xml:space="preserve"> </w:t>
      </w:r>
      <w:r>
        <w:rPr>
          <w:snapToGrid w:val="0"/>
        </w:rPr>
        <w:t xml:space="preserve">The rules already give support for classifying a broad range of uses as “vehicles.”  </w:t>
      </w:r>
      <w:r>
        <w:rPr>
          <w:i/>
          <w:iCs/>
          <w:snapToGrid w:val="0"/>
        </w:rPr>
        <w:t xml:space="preserve">See </w:t>
      </w:r>
      <w:r>
        <w:rPr>
          <w:snapToGrid w:val="0"/>
        </w:rPr>
        <w:t xml:space="preserve">47 C.F.R. §§ 15.252(a) and 15.515(a).  </w:t>
      </w:r>
      <w:r>
        <w:rPr>
          <w:i/>
          <w:iCs/>
          <w:snapToGrid w:val="0"/>
        </w:rPr>
        <w:t>Cf.</w:t>
      </w:r>
      <w:r>
        <w:rPr>
          <w:snapToGrid w:val="0"/>
        </w:rPr>
        <w:t xml:space="preserve"> § 15.245(b)(1)(iii).  We intend to continue to apply our rules broadly and will rely on existing processes that provide interpretations of the rules in response to specific requests.  For example, the Office of Engineering and Technology’s Laboratory Division has developed a substantial body of supplemental guidance through the online Knowledge Database (KDB).  KDB publication 653005, recently published for comment, addresses what types of vehicles may qualify under the Part 15 vehicular radar rules (</w:t>
      </w:r>
      <w:r>
        <w:rPr>
          <w:i/>
          <w:iCs/>
          <w:snapToGrid w:val="0"/>
        </w:rPr>
        <w:t>see</w:t>
      </w:r>
      <w:r>
        <w:rPr>
          <w:snapToGrid w:val="0"/>
        </w:rPr>
        <w:t xml:space="preserve"> 653005 Interpretation of Section 15.253(c) DR01-42888, available at </w:t>
      </w:r>
      <w:hyperlink r:id="rId1" w:history="1">
        <w:r>
          <w:rPr>
            <w:rStyle w:val="Hyperlink"/>
            <w:snapToGrid w:val="0"/>
          </w:rPr>
          <w:t>https://apps.fcc.gov/eas/comments/GetPublishedDocument.html?id=426&amp;tn=409139</w:t>
        </w:r>
      </w:hyperlink>
      <w:r>
        <w:rPr>
          <w:snapToGrid w:val="0"/>
        </w:rPr>
        <w:t xml:space="preserve"> (Draft for Review)).</w:t>
      </w:r>
    </w:p>
  </w:footnote>
  <w:footnote w:id="6">
    <w:p w:rsidR="009D0BE6" w:rsidRDefault="009D0BE6" w:rsidP="0065647F">
      <w:pPr>
        <w:pStyle w:val="FootnoteText"/>
      </w:pPr>
      <w:r>
        <w:rPr>
          <w:rStyle w:val="FootnoteReference"/>
        </w:rPr>
        <w:footnoteRef/>
      </w:r>
      <w:r>
        <w:t xml:space="preserve"> Robert Bosch, LLC Comments at 8 n.1</w:t>
      </w:r>
      <w:r w:rsidRPr="000C7040">
        <w:t>5</w:t>
      </w:r>
      <w:r>
        <w:t>, 9 (</w:t>
      </w:r>
      <w:r w:rsidRPr="000C7040">
        <w:t>Bosch</w:t>
      </w:r>
      <w:r>
        <w:t xml:space="preserve"> Comments); </w:t>
      </w:r>
      <w:r>
        <w:rPr>
          <w:i/>
        </w:rPr>
        <w:t>NPRM</w:t>
      </w:r>
      <w:r>
        <w:t>, 30 FCC Rcd at 1627, para. 8</w:t>
      </w:r>
      <w:r w:rsidRPr="000C7040">
        <w:t>.</w:t>
      </w:r>
    </w:p>
  </w:footnote>
  <w:footnote w:id="7">
    <w:p w:rsidR="009D0BE6" w:rsidRPr="0065140A" w:rsidRDefault="009D0BE6" w:rsidP="00A61DEE">
      <w:pPr>
        <w:pStyle w:val="FootnoteText"/>
        <w:rPr>
          <w:snapToGrid w:val="0"/>
        </w:rPr>
      </w:pPr>
      <w:r>
        <w:rPr>
          <w:rStyle w:val="FootnoteReference"/>
        </w:rPr>
        <w:footnoteRef/>
      </w:r>
      <w:r>
        <w:t xml:space="preserve"> </w:t>
      </w:r>
      <w:r w:rsidRPr="00F17A08">
        <w:rPr>
          <w:i/>
        </w:rPr>
        <w:t>See Amendment of Parts 2, 15, and 97 of the Commission’s Rules to Permit Use of Radio Frequencies Above 40 GHz for New Radio Applications</w:t>
      </w:r>
      <w:r>
        <w:t>, ET Docket No. 94-124, First Report and Order and Second Notice of Proposed Rulemaking</w:t>
      </w:r>
      <w:r w:rsidRPr="00F17A08">
        <w:t xml:space="preserve">, </w:t>
      </w:r>
      <w:r>
        <w:t>11 FCC Rcd 4481,</w:t>
      </w:r>
      <w:r w:rsidRPr="00D47CD2">
        <w:t xml:space="preserve"> </w:t>
      </w:r>
      <w:r>
        <w:t xml:space="preserve">4488-89, paras. 15-17 (1995); </w:t>
      </w:r>
      <w:r>
        <w:rPr>
          <w:snapToGrid w:val="0"/>
        </w:rPr>
        <w:t>47 CFR § 15.253</w:t>
      </w:r>
      <w:r>
        <w:t xml:space="preserve">.  </w:t>
      </w:r>
      <w:r>
        <w:rPr>
          <w:snapToGrid w:val="0"/>
        </w:rPr>
        <w:t>An unlicensed radar operates under the conditions that the device may not cause any harmful interference and that interference caused by the operation of an authorized radio station, by industrial, scientific and medical equipment, by another intentional or unintentional radiator, or by an incidental radiator must be accepted.  47 CFR § 15.5(b).</w:t>
      </w:r>
    </w:p>
  </w:footnote>
  <w:footnote w:id="8">
    <w:p w:rsidR="009D0BE6" w:rsidRPr="004A42A3" w:rsidRDefault="009D0BE6" w:rsidP="00367742">
      <w:pPr>
        <w:pStyle w:val="FootnoteText"/>
      </w:pPr>
      <w:r>
        <w:rPr>
          <w:rStyle w:val="FootnoteReference"/>
        </w:rPr>
        <w:footnoteRef/>
      </w:r>
      <w:r>
        <w:t xml:space="preserve"> </w:t>
      </w:r>
      <w:r w:rsidRPr="00EF6F5C">
        <w:rPr>
          <w:i/>
        </w:rPr>
        <w:t>Amendment of Sections 15.35 and 15.253 of the Commission’s Rules Regarding Operation of Radar Systems in the 76-77 GHz Band</w:t>
      </w:r>
      <w:r>
        <w:t>;</w:t>
      </w:r>
      <w:r w:rsidRPr="00053183">
        <w:rPr>
          <w:i/>
        </w:rPr>
        <w:t xml:space="preserve"> </w:t>
      </w:r>
      <w:r w:rsidRPr="00EF6F5C">
        <w:rPr>
          <w:i/>
        </w:rPr>
        <w:t xml:space="preserve">Amendment of Section 15.253 of the Commission’s Rules </w:t>
      </w:r>
      <w:r>
        <w:rPr>
          <w:i/>
        </w:rPr>
        <w:t>to Permit Fixed Use of Radar in the 76-77 GHz Band</w:t>
      </w:r>
      <w:r>
        <w:t xml:space="preserve">, </w:t>
      </w:r>
      <w:r w:rsidRPr="00EF6F5C">
        <w:t>ET</w:t>
      </w:r>
      <w:r>
        <w:t xml:space="preserve"> Docket Nos. 11-90 and 10-28, </w:t>
      </w:r>
      <w:r w:rsidRPr="00450DDC">
        <w:t>Report and Order</w:t>
      </w:r>
      <w:r w:rsidRPr="00EF6F5C">
        <w:t xml:space="preserve">, </w:t>
      </w:r>
      <w:r>
        <w:t xml:space="preserve">27 FCC Rcd 7880, 7883-86, paras. 9-18 (2012), </w:t>
      </w:r>
      <w:r w:rsidRPr="00986E93">
        <w:rPr>
          <w:i/>
        </w:rPr>
        <w:t>erratum</w:t>
      </w:r>
      <w:r>
        <w:t>, 27 FCC Rcd 8362 (OET 2012)</w:t>
      </w:r>
      <w:r>
        <w:rPr>
          <w:i/>
        </w:rPr>
        <w:t xml:space="preserve"> </w:t>
      </w:r>
      <w:r w:rsidRPr="00B509A0">
        <w:t>(</w:t>
      </w:r>
      <w:r>
        <w:rPr>
          <w:i/>
        </w:rPr>
        <w:t>2012 Radar R&amp;O</w:t>
      </w:r>
      <w:r w:rsidRPr="00B509A0">
        <w:t>)</w:t>
      </w:r>
      <w:r>
        <w:t>.</w:t>
      </w:r>
    </w:p>
  </w:footnote>
  <w:footnote w:id="9">
    <w:p w:rsidR="009D0BE6" w:rsidRPr="00763550" w:rsidRDefault="009D0BE6" w:rsidP="00A625F9">
      <w:pPr>
        <w:pStyle w:val="FootnoteText"/>
      </w:pPr>
      <w:r>
        <w:rPr>
          <w:rStyle w:val="FootnoteReference"/>
        </w:rPr>
        <w:footnoteRef/>
      </w:r>
      <w:r>
        <w:t xml:space="preserve"> </w:t>
      </w:r>
      <w:r w:rsidRPr="009D523A">
        <w:t>SRR applications t</w:t>
      </w:r>
      <w:r>
        <w:t>hat enhance passive safety inclu</w:t>
      </w:r>
      <w:r w:rsidRPr="009D523A">
        <w:t xml:space="preserve">de obstacle avoidance, collision warning, lane departure warning, lane change aids, blind spot detection, parking aids, and airbag arming.  SRR applications that enhance active safety include “stop and follow,” “stop and go,” autonomous braking, firing of </w:t>
      </w:r>
      <w:r>
        <w:t>restraint</w:t>
      </w:r>
      <w:r w:rsidRPr="009D523A">
        <w:t xml:space="preserve"> systems, and pedestrian </w:t>
      </w:r>
      <w:r>
        <w:t>de</w:t>
      </w:r>
      <w:r w:rsidRPr="009D523A">
        <w:t>tection.</w:t>
      </w:r>
      <w:r>
        <w:t xml:space="preserve"> </w:t>
      </w:r>
      <w:r w:rsidRPr="009D523A">
        <w:t xml:space="preserve"> </w:t>
      </w:r>
      <w:r>
        <w:rPr>
          <w:i/>
        </w:rPr>
        <w:t>See, e.g.</w:t>
      </w:r>
      <w:r>
        <w:t>,</w:t>
      </w:r>
      <w:r>
        <w:rPr>
          <w:i/>
        </w:rPr>
        <w:t xml:space="preserve"> </w:t>
      </w:r>
      <w:r>
        <w:t>Petition of Robert Bosch LLC for Rulemaking for Amendment of Part 15 of the Commission’s Rules to Permit the Operation of Vehicular Radar Systems in the 77-81 GHz Band, RM-11666, at 3-4 (filed May 15, 2012) (Bosch Petition).</w:t>
      </w:r>
    </w:p>
  </w:footnote>
  <w:footnote w:id="10">
    <w:p w:rsidR="009D0BE6" w:rsidRPr="00944BA7" w:rsidRDefault="009D0BE6" w:rsidP="009C33B9">
      <w:pPr>
        <w:pStyle w:val="FootnoteText"/>
      </w:pPr>
      <w:r>
        <w:rPr>
          <w:rStyle w:val="FootnoteReference"/>
        </w:rPr>
        <w:footnoteRef/>
      </w:r>
      <w:r>
        <w:t xml:space="preserve"> </w:t>
      </w:r>
      <w:r>
        <w:rPr>
          <w:i/>
        </w:rPr>
        <w:t>NPRM</w:t>
      </w:r>
      <w:r>
        <w:t>, 30 FCC Rcd at 1627, para. 8.</w:t>
      </w:r>
      <w:r w:rsidRPr="00B5772F">
        <w:t xml:space="preserve"> </w:t>
      </w:r>
      <w:r>
        <w:t xml:space="preserve"> </w:t>
      </w:r>
      <w:r>
        <w:rPr>
          <w:i/>
        </w:rPr>
        <w:t xml:space="preserve">See also </w:t>
      </w:r>
      <w:r>
        <w:t xml:space="preserve">International Telecommunication Union ITU-R M.2057-0 (02-2014) Systems characteristics of automotive radars operating in the frequency band 76-81 GHz for intelligent transportation systems applications at 5, </w:t>
      </w:r>
      <w:hyperlink r:id="rId2" w:history="1">
        <w:r w:rsidRPr="00142594">
          <w:rPr>
            <w:rStyle w:val="Hyperlink"/>
          </w:rPr>
          <w:t>https://www.itu.int/dms_pubrec/itu-r/rec/m/R-REC-M.2057-0-201402-I!!PDF-E.pdf</w:t>
        </w:r>
      </w:hyperlink>
      <w:r>
        <w:t xml:space="preserve"> (specifying a necessary bandwidth of four gigahertz for the operation of SRRs in the 76-81 GHz band).  </w:t>
      </w:r>
      <w:r w:rsidRPr="00904B09">
        <w:t>SRRs</w:t>
      </w:r>
      <w:r>
        <w:t xml:space="preserve"> may already operate in the 77-81 GHz band in Europe.  Bosch Comments at 7 </w:t>
      </w:r>
      <w:r w:rsidRPr="000C7040">
        <w:t>n.1</w:t>
      </w:r>
      <w:r>
        <w:t>1</w:t>
      </w:r>
      <w:r w:rsidRPr="000C7040">
        <w:t>.</w:t>
      </w:r>
    </w:p>
  </w:footnote>
  <w:footnote w:id="11">
    <w:p w:rsidR="009D0BE6" w:rsidRPr="00944BA7" w:rsidRDefault="009D0BE6" w:rsidP="00944BA7">
      <w:pPr>
        <w:pStyle w:val="FootnoteText"/>
      </w:pPr>
      <w:r>
        <w:rPr>
          <w:rStyle w:val="FootnoteReference"/>
        </w:rPr>
        <w:footnoteRef/>
      </w:r>
      <w:r>
        <w:t xml:space="preserve"> </w:t>
      </w:r>
      <w:r>
        <w:rPr>
          <w:i/>
        </w:rPr>
        <w:t>NPRM</w:t>
      </w:r>
      <w:r>
        <w:t xml:space="preserve">, 30 FCC Rcd at 1627, para. 8.  </w:t>
      </w:r>
      <w:r w:rsidRPr="00D26727">
        <w:t>A July 5, 2017 examination of the Commission’s equipment authorization database shows that several unlicensed wideband and UWB SRRs have been certified to operate in the 23.12-29 GHz and 22-29 GHz bands, and appear to support blind spot monitoring and side-looking radar applications.</w:t>
      </w:r>
    </w:p>
  </w:footnote>
  <w:footnote w:id="12">
    <w:p w:rsidR="009D0BE6" w:rsidRDefault="009D0BE6" w:rsidP="008252E2">
      <w:pPr>
        <w:pStyle w:val="FootnoteText"/>
      </w:pPr>
      <w:r w:rsidRPr="00EB7CE3">
        <w:rPr>
          <w:rStyle w:val="FootnoteReference"/>
        </w:rPr>
        <w:footnoteRef/>
      </w:r>
      <w:r>
        <w:t xml:space="preserve"> </w:t>
      </w:r>
      <w:r>
        <w:rPr>
          <w:i/>
        </w:rPr>
        <w:t>2012 Radar R&amp;O</w:t>
      </w:r>
      <w:r w:rsidRPr="00EF6F5C">
        <w:t xml:space="preserve">, </w:t>
      </w:r>
      <w:r>
        <w:t>27 FCC Rcd at 7887-89, paras. 19-26.</w:t>
      </w:r>
    </w:p>
  </w:footnote>
  <w:footnote w:id="13">
    <w:p w:rsidR="009D0BE6" w:rsidRDefault="009D0BE6" w:rsidP="00FE312B">
      <w:pPr>
        <w:pStyle w:val="FootnoteText"/>
      </w:pPr>
      <w:r w:rsidRPr="00EB7CE3">
        <w:rPr>
          <w:rStyle w:val="FootnoteReference"/>
        </w:rPr>
        <w:footnoteRef/>
      </w:r>
      <w:r>
        <w:t xml:space="preserve"> Generally speaking, </w:t>
      </w:r>
      <w:r w:rsidRPr="00BC24BC">
        <w:t>FOD includes any substance, debris, or object in a location that can damage</w:t>
      </w:r>
      <w:r>
        <w:t xml:space="preserve"> aircraft or equipment.</w:t>
      </w:r>
    </w:p>
  </w:footnote>
  <w:footnote w:id="14">
    <w:p w:rsidR="009D0BE6" w:rsidRDefault="009D0BE6" w:rsidP="00474218">
      <w:pPr>
        <w:pStyle w:val="FootnoteText"/>
      </w:pPr>
      <w:r w:rsidRPr="00F95D9D">
        <w:rPr>
          <w:rStyle w:val="FootnoteReference"/>
        </w:rPr>
        <w:footnoteRef/>
      </w:r>
      <w:r w:rsidRPr="00F95D9D">
        <w:t xml:space="preserve"> </w:t>
      </w:r>
      <w:r>
        <w:t>47 CFR § 15.253(c).</w:t>
      </w:r>
    </w:p>
  </w:footnote>
  <w:footnote w:id="15">
    <w:p w:rsidR="009D0BE6" w:rsidRPr="00FE7EB4" w:rsidRDefault="009D0BE6" w:rsidP="00474218">
      <w:pPr>
        <w:pStyle w:val="FootnoteText"/>
      </w:pPr>
      <w:r>
        <w:rPr>
          <w:rStyle w:val="FootnoteReference"/>
        </w:rPr>
        <w:footnoteRef/>
      </w:r>
      <w:r>
        <w:t xml:space="preserve"> </w:t>
      </w:r>
      <w:r w:rsidRPr="00A665B3">
        <w:t xml:space="preserve">Air operations areas are </w:t>
      </w:r>
      <w:r>
        <w:t>“</w:t>
      </w:r>
      <w:r w:rsidRPr="00A665B3">
        <w:t>all airport areas where aircraft can operate, either under their own power or while in tow. The airport operations area includes runways, taxiways, apron areas, and all unpa</w:t>
      </w:r>
      <w:r>
        <w:t>ved surfaces within the airport’</w:t>
      </w:r>
      <w:r w:rsidRPr="00A665B3">
        <w:t>s perimeter fence.  An apron area is a surface in the air operations area where aircraft park and are serviced (refueled, loaded with cargo, and/or boarded by passengers).</w:t>
      </w:r>
      <w:r>
        <w:t>”</w:t>
      </w:r>
      <w:r w:rsidRPr="00A665B3">
        <w:t xml:space="preserve">  47 CFR § 87.5</w:t>
      </w:r>
      <w:r>
        <w:t>.</w:t>
      </w:r>
    </w:p>
  </w:footnote>
  <w:footnote w:id="16">
    <w:p w:rsidR="009D0BE6" w:rsidRDefault="009D0BE6" w:rsidP="00095295">
      <w:pPr>
        <w:pStyle w:val="FootnoteText"/>
      </w:pPr>
      <w:r w:rsidRPr="00EB7CE3">
        <w:rPr>
          <w:rStyle w:val="FootnoteReference"/>
        </w:rPr>
        <w:footnoteRef/>
      </w:r>
      <w:r>
        <w:t xml:space="preserve"> </w:t>
      </w:r>
      <w:r>
        <w:rPr>
          <w:i/>
        </w:rPr>
        <w:t>2012 Radar R&amp;O</w:t>
      </w:r>
      <w:r w:rsidRPr="00EF6F5C">
        <w:t xml:space="preserve">, </w:t>
      </w:r>
      <w:r>
        <w:t xml:space="preserve">27 FCC Rcd at 7888, para. 24.  The Commission described the importance of the airport’s ability to determine the location of airplanes and airport ground vehicles that are operating on taxiways and runways, and even more significantly, the benefits of reducing FOD hazards </w:t>
      </w:r>
      <w:r w:rsidRPr="00BE3365">
        <w:t>that may damage aircraft or equipment, seriously threatening the safety of airport personnel and airline passengers, and negatively impacting airport operations and logistics</w:t>
      </w:r>
      <w:r>
        <w:t xml:space="preserve">.  </w:t>
      </w:r>
      <w:r w:rsidRPr="009A67EC">
        <w:rPr>
          <w:i/>
        </w:rPr>
        <w:t>Id</w:t>
      </w:r>
      <w:r>
        <w:t xml:space="preserve">. at 7888, para. 25; </w:t>
      </w:r>
      <w:r>
        <w:rPr>
          <w:i/>
        </w:rPr>
        <w:t>s</w:t>
      </w:r>
      <w:r w:rsidRPr="00496856">
        <w:rPr>
          <w:i/>
        </w:rPr>
        <w:t>ee also Am</w:t>
      </w:r>
      <w:r w:rsidRPr="003A36CA">
        <w:rPr>
          <w:i/>
        </w:rPr>
        <w:t>endment of the Commission’s Rules to Permit Radiolocation Operation</w:t>
      </w:r>
      <w:r>
        <w:rPr>
          <w:i/>
        </w:rPr>
        <w:t xml:space="preserve">s </w:t>
      </w:r>
      <w:r w:rsidRPr="003A36CA">
        <w:rPr>
          <w:i/>
        </w:rPr>
        <w:t>in the 78-81 GHz Band</w:t>
      </w:r>
      <w:r>
        <w:t>, WT Docket No. 11-202, Report and Order, 28 FCC Rcd 10423, 10423, para. 2 (2013) (</w:t>
      </w:r>
      <w:r w:rsidRPr="00547A67">
        <w:rPr>
          <w:i/>
        </w:rPr>
        <w:t xml:space="preserve">78-81 GHz FOD </w:t>
      </w:r>
      <w:r>
        <w:rPr>
          <w:i/>
        </w:rPr>
        <w:t xml:space="preserve">Detection </w:t>
      </w:r>
      <w:r w:rsidRPr="00547A67">
        <w:rPr>
          <w:i/>
        </w:rPr>
        <w:t>Radar R&amp;O</w:t>
      </w:r>
      <w:r>
        <w:t xml:space="preserve">).  Because airport runways, taxiways, and other non-public areas at airports are generally not near public roads, FOD detection radars at airports are geographically separated from public roads, thereby not illuminating public roadways and further reducing the potential of harmful interference to vehicular radars.  </w:t>
      </w:r>
      <w:r w:rsidRPr="0033278B">
        <w:rPr>
          <w:i/>
        </w:rPr>
        <w:t>See</w:t>
      </w:r>
      <w:r>
        <w:rPr>
          <w:i/>
        </w:rPr>
        <w:t xml:space="preserve"> 2012 Radar R&amp;O,</w:t>
      </w:r>
      <w:r>
        <w:t xml:space="preserve"> 27 FCC Rcd at 7888, paras. 24, 26.</w:t>
      </w:r>
      <w:r>
        <w:rPr>
          <w:i/>
        </w:rPr>
        <w:t xml:space="preserve"> </w:t>
      </w:r>
    </w:p>
  </w:footnote>
  <w:footnote w:id="17">
    <w:p w:rsidR="009D0BE6" w:rsidRDefault="009D0BE6" w:rsidP="008252E2">
      <w:pPr>
        <w:pStyle w:val="FootnoteText"/>
      </w:pPr>
      <w:r w:rsidRPr="00F95D9D">
        <w:rPr>
          <w:rStyle w:val="FootnoteReference"/>
        </w:rPr>
        <w:footnoteRef/>
      </w:r>
      <w:r w:rsidRPr="00F95D9D">
        <w:t xml:space="preserve"> </w:t>
      </w:r>
      <w:r>
        <w:rPr>
          <w:i/>
        </w:rPr>
        <w:t>78-81 GHz FOD Detection Radar R&amp;O</w:t>
      </w:r>
      <w:r>
        <w:t>, 28 FCC Rcd at 10427, para. 12.</w:t>
      </w:r>
      <w:r w:rsidRPr="004A7FA8">
        <w:t xml:space="preserve"> </w:t>
      </w:r>
      <w:r>
        <w:t xml:space="preserve"> </w:t>
      </w:r>
      <w:r w:rsidRPr="004A7FA8">
        <w:t>The Part 90 rules, which apply to Private Land Mobile Radio Services, require each user to operate in accordance with the provisions of its individual license.</w:t>
      </w:r>
    </w:p>
  </w:footnote>
  <w:footnote w:id="18">
    <w:p w:rsidR="009D0BE6" w:rsidRPr="009E75FA" w:rsidRDefault="009D0BE6" w:rsidP="001B5016">
      <w:pPr>
        <w:pStyle w:val="FootnoteText"/>
      </w:pPr>
      <w:r w:rsidRPr="009E75FA">
        <w:rPr>
          <w:rStyle w:val="FootnoteReference"/>
        </w:rPr>
        <w:footnoteRef/>
      </w:r>
      <w:r w:rsidRPr="009E75FA">
        <w:t xml:space="preserve"> 47 CFR </w:t>
      </w:r>
      <w:r>
        <w:t xml:space="preserve">§ </w:t>
      </w:r>
      <w:r w:rsidRPr="009E75FA">
        <w:t>15.</w:t>
      </w:r>
      <w:r>
        <w:t xml:space="preserve">256.  </w:t>
      </w:r>
      <w:r w:rsidRPr="0091364E">
        <w:rPr>
          <w:i/>
        </w:rPr>
        <w:t>See Amendment of Part 15 of the Commission’s Rules To Establish Regulations for Level Probing Radars and Tank Level Probing Radars in the Frequency Bands 5.925-7.250 GHz, 24.05-29.00 GHz and 75-85 GHz</w:t>
      </w:r>
      <w:r>
        <w:t>, ET Docket No. 10-23, Report and Order and Order, 29 FCC Rcd 761 (2014) (</w:t>
      </w:r>
      <w:r w:rsidRPr="00E23415">
        <w:rPr>
          <w:i/>
        </w:rPr>
        <w:t>LPR R&amp;O</w:t>
      </w:r>
      <w:r>
        <w:t>).</w:t>
      </w:r>
    </w:p>
  </w:footnote>
  <w:footnote w:id="19">
    <w:p w:rsidR="009D0BE6" w:rsidRDefault="009D0BE6" w:rsidP="003C383A">
      <w:pPr>
        <w:pStyle w:val="FootnoteText"/>
      </w:pPr>
      <w:r>
        <w:rPr>
          <w:rStyle w:val="FootnoteReference"/>
        </w:rPr>
        <w:footnoteRef/>
      </w:r>
      <w:r>
        <w:t xml:space="preserve"> </w:t>
      </w:r>
      <w:r w:rsidRPr="00860300">
        <w:rPr>
          <w:i/>
        </w:rPr>
        <w:t xml:space="preserve">See </w:t>
      </w:r>
      <w:r>
        <w:t>47 CFR § 15.3(ii).</w:t>
      </w:r>
    </w:p>
  </w:footnote>
  <w:footnote w:id="20">
    <w:p w:rsidR="009D0BE6" w:rsidRDefault="009D0BE6" w:rsidP="0084427E">
      <w:pPr>
        <w:pStyle w:val="FootnoteText"/>
      </w:pPr>
      <w:r>
        <w:rPr>
          <w:rStyle w:val="FootnoteReference"/>
        </w:rPr>
        <w:footnoteRef/>
      </w:r>
      <w:r>
        <w:t xml:space="preserve"> 47 CFR § 2.106.</w:t>
      </w:r>
      <w:r w:rsidRPr="00085B4A">
        <w:t xml:space="preserve"> </w:t>
      </w:r>
      <w:r>
        <w:t xml:space="preserve"> </w:t>
      </w:r>
      <w:r w:rsidRPr="00A75441">
        <w:t>Unlicensed devices do not operate pursuant to an allocation in the U.S. Table; instead, those devices are authorized to operate</w:t>
      </w:r>
      <w:r>
        <w:t xml:space="preserve"> under the conditions set forth in </w:t>
      </w:r>
      <w:r w:rsidRPr="00A75441">
        <w:t>Par</w:t>
      </w:r>
      <w:r>
        <w:t>t 15 of the Commission’s rules.</w:t>
      </w:r>
    </w:p>
  </w:footnote>
  <w:footnote w:id="21">
    <w:p w:rsidR="009D0BE6" w:rsidRDefault="009D0BE6" w:rsidP="00233C28">
      <w:pPr>
        <w:pStyle w:val="FootnoteText"/>
      </w:pPr>
      <w:r>
        <w:rPr>
          <w:rStyle w:val="FootnoteReference"/>
        </w:rPr>
        <w:footnoteRef/>
      </w:r>
      <w:r>
        <w:t xml:space="preserve"> </w:t>
      </w:r>
      <w:r w:rsidRPr="00AE1E50">
        <w:rPr>
          <w:i/>
        </w:rPr>
        <w:t>NPRM</w:t>
      </w:r>
      <w:r>
        <w:t xml:space="preserve">, 30 FCC Rcd at 1631, para. 22 (citing </w:t>
      </w:r>
      <w:r w:rsidRPr="00AE1E50">
        <w:rPr>
          <w:i/>
        </w:rPr>
        <w:t>Amendment of Parts 2, 15, and 97 of the Commission’s Rules to Permit Use of Radio Frequencies Above 40 GHz for New Radio Applications</w:t>
      </w:r>
      <w:r w:rsidRPr="00AE1E50">
        <w:t>, ET Docket No. 94-124, Third Report and Order, 13 FCC Rcd 15074, 15076-15077, para</w:t>
      </w:r>
      <w:r>
        <w:t>s</w:t>
      </w:r>
      <w:r w:rsidRPr="00AE1E50">
        <w:t>. 6-9 (1998</w:t>
      </w:r>
      <w:r>
        <w:t>)).</w:t>
      </w:r>
    </w:p>
  </w:footnote>
  <w:footnote w:id="22">
    <w:p w:rsidR="009D0BE6" w:rsidRDefault="009D0BE6" w:rsidP="0097755D">
      <w:pPr>
        <w:pStyle w:val="FootnoteText"/>
      </w:pPr>
      <w:r>
        <w:rPr>
          <w:rStyle w:val="FootnoteReference"/>
        </w:rPr>
        <w:footnoteRef/>
      </w:r>
      <w:r>
        <w:t xml:space="preserve"> </w:t>
      </w:r>
      <w:r w:rsidRPr="00661571">
        <w:rPr>
          <w:i/>
        </w:rPr>
        <w:t>See</w:t>
      </w:r>
      <w:r>
        <w:rPr>
          <w:i/>
        </w:rPr>
        <w:t xml:space="preserve"> </w:t>
      </w:r>
      <w:r>
        <w:t>47 CF</w:t>
      </w:r>
      <w:r w:rsidRPr="00D14D2F">
        <w:t>R</w:t>
      </w:r>
      <w:r>
        <w:t xml:space="preserve"> § 97.303(s); </w:t>
      </w:r>
      <w:r w:rsidRPr="00D14D2F">
        <w:rPr>
          <w:i/>
        </w:rPr>
        <w:t>Amendment of Parts 2, 15, and 97 of the Commission’s Rules to Permit Use of Radio Frequencies Above 40 GHz for New Radio Applications</w:t>
      </w:r>
      <w:r w:rsidRPr="00D14D2F">
        <w:t xml:space="preserve">, </w:t>
      </w:r>
      <w:r>
        <w:t xml:space="preserve">ET Docket No. 94-124, </w:t>
      </w:r>
      <w:r w:rsidRPr="00D14D2F">
        <w:t>Third Report and Order, 13 FCC Rcd 15</w:t>
      </w:r>
      <w:r>
        <w:t xml:space="preserve">074, 15076, para. 8 (1998) (suspension); </w:t>
      </w:r>
      <w:r w:rsidRPr="00D14D2F">
        <w:rPr>
          <w:i/>
        </w:rPr>
        <w:t>Amendment of Part 2 of the Commission’s Rules to Realign the 76-81 GHz band and the Frequency Range Above 95 GHz Consistent with International Allocation Changes</w:t>
      </w:r>
      <w:r>
        <w:t>,</w:t>
      </w:r>
      <w:r w:rsidRPr="00D14D2F">
        <w:t xml:space="preserve"> </w:t>
      </w:r>
      <w:r>
        <w:t xml:space="preserve">ET Docket No. 03-102, </w:t>
      </w:r>
      <w:r w:rsidRPr="00D14D2F">
        <w:t>Report and Order, 19 FCC Rcd 3212, 3218</w:t>
      </w:r>
      <w:r>
        <w:t>,</w:t>
      </w:r>
      <w:r w:rsidRPr="00D14D2F">
        <w:t xml:space="preserve"> para. 18 (2004)</w:t>
      </w:r>
      <w:r>
        <w:t xml:space="preserve"> (maintaining the suspension).</w:t>
      </w:r>
    </w:p>
  </w:footnote>
  <w:footnote w:id="23">
    <w:p w:rsidR="009D0BE6" w:rsidRDefault="009D0BE6" w:rsidP="0087764A">
      <w:pPr>
        <w:pStyle w:val="FootnoteText"/>
      </w:pPr>
      <w:r>
        <w:rPr>
          <w:rStyle w:val="FootnoteReference"/>
        </w:rPr>
        <w:footnoteRef/>
      </w:r>
      <w:r>
        <w:t xml:space="preserve"> </w:t>
      </w:r>
      <w:r w:rsidRPr="00860300">
        <w:rPr>
          <w:i/>
        </w:rPr>
        <w:t xml:space="preserve">See </w:t>
      </w:r>
      <w:r>
        <w:t>47 CFR § 2.1(c);</w:t>
      </w:r>
      <w:r w:rsidRPr="0087764A">
        <w:t xml:space="preserve"> </w:t>
      </w:r>
      <w:r>
        <w:t>ITU Radio Regulations 1.13 (2012).</w:t>
      </w:r>
    </w:p>
  </w:footnote>
  <w:footnote w:id="24">
    <w:p w:rsidR="009D0BE6" w:rsidRDefault="009D0BE6" w:rsidP="005B31D5">
      <w:pPr>
        <w:pStyle w:val="FootnoteText"/>
      </w:pPr>
      <w:r>
        <w:rPr>
          <w:rStyle w:val="FootnoteReference"/>
        </w:rPr>
        <w:footnoteRef/>
      </w:r>
      <w:r>
        <w:t xml:space="preserve"> </w:t>
      </w:r>
      <w:r w:rsidRPr="00AE1E50">
        <w:rPr>
          <w:i/>
        </w:rPr>
        <w:t>NPRM</w:t>
      </w:r>
      <w:r>
        <w:t>, 30 FCC Rcd at 1631, para. 21.</w:t>
      </w:r>
    </w:p>
  </w:footnote>
  <w:footnote w:id="25">
    <w:p w:rsidR="009D0BE6" w:rsidRDefault="009D0BE6" w:rsidP="00CC4E73">
      <w:pPr>
        <w:pStyle w:val="FootnoteText"/>
      </w:pPr>
      <w:r>
        <w:rPr>
          <w:rStyle w:val="FootnoteReference"/>
        </w:rPr>
        <w:footnoteRef/>
      </w:r>
      <w:r>
        <w:t xml:space="preserve"> </w:t>
      </w:r>
      <w:r w:rsidRPr="00860300">
        <w:rPr>
          <w:i/>
        </w:rPr>
        <w:t xml:space="preserve">See </w:t>
      </w:r>
      <w:r>
        <w:t>47 CFR § 2.1(c); ITU Radio Regulations 1.55 (2012).</w:t>
      </w:r>
    </w:p>
  </w:footnote>
  <w:footnote w:id="26">
    <w:p w:rsidR="009D0BE6" w:rsidRPr="00763550" w:rsidRDefault="009D0BE6" w:rsidP="009876AA">
      <w:pPr>
        <w:pStyle w:val="FootnoteText"/>
      </w:pPr>
      <w:r>
        <w:rPr>
          <w:rStyle w:val="FootnoteReference"/>
        </w:rPr>
        <w:footnoteRef/>
      </w:r>
      <w:r>
        <w:t xml:space="preserve"> </w:t>
      </w:r>
      <w:r w:rsidRPr="007E6837">
        <w:rPr>
          <w:i/>
        </w:rPr>
        <w:t>NPRM</w:t>
      </w:r>
      <w:r>
        <w:t>, 30 FCC Rcd at 1627-28, paras. 9-10.</w:t>
      </w:r>
    </w:p>
  </w:footnote>
  <w:footnote w:id="27">
    <w:p w:rsidR="009D0BE6" w:rsidRPr="00763550" w:rsidRDefault="009D0BE6" w:rsidP="009876AA">
      <w:pPr>
        <w:pStyle w:val="FootnoteText"/>
      </w:pPr>
      <w:r>
        <w:rPr>
          <w:rStyle w:val="FootnoteReference"/>
        </w:rPr>
        <w:footnoteRef/>
      </w:r>
      <w:r>
        <w:t xml:space="preserve"> Bosch Petition at 3-4; </w:t>
      </w:r>
      <w:r>
        <w:rPr>
          <w:i/>
        </w:rPr>
        <w:t>s</w:t>
      </w:r>
      <w:r w:rsidRPr="009D523A">
        <w:rPr>
          <w:i/>
        </w:rPr>
        <w:t>ee also</w:t>
      </w:r>
      <w:r>
        <w:t xml:space="preserve"> Bosch Comments </w:t>
      </w:r>
      <w:r w:rsidRPr="000C7040">
        <w:t>at 8 &amp; nn.14, 15.</w:t>
      </w:r>
    </w:p>
  </w:footnote>
  <w:footnote w:id="28">
    <w:p w:rsidR="009D0BE6" w:rsidRPr="00763550" w:rsidRDefault="009D0BE6" w:rsidP="009D523A">
      <w:pPr>
        <w:pStyle w:val="FootnoteText"/>
      </w:pPr>
      <w:r>
        <w:rPr>
          <w:rStyle w:val="FootnoteReference"/>
        </w:rPr>
        <w:footnoteRef/>
      </w:r>
      <w:r>
        <w:t xml:space="preserve"> </w:t>
      </w:r>
      <w:r w:rsidRPr="00B5772F">
        <w:t>Continental Automotive Systems, ADAS Business Unit, Comments, RM-11666, at 3</w:t>
      </w:r>
      <w:r>
        <w:t xml:space="preserve">; </w:t>
      </w:r>
      <w:r>
        <w:rPr>
          <w:i/>
        </w:rPr>
        <w:t>s</w:t>
      </w:r>
      <w:r w:rsidRPr="00BA6D1E">
        <w:rPr>
          <w:i/>
        </w:rPr>
        <w:t>ee also</w:t>
      </w:r>
      <w:r>
        <w:t xml:space="preserve"> Bosch Comments at 8 (stating that “79 GHz SRR vehicular radar sensors can and should use up to 4 gigahertz occupied bandwidths in order to permit good range separation and object discrimination”).</w:t>
      </w:r>
    </w:p>
  </w:footnote>
  <w:footnote w:id="29">
    <w:p w:rsidR="009D0BE6" w:rsidRPr="00763550" w:rsidRDefault="009D0BE6" w:rsidP="009876AA">
      <w:pPr>
        <w:pStyle w:val="FootnoteText"/>
      </w:pPr>
      <w:r>
        <w:rPr>
          <w:rStyle w:val="FootnoteReference"/>
        </w:rPr>
        <w:footnoteRef/>
      </w:r>
      <w:r>
        <w:t xml:space="preserve"> </w:t>
      </w:r>
      <w:r>
        <w:rPr>
          <w:i/>
        </w:rPr>
        <w:t>NPRM</w:t>
      </w:r>
      <w:r>
        <w:t>, 30 FCC Rcd at 1634, para. 32 (citing commenters).</w:t>
      </w:r>
    </w:p>
  </w:footnote>
  <w:footnote w:id="30">
    <w:p w:rsidR="009D0BE6" w:rsidRDefault="009D0BE6" w:rsidP="009876AA">
      <w:pPr>
        <w:pStyle w:val="FootnoteText"/>
      </w:pPr>
      <w:r>
        <w:rPr>
          <w:rStyle w:val="FootnoteReference"/>
        </w:rPr>
        <w:footnoteRef/>
      </w:r>
      <w:r>
        <w:t xml:space="preserve"> </w:t>
      </w:r>
      <w:r>
        <w:rPr>
          <w:i/>
        </w:rPr>
        <w:t>Id.</w:t>
      </w:r>
      <w:r>
        <w:t xml:space="preserve"> at 1638, at paras. 43-44.</w:t>
      </w:r>
      <w:r>
        <w:rPr>
          <w:snapToGrid w:val="0"/>
          <w:kern w:val="28"/>
        </w:rPr>
        <w:t xml:space="preserve">  Specifically, in addition to the 76-77 GHz band (47 CFR § 15.253), t</w:t>
      </w:r>
      <w:r w:rsidRPr="007E7168">
        <w:rPr>
          <w:snapToGrid w:val="0"/>
          <w:kern w:val="28"/>
        </w:rPr>
        <w:t>he Commission</w:t>
      </w:r>
      <w:r>
        <w:rPr>
          <w:snapToGrid w:val="0"/>
          <w:kern w:val="28"/>
        </w:rPr>
        <w:t>’s rules provide for unlicensed vehicular radar use in</w:t>
      </w:r>
      <w:r w:rsidRPr="00AA470A">
        <w:rPr>
          <w:snapToGrid w:val="0"/>
          <w:kern w:val="28"/>
        </w:rPr>
        <w:t xml:space="preserve"> </w:t>
      </w:r>
      <w:r>
        <w:rPr>
          <w:snapToGrid w:val="0"/>
          <w:kern w:val="28"/>
        </w:rPr>
        <w:t xml:space="preserve">the </w:t>
      </w:r>
      <w:r w:rsidRPr="00367742">
        <w:t>46.7-46.9 GHz</w:t>
      </w:r>
      <w:r>
        <w:t xml:space="preserve"> band for general vehicular radar systems (</w:t>
      </w:r>
      <w:r w:rsidRPr="00F6748D">
        <w:rPr>
          <w:i/>
          <w:snapToGrid w:val="0"/>
          <w:kern w:val="28"/>
        </w:rPr>
        <w:t>id.</w:t>
      </w:r>
      <w:r>
        <w:rPr>
          <w:snapToGrid w:val="0"/>
          <w:kern w:val="28"/>
        </w:rPr>
        <w:t>), the</w:t>
      </w:r>
      <w:r w:rsidRPr="007E7168">
        <w:rPr>
          <w:snapToGrid w:val="0"/>
          <w:kern w:val="28"/>
        </w:rPr>
        <w:t xml:space="preserve"> 16.2-17.7 GHz band</w:t>
      </w:r>
      <w:r>
        <w:rPr>
          <w:snapToGrid w:val="0"/>
          <w:kern w:val="28"/>
        </w:rPr>
        <w:t xml:space="preserve"> for vehicle back-up assistance (47 CFR § 15.252)</w:t>
      </w:r>
      <w:r w:rsidRPr="007E7168">
        <w:rPr>
          <w:snapToGrid w:val="0"/>
          <w:kern w:val="28"/>
        </w:rPr>
        <w:t xml:space="preserve">, </w:t>
      </w:r>
      <w:r>
        <w:rPr>
          <w:snapToGrid w:val="0"/>
          <w:kern w:val="28"/>
        </w:rPr>
        <w:t>and</w:t>
      </w:r>
      <w:r w:rsidRPr="00AA470A">
        <w:t xml:space="preserve"> </w:t>
      </w:r>
      <w:r>
        <w:t>two sets of rules for different types of radars in bands that almost completely overlap:</w:t>
      </w:r>
      <w:r w:rsidRPr="00F6748D">
        <w:rPr>
          <w:snapToGrid w:val="0"/>
          <w:kern w:val="28"/>
        </w:rPr>
        <w:t xml:space="preserve"> </w:t>
      </w:r>
      <w:r>
        <w:rPr>
          <w:snapToGrid w:val="0"/>
          <w:kern w:val="28"/>
        </w:rPr>
        <w:t xml:space="preserve"> the 23.12-29.0 GHz band for </w:t>
      </w:r>
      <w:r w:rsidRPr="007E7168">
        <w:rPr>
          <w:snapToGrid w:val="0"/>
          <w:kern w:val="28"/>
        </w:rPr>
        <w:t xml:space="preserve">wideband vehicular radar operations </w:t>
      </w:r>
      <w:r>
        <w:rPr>
          <w:snapToGrid w:val="0"/>
          <w:kern w:val="28"/>
        </w:rPr>
        <w:t>(</w:t>
      </w:r>
      <w:r w:rsidRPr="00F6748D">
        <w:rPr>
          <w:i/>
          <w:snapToGrid w:val="0"/>
          <w:kern w:val="28"/>
        </w:rPr>
        <w:t>id.</w:t>
      </w:r>
      <w:r>
        <w:rPr>
          <w:snapToGrid w:val="0"/>
          <w:kern w:val="28"/>
        </w:rPr>
        <w:t xml:space="preserve">) and the 22-29 GHz band for ultra-wideband (UWB) vehicular radar operations (47 CFR </w:t>
      </w:r>
      <w:r w:rsidRPr="007E7168">
        <w:rPr>
          <w:snapToGrid w:val="0"/>
          <w:kern w:val="28"/>
        </w:rPr>
        <w:t>§ 15.515</w:t>
      </w:r>
      <w:r>
        <w:rPr>
          <w:snapToGrid w:val="0"/>
          <w:kern w:val="28"/>
        </w:rPr>
        <w:t>).</w:t>
      </w:r>
    </w:p>
  </w:footnote>
  <w:footnote w:id="31">
    <w:p w:rsidR="009D0BE6" w:rsidRDefault="009D0BE6" w:rsidP="0097522F">
      <w:pPr>
        <w:pStyle w:val="FootnoteText"/>
      </w:pPr>
      <w:r>
        <w:rPr>
          <w:rStyle w:val="FootnoteReference"/>
        </w:rPr>
        <w:footnoteRef/>
      </w:r>
      <w:r>
        <w:t xml:space="preserve"> </w:t>
      </w:r>
      <w:r>
        <w:rPr>
          <w:i/>
        </w:rPr>
        <w:t>NPRM</w:t>
      </w:r>
      <w:r>
        <w:t>, 30 FCC Rcd at 1637-38, para. 41.</w:t>
      </w:r>
    </w:p>
  </w:footnote>
  <w:footnote w:id="32">
    <w:p w:rsidR="009D0BE6" w:rsidRDefault="009D0BE6" w:rsidP="0097522F">
      <w:pPr>
        <w:pStyle w:val="FootnoteText"/>
      </w:pPr>
      <w:r>
        <w:rPr>
          <w:rStyle w:val="FootnoteReference"/>
        </w:rPr>
        <w:footnoteRef/>
      </w:r>
      <w:r>
        <w:t xml:space="preserve"> </w:t>
      </w:r>
      <w:r>
        <w:rPr>
          <w:i/>
        </w:rPr>
        <w:t>Id.</w:t>
      </w:r>
      <w:r>
        <w:t xml:space="preserve"> at 1636-37, paras. 38-39.  Part 95 rules apply to the Personal Radio Services and provide for a variety of personal communications, radio signaling, and business communications.</w:t>
      </w:r>
      <w:r w:rsidRPr="00886551">
        <w:t xml:space="preserve"> </w:t>
      </w:r>
      <w:r>
        <w:t xml:space="preserve"> “Licensed-by-rule”</w:t>
      </w:r>
      <w:r w:rsidRPr="00886551">
        <w:t xml:space="preserve"> means that a</w:t>
      </w:r>
      <w:r>
        <w:t>n authorized</w:t>
      </w:r>
      <w:r w:rsidRPr="00886551">
        <w:t xml:space="preserve"> user </w:t>
      </w:r>
      <w:r>
        <w:t>can access the entire available spectrum without an indiv</w:t>
      </w:r>
      <w:r w:rsidRPr="00886551">
        <w:t>idual</w:t>
      </w:r>
      <w:r>
        <w:t xml:space="preserve"> station</w:t>
      </w:r>
      <w:r w:rsidRPr="00886551">
        <w:t xml:space="preserve"> license document and is instead auth</w:t>
      </w:r>
      <w:r>
        <w:t>orized to operate as long as the operations are in ac</w:t>
      </w:r>
      <w:r w:rsidRPr="00886551">
        <w:t xml:space="preserve">cordance with </w:t>
      </w:r>
      <w:r>
        <w:t xml:space="preserve">the applicable service rules.  </w:t>
      </w:r>
      <w:r w:rsidRPr="00264068">
        <w:rPr>
          <w:i/>
        </w:rPr>
        <w:t>See</w:t>
      </w:r>
      <w:r>
        <w:t xml:space="preserve"> 47 U.S.C. § 307(e).  Thus, while all spectrum use is shared among users who meet the eligibility and technical qualifications and no one has exclusive rights to any portion of the spectrum, those users are collectively afforded interference protection </w:t>
      </w:r>
      <w:r w:rsidRPr="00846B3A">
        <w:rPr>
          <w:i/>
        </w:rPr>
        <w:t>vis-à-vis</w:t>
      </w:r>
      <w:r>
        <w:t xml:space="preserve"> other services, based on the allocation status under which they operate.</w:t>
      </w:r>
    </w:p>
  </w:footnote>
  <w:footnote w:id="33">
    <w:p w:rsidR="009D0BE6" w:rsidRDefault="009D0BE6" w:rsidP="0097522F">
      <w:pPr>
        <w:pStyle w:val="FootnoteText"/>
      </w:pPr>
      <w:r>
        <w:rPr>
          <w:rStyle w:val="FootnoteReference"/>
        </w:rPr>
        <w:footnoteRef/>
      </w:r>
      <w:r>
        <w:t xml:space="preserve"> </w:t>
      </w:r>
      <w:r>
        <w:rPr>
          <w:i/>
        </w:rPr>
        <w:t>NPRM</w:t>
      </w:r>
      <w:r>
        <w:t>, 30 FCC Rcd at 1633-34, 1635-36, 1638-43, paras. 28-32, 35, 45-61.</w:t>
      </w:r>
    </w:p>
  </w:footnote>
  <w:footnote w:id="34">
    <w:p w:rsidR="009D0BE6" w:rsidRDefault="009D0BE6" w:rsidP="00F911E8">
      <w:pPr>
        <w:pStyle w:val="FootnoteText"/>
      </w:pPr>
      <w:r>
        <w:rPr>
          <w:rStyle w:val="FootnoteReference"/>
        </w:rPr>
        <w:footnoteRef/>
      </w:r>
      <w:r>
        <w:t xml:space="preserve"> </w:t>
      </w:r>
      <w:r>
        <w:rPr>
          <w:i/>
        </w:rPr>
        <w:t>Id.</w:t>
      </w:r>
      <w:r>
        <w:t xml:space="preserve"> at 1634-35, 1636, 1643-44, paras. 33-34, 36, 62-66.</w:t>
      </w:r>
    </w:p>
  </w:footnote>
  <w:footnote w:id="35">
    <w:p w:rsidR="009D0BE6" w:rsidRDefault="009D0BE6" w:rsidP="006D5C20">
      <w:pPr>
        <w:pStyle w:val="FootnoteText"/>
      </w:pPr>
      <w:r>
        <w:rPr>
          <w:rStyle w:val="FootnoteReference"/>
        </w:rPr>
        <w:footnoteRef/>
      </w:r>
      <w:r>
        <w:t xml:space="preserve"> Specifically, we are modifying Sections 1.1307, 2.106, 2.1091, 2.1093, 15.37, 15.252, 15.253, 15.515, 90.103, 95.347, 97.303, and 97.313, and adding new Part 95, Subpart M, Sections 95.3301, 95.3303, 95.3305, 95.3331, 95.3333, 95.3347, 95.3361, 95.3367, 95.3379, and 95.3385, as shown in Appendix A to this </w:t>
      </w:r>
      <w:r w:rsidRPr="0008642A">
        <w:rPr>
          <w:i/>
        </w:rPr>
        <w:t>Report and Order</w:t>
      </w:r>
      <w:r>
        <w:t>.</w:t>
      </w:r>
    </w:p>
  </w:footnote>
  <w:footnote w:id="36">
    <w:p w:rsidR="009D0BE6" w:rsidRPr="00C22A0E" w:rsidRDefault="009D0BE6" w:rsidP="00BD47A1">
      <w:pPr>
        <w:pStyle w:val="FootnoteText"/>
      </w:pPr>
      <w:r>
        <w:rPr>
          <w:rStyle w:val="FootnoteReference"/>
        </w:rPr>
        <w:footnoteRef/>
      </w:r>
      <w:r>
        <w:t xml:space="preserve"> The Commission’s rules require that the transmissions from a UWB device occupy a minimum bandwidth of 500 megahertz, 47 CFR § 15.503(d), whereas wideband devices are limited to operation in a smaller frequency range that avoids the restricted bands set forth in 47 CFR § 15.205.  </w:t>
      </w:r>
      <w:r>
        <w:rPr>
          <w:i/>
        </w:rPr>
        <w:t>S</w:t>
      </w:r>
      <w:r w:rsidRPr="0033278B">
        <w:rPr>
          <w:i/>
        </w:rPr>
        <w:t>ee</w:t>
      </w:r>
      <w:r>
        <w:t xml:space="preserve"> </w:t>
      </w:r>
      <w:r w:rsidRPr="0033278B">
        <w:rPr>
          <w:i/>
        </w:rPr>
        <w:t>Revision of Part 15 of the Commission’s Rules Regarding Ultra-Wideband Transmission Systems</w:t>
      </w:r>
      <w:r>
        <w:t>, ET Docket No. 98-153, Second Report and Order and Second Memorandum Opinion and Order, 19 FCC Rcd 24558, 24577-78, paras. 38-39 (2004).</w:t>
      </w:r>
    </w:p>
  </w:footnote>
  <w:footnote w:id="37">
    <w:p w:rsidR="009D0BE6" w:rsidRPr="009E75FA" w:rsidRDefault="009D0BE6" w:rsidP="00895D51">
      <w:pPr>
        <w:pStyle w:val="FootnoteText"/>
      </w:pPr>
      <w:r w:rsidRPr="009E75FA">
        <w:rPr>
          <w:rStyle w:val="FootnoteReference"/>
        </w:rPr>
        <w:footnoteRef/>
      </w:r>
      <w:r w:rsidRPr="009E75FA">
        <w:t xml:space="preserve"> </w:t>
      </w:r>
      <w:r w:rsidRPr="001854EB">
        <w:t xml:space="preserve">This </w:t>
      </w:r>
      <w:r w:rsidRPr="001854EB">
        <w:rPr>
          <w:i/>
        </w:rPr>
        <w:t>Report &amp; Order</w:t>
      </w:r>
      <w:r w:rsidRPr="001854EB">
        <w:t xml:space="preserve"> does not apply to LPRs; LPRs will continue </w:t>
      </w:r>
      <w:r w:rsidRPr="00724D27">
        <w:t xml:space="preserve">to be authorized </w:t>
      </w:r>
      <w:r w:rsidRPr="001854EB">
        <w:t>to operate</w:t>
      </w:r>
      <w:r w:rsidRPr="00F51292">
        <w:t xml:space="preserve"> </w:t>
      </w:r>
      <w:r>
        <w:t xml:space="preserve">on </w:t>
      </w:r>
      <w:r w:rsidRPr="00367742">
        <w:t xml:space="preserve">an unlicensed </w:t>
      </w:r>
      <w:r w:rsidRPr="00724D27">
        <w:t>basis (i.e., under Part 15 of the Commission’s rules) in several different frequency ranges, including in the 75-85 GHz band</w:t>
      </w:r>
      <w:r w:rsidRPr="001854EB">
        <w:t>.</w:t>
      </w:r>
      <w:r>
        <w:t xml:space="preserve">  </w:t>
      </w:r>
      <w:r w:rsidRPr="00AB18DA">
        <w:rPr>
          <w:i/>
        </w:rPr>
        <w:t xml:space="preserve">See </w:t>
      </w:r>
      <w:r w:rsidRPr="00846B3A">
        <w:rPr>
          <w:i/>
        </w:rPr>
        <w:t>infra</w:t>
      </w:r>
      <w:r>
        <w:t xml:space="preserve"> note </w:t>
      </w:r>
      <w:r w:rsidRPr="00CB1C67">
        <w:t>184</w:t>
      </w:r>
      <w:r>
        <w:t>.</w:t>
      </w:r>
    </w:p>
  </w:footnote>
  <w:footnote w:id="38">
    <w:p w:rsidR="009D0BE6" w:rsidRPr="007F3D6A" w:rsidRDefault="009D0BE6" w:rsidP="00247C94">
      <w:pPr>
        <w:pStyle w:val="FootnoteText"/>
      </w:pPr>
      <w:r>
        <w:rPr>
          <w:rStyle w:val="FootnoteReference"/>
        </w:rPr>
        <w:footnoteRef/>
      </w:r>
      <w:r>
        <w:t xml:space="preserve"> 47 CFR § 2.106.  A s</w:t>
      </w:r>
      <w:r w:rsidRPr="00577914">
        <w:t xml:space="preserve">econdary service is not entitled to protection from </w:t>
      </w:r>
      <w:r>
        <w:t xml:space="preserve">any </w:t>
      </w:r>
      <w:r w:rsidRPr="00577914">
        <w:t xml:space="preserve">primary </w:t>
      </w:r>
      <w:r>
        <w:t>service</w:t>
      </w:r>
      <w:r w:rsidRPr="00577914">
        <w:t xml:space="preserve">. </w:t>
      </w:r>
      <w:r>
        <w:t xml:space="preserve"> </w:t>
      </w:r>
      <w:r w:rsidRPr="004B7017">
        <w:rPr>
          <w:i/>
        </w:rPr>
        <w:t>See</w:t>
      </w:r>
      <w:r w:rsidRPr="00577914">
        <w:t xml:space="preserve"> </w:t>
      </w:r>
      <w:r>
        <w:t>47 CFR § 2.105(c)(2)(ii).</w:t>
      </w:r>
    </w:p>
  </w:footnote>
  <w:footnote w:id="39">
    <w:p w:rsidR="009D0BE6" w:rsidRDefault="009D0BE6" w:rsidP="008F49B6">
      <w:pPr>
        <w:pStyle w:val="FootnoteText"/>
      </w:pPr>
      <w:r>
        <w:rPr>
          <w:rStyle w:val="FootnoteReference"/>
        </w:rPr>
        <w:footnoteRef/>
      </w:r>
      <w:r>
        <w:t xml:space="preserve"> 47 CFR § 2.106.</w:t>
      </w:r>
    </w:p>
  </w:footnote>
  <w:footnote w:id="40">
    <w:p w:rsidR="009D0BE6" w:rsidRDefault="009D0BE6" w:rsidP="00976DA2">
      <w:pPr>
        <w:pStyle w:val="FootnoteText"/>
      </w:pPr>
      <w:r>
        <w:rPr>
          <w:rStyle w:val="FootnoteReference"/>
        </w:rPr>
        <w:footnoteRef/>
      </w:r>
      <w:r>
        <w:t xml:space="preserve"> </w:t>
      </w:r>
      <w:r w:rsidRPr="005E4E78">
        <w:rPr>
          <w:i/>
        </w:rPr>
        <w:t>See</w:t>
      </w:r>
      <w:r>
        <w:t xml:space="preserve"> </w:t>
      </w:r>
      <w:r w:rsidRPr="005E4E78">
        <w:rPr>
          <w:i/>
        </w:rPr>
        <w:t>NPRM</w:t>
      </w:r>
      <w:r>
        <w:t>, 30 FCC Rcd at 1637-38, para. 41.</w:t>
      </w:r>
    </w:p>
  </w:footnote>
  <w:footnote w:id="41">
    <w:p w:rsidR="009D0BE6" w:rsidRPr="00AD5904" w:rsidRDefault="009D0BE6" w:rsidP="00612602">
      <w:pPr>
        <w:pStyle w:val="FootnoteText"/>
      </w:pPr>
      <w:r>
        <w:rPr>
          <w:rStyle w:val="FootnoteReference"/>
        </w:rPr>
        <w:footnoteRef/>
      </w:r>
      <w:r>
        <w:t xml:space="preserve"> </w:t>
      </w:r>
      <w:r>
        <w:rPr>
          <w:i/>
        </w:rPr>
        <w:t>See</w:t>
      </w:r>
      <w:r>
        <w:t xml:space="preserve"> </w:t>
      </w:r>
      <w:r w:rsidRPr="00113112">
        <w:rPr>
          <w:rFonts w:eastAsia="Calibri"/>
        </w:rPr>
        <w:t xml:space="preserve">ITU-R </w:t>
      </w:r>
      <w:r w:rsidRPr="00A96468">
        <w:rPr>
          <w:rFonts w:eastAsia="Calibri"/>
          <w:i/>
        </w:rPr>
        <w:t xml:space="preserve">Final Acts WRC-15 World Radiocommunication Conference </w:t>
      </w:r>
      <w:r w:rsidRPr="00D151F4">
        <w:rPr>
          <w:rFonts w:eastAsia="Calibri"/>
          <w:i/>
        </w:rPr>
        <w:t>Geneva, 2015</w:t>
      </w:r>
      <w:r w:rsidRPr="00113112">
        <w:rPr>
          <w:rFonts w:eastAsia="Calibri"/>
        </w:rPr>
        <w:t xml:space="preserve"> at 51 (entry into force on Jan. 1, 2017), </w:t>
      </w:r>
      <w:hyperlink r:id="rId3" w:history="1">
        <w:r w:rsidRPr="00113112">
          <w:rPr>
            <w:rFonts w:eastAsia="Calibri"/>
            <w:color w:val="0563C1"/>
            <w:u w:val="single"/>
          </w:rPr>
          <w:t>http://www.itu.int/pub/R-ACT-WRC.12-2015/en</w:t>
        </w:r>
      </w:hyperlink>
      <w:r w:rsidRPr="00113112">
        <w:rPr>
          <w:rFonts w:eastAsia="Calibri"/>
        </w:rPr>
        <w:t xml:space="preserve"> (adding a primary RLS allocation, and footnote 5.559B, to the 77.5-78 GHz band in the International Table of Frequency Allocations).</w:t>
      </w:r>
      <w:r>
        <w:rPr>
          <w:rFonts w:eastAsia="Calibri"/>
        </w:rPr>
        <w:t xml:space="preserve">  </w:t>
      </w:r>
      <w:r w:rsidRPr="00113112">
        <w:t xml:space="preserve">We update the International Table within 47 CFR § 2.106 to reflect Article V, Section IV, Table of Frequency Allocations, RR5-139 to RR5-140 of the ITU </w:t>
      </w:r>
      <w:r w:rsidRPr="00113112">
        <w:rPr>
          <w:i/>
        </w:rPr>
        <w:t>Radio Regulations</w:t>
      </w:r>
      <w:r w:rsidRPr="00113112">
        <w:t xml:space="preserve">, Edition of 2016.  The International Table within 47 CFR § 2.106 is included for informational purposes only, 47 CFR § 2.104(a), and thus, the changes we make are non-substantive.  </w:t>
      </w:r>
      <w:r w:rsidRPr="00113112">
        <w:rPr>
          <w:i/>
        </w:rPr>
        <w:t>See, e.g</w:t>
      </w:r>
      <w:r w:rsidRPr="00113112">
        <w:t xml:space="preserve">., </w:t>
      </w:r>
      <w:r w:rsidRPr="00113112">
        <w:rPr>
          <w:i/>
        </w:rPr>
        <w:t>Amendment of Parts 1, 2, 15, 25, 27, 74, 78, 80, 87, 90, 97, and 101 of the Commission’s Rules Regarding Implementation of the Final Acts of the World Radiocommunication Conference (Geneva, 2007) (WRC-07), Other Allocation Issues, and Related Rule Updates et al.</w:t>
      </w:r>
      <w:r w:rsidRPr="00113112">
        <w:t>, ET Docket No. 12-338 et al., Report and Order, Order, and Notice of Proposed Rulemaking, 30 FCC Rcd 4183, 4233-34, para. 141 (2015).</w:t>
      </w:r>
    </w:p>
  </w:footnote>
  <w:footnote w:id="42">
    <w:p w:rsidR="009D0BE6" w:rsidRPr="00026BB4" w:rsidRDefault="009D0BE6" w:rsidP="00976DA2">
      <w:pPr>
        <w:pStyle w:val="FootnoteText"/>
      </w:pPr>
      <w:r w:rsidRPr="00484101">
        <w:rPr>
          <w:rStyle w:val="FootnoteReference"/>
        </w:rPr>
        <w:footnoteRef/>
      </w:r>
      <w:r>
        <w:t xml:space="preserve"> </w:t>
      </w:r>
      <w:r w:rsidRPr="00484101">
        <w:rPr>
          <w:i/>
        </w:rPr>
        <w:t>See, e.g.</w:t>
      </w:r>
      <w:r w:rsidRPr="000311DA">
        <w:t>, Consumer Electronics Association Reply at 2</w:t>
      </w:r>
      <w:r>
        <w:t xml:space="preserve"> </w:t>
      </w:r>
      <w:r w:rsidRPr="000311DA">
        <w:t xml:space="preserve">(CEA Reply); </w:t>
      </w:r>
      <w:r w:rsidRPr="002321F5">
        <w:t>Bosch</w:t>
      </w:r>
      <w:r>
        <w:t xml:space="preserve"> </w:t>
      </w:r>
      <w:r w:rsidRPr="000311DA">
        <w:t xml:space="preserve">Comments at 6; Automotive Safety Council </w:t>
      </w:r>
      <w:r>
        <w:t xml:space="preserve">Comments </w:t>
      </w:r>
      <w:r w:rsidRPr="000311DA">
        <w:t>at 3</w:t>
      </w:r>
      <w:r>
        <w:t xml:space="preserve"> (ASC Comments);</w:t>
      </w:r>
      <w:r w:rsidRPr="00544661">
        <w:t xml:space="preserve"> Letter from Ari Q. Fitzgerald, Counsel to Alliance of Automobile Manufacturers, to Marlene H. Dortch, Secretary, FCC (on behalf of Alliance of Automobile Manufacturers, General Motors, FCA US LLC, Association of Global Automakers, Mercedes Benz USA, and American Honda Motor Company)</w:t>
      </w:r>
      <w:r>
        <w:t>,</w:t>
      </w:r>
      <w:r w:rsidRPr="0047251B">
        <w:t xml:space="preserve"> </w:t>
      </w:r>
      <w:r w:rsidRPr="00346F84">
        <w:t>ET Docket No. 15-26,</w:t>
      </w:r>
      <w:r>
        <w:t xml:space="preserve"> </w:t>
      </w:r>
      <w:r w:rsidRPr="00544661">
        <w:t xml:space="preserve">attached presentation at 2 (filed June 27, 2016) </w:t>
      </w:r>
      <w:r>
        <w:t xml:space="preserve">(Alliance June 2016 </w:t>
      </w:r>
      <w:r w:rsidRPr="00842AFE">
        <w:rPr>
          <w:i/>
        </w:rPr>
        <w:t>Ex Part</w:t>
      </w:r>
      <w:r>
        <w:rPr>
          <w:i/>
        </w:rPr>
        <w:t>e</w:t>
      </w:r>
      <w:r>
        <w:t>).</w:t>
      </w:r>
    </w:p>
  </w:footnote>
  <w:footnote w:id="43">
    <w:p w:rsidR="009D0BE6" w:rsidRDefault="009D0BE6" w:rsidP="00EC1487">
      <w:pPr>
        <w:pStyle w:val="FootnoteText"/>
      </w:pPr>
      <w:r>
        <w:rPr>
          <w:rStyle w:val="FootnoteReference"/>
        </w:rPr>
        <w:footnoteRef/>
      </w:r>
      <w:r>
        <w:t xml:space="preserve"> In November 2016, </w:t>
      </w:r>
      <w:r w:rsidRPr="007D7175">
        <w:t xml:space="preserve">CEA </w:t>
      </w:r>
      <w:r>
        <w:t>announced its name</w:t>
      </w:r>
      <w:r w:rsidRPr="007D7175">
        <w:t xml:space="preserve"> change to the Consumer Technology Association (CTA)</w:t>
      </w:r>
      <w:r>
        <w:t>.  We use “CEA” in this document for consistency with the record in this proceeding.</w:t>
      </w:r>
    </w:p>
  </w:footnote>
  <w:footnote w:id="44">
    <w:p w:rsidR="009D0BE6" w:rsidRPr="008A29A8" w:rsidRDefault="009D0BE6" w:rsidP="00976DA2">
      <w:pPr>
        <w:pStyle w:val="FootnoteText"/>
      </w:pPr>
      <w:r>
        <w:rPr>
          <w:rStyle w:val="FootnoteReference"/>
        </w:rPr>
        <w:footnoteRef/>
      </w:r>
      <w:r>
        <w:t xml:space="preserve"> </w:t>
      </w:r>
      <w:r>
        <w:rPr>
          <w:i/>
        </w:rPr>
        <w:t>See</w:t>
      </w:r>
      <w:r>
        <w:t xml:space="preserve"> CEA Reply at 2-</w:t>
      </w:r>
      <w:r w:rsidRPr="00A529ED">
        <w:t>6 (reiterating that “international harmonization is crucial to enabling the most efficient deployment of next generation technology”)</w:t>
      </w:r>
      <w:r>
        <w:t xml:space="preserve">; </w:t>
      </w:r>
      <w:r w:rsidRPr="00BB4EF0">
        <w:rPr>
          <w:i/>
        </w:rPr>
        <w:t>s</w:t>
      </w:r>
      <w:r w:rsidRPr="009F6F68">
        <w:rPr>
          <w:i/>
        </w:rPr>
        <w:t>ee also</w:t>
      </w:r>
      <w:r>
        <w:t xml:space="preserve"> Continental Automotive Systems, Inc. Comments at 1 (Continental Comments) (</w:t>
      </w:r>
      <w:r w:rsidRPr="00227585">
        <w:t>stat</w:t>
      </w:r>
      <w:r>
        <w:t xml:space="preserve">ing </w:t>
      </w:r>
      <w:r w:rsidRPr="00227585">
        <w:t>that the proposed expansion would be helpful in creating a globally harmonized spectrum allocation for vehicular radars in the 76-81 GHz band</w:t>
      </w:r>
      <w:r>
        <w:t>).</w:t>
      </w:r>
    </w:p>
  </w:footnote>
  <w:footnote w:id="45">
    <w:p w:rsidR="009D0BE6" w:rsidRDefault="009D0BE6" w:rsidP="00B62746">
      <w:pPr>
        <w:pStyle w:val="FootnoteText"/>
      </w:pPr>
      <w:r>
        <w:rPr>
          <w:rStyle w:val="FootnoteReference"/>
        </w:rPr>
        <w:footnoteRef/>
      </w:r>
      <w:r>
        <w:t xml:space="preserve"> </w:t>
      </w:r>
      <w:r>
        <w:rPr>
          <w:snapToGrid w:val="0"/>
        </w:rPr>
        <w:t xml:space="preserve">The Former Strategic Automotive Radar Frequency Allocation Group, Caterpillar, Delphi Automotive, and General Motors Company Comments at 6-7 (Automotive Group Comments). </w:t>
      </w:r>
    </w:p>
  </w:footnote>
  <w:footnote w:id="46">
    <w:p w:rsidR="009D0BE6" w:rsidRPr="00EB5B67" w:rsidRDefault="009D0BE6" w:rsidP="00976DA2">
      <w:pPr>
        <w:pStyle w:val="FootnoteText"/>
      </w:pPr>
      <w:r>
        <w:rPr>
          <w:rStyle w:val="FootnoteReference"/>
        </w:rPr>
        <w:footnoteRef/>
      </w:r>
      <w:r>
        <w:t xml:space="preserve"> </w:t>
      </w:r>
      <w:r>
        <w:rPr>
          <w:i/>
        </w:rPr>
        <w:t>See</w:t>
      </w:r>
      <w:r>
        <w:t xml:space="preserve"> </w:t>
      </w:r>
      <w:r>
        <w:rPr>
          <w:i/>
        </w:rPr>
        <w:t>id.</w:t>
      </w:r>
      <w:r>
        <w:t xml:space="preserve"> at 7; </w:t>
      </w:r>
      <w:r w:rsidRPr="009F6F68">
        <w:rPr>
          <w:i/>
        </w:rPr>
        <w:t>s</w:t>
      </w:r>
      <w:r w:rsidRPr="005E4E78">
        <w:rPr>
          <w:i/>
        </w:rPr>
        <w:t>ee also</w:t>
      </w:r>
      <w:r>
        <w:t xml:space="preserve"> Telecommunications Industry Association Comments at 2 (</w:t>
      </w:r>
      <w:r w:rsidRPr="00227585">
        <w:t xml:space="preserve">encouraged that the Commission is moving in a similar direction as the European Commission </w:t>
      </w:r>
      <w:r>
        <w:t xml:space="preserve">(EC) </w:t>
      </w:r>
      <w:r w:rsidRPr="00227585">
        <w:t>and elsewhere in the world to open the 77-81 GHz band for vehicular radars</w:t>
      </w:r>
      <w:r>
        <w:t xml:space="preserve">); </w:t>
      </w:r>
      <w:r w:rsidRPr="00661571">
        <w:rPr>
          <w:i/>
        </w:rPr>
        <w:t>see</w:t>
      </w:r>
      <w:r>
        <w:t xml:space="preserve"> ASC Comments at </w:t>
      </w:r>
      <w:r w:rsidRPr="00A529ED">
        <w:t xml:space="preserve">2 (recommending </w:t>
      </w:r>
      <w:r>
        <w:t xml:space="preserve">that we </w:t>
      </w:r>
      <w:r w:rsidRPr="00A529ED">
        <w:t>harmoniz</w:t>
      </w:r>
      <w:r>
        <w:t>e</w:t>
      </w:r>
      <w:r w:rsidRPr="00A529ED">
        <w:t xml:space="preserve"> with the global effort to utilize the 76-81 GHz band for vehicular radar applications, as this </w:t>
      </w:r>
      <w:r>
        <w:t xml:space="preserve">would </w:t>
      </w:r>
      <w:r w:rsidRPr="00A529ED">
        <w:t>facilitate more rapid implementation of active safety systems (i.e., faster time to market and broader availability)</w:t>
      </w:r>
      <w:r>
        <w:t>, and reduce</w:t>
      </w:r>
      <w:r w:rsidRPr="00A529ED">
        <w:t xml:space="preserve"> the cost impact to the consumer by building on technology and capability that is already being developed</w:t>
      </w:r>
      <w:r>
        <w:t>).</w:t>
      </w:r>
    </w:p>
  </w:footnote>
  <w:footnote w:id="47">
    <w:p w:rsidR="009D0BE6" w:rsidRDefault="009D0BE6" w:rsidP="00880B19">
      <w:pPr>
        <w:pStyle w:val="FootnoteText"/>
      </w:pPr>
      <w:r>
        <w:rPr>
          <w:rStyle w:val="FootnoteReference"/>
        </w:rPr>
        <w:footnoteRef/>
      </w:r>
      <w:r>
        <w:t xml:space="preserve"> </w:t>
      </w:r>
      <w:r w:rsidRPr="00880B19">
        <w:rPr>
          <w:i/>
        </w:rPr>
        <w:t>See supra</w:t>
      </w:r>
      <w:r>
        <w:t xml:space="preserve"> para. </w:t>
      </w:r>
      <w:r w:rsidRPr="00CB1C67">
        <w:t>5</w:t>
      </w:r>
      <w:r w:rsidRPr="00E87C6C">
        <w:t>.</w:t>
      </w:r>
      <w:r w:rsidRPr="00880B19">
        <w:rPr>
          <w:i/>
        </w:rPr>
        <w:t xml:space="preserve"> </w:t>
      </w:r>
    </w:p>
  </w:footnote>
  <w:footnote w:id="48">
    <w:p w:rsidR="009D0BE6" w:rsidRDefault="009D0BE6" w:rsidP="0098387D">
      <w:pPr>
        <w:pStyle w:val="FootnoteText"/>
      </w:pPr>
      <w:r>
        <w:rPr>
          <w:rStyle w:val="FootnoteReference"/>
        </w:rPr>
        <w:footnoteRef/>
      </w:r>
      <w:r>
        <w:t xml:space="preserve"> </w:t>
      </w:r>
      <w:r w:rsidRPr="004C3BA3">
        <w:rPr>
          <w:i/>
        </w:rPr>
        <w:t>NPRM</w:t>
      </w:r>
      <w:r>
        <w:t>, 30 FCC Rcd at 1643, para. 62.</w:t>
      </w:r>
    </w:p>
  </w:footnote>
  <w:footnote w:id="49">
    <w:p w:rsidR="009D0BE6" w:rsidRDefault="009D0BE6" w:rsidP="00BD7D79">
      <w:pPr>
        <w:pStyle w:val="FootnoteText"/>
      </w:pPr>
      <w:r>
        <w:rPr>
          <w:rStyle w:val="FootnoteReference"/>
        </w:rPr>
        <w:footnoteRef/>
      </w:r>
      <w:r>
        <w:t xml:space="preserve"> </w:t>
      </w:r>
      <w:r>
        <w:rPr>
          <w:i/>
        </w:rPr>
        <w:t>Id.</w:t>
      </w:r>
      <w:r>
        <w:t xml:space="preserve"> at para. 63.</w:t>
      </w:r>
    </w:p>
  </w:footnote>
  <w:footnote w:id="50">
    <w:p w:rsidR="009D0BE6" w:rsidRDefault="009D0BE6" w:rsidP="00BD7D79">
      <w:pPr>
        <w:pStyle w:val="FootnoteText"/>
      </w:pPr>
      <w:r>
        <w:rPr>
          <w:rStyle w:val="FootnoteReference"/>
        </w:rPr>
        <w:footnoteRef/>
      </w:r>
      <w:r>
        <w:t xml:space="preserve"> </w:t>
      </w:r>
      <w:r>
        <w:rPr>
          <w:i/>
        </w:rPr>
        <w:t>Id</w:t>
      </w:r>
      <w:r>
        <w:t>.</w:t>
      </w:r>
    </w:p>
  </w:footnote>
  <w:footnote w:id="51">
    <w:p w:rsidR="009D0BE6" w:rsidRDefault="009D0BE6" w:rsidP="00BD7D79">
      <w:pPr>
        <w:pStyle w:val="FootnoteText"/>
      </w:pPr>
      <w:r>
        <w:rPr>
          <w:rStyle w:val="FootnoteReference"/>
        </w:rPr>
        <w:footnoteRef/>
      </w:r>
      <w:r>
        <w:t xml:space="preserve"> </w:t>
      </w:r>
      <w:r>
        <w:rPr>
          <w:i/>
        </w:rPr>
        <w:t>Id</w:t>
      </w:r>
      <w:r>
        <w:t>.</w:t>
      </w:r>
    </w:p>
  </w:footnote>
  <w:footnote w:id="52">
    <w:p w:rsidR="009D0BE6" w:rsidRDefault="009D0BE6" w:rsidP="00335C72">
      <w:pPr>
        <w:pStyle w:val="FootnoteText"/>
      </w:pPr>
      <w:r>
        <w:rPr>
          <w:rStyle w:val="FootnoteReference"/>
        </w:rPr>
        <w:footnoteRef/>
      </w:r>
      <w:r>
        <w:t xml:space="preserve"> </w:t>
      </w:r>
      <w:r w:rsidRPr="00AE7F59">
        <w:rPr>
          <w:i/>
        </w:rPr>
        <w:t>Id.</w:t>
      </w:r>
      <w:r>
        <w:t xml:space="preserve"> at 1644, para. 65.</w:t>
      </w:r>
    </w:p>
  </w:footnote>
  <w:footnote w:id="53">
    <w:p w:rsidR="009D0BE6" w:rsidRDefault="009D0BE6" w:rsidP="00BD7D79">
      <w:pPr>
        <w:pStyle w:val="FootnoteText"/>
      </w:pPr>
      <w:r>
        <w:rPr>
          <w:rStyle w:val="FootnoteReference"/>
        </w:rPr>
        <w:footnoteRef/>
      </w:r>
      <w:r>
        <w:t xml:space="preserve"> </w:t>
      </w:r>
      <w:r>
        <w:rPr>
          <w:i/>
        </w:rPr>
        <w:t>Id</w:t>
      </w:r>
      <w:r>
        <w:t>. at 1643, para. 63.</w:t>
      </w:r>
    </w:p>
  </w:footnote>
  <w:footnote w:id="54">
    <w:p w:rsidR="009D0BE6" w:rsidRPr="00CA73AF" w:rsidRDefault="009D0BE6" w:rsidP="00AF3E7D">
      <w:pPr>
        <w:pStyle w:val="FootnoteText"/>
      </w:pPr>
      <w:r>
        <w:rPr>
          <w:rStyle w:val="FootnoteReference"/>
        </w:rPr>
        <w:footnoteRef/>
      </w:r>
      <w:r>
        <w:t xml:space="preserve"> </w:t>
      </w:r>
      <w:r>
        <w:rPr>
          <w:i/>
        </w:rPr>
        <w:t>See</w:t>
      </w:r>
      <w:r>
        <w:t xml:space="preserve"> ARRL, the National A</w:t>
      </w:r>
      <w:r w:rsidRPr="00FE4534">
        <w:t>ssociation for Amateur Radio</w:t>
      </w:r>
      <w:r>
        <w:t xml:space="preserve"> Comments at </w:t>
      </w:r>
      <w:r w:rsidRPr="00F00A7E">
        <w:t>13</w:t>
      </w:r>
      <w:r w:rsidRPr="00620250">
        <w:t xml:space="preserve"> </w:t>
      </w:r>
      <w:r>
        <w:t xml:space="preserve">(ARRL Comments) </w:t>
      </w:r>
      <w:r w:rsidRPr="00620250">
        <w:t xml:space="preserve">(arguing that there is no basis for a finding </w:t>
      </w:r>
      <w:r>
        <w:t xml:space="preserve">to continue </w:t>
      </w:r>
      <w:r w:rsidRPr="00620250">
        <w:t>the current suspension of</w:t>
      </w:r>
      <w:r>
        <w:t xml:space="preserve"> amateur</w:t>
      </w:r>
      <w:r w:rsidRPr="00620250">
        <w:t xml:space="preserve"> use of the 76-77 GHz band</w:t>
      </w:r>
      <w:r>
        <w:t>);</w:t>
      </w:r>
      <w:r w:rsidRPr="00620250">
        <w:t xml:space="preserve"> </w:t>
      </w:r>
      <w:r>
        <w:t>Gary Lauterbach Amateur Radio Operator AD6FP, Comments at 5 (Lauterbach Comments)</w:t>
      </w:r>
      <w:r w:rsidRPr="00620250">
        <w:t xml:space="preserve"> (arguing that the suspension of amateur use of the 76-77 GHz segment should be lifted since a</w:t>
      </w:r>
      <w:r>
        <w:t xml:space="preserve">vailable studies show coexistence to be practical); </w:t>
      </w:r>
      <w:r w:rsidRPr="00E80D24">
        <w:t>Robert M. Bownes III, Amateur Radio Operator KI2L</w:t>
      </w:r>
      <w:r>
        <w:t>,</w:t>
      </w:r>
      <w:r w:rsidRPr="00E80D24">
        <w:t xml:space="preserve"> Comments at 1 (opposing any reallocation</w:t>
      </w:r>
      <w:r>
        <w:t xml:space="preserve"> or restrictions placed on the a</w:t>
      </w:r>
      <w:r w:rsidRPr="00E80D24">
        <w:t xml:space="preserve">mateur </w:t>
      </w:r>
      <w:r>
        <w:t>r</w:t>
      </w:r>
      <w:r w:rsidRPr="00E80D24">
        <w:t>adio service</w:t>
      </w:r>
      <w:r>
        <w:t>s</w:t>
      </w:r>
      <w:r w:rsidRPr="00E80D24">
        <w:t xml:space="preserve"> in this spectrum allocation as well as expansion of commercial services into this spectrum); William Polewarczyk,</w:t>
      </w:r>
      <w:r>
        <w:t xml:space="preserve"> Amateur Radio Operator WA1DMV, </w:t>
      </w:r>
      <w:r w:rsidRPr="00E80D24">
        <w:t>Comments at 1 (stating that the Amateur Radio allocations are a precious resource for continued experimentation and opposing the proposed use of the</w:t>
      </w:r>
      <w:r>
        <w:t xml:space="preserve"> 4 mm</w:t>
      </w:r>
      <w:r w:rsidRPr="00E80D24">
        <w:t xml:space="preserve"> band for vehicular radars).</w:t>
      </w:r>
    </w:p>
  </w:footnote>
  <w:footnote w:id="55">
    <w:p w:rsidR="009D0BE6" w:rsidRPr="00CA73AF" w:rsidRDefault="009D0BE6" w:rsidP="00AF3E7D">
      <w:pPr>
        <w:pStyle w:val="FootnoteText"/>
      </w:pPr>
      <w:r>
        <w:rPr>
          <w:rStyle w:val="FootnoteReference"/>
        </w:rPr>
        <w:footnoteRef/>
      </w:r>
      <w:r>
        <w:t xml:space="preserve"> </w:t>
      </w:r>
      <w:r>
        <w:rPr>
          <w:i/>
        </w:rPr>
        <w:t>See</w:t>
      </w:r>
      <w:r>
        <w:t xml:space="preserve"> A</w:t>
      </w:r>
      <w:r w:rsidRPr="00D97626">
        <w:t xml:space="preserve">RRL Comments at 13 (arguing that there is no basis for a </w:t>
      </w:r>
      <w:r>
        <w:t>finding</w:t>
      </w:r>
      <w:r w:rsidRPr="00D97626">
        <w:t xml:space="preserve"> that </w:t>
      </w:r>
      <w:r>
        <w:t xml:space="preserve">the </w:t>
      </w:r>
      <w:r w:rsidRPr="00D97626">
        <w:t>amateur allocations should be removed from the 76-81 GHz band</w:t>
      </w:r>
      <w:r>
        <w:t>);</w:t>
      </w:r>
      <w:r w:rsidRPr="00620250">
        <w:t xml:space="preserve"> Lauterbach Comments at 5 (arguing that removing all amateur allocations </w:t>
      </w:r>
      <w:r>
        <w:t xml:space="preserve">from the 76-81 GHz band </w:t>
      </w:r>
      <w:r w:rsidRPr="00620250">
        <w:t>is contrary to the a</w:t>
      </w:r>
      <w:r>
        <w:t xml:space="preserve">vailable interference studies); </w:t>
      </w:r>
      <w:r w:rsidRPr="00E80D24">
        <w:t>Michael Seguin, Amateur Radio Operator N1JEZ, Comments at 2 (hoping that amateurs are able to retain some portion of the 77 GHz spectrum to allow further experimentation in the band); Nickolaus E. Legget</w:t>
      </w:r>
      <w:r>
        <w:t>t, Amateur Radio Operator N3NL</w:t>
      </w:r>
      <w:r w:rsidRPr="00E80D24">
        <w:t xml:space="preserve">, Comments at 3 </w:t>
      </w:r>
      <w:r>
        <w:t xml:space="preserve">(Leggett Comments) </w:t>
      </w:r>
      <w:r w:rsidRPr="00E80D24">
        <w:t>(contending that amateur radio needs continuing millimeter-wave allocations); Ronald E. Telsch Comments at 1 (</w:t>
      </w:r>
      <w:r>
        <w:t xml:space="preserve">amateur radio operator </w:t>
      </w:r>
      <w:r w:rsidRPr="00E80D24">
        <w:t>opposing the proposed rulemaking due to the potential for interference to primary users)</w:t>
      </w:r>
      <w:r>
        <w:t>; s</w:t>
      </w:r>
      <w:r>
        <w:rPr>
          <w:i/>
        </w:rPr>
        <w:t>ee also</w:t>
      </w:r>
      <w:r>
        <w:t xml:space="preserve"> Bosch Comments at 21 (stating that a </w:t>
      </w:r>
      <w:r w:rsidRPr="00E3428B">
        <w:t xml:space="preserve">continued amateur </w:t>
      </w:r>
      <w:r>
        <w:t xml:space="preserve">radio </w:t>
      </w:r>
      <w:r w:rsidRPr="00E3428B">
        <w:t>allocation in the enti</w:t>
      </w:r>
      <w:r>
        <w:t>re 77-81 GHz band is reasonable)</w:t>
      </w:r>
      <w:r w:rsidRPr="00D14D2F">
        <w:t>.</w:t>
      </w:r>
    </w:p>
  </w:footnote>
  <w:footnote w:id="56">
    <w:p w:rsidR="009D0BE6" w:rsidRPr="00CA73AF" w:rsidRDefault="009D0BE6" w:rsidP="00B64C82">
      <w:pPr>
        <w:pStyle w:val="FootnoteText"/>
      </w:pPr>
      <w:r>
        <w:rPr>
          <w:rStyle w:val="FootnoteReference"/>
        </w:rPr>
        <w:footnoteRef/>
      </w:r>
      <w:r>
        <w:t xml:space="preserve"> </w:t>
      </w:r>
      <w:r>
        <w:rPr>
          <w:i/>
          <w:iCs/>
          <w:snapToGrid w:val="0"/>
        </w:rPr>
        <w:t>See, e.g.</w:t>
      </w:r>
      <w:r>
        <w:rPr>
          <w:snapToGrid w:val="0"/>
        </w:rPr>
        <w:t>, ARRL Comments at 7 (stating that “there is a large and increasing investment in equipment for this band”).</w:t>
      </w:r>
    </w:p>
  </w:footnote>
  <w:footnote w:id="57">
    <w:p w:rsidR="009D0BE6" w:rsidRPr="00CA73AF" w:rsidRDefault="009D0BE6" w:rsidP="00D97626">
      <w:pPr>
        <w:pStyle w:val="FootnoteText"/>
      </w:pPr>
      <w:r>
        <w:rPr>
          <w:rStyle w:val="FootnoteReference"/>
        </w:rPr>
        <w:footnoteRef/>
      </w:r>
      <w:r>
        <w:t xml:space="preserve"> Systems characteristics and compatibility of automotive radars operating in the frequency band 77.5-78 GHz for sharing studies, Report ITU-R M.2322-0 (11/2014)</w:t>
      </w:r>
      <w:r w:rsidRPr="003C77CB">
        <w:t xml:space="preserve"> </w:t>
      </w:r>
      <w:r>
        <w:t xml:space="preserve">(ITU-R Report), </w:t>
      </w:r>
      <w:hyperlink r:id="rId4" w:history="1">
        <w:r w:rsidRPr="00DC3BAA">
          <w:rPr>
            <w:rStyle w:val="Hyperlink"/>
          </w:rPr>
          <w:t>https://www.itu.int/dms_pub/itu-r/opb/rep/R-REP-M.2322-2014-PDF-E.pdf</w:t>
        </w:r>
      </w:hyperlink>
      <w:r>
        <w:t>.</w:t>
      </w:r>
    </w:p>
  </w:footnote>
  <w:footnote w:id="58">
    <w:p w:rsidR="009D0BE6" w:rsidRPr="00CA73AF" w:rsidRDefault="009D0BE6" w:rsidP="00D97626">
      <w:pPr>
        <w:pStyle w:val="FootnoteText"/>
      </w:pPr>
      <w:r>
        <w:rPr>
          <w:rStyle w:val="FootnoteReference"/>
        </w:rPr>
        <w:footnoteRef/>
      </w:r>
      <w:r>
        <w:t xml:space="preserve"> ARRL Comments at 5, 12; </w:t>
      </w:r>
      <w:r>
        <w:rPr>
          <w:i/>
        </w:rPr>
        <w:t>se</w:t>
      </w:r>
      <w:r w:rsidRPr="00BF7C30">
        <w:rPr>
          <w:i/>
        </w:rPr>
        <w:t>e also</w:t>
      </w:r>
      <w:r>
        <w:t xml:space="preserve"> Bosch Comments at 15, 21-22.</w:t>
      </w:r>
    </w:p>
  </w:footnote>
  <w:footnote w:id="59">
    <w:p w:rsidR="009D0BE6" w:rsidRDefault="009D0BE6" w:rsidP="00B64C82">
      <w:pPr>
        <w:pStyle w:val="FootnoteText"/>
      </w:pPr>
      <w:r>
        <w:rPr>
          <w:rStyle w:val="FootnoteReference"/>
        </w:rPr>
        <w:footnoteRef/>
      </w:r>
      <w:r>
        <w:t xml:space="preserve"> </w:t>
      </w:r>
      <w:r w:rsidRPr="00E838BE">
        <w:rPr>
          <w:i/>
        </w:rPr>
        <w:t>See, e.g.</w:t>
      </w:r>
      <w:r>
        <w:t>, Automotive Group Comments at 14-15.</w:t>
      </w:r>
    </w:p>
  </w:footnote>
  <w:footnote w:id="60">
    <w:p w:rsidR="009D0BE6" w:rsidRPr="00285087" w:rsidRDefault="009D0BE6" w:rsidP="00B64C82">
      <w:pPr>
        <w:pStyle w:val="FootnoteText"/>
      </w:pPr>
      <w:r>
        <w:rPr>
          <w:rStyle w:val="FootnoteReference"/>
        </w:rPr>
        <w:footnoteRef/>
      </w:r>
      <w:r>
        <w:t xml:space="preserve"> </w:t>
      </w:r>
      <w:r w:rsidRPr="006E626D">
        <w:rPr>
          <w:i/>
        </w:rPr>
        <w:t>See</w:t>
      </w:r>
      <w:r>
        <w:t xml:space="preserve"> ITU-R Report at 3, 20, 34.</w:t>
      </w:r>
      <w:r w:rsidRPr="00D463EC">
        <w:t xml:space="preserve"> </w:t>
      </w:r>
      <w:r>
        <w:t xml:space="preserve"> </w:t>
      </w:r>
      <w:r w:rsidRPr="00D463EC">
        <w:rPr>
          <w:i/>
        </w:rPr>
        <w:t xml:space="preserve">But </w:t>
      </w:r>
      <w:r>
        <w:rPr>
          <w:i/>
        </w:rPr>
        <w:t>cf.</w:t>
      </w:r>
      <w:r>
        <w:t xml:space="preserve"> </w:t>
      </w:r>
      <w:r w:rsidRPr="00E80D24">
        <w:t>Nickolaus E. Leggett, Amateur Radi</w:t>
      </w:r>
      <w:r>
        <w:t>o Operator N3NL,</w:t>
      </w:r>
      <w:r w:rsidRPr="00E80D24">
        <w:t xml:space="preserve"> Reply at 3-4</w:t>
      </w:r>
      <w:r w:rsidRPr="00A478FA">
        <w:t xml:space="preserve"> </w:t>
      </w:r>
      <w:r>
        <w:t>(</w:t>
      </w:r>
      <w:r w:rsidRPr="00E80D24">
        <w:t xml:space="preserve">concerned about the potential for interference </w:t>
      </w:r>
      <w:r w:rsidRPr="00D463EC">
        <w:t xml:space="preserve">to </w:t>
      </w:r>
      <w:r w:rsidRPr="00E80D24">
        <w:t>amateur millimeter-wave observatories that are typically located near public roads due to radar signals from thousands of automobiles</w:t>
      </w:r>
      <w:r>
        <w:t>).</w:t>
      </w:r>
    </w:p>
  </w:footnote>
  <w:footnote w:id="61">
    <w:p w:rsidR="009D0BE6" w:rsidRPr="00DF6B63" w:rsidRDefault="009D0BE6" w:rsidP="00E96EF2">
      <w:pPr>
        <w:pStyle w:val="FootnoteText"/>
      </w:pPr>
      <w:r>
        <w:rPr>
          <w:rStyle w:val="FootnoteReference"/>
        </w:rPr>
        <w:footnoteRef/>
      </w:r>
      <w:r>
        <w:t xml:space="preserve"> </w:t>
      </w:r>
      <w:r>
        <w:rPr>
          <w:i/>
        </w:rPr>
        <w:t>See</w:t>
      </w:r>
      <w:r>
        <w:t xml:space="preserve"> ARRL Comments at 8-9.</w:t>
      </w:r>
    </w:p>
  </w:footnote>
  <w:footnote w:id="62">
    <w:p w:rsidR="009D0BE6" w:rsidRDefault="009D0BE6">
      <w:pPr>
        <w:pStyle w:val="FootnoteText"/>
      </w:pPr>
      <w:r>
        <w:rPr>
          <w:rStyle w:val="FootnoteReference"/>
        </w:rPr>
        <w:footnoteRef/>
      </w:r>
      <w:r>
        <w:t xml:space="preserve"> ARRL Comments at 10; </w:t>
      </w:r>
      <w:r w:rsidRPr="00434ED4">
        <w:rPr>
          <w:i/>
        </w:rPr>
        <w:t>see also</w:t>
      </w:r>
      <w:r>
        <w:t xml:space="preserve"> Barry Malowanchuck</w:t>
      </w:r>
      <w:r w:rsidRPr="002E2E4B">
        <w:t>, PE, Amateur Radio Operator VE4MA/W7</w:t>
      </w:r>
      <w:r>
        <w:t xml:space="preserve">, </w:t>
      </w:r>
      <w:r w:rsidRPr="00620250">
        <w:t>Comments at 9 (arguing that taking into account the somewhat remote locations used for amateur operations, and the very high directivity of amateur antennas, the likelihood of amateur interference</w:t>
      </w:r>
      <w:r>
        <w:t xml:space="preserve"> to vehicular radars is small).</w:t>
      </w:r>
    </w:p>
  </w:footnote>
  <w:footnote w:id="63">
    <w:p w:rsidR="009D0BE6" w:rsidRDefault="009D0BE6" w:rsidP="00C526B4">
      <w:pPr>
        <w:pStyle w:val="FootnoteText"/>
      </w:pPr>
      <w:r>
        <w:rPr>
          <w:rStyle w:val="FootnoteReference"/>
        </w:rPr>
        <w:footnoteRef/>
      </w:r>
      <w:r>
        <w:t xml:space="preserve"> Notably, at 79 GHz, the free space path loss at 1 km is approximately 130 dB, which means that the power of the signal has decreased 10 trillion fold from the original power of the signal.</w:t>
      </w:r>
    </w:p>
  </w:footnote>
  <w:footnote w:id="64">
    <w:p w:rsidR="009D0BE6" w:rsidRDefault="009D0BE6" w:rsidP="00093501">
      <w:pPr>
        <w:pStyle w:val="FootnoteText"/>
      </w:pPr>
      <w:r>
        <w:rPr>
          <w:rStyle w:val="FootnoteReference"/>
        </w:rPr>
        <w:footnoteRef/>
      </w:r>
      <w:r>
        <w:t xml:space="preserve"> Because we are not removing the Amateur Service and Amateur Satellite-Service allocations from the 76-81 GHz band, we need not consider the proposal to allocate the 75.5-76 GHz band to the Amateur Service as replacement spectrum.</w:t>
      </w:r>
      <w:r w:rsidRPr="006712C6">
        <w:rPr>
          <w:rStyle w:val="FootnoteReference"/>
        </w:rPr>
        <w:t xml:space="preserve"> </w:t>
      </w:r>
      <w:r>
        <w:rPr>
          <w:rStyle w:val="FootnoteReference"/>
        </w:rPr>
        <w:t xml:space="preserve"> </w:t>
      </w:r>
      <w:r w:rsidRPr="000D582A">
        <w:rPr>
          <w:i/>
        </w:rPr>
        <w:t>See NPRM</w:t>
      </w:r>
      <w:r>
        <w:t>,</w:t>
      </w:r>
      <w:r w:rsidRPr="000D582A">
        <w:t xml:space="preserve"> 30 FCC Rcd at</w:t>
      </w:r>
      <w:r>
        <w:t xml:space="preserve"> 1644, para. 66; Automotive</w:t>
      </w:r>
      <w:r w:rsidRPr="00E3428B">
        <w:t xml:space="preserve"> Group </w:t>
      </w:r>
      <w:r>
        <w:t>C</w:t>
      </w:r>
      <w:r w:rsidRPr="00E3428B">
        <w:t>omments at 15</w:t>
      </w:r>
      <w:r>
        <w:t>;</w:t>
      </w:r>
      <w:r w:rsidRPr="00E3428B">
        <w:t xml:space="preserve"> Bosch Comments at 2</w:t>
      </w:r>
      <w:r>
        <w:t xml:space="preserve">1; </w:t>
      </w:r>
      <w:r w:rsidRPr="00F55510">
        <w:t>Robert Bosch</w:t>
      </w:r>
      <w:r>
        <w:t>,</w:t>
      </w:r>
      <w:r w:rsidRPr="00F55510">
        <w:t xml:space="preserve"> LLC</w:t>
      </w:r>
      <w:r>
        <w:t xml:space="preserve"> Reply at 26 (Bosch Reply); Leggett Comments at 3.</w:t>
      </w:r>
    </w:p>
  </w:footnote>
  <w:footnote w:id="65">
    <w:p w:rsidR="009D0BE6" w:rsidRDefault="009D0BE6" w:rsidP="007B43AE">
      <w:pPr>
        <w:pStyle w:val="FootnoteText"/>
      </w:pPr>
      <w:r>
        <w:rPr>
          <w:rStyle w:val="FootnoteReference"/>
        </w:rPr>
        <w:footnoteRef/>
      </w:r>
      <w:r>
        <w:t xml:space="preserve"> </w:t>
      </w:r>
      <w:r>
        <w:rPr>
          <w:i/>
        </w:rPr>
        <w:t>See</w:t>
      </w:r>
      <w:r>
        <w:t xml:space="preserve"> </w:t>
      </w:r>
      <w:r w:rsidRPr="00B40C48">
        <w:t>Thomas D. Williams</w:t>
      </w:r>
      <w:r w:rsidRPr="002E2E4B">
        <w:t>, Amateur Radio Operator WA1MBA,</w:t>
      </w:r>
      <w:r w:rsidRPr="00620250">
        <w:t xml:space="preserve"> Comments at 9 (arguing that until an analysis shows that the Amateur Service cannot operate without causing interference to vehicular radar operations, it should continue to be allocated on a primary</w:t>
      </w:r>
      <w:r>
        <w:t xml:space="preserve"> basis in the 77.5-78 GHz band); </w:t>
      </w:r>
      <w:r w:rsidRPr="00452942">
        <w:t>Bosch Comments at 2</w:t>
      </w:r>
      <w:r>
        <w:t>1</w:t>
      </w:r>
      <w:r w:rsidRPr="00452942">
        <w:t xml:space="preserve"> (stating </w:t>
      </w:r>
      <w:r>
        <w:t xml:space="preserve">that </w:t>
      </w:r>
      <w:r w:rsidRPr="00452942">
        <w:t>the co-primary allocation for amateur radio at 77.5-78 GHz is both necessary for radio amateurs and compatible with vehicular radars</w:t>
      </w:r>
      <w:r>
        <w:t>).</w:t>
      </w:r>
    </w:p>
  </w:footnote>
  <w:footnote w:id="66">
    <w:p w:rsidR="009D0BE6" w:rsidRPr="00D05A23" w:rsidRDefault="009D0BE6">
      <w:pPr>
        <w:pStyle w:val="FootnoteText"/>
      </w:pPr>
      <w:r>
        <w:rPr>
          <w:rStyle w:val="FootnoteReference"/>
        </w:rPr>
        <w:footnoteRef/>
      </w:r>
      <w:r>
        <w:t xml:space="preserve"> </w:t>
      </w:r>
      <w:r w:rsidRPr="00C00F13">
        <w:rPr>
          <w:i/>
        </w:rPr>
        <w:t>See</w:t>
      </w:r>
      <w:r>
        <w:rPr>
          <w:i/>
        </w:rPr>
        <w:t xml:space="preserve"> </w:t>
      </w:r>
      <w:r>
        <w:t>47 CFR § 2.105(c)(2)(i)-(ii).</w:t>
      </w:r>
    </w:p>
  </w:footnote>
  <w:footnote w:id="67">
    <w:p w:rsidR="009D0BE6" w:rsidRPr="00D14D2F" w:rsidRDefault="009D0BE6" w:rsidP="007A1C49">
      <w:pPr>
        <w:pStyle w:val="FootnoteText"/>
      </w:pPr>
      <w:r w:rsidRPr="00D14D2F">
        <w:rPr>
          <w:rStyle w:val="FootnoteReference"/>
        </w:rPr>
        <w:footnoteRef/>
      </w:r>
      <w:r w:rsidRPr="00D14D2F">
        <w:t xml:space="preserve"> </w:t>
      </w:r>
      <w:r>
        <w:t>The Amateur Radio Service includes the Amateur Service and the Amateur-Satellite Service.  47 CFR § 97.3(a)(2).</w:t>
      </w:r>
    </w:p>
  </w:footnote>
  <w:footnote w:id="68">
    <w:p w:rsidR="009D0BE6" w:rsidRPr="002645D5" w:rsidRDefault="009D0BE6" w:rsidP="00235F51">
      <w:pPr>
        <w:pStyle w:val="FootnoteText"/>
      </w:pPr>
      <w:r w:rsidRPr="00D14D2F">
        <w:rPr>
          <w:rStyle w:val="FootnoteReference"/>
        </w:rPr>
        <w:footnoteRef/>
      </w:r>
      <w:r w:rsidRPr="00D14D2F">
        <w:t xml:space="preserve"> </w:t>
      </w:r>
      <w:r>
        <w:t>47 CFR § 15.253(d)(2).</w:t>
      </w:r>
    </w:p>
  </w:footnote>
  <w:footnote w:id="69">
    <w:p w:rsidR="009D0BE6" w:rsidRPr="00783F6E" w:rsidRDefault="009D0BE6" w:rsidP="00235F51">
      <w:pPr>
        <w:pStyle w:val="FootnoteText"/>
      </w:pPr>
      <w:r>
        <w:rPr>
          <w:rStyle w:val="FootnoteReference"/>
        </w:rPr>
        <w:footnoteRef/>
      </w:r>
      <w:r>
        <w:t xml:space="preserve"> </w:t>
      </w:r>
      <w:r w:rsidRPr="00EF0577">
        <w:rPr>
          <w:i/>
        </w:rPr>
        <w:t>See</w:t>
      </w:r>
      <w:r>
        <w:t xml:space="preserve"> 47 CFR § 97.313(b) (the only limitation is on the transmitter power; there is no mention of EIRP).</w:t>
      </w:r>
    </w:p>
  </w:footnote>
  <w:footnote w:id="70">
    <w:p w:rsidR="009D0BE6" w:rsidRPr="002645D5" w:rsidRDefault="009D0BE6" w:rsidP="007A1C49">
      <w:pPr>
        <w:pStyle w:val="FootnoteText"/>
      </w:pPr>
      <w:r w:rsidRPr="00D14D2F">
        <w:rPr>
          <w:rStyle w:val="FootnoteReference"/>
        </w:rPr>
        <w:footnoteRef/>
      </w:r>
      <w:r w:rsidRPr="00D14D2F">
        <w:t xml:space="preserve"> </w:t>
      </w:r>
      <w:r w:rsidRPr="00D14D2F">
        <w:rPr>
          <w:i/>
        </w:rPr>
        <w:t xml:space="preserve">See </w:t>
      </w:r>
      <w:r>
        <w:t xml:space="preserve">ARRL Comments at </w:t>
      </w:r>
      <w:r w:rsidRPr="00E966A3">
        <w:t>8-9</w:t>
      </w:r>
      <w:r>
        <w:t xml:space="preserve"> (relying on Table 3 in the ITU-R Report to argue that amateur stations use peak EIRP ranging between 41-54 dBm).</w:t>
      </w:r>
    </w:p>
  </w:footnote>
  <w:footnote w:id="71">
    <w:p w:rsidR="009D0BE6" w:rsidRPr="00DF6B63" w:rsidRDefault="009D0BE6" w:rsidP="007A1C49">
      <w:pPr>
        <w:pStyle w:val="FootnoteText"/>
      </w:pPr>
      <w:r>
        <w:rPr>
          <w:rStyle w:val="FootnoteReference"/>
        </w:rPr>
        <w:footnoteRef/>
      </w:r>
      <w:r>
        <w:t xml:space="preserve"> </w:t>
      </w:r>
      <w:r w:rsidRPr="000663E6">
        <w:rPr>
          <w:i/>
        </w:rPr>
        <w:t>See</w:t>
      </w:r>
      <w:r>
        <w:t xml:space="preserve"> Lauterbach Comments at 5-6.  Although </w:t>
      </w:r>
      <w:r w:rsidRPr="00D14D2F">
        <w:t xml:space="preserve">Lauterbach </w:t>
      </w:r>
      <w:r w:rsidRPr="00BF4E0C">
        <w:t>suggests using a sliding amateur signal emissions limit based on the separation distance of an amateur station from a road along with a limitation to narrow bandwidth modulation for mitigating the risk of amateur i</w:t>
      </w:r>
      <w:r>
        <w:t xml:space="preserve">nterference to vehicular radars, we believe that the single emissions limit that we are adopting is preferable due to its simplicity and ease of compliance.  By contrast, </w:t>
      </w:r>
      <w:r w:rsidRPr="00BF4E0C">
        <w:t>a sliding scale based on the distance of an amateur station from a road</w:t>
      </w:r>
      <w:r>
        <w:t xml:space="preserve"> (</w:t>
      </w:r>
      <w:r w:rsidRPr="00BF4E0C">
        <w:t xml:space="preserve">especially in cases where multiple roads are </w:t>
      </w:r>
      <w:r>
        <w:t>involved) could become complicated to comply with and difficult to enforce.</w:t>
      </w:r>
    </w:p>
  </w:footnote>
  <w:footnote w:id="72">
    <w:p w:rsidR="009D0BE6" w:rsidRPr="00F96ABC" w:rsidRDefault="009D0BE6" w:rsidP="00082F75">
      <w:pPr>
        <w:pStyle w:val="FootnoteText"/>
      </w:pPr>
      <w:r>
        <w:rPr>
          <w:rStyle w:val="FootnoteReference"/>
        </w:rPr>
        <w:footnoteRef/>
      </w:r>
      <w:r>
        <w:t xml:space="preserve"> </w:t>
      </w:r>
      <w:r w:rsidRPr="00082F75">
        <w:rPr>
          <w:i/>
        </w:rPr>
        <w:t>See</w:t>
      </w:r>
      <w:r w:rsidRPr="00082F75">
        <w:t xml:space="preserve"> Bosch Comments at 15.</w:t>
      </w:r>
    </w:p>
  </w:footnote>
  <w:footnote w:id="73">
    <w:p w:rsidR="009D0BE6" w:rsidRDefault="009D0BE6" w:rsidP="007A1C49">
      <w:pPr>
        <w:pStyle w:val="FootnoteText"/>
      </w:pPr>
      <w:r>
        <w:rPr>
          <w:rStyle w:val="FootnoteReference"/>
        </w:rPr>
        <w:footnoteRef/>
      </w:r>
      <w:r>
        <w:t xml:space="preserve"> </w:t>
      </w:r>
      <w:r w:rsidRPr="004C3BA3">
        <w:rPr>
          <w:i/>
        </w:rPr>
        <w:t>See</w:t>
      </w:r>
      <w:r>
        <w:t xml:space="preserve"> </w:t>
      </w:r>
      <w:r w:rsidRPr="006070CE">
        <w:t>Delphi Automotive Systems</w:t>
      </w:r>
      <w:r w:rsidRPr="00661571">
        <w:t xml:space="preserve"> </w:t>
      </w:r>
      <w:r>
        <w:t>Comments at 2-3 (Delphi Comments) (suggesting this course if we decide to retain amateur use of the 76-81 GHz band)</w:t>
      </w:r>
      <w:r w:rsidRPr="005F15DF">
        <w:t>.</w:t>
      </w:r>
    </w:p>
  </w:footnote>
  <w:footnote w:id="74">
    <w:p w:rsidR="009D0BE6" w:rsidRPr="00CE2E1B" w:rsidRDefault="009D0BE6" w:rsidP="00082F75">
      <w:pPr>
        <w:pStyle w:val="FootnoteText"/>
      </w:pPr>
      <w:r>
        <w:rPr>
          <w:rStyle w:val="FootnoteReference"/>
        </w:rPr>
        <w:footnoteRef/>
      </w:r>
      <w:r>
        <w:t xml:space="preserve"> </w:t>
      </w:r>
      <w:r w:rsidRPr="00082F75">
        <w:rPr>
          <w:i/>
        </w:rPr>
        <w:t xml:space="preserve">See </w:t>
      </w:r>
      <w:r w:rsidRPr="00082F75">
        <w:t>Lauterbach Comments at 8.</w:t>
      </w:r>
    </w:p>
  </w:footnote>
  <w:footnote w:id="75">
    <w:p w:rsidR="009D0BE6" w:rsidRDefault="009D0BE6" w:rsidP="00CA3AD0">
      <w:pPr>
        <w:pStyle w:val="FootnoteText"/>
      </w:pPr>
      <w:r>
        <w:rPr>
          <w:rStyle w:val="FootnoteReference"/>
        </w:rPr>
        <w:footnoteRef/>
      </w:r>
      <w:r>
        <w:t xml:space="preserve"> </w:t>
      </w:r>
      <w:r w:rsidRPr="00A721F0">
        <w:rPr>
          <w:i/>
        </w:rPr>
        <w:t>See</w:t>
      </w:r>
      <w:r>
        <w:t xml:space="preserve"> </w:t>
      </w:r>
      <w:r w:rsidRPr="00A721F0">
        <w:t>Appendix</w:t>
      </w:r>
      <w:r>
        <w:t xml:space="preserve"> </w:t>
      </w:r>
      <w:r w:rsidRPr="00A721F0">
        <w:t>A</w:t>
      </w:r>
      <w:r>
        <w:t xml:space="preserve"> to this </w:t>
      </w:r>
      <w:r w:rsidRPr="0008642A">
        <w:rPr>
          <w:i/>
        </w:rPr>
        <w:t>Report and Order</w:t>
      </w:r>
      <w:r>
        <w:t xml:space="preserve"> at § 97.313(m).</w:t>
      </w:r>
    </w:p>
  </w:footnote>
  <w:footnote w:id="76">
    <w:p w:rsidR="009D0BE6" w:rsidRPr="00D14D2F" w:rsidRDefault="009D0BE6" w:rsidP="007A1C49">
      <w:pPr>
        <w:pStyle w:val="FootnoteText"/>
      </w:pPr>
      <w:r w:rsidRPr="00D14D2F">
        <w:rPr>
          <w:rStyle w:val="FootnoteReference"/>
        </w:rPr>
        <w:footnoteRef/>
      </w:r>
      <w:r w:rsidRPr="00D14D2F">
        <w:t xml:space="preserve"> </w:t>
      </w:r>
      <w:r w:rsidRPr="00D14D2F">
        <w:rPr>
          <w:i/>
        </w:rPr>
        <w:t xml:space="preserve">See </w:t>
      </w:r>
      <w:r w:rsidRPr="00D14D2F">
        <w:t xml:space="preserve">Bosch Comments at </w:t>
      </w:r>
      <w:r w:rsidRPr="00A46336">
        <w:t>22 n.33 and accompanying text</w:t>
      </w:r>
      <w:r>
        <w:t>.</w:t>
      </w:r>
    </w:p>
  </w:footnote>
  <w:footnote w:id="77">
    <w:p w:rsidR="009D0BE6" w:rsidRPr="007F3D6A" w:rsidRDefault="009D0BE6" w:rsidP="00DB28B2">
      <w:pPr>
        <w:pStyle w:val="FootnoteText"/>
      </w:pPr>
      <w:r>
        <w:rPr>
          <w:rStyle w:val="FootnoteReference"/>
        </w:rPr>
        <w:footnoteRef/>
      </w:r>
      <w:r>
        <w:t xml:space="preserve"> </w:t>
      </w:r>
      <w:r>
        <w:rPr>
          <w:i/>
        </w:rPr>
        <w:t>NPRM</w:t>
      </w:r>
      <w:r>
        <w:t>, 30 FCC Rcd at 1637, para. 40.  The proposed rules in Appendix B</w:t>
      </w:r>
      <w:r w:rsidRPr="00691140">
        <w:t xml:space="preserve"> </w:t>
      </w:r>
      <w:r>
        <w:t xml:space="preserve">of the </w:t>
      </w:r>
      <w:r w:rsidRPr="009859D0">
        <w:rPr>
          <w:i/>
        </w:rPr>
        <w:t>NPRM</w:t>
      </w:r>
      <w:r>
        <w:t xml:space="preserve"> continued to reflect the existing secondary allocations in the 77.5-78 GHz band.  </w:t>
      </w:r>
      <w:r>
        <w:rPr>
          <w:i/>
        </w:rPr>
        <w:t>Id</w:t>
      </w:r>
      <w:r>
        <w:t>. at 1651.</w:t>
      </w:r>
    </w:p>
  </w:footnote>
  <w:footnote w:id="78">
    <w:p w:rsidR="009D0BE6" w:rsidRDefault="009D0BE6" w:rsidP="00B86612">
      <w:pPr>
        <w:pStyle w:val="FootnoteText"/>
      </w:pPr>
      <w:r>
        <w:rPr>
          <w:rStyle w:val="FootnoteReference"/>
        </w:rPr>
        <w:footnoteRef/>
      </w:r>
      <w:r>
        <w:t xml:space="preserve"> </w:t>
      </w:r>
      <w:r>
        <w:rPr>
          <w:i/>
        </w:rPr>
        <w:t>See</w:t>
      </w:r>
      <w:r>
        <w:t xml:space="preserve"> </w:t>
      </w:r>
      <w:r w:rsidRPr="00FB290F">
        <w:t xml:space="preserve">National Radio Astronomy Observatory </w:t>
      </w:r>
      <w:r>
        <w:t xml:space="preserve">Comments at </w:t>
      </w:r>
      <w:r w:rsidRPr="00A46336">
        <w:t>10</w:t>
      </w:r>
      <w:r>
        <w:t xml:space="preserve"> (NRAO Comments); </w:t>
      </w:r>
      <w:r w:rsidRPr="00FB290F">
        <w:t xml:space="preserve">National Academy of Sciences’ Committee on Radio Frequencies </w:t>
      </w:r>
      <w:r>
        <w:t xml:space="preserve">Comments at </w:t>
      </w:r>
      <w:r w:rsidRPr="00A46336">
        <w:t>4 n.2</w:t>
      </w:r>
      <w:r>
        <w:t xml:space="preserve"> (CORF Comments).  There are two RAS facilities in the United States that currently observe in the 76-81 GHz band:  the Arizona Radio Observatory, with facilities on Kitt Peak, and the National Radio Astronomy Observatory at Green Bank, West Virginia. </w:t>
      </w:r>
      <w:r w:rsidRPr="00C5684B">
        <w:rPr>
          <w:i/>
        </w:rPr>
        <w:t xml:space="preserve"> </w:t>
      </w:r>
      <w:r w:rsidRPr="00332632">
        <w:rPr>
          <w:i/>
        </w:rPr>
        <w:t>See</w:t>
      </w:r>
      <w:r>
        <w:t xml:space="preserve"> CORF Comments at 10.</w:t>
      </w:r>
    </w:p>
  </w:footnote>
  <w:footnote w:id="79">
    <w:p w:rsidR="009D0BE6" w:rsidRDefault="009D0BE6" w:rsidP="00B86612">
      <w:pPr>
        <w:pStyle w:val="FootnoteText"/>
      </w:pPr>
      <w:r>
        <w:rPr>
          <w:rStyle w:val="FootnoteReference"/>
        </w:rPr>
        <w:footnoteRef/>
      </w:r>
      <w:r>
        <w:t xml:space="preserve"> </w:t>
      </w:r>
      <w:r w:rsidRPr="00332632">
        <w:rPr>
          <w:i/>
        </w:rPr>
        <w:t>See</w:t>
      </w:r>
      <w:r>
        <w:t xml:space="preserve"> NRAO Comments at 8 &amp; n.5.</w:t>
      </w:r>
    </w:p>
  </w:footnote>
  <w:footnote w:id="80">
    <w:p w:rsidR="009D0BE6" w:rsidRPr="00482CFF" w:rsidRDefault="009D0BE6" w:rsidP="008434E1">
      <w:pPr>
        <w:pStyle w:val="FootnoteText"/>
      </w:pPr>
      <w:r>
        <w:rPr>
          <w:rStyle w:val="FootnoteReference"/>
        </w:rPr>
        <w:footnoteRef/>
      </w:r>
      <w:r>
        <w:t xml:space="preserve"> </w:t>
      </w:r>
      <w:r>
        <w:rPr>
          <w:i/>
        </w:rPr>
        <w:t>See</w:t>
      </w:r>
      <w:r>
        <w:t xml:space="preserve"> CORF Comments at 4 n.2.</w:t>
      </w:r>
      <w:r>
        <w:tab/>
      </w:r>
    </w:p>
  </w:footnote>
  <w:footnote w:id="81">
    <w:p w:rsidR="009D0BE6" w:rsidRPr="00DF091D" w:rsidRDefault="009D0BE6" w:rsidP="004E30F9">
      <w:pPr>
        <w:pStyle w:val="FootnoteText"/>
      </w:pPr>
      <w:r>
        <w:rPr>
          <w:rStyle w:val="FootnoteReference"/>
        </w:rPr>
        <w:footnoteRef/>
      </w:r>
      <w:r>
        <w:t xml:space="preserve"> </w:t>
      </w:r>
      <w:r w:rsidRPr="00FF6E95">
        <w:rPr>
          <w:i/>
        </w:rPr>
        <w:t>See</w:t>
      </w:r>
      <w:r w:rsidRPr="00FF6E95">
        <w:t xml:space="preserve"> Bosch Comments at 15-20 (citing the ITU-R Report </w:t>
      </w:r>
      <w:r>
        <w:t>at 3, 20, 34</w:t>
      </w:r>
      <w:r w:rsidRPr="00FF6E95">
        <w:t>, which concludes that vehicular radar operations in the 76-81 GHz band are compatible with RAS and other incumbent operations in the band</w:t>
      </w:r>
      <w:r>
        <w:t>).</w:t>
      </w:r>
    </w:p>
  </w:footnote>
  <w:footnote w:id="82">
    <w:p w:rsidR="009D0BE6" w:rsidRDefault="009D0BE6" w:rsidP="00B86612">
      <w:pPr>
        <w:pStyle w:val="FootnoteText"/>
      </w:pPr>
      <w:r>
        <w:rPr>
          <w:rStyle w:val="FootnoteReference"/>
        </w:rPr>
        <w:footnoteRef/>
      </w:r>
      <w:r>
        <w:t xml:space="preserve"> </w:t>
      </w:r>
      <w:r w:rsidRPr="00332632">
        <w:rPr>
          <w:i/>
        </w:rPr>
        <w:t>See</w:t>
      </w:r>
      <w:r>
        <w:t xml:space="preserve"> Bosch Reply at 19.</w:t>
      </w:r>
    </w:p>
  </w:footnote>
  <w:footnote w:id="83">
    <w:p w:rsidR="009D0BE6" w:rsidRDefault="009D0BE6" w:rsidP="006A24EC">
      <w:pPr>
        <w:pStyle w:val="FootnoteText"/>
      </w:pPr>
      <w:r>
        <w:rPr>
          <w:rStyle w:val="FootnoteReference"/>
        </w:rPr>
        <w:footnoteRef/>
      </w:r>
      <w:r>
        <w:t xml:space="preserve"> Vehicular radar sensors are generally mounted on vehicles near the ground, with downward directed transmissions, resulting in significant angular attenuation of the signal towards an observatory’s antenna.  These factors, along with the high free space path loss associated with transmissions in this frequency band (</w:t>
      </w:r>
      <w:r>
        <w:rPr>
          <w:i/>
        </w:rPr>
        <w:t>see supra</w:t>
      </w:r>
      <w:r>
        <w:t xml:space="preserve"> note</w:t>
      </w:r>
      <w:r w:rsidRPr="00CB1C67">
        <w:t xml:space="preserve"> 62</w:t>
      </w:r>
      <w:r w:rsidRPr="00E87C6C">
        <w:t>)</w:t>
      </w:r>
      <w:r>
        <w:t xml:space="preserve"> and the widespread shielding typically provided by the terrain in the remote RAS observatory locations, support our finding that vehicular radar operations in the 77.5-78 GHz band will not have any more potential to cause harmful interference to RAS operations in the 76-81 GHz band than vehicular radars that now operate in the 76-77 GHz band, and have not caused harmful interference to RAS operations in the 76-81 GHz band.  Significantly, while vehicular radars will be operating in a larger bandwidth and likely in increased numbers, </w:t>
      </w:r>
      <w:r w:rsidRPr="000E56AA">
        <w:t>the fundamental characteristics and nature of their use is not changing.</w:t>
      </w:r>
    </w:p>
  </w:footnote>
  <w:footnote w:id="84">
    <w:p w:rsidR="009D0BE6" w:rsidRDefault="009D0BE6" w:rsidP="006A24EC">
      <w:pPr>
        <w:pStyle w:val="FootnoteText"/>
      </w:pPr>
      <w:r>
        <w:rPr>
          <w:rStyle w:val="FootnoteReference"/>
        </w:rPr>
        <w:footnoteRef/>
      </w:r>
      <w:r>
        <w:t xml:space="preserve"> </w:t>
      </w:r>
      <w:r>
        <w:rPr>
          <w:i/>
        </w:rPr>
        <w:t>See</w:t>
      </w:r>
      <w:r>
        <w:t xml:space="preserve"> CORF Comments at 4 n.2.</w:t>
      </w:r>
    </w:p>
  </w:footnote>
  <w:footnote w:id="85">
    <w:p w:rsidR="009D0BE6" w:rsidRDefault="009D0BE6" w:rsidP="00812364">
      <w:pPr>
        <w:pStyle w:val="FootnoteText"/>
      </w:pPr>
      <w:r>
        <w:rPr>
          <w:rStyle w:val="FootnoteReference"/>
        </w:rPr>
        <w:footnoteRef/>
      </w:r>
      <w:r>
        <w:t xml:space="preserve"> </w:t>
      </w:r>
      <w:r>
        <w:rPr>
          <w:i/>
        </w:rPr>
        <w:t>See supra</w:t>
      </w:r>
      <w:r>
        <w:t xml:space="preserve"> </w:t>
      </w:r>
      <w:r w:rsidRPr="00E87C6C">
        <w:t xml:space="preserve">notes </w:t>
      </w:r>
      <w:r w:rsidRPr="00CB1C67">
        <w:t>62</w:t>
      </w:r>
      <w:r>
        <w:t xml:space="preserve"> and </w:t>
      </w:r>
      <w:r w:rsidRPr="00CB1C67">
        <w:t>82</w:t>
      </w:r>
      <w:r>
        <w:t>;</w:t>
      </w:r>
      <w:r w:rsidRPr="00812364">
        <w:rPr>
          <w:i/>
        </w:rPr>
        <w:t xml:space="preserve"> </w:t>
      </w:r>
      <w:r>
        <w:rPr>
          <w:i/>
        </w:rPr>
        <w:t>s</w:t>
      </w:r>
      <w:r w:rsidRPr="00B00369">
        <w:rPr>
          <w:i/>
        </w:rPr>
        <w:t>ee</w:t>
      </w:r>
      <w:r>
        <w:rPr>
          <w:i/>
        </w:rPr>
        <w:t xml:space="preserve"> also</w:t>
      </w:r>
      <w:r w:rsidRPr="00B00369">
        <w:t xml:space="preserve"> Fe</w:t>
      </w:r>
      <w:r>
        <w:t>deral Communications Commission,</w:t>
      </w:r>
      <w:r w:rsidRPr="00B00369">
        <w:t xml:space="preserve"> Public Safety Tech Topic </w:t>
      </w:r>
      <w:r>
        <w:t xml:space="preserve">#17 – </w:t>
      </w:r>
      <w:r w:rsidRPr="00B00369">
        <w:t xml:space="preserve"> </w:t>
      </w:r>
      <w:r>
        <w:t xml:space="preserve"> </w:t>
      </w:r>
      <w:r w:rsidRPr="00B00369">
        <w:t>Propagation Characterization</w:t>
      </w:r>
      <w:r>
        <w:t xml:space="preserve"> at 2, 8-9</w:t>
      </w:r>
      <w:r w:rsidRPr="00B00369">
        <w:t xml:space="preserve">, </w:t>
      </w:r>
      <w:hyperlink r:id="rId5" w:history="1">
        <w:r w:rsidRPr="00B00369">
          <w:rPr>
            <w:color w:val="0000FF"/>
            <w:u w:val="single"/>
          </w:rPr>
          <w:t>https://www.fcc.gov/help/public-safety-tech-topic-17-propagation-characterization</w:t>
        </w:r>
      </w:hyperlink>
      <w:r>
        <w:t xml:space="preserve"> (foliage in the path of a signal will create situations where the signal is attenuated at a faster rate than predicted by the free space path loss).</w:t>
      </w:r>
    </w:p>
  </w:footnote>
  <w:footnote w:id="86">
    <w:p w:rsidR="009D0BE6" w:rsidRDefault="009D0BE6" w:rsidP="00B35E5E">
      <w:pPr>
        <w:pStyle w:val="FootnoteText"/>
      </w:pPr>
      <w:r>
        <w:rPr>
          <w:rStyle w:val="FootnoteReference"/>
        </w:rPr>
        <w:footnoteRef/>
      </w:r>
      <w:r>
        <w:t xml:space="preserve"> We also note that retaining </w:t>
      </w:r>
      <w:r w:rsidRPr="00A46336">
        <w:t>the status quo</w:t>
      </w:r>
      <w:r>
        <w:t xml:space="preserve"> for the SRS (space-to Earth) allocation in this band is </w:t>
      </w:r>
      <w:r w:rsidRPr="00DA1420">
        <w:t>consisten</w:t>
      </w:r>
      <w:r>
        <w:t xml:space="preserve">t with the </w:t>
      </w:r>
      <w:r w:rsidRPr="00DA1420">
        <w:t>International Table of Frequency Allocations</w:t>
      </w:r>
      <w:r>
        <w:t xml:space="preserve">.  </w:t>
      </w:r>
      <w:r w:rsidRPr="00AD6BEF">
        <w:rPr>
          <w:i/>
        </w:rPr>
        <w:t>See</w:t>
      </w:r>
      <w:r>
        <w:t xml:space="preserve"> 47 CFR § 2.106.</w:t>
      </w:r>
    </w:p>
  </w:footnote>
  <w:footnote w:id="87">
    <w:p w:rsidR="009D0BE6" w:rsidRDefault="009D0BE6" w:rsidP="004310D2">
      <w:pPr>
        <w:pStyle w:val="FootnoteText"/>
      </w:pPr>
      <w:r>
        <w:rPr>
          <w:rStyle w:val="FootnoteReference"/>
        </w:rPr>
        <w:footnoteRef/>
      </w:r>
      <w:r>
        <w:t xml:space="preserve"> </w:t>
      </w:r>
      <w:r w:rsidRPr="004310D2">
        <w:rPr>
          <w:i/>
        </w:rPr>
        <w:t>See</w:t>
      </w:r>
      <w:r>
        <w:t xml:space="preserve"> CORF Comments at 10 (</w:t>
      </w:r>
      <w:r w:rsidRPr="004310D2">
        <w:t>propos</w:t>
      </w:r>
      <w:r>
        <w:t>ing the</w:t>
      </w:r>
      <w:r w:rsidRPr="004310D2">
        <w:t xml:space="preserve"> use of Global Positioning System </w:t>
      </w:r>
      <w:r>
        <w:t>functionality</w:t>
      </w:r>
      <w:r w:rsidRPr="004310D2">
        <w:t xml:space="preserve"> </w:t>
      </w:r>
      <w:r>
        <w:t xml:space="preserve">within a limited radius around RAS observatories, </w:t>
      </w:r>
      <w:r w:rsidRPr="004310D2">
        <w:t>or a manual on/off switch</w:t>
      </w:r>
      <w:r>
        <w:t>);</w:t>
      </w:r>
      <w:r w:rsidRPr="004310D2">
        <w:t xml:space="preserve"> </w:t>
      </w:r>
      <w:r>
        <w:t xml:space="preserve">NRAO Comments at 9-10 (arguing for </w:t>
      </w:r>
      <w:r w:rsidRPr="004310D2">
        <w:t>operator-controlled on/off switches and large location-based coordination zones</w:t>
      </w:r>
      <w:r>
        <w:t>).</w:t>
      </w:r>
    </w:p>
  </w:footnote>
  <w:footnote w:id="88">
    <w:p w:rsidR="009D0BE6" w:rsidRDefault="009D0BE6" w:rsidP="003B78A3">
      <w:pPr>
        <w:pStyle w:val="FootnoteText"/>
      </w:pPr>
      <w:r>
        <w:rPr>
          <w:rStyle w:val="FootnoteReference"/>
        </w:rPr>
        <w:footnoteRef/>
      </w:r>
      <w:r>
        <w:t xml:space="preserve"> </w:t>
      </w:r>
      <w:r w:rsidRPr="00AA370D">
        <w:rPr>
          <w:i/>
        </w:rPr>
        <w:t>See</w:t>
      </w:r>
      <w:r>
        <w:t xml:space="preserve"> The Former Strategic Automotive Radar Frequency Allocation Group, Caterpillar, Delphi Automotive, and General Motors Company Reply a</w:t>
      </w:r>
      <w:r w:rsidRPr="00FE3DA6">
        <w:t>t 7</w:t>
      </w:r>
      <w:r w:rsidRPr="003B78A3">
        <w:t xml:space="preserve"> </w:t>
      </w:r>
      <w:r>
        <w:t>(</w:t>
      </w:r>
      <w:r w:rsidRPr="003069E7">
        <w:t>Automotive Group Reply</w:t>
      </w:r>
      <w:r>
        <w:t xml:space="preserve">) (contrasting the expense of implementing this proposal throughout the entire U.S. automobile fleet with its estimate that ten vehicles pass in view of one RAS facility per day); </w:t>
      </w:r>
      <w:r w:rsidRPr="00697436">
        <w:t>Bosch Reply at 17</w:t>
      </w:r>
      <w:r>
        <w:t>, 20</w:t>
      </w:r>
      <w:r w:rsidRPr="00697436">
        <w:t xml:space="preserve"> (arguing that requiring radars to be automatically shut off through the use of GPS would restrict vehicular radars to certain vehicle types or equipment packages and significantly constrain the deployment and usability of vehicular radars’ safety features</w:t>
      </w:r>
      <w:r>
        <w:t>; use of coordination zones would unnecessarily burden vehicular radar systems by requiring that they only be used with a vehicular GPS system)</w:t>
      </w:r>
      <w:r w:rsidRPr="004F269A">
        <w:t xml:space="preserve">; Letter from Alan G. Fishel, Counsel to UATC, LLC, to Marlene H. Dortch, Secretary, FCC, </w:t>
      </w:r>
      <w:r w:rsidRPr="00346F84">
        <w:t>ET Docket No. 15-26,</w:t>
      </w:r>
      <w:r>
        <w:t xml:space="preserve"> </w:t>
      </w:r>
      <w:r w:rsidRPr="004F269A">
        <w:t xml:space="preserve">at 1 (filed Jan. 15, 2016) (UATC Jan. 2016 </w:t>
      </w:r>
      <w:r w:rsidRPr="004F269A">
        <w:rPr>
          <w:i/>
        </w:rPr>
        <w:t>Ex Parte</w:t>
      </w:r>
      <w:r w:rsidRPr="004F269A">
        <w:t xml:space="preserve">) (opposing NRAO’s and CORF’s proposals for a manual or GPS-determined on/off switch).  </w:t>
      </w:r>
      <w:r w:rsidRPr="00F821EC">
        <w:rPr>
          <w:i/>
        </w:rPr>
        <w:t xml:space="preserve">See </w:t>
      </w:r>
      <w:r>
        <w:rPr>
          <w:i/>
        </w:rPr>
        <w:t xml:space="preserve">also </w:t>
      </w:r>
      <w:r w:rsidRPr="00F821EC">
        <w:t>CEA Reply at 9</w:t>
      </w:r>
      <w:r>
        <w:t xml:space="preserve"> (arguing </w:t>
      </w:r>
      <w:r w:rsidRPr="00F821EC">
        <w:t>against imposing either manual or automatic on/off switch requirements due to concerns about reliability and safety, as well as cost</w:t>
      </w:r>
      <w:r>
        <w:t>).</w:t>
      </w:r>
    </w:p>
  </w:footnote>
  <w:footnote w:id="89">
    <w:p w:rsidR="009D0BE6" w:rsidRDefault="009D0BE6" w:rsidP="00AD3008">
      <w:pPr>
        <w:pStyle w:val="FootnoteText"/>
      </w:pPr>
      <w:r>
        <w:rPr>
          <w:rStyle w:val="FootnoteReference"/>
        </w:rPr>
        <w:footnoteRef/>
      </w:r>
      <w:r w:rsidRPr="00AD3008">
        <w:t xml:space="preserve"> </w:t>
      </w:r>
      <w:r>
        <w:t>For informational pur</w:t>
      </w:r>
      <w:r w:rsidRPr="00AD3008">
        <w:t>po</w:t>
      </w:r>
      <w:r>
        <w:t>s</w:t>
      </w:r>
      <w:r w:rsidRPr="00AD3008">
        <w:t xml:space="preserve">es, </w:t>
      </w:r>
      <w:r>
        <w:t>our final rules a</w:t>
      </w:r>
      <w:r w:rsidRPr="00AD3008">
        <w:t>lso reflect</w:t>
      </w:r>
      <w:r>
        <w:t xml:space="preserve"> </w:t>
      </w:r>
      <w:r w:rsidRPr="00AD3008">
        <w:t>primary</w:t>
      </w:r>
      <w:r>
        <w:t xml:space="preserve"> RLS and RAS allocations at 77.5-78 GHz in the F</w:t>
      </w:r>
      <w:r w:rsidRPr="00AD3008">
        <w:t xml:space="preserve">ederal </w:t>
      </w:r>
      <w:r>
        <w:t>portion of the U.S. Table,</w:t>
      </w:r>
      <w:r w:rsidRPr="00AD3008">
        <w:t xml:space="preserve"> pursuant to coord</w:t>
      </w:r>
      <w:r>
        <w:t>ination</w:t>
      </w:r>
      <w:r w:rsidRPr="00AD3008">
        <w:t xml:space="preserve"> with </w:t>
      </w:r>
      <w:r>
        <w:t xml:space="preserve">the </w:t>
      </w:r>
      <w:r w:rsidRPr="00345CA0">
        <w:t>Interdepartment Radio Advisory Committee</w:t>
      </w:r>
      <w:r>
        <w:t xml:space="preserve"> of the </w:t>
      </w:r>
      <w:r w:rsidRPr="0035634F">
        <w:t>National Telecommunications and Information Administration</w:t>
      </w:r>
      <w:r w:rsidRPr="00AD3008">
        <w:t>.</w:t>
      </w:r>
      <w:r>
        <w:t xml:space="preserve">  </w:t>
      </w:r>
      <w:r w:rsidRPr="0033278B">
        <w:rPr>
          <w:i/>
        </w:rPr>
        <w:t>See</w:t>
      </w:r>
      <w:r>
        <w:t xml:space="preserve"> Appendix A (Final Rules).</w:t>
      </w:r>
    </w:p>
  </w:footnote>
  <w:footnote w:id="90">
    <w:p w:rsidR="009D0BE6" w:rsidRDefault="009D0BE6" w:rsidP="00D1584B">
      <w:pPr>
        <w:pStyle w:val="FootnoteText"/>
      </w:pPr>
      <w:r>
        <w:rPr>
          <w:rStyle w:val="FootnoteReference"/>
        </w:rPr>
        <w:footnoteRef/>
      </w:r>
      <w:r>
        <w:t xml:space="preserve"> </w:t>
      </w:r>
      <w:r w:rsidRPr="0008726D">
        <w:rPr>
          <w:i/>
        </w:rPr>
        <w:t>See, e.g.</w:t>
      </w:r>
      <w:r>
        <w:t xml:space="preserve">, Automotive Group Comments at 7 (describing how “providing vehicular radar with expanded access to the 77-81 GHz band will serve the public interest”).  </w:t>
      </w:r>
      <w:r w:rsidRPr="00BA6D1E">
        <w:rPr>
          <w:i/>
        </w:rPr>
        <w:t>See also</w:t>
      </w:r>
      <w:r>
        <w:t xml:space="preserve"> Mercedes-Benz USA, LLC Comments at 3 (Mercedes-Benz Comments) (stating that “expanding the operational range to 76-81 GHz will only further increase the availability of safety technologies for vehicles” while also promoting future autonomous vehicle driving technologies); </w:t>
      </w:r>
      <w:r w:rsidRPr="004F3C5B">
        <w:t>Letter from Andrew J. York, Executive Director, Federal Affairs, General Motors Company, to Marlene H. Dortch, Secretary, FCC, ET Docket No. 15-26</w:t>
      </w:r>
      <w:r>
        <w:t>, at 1</w:t>
      </w:r>
      <w:r w:rsidRPr="004F3C5B">
        <w:t xml:space="preserve"> (filed March 21, 2017)</w:t>
      </w:r>
      <w:r>
        <w:t xml:space="preserve"> (suggesting that prompt </w:t>
      </w:r>
      <w:r w:rsidRPr="004F3C5B">
        <w:t xml:space="preserve">adoption of the </w:t>
      </w:r>
      <w:r w:rsidRPr="004F3C5B">
        <w:rPr>
          <w:i/>
        </w:rPr>
        <w:t>NPRM</w:t>
      </w:r>
      <w:r w:rsidRPr="004F3C5B">
        <w:t xml:space="preserve">’s proposed rules </w:t>
      </w:r>
      <w:r>
        <w:t>“</w:t>
      </w:r>
      <w:r w:rsidRPr="004F3C5B">
        <w:t>would provide the regulatory certainty necessary for automakers to leverage SRRs’ safety applications for their autonomous vehicles</w:t>
      </w:r>
      <w:r>
        <w:t xml:space="preserve">” and “potentially other safety initiatives”); </w:t>
      </w:r>
      <w:r w:rsidRPr="00DD0200">
        <w:t xml:space="preserve">Letter from Richard F. Lopez, Director, Federal and Administration Affairs, General Motors Company, to Marlene H. Dortch, Secretary, FCC, ET Docket No. 15-26, at 1 (filed April 10, 2017) (supporting prompt adoption of the </w:t>
      </w:r>
      <w:r w:rsidRPr="00DD0200">
        <w:rPr>
          <w:i/>
        </w:rPr>
        <w:t>NPRM</w:t>
      </w:r>
      <w:r w:rsidRPr="00DD0200">
        <w:t>’s proposed rules so SRRs can be “used for advanced safety features such as forward looking object detection and avoidance, collision warning, lane change assistance, blind-spot detection, and pedestrian protection”).</w:t>
      </w:r>
    </w:p>
  </w:footnote>
  <w:footnote w:id="91">
    <w:p w:rsidR="009D0BE6" w:rsidRDefault="009D0BE6">
      <w:pPr>
        <w:pStyle w:val="FootnoteText"/>
      </w:pPr>
      <w:r>
        <w:rPr>
          <w:rStyle w:val="FootnoteReference"/>
        </w:rPr>
        <w:footnoteRef/>
      </w:r>
      <w:r>
        <w:t xml:space="preserve"> </w:t>
      </w:r>
      <w:r w:rsidRPr="0033278B">
        <w:rPr>
          <w:i/>
        </w:rPr>
        <w:t>See</w:t>
      </w:r>
      <w:r>
        <w:t xml:space="preserve"> Appendix A (Final Rules).</w:t>
      </w:r>
    </w:p>
  </w:footnote>
  <w:footnote w:id="92">
    <w:p w:rsidR="009D0BE6" w:rsidRDefault="009D0BE6" w:rsidP="006828A0">
      <w:pPr>
        <w:pStyle w:val="FootnoteText"/>
      </w:pPr>
      <w:r>
        <w:rPr>
          <w:rStyle w:val="FootnoteReference"/>
        </w:rPr>
        <w:footnoteRef/>
      </w:r>
      <w:r>
        <w:t xml:space="preserve"> </w:t>
      </w:r>
      <w:r w:rsidRPr="003D717A">
        <w:rPr>
          <w:i/>
        </w:rPr>
        <w:t>NPRM</w:t>
      </w:r>
      <w:r>
        <w:t xml:space="preserve">, 30 FCC Rcd at 1638, para. 43.  </w:t>
      </w:r>
      <w:r w:rsidRPr="003250E5">
        <w:rPr>
          <w:i/>
        </w:rPr>
        <w:t>But see infra</w:t>
      </w:r>
      <w:r>
        <w:t xml:space="preserve"> </w:t>
      </w:r>
      <w:r w:rsidRPr="00E87C6C">
        <w:t>para</w:t>
      </w:r>
      <w:r>
        <w:t xml:space="preserve">. </w:t>
      </w:r>
      <w:r w:rsidRPr="00CB1C67">
        <w:t xml:space="preserve">32 </w:t>
      </w:r>
      <w:r>
        <w:t xml:space="preserve">(consolidation does not include Part 15 narrowband </w:t>
      </w:r>
      <w:r w:rsidRPr="003250E5">
        <w:t xml:space="preserve">radar equipment </w:t>
      </w:r>
      <w:r>
        <w:t xml:space="preserve">that operates in </w:t>
      </w:r>
      <w:r w:rsidRPr="003250E5">
        <w:t>the 24.075-24.175 GHz and 24.0-24.25 GHz band</w:t>
      </w:r>
      <w:r>
        <w:t xml:space="preserve">s </w:t>
      </w:r>
      <w:r>
        <w:rPr>
          <w:snapToGrid w:val="0"/>
        </w:rPr>
        <w:t xml:space="preserve">pursuant to </w:t>
      </w:r>
      <w:r>
        <w:t>Sections 15.245 and 15.249 of the rules, respectively).</w:t>
      </w:r>
    </w:p>
  </w:footnote>
  <w:footnote w:id="93">
    <w:p w:rsidR="009D0BE6" w:rsidRPr="00F36D06" w:rsidRDefault="009D0BE6" w:rsidP="006C5955">
      <w:pPr>
        <w:pStyle w:val="FootnoteText"/>
      </w:pPr>
      <w:r>
        <w:rPr>
          <w:rStyle w:val="FootnoteReference"/>
        </w:rPr>
        <w:footnoteRef/>
      </w:r>
      <w:r>
        <w:t xml:space="preserve"> </w:t>
      </w:r>
      <w:r>
        <w:rPr>
          <w:i/>
        </w:rPr>
        <w:t>Id.</w:t>
      </w:r>
      <w:r>
        <w:t xml:space="preserve"> at 1638, paras. 43-44.</w:t>
      </w:r>
    </w:p>
  </w:footnote>
  <w:footnote w:id="94">
    <w:p w:rsidR="009D0BE6" w:rsidRDefault="009D0BE6" w:rsidP="00C32E05">
      <w:pPr>
        <w:pStyle w:val="FootnoteText"/>
      </w:pPr>
      <w:r>
        <w:rPr>
          <w:rStyle w:val="FootnoteReference"/>
        </w:rPr>
        <w:footnoteRef/>
      </w:r>
      <w:r>
        <w:t xml:space="preserve"> </w:t>
      </w:r>
      <w:r w:rsidRPr="00D67F23">
        <w:rPr>
          <w:i/>
        </w:rPr>
        <w:t xml:space="preserve">See </w:t>
      </w:r>
      <w:r>
        <w:t>47 CFR §§ 15.252, 15.253.</w:t>
      </w:r>
    </w:p>
  </w:footnote>
  <w:footnote w:id="95">
    <w:p w:rsidR="009D0BE6" w:rsidRDefault="009D0BE6" w:rsidP="00A950A6">
      <w:pPr>
        <w:pStyle w:val="FootnoteText"/>
      </w:pPr>
      <w:r w:rsidRPr="008B2F85">
        <w:rPr>
          <w:rStyle w:val="FootnoteReference"/>
        </w:rPr>
        <w:footnoteRef/>
      </w:r>
      <w:r w:rsidRPr="008B2F85">
        <w:t xml:space="preserve"> </w:t>
      </w:r>
      <w:r w:rsidRPr="0033278B">
        <w:rPr>
          <w:i/>
        </w:rPr>
        <w:t>See</w:t>
      </w:r>
      <w:r>
        <w:t xml:space="preserve"> FCC ID No. </w:t>
      </w:r>
      <w:r w:rsidRPr="0033278B">
        <w:t>L2C0004TR</w:t>
      </w:r>
      <w:r>
        <w:t>, Delphi Electronics and Safety (June 1, 2000).</w:t>
      </w:r>
      <w:r w:rsidRPr="00390B77">
        <w:t xml:space="preserve"> </w:t>
      </w:r>
    </w:p>
  </w:footnote>
  <w:footnote w:id="96">
    <w:p w:rsidR="009D0BE6" w:rsidRDefault="009D0BE6" w:rsidP="00A82BE0">
      <w:pPr>
        <w:pStyle w:val="FootnoteText"/>
      </w:pPr>
      <w:r>
        <w:rPr>
          <w:rStyle w:val="FootnoteReference"/>
        </w:rPr>
        <w:footnoteRef/>
      </w:r>
      <w:r>
        <w:t xml:space="preserve"> </w:t>
      </w:r>
      <w:r w:rsidRPr="00A82BE0">
        <w:t xml:space="preserve">Delphi did not oppose deletion of vehicular radars from the 16.2-17.7 GHz band.  </w:t>
      </w:r>
      <w:r w:rsidRPr="00A82BE0">
        <w:rPr>
          <w:i/>
        </w:rPr>
        <w:t>See</w:t>
      </w:r>
      <w:r w:rsidRPr="00A82BE0">
        <w:t xml:space="preserve"> Delphi Comments at 1-2, 4.</w:t>
      </w:r>
    </w:p>
  </w:footnote>
  <w:footnote w:id="97">
    <w:p w:rsidR="009D0BE6" w:rsidRDefault="009D0BE6" w:rsidP="0024543E">
      <w:pPr>
        <w:pStyle w:val="FootnoteText"/>
      </w:pPr>
      <w:r>
        <w:rPr>
          <w:rStyle w:val="FootnoteReference"/>
        </w:rPr>
        <w:footnoteRef/>
      </w:r>
      <w:r>
        <w:t xml:space="preserve"> </w:t>
      </w:r>
      <w:r w:rsidRPr="00561E92">
        <w:rPr>
          <w:i/>
        </w:rPr>
        <w:t>See</w:t>
      </w:r>
      <w:r>
        <w:t xml:space="preserve"> Appendix A (Final Rules) (removing references to the 16.2-17.7 GHz band from Section 15.252, and removing references to the 46.7-46.9 GHz band from Section 15.253). </w:t>
      </w:r>
    </w:p>
  </w:footnote>
  <w:footnote w:id="98">
    <w:p w:rsidR="009D0BE6" w:rsidRDefault="009D0BE6" w:rsidP="00A950A6">
      <w:pPr>
        <w:pStyle w:val="FootnoteText"/>
      </w:pPr>
      <w:r>
        <w:rPr>
          <w:rStyle w:val="FootnoteReference"/>
        </w:rPr>
        <w:footnoteRef/>
      </w:r>
      <w:r>
        <w:t xml:space="preserve"> </w:t>
      </w:r>
      <w:r w:rsidRPr="00AB18DA">
        <w:rPr>
          <w:i/>
        </w:rPr>
        <w:t xml:space="preserve">See </w:t>
      </w:r>
      <w:r>
        <w:t>5 U.S.C. § 553(d)(3) (providing an exception to the required 30 days after Federal Register publication for the effectiveness of a rule when there is good cause published with the rule).</w:t>
      </w:r>
    </w:p>
  </w:footnote>
  <w:footnote w:id="99">
    <w:p w:rsidR="009D0BE6" w:rsidRDefault="009D0BE6">
      <w:pPr>
        <w:pStyle w:val="FootnoteText"/>
      </w:pPr>
      <w:r>
        <w:rPr>
          <w:rStyle w:val="FootnoteReference"/>
        </w:rPr>
        <w:footnoteRef/>
      </w:r>
      <w:r>
        <w:t xml:space="preserve"> We note that no Class II permissive changes will be allowed for equipment grandfathered in these frequencies.  Under the Commission’s rules, a Class II permissive change includes modifications to certified equipment which degrade the performance characteristics as reported to the Commission at the time of the initial certification.  Such degraded performance must still meet the minimum performance requirements of the applicable rules.  Class II permissive changes may be made in certificated equipment without requiring a new application for and grant of certification.  </w:t>
      </w:r>
      <w:r w:rsidRPr="00EB17C5">
        <w:rPr>
          <w:i/>
        </w:rPr>
        <w:t>S</w:t>
      </w:r>
      <w:r>
        <w:rPr>
          <w:i/>
        </w:rPr>
        <w:t>e</w:t>
      </w:r>
      <w:r w:rsidRPr="00FD61DB">
        <w:rPr>
          <w:i/>
        </w:rPr>
        <w:t>e</w:t>
      </w:r>
      <w:r>
        <w:t xml:space="preserve"> 47 CFR §§ 2.1043(b), (b)(2).</w:t>
      </w:r>
    </w:p>
  </w:footnote>
  <w:footnote w:id="100">
    <w:p w:rsidR="009D0BE6" w:rsidRDefault="009D0BE6" w:rsidP="00474E3C">
      <w:pPr>
        <w:pStyle w:val="FootnoteText"/>
      </w:pPr>
      <w:r>
        <w:rPr>
          <w:rStyle w:val="FootnoteReference"/>
        </w:rPr>
        <w:footnoteRef/>
      </w:r>
      <w:r>
        <w:t xml:space="preserve"> </w:t>
      </w:r>
      <w:r w:rsidRPr="003D717A">
        <w:rPr>
          <w:i/>
        </w:rPr>
        <w:t>NPRM</w:t>
      </w:r>
      <w:r>
        <w:t>, 30 FCC Rcd at 1638, paras. 43-44.</w:t>
      </w:r>
    </w:p>
  </w:footnote>
  <w:footnote w:id="101">
    <w:p w:rsidR="009D0BE6" w:rsidRDefault="009D0BE6" w:rsidP="00D80C8A">
      <w:pPr>
        <w:pStyle w:val="FootnoteText"/>
      </w:pPr>
      <w:r>
        <w:rPr>
          <w:rStyle w:val="FootnoteReference"/>
        </w:rPr>
        <w:footnoteRef/>
      </w:r>
      <w:r>
        <w:t xml:space="preserve"> </w:t>
      </w:r>
      <w:r>
        <w:rPr>
          <w:i/>
        </w:rPr>
        <w:t>See, e.g.</w:t>
      </w:r>
      <w:r>
        <w:t xml:space="preserve">, </w:t>
      </w:r>
      <w:r w:rsidRPr="009D087B">
        <w:t xml:space="preserve">Letter from Paul Scullion, Senior Manager, Vehicle Safety and Connected Automation, Association of Global Automakers, to Marlene H. Dortch, Secretary, FCC, </w:t>
      </w:r>
      <w:r w:rsidRPr="00D609A0">
        <w:t>ET Docket No. 15-26,</w:t>
      </w:r>
      <w:r>
        <w:t xml:space="preserve"> at 1-2 (filed Feb. 23, 2017) (arguing that</w:t>
      </w:r>
      <w:r w:rsidRPr="00D93E07">
        <w:t xml:space="preserve"> </w:t>
      </w:r>
      <w:r>
        <w:t xml:space="preserve">by ceasing certification of new unlicensed 24 GHz wideband and UWB vehicular radars by the effective date of the rules in this proceeding and prohibiting the manufacture, marketing, importation, sale, and installation of such devices after January 1, 2022, “vehicular radar operations in the 24 GHz band would not extend in perpetuity, nor would there be a need for perpetual use of the spectrum as existing equipment reaches the end of its useful life and the automotive industry develops, tests, and sells new systems operating in the 77-81 GHz band”); </w:t>
      </w:r>
      <w:r w:rsidRPr="008461B3">
        <w:t>Letter from Christopher D. Imlay, Counsel for Robert Bosch, LLC, to Marlene H. Dortch, Secretary FCC,</w:t>
      </w:r>
      <w:r w:rsidRPr="001D1390">
        <w:t xml:space="preserve"> </w:t>
      </w:r>
      <w:r w:rsidRPr="00346F84">
        <w:t>ET Docket No. 15-26,</w:t>
      </w:r>
      <w:r>
        <w:t xml:space="preserve"> at 2 (filed Nov. 29, 2016) (contending that it is reasonable to cease equipment certifications for new unlicensed 24 GHz wideband and UWB vehicular radars as of the effective date of the final rules in this proceeding, grandfather unlicensed 24 GHz wideband and UWB vehicular radars already installed and in use for the life of the motor vehicle, and continue to permit new installations of certified unlicensed 24 GHz wideband and UWB vehicular radars until a fixed sunset date). </w:t>
      </w:r>
    </w:p>
  </w:footnote>
  <w:footnote w:id="102">
    <w:p w:rsidR="009D0BE6" w:rsidRPr="00D80A59" w:rsidRDefault="009D0BE6" w:rsidP="00D80C8A">
      <w:pPr>
        <w:pStyle w:val="FootnoteText"/>
      </w:pPr>
      <w:r>
        <w:rPr>
          <w:rStyle w:val="FootnoteReference"/>
        </w:rPr>
        <w:footnoteRef/>
      </w:r>
      <w:r>
        <w:t xml:space="preserve"> </w:t>
      </w:r>
      <w:r w:rsidRPr="00F023A1">
        <w:t>Letter</w:t>
      </w:r>
      <w:r w:rsidRPr="008461B3">
        <w:t xml:space="preserve"> from Leigh S. Merino, Senior Director, Regulatory Affairs, Motor &amp; Equipment Manufacturers Association (MEMA) to Tom Wheeler, Chairman, FCC, Julius Knapp, Chief, Office of Engineering and Technology</w:t>
      </w:r>
      <w:r>
        <w:t>,</w:t>
      </w:r>
      <w:r w:rsidRPr="008461B3">
        <w:t xml:space="preserve"> </w:t>
      </w:r>
      <w:r w:rsidRPr="00346F84">
        <w:t>ET Docket No. 15-26,</w:t>
      </w:r>
      <w:r>
        <w:t xml:space="preserve"> at </w:t>
      </w:r>
      <w:r w:rsidRPr="008461B3">
        <w:t xml:space="preserve">3 (filed Dec. 21, 2016) (MEMA Dec. 2016 </w:t>
      </w:r>
      <w:r w:rsidRPr="008D64C0">
        <w:rPr>
          <w:i/>
        </w:rPr>
        <w:t>Ex Parte</w:t>
      </w:r>
      <w:r w:rsidRPr="008461B3">
        <w:t>)</w:t>
      </w:r>
      <w:r>
        <w:t>.</w:t>
      </w:r>
    </w:p>
  </w:footnote>
  <w:footnote w:id="103">
    <w:p w:rsidR="009D0BE6" w:rsidRDefault="009D0BE6" w:rsidP="00CF3FE1">
      <w:pPr>
        <w:pStyle w:val="FootnoteText"/>
      </w:pPr>
      <w:r>
        <w:rPr>
          <w:rStyle w:val="FootnoteReference"/>
        </w:rPr>
        <w:footnoteRef/>
      </w:r>
      <w:r>
        <w:t xml:space="preserve"> </w:t>
      </w:r>
      <w:r w:rsidRPr="00246DDB">
        <w:rPr>
          <w:i/>
        </w:rPr>
        <w:t>See, e.g.</w:t>
      </w:r>
      <w:r w:rsidRPr="00246DDB">
        <w:t xml:space="preserve">, </w:t>
      </w:r>
      <w:r>
        <w:t xml:space="preserve">Alliance of Automobile Manufacturers, Inc. </w:t>
      </w:r>
      <w:r w:rsidRPr="00246DDB">
        <w:t>Comments at 5-6</w:t>
      </w:r>
      <w:r>
        <w:t xml:space="preserve"> (Alliance Comments)</w:t>
      </w:r>
      <w:r w:rsidRPr="00246DDB">
        <w:t xml:space="preserve">; </w:t>
      </w:r>
      <w:r>
        <w:t>ASC</w:t>
      </w:r>
      <w:r w:rsidRPr="00246DDB">
        <w:t xml:space="preserve"> Comments at 3-4; </w:t>
      </w:r>
      <w:r>
        <w:t xml:space="preserve">Automotive Group Comments at 9-11; </w:t>
      </w:r>
      <w:r w:rsidRPr="00246DDB">
        <w:t>Cont</w:t>
      </w:r>
      <w:r>
        <w:t>inental Comments at 1; Mercedes-Benz Comments at 3-4</w:t>
      </w:r>
      <w:r w:rsidRPr="008461B3">
        <w:t xml:space="preserve">; </w:t>
      </w:r>
      <w:r>
        <w:t xml:space="preserve">Alliance June 2016 </w:t>
      </w:r>
      <w:r w:rsidRPr="00842AFE">
        <w:rPr>
          <w:i/>
        </w:rPr>
        <w:t>Ex Part</w:t>
      </w:r>
      <w:r>
        <w:rPr>
          <w:i/>
        </w:rPr>
        <w:t>e</w:t>
      </w:r>
      <w:r>
        <w:t xml:space="preserve">, attached presentation at 4-5; Letter from Ari Q. Fitzgerald </w:t>
      </w:r>
      <w:r w:rsidRPr="00544661">
        <w:t xml:space="preserve">to Marlene H. Dortch, Secretary, FCC (on behalf of Alliance of Automobile Manufacturers, FCA US LLC, </w:t>
      </w:r>
      <w:r>
        <w:t>Mercedes-</w:t>
      </w:r>
      <w:r w:rsidRPr="00544661">
        <w:t>Benz USA,</w:t>
      </w:r>
      <w:r>
        <w:t xml:space="preserve"> LLC</w:t>
      </w:r>
      <w:r w:rsidRPr="00544661">
        <w:t xml:space="preserve"> and </w:t>
      </w:r>
      <w:r>
        <w:t>Toyota</w:t>
      </w:r>
      <w:r w:rsidRPr="00544661">
        <w:t>)</w:t>
      </w:r>
      <w:r>
        <w:t>,</w:t>
      </w:r>
      <w:r w:rsidRPr="0047251B">
        <w:t xml:space="preserve"> </w:t>
      </w:r>
      <w:r w:rsidRPr="00346F84">
        <w:t>ET Docket No. 15-26,</w:t>
      </w:r>
      <w:r>
        <w:t xml:space="preserve"> attached presentation at 1</w:t>
      </w:r>
      <w:r w:rsidRPr="00544661">
        <w:t xml:space="preserve"> (filed </w:t>
      </w:r>
      <w:r>
        <w:t xml:space="preserve">May 11, 2017) (Alliance May 2017 </w:t>
      </w:r>
      <w:r>
        <w:rPr>
          <w:i/>
        </w:rPr>
        <w:t>Ex Parte</w:t>
      </w:r>
      <w:r>
        <w:t>)</w:t>
      </w:r>
      <w:r w:rsidRPr="008461B3">
        <w:t>.</w:t>
      </w:r>
    </w:p>
  </w:footnote>
  <w:footnote w:id="104">
    <w:p w:rsidR="009D0BE6" w:rsidRDefault="009D0BE6" w:rsidP="00C06785">
      <w:pPr>
        <w:pStyle w:val="FootnoteText"/>
      </w:pPr>
      <w:r>
        <w:rPr>
          <w:rStyle w:val="FootnoteReference"/>
        </w:rPr>
        <w:footnoteRef/>
      </w:r>
      <w:r>
        <w:t xml:space="preserve"> </w:t>
      </w:r>
      <w:r w:rsidRPr="001D5B86">
        <w:rPr>
          <w:i/>
        </w:rPr>
        <w:t>See</w:t>
      </w:r>
      <w:r>
        <w:rPr>
          <w:i/>
        </w:rPr>
        <w:t>, e.g.</w:t>
      </w:r>
      <w:r>
        <w:t xml:space="preserve">, Automotive Group Comments at </w:t>
      </w:r>
      <w:r w:rsidRPr="003D717A">
        <w:t>10</w:t>
      </w:r>
      <w:r>
        <w:t xml:space="preserve"> (asserting that automobile manufacturers are already finalizing their plans for model year 2022 vehicles, and some may already be contemplating use of new 24 GHz wideband or UWB vehicular radars in those vehicles).</w:t>
      </w:r>
    </w:p>
  </w:footnote>
  <w:footnote w:id="105">
    <w:p w:rsidR="009D0BE6" w:rsidRDefault="009D0BE6" w:rsidP="00C06785">
      <w:pPr>
        <w:pStyle w:val="FootnoteText"/>
      </w:pPr>
      <w:r>
        <w:rPr>
          <w:rStyle w:val="FootnoteReference"/>
        </w:rPr>
        <w:footnoteRef/>
      </w:r>
      <w:r>
        <w:t xml:space="preserve"> For example, several parties contend that eliminating equipment certification for new </w:t>
      </w:r>
      <w:r w:rsidRPr="00E72617">
        <w:t>unlicensed 24 GHz w</w:t>
      </w:r>
      <w:r>
        <w:t xml:space="preserve">ideband and UWB vehicular radar equipment will deprive automobile manufacturers of needed flexibility, and will “stymie </w:t>
      </w:r>
      <w:r w:rsidRPr="00F04477">
        <w:t xml:space="preserve">the improvement of existing </w:t>
      </w:r>
      <w:r>
        <w:t xml:space="preserve">24 GHz </w:t>
      </w:r>
      <w:r w:rsidRPr="00F04477">
        <w:t>vehicular radar systems</w:t>
      </w:r>
      <w:r>
        <w:t xml:space="preserve">.”  Alliance June 2016 </w:t>
      </w:r>
      <w:r w:rsidRPr="00842AFE">
        <w:rPr>
          <w:i/>
        </w:rPr>
        <w:t>Ex Part</w:t>
      </w:r>
      <w:r>
        <w:rPr>
          <w:i/>
        </w:rPr>
        <w:t>e</w:t>
      </w:r>
      <w:r>
        <w:t xml:space="preserve">, attached presentation at 5.  </w:t>
      </w:r>
      <w:r w:rsidRPr="00C51B6F">
        <w:rPr>
          <w:i/>
        </w:rPr>
        <w:t>See also</w:t>
      </w:r>
      <w:r>
        <w:t xml:space="preserve"> </w:t>
      </w:r>
      <w:r w:rsidRPr="00246DDB">
        <w:t>Alliance Comments at 5</w:t>
      </w:r>
      <w:r>
        <w:t xml:space="preserve">-6; Letter from Ari Q. Fitzgerald </w:t>
      </w:r>
      <w:r w:rsidRPr="00A10501">
        <w:t>to Marlene H. Dortch, Secretary, FCC</w:t>
      </w:r>
      <w:r>
        <w:t xml:space="preserve"> (on behalf of Alliance of Automobile Manufacturers and Association of Global Automakers), </w:t>
      </w:r>
      <w:r w:rsidRPr="00346F84">
        <w:t>ET Docket No. 15-26,</w:t>
      </w:r>
      <w:r>
        <w:t xml:space="preserve"> </w:t>
      </w:r>
      <w:r w:rsidRPr="00A10501">
        <w:t>at 2</w:t>
      </w:r>
      <w:r>
        <w:t xml:space="preserve"> </w:t>
      </w:r>
      <w:r w:rsidRPr="00A10501">
        <w:t>(filed July 22, 2016)</w:t>
      </w:r>
      <w:r>
        <w:t xml:space="preserve"> (Alliance Jul. 2016 </w:t>
      </w:r>
      <w:r w:rsidRPr="009D087B">
        <w:rPr>
          <w:i/>
        </w:rPr>
        <w:t>Ex Parte</w:t>
      </w:r>
      <w:r>
        <w:t xml:space="preserve">); Automotive Group Reply at 9; Letter from Ian Musselman, Director, Government Affairs, Continental Automotive, to Marlene H. Dortch, Secretary, FCC, ET Docket No. 15-26, at 1 (filed Aug. 1, 2016) (Continental Aug. 2016 </w:t>
      </w:r>
      <w:r w:rsidRPr="002F57D6">
        <w:rPr>
          <w:i/>
        </w:rPr>
        <w:t>Ex Parte</w:t>
      </w:r>
      <w:r>
        <w:t xml:space="preserve">); </w:t>
      </w:r>
      <w:r w:rsidRPr="00A10501">
        <w:t xml:space="preserve">Letter from Ari Q. Fitzgerald, Counsel to Mercedes-Benz USA, LLC to Marlene H. Dortch, Secretary, </w:t>
      </w:r>
      <w:r>
        <w:t xml:space="preserve">FCC, </w:t>
      </w:r>
      <w:r w:rsidRPr="00346F84">
        <w:t>ET Docket No. 15-26,</w:t>
      </w:r>
      <w:r>
        <w:t xml:space="preserve"> at 6 (filed Aug. 4, 2016)</w:t>
      </w:r>
      <w:r w:rsidRPr="00A10501">
        <w:t xml:space="preserve"> </w:t>
      </w:r>
      <w:r>
        <w:t xml:space="preserve">(Mercedes-Benz Aug. 2016 </w:t>
      </w:r>
      <w:r w:rsidRPr="00424EE3">
        <w:rPr>
          <w:i/>
        </w:rPr>
        <w:t>Ex Parte</w:t>
      </w:r>
      <w:r>
        <w:t>).</w:t>
      </w:r>
    </w:p>
  </w:footnote>
  <w:footnote w:id="106">
    <w:p w:rsidR="009D0BE6" w:rsidRDefault="009D0BE6" w:rsidP="00281075">
      <w:pPr>
        <w:pStyle w:val="FootnoteText"/>
      </w:pPr>
      <w:r>
        <w:rPr>
          <w:rStyle w:val="FootnoteReference"/>
        </w:rPr>
        <w:footnoteRef/>
      </w:r>
      <w:r>
        <w:t xml:space="preserve"> </w:t>
      </w:r>
      <w:r>
        <w:rPr>
          <w:i/>
        </w:rPr>
        <w:t>See</w:t>
      </w:r>
      <w:r>
        <w:t xml:space="preserve">, </w:t>
      </w:r>
      <w:r>
        <w:rPr>
          <w:i/>
        </w:rPr>
        <w:t>e.g.</w:t>
      </w:r>
      <w:r>
        <w:t xml:space="preserve">, Mercedes-Benz Comments at 4; </w:t>
      </w:r>
      <w:r w:rsidRPr="003069E7">
        <w:t>Automotive Group Reply at 9</w:t>
      </w:r>
      <w:r>
        <w:t xml:space="preserve">; Letter </w:t>
      </w:r>
      <w:r w:rsidRPr="004E759F">
        <w:t>f</w:t>
      </w:r>
      <w:r>
        <w:t>rom</w:t>
      </w:r>
      <w:r w:rsidRPr="004E759F">
        <w:t xml:space="preserve"> </w:t>
      </w:r>
      <w:r w:rsidRPr="0014785A">
        <w:t>Ari Q. Fitzgerald</w:t>
      </w:r>
      <w:r>
        <w:t>,</w:t>
      </w:r>
      <w:r w:rsidRPr="0014785A">
        <w:t xml:space="preserve"> </w:t>
      </w:r>
      <w:r w:rsidRPr="0014785A">
        <w:rPr>
          <w:iCs/>
        </w:rPr>
        <w:t>Counsel to Mercedes-Benz USA</w:t>
      </w:r>
      <w:r w:rsidRPr="0014785A">
        <w:rPr>
          <w:i/>
          <w:iCs/>
        </w:rPr>
        <w:t>,</w:t>
      </w:r>
      <w:r>
        <w:rPr>
          <w:iCs/>
        </w:rPr>
        <w:t xml:space="preserve"> LLC</w:t>
      </w:r>
      <w:r>
        <w:t xml:space="preserve"> to Marlene H. Dortch, Secretary, FCC, ET Docket No. 15-26, </w:t>
      </w:r>
      <w:r w:rsidRPr="004E759F">
        <w:t xml:space="preserve">attached </w:t>
      </w:r>
      <w:r>
        <w:t>presentation at 3</w:t>
      </w:r>
      <w:r>
        <w:rPr>
          <w:rFonts w:ascii="TimesNewRomanPSMT" w:hAnsi="TimesNewRomanPSMT" w:cs="TimesNewRomanPSMT"/>
        </w:rPr>
        <w:t xml:space="preserve"> (filed</w:t>
      </w:r>
      <w:r>
        <w:t xml:space="preserve"> July 15, 2016) (Mercedes-Benz Jul. 2016</w:t>
      </w:r>
      <w:r>
        <w:rPr>
          <w:i/>
        </w:rPr>
        <w:t xml:space="preserve"> Ex Parte</w:t>
      </w:r>
      <w:r>
        <w:t xml:space="preserve">); Continental Aug. 2016 </w:t>
      </w:r>
      <w:r>
        <w:rPr>
          <w:i/>
        </w:rPr>
        <w:t>Ex Parte</w:t>
      </w:r>
      <w:r>
        <w:t xml:space="preserve"> at 1.  </w:t>
      </w:r>
      <w:r w:rsidRPr="004F26C7">
        <w:t>In</w:t>
      </w:r>
      <w:r w:rsidRPr="00246DDB">
        <w:t xml:space="preserve"> 2005, the </w:t>
      </w:r>
      <w:r>
        <w:t>European Commission (EC)</w:t>
      </w:r>
      <w:r w:rsidRPr="00246DDB">
        <w:t xml:space="preserve"> allowed temporary use of </w:t>
      </w:r>
      <w:r>
        <w:t xml:space="preserve">the </w:t>
      </w:r>
      <w:r w:rsidRPr="00246DDB">
        <w:t xml:space="preserve">21.65-26.65 GHz band for newly installed short range automotive radars until June 30, 2013.  </w:t>
      </w:r>
      <w:r w:rsidRPr="00246DDB">
        <w:rPr>
          <w:i/>
        </w:rPr>
        <w:t>See</w:t>
      </w:r>
      <w:r w:rsidRPr="00246DDB">
        <w:t xml:space="preserve"> </w:t>
      </w:r>
      <w:r w:rsidRPr="00246DDB">
        <w:rPr>
          <w:i/>
        </w:rPr>
        <w:t>Commission Decision of 17 January 2005 on the harmonization of the 24 GHz range radio spectrum for the time-limited use by automotive short-range radar equipment in the Community</w:t>
      </w:r>
      <w:r w:rsidRPr="00246DDB">
        <w:t xml:space="preserve">, 2005/50/EC, at Articles 2 and 5, </w:t>
      </w:r>
      <w:hyperlink r:id="rId6" w:history="1">
        <w:r w:rsidRPr="00246DDB">
          <w:rPr>
            <w:rStyle w:val="Hyperlink"/>
          </w:rPr>
          <w:t>http://eur-lex.europa.eu/legal-content/en/ALL/?uri=CELEX:32005D0050</w:t>
        </w:r>
      </w:hyperlink>
      <w:r w:rsidRPr="00246DDB">
        <w:t xml:space="preserve">.  </w:t>
      </w:r>
      <w:r w:rsidRPr="00B4612F">
        <w:t>In 2011, the EC extended the transition date for the 24.25-26.65 GHz band to January 1, 2022 for equipment type-approved before January 1, 2018, but retained the June 30, 2013 transition date for the 21.65-24.25 GHz band.</w:t>
      </w:r>
      <w:r w:rsidRPr="00246DDB">
        <w:t xml:space="preserve">  </w:t>
      </w:r>
      <w:r w:rsidRPr="00246DDB">
        <w:rPr>
          <w:i/>
        </w:rPr>
        <w:t>See</w:t>
      </w:r>
      <w:r w:rsidRPr="00246DDB">
        <w:t xml:space="preserve"> </w:t>
      </w:r>
      <w:r w:rsidRPr="00246DDB">
        <w:rPr>
          <w:i/>
        </w:rPr>
        <w:t>Commission Implementing Decision of 29 July 2011 amending Decision 2005/50/EC on the</w:t>
      </w:r>
      <w:r w:rsidRPr="00246DDB">
        <w:t xml:space="preserve"> </w:t>
      </w:r>
      <w:r w:rsidRPr="00246DDB">
        <w:rPr>
          <w:i/>
        </w:rPr>
        <w:t>harmonization of the 24 GHz range radio spectrum for the time-limited use by automotive short-range radar equipment in the Community</w:t>
      </w:r>
      <w:r>
        <w:t>, 2011/485/EU, at Article 1,</w:t>
      </w:r>
      <w:r w:rsidRPr="00246DDB">
        <w:t xml:space="preserve"> </w:t>
      </w:r>
      <w:hyperlink r:id="rId7" w:history="1">
        <w:r w:rsidRPr="00246DDB">
          <w:rPr>
            <w:rStyle w:val="Hyperlink"/>
          </w:rPr>
          <w:t>http://eur-lex.europa.eu/legal-content/EN/TXT/?uri=CELEX:32011D0485</w:t>
        </w:r>
      </w:hyperlink>
      <w:r w:rsidRPr="00246DDB">
        <w:t>.  After these dates</w:t>
      </w:r>
      <w:r>
        <w:t xml:space="preserve"> (June 30, 2013 for the 21.65-24.25 GHz band; January 1, 2022 for the 24.25-26.65 GHz band)</w:t>
      </w:r>
      <w:r w:rsidRPr="00246DDB">
        <w:t xml:space="preserve">, </w:t>
      </w:r>
      <w:r>
        <w:t xml:space="preserve">use of these bands </w:t>
      </w:r>
      <w:r w:rsidRPr="00246DDB">
        <w:t xml:space="preserve">for short-range vehicular radars </w:t>
      </w:r>
      <w:r>
        <w:t xml:space="preserve">will not be permitted </w:t>
      </w:r>
      <w:r w:rsidRPr="00246DDB">
        <w:t xml:space="preserve">in the </w:t>
      </w:r>
      <w:r>
        <w:t>EU,</w:t>
      </w:r>
      <w:r w:rsidRPr="00246DDB">
        <w:t xml:space="preserve"> except where </w:t>
      </w:r>
      <w:r>
        <w:t xml:space="preserve">the original </w:t>
      </w:r>
      <w:r w:rsidRPr="00246DDB">
        <w:t xml:space="preserve">equipment was installed </w:t>
      </w:r>
      <w:r>
        <w:t xml:space="preserve">prior to those </w:t>
      </w:r>
      <w:r w:rsidRPr="00246DDB">
        <w:t xml:space="preserve">dates.  </w:t>
      </w:r>
      <w:r w:rsidRPr="00246DDB">
        <w:rPr>
          <w:i/>
        </w:rPr>
        <w:t>See</w:t>
      </w:r>
      <w:r w:rsidRPr="00246DDB">
        <w:t xml:space="preserve"> 2005/50/EC at Articl</w:t>
      </w:r>
      <w:r>
        <w:t>e 3, 2011/485/EU at Article 1.</w:t>
      </w:r>
    </w:p>
  </w:footnote>
  <w:footnote w:id="107">
    <w:p w:rsidR="009D0BE6" w:rsidRDefault="009D0BE6" w:rsidP="00281075">
      <w:pPr>
        <w:pStyle w:val="FootnoteText"/>
      </w:pPr>
      <w:r>
        <w:rPr>
          <w:rStyle w:val="FootnoteReference"/>
        </w:rPr>
        <w:footnoteRef/>
      </w:r>
      <w:r>
        <w:t xml:space="preserve"> </w:t>
      </w:r>
      <w:r>
        <w:rPr>
          <w:i/>
        </w:rPr>
        <w:t>See</w:t>
      </w:r>
      <w:r>
        <w:t xml:space="preserve"> </w:t>
      </w:r>
      <w:r w:rsidRPr="009D087B">
        <w:t xml:space="preserve">Alliance </w:t>
      </w:r>
      <w:r>
        <w:t xml:space="preserve">Jul. 2016 </w:t>
      </w:r>
      <w:r w:rsidRPr="00562167">
        <w:rPr>
          <w:i/>
        </w:rPr>
        <w:t>Ex Parte</w:t>
      </w:r>
      <w:r>
        <w:t xml:space="preserve"> at 2; </w:t>
      </w:r>
      <w:r w:rsidRPr="00472CF4">
        <w:t>Mercedes</w:t>
      </w:r>
      <w:r>
        <w:t xml:space="preserve">-Benz Aug. 2016 </w:t>
      </w:r>
      <w:r w:rsidRPr="00424EE3">
        <w:rPr>
          <w:i/>
        </w:rPr>
        <w:t>Ex Parte</w:t>
      </w:r>
      <w:r>
        <w:t xml:space="preserve"> at 6; Alliance May 2017 </w:t>
      </w:r>
      <w:r>
        <w:rPr>
          <w:i/>
        </w:rPr>
        <w:t>Ex Parte</w:t>
      </w:r>
      <w:r>
        <w:t>, attached presentation at 1.</w:t>
      </w:r>
    </w:p>
  </w:footnote>
  <w:footnote w:id="108">
    <w:p w:rsidR="009D0BE6" w:rsidRDefault="009D0BE6" w:rsidP="00281075">
      <w:pPr>
        <w:pStyle w:val="FootnoteText"/>
      </w:pPr>
      <w:r>
        <w:rPr>
          <w:rStyle w:val="FootnoteReference"/>
        </w:rPr>
        <w:footnoteRef/>
      </w:r>
      <w:r>
        <w:t xml:space="preserve"> </w:t>
      </w:r>
      <w:r>
        <w:rPr>
          <w:i/>
        </w:rPr>
        <w:t>See</w:t>
      </w:r>
      <w:r>
        <w:t xml:space="preserve"> </w:t>
      </w:r>
      <w:r w:rsidRPr="009D087B">
        <w:t xml:space="preserve">Alliance </w:t>
      </w:r>
      <w:r>
        <w:t xml:space="preserve">Jul. 2016 </w:t>
      </w:r>
      <w:r w:rsidRPr="00562167">
        <w:rPr>
          <w:i/>
        </w:rPr>
        <w:t>Ex Parte</w:t>
      </w:r>
      <w:r>
        <w:t xml:space="preserve"> at 2;</w:t>
      </w:r>
      <w:r w:rsidRPr="00414BA0">
        <w:t xml:space="preserve"> </w:t>
      </w:r>
      <w:r>
        <w:t xml:space="preserve">Continental Aug. 2016 </w:t>
      </w:r>
      <w:r>
        <w:rPr>
          <w:i/>
        </w:rPr>
        <w:t>Ex Parte</w:t>
      </w:r>
      <w:r>
        <w:t xml:space="preserve"> at 1; </w:t>
      </w:r>
      <w:r w:rsidRPr="00CC5257">
        <w:t>Mercedes</w:t>
      </w:r>
      <w:r>
        <w:t xml:space="preserve">-Benz Aug. 2016 </w:t>
      </w:r>
      <w:r w:rsidRPr="00424EE3">
        <w:rPr>
          <w:i/>
        </w:rPr>
        <w:t>Ex Parte</w:t>
      </w:r>
      <w:r>
        <w:t xml:space="preserve"> at 6.</w:t>
      </w:r>
    </w:p>
  </w:footnote>
  <w:footnote w:id="109">
    <w:p w:rsidR="009D0BE6" w:rsidRDefault="009D0BE6" w:rsidP="00FE3BF0">
      <w:pPr>
        <w:pStyle w:val="FootnoteText"/>
      </w:pPr>
      <w:r>
        <w:rPr>
          <w:rStyle w:val="FootnoteReference"/>
        </w:rPr>
        <w:footnoteRef/>
      </w:r>
      <w:r>
        <w:t xml:space="preserve"> </w:t>
      </w:r>
      <w:r>
        <w:rPr>
          <w:i/>
        </w:rPr>
        <w:t>See</w:t>
      </w:r>
      <w:r>
        <w:t xml:space="preserve"> Letter from Scott Delacourt, Counsel to General Motors Company, to Marlene H. Dortch, Secretary, FCC, ET Docket No. 15-26, at 1 (filed June 30, 2017) (General Motors June 2017 </w:t>
      </w:r>
      <w:r>
        <w:rPr>
          <w:i/>
        </w:rPr>
        <w:t>Ex Parte</w:t>
      </w:r>
      <w:r>
        <w:t>); Letter from Ari Q. Fitzgerald, Counsel to Alliance of Automobile Manufacturers,</w:t>
      </w:r>
      <w:r w:rsidRPr="00A10501">
        <w:t xml:space="preserve"> to Marlene H. Dortch, Secretary, </w:t>
      </w:r>
      <w:r>
        <w:t xml:space="preserve">FCC, </w:t>
      </w:r>
      <w:r w:rsidRPr="00346F84">
        <w:t>ET Docket No. 15-26,</w:t>
      </w:r>
      <w:r>
        <w:t xml:space="preserve"> attached presentation at 1 (filed June 29, 2017)</w:t>
      </w:r>
      <w:r w:rsidRPr="00A10501">
        <w:t xml:space="preserve"> </w:t>
      </w:r>
      <w:r>
        <w:t xml:space="preserve">(Alliance June 2017 </w:t>
      </w:r>
      <w:r w:rsidRPr="00424EE3">
        <w:rPr>
          <w:i/>
        </w:rPr>
        <w:t>Ex Parte</w:t>
      </w:r>
      <w:r>
        <w:t xml:space="preserve">).  Both parties cite the </w:t>
      </w:r>
      <w:r w:rsidRPr="001A00FA">
        <w:t>National Highway Traffic Safety Administration</w:t>
      </w:r>
      <w:r>
        <w:t>’s</w:t>
      </w:r>
      <w:r w:rsidRPr="00FE3BF0">
        <w:t xml:space="preserve"> organic statute</w:t>
      </w:r>
      <w:r>
        <w:t xml:space="preserve">, </w:t>
      </w:r>
      <w:r w:rsidRPr="00FE3BF0">
        <w:t xml:space="preserve">49 U.S.C. § 301 </w:t>
      </w:r>
      <w:r w:rsidRPr="00FE3BF0">
        <w:rPr>
          <w:i/>
        </w:rPr>
        <w:t>et. seq.</w:t>
      </w:r>
      <w:r>
        <w:t>, for the proposition that the ability to repair and replace defective or potentially malfunctioning equipment is required to comply with the statute’s obligations to remedy such defects for the life of the vehicle or</w:t>
      </w:r>
      <w:r w:rsidRPr="00FE3BF0">
        <w:t xml:space="preserve"> </w:t>
      </w:r>
      <w:r>
        <w:t>for 15 years after the vehicle was purchased by its first buyer.</w:t>
      </w:r>
    </w:p>
  </w:footnote>
  <w:footnote w:id="110">
    <w:p w:rsidR="009D0BE6" w:rsidRDefault="009D0BE6" w:rsidP="009C0BBA">
      <w:pPr>
        <w:pStyle w:val="FootnoteText"/>
      </w:pPr>
      <w:r>
        <w:rPr>
          <w:rStyle w:val="FootnoteReference"/>
        </w:rPr>
        <w:footnoteRef/>
      </w:r>
      <w:r>
        <w:t xml:space="preserve"> Letter from Ana M. Meuwissen, Director Federal Government Affairs, Robert Bosch, LLC to Marlene H. Dortch, Secretary, FCC</w:t>
      </w:r>
      <w:r w:rsidRPr="00D609A0">
        <w:t>, ET Docket No. 15-26,</w:t>
      </w:r>
      <w:r>
        <w:t xml:space="preserve"> at 2 (filed Aug. 31, 2016) (emphasis omitted).  </w:t>
      </w:r>
      <w:r>
        <w:rPr>
          <w:i/>
        </w:rPr>
        <w:t>Cf.</w:t>
      </w:r>
      <w:r>
        <w:t xml:space="preserve"> Alliance June 2017 </w:t>
      </w:r>
      <w:r w:rsidRPr="00424EE3">
        <w:rPr>
          <w:i/>
        </w:rPr>
        <w:t>Ex Parte</w:t>
      </w:r>
      <w:r>
        <w:t>, presentation at 1 (recognizing that “the Commission’s goal of consolidating future vehicular radar operations in the 76-81 GHz band promotes the efficient use of spectrum . . . .”).</w:t>
      </w:r>
    </w:p>
  </w:footnote>
  <w:footnote w:id="111">
    <w:p w:rsidR="009D0BE6" w:rsidRDefault="009D0BE6" w:rsidP="001B4ADF">
      <w:pPr>
        <w:pStyle w:val="FootnoteText"/>
      </w:pPr>
      <w:r>
        <w:rPr>
          <w:rStyle w:val="FootnoteReference"/>
        </w:rPr>
        <w:footnoteRef/>
      </w:r>
      <w:r>
        <w:t xml:space="preserve"> </w:t>
      </w:r>
      <w:r w:rsidRPr="00DD70AA">
        <w:rPr>
          <w:i/>
        </w:rPr>
        <w:t>See infra</w:t>
      </w:r>
      <w:r>
        <w:t xml:space="preserve"> Section III.D</w:t>
      </w:r>
      <w:r w:rsidRPr="004F7EE0">
        <w:t>.</w:t>
      </w:r>
    </w:p>
  </w:footnote>
  <w:footnote w:id="112">
    <w:p w:rsidR="009D0BE6" w:rsidRDefault="009D0BE6" w:rsidP="001B4ADF">
      <w:pPr>
        <w:pStyle w:val="TOAHeading"/>
        <w:widowControl/>
        <w:tabs>
          <w:tab w:val="clear" w:pos="9360"/>
        </w:tabs>
        <w:suppressAutoHyphens w:val="0"/>
        <w:spacing w:after="120"/>
      </w:pPr>
      <w:r>
        <w:rPr>
          <w:rStyle w:val="FootnoteReference"/>
        </w:rPr>
        <w:footnoteRef/>
      </w:r>
      <w:r>
        <w:rPr>
          <w:sz w:val="20"/>
        </w:rPr>
        <w:t xml:space="preserve"> In</w:t>
      </w:r>
      <w:r w:rsidRPr="0059073E">
        <w:rPr>
          <w:sz w:val="20"/>
        </w:rPr>
        <w:t xml:space="preserve"> </w:t>
      </w:r>
      <w:r>
        <w:rPr>
          <w:sz w:val="20"/>
        </w:rPr>
        <w:t>this regard,</w:t>
      </w:r>
      <w:r w:rsidRPr="0059073E">
        <w:rPr>
          <w:sz w:val="20"/>
        </w:rPr>
        <w:t xml:space="preserve"> portions of the 24 GHz band are</w:t>
      </w:r>
      <w:r w:rsidRPr="0059073E">
        <w:rPr>
          <w:rFonts w:eastAsia="TimesNewRoman"/>
          <w:snapToGrid/>
          <w:kern w:val="0"/>
          <w:sz w:val="20"/>
        </w:rPr>
        <w:t xml:space="preserve"> being considered for </w:t>
      </w:r>
      <w:r>
        <w:rPr>
          <w:rFonts w:eastAsia="TimesNewRoman"/>
          <w:snapToGrid/>
          <w:kern w:val="0"/>
          <w:sz w:val="20"/>
        </w:rPr>
        <w:t xml:space="preserve">fixed and mobile allocations.  </w:t>
      </w:r>
      <w:r w:rsidRPr="0059073E">
        <w:rPr>
          <w:i/>
          <w:sz w:val="20"/>
        </w:rPr>
        <w:t>See</w:t>
      </w:r>
      <w:r w:rsidRPr="0059073E">
        <w:rPr>
          <w:sz w:val="20"/>
        </w:rPr>
        <w:t xml:space="preserve"> </w:t>
      </w:r>
      <w:r w:rsidRPr="009F64A1">
        <w:rPr>
          <w:i/>
          <w:sz w:val="20"/>
        </w:rPr>
        <w:t>Use of Spectrum Bands Above 24 GHz For Mobile Radio Services</w:t>
      </w:r>
      <w:r w:rsidRPr="001F48EC">
        <w:rPr>
          <w:i/>
          <w:sz w:val="20"/>
        </w:rPr>
        <w:t xml:space="preserve"> et al., </w:t>
      </w:r>
      <w:r w:rsidRPr="001F48EC">
        <w:rPr>
          <w:sz w:val="20"/>
        </w:rPr>
        <w:t>GN Docket No. 14-177 et al.,</w:t>
      </w:r>
      <w:r w:rsidRPr="001F48EC">
        <w:rPr>
          <w:i/>
          <w:sz w:val="20"/>
        </w:rPr>
        <w:t xml:space="preserve"> </w:t>
      </w:r>
      <w:r w:rsidRPr="007B1F71">
        <w:rPr>
          <w:color w:val="000000"/>
          <w:sz w:val="20"/>
        </w:rPr>
        <w:t>Report and Order and Further Notice of Proposed Rulemaking, 31 FCC Rcd 8014, 8148, paras. 383-85 (2016)</w:t>
      </w:r>
      <w:r w:rsidRPr="0059073E">
        <w:rPr>
          <w:sz w:val="20"/>
        </w:rPr>
        <w:t xml:space="preserve"> </w:t>
      </w:r>
      <w:r w:rsidRPr="009F64A1">
        <w:rPr>
          <w:color w:val="000000"/>
          <w:sz w:val="20"/>
        </w:rPr>
        <w:t>(proposing to add a mobile allocation to the 24.25-24.45 GHz and 24.75-25.25 GHz ba</w:t>
      </w:r>
      <w:r w:rsidRPr="001F48EC">
        <w:rPr>
          <w:color w:val="000000"/>
          <w:sz w:val="20"/>
        </w:rPr>
        <w:t xml:space="preserve">nds, a fixed allocation to 24.75-25.05 GHz, and to authorize both fixed </w:t>
      </w:r>
      <w:r>
        <w:rPr>
          <w:color w:val="000000"/>
          <w:sz w:val="20"/>
        </w:rPr>
        <w:t xml:space="preserve">and mobile </w:t>
      </w:r>
      <w:r w:rsidRPr="001F48EC">
        <w:rPr>
          <w:color w:val="000000"/>
          <w:sz w:val="20"/>
        </w:rPr>
        <w:t xml:space="preserve">operations in those segments under co-primary fixed and mobile allocations).  </w:t>
      </w:r>
      <w:r w:rsidRPr="0059073E">
        <w:rPr>
          <w:rFonts w:eastAsia="TimesNewRoman"/>
          <w:snapToGrid/>
          <w:kern w:val="0"/>
          <w:sz w:val="20"/>
        </w:rPr>
        <w:t xml:space="preserve">If that proposal is adopted, and we complete a rulemaking to promulgate service rules and permit licensing in the band, then any </w:t>
      </w:r>
      <w:r>
        <w:rPr>
          <w:rFonts w:eastAsia="TimesNewRoman"/>
          <w:snapToGrid/>
          <w:kern w:val="0"/>
          <w:sz w:val="20"/>
        </w:rPr>
        <w:t xml:space="preserve">remaining </w:t>
      </w:r>
      <w:r w:rsidRPr="0059073E">
        <w:rPr>
          <w:rFonts w:eastAsia="TimesNewRoman"/>
          <w:snapToGrid/>
          <w:kern w:val="0"/>
          <w:sz w:val="20"/>
        </w:rPr>
        <w:t xml:space="preserve">unlicensed </w:t>
      </w:r>
      <w:r w:rsidRPr="00882123">
        <w:rPr>
          <w:rFonts w:eastAsia="TimesNewRoman"/>
          <w:snapToGrid/>
          <w:kern w:val="0"/>
          <w:sz w:val="20"/>
        </w:rPr>
        <w:t>24 GHz wideband and UWB vehicular radars</w:t>
      </w:r>
      <w:r w:rsidRPr="0059073E">
        <w:rPr>
          <w:rFonts w:eastAsia="TimesNewRoman"/>
          <w:snapToGrid/>
          <w:kern w:val="0"/>
          <w:sz w:val="20"/>
        </w:rPr>
        <w:t>, as Part 15 unlicensed devices, would be required to</w:t>
      </w:r>
      <w:r w:rsidRPr="00794B3B">
        <w:rPr>
          <w:rFonts w:eastAsia="TimesNewRoman"/>
          <w:snapToGrid/>
          <w:kern w:val="0"/>
          <w:sz w:val="20"/>
        </w:rPr>
        <w:t xml:space="preserve"> </w:t>
      </w:r>
      <w:r w:rsidRPr="0059073E">
        <w:rPr>
          <w:rFonts w:eastAsia="TimesNewRoman"/>
          <w:snapToGrid/>
          <w:kern w:val="0"/>
          <w:sz w:val="20"/>
        </w:rPr>
        <w:t xml:space="preserve">accept interference from these and </w:t>
      </w:r>
      <w:r>
        <w:rPr>
          <w:rFonts w:eastAsia="TimesNewRoman"/>
          <w:snapToGrid/>
          <w:kern w:val="0"/>
          <w:sz w:val="20"/>
        </w:rPr>
        <w:t xml:space="preserve">any </w:t>
      </w:r>
      <w:r w:rsidRPr="0059073E">
        <w:rPr>
          <w:rFonts w:eastAsia="TimesNewRoman"/>
          <w:snapToGrid/>
          <w:kern w:val="0"/>
          <w:sz w:val="20"/>
        </w:rPr>
        <w:t>other licensed services</w:t>
      </w:r>
      <w:r>
        <w:rPr>
          <w:rFonts w:eastAsia="TimesNewRoman"/>
          <w:snapToGrid/>
          <w:kern w:val="0"/>
          <w:sz w:val="20"/>
        </w:rPr>
        <w:t xml:space="preserve"> in the band, and</w:t>
      </w:r>
      <w:r w:rsidRPr="0059073E">
        <w:rPr>
          <w:rFonts w:eastAsia="TimesNewRoman"/>
          <w:snapToGrid/>
          <w:kern w:val="0"/>
          <w:sz w:val="20"/>
        </w:rPr>
        <w:t xml:space="preserve"> protect any future 24 GHz fixed and mobile operations from harmful interference.</w:t>
      </w:r>
      <w:r w:rsidRPr="0059073E">
        <w:rPr>
          <w:sz w:val="20"/>
        </w:rPr>
        <w:t xml:space="preserve">  47 CFR § 15.5(b).  We do not prejudge the outcome of that pending proceeding, nor base our decision in this one on its eventual outcome.  We observe, however, that to the extent </w:t>
      </w:r>
      <w:r>
        <w:rPr>
          <w:sz w:val="20"/>
        </w:rPr>
        <w:t>the Commission does</w:t>
      </w:r>
      <w:r w:rsidRPr="00DD266A">
        <w:rPr>
          <w:sz w:val="20"/>
        </w:rPr>
        <w:t xml:space="preserve"> authorize</w:t>
      </w:r>
      <w:r w:rsidRPr="0059073E">
        <w:rPr>
          <w:sz w:val="20"/>
        </w:rPr>
        <w:t xml:space="preserve"> fixed </w:t>
      </w:r>
      <w:r>
        <w:rPr>
          <w:sz w:val="20"/>
        </w:rPr>
        <w:t>and mobile operations in the 24 GH</w:t>
      </w:r>
      <w:r w:rsidRPr="0059073E">
        <w:rPr>
          <w:sz w:val="20"/>
        </w:rPr>
        <w:t xml:space="preserve">z band under co-primary fixed and mobile allocations, the decision in this proceeding </w:t>
      </w:r>
      <w:r>
        <w:rPr>
          <w:sz w:val="20"/>
        </w:rPr>
        <w:t>to phase out the unlicensed 24 GHz wideband and UWB vehicular radar operations would eliminate the potential for interference between vehicular radar operations and new licensed fixed and mobile operations in the 24 GHz band, while making additional spectrum available for those vehicular radar operations in the 76</w:t>
      </w:r>
      <w:r>
        <w:rPr>
          <w:sz w:val="20"/>
        </w:rPr>
        <w:noBreakHyphen/>
        <w:t>81 GHz band.</w:t>
      </w:r>
    </w:p>
  </w:footnote>
  <w:footnote w:id="113">
    <w:p w:rsidR="009D0BE6" w:rsidRPr="00FF759A" w:rsidRDefault="009D0BE6" w:rsidP="00047654">
      <w:pPr>
        <w:pStyle w:val="FootnoteText"/>
      </w:pPr>
      <w:r>
        <w:rPr>
          <w:rStyle w:val="FootnoteReference"/>
        </w:rPr>
        <w:footnoteRef/>
      </w:r>
      <w:r>
        <w:t xml:space="preserve"> </w:t>
      </w:r>
      <w:r w:rsidRPr="00146DE6">
        <w:t xml:space="preserve">A staff </w:t>
      </w:r>
      <w:r w:rsidRPr="005A3EFC">
        <w:t xml:space="preserve">search of the </w:t>
      </w:r>
      <w:r w:rsidRPr="00A46336">
        <w:t xml:space="preserve">Commission’s </w:t>
      </w:r>
      <w:r w:rsidRPr="005A3EFC">
        <w:t>equipment</w:t>
      </w:r>
      <w:r>
        <w:t xml:space="preserve"> authorization database showed that, as of July 5, 2017, only thirteen certifications for </w:t>
      </w:r>
      <w:r w:rsidRPr="00882123">
        <w:t>unlicensed 24 GHz w</w:t>
      </w:r>
      <w:r>
        <w:t>ideband and UWB vehicular radar devices had been granted.</w:t>
      </w:r>
    </w:p>
  </w:footnote>
  <w:footnote w:id="114">
    <w:p w:rsidR="009D0BE6" w:rsidRPr="00EB17C5" w:rsidRDefault="009D0BE6" w:rsidP="00047654">
      <w:pPr>
        <w:pStyle w:val="FootnoteText"/>
      </w:pPr>
      <w:r>
        <w:rPr>
          <w:rStyle w:val="FootnoteReference"/>
        </w:rPr>
        <w:footnoteRef/>
      </w:r>
      <w:r>
        <w:t xml:space="preserve"> </w:t>
      </w:r>
      <w:r w:rsidRPr="00EB17C5">
        <w:rPr>
          <w:i/>
        </w:rPr>
        <w:t>S</w:t>
      </w:r>
      <w:r>
        <w:rPr>
          <w:i/>
        </w:rPr>
        <w:t>e</w:t>
      </w:r>
      <w:r w:rsidRPr="00FD61DB">
        <w:rPr>
          <w:i/>
        </w:rPr>
        <w:t>e</w:t>
      </w:r>
      <w:r>
        <w:t xml:space="preserve"> 47 CFR §§ 2.1043(b), (b)(2).  “Class II permissive change” is described in </w:t>
      </w:r>
      <w:r w:rsidRPr="00E87C6C">
        <w:t xml:space="preserve">note </w:t>
      </w:r>
      <w:r w:rsidRPr="00CB1C67">
        <w:t>98</w:t>
      </w:r>
      <w:r w:rsidRPr="00E87C6C">
        <w:t>,</w:t>
      </w:r>
      <w:r>
        <w:t xml:space="preserve"> </w:t>
      </w:r>
      <w:r w:rsidRPr="007723DB">
        <w:rPr>
          <w:i/>
        </w:rPr>
        <w:t>supra</w:t>
      </w:r>
      <w:r>
        <w:t>.</w:t>
      </w:r>
    </w:p>
  </w:footnote>
  <w:footnote w:id="115">
    <w:p w:rsidR="009D0BE6" w:rsidRPr="00EB17C5" w:rsidRDefault="009D0BE6" w:rsidP="00296209">
      <w:pPr>
        <w:pStyle w:val="FootnoteText"/>
      </w:pPr>
      <w:r>
        <w:rPr>
          <w:rStyle w:val="FootnoteReference"/>
        </w:rPr>
        <w:footnoteRef/>
      </w:r>
      <w:r>
        <w:t xml:space="preserve"> </w:t>
      </w:r>
      <w:r w:rsidRPr="00EB17C5">
        <w:rPr>
          <w:i/>
        </w:rPr>
        <w:t>S</w:t>
      </w:r>
      <w:r>
        <w:rPr>
          <w:i/>
        </w:rPr>
        <w:t>e</w:t>
      </w:r>
      <w:r w:rsidRPr="00FD61DB">
        <w:rPr>
          <w:i/>
        </w:rPr>
        <w:t>e</w:t>
      </w:r>
      <w:r>
        <w:t xml:space="preserve"> </w:t>
      </w:r>
      <w:r w:rsidRPr="007723DB">
        <w:rPr>
          <w:i/>
        </w:rPr>
        <w:t>supra</w:t>
      </w:r>
      <w:r>
        <w:t xml:space="preserve"> note</w:t>
      </w:r>
      <w:r w:rsidRPr="00CB1C67">
        <w:t xml:space="preserve"> 105</w:t>
      </w:r>
      <w:r>
        <w:t>.</w:t>
      </w:r>
    </w:p>
  </w:footnote>
  <w:footnote w:id="116">
    <w:p w:rsidR="009D0BE6" w:rsidRPr="005D493F" w:rsidRDefault="009D0BE6" w:rsidP="00A53D2D">
      <w:pPr>
        <w:pStyle w:val="FootnoteText"/>
      </w:pPr>
      <w:r>
        <w:rPr>
          <w:rStyle w:val="FootnoteReference"/>
        </w:rPr>
        <w:footnoteRef/>
      </w:r>
      <w:r>
        <w:t xml:space="preserve"> </w:t>
      </w:r>
      <w:r>
        <w:rPr>
          <w:i/>
        </w:rPr>
        <w:t>NPRM</w:t>
      </w:r>
      <w:r>
        <w:t>, 30 FCC Rcd at 1638, para. 44.</w:t>
      </w:r>
    </w:p>
  </w:footnote>
  <w:footnote w:id="117">
    <w:p w:rsidR="009D0BE6" w:rsidRPr="005D493F" w:rsidRDefault="009D0BE6" w:rsidP="00E403E3">
      <w:pPr>
        <w:pStyle w:val="FootnoteText"/>
      </w:pPr>
      <w:r>
        <w:rPr>
          <w:rStyle w:val="FootnoteReference"/>
        </w:rPr>
        <w:footnoteRef/>
      </w:r>
      <w:r>
        <w:t xml:space="preserve"> </w:t>
      </w:r>
      <w:r w:rsidRPr="00446DCB">
        <w:t xml:space="preserve">We recognize that the components of some unlicensed 24 GHz wideband and UWB vehicular radar systems and 76-81 GHz vehicular radar systems (e.g., radar sensors, transmitter leakage cancellers) are frequency dependent and are not interchangeable.  </w:t>
      </w:r>
      <w:r w:rsidRPr="00446DCB">
        <w:rPr>
          <w:i/>
        </w:rPr>
        <w:t>See Antenna Concepts for Millim</w:t>
      </w:r>
      <w:r>
        <w:rPr>
          <w:i/>
        </w:rPr>
        <w:t>eter-Wave Automotiv</w:t>
      </w:r>
      <w:r w:rsidRPr="00446DCB">
        <w:rPr>
          <w:i/>
        </w:rPr>
        <w:t>e Radar Sensors</w:t>
      </w:r>
      <w:r w:rsidRPr="00446DCB">
        <w:t xml:space="preserve">, Wolfgang Menzel, Fellow IEEE, and Arnold Moebius. Member IEEE, Proceedings of the IEEE, 2012, Vol. 100, Issue 7 at 2372-2379 (illustrating the frequency dependence of selections of materials, fabrication processes, packaging, and mounting considerations for 24 GHz and 76-81 GHz radar sensors); </w:t>
      </w:r>
      <w:r w:rsidRPr="00446DCB">
        <w:rPr>
          <w:i/>
        </w:rPr>
        <w:t>Tx Leakage Cancellers for 24 GHz and 77 GHz Vehicular Radar Applications</w:t>
      </w:r>
      <w:r w:rsidRPr="00446DCB">
        <w:t>, Choul-young Kim; Jeong Geun Kim; Joon Ho Oum; Jong Ryul Yang; Dong-kyun Kim; Jung Han Choi; Sang-wook Kwon; Sang-hoon Jeon; Jae-woo Park; Songcheol Hong 2006 IEEE MTT-S International Microwave Symposium Digest at 1402-1406 (illustrating the frequency dependent design characteristics of transmitter leakage cancellers for 24 GHz and 76-81 GHz vehicular radar systems).</w:t>
      </w:r>
    </w:p>
  </w:footnote>
  <w:footnote w:id="118">
    <w:p w:rsidR="009D0BE6" w:rsidRPr="005D493F" w:rsidRDefault="009D0BE6" w:rsidP="00182929">
      <w:pPr>
        <w:pStyle w:val="FootnoteText"/>
      </w:pPr>
      <w:r>
        <w:rPr>
          <w:rStyle w:val="FootnoteReference"/>
        </w:rPr>
        <w:footnoteRef/>
      </w:r>
      <w:r>
        <w:t xml:space="preserve"> </w:t>
      </w:r>
      <w:r w:rsidRPr="00182929">
        <w:rPr>
          <w:i/>
        </w:rPr>
        <w:t>See</w:t>
      </w:r>
      <w:r>
        <w:t xml:space="preserve"> 47 CFR </w:t>
      </w:r>
      <w:r w:rsidRPr="004F7EE0">
        <w:t xml:space="preserve">§ </w:t>
      </w:r>
      <w:r>
        <w:t>2.1043(b)(2) (equipment modified under an existing grant of certification must get Commission acknowledgement that the change is acceptable).</w:t>
      </w:r>
    </w:p>
  </w:footnote>
  <w:footnote w:id="119">
    <w:p w:rsidR="009D0BE6" w:rsidRDefault="009D0BE6" w:rsidP="00EE389F">
      <w:pPr>
        <w:pStyle w:val="FootnoteText"/>
      </w:pPr>
      <w:r>
        <w:rPr>
          <w:rStyle w:val="FootnoteReference"/>
        </w:rPr>
        <w:footnoteRef/>
      </w:r>
      <w:r>
        <w:t xml:space="preserve"> </w:t>
      </w:r>
      <w:r>
        <w:rPr>
          <w:i/>
        </w:rPr>
        <w:t>See, e.g.</w:t>
      </w:r>
      <w:r>
        <w:t xml:space="preserve">, </w:t>
      </w:r>
      <w:r w:rsidRPr="00346F84">
        <w:t xml:space="preserve">Letter from Ari </w:t>
      </w:r>
      <w:r>
        <w:t xml:space="preserve">Q. </w:t>
      </w:r>
      <w:r w:rsidRPr="00346F84">
        <w:t xml:space="preserve">Fitzgerald, Counsel to Mercedes-Benz USA, LLC, to Marlene H. Dortch, Secretary, </w:t>
      </w:r>
      <w:r>
        <w:t xml:space="preserve">FCC, </w:t>
      </w:r>
      <w:r w:rsidRPr="00346F84">
        <w:t>ET Docket No. 15-26,</w:t>
      </w:r>
      <w:r>
        <w:t xml:space="preserve"> at 3</w:t>
      </w:r>
      <w:r w:rsidRPr="00346F84">
        <w:t xml:space="preserve"> (</w:t>
      </w:r>
      <w:r>
        <w:t xml:space="preserve">filed </w:t>
      </w:r>
      <w:r w:rsidRPr="00346F84">
        <w:t>Dec. 1</w:t>
      </w:r>
      <w:r>
        <w:t>4</w:t>
      </w:r>
      <w:r w:rsidRPr="00346F84">
        <w:t>, 2015)</w:t>
      </w:r>
      <w:r w:rsidRPr="00E90E94">
        <w:t xml:space="preserve"> </w:t>
      </w:r>
      <w:r w:rsidRPr="00FC4B15">
        <w:t>(Mercedes-Benz</w:t>
      </w:r>
      <w:r>
        <w:t xml:space="preserve"> Dec. 2015 </w:t>
      </w:r>
      <w:r w:rsidRPr="00FC4B15">
        <w:rPr>
          <w:i/>
        </w:rPr>
        <w:t>Ex Parte</w:t>
      </w:r>
      <w:r>
        <w:t xml:space="preserve">); Alliance Jul. 2016 </w:t>
      </w:r>
      <w:r w:rsidRPr="00842AFE">
        <w:rPr>
          <w:i/>
        </w:rPr>
        <w:t>Ex Parte</w:t>
      </w:r>
      <w:r>
        <w:t xml:space="preserve"> </w:t>
      </w:r>
      <w:r w:rsidRPr="00A10501">
        <w:t xml:space="preserve">at 2 </w:t>
      </w:r>
      <w:r>
        <w:t>n.5;</w:t>
      </w:r>
      <w:r w:rsidRPr="00346F84">
        <w:t xml:space="preserve"> </w:t>
      </w:r>
      <w:r>
        <w:t>Automotive Group Comments</w:t>
      </w:r>
      <w:r w:rsidRPr="00584D40">
        <w:t xml:space="preserve"> </w:t>
      </w:r>
      <w:r>
        <w:t xml:space="preserve">at 11-12; MEMA Dec. 2016 </w:t>
      </w:r>
      <w:r w:rsidRPr="00CC70F9">
        <w:rPr>
          <w:i/>
        </w:rPr>
        <w:t>Ex Parte</w:t>
      </w:r>
      <w:r>
        <w:t xml:space="preserve"> at 2.</w:t>
      </w:r>
    </w:p>
  </w:footnote>
  <w:footnote w:id="120">
    <w:p w:rsidR="009D0BE6" w:rsidRDefault="009D0BE6" w:rsidP="00ED1E76">
      <w:pPr>
        <w:pStyle w:val="FootnoteText"/>
      </w:pPr>
      <w:r>
        <w:rPr>
          <w:rStyle w:val="FootnoteReference"/>
        </w:rPr>
        <w:footnoteRef/>
      </w:r>
      <w:r>
        <w:t xml:space="preserve"> </w:t>
      </w:r>
      <w:r w:rsidRPr="00910DBA">
        <w:rPr>
          <w:i/>
        </w:rPr>
        <w:t xml:space="preserve">See </w:t>
      </w:r>
      <w:r>
        <w:t xml:space="preserve">47 CFR </w:t>
      </w:r>
      <w:r w:rsidRPr="004F7EE0">
        <w:t>§§ 15.245, 15.249.</w:t>
      </w:r>
    </w:p>
  </w:footnote>
  <w:footnote w:id="121">
    <w:p w:rsidR="009D0BE6" w:rsidRPr="00FE7EB4" w:rsidRDefault="009D0BE6" w:rsidP="005E36C7">
      <w:pPr>
        <w:pStyle w:val="FootnoteText"/>
      </w:pPr>
      <w:r>
        <w:rPr>
          <w:rStyle w:val="FootnoteReference"/>
        </w:rPr>
        <w:footnoteRef/>
      </w:r>
      <w:r>
        <w:t xml:space="preserve"> </w:t>
      </w:r>
      <w:r w:rsidRPr="00A665B3">
        <w:t>47 CFR § 87.5</w:t>
      </w:r>
      <w:r>
        <w:t xml:space="preserve">.  </w:t>
      </w:r>
      <w:r w:rsidRPr="000C2FFB">
        <w:rPr>
          <w:i/>
        </w:rPr>
        <w:t>See supra</w:t>
      </w:r>
      <w:r>
        <w:t xml:space="preserve"> note </w:t>
      </w:r>
      <w:r w:rsidRPr="00CB1C67">
        <w:t>14</w:t>
      </w:r>
      <w:r>
        <w:t>.</w:t>
      </w:r>
    </w:p>
  </w:footnote>
  <w:footnote w:id="122">
    <w:p w:rsidR="009D0BE6" w:rsidRDefault="009D0BE6" w:rsidP="00FD61DB">
      <w:pPr>
        <w:pStyle w:val="FootnoteText"/>
      </w:pPr>
      <w:r>
        <w:rPr>
          <w:rStyle w:val="FootnoteReference"/>
        </w:rPr>
        <w:footnoteRef/>
      </w:r>
      <w:r>
        <w:t xml:space="preserve"> 47 CFR § 15.253(c).  Such operations are not permitted on aircraft or satellites.  </w:t>
      </w:r>
      <w:r>
        <w:rPr>
          <w:i/>
        </w:rPr>
        <w:t>Id</w:t>
      </w:r>
      <w:r>
        <w:t>.</w:t>
      </w:r>
    </w:p>
  </w:footnote>
  <w:footnote w:id="123">
    <w:p w:rsidR="009D0BE6" w:rsidRPr="00866065" w:rsidRDefault="009D0BE6" w:rsidP="00FD61DB">
      <w:pPr>
        <w:pStyle w:val="FootnoteText"/>
      </w:pPr>
      <w:r>
        <w:rPr>
          <w:rStyle w:val="FootnoteReference"/>
        </w:rPr>
        <w:footnoteRef/>
      </w:r>
      <w:r>
        <w:t xml:space="preserve"> </w:t>
      </w:r>
      <w:r>
        <w:rPr>
          <w:i/>
        </w:rPr>
        <w:t>78-81 GHz FOD Detection Radar R&amp;O</w:t>
      </w:r>
      <w:r>
        <w:t>, 28 FCC Rcd at 10427, para. 12.</w:t>
      </w:r>
      <w:r w:rsidRPr="007A7930">
        <w:t xml:space="preserve"> </w:t>
      </w:r>
      <w:r>
        <w:t xml:space="preserve"> A recent search of the Commission’s </w:t>
      </w:r>
      <w:r w:rsidRPr="00C04E83">
        <w:t>U</w:t>
      </w:r>
      <w:r>
        <w:t xml:space="preserve">niversal </w:t>
      </w:r>
      <w:r w:rsidRPr="00C04E83">
        <w:t>L</w:t>
      </w:r>
      <w:r>
        <w:t xml:space="preserve">icensing </w:t>
      </w:r>
      <w:r w:rsidRPr="00C04E83">
        <w:t>S</w:t>
      </w:r>
      <w:r>
        <w:t>ystem</w:t>
      </w:r>
      <w:r w:rsidRPr="00C04E83">
        <w:t xml:space="preserve"> database </w:t>
      </w:r>
      <w:r>
        <w:t>shows that</w:t>
      </w:r>
      <w:r w:rsidRPr="007905C6">
        <w:t xml:space="preserve"> no application</w:t>
      </w:r>
      <w:r>
        <w:t>s have been submitted</w:t>
      </w:r>
      <w:r w:rsidRPr="007905C6">
        <w:t xml:space="preserve"> for such operations.</w:t>
      </w:r>
    </w:p>
  </w:footnote>
  <w:footnote w:id="124">
    <w:p w:rsidR="009D0BE6" w:rsidRPr="00677C72" w:rsidRDefault="009D0BE6" w:rsidP="00FD61DB">
      <w:pPr>
        <w:pStyle w:val="FootnoteText"/>
      </w:pPr>
      <w:r>
        <w:rPr>
          <w:rStyle w:val="FootnoteReference"/>
        </w:rPr>
        <w:footnoteRef/>
      </w:r>
      <w:r>
        <w:t xml:space="preserve"> </w:t>
      </w:r>
      <w:r w:rsidRPr="00CF304E">
        <w:rPr>
          <w:i/>
        </w:rPr>
        <w:t>NPRM</w:t>
      </w:r>
      <w:r>
        <w:t>, 30 FCC Rcd at 1639-41, paras. 50-55.</w:t>
      </w:r>
    </w:p>
  </w:footnote>
  <w:footnote w:id="125">
    <w:p w:rsidR="009D0BE6" w:rsidRPr="00AF318D" w:rsidRDefault="009D0BE6" w:rsidP="00FD61DB">
      <w:pPr>
        <w:pStyle w:val="FootnoteText"/>
      </w:pPr>
      <w:r>
        <w:rPr>
          <w:rStyle w:val="FootnoteReference"/>
        </w:rPr>
        <w:footnoteRef/>
      </w:r>
      <w:r>
        <w:t xml:space="preserve"> </w:t>
      </w:r>
      <w:r>
        <w:rPr>
          <w:i/>
        </w:rPr>
        <w:t>2012 Radar R&amp;O</w:t>
      </w:r>
      <w:r>
        <w:t>, 27 FCC Rcd at 7888-89, para. 26.</w:t>
      </w:r>
    </w:p>
  </w:footnote>
  <w:footnote w:id="126">
    <w:p w:rsidR="009D0BE6" w:rsidRPr="00AC0581" w:rsidRDefault="009D0BE6" w:rsidP="001D6246">
      <w:pPr>
        <w:pStyle w:val="FootnoteText"/>
      </w:pPr>
      <w:r>
        <w:rPr>
          <w:rStyle w:val="FootnoteReference"/>
        </w:rPr>
        <w:footnoteRef/>
      </w:r>
      <w:r>
        <w:t xml:space="preserve"> </w:t>
      </w:r>
      <w:r w:rsidRPr="00CF304E">
        <w:rPr>
          <w:i/>
        </w:rPr>
        <w:t>NPRM</w:t>
      </w:r>
      <w:r>
        <w:t xml:space="preserve">, </w:t>
      </w:r>
      <w:r w:rsidRPr="009F60AF">
        <w:t>30 FCC Rcd at 1640, para. 52.</w:t>
      </w:r>
    </w:p>
  </w:footnote>
  <w:footnote w:id="127">
    <w:p w:rsidR="009D0BE6" w:rsidRPr="00AF318D" w:rsidRDefault="009D0BE6" w:rsidP="00FD61DB">
      <w:pPr>
        <w:pStyle w:val="FootnoteText"/>
      </w:pPr>
      <w:r>
        <w:rPr>
          <w:rStyle w:val="FootnoteReference"/>
        </w:rPr>
        <w:footnoteRef/>
      </w:r>
      <w:r>
        <w:t xml:space="preserve"> </w:t>
      </w:r>
      <w:r w:rsidRPr="00CF304E">
        <w:rPr>
          <w:i/>
        </w:rPr>
        <w:t>NPRM</w:t>
      </w:r>
      <w:r>
        <w:t>, 30 FCC Rcd at 1640-41, para. 53.</w:t>
      </w:r>
    </w:p>
  </w:footnote>
  <w:footnote w:id="128">
    <w:p w:rsidR="009D0BE6" w:rsidRPr="00CC49F7" w:rsidRDefault="009D0BE6" w:rsidP="001D6246">
      <w:pPr>
        <w:pStyle w:val="FootnoteText"/>
      </w:pPr>
      <w:r>
        <w:rPr>
          <w:rStyle w:val="FootnoteReference"/>
        </w:rPr>
        <w:footnoteRef/>
      </w:r>
      <w:r>
        <w:t xml:space="preserve"> </w:t>
      </w:r>
      <w:r w:rsidRPr="00AA353C">
        <w:rPr>
          <w:i/>
        </w:rPr>
        <w:t>See</w:t>
      </w:r>
      <w:r w:rsidRPr="00AA353C">
        <w:t xml:space="preserve">, </w:t>
      </w:r>
      <w:r w:rsidRPr="00AA353C">
        <w:rPr>
          <w:i/>
        </w:rPr>
        <w:t>e.g.</w:t>
      </w:r>
      <w:r w:rsidRPr="00AA353C">
        <w:t xml:space="preserve">, </w:t>
      </w:r>
      <w:r w:rsidRPr="00BC4581">
        <w:t>Mantissa Ltd.</w:t>
      </w:r>
      <w:r w:rsidRPr="00AA353C">
        <w:t xml:space="preserve"> Comments at 1</w:t>
      </w:r>
      <w:r>
        <w:t>, 14-15 (Mantissa Comments)</w:t>
      </w:r>
      <w:r w:rsidRPr="00AA353C">
        <w:t xml:space="preserve">; Navtech </w:t>
      </w:r>
      <w:r>
        <w:t xml:space="preserve">Radar Ltd. </w:t>
      </w:r>
      <w:r w:rsidRPr="00AA353C">
        <w:t xml:space="preserve">Comments at </w:t>
      </w:r>
      <w:r>
        <w:t>2</w:t>
      </w:r>
      <w:r w:rsidRPr="00AA353C">
        <w:t>-5</w:t>
      </w:r>
      <w:r>
        <w:t xml:space="preserve"> (Navtech Comments)</w:t>
      </w:r>
      <w:r w:rsidRPr="00AA353C">
        <w:t xml:space="preserve">; </w:t>
      </w:r>
      <w:r>
        <w:t>RhiZone Inc. Reply at 1-2 (RhiZone Reply);</w:t>
      </w:r>
      <w:r w:rsidRPr="00CC70F9">
        <w:t xml:space="preserve"> </w:t>
      </w:r>
      <w:r w:rsidRPr="00AA353C">
        <w:t xml:space="preserve">Sivers </w:t>
      </w:r>
      <w:r>
        <w:t xml:space="preserve">IMA Reply </w:t>
      </w:r>
      <w:r w:rsidRPr="00AA353C">
        <w:t>at 1</w:t>
      </w:r>
      <w:r>
        <w:t xml:space="preserve"> (Sivers Reply)</w:t>
      </w:r>
      <w:r w:rsidRPr="00AA353C">
        <w:t xml:space="preserve">; </w:t>
      </w:r>
      <w:r>
        <w:t xml:space="preserve">Trimble Navigation Limited Comments </w:t>
      </w:r>
      <w:r w:rsidRPr="00AA353C">
        <w:t>at 4-5</w:t>
      </w:r>
      <w:r>
        <w:t>, 7-9 (</w:t>
      </w:r>
      <w:r w:rsidRPr="00AA353C">
        <w:t>Trimble Comments</w:t>
      </w:r>
      <w:r>
        <w:t>);</w:t>
      </w:r>
      <w:r w:rsidRPr="00ED7C17">
        <w:t xml:space="preserve"> </w:t>
      </w:r>
      <w:r w:rsidRPr="00CC70F9">
        <w:t>Letter from Alberto Bicci, President, IDS GeoRadar, to Marlene H. Dortch, Secretary, FCC,</w:t>
      </w:r>
      <w:r w:rsidRPr="00C51B6F">
        <w:t xml:space="preserve"> ET Docket No. 15-26,</w:t>
      </w:r>
      <w:r w:rsidRPr="00CC70F9">
        <w:t xml:space="preserve"> at 1</w:t>
      </w:r>
      <w:r>
        <w:t>-2</w:t>
      </w:r>
      <w:r w:rsidRPr="00CC70F9">
        <w:t xml:space="preserve"> (filed Nov. 25, 2016)</w:t>
      </w:r>
      <w:r w:rsidRPr="00C51B6F">
        <w:t xml:space="preserve"> </w:t>
      </w:r>
      <w:r>
        <w:t>(</w:t>
      </w:r>
      <w:r w:rsidRPr="00C51B6F">
        <w:t xml:space="preserve">IDS Nov. 2016 </w:t>
      </w:r>
      <w:r w:rsidRPr="00C51B6F">
        <w:rPr>
          <w:i/>
        </w:rPr>
        <w:t>Ex Parte</w:t>
      </w:r>
      <w:r w:rsidRPr="00C51B6F">
        <w:t>);</w:t>
      </w:r>
      <w:r>
        <w:t xml:space="preserve"> </w:t>
      </w:r>
      <w:r w:rsidRPr="00CC70F9">
        <w:t xml:space="preserve">Letter from Walton K. Stuckey, Freeport McMoRan Inc., to Marlene H. Dortch, Secretary, FCC, </w:t>
      </w:r>
      <w:r w:rsidRPr="00C51B6F">
        <w:t>ET Docket No. 15-26</w:t>
      </w:r>
      <w:r>
        <w:t xml:space="preserve">, </w:t>
      </w:r>
      <w:r w:rsidRPr="00CC70F9">
        <w:t>at 1 (filed Feb. 1, 2017)</w:t>
      </w:r>
      <w:r>
        <w:t xml:space="preserve"> (Freeport Feb. 2017 </w:t>
      </w:r>
      <w:r w:rsidRPr="004167B6">
        <w:rPr>
          <w:i/>
        </w:rPr>
        <w:t>Ex Parte</w:t>
      </w:r>
      <w:r>
        <w:t>)</w:t>
      </w:r>
      <w:r w:rsidRPr="00CC70F9">
        <w:t>.</w:t>
      </w:r>
      <w:r>
        <w:t xml:space="preserve">  Potential applications include monitoring and automatic incident detection on highways; non-contact measurement; automation</w:t>
      </w:r>
      <w:r w:rsidRPr="005232B2">
        <w:t>,</w:t>
      </w:r>
      <w:r>
        <w:t xml:space="preserve"> obstacle detectio</w:t>
      </w:r>
      <w:r w:rsidRPr="005232B2">
        <w:t>n,</w:t>
      </w:r>
      <w:r>
        <w:t xml:space="preserve"> and navigation for industrial machinery</w:t>
      </w:r>
      <w:r w:rsidRPr="00C51B6F">
        <w:t xml:space="preserve"> </w:t>
      </w:r>
      <w:r>
        <w:t>(</w:t>
      </w:r>
      <w:r w:rsidRPr="00C51B6F">
        <w:t>e.g., port cranes</w:t>
      </w:r>
      <w:r>
        <w:t xml:space="preserve">); </w:t>
      </w:r>
      <w:r w:rsidRPr="00CC70F9">
        <w:t>civil structure monitoring</w:t>
      </w:r>
      <w:r>
        <w:t>;</w:t>
      </w:r>
      <w:r w:rsidRPr="00CC70F9">
        <w:t xml:space="preserve"> geophysical monit</w:t>
      </w:r>
      <w:r>
        <w:t>oring (surface and underground); and various perimeter security applications.</w:t>
      </w:r>
      <w:r w:rsidRPr="00C51B6F">
        <w:t xml:space="preserve"> </w:t>
      </w:r>
      <w:r>
        <w:t xml:space="preserve"> </w:t>
      </w:r>
      <w:r w:rsidRPr="00C51B6F">
        <w:rPr>
          <w:i/>
        </w:rPr>
        <w:t>See</w:t>
      </w:r>
      <w:r w:rsidRPr="00C51B6F">
        <w:t xml:space="preserve"> Mantissa Comments at 3; Navtech Comments at 1-2; RhiZone Reply at 1; Sivers Reply at 1; IDS Nov. 2016 </w:t>
      </w:r>
      <w:r w:rsidRPr="00C51B6F">
        <w:rPr>
          <w:i/>
        </w:rPr>
        <w:t>Ex Parte</w:t>
      </w:r>
      <w:r w:rsidRPr="00C51B6F">
        <w:t xml:space="preserve"> at 2; Freeport Feb. 2017 </w:t>
      </w:r>
      <w:r w:rsidRPr="00C51B6F">
        <w:rPr>
          <w:i/>
        </w:rPr>
        <w:t>Ex Parte</w:t>
      </w:r>
      <w:r w:rsidRPr="00C51B6F">
        <w:t xml:space="preserve"> at 1.</w:t>
      </w:r>
    </w:p>
  </w:footnote>
  <w:footnote w:id="129">
    <w:p w:rsidR="009D0BE6" w:rsidRPr="008F0067" w:rsidRDefault="009D0BE6" w:rsidP="00FD61DB">
      <w:pPr>
        <w:pStyle w:val="FootnoteText"/>
      </w:pPr>
      <w:r>
        <w:rPr>
          <w:rStyle w:val="FootnoteReference"/>
        </w:rPr>
        <w:footnoteRef/>
      </w:r>
      <w:r>
        <w:t xml:space="preserve"> </w:t>
      </w:r>
      <w:r w:rsidRPr="00074D4A">
        <w:rPr>
          <w:i/>
        </w:rPr>
        <w:t>See</w:t>
      </w:r>
      <w:r>
        <w:t xml:space="preserve"> Navtech Comments at 3; </w:t>
      </w:r>
      <w:r w:rsidRPr="00AA353C">
        <w:t xml:space="preserve">Navtech </w:t>
      </w:r>
      <w:r>
        <w:t>Radar Ltd. Reply at 4 (Navtech Reply).</w:t>
      </w:r>
      <w:r w:rsidRPr="0074711F">
        <w:t xml:space="preserve"> </w:t>
      </w:r>
    </w:p>
  </w:footnote>
  <w:footnote w:id="130">
    <w:p w:rsidR="009D0BE6" w:rsidRPr="004D651F" w:rsidRDefault="009D0BE6" w:rsidP="00FD61DB">
      <w:pPr>
        <w:pStyle w:val="FootnoteText"/>
      </w:pPr>
      <w:r>
        <w:rPr>
          <w:rStyle w:val="FootnoteReference"/>
        </w:rPr>
        <w:footnoteRef/>
      </w:r>
      <w:r>
        <w:t xml:space="preserve"> </w:t>
      </w:r>
      <w:r>
        <w:rPr>
          <w:i/>
        </w:rPr>
        <w:t>See, e.g.</w:t>
      </w:r>
      <w:r>
        <w:t xml:space="preserve">, </w:t>
      </w:r>
      <w:r w:rsidRPr="00C51B6F">
        <w:t xml:space="preserve">Mantissa Comments at 11; </w:t>
      </w:r>
      <w:r>
        <w:t xml:space="preserve">Trimble Comments at ii, 8-9.  </w:t>
      </w:r>
      <w:r w:rsidRPr="00BC3D82">
        <w:rPr>
          <w:snapToGrid w:val="0"/>
          <w:kern w:val="28"/>
        </w:rPr>
        <w:t xml:space="preserve">Trimble </w:t>
      </w:r>
      <w:r>
        <w:t>seeks to use the 76-81 GHz band radar technologies to augment and improve its existing three-dimensional (3D) scanning, surveying, mapping, and Geographic Information System (GIS) data collection applications</w:t>
      </w:r>
      <w:r>
        <w:rPr>
          <w:szCs w:val="24"/>
        </w:rPr>
        <w:t xml:space="preserve">. </w:t>
      </w:r>
      <w:r w:rsidRPr="00C51B6F">
        <w:t xml:space="preserve"> </w:t>
      </w:r>
      <w:r w:rsidRPr="00C51B6F">
        <w:rPr>
          <w:i/>
          <w:szCs w:val="24"/>
        </w:rPr>
        <w:t>Id.</w:t>
      </w:r>
      <w:r w:rsidRPr="00C51B6F">
        <w:rPr>
          <w:szCs w:val="24"/>
        </w:rPr>
        <w:t xml:space="preserve"> at 3</w:t>
      </w:r>
      <w:r>
        <w:rPr>
          <w:szCs w:val="24"/>
        </w:rPr>
        <w:t>.</w:t>
      </w:r>
    </w:p>
  </w:footnote>
  <w:footnote w:id="131">
    <w:p w:rsidR="009D0BE6" w:rsidRDefault="009D0BE6" w:rsidP="00FD61DB">
      <w:pPr>
        <w:pStyle w:val="FootnoteText"/>
      </w:pPr>
      <w:r>
        <w:rPr>
          <w:rStyle w:val="FootnoteReference"/>
        </w:rPr>
        <w:footnoteRef/>
      </w:r>
      <w:r>
        <w:t xml:space="preserve"> </w:t>
      </w:r>
      <w:r>
        <w:rPr>
          <w:i/>
        </w:rPr>
        <w:t>See, e.g.</w:t>
      </w:r>
      <w:r>
        <w:t>,</w:t>
      </w:r>
      <w:r>
        <w:rPr>
          <w:i/>
        </w:rPr>
        <w:t xml:space="preserve"> </w:t>
      </w:r>
      <w:r>
        <w:t>NavTech Reply at 3.</w:t>
      </w:r>
    </w:p>
  </w:footnote>
  <w:footnote w:id="132">
    <w:p w:rsidR="009D0BE6" w:rsidRDefault="009D0BE6" w:rsidP="001E2E46">
      <w:pPr>
        <w:pStyle w:val="FootnoteText"/>
      </w:pPr>
      <w:r>
        <w:rPr>
          <w:rStyle w:val="FootnoteReference"/>
        </w:rPr>
        <w:footnoteRef/>
      </w:r>
      <w:r>
        <w:t xml:space="preserve"> MOSARIM, </w:t>
      </w:r>
      <w:r w:rsidRPr="00074D4A">
        <w:t>a Europ</w:t>
      </w:r>
      <w:r>
        <w:t xml:space="preserve">ean Community funded consortium supported by the automotive industry, studied potential vehicular radar interference issues and developed appropriate countermeasures and mitigation techniques with the potential to avoid harmful mutual interference for all traffic scenarios and vehicle constellations.  </w:t>
      </w:r>
      <w:r>
        <w:rPr>
          <w:i/>
        </w:rPr>
        <w:t>See</w:t>
      </w:r>
      <w:r>
        <w:t xml:space="preserve"> CEPT ECC </w:t>
      </w:r>
      <w:r w:rsidRPr="00AD1062">
        <w:t>Working Group</w:t>
      </w:r>
      <w:r>
        <w:t xml:space="preserve"> FM (13)053, Potential interference between automotive radars and fixed roadside installations in the 76-81 GHz range (Feb. 1, 2013) </w:t>
      </w:r>
      <w:r w:rsidRPr="00AD1062">
        <w:t>(CEPT ECC Working Group FM (13)053),</w:t>
      </w:r>
      <w:r>
        <w:t xml:space="preserve"> at 2, </w:t>
      </w:r>
      <w:hyperlink r:id="rId8" w:history="1">
        <w:r w:rsidRPr="001729AA">
          <w:rPr>
            <w:rStyle w:val="Hyperlink"/>
          </w:rPr>
          <w:t>http://www.cept.org/documents/srdmg/9914/srdmg(13)info7_Automotive-radars-and-fixed-installations-in-the-76-81-GHz</w:t>
        </w:r>
      </w:hyperlink>
      <w:r>
        <w:t>.</w:t>
      </w:r>
    </w:p>
  </w:footnote>
  <w:footnote w:id="133">
    <w:p w:rsidR="009D0BE6" w:rsidRDefault="009D0BE6" w:rsidP="00074D4A">
      <w:pPr>
        <w:pStyle w:val="FootnoteText"/>
      </w:pPr>
      <w:r>
        <w:rPr>
          <w:rStyle w:val="FootnoteReference"/>
        </w:rPr>
        <w:footnoteRef/>
      </w:r>
      <w:r>
        <w:t xml:space="preserve"> </w:t>
      </w:r>
      <w:r>
        <w:rPr>
          <w:i/>
        </w:rPr>
        <w:t xml:space="preserve">See </w:t>
      </w:r>
      <w:r>
        <w:t>Mantissa</w:t>
      </w:r>
      <w:r w:rsidRPr="00074D4A">
        <w:t xml:space="preserve"> Comments at 10-11.</w:t>
      </w:r>
    </w:p>
  </w:footnote>
  <w:footnote w:id="134">
    <w:p w:rsidR="009D0BE6" w:rsidRPr="001B75ED" w:rsidRDefault="009D0BE6" w:rsidP="006330D2">
      <w:pPr>
        <w:pStyle w:val="FootnoteText"/>
      </w:pPr>
      <w:r>
        <w:rPr>
          <w:rStyle w:val="FootnoteReference"/>
        </w:rPr>
        <w:footnoteRef/>
      </w:r>
      <w:r>
        <w:t xml:space="preserve"> </w:t>
      </w:r>
      <w:r w:rsidRPr="00D95D76">
        <w:t>Letter from Thomas Cohen, Counsel for Trex Enterprises Corp., to Marlene H. Dortch, Secretary, FCC, ET Docket No. 15-26, at 5 (filed Feb. 23, 2016);</w:t>
      </w:r>
      <w:r>
        <w:t xml:space="preserve"> </w:t>
      </w:r>
      <w:r w:rsidRPr="00D95D76">
        <w:rPr>
          <w:i/>
        </w:rPr>
        <w:t xml:space="preserve">see </w:t>
      </w:r>
      <w:r>
        <w:rPr>
          <w:i/>
        </w:rPr>
        <w:t>also</w:t>
      </w:r>
      <w:r>
        <w:t xml:space="preserve"> Mantissa Comments at 11 (“In view of </w:t>
      </w:r>
      <w:r w:rsidRPr="006330D2">
        <w:t>the technological similarity between Mantissa’s MSHRS-300X device and</w:t>
      </w:r>
      <w:r>
        <w:t xml:space="preserve"> </w:t>
      </w:r>
      <w:r w:rsidRPr="006330D2">
        <w:t>vehicle-mounted radar systems,</w:t>
      </w:r>
      <w:r>
        <w:t>…</w:t>
      </w:r>
      <w:r w:rsidRPr="006330D2">
        <w:t xml:space="preserve"> </w:t>
      </w:r>
      <w:r>
        <w:t>[a]</w:t>
      </w:r>
      <w:r w:rsidRPr="006330D2">
        <w:t>t worst,</w:t>
      </w:r>
      <w:r>
        <w:t xml:space="preserve"> </w:t>
      </w:r>
      <w:r w:rsidRPr="006330D2">
        <w:t xml:space="preserve">potential interference between the MSHRS-300X devices and </w:t>
      </w:r>
      <w:r>
        <w:t>automotive radar</w:t>
      </w:r>
      <w:r w:rsidRPr="006330D2">
        <w:t xml:space="preserve"> sensors is the</w:t>
      </w:r>
      <w:r>
        <w:t xml:space="preserve"> </w:t>
      </w:r>
      <w:r w:rsidRPr="006330D2">
        <w:t xml:space="preserve">same as the potential interference among </w:t>
      </w:r>
      <w:r>
        <w:t>automotive</w:t>
      </w:r>
      <w:r w:rsidRPr="006330D2">
        <w:t xml:space="preserve"> radar systems</w:t>
      </w:r>
      <w:r>
        <w:t>”); Navtech Reply at 2-3 (</w:t>
      </w:r>
      <w:r w:rsidRPr="007259EF">
        <w:t>believ</w:t>
      </w:r>
      <w:r>
        <w:t>ing</w:t>
      </w:r>
      <w:r w:rsidRPr="007259EF">
        <w:t xml:space="preserve"> </w:t>
      </w:r>
      <w:r>
        <w:t>“</w:t>
      </w:r>
      <w:r w:rsidRPr="007259EF">
        <w:t>the likelihood of interference is no greater</w:t>
      </w:r>
      <w:r>
        <w:t xml:space="preserve"> </w:t>
      </w:r>
      <w:r w:rsidRPr="007259EF">
        <w:t xml:space="preserve">between fixed radar to </w:t>
      </w:r>
      <w:r>
        <w:t>automotive</w:t>
      </w:r>
      <w:r w:rsidRPr="007259EF">
        <w:t xml:space="preserve"> radar than between </w:t>
      </w:r>
      <w:r>
        <w:t xml:space="preserve">automotive to automotive </w:t>
      </w:r>
      <w:r w:rsidRPr="007259EF">
        <w:t>radar</w:t>
      </w:r>
      <w:r>
        <w:t>”).</w:t>
      </w:r>
      <w:r w:rsidRPr="00545BCD">
        <w:t xml:space="preserve"> </w:t>
      </w:r>
      <w:r>
        <w:t xml:space="preserve"> </w:t>
      </w:r>
      <w:r w:rsidRPr="00545BCD">
        <w:rPr>
          <w:i/>
        </w:rPr>
        <w:t>Cf.</w:t>
      </w:r>
      <w:r>
        <w:t xml:space="preserve"> </w:t>
      </w:r>
      <w:r w:rsidRPr="009A42A9">
        <w:t xml:space="preserve">Letter from Thomas Cohen, Counsel </w:t>
      </w:r>
      <w:r>
        <w:t>for</w:t>
      </w:r>
      <w:r w:rsidRPr="009A42A9">
        <w:t xml:space="preserve"> Trex Enterprises Corp., to Marlene H. Dortch, Secretary, FCC, ET Docket No. 15-26, at </w:t>
      </w:r>
      <w:r>
        <w:t>2</w:t>
      </w:r>
      <w:r w:rsidRPr="009A42A9">
        <w:t xml:space="preserve"> (filed </w:t>
      </w:r>
      <w:r>
        <w:t>Feb. 16, 2016</w:t>
      </w:r>
      <w:r w:rsidRPr="009A42A9">
        <w:t>)</w:t>
      </w:r>
      <w:r>
        <w:t xml:space="preserve"> (speculating that “</w:t>
      </w:r>
      <w:r w:rsidRPr="00002DD0">
        <w:t>any system architecture</w:t>
      </w:r>
      <w:r>
        <w:t>”</w:t>
      </w:r>
      <w:r w:rsidRPr="00002DD0">
        <w:t xml:space="preserve"> </w:t>
      </w:r>
      <w:r>
        <w:t>for vehicular radar “</w:t>
      </w:r>
      <w:r w:rsidRPr="00002DD0">
        <w:t>will be extremely interference</w:t>
      </w:r>
      <w:r>
        <w:t xml:space="preserve"> </w:t>
      </w:r>
      <w:r w:rsidRPr="00002DD0">
        <w:t>tolerant</w:t>
      </w:r>
      <w:r>
        <w:t>”).</w:t>
      </w:r>
    </w:p>
  </w:footnote>
  <w:footnote w:id="135">
    <w:p w:rsidR="009D0BE6" w:rsidRPr="004D45A7" w:rsidRDefault="009D0BE6" w:rsidP="00FD61DB">
      <w:pPr>
        <w:pStyle w:val="FootnoteText"/>
      </w:pPr>
      <w:r>
        <w:rPr>
          <w:rStyle w:val="FootnoteReference"/>
        </w:rPr>
        <w:footnoteRef/>
      </w:r>
      <w:r>
        <w:t xml:space="preserve"> </w:t>
      </w:r>
      <w:r>
        <w:rPr>
          <w:i/>
        </w:rPr>
        <w:t>See</w:t>
      </w:r>
      <w:r>
        <w:t xml:space="preserve">, </w:t>
      </w:r>
      <w:r>
        <w:rPr>
          <w:i/>
        </w:rPr>
        <w:t>e.g.</w:t>
      </w:r>
      <w:r>
        <w:t>, Alliance Comments at 3-5; ARRL Comments at 3; Association of Global Automakers, Inc. Reply at 3; ASC Comments at 3; Bosch Comments at 3-4, n.5; Delphi Comments at 3-4; Automotive Group Comments at 12-14; Mercedes-Benz Jul. 2016</w:t>
      </w:r>
      <w:r>
        <w:rPr>
          <w:i/>
        </w:rPr>
        <w:t xml:space="preserve"> Ex Parte</w:t>
      </w:r>
      <w:r>
        <w:t xml:space="preserve">, </w:t>
      </w:r>
      <w:r w:rsidRPr="004E759F">
        <w:t xml:space="preserve">attached </w:t>
      </w:r>
      <w:r>
        <w:t xml:space="preserve">presentation at 9-17; Alliance June 2016 </w:t>
      </w:r>
      <w:r w:rsidRPr="00F50CF7">
        <w:rPr>
          <w:i/>
        </w:rPr>
        <w:t>Ex Parte</w:t>
      </w:r>
      <w:r>
        <w:t xml:space="preserve">, attached presentation at 3; </w:t>
      </w:r>
      <w:r w:rsidRPr="003F7A92">
        <w:t xml:space="preserve">UATC Jan. 2016 </w:t>
      </w:r>
      <w:r w:rsidRPr="003F7A92">
        <w:rPr>
          <w:i/>
        </w:rPr>
        <w:t>Ex Parte</w:t>
      </w:r>
      <w:r w:rsidRPr="003F7A92">
        <w:t xml:space="preserve"> at 1</w:t>
      </w:r>
      <w:r>
        <w:t>.</w:t>
      </w:r>
    </w:p>
  </w:footnote>
  <w:footnote w:id="136">
    <w:p w:rsidR="009D0BE6" w:rsidRDefault="009D0BE6" w:rsidP="00BF559C">
      <w:pPr>
        <w:pStyle w:val="FootnoteText"/>
      </w:pPr>
      <w:r>
        <w:rPr>
          <w:rStyle w:val="FootnoteReference"/>
        </w:rPr>
        <w:footnoteRef/>
      </w:r>
      <w:r>
        <w:t xml:space="preserve"> </w:t>
      </w:r>
      <w:r>
        <w:rPr>
          <w:i/>
        </w:rPr>
        <w:t xml:space="preserve">See </w:t>
      </w:r>
      <w:r>
        <w:t xml:space="preserve">Mercedes-Benz Aug. 2016 </w:t>
      </w:r>
      <w:r w:rsidRPr="00424EE3">
        <w:rPr>
          <w:i/>
        </w:rPr>
        <w:t>Ex Parte</w:t>
      </w:r>
      <w:r>
        <w:t xml:space="preserve"> </w:t>
      </w:r>
      <w:r w:rsidRPr="004E759F">
        <w:t>at</w:t>
      </w:r>
      <w:r>
        <w:t xml:space="preserve"> 4.</w:t>
      </w:r>
    </w:p>
  </w:footnote>
  <w:footnote w:id="137">
    <w:p w:rsidR="009D0BE6" w:rsidRPr="00795588" w:rsidRDefault="009D0BE6" w:rsidP="00BF559C">
      <w:pPr>
        <w:pStyle w:val="FootnoteText"/>
      </w:pPr>
      <w:r>
        <w:rPr>
          <w:rStyle w:val="FootnoteReference"/>
        </w:rPr>
        <w:footnoteRef/>
      </w:r>
      <w:r>
        <w:t xml:space="preserve"> </w:t>
      </w:r>
      <w:r>
        <w:rPr>
          <w:i/>
        </w:rPr>
        <w:t>Id.</w:t>
      </w:r>
      <w:r>
        <w:t xml:space="preserve"> at 3-4.  Mercedes-Benz contends that since manufacturers design vehicular radar systems to avoid interfering with other vehicular radar systems when operating on the same frequencies, interference between two vehicular radars can only occur in the unlikely event of an overlap in the frequency and time domains of both signals during their detection period and if the victim vehicle is in the field of view of the interfering vehicle.  Mercedes-Benz contrasts this scenario by stating a vehicular radar system that passes by a potential non-rotating fixed radar system will not be able to avoid interference that is caused by an overlap in both the frequency and time domains.  </w:t>
      </w:r>
      <w:r>
        <w:rPr>
          <w:i/>
        </w:rPr>
        <w:t>Id</w:t>
      </w:r>
      <w:r>
        <w:t>. at 5.</w:t>
      </w:r>
    </w:p>
  </w:footnote>
  <w:footnote w:id="138">
    <w:p w:rsidR="009D0BE6" w:rsidRPr="00343B62" w:rsidRDefault="009D0BE6" w:rsidP="00FD61DB">
      <w:pPr>
        <w:pStyle w:val="FootnoteText"/>
        <w:rPr>
          <w:i/>
        </w:rPr>
      </w:pPr>
      <w:r>
        <w:rPr>
          <w:rStyle w:val="FootnoteReference"/>
        </w:rPr>
        <w:footnoteRef/>
      </w:r>
      <w:r>
        <w:t xml:space="preserve"> Delphi Comments at 4.  Delphi asserts that if multiple fixed radars are mounted on elevated platforms along a highway and pointed towards the highway, their beams would not be blocked by adjacent vehicles.  As a result, a radar-equipped vehicle “may be in a potential interference environment for an extended period of time and potentially from multiple fixed radars simultaneously.”  Delphi contrasts this situation with multiple radar equipped vehicles, where the radar line of sight to most vehicles is naturally obstructed – thereby limiting the number of potential interferers.  </w:t>
      </w:r>
      <w:r>
        <w:rPr>
          <w:i/>
        </w:rPr>
        <w:t>Id.</w:t>
      </w:r>
    </w:p>
  </w:footnote>
  <w:footnote w:id="139">
    <w:p w:rsidR="009D0BE6" w:rsidRPr="00343B62" w:rsidRDefault="009D0BE6" w:rsidP="00FD61DB">
      <w:pPr>
        <w:pStyle w:val="FootnoteText"/>
      </w:pPr>
      <w:r>
        <w:rPr>
          <w:rStyle w:val="FootnoteReference"/>
        </w:rPr>
        <w:footnoteRef/>
      </w:r>
      <w:r>
        <w:t xml:space="preserve"> </w:t>
      </w:r>
      <w:r>
        <w:rPr>
          <w:i/>
        </w:rPr>
        <w:t xml:space="preserve">Id. </w:t>
      </w:r>
      <w:r>
        <w:t>at 3 (referencing the requirement that FOD detection radars’ signals not illuminate public roadways, and the fact that LPRs’ signals are pointed downward towards the reflecting surface and are not pointed along the road).</w:t>
      </w:r>
    </w:p>
  </w:footnote>
  <w:footnote w:id="140">
    <w:p w:rsidR="009D0BE6" w:rsidRPr="0014785A" w:rsidRDefault="009D0BE6" w:rsidP="00FD61DB">
      <w:pPr>
        <w:widowControl/>
        <w:autoSpaceDE w:val="0"/>
        <w:autoSpaceDN w:val="0"/>
        <w:adjustRightInd w:val="0"/>
        <w:spacing w:after="120"/>
        <w:rPr>
          <w:rFonts w:ascii="Arial" w:hAnsi="Arial" w:cs="Arial"/>
          <w:snapToGrid/>
          <w:kern w:val="0"/>
          <w:sz w:val="21"/>
          <w:szCs w:val="21"/>
        </w:rPr>
      </w:pPr>
      <w:r>
        <w:rPr>
          <w:rStyle w:val="FootnoteReference"/>
        </w:rPr>
        <w:footnoteRef/>
      </w:r>
      <w:r>
        <w:t xml:space="preserve"> </w:t>
      </w:r>
      <w:r w:rsidRPr="004E759F">
        <w:rPr>
          <w:i/>
          <w:sz w:val="20"/>
        </w:rPr>
        <w:t>See</w:t>
      </w:r>
      <w:r w:rsidRPr="004E759F">
        <w:t xml:space="preserve"> </w:t>
      </w:r>
      <w:r w:rsidRPr="00254085">
        <w:rPr>
          <w:sz w:val="20"/>
        </w:rPr>
        <w:t>Mercedes-Benz Jul</w:t>
      </w:r>
      <w:r>
        <w:rPr>
          <w:sz w:val="20"/>
        </w:rPr>
        <w:t>.</w:t>
      </w:r>
      <w:r w:rsidRPr="00254085">
        <w:rPr>
          <w:sz w:val="20"/>
        </w:rPr>
        <w:t xml:space="preserve"> 2016 </w:t>
      </w:r>
      <w:r w:rsidRPr="00254085">
        <w:rPr>
          <w:i/>
          <w:sz w:val="20"/>
        </w:rPr>
        <w:t>Ex Parte</w:t>
      </w:r>
      <w:r>
        <w:rPr>
          <w:snapToGrid/>
          <w:kern w:val="0"/>
          <w:sz w:val="20"/>
        </w:rPr>
        <w:t xml:space="preserve">, </w:t>
      </w:r>
      <w:r w:rsidRPr="004E759F">
        <w:rPr>
          <w:snapToGrid/>
          <w:kern w:val="0"/>
          <w:sz w:val="20"/>
        </w:rPr>
        <w:t xml:space="preserve">attached </w:t>
      </w:r>
      <w:r>
        <w:rPr>
          <w:snapToGrid/>
          <w:kern w:val="0"/>
          <w:sz w:val="20"/>
        </w:rPr>
        <w:t xml:space="preserve">presentation at </w:t>
      </w:r>
      <w:r>
        <w:rPr>
          <w:rFonts w:ascii="TimesNewRomanPSMT" w:hAnsi="TimesNewRomanPSMT" w:cs="TimesNewRomanPSMT"/>
          <w:snapToGrid/>
          <w:kern w:val="0"/>
          <w:sz w:val="20"/>
        </w:rPr>
        <w:t>10-15</w:t>
      </w:r>
      <w:r>
        <w:rPr>
          <w:snapToGrid/>
          <w:kern w:val="0"/>
          <w:sz w:val="20"/>
        </w:rPr>
        <w:t>.</w:t>
      </w:r>
      <w:r>
        <w:rPr>
          <w:rFonts w:ascii="TimesNewRomanPSMT" w:hAnsi="TimesNewRomanPSMT" w:cs="TimesNewRomanPSMT"/>
          <w:snapToGrid/>
          <w:kern w:val="0"/>
          <w:sz w:val="20"/>
        </w:rPr>
        <w:t xml:space="preserve"> </w:t>
      </w:r>
    </w:p>
  </w:footnote>
  <w:footnote w:id="141">
    <w:p w:rsidR="009D0BE6" w:rsidRDefault="009D0BE6" w:rsidP="001E2E46">
      <w:pPr>
        <w:pStyle w:val="FootnoteText"/>
      </w:pPr>
      <w:r>
        <w:rPr>
          <w:rStyle w:val="FootnoteReference"/>
        </w:rPr>
        <w:footnoteRef/>
      </w:r>
      <w:r>
        <w:t xml:space="preserve"> Bosch Comments at 12.</w:t>
      </w:r>
      <w:r w:rsidRPr="00A6218B">
        <w:t xml:space="preserve"> </w:t>
      </w:r>
      <w:r>
        <w:t xml:space="preserve"> </w:t>
      </w:r>
      <w:r w:rsidRPr="00E649B5">
        <w:rPr>
          <w:i/>
        </w:rPr>
        <w:t>See</w:t>
      </w:r>
      <w:r>
        <w:t xml:space="preserve"> </w:t>
      </w:r>
      <w:r w:rsidRPr="00FA1D10">
        <w:t>ETSI TR 10</w:t>
      </w:r>
      <w:r>
        <w:t>2</w:t>
      </w:r>
      <w:r w:rsidRPr="00FA1D10">
        <w:t xml:space="preserve"> </w:t>
      </w:r>
      <w:r>
        <w:t>704</w:t>
      </w:r>
      <w:r w:rsidRPr="00FA1D10">
        <w:t xml:space="preserve"> V1.</w:t>
      </w:r>
      <w:r>
        <w:t>2</w:t>
      </w:r>
      <w:r w:rsidRPr="00FA1D10">
        <w:t>.1</w:t>
      </w:r>
      <w:r>
        <w:t xml:space="preserve"> (2012-03), </w:t>
      </w:r>
      <w:r w:rsidRPr="00FA1D10">
        <w:t>Electromagnetic compatibility and Radio spectrum Matters (</w:t>
      </w:r>
      <w:r>
        <w:t>ERM); System Reference document</w:t>
      </w:r>
      <w:r w:rsidRPr="00FA1D10">
        <w:t xml:space="preserve">; </w:t>
      </w:r>
      <w:r>
        <w:t xml:space="preserve">Short-Range Devices (SRD); Radar sensors for non-automotive; ground based vehicular applications in the 76 GHz to 77 GHz frequency range (2012), </w:t>
      </w:r>
      <w:r w:rsidRPr="005A0C65">
        <w:t>at 15, Section 6.2.1.2</w:t>
      </w:r>
      <w:r>
        <w:t xml:space="preserve">, </w:t>
      </w:r>
      <w:hyperlink r:id="rId9" w:history="1">
        <w:r w:rsidRPr="007B0BE9">
          <w:rPr>
            <w:rStyle w:val="Hyperlink"/>
          </w:rPr>
          <w:t>www.etsi.org/deliver/etsi_tr/102700_102799/102704/01.02.01_60/tr_102704v010201p.pdf</w:t>
        </w:r>
      </w:hyperlink>
      <w:r>
        <w:t>.</w:t>
      </w:r>
    </w:p>
  </w:footnote>
  <w:footnote w:id="142">
    <w:p w:rsidR="009D0BE6" w:rsidRPr="00AE718C" w:rsidRDefault="009D0BE6" w:rsidP="001E2E46">
      <w:pPr>
        <w:pStyle w:val="FootnoteText"/>
      </w:pPr>
      <w:r>
        <w:rPr>
          <w:rStyle w:val="FootnoteReference"/>
        </w:rPr>
        <w:footnoteRef/>
      </w:r>
      <w:r>
        <w:t xml:space="preserve"> Bosch Reply at</w:t>
      </w:r>
      <w:r w:rsidRPr="001E2E46">
        <w:t xml:space="preserve"> 10.</w:t>
      </w:r>
    </w:p>
  </w:footnote>
  <w:footnote w:id="143">
    <w:p w:rsidR="009D0BE6" w:rsidRPr="005266E4" w:rsidRDefault="009D0BE6" w:rsidP="00A04B6D">
      <w:pPr>
        <w:pStyle w:val="FootnoteText"/>
      </w:pPr>
      <w:r>
        <w:rPr>
          <w:rStyle w:val="FootnoteReference"/>
        </w:rPr>
        <w:footnoteRef/>
      </w:r>
      <w:r w:rsidRPr="001E2E46">
        <w:rPr>
          <w:i/>
        </w:rPr>
        <w:t xml:space="preserve"> See</w:t>
      </w:r>
      <w:r w:rsidRPr="001E2E46">
        <w:t xml:space="preserve"> </w:t>
      </w:r>
      <w:r>
        <w:rPr>
          <w:szCs w:val="22"/>
        </w:rPr>
        <w:t xml:space="preserve">MOSARIM Project Final Report, Grant Agreement No. 248231, </w:t>
      </w:r>
      <w:r w:rsidRPr="001E2E46">
        <w:t>at 13, Fig. 17</w:t>
      </w:r>
      <w:r>
        <w:rPr>
          <w:szCs w:val="22"/>
        </w:rPr>
        <w:t xml:space="preserve"> (Dec. 21, 2012), </w:t>
      </w:r>
      <w:hyperlink r:id="rId10" w:history="1">
        <w:r w:rsidRPr="00FA1D10">
          <w:rPr>
            <w:rStyle w:val="Hyperlink"/>
          </w:rPr>
          <w:t>http://cordis.europa.eu/docs/projects/cnect/1/248231/080/deliverables/001-D611finalreportfinal.pdf</w:t>
        </w:r>
      </w:hyperlink>
      <w:r>
        <w:t xml:space="preserve"> (</w:t>
      </w:r>
      <w:r w:rsidRPr="001E2E46">
        <w:t>MOSARIM Final Report</w:t>
      </w:r>
      <w:r>
        <w:t>)</w:t>
      </w:r>
      <w:r w:rsidRPr="001E2E46">
        <w:t>.</w:t>
      </w:r>
    </w:p>
  </w:footnote>
  <w:footnote w:id="144">
    <w:p w:rsidR="009D0BE6" w:rsidRPr="00DD23B2" w:rsidRDefault="009D0BE6" w:rsidP="005A7E2E">
      <w:pPr>
        <w:pStyle w:val="FootnoteText"/>
        <w:rPr>
          <w:i/>
        </w:rPr>
      </w:pPr>
      <w:r>
        <w:rPr>
          <w:rStyle w:val="FootnoteReference"/>
        </w:rPr>
        <w:footnoteRef/>
      </w:r>
      <w:r>
        <w:t xml:space="preserve"> </w:t>
      </w:r>
      <w:r w:rsidRPr="00E23415">
        <w:rPr>
          <w:i/>
        </w:rPr>
        <w:t>LPR R&amp;O</w:t>
      </w:r>
      <w:r>
        <w:t xml:space="preserve">, </w:t>
      </w:r>
      <w:r w:rsidRPr="00631AB9">
        <w:t>29 FCC Rcd at 774, para. 29</w:t>
      </w:r>
      <w:r>
        <w:t xml:space="preserve">.  </w:t>
      </w:r>
    </w:p>
  </w:footnote>
  <w:footnote w:id="145">
    <w:p w:rsidR="009D0BE6" w:rsidRPr="008277FC" w:rsidRDefault="009D0BE6" w:rsidP="005A7E2E">
      <w:pPr>
        <w:pStyle w:val="FootnoteText"/>
      </w:pPr>
      <w:r>
        <w:rPr>
          <w:rStyle w:val="FootnoteReference"/>
        </w:rPr>
        <w:footnoteRef/>
      </w:r>
      <w:r>
        <w:t xml:space="preserve"> </w:t>
      </w:r>
      <w:r>
        <w:rPr>
          <w:i/>
        </w:rPr>
        <w:t>See</w:t>
      </w:r>
      <w:r>
        <w:t xml:space="preserve"> </w:t>
      </w:r>
      <w:r w:rsidRPr="008277FC">
        <w:rPr>
          <w:i/>
        </w:rPr>
        <w:t>NPRM</w:t>
      </w:r>
      <w:r>
        <w:t>, 30 FCC Rcd at 1641, para. 54 (stating the view that “where two radars are aiming directly at each other, [a] fixed radar should have no more impact on a vehicular radar [than] that from a radar located on a stationary vehicle.”)</w:t>
      </w:r>
    </w:p>
  </w:footnote>
  <w:footnote w:id="146">
    <w:p w:rsidR="009D0BE6" w:rsidRPr="00DD23B2" w:rsidRDefault="009D0BE6" w:rsidP="005A7E2E">
      <w:pPr>
        <w:pStyle w:val="FootnoteText"/>
      </w:pPr>
      <w:r>
        <w:rPr>
          <w:rStyle w:val="FootnoteReference"/>
        </w:rPr>
        <w:footnoteRef/>
      </w:r>
      <w:r>
        <w:t xml:space="preserve"> </w:t>
      </w:r>
      <w:r>
        <w:rPr>
          <w:i/>
        </w:rPr>
        <w:t>See e.g.</w:t>
      </w:r>
      <w:r>
        <w:t xml:space="preserve">, Mercedes-Benz Aug. 2016 </w:t>
      </w:r>
      <w:r w:rsidRPr="00424EE3">
        <w:rPr>
          <w:i/>
        </w:rPr>
        <w:t>Ex Parte</w:t>
      </w:r>
      <w:r>
        <w:t xml:space="preserve"> </w:t>
      </w:r>
      <w:r w:rsidRPr="004E759F">
        <w:t>at</w:t>
      </w:r>
      <w:r>
        <w:t xml:space="preserve"> 4 and Delphi Comments at 4.</w:t>
      </w:r>
    </w:p>
  </w:footnote>
  <w:footnote w:id="147">
    <w:p w:rsidR="009D0BE6" w:rsidRDefault="009D0BE6" w:rsidP="003112D3">
      <w:pPr>
        <w:pStyle w:val="FootnoteText"/>
      </w:pPr>
      <w:r>
        <w:rPr>
          <w:rStyle w:val="FootnoteReference"/>
        </w:rPr>
        <w:footnoteRef/>
      </w:r>
      <w:r>
        <w:t xml:space="preserve"> </w:t>
      </w:r>
      <w:r w:rsidRPr="00661571">
        <w:rPr>
          <w:i/>
        </w:rPr>
        <w:t>See</w:t>
      </w:r>
      <w:r>
        <w:rPr>
          <w:i/>
        </w:rPr>
        <w:t>, e.g.</w:t>
      </w:r>
      <w:r>
        <w:t>,</w:t>
      </w:r>
      <w:r w:rsidRPr="00661571">
        <w:t xml:space="preserve"> Alliance Comments at 4</w:t>
      </w:r>
      <w:r>
        <w:t>;</w:t>
      </w:r>
      <w:r w:rsidRPr="00661571">
        <w:t xml:space="preserve"> </w:t>
      </w:r>
      <w:r w:rsidRPr="006A1310">
        <w:rPr>
          <w:snapToGrid w:val="0"/>
        </w:rPr>
        <w:t>Automotive Group Comments at 3; Autom</w:t>
      </w:r>
      <w:r>
        <w:t xml:space="preserve">otive Group Reply at 2; </w:t>
      </w:r>
      <w:r w:rsidRPr="006A1310">
        <w:rPr>
          <w:snapToGrid w:val="0"/>
        </w:rPr>
        <w:t>Bosch Comments at 3-4; Delphi Comments at 3-4</w:t>
      </w:r>
      <w:r>
        <w:t>.</w:t>
      </w:r>
    </w:p>
  </w:footnote>
  <w:footnote w:id="148">
    <w:p w:rsidR="009D0BE6" w:rsidRPr="00E649B5" w:rsidRDefault="009D0BE6" w:rsidP="001825A3">
      <w:pPr>
        <w:pStyle w:val="FootnoteText"/>
      </w:pPr>
      <w:r w:rsidRPr="00FA1D10">
        <w:rPr>
          <w:rStyle w:val="FootnoteReference"/>
        </w:rPr>
        <w:footnoteRef/>
      </w:r>
      <w:r w:rsidRPr="00FA1D10">
        <w:t xml:space="preserve"> </w:t>
      </w:r>
      <w:r w:rsidRPr="00FA1D10">
        <w:rPr>
          <w:i/>
        </w:rPr>
        <w:t xml:space="preserve">See </w:t>
      </w:r>
      <w:r w:rsidRPr="00FA1D10">
        <w:t xml:space="preserve">Navtech Reply at 3 (submitting that ETSI’s Technical Report ETSI TR 103 148 V1.1.1 concludes that Navtech’s </w:t>
      </w:r>
      <w:r w:rsidRPr="00B167CC">
        <w:rPr>
          <w:szCs w:val="22"/>
        </w:rPr>
        <w:t xml:space="preserve">Spectrum Engineering Advanced Monte Carlo Analysis Tool (SEAMCAT) </w:t>
      </w:r>
      <w:r w:rsidRPr="00FA1D10">
        <w:t>simulation determined that the probability of a scanning infrastructure radar interfering with a vehicular radar is less than that of a vehicular radar interferin</w:t>
      </w:r>
      <w:r>
        <w:t>g with another vehicular radar); E-mail</w:t>
      </w:r>
      <w:r w:rsidRPr="004F269A">
        <w:t xml:space="preserve"> from </w:t>
      </w:r>
      <w:r>
        <w:t>Richard Poulton</w:t>
      </w:r>
      <w:r w:rsidRPr="004F269A">
        <w:t xml:space="preserve">, </w:t>
      </w:r>
      <w:r>
        <w:t>Navtech Radar Limited</w:t>
      </w:r>
      <w:r w:rsidRPr="004F269A">
        <w:t xml:space="preserve">, to </w:t>
      </w:r>
      <w:r>
        <w:t xml:space="preserve">Aamer Zain, </w:t>
      </w:r>
      <w:r w:rsidRPr="003472C9">
        <w:t>Electronics Engineer</w:t>
      </w:r>
      <w:r>
        <w:t>,</w:t>
      </w:r>
      <w:r w:rsidRPr="004F269A">
        <w:t xml:space="preserve"> FCC, </w:t>
      </w:r>
      <w:r w:rsidRPr="00346F84">
        <w:t>ET Docket No. 15-26</w:t>
      </w:r>
      <w:r>
        <w:t xml:space="preserve"> </w:t>
      </w:r>
      <w:r w:rsidRPr="004F269A">
        <w:t>(</w:t>
      </w:r>
      <w:r>
        <w:t xml:space="preserve">Feb. 21, 2017, 11:46 EST) (updating the Commission with regard to a recently-approved ECC interference study).  </w:t>
      </w:r>
      <w:r w:rsidRPr="000B1EF6">
        <w:rPr>
          <w:i/>
        </w:rPr>
        <w:t xml:space="preserve">See </w:t>
      </w:r>
      <w:r>
        <w:t xml:space="preserve">ECC Report 262, </w:t>
      </w:r>
      <w:r w:rsidRPr="000B1EF6">
        <w:t>Studies related to surveillance radar equipment operating in the 76 to 7</w:t>
      </w:r>
      <w:r>
        <w:t xml:space="preserve">7 GHz range </w:t>
      </w:r>
      <w:r w:rsidRPr="000B1EF6">
        <w:t xml:space="preserve">for fixed transport infrastructure </w:t>
      </w:r>
      <w:r>
        <w:t xml:space="preserve">(Jan. 27, 2017), </w:t>
      </w:r>
      <w:hyperlink r:id="rId11" w:history="1">
        <w:r w:rsidRPr="00F4511D">
          <w:rPr>
            <w:rStyle w:val="Hyperlink"/>
          </w:rPr>
          <w:t>http://www.erodocdb.dk/doks/filedownload.aspx?fileid=4317&amp;fileurl=http://www.erodocdb.dk/Docs/doc98/official/pdf/ECCREP262.PDF</w:t>
        </w:r>
      </w:hyperlink>
      <w:r>
        <w:t xml:space="preserve">.  </w:t>
      </w:r>
      <w:r w:rsidRPr="00E649B5">
        <w:rPr>
          <w:i/>
        </w:rPr>
        <w:t>See</w:t>
      </w:r>
      <w:r>
        <w:rPr>
          <w:i/>
        </w:rPr>
        <w:t xml:space="preserve"> also</w:t>
      </w:r>
      <w:r>
        <w:t xml:space="preserve"> </w:t>
      </w:r>
      <w:r w:rsidRPr="00FA1D10">
        <w:t>ETSI TR 103 148 V1.1.1</w:t>
      </w:r>
      <w:r>
        <w:t xml:space="preserve"> (2014-06), </w:t>
      </w:r>
      <w:r w:rsidRPr="00FA1D10">
        <w:t>Electromagnetic compatibility and Radio spectrum Matters (ERM); System Reference document (SRdoc); Technical characteristics of Radio equipment to be used in the 76</w:t>
      </w:r>
      <w:r>
        <w:t xml:space="preserve"> GHz to 77</w:t>
      </w:r>
      <w:r w:rsidRPr="00FA1D10">
        <w:t xml:space="preserve"> GHz band; </w:t>
      </w:r>
      <w:r>
        <w:t xml:space="preserve">Short-Range Radar </w:t>
      </w:r>
      <w:r w:rsidRPr="00FA1D10">
        <w:t>to be fitted on fixed transport infrastructure</w:t>
      </w:r>
      <w:r>
        <w:t xml:space="preserve"> (2014), </w:t>
      </w:r>
      <w:hyperlink r:id="rId12" w:history="1">
        <w:r w:rsidRPr="007B0BE9">
          <w:rPr>
            <w:rStyle w:val="Hyperlink"/>
          </w:rPr>
          <w:t>www.etsi.org/deliver/etsi_tr/103100_103199/103148/01.01.01_60/tr_103148v010101p.pdf</w:t>
        </w:r>
      </w:hyperlink>
      <w:r>
        <w:t xml:space="preserve">. </w:t>
      </w:r>
    </w:p>
  </w:footnote>
  <w:footnote w:id="149">
    <w:p w:rsidR="009D0BE6" w:rsidRPr="00FA1D10" w:rsidRDefault="009D0BE6" w:rsidP="003112D3">
      <w:pPr>
        <w:pStyle w:val="FootnoteText"/>
      </w:pPr>
      <w:r w:rsidRPr="00FA1D10">
        <w:rPr>
          <w:rStyle w:val="FootnoteReference"/>
        </w:rPr>
        <w:footnoteRef/>
      </w:r>
      <w:r w:rsidRPr="00FA1D10">
        <w:t xml:space="preserve"> </w:t>
      </w:r>
      <w:r w:rsidRPr="00FA1D10">
        <w:rPr>
          <w:i/>
        </w:rPr>
        <w:t>See</w:t>
      </w:r>
      <w:r w:rsidRPr="00FA1D10">
        <w:t xml:space="preserve"> </w:t>
      </w:r>
      <w:r>
        <w:t xml:space="preserve">CEPT ECC Working Group FM (13)053, </w:t>
      </w:r>
      <w:r w:rsidRPr="00D95D76">
        <w:rPr>
          <w:i/>
        </w:rPr>
        <w:t>supra</w:t>
      </w:r>
      <w:r>
        <w:t xml:space="preserve"> </w:t>
      </w:r>
      <w:r w:rsidRPr="00A14BEA">
        <w:t xml:space="preserve">note </w:t>
      </w:r>
      <w:r w:rsidRPr="00CB1C67">
        <w:t>131</w:t>
      </w:r>
      <w:r>
        <w:t>, at 3.  The testing used</w:t>
      </w:r>
      <w:r w:rsidRPr="000F7DE9">
        <w:rPr>
          <w:szCs w:val="22"/>
        </w:rPr>
        <w:t xml:space="preserve"> </w:t>
      </w:r>
      <w:r w:rsidRPr="00B167CC">
        <w:rPr>
          <w:szCs w:val="22"/>
        </w:rPr>
        <w:t xml:space="preserve">Navtech’s fixed </w:t>
      </w:r>
      <w:r>
        <w:rPr>
          <w:szCs w:val="22"/>
        </w:rPr>
        <w:t>Traffic Monitoring S</w:t>
      </w:r>
      <w:r w:rsidRPr="00B167CC">
        <w:rPr>
          <w:szCs w:val="22"/>
        </w:rPr>
        <w:t>ystem</w:t>
      </w:r>
      <w:r>
        <w:rPr>
          <w:szCs w:val="22"/>
        </w:rPr>
        <w:t xml:space="preserve"> on October 13, 2012.  </w:t>
      </w:r>
      <w:r w:rsidRPr="00D95D76">
        <w:rPr>
          <w:i/>
          <w:szCs w:val="22"/>
        </w:rPr>
        <w:t>Id.</w:t>
      </w:r>
      <w:r>
        <w:rPr>
          <w:szCs w:val="22"/>
        </w:rPr>
        <w:t xml:space="preserve">, </w:t>
      </w:r>
      <w:r w:rsidRPr="00171919">
        <w:rPr>
          <w:szCs w:val="22"/>
        </w:rPr>
        <w:t>Embedded Annex:</w:t>
      </w:r>
      <w:r w:rsidRPr="00171919">
        <w:t xml:space="preserve"> </w:t>
      </w:r>
      <w:r>
        <w:t xml:space="preserve"> </w:t>
      </w:r>
      <w:r w:rsidRPr="00171919">
        <w:rPr>
          <w:szCs w:val="22"/>
        </w:rPr>
        <w:t>MOSARIM Test Campaign Summary</w:t>
      </w:r>
      <w:r>
        <w:rPr>
          <w:szCs w:val="22"/>
        </w:rPr>
        <w:t>.</w:t>
      </w:r>
    </w:p>
  </w:footnote>
  <w:footnote w:id="150">
    <w:p w:rsidR="009D0BE6" w:rsidRDefault="009D0BE6" w:rsidP="00FD61DB">
      <w:pPr>
        <w:pStyle w:val="FootnoteText"/>
      </w:pPr>
      <w:r>
        <w:rPr>
          <w:rStyle w:val="FootnoteReference"/>
        </w:rPr>
        <w:footnoteRef/>
      </w:r>
      <w:r>
        <w:t xml:space="preserve"> </w:t>
      </w:r>
      <w:r>
        <w:rPr>
          <w:i/>
          <w:iCs/>
          <w:snapToGrid w:val="0"/>
        </w:rPr>
        <w:t>See</w:t>
      </w:r>
      <w:r>
        <w:rPr>
          <w:snapToGrid w:val="0"/>
        </w:rPr>
        <w:t xml:space="preserve"> </w:t>
      </w:r>
      <w:r w:rsidRPr="00F377CD">
        <w:rPr>
          <w:snapToGrid w:val="0"/>
        </w:rPr>
        <w:t xml:space="preserve">Bosch Comments at 8 nn.14, 15; Mercedes-Benz Dec. 2015 </w:t>
      </w:r>
      <w:r w:rsidRPr="00F50CF7">
        <w:rPr>
          <w:i/>
          <w:snapToGrid w:val="0"/>
        </w:rPr>
        <w:t>Ex Parte</w:t>
      </w:r>
      <w:r w:rsidRPr="00F377CD">
        <w:rPr>
          <w:snapToGrid w:val="0"/>
        </w:rPr>
        <w:t xml:space="preserve"> at 2; Mercedes-Benz Jul. 2016 </w:t>
      </w:r>
      <w:r w:rsidRPr="00F50CF7">
        <w:rPr>
          <w:i/>
          <w:snapToGrid w:val="0"/>
        </w:rPr>
        <w:t>Ex Parte</w:t>
      </w:r>
      <w:r w:rsidRPr="00F377CD">
        <w:rPr>
          <w:snapToGrid w:val="0"/>
        </w:rPr>
        <w:t xml:space="preserve">, attached presentation at 6; Mercedes-Benz Aug. 2016 </w:t>
      </w:r>
      <w:r w:rsidRPr="00F50CF7">
        <w:rPr>
          <w:i/>
          <w:snapToGrid w:val="0"/>
        </w:rPr>
        <w:t>Ex Parte</w:t>
      </w:r>
      <w:r w:rsidRPr="00F377CD">
        <w:rPr>
          <w:snapToGrid w:val="0"/>
        </w:rPr>
        <w:t xml:space="preserve"> at 1</w:t>
      </w:r>
      <w:r>
        <w:rPr>
          <w:snapToGrid w:val="0"/>
        </w:rPr>
        <w:t>.</w:t>
      </w:r>
    </w:p>
  </w:footnote>
  <w:footnote w:id="151">
    <w:p w:rsidR="009D0BE6" w:rsidRDefault="009D0BE6" w:rsidP="0064486A">
      <w:pPr>
        <w:pStyle w:val="FootnoteText"/>
      </w:pPr>
      <w:r>
        <w:rPr>
          <w:rStyle w:val="FootnoteReference"/>
        </w:rPr>
        <w:footnoteRef/>
      </w:r>
      <w:r>
        <w:t xml:space="preserve"> Among other things, we would need to consider the particular criteria for protecting vehicles on roadways as well as details regarding the coordination process.</w:t>
      </w:r>
    </w:p>
  </w:footnote>
  <w:footnote w:id="152">
    <w:p w:rsidR="009D0BE6" w:rsidRDefault="009D0BE6" w:rsidP="00FD61DB">
      <w:pPr>
        <w:pStyle w:val="FootnoteText"/>
      </w:pPr>
      <w:r>
        <w:rPr>
          <w:rStyle w:val="FootnoteReference"/>
        </w:rPr>
        <w:footnoteRef/>
      </w:r>
      <w:r>
        <w:t xml:space="preserve"> 47 CFR § 15.253(c).  Such operations are not permitted on aircraft or satellites.  </w:t>
      </w:r>
      <w:r>
        <w:rPr>
          <w:i/>
        </w:rPr>
        <w:t>Id</w:t>
      </w:r>
      <w:r>
        <w:t>.</w:t>
      </w:r>
    </w:p>
  </w:footnote>
  <w:footnote w:id="153">
    <w:p w:rsidR="009D0BE6" w:rsidRPr="00866065" w:rsidRDefault="009D0BE6" w:rsidP="00FD61DB">
      <w:pPr>
        <w:pStyle w:val="FootnoteText"/>
      </w:pPr>
      <w:r>
        <w:rPr>
          <w:rStyle w:val="FootnoteReference"/>
        </w:rPr>
        <w:footnoteRef/>
      </w:r>
      <w:r>
        <w:t xml:space="preserve"> </w:t>
      </w:r>
      <w:r>
        <w:rPr>
          <w:i/>
        </w:rPr>
        <w:t>78-81 GHz FOD Detection Radar R&amp;O</w:t>
      </w:r>
      <w:r>
        <w:t>, 28 FCC Rcd at 10427, para. 12.</w:t>
      </w:r>
      <w:r w:rsidRPr="007A7930">
        <w:t xml:space="preserve"> </w:t>
      </w:r>
      <w:r>
        <w:t xml:space="preserve"> A search of the Commission’s </w:t>
      </w:r>
      <w:r w:rsidRPr="00C04E83">
        <w:t>U</w:t>
      </w:r>
      <w:r>
        <w:t xml:space="preserve">niversal </w:t>
      </w:r>
      <w:r w:rsidRPr="00C04E83">
        <w:t>L</w:t>
      </w:r>
      <w:r>
        <w:t xml:space="preserve">icensing </w:t>
      </w:r>
      <w:r w:rsidRPr="00C04E83">
        <w:t>S</w:t>
      </w:r>
      <w:r>
        <w:t>ystem</w:t>
      </w:r>
      <w:r w:rsidRPr="00C04E83">
        <w:t xml:space="preserve"> database </w:t>
      </w:r>
      <w:r>
        <w:t>shows that</w:t>
      </w:r>
      <w:r w:rsidRPr="007905C6">
        <w:t xml:space="preserve"> no application</w:t>
      </w:r>
      <w:r>
        <w:t>s have been submitted</w:t>
      </w:r>
      <w:r w:rsidRPr="007905C6">
        <w:t xml:space="preserve"> for such operations</w:t>
      </w:r>
      <w:r>
        <w:t xml:space="preserve">; </w:t>
      </w:r>
      <w:r w:rsidRPr="0033278B">
        <w:rPr>
          <w:i/>
        </w:rPr>
        <w:t>see also</w:t>
      </w:r>
      <w:r>
        <w:t xml:space="preserve"> 47 CFR § 90.103(b)</w:t>
      </w:r>
      <w:r w:rsidRPr="007905C6">
        <w:t>.</w:t>
      </w:r>
    </w:p>
  </w:footnote>
  <w:footnote w:id="154">
    <w:p w:rsidR="009D0BE6" w:rsidRDefault="009D0BE6" w:rsidP="00FD61DB">
      <w:pPr>
        <w:pStyle w:val="FootnoteText"/>
      </w:pPr>
      <w:r>
        <w:rPr>
          <w:rStyle w:val="FootnoteReference"/>
        </w:rPr>
        <w:footnoteRef/>
      </w:r>
      <w:r>
        <w:t xml:space="preserve"> NPRM, 30 FCC Rcd at 1641-43, para. 56-61. </w:t>
      </w:r>
    </w:p>
  </w:footnote>
  <w:footnote w:id="155">
    <w:p w:rsidR="009D0BE6" w:rsidRDefault="009D0BE6">
      <w:pPr>
        <w:pStyle w:val="FootnoteText"/>
      </w:pPr>
      <w:r>
        <w:rPr>
          <w:rStyle w:val="FootnoteReference"/>
        </w:rPr>
        <w:footnoteRef/>
      </w:r>
      <w:r>
        <w:t xml:space="preserve"> As discussed below, such operations will be authorized under Part 95 of our rules.</w:t>
      </w:r>
    </w:p>
  </w:footnote>
  <w:footnote w:id="156">
    <w:p w:rsidR="009D0BE6" w:rsidRDefault="009D0BE6" w:rsidP="00F0332F">
      <w:pPr>
        <w:pStyle w:val="FootnoteText"/>
      </w:pPr>
      <w:r>
        <w:rPr>
          <w:rStyle w:val="FootnoteReference"/>
        </w:rPr>
        <w:footnoteRef/>
      </w:r>
      <w:r>
        <w:t xml:space="preserve"> </w:t>
      </w:r>
      <w:r w:rsidRPr="0041494B">
        <w:rPr>
          <w:i/>
        </w:rPr>
        <w:t>See</w:t>
      </w:r>
      <w:r w:rsidRPr="0041494B">
        <w:t xml:space="preserve"> </w:t>
      </w:r>
      <w:r w:rsidRPr="005436D6">
        <w:t>Bosch Comments at 25; Delphi Comments at 2; Navtech Comments at 4; Xsight</w:t>
      </w:r>
      <w:r>
        <w:t xml:space="preserve"> Systems</w:t>
      </w:r>
      <w:r w:rsidRPr="005436D6">
        <w:t xml:space="preserve"> Comments at 3-5</w:t>
      </w:r>
      <w:r>
        <w:t xml:space="preserve"> (Xsight Comments).</w:t>
      </w:r>
    </w:p>
  </w:footnote>
  <w:footnote w:id="157">
    <w:p w:rsidR="009D0BE6" w:rsidRDefault="009D0BE6" w:rsidP="00FD61DB">
      <w:pPr>
        <w:pStyle w:val="FootnoteText"/>
      </w:pPr>
      <w:r>
        <w:rPr>
          <w:rStyle w:val="FootnoteReference"/>
        </w:rPr>
        <w:footnoteRef/>
      </w:r>
      <w:r>
        <w:t xml:space="preserve"> </w:t>
      </w:r>
      <w:r w:rsidRPr="0041494B">
        <w:rPr>
          <w:i/>
        </w:rPr>
        <w:t>See</w:t>
      </w:r>
      <w:r w:rsidRPr="0041494B">
        <w:t xml:space="preserve"> </w:t>
      </w:r>
      <w:r>
        <w:t>Bosch</w:t>
      </w:r>
      <w:r w:rsidRPr="0041494B">
        <w:t xml:space="preserve"> Comments at </w:t>
      </w:r>
      <w:r>
        <w:t>25; Delphi Comments at 2.</w:t>
      </w:r>
      <w:r w:rsidRPr="00F377CD">
        <w:t xml:space="preserve">  </w:t>
      </w:r>
      <w:r w:rsidRPr="00F377CD">
        <w:rPr>
          <w:i/>
        </w:rPr>
        <w:t>See also</w:t>
      </w:r>
      <w:r w:rsidRPr="00F377CD">
        <w:t xml:space="preserve"> Xsight Comments at 4 (supporting the restriction that FOD detection radars at airports not illuminate public road</w:t>
      </w:r>
      <w:r>
        <w:t>way</w:t>
      </w:r>
      <w:r w:rsidRPr="00F377CD">
        <w:t>s).</w:t>
      </w:r>
    </w:p>
  </w:footnote>
  <w:footnote w:id="158">
    <w:p w:rsidR="009D0BE6" w:rsidRDefault="009D0BE6" w:rsidP="00FD61DB">
      <w:pPr>
        <w:pStyle w:val="FootnoteText"/>
      </w:pPr>
      <w:r>
        <w:rPr>
          <w:rStyle w:val="FootnoteReference"/>
        </w:rPr>
        <w:footnoteRef/>
      </w:r>
      <w:r>
        <w:t xml:space="preserve"> </w:t>
      </w:r>
      <w:r w:rsidRPr="004E759F">
        <w:rPr>
          <w:i/>
        </w:rPr>
        <w:t>See</w:t>
      </w:r>
      <w:r w:rsidRPr="004E759F">
        <w:t xml:space="preserve"> </w:t>
      </w:r>
      <w:r>
        <w:t xml:space="preserve">Mercedes-Benz Aug. 2016 </w:t>
      </w:r>
      <w:r w:rsidRPr="00424EE3">
        <w:rPr>
          <w:i/>
        </w:rPr>
        <w:t>Ex Parte</w:t>
      </w:r>
      <w:r w:rsidRPr="00346F84">
        <w:t xml:space="preserve"> </w:t>
      </w:r>
      <w:r w:rsidRPr="004E759F">
        <w:t>at</w:t>
      </w:r>
      <w:r>
        <w:t xml:space="preserve"> 2-3.</w:t>
      </w:r>
    </w:p>
  </w:footnote>
  <w:footnote w:id="159">
    <w:p w:rsidR="009D0BE6" w:rsidRDefault="009D0BE6" w:rsidP="00FD61DB">
      <w:pPr>
        <w:pStyle w:val="FootnoteText"/>
      </w:pPr>
      <w:r>
        <w:rPr>
          <w:rStyle w:val="FootnoteReference"/>
        </w:rPr>
        <w:footnoteRef/>
      </w:r>
      <w:r>
        <w:t xml:space="preserve"> </w:t>
      </w:r>
      <w:r w:rsidRPr="00AC57AB">
        <w:rPr>
          <w:i/>
        </w:rPr>
        <w:t>See</w:t>
      </w:r>
      <w:r w:rsidRPr="00AC57AB">
        <w:t xml:space="preserve"> </w:t>
      </w:r>
      <w:r>
        <w:t xml:space="preserve">Navtech Comments </w:t>
      </w:r>
      <w:r w:rsidRPr="00AC57AB">
        <w:t xml:space="preserve">at </w:t>
      </w:r>
      <w:r>
        <w:t>4.</w:t>
      </w:r>
    </w:p>
  </w:footnote>
  <w:footnote w:id="160">
    <w:p w:rsidR="009D0BE6" w:rsidRDefault="009D0BE6" w:rsidP="00FD61DB">
      <w:pPr>
        <w:pStyle w:val="FootnoteText"/>
      </w:pPr>
      <w:r>
        <w:rPr>
          <w:rStyle w:val="FootnoteReference"/>
        </w:rPr>
        <w:footnoteRef/>
      </w:r>
      <w:r>
        <w:t xml:space="preserve"> </w:t>
      </w:r>
      <w:r w:rsidRPr="002E1F4C">
        <w:rPr>
          <w:i/>
        </w:rPr>
        <w:t>See id.</w:t>
      </w:r>
    </w:p>
  </w:footnote>
  <w:footnote w:id="161">
    <w:p w:rsidR="009D0BE6" w:rsidRPr="003F54C1" w:rsidRDefault="009D0BE6" w:rsidP="00FD61DB">
      <w:pPr>
        <w:pStyle w:val="FootnoteText"/>
      </w:pPr>
      <w:r>
        <w:rPr>
          <w:rStyle w:val="FootnoteReference"/>
        </w:rPr>
        <w:footnoteRef/>
      </w:r>
      <w:r>
        <w:t xml:space="preserve"> Xsight Comments at 4.</w:t>
      </w:r>
    </w:p>
  </w:footnote>
  <w:footnote w:id="162">
    <w:p w:rsidR="009D0BE6" w:rsidRPr="004B24CF" w:rsidRDefault="009D0BE6" w:rsidP="00FD61DB">
      <w:pPr>
        <w:pStyle w:val="FootnoteText"/>
      </w:pPr>
      <w:r>
        <w:rPr>
          <w:rStyle w:val="FootnoteReference"/>
        </w:rPr>
        <w:footnoteRef/>
      </w:r>
      <w:r>
        <w:t xml:space="preserve"> </w:t>
      </w:r>
      <w:r>
        <w:rPr>
          <w:i/>
        </w:rPr>
        <w:t>See</w:t>
      </w:r>
      <w:r>
        <w:t xml:space="preserve"> </w:t>
      </w:r>
      <w:r>
        <w:rPr>
          <w:i/>
        </w:rPr>
        <w:t>2012 Radar R&amp;O</w:t>
      </w:r>
      <w:r>
        <w:t>, 27 FCC Rcd at 7888, para. 24;</w:t>
      </w:r>
      <w:r w:rsidRPr="00795830">
        <w:t xml:space="preserve"> </w:t>
      </w:r>
      <w:r>
        <w:t>47 CFR § 15.253(c).</w:t>
      </w:r>
    </w:p>
  </w:footnote>
  <w:footnote w:id="163">
    <w:p w:rsidR="009D0BE6" w:rsidRDefault="009D0BE6" w:rsidP="00FD61DB">
      <w:pPr>
        <w:pStyle w:val="FootnoteText"/>
      </w:pPr>
      <w:r>
        <w:rPr>
          <w:rStyle w:val="FootnoteReference"/>
        </w:rPr>
        <w:footnoteRef/>
      </w:r>
      <w:r>
        <w:t xml:space="preserve"> </w:t>
      </w:r>
      <w:r>
        <w:rPr>
          <w:i/>
        </w:rPr>
        <w:t>See supra</w:t>
      </w:r>
      <w:r>
        <w:t xml:space="preserve"> para.</w:t>
      </w:r>
      <w:r w:rsidRPr="00CB1C67">
        <w:t xml:space="preserve"> 39 </w:t>
      </w:r>
      <w:r w:rsidRPr="00A14BEA">
        <w:t>and accompanying</w:t>
      </w:r>
      <w:r>
        <w:t xml:space="preserve"> footnotes.</w:t>
      </w:r>
    </w:p>
  </w:footnote>
  <w:footnote w:id="164">
    <w:p w:rsidR="009D0BE6" w:rsidRDefault="009D0BE6" w:rsidP="00FD61DB">
      <w:pPr>
        <w:pStyle w:val="FootnoteText"/>
      </w:pPr>
      <w:r>
        <w:rPr>
          <w:rStyle w:val="FootnoteReference"/>
        </w:rPr>
        <w:footnoteRef/>
      </w:r>
      <w:r>
        <w:t xml:space="preserve"> </w:t>
      </w:r>
      <w:r w:rsidRPr="007F11AC">
        <w:rPr>
          <w:i/>
        </w:rPr>
        <w:t>See NPRM</w:t>
      </w:r>
      <w:r>
        <w:t xml:space="preserve">, 30 FCC Rcd at 1639, para. 49; </w:t>
      </w:r>
      <w:r w:rsidRPr="00A669A6">
        <w:rPr>
          <w:i/>
        </w:rPr>
        <w:t>see also</w:t>
      </w:r>
      <w:r>
        <w:t xml:space="preserve"> </w:t>
      </w:r>
      <w:r w:rsidRPr="001E4113">
        <w:t>Xsight</w:t>
      </w:r>
      <w:r>
        <w:t xml:space="preserve"> Comments </w:t>
      </w:r>
      <w:r w:rsidRPr="00AC57AB">
        <w:t xml:space="preserve">at </w:t>
      </w:r>
      <w:r>
        <w:t>4 (</w:t>
      </w:r>
      <w:r w:rsidRPr="00A669A6">
        <w:t xml:space="preserve">grandfathering of existing </w:t>
      </w:r>
      <w:r>
        <w:t>FOD detection radars will</w:t>
      </w:r>
      <w:r w:rsidRPr="00A669A6">
        <w:t xml:space="preserve"> allow </w:t>
      </w:r>
      <w:r>
        <w:t>for the conti</w:t>
      </w:r>
      <w:r w:rsidRPr="00A669A6">
        <w:t>nue</w:t>
      </w:r>
      <w:r>
        <w:t>d</w:t>
      </w:r>
      <w:r w:rsidRPr="00A669A6">
        <w:t xml:space="preserve"> operati</w:t>
      </w:r>
      <w:r>
        <w:t>o</w:t>
      </w:r>
      <w:r w:rsidRPr="00A669A6">
        <w:t>n</w:t>
      </w:r>
      <w:r>
        <w:t>s</w:t>
      </w:r>
      <w:r w:rsidRPr="00A669A6">
        <w:t xml:space="preserve"> </w:t>
      </w:r>
      <w:r>
        <w:t>of</w:t>
      </w:r>
      <w:r w:rsidRPr="00A669A6">
        <w:t xml:space="preserve"> currently deployed FOD detection systems</w:t>
      </w:r>
      <w:r>
        <w:t xml:space="preserve">).  Any changes for previously certified FOD detection devices will need to comply with the applicable Part 95 rules.  </w:t>
      </w:r>
      <w:r w:rsidRPr="00CE0158">
        <w:rPr>
          <w:i/>
        </w:rPr>
        <w:t>See generally</w:t>
      </w:r>
      <w:r>
        <w:t xml:space="preserve"> 47 CFR § 2.1043. </w:t>
      </w:r>
    </w:p>
  </w:footnote>
  <w:footnote w:id="165">
    <w:p w:rsidR="009D0BE6" w:rsidRDefault="009D0BE6">
      <w:pPr>
        <w:pStyle w:val="FootnoteText"/>
      </w:pPr>
      <w:r>
        <w:rPr>
          <w:rStyle w:val="FootnoteReference"/>
        </w:rPr>
        <w:footnoteRef/>
      </w:r>
      <w:r>
        <w:t xml:space="preserve"> </w:t>
      </w:r>
      <w:r w:rsidRPr="00C00F13">
        <w:rPr>
          <w:i/>
        </w:rPr>
        <w:t>See</w:t>
      </w:r>
      <w:r>
        <w:t xml:space="preserve"> 5 U.S.C. § 553(d)(3) (providing an exception to the required 30 days after Federal Register publication for the effectiveness of a rule when there is good cause published with the rule).</w:t>
      </w:r>
    </w:p>
  </w:footnote>
  <w:footnote w:id="166">
    <w:p w:rsidR="009D0BE6" w:rsidRDefault="009D0BE6" w:rsidP="00084B3A">
      <w:pPr>
        <w:pStyle w:val="FootnoteText"/>
      </w:pPr>
      <w:r>
        <w:rPr>
          <w:rStyle w:val="FootnoteReference"/>
        </w:rPr>
        <w:footnoteRef/>
      </w:r>
      <w:r>
        <w:t xml:space="preserve"> </w:t>
      </w:r>
      <w:r w:rsidRPr="00BE42F2">
        <w:t>Rockwell</w:t>
      </w:r>
      <w:r w:rsidRPr="00B509A0">
        <w:t xml:space="preserve"> Collins</w:t>
      </w:r>
      <w:r>
        <w:t>, Inc. C</w:t>
      </w:r>
      <w:r w:rsidRPr="00BE42F2">
        <w:t xml:space="preserve">omments at </w:t>
      </w:r>
      <w:r>
        <w:t xml:space="preserve">1 (Rockwell Comments) (suggesting that in line with permitting aircraft-mounted radars, the Commission also should authorize </w:t>
      </w:r>
      <w:r w:rsidRPr="00FC0B5A">
        <w:t>the use of helicopter-mounted radar</w:t>
      </w:r>
      <w:r>
        <w:t xml:space="preserve"> systems).</w:t>
      </w:r>
    </w:p>
  </w:footnote>
  <w:footnote w:id="167">
    <w:p w:rsidR="009D0BE6" w:rsidRDefault="009D0BE6" w:rsidP="00FD61DB">
      <w:pPr>
        <w:pStyle w:val="FootnoteText"/>
      </w:pPr>
      <w:r>
        <w:rPr>
          <w:rStyle w:val="FootnoteReference"/>
        </w:rPr>
        <w:footnoteRef/>
      </w:r>
      <w:r>
        <w:t xml:space="preserve"> </w:t>
      </w:r>
      <w:r w:rsidRPr="007F11AC">
        <w:rPr>
          <w:i/>
        </w:rPr>
        <w:t>See NPRM</w:t>
      </w:r>
      <w:r>
        <w:t xml:space="preserve">, 30 FCC Rcd at 1641, para. 57 (citing </w:t>
      </w:r>
      <w:r w:rsidRPr="005D0452">
        <w:t>Honeywell International, Inc.</w:t>
      </w:r>
      <w:r>
        <w:t xml:space="preserve"> Reply to Oppositions to Honeywell’s Petition for Reconsideration, ET Docket No. 10-28, at 2).</w:t>
      </w:r>
    </w:p>
  </w:footnote>
  <w:footnote w:id="168">
    <w:p w:rsidR="009D0BE6" w:rsidRPr="00487ECA" w:rsidRDefault="009D0BE6" w:rsidP="004135E9">
      <w:pPr>
        <w:pStyle w:val="FootnoteText"/>
      </w:pPr>
      <w:r>
        <w:rPr>
          <w:rStyle w:val="FootnoteReference"/>
        </w:rPr>
        <w:footnoteRef/>
      </w:r>
      <w:r>
        <w:t xml:space="preserve"> </w:t>
      </w:r>
      <w:r>
        <w:rPr>
          <w:i/>
        </w:rPr>
        <w:t>See</w:t>
      </w:r>
      <w:r>
        <w:t xml:space="preserve"> Delphi Comments at 2, 4;</w:t>
      </w:r>
      <w:r w:rsidRPr="00BE7E55">
        <w:t xml:space="preserve"> </w:t>
      </w:r>
      <w:r w:rsidRPr="00BE7E55">
        <w:rPr>
          <w:i/>
        </w:rPr>
        <w:t>see also</w:t>
      </w:r>
      <w:r w:rsidRPr="00BE7E55">
        <w:t xml:space="preserve"> </w:t>
      </w:r>
      <w:r>
        <w:t>Xsight Comments at 5 (</w:t>
      </w:r>
      <w:r w:rsidRPr="00BE7E55">
        <w:t>agreeing with the Commission’s conclusion that “it may be possible to create time and space separation</w:t>
      </w:r>
      <w:r>
        <w:t>”</w:t>
      </w:r>
      <w:r w:rsidRPr="00BE7E55">
        <w:t xml:space="preserve"> between FOD detection radar and </w:t>
      </w:r>
      <w:r>
        <w:t>aircraft-mounted</w:t>
      </w:r>
      <w:r w:rsidRPr="00BE7E55">
        <w:t xml:space="preserve"> radar application uses</w:t>
      </w:r>
      <w:r>
        <w:t>, which “</w:t>
      </w:r>
      <w:r w:rsidRPr="00520C94">
        <w:t>may promote compatibility between the two operations</w:t>
      </w:r>
      <w:r>
        <w:t xml:space="preserve">”) (quoting </w:t>
      </w:r>
      <w:r w:rsidRPr="00456364">
        <w:rPr>
          <w:i/>
        </w:rPr>
        <w:t>NPRM</w:t>
      </w:r>
      <w:r>
        <w:t>, 30 FCC Rcd at 1642, para. 59).</w:t>
      </w:r>
    </w:p>
  </w:footnote>
  <w:footnote w:id="169">
    <w:p w:rsidR="009D0BE6" w:rsidRPr="00D65C86" w:rsidRDefault="009D0BE6" w:rsidP="00FD61DB">
      <w:pPr>
        <w:pStyle w:val="FootnoteText"/>
      </w:pPr>
      <w:r>
        <w:rPr>
          <w:rStyle w:val="FootnoteReference"/>
        </w:rPr>
        <w:footnoteRef/>
      </w:r>
      <w:r>
        <w:t xml:space="preserve"> </w:t>
      </w:r>
      <w:r>
        <w:rPr>
          <w:i/>
        </w:rPr>
        <w:t>See</w:t>
      </w:r>
      <w:r>
        <w:t xml:space="preserve"> Delphi Comments at 2.</w:t>
      </w:r>
    </w:p>
  </w:footnote>
  <w:footnote w:id="170">
    <w:p w:rsidR="009D0BE6" w:rsidRDefault="009D0BE6" w:rsidP="00FD61DB">
      <w:pPr>
        <w:pStyle w:val="FootnoteText"/>
      </w:pPr>
      <w:r>
        <w:rPr>
          <w:rStyle w:val="FootnoteReference"/>
        </w:rPr>
        <w:footnoteRef/>
      </w:r>
      <w:r>
        <w:t xml:space="preserve"> </w:t>
      </w:r>
      <w:r w:rsidRPr="00332632">
        <w:rPr>
          <w:i/>
        </w:rPr>
        <w:t>See</w:t>
      </w:r>
      <w:r>
        <w:t xml:space="preserve"> Bosch Reply at 26.</w:t>
      </w:r>
    </w:p>
  </w:footnote>
  <w:footnote w:id="171">
    <w:p w:rsidR="009D0BE6" w:rsidRDefault="009D0BE6">
      <w:pPr>
        <w:pStyle w:val="FootnoteText"/>
      </w:pPr>
      <w:r>
        <w:rPr>
          <w:rStyle w:val="FootnoteReference"/>
        </w:rPr>
        <w:footnoteRef/>
      </w:r>
      <w:r>
        <w:t xml:space="preserve"> Xsight Comments at 5.</w:t>
      </w:r>
    </w:p>
  </w:footnote>
  <w:footnote w:id="172">
    <w:p w:rsidR="009D0BE6" w:rsidRDefault="009D0BE6" w:rsidP="004135E9">
      <w:pPr>
        <w:pStyle w:val="FootnoteText"/>
      </w:pPr>
      <w:r>
        <w:rPr>
          <w:rStyle w:val="FootnoteReference"/>
        </w:rPr>
        <w:footnoteRef/>
      </w:r>
      <w:r>
        <w:t xml:space="preserve"> CEA Reply at 8-9.</w:t>
      </w:r>
    </w:p>
  </w:footnote>
  <w:footnote w:id="173">
    <w:p w:rsidR="009D0BE6" w:rsidRPr="003A3A64" w:rsidRDefault="009D0BE6" w:rsidP="005232E1">
      <w:pPr>
        <w:pStyle w:val="FootnoteText"/>
        <w:rPr>
          <w:rFonts w:cs="Helvetica Neue"/>
          <w:color w:val="000000"/>
        </w:rPr>
      </w:pPr>
      <w:r>
        <w:rPr>
          <w:rStyle w:val="FootnoteReference"/>
        </w:rPr>
        <w:footnoteRef/>
      </w:r>
      <w:r>
        <w:t xml:space="preserve"> </w:t>
      </w:r>
      <w:r w:rsidRPr="00A57471">
        <w:t xml:space="preserve">In 2015, </w:t>
      </w:r>
      <w:r w:rsidRPr="00A57471">
        <w:rPr>
          <w:bCs/>
        </w:rPr>
        <w:t>PricewaterhouseCoopers</w:t>
      </w:r>
      <w:r w:rsidRPr="00A57471">
        <w:t xml:space="preserve"> forecast that air travel and aircraft demand will more than double in the next 20 years (</w:t>
      </w:r>
      <w:r w:rsidRPr="00A57471">
        <w:rPr>
          <w:i/>
        </w:rPr>
        <w:t>see</w:t>
      </w:r>
      <w:r w:rsidRPr="00A57471">
        <w:t xml:space="preserve"> PWC </w:t>
      </w:r>
      <w:r w:rsidRPr="00A57471">
        <w:rPr>
          <w:i/>
        </w:rPr>
        <w:t>Tailwinds</w:t>
      </w:r>
      <w:r w:rsidRPr="00A57471">
        <w:t xml:space="preserve">, Spotlight: </w:t>
      </w:r>
      <w:r>
        <w:t xml:space="preserve"> </w:t>
      </w:r>
      <w:r w:rsidRPr="00A57471">
        <w:t xml:space="preserve">Managing Growth in the Rapidly Expanding Aviation Industry at 9 (June 2015), </w:t>
      </w:r>
      <w:hyperlink r:id="rId13" w:history="1">
        <w:r w:rsidRPr="00A57471">
          <w:rPr>
            <w:rStyle w:val="Hyperlink"/>
          </w:rPr>
          <w:t>http://www.pwc.com/us/en/industrial-products/publications/pwc-tailwinds-rising-passenger-demand.html</w:t>
        </w:r>
      </w:hyperlink>
      <w:r w:rsidRPr="00A57471">
        <w:t xml:space="preserve">), and the FAA </w:t>
      </w:r>
      <w:r w:rsidRPr="00A57471">
        <w:rPr>
          <w:rFonts w:cs="ITC Charter Com"/>
          <w:color w:val="000000"/>
        </w:rPr>
        <w:t>announced that U.S. airlines will carry 1.14 billion passengers annually by 2035, an increase of about 50 percent from 2014 levels (</w:t>
      </w:r>
      <w:r w:rsidRPr="00A57471">
        <w:rPr>
          <w:rFonts w:cs="ITC Charter Com"/>
          <w:i/>
          <w:color w:val="000000"/>
        </w:rPr>
        <w:t>see</w:t>
      </w:r>
      <w:r w:rsidRPr="00A57471">
        <w:rPr>
          <w:rFonts w:cs="ITC Charter Com"/>
          <w:color w:val="000000"/>
        </w:rPr>
        <w:t xml:space="preserve"> </w:t>
      </w:r>
      <w:r w:rsidRPr="00A57471">
        <w:rPr>
          <w:rFonts w:cs="Helvetica Neue"/>
          <w:color w:val="000000"/>
        </w:rPr>
        <w:t xml:space="preserve">Reuters, US Airline Passengers Forecast to Grow 50 Percent by 2035: </w:t>
      </w:r>
      <w:r>
        <w:rPr>
          <w:rFonts w:cs="Helvetica Neue"/>
          <w:color w:val="000000"/>
        </w:rPr>
        <w:t xml:space="preserve"> </w:t>
      </w:r>
      <w:r w:rsidRPr="00A57471">
        <w:rPr>
          <w:rFonts w:cs="Helvetica Neue"/>
          <w:color w:val="000000"/>
        </w:rPr>
        <w:t xml:space="preserve">Report (Mar. 16, 2015), </w:t>
      </w:r>
      <w:hyperlink r:id="rId14" w:history="1">
        <w:r w:rsidRPr="00A57471">
          <w:rPr>
            <w:rStyle w:val="Hyperlink"/>
            <w:rFonts w:cs="Helvetica Neue"/>
          </w:rPr>
          <w:t>http://www.reuters.com/article/2015/03/16/us-airlines-demand-idUSKBN0MC27720150316</w:t>
        </w:r>
      </w:hyperlink>
      <w:r w:rsidRPr="00A57471">
        <w:rPr>
          <w:rFonts w:cs="Helvetica Neue"/>
          <w:color w:val="000000"/>
        </w:rPr>
        <w:t>).</w:t>
      </w:r>
    </w:p>
  </w:footnote>
  <w:footnote w:id="174">
    <w:p w:rsidR="009D0BE6" w:rsidRPr="00F15EEC" w:rsidRDefault="009D0BE6" w:rsidP="00664C5D">
      <w:pPr>
        <w:pStyle w:val="FootnoteText"/>
      </w:pPr>
      <w:r>
        <w:rPr>
          <w:rStyle w:val="FootnoteReference"/>
        </w:rPr>
        <w:footnoteRef/>
      </w:r>
      <w:r>
        <w:t xml:space="preserve"> </w:t>
      </w:r>
      <w:r w:rsidRPr="00C218EA">
        <w:rPr>
          <w:i/>
        </w:rPr>
        <w:t>See</w:t>
      </w:r>
      <w:r w:rsidRPr="00C218EA">
        <w:t xml:space="preserve"> NRAO Comments at 10.</w:t>
      </w:r>
      <w:r>
        <w:t xml:space="preserve"> </w:t>
      </w:r>
    </w:p>
  </w:footnote>
  <w:footnote w:id="175">
    <w:p w:rsidR="009D0BE6" w:rsidRDefault="009D0BE6" w:rsidP="00FD61DB">
      <w:pPr>
        <w:pStyle w:val="FootnoteText"/>
      </w:pPr>
      <w:r>
        <w:rPr>
          <w:rStyle w:val="FootnoteReference"/>
        </w:rPr>
        <w:footnoteRef/>
      </w:r>
      <w:r>
        <w:t xml:space="preserve"> NRAO Comments at 10;</w:t>
      </w:r>
      <w:r w:rsidRPr="0048377F">
        <w:t xml:space="preserve"> </w:t>
      </w:r>
      <w:r>
        <w:t>CORF Comments at 5-6.</w:t>
      </w:r>
    </w:p>
  </w:footnote>
  <w:footnote w:id="176">
    <w:p w:rsidR="009D0BE6" w:rsidRPr="006F0EBD" w:rsidRDefault="009D0BE6" w:rsidP="00DD00A4">
      <w:pPr>
        <w:pStyle w:val="FootnoteText"/>
      </w:pPr>
      <w:r w:rsidRPr="00BE42F2">
        <w:rPr>
          <w:rStyle w:val="FootnoteReference"/>
        </w:rPr>
        <w:footnoteRef/>
      </w:r>
      <w:r w:rsidRPr="00B509A0">
        <w:t xml:space="preserve"> </w:t>
      </w:r>
      <w:r w:rsidRPr="00BE42F2">
        <w:t xml:space="preserve">Rockwell </w:t>
      </w:r>
      <w:r>
        <w:t>C</w:t>
      </w:r>
      <w:r w:rsidRPr="00BE42F2">
        <w:t>omment</w:t>
      </w:r>
      <w:r w:rsidRPr="00B509A0">
        <w:t>s at 6</w:t>
      </w:r>
      <w:r w:rsidRPr="00BE42F2">
        <w:t>.</w:t>
      </w:r>
    </w:p>
  </w:footnote>
  <w:footnote w:id="177">
    <w:p w:rsidR="009D0BE6" w:rsidRDefault="009D0BE6" w:rsidP="007A2BD5">
      <w:pPr>
        <w:pStyle w:val="FootnoteText"/>
      </w:pPr>
      <w:r>
        <w:rPr>
          <w:rStyle w:val="FootnoteReference"/>
        </w:rPr>
        <w:footnoteRef/>
      </w:r>
      <w:r>
        <w:t xml:space="preserve"> We recognize that there are situations where helicopters can be moved on the ground at airports.  They can be equipped with wheels or a special set of ‘dolly wheels’ that are specifically fitted for skids.  A helicopter may be pushed or pulled with a small tug to wherever it is required.  Helicopters on wheels also can taxi on the ground.</w:t>
      </w:r>
    </w:p>
  </w:footnote>
  <w:footnote w:id="178">
    <w:p w:rsidR="009D0BE6" w:rsidRPr="0040473E" w:rsidRDefault="009D0BE6" w:rsidP="00FD61DB">
      <w:pPr>
        <w:pStyle w:val="FootnoteText"/>
      </w:pPr>
      <w:r>
        <w:rPr>
          <w:rStyle w:val="FootnoteReference"/>
        </w:rPr>
        <w:footnoteRef/>
      </w:r>
      <w:r>
        <w:t xml:space="preserve"> </w:t>
      </w:r>
      <w:r>
        <w:rPr>
          <w:i/>
        </w:rPr>
        <w:t>NPRM</w:t>
      </w:r>
      <w:r>
        <w:t>, 30 FCC Rcd at 1642, para. 60.</w:t>
      </w:r>
    </w:p>
  </w:footnote>
  <w:footnote w:id="179">
    <w:p w:rsidR="009D0BE6" w:rsidRDefault="009D0BE6" w:rsidP="00CC63AD">
      <w:pPr>
        <w:pStyle w:val="FootnoteText"/>
      </w:pPr>
      <w:r>
        <w:rPr>
          <w:rStyle w:val="FootnoteReference"/>
        </w:rPr>
        <w:footnoteRef/>
      </w:r>
      <w:r>
        <w:t xml:space="preserve"> </w:t>
      </w:r>
      <w:r w:rsidRPr="00B63ED2">
        <w:rPr>
          <w:i/>
        </w:rPr>
        <w:t>See</w:t>
      </w:r>
      <w:r>
        <w:t xml:space="preserve"> CORF Comments at 5-6.</w:t>
      </w:r>
    </w:p>
  </w:footnote>
  <w:footnote w:id="180">
    <w:p w:rsidR="009D0BE6" w:rsidRPr="009A165B" w:rsidRDefault="009D0BE6" w:rsidP="00FD61DB">
      <w:pPr>
        <w:pStyle w:val="FootnoteText"/>
      </w:pPr>
      <w:r>
        <w:rPr>
          <w:rStyle w:val="FootnoteReference"/>
        </w:rPr>
        <w:footnoteRef/>
      </w:r>
      <w:r>
        <w:t xml:space="preserve"> Rockwell Comments at 7 (“radar detection systems would automatically switch off when the airspeed of the [aircraft] exceeds a pre-defined value”). </w:t>
      </w:r>
    </w:p>
  </w:footnote>
  <w:footnote w:id="181">
    <w:p w:rsidR="009D0BE6" w:rsidRDefault="009D0BE6">
      <w:pPr>
        <w:pStyle w:val="FootnoteText"/>
      </w:pPr>
      <w:r>
        <w:rPr>
          <w:rStyle w:val="FootnoteReference"/>
        </w:rPr>
        <w:footnoteRef/>
      </w:r>
      <w:r>
        <w:t xml:space="preserve"> Unlike automobiles and other vehicles, for which we are not requiring an automatic radar on/off mechanism to protect RAS facilities, commercial aircraft are substantially more expensive and much less ubiquitous, and the trigger for shut-off is based on a single objective consideration (i.e.</w:t>
      </w:r>
      <w:r w:rsidRPr="00A46336">
        <w:t xml:space="preserve">, </w:t>
      </w:r>
      <w:r>
        <w:t>whether the aircraft has left the ground); thus the overall cost considerations associated with an automatic radar shut-off mechanism are vastly different.  Moreover, given that aircraft are not bound to roads and can be flown anywhere, we believe that the potential benefits associated with an automatic shut-off are greater in the aircraft-mounted radar context.</w:t>
      </w:r>
    </w:p>
  </w:footnote>
  <w:footnote w:id="182">
    <w:p w:rsidR="009D0BE6" w:rsidRPr="00A46336" w:rsidRDefault="009D0BE6" w:rsidP="00E4187E">
      <w:pPr>
        <w:pStyle w:val="FootnoteText"/>
      </w:pPr>
      <w:r w:rsidRPr="00A46336">
        <w:rPr>
          <w:rStyle w:val="FootnoteReference"/>
        </w:rPr>
        <w:footnoteRef/>
      </w:r>
      <w:r w:rsidRPr="00A46336">
        <w:t xml:space="preserve"> </w:t>
      </w:r>
      <w:r w:rsidRPr="00A46336">
        <w:rPr>
          <w:i/>
        </w:rPr>
        <w:t>See supra</w:t>
      </w:r>
      <w:r w:rsidRPr="00A46336">
        <w:t xml:space="preserve"> para. </w:t>
      </w:r>
      <w:r w:rsidRPr="00CB1C67">
        <w:t>23</w:t>
      </w:r>
      <w:r w:rsidRPr="00A46336">
        <w:t>.</w:t>
      </w:r>
    </w:p>
  </w:footnote>
  <w:footnote w:id="183">
    <w:p w:rsidR="009D0BE6" w:rsidRDefault="009D0BE6">
      <w:pPr>
        <w:pStyle w:val="FootnoteText"/>
      </w:pPr>
      <w:r>
        <w:rPr>
          <w:rStyle w:val="FootnoteReference"/>
        </w:rPr>
        <w:footnoteRef/>
      </w:r>
      <w:r>
        <w:t xml:space="preserve"> </w:t>
      </w:r>
      <w:r w:rsidRPr="00A721F0">
        <w:rPr>
          <w:i/>
        </w:rPr>
        <w:t>See</w:t>
      </w:r>
      <w:r>
        <w:t xml:space="preserve"> </w:t>
      </w:r>
      <w:r w:rsidRPr="00A721F0">
        <w:t>Appendix</w:t>
      </w:r>
      <w:r>
        <w:t xml:space="preserve"> </w:t>
      </w:r>
      <w:r w:rsidRPr="00A721F0">
        <w:t>A</w:t>
      </w:r>
      <w:r>
        <w:t xml:space="preserve"> to this </w:t>
      </w:r>
      <w:r w:rsidRPr="0008642A">
        <w:rPr>
          <w:i/>
        </w:rPr>
        <w:t>Report and Order</w:t>
      </w:r>
      <w:r>
        <w:t xml:space="preserve"> at § 95.3333.</w:t>
      </w:r>
    </w:p>
  </w:footnote>
  <w:footnote w:id="184">
    <w:p w:rsidR="009D0BE6" w:rsidRDefault="009D0BE6" w:rsidP="005F03E8">
      <w:pPr>
        <w:pStyle w:val="FootnoteText"/>
      </w:pPr>
      <w:r>
        <w:rPr>
          <w:rStyle w:val="FootnoteReference"/>
        </w:rPr>
        <w:footnoteRef/>
      </w:r>
      <w:r>
        <w:t xml:space="preserve"> </w:t>
      </w:r>
      <w:r w:rsidRPr="00B63ED2">
        <w:rPr>
          <w:i/>
        </w:rPr>
        <w:t>NPRM</w:t>
      </w:r>
      <w:r>
        <w:t>, 30 FCC Rcd at 1636-37, 1638-39, paras. 38-39, 46.</w:t>
      </w:r>
    </w:p>
  </w:footnote>
  <w:footnote w:id="185">
    <w:p w:rsidR="009D0BE6" w:rsidRDefault="009D0BE6" w:rsidP="00FA4DB0">
      <w:pPr>
        <w:pStyle w:val="FootnoteText"/>
      </w:pPr>
      <w:r>
        <w:rPr>
          <w:rStyle w:val="FootnoteReference"/>
        </w:rPr>
        <w:footnoteRef/>
      </w:r>
      <w:r>
        <w:t xml:space="preserve"> An exception is Level Probing Radars (LPRs), which will remain </w:t>
      </w:r>
      <w:r w:rsidRPr="00C951C8">
        <w:t>authorized to operate on an unlicensed basis</w:t>
      </w:r>
      <w:r>
        <w:t>.  We previously concluded that LPRs (</w:t>
      </w:r>
      <w:r w:rsidRPr="00C951C8">
        <w:t>which are authorized by Section 15.256 of the rules to operate in a variety of frequency ranges, including the 75-85 GHz band)</w:t>
      </w:r>
      <w:r>
        <w:t xml:space="preserve"> can coexist with vehicular radar operations, and the </w:t>
      </w:r>
      <w:r w:rsidRPr="00DC3923">
        <w:rPr>
          <w:i/>
        </w:rPr>
        <w:t>NPRM</w:t>
      </w:r>
      <w:r>
        <w:t xml:space="preserve"> did not propose rules that would have allowed LPRs to operate under Part 95.  </w:t>
      </w:r>
      <w:r w:rsidRPr="0002426F">
        <w:rPr>
          <w:i/>
        </w:rPr>
        <w:t>See NPRM</w:t>
      </w:r>
      <w:r>
        <w:t>, 30 FCC Rcd at 1631, para. 23.</w:t>
      </w:r>
    </w:p>
  </w:footnote>
  <w:footnote w:id="186">
    <w:p w:rsidR="009D0BE6" w:rsidRDefault="009D0BE6" w:rsidP="00D71408">
      <w:pPr>
        <w:pStyle w:val="FootnoteText"/>
      </w:pPr>
      <w:r>
        <w:rPr>
          <w:rStyle w:val="FootnoteReference"/>
        </w:rPr>
        <w:footnoteRef/>
      </w:r>
      <w:r>
        <w:t xml:space="preserve"> </w:t>
      </w:r>
      <w:r>
        <w:rPr>
          <w:i/>
        </w:rPr>
        <w:t>See</w:t>
      </w:r>
      <w:r>
        <w:t xml:space="preserve">, </w:t>
      </w:r>
      <w:r>
        <w:rPr>
          <w:i/>
        </w:rPr>
        <w:t>e.g.</w:t>
      </w:r>
      <w:r>
        <w:t xml:space="preserve">, Alliance Comments at 2; ASC Comments at 3; Delphi Comments at 1; Automotive Group Comments at 8-9; </w:t>
      </w:r>
      <w:r w:rsidRPr="00CC65B8">
        <w:t xml:space="preserve">UATC Jan. 2016 </w:t>
      </w:r>
      <w:r w:rsidRPr="00CC65B8">
        <w:rPr>
          <w:i/>
        </w:rPr>
        <w:t>Ex Parte</w:t>
      </w:r>
      <w:r w:rsidRPr="00CC65B8">
        <w:t xml:space="preserve"> at 1</w:t>
      </w:r>
      <w:r>
        <w:t>.</w:t>
      </w:r>
    </w:p>
  </w:footnote>
  <w:footnote w:id="187">
    <w:p w:rsidR="009D0BE6" w:rsidRPr="00FC1BBC" w:rsidRDefault="009D0BE6" w:rsidP="00D71408">
      <w:pPr>
        <w:pStyle w:val="FootnoteText"/>
      </w:pPr>
      <w:r>
        <w:rPr>
          <w:rStyle w:val="FootnoteReference"/>
        </w:rPr>
        <w:footnoteRef/>
      </w:r>
      <w:r>
        <w:t xml:space="preserve"> Delphi Comments at 1.</w:t>
      </w:r>
    </w:p>
  </w:footnote>
  <w:footnote w:id="188">
    <w:p w:rsidR="009D0BE6" w:rsidRDefault="009D0BE6" w:rsidP="00FC6BAB">
      <w:pPr>
        <w:pStyle w:val="FootnoteText"/>
      </w:pPr>
      <w:r>
        <w:rPr>
          <w:rStyle w:val="FootnoteReference"/>
        </w:rPr>
        <w:footnoteRef/>
      </w:r>
      <w:r>
        <w:t xml:space="preserve"> </w:t>
      </w:r>
      <w:r w:rsidRPr="00C46FAE">
        <w:rPr>
          <w:i/>
        </w:rPr>
        <w:t>See</w:t>
      </w:r>
      <w:r>
        <w:t xml:space="preserve"> </w:t>
      </w:r>
      <w:r w:rsidRPr="00AC57AB">
        <w:t xml:space="preserve">Mercedes-Benz </w:t>
      </w:r>
      <w:r>
        <w:t xml:space="preserve">Comments at 3 (noting that the </w:t>
      </w:r>
      <w:r w:rsidRPr="00661571">
        <w:t xml:space="preserve">Part 95 interference protection </w:t>
      </w:r>
      <w:r>
        <w:t>“</w:t>
      </w:r>
      <w:r w:rsidRPr="00661571">
        <w:t xml:space="preserve">reflects the importance of </w:t>
      </w:r>
      <w:r>
        <w:t xml:space="preserve">the </w:t>
      </w:r>
      <w:r w:rsidRPr="00661571">
        <w:t>undisturbed operation of automotive radars for the safety of vehicles and passengers</w:t>
      </w:r>
      <w:r>
        <w:t xml:space="preserve"> that</w:t>
      </w:r>
      <w:r w:rsidRPr="00661571">
        <w:t xml:space="preserve"> will increase with autonomously </w:t>
      </w:r>
      <w:r>
        <w:t>driving</w:t>
      </w:r>
      <w:r w:rsidRPr="00661571">
        <w:t xml:space="preserve"> vehicles</w:t>
      </w:r>
      <w:r>
        <w:t xml:space="preserve">”); </w:t>
      </w:r>
      <w:r w:rsidRPr="00FC6BAB">
        <w:t>CEA Reply at 6-7 (</w:t>
      </w:r>
      <w:r>
        <w:t>“[t]he increased level of interference protection will undoubtedly benefit future vehicular radar deployment, which will only increase with increasingly autonomously driving vehicles”).</w:t>
      </w:r>
    </w:p>
  </w:footnote>
  <w:footnote w:id="189">
    <w:p w:rsidR="009D0BE6" w:rsidRDefault="009D0BE6" w:rsidP="00D71408">
      <w:pPr>
        <w:pStyle w:val="FootnoteText"/>
      </w:pPr>
      <w:r>
        <w:rPr>
          <w:rStyle w:val="FootnoteReference"/>
        </w:rPr>
        <w:footnoteRef/>
      </w:r>
      <w:r>
        <w:t xml:space="preserve"> </w:t>
      </w:r>
      <w:r w:rsidRPr="00B63ED2">
        <w:rPr>
          <w:i/>
        </w:rPr>
        <w:t>NPRM</w:t>
      </w:r>
      <w:r>
        <w:t xml:space="preserve">, 30 FCC Rcd at 1636, para. 38.  </w:t>
      </w:r>
    </w:p>
  </w:footnote>
  <w:footnote w:id="190">
    <w:p w:rsidR="009D0BE6" w:rsidRDefault="009D0BE6" w:rsidP="00D71408">
      <w:pPr>
        <w:pStyle w:val="FootnoteText"/>
      </w:pPr>
      <w:r>
        <w:rPr>
          <w:rStyle w:val="FootnoteReference"/>
        </w:rPr>
        <w:footnoteRef/>
      </w:r>
      <w:r>
        <w:t xml:space="preserve"> </w:t>
      </w:r>
      <w:r w:rsidRPr="00F00AC3">
        <w:rPr>
          <w:i/>
        </w:rPr>
        <w:t>See</w:t>
      </w:r>
      <w:r>
        <w:t xml:space="preserve"> 47 CFR §§ 2.105(c)(2)(i), 15.5(b).</w:t>
      </w:r>
    </w:p>
  </w:footnote>
  <w:footnote w:id="191">
    <w:p w:rsidR="009D0BE6" w:rsidRDefault="009D0BE6" w:rsidP="00D71408">
      <w:pPr>
        <w:pStyle w:val="FootnoteText"/>
      </w:pPr>
      <w:r>
        <w:rPr>
          <w:rStyle w:val="FootnoteReference"/>
        </w:rPr>
        <w:footnoteRef/>
      </w:r>
      <w:r>
        <w:t xml:space="preserve"> </w:t>
      </w:r>
      <w:r w:rsidRPr="00F00AC3">
        <w:rPr>
          <w:i/>
        </w:rPr>
        <w:t>See</w:t>
      </w:r>
      <w:r>
        <w:t xml:space="preserve"> Alliance Comments at 2-3;</w:t>
      </w:r>
      <w:r w:rsidRPr="00D405B2">
        <w:t xml:space="preserve"> CEA Reply at 7; Mercedes-Benz Comments at 3.</w:t>
      </w:r>
    </w:p>
  </w:footnote>
  <w:footnote w:id="192">
    <w:p w:rsidR="009D0BE6" w:rsidRDefault="009D0BE6" w:rsidP="00D71408">
      <w:pPr>
        <w:pStyle w:val="FootnoteText"/>
      </w:pPr>
      <w:r>
        <w:rPr>
          <w:rStyle w:val="FootnoteReference"/>
        </w:rPr>
        <w:footnoteRef/>
      </w:r>
      <w:r>
        <w:t xml:space="preserve"> </w:t>
      </w:r>
      <w:r w:rsidRPr="00BC53F7">
        <w:t>Mercedes-Benz Comments at 3</w:t>
      </w:r>
      <w:r>
        <w:t>.</w:t>
      </w:r>
    </w:p>
  </w:footnote>
  <w:footnote w:id="193">
    <w:p w:rsidR="009D0BE6" w:rsidRPr="00CB1C67" w:rsidRDefault="009D0BE6" w:rsidP="002B4638">
      <w:pPr>
        <w:pStyle w:val="FootnoteText"/>
      </w:pPr>
      <w:r>
        <w:rPr>
          <w:rStyle w:val="FootnoteReference"/>
        </w:rPr>
        <w:footnoteRef/>
      </w:r>
      <w:r>
        <w:t xml:space="preserve"> </w:t>
      </w:r>
      <w:r w:rsidRPr="00967F89">
        <w:rPr>
          <w:i/>
        </w:rPr>
        <w:t>See</w:t>
      </w:r>
      <w:r w:rsidRPr="00967F89">
        <w:t xml:space="preserve"> Automotive Group </w:t>
      </w:r>
      <w:r>
        <w:t>Comments at 16.</w:t>
      </w:r>
    </w:p>
  </w:footnote>
  <w:footnote w:id="194">
    <w:p w:rsidR="009D0BE6" w:rsidRPr="00CB1C67" w:rsidRDefault="009D0BE6" w:rsidP="00AA4D5F">
      <w:pPr>
        <w:pStyle w:val="FootnoteText"/>
      </w:pPr>
      <w:r>
        <w:rPr>
          <w:rStyle w:val="FootnoteReference"/>
        </w:rPr>
        <w:footnoteRef/>
      </w:r>
      <w:r>
        <w:t xml:space="preserve"> Coordination with the Federal Government takes place through the Interdepartment Radio Advisory Committee (IRAC), an interagency committee that </w:t>
      </w:r>
      <w:r w:rsidRPr="00FE1CC0">
        <w:t xml:space="preserve">assists the Assistant Secretary of Commerce in assigning frequencies to U.S. Government </w:t>
      </w:r>
      <w:r>
        <w:t xml:space="preserve">agencies </w:t>
      </w:r>
      <w:r w:rsidRPr="00FE1CC0">
        <w:t>and in developing and executing policies, programs, procedures, and technical criteria pertaining to the allocations, management, and use of the electromagnetic spectrum.</w:t>
      </w:r>
      <w:r>
        <w:t xml:space="preserve">  </w:t>
      </w:r>
      <w:r w:rsidRPr="00FE39C6">
        <w:rPr>
          <w:i/>
        </w:rPr>
        <w:t>See also</w:t>
      </w:r>
      <w:r w:rsidRPr="00FE39C6">
        <w:t xml:space="preserve"> </w:t>
      </w:r>
      <w:r w:rsidRPr="00FE39C6">
        <w:rPr>
          <w:i/>
        </w:rPr>
        <w:t>78-81 GHz FOD Detection Radar R&amp;O</w:t>
      </w:r>
      <w:r w:rsidRPr="00FE39C6">
        <w:t xml:space="preserve">, 28 FCC Rcd at 10425-26, paras. 8-9 (discussing </w:t>
      </w:r>
      <w:r>
        <w:t>coordination of Part 90 FOD detection radar license applications with IRAC to mitigate potential interference to RAS observatories)</w:t>
      </w:r>
      <w:r w:rsidRPr="00FE39C6">
        <w:t>.</w:t>
      </w:r>
    </w:p>
  </w:footnote>
  <w:footnote w:id="195">
    <w:p w:rsidR="009D0BE6" w:rsidRPr="00CB1C67" w:rsidRDefault="009D0BE6" w:rsidP="00AA4D5F">
      <w:pPr>
        <w:pStyle w:val="FootnoteText"/>
      </w:pPr>
      <w:r>
        <w:rPr>
          <w:rStyle w:val="FootnoteReference"/>
        </w:rPr>
        <w:footnoteRef/>
      </w:r>
      <w:r>
        <w:t xml:space="preserve"> </w:t>
      </w:r>
      <w:r w:rsidRPr="00FE1CC0">
        <w:rPr>
          <w:i/>
        </w:rPr>
        <w:t xml:space="preserve">See </w:t>
      </w:r>
      <w:r>
        <w:t>CORF Comments at 10-11.</w:t>
      </w:r>
    </w:p>
  </w:footnote>
  <w:footnote w:id="196">
    <w:p w:rsidR="009D0BE6" w:rsidRDefault="009D0BE6" w:rsidP="006774AD">
      <w:pPr>
        <w:pStyle w:val="FootnoteText"/>
      </w:pPr>
      <w:r>
        <w:rPr>
          <w:rStyle w:val="FootnoteReference"/>
        </w:rPr>
        <w:footnoteRef/>
      </w:r>
      <w:r>
        <w:t xml:space="preserve"> The Commission established the rules allowing FOD detection radars to be licensed under Part 90 in 2013, but did not promulgate technical specifications.</w:t>
      </w:r>
      <w:r w:rsidRPr="00BE6809">
        <w:rPr>
          <w:i/>
        </w:rPr>
        <w:t xml:space="preserve"> </w:t>
      </w:r>
      <w:r>
        <w:rPr>
          <w:i/>
        </w:rPr>
        <w:t xml:space="preserve"> </w:t>
      </w:r>
      <w:r w:rsidRPr="00AD6BEF">
        <w:rPr>
          <w:i/>
        </w:rPr>
        <w:t>See</w:t>
      </w:r>
      <w:r>
        <w:t xml:space="preserve"> </w:t>
      </w:r>
      <w:r w:rsidRPr="00547A67">
        <w:rPr>
          <w:i/>
        </w:rPr>
        <w:t>78-81 GHz FOD</w:t>
      </w:r>
      <w:r>
        <w:rPr>
          <w:i/>
        </w:rPr>
        <w:t xml:space="preserve"> Detection</w:t>
      </w:r>
      <w:r w:rsidRPr="00547A67">
        <w:rPr>
          <w:i/>
        </w:rPr>
        <w:t xml:space="preserve"> Radar R&amp;O</w:t>
      </w:r>
      <w:r>
        <w:t xml:space="preserve">, 28 FCC Rcd at 10427, para. 11.  The Commission stated that until such technical specifications or other rules are adopted, it would evaluate requests for equipment authorization of devices on a case-by-case basis.  </w:t>
      </w:r>
      <w:r w:rsidRPr="00500B07">
        <w:rPr>
          <w:i/>
        </w:rPr>
        <w:t>Id.</w:t>
      </w:r>
      <w:r w:rsidRPr="00BE6809">
        <w:t xml:space="preserve"> </w:t>
      </w:r>
      <w:r>
        <w:t xml:space="preserve"> A License Search of the Commission’s </w:t>
      </w:r>
      <w:r w:rsidRPr="00C04E83">
        <w:t>U</w:t>
      </w:r>
      <w:r>
        <w:t xml:space="preserve">niversal </w:t>
      </w:r>
      <w:r w:rsidRPr="00C04E83">
        <w:t>L</w:t>
      </w:r>
      <w:r>
        <w:t xml:space="preserve">icensing </w:t>
      </w:r>
      <w:r w:rsidRPr="00C04E83">
        <w:t>S</w:t>
      </w:r>
      <w:r>
        <w:t>ystem</w:t>
      </w:r>
      <w:r w:rsidRPr="00C04E83">
        <w:t xml:space="preserve"> database for Part 90 radar licenses in the 78-81 GHz</w:t>
      </w:r>
      <w:r>
        <w:t xml:space="preserve"> band reveals there are no authorized Part 90 FOD detection radar licenses.</w:t>
      </w:r>
    </w:p>
  </w:footnote>
  <w:footnote w:id="197">
    <w:p w:rsidR="009D0BE6" w:rsidRPr="00904CD4" w:rsidRDefault="009D0BE6" w:rsidP="00D17495">
      <w:pPr>
        <w:pStyle w:val="FootnoteText"/>
      </w:pPr>
      <w:r>
        <w:rPr>
          <w:rStyle w:val="FootnoteReference"/>
        </w:rPr>
        <w:footnoteRef/>
      </w:r>
      <w:r>
        <w:t xml:space="preserve"> </w:t>
      </w:r>
      <w:r w:rsidRPr="0033278B">
        <w:rPr>
          <w:i/>
        </w:rPr>
        <w:t>See</w:t>
      </w:r>
      <w:r>
        <w:rPr>
          <w:i/>
        </w:rPr>
        <w:t xml:space="preserve"> </w:t>
      </w:r>
      <w:r>
        <w:t>47 CFR § 90.175(j)(6).</w:t>
      </w:r>
    </w:p>
  </w:footnote>
  <w:footnote w:id="198">
    <w:p w:rsidR="009D0BE6" w:rsidRPr="00CB1C67" w:rsidRDefault="009D0BE6" w:rsidP="00FC6BAB">
      <w:pPr>
        <w:pStyle w:val="FootnoteText"/>
      </w:pPr>
      <w:r>
        <w:rPr>
          <w:rStyle w:val="FootnoteReference"/>
        </w:rPr>
        <w:footnoteRef/>
      </w:r>
      <w:r>
        <w:t xml:space="preserve"> </w:t>
      </w:r>
      <w:r w:rsidRPr="00FE1CC0">
        <w:rPr>
          <w:i/>
        </w:rPr>
        <w:t xml:space="preserve">See </w:t>
      </w:r>
      <w:r>
        <w:t>CEA Reply at 7 (</w:t>
      </w:r>
      <w:r w:rsidRPr="00FC6BAB">
        <w:t xml:space="preserve">noting that since FOD detection radars are unlikely to interfere with vehicular radars, both radar applications should be consolidated </w:t>
      </w:r>
      <w:r>
        <w:t>in</w:t>
      </w:r>
      <w:r w:rsidRPr="00FC6BAB">
        <w:t xml:space="preserve"> a similar licensing regime</w:t>
      </w:r>
      <w:r>
        <w:t xml:space="preserve"> under Part 95</w:t>
      </w:r>
      <w:r w:rsidRPr="00FC6BAB">
        <w:t>).</w:t>
      </w:r>
    </w:p>
  </w:footnote>
  <w:footnote w:id="199">
    <w:p w:rsidR="009D0BE6" w:rsidRDefault="009D0BE6" w:rsidP="0059231F">
      <w:pPr>
        <w:pStyle w:val="FootnoteText"/>
      </w:pPr>
      <w:r>
        <w:rPr>
          <w:rStyle w:val="FootnoteReference"/>
        </w:rPr>
        <w:footnoteRef/>
      </w:r>
      <w:r>
        <w:t xml:space="preserve"> </w:t>
      </w:r>
      <w:r w:rsidRPr="005D0400">
        <w:rPr>
          <w:i/>
        </w:rPr>
        <w:t>See NPRM</w:t>
      </w:r>
      <w:r w:rsidRPr="005D0400">
        <w:t>, 30 FCC Rcd at 1644, para. 67-68</w:t>
      </w:r>
      <w:r>
        <w:t>.</w:t>
      </w:r>
    </w:p>
  </w:footnote>
  <w:footnote w:id="200">
    <w:p w:rsidR="009D0BE6" w:rsidRDefault="009D0BE6" w:rsidP="00D71408">
      <w:pPr>
        <w:pStyle w:val="FootnoteText"/>
      </w:pPr>
      <w:r>
        <w:rPr>
          <w:rStyle w:val="FootnoteReference"/>
        </w:rPr>
        <w:footnoteRef/>
      </w:r>
      <w:r>
        <w:t xml:space="preserve"> </w:t>
      </w:r>
      <w:r w:rsidRPr="00520C94">
        <w:t>ASC supports the proposal to maintain emissions levels at the current requirements.  ASC Comments at 3.</w:t>
      </w:r>
      <w:r>
        <w:t xml:space="preserve">  </w:t>
      </w:r>
      <w:r w:rsidRPr="00330BD4">
        <w:t>Delphi agree</w:t>
      </w:r>
      <w:r>
        <w:t>s</w:t>
      </w:r>
      <w:r w:rsidRPr="00330BD4">
        <w:t xml:space="preserve"> </w:t>
      </w:r>
      <w:r>
        <w:t>that</w:t>
      </w:r>
      <w:r w:rsidRPr="00330BD4">
        <w:t xml:space="preserve"> </w:t>
      </w:r>
      <w:r>
        <w:t xml:space="preserve">the </w:t>
      </w:r>
      <w:r w:rsidRPr="00330BD4">
        <w:t>Commission</w:t>
      </w:r>
      <w:r>
        <w:t xml:space="preserve"> should </w:t>
      </w:r>
      <w:r w:rsidRPr="00330BD4">
        <w:t xml:space="preserve">allow </w:t>
      </w:r>
      <w:r>
        <w:t xml:space="preserve">vehicular radars to </w:t>
      </w:r>
      <w:r w:rsidRPr="00330BD4">
        <w:t xml:space="preserve">operate anywhere within the 76–81 GHz bands with the same emissions limits as those currently specified for </w:t>
      </w:r>
      <w:r>
        <w:t xml:space="preserve">radar </w:t>
      </w:r>
      <w:r w:rsidRPr="00330BD4">
        <w:t>devices that operate under Part 15 of the Commission’s rules</w:t>
      </w:r>
      <w:r>
        <w:t>.  Delphi Comments at 1.</w:t>
      </w:r>
    </w:p>
  </w:footnote>
  <w:footnote w:id="201">
    <w:p w:rsidR="009D0BE6" w:rsidRDefault="009D0BE6" w:rsidP="00D71408">
      <w:pPr>
        <w:pStyle w:val="FootnoteText"/>
      </w:pPr>
      <w:r>
        <w:rPr>
          <w:rStyle w:val="FootnoteReference"/>
        </w:rPr>
        <w:footnoteRef/>
      </w:r>
      <w:r>
        <w:t xml:space="preserve"> </w:t>
      </w:r>
      <w:r w:rsidRPr="00C24039">
        <w:t>In addition to</w:t>
      </w:r>
      <w:r>
        <w:t xml:space="preserve"> rules regarding</w:t>
      </w:r>
      <w:r w:rsidRPr="00C24039">
        <w:t xml:space="preserve"> </w:t>
      </w:r>
      <w:r>
        <w:t>EIRP</w:t>
      </w:r>
      <w:r w:rsidRPr="00C24039">
        <w:t xml:space="preserve"> </w:t>
      </w:r>
      <w:r>
        <w:t>limits</w:t>
      </w:r>
      <w:r w:rsidRPr="00C24039">
        <w:t xml:space="preserve"> and unwanted emissions limits, we adopt rules on equipment certification and RF exposure evaluation.</w:t>
      </w:r>
      <w:r>
        <w:t xml:space="preserve">  </w:t>
      </w:r>
      <w:r>
        <w:rPr>
          <w:i/>
        </w:rPr>
        <w:t>See</w:t>
      </w:r>
      <w:r>
        <w:t xml:space="preserve"> Appendix A to this </w:t>
      </w:r>
      <w:r w:rsidRPr="0008642A">
        <w:rPr>
          <w:i/>
        </w:rPr>
        <w:t>Report and Order</w:t>
      </w:r>
      <w:r>
        <w:t xml:space="preserve"> (</w:t>
      </w:r>
      <w:r w:rsidRPr="0008642A">
        <w:t>Final</w:t>
      </w:r>
      <w:r>
        <w:t xml:space="preserve"> Rules).</w:t>
      </w:r>
      <w:r w:rsidRPr="00C24039">
        <w:t xml:space="preserve"> </w:t>
      </w:r>
      <w:r>
        <w:t xml:space="preserve"> </w:t>
      </w:r>
    </w:p>
  </w:footnote>
  <w:footnote w:id="202">
    <w:p w:rsidR="009D0BE6" w:rsidRPr="00C23878" w:rsidRDefault="009D0BE6" w:rsidP="00781245">
      <w:pPr>
        <w:pStyle w:val="FootnoteText"/>
      </w:pPr>
      <w:r>
        <w:rPr>
          <w:rStyle w:val="FootnoteReference"/>
        </w:rPr>
        <w:footnoteRef/>
      </w:r>
      <w:r>
        <w:t xml:space="preserve"> </w:t>
      </w:r>
      <w:r w:rsidRPr="00FE6E8D">
        <w:rPr>
          <w:i/>
        </w:rPr>
        <w:t>See 2012 Radar R&amp;O</w:t>
      </w:r>
      <w:r w:rsidRPr="00FE6E8D">
        <w:t xml:space="preserve">, 27 FCC Rcd </w:t>
      </w:r>
      <w:r>
        <w:t>at 7888, para. 24</w:t>
      </w:r>
      <w:r w:rsidRPr="009609BF">
        <w:t>.</w:t>
      </w:r>
      <w:r>
        <w:t xml:space="preserve">  </w:t>
      </w:r>
      <w:r>
        <w:rPr>
          <w:i/>
        </w:rPr>
        <w:t>But see</w:t>
      </w:r>
      <w:r>
        <w:t xml:space="preserve"> NRAO Comments at 10 (requesting that, as compared to the Commission’s current rules, vehicular radars’ unwanted emissions should be:  </w:t>
      </w:r>
      <w:r w:rsidRPr="00D8658D">
        <w:t>limited</w:t>
      </w:r>
      <w:r w:rsidRPr="00C23878">
        <w:t xml:space="preserve"> to the ETSI standards; more</w:t>
      </w:r>
      <w:r w:rsidRPr="00B509A0">
        <w:t xml:space="preserve"> strongly confined in frequency; and investigated over a larger frequency range).  NRAO does not claim that these suggested rule modifications are in response to any particular case of harmful interference. </w:t>
      </w:r>
    </w:p>
  </w:footnote>
  <w:footnote w:id="203">
    <w:p w:rsidR="009D0BE6" w:rsidRDefault="009D0BE6">
      <w:pPr>
        <w:pStyle w:val="FootnoteText"/>
      </w:pPr>
      <w:r>
        <w:rPr>
          <w:rStyle w:val="FootnoteReference"/>
        </w:rPr>
        <w:footnoteRef/>
      </w:r>
      <w:r>
        <w:t xml:space="preserve"> </w:t>
      </w:r>
      <w:r w:rsidRPr="00C00F13">
        <w:rPr>
          <w:i/>
        </w:rPr>
        <w:t>See generally</w:t>
      </w:r>
      <w:r>
        <w:t xml:space="preserve"> 47 CFR § 2.1043.</w:t>
      </w:r>
    </w:p>
  </w:footnote>
  <w:footnote w:id="204">
    <w:p w:rsidR="009D0BE6" w:rsidRDefault="009D0BE6" w:rsidP="00ED649C">
      <w:pPr>
        <w:pStyle w:val="FootnoteText"/>
      </w:pPr>
      <w:r>
        <w:rPr>
          <w:rStyle w:val="FootnoteReference"/>
        </w:rPr>
        <w:footnoteRef/>
      </w:r>
      <w:r>
        <w:t xml:space="preserve"> </w:t>
      </w:r>
      <w:r w:rsidRPr="00961BEC">
        <w:rPr>
          <w:i/>
        </w:rPr>
        <w:t>See NPRM</w:t>
      </w:r>
      <w:r w:rsidRPr="00961BEC">
        <w:t>, 30 FCC Rcd at 1637, para. 40</w:t>
      </w:r>
      <w:r>
        <w:t>.</w:t>
      </w:r>
    </w:p>
  </w:footnote>
  <w:footnote w:id="205">
    <w:p w:rsidR="009D0BE6" w:rsidRDefault="009D0BE6" w:rsidP="00AA3AF0">
      <w:pPr>
        <w:pStyle w:val="FootnoteText"/>
      </w:pPr>
      <w:r>
        <w:rPr>
          <w:rStyle w:val="FootnoteReference"/>
        </w:rPr>
        <w:footnoteRef/>
      </w:r>
      <w:r>
        <w:t xml:space="preserve"> </w:t>
      </w:r>
      <w:r w:rsidRPr="009F289F">
        <w:rPr>
          <w:i/>
        </w:rPr>
        <w:t>See</w:t>
      </w:r>
      <w:r w:rsidRPr="009F289F">
        <w:t xml:space="preserve"> Delphi Comments at </w:t>
      </w:r>
      <w:r>
        <w:t>1.</w:t>
      </w:r>
    </w:p>
  </w:footnote>
  <w:footnote w:id="206">
    <w:p w:rsidR="009D0BE6" w:rsidRPr="008D1320" w:rsidRDefault="009D0BE6" w:rsidP="00302405">
      <w:pPr>
        <w:pStyle w:val="FootnoteText"/>
      </w:pPr>
      <w:r>
        <w:rPr>
          <w:rStyle w:val="FootnoteReference"/>
        </w:rPr>
        <w:footnoteRef/>
      </w:r>
      <w:r>
        <w:t xml:space="preserve"> </w:t>
      </w:r>
      <w:r w:rsidRPr="00C46FAE">
        <w:rPr>
          <w:i/>
        </w:rPr>
        <w:t>See</w:t>
      </w:r>
      <w:r>
        <w:t xml:space="preserve"> Bosch Comments at 7; </w:t>
      </w:r>
      <w:r>
        <w:rPr>
          <w:i/>
        </w:rPr>
        <w:t>see also</w:t>
      </w:r>
      <w:r>
        <w:t xml:space="preserve"> </w:t>
      </w:r>
      <w:r w:rsidRPr="00CC65B8">
        <w:t xml:space="preserve">UATC Jan. 2016 </w:t>
      </w:r>
      <w:r w:rsidRPr="00CC65B8">
        <w:rPr>
          <w:i/>
        </w:rPr>
        <w:t>Ex Parte</w:t>
      </w:r>
      <w:r w:rsidRPr="00CC65B8">
        <w:t xml:space="preserve"> </w:t>
      </w:r>
      <w:r>
        <w:t xml:space="preserve">at 1-2 (suggesting </w:t>
      </w:r>
      <w:r w:rsidRPr="00CC65B8">
        <w:t>that if the Commission assigned LRRs to specific frequencies, it could more easily consider different technical requirements for LRRs at a later time</w:t>
      </w:r>
      <w:r>
        <w:t>);</w:t>
      </w:r>
      <w:r w:rsidRPr="00351DCD">
        <w:t xml:space="preserve"> Letter from Thomas Cohen, Counsel </w:t>
      </w:r>
      <w:r>
        <w:t>for</w:t>
      </w:r>
      <w:r w:rsidRPr="00351DCD">
        <w:t xml:space="preserve"> Trex Enterprises Corp., to Marlene H. Dortch, Secretary, FCC, ET Docket No. 15-26, attached presentation at 11 (filed Nov. 23, 201</w:t>
      </w:r>
      <w:r>
        <w:t>5</w:t>
      </w:r>
      <w:r w:rsidRPr="00351DCD">
        <w:t>)</w:t>
      </w:r>
      <w:r>
        <w:t xml:space="preserve"> (supporting restriction of LRR operations to the 76-77 GHz band).</w:t>
      </w:r>
    </w:p>
  </w:footnote>
  <w:footnote w:id="207">
    <w:p w:rsidR="009D0BE6" w:rsidRPr="008D059A" w:rsidRDefault="009D0BE6" w:rsidP="002B2EE9">
      <w:pPr>
        <w:pStyle w:val="FootnoteText"/>
      </w:pPr>
      <w:r>
        <w:rPr>
          <w:rStyle w:val="FootnoteReference"/>
        </w:rPr>
        <w:footnoteRef/>
      </w:r>
      <w:r>
        <w:t xml:space="preserve"> </w:t>
      </w:r>
      <w:r>
        <w:rPr>
          <w:i/>
        </w:rPr>
        <w:t>See</w:t>
      </w:r>
      <w:r>
        <w:t xml:space="preserve"> Xsight Comments at 5, n.14 (citing </w:t>
      </w:r>
      <w:r>
        <w:rPr>
          <w:i/>
        </w:rPr>
        <w:t>NPRM</w:t>
      </w:r>
      <w:r>
        <w:t>, 30 FCC Rcd at 1643, para. 61 (seeking comment on</w:t>
      </w:r>
      <w:r w:rsidRPr="00AA3AF0">
        <w:t xml:space="preserve"> </w:t>
      </w:r>
      <w:r>
        <w:t>allowing wingtip radars to operate with a bandwidth of one gigahertz over various portions of the 76-81 GHz band)).</w:t>
      </w:r>
    </w:p>
  </w:footnote>
  <w:footnote w:id="208">
    <w:p w:rsidR="009D0BE6" w:rsidRPr="00CB4E28" w:rsidRDefault="009D0BE6" w:rsidP="00CB4E28">
      <w:pPr>
        <w:pStyle w:val="FootnoteText"/>
      </w:pPr>
      <w:r>
        <w:rPr>
          <w:rStyle w:val="FootnoteReference"/>
        </w:rPr>
        <w:footnoteRef/>
      </w:r>
      <w:r>
        <w:t xml:space="preserve"> </w:t>
      </w:r>
      <w:r w:rsidRPr="00A43EB4">
        <w:rPr>
          <w:i/>
        </w:rPr>
        <w:t>See supra</w:t>
      </w:r>
      <w:r>
        <w:t xml:space="preserve"> Section III.C.1</w:t>
      </w:r>
      <w:r w:rsidRPr="00CB4E28">
        <w:t>.</w:t>
      </w:r>
    </w:p>
  </w:footnote>
  <w:footnote w:id="209">
    <w:p w:rsidR="009D0BE6" w:rsidRPr="00CB1C67" w:rsidRDefault="009D0BE6" w:rsidP="0057653F">
      <w:pPr>
        <w:pStyle w:val="FootnoteText"/>
      </w:pPr>
      <w:r w:rsidRPr="00CB4E28">
        <w:rPr>
          <w:rStyle w:val="FootnoteReference"/>
        </w:rPr>
        <w:footnoteRef/>
      </w:r>
      <w:r w:rsidRPr="00CB4E28">
        <w:t xml:space="preserve"> </w:t>
      </w:r>
      <w:r w:rsidRPr="00CB4E28">
        <w:rPr>
          <w:i/>
        </w:rPr>
        <w:t>See</w:t>
      </w:r>
      <w:r w:rsidRPr="00CB4E28">
        <w:t xml:space="preserve"> Automotive Group Comments at 8</w:t>
      </w:r>
      <w:r>
        <w:t>-9</w:t>
      </w:r>
      <w:r w:rsidRPr="00CB4E28">
        <w:t>.</w:t>
      </w:r>
    </w:p>
  </w:footnote>
  <w:footnote w:id="210">
    <w:p w:rsidR="009D0BE6" w:rsidRPr="00336D1B" w:rsidRDefault="009D0BE6" w:rsidP="00067F06">
      <w:pPr>
        <w:pStyle w:val="FootnoteText"/>
      </w:pPr>
      <w:r>
        <w:rPr>
          <w:rStyle w:val="FootnoteReference"/>
        </w:rPr>
        <w:footnoteRef/>
      </w:r>
      <w:r>
        <w:t xml:space="preserve"> According to Bosch, parties worldwide have engaged for several years in a comprehensive effort to standardize vehicular radar operations at 76-81 GHz.  </w:t>
      </w:r>
      <w:r>
        <w:rPr>
          <w:i/>
        </w:rPr>
        <w:t xml:space="preserve">See </w:t>
      </w:r>
      <w:r>
        <w:t>Bosch Reply at 10.</w:t>
      </w:r>
    </w:p>
  </w:footnote>
  <w:footnote w:id="211">
    <w:p w:rsidR="009D0BE6" w:rsidRPr="00CF5AE3" w:rsidRDefault="009D0BE6" w:rsidP="0059141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Pr>
          <w:color w:val="000000"/>
        </w:rPr>
        <w:t xml:space="preserve"> 5 U.S.C. § 604</w:t>
      </w:r>
      <w:r w:rsidRPr="00CF5AE3">
        <w:rPr>
          <w:color w:val="000000"/>
        </w:rPr>
        <w:t>.</w:t>
      </w:r>
    </w:p>
  </w:footnote>
  <w:footnote w:id="212">
    <w:p w:rsidR="009D0BE6" w:rsidRPr="00CF5AE3" w:rsidRDefault="009D0BE6" w:rsidP="00976DA2">
      <w:pPr>
        <w:pStyle w:val="FootnoteText"/>
        <w:rPr>
          <w:color w:val="000000"/>
        </w:rPr>
      </w:pPr>
      <w:r w:rsidRPr="00CF5AE3">
        <w:rPr>
          <w:rStyle w:val="FootnoteReference"/>
          <w:color w:val="000000"/>
        </w:rPr>
        <w:footnoteRef/>
      </w:r>
      <w:r w:rsidRPr="00CF5AE3">
        <w:rPr>
          <w:color w:val="000000"/>
        </w:rPr>
        <w:t xml:space="preserve"> 5 U.S.C. § 603. The RFA, </w:t>
      </w:r>
      <w:r w:rsidRPr="00AB18DA">
        <w:rPr>
          <w:i/>
          <w:color w:val="000000"/>
        </w:rPr>
        <w:t xml:space="preserve">see </w:t>
      </w:r>
      <w:r w:rsidRPr="00CF5AE3">
        <w:rPr>
          <w:color w:val="000000"/>
        </w:rPr>
        <w:t>5 U.S.C. § 601 – 612, has been amended by the Small Business Regulatory Enforcement Fairness Act of 1996 (SBREFA), Pub. L. No. 104-121, Title II, 110 Stat. 857 (1996).</w:t>
      </w:r>
    </w:p>
  </w:footnote>
  <w:footnote w:id="213">
    <w:p w:rsidR="009D0BE6" w:rsidRPr="00763550" w:rsidRDefault="009D0BE6" w:rsidP="00976DA2">
      <w:pPr>
        <w:pStyle w:val="FootnoteText"/>
      </w:pPr>
      <w:r>
        <w:rPr>
          <w:rStyle w:val="FootnoteReference"/>
        </w:rPr>
        <w:footnoteRef/>
      </w:r>
      <w:r>
        <w:t xml:space="preserve"> </w:t>
      </w:r>
      <w:r>
        <w:rPr>
          <w:i/>
        </w:rPr>
        <w:t>Amendment of Parts 1, 2, 15, 90 and 95 of the Commission’s Rules to Permit Radar Services in the 76-81 GHz Band</w:t>
      </w:r>
      <w:r>
        <w:t>, ET Docket No. 15-26, Notice of Proposed Rulemaking and Reconsideration Order, 30 FCC Rcd 1625 (2015) (</w:t>
      </w:r>
      <w:r>
        <w:rPr>
          <w:i/>
        </w:rPr>
        <w:t>NPRM</w:t>
      </w:r>
      <w:r>
        <w:t>).</w:t>
      </w:r>
    </w:p>
  </w:footnote>
  <w:footnote w:id="214">
    <w:p w:rsidR="009D0BE6" w:rsidRDefault="009D0BE6" w:rsidP="00976DA2">
      <w:pPr>
        <w:pStyle w:val="FootnoteText"/>
      </w:pPr>
      <w:r>
        <w:rPr>
          <w:rStyle w:val="FootnoteReference"/>
          <w:color w:val="000000"/>
        </w:rPr>
        <w:footnoteRef/>
      </w:r>
      <w:r>
        <w:t xml:space="preserve"> </w:t>
      </w:r>
      <w:r>
        <w:rPr>
          <w:i/>
        </w:rPr>
        <w:t xml:space="preserve">See </w:t>
      </w:r>
      <w:r>
        <w:t xml:space="preserve">5 </w:t>
      </w:r>
      <w:hyperlink r:id="rId15" w:history="1">
        <w:r w:rsidRPr="00D700E1">
          <w:rPr>
            <w:rStyle w:val="Hyperlink"/>
            <w:color w:val="000000"/>
            <w:u w:val="none"/>
          </w:rPr>
          <w:t>U.S.C. § 604.</w:t>
        </w:r>
      </w:hyperlink>
    </w:p>
  </w:footnote>
  <w:footnote w:id="215">
    <w:p w:rsidR="009D0BE6" w:rsidRDefault="009D0BE6" w:rsidP="00976DA2">
      <w:pPr>
        <w:pStyle w:val="FootnoteText"/>
      </w:pPr>
      <w:r>
        <w:rPr>
          <w:rStyle w:val="FootnoteReference"/>
        </w:rPr>
        <w:footnoteRef/>
      </w:r>
      <w:r>
        <w:t xml:space="preserve"> 5 U.S.C. § 604(a)(3).</w:t>
      </w:r>
    </w:p>
  </w:footnote>
  <w:footnote w:id="216">
    <w:p w:rsidR="009D0BE6" w:rsidRDefault="009D0BE6" w:rsidP="00976DA2">
      <w:pPr>
        <w:pStyle w:val="FootnoteText"/>
      </w:pPr>
      <w:r>
        <w:rPr>
          <w:rStyle w:val="FootnoteReference"/>
        </w:rPr>
        <w:footnoteRef/>
      </w:r>
      <w:r>
        <w:t xml:space="preserve"> 5 U.S.C. § 601(6).</w:t>
      </w:r>
    </w:p>
  </w:footnote>
  <w:footnote w:id="217">
    <w:p w:rsidR="009D0BE6" w:rsidRDefault="009D0BE6" w:rsidP="00976DA2">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8">
    <w:p w:rsidR="009D0BE6" w:rsidRDefault="009D0BE6" w:rsidP="00976DA2">
      <w:pPr>
        <w:pStyle w:val="FootnoteText"/>
      </w:pPr>
      <w:r>
        <w:rPr>
          <w:rStyle w:val="FootnoteReference"/>
        </w:rPr>
        <w:footnoteRef/>
      </w:r>
      <w:r>
        <w:t xml:space="preserve"> 15 U.S.C. § 632.</w:t>
      </w:r>
    </w:p>
  </w:footnote>
  <w:footnote w:id="219">
    <w:p w:rsidR="009D0BE6" w:rsidRDefault="009D0BE6" w:rsidP="00984952">
      <w:pPr>
        <w:pStyle w:val="FootnoteText"/>
      </w:pPr>
      <w:r>
        <w:rPr>
          <w:rStyle w:val="FootnoteReference"/>
        </w:rPr>
        <w:footnoteRef/>
      </w:r>
      <w:r>
        <w:t xml:space="preserve"> </w:t>
      </w:r>
      <w:hyperlink r:id="rId16" w:history="1">
        <w:r w:rsidRPr="00526D42">
          <w:rPr>
            <w:rStyle w:val="Hyperlink"/>
          </w:rPr>
          <w:t>https://www.census.gov/cgi-bin/sssd/naics/naicsrch</w:t>
        </w:r>
      </w:hyperlink>
      <w:r>
        <w:t>.</w:t>
      </w:r>
    </w:p>
  </w:footnote>
  <w:footnote w:id="220">
    <w:p w:rsidR="009D0BE6" w:rsidRDefault="009D0BE6" w:rsidP="00984952">
      <w:pPr>
        <w:pStyle w:val="FootnoteText"/>
      </w:pPr>
      <w:r>
        <w:rPr>
          <w:rStyle w:val="FootnoteReference"/>
        </w:rPr>
        <w:footnoteRef/>
      </w:r>
      <w:r>
        <w:t xml:space="preserve"> 13 CFR § 121.201, NAICS Code 334290.</w:t>
      </w:r>
    </w:p>
  </w:footnote>
  <w:footnote w:id="221">
    <w:p w:rsidR="009D0BE6" w:rsidRDefault="009D0BE6" w:rsidP="00984952">
      <w:pPr>
        <w:pStyle w:val="FootnoteText"/>
      </w:pPr>
      <w:r>
        <w:rPr>
          <w:rStyle w:val="FootnoteReference"/>
        </w:rPr>
        <w:footnoteRef/>
      </w:r>
      <w:r>
        <w:t xml:space="preserve"> </w:t>
      </w:r>
      <w:hyperlink r:id="rId17" w:history="1">
        <w:r w:rsidRPr="00732200">
          <w:rPr>
            <w:rStyle w:val="Hyperlink"/>
          </w:rPr>
          <w:t>http://factfinder.census.gov/faces/tableservices/jsf/pages/productview.xhtml?pid=ECN_2012_US_31SG2&amp;prod</w:t>
        </w:r>
      </w:hyperlink>
      <w:r>
        <w:t>.</w:t>
      </w:r>
    </w:p>
  </w:footnote>
  <w:footnote w:id="222">
    <w:p w:rsidR="009D0BE6" w:rsidRDefault="009D0BE6" w:rsidP="00F9343B">
      <w:pPr>
        <w:pStyle w:val="FootnoteText"/>
      </w:pPr>
      <w:r>
        <w:rPr>
          <w:rStyle w:val="FootnoteReference"/>
        </w:rPr>
        <w:footnoteRef/>
      </w:r>
      <w:r>
        <w:t xml:space="preserve"> </w:t>
      </w:r>
      <w:hyperlink r:id="rId18" w:history="1">
        <w:r w:rsidRPr="00307B54">
          <w:rPr>
            <w:rStyle w:val="Hyperlink"/>
          </w:rPr>
          <w:t>https://www.census.gov/cgi-bin/sssd/naics/naicsrch</w:t>
        </w:r>
      </w:hyperlink>
      <w:r>
        <w:t>.</w:t>
      </w:r>
    </w:p>
  </w:footnote>
  <w:footnote w:id="223">
    <w:p w:rsidR="009D0BE6" w:rsidRDefault="009D0BE6" w:rsidP="00F9343B">
      <w:pPr>
        <w:pStyle w:val="FootnoteText"/>
      </w:pPr>
      <w:r>
        <w:rPr>
          <w:rStyle w:val="FootnoteReference"/>
        </w:rPr>
        <w:footnoteRef/>
      </w:r>
      <w:r>
        <w:t xml:space="preserve"> </w:t>
      </w:r>
      <w:r w:rsidRPr="00EB2784">
        <w:t>13 CFR</w:t>
      </w:r>
      <w:r>
        <w:t xml:space="preserve"> </w:t>
      </w:r>
      <w:r w:rsidRPr="00442C41">
        <w:t>§</w:t>
      </w:r>
      <w:r w:rsidRPr="00EB2784">
        <w:t xml:space="preserve"> 121.201</w:t>
      </w:r>
      <w:r>
        <w:t>, NAICS Code 334511.</w:t>
      </w:r>
    </w:p>
  </w:footnote>
  <w:footnote w:id="224">
    <w:p w:rsidR="009D0BE6" w:rsidRDefault="009D0BE6" w:rsidP="00F9343B">
      <w:pPr>
        <w:pStyle w:val="FootnoteText"/>
      </w:pPr>
      <w:r>
        <w:rPr>
          <w:rStyle w:val="FootnoteReference"/>
        </w:rPr>
        <w:footnoteRef/>
      </w:r>
      <w:r>
        <w:t xml:space="preserve"> </w:t>
      </w:r>
      <w:hyperlink r:id="rId19" w:history="1">
        <w:r w:rsidRPr="00732200">
          <w:rPr>
            <w:rStyle w:val="Hyperlink"/>
          </w:rPr>
          <w:t>http://factfinder.census.gov/faces/tableservices/jsf/pages/productview.xhtml?pid=ECN_2012_US_31SG2&amp;prod</w:t>
        </w:r>
      </w:hyperlink>
      <w:r>
        <w:t>.</w:t>
      </w:r>
    </w:p>
  </w:footnote>
  <w:footnote w:id="225">
    <w:p w:rsidR="009D0BE6" w:rsidRDefault="009D0BE6" w:rsidP="00F9343B">
      <w:pPr>
        <w:pStyle w:val="FootnoteText"/>
      </w:pPr>
      <w:r>
        <w:rPr>
          <w:rStyle w:val="FootnoteReference"/>
        </w:rPr>
        <w:footnoteRef/>
      </w:r>
      <w:r>
        <w:t xml:space="preserve"> </w:t>
      </w:r>
      <w:hyperlink r:id="rId20" w:history="1">
        <w:r w:rsidRPr="00526D42">
          <w:rPr>
            <w:rStyle w:val="Hyperlink"/>
          </w:rPr>
          <w:t>https://www.census.gov/cgi-bin/sssd/naics/naicsrch</w:t>
        </w:r>
      </w:hyperlink>
      <w:r>
        <w:t>.</w:t>
      </w:r>
    </w:p>
  </w:footnote>
  <w:footnote w:id="226">
    <w:p w:rsidR="009D0BE6" w:rsidRDefault="009D0BE6" w:rsidP="00F9343B">
      <w:pPr>
        <w:pStyle w:val="FootnoteText"/>
      </w:pPr>
      <w:r>
        <w:rPr>
          <w:rStyle w:val="FootnoteReference"/>
        </w:rPr>
        <w:footnoteRef/>
      </w:r>
      <w:r>
        <w:t xml:space="preserve"> 13 CFR </w:t>
      </w:r>
      <w:r w:rsidRPr="00442C41">
        <w:t xml:space="preserve">§ </w:t>
      </w:r>
      <w:r>
        <w:t>121.201, NAICS Code 334220.</w:t>
      </w:r>
    </w:p>
  </w:footnote>
  <w:footnote w:id="227">
    <w:p w:rsidR="009D0BE6" w:rsidRDefault="009D0BE6" w:rsidP="00F9343B">
      <w:pPr>
        <w:pStyle w:val="FootnoteText"/>
      </w:pPr>
      <w:r>
        <w:rPr>
          <w:rStyle w:val="FootnoteReference"/>
        </w:rPr>
        <w:footnoteRef/>
      </w:r>
      <w:r>
        <w:t xml:space="preserve"> </w:t>
      </w:r>
      <w:hyperlink r:id="rId21" w:history="1">
        <w:r w:rsidRPr="001062A0">
          <w:rPr>
            <w:rStyle w:val="Hyperlink"/>
          </w:rPr>
          <w:t>http://factfinder.census.gov/faces/tableservices/jsf/pages/productview.xhtml?pid=ECN_2012_US_31SG2&amp;prod</w:t>
        </w:r>
      </w:hyperlink>
      <w:r>
        <w:t xml:space="preserve">. </w:t>
      </w:r>
    </w:p>
  </w:footnote>
  <w:footnote w:id="228">
    <w:p w:rsidR="009D0BE6" w:rsidRDefault="009D0BE6" w:rsidP="00976DA2">
      <w:pPr>
        <w:pStyle w:val="FootnoteText"/>
      </w:pPr>
      <w:r>
        <w:rPr>
          <w:rStyle w:val="FootnoteReference"/>
        </w:rPr>
        <w:footnoteRef/>
      </w:r>
      <w:r>
        <w:t xml:space="preserve"> </w:t>
      </w:r>
      <w:r>
        <w:rPr>
          <w:i/>
        </w:rPr>
        <w:t>See</w:t>
      </w:r>
      <w:r>
        <w:t xml:space="preserve"> 5 U.S.C. § 603(c).</w:t>
      </w:r>
    </w:p>
  </w:footnote>
  <w:footnote w:id="229">
    <w:p w:rsidR="009D0BE6" w:rsidRPr="00CF5AE3" w:rsidRDefault="009D0BE6" w:rsidP="00976DA2">
      <w:pPr>
        <w:pStyle w:val="FootnoteText"/>
        <w:rPr>
          <w:color w:val="000000"/>
        </w:rPr>
      </w:pPr>
      <w:r w:rsidRPr="00CF5AE3">
        <w:rPr>
          <w:rStyle w:val="FootnoteReference"/>
          <w:color w:val="000000"/>
        </w:rPr>
        <w:footnoteRef/>
      </w:r>
      <w:r w:rsidRPr="00CF5AE3">
        <w:rPr>
          <w:color w:val="000000"/>
        </w:rPr>
        <w:t xml:space="preserve"> 5 U.S.C. § </w:t>
      </w:r>
      <w:r>
        <w:rPr>
          <w:color w:val="000000"/>
        </w:rPr>
        <w:t>801(a)(1)(A)</w:t>
      </w:r>
      <w:r w:rsidRPr="00CF5AE3">
        <w:rPr>
          <w:color w:val="000000"/>
        </w:rPr>
        <w:t>.</w:t>
      </w:r>
    </w:p>
  </w:footnote>
  <w:footnote w:id="230">
    <w:p w:rsidR="009D0BE6" w:rsidRDefault="009D0BE6" w:rsidP="00976DA2">
      <w:pPr>
        <w:pStyle w:val="FootnoteText"/>
      </w:pPr>
      <w:r>
        <w:rPr>
          <w:rStyle w:val="FootnoteReference"/>
        </w:rPr>
        <w:footnoteRef/>
      </w:r>
      <w:r>
        <w:t xml:space="preserve"> </w:t>
      </w:r>
      <w:r>
        <w:rPr>
          <w:i/>
        </w:rPr>
        <w:t>See</w:t>
      </w:r>
      <w:r>
        <w:t xml:space="preserve"> 5 U.S.C. § 604(b).</w:t>
      </w:r>
    </w:p>
  </w:footnote>
  <w:footnote w:id="231">
    <w:p w:rsidR="009D0BE6" w:rsidRPr="007D6623" w:rsidRDefault="009D0BE6" w:rsidP="00E62C1B">
      <w:pPr>
        <w:pStyle w:val="FootnoteText"/>
      </w:pPr>
      <w:r w:rsidRPr="007D6623">
        <w:rPr>
          <w:rStyle w:val="FootnoteReference"/>
        </w:rPr>
        <w:footnoteRef/>
      </w:r>
      <w:r w:rsidRPr="007D6623">
        <w:t xml:space="preserve"> </w:t>
      </w:r>
      <w:r w:rsidRPr="00D14EDA">
        <w:rPr>
          <w:i/>
        </w:rPr>
        <w:t>See supra</w:t>
      </w:r>
      <w:r w:rsidRPr="007D6623">
        <w:t xml:space="preserve"> </w:t>
      </w:r>
      <w:r>
        <w:t xml:space="preserve">para. </w:t>
      </w:r>
      <w:r w:rsidRPr="007D6623">
        <w:t>3 &amp; n.8.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7" w:rsidRDefault="006A4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rsidP="00810B6F">
    <w:pPr>
      <w:pStyle w:val="Header"/>
      <w:rPr>
        <w:b w:val="0"/>
      </w:rPr>
    </w:pPr>
    <w:r>
      <w:tab/>
      <w:t>Federal Communications Commission</w:t>
    </w:r>
    <w:r>
      <w:tab/>
      <w:t>FCC 17-94</w:t>
    </w:r>
  </w:p>
  <w:p w:rsidR="009D0BE6" w:rsidRDefault="009D0BE6">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345887"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D0BE6" w:rsidRDefault="009D0BE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rsidP="00810B6F">
    <w:pPr>
      <w:pStyle w:val="Header"/>
      <w:rPr>
        <w:b w:val="0"/>
      </w:rPr>
    </w:pPr>
    <w:r>
      <w:rPr>
        <w:noProof/>
      </w:rPr>
      <mc:AlternateContent>
        <mc:Choice Requires="wps">
          <w:drawing>
            <wp:anchor distT="0" distB="0" distL="114300" distR="114300" simplePos="0" relativeHeight="25166080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E0BBD" id="Rectangle 3" o:spid="_x0000_s1026"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FCC 17-94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Default="009D0BE6" w:rsidP="008436A4">
    <w:pPr>
      <w:tabs>
        <w:tab w:val="left" w:pos="-720"/>
      </w:tabs>
      <w:suppressAutoHyphens/>
      <w:spacing w:line="19"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Pr="009839C6" w:rsidRDefault="009D0BE6" w:rsidP="009354A5">
    <w:pPr>
      <w:tabs>
        <w:tab w:val="center" w:pos="4680"/>
        <w:tab w:val="right" w:pos="9360"/>
      </w:tabs>
      <w:rPr>
        <w:b/>
        <w:spacing w:val="-2"/>
      </w:rPr>
    </w:pPr>
    <w:r>
      <w:rPr>
        <w:noProof/>
      </w:rPr>
      <mc:AlternateContent>
        <mc:Choice Requires="wps">
          <w:drawing>
            <wp:anchor distT="0" distB="0" distL="114300" distR="114300" simplePos="0" relativeHeight="25165875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7CF38"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" o:allowincell="f" fillcolor="black" stroked="f" strokeweight=".05pt">
              <o:lock v:ext="edit" aspectratio="t"/>
              <w10:wrap anchorx="margin"/>
            </v:rect>
          </w:pict>
        </mc:Fallback>
      </mc:AlternateContent>
    </w:r>
    <w:r w:rsidRPr="000C79B5">
      <w:rPr>
        <w:b/>
      </w:rPr>
      <w:tab/>
      <w:t xml:space="preserve">Federal Communications Commission  </w:t>
    </w:r>
    <w:r>
      <w:rPr>
        <w:b/>
      </w:rPr>
      <w:t xml:space="preserve">      </w:t>
    </w:r>
    <w:r>
      <w:rPr>
        <w:rFonts w:ascii="Times New Roman Bold" w:hAnsi="Times New Roman Bold"/>
        <w:b/>
      </w:rPr>
      <w:tab/>
    </w:r>
    <w:r w:rsidRPr="000C79B5">
      <w:rPr>
        <w:b/>
        <w:spacing w:val="-2"/>
      </w:rPr>
      <w:t>FCC 1</w:t>
    </w:r>
    <w:r>
      <w:rPr>
        <w:b/>
        <w:spacing w:val="-2"/>
      </w:rPr>
      <w:t>7</w:t>
    </w:r>
    <w:r w:rsidRPr="000C79B5">
      <w:rPr>
        <w:b/>
        <w:spacing w:val="-2"/>
      </w:rPr>
      <w:t>-</w:t>
    </w:r>
    <w:r>
      <w:rPr>
        <w:b/>
        <w:spacing w:val="-2"/>
      </w:rPr>
      <w:t>94</w:t>
    </w:r>
  </w:p>
  <w:p w:rsidR="009D0BE6" w:rsidRDefault="009D0BE6" w:rsidP="009839C6">
    <w:pPr>
      <w:tabs>
        <w:tab w:val="left" w:pos="-720"/>
      </w:tabs>
      <w:suppressAutoHyphens/>
      <w:spacing w:line="19" w:lineRule="exact"/>
      <w:rPr>
        <w:sz w:val="10"/>
      </w:rPr>
    </w:pPr>
    <w:r>
      <w:rPr>
        <w:noProof/>
      </w:rPr>
      <mc:AlternateContent>
        <mc:Choice Requires="wps">
          <w:drawing>
            <wp:anchor distT="0" distB="0" distL="114300" distR="114300" simplePos="0" relativeHeight="2516536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512C1F" id="Rectangle 1" o:spid="_x0000_s1026" style="position:absolute;margin-left:0;margin-top:0;width:468pt;height:.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U8QIAAEU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" o:allowincell="f" fillcolor="black" stroked="f" strokeweight=".05pt">
              <o:lock v:ext="edit" aspectratio="t"/>
              <w10:wrap anchorx="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E6" w:rsidRPr="000C79B5" w:rsidRDefault="009D0BE6" w:rsidP="009839C6">
    <w:pPr>
      <w:tabs>
        <w:tab w:val="center" w:pos="4680"/>
        <w:tab w:val="right" w:pos="9360"/>
      </w:tabs>
      <w:rPr>
        <w:b/>
        <w:spacing w:val="-2"/>
      </w:rPr>
    </w:pPr>
    <w:r>
      <w:rPr>
        <w:noProof/>
      </w:rPr>
      <mc:AlternateContent>
        <mc:Choice Requires="wps">
          <w:drawing>
            <wp:anchor distT="0" distB="0" distL="114300" distR="114300" simplePos="0" relativeHeight="25165465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31ABF0" id="Rectangle 3" o:spid="_x0000_s1026" style="position:absolute;margin-left:.6pt;margin-top:12.65pt;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" o:allowincell="f" fillcolor="black" stroked="f" strokeweight=".05pt">
              <o:lock v:ext="edit" aspectratio="t"/>
              <w10:wrap anchorx="margin"/>
            </v:rect>
          </w:pict>
        </mc:Fallback>
      </mc:AlternateContent>
    </w:r>
    <w:r w:rsidRPr="000C79B5">
      <w:rPr>
        <w:b/>
        <w:sz w:val="16"/>
        <w:szCs w:val="16"/>
      </w:rPr>
      <w:t>Non-Public/For Internal FCC Use Only</w:t>
    </w:r>
    <w:r w:rsidRPr="000C79B5">
      <w:rPr>
        <w:b/>
      </w:rPr>
      <w:tab/>
      <w:t xml:space="preserve">Federal Communications Commission  </w:t>
    </w:r>
    <w:r>
      <w:rPr>
        <w:b/>
      </w:rPr>
      <w:t xml:space="preserve">      </w:t>
    </w:r>
    <w:r>
      <w:rPr>
        <w:rFonts w:ascii="Times New Roman Bold" w:hAnsi="Times New Roman Bold"/>
        <w:b/>
      </w:rPr>
      <w:t>3/2</w:t>
    </w:r>
    <w:r w:rsidRPr="003540FF">
      <w:rPr>
        <w:rFonts w:ascii="Times New Roman Bold" w:hAnsi="Times New Roman Bold"/>
        <w:b/>
      </w:rPr>
      <w:t>/1</w:t>
    </w:r>
    <w:r>
      <w:rPr>
        <w:rFonts w:ascii="Times New Roman Bold" w:hAnsi="Times New Roman Bold"/>
        <w:b/>
      </w:rPr>
      <w:t>7</w:t>
    </w:r>
    <w:r w:rsidRPr="003540FF">
      <w:rPr>
        <w:rFonts w:ascii="Times New Roman Bold" w:hAnsi="Times New Roman Bold"/>
        <w:b/>
      </w:rPr>
      <w:t xml:space="preserve"> </w:t>
    </w:r>
    <w:r>
      <w:rPr>
        <w:rFonts w:ascii="Times New Roman Bold" w:hAnsi="Times New Roman Bold"/>
        <w:b/>
      </w:rPr>
      <w:tab/>
    </w:r>
    <w:r w:rsidRPr="000C79B5">
      <w:rPr>
        <w:b/>
        <w:spacing w:val="-2"/>
      </w:rPr>
      <w:t>FCC 1</w:t>
    </w:r>
    <w:r>
      <w:rPr>
        <w:b/>
        <w:spacing w:val="-2"/>
      </w:rPr>
      <w:t>7</w:t>
    </w:r>
    <w:r w:rsidRPr="000C79B5">
      <w:rPr>
        <w:b/>
        <w:spacing w:val="-2"/>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44A"/>
    <w:multiLevelType w:val="hybridMultilevel"/>
    <w:tmpl w:val="8236C8D0"/>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A0BA3"/>
    <w:multiLevelType w:val="hybridMultilevel"/>
    <w:tmpl w:val="9282EA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495D80"/>
    <w:multiLevelType w:val="hybridMultilevel"/>
    <w:tmpl w:val="C4DA68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4E03"/>
    <w:multiLevelType w:val="hybridMultilevel"/>
    <w:tmpl w:val="8236C8D0"/>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CE0E1A"/>
    <w:multiLevelType w:val="hybridMultilevel"/>
    <w:tmpl w:val="67E4F522"/>
    <w:lvl w:ilvl="0" w:tplc="64F0AAEC">
      <w:start w:val="1"/>
      <w:numFmt w:val="decimal"/>
      <w:lvlText w:val="%1."/>
      <w:lvlJc w:val="left"/>
      <w:pPr>
        <w:ind w:left="720" w:hanging="360"/>
      </w:pPr>
      <w:rPr>
        <w:i w:val="0"/>
      </w:rPr>
    </w:lvl>
    <w:lvl w:ilvl="1" w:tplc="DED2A03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936FDE"/>
    <w:multiLevelType w:val="singleLevel"/>
    <w:tmpl w:val="47888604"/>
    <w:lvl w:ilvl="0">
      <w:start w:val="1"/>
      <w:numFmt w:val="decimal"/>
      <w:pStyle w:val="RuleNum"/>
      <w:lvlText w:val="%1."/>
      <w:lvlJc w:val="left"/>
      <w:pPr>
        <w:tabs>
          <w:tab w:val="num" w:pos="630"/>
        </w:tabs>
        <w:ind w:left="270" w:firstLine="0"/>
      </w:pPr>
    </w:lvl>
  </w:abstractNum>
  <w:abstractNum w:abstractNumId="10">
    <w:nsid w:val="2C4352FF"/>
    <w:multiLevelType w:val="hybridMultilevel"/>
    <w:tmpl w:val="090674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6644"/>
    <w:multiLevelType w:val="hybridMultilevel"/>
    <w:tmpl w:val="0E10EA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B1B29"/>
    <w:multiLevelType w:val="hybridMultilevel"/>
    <w:tmpl w:val="7688B8DE"/>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29C1B9A"/>
    <w:multiLevelType w:val="hybridMultilevel"/>
    <w:tmpl w:val="B7B63B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E2F7F73"/>
    <w:multiLevelType w:val="hybridMultilevel"/>
    <w:tmpl w:val="5A3C0B42"/>
    <w:lvl w:ilvl="0" w:tplc="2A5C7F9E">
      <w:start w:val="1"/>
      <w:numFmt w:val="decimal"/>
      <w:pStyle w:val="AmendatoryLanguage"/>
      <w:lvlText w:val="%1."/>
      <w:lvlJc w:val="left"/>
      <w:pPr>
        <w:tabs>
          <w:tab w:val="num" w:pos="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700F3B"/>
    <w:multiLevelType w:val="hybridMultilevel"/>
    <w:tmpl w:val="56AEBA14"/>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2FC1946"/>
    <w:multiLevelType w:val="hybridMultilevel"/>
    <w:tmpl w:val="8236C8D0"/>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E27A1A"/>
    <w:multiLevelType w:val="hybridMultilevel"/>
    <w:tmpl w:val="8B8A9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32C25"/>
    <w:multiLevelType w:val="hybridMultilevel"/>
    <w:tmpl w:val="81DA0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4A6548"/>
    <w:multiLevelType w:val="hybridMultilevel"/>
    <w:tmpl w:val="8236C8D0"/>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DEA6106"/>
    <w:multiLevelType w:val="hybridMultilevel"/>
    <w:tmpl w:val="F34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8"/>
  </w:num>
  <w:num w:numId="4">
    <w:abstractNumId w:val="14"/>
  </w:num>
  <w:num w:numId="5">
    <w:abstractNumId w:val="7"/>
  </w:num>
  <w:num w:numId="6">
    <w:abstractNumId w:val="2"/>
  </w:num>
  <w:num w:numId="7">
    <w:abstractNumId w:val="15"/>
  </w:num>
  <w:num w:numId="8">
    <w:abstractNumId w:val="9"/>
  </w:num>
  <w:num w:numId="9">
    <w:abstractNumId w:val="22"/>
  </w:num>
  <w:num w:numId="10">
    <w:abstractNumId w:val="12"/>
  </w:num>
  <w:num w:numId="11">
    <w:abstractNumId w:val="20"/>
  </w:num>
  <w:num w:numId="12">
    <w:abstractNumId w:val="17"/>
  </w:num>
  <w:num w:numId="13">
    <w:abstractNumId w:val="21"/>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23"/>
  </w:num>
  <w:num w:numId="18">
    <w:abstractNumId w:val="18"/>
    <w:lvlOverride w:ilvl="0">
      <w:startOverride w:val="1"/>
    </w:lvlOverride>
  </w:num>
  <w:num w:numId="19">
    <w:abstractNumId w:val="1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lvlOverride w:ilvl="0">
      <w:startOverride w:val="1"/>
    </w:lvlOverride>
  </w:num>
  <w:num w:numId="33">
    <w:abstractNumId w:val="18"/>
  </w:num>
  <w:num w:numId="34">
    <w:abstractNumId w:val="18"/>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8"/>
  </w:num>
  <w:num w:numId="39">
    <w:abstractNumId w:val="18"/>
  </w:num>
  <w:num w:numId="40">
    <w:abstractNumId w:val="16"/>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num>
  <w:num w:numId="45">
    <w:abstractNumId w:val="10"/>
  </w:num>
  <w:num w:numId="46">
    <w:abstractNumId w:val="1"/>
  </w:num>
  <w:num w:numId="47">
    <w:abstractNumId w:val="13"/>
  </w:num>
  <w:num w:numId="48">
    <w:abstractNumId w:val="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A2"/>
    <w:rsid w:val="00001518"/>
    <w:rsid w:val="00002801"/>
    <w:rsid w:val="00002CF0"/>
    <w:rsid w:val="00002DD0"/>
    <w:rsid w:val="000058F7"/>
    <w:rsid w:val="00006F7D"/>
    <w:rsid w:val="00007A0B"/>
    <w:rsid w:val="00007B57"/>
    <w:rsid w:val="00010752"/>
    <w:rsid w:val="00011290"/>
    <w:rsid w:val="00011DB3"/>
    <w:rsid w:val="00012AA8"/>
    <w:rsid w:val="00012DE3"/>
    <w:rsid w:val="000133A5"/>
    <w:rsid w:val="00013DE6"/>
    <w:rsid w:val="00014377"/>
    <w:rsid w:val="0001615B"/>
    <w:rsid w:val="000164CA"/>
    <w:rsid w:val="00017B92"/>
    <w:rsid w:val="000212C4"/>
    <w:rsid w:val="00022BEB"/>
    <w:rsid w:val="0002426F"/>
    <w:rsid w:val="0002459B"/>
    <w:rsid w:val="0002541C"/>
    <w:rsid w:val="00025497"/>
    <w:rsid w:val="000261AA"/>
    <w:rsid w:val="00026CBD"/>
    <w:rsid w:val="00027C8F"/>
    <w:rsid w:val="00027FC5"/>
    <w:rsid w:val="00031271"/>
    <w:rsid w:val="00031A72"/>
    <w:rsid w:val="00031D09"/>
    <w:rsid w:val="000325C7"/>
    <w:rsid w:val="000349A1"/>
    <w:rsid w:val="00036039"/>
    <w:rsid w:val="00037C28"/>
    <w:rsid w:val="00037F57"/>
    <w:rsid w:val="00037F90"/>
    <w:rsid w:val="00040FF3"/>
    <w:rsid w:val="00041ED3"/>
    <w:rsid w:val="00042DC5"/>
    <w:rsid w:val="00042DE4"/>
    <w:rsid w:val="00042EF0"/>
    <w:rsid w:val="00043942"/>
    <w:rsid w:val="00044247"/>
    <w:rsid w:val="00044D4A"/>
    <w:rsid w:val="00045EB3"/>
    <w:rsid w:val="0004615F"/>
    <w:rsid w:val="00047654"/>
    <w:rsid w:val="000477F0"/>
    <w:rsid w:val="00051342"/>
    <w:rsid w:val="00051829"/>
    <w:rsid w:val="00051B64"/>
    <w:rsid w:val="00054BFD"/>
    <w:rsid w:val="00055749"/>
    <w:rsid w:val="0005574B"/>
    <w:rsid w:val="00056CAC"/>
    <w:rsid w:val="00057958"/>
    <w:rsid w:val="00061579"/>
    <w:rsid w:val="000616C7"/>
    <w:rsid w:val="00062802"/>
    <w:rsid w:val="0006322F"/>
    <w:rsid w:val="0006337A"/>
    <w:rsid w:val="00063386"/>
    <w:rsid w:val="00064066"/>
    <w:rsid w:val="000644F1"/>
    <w:rsid w:val="00064E30"/>
    <w:rsid w:val="00066316"/>
    <w:rsid w:val="00066928"/>
    <w:rsid w:val="00066D50"/>
    <w:rsid w:val="00067F06"/>
    <w:rsid w:val="00070329"/>
    <w:rsid w:val="00072114"/>
    <w:rsid w:val="00072122"/>
    <w:rsid w:val="0007253D"/>
    <w:rsid w:val="000738F5"/>
    <w:rsid w:val="00074894"/>
    <w:rsid w:val="00074C18"/>
    <w:rsid w:val="00074D4A"/>
    <w:rsid w:val="000751B2"/>
    <w:rsid w:val="000753D7"/>
    <w:rsid w:val="0007574A"/>
    <w:rsid w:val="00076D83"/>
    <w:rsid w:val="00080AD2"/>
    <w:rsid w:val="00080AD3"/>
    <w:rsid w:val="0008138A"/>
    <w:rsid w:val="0008149A"/>
    <w:rsid w:val="00082F75"/>
    <w:rsid w:val="000840A9"/>
    <w:rsid w:val="000847B3"/>
    <w:rsid w:val="00084B3A"/>
    <w:rsid w:val="00084EA8"/>
    <w:rsid w:val="000850EF"/>
    <w:rsid w:val="00085165"/>
    <w:rsid w:val="000855A7"/>
    <w:rsid w:val="000856BE"/>
    <w:rsid w:val="00085A8A"/>
    <w:rsid w:val="00085B4A"/>
    <w:rsid w:val="0008642A"/>
    <w:rsid w:val="00086A4F"/>
    <w:rsid w:val="000875BF"/>
    <w:rsid w:val="0008795C"/>
    <w:rsid w:val="0009009B"/>
    <w:rsid w:val="00090660"/>
    <w:rsid w:val="00090858"/>
    <w:rsid w:val="00092829"/>
    <w:rsid w:val="0009317D"/>
    <w:rsid w:val="00093501"/>
    <w:rsid w:val="000950CE"/>
    <w:rsid w:val="00095295"/>
    <w:rsid w:val="00095B7D"/>
    <w:rsid w:val="00095C31"/>
    <w:rsid w:val="00095C4A"/>
    <w:rsid w:val="00096835"/>
    <w:rsid w:val="00096D8C"/>
    <w:rsid w:val="00097DA0"/>
    <w:rsid w:val="000A0B07"/>
    <w:rsid w:val="000A12A7"/>
    <w:rsid w:val="000A1522"/>
    <w:rsid w:val="000A1666"/>
    <w:rsid w:val="000A323A"/>
    <w:rsid w:val="000A3571"/>
    <w:rsid w:val="000A41A0"/>
    <w:rsid w:val="000A706D"/>
    <w:rsid w:val="000B1AD1"/>
    <w:rsid w:val="000B1E99"/>
    <w:rsid w:val="000B1EF6"/>
    <w:rsid w:val="000B21E6"/>
    <w:rsid w:val="000B29B8"/>
    <w:rsid w:val="000B2DC1"/>
    <w:rsid w:val="000B3652"/>
    <w:rsid w:val="000B3714"/>
    <w:rsid w:val="000B674A"/>
    <w:rsid w:val="000B6867"/>
    <w:rsid w:val="000B7EE6"/>
    <w:rsid w:val="000C0A56"/>
    <w:rsid w:val="000C0B65"/>
    <w:rsid w:val="000C231D"/>
    <w:rsid w:val="000C2415"/>
    <w:rsid w:val="000C2FFB"/>
    <w:rsid w:val="000C45B5"/>
    <w:rsid w:val="000C4638"/>
    <w:rsid w:val="000C4B4E"/>
    <w:rsid w:val="000C5BFB"/>
    <w:rsid w:val="000C6302"/>
    <w:rsid w:val="000C6CD3"/>
    <w:rsid w:val="000C7591"/>
    <w:rsid w:val="000D11EE"/>
    <w:rsid w:val="000D1EC0"/>
    <w:rsid w:val="000D205A"/>
    <w:rsid w:val="000D3013"/>
    <w:rsid w:val="000D34AC"/>
    <w:rsid w:val="000D5E8C"/>
    <w:rsid w:val="000E007F"/>
    <w:rsid w:val="000E05FE"/>
    <w:rsid w:val="000E07D1"/>
    <w:rsid w:val="000E15F1"/>
    <w:rsid w:val="000E29B5"/>
    <w:rsid w:val="000E3242"/>
    <w:rsid w:val="000E3D42"/>
    <w:rsid w:val="000E4021"/>
    <w:rsid w:val="000E4CA2"/>
    <w:rsid w:val="000E504E"/>
    <w:rsid w:val="000E510E"/>
    <w:rsid w:val="000E56AA"/>
    <w:rsid w:val="000E7360"/>
    <w:rsid w:val="000E7E04"/>
    <w:rsid w:val="000F013B"/>
    <w:rsid w:val="000F0402"/>
    <w:rsid w:val="000F0B58"/>
    <w:rsid w:val="000F17A2"/>
    <w:rsid w:val="000F207A"/>
    <w:rsid w:val="000F266A"/>
    <w:rsid w:val="000F2DB8"/>
    <w:rsid w:val="000F38AB"/>
    <w:rsid w:val="000F485A"/>
    <w:rsid w:val="000F7DE9"/>
    <w:rsid w:val="0010289A"/>
    <w:rsid w:val="00104842"/>
    <w:rsid w:val="00104BD6"/>
    <w:rsid w:val="00105B3F"/>
    <w:rsid w:val="0010712F"/>
    <w:rsid w:val="0010742D"/>
    <w:rsid w:val="00110EEF"/>
    <w:rsid w:val="00112394"/>
    <w:rsid w:val="001128B2"/>
    <w:rsid w:val="00112E75"/>
    <w:rsid w:val="001130BE"/>
    <w:rsid w:val="00113444"/>
    <w:rsid w:val="001137D8"/>
    <w:rsid w:val="001149AF"/>
    <w:rsid w:val="0011598D"/>
    <w:rsid w:val="00120D28"/>
    <w:rsid w:val="00121365"/>
    <w:rsid w:val="00122BD5"/>
    <w:rsid w:val="00122F9D"/>
    <w:rsid w:val="0012324B"/>
    <w:rsid w:val="001247C2"/>
    <w:rsid w:val="00125A94"/>
    <w:rsid w:val="00125D4C"/>
    <w:rsid w:val="0012635A"/>
    <w:rsid w:val="00127CF6"/>
    <w:rsid w:val="001312F6"/>
    <w:rsid w:val="00133F79"/>
    <w:rsid w:val="00134F78"/>
    <w:rsid w:val="001360BF"/>
    <w:rsid w:val="00137EE0"/>
    <w:rsid w:val="001400D7"/>
    <w:rsid w:val="00140C12"/>
    <w:rsid w:val="00141050"/>
    <w:rsid w:val="0014108B"/>
    <w:rsid w:val="001416E9"/>
    <w:rsid w:val="00141C6D"/>
    <w:rsid w:val="00143A09"/>
    <w:rsid w:val="00143DDF"/>
    <w:rsid w:val="00146CF1"/>
    <w:rsid w:val="00146DE6"/>
    <w:rsid w:val="00147545"/>
    <w:rsid w:val="00147F7B"/>
    <w:rsid w:val="00151C50"/>
    <w:rsid w:val="00152DCB"/>
    <w:rsid w:val="00153575"/>
    <w:rsid w:val="00153BB2"/>
    <w:rsid w:val="0015405C"/>
    <w:rsid w:val="001542D6"/>
    <w:rsid w:val="0015452B"/>
    <w:rsid w:val="0015501A"/>
    <w:rsid w:val="001558DF"/>
    <w:rsid w:val="00155D0B"/>
    <w:rsid w:val="001561BB"/>
    <w:rsid w:val="00156B1C"/>
    <w:rsid w:val="00157584"/>
    <w:rsid w:val="00157E15"/>
    <w:rsid w:val="00157F0A"/>
    <w:rsid w:val="00160E51"/>
    <w:rsid w:val="001619FE"/>
    <w:rsid w:val="00161E65"/>
    <w:rsid w:val="00161FCE"/>
    <w:rsid w:val="001621C7"/>
    <w:rsid w:val="00163E0A"/>
    <w:rsid w:val="001657CE"/>
    <w:rsid w:val="00165FD4"/>
    <w:rsid w:val="001668DA"/>
    <w:rsid w:val="0017098D"/>
    <w:rsid w:val="00171919"/>
    <w:rsid w:val="001720AE"/>
    <w:rsid w:val="0017234E"/>
    <w:rsid w:val="00172A84"/>
    <w:rsid w:val="00172BD6"/>
    <w:rsid w:val="00172D95"/>
    <w:rsid w:val="001734E1"/>
    <w:rsid w:val="00173AA7"/>
    <w:rsid w:val="001749B2"/>
    <w:rsid w:val="0017623E"/>
    <w:rsid w:val="00176ACF"/>
    <w:rsid w:val="00177CF1"/>
    <w:rsid w:val="001800AC"/>
    <w:rsid w:val="001800E5"/>
    <w:rsid w:val="001808E6"/>
    <w:rsid w:val="001815FE"/>
    <w:rsid w:val="001822AC"/>
    <w:rsid w:val="001825A3"/>
    <w:rsid w:val="00182929"/>
    <w:rsid w:val="0018421F"/>
    <w:rsid w:val="00184323"/>
    <w:rsid w:val="00184564"/>
    <w:rsid w:val="00184F1B"/>
    <w:rsid w:val="001853C6"/>
    <w:rsid w:val="001854EB"/>
    <w:rsid w:val="0018559E"/>
    <w:rsid w:val="00186571"/>
    <w:rsid w:val="001869A0"/>
    <w:rsid w:val="00187FE7"/>
    <w:rsid w:val="00190A3E"/>
    <w:rsid w:val="00191B4D"/>
    <w:rsid w:val="001940DD"/>
    <w:rsid w:val="00194A66"/>
    <w:rsid w:val="0019506B"/>
    <w:rsid w:val="00195774"/>
    <w:rsid w:val="0019639D"/>
    <w:rsid w:val="001A00FA"/>
    <w:rsid w:val="001A156A"/>
    <w:rsid w:val="001A1BE7"/>
    <w:rsid w:val="001A2B0C"/>
    <w:rsid w:val="001A3547"/>
    <w:rsid w:val="001A37E9"/>
    <w:rsid w:val="001A4F65"/>
    <w:rsid w:val="001A6724"/>
    <w:rsid w:val="001A6AC4"/>
    <w:rsid w:val="001A7B50"/>
    <w:rsid w:val="001B1948"/>
    <w:rsid w:val="001B345E"/>
    <w:rsid w:val="001B3A09"/>
    <w:rsid w:val="001B436D"/>
    <w:rsid w:val="001B49BE"/>
    <w:rsid w:val="001B4ADF"/>
    <w:rsid w:val="001B5016"/>
    <w:rsid w:val="001B51D7"/>
    <w:rsid w:val="001B52CC"/>
    <w:rsid w:val="001B785D"/>
    <w:rsid w:val="001C2339"/>
    <w:rsid w:val="001C28E0"/>
    <w:rsid w:val="001C2BF0"/>
    <w:rsid w:val="001C40C5"/>
    <w:rsid w:val="001C4C0E"/>
    <w:rsid w:val="001C4E05"/>
    <w:rsid w:val="001C58A2"/>
    <w:rsid w:val="001C614A"/>
    <w:rsid w:val="001C7434"/>
    <w:rsid w:val="001D0765"/>
    <w:rsid w:val="001D1390"/>
    <w:rsid w:val="001D1957"/>
    <w:rsid w:val="001D31B7"/>
    <w:rsid w:val="001D4B98"/>
    <w:rsid w:val="001D60CE"/>
    <w:rsid w:val="001D6246"/>
    <w:rsid w:val="001D67D6"/>
    <w:rsid w:val="001D6839"/>
    <w:rsid w:val="001D6B10"/>
    <w:rsid w:val="001D6B99"/>
    <w:rsid w:val="001D6BCF"/>
    <w:rsid w:val="001D78FD"/>
    <w:rsid w:val="001E0146"/>
    <w:rsid w:val="001E01CA"/>
    <w:rsid w:val="001E2740"/>
    <w:rsid w:val="001E2768"/>
    <w:rsid w:val="001E2A3F"/>
    <w:rsid w:val="001E2B04"/>
    <w:rsid w:val="001E2E46"/>
    <w:rsid w:val="001E3902"/>
    <w:rsid w:val="001E3AA4"/>
    <w:rsid w:val="001E3B31"/>
    <w:rsid w:val="001E3DA2"/>
    <w:rsid w:val="001E4A8E"/>
    <w:rsid w:val="001E6767"/>
    <w:rsid w:val="001F1184"/>
    <w:rsid w:val="001F1845"/>
    <w:rsid w:val="001F1B0F"/>
    <w:rsid w:val="001F2235"/>
    <w:rsid w:val="001F5662"/>
    <w:rsid w:val="001F5D33"/>
    <w:rsid w:val="001F7FC6"/>
    <w:rsid w:val="0020096F"/>
    <w:rsid w:val="00200F91"/>
    <w:rsid w:val="00201957"/>
    <w:rsid w:val="00201AC1"/>
    <w:rsid w:val="002050BA"/>
    <w:rsid w:val="00206878"/>
    <w:rsid w:val="00206EC1"/>
    <w:rsid w:val="0020744F"/>
    <w:rsid w:val="00207BF7"/>
    <w:rsid w:val="00207E11"/>
    <w:rsid w:val="0021225C"/>
    <w:rsid w:val="00212462"/>
    <w:rsid w:val="00213297"/>
    <w:rsid w:val="00214486"/>
    <w:rsid w:val="002145D6"/>
    <w:rsid w:val="00215A39"/>
    <w:rsid w:val="00215D0B"/>
    <w:rsid w:val="00216858"/>
    <w:rsid w:val="0021791C"/>
    <w:rsid w:val="002215D9"/>
    <w:rsid w:val="002218D3"/>
    <w:rsid w:val="00222A74"/>
    <w:rsid w:val="00224594"/>
    <w:rsid w:val="00224A67"/>
    <w:rsid w:val="0022575E"/>
    <w:rsid w:val="002268C3"/>
    <w:rsid w:val="0023002A"/>
    <w:rsid w:val="0023047A"/>
    <w:rsid w:val="0023087E"/>
    <w:rsid w:val="00230A86"/>
    <w:rsid w:val="00230F63"/>
    <w:rsid w:val="0023115E"/>
    <w:rsid w:val="00231C30"/>
    <w:rsid w:val="002321F5"/>
    <w:rsid w:val="00232867"/>
    <w:rsid w:val="00232F57"/>
    <w:rsid w:val="00233C28"/>
    <w:rsid w:val="00233D5E"/>
    <w:rsid w:val="00234D0D"/>
    <w:rsid w:val="00234FD3"/>
    <w:rsid w:val="00235CD5"/>
    <w:rsid w:val="00235F51"/>
    <w:rsid w:val="00241038"/>
    <w:rsid w:val="00242121"/>
    <w:rsid w:val="0024268B"/>
    <w:rsid w:val="0024543E"/>
    <w:rsid w:val="00245D67"/>
    <w:rsid w:val="00245DB4"/>
    <w:rsid w:val="0024737E"/>
    <w:rsid w:val="00247C94"/>
    <w:rsid w:val="00247FCD"/>
    <w:rsid w:val="00250C9D"/>
    <w:rsid w:val="00254085"/>
    <w:rsid w:val="0025446C"/>
    <w:rsid w:val="00254729"/>
    <w:rsid w:val="002549E6"/>
    <w:rsid w:val="00255FC3"/>
    <w:rsid w:val="0025672B"/>
    <w:rsid w:val="00256BD2"/>
    <w:rsid w:val="00257393"/>
    <w:rsid w:val="0025795A"/>
    <w:rsid w:val="00257A85"/>
    <w:rsid w:val="002606C3"/>
    <w:rsid w:val="00260925"/>
    <w:rsid w:val="0026101E"/>
    <w:rsid w:val="00261467"/>
    <w:rsid w:val="0026309F"/>
    <w:rsid w:val="002631B9"/>
    <w:rsid w:val="00264068"/>
    <w:rsid w:val="002640E1"/>
    <w:rsid w:val="00265192"/>
    <w:rsid w:val="00265BBD"/>
    <w:rsid w:val="0026629C"/>
    <w:rsid w:val="0026695C"/>
    <w:rsid w:val="00266EBD"/>
    <w:rsid w:val="00271B3E"/>
    <w:rsid w:val="00272560"/>
    <w:rsid w:val="0027275E"/>
    <w:rsid w:val="0027341A"/>
    <w:rsid w:val="002734FA"/>
    <w:rsid w:val="00273A8C"/>
    <w:rsid w:val="00274DF6"/>
    <w:rsid w:val="00274F87"/>
    <w:rsid w:val="00275183"/>
    <w:rsid w:val="00275BF9"/>
    <w:rsid w:val="00275CF5"/>
    <w:rsid w:val="00276350"/>
    <w:rsid w:val="00276D28"/>
    <w:rsid w:val="0028040E"/>
    <w:rsid w:val="002805B0"/>
    <w:rsid w:val="002806D5"/>
    <w:rsid w:val="00280C2B"/>
    <w:rsid w:val="00281075"/>
    <w:rsid w:val="00282E20"/>
    <w:rsid w:val="00282F4B"/>
    <w:rsid w:val="0028301F"/>
    <w:rsid w:val="00284FE9"/>
    <w:rsid w:val="00285017"/>
    <w:rsid w:val="00285087"/>
    <w:rsid w:val="00285D09"/>
    <w:rsid w:val="00286233"/>
    <w:rsid w:val="00287301"/>
    <w:rsid w:val="00287BDC"/>
    <w:rsid w:val="00290ED3"/>
    <w:rsid w:val="00292C59"/>
    <w:rsid w:val="0029330B"/>
    <w:rsid w:val="002935C6"/>
    <w:rsid w:val="00296209"/>
    <w:rsid w:val="00296C46"/>
    <w:rsid w:val="00297610"/>
    <w:rsid w:val="00297987"/>
    <w:rsid w:val="002A0871"/>
    <w:rsid w:val="002A2CB6"/>
    <w:rsid w:val="002A2D2E"/>
    <w:rsid w:val="002A2E21"/>
    <w:rsid w:val="002A3895"/>
    <w:rsid w:val="002A4297"/>
    <w:rsid w:val="002A467E"/>
    <w:rsid w:val="002A4AFE"/>
    <w:rsid w:val="002A60D0"/>
    <w:rsid w:val="002A64CB"/>
    <w:rsid w:val="002A6DDF"/>
    <w:rsid w:val="002A7B6A"/>
    <w:rsid w:val="002B0D7C"/>
    <w:rsid w:val="002B178E"/>
    <w:rsid w:val="002B2EE9"/>
    <w:rsid w:val="002B3227"/>
    <w:rsid w:val="002B3785"/>
    <w:rsid w:val="002B412F"/>
    <w:rsid w:val="002B4638"/>
    <w:rsid w:val="002B5B38"/>
    <w:rsid w:val="002B5B61"/>
    <w:rsid w:val="002B5E8E"/>
    <w:rsid w:val="002B5F46"/>
    <w:rsid w:val="002B6007"/>
    <w:rsid w:val="002B63C2"/>
    <w:rsid w:val="002B657F"/>
    <w:rsid w:val="002B65A6"/>
    <w:rsid w:val="002B66FD"/>
    <w:rsid w:val="002C00E8"/>
    <w:rsid w:val="002C07D2"/>
    <w:rsid w:val="002C0808"/>
    <w:rsid w:val="002C1333"/>
    <w:rsid w:val="002C13A8"/>
    <w:rsid w:val="002C2E59"/>
    <w:rsid w:val="002C36B5"/>
    <w:rsid w:val="002C3C8A"/>
    <w:rsid w:val="002C6339"/>
    <w:rsid w:val="002C6C36"/>
    <w:rsid w:val="002C7641"/>
    <w:rsid w:val="002C7D34"/>
    <w:rsid w:val="002D1F11"/>
    <w:rsid w:val="002D2011"/>
    <w:rsid w:val="002D326A"/>
    <w:rsid w:val="002D38F8"/>
    <w:rsid w:val="002D415A"/>
    <w:rsid w:val="002D6815"/>
    <w:rsid w:val="002D6871"/>
    <w:rsid w:val="002D7997"/>
    <w:rsid w:val="002E02CE"/>
    <w:rsid w:val="002E1AD0"/>
    <w:rsid w:val="002E1F4C"/>
    <w:rsid w:val="002E2E4B"/>
    <w:rsid w:val="002E3F40"/>
    <w:rsid w:val="002E5A7F"/>
    <w:rsid w:val="002E5D8C"/>
    <w:rsid w:val="002E7643"/>
    <w:rsid w:val="002F06FE"/>
    <w:rsid w:val="002F11AE"/>
    <w:rsid w:val="002F34DA"/>
    <w:rsid w:val="002F455D"/>
    <w:rsid w:val="002F49B8"/>
    <w:rsid w:val="002F5711"/>
    <w:rsid w:val="002F57D6"/>
    <w:rsid w:val="002F6C1A"/>
    <w:rsid w:val="002F715F"/>
    <w:rsid w:val="002F7904"/>
    <w:rsid w:val="002F7CBA"/>
    <w:rsid w:val="003023FF"/>
    <w:rsid w:val="00302405"/>
    <w:rsid w:val="00302ACA"/>
    <w:rsid w:val="00304E75"/>
    <w:rsid w:val="00304F81"/>
    <w:rsid w:val="003069E7"/>
    <w:rsid w:val="0030717B"/>
    <w:rsid w:val="00307CC0"/>
    <w:rsid w:val="00310196"/>
    <w:rsid w:val="00310818"/>
    <w:rsid w:val="003112D3"/>
    <w:rsid w:val="00313AC8"/>
    <w:rsid w:val="003148E1"/>
    <w:rsid w:val="0031573C"/>
    <w:rsid w:val="0031782E"/>
    <w:rsid w:val="00317A99"/>
    <w:rsid w:val="00317C4B"/>
    <w:rsid w:val="00317EBE"/>
    <w:rsid w:val="003215F1"/>
    <w:rsid w:val="003217CF"/>
    <w:rsid w:val="0032333E"/>
    <w:rsid w:val="00324232"/>
    <w:rsid w:val="003250E5"/>
    <w:rsid w:val="003265F3"/>
    <w:rsid w:val="00326897"/>
    <w:rsid w:val="00327FD5"/>
    <w:rsid w:val="0033022F"/>
    <w:rsid w:val="00330B6E"/>
    <w:rsid w:val="003316EE"/>
    <w:rsid w:val="0033278B"/>
    <w:rsid w:val="0033371A"/>
    <w:rsid w:val="00335C72"/>
    <w:rsid w:val="00337BC1"/>
    <w:rsid w:val="003400EA"/>
    <w:rsid w:val="00342A15"/>
    <w:rsid w:val="00343204"/>
    <w:rsid w:val="00343749"/>
    <w:rsid w:val="0034394F"/>
    <w:rsid w:val="00343A76"/>
    <w:rsid w:val="0034410B"/>
    <w:rsid w:val="003442F1"/>
    <w:rsid w:val="00344DCF"/>
    <w:rsid w:val="00345A98"/>
    <w:rsid w:val="00345CA0"/>
    <w:rsid w:val="00346501"/>
    <w:rsid w:val="00346B82"/>
    <w:rsid w:val="00346F84"/>
    <w:rsid w:val="003472C9"/>
    <w:rsid w:val="00350231"/>
    <w:rsid w:val="00350375"/>
    <w:rsid w:val="00351DCD"/>
    <w:rsid w:val="00351DD0"/>
    <w:rsid w:val="00352389"/>
    <w:rsid w:val="00352A92"/>
    <w:rsid w:val="00353EBE"/>
    <w:rsid w:val="003540FF"/>
    <w:rsid w:val="003541FB"/>
    <w:rsid w:val="003546CC"/>
    <w:rsid w:val="00354AEF"/>
    <w:rsid w:val="00354F0C"/>
    <w:rsid w:val="0035634F"/>
    <w:rsid w:val="00356910"/>
    <w:rsid w:val="00356A97"/>
    <w:rsid w:val="00356D62"/>
    <w:rsid w:val="00356FC7"/>
    <w:rsid w:val="003601F8"/>
    <w:rsid w:val="00360C57"/>
    <w:rsid w:val="00361EB5"/>
    <w:rsid w:val="00361FC1"/>
    <w:rsid w:val="00363C9B"/>
    <w:rsid w:val="003647D7"/>
    <w:rsid w:val="00364842"/>
    <w:rsid w:val="00364ED1"/>
    <w:rsid w:val="00365CA5"/>
    <w:rsid w:val="00365E5A"/>
    <w:rsid w:val="003660ED"/>
    <w:rsid w:val="00367742"/>
    <w:rsid w:val="003700A2"/>
    <w:rsid w:val="00370E8E"/>
    <w:rsid w:val="00371800"/>
    <w:rsid w:val="003720F2"/>
    <w:rsid w:val="0037220C"/>
    <w:rsid w:val="00372224"/>
    <w:rsid w:val="00373005"/>
    <w:rsid w:val="003741EC"/>
    <w:rsid w:val="003746D0"/>
    <w:rsid w:val="00374A7F"/>
    <w:rsid w:val="00375CBF"/>
    <w:rsid w:val="00375EB1"/>
    <w:rsid w:val="0037686D"/>
    <w:rsid w:val="003771D7"/>
    <w:rsid w:val="00377B01"/>
    <w:rsid w:val="00380476"/>
    <w:rsid w:val="00381BE0"/>
    <w:rsid w:val="003820C0"/>
    <w:rsid w:val="00382D1C"/>
    <w:rsid w:val="00383161"/>
    <w:rsid w:val="00385845"/>
    <w:rsid w:val="003858DE"/>
    <w:rsid w:val="003861C6"/>
    <w:rsid w:val="003864B0"/>
    <w:rsid w:val="00386506"/>
    <w:rsid w:val="0039047E"/>
    <w:rsid w:val="00390B77"/>
    <w:rsid w:val="00390E52"/>
    <w:rsid w:val="003911E9"/>
    <w:rsid w:val="0039142E"/>
    <w:rsid w:val="0039295E"/>
    <w:rsid w:val="00392CDF"/>
    <w:rsid w:val="00393200"/>
    <w:rsid w:val="0039348D"/>
    <w:rsid w:val="00394022"/>
    <w:rsid w:val="00394D0B"/>
    <w:rsid w:val="0039572E"/>
    <w:rsid w:val="00396ED2"/>
    <w:rsid w:val="003A15CC"/>
    <w:rsid w:val="003A25A7"/>
    <w:rsid w:val="003A41C0"/>
    <w:rsid w:val="003A4DFF"/>
    <w:rsid w:val="003A5553"/>
    <w:rsid w:val="003A602B"/>
    <w:rsid w:val="003A63F6"/>
    <w:rsid w:val="003A6A64"/>
    <w:rsid w:val="003B0137"/>
    <w:rsid w:val="003B0550"/>
    <w:rsid w:val="003B0F80"/>
    <w:rsid w:val="003B19BF"/>
    <w:rsid w:val="003B20E0"/>
    <w:rsid w:val="003B2ED6"/>
    <w:rsid w:val="003B52BA"/>
    <w:rsid w:val="003B5BA8"/>
    <w:rsid w:val="003B5DD5"/>
    <w:rsid w:val="003B694F"/>
    <w:rsid w:val="003B6A25"/>
    <w:rsid w:val="003B6CF7"/>
    <w:rsid w:val="003B78A3"/>
    <w:rsid w:val="003B7958"/>
    <w:rsid w:val="003B7C01"/>
    <w:rsid w:val="003B7CE8"/>
    <w:rsid w:val="003C0537"/>
    <w:rsid w:val="003C250D"/>
    <w:rsid w:val="003C2E34"/>
    <w:rsid w:val="003C383A"/>
    <w:rsid w:val="003C39F2"/>
    <w:rsid w:val="003C5B71"/>
    <w:rsid w:val="003C6075"/>
    <w:rsid w:val="003C6746"/>
    <w:rsid w:val="003C77CB"/>
    <w:rsid w:val="003D0A65"/>
    <w:rsid w:val="003D2020"/>
    <w:rsid w:val="003D3150"/>
    <w:rsid w:val="003D3170"/>
    <w:rsid w:val="003D4737"/>
    <w:rsid w:val="003D5AC4"/>
    <w:rsid w:val="003E06AB"/>
    <w:rsid w:val="003E06DC"/>
    <w:rsid w:val="003E145B"/>
    <w:rsid w:val="003E1D02"/>
    <w:rsid w:val="003E1ED9"/>
    <w:rsid w:val="003E1F3A"/>
    <w:rsid w:val="003E3AE7"/>
    <w:rsid w:val="003E6107"/>
    <w:rsid w:val="003E66EA"/>
    <w:rsid w:val="003F0768"/>
    <w:rsid w:val="003F07C5"/>
    <w:rsid w:val="003F171C"/>
    <w:rsid w:val="003F21E7"/>
    <w:rsid w:val="003F3E74"/>
    <w:rsid w:val="003F4074"/>
    <w:rsid w:val="003F4085"/>
    <w:rsid w:val="003F550A"/>
    <w:rsid w:val="003F61B4"/>
    <w:rsid w:val="003F6EE5"/>
    <w:rsid w:val="003F7A92"/>
    <w:rsid w:val="003F7C67"/>
    <w:rsid w:val="00400A02"/>
    <w:rsid w:val="00401DAC"/>
    <w:rsid w:val="00403658"/>
    <w:rsid w:val="004050B9"/>
    <w:rsid w:val="00405258"/>
    <w:rsid w:val="00405595"/>
    <w:rsid w:val="00405CD8"/>
    <w:rsid w:val="00410090"/>
    <w:rsid w:val="00410137"/>
    <w:rsid w:val="00410160"/>
    <w:rsid w:val="004102E1"/>
    <w:rsid w:val="0041055A"/>
    <w:rsid w:val="00410E5F"/>
    <w:rsid w:val="00410FD4"/>
    <w:rsid w:val="00412FC5"/>
    <w:rsid w:val="0041351E"/>
    <w:rsid w:val="004135E9"/>
    <w:rsid w:val="00414D33"/>
    <w:rsid w:val="004167B6"/>
    <w:rsid w:val="004169A6"/>
    <w:rsid w:val="00417948"/>
    <w:rsid w:val="00417D44"/>
    <w:rsid w:val="00417FE9"/>
    <w:rsid w:val="0042027D"/>
    <w:rsid w:val="0042034B"/>
    <w:rsid w:val="0042048A"/>
    <w:rsid w:val="0042063E"/>
    <w:rsid w:val="00420679"/>
    <w:rsid w:val="004211EF"/>
    <w:rsid w:val="00422276"/>
    <w:rsid w:val="00422C34"/>
    <w:rsid w:val="004242F1"/>
    <w:rsid w:val="00424DF6"/>
    <w:rsid w:val="00424EE3"/>
    <w:rsid w:val="00426EA8"/>
    <w:rsid w:val="004303DD"/>
    <w:rsid w:val="00430530"/>
    <w:rsid w:val="004310D2"/>
    <w:rsid w:val="004323A6"/>
    <w:rsid w:val="004330AB"/>
    <w:rsid w:val="004349BE"/>
    <w:rsid w:val="00436738"/>
    <w:rsid w:val="00436DE9"/>
    <w:rsid w:val="00437155"/>
    <w:rsid w:val="00440E79"/>
    <w:rsid w:val="00441297"/>
    <w:rsid w:val="00442C41"/>
    <w:rsid w:val="004432FA"/>
    <w:rsid w:val="00443AFE"/>
    <w:rsid w:val="004445B0"/>
    <w:rsid w:val="00445A00"/>
    <w:rsid w:val="00446077"/>
    <w:rsid w:val="00446797"/>
    <w:rsid w:val="0044681E"/>
    <w:rsid w:val="00446B92"/>
    <w:rsid w:val="00446E46"/>
    <w:rsid w:val="00447C43"/>
    <w:rsid w:val="004509FC"/>
    <w:rsid w:val="00451B0F"/>
    <w:rsid w:val="00452942"/>
    <w:rsid w:val="00454668"/>
    <w:rsid w:val="0045547D"/>
    <w:rsid w:val="00455BA1"/>
    <w:rsid w:val="00455D25"/>
    <w:rsid w:val="00455DB5"/>
    <w:rsid w:val="00455E7B"/>
    <w:rsid w:val="00455EFA"/>
    <w:rsid w:val="004560FF"/>
    <w:rsid w:val="00456364"/>
    <w:rsid w:val="004575A0"/>
    <w:rsid w:val="004577AA"/>
    <w:rsid w:val="00460788"/>
    <w:rsid w:val="0046082B"/>
    <w:rsid w:val="00461B40"/>
    <w:rsid w:val="00462E8B"/>
    <w:rsid w:val="00463A3A"/>
    <w:rsid w:val="004660FC"/>
    <w:rsid w:val="00467377"/>
    <w:rsid w:val="004710E0"/>
    <w:rsid w:val="0047216D"/>
    <w:rsid w:val="00472511"/>
    <w:rsid w:val="0047251B"/>
    <w:rsid w:val="004738DA"/>
    <w:rsid w:val="00474218"/>
    <w:rsid w:val="00474E3C"/>
    <w:rsid w:val="00475913"/>
    <w:rsid w:val="00475E13"/>
    <w:rsid w:val="00476387"/>
    <w:rsid w:val="004772FB"/>
    <w:rsid w:val="00477B9C"/>
    <w:rsid w:val="00477F05"/>
    <w:rsid w:val="0048086D"/>
    <w:rsid w:val="00482DC1"/>
    <w:rsid w:val="0048377F"/>
    <w:rsid w:val="00483E5E"/>
    <w:rsid w:val="00483FBD"/>
    <w:rsid w:val="00484101"/>
    <w:rsid w:val="00484925"/>
    <w:rsid w:val="00487D9E"/>
    <w:rsid w:val="00487FC8"/>
    <w:rsid w:val="004909A1"/>
    <w:rsid w:val="00490A2D"/>
    <w:rsid w:val="00490C00"/>
    <w:rsid w:val="0049246A"/>
    <w:rsid w:val="00493719"/>
    <w:rsid w:val="00493C2B"/>
    <w:rsid w:val="00493C50"/>
    <w:rsid w:val="00495A59"/>
    <w:rsid w:val="0049692E"/>
    <w:rsid w:val="00496B68"/>
    <w:rsid w:val="00496BB3"/>
    <w:rsid w:val="00497DC1"/>
    <w:rsid w:val="004A0CBC"/>
    <w:rsid w:val="004A13A9"/>
    <w:rsid w:val="004A1BB9"/>
    <w:rsid w:val="004A28BC"/>
    <w:rsid w:val="004A46A9"/>
    <w:rsid w:val="004A50F5"/>
    <w:rsid w:val="004A51D6"/>
    <w:rsid w:val="004A5BF7"/>
    <w:rsid w:val="004A6E5F"/>
    <w:rsid w:val="004A7FA8"/>
    <w:rsid w:val="004B0A28"/>
    <w:rsid w:val="004B1450"/>
    <w:rsid w:val="004B17D9"/>
    <w:rsid w:val="004B4F9E"/>
    <w:rsid w:val="004B6C24"/>
    <w:rsid w:val="004B7017"/>
    <w:rsid w:val="004B7B3D"/>
    <w:rsid w:val="004C00FD"/>
    <w:rsid w:val="004C1BD1"/>
    <w:rsid w:val="004C2763"/>
    <w:rsid w:val="004C27DF"/>
    <w:rsid w:val="004C2967"/>
    <w:rsid w:val="004C2EE3"/>
    <w:rsid w:val="004C31A2"/>
    <w:rsid w:val="004C386B"/>
    <w:rsid w:val="004C465A"/>
    <w:rsid w:val="004C49C4"/>
    <w:rsid w:val="004C7B3B"/>
    <w:rsid w:val="004D0524"/>
    <w:rsid w:val="004D0A1F"/>
    <w:rsid w:val="004D151A"/>
    <w:rsid w:val="004D1A1D"/>
    <w:rsid w:val="004D23DE"/>
    <w:rsid w:val="004D267F"/>
    <w:rsid w:val="004D2FD0"/>
    <w:rsid w:val="004D3A8D"/>
    <w:rsid w:val="004D3C94"/>
    <w:rsid w:val="004D3F1B"/>
    <w:rsid w:val="004D5586"/>
    <w:rsid w:val="004D649E"/>
    <w:rsid w:val="004D6FCF"/>
    <w:rsid w:val="004D7995"/>
    <w:rsid w:val="004E05D6"/>
    <w:rsid w:val="004E0778"/>
    <w:rsid w:val="004E1DA4"/>
    <w:rsid w:val="004E2041"/>
    <w:rsid w:val="004E22FD"/>
    <w:rsid w:val="004E30F9"/>
    <w:rsid w:val="004E315C"/>
    <w:rsid w:val="004E39A8"/>
    <w:rsid w:val="004E3F95"/>
    <w:rsid w:val="004E4A22"/>
    <w:rsid w:val="004E52D2"/>
    <w:rsid w:val="004E57C4"/>
    <w:rsid w:val="004E6B41"/>
    <w:rsid w:val="004E783B"/>
    <w:rsid w:val="004F00E7"/>
    <w:rsid w:val="004F2189"/>
    <w:rsid w:val="004F269A"/>
    <w:rsid w:val="004F3C5B"/>
    <w:rsid w:val="004F43A3"/>
    <w:rsid w:val="004F53B4"/>
    <w:rsid w:val="004F7EE0"/>
    <w:rsid w:val="005012CF"/>
    <w:rsid w:val="00505C53"/>
    <w:rsid w:val="00505F1C"/>
    <w:rsid w:val="0050634A"/>
    <w:rsid w:val="00506B0F"/>
    <w:rsid w:val="00506B67"/>
    <w:rsid w:val="00511968"/>
    <w:rsid w:val="00512E37"/>
    <w:rsid w:val="00513A97"/>
    <w:rsid w:val="00513F1A"/>
    <w:rsid w:val="00514424"/>
    <w:rsid w:val="00514E13"/>
    <w:rsid w:val="00515E20"/>
    <w:rsid w:val="00515E37"/>
    <w:rsid w:val="0051786E"/>
    <w:rsid w:val="00517E52"/>
    <w:rsid w:val="00520C94"/>
    <w:rsid w:val="00521EE0"/>
    <w:rsid w:val="00522C07"/>
    <w:rsid w:val="00522EA6"/>
    <w:rsid w:val="00522F02"/>
    <w:rsid w:val="005232B2"/>
    <w:rsid w:val="005232E1"/>
    <w:rsid w:val="00523F32"/>
    <w:rsid w:val="005240A6"/>
    <w:rsid w:val="00524750"/>
    <w:rsid w:val="00524B5A"/>
    <w:rsid w:val="005255AC"/>
    <w:rsid w:val="005257E7"/>
    <w:rsid w:val="00526402"/>
    <w:rsid w:val="005266E4"/>
    <w:rsid w:val="005267A1"/>
    <w:rsid w:val="00526B98"/>
    <w:rsid w:val="00526F95"/>
    <w:rsid w:val="005276EC"/>
    <w:rsid w:val="00527AEC"/>
    <w:rsid w:val="00527C4C"/>
    <w:rsid w:val="0053063B"/>
    <w:rsid w:val="005316A8"/>
    <w:rsid w:val="005338B0"/>
    <w:rsid w:val="00534C8B"/>
    <w:rsid w:val="00535D26"/>
    <w:rsid w:val="00537683"/>
    <w:rsid w:val="005400B1"/>
    <w:rsid w:val="005407BE"/>
    <w:rsid w:val="00540A18"/>
    <w:rsid w:val="00541408"/>
    <w:rsid w:val="00542A8C"/>
    <w:rsid w:val="005436D6"/>
    <w:rsid w:val="00543912"/>
    <w:rsid w:val="00543ADC"/>
    <w:rsid w:val="00544661"/>
    <w:rsid w:val="00544745"/>
    <w:rsid w:val="00545BCD"/>
    <w:rsid w:val="00546D2F"/>
    <w:rsid w:val="005470C3"/>
    <w:rsid w:val="00547628"/>
    <w:rsid w:val="00547685"/>
    <w:rsid w:val="005477DA"/>
    <w:rsid w:val="00547A67"/>
    <w:rsid w:val="0055043B"/>
    <w:rsid w:val="00550707"/>
    <w:rsid w:val="005508CB"/>
    <w:rsid w:val="005509DD"/>
    <w:rsid w:val="00550CD6"/>
    <w:rsid w:val="00554118"/>
    <w:rsid w:val="00554F71"/>
    <w:rsid w:val="00555DE5"/>
    <w:rsid w:val="0055614C"/>
    <w:rsid w:val="00556334"/>
    <w:rsid w:val="00556633"/>
    <w:rsid w:val="00556A78"/>
    <w:rsid w:val="00557E4B"/>
    <w:rsid w:val="00562167"/>
    <w:rsid w:val="005633F5"/>
    <w:rsid w:val="0056345E"/>
    <w:rsid w:val="00565EBB"/>
    <w:rsid w:val="005661A6"/>
    <w:rsid w:val="005664D1"/>
    <w:rsid w:val="00566F71"/>
    <w:rsid w:val="00573690"/>
    <w:rsid w:val="00574874"/>
    <w:rsid w:val="00575598"/>
    <w:rsid w:val="00575602"/>
    <w:rsid w:val="0057653F"/>
    <w:rsid w:val="00576568"/>
    <w:rsid w:val="005765D7"/>
    <w:rsid w:val="005767FE"/>
    <w:rsid w:val="0057684A"/>
    <w:rsid w:val="00576993"/>
    <w:rsid w:val="00577914"/>
    <w:rsid w:val="00582711"/>
    <w:rsid w:val="005845C9"/>
    <w:rsid w:val="005846A4"/>
    <w:rsid w:val="00584D40"/>
    <w:rsid w:val="005868F3"/>
    <w:rsid w:val="00590112"/>
    <w:rsid w:val="00590F38"/>
    <w:rsid w:val="0059128D"/>
    <w:rsid w:val="005913DD"/>
    <w:rsid w:val="0059141D"/>
    <w:rsid w:val="005922D0"/>
    <w:rsid w:val="0059231F"/>
    <w:rsid w:val="00592FFC"/>
    <w:rsid w:val="00593913"/>
    <w:rsid w:val="00593DC1"/>
    <w:rsid w:val="00593DCE"/>
    <w:rsid w:val="00595BAE"/>
    <w:rsid w:val="00596211"/>
    <w:rsid w:val="00597B4D"/>
    <w:rsid w:val="005A054E"/>
    <w:rsid w:val="005A0C65"/>
    <w:rsid w:val="005A1727"/>
    <w:rsid w:val="005A1D31"/>
    <w:rsid w:val="005A255F"/>
    <w:rsid w:val="005A265B"/>
    <w:rsid w:val="005A2EFE"/>
    <w:rsid w:val="005A3954"/>
    <w:rsid w:val="005A3EFC"/>
    <w:rsid w:val="005A539B"/>
    <w:rsid w:val="005A7E2E"/>
    <w:rsid w:val="005B0E23"/>
    <w:rsid w:val="005B14E1"/>
    <w:rsid w:val="005B1CA7"/>
    <w:rsid w:val="005B31D5"/>
    <w:rsid w:val="005B46FE"/>
    <w:rsid w:val="005B4DB9"/>
    <w:rsid w:val="005B5AA3"/>
    <w:rsid w:val="005B5E32"/>
    <w:rsid w:val="005B6AD1"/>
    <w:rsid w:val="005B6D13"/>
    <w:rsid w:val="005B6F86"/>
    <w:rsid w:val="005B7259"/>
    <w:rsid w:val="005C16DE"/>
    <w:rsid w:val="005C2416"/>
    <w:rsid w:val="005C300B"/>
    <w:rsid w:val="005C4097"/>
    <w:rsid w:val="005C458D"/>
    <w:rsid w:val="005C56C4"/>
    <w:rsid w:val="005C63C9"/>
    <w:rsid w:val="005C6898"/>
    <w:rsid w:val="005C6D9E"/>
    <w:rsid w:val="005C6F9C"/>
    <w:rsid w:val="005D0085"/>
    <w:rsid w:val="005D0400"/>
    <w:rsid w:val="005D0452"/>
    <w:rsid w:val="005D3978"/>
    <w:rsid w:val="005D4807"/>
    <w:rsid w:val="005D5D4F"/>
    <w:rsid w:val="005D6495"/>
    <w:rsid w:val="005D7D78"/>
    <w:rsid w:val="005E0435"/>
    <w:rsid w:val="005E08E5"/>
    <w:rsid w:val="005E14C2"/>
    <w:rsid w:val="005E1F40"/>
    <w:rsid w:val="005E2142"/>
    <w:rsid w:val="005E2636"/>
    <w:rsid w:val="005E2E46"/>
    <w:rsid w:val="005E36C7"/>
    <w:rsid w:val="005E3A22"/>
    <w:rsid w:val="005E3BE2"/>
    <w:rsid w:val="005E4324"/>
    <w:rsid w:val="005E4B57"/>
    <w:rsid w:val="005E50D3"/>
    <w:rsid w:val="005E7A48"/>
    <w:rsid w:val="005F03E8"/>
    <w:rsid w:val="005F173E"/>
    <w:rsid w:val="005F2264"/>
    <w:rsid w:val="005F3F09"/>
    <w:rsid w:val="005F5706"/>
    <w:rsid w:val="005F605D"/>
    <w:rsid w:val="00600335"/>
    <w:rsid w:val="00600AEC"/>
    <w:rsid w:val="00601350"/>
    <w:rsid w:val="0060178E"/>
    <w:rsid w:val="00603236"/>
    <w:rsid w:val="00603745"/>
    <w:rsid w:val="0060431E"/>
    <w:rsid w:val="00604F19"/>
    <w:rsid w:val="006069D8"/>
    <w:rsid w:val="006070CE"/>
    <w:rsid w:val="0060764D"/>
    <w:rsid w:val="00607BA5"/>
    <w:rsid w:val="006106D4"/>
    <w:rsid w:val="0061180A"/>
    <w:rsid w:val="006122A3"/>
    <w:rsid w:val="00612602"/>
    <w:rsid w:val="00616A16"/>
    <w:rsid w:val="006171DD"/>
    <w:rsid w:val="006174FA"/>
    <w:rsid w:val="00620250"/>
    <w:rsid w:val="006204AE"/>
    <w:rsid w:val="006209D1"/>
    <w:rsid w:val="00620F9C"/>
    <w:rsid w:val="006212AB"/>
    <w:rsid w:val="006220C1"/>
    <w:rsid w:val="006225FA"/>
    <w:rsid w:val="00622B9D"/>
    <w:rsid w:val="00626852"/>
    <w:rsid w:val="00626EB6"/>
    <w:rsid w:val="0062747B"/>
    <w:rsid w:val="006309A0"/>
    <w:rsid w:val="00631AB9"/>
    <w:rsid w:val="00632628"/>
    <w:rsid w:val="006326C1"/>
    <w:rsid w:val="00632E8C"/>
    <w:rsid w:val="006330D2"/>
    <w:rsid w:val="0063323B"/>
    <w:rsid w:val="00633A93"/>
    <w:rsid w:val="00634745"/>
    <w:rsid w:val="0063611A"/>
    <w:rsid w:val="006362D9"/>
    <w:rsid w:val="006363F4"/>
    <w:rsid w:val="00636776"/>
    <w:rsid w:val="00640674"/>
    <w:rsid w:val="006415FE"/>
    <w:rsid w:val="006433FD"/>
    <w:rsid w:val="00643BF3"/>
    <w:rsid w:val="0064473F"/>
    <w:rsid w:val="0064486A"/>
    <w:rsid w:val="00645784"/>
    <w:rsid w:val="00646665"/>
    <w:rsid w:val="00647CFB"/>
    <w:rsid w:val="00647F79"/>
    <w:rsid w:val="0065033E"/>
    <w:rsid w:val="00650D2B"/>
    <w:rsid w:val="00650EAC"/>
    <w:rsid w:val="0065140A"/>
    <w:rsid w:val="00651E9C"/>
    <w:rsid w:val="0065223E"/>
    <w:rsid w:val="006534DA"/>
    <w:rsid w:val="00653855"/>
    <w:rsid w:val="00654361"/>
    <w:rsid w:val="00655B59"/>
    <w:rsid w:val="00655D03"/>
    <w:rsid w:val="00656074"/>
    <w:rsid w:val="006562DB"/>
    <w:rsid w:val="0065647F"/>
    <w:rsid w:val="0066169B"/>
    <w:rsid w:val="00661D64"/>
    <w:rsid w:val="00661E77"/>
    <w:rsid w:val="0066237F"/>
    <w:rsid w:val="006632A9"/>
    <w:rsid w:val="00663AB0"/>
    <w:rsid w:val="00664C5D"/>
    <w:rsid w:val="00664D52"/>
    <w:rsid w:val="00666E4C"/>
    <w:rsid w:val="00670E8C"/>
    <w:rsid w:val="00671B55"/>
    <w:rsid w:val="00672A2E"/>
    <w:rsid w:val="00673336"/>
    <w:rsid w:val="00675987"/>
    <w:rsid w:val="006774AD"/>
    <w:rsid w:val="00677C72"/>
    <w:rsid w:val="00680C93"/>
    <w:rsid w:val="0068109B"/>
    <w:rsid w:val="006828A0"/>
    <w:rsid w:val="00683388"/>
    <w:rsid w:val="00683F05"/>
    <w:rsid w:val="00683F84"/>
    <w:rsid w:val="006842EB"/>
    <w:rsid w:val="00684F5C"/>
    <w:rsid w:val="006855E2"/>
    <w:rsid w:val="00685671"/>
    <w:rsid w:val="00685C2F"/>
    <w:rsid w:val="00687498"/>
    <w:rsid w:val="006903D0"/>
    <w:rsid w:val="006903E2"/>
    <w:rsid w:val="00691140"/>
    <w:rsid w:val="00691596"/>
    <w:rsid w:val="00692470"/>
    <w:rsid w:val="00692691"/>
    <w:rsid w:val="006926AE"/>
    <w:rsid w:val="00693D4F"/>
    <w:rsid w:val="006948B5"/>
    <w:rsid w:val="00696AC5"/>
    <w:rsid w:val="00697436"/>
    <w:rsid w:val="006A2137"/>
    <w:rsid w:val="006A236A"/>
    <w:rsid w:val="006A24EC"/>
    <w:rsid w:val="006A3803"/>
    <w:rsid w:val="006A3956"/>
    <w:rsid w:val="006A428D"/>
    <w:rsid w:val="006A44AD"/>
    <w:rsid w:val="006A4D37"/>
    <w:rsid w:val="006A6A81"/>
    <w:rsid w:val="006A7443"/>
    <w:rsid w:val="006B0CD1"/>
    <w:rsid w:val="006B25A0"/>
    <w:rsid w:val="006B29AD"/>
    <w:rsid w:val="006B5B58"/>
    <w:rsid w:val="006B603C"/>
    <w:rsid w:val="006B6667"/>
    <w:rsid w:val="006B7DE0"/>
    <w:rsid w:val="006B7DED"/>
    <w:rsid w:val="006C0064"/>
    <w:rsid w:val="006C40C2"/>
    <w:rsid w:val="006C42B1"/>
    <w:rsid w:val="006C5955"/>
    <w:rsid w:val="006C5ECB"/>
    <w:rsid w:val="006C72AE"/>
    <w:rsid w:val="006D0DD1"/>
    <w:rsid w:val="006D1A21"/>
    <w:rsid w:val="006D28ED"/>
    <w:rsid w:val="006D2EE5"/>
    <w:rsid w:val="006D303E"/>
    <w:rsid w:val="006D38C9"/>
    <w:rsid w:val="006D3C42"/>
    <w:rsid w:val="006D4123"/>
    <w:rsid w:val="006D4C10"/>
    <w:rsid w:val="006D5C20"/>
    <w:rsid w:val="006D75CB"/>
    <w:rsid w:val="006D7887"/>
    <w:rsid w:val="006D7D36"/>
    <w:rsid w:val="006E1277"/>
    <w:rsid w:val="006E12EA"/>
    <w:rsid w:val="006E646F"/>
    <w:rsid w:val="006E6863"/>
    <w:rsid w:val="006E6F07"/>
    <w:rsid w:val="006F0EBD"/>
    <w:rsid w:val="006F2206"/>
    <w:rsid w:val="006F2644"/>
    <w:rsid w:val="006F280C"/>
    <w:rsid w:val="006F304A"/>
    <w:rsid w:val="006F3BD7"/>
    <w:rsid w:val="006F5179"/>
    <w:rsid w:val="006F5264"/>
    <w:rsid w:val="006F7002"/>
    <w:rsid w:val="006F7393"/>
    <w:rsid w:val="00700E2D"/>
    <w:rsid w:val="0070224F"/>
    <w:rsid w:val="00703C1A"/>
    <w:rsid w:val="0070435A"/>
    <w:rsid w:val="007045CA"/>
    <w:rsid w:val="00704E7A"/>
    <w:rsid w:val="00705426"/>
    <w:rsid w:val="007061A7"/>
    <w:rsid w:val="007115F7"/>
    <w:rsid w:val="00712AF7"/>
    <w:rsid w:val="00713DB4"/>
    <w:rsid w:val="00714703"/>
    <w:rsid w:val="007154FE"/>
    <w:rsid w:val="00715FFB"/>
    <w:rsid w:val="00717731"/>
    <w:rsid w:val="00721CD2"/>
    <w:rsid w:val="00721DB7"/>
    <w:rsid w:val="007220B1"/>
    <w:rsid w:val="007231D2"/>
    <w:rsid w:val="00723692"/>
    <w:rsid w:val="00723D0F"/>
    <w:rsid w:val="00724B69"/>
    <w:rsid w:val="00724D27"/>
    <w:rsid w:val="0072566F"/>
    <w:rsid w:val="007259EF"/>
    <w:rsid w:val="007266B5"/>
    <w:rsid w:val="00727154"/>
    <w:rsid w:val="00730029"/>
    <w:rsid w:val="007300DB"/>
    <w:rsid w:val="0073095B"/>
    <w:rsid w:val="0073157A"/>
    <w:rsid w:val="0073160C"/>
    <w:rsid w:val="00731ECE"/>
    <w:rsid w:val="00733141"/>
    <w:rsid w:val="0073423A"/>
    <w:rsid w:val="007344C9"/>
    <w:rsid w:val="00734673"/>
    <w:rsid w:val="00735007"/>
    <w:rsid w:val="00735288"/>
    <w:rsid w:val="00735E23"/>
    <w:rsid w:val="00736305"/>
    <w:rsid w:val="0073689C"/>
    <w:rsid w:val="00740C9C"/>
    <w:rsid w:val="00741928"/>
    <w:rsid w:val="007436BD"/>
    <w:rsid w:val="00743959"/>
    <w:rsid w:val="007439F0"/>
    <w:rsid w:val="00743C27"/>
    <w:rsid w:val="00746549"/>
    <w:rsid w:val="0074711F"/>
    <w:rsid w:val="007472C4"/>
    <w:rsid w:val="00747B8E"/>
    <w:rsid w:val="00750280"/>
    <w:rsid w:val="00750A12"/>
    <w:rsid w:val="00750DA3"/>
    <w:rsid w:val="00750FC3"/>
    <w:rsid w:val="00751A86"/>
    <w:rsid w:val="00752D1F"/>
    <w:rsid w:val="00753F67"/>
    <w:rsid w:val="0075480A"/>
    <w:rsid w:val="00754C0E"/>
    <w:rsid w:val="0075587B"/>
    <w:rsid w:val="00755A54"/>
    <w:rsid w:val="00756709"/>
    <w:rsid w:val="0075691B"/>
    <w:rsid w:val="007571F8"/>
    <w:rsid w:val="00760862"/>
    <w:rsid w:val="00760A73"/>
    <w:rsid w:val="00761DA5"/>
    <w:rsid w:val="00762654"/>
    <w:rsid w:val="00762D9B"/>
    <w:rsid w:val="00762F75"/>
    <w:rsid w:val="00763094"/>
    <w:rsid w:val="00763BBD"/>
    <w:rsid w:val="00763C0E"/>
    <w:rsid w:val="00764094"/>
    <w:rsid w:val="0076420E"/>
    <w:rsid w:val="00764280"/>
    <w:rsid w:val="00764A66"/>
    <w:rsid w:val="007657C5"/>
    <w:rsid w:val="007658C7"/>
    <w:rsid w:val="00766122"/>
    <w:rsid w:val="00767136"/>
    <w:rsid w:val="007671F8"/>
    <w:rsid w:val="00771B36"/>
    <w:rsid w:val="007723DB"/>
    <w:rsid w:val="00772923"/>
    <w:rsid w:val="00772981"/>
    <w:rsid w:val="00772BF9"/>
    <w:rsid w:val="00773191"/>
    <w:rsid w:val="0077320A"/>
    <w:rsid w:val="00773E4E"/>
    <w:rsid w:val="0077531E"/>
    <w:rsid w:val="0077557A"/>
    <w:rsid w:val="00775745"/>
    <w:rsid w:val="00777161"/>
    <w:rsid w:val="00777CA4"/>
    <w:rsid w:val="00781245"/>
    <w:rsid w:val="00781711"/>
    <w:rsid w:val="00783F1C"/>
    <w:rsid w:val="00783F6E"/>
    <w:rsid w:val="00784A03"/>
    <w:rsid w:val="00785689"/>
    <w:rsid w:val="00787068"/>
    <w:rsid w:val="00787CEC"/>
    <w:rsid w:val="007905C6"/>
    <w:rsid w:val="007941E4"/>
    <w:rsid w:val="00794B3B"/>
    <w:rsid w:val="00794FD1"/>
    <w:rsid w:val="00795069"/>
    <w:rsid w:val="00795830"/>
    <w:rsid w:val="00795C30"/>
    <w:rsid w:val="00795F0B"/>
    <w:rsid w:val="00795FDC"/>
    <w:rsid w:val="00796492"/>
    <w:rsid w:val="0079659D"/>
    <w:rsid w:val="0079754B"/>
    <w:rsid w:val="007A0A23"/>
    <w:rsid w:val="007A127F"/>
    <w:rsid w:val="007A12BB"/>
    <w:rsid w:val="007A1C49"/>
    <w:rsid w:val="007A1E6D"/>
    <w:rsid w:val="007A2BD5"/>
    <w:rsid w:val="007A434C"/>
    <w:rsid w:val="007A61A1"/>
    <w:rsid w:val="007A711B"/>
    <w:rsid w:val="007A73AA"/>
    <w:rsid w:val="007A7930"/>
    <w:rsid w:val="007B03A7"/>
    <w:rsid w:val="007B05E2"/>
    <w:rsid w:val="007B0905"/>
    <w:rsid w:val="007B0DFC"/>
    <w:rsid w:val="007B0EB2"/>
    <w:rsid w:val="007B1D9E"/>
    <w:rsid w:val="007B1F45"/>
    <w:rsid w:val="007B2131"/>
    <w:rsid w:val="007B294D"/>
    <w:rsid w:val="007B43AE"/>
    <w:rsid w:val="007B52F4"/>
    <w:rsid w:val="007B5BF7"/>
    <w:rsid w:val="007B6C93"/>
    <w:rsid w:val="007C08C0"/>
    <w:rsid w:val="007C0FF5"/>
    <w:rsid w:val="007C30A9"/>
    <w:rsid w:val="007C4A30"/>
    <w:rsid w:val="007C4AF6"/>
    <w:rsid w:val="007C4DD0"/>
    <w:rsid w:val="007C5C42"/>
    <w:rsid w:val="007C72ED"/>
    <w:rsid w:val="007C751D"/>
    <w:rsid w:val="007C7A47"/>
    <w:rsid w:val="007D0972"/>
    <w:rsid w:val="007D0B9D"/>
    <w:rsid w:val="007D177D"/>
    <w:rsid w:val="007D3C8D"/>
    <w:rsid w:val="007D3E3E"/>
    <w:rsid w:val="007D4039"/>
    <w:rsid w:val="007D4269"/>
    <w:rsid w:val="007D492A"/>
    <w:rsid w:val="007D4D61"/>
    <w:rsid w:val="007D4E0A"/>
    <w:rsid w:val="007D4EAD"/>
    <w:rsid w:val="007D5C8D"/>
    <w:rsid w:val="007D7175"/>
    <w:rsid w:val="007E04B6"/>
    <w:rsid w:val="007E1440"/>
    <w:rsid w:val="007E179E"/>
    <w:rsid w:val="007E1989"/>
    <w:rsid w:val="007E2994"/>
    <w:rsid w:val="007E4132"/>
    <w:rsid w:val="007E54EA"/>
    <w:rsid w:val="007E5A3A"/>
    <w:rsid w:val="007E6837"/>
    <w:rsid w:val="007E6E0B"/>
    <w:rsid w:val="007F10CE"/>
    <w:rsid w:val="007F21A1"/>
    <w:rsid w:val="007F244B"/>
    <w:rsid w:val="007F25A5"/>
    <w:rsid w:val="007F27BD"/>
    <w:rsid w:val="007F3514"/>
    <w:rsid w:val="007F408A"/>
    <w:rsid w:val="007F4640"/>
    <w:rsid w:val="007F60F7"/>
    <w:rsid w:val="00800209"/>
    <w:rsid w:val="00801257"/>
    <w:rsid w:val="00801444"/>
    <w:rsid w:val="00801F79"/>
    <w:rsid w:val="0080223B"/>
    <w:rsid w:val="0080231C"/>
    <w:rsid w:val="00802A54"/>
    <w:rsid w:val="008034CC"/>
    <w:rsid w:val="00805A75"/>
    <w:rsid w:val="008076FE"/>
    <w:rsid w:val="008077D0"/>
    <w:rsid w:val="00807AD6"/>
    <w:rsid w:val="00807DE2"/>
    <w:rsid w:val="008104A6"/>
    <w:rsid w:val="008107D2"/>
    <w:rsid w:val="00810B6F"/>
    <w:rsid w:val="0081108E"/>
    <w:rsid w:val="008112C4"/>
    <w:rsid w:val="0081156E"/>
    <w:rsid w:val="00812364"/>
    <w:rsid w:val="0081250E"/>
    <w:rsid w:val="00812A83"/>
    <w:rsid w:val="008145F6"/>
    <w:rsid w:val="00814716"/>
    <w:rsid w:val="0081513A"/>
    <w:rsid w:val="008158BA"/>
    <w:rsid w:val="00815FCA"/>
    <w:rsid w:val="00816690"/>
    <w:rsid w:val="00817121"/>
    <w:rsid w:val="00821AAB"/>
    <w:rsid w:val="00821D17"/>
    <w:rsid w:val="00822CE0"/>
    <w:rsid w:val="00822F06"/>
    <w:rsid w:val="00823928"/>
    <w:rsid w:val="00823D4A"/>
    <w:rsid w:val="00824FB1"/>
    <w:rsid w:val="008250DE"/>
    <w:rsid w:val="008252E2"/>
    <w:rsid w:val="0083054B"/>
    <w:rsid w:val="00830732"/>
    <w:rsid w:val="00830AE0"/>
    <w:rsid w:val="00830DB4"/>
    <w:rsid w:val="00831757"/>
    <w:rsid w:val="008334F6"/>
    <w:rsid w:val="00833E86"/>
    <w:rsid w:val="00834A20"/>
    <w:rsid w:val="00835AC9"/>
    <w:rsid w:val="00836FAC"/>
    <w:rsid w:val="00837427"/>
    <w:rsid w:val="00840360"/>
    <w:rsid w:val="008404EE"/>
    <w:rsid w:val="00840622"/>
    <w:rsid w:val="00841706"/>
    <w:rsid w:val="00841AB1"/>
    <w:rsid w:val="008422A2"/>
    <w:rsid w:val="00842AFE"/>
    <w:rsid w:val="008434E1"/>
    <w:rsid w:val="008436A4"/>
    <w:rsid w:val="00844021"/>
    <w:rsid w:val="0084427E"/>
    <w:rsid w:val="0084438C"/>
    <w:rsid w:val="00844690"/>
    <w:rsid w:val="00844874"/>
    <w:rsid w:val="00844E12"/>
    <w:rsid w:val="00844F62"/>
    <w:rsid w:val="008461B3"/>
    <w:rsid w:val="00846B3A"/>
    <w:rsid w:val="00846F4E"/>
    <w:rsid w:val="00847396"/>
    <w:rsid w:val="008508AF"/>
    <w:rsid w:val="00850ADB"/>
    <w:rsid w:val="00850F84"/>
    <w:rsid w:val="008519DC"/>
    <w:rsid w:val="00851FE4"/>
    <w:rsid w:val="00855961"/>
    <w:rsid w:val="008559D7"/>
    <w:rsid w:val="00855A19"/>
    <w:rsid w:val="008563C9"/>
    <w:rsid w:val="00857ED2"/>
    <w:rsid w:val="00860300"/>
    <w:rsid w:val="008631DA"/>
    <w:rsid w:val="0086362E"/>
    <w:rsid w:val="0086462B"/>
    <w:rsid w:val="008665FE"/>
    <w:rsid w:val="00870898"/>
    <w:rsid w:val="008718E9"/>
    <w:rsid w:val="00871FC7"/>
    <w:rsid w:val="008725BC"/>
    <w:rsid w:val="008730C0"/>
    <w:rsid w:val="00874690"/>
    <w:rsid w:val="008751FD"/>
    <w:rsid w:val="0087764A"/>
    <w:rsid w:val="00880B19"/>
    <w:rsid w:val="0088185E"/>
    <w:rsid w:val="00882103"/>
    <w:rsid w:val="00882123"/>
    <w:rsid w:val="00883B73"/>
    <w:rsid w:val="008849E3"/>
    <w:rsid w:val="00884D13"/>
    <w:rsid w:val="008853E2"/>
    <w:rsid w:val="0088594D"/>
    <w:rsid w:val="0088645C"/>
    <w:rsid w:val="008908AF"/>
    <w:rsid w:val="00891023"/>
    <w:rsid w:val="0089260D"/>
    <w:rsid w:val="00892956"/>
    <w:rsid w:val="00893FB1"/>
    <w:rsid w:val="008943EF"/>
    <w:rsid w:val="00895D51"/>
    <w:rsid w:val="00895E45"/>
    <w:rsid w:val="00896625"/>
    <w:rsid w:val="00896FFB"/>
    <w:rsid w:val="00897CB6"/>
    <w:rsid w:val="00897FBE"/>
    <w:rsid w:val="008A0EE2"/>
    <w:rsid w:val="008A1104"/>
    <w:rsid w:val="008A32A1"/>
    <w:rsid w:val="008A4757"/>
    <w:rsid w:val="008A6162"/>
    <w:rsid w:val="008A689B"/>
    <w:rsid w:val="008A7C84"/>
    <w:rsid w:val="008B1074"/>
    <w:rsid w:val="008B26AC"/>
    <w:rsid w:val="008B297D"/>
    <w:rsid w:val="008B2A74"/>
    <w:rsid w:val="008B2F85"/>
    <w:rsid w:val="008B3480"/>
    <w:rsid w:val="008B4981"/>
    <w:rsid w:val="008B5156"/>
    <w:rsid w:val="008B5340"/>
    <w:rsid w:val="008B717F"/>
    <w:rsid w:val="008B7393"/>
    <w:rsid w:val="008B7816"/>
    <w:rsid w:val="008C2811"/>
    <w:rsid w:val="008C29B0"/>
    <w:rsid w:val="008C3A7B"/>
    <w:rsid w:val="008C5CBE"/>
    <w:rsid w:val="008C6037"/>
    <w:rsid w:val="008C68F1"/>
    <w:rsid w:val="008C75DB"/>
    <w:rsid w:val="008D1B2B"/>
    <w:rsid w:val="008D284D"/>
    <w:rsid w:val="008D4DBC"/>
    <w:rsid w:val="008D63FA"/>
    <w:rsid w:val="008D64C0"/>
    <w:rsid w:val="008D7065"/>
    <w:rsid w:val="008D7CCC"/>
    <w:rsid w:val="008D7EBE"/>
    <w:rsid w:val="008E070B"/>
    <w:rsid w:val="008E1C3F"/>
    <w:rsid w:val="008E2753"/>
    <w:rsid w:val="008E3C80"/>
    <w:rsid w:val="008E4AAC"/>
    <w:rsid w:val="008E4BA9"/>
    <w:rsid w:val="008E5A63"/>
    <w:rsid w:val="008E6E61"/>
    <w:rsid w:val="008F11CD"/>
    <w:rsid w:val="008F4637"/>
    <w:rsid w:val="008F47F8"/>
    <w:rsid w:val="008F49B6"/>
    <w:rsid w:val="008F4B21"/>
    <w:rsid w:val="008F51D3"/>
    <w:rsid w:val="008F5450"/>
    <w:rsid w:val="008F56B6"/>
    <w:rsid w:val="008F64BD"/>
    <w:rsid w:val="008F6EF3"/>
    <w:rsid w:val="008F70FF"/>
    <w:rsid w:val="008F7C83"/>
    <w:rsid w:val="00900A32"/>
    <w:rsid w:val="009017AC"/>
    <w:rsid w:val="0090250D"/>
    <w:rsid w:val="00903236"/>
    <w:rsid w:val="00904317"/>
    <w:rsid w:val="00904554"/>
    <w:rsid w:val="00904CD4"/>
    <w:rsid w:val="00905C98"/>
    <w:rsid w:val="00905D86"/>
    <w:rsid w:val="009068BB"/>
    <w:rsid w:val="00907665"/>
    <w:rsid w:val="00907D01"/>
    <w:rsid w:val="00910B8E"/>
    <w:rsid w:val="00910DBA"/>
    <w:rsid w:val="00912AF7"/>
    <w:rsid w:val="009131DA"/>
    <w:rsid w:val="0091364E"/>
    <w:rsid w:val="009141E6"/>
    <w:rsid w:val="00914319"/>
    <w:rsid w:val="00914D68"/>
    <w:rsid w:val="00917650"/>
    <w:rsid w:val="00921803"/>
    <w:rsid w:val="009218FE"/>
    <w:rsid w:val="0092220F"/>
    <w:rsid w:val="00924228"/>
    <w:rsid w:val="009254D1"/>
    <w:rsid w:val="00925519"/>
    <w:rsid w:val="00925DB5"/>
    <w:rsid w:val="00926503"/>
    <w:rsid w:val="009308C2"/>
    <w:rsid w:val="00932431"/>
    <w:rsid w:val="00932540"/>
    <w:rsid w:val="00932C18"/>
    <w:rsid w:val="009354A5"/>
    <w:rsid w:val="00935941"/>
    <w:rsid w:val="00935C73"/>
    <w:rsid w:val="00936C78"/>
    <w:rsid w:val="009377B2"/>
    <w:rsid w:val="009409F6"/>
    <w:rsid w:val="00940D86"/>
    <w:rsid w:val="00943659"/>
    <w:rsid w:val="00944032"/>
    <w:rsid w:val="0094416B"/>
    <w:rsid w:val="0094485E"/>
    <w:rsid w:val="00944BA7"/>
    <w:rsid w:val="00945C01"/>
    <w:rsid w:val="00945DC0"/>
    <w:rsid w:val="00946522"/>
    <w:rsid w:val="00946E9D"/>
    <w:rsid w:val="009474E6"/>
    <w:rsid w:val="0094772B"/>
    <w:rsid w:val="00951DA2"/>
    <w:rsid w:val="00951F3B"/>
    <w:rsid w:val="009522C7"/>
    <w:rsid w:val="00952F0B"/>
    <w:rsid w:val="00954B0C"/>
    <w:rsid w:val="00955148"/>
    <w:rsid w:val="0095592E"/>
    <w:rsid w:val="00956F28"/>
    <w:rsid w:val="00957181"/>
    <w:rsid w:val="0095757D"/>
    <w:rsid w:val="0096084F"/>
    <w:rsid w:val="009609BF"/>
    <w:rsid w:val="00961099"/>
    <w:rsid w:val="00961BEC"/>
    <w:rsid w:val="00961E93"/>
    <w:rsid w:val="009637FE"/>
    <w:rsid w:val="00964AFB"/>
    <w:rsid w:val="00967114"/>
    <w:rsid w:val="00967B8F"/>
    <w:rsid w:val="00967F89"/>
    <w:rsid w:val="009707F5"/>
    <w:rsid w:val="00970B32"/>
    <w:rsid w:val="00970BAF"/>
    <w:rsid w:val="009726D8"/>
    <w:rsid w:val="0097355D"/>
    <w:rsid w:val="00973761"/>
    <w:rsid w:val="00974669"/>
    <w:rsid w:val="0097522F"/>
    <w:rsid w:val="009752D2"/>
    <w:rsid w:val="00975663"/>
    <w:rsid w:val="00976562"/>
    <w:rsid w:val="0097695F"/>
    <w:rsid w:val="00976B99"/>
    <w:rsid w:val="00976DA2"/>
    <w:rsid w:val="009774FA"/>
    <w:rsid w:val="0097755D"/>
    <w:rsid w:val="00977B1D"/>
    <w:rsid w:val="00977F2F"/>
    <w:rsid w:val="00981EB7"/>
    <w:rsid w:val="0098387D"/>
    <w:rsid w:val="009839C6"/>
    <w:rsid w:val="00984952"/>
    <w:rsid w:val="009859D0"/>
    <w:rsid w:val="009859FE"/>
    <w:rsid w:val="00986AE0"/>
    <w:rsid w:val="009876AA"/>
    <w:rsid w:val="00987B9B"/>
    <w:rsid w:val="00990A5B"/>
    <w:rsid w:val="009927B3"/>
    <w:rsid w:val="009929AC"/>
    <w:rsid w:val="00993EF1"/>
    <w:rsid w:val="00994A22"/>
    <w:rsid w:val="00996433"/>
    <w:rsid w:val="00996B46"/>
    <w:rsid w:val="00996ED5"/>
    <w:rsid w:val="00996F8D"/>
    <w:rsid w:val="0099704C"/>
    <w:rsid w:val="009977E1"/>
    <w:rsid w:val="009A1E8D"/>
    <w:rsid w:val="009A241A"/>
    <w:rsid w:val="009A3028"/>
    <w:rsid w:val="009A42A9"/>
    <w:rsid w:val="009A4437"/>
    <w:rsid w:val="009A4671"/>
    <w:rsid w:val="009A5AF9"/>
    <w:rsid w:val="009A5E34"/>
    <w:rsid w:val="009A650F"/>
    <w:rsid w:val="009B13C2"/>
    <w:rsid w:val="009B14F0"/>
    <w:rsid w:val="009B1D0C"/>
    <w:rsid w:val="009B2340"/>
    <w:rsid w:val="009B3809"/>
    <w:rsid w:val="009B4009"/>
    <w:rsid w:val="009B40DB"/>
    <w:rsid w:val="009B4227"/>
    <w:rsid w:val="009B475B"/>
    <w:rsid w:val="009B5228"/>
    <w:rsid w:val="009B5A1D"/>
    <w:rsid w:val="009C0BBA"/>
    <w:rsid w:val="009C1A7F"/>
    <w:rsid w:val="009C26E6"/>
    <w:rsid w:val="009C33B9"/>
    <w:rsid w:val="009C4243"/>
    <w:rsid w:val="009C4859"/>
    <w:rsid w:val="009C5EC0"/>
    <w:rsid w:val="009C6E24"/>
    <w:rsid w:val="009C791E"/>
    <w:rsid w:val="009C7EF9"/>
    <w:rsid w:val="009D026D"/>
    <w:rsid w:val="009D087B"/>
    <w:rsid w:val="009D0BE6"/>
    <w:rsid w:val="009D0D21"/>
    <w:rsid w:val="009D17B5"/>
    <w:rsid w:val="009D206D"/>
    <w:rsid w:val="009D2A4A"/>
    <w:rsid w:val="009D38CF"/>
    <w:rsid w:val="009D4B04"/>
    <w:rsid w:val="009D523A"/>
    <w:rsid w:val="009D58DD"/>
    <w:rsid w:val="009D6751"/>
    <w:rsid w:val="009D7A49"/>
    <w:rsid w:val="009E2D06"/>
    <w:rsid w:val="009E3FC2"/>
    <w:rsid w:val="009E5E75"/>
    <w:rsid w:val="009E62F6"/>
    <w:rsid w:val="009E67FE"/>
    <w:rsid w:val="009E68CF"/>
    <w:rsid w:val="009E6D5B"/>
    <w:rsid w:val="009E74FF"/>
    <w:rsid w:val="009E75FA"/>
    <w:rsid w:val="009F099D"/>
    <w:rsid w:val="009F0BA6"/>
    <w:rsid w:val="009F0DA4"/>
    <w:rsid w:val="009F11EB"/>
    <w:rsid w:val="009F14AB"/>
    <w:rsid w:val="009F309D"/>
    <w:rsid w:val="009F3510"/>
    <w:rsid w:val="009F3690"/>
    <w:rsid w:val="009F4623"/>
    <w:rsid w:val="009F60AF"/>
    <w:rsid w:val="009F6C10"/>
    <w:rsid w:val="009F76DB"/>
    <w:rsid w:val="00A00650"/>
    <w:rsid w:val="00A01287"/>
    <w:rsid w:val="00A01924"/>
    <w:rsid w:val="00A01D2B"/>
    <w:rsid w:val="00A01EB9"/>
    <w:rsid w:val="00A04295"/>
    <w:rsid w:val="00A0475B"/>
    <w:rsid w:val="00A04B6D"/>
    <w:rsid w:val="00A061E0"/>
    <w:rsid w:val="00A062D8"/>
    <w:rsid w:val="00A06695"/>
    <w:rsid w:val="00A0799C"/>
    <w:rsid w:val="00A104CF"/>
    <w:rsid w:val="00A10501"/>
    <w:rsid w:val="00A11AC3"/>
    <w:rsid w:val="00A11E13"/>
    <w:rsid w:val="00A13273"/>
    <w:rsid w:val="00A13C02"/>
    <w:rsid w:val="00A14689"/>
    <w:rsid w:val="00A1477E"/>
    <w:rsid w:val="00A14BEA"/>
    <w:rsid w:val="00A213A2"/>
    <w:rsid w:val="00A24FE6"/>
    <w:rsid w:val="00A27EF1"/>
    <w:rsid w:val="00A308F9"/>
    <w:rsid w:val="00A32A6E"/>
    <w:rsid w:val="00A32C3B"/>
    <w:rsid w:val="00A32D24"/>
    <w:rsid w:val="00A3571E"/>
    <w:rsid w:val="00A404E3"/>
    <w:rsid w:val="00A42BB0"/>
    <w:rsid w:val="00A42E3D"/>
    <w:rsid w:val="00A42F45"/>
    <w:rsid w:val="00A43EB4"/>
    <w:rsid w:val="00A44709"/>
    <w:rsid w:val="00A45519"/>
    <w:rsid w:val="00A458C9"/>
    <w:rsid w:val="00A45F4F"/>
    <w:rsid w:val="00A46336"/>
    <w:rsid w:val="00A46AD4"/>
    <w:rsid w:val="00A46F73"/>
    <w:rsid w:val="00A478FA"/>
    <w:rsid w:val="00A47A92"/>
    <w:rsid w:val="00A52534"/>
    <w:rsid w:val="00A529E6"/>
    <w:rsid w:val="00A529ED"/>
    <w:rsid w:val="00A53D2D"/>
    <w:rsid w:val="00A544AC"/>
    <w:rsid w:val="00A54A91"/>
    <w:rsid w:val="00A551C3"/>
    <w:rsid w:val="00A562D4"/>
    <w:rsid w:val="00A56B1E"/>
    <w:rsid w:val="00A57471"/>
    <w:rsid w:val="00A600A9"/>
    <w:rsid w:val="00A60ABF"/>
    <w:rsid w:val="00A613BE"/>
    <w:rsid w:val="00A6191A"/>
    <w:rsid w:val="00A619B9"/>
    <w:rsid w:val="00A619ED"/>
    <w:rsid w:val="00A61DEE"/>
    <w:rsid w:val="00A6218B"/>
    <w:rsid w:val="00A625F9"/>
    <w:rsid w:val="00A627D1"/>
    <w:rsid w:val="00A62825"/>
    <w:rsid w:val="00A629DB"/>
    <w:rsid w:val="00A6310A"/>
    <w:rsid w:val="00A635E0"/>
    <w:rsid w:val="00A65D83"/>
    <w:rsid w:val="00A66145"/>
    <w:rsid w:val="00A665B3"/>
    <w:rsid w:val="00A669A6"/>
    <w:rsid w:val="00A70070"/>
    <w:rsid w:val="00A703A4"/>
    <w:rsid w:val="00A70D68"/>
    <w:rsid w:val="00A714E6"/>
    <w:rsid w:val="00A721F0"/>
    <w:rsid w:val="00A75670"/>
    <w:rsid w:val="00A758F3"/>
    <w:rsid w:val="00A76C16"/>
    <w:rsid w:val="00A7766E"/>
    <w:rsid w:val="00A80138"/>
    <w:rsid w:val="00A81CF2"/>
    <w:rsid w:val="00A8203D"/>
    <w:rsid w:val="00A827E8"/>
    <w:rsid w:val="00A82AAF"/>
    <w:rsid w:val="00A82BE0"/>
    <w:rsid w:val="00A82EF0"/>
    <w:rsid w:val="00A8461B"/>
    <w:rsid w:val="00A84F7C"/>
    <w:rsid w:val="00A85B2F"/>
    <w:rsid w:val="00A90036"/>
    <w:rsid w:val="00A91037"/>
    <w:rsid w:val="00A91445"/>
    <w:rsid w:val="00A92060"/>
    <w:rsid w:val="00A92C9D"/>
    <w:rsid w:val="00A938C1"/>
    <w:rsid w:val="00A93F4E"/>
    <w:rsid w:val="00A950A6"/>
    <w:rsid w:val="00A958C9"/>
    <w:rsid w:val="00A95E62"/>
    <w:rsid w:val="00A96468"/>
    <w:rsid w:val="00AA00F5"/>
    <w:rsid w:val="00AA1600"/>
    <w:rsid w:val="00AA27E6"/>
    <w:rsid w:val="00AA2EAB"/>
    <w:rsid w:val="00AA353C"/>
    <w:rsid w:val="00AA38E5"/>
    <w:rsid w:val="00AA3AF0"/>
    <w:rsid w:val="00AA3C3A"/>
    <w:rsid w:val="00AA411D"/>
    <w:rsid w:val="00AA470A"/>
    <w:rsid w:val="00AA4D5F"/>
    <w:rsid w:val="00AA55B7"/>
    <w:rsid w:val="00AA5782"/>
    <w:rsid w:val="00AA5B9E"/>
    <w:rsid w:val="00AA6749"/>
    <w:rsid w:val="00AA6832"/>
    <w:rsid w:val="00AA6974"/>
    <w:rsid w:val="00AA793C"/>
    <w:rsid w:val="00AB02FF"/>
    <w:rsid w:val="00AB0B8E"/>
    <w:rsid w:val="00AB0D14"/>
    <w:rsid w:val="00AB0D5C"/>
    <w:rsid w:val="00AB1833"/>
    <w:rsid w:val="00AB18DA"/>
    <w:rsid w:val="00AB19DE"/>
    <w:rsid w:val="00AB1B3A"/>
    <w:rsid w:val="00AB2407"/>
    <w:rsid w:val="00AB28DA"/>
    <w:rsid w:val="00AB53DF"/>
    <w:rsid w:val="00AB666D"/>
    <w:rsid w:val="00AB704D"/>
    <w:rsid w:val="00AC1928"/>
    <w:rsid w:val="00AC30FD"/>
    <w:rsid w:val="00AC392E"/>
    <w:rsid w:val="00AC3B6B"/>
    <w:rsid w:val="00AC3C7C"/>
    <w:rsid w:val="00AC4AA9"/>
    <w:rsid w:val="00AC4FE5"/>
    <w:rsid w:val="00AD0B31"/>
    <w:rsid w:val="00AD1029"/>
    <w:rsid w:val="00AD1062"/>
    <w:rsid w:val="00AD114F"/>
    <w:rsid w:val="00AD14AA"/>
    <w:rsid w:val="00AD1C3A"/>
    <w:rsid w:val="00AD230C"/>
    <w:rsid w:val="00AD3008"/>
    <w:rsid w:val="00AD38EA"/>
    <w:rsid w:val="00AD51A2"/>
    <w:rsid w:val="00AD5570"/>
    <w:rsid w:val="00AD5CE8"/>
    <w:rsid w:val="00AD6D05"/>
    <w:rsid w:val="00AD6D9E"/>
    <w:rsid w:val="00AE07C3"/>
    <w:rsid w:val="00AE0E4D"/>
    <w:rsid w:val="00AE1107"/>
    <w:rsid w:val="00AE119D"/>
    <w:rsid w:val="00AE1945"/>
    <w:rsid w:val="00AE1E50"/>
    <w:rsid w:val="00AE5860"/>
    <w:rsid w:val="00AE6060"/>
    <w:rsid w:val="00AE67E9"/>
    <w:rsid w:val="00AE75AB"/>
    <w:rsid w:val="00AF1220"/>
    <w:rsid w:val="00AF1EA6"/>
    <w:rsid w:val="00AF2DD2"/>
    <w:rsid w:val="00AF3928"/>
    <w:rsid w:val="00AF3E7D"/>
    <w:rsid w:val="00AF59C0"/>
    <w:rsid w:val="00AF5BEB"/>
    <w:rsid w:val="00AF5C2E"/>
    <w:rsid w:val="00AF628A"/>
    <w:rsid w:val="00AF63EF"/>
    <w:rsid w:val="00AF65EF"/>
    <w:rsid w:val="00AF679C"/>
    <w:rsid w:val="00AF6D83"/>
    <w:rsid w:val="00AF6EF7"/>
    <w:rsid w:val="00B00A28"/>
    <w:rsid w:val="00B01AAA"/>
    <w:rsid w:val="00B03494"/>
    <w:rsid w:val="00B03562"/>
    <w:rsid w:val="00B03E7D"/>
    <w:rsid w:val="00B04BC6"/>
    <w:rsid w:val="00B05240"/>
    <w:rsid w:val="00B07933"/>
    <w:rsid w:val="00B07E5C"/>
    <w:rsid w:val="00B114A1"/>
    <w:rsid w:val="00B11914"/>
    <w:rsid w:val="00B11E57"/>
    <w:rsid w:val="00B14068"/>
    <w:rsid w:val="00B1433B"/>
    <w:rsid w:val="00B14C49"/>
    <w:rsid w:val="00B14F64"/>
    <w:rsid w:val="00B163DA"/>
    <w:rsid w:val="00B167CC"/>
    <w:rsid w:val="00B171EE"/>
    <w:rsid w:val="00B20DB4"/>
    <w:rsid w:val="00B21A7B"/>
    <w:rsid w:val="00B2328C"/>
    <w:rsid w:val="00B23652"/>
    <w:rsid w:val="00B23C29"/>
    <w:rsid w:val="00B26204"/>
    <w:rsid w:val="00B266DD"/>
    <w:rsid w:val="00B3006B"/>
    <w:rsid w:val="00B30228"/>
    <w:rsid w:val="00B307C8"/>
    <w:rsid w:val="00B33709"/>
    <w:rsid w:val="00B353A5"/>
    <w:rsid w:val="00B35E5E"/>
    <w:rsid w:val="00B37C88"/>
    <w:rsid w:val="00B40C48"/>
    <w:rsid w:val="00B419B9"/>
    <w:rsid w:val="00B422E5"/>
    <w:rsid w:val="00B42EA2"/>
    <w:rsid w:val="00B42F70"/>
    <w:rsid w:val="00B43C2A"/>
    <w:rsid w:val="00B442B9"/>
    <w:rsid w:val="00B447D2"/>
    <w:rsid w:val="00B44A51"/>
    <w:rsid w:val="00B4612F"/>
    <w:rsid w:val="00B46329"/>
    <w:rsid w:val="00B46933"/>
    <w:rsid w:val="00B475D8"/>
    <w:rsid w:val="00B50384"/>
    <w:rsid w:val="00B509A0"/>
    <w:rsid w:val="00B50CF1"/>
    <w:rsid w:val="00B5235E"/>
    <w:rsid w:val="00B529F2"/>
    <w:rsid w:val="00B53552"/>
    <w:rsid w:val="00B537B5"/>
    <w:rsid w:val="00B56568"/>
    <w:rsid w:val="00B566B9"/>
    <w:rsid w:val="00B56AB7"/>
    <w:rsid w:val="00B56E91"/>
    <w:rsid w:val="00B57351"/>
    <w:rsid w:val="00B5772F"/>
    <w:rsid w:val="00B6016C"/>
    <w:rsid w:val="00B62746"/>
    <w:rsid w:val="00B63EDE"/>
    <w:rsid w:val="00B64319"/>
    <w:rsid w:val="00B64608"/>
    <w:rsid w:val="00B64C82"/>
    <w:rsid w:val="00B66088"/>
    <w:rsid w:val="00B6626E"/>
    <w:rsid w:val="00B666F3"/>
    <w:rsid w:val="00B66EB7"/>
    <w:rsid w:val="00B67339"/>
    <w:rsid w:val="00B706C2"/>
    <w:rsid w:val="00B70C9F"/>
    <w:rsid w:val="00B719B6"/>
    <w:rsid w:val="00B7220A"/>
    <w:rsid w:val="00B724FE"/>
    <w:rsid w:val="00B73046"/>
    <w:rsid w:val="00B7684F"/>
    <w:rsid w:val="00B76D18"/>
    <w:rsid w:val="00B803A7"/>
    <w:rsid w:val="00B80CC7"/>
    <w:rsid w:val="00B811F7"/>
    <w:rsid w:val="00B81C3F"/>
    <w:rsid w:val="00B823B5"/>
    <w:rsid w:val="00B83000"/>
    <w:rsid w:val="00B83AC0"/>
    <w:rsid w:val="00B83E8A"/>
    <w:rsid w:val="00B84E33"/>
    <w:rsid w:val="00B85698"/>
    <w:rsid w:val="00B85A33"/>
    <w:rsid w:val="00B85F6A"/>
    <w:rsid w:val="00B86612"/>
    <w:rsid w:val="00B86B55"/>
    <w:rsid w:val="00B87F63"/>
    <w:rsid w:val="00B9188F"/>
    <w:rsid w:val="00B91B62"/>
    <w:rsid w:val="00B92D20"/>
    <w:rsid w:val="00B930CF"/>
    <w:rsid w:val="00B936A1"/>
    <w:rsid w:val="00B93B8C"/>
    <w:rsid w:val="00B93CCC"/>
    <w:rsid w:val="00B962E1"/>
    <w:rsid w:val="00B9657C"/>
    <w:rsid w:val="00BA0721"/>
    <w:rsid w:val="00BA2250"/>
    <w:rsid w:val="00BA3D12"/>
    <w:rsid w:val="00BA3FA8"/>
    <w:rsid w:val="00BA4278"/>
    <w:rsid w:val="00BA47E0"/>
    <w:rsid w:val="00BA4C00"/>
    <w:rsid w:val="00BA51E5"/>
    <w:rsid w:val="00BA5727"/>
    <w:rsid w:val="00BA5DC6"/>
    <w:rsid w:val="00BA6196"/>
    <w:rsid w:val="00BA6903"/>
    <w:rsid w:val="00BA6D1E"/>
    <w:rsid w:val="00BB08C3"/>
    <w:rsid w:val="00BB0A4E"/>
    <w:rsid w:val="00BB2049"/>
    <w:rsid w:val="00BB2B43"/>
    <w:rsid w:val="00BB40A6"/>
    <w:rsid w:val="00BB5B3C"/>
    <w:rsid w:val="00BB5D6D"/>
    <w:rsid w:val="00BC0167"/>
    <w:rsid w:val="00BC0D73"/>
    <w:rsid w:val="00BC145B"/>
    <w:rsid w:val="00BC1947"/>
    <w:rsid w:val="00BC1EA1"/>
    <w:rsid w:val="00BC24BC"/>
    <w:rsid w:val="00BC43D0"/>
    <w:rsid w:val="00BC4581"/>
    <w:rsid w:val="00BC5299"/>
    <w:rsid w:val="00BC632C"/>
    <w:rsid w:val="00BC6D8C"/>
    <w:rsid w:val="00BC6DAB"/>
    <w:rsid w:val="00BC78C3"/>
    <w:rsid w:val="00BD0A75"/>
    <w:rsid w:val="00BD0B2B"/>
    <w:rsid w:val="00BD1613"/>
    <w:rsid w:val="00BD3411"/>
    <w:rsid w:val="00BD3D72"/>
    <w:rsid w:val="00BD47A1"/>
    <w:rsid w:val="00BD4ECB"/>
    <w:rsid w:val="00BD57C7"/>
    <w:rsid w:val="00BD6265"/>
    <w:rsid w:val="00BD6C09"/>
    <w:rsid w:val="00BD79D6"/>
    <w:rsid w:val="00BD7D79"/>
    <w:rsid w:val="00BD7F51"/>
    <w:rsid w:val="00BE00BC"/>
    <w:rsid w:val="00BE01F2"/>
    <w:rsid w:val="00BE08C9"/>
    <w:rsid w:val="00BE0D99"/>
    <w:rsid w:val="00BE0EA5"/>
    <w:rsid w:val="00BE1718"/>
    <w:rsid w:val="00BE1F34"/>
    <w:rsid w:val="00BE2323"/>
    <w:rsid w:val="00BE2798"/>
    <w:rsid w:val="00BE2925"/>
    <w:rsid w:val="00BE2C5F"/>
    <w:rsid w:val="00BE3224"/>
    <w:rsid w:val="00BE36FD"/>
    <w:rsid w:val="00BE42F2"/>
    <w:rsid w:val="00BE43D4"/>
    <w:rsid w:val="00BE56EB"/>
    <w:rsid w:val="00BE58B4"/>
    <w:rsid w:val="00BE74A3"/>
    <w:rsid w:val="00BE79CF"/>
    <w:rsid w:val="00BE7E55"/>
    <w:rsid w:val="00BF0282"/>
    <w:rsid w:val="00BF050A"/>
    <w:rsid w:val="00BF0BC9"/>
    <w:rsid w:val="00BF0FF0"/>
    <w:rsid w:val="00BF2266"/>
    <w:rsid w:val="00BF2BAB"/>
    <w:rsid w:val="00BF368D"/>
    <w:rsid w:val="00BF428D"/>
    <w:rsid w:val="00BF49FE"/>
    <w:rsid w:val="00BF4E0C"/>
    <w:rsid w:val="00BF550A"/>
    <w:rsid w:val="00BF559C"/>
    <w:rsid w:val="00BF5D55"/>
    <w:rsid w:val="00BF74F0"/>
    <w:rsid w:val="00BF76B5"/>
    <w:rsid w:val="00BF7C30"/>
    <w:rsid w:val="00C0025C"/>
    <w:rsid w:val="00C00F13"/>
    <w:rsid w:val="00C0200A"/>
    <w:rsid w:val="00C022B8"/>
    <w:rsid w:val="00C04C36"/>
    <w:rsid w:val="00C04FA7"/>
    <w:rsid w:val="00C06785"/>
    <w:rsid w:val="00C06B5E"/>
    <w:rsid w:val="00C06C02"/>
    <w:rsid w:val="00C074AA"/>
    <w:rsid w:val="00C07EB1"/>
    <w:rsid w:val="00C11608"/>
    <w:rsid w:val="00C117CF"/>
    <w:rsid w:val="00C11880"/>
    <w:rsid w:val="00C12A5E"/>
    <w:rsid w:val="00C12F43"/>
    <w:rsid w:val="00C13146"/>
    <w:rsid w:val="00C142CE"/>
    <w:rsid w:val="00C1646F"/>
    <w:rsid w:val="00C1673C"/>
    <w:rsid w:val="00C16ADF"/>
    <w:rsid w:val="00C218EA"/>
    <w:rsid w:val="00C224DA"/>
    <w:rsid w:val="00C22A0E"/>
    <w:rsid w:val="00C231BE"/>
    <w:rsid w:val="00C23659"/>
    <w:rsid w:val="00C23878"/>
    <w:rsid w:val="00C244F9"/>
    <w:rsid w:val="00C247BD"/>
    <w:rsid w:val="00C24BED"/>
    <w:rsid w:val="00C2501D"/>
    <w:rsid w:val="00C260C8"/>
    <w:rsid w:val="00C277D6"/>
    <w:rsid w:val="00C3003B"/>
    <w:rsid w:val="00C30A20"/>
    <w:rsid w:val="00C31F29"/>
    <w:rsid w:val="00C326CC"/>
    <w:rsid w:val="00C32E05"/>
    <w:rsid w:val="00C338F2"/>
    <w:rsid w:val="00C34006"/>
    <w:rsid w:val="00C34E9A"/>
    <w:rsid w:val="00C3531E"/>
    <w:rsid w:val="00C36876"/>
    <w:rsid w:val="00C36B09"/>
    <w:rsid w:val="00C40792"/>
    <w:rsid w:val="00C40D74"/>
    <w:rsid w:val="00C4208C"/>
    <w:rsid w:val="00C422BF"/>
    <w:rsid w:val="00C426B1"/>
    <w:rsid w:val="00C4345A"/>
    <w:rsid w:val="00C4468F"/>
    <w:rsid w:val="00C469F1"/>
    <w:rsid w:val="00C4719B"/>
    <w:rsid w:val="00C51B6F"/>
    <w:rsid w:val="00C526B4"/>
    <w:rsid w:val="00C528BC"/>
    <w:rsid w:val="00C535E3"/>
    <w:rsid w:val="00C54E47"/>
    <w:rsid w:val="00C55973"/>
    <w:rsid w:val="00C55B05"/>
    <w:rsid w:val="00C5684B"/>
    <w:rsid w:val="00C616FC"/>
    <w:rsid w:val="00C6267F"/>
    <w:rsid w:val="00C636A5"/>
    <w:rsid w:val="00C63D7E"/>
    <w:rsid w:val="00C6520F"/>
    <w:rsid w:val="00C6552D"/>
    <w:rsid w:val="00C66160"/>
    <w:rsid w:val="00C67A15"/>
    <w:rsid w:val="00C67ED6"/>
    <w:rsid w:val="00C719CF"/>
    <w:rsid w:val="00C721AC"/>
    <w:rsid w:val="00C73BD2"/>
    <w:rsid w:val="00C7468C"/>
    <w:rsid w:val="00C77E78"/>
    <w:rsid w:val="00C80717"/>
    <w:rsid w:val="00C8168B"/>
    <w:rsid w:val="00C82118"/>
    <w:rsid w:val="00C840B1"/>
    <w:rsid w:val="00C851C3"/>
    <w:rsid w:val="00C856CC"/>
    <w:rsid w:val="00C85CB2"/>
    <w:rsid w:val="00C8736C"/>
    <w:rsid w:val="00C906A5"/>
    <w:rsid w:val="00C90D6A"/>
    <w:rsid w:val="00C91435"/>
    <w:rsid w:val="00C92733"/>
    <w:rsid w:val="00C92B7B"/>
    <w:rsid w:val="00C933A9"/>
    <w:rsid w:val="00C935FA"/>
    <w:rsid w:val="00C93DB9"/>
    <w:rsid w:val="00C94A84"/>
    <w:rsid w:val="00C950A9"/>
    <w:rsid w:val="00C951C8"/>
    <w:rsid w:val="00C970B0"/>
    <w:rsid w:val="00C97AEB"/>
    <w:rsid w:val="00CA0BEA"/>
    <w:rsid w:val="00CA201B"/>
    <w:rsid w:val="00CA247E"/>
    <w:rsid w:val="00CA24F3"/>
    <w:rsid w:val="00CA39F6"/>
    <w:rsid w:val="00CA3AD0"/>
    <w:rsid w:val="00CA3C6E"/>
    <w:rsid w:val="00CA3DBB"/>
    <w:rsid w:val="00CA4218"/>
    <w:rsid w:val="00CA4F21"/>
    <w:rsid w:val="00CA6099"/>
    <w:rsid w:val="00CA6BC3"/>
    <w:rsid w:val="00CA7BFB"/>
    <w:rsid w:val="00CB103E"/>
    <w:rsid w:val="00CB1C67"/>
    <w:rsid w:val="00CB2482"/>
    <w:rsid w:val="00CB2B59"/>
    <w:rsid w:val="00CB2EF7"/>
    <w:rsid w:val="00CB374D"/>
    <w:rsid w:val="00CB3B90"/>
    <w:rsid w:val="00CB3C41"/>
    <w:rsid w:val="00CB3E5E"/>
    <w:rsid w:val="00CB4E28"/>
    <w:rsid w:val="00CB5FBA"/>
    <w:rsid w:val="00CC0519"/>
    <w:rsid w:val="00CC0DEF"/>
    <w:rsid w:val="00CC1715"/>
    <w:rsid w:val="00CC196C"/>
    <w:rsid w:val="00CC1A15"/>
    <w:rsid w:val="00CC1CC1"/>
    <w:rsid w:val="00CC22C4"/>
    <w:rsid w:val="00CC336C"/>
    <w:rsid w:val="00CC4606"/>
    <w:rsid w:val="00CC4E73"/>
    <w:rsid w:val="00CC56B4"/>
    <w:rsid w:val="00CC5D4C"/>
    <w:rsid w:val="00CC5FA2"/>
    <w:rsid w:val="00CC63AD"/>
    <w:rsid w:val="00CC65B8"/>
    <w:rsid w:val="00CC6C79"/>
    <w:rsid w:val="00CC70F9"/>
    <w:rsid w:val="00CC72B6"/>
    <w:rsid w:val="00CC750E"/>
    <w:rsid w:val="00CC7FA8"/>
    <w:rsid w:val="00CD0104"/>
    <w:rsid w:val="00CD0E30"/>
    <w:rsid w:val="00CD10D4"/>
    <w:rsid w:val="00CD1B2B"/>
    <w:rsid w:val="00CD1D59"/>
    <w:rsid w:val="00CD40DF"/>
    <w:rsid w:val="00CD44C5"/>
    <w:rsid w:val="00CD5971"/>
    <w:rsid w:val="00CD5A8C"/>
    <w:rsid w:val="00CD5DEA"/>
    <w:rsid w:val="00CD6FA8"/>
    <w:rsid w:val="00CE019D"/>
    <w:rsid w:val="00CE3877"/>
    <w:rsid w:val="00CE407F"/>
    <w:rsid w:val="00CE4980"/>
    <w:rsid w:val="00CE4F14"/>
    <w:rsid w:val="00CE7A86"/>
    <w:rsid w:val="00CF11CC"/>
    <w:rsid w:val="00CF304E"/>
    <w:rsid w:val="00CF3E19"/>
    <w:rsid w:val="00CF3FE1"/>
    <w:rsid w:val="00CF54F4"/>
    <w:rsid w:val="00CF7F0F"/>
    <w:rsid w:val="00D00402"/>
    <w:rsid w:val="00D00E4F"/>
    <w:rsid w:val="00D0218D"/>
    <w:rsid w:val="00D02529"/>
    <w:rsid w:val="00D0262E"/>
    <w:rsid w:val="00D02E86"/>
    <w:rsid w:val="00D0490D"/>
    <w:rsid w:val="00D05A23"/>
    <w:rsid w:val="00D05C90"/>
    <w:rsid w:val="00D06791"/>
    <w:rsid w:val="00D106DC"/>
    <w:rsid w:val="00D109C2"/>
    <w:rsid w:val="00D12181"/>
    <w:rsid w:val="00D1221B"/>
    <w:rsid w:val="00D12628"/>
    <w:rsid w:val="00D12AE9"/>
    <w:rsid w:val="00D130A5"/>
    <w:rsid w:val="00D14A2B"/>
    <w:rsid w:val="00D14CA4"/>
    <w:rsid w:val="00D150B6"/>
    <w:rsid w:val="00D151F4"/>
    <w:rsid w:val="00D15828"/>
    <w:rsid w:val="00D1584B"/>
    <w:rsid w:val="00D169E2"/>
    <w:rsid w:val="00D17495"/>
    <w:rsid w:val="00D177F9"/>
    <w:rsid w:val="00D203AE"/>
    <w:rsid w:val="00D20C54"/>
    <w:rsid w:val="00D20C85"/>
    <w:rsid w:val="00D22379"/>
    <w:rsid w:val="00D2275D"/>
    <w:rsid w:val="00D22888"/>
    <w:rsid w:val="00D22ACB"/>
    <w:rsid w:val="00D23269"/>
    <w:rsid w:val="00D23383"/>
    <w:rsid w:val="00D247D4"/>
    <w:rsid w:val="00D25FB5"/>
    <w:rsid w:val="00D26727"/>
    <w:rsid w:val="00D270B9"/>
    <w:rsid w:val="00D27142"/>
    <w:rsid w:val="00D2757C"/>
    <w:rsid w:val="00D2764F"/>
    <w:rsid w:val="00D278D2"/>
    <w:rsid w:val="00D31787"/>
    <w:rsid w:val="00D31D47"/>
    <w:rsid w:val="00D32612"/>
    <w:rsid w:val="00D335B7"/>
    <w:rsid w:val="00D34EF0"/>
    <w:rsid w:val="00D37157"/>
    <w:rsid w:val="00D37A4C"/>
    <w:rsid w:val="00D405B2"/>
    <w:rsid w:val="00D41980"/>
    <w:rsid w:val="00D41F74"/>
    <w:rsid w:val="00D42DEA"/>
    <w:rsid w:val="00D44223"/>
    <w:rsid w:val="00D45207"/>
    <w:rsid w:val="00D45FF6"/>
    <w:rsid w:val="00D463EC"/>
    <w:rsid w:val="00D46E46"/>
    <w:rsid w:val="00D470B6"/>
    <w:rsid w:val="00D47128"/>
    <w:rsid w:val="00D473EC"/>
    <w:rsid w:val="00D4764C"/>
    <w:rsid w:val="00D47CD2"/>
    <w:rsid w:val="00D52D12"/>
    <w:rsid w:val="00D5314C"/>
    <w:rsid w:val="00D5322D"/>
    <w:rsid w:val="00D5439F"/>
    <w:rsid w:val="00D54EDB"/>
    <w:rsid w:val="00D55C94"/>
    <w:rsid w:val="00D55D97"/>
    <w:rsid w:val="00D55F8D"/>
    <w:rsid w:val="00D560F9"/>
    <w:rsid w:val="00D600F7"/>
    <w:rsid w:val="00D609A0"/>
    <w:rsid w:val="00D60E43"/>
    <w:rsid w:val="00D62200"/>
    <w:rsid w:val="00D652C9"/>
    <w:rsid w:val="00D65494"/>
    <w:rsid w:val="00D66161"/>
    <w:rsid w:val="00D6677E"/>
    <w:rsid w:val="00D66A26"/>
    <w:rsid w:val="00D66BDE"/>
    <w:rsid w:val="00D66CDC"/>
    <w:rsid w:val="00D67307"/>
    <w:rsid w:val="00D700E1"/>
    <w:rsid w:val="00D70E4C"/>
    <w:rsid w:val="00D71408"/>
    <w:rsid w:val="00D714D4"/>
    <w:rsid w:val="00D71940"/>
    <w:rsid w:val="00D7482A"/>
    <w:rsid w:val="00D74C5D"/>
    <w:rsid w:val="00D75153"/>
    <w:rsid w:val="00D763FF"/>
    <w:rsid w:val="00D7654D"/>
    <w:rsid w:val="00D774BD"/>
    <w:rsid w:val="00D77AB6"/>
    <w:rsid w:val="00D77B72"/>
    <w:rsid w:val="00D80C8A"/>
    <w:rsid w:val="00D8172B"/>
    <w:rsid w:val="00D81F47"/>
    <w:rsid w:val="00D81FDF"/>
    <w:rsid w:val="00D824A2"/>
    <w:rsid w:val="00D82706"/>
    <w:rsid w:val="00D82AD0"/>
    <w:rsid w:val="00D842E1"/>
    <w:rsid w:val="00D848E4"/>
    <w:rsid w:val="00D851D2"/>
    <w:rsid w:val="00D85EC0"/>
    <w:rsid w:val="00D8658D"/>
    <w:rsid w:val="00D90D7C"/>
    <w:rsid w:val="00D91DB0"/>
    <w:rsid w:val="00D927E5"/>
    <w:rsid w:val="00D93DD9"/>
    <w:rsid w:val="00D94A82"/>
    <w:rsid w:val="00D95D76"/>
    <w:rsid w:val="00D962F9"/>
    <w:rsid w:val="00D96764"/>
    <w:rsid w:val="00D9679C"/>
    <w:rsid w:val="00D96D28"/>
    <w:rsid w:val="00D96DC9"/>
    <w:rsid w:val="00D97115"/>
    <w:rsid w:val="00D973C2"/>
    <w:rsid w:val="00D97626"/>
    <w:rsid w:val="00D97713"/>
    <w:rsid w:val="00DA0A9D"/>
    <w:rsid w:val="00DA196C"/>
    <w:rsid w:val="00DA1F66"/>
    <w:rsid w:val="00DA2529"/>
    <w:rsid w:val="00DA3360"/>
    <w:rsid w:val="00DA59EF"/>
    <w:rsid w:val="00DB130A"/>
    <w:rsid w:val="00DB20CE"/>
    <w:rsid w:val="00DB28B2"/>
    <w:rsid w:val="00DB2EBB"/>
    <w:rsid w:val="00DB53FC"/>
    <w:rsid w:val="00DB561A"/>
    <w:rsid w:val="00DB6320"/>
    <w:rsid w:val="00DB7221"/>
    <w:rsid w:val="00DB77F5"/>
    <w:rsid w:val="00DC02A8"/>
    <w:rsid w:val="00DC03C7"/>
    <w:rsid w:val="00DC10A1"/>
    <w:rsid w:val="00DC1897"/>
    <w:rsid w:val="00DC26F8"/>
    <w:rsid w:val="00DC2B5B"/>
    <w:rsid w:val="00DC3923"/>
    <w:rsid w:val="00DC3FCF"/>
    <w:rsid w:val="00DC477C"/>
    <w:rsid w:val="00DC4936"/>
    <w:rsid w:val="00DC4A2A"/>
    <w:rsid w:val="00DC60DE"/>
    <w:rsid w:val="00DC655F"/>
    <w:rsid w:val="00DC72A4"/>
    <w:rsid w:val="00DC7FAE"/>
    <w:rsid w:val="00DD00A4"/>
    <w:rsid w:val="00DD0200"/>
    <w:rsid w:val="00DD0B59"/>
    <w:rsid w:val="00DD0B82"/>
    <w:rsid w:val="00DD0DDE"/>
    <w:rsid w:val="00DD1CE3"/>
    <w:rsid w:val="00DD2D76"/>
    <w:rsid w:val="00DD35B0"/>
    <w:rsid w:val="00DD394B"/>
    <w:rsid w:val="00DD65A4"/>
    <w:rsid w:val="00DD70AA"/>
    <w:rsid w:val="00DD7409"/>
    <w:rsid w:val="00DD7EBD"/>
    <w:rsid w:val="00DE0D16"/>
    <w:rsid w:val="00DE2FF1"/>
    <w:rsid w:val="00DE5374"/>
    <w:rsid w:val="00DE5A06"/>
    <w:rsid w:val="00DE6CEA"/>
    <w:rsid w:val="00DF0043"/>
    <w:rsid w:val="00DF022C"/>
    <w:rsid w:val="00DF0A00"/>
    <w:rsid w:val="00DF1BAB"/>
    <w:rsid w:val="00DF24DE"/>
    <w:rsid w:val="00DF3979"/>
    <w:rsid w:val="00DF60BE"/>
    <w:rsid w:val="00DF62B6"/>
    <w:rsid w:val="00DF63F2"/>
    <w:rsid w:val="00E00154"/>
    <w:rsid w:val="00E0026F"/>
    <w:rsid w:val="00E00F19"/>
    <w:rsid w:val="00E013B0"/>
    <w:rsid w:val="00E01C7F"/>
    <w:rsid w:val="00E01D37"/>
    <w:rsid w:val="00E01EC6"/>
    <w:rsid w:val="00E026EE"/>
    <w:rsid w:val="00E02E0D"/>
    <w:rsid w:val="00E02F06"/>
    <w:rsid w:val="00E03540"/>
    <w:rsid w:val="00E0412A"/>
    <w:rsid w:val="00E05261"/>
    <w:rsid w:val="00E061BB"/>
    <w:rsid w:val="00E064AF"/>
    <w:rsid w:val="00E07225"/>
    <w:rsid w:val="00E10597"/>
    <w:rsid w:val="00E13972"/>
    <w:rsid w:val="00E13CF3"/>
    <w:rsid w:val="00E14089"/>
    <w:rsid w:val="00E14091"/>
    <w:rsid w:val="00E14DCF"/>
    <w:rsid w:val="00E15570"/>
    <w:rsid w:val="00E15722"/>
    <w:rsid w:val="00E15A71"/>
    <w:rsid w:val="00E167F8"/>
    <w:rsid w:val="00E16909"/>
    <w:rsid w:val="00E22BD9"/>
    <w:rsid w:val="00E2455B"/>
    <w:rsid w:val="00E25608"/>
    <w:rsid w:val="00E26F38"/>
    <w:rsid w:val="00E278CB"/>
    <w:rsid w:val="00E31534"/>
    <w:rsid w:val="00E31C40"/>
    <w:rsid w:val="00E330A2"/>
    <w:rsid w:val="00E33133"/>
    <w:rsid w:val="00E348B2"/>
    <w:rsid w:val="00E349A6"/>
    <w:rsid w:val="00E365C7"/>
    <w:rsid w:val="00E36CA9"/>
    <w:rsid w:val="00E376C4"/>
    <w:rsid w:val="00E379E7"/>
    <w:rsid w:val="00E37B47"/>
    <w:rsid w:val="00E403E3"/>
    <w:rsid w:val="00E40E08"/>
    <w:rsid w:val="00E414D4"/>
    <w:rsid w:val="00E4187E"/>
    <w:rsid w:val="00E419C7"/>
    <w:rsid w:val="00E42132"/>
    <w:rsid w:val="00E42A05"/>
    <w:rsid w:val="00E43021"/>
    <w:rsid w:val="00E4350F"/>
    <w:rsid w:val="00E45B64"/>
    <w:rsid w:val="00E462A2"/>
    <w:rsid w:val="00E46DA8"/>
    <w:rsid w:val="00E50B5A"/>
    <w:rsid w:val="00E50E7A"/>
    <w:rsid w:val="00E51640"/>
    <w:rsid w:val="00E5165F"/>
    <w:rsid w:val="00E52A1D"/>
    <w:rsid w:val="00E53003"/>
    <w:rsid w:val="00E53F75"/>
    <w:rsid w:val="00E5409F"/>
    <w:rsid w:val="00E56DD7"/>
    <w:rsid w:val="00E60E1E"/>
    <w:rsid w:val="00E616FB"/>
    <w:rsid w:val="00E621CA"/>
    <w:rsid w:val="00E62822"/>
    <w:rsid w:val="00E62B59"/>
    <w:rsid w:val="00E62C0F"/>
    <w:rsid w:val="00E62C1B"/>
    <w:rsid w:val="00E634B1"/>
    <w:rsid w:val="00E63658"/>
    <w:rsid w:val="00E63682"/>
    <w:rsid w:val="00E649B5"/>
    <w:rsid w:val="00E64EF5"/>
    <w:rsid w:val="00E67318"/>
    <w:rsid w:val="00E70B10"/>
    <w:rsid w:val="00E717D3"/>
    <w:rsid w:val="00E71EC5"/>
    <w:rsid w:val="00E72445"/>
    <w:rsid w:val="00E72617"/>
    <w:rsid w:val="00E728E1"/>
    <w:rsid w:val="00E73231"/>
    <w:rsid w:val="00E73243"/>
    <w:rsid w:val="00E75043"/>
    <w:rsid w:val="00E755B2"/>
    <w:rsid w:val="00E76611"/>
    <w:rsid w:val="00E768C7"/>
    <w:rsid w:val="00E76CEA"/>
    <w:rsid w:val="00E76EA1"/>
    <w:rsid w:val="00E7730D"/>
    <w:rsid w:val="00E773AE"/>
    <w:rsid w:val="00E80D24"/>
    <w:rsid w:val="00E81CB2"/>
    <w:rsid w:val="00E828AC"/>
    <w:rsid w:val="00E833E1"/>
    <w:rsid w:val="00E838BE"/>
    <w:rsid w:val="00E8681D"/>
    <w:rsid w:val="00E87C6C"/>
    <w:rsid w:val="00E87DBD"/>
    <w:rsid w:val="00E90240"/>
    <w:rsid w:val="00E90E94"/>
    <w:rsid w:val="00E9225C"/>
    <w:rsid w:val="00E92F6D"/>
    <w:rsid w:val="00E944D9"/>
    <w:rsid w:val="00E9528E"/>
    <w:rsid w:val="00E96609"/>
    <w:rsid w:val="00E966A3"/>
    <w:rsid w:val="00E96EF2"/>
    <w:rsid w:val="00EA1258"/>
    <w:rsid w:val="00EA1ADE"/>
    <w:rsid w:val="00EA20B0"/>
    <w:rsid w:val="00EA2BC4"/>
    <w:rsid w:val="00EA2CA2"/>
    <w:rsid w:val="00EA35E5"/>
    <w:rsid w:val="00EA3878"/>
    <w:rsid w:val="00EA38BB"/>
    <w:rsid w:val="00EA4A4A"/>
    <w:rsid w:val="00EA5EF0"/>
    <w:rsid w:val="00EA5F84"/>
    <w:rsid w:val="00EA62AE"/>
    <w:rsid w:val="00EA71C3"/>
    <w:rsid w:val="00EA7772"/>
    <w:rsid w:val="00EA7E81"/>
    <w:rsid w:val="00EB0524"/>
    <w:rsid w:val="00EB17C5"/>
    <w:rsid w:val="00EB1CB3"/>
    <w:rsid w:val="00EB2693"/>
    <w:rsid w:val="00EB2A2B"/>
    <w:rsid w:val="00EB3EC6"/>
    <w:rsid w:val="00EB3F70"/>
    <w:rsid w:val="00EB4168"/>
    <w:rsid w:val="00EB7424"/>
    <w:rsid w:val="00EB7527"/>
    <w:rsid w:val="00EC0968"/>
    <w:rsid w:val="00EC0EE1"/>
    <w:rsid w:val="00EC1487"/>
    <w:rsid w:val="00EC1F45"/>
    <w:rsid w:val="00EC2105"/>
    <w:rsid w:val="00EC219D"/>
    <w:rsid w:val="00EC3106"/>
    <w:rsid w:val="00EC3F92"/>
    <w:rsid w:val="00EC446E"/>
    <w:rsid w:val="00EC51BC"/>
    <w:rsid w:val="00EC6CA5"/>
    <w:rsid w:val="00EC75A3"/>
    <w:rsid w:val="00ED019A"/>
    <w:rsid w:val="00ED0935"/>
    <w:rsid w:val="00ED170F"/>
    <w:rsid w:val="00ED1E76"/>
    <w:rsid w:val="00ED21D7"/>
    <w:rsid w:val="00ED2E65"/>
    <w:rsid w:val="00ED2EEF"/>
    <w:rsid w:val="00ED48B8"/>
    <w:rsid w:val="00ED5D6E"/>
    <w:rsid w:val="00ED621D"/>
    <w:rsid w:val="00ED62B0"/>
    <w:rsid w:val="00ED649C"/>
    <w:rsid w:val="00ED6C0C"/>
    <w:rsid w:val="00ED7749"/>
    <w:rsid w:val="00ED7993"/>
    <w:rsid w:val="00ED7C17"/>
    <w:rsid w:val="00ED7CBC"/>
    <w:rsid w:val="00ED7EAD"/>
    <w:rsid w:val="00EE00F8"/>
    <w:rsid w:val="00EE0521"/>
    <w:rsid w:val="00EE0854"/>
    <w:rsid w:val="00EE26B5"/>
    <w:rsid w:val="00EE389F"/>
    <w:rsid w:val="00EE491F"/>
    <w:rsid w:val="00EE4BED"/>
    <w:rsid w:val="00EE5473"/>
    <w:rsid w:val="00EE58A8"/>
    <w:rsid w:val="00EE59F0"/>
    <w:rsid w:val="00EE6488"/>
    <w:rsid w:val="00EE6666"/>
    <w:rsid w:val="00EE7CD7"/>
    <w:rsid w:val="00EF2431"/>
    <w:rsid w:val="00EF3AC0"/>
    <w:rsid w:val="00EF3B79"/>
    <w:rsid w:val="00EF4E41"/>
    <w:rsid w:val="00EF5BB3"/>
    <w:rsid w:val="00EF722E"/>
    <w:rsid w:val="00F00670"/>
    <w:rsid w:val="00F00A7E"/>
    <w:rsid w:val="00F02136"/>
    <w:rsid w:val="00F021FA"/>
    <w:rsid w:val="00F03293"/>
    <w:rsid w:val="00F0332F"/>
    <w:rsid w:val="00F0430D"/>
    <w:rsid w:val="00F04438"/>
    <w:rsid w:val="00F04477"/>
    <w:rsid w:val="00F047E1"/>
    <w:rsid w:val="00F0566A"/>
    <w:rsid w:val="00F060E0"/>
    <w:rsid w:val="00F07485"/>
    <w:rsid w:val="00F1013F"/>
    <w:rsid w:val="00F13F21"/>
    <w:rsid w:val="00F14D23"/>
    <w:rsid w:val="00F15C2C"/>
    <w:rsid w:val="00F15CCC"/>
    <w:rsid w:val="00F16CF4"/>
    <w:rsid w:val="00F178CB"/>
    <w:rsid w:val="00F20C07"/>
    <w:rsid w:val="00F2177C"/>
    <w:rsid w:val="00F2230D"/>
    <w:rsid w:val="00F23012"/>
    <w:rsid w:val="00F23867"/>
    <w:rsid w:val="00F23CCF"/>
    <w:rsid w:val="00F25925"/>
    <w:rsid w:val="00F26124"/>
    <w:rsid w:val="00F27007"/>
    <w:rsid w:val="00F30210"/>
    <w:rsid w:val="00F32258"/>
    <w:rsid w:val="00F32307"/>
    <w:rsid w:val="00F34188"/>
    <w:rsid w:val="00F34461"/>
    <w:rsid w:val="00F346E8"/>
    <w:rsid w:val="00F3529C"/>
    <w:rsid w:val="00F366A0"/>
    <w:rsid w:val="00F36844"/>
    <w:rsid w:val="00F3691C"/>
    <w:rsid w:val="00F36E4E"/>
    <w:rsid w:val="00F375C0"/>
    <w:rsid w:val="00F377CD"/>
    <w:rsid w:val="00F405E0"/>
    <w:rsid w:val="00F40D45"/>
    <w:rsid w:val="00F41492"/>
    <w:rsid w:val="00F415F1"/>
    <w:rsid w:val="00F43527"/>
    <w:rsid w:val="00F43A4E"/>
    <w:rsid w:val="00F43DD8"/>
    <w:rsid w:val="00F4422F"/>
    <w:rsid w:val="00F442CA"/>
    <w:rsid w:val="00F465B6"/>
    <w:rsid w:val="00F50CF7"/>
    <w:rsid w:val="00F51292"/>
    <w:rsid w:val="00F5179F"/>
    <w:rsid w:val="00F517B4"/>
    <w:rsid w:val="00F52F2D"/>
    <w:rsid w:val="00F532F1"/>
    <w:rsid w:val="00F53837"/>
    <w:rsid w:val="00F53A0D"/>
    <w:rsid w:val="00F542E8"/>
    <w:rsid w:val="00F5452A"/>
    <w:rsid w:val="00F55510"/>
    <w:rsid w:val="00F56998"/>
    <w:rsid w:val="00F56A6C"/>
    <w:rsid w:val="00F56CCE"/>
    <w:rsid w:val="00F5754A"/>
    <w:rsid w:val="00F57C1F"/>
    <w:rsid w:val="00F6001A"/>
    <w:rsid w:val="00F611D3"/>
    <w:rsid w:val="00F62E97"/>
    <w:rsid w:val="00F64209"/>
    <w:rsid w:val="00F64A67"/>
    <w:rsid w:val="00F64B49"/>
    <w:rsid w:val="00F6675F"/>
    <w:rsid w:val="00F66F07"/>
    <w:rsid w:val="00F67337"/>
    <w:rsid w:val="00F6748D"/>
    <w:rsid w:val="00F679FD"/>
    <w:rsid w:val="00F71CA7"/>
    <w:rsid w:val="00F71EF5"/>
    <w:rsid w:val="00F728FD"/>
    <w:rsid w:val="00F734C7"/>
    <w:rsid w:val="00F73B06"/>
    <w:rsid w:val="00F74543"/>
    <w:rsid w:val="00F749A5"/>
    <w:rsid w:val="00F77D14"/>
    <w:rsid w:val="00F80027"/>
    <w:rsid w:val="00F80811"/>
    <w:rsid w:val="00F814EA"/>
    <w:rsid w:val="00F82032"/>
    <w:rsid w:val="00F821EC"/>
    <w:rsid w:val="00F82937"/>
    <w:rsid w:val="00F84A44"/>
    <w:rsid w:val="00F851C2"/>
    <w:rsid w:val="00F86A53"/>
    <w:rsid w:val="00F903E6"/>
    <w:rsid w:val="00F90DA1"/>
    <w:rsid w:val="00F90F0C"/>
    <w:rsid w:val="00F911CF"/>
    <w:rsid w:val="00F911E8"/>
    <w:rsid w:val="00F91408"/>
    <w:rsid w:val="00F918B5"/>
    <w:rsid w:val="00F91C25"/>
    <w:rsid w:val="00F9256E"/>
    <w:rsid w:val="00F9343B"/>
    <w:rsid w:val="00F93BF5"/>
    <w:rsid w:val="00F9693E"/>
    <w:rsid w:val="00FA0511"/>
    <w:rsid w:val="00FA0C9F"/>
    <w:rsid w:val="00FA1D10"/>
    <w:rsid w:val="00FA22B8"/>
    <w:rsid w:val="00FA2632"/>
    <w:rsid w:val="00FA2BDA"/>
    <w:rsid w:val="00FA2D23"/>
    <w:rsid w:val="00FA2E35"/>
    <w:rsid w:val="00FA3EBE"/>
    <w:rsid w:val="00FA40B2"/>
    <w:rsid w:val="00FA4DB0"/>
    <w:rsid w:val="00FA64E8"/>
    <w:rsid w:val="00FA69BF"/>
    <w:rsid w:val="00FA74CF"/>
    <w:rsid w:val="00FA7E8D"/>
    <w:rsid w:val="00FB290F"/>
    <w:rsid w:val="00FB30F6"/>
    <w:rsid w:val="00FB4345"/>
    <w:rsid w:val="00FB527E"/>
    <w:rsid w:val="00FB5D00"/>
    <w:rsid w:val="00FB6060"/>
    <w:rsid w:val="00FB69B8"/>
    <w:rsid w:val="00FC0B5A"/>
    <w:rsid w:val="00FC11E2"/>
    <w:rsid w:val="00FC141C"/>
    <w:rsid w:val="00FC1AE3"/>
    <w:rsid w:val="00FC42CB"/>
    <w:rsid w:val="00FC485C"/>
    <w:rsid w:val="00FC4A89"/>
    <w:rsid w:val="00FC5337"/>
    <w:rsid w:val="00FC53F1"/>
    <w:rsid w:val="00FC586A"/>
    <w:rsid w:val="00FC62A9"/>
    <w:rsid w:val="00FC6BAB"/>
    <w:rsid w:val="00FC7DA2"/>
    <w:rsid w:val="00FD049A"/>
    <w:rsid w:val="00FD07AA"/>
    <w:rsid w:val="00FD170E"/>
    <w:rsid w:val="00FD2BFC"/>
    <w:rsid w:val="00FD3A83"/>
    <w:rsid w:val="00FD45B1"/>
    <w:rsid w:val="00FD4B07"/>
    <w:rsid w:val="00FD61DB"/>
    <w:rsid w:val="00FE0BF1"/>
    <w:rsid w:val="00FE312B"/>
    <w:rsid w:val="00FE39C6"/>
    <w:rsid w:val="00FE3BF0"/>
    <w:rsid w:val="00FE4534"/>
    <w:rsid w:val="00FE464B"/>
    <w:rsid w:val="00FE4662"/>
    <w:rsid w:val="00FE606C"/>
    <w:rsid w:val="00FE6E8D"/>
    <w:rsid w:val="00FF0FA6"/>
    <w:rsid w:val="00FF1710"/>
    <w:rsid w:val="00FF2447"/>
    <w:rsid w:val="00FF2704"/>
    <w:rsid w:val="00FF2787"/>
    <w:rsid w:val="00FF3698"/>
    <w:rsid w:val="00FF3F91"/>
    <w:rsid w:val="00FF41CF"/>
    <w:rsid w:val="00FF5A32"/>
    <w:rsid w:val="00FF5FF9"/>
    <w:rsid w:val="00FF6B44"/>
    <w:rsid w:val="00FF6E95"/>
    <w:rsid w:val="00FF759A"/>
    <w:rsid w:val="00FF7958"/>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C9"/>
    <w:pPr>
      <w:widowControl w:val="0"/>
    </w:pPr>
    <w:rPr>
      <w:snapToGrid w:val="0"/>
      <w:kern w:val="28"/>
      <w:sz w:val="22"/>
    </w:rPr>
  </w:style>
  <w:style w:type="paragraph" w:styleId="Heading1">
    <w:name w:val="heading 1"/>
    <w:basedOn w:val="Normal"/>
    <w:next w:val="ParaNum"/>
    <w:link w:val="Heading1Char"/>
    <w:qFormat/>
    <w:rsid w:val="00BE0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08C9"/>
    <w:pPr>
      <w:keepNext/>
      <w:numPr>
        <w:ilvl w:val="1"/>
        <w:numId w:val="3"/>
      </w:numPr>
      <w:spacing w:after="120"/>
      <w:outlineLvl w:val="1"/>
    </w:pPr>
    <w:rPr>
      <w:b/>
    </w:rPr>
  </w:style>
  <w:style w:type="paragraph" w:styleId="Heading3">
    <w:name w:val="heading 3"/>
    <w:basedOn w:val="Normal"/>
    <w:next w:val="ParaNum"/>
    <w:link w:val="Heading3Char"/>
    <w:qFormat/>
    <w:rsid w:val="00BE08C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E08C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E08C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E08C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E08C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E0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0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0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8C9"/>
  </w:style>
  <w:style w:type="paragraph" w:customStyle="1" w:styleId="ParaNum">
    <w:name w:val="ParaNum"/>
    <w:basedOn w:val="Normal"/>
    <w:link w:val="ParaNumChar"/>
    <w:rsid w:val="00BE08C9"/>
    <w:pPr>
      <w:numPr>
        <w:numId w:val="2"/>
      </w:numPr>
      <w:tabs>
        <w:tab w:val="clear" w:pos="1080"/>
        <w:tab w:val="num" w:pos="1440"/>
      </w:tabs>
      <w:spacing w:after="120"/>
    </w:pPr>
  </w:style>
  <w:style w:type="paragraph" w:styleId="EndnoteText">
    <w:name w:val="endnote text"/>
    <w:basedOn w:val="Normal"/>
    <w:link w:val="EndnoteTextChar"/>
    <w:semiHidden/>
    <w:rsid w:val="00BE08C9"/>
    <w:rPr>
      <w:sz w:val="20"/>
    </w:rPr>
  </w:style>
  <w:style w:type="character" w:styleId="EndnoteReference">
    <w:name w:val="endnote reference"/>
    <w:semiHidden/>
    <w:rsid w:val="00BE08C9"/>
    <w:rPr>
      <w:vertAlign w:val="superscript"/>
    </w:rPr>
  </w:style>
  <w:style w:type="paragraph" w:styleId="FootnoteText">
    <w:name w:val="footnote text"/>
    <w:aliases w:val="Footnote Text Char1 Char,Footnote Text Char Char Char,Footnote Text Char1 Char Char Char,Footnote Text Char Char Char Char1 Char,Footnote Text Char1 Char Char Char Char Char,Footnote Text Char6,Footnote Text Char Char2,f"/>
    <w:link w:val="FootnoteTextChar1"/>
    <w:rsid w:val="00BE08C9"/>
    <w:pPr>
      <w:spacing w:after="120"/>
    </w:pPr>
  </w:style>
  <w:style w:type="character" w:styleId="FootnoteReference">
    <w:name w:val="footnote reference"/>
    <w:aliases w:val="Appel note de bas de p,Footnote Reference/,Style 12,(NECG) Footnote Reference,Style 124,o,fr,Style 3,Style 13,FR,Style 17,Style 6,Style 7,Style 4,Footnote Reference1,Style 34,Style 9,Style 20,callout"/>
    <w:rsid w:val="00BE08C9"/>
    <w:rPr>
      <w:rFonts w:ascii="Times New Roman" w:hAnsi="Times New Roman"/>
      <w:dstrike w:val="0"/>
      <w:color w:val="auto"/>
      <w:sz w:val="20"/>
      <w:vertAlign w:val="superscript"/>
    </w:rPr>
  </w:style>
  <w:style w:type="paragraph" w:styleId="TOC1">
    <w:name w:val="toc 1"/>
    <w:basedOn w:val="Normal"/>
    <w:next w:val="Normal"/>
    <w:rsid w:val="00BE08C9"/>
    <w:pPr>
      <w:tabs>
        <w:tab w:val="left" w:pos="360"/>
        <w:tab w:val="right" w:leader="dot" w:pos="9360"/>
      </w:tabs>
      <w:suppressAutoHyphens/>
      <w:ind w:left="360" w:right="720" w:hanging="360"/>
    </w:pPr>
    <w:rPr>
      <w:caps/>
      <w:noProof/>
    </w:rPr>
  </w:style>
  <w:style w:type="paragraph" w:styleId="TOC2">
    <w:name w:val="toc 2"/>
    <w:basedOn w:val="Normal"/>
    <w:next w:val="Normal"/>
    <w:rsid w:val="00BE08C9"/>
    <w:pPr>
      <w:tabs>
        <w:tab w:val="left" w:pos="720"/>
        <w:tab w:val="right" w:leader="dot" w:pos="9360"/>
      </w:tabs>
      <w:suppressAutoHyphens/>
      <w:ind w:left="720" w:right="720" w:hanging="360"/>
    </w:pPr>
    <w:rPr>
      <w:noProof/>
    </w:rPr>
  </w:style>
  <w:style w:type="paragraph" w:styleId="TOC3">
    <w:name w:val="toc 3"/>
    <w:basedOn w:val="Normal"/>
    <w:next w:val="Normal"/>
    <w:rsid w:val="00BE08C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E08C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E0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0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0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0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0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08C9"/>
    <w:pPr>
      <w:tabs>
        <w:tab w:val="right" w:pos="9360"/>
      </w:tabs>
      <w:suppressAutoHyphens/>
    </w:pPr>
  </w:style>
  <w:style w:type="character" w:customStyle="1" w:styleId="EquationCaption">
    <w:name w:val="_Equation Caption"/>
    <w:rsid w:val="00BE08C9"/>
  </w:style>
  <w:style w:type="paragraph" w:styleId="Header">
    <w:name w:val="header"/>
    <w:basedOn w:val="Normal"/>
    <w:link w:val="HeaderChar"/>
    <w:autoRedefine/>
    <w:rsid w:val="00BE08C9"/>
    <w:pPr>
      <w:tabs>
        <w:tab w:val="center" w:pos="4680"/>
        <w:tab w:val="right" w:pos="9360"/>
      </w:tabs>
    </w:pPr>
    <w:rPr>
      <w:b/>
    </w:rPr>
  </w:style>
  <w:style w:type="paragraph" w:styleId="Footer">
    <w:name w:val="footer"/>
    <w:basedOn w:val="Normal"/>
    <w:link w:val="FooterChar"/>
    <w:rsid w:val="00BE08C9"/>
    <w:pPr>
      <w:tabs>
        <w:tab w:val="center" w:pos="4320"/>
        <w:tab w:val="right" w:pos="8640"/>
      </w:tabs>
    </w:pPr>
  </w:style>
  <w:style w:type="character" w:styleId="PageNumber">
    <w:name w:val="page number"/>
    <w:basedOn w:val="DefaultParagraphFont"/>
    <w:rsid w:val="00BE08C9"/>
  </w:style>
  <w:style w:type="paragraph" w:styleId="BlockText">
    <w:name w:val="Block Text"/>
    <w:basedOn w:val="Normal"/>
    <w:rsid w:val="00BE08C9"/>
    <w:pPr>
      <w:spacing w:after="240"/>
      <w:ind w:left="1440" w:right="1440"/>
    </w:pPr>
  </w:style>
  <w:style w:type="paragraph" w:customStyle="1" w:styleId="Paratitle">
    <w:name w:val="Para title"/>
    <w:basedOn w:val="Normal"/>
    <w:rsid w:val="00BE08C9"/>
    <w:pPr>
      <w:tabs>
        <w:tab w:val="center" w:pos="9270"/>
      </w:tabs>
      <w:spacing w:after="240"/>
    </w:pPr>
    <w:rPr>
      <w:spacing w:val="-2"/>
    </w:rPr>
  </w:style>
  <w:style w:type="paragraph" w:customStyle="1" w:styleId="Bullet">
    <w:name w:val="Bullet"/>
    <w:basedOn w:val="Normal"/>
    <w:rsid w:val="00BE08C9"/>
    <w:pPr>
      <w:tabs>
        <w:tab w:val="left" w:pos="2160"/>
      </w:tabs>
      <w:spacing w:after="220"/>
      <w:ind w:left="2160" w:hanging="720"/>
    </w:pPr>
  </w:style>
  <w:style w:type="paragraph" w:customStyle="1" w:styleId="TableFormat">
    <w:name w:val="TableFormat"/>
    <w:basedOn w:val="Bullet"/>
    <w:rsid w:val="00BE08C9"/>
    <w:pPr>
      <w:tabs>
        <w:tab w:val="clear" w:pos="2160"/>
        <w:tab w:val="left" w:pos="5040"/>
      </w:tabs>
      <w:ind w:left="5040" w:hanging="3600"/>
    </w:pPr>
  </w:style>
  <w:style w:type="paragraph" w:customStyle="1" w:styleId="TOCTitle">
    <w:name w:val="TOC Title"/>
    <w:basedOn w:val="Normal"/>
    <w:rsid w:val="00BE0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08C9"/>
    <w:pPr>
      <w:jc w:val="center"/>
    </w:pPr>
    <w:rPr>
      <w:rFonts w:ascii="Times New Roman Bold" w:hAnsi="Times New Roman Bold"/>
      <w:b/>
      <w:bCs/>
      <w:caps/>
      <w:szCs w:val="22"/>
    </w:rPr>
  </w:style>
  <w:style w:type="character" w:styleId="Hyperlink">
    <w:name w:val="Hyperlink"/>
    <w:rsid w:val="00BE08C9"/>
    <w:rPr>
      <w:color w:val="0000FF"/>
      <w:u w:val="single"/>
    </w:rPr>
  </w:style>
  <w:style w:type="character" w:customStyle="1" w:styleId="Heading1Char">
    <w:name w:val="Heading 1 Char"/>
    <w:link w:val="Heading1"/>
    <w:rsid w:val="00976DA2"/>
    <w:rPr>
      <w:rFonts w:ascii="Times New Roman Bold" w:hAnsi="Times New Roman Bold"/>
      <w:b/>
      <w:caps/>
      <w:snapToGrid w:val="0"/>
      <w:kern w:val="28"/>
      <w:sz w:val="22"/>
    </w:rPr>
  </w:style>
  <w:style w:type="character" w:customStyle="1" w:styleId="Heading2Char">
    <w:name w:val="Heading 2 Char"/>
    <w:link w:val="Heading2"/>
    <w:rsid w:val="00C06785"/>
    <w:rPr>
      <w:b/>
      <w:snapToGrid w:val="0"/>
      <w:kern w:val="28"/>
      <w:sz w:val="22"/>
    </w:rPr>
  </w:style>
  <w:style w:type="character" w:customStyle="1" w:styleId="Heading3Char">
    <w:name w:val="Heading 3 Char"/>
    <w:link w:val="Heading3"/>
    <w:rsid w:val="00976DA2"/>
    <w:rPr>
      <w:b/>
      <w:snapToGrid w:val="0"/>
      <w:kern w:val="28"/>
      <w:sz w:val="22"/>
    </w:rPr>
  </w:style>
  <w:style w:type="character" w:customStyle="1" w:styleId="Heading4Char">
    <w:name w:val="Heading 4 Char"/>
    <w:link w:val="Heading4"/>
    <w:rsid w:val="00976DA2"/>
    <w:rPr>
      <w:b/>
      <w:snapToGrid w:val="0"/>
      <w:kern w:val="28"/>
      <w:sz w:val="22"/>
    </w:rPr>
  </w:style>
  <w:style w:type="character" w:customStyle="1" w:styleId="Heading5Char">
    <w:name w:val="Heading 5 Char"/>
    <w:link w:val="Heading5"/>
    <w:rsid w:val="00976DA2"/>
    <w:rPr>
      <w:b/>
      <w:snapToGrid w:val="0"/>
      <w:kern w:val="28"/>
      <w:sz w:val="22"/>
    </w:rPr>
  </w:style>
  <w:style w:type="character" w:customStyle="1" w:styleId="Heading6Char">
    <w:name w:val="Heading 6 Char"/>
    <w:link w:val="Heading6"/>
    <w:rsid w:val="00976DA2"/>
    <w:rPr>
      <w:b/>
      <w:snapToGrid w:val="0"/>
      <w:kern w:val="28"/>
      <w:sz w:val="22"/>
    </w:rPr>
  </w:style>
  <w:style w:type="character" w:customStyle="1" w:styleId="Heading7Char">
    <w:name w:val="Heading 7 Char"/>
    <w:link w:val="Heading7"/>
    <w:rsid w:val="00976DA2"/>
    <w:rPr>
      <w:b/>
      <w:snapToGrid w:val="0"/>
      <w:kern w:val="28"/>
      <w:sz w:val="22"/>
    </w:rPr>
  </w:style>
  <w:style w:type="character" w:customStyle="1" w:styleId="Heading8Char">
    <w:name w:val="Heading 8 Char"/>
    <w:link w:val="Heading8"/>
    <w:rsid w:val="00976DA2"/>
    <w:rPr>
      <w:b/>
      <w:snapToGrid w:val="0"/>
      <w:kern w:val="28"/>
      <w:sz w:val="22"/>
    </w:rPr>
  </w:style>
  <w:style w:type="character" w:customStyle="1" w:styleId="Heading9Char">
    <w:name w:val="Heading 9 Char"/>
    <w:link w:val="Heading9"/>
    <w:rsid w:val="00976DA2"/>
    <w:rPr>
      <w:b/>
      <w:snapToGrid w:val="0"/>
      <w:kern w:val="28"/>
      <w:sz w:val="22"/>
    </w:rPr>
  </w:style>
  <w:style w:type="numbering" w:customStyle="1" w:styleId="NoList1">
    <w:name w:val="No List1"/>
    <w:next w:val="NoList"/>
    <w:uiPriority w:val="99"/>
    <w:semiHidden/>
    <w:unhideWhenUsed/>
    <w:rsid w:val="00976DA2"/>
  </w:style>
  <w:style w:type="character" w:customStyle="1" w:styleId="EndnoteTextChar">
    <w:name w:val="Endnote Text Char"/>
    <w:link w:val="EndnoteText"/>
    <w:semiHidden/>
    <w:rsid w:val="00976DA2"/>
    <w:rPr>
      <w:snapToGrid w:val="0"/>
      <w:kern w:val="28"/>
    </w:rPr>
  </w:style>
  <w:style w:type="character" w:customStyle="1" w:styleId="FootnoteTextChar">
    <w:name w:val="Footnote Text Char"/>
    <w:aliases w:val="Footnote Text Char1 Char Char1,Footnote Text Char Char Char Char1,Footnote Text Char1 Char Char Char Char1,Footnote Text Char Char Char Char1 Char Char1,Footnote Text Char1 Char Char Char Char Char Char1,Footnote Text Char6 Char1"/>
    <w:uiPriority w:val="99"/>
    <w:semiHidden/>
    <w:rsid w:val="00976DA2"/>
    <w:rPr>
      <w:sz w:val="20"/>
      <w:szCs w:val="20"/>
    </w:rPr>
  </w:style>
  <w:style w:type="character" w:customStyle="1" w:styleId="HeaderChar">
    <w:name w:val="Header Char"/>
    <w:link w:val="Header"/>
    <w:rsid w:val="007B0905"/>
    <w:rPr>
      <w:b/>
      <w:snapToGrid w:val="0"/>
      <w:kern w:val="28"/>
      <w:sz w:val="22"/>
    </w:rPr>
  </w:style>
  <w:style w:type="character" w:customStyle="1" w:styleId="FooterChar">
    <w:name w:val="Footer Char"/>
    <w:link w:val="Footer"/>
    <w:rsid w:val="00976DA2"/>
    <w:rPr>
      <w:snapToGrid w:val="0"/>
      <w:kern w:val="28"/>
      <w:sz w:val="22"/>
    </w:rPr>
  </w:style>
  <w:style w:type="paragraph" w:styleId="Caption">
    <w:name w:val="caption"/>
    <w:basedOn w:val="Normal"/>
    <w:next w:val="Normal"/>
    <w:qFormat/>
    <w:rsid w:val="00976DA2"/>
    <w:pPr>
      <w:spacing w:before="120" w:after="120"/>
      <w:jc w:val="both"/>
    </w:pPr>
    <w:rPr>
      <w:b/>
    </w:rPr>
  </w:style>
  <w:style w:type="character" w:customStyle="1" w:styleId="FootnoteTextChar1">
    <w:name w:val="Footnote Text Char1"/>
    <w:aliases w:val="Footnote Text Char1 Char Char,Footnote Text Char Char Char Char,Footnote Text Char1 Char Char Char Char,Footnote Text Char Char Char Char1 Char Char,Footnote Text Char1 Char Char Char Char Char Char,Footnote Text Char6 Char,f Char"/>
    <w:link w:val="FootnoteText"/>
    <w:rsid w:val="00976DA2"/>
  </w:style>
  <w:style w:type="character" w:customStyle="1" w:styleId="ParaNumChar">
    <w:name w:val="ParaNum Char"/>
    <w:link w:val="ParaNum"/>
    <w:rsid w:val="00976DA2"/>
    <w:rPr>
      <w:snapToGrid w:val="0"/>
      <w:kern w:val="28"/>
      <w:sz w:val="22"/>
    </w:rPr>
  </w:style>
  <w:style w:type="paragraph" w:customStyle="1" w:styleId="NumberedList">
    <w:name w:val="Numbered List"/>
    <w:basedOn w:val="Normal"/>
    <w:rsid w:val="00976DA2"/>
    <w:pPr>
      <w:numPr>
        <w:numId w:val="7"/>
      </w:numPr>
      <w:tabs>
        <w:tab w:val="clear" w:pos="1080"/>
      </w:tabs>
      <w:spacing w:after="220"/>
      <w:ind w:firstLine="0"/>
      <w:jc w:val="both"/>
    </w:pPr>
  </w:style>
  <w:style w:type="paragraph" w:styleId="Title">
    <w:name w:val="Title"/>
    <w:basedOn w:val="Normal"/>
    <w:link w:val="TitleChar"/>
    <w:qFormat/>
    <w:rsid w:val="00976DA2"/>
    <w:pPr>
      <w:spacing w:after="120"/>
      <w:jc w:val="center"/>
    </w:pPr>
    <w:rPr>
      <w:b/>
    </w:rPr>
  </w:style>
  <w:style w:type="character" w:customStyle="1" w:styleId="TitleChar">
    <w:name w:val="Title Char"/>
    <w:link w:val="Title"/>
    <w:rsid w:val="00976DA2"/>
    <w:rPr>
      <w:b/>
      <w:snapToGrid w:val="0"/>
      <w:kern w:val="28"/>
      <w:sz w:val="22"/>
    </w:rPr>
  </w:style>
  <w:style w:type="paragraph" w:customStyle="1" w:styleId="Default">
    <w:name w:val="Default"/>
    <w:rsid w:val="00976DA2"/>
    <w:pPr>
      <w:autoSpaceDE w:val="0"/>
      <w:autoSpaceDN w:val="0"/>
      <w:adjustRightInd w:val="0"/>
      <w:spacing w:after="120"/>
      <w:jc w:val="both"/>
    </w:pPr>
    <w:rPr>
      <w:color w:val="000000"/>
      <w:sz w:val="24"/>
      <w:szCs w:val="24"/>
    </w:rPr>
  </w:style>
  <w:style w:type="paragraph" w:styleId="ListParagraph">
    <w:name w:val="List Paragraph"/>
    <w:basedOn w:val="Normal"/>
    <w:uiPriority w:val="34"/>
    <w:qFormat/>
    <w:rsid w:val="00976DA2"/>
    <w:pPr>
      <w:spacing w:after="200" w:line="276" w:lineRule="auto"/>
      <w:ind w:left="720"/>
      <w:contextualSpacing/>
      <w:jc w:val="both"/>
    </w:pPr>
    <w:rPr>
      <w:rFonts w:ascii="Calibri" w:eastAsia="Calibri" w:hAnsi="Calibri"/>
    </w:rPr>
  </w:style>
  <w:style w:type="character" w:styleId="FollowedHyperlink">
    <w:name w:val="FollowedHyperlink"/>
    <w:uiPriority w:val="99"/>
    <w:unhideWhenUsed/>
    <w:rsid w:val="00976DA2"/>
    <w:rPr>
      <w:color w:val="800080"/>
      <w:u w:val="single"/>
    </w:rPr>
  </w:style>
  <w:style w:type="paragraph" w:styleId="BalloonText">
    <w:name w:val="Balloon Text"/>
    <w:basedOn w:val="Normal"/>
    <w:link w:val="BalloonTextChar"/>
    <w:rsid w:val="00976DA2"/>
    <w:pPr>
      <w:spacing w:after="120"/>
      <w:jc w:val="both"/>
    </w:pPr>
    <w:rPr>
      <w:rFonts w:ascii="Tahoma" w:hAnsi="Tahoma" w:cs="Tahoma"/>
      <w:sz w:val="16"/>
      <w:szCs w:val="16"/>
    </w:rPr>
  </w:style>
  <w:style w:type="character" w:customStyle="1" w:styleId="BalloonTextChar">
    <w:name w:val="Balloon Text Char"/>
    <w:link w:val="BalloonText"/>
    <w:rsid w:val="00976DA2"/>
    <w:rPr>
      <w:rFonts w:ascii="Tahoma" w:hAnsi="Tahoma" w:cs="Tahoma"/>
      <w:snapToGrid w:val="0"/>
      <w:kern w:val="28"/>
      <w:sz w:val="16"/>
      <w:szCs w:val="16"/>
    </w:rPr>
  </w:style>
  <w:style w:type="paragraph" w:styleId="NormalWeb">
    <w:name w:val="Normal (Web)"/>
    <w:basedOn w:val="Normal"/>
    <w:uiPriority w:val="99"/>
    <w:unhideWhenUsed/>
    <w:rsid w:val="00976DA2"/>
    <w:pPr>
      <w:spacing w:before="100" w:beforeAutospacing="1" w:after="100" w:afterAutospacing="1"/>
      <w:ind w:firstLine="480"/>
      <w:jc w:val="both"/>
    </w:pPr>
    <w:rPr>
      <w:sz w:val="24"/>
      <w:szCs w:val="24"/>
    </w:rPr>
  </w:style>
  <w:style w:type="paragraph" w:customStyle="1" w:styleId="cita">
    <w:name w:val="cita"/>
    <w:basedOn w:val="Normal"/>
    <w:rsid w:val="00976DA2"/>
    <w:pPr>
      <w:spacing w:before="200" w:after="100" w:afterAutospacing="1"/>
      <w:jc w:val="both"/>
    </w:pPr>
    <w:rPr>
      <w:sz w:val="18"/>
      <w:szCs w:val="18"/>
    </w:rPr>
  </w:style>
  <w:style w:type="character" w:customStyle="1" w:styleId="su1">
    <w:name w:val="su1"/>
    <w:rsid w:val="00976DA2"/>
    <w:rPr>
      <w:smallCaps w:val="0"/>
      <w:sz w:val="17"/>
      <w:szCs w:val="17"/>
      <w:vertAlign w:val="superscript"/>
    </w:rPr>
  </w:style>
  <w:style w:type="paragraph" w:customStyle="1" w:styleId="note">
    <w:name w:val="note"/>
    <w:basedOn w:val="Normal"/>
    <w:rsid w:val="00976DA2"/>
    <w:pPr>
      <w:spacing w:before="200" w:after="100" w:afterAutospacing="1"/>
      <w:ind w:firstLine="480"/>
      <w:jc w:val="both"/>
    </w:pPr>
    <w:rPr>
      <w:sz w:val="18"/>
      <w:szCs w:val="18"/>
    </w:rPr>
  </w:style>
  <w:style w:type="character" w:customStyle="1" w:styleId="ParaNumChar1">
    <w:name w:val="ParaNum Char1"/>
    <w:rsid w:val="00976DA2"/>
    <w:rPr>
      <w:snapToGrid w:val="0"/>
      <w:kern w:val="28"/>
      <w:sz w:val="22"/>
    </w:rPr>
  </w:style>
  <w:style w:type="paragraph" w:styleId="TOCHeading">
    <w:name w:val="TOC Heading"/>
    <w:basedOn w:val="Heading1"/>
    <w:next w:val="Normal"/>
    <w:uiPriority w:val="39"/>
    <w:unhideWhenUsed/>
    <w:qFormat/>
    <w:rsid w:val="00976D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uiPriority w:val="22"/>
    <w:qFormat/>
    <w:rsid w:val="00976DA2"/>
    <w:rPr>
      <w:b/>
      <w:bCs/>
    </w:rPr>
  </w:style>
  <w:style w:type="paragraph" w:customStyle="1" w:styleId="RuleNum">
    <w:name w:val="Rule Num"/>
    <w:basedOn w:val="Normal"/>
    <w:rsid w:val="00976DA2"/>
    <w:pPr>
      <w:numPr>
        <w:numId w:val="8"/>
      </w:numPr>
      <w:tabs>
        <w:tab w:val="left" w:pos="0"/>
        <w:tab w:val="left" w:pos="270"/>
        <w:tab w:val="left" w:pos="990"/>
        <w:tab w:val="left" w:pos="2160"/>
        <w:tab w:val="left" w:pos="4320"/>
      </w:tabs>
      <w:suppressAutoHyphens/>
      <w:spacing w:after="120"/>
      <w:jc w:val="both"/>
    </w:pPr>
    <w:rPr>
      <w:rFonts w:ascii="Times" w:hAnsi="Times"/>
      <w:spacing w:val="-3"/>
    </w:rPr>
  </w:style>
  <w:style w:type="character" w:customStyle="1" w:styleId="FootnoteTextChar1Char2Char1">
    <w:name w:val="Footnote Text Char1 Char2 Char1"/>
    <w:aliases w:val="Footnote Text Char Char2 Char Char1,Footnote Text Char1 Char2 Char Char Char1,Footnote Text Char Char2 Char Char Char Char1,Footnote Text Char1 Char2 Char Char Char Char Char1,footnote text Char,fn Char"/>
    <w:semiHidden/>
    <w:rsid w:val="00976DA2"/>
    <w:rPr>
      <w:rFonts w:ascii="Times New Roman" w:eastAsia="Times New Roman" w:hAnsi="Times New Roman" w:cs="Times New Roman"/>
      <w:sz w:val="20"/>
      <w:szCs w:val="20"/>
    </w:rPr>
  </w:style>
  <w:style w:type="character" w:customStyle="1" w:styleId="apple-converted-space">
    <w:name w:val="apple-converted-space"/>
    <w:rsid w:val="00976DA2"/>
  </w:style>
  <w:style w:type="character" w:styleId="CommentReference">
    <w:name w:val="annotation reference"/>
    <w:rsid w:val="00976DA2"/>
    <w:rPr>
      <w:sz w:val="16"/>
      <w:szCs w:val="16"/>
    </w:rPr>
  </w:style>
  <w:style w:type="paragraph" w:styleId="CommentText">
    <w:name w:val="annotation text"/>
    <w:basedOn w:val="Normal"/>
    <w:link w:val="CommentTextChar"/>
    <w:rsid w:val="00976DA2"/>
    <w:pPr>
      <w:spacing w:after="120"/>
      <w:jc w:val="both"/>
    </w:pPr>
    <w:rPr>
      <w:sz w:val="20"/>
    </w:rPr>
  </w:style>
  <w:style w:type="character" w:customStyle="1" w:styleId="CommentTextChar">
    <w:name w:val="Comment Text Char"/>
    <w:link w:val="CommentText"/>
    <w:rsid w:val="00976DA2"/>
    <w:rPr>
      <w:snapToGrid w:val="0"/>
      <w:kern w:val="28"/>
    </w:rPr>
  </w:style>
  <w:style w:type="paragraph" w:styleId="CommentSubject">
    <w:name w:val="annotation subject"/>
    <w:basedOn w:val="CommentText"/>
    <w:next w:val="CommentText"/>
    <w:link w:val="CommentSubjectChar"/>
    <w:rsid w:val="00976DA2"/>
    <w:rPr>
      <w:b/>
      <w:bCs/>
    </w:rPr>
  </w:style>
  <w:style w:type="character" w:customStyle="1" w:styleId="CommentSubjectChar">
    <w:name w:val="Comment Subject Char"/>
    <w:link w:val="CommentSubject"/>
    <w:rsid w:val="00976DA2"/>
    <w:rPr>
      <w:b/>
      <w:bCs/>
      <w:snapToGrid w:val="0"/>
      <w:kern w:val="28"/>
    </w:rPr>
  </w:style>
  <w:style w:type="paragraph" w:styleId="Revision">
    <w:name w:val="Revision"/>
    <w:hidden/>
    <w:uiPriority w:val="99"/>
    <w:semiHidden/>
    <w:rsid w:val="00976DA2"/>
    <w:pPr>
      <w:spacing w:after="120"/>
      <w:jc w:val="both"/>
    </w:pPr>
    <w:rPr>
      <w:sz w:val="22"/>
    </w:rPr>
  </w:style>
  <w:style w:type="paragraph" w:customStyle="1" w:styleId="source">
    <w:name w:val="source"/>
    <w:basedOn w:val="Normal"/>
    <w:rsid w:val="00976DA2"/>
    <w:pPr>
      <w:spacing w:before="200" w:after="100" w:afterAutospacing="1"/>
      <w:ind w:firstLine="480"/>
    </w:pPr>
    <w:rPr>
      <w:sz w:val="18"/>
      <w:szCs w:val="18"/>
    </w:rPr>
  </w:style>
  <w:style w:type="paragraph" w:customStyle="1" w:styleId="auth">
    <w:name w:val="auth"/>
    <w:basedOn w:val="Normal"/>
    <w:rsid w:val="00976DA2"/>
    <w:pPr>
      <w:spacing w:before="200" w:after="100" w:afterAutospacing="1"/>
      <w:ind w:firstLine="480"/>
    </w:pPr>
    <w:rPr>
      <w:sz w:val="18"/>
      <w:szCs w:val="18"/>
    </w:rPr>
  </w:style>
  <w:style w:type="character" w:customStyle="1" w:styleId="FootnoteTextChar3CharChar1">
    <w:name w:val="Footnote Text Char3 Char Char1"/>
    <w:aliases w:val="Footnote Text Char4 Char1 Char Char1,Footnote Text Char Char2 Char Char Char2,Footnote Text Char3 Char Char Char2 Char Char1,Footnote Text Char Char2 Char Char Char2 Char Char1,fn Char Char Char2"/>
    <w:semiHidden/>
    <w:locked/>
    <w:rsid w:val="00976DA2"/>
    <w:rPr>
      <w:lang w:val="en-US" w:eastAsia="en-US" w:bidi="ar-SA"/>
    </w:rPr>
  </w:style>
  <w:style w:type="character" w:customStyle="1" w:styleId="sc">
    <w:name w:val="sc"/>
    <w:rsid w:val="00976DA2"/>
  </w:style>
  <w:style w:type="character" w:styleId="Emphasis">
    <w:name w:val="Emphasis"/>
    <w:qFormat/>
    <w:rsid w:val="00455D25"/>
    <w:rPr>
      <w:i/>
      <w:iCs/>
    </w:rPr>
  </w:style>
  <w:style w:type="paragraph" w:customStyle="1" w:styleId="CFRTOCsubpartdivider">
    <w:name w:val="CFR TOC subpart divider"/>
    <w:basedOn w:val="Normal"/>
    <w:next w:val="Normal"/>
    <w:rsid w:val="00C6552D"/>
    <w:pPr>
      <w:keepNext/>
      <w:spacing w:before="120" w:after="120"/>
      <w:contextualSpacing/>
      <w:jc w:val="center"/>
    </w:pPr>
    <w:rPr>
      <w:smallCaps/>
      <w:snapToGrid/>
      <w:kern w:val="0"/>
      <w:szCs w:val="24"/>
    </w:rPr>
  </w:style>
  <w:style w:type="paragraph" w:customStyle="1" w:styleId="AmendatoryLanguage">
    <w:name w:val="Amendatory Language"/>
    <w:basedOn w:val="Normal"/>
    <w:next w:val="Normal"/>
    <w:qFormat/>
    <w:rsid w:val="00C6552D"/>
    <w:pPr>
      <w:widowControl/>
      <w:numPr>
        <w:numId w:val="40"/>
      </w:numPr>
      <w:tabs>
        <w:tab w:val="left" w:pos="360"/>
      </w:tabs>
      <w:spacing w:after="120"/>
    </w:pPr>
    <w:rPr>
      <w:snapToGrid/>
      <w:kern w:val="0"/>
      <w:szCs w:val="24"/>
    </w:rPr>
  </w:style>
  <w:style w:type="table" w:styleId="TableGrid">
    <w:name w:val="Table Grid"/>
    <w:basedOn w:val="TableNormal"/>
    <w:rsid w:val="00E3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C9"/>
    <w:pPr>
      <w:widowControl w:val="0"/>
    </w:pPr>
    <w:rPr>
      <w:snapToGrid w:val="0"/>
      <w:kern w:val="28"/>
      <w:sz w:val="22"/>
    </w:rPr>
  </w:style>
  <w:style w:type="paragraph" w:styleId="Heading1">
    <w:name w:val="heading 1"/>
    <w:basedOn w:val="Normal"/>
    <w:next w:val="ParaNum"/>
    <w:link w:val="Heading1Char"/>
    <w:qFormat/>
    <w:rsid w:val="00BE0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08C9"/>
    <w:pPr>
      <w:keepNext/>
      <w:numPr>
        <w:ilvl w:val="1"/>
        <w:numId w:val="3"/>
      </w:numPr>
      <w:spacing w:after="120"/>
      <w:outlineLvl w:val="1"/>
    </w:pPr>
    <w:rPr>
      <w:b/>
    </w:rPr>
  </w:style>
  <w:style w:type="paragraph" w:styleId="Heading3">
    <w:name w:val="heading 3"/>
    <w:basedOn w:val="Normal"/>
    <w:next w:val="ParaNum"/>
    <w:link w:val="Heading3Char"/>
    <w:qFormat/>
    <w:rsid w:val="00BE08C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E08C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E08C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E08C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E08C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E0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0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0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8C9"/>
  </w:style>
  <w:style w:type="paragraph" w:customStyle="1" w:styleId="ParaNum">
    <w:name w:val="ParaNum"/>
    <w:basedOn w:val="Normal"/>
    <w:link w:val="ParaNumChar"/>
    <w:rsid w:val="00BE08C9"/>
    <w:pPr>
      <w:numPr>
        <w:numId w:val="2"/>
      </w:numPr>
      <w:tabs>
        <w:tab w:val="clear" w:pos="1080"/>
        <w:tab w:val="num" w:pos="1440"/>
      </w:tabs>
      <w:spacing w:after="120"/>
    </w:pPr>
  </w:style>
  <w:style w:type="paragraph" w:styleId="EndnoteText">
    <w:name w:val="endnote text"/>
    <w:basedOn w:val="Normal"/>
    <w:link w:val="EndnoteTextChar"/>
    <w:semiHidden/>
    <w:rsid w:val="00BE08C9"/>
    <w:rPr>
      <w:sz w:val="20"/>
    </w:rPr>
  </w:style>
  <w:style w:type="character" w:styleId="EndnoteReference">
    <w:name w:val="endnote reference"/>
    <w:semiHidden/>
    <w:rsid w:val="00BE08C9"/>
    <w:rPr>
      <w:vertAlign w:val="superscript"/>
    </w:rPr>
  </w:style>
  <w:style w:type="paragraph" w:styleId="FootnoteText">
    <w:name w:val="footnote text"/>
    <w:aliases w:val="Footnote Text Char1 Char,Footnote Text Char Char Char,Footnote Text Char1 Char Char Char,Footnote Text Char Char Char Char1 Char,Footnote Text Char1 Char Char Char Char Char,Footnote Text Char6,Footnote Text Char Char2,f"/>
    <w:link w:val="FootnoteTextChar1"/>
    <w:rsid w:val="00BE08C9"/>
    <w:pPr>
      <w:spacing w:after="120"/>
    </w:pPr>
  </w:style>
  <w:style w:type="character" w:styleId="FootnoteReference">
    <w:name w:val="footnote reference"/>
    <w:aliases w:val="Appel note de bas de p,Footnote Reference/,Style 12,(NECG) Footnote Reference,Style 124,o,fr,Style 3,Style 13,FR,Style 17,Style 6,Style 7,Style 4,Footnote Reference1,Style 34,Style 9,Style 20,callout"/>
    <w:rsid w:val="00BE08C9"/>
    <w:rPr>
      <w:rFonts w:ascii="Times New Roman" w:hAnsi="Times New Roman"/>
      <w:dstrike w:val="0"/>
      <w:color w:val="auto"/>
      <w:sz w:val="20"/>
      <w:vertAlign w:val="superscript"/>
    </w:rPr>
  </w:style>
  <w:style w:type="paragraph" w:styleId="TOC1">
    <w:name w:val="toc 1"/>
    <w:basedOn w:val="Normal"/>
    <w:next w:val="Normal"/>
    <w:rsid w:val="00BE08C9"/>
    <w:pPr>
      <w:tabs>
        <w:tab w:val="left" w:pos="360"/>
        <w:tab w:val="right" w:leader="dot" w:pos="9360"/>
      </w:tabs>
      <w:suppressAutoHyphens/>
      <w:ind w:left="360" w:right="720" w:hanging="360"/>
    </w:pPr>
    <w:rPr>
      <w:caps/>
      <w:noProof/>
    </w:rPr>
  </w:style>
  <w:style w:type="paragraph" w:styleId="TOC2">
    <w:name w:val="toc 2"/>
    <w:basedOn w:val="Normal"/>
    <w:next w:val="Normal"/>
    <w:rsid w:val="00BE08C9"/>
    <w:pPr>
      <w:tabs>
        <w:tab w:val="left" w:pos="720"/>
        <w:tab w:val="right" w:leader="dot" w:pos="9360"/>
      </w:tabs>
      <w:suppressAutoHyphens/>
      <w:ind w:left="720" w:right="720" w:hanging="360"/>
    </w:pPr>
    <w:rPr>
      <w:noProof/>
    </w:rPr>
  </w:style>
  <w:style w:type="paragraph" w:styleId="TOC3">
    <w:name w:val="toc 3"/>
    <w:basedOn w:val="Normal"/>
    <w:next w:val="Normal"/>
    <w:rsid w:val="00BE08C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E08C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E0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0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0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0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0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08C9"/>
    <w:pPr>
      <w:tabs>
        <w:tab w:val="right" w:pos="9360"/>
      </w:tabs>
      <w:suppressAutoHyphens/>
    </w:pPr>
  </w:style>
  <w:style w:type="character" w:customStyle="1" w:styleId="EquationCaption">
    <w:name w:val="_Equation Caption"/>
    <w:rsid w:val="00BE08C9"/>
  </w:style>
  <w:style w:type="paragraph" w:styleId="Header">
    <w:name w:val="header"/>
    <w:basedOn w:val="Normal"/>
    <w:link w:val="HeaderChar"/>
    <w:autoRedefine/>
    <w:rsid w:val="00BE08C9"/>
    <w:pPr>
      <w:tabs>
        <w:tab w:val="center" w:pos="4680"/>
        <w:tab w:val="right" w:pos="9360"/>
      </w:tabs>
    </w:pPr>
    <w:rPr>
      <w:b/>
    </w:rPr>
  </w:style>
  <w:style w:type="paragraph" w:styleId="Footer">
    <w:name w:val="footer"/>
    <w:basedOn w:val="Normal"/>
    <w:link w:val="FooterChar"/>
    <w:rsid w:val="00BE08C9"/>
    <w:pPr>
      <w:tabs>
        <w:tab w:val="center" w:pos="4320"/>
        <w:tab w:val="right" w:pos="8640"/>
      </w:tabs>
    </w:pPr>
  </w:style>
  <w:style w:type="character" w:styleId="PageNumber">
    <w:name w:val="page number"/>
    <w:basedOn w:val="DefaultParagraphFont"/>
    <w:rsid w:val="00BE08C9"/>
  </w:style>
  <w:style w:type="paragraph" w:styleId="BlockText">
    <w:name w:val="Block Text"/>
    <w:basedOn w:val="Normal"/>
    <w:rsid w:val="00BE08C9"/>
    <w:pPr>
      <w:spacing w:after="240"/>
      <w:ind w:left="1440" w:right="1440"/>
    </w:pPr>
  </w:style>
  <w:style w:type="paragraph" w:customStyle="1" w:styleId="Paratitle">
    <w:name w:val="Para title"/>
    <w:basedOn w:val="Normal"/>
    <w:rsid w:val="00BE08C9"/>
    <w:pPr>
      <w:tabs>
        <w:tab w:val="center" w:pos="9270"/>
      </w:tabs>
      <w:spacing w:after="240"/>
    </w:pPr>
    <w:rPr>
      <w:spacing w:val="-2"/>
    </w:rPr>
  </w:style>
  <w:style w:type="paragraph" w:customStyle="1" w:styleId="Bullet">
    <w:name w:val="Bullet"/>
    <w:basedOn w:val="Normal"/>
    <w:rsid w:val="00BE08C9"/>
    <w:pPr>
      <w:tabs>
        <w:tab w:val="left" w:pos="2160"/>
      </w:tabs>
      <w:spacing w:after="220"/>
      <w:ind w:left="2160" w:hanging="720"/>
    </w:pPr>
  </w:style>
  <w:style w:type="paragraph" w:customStyle="1" w:styleId="TableFormat">
    <w:name w:val="TableFormat"/>
    <w:basedOn w:val="Bullet"/>
    <w:rsid w:val="00BE08C9"/>
    <w:pPr>
      <w:tabs>
        <w:tab w:val="clear" w:pos="2160"/>
        <w:tab w:val="left" w:pos="5040"/>
      </w:tabs>
      <w:ind w:left="5040" w:hanging="3600"/>
    </w:pPr>
  </w:style>
  <w:style w:type="paragraph" w:customStyle="1" w:styleId="TOCTitle">
    <w:name w:val="TOC Title"/>
    <w:basedOn w:val="Normal"/>
    <w:rsid w:val="00BE0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08C9"/>
    <w:pPr>
      <w:jc w:val="center"/>
    </w:pPr>
    <w:rPr>
      <w:rFonts w:ascii="Times New Roman Bold" w:hAnsi="Times New Roman Bold"/>
      <w:b/>
      <w:bCs/>
      <w:caps/>
      <w:szCs w:val="22"/>
    </w:rPr>
  </w:style>
  <w:style w:type="character" w:styleId="Hyperlink">
    <w:name w:val="Hyperlink"/>
    <w:rsid w:val="00BE08C9"/>
    <w:rPr>
      <w:color w:val="0000FF"/>
      <w:u w:val="single"/>
    </w:rPr>
  </w:style>
  <w:style w:type="character" w:customStyle="1" w:styleId="Heading1Char">
    <w:name w:val="Heading 1 Char"/>
    <w:link w:val="Heading1"/>
    <w:rsid w:val="00976DA2"/>
    <w:rPr>
      <w:rFonts w:ascii="Times New Roman Bold" w:hAnsi="Times New Roman Bold"/>
      <w:b/>
      <w:caps/>
      <w:snapToGrid w:val="0"/>
      <w:kern w:val="28"/>
      <w:sz w:val="22"/>
    </w:rPr>
  </w:style>
  <w:style w:type="character" w:customStyle="1" w:styleId="Heading2Char">
    <w:name w:val="Heading 2 Char"/>
    <w:link w:val="Heading2"/>
    <w:rsid w:val="00C06785"/>
    <w:rPr>
      <w:b/>
      <w:snapToGrid w:val="0"/>
      <w:kern w:val="28"/>
      <w:sz w:val="22"/>
    </w:rPr>
  </w:style>
  <w:style w:type="character" w:customStyle="1" w:styleId="Heading3Char">
    <w:name w:val="Heading 3 Char"/>
    <w:link w:val="Heading3"/>
    <w:rsid w:val="00976DA2"/>
    <w:rPr>
      <w:b/>
      <w:snapToGrid w:val="0"/>
      <w:kern w:val="28"/>
      <w:sz w:val="22"/>
    </w:rPr>
  </w:style>
  <w:style w:type="character" w:customStyle="1" w:styleId="Heading4Char">
    <w:name w:val="Heading 4 Char"/>
    <w:link w:val="Heading4"/>
    <w:rsid w:val="00976DA2"/>
    <w:rPr>
      <w:b/>
      <w:snapToGrid w:val="0"/>
      <w:kern w:val="28"/>
      <w:sz w:val="22"/>
    </w:rPr>
  </w:style>
  <w:style w:type="character" w:customStyle="1" w:styleId="Heading5Char">
    <w:name w:val="Heading 5 Char"/>
    <w:link w:val="Heading5"/>
    <w:rsid w:val="00976DA2"/>
    <w:rPr>
      <w:b/>
      <w:snapToGrid w:val="0"/>
      <w:kern w:val="28"/>
      <w:sz w:val="22"/>
    </w:rPr>
  </w:style>
  <w:style w:type="character" w:customStyle="1" w:styleId="Heading6Char">
    <w:name w:val="Heading 6 Char"/>
    <w:link w:val="Heading6"/>
    <w:rsid w:val="00976DA2"/>
    <w:rPr>
      <w:b/>
      <w:snapToGrid w:val="0"/>
      <w:kern w:val="28"/>
      <w:sz w:val="22"/>
    </w:rPr>
  </w:style>
  <w:style w:type="character" w:customStyle="1" w:styleId="Heading7Char">
    <w:name w:val="Heading 7 Char"/>
    <w:link w:val="Heading7"/>
    <w:rsid w:val="00976DA2"/>
    <w:rPr>
      <w:b/>
      <w:snapToGrid w:val="0"/>
      <w:kern w:val="28"/>
      <w:sz w:val="22"/>
    </w:rPr>
  </w:style>
  <w:style w:type="character" w:customStyle="1" w:styleId="Heading8Char">
    <w:name w:val="Heading 8 Char"/>
    <w:link w:val="Heading8"/>
    <w:rsid w:val="00976DA2"/>
    <w:rPr>
      <w:b/>
      <w:snapToGrid w:val="0"/>
      <w:kern w:val="28"/>
      <w:sz w:val="22"/>
    </w:rPr>
  </w:style>
  <w:style w:type="character" w:customStyle="1" w:styleId="Heading9Char">
    <w:name w:val="Heading 9 Char"/>
    <w:link w:val="Heading9"/>
    <w:rsid w:val="00976DA2"/>
    <w:rPr>
      <w:b/>
      <w:snapToGrid w:val="0"/>
      <w:kern w:val="28"/>
      <w:sz w:val="22"/>
    </w:rPr>
  </w:style>
  <w:style w:type="numbering" w:customStyle="1" w:styleId="NoList1">
    <w:name w:val="No List1"/>
    <w:next w:val="NoList"/>
    <w:uiPriority w:val="99"/>
    <w:semiHidden/>
    <w:unhideWhenUsed/>
    <w:rsid w:val="00976DA2"/>
  </w:style>
  <w:style w:type="character" w:customStyle="1" w:styleId="EndnoteTextChar">
    <w:name w:val="Endnote Text Char"/>
    <w:link w:val="EndnoteText"/>
    <w:semiHidden/>
    <w:rsid w:val="00976DA2"/>
    <w:rPr>
      <w:snapToGrid w:val="0"/>
      <w:kern w:val="28"/>
    </w:rPr>
  </w:style>
  <w:style w:type="character" w:customStyle="1" w:styleId="FootnoteTextChar">
    <w:name w:val="Footnote Text Char"/>
    <w:aliases w:val="Footnote Text Char1 Char Char1,Footnote Text Char Char Char Char1,Footnote Text Char1 Char Char Char Char1,Footnote Text Char Char Char Char1 Char Char1,Footnote Text Char1 Char Char Char Char Char Char1,Footnote Text Char6 Char1"/>
    <w:uiPriority w:val="99"/>
    <w:semiHidden/>
    <w:rsid w:val="00976DA2"/>
    <w:rPr>
      <w:sz w:val="20"/>
      <w:szCs w:val="20"/>
    </w:rPr>
  </w:style>
  <w:style w:type="character" w:customStyle="1" w:styleId="HeaderChar">
    <w:name w:val="Header Char"/>
    <w:link w:val="Header"/>
    <w:rsid w:val="007B0905"/>
    <w:rPr>
      <w:b/>
      <w:snapToGrid w:val="0"/>
      <w:kern w:val="28"/>
      <w:sz w:val="22"/>
    </w:rPr>
  </w:style>
  <w:style w:type="character" w:customStyle="1" w:styleId="FooterChar">
    <w:name w:val="Footer Char"/>
    <w:link w:val="Footer"/>
    <w:rsid w:val="00976DA2"/>
    <w:rPr>
      <w:snapToGrid w:val="0"/>
      <w:kern w:val="28"/>
      <w:sz w:val="22"/>
    </w:rPr>
  </w:style>
  <w:style w:type="paragraph" w:styleId="Caption">
    <w:name w:val="caption"/>
    <w:basedOn w:val="Normal"/>
    <w:next w:val="Normal"/>
    <w:qFormat/>
    <w:rsid w:val="00976DA2"/>
    <w:pPr>
      <w:spacing w:before="120" w:after="120"/>
      <w:jc w:val="both"/>
    </w:pPr>
    <w:rPr>
      <w:b/>
    </w:rPr>
  </w:style>
  <w:style w:type="character" w:customStyle="1" w:styleId="FootnoteTextChar1">
    <w:name w:val="Footnote Text Char1"/>
    <w:aliases w:val="Footnote Text Char1 Char Char,Footnote Text Char Char Char Char,Footnote Text Char1 Char Char Char Char,Footnote Text Char Char Char Char1 Char Char,Footnote Text Char1 Char Char Char Char Char Char,Footnote Text Char6 Char,f Char"/>
    <w:link w:val="FootnoteText"/>
    <w:rsid w:val="00976DA2"/>
  </w:style>
  <w:style w:type="character" w:customStyle="1" w:styleId="ParaNumChar">
    <w:name w:val="ParaNum Char"/>
    <w:link w:val="ParaNum"/>
    <w:rsid w:val="00976DA2"/>
    <w:rPr>
      <w:snapToGrid w:val="0"/>
      <w:kern w:val="28"/>
      <w:sz w:val="22"/>
    </w:rPr>
  </w:style>
  <w:style w:type="paragraph" w:customStyle="1" w:styleId="NumberedList">
    <w:name w:val="Numbered List"/>
    <w:basedOn w:val="Normal"/>
    <w:rsid w:val="00976DA2"/>
    <w:pPr>
      <w:numPr>
        <w:numId w:val="7"/>
      </w:numPr>
      <w:tabs>
        <w:tab w:val="clear" w:pos="1080"/>
      </w:tabs>
      <w:spacing w:after="220"/>
      <w:ind w:firstLine="0"/>
      <w:jc w:val="both"/>
    </w:pPr>
  </w:style>
  <w:style w:type="paragraph" w:styleId="Title">
    <w:name w:val="Title"/>
    <w:basedOn w:val="Normal"/>
    <w:link w:val="TitleChar"/>
    <w:qFormat/>
    <w:rsid w:val="00976DA2"/>
    <w:pPr>
      <w:spacing w:after="120"/>
      <w:jc w:val="center"/>
    </w:pPr>
    <w:rPr>
      <w:b/>
    </w:rPr>
  </w:style>
  <w:style w:type="character" w:customStyle="1" w:styleId="TitleChar">
    <w:name w:val="Title Char"/>
    <w:link w:val="Title"/>
    <w:rsid w:val="00976DA2"/>
    <w:rPr>
      <w:b/>
      <w:snapToGrid w:val="0"/>
      <w:kern w:val="28"/>
      <w:sz w:val="22"/>
    </w:rPr>
  </w:style>
  <w:style w:type="paragraph" w:customStyle="1" w:styleId="Default">
    <w:name w:val="Default"/>
    <w:rsid w:val="00976DA2"/>
    <w:pPr>
      <w:autoSpaceDE w:val="0"/>
      <w:autoSpaceDN w:val="0"/>
      <w:adjustRightInd w:val="0"/>
      <w:spacing w:after="120"/>
      <w:jc w:val="both"/>
    </w:pPr>
    <w:rPr>
      <w:color w:val="000000"/>
      <w:sz w:val="24"/>
      <w:szCs w:val="24"/>
    </w:rPr>
  </w:style>
  <w:style w:type="paragraph" w:styleId="ListParagraph">
    <w:name w:val="List Paragraph"/>
    <w:basedOn w:val="Normal"/>
    <w:uiPriority w:val="34"/>
    <w:qFormat/>
    <w:rsid w:val="00976DA2"/>
    <w:pPr>
      <w:spacing w:after="200" w:line="276" w:lineRule="auto"/>
      <w:ind w:left="720"/>
      <w:contextualSpacing/>
      <w:jc w:val="both"/>
    </w:pPr>
    <w:rPr>
      <w:rFonts w:ascii="Calibri" w:eastAsia="Calibri" w:hAnsi="Calibri"/>
    </w:rPr>
  </w:style>
  <w:style w:type="character" w:styleId="FollowedHyperlink">
    <w:name w:val="FollowedHyperlink"/>
    <w:uiPriority w:val="99"/>
    <w:unhideWhenUsed/>
    <w:rsid w:val="00976DA2"/>
    <w:rPr>
      <w:color w:val="800080"/>
      <w:u w:val="single"/>
    </w:rPr>
  </w:style>
  <w:style w:type="paragraph" w:styleId="BalloonText">
    <w:name w:val="Balloon Text"/>
    <w:basedOn w:val="Normal"/>
    <w:link w:val="BalloonTextChar"/>
    <w:rsid w:val="00976DA2"/>
    <w:pPr>
      <w:spacing w:after="120"/>
      <w:jc w:val="both"/>
    </w:pPr>
    <w:rPr>
      <w:rFonts w:ascii="Tahoma" w:hAnsi="Tahoma" w:cs="Tahoma"/>
      <w:sz w:val="16"/>
      <w:szCs w:val="16"/>
    </w:rPr>
  </w:style>
  <w:style w:type="character" w:customStyle="1" w:styleId="BalloonTextChar">
    <w:name w:val="Balloon Text Char"/>
    <w:link w:val="BalloonText"/>
    <w:rsid w:val="00976DA2"/>
    <w:rPr>
      <w:rFonts w:ascii="Tahoma" w:hAnsi="Tahoma" w:cs="Tahoma"/>
      <w:snapToGrid w:val="0"/>
      <w:kern w:val="28"/>
      <w:sz w:val="16"/>
      <w:szCs w:val="16"/>
    </w:rPr>
  </w:style>
  <w:style w:type="paragraph" w:styleId="NormalWeb">
    <w:name w:val="Normal (Web)"/>
    <w:basedOn w:val="Normal"/>
    <w:uiPriority w:val="99"/>
    <w:unhideWhenUsed/>
    <w:rsid w:val="00976DA2"/>
    <w:pPr>
      <w:spacing w:before="100" w:beforeAutospacing="1" w:after="100" w:afterAutospacing="1"/>
      <w:ind w:firstLine="480"/>
      <w:jc w:val="both"/>
    </w:pPr>
    <w:rPr>
      <w:sz w:val="24"/>
      <w:szCs w:val="24"/>
    </w:rPr>
  </w:style>
  <w:style w:type="paragraph" w:customStyle="1" w:styleId="cita">
    <w:name w:val="cita"/>
    <w:basedOn w:val="Normal"/>
    <w:rsid w:val="00976DA2"/>
    <w:pPr>
      <w:spacing w:before="200" w:after="100" w:afterAutospacing="1"/>
      <w:jc w:val="both"/>
    </w:pPr>
    <w:rPr>
      <w:sz w:val="18"/>
      <w:szCs w:val="18"/>
    </w:rPr>
  </w:style>
  <w:style w:type="character" w:customStyle="1" w:styleId="su1">
    <w:name w:val="su1"/>
    <w:rsid w:val="00976DA2"/>
    <w:rPr>
      <w:smallCaps w:val="0"/>
      <w:sz w:val="17"/>
      <w:szCs w:val="17"/>
      <w:vertAlign w:val="superscript"/>
    </w:rPr>
  </w:style>
  <w:style w:type="paragraph" w:customStyle="1" w:styleId="note">
    <w:name w:val="note"/>
    <w:basedOn w:val="Normal"/>
    <w:rsid w:val="00976DA2"/>
    <w:pPr>
      <w:spacing w:before="200" w:after="100" w:afterAutospacing="1"/>
      <w:ind w:firstLine="480"/>
      <w:jc w:val="both"/>
    </w:pPr>
    <w:rPr>
      <w:sz w:val="18"/>
      <w:szCs w:val="18"/>
    </w:rPr>
  </w:style>
  <w:style w:type="character" w:customStyle="1" w:styleId="ParaNumChar1">
    <w:name w:val="ParaNum Char1"/>
    <w:rsid w:val="00976DA2"/>
    <w:rPr>
      <w:snapToGrid w:val="0"/>
      <w:kern w:val="28"/>
      <w:sz w:val="22"/>
    </w:rPr>
  </w:style>
  <w:style w:type="paragraph" w:styleId="TOCHeading">
    <w:name w:val="TOC Heading"/>
    <w:basedOn w:val="Heading1"/>
    <w:next w:val="Normal"/>
    <w:uiPriority w:val="39"/>
    <w:unhideWhenUsed/>
    <w:qFormat/>
    <w:rsid w:val="00976D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uiPriority w:val="22"/>
    <w:qFormat/>
    <w:rsid w:val="00976DA2"/>
    <w:rPr>
      <w:b/>
      <w:bCs/>
    </w:rPr>
  </w:style>
  <w:style w:type="paragraph" w:customStyle="1" w:styleId="RuleNum">
    <w:name w:val="Rule Num"/>
    <w:basedOn w:val="Normal"/>
    <w:rsid w:val="00976DA2"/>
    <w:pPr>
      <w:numPr>
        <w:numId w:val="8"/>
      </w:numPr>
      <w:tabs>
        <w:tab w:val="left" w:pos="0"/>
        <w:tab w:val="left" w:pos="270"/>
        <w:tab w:val="left" w:pos="990"/>
        <w:tab w:val="left" w:pos="2160"/>
        <w:tab w:val="left" w:pos="4320"/>
      </w:tabs>
      <w:suppressAutoHyphens/>
      <w:spacing w:after="120"/>
      <w:jc w:val="both"/>
    </w:pPr>
    <w:rPr>
      <w:rFonts w:ascii="Times" w:hAnsi="Times"/>
      <w:spacing w:val="-3"/>
    </w:rPr>
  </w:style>
  <w:style w:type="character" w:customStyle="1" w:styleId="FootnoteTextChar1Char2Char1">
    <w:name w:val="Footnote Text Char1 Char2 Char1"/>
    <w:aliases w:val="Footnote Text Char Char2 Char Char1,Footnote Text Char1 Char2 Char Char Char1,Footnote Text Char Char2 Char Char Char Char1,Footnote Text Char1 Char2 Char Char Char Char Char1,footnote text Char,fn Char"/>
    <w:semiHidden/>
    <w:rsid w:val="00976DA2"/>
    <w:rPr>
      <w:rFonts w:ascii="Times New Roman" w:eastAsia="Times New Roman" w:hAnsi="Times New Roman" w:cs="Times New Roman"/>
      <w:sz w:val="20"/>
      <w:szCs w:val="20"/>
    </w:rPr>
  </w:style>
  <w:style w:type="character" w:customStyle="1" w:styleId="apple-converted-space">
    <w:name w:val="apple-converted-space"/>
    <w:rsid w:val="00976DA2"/>
  </w:style>
  <w:style w:type="character" w:styleId="CommentReference">
    <w:name w:val="annotation reference"/>
    <w:rsid w:val="00976DA2"/>
    <w:rPr>
      <w:sz w:val="16"/>
      <w:szCs w:val="16"/>
    </w:rPr>
  </w:style>
  <w:style w:type="paragraph" w:styleId="CommentText">
    <w:name w:val="annotation text"/>
    <w:basedOn w:val="Normal"/>
    <w:link w:val="CommentTextChar"/>
    <w:rsid w:val="00976DA2"/>
    <w:pPr>
      <w:spacing w:after="120"/>
      <w:jc w:val="both"/>
    </w:pPr>
    <w:rPr>
      <w:sz w:val="20"/>
    </w:rPr>
  </w:style>
  <w:style w:type="character" w:customStyle="1" w:styleId="CommentTextChar">
    <w:name w:val="Comment Text Char"/>
    <w:link w:val="CommentText"/>
    <w:rsid w:val="00976DA2"/>
    <w:rPr>
      <w:snapToGrid w:val="0"/>
      <w:kern w:val="28"/>
    </w:rPr>
  </w:style>
  <w:style w:type="paragraph" w:styleId="CommentSubject">
    <w:name w:val="annotation subject"/>
    <w:basedOn w:val="CommentText"/>
    <w:next w:val="CommentText"/>
    <w:link w:val="CommentSubjectChar"/>
    <w:rsid w:val="00976DA2"/>
    <w:rPr>
      <w:b/>
      <w:bCs/>
    </w:rPr>
  </w:style>
  <w:style w:type="character" w:customStyle="1" w:styleId="CommentSubjectChar">
    <w:name w:val="Comment Subject Char"/>
    <w:link w:val="CommentSubject"/>
    <w:rsid w:val="00976DA2"/>
    <w:rPr>
      <w:b/>
      <w:bCs/>
      <w:snapToGrid w:val="0"/>
      <w:kern w:val="28"/>
    </w:rPr>
  </w:style>
  <w:style w:type="paragraph" w:styleId="Revision">
    <w:name w:val="Revision"/>
    <w:hidden/>
    <w:uiPriority w:val="99"/>
    <w:semiHidden/>
    <w:rsid w:val="00976DA2"/>
    <w:pPr>
      <w:spacing w:after="120"/>
      <w:jc w:val="both"/>
    </w:pPr>
    <w:rPr>
      <w:sz w:val="22"/>
    </w:rPr>
  </w:style>
  <w:style w:type="paragraph" w:customStyle="1" w:styleId="source">
    <w:name w:val="source"/>
    <w:basedOn w:val="Normal"/>
    <w:rsid w:val="00976DA2"/>
    <w:pPr>
      <w:spacing w:before="200" w:after="100" w:afterAutospacing="1"/>
      <w:ind w:firstLine="480"/>
    </w:pPr>
    <w:rPr>
      <w:sz w:val="18"/>
      <w:szCs w:val="18"/>
    </w:rPr>
  </w:style>
  <w:style w:type="paragraph" w:customStyle="1" w:styleId="auth">
    <w:name w:val="auth"/>
    <w:basedOn w:val="Normal"/>
    <w:rsid w:val="00976DA2"/>
    <w:pPr>
      <w:spacing w:before="200" w:after="100" w:afterAutospacing="1"/>
      <w:ind w:firstLine="480"/>
    </w:pPr>
    <w:rPr>
      <w:sz w:val="18"/>
      <w:szCs w:val="18"/>
    </w:rPr>
  </w:style>
  <w:style w:type="character" w:customStyle="1" w:styleId="FootnoteTextChar3CharChar1">
    <w:name w:val="Footnote Text Char3 Char Char1"/>
    <w:aliases w:val="Footnote Text Char4 Char1 Char Char1,Footnote Text Char Char2 Char Char Char2,Footnote Text Char3 Char Char Char2 Char Char1,Footnote Text Char Char2 Char Char Char2 Char Char1,fn Char Char Char2"/>
    <w:semiHidden/>
    <w:locked/>
    <w:rsid w:val="00976DA2"/>
    <w:rPr>
      <w:lang w:val="en-US" w:eastAsia="en-US" w:bidi="ar-SA"/>
    </w:rPr>
  </w:style>
  <w:style w:type="character" w:customStyle="1" w:styleId="sc">
    <w:name w:val="sc"/>
    <w:rsid w:val="00976DA2"/>
  </w:style>
  <w:style w:type="character" w:styleId="Emphasis">
    <w:name w:val="Emphasis"/>
    <w:qFormat/>
    <w:rsid w:val="00455D25"/>
    <w:rPr>
      <w:i/>
      <w:iCs/>
    </w:rPr>
  </w:style>
  <w:style w:type="paragraph" w:customStyle="1" w:styleId="CFRTOCsubpartdivider">
    <w:name w:val="CFR TOC subpart divider"/>
    <w:basedOn w:val="Normal"/>
    <w:next w:val="Normal"/>
    <w:rsid w:val="00C6552D"/>
    <w:pPr>
      <w:keepNext/>
      <w:spacing w:before="120" w:after="120"/>
      <w:contextualSpacing/>
      <w:jc w:val="center"/>
    </w:pPr>
    <w:rPr>
      <w:smallCaps/>
      <w:snapToGrid/>
      <w:kern w:val="0"/>
      <w:szCs w:val="24"/>
    </w:rPr>
  </w:style>
  <w:style w:type="paragraph" w:customStyle="1" w:styleId="AmendatoryLanguage">
    <w:name w:val="Amendatory Language"/>
    <w:basedOn w:val="Normal"/>
    <w:next w:val="Normal"/>
    <w:qFormat/>
    <w:rsid w:val="00C6552D"/>
    <w:pPr>
      <w:widowControl/>
      <w:numPr>
        <w:numId w:val="40"/>
      </w:numPr>
      <w:tabs>
        <w:tab w:val="left" w:pos="360"/>
      </w:tabs>
      <w:spacing w:after="120"/>
    </w:pPr>
    <w:rPr>
      <w:snapToGrid/>
      <w:kern w:val="0"/>
      <w:szCs w:val="24"/>
    </w:rPr>
  </w:style>
  <w:style w:type="table" w:styleId="TableGrid">
    <w:name w:val="Table Grid"/>
    <w:basedOn w:val="TableNormal"/>
    <w:rsid w:val="00E3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2777">
      <w:bodyDiv w:val="1"/>
      <w:marLeft w:val="0"/>
      <w:marRight w:val="0"/>
      <w:marTop w:val="0"/>
      <w:marBottom w:val="0"/>
      <w:divBdr>
        <w:top w:val="none" w:sz="0" w:space="0" w:color="auto"/>
        <w:left w:val="none" w:sz="0" w:space="0" w:color="auto"/>
        <w:bottom w:val="none" w:sz="0" w:space="0" w:color="auto"/>
        <w:right w:val="none" w:sz="0" w:space="0" w:color="auto"/>
      </w:divBdr>
    </w:div>
    <w:div w:id="259605461">
      <w:bodyDiv w:val="1"/>
      <w:marLeft w:val="0"/>
      <w:marRight w:val="0"/>
      <w:marTop w:val="0"/>
      <w:marBottom w:val="0"/>
      <w:divBdr>
        <w:top w:val="none" w:sz="0" w:space="0" w:color="auto"/>
        <w:left w:val="none" w:sz="0" w:space="0" w:color="auto"/>
        <w:bottom w:val="none" w:sz="0" w:space="0" w:color="auto"/>
        <w:right w:val="none" w:sz="0" w:space="0" w:color="auto"/>
      </w:divBdr>
    </w:div>
    <w:div w:id="585040016">
      <w:bodyDiv w:val="1"/>
      <w:marLeft w:val="0"/>
      <w:marRight w:val="0"/>
      <w:marTop w:val="0"/>
      <w:marBottom w:val="0"/>
      <w:divBdr>
        <w:top w:val="none" w:sz="0" w:space="0" w:color="auto"/>
        <w:left w:val="none" w:sz="0" w:space="0" w:color="auto"/>
        <w:bottom w:val="none" w:sz="0" w:space="0" w:color="auto"/>
        <w:right w:val="none" w:sz="0" w:space="0" w:color="auto"/>
      </w:divBdr>
    </w:div>
    <w:div w:id="585573902">
      <w:bodyDiv w:val="1"/>
      <w:marLeft w:val="0"/>
      <w:marRight w:val="0"/>
      <w:marTop w:val="0"/>
      <w:marBottom w:val="0"/>
      <w:divBdr>
        <w:top w:val="none" w:sz="0" w:space="0" w:color="auto"/>
        <w:left w:val="none" w:sz="0" w:space="0" w:color="auto"/>
        <w:bottom w:val="none" w:sz="0" w:space="0" w:color="auto"/>
        <w:right w:val="none" w:sz="0" w:space="0" w:color="auto"/>
      </w:divBdr>
    </w:div>
    <w:div w:id="798374090">
      <w:bodyDiv w:val="1"/>
      <w:marLeft w:val="0"/>
      <w:marRight w:val="0"/>
      <w:marTop w:val="0"/>
      <w:marBottom w:val="0"/>
      <w:divBdr>
        <w:top w:val="none" w:sz="0" w:space="0" w:color="auto"/>
        <w:left w:val="none" w:sz="0" w:space="0" w:color="auto"/>
        <w:bottom w:val="none" w:sz="0" w:space="0" w:color="auto"/>
        <w:right w:val="none" w:sz="0" w:space="0" w:color="auto"/>
      </w:divBdr>
    </w:div>
    <w:div w:id="996496244">
      <w:bodyDiv w:val="1"/>
      <w:marLeft w:val="0"/>
      <w:marRight w:val="0"/>
      <w:marTop w:val="0"/>
      <w:marBottom w:val="0"/>
      <w:divBdr>
        <w:top w:val="none" w:sz="0" w:space="0" w:color="auto"/>
        <w:left w:val="none" w:sz="0" w:space="0" w:color="auto"/>
        <w:bottom w:val="none" w:sz="0" w:space="0" w:color="auto"/>
        <w:right w:val="none" w:sz="0" w:space="0" w:color="auto"/>
      </w:divBdr>
    </w:div>
    <w:div w:id="1057046562">
      <w:bodyDiv w:val="1"/>
      <w:marLeft w:val="0"/>
      <w:marRight w:val="0"/>
      <w:marTop w:val="0"/>
      <w:marBottom w:val="0"/>
      <w:divBdr>
        <w:top w:val="none" w:sz="0" w:space="0" w:color="auto"/>
        <w:left w:val="none" w:sz="0" w:space="0" w:color="auto"/>
        <w:bottom w:val="none" w:sz="0" w:space="0" w:color="auto"/>
        <w:right w:val="none" w:sz="0" w:space="0" w:color="auto"/>
      </w:divBdr>
    </w:div>
    <w:div w:id="1104571702">
      <w:bodyDiv w:val="1"/>
      <w:marLeft w:val="0"/>
      <w:marRight w:val="0"/>
      <w:marTop w:val="0"/>
      <w:marBottom w:val="0"/>
      <w:divBdr>
        <w:top w:val="none" w:sz="0" w:space="0" w:color="auto"/>
        <w:left w:val="none" w:sz="0" w:space="0" w:color="auto"/>
        <w:bottom w:val="none" w:sz="0" w:space="0" w:color="auto"/>
        <w:right w:val="none" w:sz="0" w:space="0" w:color="auto"/>
      </w:divBdr>
    </w:div>
    <w:div w:id="1110733954">
      <w:bodyDiv w:val="1"/>
      <w:marLeft w:val="0"/>
      <w:marRight w:val="0"/>
      <w:marTop w:val="0"/>
      <w:marBottom w:val="0"/>
      <w:divBdr>
        <w:top w:val="none" w:sz="0" w:space="0" w:color="auto"/>
        <w:left w:val="none" w:sz="0" w:space="0" w:color="auto"/>
        <w:bottom w:val="none" w:sz="0" w:space="0" w:color="auto"/>
        <w:right w:val="none" w:sz="0" w:space="0" w:color="auto"/>
      </w:divBdr>
    </w:div>
    <w:div w:id="1212691320">
      <w:bodyDiv w:val="1"/>
      <w:marLeft w:val="0"/>
      <w:marRight w:val="0"/>
      <w:marTop w:val="0"/>
      <w:marBottom w:val="0"/>
      <w:divBdr>
        <w:top w:val="none" w:sz="0" w:space="0" w:color="auto"/>
        <w:left w:val="none" w:sz="0" w:space="0" w:color="auto"/>
        <w:bottom w:val="none" w:sz="0" w:space="0" w:color="auto"/>
        <w:right w:val="none" w:sz="0" w:space="0" w:color="auto"/>
      </w:divBdr>
    </w:div>
    <w:div w:id="1529756423">
      <w:bodyDiv w:val="1"/>
      <w:marLeft w:val="0"/>
      <w:marRight w:val="0"/>
      <w:marTop w:val="0"/>
      <w:marBottom w:val="0"/>
      <w:divBdr>
        <w:top w:val="none" w:sz="0" w:space="0" w:color="auto"/>
        <w:left w:val="none" w:sz="0" w:space="0" w:color="auto"/>
        <w:bottom w:val="none" w:sz="0" w:space="0" w:color="auto"/>
        <w:right w:val="none" w:sz="0" w:space="0" w:color="auto"/>
      </w:divBdr>
    </w:div>
    <w:div w:id="1716077840">
      <w:bodyDiv w:val="1"/>
      <w:marLeft w:val="0"/>
      <w:marRight w:val="0"/>
      <w:marTop w:val="0"/>
      <w:marBottom w:val="0"/>
      <w:divBdr>
        <w:top w:val="none" w:sz="0" w:space="0" w:color="auto"/>
        <w:left w:val="none" w:sz="0" w:space="0" w:color="auto"/>
        <w:bottom w:val="none" w:sz="0" w:space="0" w:color="auto"/>
        <w:right w:val="none" w:sz="0" w:space="0" w:color="auto"/>
      </w:divBdr>
    </w:div>
    <w:div w:id="1790589322">
      <w:bodyDiv w:val="1"/>
      <w:marLeft w:val="0"/>
      <w:marRight w:val="0"/>
      <w:marTop w:val="0"/>
      <w:marBottom w:val="0"/>
      <w:divBdr>
        <w:top w:val="none" w:sz="0" w:space="0" w:color="auto"/>
        <w:left w:val="none" w:sz="0" w:space="0" w:color="auto"/>
        <w:bottom w:val="none" w:sz="0" w:space="0" w:color="auto"/>
        <w:right w:val="none" w:sz="0" w:space="0" w:color="auto"/>
      </w:divBdr>
    </w:div>
    <w:div w:id="1809742870">
      <w:bodyDiv w:val="1"/>
      <w:marLeft w:val="0"/>
      <w:marRight w:val="0"/>
      <w:marTop w:val="0"/>
      <w:marBottom w:val="0"/>
      <w:divBdr>
        <w:top w:val="none" w:sz="0" w:space="0" w:color="auto"/>
        <w:left w:val="none" w:sz="0" w:space="0" w:color="auto"/>
        <w:bottom w:val="none" w:sz="0" w:space="0" w:color="auto"/>
        <w:right w:val="none" w:sz="0" w:space="0" w:color="auto"/>
      </w:divBdr>
    </w:div>
    <w:div w:id="1889099658">
      <w:bodyDiv w:val="1"/>
      <w:marLeft w:val="0"/>
      <w:marRight w:val="0"/>
      <w:marTop w:val="0"/>
      <w:marBottom w:val="0"/>
      <w:divBdr>
        <w:top w:val="none" w:sz="0" w:space="0" w:color="auto"/>
        <w:left w:val="none" w:sz="0" w:space="0" w:color="auto"/>
        <w:bottom w:val="none" w:sz="0" w:space="0" w:color="auto"/>
        <w:right w:val="none" w:sz="0" w:space="0" w:color="auto"/>
      </w:divBdr>
    </w:div>
    <w:div w:id="1972437215">
      <w:bodyDiv w:val="1"/>
      <w:marLeft w:val="0"/>
      <w:marRight w:val="0"/>
      <w:marTop w:val="0"/>
      <w:marBottom w:val="0"/>
      <w:divBdr>
        <w:top w:val="none" w:sz="0" w:space="0" w:color="auto"/>
        <w:left w:val="none" w:sz="0" w:space="0" w:color="auto"/>
        <w:bottom w:val="none" w:sz="0" w:space="0" w:color="auto"/>
        <w:right w:val="none" w:sz="0" w:space="0" w:color="auto"/>
      </w:divBdr>
    </w:div>
    <w:div w:id="1981958323">
      <w:bodyDiv w:val="1"/>
      <w:marLeft w:val="0"/>
      <w:marRight w:val="0"/>
      <w:marTop w:val="0"/>
      <w:marBottom w:val="0"/>
      <w:divBdr>
        <w:top w:val="none" w:sz="0" w:space="0" w:color="auto"/>
        <w:left w:val="none" w:sz="0" w:space="0" w:color="auto"/>
        <w:bottom w:val="none" w:sz="0" w:space="0" w:color="auto"/>
        <w:right w:val="none" w:sz="0" w:space="0" w:color="auto"/>
      </w:divBdr>
    </w:div>
    <w:div w:id="2047364704">
      <w:bodyDiv w:val="1"/>
      <w:marLeft w:val="0"/>
      <w:marRight w:val="0"/>
      <w:marTop w:val="0"/>
      <w:marBottom w:val="0"/>
      <w:divBdr>
        <w:top w:val="none" w:sz="0" w:space="0" w:color="auto"/>
        <w:left w:val="none" w:sz="0" w:space="0" w:color="auto"/>
        <w:bottom w:val="none" w:sz="0" w:space="0" w:color="auto"/>
        <w:right w:val="none" w:sz="0" w:space="0" w:color="auto"/>
      </w:divBdr>
    </w:div>
    <w:div w:id="211104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rick.Forster@fc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Howard.Griboff@fcc.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cept.org/documents/srdmg/9914/srdmg(13)info7_Automotive-radars-and-fixed-installations-in-the-76-81-GHz" TargetMode="External"/><Relationship Id="rId13" Type="http://schemas.openxmlformats.org/officeDocument/2006/relationships/hyperlink" Target="http://www.pwc.com/us/en/industrial-products/publications/pwc-tailwinds-rising-passenger-demand.html" TargetMode="External"/><Relationship Id="rId18" Type="http://schemas.openxmlformats.org/officeDocument/2006/relationships/hyperlink" Target="https://www.census.gov/cgi-bin/sssd/naics/naicsrch" TargetMode="External"/><Relationship Id="rId3" Type="http://schemas.openxmlformats.org/officeDocument/2006/relationships/hyperlink" Target="http://www.itu.int/pub/R-ACT-WRC.12-2015/en" TargetMode="External"/><Relationship Id="rId21" Type="http://schemas.openxmlformats.org/officeDocument/2006/relationships/hyperlink" Target="http://factfinder.census.gov/faces/tableservices/jsf/pages/productview.xhtml?pid=ECN_2012_US_31SG2&amp;prod" TargetMode="External"/><Relationship Id="rId7" Type="http://schemas.openxmlformats.org/officeDocument/2006/relationships/hyperlink" Target="http://eur-lex.europa.eu/legal-content/EN/TXT/?uri=CELEX:32011D0485" TargetMode="External"/><Relationship Id="rId12" Type="http://schemas.openxmlformats.org/officeDocument/2006/relationships/hyperlink" Target="http://www.etsi.org/deliver/etsi_tr/103100_103199/103148/01.01.01_60/tr_103148v010101p.pdf" TargetMode="External"/><Relationship Id="rId17" Type="http://schemas.openxmlformats.org/officeDocument/2006/relationships/hyperlink" Target="http://factfinder.census.gov/faces/tableservices/jsf/pages/productview.xhtml?pid=ECN_2012_US_31SG2&amp;prod" TargetMode="External"/><Relationship Id="rId2" Type="http://schemas.openxmlformats.org/officeDocument/2006/relationships/hyperlink" Target="https://www.itu.int/dms_pubrec/itu-r/rec/m/R-REC-M.2057-0-201402-I!!PDF-E.pdf" TargetMode="External"/><Relationship Id="rId16" Type="http://schemas.openxmlformats.org/officeDocument/2006/relationships/hyperlink" Target="https://www.census.gov/cgi-bin/sssd/naics/naicsrch" TargetMode="External"/><Relationship Id="rId20" Type="http://schemas.openxmlformats.org/officeDocument/2006/relationships/hyperlink" Target="https://www.census.gov/cgi-bin/sssd/naics/naicsrch" TargetMode="External"/><Relationship Id="rId1" Type="http://schemas.openxmlformats.org/officeDocument/2006/relationships/hyperlink" Target="https://apps.fcc.gov/eas/comments/GetPublishedDocument.html?id=426&amp;tn=409139" TargetMode="External"/><Relationship Id="rId6" Type="http://schemas.openxmlformats.org/officeDocument/2006/relationships/hyperlink" Target="http://eur-lex.europa.eu/legal-content/en/ALL/?uri=CELEX:32005D0050" TargetMode="External"/><Relationship Id="rId11" Type="http://schemas.openxmlformats.org/officeDocument/2006/relationships/hyperlink" Target="http://www.erodocdb.dk/doks/filedownload.aspx?fileid=4317&amp;fileurl=http://www.erodocdb.dk/Docs/doc98/official/pdf/ECCREP262.PDF" TargetMode="External"/><Relationship Id="rId5" Type="http://schemas.openxmlformats.org/officeDocument/2006/relationships/hyperlink" Target="https://www.fcc.gov/help/public-safety-tech-topic-17-propagation-characterization" TargetMode="External"/><Relationship Id="rId15" Type="http://schemas.openxmlformats.org/officeDocument/2006/relationships/hyperlink" Target="http://www4.law.cornell.edu/uscode/5/603.html" TargetMode="External"/><Relationship Id="rId10" Type="http://schemas.openxmlformats.org/officeDocument/2006/relationships/hyperlink" Target="http://cordis.europa.eu/docs/projects/cnect/1/248231/080/deliverables/001-D611finalreportfinal.pdf" TargetMode="External"/><Relationship Id="rId19" Type="http://schemas.openxmlformats.org/officeDocument/2006/relationships/hyperlink" Target="http://factfinder.census.gov/faces/tableservices/jsf/pages/productview.xhtml?pid=ECN_2012_US_31SG2&amp;prod" TargetMode="External"/><Relationship Id="rId4" Type="http://schemas.openxmlformats.org/officeDocument/2006/relationships/hyperlink" Target="https://www.itu.int/dms_pub/itu-r/opb/rep/R-REP-M.2322-2014-PDF-E.pdf" TargetMode="External"/><Relationship Id="rId9" Type="http://schemas.openxmlformats.org/officeDocument/2006/relationships/hyperlink" Target="http://www.etsi.org/deliver/etsi_tr/102700_102799/102704/01.02.01_60/tr_102704v010201p.pdf" TargetMode="External"/><Relationship Id="rId14" Type="http://schemas.openxmlformats.org/officeDocument/2006/relationships/hyperlink" Target="http://www.reuters.com/article/2015/03/16/us-airlines-demand-idUSKBN0MC277201503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18733</Words>
  <Characters>102725</Characters>
  <Application>Microsoft Office Word</Application>
  <DocSecurity>0</DocSecurity>
  <Lines>1735</Lines>
  <Paragraphs>508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121530</CharactersWithSpaces>
  <SharedDoc>false</SharedDoc>
  <HyperlinkBase> </HyperlinkBase>
  <HLinks>
    <vt:vector size="138" baseType="variant">
      <vt:variant>
        <vt:i4>6422543</vt:i4>
      </vt:variant>
      <vt:variant>
        <vt:i4>7</vt:i4>
      </vt:variant>
      <vt:variant>
        <vt:i4>0</vt:i4>
      </vt:variant>
      <vt:variant>
        <vt:i4>5</vt:i4>
      </vt:variant>
      <vt:variant>
        <vt:lpwstr>mailto:Patrick.Forster@fcc.gov</vt:lpwstr>
      </vt:variant>
      <vt:variant>
        <vt:lpwstr/>
      </vt:variant>
      <vt:variant>
        <vt:i4>3473477</vt:i4>
      </vt:variant>
      <vt:variant>
        <vt:i4>4</vt:i4>
      </vt:variant>
      <vt:variant>
        <vt:i4>0</vt:i4>
      </vt:variant>
      <vt:variant>
        <vt:i4>5</vt:i4>
      </vt:variant>
      <vt:variant>
        <vt:lpwstr>mailto:Howard.Griboff@fcc.gov</vt:lpwstr>
      </vt:variant>
      <vt:variant>
        <vt:lpwstr/>
      </vt:variant>
      <vt:variant>
        <vt:i4>4849718</vt:i4>
      </vt:variant>
      <vt:variant>
        <vt:i4>60</vt:i4>
      </vt:variant>
      <vt:variant>
        <vt:i4>0</vt:i4>
      </vt:variant>
      <vt:variant>
        <vt:i4>5</vt:i4>
      </vt:variant>
      <vt:variant>
        <vt:lpwstr>http://factfinder.census.gov/faces/tableservices/jsf/pages/productview.xhtml?pid=ECN_2012_US_31SG2&amp;prod</vt:lpwstr>
      </vt:variant>
      <vt:variant>
        <vt:lpwstr/>
      </vt:variant>
      <vt:variant>
        <vt:i4>2097198</vt:i4>
      </vt:variant>
      <vt:variant>
        <vt:i4>57</vt:i4>
      </vt:variant>
      <vt:variant>
        <vt:i4>0</vt:i4>
      </vt:variant>
      <vt:variant>
        <vt:i4>5</vt:i4>
      </vt:variant>
      <vt:variant>
        <vt:lpwstr>https://www.census.gov/cgi-bin/sssd/naics/naicsrch</vt:lpwstr>
      </vt:variant>
      <vt:variant>
        <vt:lpwstr/>
      </vt:variant>
      <vt:variant>
        <vt:i4>4849718</vt:i4>
      </vt:variant>
      <vt:variant>
        <vt:i4>54</vt:i4>
      </vt:variant>
      <vt:variant>
        <vt:i4>0</vt:i4>
      </vt:variant>
      <vt:variant>
        <vt:i4>5</vt:i4>
      </vt:variant>
      <vt:variant>
        <vt:lpwstr>http://factfinder.census.gov/faces/tableservices/jsf/pages/productview.xhtml?pid=ECN_2012_US_31SG2&amp;prod</vt:lpwstr>
      </vt:variant>
      <vt:variant>
        <vt:lpwstr/>
      </vt:variant>
      <vt:variant>
        <vt:i4>2097198</vt:i4>
      </vt:variant>
      <vt:variant>
        <vt:i4>51</vt:i4>
      </vt:variant>
      <vt:variant>
        <vt:i4>0</vt:i4>
      </vt:variant>
      <vt:variant>
        <vt:i4>5</vt:i4>
      </vt:variant>
      <vt:variant>
        <vt:lpwstr>https://www.census.gov/cgi-bin/sssd/naics/naicsrch</vt:lpwstr>
      </vt:variant>
      <vt:variant>
        <vt:lpwstr/>
      </vt:variant>
      <vt:variant>
        <vt:i4>4849718</vt:i4>
      </vt:variant>
      <vt:variant>
        <vt:i4>48</vt:i4>
      </vt:variant>
      <vt:variant>
        <vt:i4>0</vt:i4>
      </vt:variant>
      <vt:variant>
        <vt:i4>5</vt:i4>
      </vt:variant>
      <vt:variant>
        <vt:lpwstr>http://factfinder.census.gov/faces/tableservices/jsf/pages/productview.xhtml?pid=ECN_2012_US_31SG2&amp;prod</vt:lpwstr>
      </vt:variant>
      <vt:variant>
        <vt:lpwstr/>
      </vt:variant>
      <vt:variant>
        <vt:i4>2097198</vt:i4>
      </vt:variant>
      <vt:variant>
        <vt:i4>45</vt:i4>
      </vt:variant>
      <vt:variant>
        <vt:i4>0</vt:i4>
      </vt:variant>
      <vt:variant>
        <vt:i4>5</vt:i4>
      </vt:variant>
      <vt:variant>
        <vt:lpwstr>https://www.census.gov/cgi-bin/sssd/naics/naicsrch</vt:lpwstr>
      </vt:variant>
      <vt:variant>
        <vt:lpwstr/>
      </vt:variant>
      <vt:variant>
        <vt:i4>917569</vt:i4>
      </vt:variant>
      <vt:variant>
        <vt:i4>42</vt:i4>
      </vt:variant>
      <vt:variant>
        <vt:i4>0</vt:i4>
      </vt:variant>
      <vt:variant>
        <vt:i4>5</vt:i4>
      </vt:variant>
      <vt:variant>
        <vt:lpwstr>http://www4.law.cornell.edu/uscode/5/603.html</vt:lpwstr>
      </vt:variant>
      <vt:variant>
        <vt:lpwstr/>
      </vt:variant>
      <vt:variant>
        <vt:i4>7733296</vt:i4>
      </vt:variant>
      <vt:variant>
        <vt:i4>39</vt:i4>
      </vt:variant>
      <vt:variant>
        <vt:i4>0</vt:i4>
      </vt:variant>
      <vt:variant>
        <vt:i4>5</vt:i4>
      </vt:variant>
      <vt:variant>
        <vt:lpwstr>http://www.reuters.com/article/2015/03/16/us-airlines-demand-idUSKBN0MC27720150316</vt:lpwstr>
      </vt:variant>
      <vt:variant>
        <vt:lpwstr/>
      </vt:variant>
      <vt:variant>
        <vt:i4>4456526</vt:i4>
      </vt:variant>
      <vt:variant>
        <vt:i4>36</vt:i4>
      </vt:variant>
      <vt:variant>
        <vt:i4>0</vt:i4>
      </vt:variant>
      <vt:variant>
        <vt:i4>5</vt:i4>
      </vt:variant>
      <vt:variant>
        <vt:lpwstr>http://www.pwc.com/us/en/industrial-products/publications/pwc-tailwinds-rising-passenger-demand.html</vt:lpwstr>
      </vt:variant>
      <vt:variant>
        <vt:lpwstr/>
      </vt:variant>
      <vt:variant>
        <vt:i4>6684784</vt:i4>
      </vt:variant>
      <vt:variant>
        <vt:i4>33</vt:i4>
      </vt:variant>
      <vt:variant>
        <vt:i4>0</vt:i4>
      </vt:variant>
      <vt:variant>
        <vt:i4>5</vt:i4>
      </vt:variant>
      <vt:variant>
        <vt:lpwstr>http://www.etsi.org/deliver/etsi_tr/103100_103199/103148/01.01.01_60/tr_103148v010101p.pdf</vt:lpwstr>
      </vt:variant>
      <vt:variant>
        <vt:lpwstr/>
      </vt:variant>
      <vt:variant>
        <vt:i4>3670069</vt:i4>
      </vt:variant>
      <vt:variant>
        <vt:i4>30</vt:i4>
      </vt:variant>
      <vt:variant>
        <vt:i4>0</vt:i4>
      </vt:variant>
      <vt:variant>
        <vt:i4>5</vt:i4>
      </vt:variant>
      <vt:variant>
        <vt:lpwstr>http://www.erodocdb.dk/doks/filedownload.aspx?fileid=4317&amp;fileurl=http://www.erodocdb.dk/Docs/doc98/official/pdf/ECCREP262.PDF</vt:lpwstr>
      </vt:variant>
      <vt:variant>
        <vt:lpwstr/>
      </vt:variant>
      <vt:variant>
        <vt:i4>8323124</vt:i4>
      </vt:variant>
      <vt:variant>
        <vt:i4>27</vt:i4>
      </vt:variant>
      <vt:variant>
        <vt:i4>0</vt:i4>
      </vt:variant>
      <vt:variant>
        <vt:i4>5</vt:i4>
      </vt:variant>
      <vt:variant>
        <vt:lpwstr>http://cordis.europa.eu/docs/projects/cnect/1/248231/080/deliverables/001-D611finalreportfinal.pdf</vt:lpwstr>
      </vt:variant>
      <vt:variant>
        <vt:lpwstr/>
      </vt:variant>
      <vt:variant>
        <vt:i4>6422644</vt:i4>
      </vt:variant>
      <vt:variant>
        <vt:i4>24</vt:i4>
      </vt:variant>
      <vt:variant>
        <vt:i4>0</vt:i4>
      </vt:variant>
      <vt:variant>
        <vt:i4>5</vt:i4>
      </vt:variant>
      <vt:variant>
        <vt:lpwstr>http://www.etsi.org/deliver/etsi_tr/102700_102799/102704/01.02.01_60/tr_102704v010201p.pdf</vt:lpwstr>
      </vt:variant>
      <vt:variant>
        <vt:lpwstr/>
      </vt:variant>
      <vt:variant>
        <vt:i4>4325435</vt:i4>
      </vt:variant>
      <vt:variant>
        <vt:i4>21</vt:i4>
      </vt:variant>
      <vt:variant>
        <vt:i4>0</vt:i4>
      </vt:variant>
      <vt:variant>
        <vt:i4>5</vt:i4>
      </vt:variant>
      <vt:variant>
        <vt:lpwstr>http://www.cept.org/documents/srdmg/9914/srdmg(13)info7_Automotive-radars-and-fixed-installations-in-the-76-81-GHz</vt:lpwstr>
      </vt:variant>
      <vt:variant>
        <vt:lpwstr/>
      </vt:variant>
      <vt:variant>
        <vt:i4>2293807</vt:i4>
      </vt:variant>
      <vt:variant>
        <vt:i4>18</vt:i4>
      </vt:variant>
      <vt:variant>
        <vt:i4>0</vt:i4>
      </vt:variant>
      <vt:variant>
        <vt:i4>5</vt:i4>
      </vt:variant>
      <vt:variant>
        <vt:lpwstr>http://eur-lex.europa.eu/legal-content/EN/TXT/?uri=CELEX:32011D0485</vt:lpwstr>
      </vt:variant>
      <vt:variant>
        <vt:lpwstr/>
      </vt:variant>
      <vt:variant>
        <vt:i4>4063271</vt:i4>
      </vt:variant>
      <vt:variant>
        <vt:i4>15</vt:i4>
      </vt:variant>
      <vt:variant>
        <vt:i4>0</vt:i4>
      </vt:variant>
      <vt:variant>
        <vt:i4>5</vt:i4>
      </vt:variant>
      <vt:variant>
        <vt:lpwstr>http://eur-lex.europa.eu/legal-content/en/ALL/?uri=CELEX:32005D0050</vt:lpwstr>
      </vt:variant>
      <vt:variant>
        <vt:lpwstr/>
      </vt:variant>
      <vt:variant>
        <vt:i4>4259857</vt:i4>
      </vt:variant>
      <vt:variant>
        <vt:i4>12</vt:i4>
      </vt:variant>
      <vt:variant>
        <vt:i4>0</vt:i4>
      </vt:variant>
      <vt:variant>
        <vt:i4>5</vt:i4>
      </vt:variant>
      <vt:variant>
        <vt:lpwstr>https://www.fcc.gov/help/public-safety-tech-topic-17-propagation-characterization</vt:lpwstr>
      </vt:variant>
      <vt:variant>
        <vt:lpwstr/>
      </vt:variant>
      <vt:variant>
        <vt:i4>4128786</vt:i4>
      </vt:variant>
      <vt:variant>
        <vt:i4>9</vt:i4>
      </vt:variant>
      <vt:variant>
        <vt:i4>0</vt:i4>
      </vt:variant>
      <vt:variant>
        <vt:i4>5</vt:i4>
      </vt:variant>
      <vt:variant>
        <vt:lpwstr>https://www.itu.int/dms_pub/itu-r/opb/rep/R-REP-M.2322-2014-PDF-E.pdf</vt:lpwstr>
      </vt:variant>
      <vt:variant>
        <vt:lpwstr/>
      </vt:variant>
      <vt:variant>
        <vt:i4>3604528</vt:i4>
      </vt:variant>
      <vt:variant>
        <vt:i4>6</vt:i4>
      </vt:variant>
      <vt:variant>
        <vt:i4>0</vt:i4>
      </vt:variant>
      <vt:variant>
        <vt:i4>5</vt:i4>
      </vt:variant>
      <vt:variant>
        <vt:lpwstr>http://www.itu.int/pub/R-ACT-WRC.12-2015/en</vt:lpwstr>
      </vt:variant>
      <vt:variant>
        <vt:lpwstr/>
      </vt:variant>
      <vt:variant>
        <vt:i4>6488157</vt:i4>
      </vt:variant>
      <vt:variant>
        <vt:i4>3</vt:i4>
      </vt:variant>
      <vt:variant>
        <vt:i4>0</vt:i4>
      </vt:variant>
      <vt:variant>
        <vt:i4>5</vt:i4>
      </vt:variant>
      <vt:variant>
        <vt:lpwstr>https://www.itu.int/dms_pubrec/itu-r/rec/m/R-REC-M.2057-0-201402-I!!PDF-E.pdf</vt:lpwstr>
      </vt:variant>
      <vt:variant>
        <vt:lpwstr/>
      </vt:variant>
      <vt:variant>
        <vt:i4>1310749</vt:i4>
      </vt:variant>
      <vt:variant>
        <vt:i4>0</vt:i4>
      </vt:variant>
      <vt:variant>
        <vt:i4>0</vt:i4>
      </vt:variant>
      <vt:variant>
        <vt:i4>5</vt:i4>
      </vt:variant>
      <vt:variant>
        <vt:lpwstr>https://apps.fcc.gov/eas/comments/GetPublishedDocument.html?id=426&amp;tn=409139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2017-06-21T13:02:00Z</cp:lastPrinted>
  <dcterms:created xsi:type="dcterms:W3CDTF">2017-09-18T16:22:00Z</dcterms:created>
  <dcterms:modified xsi:type="dcterms:W3CDTF">2017-09-18T16:22:00Z</dcterms:modified>
  <cp:category> </cp:category>
  <cp:contentStatus> </cp:contentStatus>
</cp:coreProperties>
</file>