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67355D" w:rsidP="001546A3">
      <w:pPr>
        <w:pStyle w:val="Heading6"/>
        <w:numPr>
          <w:ilvl w:val="0"/>
          <w:numId w:val="0"/>
        </w:numPr>
        <w:spacing w:after="0"/>
        <w:ind w:left="4320"/>
        <w:rPr>
          <w:szCs w:val="22"/>
        </w:rPr>
      </w:pPr>
      <w:r w:rsidRPr="0067355D">
        <w:rPr>
          <w:szCs w:val="22"/>
        </w:rPr>
        <w:t>Before the</w:t>
      </w:r>
    </w:p>
    <w:p w:rsidR="00921803" w:rsidRPr="0067355D" w:rsidP="001546A3">
      <w:pPr>
        <w:pStyle w:val="StyleBoldCentered"/>
        <w:rPr>
          <w:rFonts w:ascii="Times New Roman" w:hAnsi="Times New Roman"/>
        </w:rPr>
      </w:pPr>
      <w:r w:rsidRPr="0067355D">
        <w:rPr>
          <w:rFonts w:ascii="Times New Roman" w:hAnsi="Times New Roman"/>
        </w:rPr>
        <w:t>F</w:t>
      </w:r>
      <w:r w:rsidRPr="0067355D">
        <w:rPr>
          <w:rFonts w:ascii="Times New Roman" w:hAnsi="Times New Roman"/>
          <w:caps w:val="0"/>
        </w:rPr>
        <w:t>ederal Communications Commission</w:t>
      </w:r>
    </w:p>
    <w:p w:rsidR="004C2EE3" w:rsidRPr="0067355D" w:rsidP="001546A3">
      <w:pPr>
        <w:pStyle w:val="StyleBoldCentered"/>
        <w:rPr>
          <w:rFonts w:ascii="Times New Roman" w:hAnsi="Times New Roman"/>
        </w:rPr>
      </w:pPr>
      <w:r w:rsidRPr="0067355D">
        <w:rPr>
          <w:rFonts w:ascii="Times New Roman" w:hAnsi="Times New Roman"/>
          <w:caps w:val="0"/>
        </w:rPr>
        <w:t>Washington, DC 20554</w:t>
      </w:r>
    </w:p>
    <w:p w:rsidR="004C2EE3" w:rsidRPr="0067355D" w:rsidP="0070224F">
      <w:pPr>
        <w:rPr>
          <w:szCs w:val="22"/>
        </w:rPr>
      </w:pPr>
    </w:p>
    <w:p w:rsidR="004C2EE3" w:rsidRPr="0067355D"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67355D">
            <w:pPr>
              <w:tabs>
                <w:tab w:val="center" w:pos="4680"/>
              </w:tabs>
              <w:suppressAutoHyphens/>
              <w:rPr>
                <w:spacing w:val="-2"/>
                <w:szCs w:val="22"/>
              </w:rPr>
            </w:pPr>
            <w:r w:rsidRPr="0067355D">
              <w:rPr>
                <w:spacing w:val="-2"/>
                <w:szCs w:val="22"/>
              </w:rPr>
              <w:t>In the Matter of</w:t>
            </w:r>
          </w:p>
          <w:p w:rsidR="004C2EE3" w:rsidRPr="0067355D">
            <w:pPr>
              <w:tabs>
                <w:tab w:val="center" w:pos="4680"/>
              </w:tabs>
              <w:suppressAutoHyphens/>
              <w:rPr>
                <w:spacing w:val="-2"/>
                <w:szCs w:val="22"/>
              </w:rPr>
            </w:pPr>
          </w:p>
          <w:p w:rsidR="004C2EE3" w:rsidRPr="0067355D" w:rsidP="007115F7">
            <w:pPr>
              <w:tabs>
                <w:tab w:val="center" w:pos="4680"/>
              </w:tabs>
              <w:suppressAutoHyphens/>
              <w:rPr>
                <w:spacing w:val="-2"/>
                <w:szCs w:val="22"/>
              </w:rPr>
            </w:pPr>
            <w:r w:rsidRPr="0067355D">
              <w:rPr>
                <w:spacing w:val="-2"/>
                <w:szCs w:val="22"/>
              </w:rPr>
              <w:t xml:space="preserve">Assessment and Collection of Regulatory Fees for </w:t>
            </w:r>
          </w:p>
          <w:p w:rsidR="00831121" w:rsidP="007115F7">
            <w:pPr>
              <w:tabs>
                <w:tab w:val="center" w:pos="4680"/>
              </w:tabs>
              <w:suppressAutoHyphens/>
              <w:rPr>
                <w:spacing w:val="-2"/>
                <w:szCs w:val="22"/>
              </w:rPr>
            </w:pPr>
            <w:r w:rsidRPr="0067355D">
              <w:rPr>
                <w:spacing w:val="-2"/>
                <w:szCs w:val="22"/>
              </w:rPr>
              <w:t>Fiscal Year 201</w:t>
            </w:r>
            <w:r w:rsidRPr="0067355D" w:rsidR="006D6834">
              <w:rPr>
                <w:spacing w:val="-2"/>
                <w:szCs w:val="22"/>
              </w:rPr>
              <w:t>8</w:t>
            </w:r>
          </w:p>
          <w:p w:rsidR="00165282" w:rsidRPr="0067355D" w:rsidP="00574592">
            <w:pPr>
              <w:tabs>
                <w:tab w:val="center" w:pos="4680"/>
              </w:tabs>
              <w:suppressAutoHyphens/>
              <w:rPr>
                <w:spacing w:val="-2"/>
                <w:szCs w:val="22"/>
              </w:rPr>
            </w:pPr>
          </w:p>
        </w:tc>
        <w:tc>
          <w:tcPr>
            <w:tcW w:w="630" w:type="dxa"/>
          </w:tcPr>
          <w:p w:rsidR="004C2EE3" w:rsidRPr="0067355D">
            <w:pPr>
              <w:tabs>
                <w:tab w:val="center" w:pos="4680"/>
              </w:tabs>
              <w:suppressAutoHyphens/>
              <w:rPr>
                <w:b/>
                <w:spacing w:val="-2"/>
                <w:szCs w:val="22"/>
              </w:rPr>
            </w:pPr>
            <w:r w:rsidRPr="0067355D">
              <w:rPr>
                <w:b/>
                <w:spacing w:val="-2"/>
                <w:szCs w:val="22"/>
              </w:rPr>
              <w:t>)</w:t>
            </w:r>
          </w:p>
          <w:p w:rsidR="004C2EE3" w:rsidRPr="0067355D">
            <w:pPr>
              <w:tabs>
                <w:tab w:val="center" w:pos="4680"/>
              </w:tabs>
              <w:suppressAutoHyphens/>
              <w:rPr>
                <w:b/>
                <w:spacing w:val="-2"/>
                <w:szCs w:val="22"/>
              </w:rPr>
            </w:pPr>
            <w:r w:rsidRPr="0067355D">
              <w:rPr>
                <w:b/>
                <w:spacing w:val="-2"/>
                <w:szCs w:val="22"/>
              </w:rPr>
              <w:t>)</w:t>
            </w:r>
          </w:p>
          <w:p w:rsidR="004C2EE3" w:rsidRPr="0067355D">
            <w:pPr>
              <w:tabs>
                <w:tab w:val="center" w:pos="4680"/>
              </w:tabs>
              <w:suppressAutoHyphens/>
              <w:rPr>
                <w:b/>
                <w:spacing w:val="-2"/>
                <w:szCs w:val="22"/>
              </w:rPr>
            </w:pPr>
            <w:r w:rsidRPr="0067355D">
              <w:rPr>
                <w:b/>
                <w:spacing w:val="-2"/>
                <w:szCs w:val="22"/>
              </w:rPr>
              <w:t>)</w:t>
            </w:r>
          </w:p>
          <w:p w:rsidR="004C2EE3" w:rsidRPr="0067355D">
            <w:pPr>
              <w:tabs>
                <w:tab w:val="center" w:pos="4680"/>
              </w:tabs>
              <w:suppressAutoHyphens/>
              <w:rPr>
                <w:b/>
                <w:spacing w:val="-2"/>
                <w:szCs w:val="22"/>
              </w:rPr>
            </w:pPr>
            <w:r w:rsidRPr="0067355D">
              <w:rPr>
                <w:b/>
                <w:spacing w:val="-2"/>
                <w:szCs w:val="22"/>
              </w:rPr>
              <w:t>)</w:t>
            </w:r>
          </w:p>
          <w:p w:rsidR="00D13488" w:rsidRPr="0067355D" w:rsidP="009177C8">
            <w:pPr>
              <w:tabs>
                <w:tab w:val="center" w:pos="4680"/>
              </w:tabs>
              <w:suppressAutoHyphens/>
              <w:rPr>
                <w:spacing w:val="-2"/>
                <w:szCs w:val="22"/>
              </w:rPr>
            </w:pPr>
          </w:p>
        </w:tc>
        <w:tc>
          <w:tcPr>
            <w:tcW w:w="4248" w:type="dxa"/>
          </w:tcPr>
          <w:p w:rsidR="004C2EE3" w:rsidRPr="0067355D">
            <w:pPr>
              <w:tabs>
                <w:tab w:val="center" w:pos="4680"/>
              </w:tabs>
              <w:suppressAutoHyphens/>
              <w:rPr>
                <w:spacing w:val="-2"/>
                <w:szCs w:val="22"/>
              </w:rPr>
            </w:pPr>
          </w:p>
          <w:p w:rsidR="004C2EE3" w:rsidRPr="0067355D">
            <w:pPr>
              <w:pStyle w:val="TOAHeading"/>
              <w:tabs>
                <w:tab w:val="center" w:pos="4680"/>
                <w:tab w:val="clear" w:pos="9360"/>
              </w:tabs>
              <w:rPr>
                <w:spacing w:val="-2"/>
                <w:szCs w:val="22"/>
              </w:rPr>
            </w:pPr>
          </w:p>
          <w:p w:rsidR="00B46363" w:rsidP="00C6317D">
            <w:pPr>
              <w:tabs>
                <w:tab w:val="left" w:pos="2592"/>
              </w:tabs>
              <w:suppressAutoHyphens/>
              <w:rPr>
                <w:spacing w:val="-2"/>
                <w:szCs w:val="22"/>
              </w:rPr>
            </w:pPr>
            <w:r w:rsidRPr="0067355D">
              <w:rPr>
                <w:spacing w:val="-2"/>
                <w:szCs w:val="22"/>
              </w:rPr>
              <w:t>MD Docket No. 1</w:t>
            </w:r>
            <w:r w:rsidRPr="0067355D" w:rsidR="006D6834">
              <w:rPr>
                <w:spacing w:val="-2"/>
                <w:szCs w:val="22"/>
              </w:rPr>
              <w:t>8</w:t>
            </w:r>
            <w:r w:rsidRPr="0067355D">
              <w:rPr>
                <w:spacing w:val="-2"/>
                <w:szCs w:val="22"/>
              </w:rPr>
              <w:t>-</w:t>
            </w:r>
            <w:r w:rsidR="00AB544C">
              <w:rPr>
                <w:spacing w:val="-2"/>
                <w:szCs w:val="22"/>
              </w:rPr>
              <w:t>175</w:t>
            </w:r>
          </w:p>
          <w:p w:rsidR="00D13488" w:rsidP="00C6317D">
            <w:pPr>
              <w:tabs>
                <w:tab w:val="left" w:pos="2592"/>
              </w:tabs>
              <w:suppressAutoHyphens/>
              <w:rPr>
                <w:spacing w:val="-2"/>
                <w:szCs w:val="22"/>
              </w:rPr>
            </w:pPr>
          </w:p>
          <w:p w:rsidR="004C2EE3" w:rsidRPr="0067355D" w:rsidP="0098772E">
            <w:pPr>
              <w:tabs>
                <w:tab w:val="left" w:pos="2592"/>
              </w:tabs>
              <w:suppressAutoHyphens/>
              <w:rPr>
                <w:spacing w:val="-2"/>
                <w:szCs w:val="22"/>
              </w:rPr>
            </w:pPr>
          </w:p>
        </w:tc>
      </w:tr>
    </w:tbl>
    <w:p w:rsidR="004C2EE3" w:rsidRPr="0067355D" w:rsidP="0070224F">
      <w:pPr>
        <w:rPr>
          <w:szCs w:val="22"/>
        </w:rPr>
      </w:pPr>
    </w:p>
    <w:p w:rsidR="00841AB1" w:rsidRPr="0067355D" w:rsidP="00F021FA">
      <w:pPr>
        <w:pStyle w:val="StyleBoldCentered"/>
        <w:rPr>
          <w:rFonts w:ascii="Times New Roman" w:hAnsi="Times New Roman"/>
        </w:rPr>
      </w:pPr>
      <w:r>
        <w:rPr>
          <w:rFonts w:ascii="Times New Roman" w:hAnsi="Times New Roman"/>
        </w:rPr>
        <w:t xml:space="preserve">REPORT AND ORDER </w:t>
      </w:r>
      <w:r w:rsidR="00D13488">
        <w:rPr>
          <w:rFonts w:ascii="Times New Roman" w:hAnsi="Times New Roman"/>
        </w:rPr>
        <w:t>and order</w:t>
      </w:r>
    </w:p>
    <w:p w:rsidR="004C2EE3" w:rsidRPr="0067355D">
      <w:pPr>
        <w:tabs>
          <w:tab w:val="left" w:pos="-720"/>
        </w:tabs>
        <w:suppressAutoHyphens/>
        <w:spacing w:line="227" w:lineRule="auto"/>
        <w:rPr>
          <w:spacing w:val="-2"/>
          <w:szCs w:val="22"/>
        </w:rPr>
      </w:pPr>
    </w:p>
    <w:p w:rsidR="004C2EE3" w:rsidP="00133F79">
      <w:pPr>
        <w:tabs>
          <w:tab w:val="left" w:pos="720"/>
          <w:tab w:val="right" w:pos="9360"/>
        </w:tabs>
        <w:suppressAutoHyphens/>
        <w:spacing w:line="227" w:lineRule="auto"/>
        <w:rPr>
          <w:b/>
          <w:spacing w:val="-2"/>
          <w:szCs w:val="22"/>
        </w:rPr>
      </w:pPr>
      <w:r w:rsidRPr="0067355D">
        <w:rPr>
          <w:b/>
          <w:spacing w:val="-2"/>
          <w:szCs w:val="22"/>
        </w:rPr>
        <w:t xml:space="preserve">Adopted:  </w:t>
      </w:r>
      <w:r w:rsidR="00F04FD8">
        <w:rPr>
          <w:b/>
          <w:spacing w:val="-2"/>
          <w:szCs w:val="22"/>
        </w:rPr>
        <w:t xml:space="preserve">August </w:t>
      </w:r>
      <w:r w:rsidR="002C6939">
        <w:rPr>
          <w:b/>
          <w:spacing w:val="-2"/>
          <w:szCs w:val="22"/>
        </w:rPr>
        <w:t>28</w:t>
      </w:r>
      <w:r w:rsidR="00F04FD8">
        <w:rPr>
          <w:b/>
          <w:spacing w:val="-2"/>
          <w:szCs w:val="22"/>
        </w:rPr>
        <w:t>, 2018</w:t>
      </w:r>
      <w:r w:rsidRPr="0067355D">
        <w:rPr>
          <w:b/>
          <w:spacing w:val="-2"/>
          <w:szCs w:val="22"/>
        </w:rPr>
        <w:tab/>
      </w:r>
      <w:r w:rsidR="0086283E">
        <w:rPr>
          <w:b/>
          <w:spacing w:val="-2"/>
          <w:szCs w:val="22"/>
        </w:rPr>
        <w:t xml:space="preserve">  </w:t>
      </w:r>
      <w:r w:rsidRPr="0067355D" w:rsidR="00822CE0">
        <w:rPr>
          <w:b/>
          <w:spacing w:val="-2"/>
          <w:szCs w:val="22"/>
        </w:rPr>
        <w:t>Released</w:t>
      </w:r>
      <w:r w:rsidRPr="0067355D">
        <w:rPr>
          <w:b/>
          <w:spacing w:val="-2"/>
          <w:szCs w:val="22"/>
        </w:rPr>
        <w:t>:</w:t>
      </w:r>
      <w:r w:rsidRPr="0067355D" w:rsidR="00822CE0">
        <w:rPr>
          <w:b/>
          <w:spacing w:val="-2"/>
          <w:szCs w:val="22"/>
        </w:rPr>
        <w:t xml:space="preserve"> </w:t>
      </w:r>
      <w:r w:rsidRPr="0067355D">
        <w:rPr>
          <w:b/>
          <w:spacing w:val="-2"/>
          <w:szCs w:val="22"/>
        </w:rPr>
        <w:t xml:space="preserve"> </w:t>
      </w:r>
      <w:r w:rsidR="0086283E">
        <w:rPr>
          <w:b/>
          <w:spacing w:val="-2"/>
          <w:szCs w:val="22"/>
        </w:rPr>
        <w:t xml:space="preserve">August </w:t>
      </w:r>
      <w:r w:rsidR="00912BAA">
        <w:rPr>
          <w:b/>
          <w:spacing w:val="-2"/>
          <w:szCs w:val="22"/>
        </w:rPr>
        <w:t>29</w:t>
      </w:r>
      <w:r w:rsidR="0086283E">
        <w:rPr>
          <w:b/>
          <w:spacing w:val="-2"/>
          <w:szCs w:val="22"/>
        </w:rPr>
        <w:t>, 2018</w:t>
      </w:r>
    </w:p>
    <w:p w:rsidR="00E541B5" w:rsidP="00133F79">
      <w:pPr>
        <w:tabs>
          <w:tab w:val="left" w:pos="720"/>
          <w:tab w:val="right" w:pos="9360"/>
        </w:tabs>
        <w:suppressAutoHyphens/>
        <w:spacing w:line="227" w:lineRule="auto"/>
        <w:rPr>
          <w:b/>
          <w:spacing w:val="-2"/>
          <w:szCs w:val="22"/>
        </w:rPr>
      </w:pPr>
    </w:p>
    <w:p w:rsidR="004C2EE3" w:rsidRPr="0067355D">
      <w:pPr>
        <w:rPr>
          <w:spacing w:val="-2"/>
          <w:szCs w:val="22"/>
        </w:rPr>
      </w:pPr>
      <w:r w:rsidRPr="0067355D">
        <w:rPr>
          <w:szCs w:val="22"/>
        </w:rPr>
        <w:t xml:space="preserve">By </w:t>
      </w:r>
      <w:r w:rsidRPr="0067355D" w:rsidR="004E4A22">
        <w:rPr>
          <w:szCs w:val="22"/>
        </w:rPr>
        <w:t>the</w:t>
      </w:r>
      <w:r w:rsidRPr="0067355D" w:rsidR="00B576C3">
        <w:rPr>
          <w:szCs w:val="22"/>
        </w:rPr>
        <w:t xml:space="preserve"> Commission</w:t>
      </w:r>
      <w:r w:rsidRPr="0067355D">
        <w:rPr>
          <w:spacing w:val="-2"/>
          <w:szCs w:val="22"/>
        </w:rPr>
        <w:t>:</w:t>
      </w:r>
    </w:p>
    <w:p w:rsidR="00E5012D" w:rsidRPr="0067355D">
      <w:pPr>
        <w:rPr>
          <w:spacing w:val="-2"/>
          <w:szCs w:val="22"/>
        </w:rPr>
      </w:pPr>
    </w:p>
    <w:p w:rsidR="00412FC5" w:rsidRPr="0067355D" w:rsidP="00412FC5">
      <w:pPr>
        <w:rPr>
          <w:szCs w:val="22"/>
        </w:rPr>
      </w:pPr>
    </w:p>
    <w:p w:rsidR="002C00E8" w:rsidRPr="0067355D" w:rsidP="002C00E8">
      <w:pPr>
        <w:pStyle w:val="Heading1"/>
        <w:rPr>
          <w:rFonts w:ascii="Times New Roman" w:hAnsi="Times New Roman"/>
          <w:szCs w:val="22"/>
        </w:rPr>
      </w:pPr>
      <w:r w:rsidRPr="0067355D">
        <w:rPr>
          <w:rFonts w:ascii="Times New Roman" w:hAnsi="Times New Roman"/>
          <w:szCs w:val="22"/>
        </w:rPr>
        <w:t>introduction</w:t>
      </w:r>
    </w:p>
    <w:p w:rsidR="00C17D0A" w:rsidP="00795234">
      <w:pPr>
        <w:pStyle w:val="ParaNum"/>
        <w:rPr>
          <w:szCs w:val="22"/>
        </w:rPr>
      </w:pPr>
      <w:r>
        <w:rPr>
          <w:szCs w:val="22"/>
        </w:rPr>
        <w:t>T</w:t>
      </w:r>
      <w:r w:rsidR="00FD1583">
        <w:rPr>
          <w:szCs w:val="22"/>
        </w:rPr>
        <w:t>his Report and Order</w:t>
      </w:r>
      <w:r>
        <w:rPr>
          <w:szCs w:val="22"/>
        </w:rPr>
        <w:t xml:space="preserve"> adopts a schedule of regulatory fees to assess and collect </w:t>
      </w:r>
      <w:r w:rsidRPr="00A813A4">
        <w:rPr>
          <w:szCs w:val="22"/>
        </w:rPr>
        <w:t xml:space="preserve">$322,035,000 in regulatory fees for </w:t>
      </w:r>
      <w:r w:rsidR="00CC7AFE">
        <w:rPr>
          <w:szCs w:val="22"/>
        </w:rPr>
        <w:t>fiscal year (</w:t>
      </w:r>
      <w:r w:rsidRPr="00A813A4">
        <w:rPr>
          <w:szCs w:val="22"/>
        </w:rPr>
        <w:t>FY</w:t>
      </w:r>
      <w:r w:rsidR="00CC7AFE">
        <w:rPr>
          <w:szCs w:val="22"/>
        </w:rPr>
        <w:t>)</w:t>
      </w:r>
      <w:r w:rsidRPr="00A813A4">
        <w:rPr>
          <w:szCs w:val="22"/>
        </w:rPr>
        <w:t xml:space="preserve"> 2018</w:t>
      </w:r>
      <w:r w:rsidR="00FD1583">
        <w:rPr>
          <w:szCs w:val="22"/>
        </w:rPr>
        <w:t xml:space="preserve">, </w:t>
      </w:r>
      <w:r>
        <w:rPr>
          <w:szCs w:val="22"/>
        </w:rPr>
        <w:t>pursuant to section 9</w:t>
      </w:r>
      <w:r>
        <w:rPr>
          <w:rStyle w:val="FootnoteReference"/>
          <w:szCs w:val="22"/>
        </w:rPr>
        <w:footnoteReference w:id="3"/>
      </w:r>
      <w:r w:rsidR="00A449CF">
        <w:rPr>
          <w:szCs w:val="22"/>
        </w:rPr>
        <w:t xml:space="preserve"> of the Communications Act of 1934, as amended,</w:t>
      </w:r>
      <w:r>
        <w:rPr>
          <w:szCs w:val="22"/>
        </w:rPr>
        <w:t xml:space="preserve"> and the Commission’s FY 2018 Appropriation</w:t>
      </w:r>
      <w:r w:rsidR="00110EF9">
        <w:rPr>
          <w:szCs w:val="22"/>
        </w:rPr>
        <w:t>.</w:t>
      </w:r>
      <w:r>
        <w:rPr>
          <w:rStyle w:val="FootnoteReference"/>
          <w:szCs w:val="22"/>
        </w:rPr>
        <w:footnoteReference w:id="4"/>
      </w:r>
      <w:r w:rsidR="00D420E4">
        <w:rPr>
          <w:szCs w:val="22"/>
        </w:rPr>
        <w:t xml:space="preserve"> </w:t>
      </w:r>
      <w:r w:rsidR="00AB5492">
        <w:rPr>
          <w:szCs w:val="22"/>
        </w:rPr>
        <w:t xml:space="preserve"> </w:t>
      </w:r>
      <w:r>
        <w:rPr>
          <w:szCs w:val="22"/>
        </w:rPr>
        <w:t>The schedule of regu</w:t>
      </w:r>
      <w:r w:rsidR="00952AC5">
        <w:rPr>
          <w:szCs w:val="22"/>
        </w:rPr>
        <w:t>l</w:t>
      </w:r>
      <w:r>
        <w:rPr>
          <w:szCs w:val="22"/>
        </w:rPr>
        <w:t>atory fees for FY 2018 adopted here</w:t>
      </w:r>
      <w:r w:rsidR="00035258">
        <w:rPr>
          <w:szCs w:val="22"/>
        </w:rPr>
        <w:t>in</w:t>
      </w:r>
      <w:r>
        <w:rPr>
          <w:szCs w:val="22"/>
        </w:rPr>
        <w:t xml:space="preserve"> is attached in Appendix </w:t>
      </w:r>
      <w:r w:rsidRPr="00AB5492" w:rsidR="0068315A">
        <w:rPr>
          <w:szCs w:val="22"/>
        </w:rPr>
        <w:t>C</w:t>
      </w:r>
      <w:r w:rsidRPr="00AB5492" w:rsidR="00B556FE">
        <w:rPr>
          <w:szCs w:val="22"/>
        </w:rPr>
        <w:t>.</w:t>
      </w:r>
      <w:r w:rsidR="00B556FE">
        <w:rPr>
          <w:szCs w:val="22"/>
        </w:rPr>
        <w:t xml:space="preserve">  The </w:t>
      </w:r>
      <w:r w:rsidR="004E0B9A">
        <w:rPr>
          <w:szCs w:val="22"/>
        </w:rPr>
        <w:t>regulatory</w:t>
      </w:r>
      <w:r>
        <w:rPr>
          <w:szCs w:val="22"/>
        </w:rPr>
        <w:t xml:space="preserve"> fees </w:t>
      </w:r>
      <w:r w:rsidR="00855AD6">
        <w:rPr>
          <w:szCs w:val="22"/>
        </w:rPr>
        <w:t xml:space="preserve">for all payors </w:t>
      </w:r>
      <w:r>
        <w:rPr>
          <w:szCs w:val="22"/>
        </w:rPr>
        <w:t>are due in September 2018.</w:t>
      </w:r>
      <w:r w:rsidRPr="00C17D0A">
        <w:rPr>
          <w:szCs w:val="22"/>
        </w:rPr>
        <w:t xml:space="preserve"> </w:t>
      </w:r>
      <w:r>
        <w:rPr>
          <w:szCs w:val="22"/>
        </w:rPr>
        <w:t xml:space="preserve"> </w:t>
      </w:r>
    </w:p>
    <w:p w:rsidR="006B6B8B" w:rsidP="000A4ED6">
      <w:pPr>
        <w:pStyle w:val="ParaNum"/>
      </w:pPr>
      <w:r>
        <w:t>Additionally, in the accompanying</w:t>
      </w:r>
      <w:r w:rsidR="00C17D0A">
        <w:t xml:space="preserve"> Order, we</w:t>
      </w:r>
      <w:r w:rsidRPr="007B1FD5" w:rsidR="00C17D0A">
        <w:t xml:space="preserve"> </w:t>
      </w:r>
      <w:r w:rsidR="00642687">
        <w:t xml:space="preserve">amend </w:t>
      </w:r>
      <w:r>
        <w:t>our</w:t>
      </w:r>
      <w:r w:rsidRPr="007B1FD5" w:rsidR="00C17D0A">
        <w:t xml:space="preserve"> rules </w:t>
      </w:r>
      <w:r w:rsidR="00642687">
        <w:t>in accordance with</w:t>
      </w:r>
      <w:r w:rsidR="00C17D0A">
        <w:t xml:space="preserve"> </w:t>
      </w:r>
      <w:r>
        <w:t>the directives of the RAY BAUM’S Act regarding the collection of delinquent debts</w:t>
      </w:r>
      <w:r w:rsidRPr="007B1FD5" w:rsidR="00C17D0A">
        <w:t>.</w:t>
      </w:r>
      <w:r>
        <w:rPr>
          <w:rStyle w:val="FootnoteReference"/>
          <w:szCs w:val="22"/>
        </w:rPr>
        <w:footnoteReference w:id="5"/>
      </w:r>
      <w:r>
        <w:t xml:space="preserve">  This rule change will become effective on October 1, 2018.</w:t>
      </w:r>
    </w:p>
    <w:p w:rsidR="00831121" w:rsidRPr="0067355D" w:rsidP="00E3705B">
      <w:pPr>
        <w:pStyle w:val="Heading1"/>
        <w:rPr>
          <w:rFonts w:ascii="Times New Roman" w:hAnsi="Times New Roman"/>
          <w:szCs w:val="22"/>
        </w:rPr>
      </w:pPr>
      <w:r w:rsidRPr="0067355D">
        <w:rPr>
          <w:rFonts w:ascii="Times New Roman" w:hAnsi="Times New Roman"/>
          <w:szCs w:val="22"/>
        </w:rPr>
        <w:t>background</w:t>
      </w:r>
    </w:p>
    <w:p w:rsidR="00C65067" w:rsidRPr="0067355D" w:rsidP="00795234">
      <w:pPr>
        <w:pStyle w:val="ParaNum"/>
        <w:rPr>
          <w:szCs w:val="22"/>
        </w:rPr>
      </w:pPr>
      <w:r w:rsidRPr="0067355D">
        <w:rPr>
          <w:szCs w:val="22"/>
        </w:rPr>
        <w:t>The Commission is required by Congress to assess regulatory fees each year in an amount that can reasonably be expected to equal the amount of its appropriation.</w:t>
      </w:r>
      <w:r>
        <w:rPr>
          <w:rStyle w:val="FootnoteReference"/>
          <w:sz w:val="22"/>
          <w:szCs w:val="22"/>
        </w:rPr>
        <w:footnoteReference w:id="6"/>
      </w:r>
      <w:r w:rsidRPr="0067355D">
        <w:rPr>
          <w:szCs w:val="22"/>
        </w:rPr>
        <w:t xml:space="preserve">  Regulatory fees</w:t>
      </w:r>
      <w:r w:rsidRPr="0067355D" w:rsidR="00025FFE">
        <w:rPr>
          <w:szCs w:val="22"/>
        </w:rPr>
        <w:t xml:space="preserve">, </w:t>
      </w:r>
      <w:r w:rsidRPr="0067355D">
        <w:rPr>
          <w:szCs w:val="22"/>
        </w:rPr>
        <w:t>mandated by Congress</w:t>
      </w:r>
      <w:r w:rsidRPr="0067355D" w:rsidR="00025FFE">
        <w:rPr>
          <w:szCs w:val="22"/>
        </w:rPr>
        <w:t xml:space="preserve">, </w:t>
      </w:r>
      <w:r w:rsidRPr="0067355D">
        <w:rPr>
          <w:szCs w:val="22"/>
        </w:rPr>
        <w:t xml:space="preserve">are collected “to recover the costs </w:t>
      </w:r>
      <w:r w:rsidRPr="0067355D">
        <w:rPr>
          <w:szCs w:val="22"/>
        </w:rPr>
        <w:t xml:space="preserve">of </w:t>
      </w:r>
      <w:r w:rsidR="00901F1D">
        <w:rPr>
          <w:szCs w:val="22"/>
        </w:rPr>
        <w:t>.</w:t>
      </w:r>
      <w:r w:rsidR="00901F1D">
        <w:rPr>
          <w:szCs w:val="22"/>
        </w:rPr>
        <w:t> . .</w:t>
      </w:r>
      <w:r w:rsidRPr="0067355D">
        <w:rPr>
          <w:szCs w:val="22"/>
        </w:rPr>
        <w:t xml:space="preserve"> enforcement activities, policy and rulemaking activities, user information services, and international activities.”</w:t>
      </w:r>
      <w:r>
        <w:rPr>
          <w:rStyle w:val="FootnoteReference"/>
          <w:szCs w:val="22"/>
        </w:rPr>
        <w:footnoteReference w:id="7"/>
      </w:r>
      <w:r w:rsidRPr="0067355D">
        <w:rPr>
          <w:szCs w:val="22"/>
        </w:rPr>
        <w:t xml:space="preserve">  Regulatory fees are to “be derived by determining the full-time equivalent number of employees performing” these activities, “adjusted to take into account factors that are reasonably related to the benefits provided to the payer of the fee by the Commission’s </w:t>
      </w:r>
      <w:r w:rsidRPr="0067355D">
        <w:rPr>
          <w:szCs w:val="22"/>
        </w:rPr>
        <w:t>activities</w:t>
      </w:r>
      <w:r w:rsidRPr="0067355D" w:rsidR="00516FE3">
        <w:rPr>
          <w:szCs w:val="22"/>
        </w:rPr>
        <w:t xml:space="preserve"> </w:t>
      </w:r>
      <w:r w:rsidR="00901F1D">
        <w:rPr>
          <w:szCs w:val="22"/>
        </w:rPr>
        <w:t>.</w:t>
      </w:r>
      <w:r w:rsidR="00901F1D">
        <w:rPr>
          <w:szCs w:val="22"/>
        </w:rPr>
        <w:t> . . .</w:t>
      </w:r>
      <w:r w:rsidRPr="0067355D">
        <w:rPr>
          <w:szCs w:val="22"/>
        </w:rPr>
        <w:t>.”</w:t>
      </w:r>
      <w:r>
        <w:rPr>
          <w:rStyle w:val="FootnoteReference"/>
          <w:sz w:val="22"/>
          <w:szCs w:val="22"/>
        </w:rPr>
        <w:footnoteReference w:id="8"/>
      </w:r>
      <w:r w:rsidRPr="0067355D">
        <w:rPr>
          <w:szCs w:val="22"/>
        </w:rPr>
        <w:t xml:space="preserve">  Regulatory fees recover direct costs, such as salary and </w:t>
      </w:r>
      <w:r w:rsidRPr="0067355D">
        <w:rPr>
          <w:szCs w:val="22"/>
        </w:rPr>
        <w:t xml:space="preserve">expenses; indirect costs, such as overhead functions; and support costs, such as rent, utilities, </w:t>
      </w:r>
      <w:r w:rsidRPr="0067355D" w:rsidR="00F01212">
        <w:rPr>
          <w:szCs w:val="22"/>
        </w:rPr>
        <w:t>and</w:t>
      </w:r>
      <w:r w:rsidRPr="0067355D">
        <w:rPr>
          <w:szCs w:val="22"/>
        </w:rPr>
        <w:t xml:space="preserve"> equipment.</w:t>
      </w:r>
      <w:r>
        <w:rPr>
          <w:rStyle w:val="FootnoteReference"/>
          <w:sz w:val="22"/>
          <w:szCs w:val="22"/>
        </w:rPr>
        <w:footnoteReference w:id="9"/>
      </w:r>
      <w:r w:rsidRPr="0067355D">
        <w:rPr>
          <w:szCs w:val="22"/>
        </w:rPr>
        <w:t xml:space="preserve">  Regulatory fees also cover the costs incurred in regulating entities that are statutorily exempt from paying regulatory fees,</w:t>
      </w:r>
      <w:r>
        <w:rPr>
          <w:rStyle w:val="FootnoteReference"/>
          <w:sz w:val="22"/>
          <w:szCs w:val="22"/>
        </w:rPr>
        <w:footnoteReference w:id="10"/>
      </w:r>
      <w:r w:rsidRPr="0067355D">
        <w:rPr>
          <w:szCs w:val="22"/>
        </w:rPr>
        <w:t xml:space="preserve"> entities whose regulatory fees are waived,</w:t>
      </w:r>
      <w:r>
        <w:rPr>
          <w:rStyle w:val="FootnoteReference"/>
          <w:sz w:val="22"/>
          <w:szCs w:val="22"/>
        </w:rPr>
        <w:footnoteReference w:id="11"/>
      </w:r>
      <w:r w:rsidRPr="0067355D">
        <w:rPr>
          <w:szCs w:val="22"/>
        </w:rPr>
        <w:t xml:space="preserve"> and entities provid</w:t>
      </w:r>
      <w:r w:rsidRPr="0067355D" w:rsidR="00421EC8">
        <w:rPr>
          <w:szCs w:val="22"/>
        </w:rPr>
        <w:t>ing</w:t>
      </w:r>
      <w:r w:rsidRPr="0067355D">
        <w:rPr>
          <w:szCs w:val="22"/>
        </w:rPr>
        <w:t xml:space="preserve"> services for which we do not assess regulatory fees.  </w:t>
      </w:r>
    </w:p>
    <w:p w:rsidR="00C65067" w:rsidRPr="0067355D" w:rsidP="00795234">
      <w:pPr>
        <w:pStyle w:val="ParaNum"/>
        <w:rPr>
          <w:szCs w:val="22"/>
        </w:rPr>
      </w:pPr>
      <w:r w:rsidRPr="0067355D">
        <w:rPr>
          <w:szCs w:val="22"/>
        </w:rPr>
        <w:t xml:space="preserve">Congress sets the amount </w:t>
      </w:r>
      <w:r w:rsidRPr="0067355D" w:rsidR="009525DF">
        <w:rPr>
          <w:szCs w:val="22"/>
        </w:rPr>
        <w:t xml:space="preserve">of regulatory fees </w:t>
      </w:r>
      <w:r w:rsidRPr="0067355D">
        <w:rPr>
          <w:szCs w:val="22"/>
        </w:rPr>
        <w:t>the Commission must collect each year in the Commission’s fiscal year appropriations.  Section 9(a)(2) of the Communications Act requires the Commission to collect fees sufficient to offset the amount appropriated.</w:t>
      </w:r>
      <w:r>
        <w:rPr>
          <w:rStyle w:val="FootnoteReference"/>
          <w:sz w:val="22"/>
          <w:szCs w:val="22"/>
        </w:rPr>
        <w:footnoteReference w:id="12"/>
      </w:r>
      <w:r w:rsidRPr="0067355D">
        <w:rPr>
          <w:szCs w:val="22"/>
        </w:rPr>
        <w:t xml:space="preserve">  </w:t>
      </w:r>
      <w:r w:rsidRPr="0067355D" w:rsidR="007C62B0">
        <w:rPr>
          <w:szCs w:val="22"/>
        </w:rPr>
        <w:t xml:space="preserve">To calculate regulatory fees, the Commission allocates the total collection target across all regulatory fee categories.  The allocation of fees to fee categories is based on the Commission’s calculation of </w:t>
      </w:r>
      <w:r w:rsidRPr="0067355D" w:rsidR="00D16473">
        <w:rPr>
          <w:szCs w:val="22"/>
        </w:rPr>
        <w:t>Full Time Employees (</w:t>
      </w:r>
      <w:r w:rsidRPr="0067355D" w:rsidR="007C62B0">
        <w:rPr>
          <w:szCs w:val="22"/>
        </w:rPr>
        <w:t>FTEs) in each regulatory fee category.</w:t>
      </w:r>
      <w:r>
        <w:rPr>
          <w:rStyle w:val="FootnoteReference"/>
          <w:sz w:val="22"/>
          <w:szCs w:val="22"/>
        </w:rPr>
        <w:footnoteReference w:id="13"/>
      </w:r>
      <w:r w:rsidRPr="0067355D">
        <w:rPr>
          <w:szCs w:val="22"/>
        </w:rPr>
        <w:t xml:space="preserve"> </w:t>
      </w:r>
      <w:r w:rsidRPr="0067355D" w:rsidR="007C62B0">
        <w:rPr>
          <w:szCs w:val="22"/>
        </w:rPr>
        <w:t xml:space="preserve"> </w:t>
      </w:r>
      <w:r w:rsidRPr="0067355D">
        <w:rPr>
          <w:szCs w:val="22"/>
        </w:rPr>
        <w:t>FTEs are classified as “direct” if the employee is in one of the four “core” bureaus; otherwise, that employee is considered an “indirect” FTE.</w:t>
      </w:r>
      <w:r>
        <w:rPr>
          <w:rStyle w:val="FootnoteReference"/>
          <w:sz w:val="22"/>
          <w:szCs w:val="22"/>
        </w:rPr>
        <w:footnoteReference w:id="14"/>
      </w:r>
      <w:r w:rsidRPr="0067355D">
        <w:rPr>
          <w:szCs w:val="22"/>
        </w:rPr>
        <w:t xml:space="preserve">  The total FTEs for each fee category includes the direct FTEs associated with that category, plus a proportional allocation of indirect FTEs.</w:t>
      </w:r>
      <w:r>
        <w:rPr>
          <w:rStyle w:val="FootnoteReference"/>
          <w:sz w:val="22"/>
          <w:szCs w:val="22"/>
        </w:rPr>
        <w:footnoteReference w:id="15"/>
      </w:r>
      <w:r w:rsidRPr="0067355D">
        <w:rPr>
          <w:szCs w:val="22"/>
        </w:rPr>
        <w:t xml:space="preserve">  The Commission then allocates the total amount to be collected among the various regulatory fee categories</w:t>
      </w:r>
      <w:r w:rsidRPr="0067355D" w:rsidR="0071448E">
        <w:rPr>
          <w:szCs w:val="22"/>
        </w:rPr>
        <w:t xml:space="preserve"> within each of the core bureaus</w:t>
      </w:r>
      <w:r w:rsidRPr="0067355D">
        <w:rPr>
          <w:szCs w:val="22"/>
        </w:rPr>
        <w:t xml:space="preserve">.  Each regulatee within a fee category pays its proportionate share based on an objective measure </w:t>
      </w:r>
      <w:r w:rsidR="008A45D6">
        <w:rPr>
          <w:szCs w:val="22"/>
        </w:rPr>
        <w:t>(</w:t>
      </w:r>
      <w:r w:rsidRPr="0067355D">
        <w:rPr>
          <w:szCs w:val="22"/>
        </w:rPr>
        <w:t>e.g., revenues</w:t>
      </w:r>
      <w:r w:rsidRPr="0067355D" w:rsidR="0071448E">
        <w:rPr>
          <w:szCs w:val="22"/>
        </w:rPr>
        <w:t xml:space="preserve"> or</w:t>
      </w:r>
      <w:r w:rsidRPr="0067355D">
        <w:rPr>
          <w:szCs w:val="22"/>
        </w:rPr>
        <w:t xml:space="preserve"> number of subscribers</w:t>
      </w:r>
      <w:r w:rsidR="008A45D6">
        <w:rPr>
          <w:szCs w:val="22"/>
        </w:rPr>
        <w:t>)</w:t>
      </w:r>
      <w:r w:rsidRPr="0067355D">
        <w:rPr>
          <w:szCs w:val="22"/>
        </w:rPr>
        <w:t>.</w:t>
      </w:r>
      <w:r>
        <w:rPr>
          <w:rStyle w:val="FootnoteReference"/>
          <w:sz w:val="22"/>
          <w:szCs w:val="22"/>
        </w:rPr>
        <w:footnoteReference w:id="16"/>
      </w:r>
      <w:r w:rsidRPr="0067355D">
        <w:rPr>
          <w:szCs w:val="22"/>
        </w:rPr>
        <w:t xml:space="preserve">  </w:t>
      </w:r>
      <w:r w:rsidR="00C6317D">
        <w:rPr>
          <w:szCs w:val="22"/>
        </w:rPr>
        <w:t>The</w:t>
      </w:r>
      <w:r w:rsidR="00B31CD1">
        <w:rPr>
          <w:szCs w:val="22"/>
        </w:rPr>
        <w:t>se</w:t>
      </w:r>
      <w:r w:rsidR="00C6317D">
        <w:rPr>
          <w:szCs w:val="22"/>
        </w:rPr>
        <w:t xml:space="preserve"> calculations are illustrated in Appendix</w:t>
      </w:r>
      <w:r w:rsidR="0068315A">
        <w:rPr>
          <w:szCs w:val="22"/>
        </w:rPr>
        <w:t xml:space="preserve"> B</w:t>
      </w:r>
      <w:r w:rsidR="00C6317D">
        <w:rPr>
          <w:szCs w:val="22"/>
        </w:rPr>
        <w:t>.</w:t>
      </w:r>
      <w:r w:rsidR="00B31CD1">
        <w:rPr>
          <w:szCs w:val="22"/>
        </w:rPr>
        <w:t xml:space="preserve">  The sources for the unit estimates that are used in these calculations are listed in Appendix</w:t>
      </w:r>
      <w:r w:rsidR="0068315A">
        <w:rPr>
          <w:szCs w:val="22"/>
        </w:rPr>
        <w:t xml:space="preserve"> D</w:t>
      </w:r>
      <w:r w:rsidR="00B31CD1">
        <w:rPr>
          <w:szCs w:val="22"/>
        </w:rPr>
        <w:t xml:space="preserve">. </w:t>
      </w:r>
    </w:p>
    <w:p w:rsidR="00D45A24" w:rsidRPr="009A011E" w:rsidP="00901F1D">
      <w:pPr>
        <w:pStyle w:val="ParaNum"/>
        <w:widowControl/>
        <w:rPr>
          <w:szCs w:val="22"/>
        </w:rPr>
      </w:pPr>
      <w:r w:rsidRPr="004B3580">
        <w:rPr>
          <w:szCs w:val="22"/>
        </w:rPr>
        <w:t xml:space="preserve">The Commission annually reviews the regulatory fee schedule, proposes changes to the schedule to reflect changes in the amount of its appropriation, and proposes increases or decreases to the </w:t>
      </w:r>
      <w:r w:rsidRPr="004B3580">
        <w:rPr>
          <w:szCs w:val="22"/>
        </w:rPr>
        <w:t>schedule of regulatory fees.</w:t>
      </w:r>
      <w:r>
        <w:rPr>
          <w:rStyle w:val="FootnoteReference"/>
          <w:sz w:val="22"/>
          <w:szCs w:val="22"/>
        </w:rPr>
        <w:footnoteReference w:id="17"/>
      </w:r>
      <w:r w:rsidRPr="004B3580">
        <w:rPr>
          <w:szCs w:val="22"/>
        </w:rPr>
        <w:t xml:space="preserve">  </w:t>
      </w:r>
      <w:r w:rsidRPr="004B3580" w:rsidR="00F415D5">
        <w:rPr>
          <w:szCs w:val="22"/>
        </w:rPr>
        <w:t>As part of its annual review, t</w:t>
      </w:r>
      <w:r w:rsidRPr="004B3580">
        <w:rPr>
          <w:szCs w:val="22"/>
        </w:rPr>
        <w:t xml:space="preserve">he Commission </w:t>
      </w:r>
      <w:r w:rsidRPr="004B3580" w:rsidR="00250D68">
        <w:rPr>
          <w:szCs w:val="22"/>
        </w:rPr>
        <w:t xml:space="preserve">also </w:t>
      </w:r>
      <w:r w:rsidRPr="004B3580" w:rsidR="00F415D5">
        <w:rPr>
          <w:szCs w:val="22"/>
        </w:rPr>
        <w:t xml:space="preserve">regularly seeks to </w:t>
      </w:r>
      <w:r w:rsidRPr="004B3580">
        <w:rPr>
          <w:szCs w:val="22"/>
        </w:rPr>
        <w:t xml:space="preserve">improve </w:t>
      </w:r>
      <w:r w:rsidRPr="004B3580" w:rsidR="007A28BC">
        <w:rPr>
          <w:szCs w:val="22"/>
        </w:rPr>
        <w:t xml:space="preserve">the </w:t>
      </w:r>
      <w:r w:rsidRPr="004B3580">
        <w:rPr>
          <w:szCs w:val="22"/>
        </w:rPr>
        <w:t xml:space="preserve">regulatory fee </w:t>
      </w:r>
      <w:r w:rsidRPr="004B3580" w:rsidR="00E930FD">
        <w:rPr>
          <w:szCs w:val="22"/>
        </w:rPr>
        <w:t>process</w:t>
      </w:r>
      <w:r w:rsidRPr="004B3580" w:rsidR="00F415D5">
        <w:rPr>
          <w:szCs w:val="22"/>
        </w:rPr>
        <w:t>.</w:t>
      </w:r>
      <w:r>
        <w:rPr>
          <w:rStyle w:val="FootnoteReference"/>
          <w:sz w:val="22"/>
          <w:szCs w:val="22"/>
        </w:rPr>
        <w:footnoteReference w:id="18"/>
      </w:r>
      <w:r w:rsidRPr="004B3580" w:rsidR="00F415D5">
        <w:rPr>
          <w:szCs w:val="22"/>
        </w:rPr>
        <w:t xml:space="preserve">  </w:t>
      </w:r>
    </w:p>
    <w:p w:rsidR="009B741C" w:rsidRPr="0067355D" w:rsidP="00D276F9">
      <w:pPr>
        <w:pStyle w:val="ParaNum"/>
        <w:widowControl/>
      </w:pPr>
      <w:r>
        <w:t xml:space="preserve">In </w:t>
      </w:r>
      <w:r w:rsidR="00895701">
        <w:t xml:space="preserve">the </w:t>
      </w:r>
      <w:r w:rsidRPr="004B3580">
        <w:rPr>
          <w:i/>
        </w:rPr>
        <w:t xml:space="preserve">FY 2018 </w:t>
      </w:r>
      <w:r w:rsidR="00901F1D">
        <w:rPr>
          <w:i/>
        </w:rPr>
        <w:t>Notice of Proposed Rulemaking</w:t>
      </w:r>
      <w:r>
        <w:t xml:space="preserve">, </w:t>
      </w:r>
      <w:r w:rsidR="00035258">
        <w:t xml:space="preserve">the Commission </w:t>
      </w:r>
      <w:r>
        <w:t xml:space="preserve">proposed to collect </w:t>
      </w:r>
      <w:r w:rsidRPr="004B3580">
        <w:rPr>
          <w:szCs w:val="22"/>
        </w:rPr>
        <w:t xml:space="preserve">$322,035,000 in regulatory fees for FY 2018 and </w:t>
      </w:r>
      <w:r w:rsidR="004B3580">
        <w:rPr>
          <w:szCs w:val="22"/>
        </w:rPr>
        <w:t>sought comment on</w:t>
      </w:r>
      <w:r w:rsidRPr="004B3580" w:rsidR="004B3580">
        <w:rPr>
          <w:szCs w:val="22"/>
        </w:rPr>
        <w:t xml:space="preserve"> </w:t>
      </w:r>
      <w:r w:rsidRPr="004B3580">
        <w:rPr>
          <w:szCs w:val="22"/>
        </w:rPr>
        <w:t>a detailed propose</w:t>
      </w:r>
      <w:r w:rsidRPr="004B3580" w:rsidR="00155173">
        <w:rPr>
          <w:szCs w:val="22"/>
        </w:rPr>
        <w:t xml:space="preserve">d </w:t>
      </w:r>
      <w:r w:rsidRPr="004B3580" w:rsidR="00D63C14">
        <w:rPr>
          <w:szCs w:val="22"/>
        </w:rPr>
        <w:t>fee schedule.</w:t>
      </w:r>
      <w:r>
        <w:rPr>
          <w:rStyle w:val="FootnoteReference"/>
          <w:szCs w:val="22"/>
        </w:rPr>
        <w:footnoteReference w:id="19"/>
      </w:r>
      <w:r w:rsidRPr="004B3580" w:rsidR="00D63C14">
        <w:rPr>
          <w:szCs w:val="22"/>
        </w:rPr>
        <w:t xml:space="preserve">  </w:t>
      </w:r>
      <w:r w:rsidR="004B3580">
        <w:rPr>
          <w:szCs w:val="22"/>
        </w:rPr>
        <w:t>The Commission sought comment specifically on an incremental increase in the DBS regulatory fee</w:t>
      </w:r>
      <w:r>
        <w:rPr>
          <w:rStyle w:val="FootnoteReference"/>
          <w:szCs w:val="22"/>
        </w:rPr>
        <w:footnoteReference w:id="20"/>
      </w:r>
      <w:r w:rsidR="004B3580">
        <w:rPr>
          <w:szCs w:val="22"/>
        </w:rPr>
        <w:t xml:space="preserve"> and on proposed regulato</w:t>
      </w:r>
      <w:r w:rsidR="0059091A">
        <w:rPr>
          <w:szCs w:val="22"/>
        </w:rPr>
        <w:t>r</w:t>
      </w:r>
      <w:r w:rsidR="004B3580">
        <w:rPr>
          <w:szCs w:val="22"/>
        </w:rPr>
        <w:t xml:space="preserve">y fees for </w:t>
      </w:r>
      <w:r w:rsidR="00407A90">
        <w:rPr>
          <w:szCs w:val="22"/>
        </w:rPr>
        <w:t>terrestrial and satellite international bearer circuits for FY 2018.</w:t>
      </w:r>
      <w:r>
        <w:rPr>
          <w:rStyle w:val="FootnoteReference"/>
          <w:szCs w:val="22"/>
        </w:rPr>
        <w:footnoteReference w:id="21"/>
      </w:r>
      <w:r w:rsidR="00407A90">
        <w:rPr>
          <w:szCs w:val="22"/>
        </w:rPr>
        <w:t xml:space="preserve">  Additionally, the Commission sought comment on </w:t>
      </w:r>
      <w:r w:rsidR="00D20A19">
        <w:rPr>
          <w:szCs w:val="22"/>
        </w:rPr>
        <w:t>the methodology for calculating broadcast television stati</w:t>
      </w:r>
      <w:r w:rsidR="009177C8">
        <w:rPr>
          <w:szCs w:val="22"/>
        </w:rPr>
        <w:t>o</w:t>
      </w:r>
      <w:r w:rsidR="00D20A19">
        <w:rPr>
          <w:szCs w:val="22"/>
        </w:rPr>
        <w:t>n regulatory fees for FY 2019</w:t>
      </w:r>
      <w:r>
        <w:rPr>
          <w:rStyle w:val="FootnoteReference"/>
          <w:szCs w:val="22"/>
        </w:rPr>
        <w:footnoteReference w:id="22"/>
      </w:r>
      <w:r w:rsidR="00D20A19">
        <w:rPr>
          <w:szCs w:val="22"/>
        </w:rPr>
        <w:t xml:space="preserve"> and whether to adopt a new regulatory fee category for small satellites for FY 2019</w:t>
      </w:r>
      <w:r w:rsidR="00A27BE8">
        <w:rPr>
          <w:szCs w:val="22"/>
        </w:rPr>
        <w:t>, and if so, what the appropriate regulatory fee for small satellites should be</w:t>
      </w:r>
      <w:r w:rsidR="00D20A19">
        <w:rPr>
          <w:szCs w:val="22"/>
        </w:rPr>
        <w:t>.</w:t>
      </w:r>
      <w:r>
        <w:rPr>
          <w:rStyle w:val="FootnoteReference"/>
          <w:szCs w:val="22"/>
        </w:rPr>
        <w:footnoteReference w:id="23"/>
      </w:r>
      <w:r w:rsidR="00D20A19">
        <w:rPr>
          <w:szCs w:val="22"/>
        </w:rPr>
        <w:t xml:space="preserve"> </w:t>
      </w:r>
      <w:r w:rsidR="004B3580">
        <w:rPr>
          <w:szCs w:val="22"/>
        </w:rPr>
        <w:t xml:space="preserve"> </w:t>
      </w:r>
      <w:r w:rsidRPr="004B3580" w:rsidR="00D63C14">
        <w:rPr>
          <w:szCs w:val="22"/>
        </w:rPr>
        <w:t xml:space="preserve">We received </w:t>
      </w:r>
      <w:r w:rsidRPr="004B3580" w:rsidR="00E0345D">
        <w:rPr>
          <w:szCs w:val="22"/>
        </w:rPr>
        <w:t>9</w:t>
      </w:r>
      <w:r w:rsidRPr="004B3580" w:rsidR="00155173">
        <w:rPr>
          <w:szCs w:val="22"/>
        </w:rPr>
        <w:t xml:space="preserve"> </w:t>
      </w:r>
      <w:r w:rsidRPr="004B3580" w:rsidR="0079275B">
        <w:rPr>
          <w:szCs w:val="22"/>
        </w:rPr>
        <w:t>comments and four</w:t>
      </w:r>
      <w:r w:rsidRPr="004B3580">
        <w:rPr>
          <w:szCs w:val="22"/>
        </w:rPr>
        <w:t xml:space="preserve"> reply comments</w:t>
      </w:r>
      <w:r w:rsidR="00357594">
        <w:rPr>
          <w:szCs w:val="22"/>
        </w:rPr>
        <w:t xml:space="preserve"> on the </w:t>
      </w:r>
      <w:r w:rsidRPr="00357594" w:rsidR="00357594">
        <w:rPr>
          <w:i/>
          <w:szCs w:val="22"/>
        </w:rPr>
        <w:t>FY 2018 NPRM</w:t>
      </w:r>
      <w:r w:rsidRPr="004B3580">
        <w:rPr>
          <w:szCs w:val="22"/>
        </w:rPr>
        <w:t>.</w:t>
      </w:r>
      <w:r>
        <w:rPr>
          <w:rStyle w:val="FootnoteReference"/>
          <w:szCs w:val="22"/>
        </w:rPr>
        <w:footnoteReference w:id="24"/>
      </w:r>
      <w:r w:rsidRPr="004B3580" w:rsidR="00C9063D">
        <w:rPr>
          <w:szCs w:val="22"/>
        </w:rPr>
        <w:t xml:space="preserve">  </w:t>
      </w:r>
    </w:p>
    <w:p w:rsidR="00C61D00" w:rsidP="00C61D00">
      <w:pPr>
        <w:pStyle w:val="Heading1"/>
        <w:rPr>
          <w:rFonts w:ascii="Times New Roman" w:hAnsi="Times New Roman"/>
          <w:szCs w:val="22"/>
        </w:rPr>
      </w:pPr>
      <w:bookmarkStart w:id="0" w:name="_Toc491865030"/>
      <w:bookmarkStart w:id="1" w:name="_Toc491865445"/>
      <w:r w:rsidRPr="0067355D">
        <w:rPr>
          <w:rFonts w:ascii="Times New Roman" w:hAnsi="Times New Roman"/>
          <w:szCs w:val="22"/>
        </w:rPr>
        <w:t>report and Order</w:t>
      </w:r>
    </w:p>
    <w:p w:rsidR="0008248D" w:rsidRPr="0008248D" w:rsidP="00483152">
      <w:pPr>
        <w:pStyle w:val="ParaNum"/>
      </w:pPr>
      <w:r w:rsidRPr="0008248D">
        <w:t xml:space="preserve">In this </w:t>
      </w:r>
      <w:r w:rsidRPr="00566681" w:rsidR="00483152">
        <w:rPr>
          <w:i/>
        </w:rPr>
        <w:t xml:space="preserve">FY 2018 </w:t>
      </w:r>
      <w:r w:rsidRPr="00566681">
        <w:rPr>
          <w:i/>
        </w:rPr>
        <w:t>Report and Order</w:t>
      </w:r>
      <w:r w:rsidRPr="0008248D">
        <w:t xml:space="preserve">, we adopt </w:t>
      </w:r>
      <w:r w:rsidR="00A34A2D">
        <w:t>the</w:t>
      </w:r>
      <w:r w:rsidRPr="0008248D" w:rsidR="00A34A2D">
        <w:t xml:space="preserve"> </w:t>
      </w:r>
      <w:r w:rsidRPr="0008248D">
        <w:t xml:space="preserve">regulatory fee schedule </w:t>
      </w:r>
      <w:r w:rsidR="007F6C48">
        <w:t xml:space="preserve">proposed in the </w:t>
      </w:r>
      <w:r w:rsidRPr="007F6C48" w:rsidR="007F6C48">
        <w:rPr>
          <w:i/>
        </w:rPr>
        <w:t xml:space="preserve">FY 2018 NPRM </w:t>
      </w:r>
      <w:r w:rsidRPr="0008248D">
        <w:t>for FY 2018, pursuant to section 9 of the Communications Act</w:t>
      </w:r>
      <w:r w:rsidR="00A34A2D">
        <w:t>, to collect $322,035,000 in regulatory fees</w:t>
      </w:r>
      <w:r w:rsidRPr="0008248D">
        <w:t xml:space="preserve">.  Of this amount, we project approximately </w:t>
      </w:r>
      <w:r w:rsidR="0046509F">
        <w:t>$20.3</w:t>
      </w:r>
      <w:r w:rsidRPr="0008248D">
        <w:t xml:space="preserve"> million (</w:t>
      </w:r>
      <w:r w:rsidR="0046509F">
        <w:t>6.25</w:t>
      </w:r>
      <w:r w:rsidRPr="0008248D">
        <w:t xml:space="preserve"> percent of the total FTE allocation) in fees from the International Bur</w:t>
      </w:r>
      <w:r w:rsidR="005775F9">
        <w:t>e</w:t>
      </w:r>
      <w:r w:rsidRPr="0008248D">
        <w:t xml:space="preserve">au </w:t>
      </w:r>
      <w:r w:rsidRPr="0008248D">
        <w:t>regulatees</w:t>
      </w:r>
      <w:r w:rsidRPr="0008248D">
        <w:t xml:space="preserve">; </w:t>
      </w:r>
      <w:r w:rsidR="0046509F">
        <w:t>$84.7</w:t>
      </w:r>
      <w:r w:rsidRPr="0008248D">
        <w:t xml:space="preserve"> million (</w:t>
      </w:r>
      <w:r w:rsidR="0046509F">
        <w:t>26.3</w:t>
      </w:r>
      <w:r w:rsidRPr="0008248D">
        <w:t xml:space="preserve"> percent of the total FTE allocation) in fees from the Wireless Telecommunications Bureau </w:t>
      </w:r>
      <w:r w:rsidRPr="0008248D">
        <w:t>regulatees</w:t>
      </w:r>
      <w:r w:rsidRPr="0008248D">
        <w:t xml:space="preserve">; </w:t>
      </w:r>
      <w:r w:rsidR="00FD0E86">
        <w:t>$103.99</w:t>
      </w:r>
      <w:r w:rsidRPr="0008248D">
        <w:t xml:space="preserve"> million (</w:t>
      </w:r>
      <w:r w:rsidR="002D07C0">
        <w:t>32.29</w:t>
      </w:r>
      <w:r w:rsidRPr="0008248D">
        <w:t xml:space="preserve"> percent of the total FTE allocation) in fees from the Wireline Competition Bureau </w:t>
      </w:r>
      <w:r w:rsidRPr="0008248D">
        <w:t>regulatees</w:t>
      </w:r>
      <w:r w:rsidRPr="0008248D">
        <w:t xml:space="preserve">; and </w:t>
      </w:r>
      <w:r w:rsidR="002D07C0">
        <w:t>$113.22</w:t>
      </w:r>
      <w:r w:rsidRPr="0008248D">
        <w:t xml:space="preserve"> million (</w:t>
      </w:r>
      <w:r w:rsidR="002D07C0">
        <w:t>35.16</w:t>
      </w:r>
      <w:r w:rsidRPr="0008248D">
        <w:t xml:space="preserve"> percent of the total FTE allocation) in fees from the Media Bureau </w:t>
      </w:r>
      <w:r w:rsidRPr="0008248D">
        <w:t>regulatees</w:t>
      </w:r>
      <w:r w:rsidRPr="0008248D">
        <w:t>.  These regulatory fees are due in September 2018.  The schedule of regulatory fees for FY 2018 adopted here</w:t>
      </w:r>
      <w:r w:rsidR="00A34A2D">
        <w:t>in</w:t>
      </w:r>
      <w:r w:rsidRPr="0008248D">
        <w:t xml:space="preserve"> is attached as Appendix </w:t>
      </w:r>
      <w:r w:rsidR="00604FC4">
        <w:t>C</w:t>
      </w:r>
      <w:r w:rsidRPr="0008248D">
        <w:t>.</w:t>
      </w:r>
    </w:p>
    <w:p w:rsidR="00BE0844" w:rsidRPr="0067355D" w:rsidP="00E30062">
      <w:pPr>
        <w:pStyle w:val="Heading2"/>
      </w:pPr>
      <w:r>
        <w:t>FY</w:t>
      </w:r>
      <w:r w:rsidR="00633FBD">
        <w:t xml:space="preserve"> </w:t>
      </w:r>
      <w:r>
        <w:t xml:space="preserve">2018 Adjustment: </w:t>
      </w:r>
      <w:r w:rsidR="00845142">
        <w:rPr>
          <w:szCs w:val="22"/>
        </w:rPr>
        <w:t>Video Distribution Provider</w:t>
      </w:r>
      <w:r w:rsidRPr="00B556FE" w:rsidR="001C2ADB">
        <w:rPr>
          <w:szCs w:val="22"/>
        </w:rPr>
        <w:t xml:space="preserve"> </w:t>
      </w:r>
      <w:r w:rsidRPr="0067355D">
        <w:t>Regulatory Fees</w:t>
      </w:r>
    </w:p>
    <w:p w:rsidR="005528ED" w:rsidRPr="00E30062" w:rsidP="005528ED">
      <w:pPr>
        <w:pStyle w:val="ParaNum"/>
        <w:widowControl/>
        <w:rPr>
          <w:szCs w:val="22"/>
        </w:rPr>
      </w:pPr>
      <w:r>
        <w:rPr>
          <w:szCs w:val="22"/>
        </w:rPr>
        <w:t xml:space="preserve">Among other activities, the Media Bureau oversees </w:t>
      </w:r>
      <w:r w:rsidR="00845142">
        <w:rPr>
          <w:szCs w:val="22"/>
        </w:rPr>
        <w:t>the regulation of video distribution providers like</w:t>
      </w:r>
      <w:r>
        <w:rPr>
          <w:szCs w:val="22"/>
        </w:rPr>
        <w:t xml:space="preserve"> </w:t>
      </w:r>
      <w:r w:rsidRPr="00B556FE">
        <w:rPr>
          <w:szCs w:val="22"/>
        </w:rPr>
        <w:t>multichannel video programming distributors (MVPDs)</w:t>
      </w:r>
      <w:r>
        <w:rPr>
          <w:szCs w:val="22"/>
        </w:rPr>
        <w:t xml:space="preserve">, i.e., regulated </w:t>
      </w:r>
      <w:r>
        <w:t>companies that make available for purchase, by subscribers or customers, multiple channels of video programming</w:t>
      </w:r>
      <w:r w:rsidR="00845142">
        <w:t xml:space="preserve">.  </w:t>
      </w:r>
      <w:r w:rsidR="00525A16">
        <w:t>The Media Bureau relies on a common pool of FTEs to carry out its oversight of MVPDs and other video distribution providers</w:t>
      </w:r>
      <w:r w:rsidR="00A25E5A">
        <w:t>.  These</w:t>
      </w:r>
      <w:r>
        <w:t xml:space="preserve"> responsibilities include market modifications, local-into-local, must-carry and retransmission consent disputes, program carriage and program access complaints, over-the-air reception device declaratory rulings and waivers, media rule modernization, media ownership, and proposed transactions.</w:t>
      </w:r>
      <w:r>
        <w:rPr>
          <w:rStyle w:val="FootnoteReference"/>
        </w:rPr>
        <w:footnoteReference w:id="25"/>
      </w:r>
    </w:p>
    <w:p w:rsidR="001C2ADB" w:rsidP="00397214">
      <w:pPr>
        <w:pStyle w:val="ParaNum"/>
        <w:widowControl/>
        <w:rPr>
          <w:szCs w:val="22"/>
        </w:rPr>
      </w:pPr>
      <w:r>
        <w:t xml:space="preserve">For these activities in FY 2018, the Commission must collect $62,330,000 in regulatory fees from three categories of providers:  cable TV systems, IPTV providers, and direct broadcast satellite (DBS) operators.  </w:t>
      </w:r>
      <w:r w:rsidR="00525A16">
        <w:t xml:space="preserve">Although the Commission decided to assess cable TV systems and IPTV providers the same for regulatory fee purposes—assessing each provider based on its subscribership—the Commission took a different approach when </w:t>
      </w:r>
      <w:r w:rsidR="00A449CF">
        <w:t>it began to assess Media Bureau-</w:t>
      </w:r>
      <w:r w:rsidR="00363267">
        <w:t xml:space="preserve">based regulatory </w:t>
      </w:r>
      <w:r w:rsidR="00525A16">
        <w:t xml:space="preserve">fees on DBS operators.  Specifically, </w:t>
      </w:r>
      <w:r w:rsidR="00525A16">
        <w:rPr>
          <w:szCs w:val="22"/>
        </w:rPr>
        <w:t>the Commission decided to phase in the new Media Bureau-based regulatory fee for DBS, starting at 12 cents per subscriber per year.</w:t>
      </w:r>
      <w:r>
        <w:rPr>
          <w:rStyle w:val="FootnoteReference"/>
          <w:szCs w:val="22"/>
        </w:rPr>
        <w:footnoteReference w:id="26"/>
      </w:r>
      <w:r w:rsidR="00525A16">
        <w:rPr>
          <w:szCs w:val="22"/>
        </w:rPr>
        <w:t xml:space="preserve">  At the same time, the</w:t>
      </w:r>
      <w:r w:rsidRPr="00B556FE" w:rsidR="00525A16">
        <w:rPr>
          <w:szCs w:val="22"/>
        </w:rPr>
        <w:t xml:space="preserve"> Commission committed to updating the regulatory fee rate </w:t>
      </w:r>
      <w:r w:rsidR="00525A16">
        <w:rPr>
          <w:szCs w:val="22"/>
        </w:rPr>
        <w:t>in future years “</w:t>
      </w:r>
      <w:r w:rsidRPr="00B556FE" w:rsidR="00525A16">
        <w:rPr>
          <w:szCs w:val="22"/>
        </w:rPr>
        <w:t xml:space="preserve">as necessary </w:t>
      </w:r>
      <w:r w:rsidR="00525A16">
        <w:rPr>
          <w:szCs w:val="22"/>
        </w:rPr>
        <w:t>for ensuring</w:t>
      </w:r>
      <w:r w:rsidRPr="00B556FE" w:rsidR="00525A16">
        <w:rPr>
          <w:szCs w:val="22"/>
        </w:rPr>
        <w:t xml:space="preserve"> an appropriate level of regulatory </w:t>
      </w:r>
      <w:r w:rsidR="00525A16">
        <w:rPr>
          <w:szCs w:val="22"/>
        </w:rPr>
        <w:t>parity and considering</w:t>
      </w:r>
      <w:r w:rsidRPr="00B556FE" w:rsidR="00525A16">
        <w:rPr>
          <w:szCs w:val="22"/>
        </w:rPr>
        <w:t xml:space="preserve"> the resources dedicated to </w:t>
      </w:r>
      <w:r w:rsidR="00525A16">
        <w:rPr>
          <w:szCs w:val="22"/>
        </w:rPr>
        <w:t>this new regulatory fee subcategory</w:t>
      </w:r>
      <w:r w:rsidRPr="00B556FE" w:rsidR="00525A16">
        <w:rPr>
          <w:szCs w:val="22"/>
        </w:rPr>
        <w:t>.</w:t>
      </w:r>
      <w:r w:rsidR="00525A16">
        <w:rPr>
          <w:szCs w:val="22"/>
        </w:rPr>
        <w:t>”</w:t>
      </w:r>
      <w:r>
        <w:rPr>
          <w:rStyle w:val="ParaNumChar1"/>
          <w:szCs w:val="22"/>
          <w:vertAlign w:val="superscript"/>
        </w:rPr>
        <w:footnoteReference w:id="27"/>
      </w:r>
      <w:r w:rsidR="00525A16">
        <w:rPr>
          <w:szCs w:val="22"/>
        </w:rPr>
        <w:t xml:space="preserve">  Accordingly, the Commission increased the regula</w:t>
      </w:r>
      <w:r w:rsidR="00A359FF">
        <w:rPr>
          <w:szCs w:val="22"/>
        </w:rPr>
        <w:t>tory fee for DBS operators to 27</w:t>
      </w:r>
      <w:r w:rsidR="00525A16">
        <w:rPr>
          <w:szCs w:val="22"/>
        </w:rPr>
        <w:t xml:space="preserve"> cents </w:t>
      </w:r>
      <w:r w:rsidR="00296466">
        <w:rPr>
          <w:szCs w:val="22"/>
        </w:rPr>
        <w:t>(including a three</w:t>
      </w:r>
      <w:r w:rsidR="00A359FF">
        <w:rPr>
          <w:szCs w:val="22"/>
        </w:rPr>
        <w:t xml:space="preserve"> cent moving fee) and then 38</w:t>
      </w:r>
      <w:r w:rsidR="00525A16">
        <w:rPr>
          <w:szCs w:val="22"/>
        </w:rPr>
        <w:t xml:space="preserve"> cents </w:t>
      </w:r>
      <w:r w:rsidR="00A359FF">
        <w:rPr>
          <w:szCs w:val="22"/>
        </w:rPr>
        <w:t xml:space="preserve">(including a two cent moving fee) </w:t>
      </w:r>
      <w:r w:rsidR="00525A16">
        <w:rPr>
          <w:szCs w:val="22"/>
        </w:rPr>
        <w:t>per subscriber per year, with the regulatory fees paid by DBS operators reducing those paid by other MVPDs.</w:t>
      </w:r>
      <w:r>
        <w:rPr>
          <w:rStyle w:val="FootnoteReference"/>
          <w:szCs w:val="22"/>
        </w:rPr>
        <w:footnoteReference w:id="28"/>
      </w:r>
    </w:p>
    <w:p w:rsidR="000E23E7" w:rsidP="00811FD0">
      <w:pPr>
        <w:pStyle w:val="ParaNum"/>
      </w:pPr>
      <w:r w:rsidRPr="001C3462">
        <w:t xml:space="preserve">For FY 2018, </w:t>
      </w:r>
      <w:r w:rsidR="00525A16">
        <w:t xml:space="preserve">the Commission </w:t>
      </w:r>
      <w:r w:rsidR="00661DBE">
        <w:t xml:space="preserve">proposed to </w:t>
      </w:r>
      <w:r w:rsidR="00BF6B24">
        <w:t>continue the transition by increasing</w:t>
      </w:r>
      <w:r w:rsidR="00661DBE">
        <w:t xml:space="preserve"> </w:t>
      </w:r>
      <w:r w:rsidR="00CF5911">
        <w:t xml:space="preserve">the </w:t>
      </w:r>
      <w:r w:rsidRPr="00362D3C" w:rsidR="005E7089">
        <w:t xml:space="preserve">DBS regulatory fee rate </w:t>
      </w:r>
      <w:r w:rsidR="00CF5911">
        <w:t xml:space="preserve">to </w:t>
      </w:r>
      <w:r w:rsidRPr="00362D3C" w:rsidR="005E7089">
        <w:t>4</w:t>
      </w:r>
      <w:r w:rsidR="005E7089">
        <w:t>8 cents per subscriber per year</w:t>
      </w:r>
      <w:r w:rsidR="001C3462">
        <w:t xml:space="preserve">, </w:t>
      </w:r>
      <w:r w:rsidR="003C7D9D">
        <w:t xml:space="preserve">thereby </w:t>
      </w:r>
      <w:r w:rsidR="00BF6B24">
        <w:t>leaving other MVPDs with a regulatory fee of</w:t>
      </w:r>
      <w:r w:rsidR="003C7D9D">
        <w:t xml:space="preserve"> 77 cents per subscribe</w:t>
      </w:r>
      <w:r w:rsidR="001C3462">
        <w:t>r</w:t>
      </w:r>
      <w:r w:rsidR="003C7D9D">
        <w:t xml:space="preserve"> per year</w:t>
      </w:r>
      <w:r w:rsidRPr="00362D3C" w:rsidR="005E7089">
        <w:t>.</w:t>
      </w:r>
      <w:r>
        <w:rPr>
          <w:rStyle w:val="FootnoteReference"/>
        </w:rPr>
        <w:footnoteReference w:id="29"/>
      </w:r>
      <w:r w:rsidRPr="00362D3C" w:rsidR="005E7089">
        <w:t xml:space="preserve"> </w:t>
      </w:r>
      <w:r w:rsidR="005E7089">
        <w:t xml:space="preserve"> </w:t>
      </w:r>
      <w:r w:rsidR="00811FD0">
        <w:t>Although a common pool of FTEs work on MVPD and related issues for DBS operators, IPTV providers, and cable TV systems, which some commenters argue justifies immediate parity in regulatory fees across these providers,</w:t>
      </w:r>
      <w:r>
        <w:rPr>
          <w:rStyle w:val="FootnoteReference"/>
        </w:rPr>
        <w:footnoteReference w:id="30"/>
      </w:r>
      <w:r w:rsidR="00811FD0">
        <w:t xml:space="preserve"> we believe it prudent to </w:t>
      </w:r>
      <w:r w:rsidR="00591E92">
        <w:t>adopt our proposal</w:t>
      </w:r>
      <w:r w:rsidR="00FF03DB">
        <w:t xml:space="preserve"> to increase such rates by less than one cent per subscriber per month, or 10 cents per subscriber per year</w:t>
      </w:r>
      <w:r w:rsidR="00811FD0">
        <w:t xml:space="preserve">.  Doing so reflects the statutory imperative to take into account the FTEs devoted to oversight of this common category of </w:t>
      </w:r>
      <w:r w:rsidR="00811FD0">
        <w:t>regulatees</w:t>
      </w:r>
      <w:r w:rsidR="00811FD0">
        <w:t>, “</w:t>
      </w:r>
      <w:r w:rsidRPr="00811FD0" w:rsidR="00811FD0">
        <w:t xml:space="preserve">adjusted to take into account factors that are reasonably related to the benefits provided to the payor of the fee </w:t>
      </w:r>
      <w:r w:rsidR="00811FD0">
        <w:t xml:space="preserve">by the Commission’s activities, including . . . </w:t>
      </w:r>
      <w:r w:rsidRPr="00811FD0" w:rsidR="00811FD0">
        <w:t>factors that the Commission determines are necessary in the public interest</w:t>
      </w:r>
      <w:r w:rsidR="00811FD0">
        <w:t>,”</w:t>
      </w:r>
      <w:r>
        <w:rPr>
          <w:rStyle w:val="FootnoteReference"/>
        </w:rPr>
        <w:footnoteReference w:id="31"/>
      </w:r>
      <w:r w:rsidR="00811FD0">
        <w:t xml:space="preserve"> such as our concern to mitigate the impact of increases on MVPDs should we move </w:t>
      </w:r>
      <w:r w:rsidR="00591E92">
        <w:t>to</w:t>
      </w:r>
      <w:r w:rsidR="00811FD0">
        <w:t xml:space="preserve"> immediate parity (which a regulatory fee of 67 cents per subscriber per year would achieve).</w:t>
      </w:r>
      <w:r>
        <w:rPr>
          <w:rStyle w:val="FootnoteReference"/>
        </w:rPr>
        <w:footnoteReference w:id="32"/>
      </w:r>
      <w:r w:rsidR="00811FD0">
        <w:t xml:space="preserve"> </w:t>
      </w:r>
    </w:p>
    <w:p w:rsidR="008D0BC1" w:rsidP="00811FD0">
      <w:pPr>
        <w:pStyle w:val="ParaNum"/>
      </w:pPr>
      <w:r>
        <w:t xml:space="preserve">AT&amp;T and DISH—the two DBS operators—reiterate several arguments against any increase in DBS regulatory fees that they have raised, and the Commission has rejected, in previous years.  </w:t>
      </w:r>
      <w:r w:rsidR="00977989">
        <w:t>For example, AT&amp;T and DISH claim that the proposed fee increase will result in “rate shock,”</w:t>
      </w:r>
      <w:r>
        <w:rPr>
          <w:rStyle w:val="FootnoteReference"/>
        </w:rPr>
        <w:footnoteReference w:id="33"/>
      </w:r>
      <w:r w:rsidR="00977989">
        <w:t xml:space="preserve"> </w:t>
      </w:r>
      <w:r w:rsidR="00DB653C">
        <w:t xml:space="preserve">even though </w:t>
      </w:r>
      <w:r w:rsidR="00BC4715">
        <w:t xml:space="preserve">last year </w:t>
      </w:r>
      <w:r w:rsidR="00DB653C">
        <w:t>the Commission held an increase of about one penny per subscriber per month would not cause such shock</w:t>
      </w:r>
      <w:r w:rsidR="00977989">
        <w:t>.</w:t>
      </w:r>
      <w:r>
        <w:rPr>
          <w:rStyle w:val="FootnoteReference"/>
        </w:rPr>
        <w:footnoteReference w:id="34"/>
      </w:r>
      <w:r w:rsidR="00977989">
        <w:t xml:space="preserve"> </w:t>
      </w:r>
      <w:r w:rsidR="00DB653C">
        <w:t xml:space="preserve"> </w:t>
      </w:r>
      <w:r w:rsidR="00BC4715">
        <w:t xml:space="preserve">AT&amp;T and DISH </w:t>
      </w:r>
      <w:r w:rsidR="009504DA">
        <w:t xml:space="preserve">also </w:t>
      </w:r>
      <w:r w:rsidR="00977989">
        <w:t xml:space="preserve">claim the Commission </w:t>
      </w:r>
      <w:r w:rsidR="00B21998">
        <w:t>cannot increase DBS regulatory fees without an allocation of “</w:t>
      </w:r>
      <w:r w:rsidR="00977989">
        <w:t>additional FTEs to handle DBS matters</w:t>
      </w:r>
      <w:r w:rsidR="00B21998">
        <w:t>,</w:t>
      </w:r>
      <w:r w:rsidR="00977989">
        <w:t>”</w:t>
      </w:r>
      <w:r>
        <w:rPr>
          <w:rStyle w:val="FootnoteReference"/>
        </w:rPr>
        <w:footnoteReference w:id="35"/>
      </w:r>
      <w:r w:rsidR="00977989">
        <w:t xml:space="preserve"> </w:t>
      </w:r>
      <w:r w:rsidR="00B21998">
        <w:t xml:space="preserve">even though last year the </w:t>
      </w:r>
      <w:r w:rsidR="00977989">
        <w:t>Commission held</w:t>
      </w:r>
      <w:r w:rsidR="00B21998">
        <w:t xml:space="preserve"> that</w:t>
      </w:r>
      <w:r w:rsidR="00977989">
        <w:t xml:space="preserve"> the DBS regulatory fee is based on the significant number of Media Bureau FTEs that work on MVPD issues that include DBS, “not a particular number of FTEs focused solely on DBS” or “specific recent proceedings.”</w:t>
      </w:r>
      <w:r>
        <w:rPr>
          <w:rStyle w:val="FootnoteReference"/>
        </w:rPr>
        <w:footnoteReference w:id="36"/>
      </w:r>
      <w:r w:rsidR="00977989">
        <w:t xml:space="preserve">  </w:t>
      </w:r>
      <w:r w:rsidR="00B21998">
        <w:t>For the</w:t>
      </w:r>
      <w:r w:rsidR="009504DA">
        <w:t>se</w:t>
      </w:r>
      <w:r w:rsidR="00B21998">
        <w:t xml:space="preserve"> reasons, we reject these arguments and agree with commenters that the continued participation of DBS operators in Commission proceeding</w:t>
      </w:r>
      <w:r w:rsidR="00E30062">
        <w:t>s</w:t>
      </w:r>
      <w:r w:rsidR="00B21998">
        <w:t xml:space="preserve">, </w:t>
      </w:r>
      <w:r w:rsidR="00E30062">
        <w:t>along with the use of a common pool of FTEs to oversee MVPD matters (including matters related to DBS operators in particular), justifies a</w:t>
      </w:r>
      <w:r w:rsidR="009504DA">
        <w:t>n increase in the DBS regulatory fee rate</w:t>
      </w:r>
      <w:r w:rsidR="00F73C0D">
        <w:t>.</w:t>
      </w:r>
      <w:r w:rsidR="00E30062">
        <w:t xml:space="preserve"> </w:t>
      </w:r>
    </w:p>
    <w:p w:rsidR="00F6497D">
      <w:pPr>
        <w:pStyle w:val="Heading2"/>
      </w:pPr>
      <w:r>
        <w:t>FY</w:t>
      </w:r>
      <w:r w:rsidR="00D66B7B">
        <w:t xml:space="preserve"> </w:t>
      </w:r>
      <w:r>
        <w:t xml:space="preserve">2018 Adjustment: </w:t>
      </w:r>
      <w:r w:rsidRPr="0067355D">
        <w:t>Terrestrial and Satellite International Bearer Circuits</w:t>
      </w:r>
    </w:p>
    <w:p w:rsidR="00D03DDD" w:rsidP="009177C8">
      <w:pPr>
        <w:pStyle w:val="ParaNum"/>
      </w:pPr>
      <w:r>
        <w:t xml:space="preserve">As discussed in the </w:t>
      </w:r>
      <w:r w:rsidRPr="006D312C">
        <w:rPr>
          <w:i/>
        </w:rPr>
        <w:t>FY 2018 NPRM</w:t>
      </w:r>
      <w:r>
        <w:t xml:space="preserve">, the Commission has previously sought comment on adopting a tiered methodology for assessing terrestrial and satellite international bearer circuit regulatory fees, </w:t>
      </w:r>
      <w:r w:rsidR="006F4EAB">
        <w:t>and we</w:t>
      </w:r>
      <w:r w:rsidR="00041EB3">
        <w:t xml:space="preserve"> should have sufficient information from payors in September 2018 to be able to </w:t>
      </w:r>
      <w:r w:rsidR="009177C8">
        <w:t>consider</w:t>
      </w:r>
      <w:r w:rsidR="00041EB3">
        <w:t xml:space="preserve"> a tiered rate structure for FY 2019.</w:t>
      </w:r>
      <w:r>
        <w:rPr>
          <w:vertAlign w:val="superscript"/>
        </w:rPr>
        <w:footnoteReference w:id="37"/>
      </w:r>
      <w:r w:rsidR="00041EB3">
        <w:t xml:space="preserve"> </w:t>
      </w:r>
      <w:r>
        <w:t xml:space="preserve"> </w:t>
      </w:r>
      <w:r w:rsidR="009177C8">
        <w:t>In the meantime, t</w:t>
      </w:r>
      <w:r w:rsidR="00041EB3">
        <w:t xml:space="preserve">he </w:t>
      </w:r>
      <w:r w:rsidR="002C511B">
        <w:t>Commission</w:t>
      </w:r>
      <w:r w:rsidR="00041EB3">
        <w:t xml:space="preserve"> proposed to continue assessing terrestrial and satellite IBC regulatory fees on a per-circuit basis for FY 2018, </w:t>
      </w:r>
      <w:r w:rsidR="009177C8">
        <w:t>using</w:t>
      </w:r>
      <w:r w:rsidR="00041EB3">
        <w:t xml:space="preserve"> Gbps as the measurement rather than 64 kbps.</w:t>
      </w:r>
      <w:r>
        <w:rPr>
          <w:vertAlign w:val="superscript"/>
        </w:rPr>
        <w:footnoteReference w:id="38"/>
      </w:r>
      <w:r w:rsidR="00041EB3">
        <w:t xml:space="preserve">  </w:t>
      </w:r>
      <w:r w:rsidR="006F4EAB">
        <w:t xml:space="preserve">CenturyLink observes that the proposed rate of $0.02 per circuit in Appendix B to the </w:t>
      </w:r>
      <w:r w:rsidRPr="00CD6DCB" w:rsidR="006F4EAB">
        <w:rPr>
          <w:i/>
        </w:rPr>
        <w:t>FY 2018 NPRM</w:t>
      </w:r>
      <w:r w:rsidR="006F4EAB">
        <w:t xml:space="preserve"> used 64 kbps instead of Gbps.</w:t>
      </w:r>
      <w:r>
        <w:rPr>
          <w:vertAlign w:val="superscript"/>
        </w:rPr>
        <w:footnoteReference w:id="39"/>
      </w:r>
      <w:r w:rsidRPr="00397214" w:rsidR="006F4EAB">
        <w:t xml:space="preserve"> </w:t>
      </w:r>
      <w:r w:rsidRPr="009177C8" w:rsidR="006F4EAB">
        <w:t xml:space="preserve"> </w:t>
      </w:r>
      <w:r w:rsidR="006F4EAB">
        <w:t xml:space="preserve">We agree with CenturyLink that the measurement listed in the </w:t>
      </w:r>
      <w:r w:rsidRPr="00CD6DCB" w:rsidR="006F4EAB">
        <w:rPr>
          <w:i/>
        </w:rPr>
        <w:t>FY 2018 NPRM</w:t>
      </w:r>
      <w:r w:rsidR="006F4EAB">
        <w:t xml:space="preserve"> should have been Gbps instead of 64 kbps, and we are therefore adopting the proposed per-circuit fee of $</w:t>
      </w:r>
      <w:r w:rsidR="006462F3">
        <w:t>176</w:t>
      </w:r>
      <w:r w:rsidR="006F4EAB">
        <w:t xml:space="preserve">, using Gbps, in lieu of 64 kbps.  No commenter opposed this proposal.  </w:t>
      </w:r>
    </w:p>
    <w:p w:rsidR="00250BAD">
      <w:pPr>
        <w:pStyle w:val="Heading2"/>
      </w:pPr>
      <w:r>
        <w:t>FY</w:t>
      </w:r>
      <w:r w:rsidR="00CD2CE3">
        <w:t xml:space="preserve"> </w:t>
      </w:r>
      <w:r>
        <w:t xml:space="preserve">2019 Amendment: </w:t>
      </w:r>
      <w:r w:rsidR="00E71002">
        <w:t>Broadcast Television Stations</w:t>
      </w:r>
    </w:p>
    <w:p w:rsidR="00DD6522" w:rsidRPr="0067355D" w:rsidP="00DD6522">
      <w:pPr>
        <w:pStyle w:val="ParaNum"/>
        <w:rPr>
          <w:szCs w:val="22"/>
        </w:rPr>
      </w:pPr>
      <w:bookmarkStart w:id="2" w:name="_Hlk507055938"/>
      <w:r w:rsidRPr="0067355D">
        <w:rPr>
          <w:szCs w:val="22"/>
        </w:rPr>
        <w:t xml:space="preserve">Full service television station licensees are subject to regulatory fee payments based on </w:t>
      </w:r>
      <w:r>
        <w:rPr>
          <w:szCs w:val="22"/>
        </w:rPr>
        <w:t xml:space="preserve">the </w:t>
      </w:r>
      <w:r w:rsidRPr="0067355D">
        <w:rPr>
          <w:szCs w:val="22"/>
        </w:rPr>
        <w:t xml:space="preserve">market served.  </w:t>
      </w:r>
      <w:r>
        <w:rPr>
          <w:szCs w:val="22"/>
        </w:rPr>
        <w:t>Historically, b</w:t>
      </w:r>
      <w:r w:rsidRPr="0067355D">
        <w:rPr>
          <w:szCs w:val="22"/>
        </w:rPr>
        <w:t>roadcast full service television stations pay regulatory fees based on the schedule of regulatory fees established in section 9(g) of the Communications Act, which consolidated stations into market groupings 1-10, 11-25, 26-50, 51-100, and remaining markets.</w:t>
      </w:r>
      <w:r>
        <w:rPr>
          <w:rStyle w:val="FootnoteReference"/>
          <w:sz w:val="22"/>
          <w:szCs w:val="22"/>
        </w:rPr>
        <w:footnoteReference w:id="40"/>
      </w:r>
      <w:r w:rsidRPr="0067355D">
        <w:rPr>
          <w:szCs w:val="22"/>
        </w:rPr>
        <w:t xml:space="preserve">  The Commission subsequently established a separate fee category for </w:t>
      </w:r>
      <w:r w:rsidR="008245FE">
        <w:rPr>
          <w:szCs w:val="22"/>
        </w:rPr>
        <w:t xml:space="preserve">broadcast television </w:t>
      </w:r>
      <w:r w:rsidRPr="0067355D">
        <w:rPr>
          <w:szCs w:val="22"/>
        </w:rPr>
        <w:t>satellite stations</w:t>
      </w:r>
      <w:r w:rsidR="00194D2C">
        <w:rPr>
          <w:szCs w:val="22"/>
        </w:rPr>
        <w:t>.</w:t>
      </w:r>
      <w:r>
        <w:rPr>
          <w:rStyle w:val="FootnoteReference"/>
          <w:sz w:val="22"/>
          <w:szCs w:val="22"/>
        </w:rPr>
        <w:footnoteReference w:id="41"/>
      </w:r>
      <w:r w:rsidRPr="0067355D">
        <w:rPr>
          <w:szCs w:val="22"/>
        </w:rPr>
        <w:t xml:space="preserve">  The Commission uses Nielsen Designated Market Areas (DMAs) to define the market a station serves.  For FY 2017, the regulatory fees for full service stations ranged from $1,7</w:t>
      </w:r>
      <w:r>
        <w:rPr>
          <w:szCs w:val="22"/>
        </w:rPr>
        <w:t>25</w:t>
      </w:r>
      <w:r w:rsidRPr="0067355D">
        <w:rPr>
          <w:szCs w:val="22"/>
        </w:rPr>
        <w:t xml:space="preserve"> for satellite stations to $59,750 for stations in markets 1-10.  </w:t>
      </w:r>
    </w:p>
    <w:p w:rsidR="00DD6522" w:rsidRPr="003C0FDE" w:rsidP="009C5EF4">
      <w:pPr>
        <w:pStyle w:val="ParaNum"/>
      </w:pPr>
      <w:r w:rsidRPr="00A95963">
        <w:t xml:space="preserve">In the </w:t>
      </w:r>
      <w:r w:rsidRPr="00A95963">
        <w:rPr>
          <w:i/>
        </w:rPr>
        <w:t>FY 2018 NPRM</w:t>
      </w:r>
      <w:r w:rsidRPr="00A95963">
        <w:t xml:space="preserve">, we sought comment on </w:t>
      </w:r>
      <w:r w:rsidR="00390194">
        <w:t xml:space="preserve">whether we could more accurately ascertain the actual market served by a station for purposes of </w:t>
      </w:r>
      <w:r w:rsidRPr="00A95963">
        <w:t>assessing regulatory fees by examining the actual population covered by the station’s contours rather than using DMAs.</w:t>
      </w:r>
      <w:r>
        <w:rPr>
          <w:rStyle w:val="FootnoteReference"/>
          <w:szCs w:val="22"/>
        </w:rPr>
        <w:footnoteReference w:id="42"/>
      </w:r>
      <w:r w:rsidRPr="00A95963">
        <w:t xml:space="preserve">  </w:t>
      </w:r>
      <w:r w:rsidRPr="00A95963" w:rsidR="00A95963">
        <w:t xml:space="preserve">Specifically we sought </w:t>
      </w:r>
      <w:r w:rsidRPr="00A95963">
        <w:t>comment on whether, for FY 2019</w:t>
      </w:r>
      <w:r w:rsidR="009177C8">
        <w:t xml:space="preserve"> and going forward</w:t>
      </w:r>
      <w:r w:rsidRPr="00A95963">
        <w:t>, regulatory fees should be assessed for full-power broadcast television stations based on the population covered by the station’s contour, instead of DMAs.</w:t>
      </w:r>
      <w:r>
        <w:rPr>
          <w:rStyle w:val="FootnoteReference"/>
          <w:szCs w:val="22"/>
        </w:rPr>
        <w:footnoteReference w:id="43"/>
      </w:r>
      <w:r w:rsidRPr="00A95963" w:rsidR="00A95963">
        <w:t xml:space="preserve">  </w:t>
      </w:r>
      <w:r w:rsidR="00390194">
        <w:t>No commenter opposed</w:t>
      </w:r>
      <w:r w:rsidRPr="00A95963" w:rsidR="00A95963">
        <w:t xml:space="preserve"> this </w:t>
      </w:r>
      <w:r w:rsidR="008245FE">
        <w:t>proposal</w:t>
      </w:r>
      <w:r w:rsidRPr="00A95963" w:rsidR="00A95963">
        <w:t xml:space="preserve">.  </w:t>
      </w:r>
      <w:r w:rsidR="003C0FDE">
        <w:t xml:space="preserve">In the </w:t>
      </w:r>
      <w:r w:rsidRPr="008C229F" w:rsidR="003C0FDE">
        <w:rPr>
          <w:i/>
        </w:rPr>
        <w:t>FY 2018 NPRM</w:t>
      </w:r>
      <w:r w:rsidR="003C0FDE">
        <w:t xml:space="preserve">, we also sought comment on whether to </w:t>
      </w:r>
      <w:r w:rsidR="003C0FDE">
        <w:rPr>
          <w:rFonts w:ascii="TimesNewRomanPSMT" w:hAnsi="TimesNewRomanPSMT" w:cs="TimesNewRomanPSMT"/>
          <w:snapToGrid/>
          <w:kern w:val="0"/>
        </w:rPr>
        <w:t xml:space="preserve">phase in </w:t>
      </w:r>
      <w:r w:rsidRPr="003C0FDE" w:rsidR="003C0FDE">
        <w:rPr>
          <w:rFonts w:ascii="TimesNewRomanPSMT" w:hAnsi="TimesNewRomanPSMT" w:cs="TimesNewRomanPSMT"/>
          <w:snapToGrid/>
          <w:kern w:val="0"/>
        </w:rPr>
        <w:t>the implementation of this methodology over a two-year, or longer, period of time</w:t>
      </w:r>
      <w:r w:rsidR="003C0FDE">
        <w:rPr>
          <w:rFonts w:ascii="TimesNewRomanPSMT" w:hAnsi="TimesNewRomanPSMT" w:cs="TimesNewRomanPSMT"/>
          <w:snapToGrid/>
          <w:kern w:val="0"/>
        </w:rPr>
        <w:t>.</w:t>
      </w:r>
      <w:r>
        <w:rPr>
          <w:rStyle w:val="FootnoteReference"/>
          <w:rFonts w:cs="TimesNewRomanPSMT"/>
          <w:snapToGrid/>
          <w:kern w:val="0"/>
          <w:szCs w:val="22"/>
        </w:rPr>
        <w:footnoteReference w:id="44"/>
      </w:r>
      <w:r w:rsidR="003C0FDE">
        <w:rPr>
          <w:rFonts w:ascii="TimesNewRomanPSMT" w:hAnsi="TimesNewRomanPSMT" w:cs="TimesNewRomanPSMT"/>
          <w:snapToGrid/>
          <w:kern w:val="0"/>
        </w:rPr>
        <w:t xml:space="preserve">  In order to facilitate the transition to this new fee structure, for FY 2019, we </w:t>
      </w:r>
      <w:r w:rsidR="00252A52">
        <w:rPr>
          <w:rFonts w:ascii="TimesNewRomanPSMT" w:hAnsi="TimesNewRomanPSMT" w:cs="TimesNewRomanPSMT"/>
          <w:snapToGrid/>
          <w:kern w:val="0"/>
        </w:rPr>
        <w:t xml:space="preserve">plan to </w:t>
      </w:r>
      <w:r w:rsidR="003C0FDE">
        <w:rPr>
          <w:rFonts w:ascii="TimesNewRomanPSMT" w:hAnsi="TimesNewRomanPSMT" w:cs="TimesNewRomanPSMT"/>
          <w:snapToGrid/>
          <w:kern w:val="0"/>
        </w:rPr>
        <w:t>a</w:t>
      </w:r>
      <w:r w:rsidR="00843E48">
        <w:rPr>
          <w:rFonts w:ascii="TimesNewRomanPSMT" w:hAnsi="TimesNewRomanPSMT" w:cs="TimesNewRomanPSMT"/>
          <w:snapToGrid/>
          <w:kern w:val="0"/>
        </w:rPr>
        <w:t>do</w:t>
      </w:r>
      <w:r w:rsidR="003C0FDE">
        <w:rPr>
          <w:rFonts w:ascii="TimesNewRomanPSMT" w:hAnsi="TimesNewRomanPSMT" w:cs="TimesNewRomanPSMT"/>
          <w:snapToGrid/>
          <w:kern w:val="0"/>
        </w:rPr>
        <w:t xml:space="preserve">pt a fee based on </w:t>
      </w:r>
      <w:r w:rsidR="00252A52">
        <w:rPr>
          <w:rFonts w:ascii="TimesNewRomanPSMT" w:hAnsi="TimesNewRomanPSMT" w:cs="TimesNewRomanPSMT"/>
          <w:snapToGrid/>
          <w:kern w:val="0"/>
        </w:rPr>
        <w:t xml:space="preserve">an </w:t>
      </w:r>
      <w:r w:rsidR="003C0FDE">
        <w:rPr>
          <w:rFonts w:ascii="TimesNewRomanPSMT" w:hAnsi="TimesNewRomanPSMT" w:cs="TimesNewRomanPSMT"/>
          <w:snapToGrid/>
          <w:kern w:val="0"/>
        </w:rPr>
        <w:t>average of the current DMA methodology and the population</w:t>
      </w:r>
      <w:r w:rsidR="00252A52">
        <w:rPr>
          <w:rFonts w:ascii="TimesNewRomanPSMT" w:hAnsi="TimesNewRomanPSMT" w:cs="TimesNewRomanPSMT"/>
          <w:snapToGrid/>
          <w:kern w:val="0"/>
        </w:rPr>
        <w:t xml:space="preserve"> covered by a full-power broadcast station</w:t>
      </w:r>
      <w:r w:rsidR="006D312C">
        <w:rPr>
          <w:rFonts w:ascii="TimesNewRomanPSMT" w:hAnsi="TimesNewRomanPSMT" w:cs="TimesNewRomanPSMT"/>
          <w:snapToGrid/>
          <w:kern w:val="0"/>
        </w:rPr>
        <w:t>’</w:t>
      </w:r>
      <w:r w:rsidR="00252A52">
        <w:rPr>
          <w:rFonts w:ascii="TimesNewRomanPSMT" w:hAnsi="TimesNewRomanPSMT" w:cs="TimesNewRomanPSMT"/>
          <w:snapToGrid/>
          <w:kern w:val="0"/>
        </w:rPr>
        <w:t>s contour. Thereafter, in 2020, we plan to asses</w:t>
      </w:r>
      <w:r w:rsidR="001E51E1">
        <w:rPr>
          <w:rFonts w:ascii="TimesNewRomanPSMT" w:hAnsi="TimesNewRomanPSMT" w:cs="TimesNewRomanPSMT"/>
          <w:snapToGrid/>
          <w:kern w:val="0"/>
        </w:rPr>
        <w:t>s</w:t>
      </w:r>
      <w:r w:rsidR="00252A52">
        <w:rPr>
          <w:rFonts w:ascii="TimesNewRomanPSMT" w:hAnsi="TimesNewRomanPSMT" w:cs="TimesNewRomanPSMT"/>
          <w:snapToGrid/>
          <w:kern w:val="0"/>
        </w:rPr>
        <w:t xml:space="preserve"> regulatory fees for full-power broadcast stations based on the population covered by the station’s contour</w:t>
      </w:r>
      <w:r w:rsidRPr="003C0FDE" w:rsidR="00A95963">
        <w:t xml:space="preserve">.  </w:t>
      </w:r>
      <w:r w:rsidRPr="003C0FDE" w:rsidR="009177C8">
        <w:t>Such an approach is consistent with the methodology used for AM and FM broadcasters, in which fees are based on population served and the class of service based on the signal contours.  In addition, this approach addresses concerns about the assessment of regulatory fees on broadcast television satellite stations serving small markets at the fringe of larger DMAs.</w:t>
      </w:r>
      <w:r>
        <w:rPr>
          <w:rStyle w:val="FootnoteReference"/>
          <w:szCs w:val="22"/>
        </w:rPr>
        <w:footnoteReference w:id="45"/>
      </w:r>
      <w:r w:rsidRPr="003C0FDE" w:rsidR="009177C8">
        <w:t xml:space="preserve">  </w:t>
      </w:r>
      <w:r w:rsidRPr="003C0FDE" w:rsidR="00A95963">
        <w:t>Th</w:t>
      </w:r>
      <w:r w:rsidRPr="003C0FDE" w:rsidR="003D5B58">
        <w:t xml:space="preserve">e </w:t>
      </w:r>
      <w:r w:rsidRPr="003C0FDE" w:rsidR="00A95963">
        <w:t xml:space="preserve"> </w:t>
      </w:r>
      <w:r w:rsidRPr="003C0FDE" w:rsidR="003D5B58">
        <w:t xml:space="preserve">population </w:t>
      </w:r>
      <w:r w:rsidRPr="003C0FDE">
        <w:t>data</w:t>
      </w:r>
      <w:r w:rsidRPr="003C0FDE" w:rsidR="003D5B58">
        <w:t xml:space="preserve"> for broadcasters’ service areas</w:t>
      </w:r>
      <w:r w:rsidRPr="003C0FDE" w:rsidR="00D312F9">
        <w:t xml:space="preserve"> </w:t>
      </w:r>
      <w:r w:rsidRPr="003C0FDE" w:rsidR="00A95963">
        <w:t>will</w:t>
      </w:r>
      <w:r w:rsidRPr="003C0FDE">
        <w:t xml:space="preserve"> be extracted</w:t>
      </w:r>
      <w:r w:rsidRPr="003C0FDE" w:rsidR="009177C8">
        <w:t xml:space="preserve"> annually</w:t>
      </w:r>
      <w:r w:rsidRPr="003C0FDE">
        <w:t xml:space="preserve"> from the </w:t>
      </w:r>
      <w:r w:rsidRPr="003C0FDE">
        <w:t>TVStudy</w:t>
      </w:r>
      <w:r w:rsidRPr="003C0FDE">
        <w:t xml:space="preserve"> database, based on a station’s projected noise-limited service contour, consistent with our rules</w:t>
      </w:r>
      <w:r w:rsidRPr="003C0FDE" w:rsidR="00A95963">
        <w:t>,</w:t>
      </w:r>
      <w:r>
        <w:rPr>
          <w:rStyle w:val="FootnoteReference"/>
          <w:sz w:val="22"/>
          <w:szCs w:val="22"/>
        </w:rPr>
        <w:footnoteReference w:id="46"/>
      </w:r>
      <w:r w:rsidRPr="003C0FDE">
        <w:t xml:space="preserve"> </w:t>
      </w:r>
      <w:r w:rsidRPr="003C0FDE" w:rsidR="00A95963">
        <w:t xml:space="preserve">and </w:t>
      </w:r>
      <w:r w:rsidRPr="003C0FDE" w:rsidR="003D5B58">
        <w:t xml:space="preserve">we </w:t>
      </w:r>
      <w:r w:rsidRPr="003C0FDE" w:rsidR="00A95963">
        <w:t xml:space="preserve">will enable broadcasters to review population data for their service area in our annual </w:t>
      </w:r>
      <w:r w:rsidRPr="003C0FDE" w:rsidR="003D5B58">
        <w:t xml:space="preserve">regulatory fee </w:t>
      </w:r>
      <w:r w:rsidRPr="003C0FDE" w:rsidR="00A95963">
        <w:t>NPRM.  We will</w:t>
      </w:r>
      <w:r w:rsidRPr="003C0FDE">
        <w:t xml:space="preserve"> multiply the populatio</w:t>
      </w:r>
      <w:r w:rsidRPr="003C0FDE" w:rsidR="00A95963">
        <w:t>n by a factor for which we will</w:t>
      </w:r>
      <w:r w:rsidRPr="003C0FDE">
        <w:t xml:space="preserve"> seek comment</w:t>
      </w:r>
      <w:r w:rsidRPr="003C0FDE" w:rsidR="00A95963">
        <w:t xml:space="preserve"> in the </w:t>
      </w:r>
      <w:r w:rsidRPr="003C0FDE" w:rsidR="00D36605">
        <w:t xml:space="preserve">annual regulatory fee </w:t>
      </w:r>
      <w:r w:rsidRPr="003C0FDE" w:rsidR="00A95963">
        <w:t>NPRM</w:t>
      </w:r>
      <w:r w:rsidRPr="003C0FDE">
        <w:t xml:space="preserve">, e.g., 0.63 cents ($.0063).  </w:t>
      </w:r>
    </w:p>
    <w:p w:rsidR="007471EC" w:rsidRPr="008C229F" w:rsidP="00933205">
      <w:pPr>
        <w:pStyle w:val="ParaNum"/>
      </w:pPr>
      <w:bookmarkEnd w:id="2"/>
      <w:r w:rsidRPr="009A3B78">
        <w:rPr>
          <w:szCs w:val="22"/>
        </w:rPr>
        <w:t>The adoption of th</w:t>
      </w:r>
      <w:r w:rsidR="00252A52">
        <w:rPr>
          <w:szCs w:val="22"/>
        </w:rPr>
        <w:t>ese</w:t>
      </w:r>
      <w:r w:rsidR="009C5EF4">
        <w:rPr>
          <w:szCs w:val="22"/>
        </w:rPr>
        <w:t xml:space="preserve"> </w:t>
      </w:r>
      <w:r w:rsidRPr="009A3B78" w:rsidR="00DD6522">
        <w:rPr>
          <w:szCs w:val="22"/>
        </w:rPr>
        <w:t>methodolog</w:t>
      </w:r>
      <w:r w:rsidR="00252A52">
        <w:rPr>
          <w:szCs w:val="22"/>
        </w:rPr>
        <w:t>ies</w:t>
      </w:r>
      <w:r w:rsidRPr="009A3B78" w:rsidR="00DD6522">
        <w:rPr>
          <w:szCs w:val="22"/>
        </w:rPr>
        <w:t xml:space="preserve"> for assessing regulatory fees for broadcast television stations </w:t>
      </w:r>
      <w:r w:rsidRPr="009A3B78" w:rsidR="00CA7F87">
        <w:rPr>
          <w:szCs w:val="22"/>
        </w:rPr>
        <w:t>is</w:t>
      </w:r>
      <w:r w:rsidRPr="009A3B78" w:rsidR="00DD6522">
        <w:rPr>
          <w:szCs w:val="22"/>
        </w:rPr>
        <w:t xml:space="preserve"> </w:t>
      </w:r>
      <w:r w:rsidR="008245FE">
        <w:rPr>
          <w:szCs w:val="22"/>
        </w:rPr>
        <w:t xml:space="preserve">a </w:t>
      </w:r>
      <w:r w:rsidRPr="009A3B78" w:rsidR="00DD6522">
        <w:rPr>
          <w:szCs w:val="22"/>
        </w:rPr>
        <w:t>permitted amendment as defined in section 9(b)(3) of the Act,</w:t>
      </w:r>
      <w:r>
        <w:rPr>
          <w:rStyle w:val="FootnoteReference"/>
          <w:sz w:val="22"/>
          <w:szCs w:val="22"/>
        </w:rPr>
        <w:footnoteReference w:id="47"/>
      </w:r>
      <w:r w:rsidRPr="009A3B78" w:rsidR="00DD6522">
        <w:rPr>
          <w:szCs w:val="22"/>
        </w:rPr>
        <w:t xml:space="preserve"> and pursuant to section 9(b)(4)(B), it must be submitted to Congress at least 90 days before it would become effective.</w:t>
      </w:r>
      <w:r>
        <w:rPr>
          <w:rStyle w:val="FootnoteReference"/>
          <w:sz w:val="22"/>
          <w:szCs w:val="22"/>
        </w:rPr>
        <w:footnoteReference w:id="48"/>
      </w:r>
      <w:r w:rsidRPr="009A3B78" w:rsidR="00DD6522">
        <w:rPr>
          <w:szCs w:val="22"/>
        </w:rPr>
        <w:t xml:space="preserve">  Therefore, for FY 2018, we will assess regulatory fees for all broadcast television stations using the same methodology as we did for FY 2017.</w:t>
      </w:r>
      <w:r>
        <w:rPr>
          <w:rStyle w:val="FootnoteReference"/>
          <w:szCs w:val="22"/>
        </w:rPr>
        <w:footnoteReference w:id="49"/>
      </w:r>
      <w:r w:rsidRPr="009A3B78" w:rsidR="00F13C37">
        <w:rPr>
          <w:szCs w:val="22"/>
        </w:rPr>
        <w:t xml:space="preserve"> </w:t>
      </w:r>
      <w:r w:rsidR="00B67482">
        <w:rPr>
          <w:szCs w:val="22"/>
        </w:rPr>
        <w:t xml:space="preserve"> </w:t>
      </w:r>
      <w:r w:rsidRPr="009A3B78" w:rsidR="00DD6522">
        <w:rPr>
          <w:szCs w:val="22"/>
        </w:rPr>
        <w:t xml:space="preserve">The regulatory fees for broadcast television stations for FY 2018 are in Appendix </w:t>
      </w:r>
      <w:r w:rsidRPr="009A3B78" w:rsidR="00AA1F34">
        <w:rPr>
          <w:szCs w:val="22"/>
        </w:rPr>
        <w:t>C</w:t>
      </w:r>
      <w:r w:rsidRPr="009A3B78" w:rsidR="00DD6522">
        <w:rPr>
          <w:szCs w:val="22"/>
        </w:rPr>
        <w:t>.</w:t>
      </w:r>
    </w:p>
    <w:p w:rsidR="008C229F" w:rsidP="008C229F">
      <w:pPr>
        <w:pStyle w:val="Heading1"/>
      </w:pPr>
      <w:r>
        <w:t>ORDER</w:t>
      </w:r>
      <w:r w:rsidR="00FB29E8">
        <w:t>—C</w:t>
      </w:r>
      <w:r>
        <w:t>OLLECTION COSTS FOR REGULATORY AND APPLICATION FEES</w:t>
      </w:r>
      <w:r>
        <w:t xml:space="preserve"> </w:t>
      </w:r>
    </w:p>
    <w:p w:rsidR="008C229F" w:rsidRPr="007B1FD5" w:rsidP="008C229F">
      <w:pPr>
        <w:pStyle w:val="ParaNum"/>
        <w:rPr>
          <w:szCs w:val="22"/>
        </w:rPr>
      </w:pPr>
      <w:r>
        <w:rPr>
          <w:szCs w:val="22"/>
        </w:rPr>
        <w:t>The</w:t>
      </w:r>
      <w:r w:rsidR="009469C8">
        <w:rPr>
          <w:szCs w:val="22"/>
        </w:rPr>
        <w:t xml:space="preserve"> Commission’s rules requires the assessment of </w:t>
      </w:r>
      <w:r w:rsidR="001B78F0">
        <w:rPr>
          <w:szCs w:val="22"/>
        </w:rPr>
        <w:t>a</w:t>
      </w:r>
      <w:r>
        <w:rPr>
          <w:szCs w:val="22"/>
        </w:rPr>
        <w:t>dministrative costs incurred for processing and handling delinquent debts.</w:t>
      </w:r>
      <w:r>
        <w:rPr>
          <w:rStyle w:val="FootnoteReference"/>
          <w:szCs w:val="22"/>
        </w:rPr>
        <w:footnoteReference w:id="50"/>
      </w:r>
      <w:r>
        <w:rPr>
          <w:szCs w:val="22"/>
        </w:rPr>
        <w:t xml:space="preserve">  </w:t>
      </w:r>
      <w:r>
        <w:rPr>
          <w:szCs w:val="22"/>
        </w:rPr>
        <w:t>How</w:t>
      </w:r>
      <w:r w:rsidR="0084433B">
        <w:rPr>
          <w:szCs w:val="22"/>
        </w:rPr>
        <w:t>e</w:t>
      </w:r>
      <w:r>
        <w:rPr>
          <w:szCs w:val="22"/>
        </w:rPr>
        <w:t xml:space="preserve">ver, the RAY BAUM’S Act amended the </w:t>
      </w:r>
      <w:r w:rsidR="001B78F0">
        <w:rPr>
          <w:szCs w:val="22"/>
        </w:rPr>
        <w:t xml:space="preserve">Communications Act, </w:t>
      </w:r>
      <w:r>
        <w:rPr>
          <w:szCs w:val="22"/>
        </w:rPr>
        <w:t>in relevant part</w:t>
      </w:r>
      <w:r w:rsidR="009469C8">
        <w:rPr>
          <w:szCs w:val="22"/>
        </w:rPr>
        <w:t xml:space="preserve">, </w:t>
      </w:r>
      <w:r>
        <w:rPr>
          <w:szCs w:val="22"/>
        </w:rPr>
        <w:t xml:space="preserve">prohibiting </w:t>
      </w:r>
      <w:r w:rsidR="001B78F0">
        <w:t xml:space="preserve">the Commission </w:t>
      </w:r>
      <w:r>
        <w:t>from assessing</w:t>
      </w:r>
      <w:r w:rsidR="001B78F0">
        <w:t xml:space="preserve"> its administrative costs </w:t>
      </w:r>
      <w:r w:rsidR="008F02A3">
        <w:t>of collecting</w:t>
      </w:r>
      <w:r w:rsidR="001B78F0">
        <w:t xml:space="preserve"> delinquent regulatory and application fee debt </w:t>
      </w:r>
      <w:r>
        <w:t>(</w:t>
      </w:r>
      <w:r w:rsidR="001B78F0">
        <w:t xml:space="preserve">or </w:t>
      </w:r>
      <w:r>
        <w:t>related penalties), effective October 1, 2018</w:t>
      </w:r>
      <w:r w:rsidR="001B78F0">
        <w:t>.</w:t>
      </w:r>
      <w:r>
        <w:rPr>
          <w:rStyle w:val="FootnoteReference"/>
        </w:rPr>
        <w:footnoteReference w:id="51"/>
      </w:r>
      <w:r w:rsidR="001B78F0">
        <w:t xml:space="preserve">  Therefore, we amend our rules to </w:t>
      </w:r>
      <w:r>
        <w:t>reflect these statutory changes</w:t>
      </w:r>
      <w:r w:rsidR="001B78F0">
        <w:t>.</w:t>
      </w:r>
      <w:r>
        <w:rPr>
          <w:rStyle w:val="FootnoteReference"/>
        </w:rPr>
        <w:footnoteReference w:id="52"/>
      </w:r>
      <w:r w:rsidR="001B78F0">
        <w:t xml:space="preserve">  </w:t>
      </w:r>
      <w:r>
        <w:t>This rule change will become effective on October 1, 2018.</w:t>
      </w:r>
      <w:r w:rsidRPr="007B1FD5">
        <w:rPr>
          <w:szCs w:val="22"/>
        </w:rPr>
        <w:t xml:space="preserve">  </w:t>
      </w:r>
    </w:p>
    <w:p w:rsidR="008C229F" w:rsidRPr="006C23B4" w:rsidP="0060263F">
      <w:pPr>
        <w:pStyle w:val="ParaNum"/>
      </w:pPr>
      <w:r w:rsidRPr="008C229F">
        <w:t>We find good cause under section 553(b)(B) of the Administrative Procedure Act</w:t>
      </w:r>
      <w:r>
        <w:rPr>
          <w:rStyle w:val="FootnoteReference"/>
        </w:rPr>
        <w:footnoteReference w:id="53"/>
      </w:r>
      <w:r w:rsidRPr="008C229F">
        <w:t xml:space="preserve"> to adopt this change without prior notice and comment. </w:t>
      </w:r>
      <w:r w:rsidR="00BF60A3">
        <w:t xml:space="preserve"> </w:t>
      </w:r>
      <w:r>
        <w:t xml:space="preserve">Section 553(b)(B) provides that notice and public </w:t>
      </w:r>
      <w:r w:rsidR="00700755">
        <w:t xml:space="preserve">comment </w:t>
      </w:r>
      <w:r>
        <w:t xml:space="preserve">procedures do not apply when “impracticable, unnecessary, or contrary to the public interest.” </w:t>
      </w:r>
      <w:r w:rsidR="00BF60A3">
        <w:t xml:space="preserve"> New s</w:t>
      </w:r>
      <w:r>
        <w:t xml:space="preserve">ection 9A </w:t>
      </w:r>
      <w:r w:rsidR="00BF60A3">
        <w:t xml:space="preserve">of the Communications Act </w:t>
      </w:r>
      <w:r>
        <w:t xml:space="preserve">is clear in its directive that the Commission must cease applying to regulatory </w:t>
      </w:r>
      <w:r w:rsidR="00C72D99">
        <w:t xml:space="preserve">and application </w:t>
      </w:r>
      <w:r>
        <w:t xml:space="preserve">fees or penalties </w:t>
      </w:r>
      <w:r w:rsidR="00700755">
        <w:t xml:space="preserve">the </w:t>
      </w:r>
      <w:r>
        <w:t xml:space="preserve">provisions of section 3717 </w:t>
      </w:r>
      <w:r w:rsidRPr="0060263F" w:rsidR="0060263F">
        <w:t xml:space="preserve">of Title 31, United States Code, </w:t>
      </w:r>
      <w:r>
        <w:t xml:space="preserve">that do not involve interest rates. </w:t>
      </w:r>
      <w:r w:rsidR="00700755">
        <w:t xml:space="preserve"> </w:t>
      </w:r>
      <w:r>
        <w:t xml:space="preserve">The Commission is thus afforded no discretion to apply such provisions of section 3717 to such fees or penalties because its prior authority has been eliminated by statute. </w:t>
      </w:r>
      <w:r w:rsidR="00BF60A3">
        <w:t xml:space="preserve"> </w:t>
      </w:r>
      <w:r>
        <w:t xml:space="preserve">As a result, </w:t>
      </w:r>
      <w:r w:rsidR="00BC5F85">
        <w:t xml:space="preserve">prior </w:t>
      </w:r>
      <w:r>
        <w:t>notice or comment is unnecessary.</w:t>
      </w:r>
      <w:r>
        <w:rPr>
          <w:rStyle w:val="FootnoteReference"/>
        </w:rPr>
        <w:footnoteReference w:id="54"/>
      </w:r>
      <w:r>
        <w:t xml:space="preserve">  </w:t>
      </w:r>
    </w:p>
    <w:p w:rsidR="00E3705B" w:rsidP="00E3705B">
      <w:pPr>
        <w:pStyle w:val="Heading1"/>
        <w:rPr>
          <w:rFonts w:ascii="Times New Roman" w:hAnsi="Times New Roman"/>
          <w:szCs w:val="22"/>
        </w:rPr>
      </w:pPr>
      <w:bookmarkEnd w:id="0"/>
      <w:bookmarkEnd w:id="1"/>
      <w:r w:rsidRPr="0067355D">
        <w:rPr>
          <w:rFonts w:ascii="Times New Roman" w:hAnsi="Times New Roman"/>
          <w:szCs w:val="22"/>
        </w:rPr>
        <w:t>procedural matters</w:t>
      </w:r>
    </w:p>
    <w:p w:rsidR="00CF450E" w:rsidRPr="0067355D">
      <w:pPr>
        <w:pStyle w:val="Heading2"/>
      </w:pPr>
      <w:r w:rsidRPr="0067355D">
        <w:t xml:space="preserve">Broadcast </w:t>
      </w:r>
      <w:r>
        <w:t>T</w:t>
      </w:r>
      <w:r w:rsidRPr="0067355D">
        <w:t xml:space="preserve">elevision </w:t>
      </w:r>
      <w:r>
        <w:t>L</w:t>
      </w:r>
      <w:r w:rsidRPr="0067355D">
        <w:t xml:space="preserve">icenses, </w:t>
      </w:r>
      <w:r>
        <w:t>P</w:t>
      </w:r>
      <w:r w:rsidRPr="0067355D">
        <w:t>ost-</w:t>
      </w:r>
      <w:r>
        <w:t>I</w:t>
      </w:r>
      <w:r w:rsidRPr="0067355D">
        <w:t xml:space="preserve">ncentive </w:t>
      </w:r>
      <w:r>
        <w:t>A</w:t>
      </w:r>
      <w:r w:rsidRPr="0067355D">
        <w:t>uction</w:t>
      </w:r>
    </w:p>
    <w:p w:rsidR="00CF450E" w:rsidRPr="0067355D" w:rsidP="00CF450E">
      <w:pPr>
        <w:pStyle w:val="ParaNum"/>
        <w:rPr>
          <w:szCs w:val="22"/>
        </w:rPr>
      </w:pPr>
      <w:r w:rsidRPr="0067355D">
        <w:rPr>
          <w:szCs w:val="22"/>
        </w:rPr>
        <w:t>On March 29, 2016, the Commission commenced the incentive auction to allow broadcast television stations to make their spectrum available for wireless broadband licensees.  On April 13, 2017, the Commission released a Public Notice formally closing the auction</w:t>
      </w:r>
      <w:r>
        <w:rPr>
          <w:rStyle w:val="FootnoteReference"/>
          <w:sz w:val="22"/>
          <w:szCs w:val="22"/>
        </w:rPr>
        <w:footnoteReference w:id="55"/>
      </w:r>
      <w:r w:rsidRPr="0067355D">
        <w:rPr>
          <w:szCs w:val="22"/>
        </w:rPr>
        <w:t xml:space="preserve"> and beginning the 39-month post-auction transition period during which some broadcast television stations will transition to new channel assignments and other stations will go off the air.  </w:t>
      </w:r>
      <w:r>
        <w:rPr>
          <w:szCs w:val="22"/>
        </w:rPr>
        <w:t>We remind l</w:t>
      </w:r>
      <w:r w:rsidRPr="0067355D">
        <w:rPr>
          <w:szCs w:val="22"/>
        </w:rPr>
        <w:t xml:space="preserve">icensees </w:t>
      </w:r>
      <w:r>
        <w:rPr>
          <w:szCs w:val="22"/>
        </w:rPr>
        <w:t xml:space="preserve">that those who held a broadcast television station license on October 1, 2017 </w:t>
      </w:r>
      <w:r w:rsidRPr="0067355D">
        <w:rPr>
          <w:szCs w:val="22"/>
        </w:rPr>
        <w:t xml:space="preserve">are responsible for </w:t>
      </w:r>
      <w:r w:rsidR="008245FE">
        <w:rPr>
          <w:szCs w:val="22"/>
        </w:rPr>
        <w:t>FY</w:t>
      </w:r>
      <w:r w:rsidR="00C80B98">
        <w:rPr>
          <w:szCs w:val="22"/>
        </w:rPr>
        <w:t xml:space="preserve"> 2018 </w:t>
      </w:r>
      <w:r w:rsidRPr="0067355D">
        <w:rPr>
          <w:szCs w:val="22"/>
        </w:rPr>
        <w:t>regulatory fees for that license.</w:t>
      </w:r>
      <w:r>
        <w:rPr>
          <w:rStyle w:val="FootnoteReference"/>
          <w:sz w:val="22"/>
          <w:szCs w:val="22"/>
        </w:rPr>
        <w:footnoteReference w:id="56"/>
      </w:r>
      <w:r w:rsidRPr="0067355D">
        <w:rPr>
          <w:szCs w:val="22"/>
        </w:rPr>
        <w:t xml:space="preserve">  Licensees who have relinquished their licenses by September 30, 2017 are not responsible for </w:t>
      </w:r>
      <w:r w:rsidR="008245FE">
        <w:rPr>
          <w:szCs w:val="22"/>
        </w:rPr>
        <w:t>FY</w:t>
      </w:r>
      <w:r w:rsidR="00C80B98">
        <w:rPr>
          <w:szCs w:val="22"/>
        </w:rPr>
        <w:t xml:space="preserve"> 2018 </w:t>
      </w:r>
      <w:r w:rsidRPr="0067355D">
        <w:rPr>
          <w:szCs w:val="22"/>
        </w:rPr>
        <w:t>regulatory fees for the cancelled license.</w:t>
      </w:r>
      <w:r>
        <w:rPr>
          <w:rStyle w:val="FootnoteReference"/>
          <w:sz w:val="22"/>
          <w:szCs w:val="22"/>
        </w:rPr>
        <w:footnoteReference w:id="57"/>
      </w:r>
    </w:p>
    <w:p w:rsidR="00E3705B" w:rsidRPr="0067355D">
      <w:pPr>
        <w:pStyle w:val="Heading2"/>
      </w:pPr>
      <w:r w:rsidRPr="0067355D">
        <w:t>Payment of Regulatory Fees</w:t>
      </w:r>
    </w:p>
    <w:p w:rsidR="00090CF5" w:rsidRPr="0067355D" w:rsidP="00090CF5">
      <w:pPr>
        <w:pStyle w:val="Heading3"/>
        <w:rPr>
          <w:szCs w:val="22"/>
        </w:rPr>
      </w:pPr>
      <w:r w:rsidRPr="0067355D">
        <w:rPr>
          <w:szCs w:val="22"/>
        </w:rPr>
        <w:t>Check</w:t>
      </w:r>
      <w:r w:rsidRPr="0067355D" w:rsidR="00BD511B">
        <w:rPr>
          <w:szCs w:val="22"/>
        </w:rPr>
        <w:t>s</w:t>
      </w:r>
      <w:r w:rsidRPr="0067355D">
        <w:rPr>
          <w:szCs w:val="22"/>
        </w:rPr>
        <w:t xml:space="preserve"> </w:t>
      </w:r>
      <w:r w:rsidR="00F4666A">
        <w:rPr>
          <w:szCs w:val="22"/>
        </w:rPr>
        <w:t>Are</w:t>
      </w:r>
      <w:r w:rsidRPr="0067355D">
        <w:rPr>
          <w:szCs w:val="22"/>
        </w:rPr>
        <w:t xml:space="preserve"> Not </w:t>
      </w:r>
      <w:r w:rsidR="00F4666A">
        <w:rPr>
          <w:szCs w:val="22"/>
        </w:rPr>
        <w:t>A</w:t>
      </w:r>
      <w:r w:rsidRPr="0067355D">
        <w:rPr>
          <w:szCs w:val="22"/>
        </w:rPr>
        <w:t>ccepted for Payment of Annual Regulatory Fees</w:t>
      </w:r>
    </w:p>
    <w:p w:rsidR="00090CF5" w:rsidRPr="0067355D" w:rsidP="00795234">
      <w:pPr>
        <w:pStyle w:val="ParaNum"/>
        <w:rPr>
          <w:szCs w:val="22"/>
        </w:rPr>
      </w:pPr>
      <w:r w:rsidRPr="0067355D">
        <w:rPr>
          <w:szCs w:val="22"/>
        </w:rPr>
        <w:t xml:space="preserve">All regulatory fee payments must be made by online Automated Clearing House (ACH) payment, online credit card, or wire transfer.  Any other form of payment (e.g., checks, cashier’s checks, or money orders) will be rejected.  For payments by wire, a Form 159-E should still be transmitted via fax so that the Commission can associate the wire payment with the correct regulatory fee information.  </w:t>
      </w:r>
    </w:p>
    <w:p w:rsidR="00090CF5" w:rsidRPr="0067355D" w:rsidP="00090CF5">
      <w:pPr>
        <w:pStyle w:val="Heading3"/>
        <w:rPr>
          <w:szCs w:val="22"/>
        </w:rPr>
      </w:pPr>
      <w:r w:rsidRPr="0067355D">
        <w:rPr>
          <w:szCs w:val="22"/>
        </w:rPr>
        <w:t>Credit Card Transaction Levels</w:t>
      </w:r>
    </w:p>
    <w:p w:rsidR="00090CF5" w:rsidRPr="0067355D" w:rsidP="00795234">
      <w:pPr>
        <w:pStyle w:val="ParaNum"/>
        <w:rPr>
          <w:snapToGrid/>
          <w:color w:val="1F497D"/>
          <w:kern w:val="0"/>
          <w:szCs w:val="22"/>
          <w:u w:val="single"/>
        </w:rPr>
      </w:pPr>
      <w:r w:rsidRPr="0067355D">
        <w:rPr>
          <w:szCs w:val="22"/>
        </w:rPr>
        <w:t xml:space="preserve">Since June 1, 2015, in accordance with U.S. Treasury Announcement No. A-2014-04 (July 2014), the amount that can be charged on a credit card for transactions with federal agencies has </w:t>
      </w:r>
      <w:r w:rsidRPr="0067355D" w:rsidR="00DE257F">
        <w:rPr>
          <w:szCs w:val="22"/>
        </w:rPr>
        <w:t xml:space="preserve">is </w:t>
      </w:r>
      <w:r w:rsidRPr="0067355D">
        <w:rPr>
          <w:szCs w:val="22"/>
        </w:rPr>
        <w:t>$24,999.99.</w:t>
      </w:r>
      <w:r>
        <w:rPr>
          <w:szCs w:val="22"/>
          <w:vertAlign w:val="superscript"/>
        </w:rPr>
        <w:footnoteReference w:id="58"/>
      </w:r>
      <w:r w:rsidRPr="0067355D">
        <w:rPr>
          <w:szCs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Pr="0067355D" w:rsidR="00476358">
        <w:rPr>
          <w:szCs w:val="22"/>
        </w:rPr>
        <w:t>8</w:t>
      </w:r>
      <w:r w:rsidRPr="0067355D">
        <w:rPr>
          <w:szCs w:val="22"/>
        </w:rPr>
        <w:t xml:space="preserve"> regulatory fee collection in Fact Sheets, available at </w:t>
      </w:r>
      <w:r>
        <w:fldChar w:fldCharType="begin"/>
      </w:r>
      <w:r>
        <w:instrText xml:space="preserve"> HYPERLINK "https://www.fcc.gov/regfees" </w:instrText>
      </w:r>
      <w:r>
        <w:fldChar w:fldCharType="separate"/>
      </w:r>
      <w:r w:rsidRPr="0067355D">
        <w:rPr>
          <w:rStyle w:val="Hyperlink"/>
          <w:szCs w:val="22"/>
        </w:rPr>
        <w:t>https://www.fcc.gov/regfees</w:t>
      </w:r>
      <w:r>
        <w:fldChar w:fldCharType="end"/>
      </w:r>
      <w:r w:rsidRPr="0067355D">
        <w:rPr>
          <w:szCs w:val="22"/>
          <w:u w:val="single"/>
        </w:rPr>
        <w:t>.</w:t>
      </w:r>
    </w:p>
    <w:p w:rsidR="009E26F8" w:rsidRPr="0067355D" w:rsidP="009E26F8">
      <w:pPr>
        <w:pStyle w:val="Heading3"/>
        <w:rPr>
          <w:szCs w:val="22"/>
        </w:rPr>
      </w:pPr>
      <w:bookmarkStart w:id="3" w:name="_Toc491865042"/>
      <w:bookmarkStart w:id="4" w:name="_Toc491865457"/>
      <w:r w:rsidRPr="0067355D">
        <w:rPr>
          <w:szCs w:val="22"/>
        </w:rPr>
        <w:t>Payment Methods</w:t>
      </w:r>
      <w:bookmarkEnd w:id="3"/>
      <w:bookmarkEnd w:id="4"/>
    </w:p>
    <w:p w:rsidR="009E26F8" w:rsidRPr="0067355D" w:rsidP="00556F3D">
      <w:pPr>
        <w:pStyle w:val="ParaNum"/>
        <w:rPr>
          <w:rStyle w:val="Hyperlink"/>
          <w:color w:val="auto"/>
          <w:szCs w:val="22"/>
        </w:rPr>
      </w:pPr>
      <w:r w:rsidRPr="0067355D">
        <w:t>During the fee season for collecting FY 201</w:t>
      </w:r>
      <w:r w:rsidRPr="0067355D" w:rsidR="000663A2">
        <w:t>8</w:t>
      </w:r>
      <w:r w:rsidRPr="0067355D">
        <w:t xml:space="preserve"> regulatory fees, </w:t>
      </w:r>
      <w:r w:rsidRPr="0067355D">
        <w:t>regulatees</w:t>
      </w:r>
      <w:r w:rsidRPr="0067355D">
        <w:t xml:space="preserve"> can pay their fees by credit card through Pay.gov,</w:t>
      </w:r>
      <w:r>
        <w:rPr>
          <w:rStyle w:val="FootnoteReference"/>
          <w:sz w:val="22"/>
          <w:szCs w:val="22"/>
        </w:rPr>
        <w:footnoteReference w:id="59"/>
      </w:r>
      <w:r w:rsidRPr="0067355D">
        <w:t xml:space="preserve"> ACH, debit card,</w:t>
      </w:r>
      <w:r>
        <w:rPr>
          <w:rStyle w:val="FootnoteReference"/>
          <w:sz w:val="22"/>
          <w:szCs w:val="22"/>
        </w:rPr>
        <w:footnoteReference w:id="60"/>
      </w:r>
      <w:r w:rsidRPr="0067355D">
        <w:t xml:space="preserve"> or by wire transfer.  Additional </w:t>
      </w:r>
      <w:r w:rsidR="00AA341B">
        <w:t xml:space="preserve">filing and </w:t>
      </w:r>
      <w:r w:rsidRPr="0067355D">
        <w:t xml:space="preserve">payment instructions are posted </w:t>
      </w:r>
      <w:r w:rsidRPr="0067355D" w:rsidR="000663A2">
        <w:t xml:space="preserve">on the Commission’s website </w:t>
      </w:r>
      <w:r w:rsidRPr="0067355D">
        <w:t>at</w:t>
      </w:r>
      <w:r w:rsidR="00AA341B">
        <w:t xml:space="preserve"> </w:t>
      </w:r>
      <w:r w:rsidRPr="00B761F3" w:rsidR="00AA341B">
        <w:rPr>
          <w:u w:val="single"/>
        </w:rPr>
        <w:t>https://www.fcc.gov/licensing-databases/fees/regulatory-fees</w:t>
      </w:r>
      <w:r w:rsidR="00C57DB5">
        <w:rPr>
          <w:rStyle w:val="Hyperlink"/>
          <w:u w:val="none"/>
        </w:rPr>
        <w:t>.</w:t>
      </w:r>
      <w:r w:rsidRPr="0067355D">
        <w:t xml:space="preserve"> </w:t>
      </w:r>
      <w:r w:rsidR="0029247A">
        <w:t xml:space="preserve"> </w:t>
      </w:r>
      <w:r w:rsidRPr="0067355D">
        <w:t xml:space="preserve">The receiving bank for all wire payments is the U.S. Treasury, New York, New York.  When making a wire transfer, </w:t>
      </w:r>
      <w:r w:rsidRPr="0067355D">
        <w:t>regulatees</w:t>
      </w:r>
      <w:r w:rsidRPr="0067355D">
        <w:t xml:space="preserve"> must fax a copy of their Fee Filer generated Form 159-E to the Federal Communications Commission at (202) 418-2843 at least one hour before initiating the wire transfer (but on the same business day) so as not to delay crediting their account.  Regulatees should discuss arrangements (including bank closing schedules) with their bankers several days before they plan to make the wire transfer to allow sufficient time for the transfer to be initiated and completed before the deadline.  Complete instructions for making wire payments are posted at </w:t>
      </w:r>
      <w:r w:rsidRPr="00B761F3" w:rsidR="00AA341B">
        <w:rPr>
          <w:u w:val="single"/>
        </w:rPr>
        <w:t>https://www.fcc.gov/licensing-databases/fees/wire-transfer</w:t>
      </w:r>
      <w:r w:rsidR="00AA341B">
        <w:t xml:space="preserve"> </w:t>
      </w:r>
      <w:r w:rsidR="00C57DB5">
        <w:t>.</w:t>
      </w:r>
    </w:p>
    <w:p w:rsidR="006C2C38" w:rsidRPr="0067355D" w:rsidP="006C2C38">
      <w:pPr>
        <w:pStyle w:val="Heading3"/>
        <w:rPr>
          <w:szCs w:val="22"/>
        </w:rPr>
      </w:pPr>
      <w:bookmarkStart w:id="5" w:name="_Toc285458173"/>
      <w:bookmarkStart w:id="6" w:name="_Toc289263536"/>
      <w:bookmarkStart w:id="7" w:name="_Toc292177324"/>
      <w:bookmarkStart w:id="8" w:name="_Toc296691764"/>
      <w:bookmarkStart w:id="9" w:name="_Toc297116984"/>
      <w:bookmarkStart w:id="10" w:name="_Toc298752212"/>
      <w:bookmarkStart w:id="11" w:name="_Toc299091577"/>
      <w:bookmarkStart w:id="12" w:name="_Toc319681889"/>
      <w:bookmarkStart w:id="13" w:name="_Toc320103196"/>
      <w:bookmarkStart w:id="14" w:name="_Toc320615946"/>
      <w:bookmarkStart w:id="15" w:name="_Toc320616364"/>
      <w:bookmarkStart w:id="16" w:name="_Toc320616503"/>
      <w:bookmarkStart w:id="17" w:name="_Toc320632324"/>
      <w:bookmarkStart w:id="18" w:name="_Toc320632357"/>
      <w:bookmarkStart w:id="19" w:name="_Toc320639464"/>
      <w:bookmarkStart w:id="20" w:name="_Toc321130263"/>
      <w:bookmarkStart w:id="21" w:name="_Toc321301165"/>
      <w:bookmarkStart w:id="22" w:name="_Toc327344921"/>
      <w:bookmarkStart w:id="23" w:name="_Toc327454761"/>
      <w:bookmarkStart w:id="24" w:name="_Toc328052404"/>
      <w:bookmarkStart w:id="25" w:name="_Toc330473855"/>
      <w:bookmarkStart w:id="26" w:name="_Toc390878809"/>
      <w:bookmarkStart w:id="27" w:name="_Toc391364439"/>
      <w:bookmarkStart w:id="28" w:name="_Toc394672319"/>
      <w:bookmarkStart w:id="29" w:name="_Toc397078335"/>
      <w:r w:rsidRPr="0067355D">
        <w:rPr>
          <w:szCs w:val="22"/>
        </w:rPr>
        <w:t>De Minimis Regulatory Fees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C2C38" w:rsidRPr="0067355D" w:rsidP="00B70629">
      <w:pPr>
        <w:pStyle w:val="ParaNum"/>
        <w:widowControl/>
        <w:rPr>
          <w:szCs w:val="22"/>
        </w:rPr>
      </w:pPr>
      <w:r w:rsidRPr="0067355D">
        <w:rPr>
          <w:szCs w:val="22"/>
        </w:rPr>
        <w:t xml:space="preserve">Under the Commission’s de minimis rule for regulatory fee payments, a regulatee is exempt from paying regulatory fees if the </w:t>
      </w:r>
      <w:r w:rsidRPr="0067355D">
        <w:rPr>
          <w:szCs w:val="22"/>
        </w:rPr>
        <w:t>sum total</w:t>
      </w:r>
      <w:r w:rsidRPr="0067355D">
        <w:rPr>
          <w:szCs w:val="22"/>
        </w:rPr>
        <w:t xml:space="preserve"> of all of its annual regulatory fee liabilities is $</w:t>
      </w:r>
      <w:r w:rsidRPr="0067355D" w:rsidR="000E5F86">
        <w:rPr>
          <w:szCs w:val="22"/>
        </w:rPr>
        <w:t>1,0</w:t>
      </w:r>
      <w:r w:rsidRPr="0067355D">
        <w:rPr>
          <w:szCs w:val="22"/>
        </w:rPr>
        <w:t>00 or less for the fiscal year.</w:t>
      </w:r>
      <w:r w:rsidRPr="0067355D" w:rsidR="000B31E9">
        <w:rPr>
          <w:szCs w:val="22"/>
        </w:rPr>
        <w:t xml:space="preserve">  </w:t>
      </w:r>
      <w:r w:rsidRPr="0067355D">
        <w:rPr>
          <w:szCs w:val="22"/>
        </w:rPr>
        <w:t>The de minimis threshold applies only to filers of annual regulatory f</w:t>
      </w:r>
      <w:r w:rsidRPr="0067355D" w:rsidR="009F476E">
        <w:rPr>
          <w:szCs w:val="22"/>
        </w:rPr>
        <w:t xml:space="preserve">ees, </w:t>
      </w:r>
      <w:r w:rsidRPr="0067355D">
        <w:rPr>
          <w:szCs w:val="22"/>
        </w:rPr>
        <w:t xml:space="preserve">not regulatory fees paid through multi-year filings, and it is not a permanent exemption.  Each regulatee will need to reevaluate the total </w:t>
      </w:r>
      <w:r w:rsidRPr="0067355D" w:rsidR="007120F7">
        <w:rPr>
          <w:szCs w:val="22"/>
        </w:rPr>
        <w:t xml:space="preserve">annual </w:t>
      </w:r>
      <w:r w:rsidRPr="0067355D">
        <w:rPr>
          <w:szCs w:val="22"/>
        </w:rPr>
        <w:t xml:space="preserve">fee liability each fiscal year to determine whether they meet the de minimis exemption.  </w:t>
      </w:r>
    </w:p>
    <w:p w:rsidR="001145EC" w:rsidRPr="0067355D" w:rsidP="001145EC">
      <w:pPr>
        <w:pStyle w:val="Heading3"/>
        <w:rPr>
          <w:szCs w:val="22"/>
        </w:rPr>
      </w:pPr>
      <w:bookmarkStart w:id="30" w:name="_Toc285458174"/>
      <w:bookmarkStart w:id="31" w:name="_Toc289263537"/>
      <w:bookmarkStart w:id="32" w:name="_Toc292177325"/>
      <w:bookmarkStart w:id="33" w:name="_Toc296691765"/>
      <w:bookmarkStart w:id="34" w:name="_Toc297116985"/>
      <w:bookmarkStart w:id="35" w:name="_Toc298752213"/>
      <w:bookmarkStart w:id="36" w:name="_Toc299091578"/>
      <w:bookmarkStart w:id="37" w:name="_Toc319681890"/>
      <w:bookmarkStart w:id="38" w:name="_Toc320103197"/>
      <w:bookmarkStart w:id="39" w:name="_Toc320615947"/>
      <w:bookmarkStart w:id="40" w:name="_Toc320616365"/>
      <w:bookmarkStart w:id="41" w:name="_Toc320616504"/>
      <w:bookmarkStart w:id="42" w:name="_Toc320632325"/>
      <w:bookmarkStart w:id="43" w:name="_Toc320632358"/>
      <w:bookmarkStart w:id="44" w:name="_Toc320639465"/>
      <w:bookmarkStart w:id="45" w:name="_Toc321130264"/>
      <w:bookmarkStart w:id="46" w:name="_Toc321301166"/>
      <w:bookmarkStart w:id="47" w:name="_Toc327344922"/>
      <w:bookmarkStart w:id="48" w:name="_Toc327454762"/>
      <w:bookmarkStart w:id="49" w:name="_Toc328052405"/>
      <w:bookmarkStart w:id="50" w:name="_Toc330473856"/>
      <w:bookmarkStart w:id="51" w:name="_Toc390878810"/>
      <w:bookmarkStart w:id="52" w:name="_Toc391364440"/>
      <w:bookmarkStart w:id="53" w:name="_Toc394672320"/>
      <w:bookmarkStart w:id="54" w:name="_Toc397078336"/>
      <w:r w:rsidRPr="0067355D">
        <w:rPr>
          <w:szCs w:val="22"/>
        </w:rPr>
        <w:t>Standard Fee Calculations and Payment Dates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145EC" w:rsidRPr="0067355D" w:rsidP="00795234">
      <w:pPr>
        <w:pStyle w:val="ParaNum"/>
        <w:rPr>
          <w:szCs w:val="22"/>
        </w:rPr>
      </w:pPr>
      <w:r w:rsidRPr="0067355D">
        <w:rPr>
          <w:szCs w:val="22"/>
        </w:rPr>
        <w:t>The Commission will accept fee payments made in advance of the window for the payment of regulatory fees.  The responsibility for payment of fees by service category is as follows:</w:t>
      </w:r>
    </w:p>
    <w:p w:rsidR="001145EC" w:rsidRPr="0067355D" w:rsidP="00795234">
      <w:pPr>
        <w:pStyle w:val="ParaNum"/>
        <w:numPr>
          <w:ilvl w:val="0"/>
          <w:numId w:val="6"/>
        </w:numPr>
        <w:rPr>
          <w:szCs w:val="22"/>
        </w:rPr>
      </w:pPr>
      <w:r w:rsidRPr="0067355D">
        <w:rPr>
          <w:i/>
          <w:szCs w:val="22"/>
        </w:rPr>
        <w:t>Media Services</w:t>
      </w:r>
      <w:r w:rsidRPr="0067355D">
        <w:rPr>
          <w:szCs w:val="22"/>
        </w:rPr>
        <w:t>:  Regulatory fees must be paid for initial construction permits that were granted on or before October 1, 201</w:t>
      </w:r>
      <w:r w:rsidRPr="0067355D" w:rsidR="000E5F86">
        <w:rPr>
          <w:szCs w:val="22"/>
        </w:rPr>
        <w:t>7</w:t>
      </w:r>
      <w:r w:rsidRPr="0067355D">
        <w:rPr>
          <w:szCs w:val="22"/>
        </w:rPr>
        <w:t xml:space="preserve"> for AM/FM radio stations, VHF/UHF full service television stations, and satellite television stations.  Regulatory fees must be paid for all broadcast facility licenses granted on or before October 1, 201</w:t>
      </w:r>
      <w:r w:rsidRPr="0067355D" w:rsidR="000E5F86">
        <w:rPr>
          <w:szCs w:val="22"/>
        </w:rPr>
        <w:t>7</w:t>
      </w:r>
      <w:r w:rsidRPr="0067355D">
        <w:rPr>
          <w:szCs w:val="22"/>
        </w:rPr>
        <w:t xml:space="preserve">.  </w:t>
      </w:r>
      <w:r w:rsidRPr="0067355D" w:rsidR="00B93C05">
        <w:rPr>
          <w:szCs w:val="22"/>
        </w:rPr>
        <w:t>In instances where a permit or license is transferred or assigned after October 1, 2017, responsibility for payment rests with the holder of the permit or license as of the fee due date.</w:t>
      </w:r>
    </w:p>
    <w:p w:rsidR="001145EC" w:rsidRPr="0067355D" w:rsidP="00795234">
      <w:pPr>
        <w:pStyle w:val="ParaNum"/>
        <w:numPr>
          <w:ilvl w:val="0"/>
          <w:numId w:val="6"/>
        </w:numPr>
        <w:rPr>
          <w:szCs w:val="22"/>
        </w:rPr>
      </w:pPr>
      <w:r w:rsidRPr="0067355D">
        <w:rPr>
          <w:i/>
          <w:szCs w:val="22"/>
        </w:rPr>
        <w:t>Wireline (Common Carrier) Services</w:t>
      </w:r>
      <w:r w:rsidRPr="0067355D">
        <w:rPr>
          <w:szCs w:val="22"/>
        </w:rPr>
        <w:t>:  Regulatory fees must be paid for authorizations that were granted on or before October 1, 201</w:t>
      </w:r>
      <w:r w:rsidRPr="0067355D" w:rsidR="000E5F86">
        <w:rPr>
          <w:szCs w:val="22"/>
        </w:rPr>
        <w:t>7</w:t>
      </w:r>
      <w:r w:rsidRPr="0067355D">
        <w:rPr>
          <w:szCs w:val="22"/>
        </w:rPr>
        <w:t>.  In instances where a permit or license is transferred or assigned after October 1, 201</w:t>
      </w:r>
      <w:r w:rsidRPr="0067355D" w:rsidR="000E5F86">
        <w:rPr>
          <w:szCs w:val="22"/>
        </w:rPr>
        <w:t>7</w:t>
      </w:r>
      <w:r w:rsidRPr="0067355D">
        <w:rPr>
          <w:szCs w:val="22"/>
        </w:rPr>
        <w:t>, responsibility for payment rests with the holder of the permit or license as of the fee due date.  Audio bridging service providers are included in this category.</w:t>
      </w:r>
      <w:r>
        <w:rPr>
          <w:rStyle w:val="FootnoteReference"/>
          <w:sz w:val="22"/>
          <w:szCs w:val="22"/>
        </w:rPr>
        <w:footnoteReference w:id="61"/>
      </w:r>
      <w:r w:rsidRPr="0067355D">
        <w:rPr>
          <w:szCs w:val="22"/>
        </w:rPr>
        <w:t xml:space="preserve">  For Responsible Organizations (RespOrgs) that manage Toll Free Numbers (TFN), regulatory fees should be paid on all working, assigned, and reserved toll free numbers as well as toll free numbers in any other status as defined in section 52.103 of the Commission’s rules.</w:t>
      </w:r>
      <w:r>
        <w:rPr>
          <w:rStyle w:val="FootnoteReference"/>
          <w:sz w:val="22"/>
          <w:szCs w:val="22"/>
        </w:rPr>
        <w:footnoteReference w:id="62"/>
      </w:r>
      <w:r w:rsidRPr="0067355D">
        <w:rPr>
          <w:szCs w:val="22"/>
        </w:rPr>
        <w:t xml:space="preserve">  The unit count should be based on toll free numbers managed by RespOrgs on or about December 31, 201</w:t>
      </w:r>
      <w:r w:rsidRPr="0067355D" w:rsidR="000E5F86">
        <w:rPr>
          <w:szCs w:val="22"/>
        </w:rPr>
        <w:t>7</w:t>
      </w:r>
      <w:r w:rsidRPr="0067355D">
        <w:rPr>
          <w:szCs w:val="22"/>
        </w:rPr>
        <w:t>.</w:t>
      </w:r>
    </w:p>
    <w:p w:rsidR="001145EC" w:rsidRPr="0067355D" w:rsidP="00795234">
      <w:pPr>
        <w:pStyle w:val="ParaNum"/>
        <w:numPr>
          <w:ilvl w:val="0"/>
          <w:numId w:val="6"/>
        </w:numPr>
        <w:rPr>
          <w:szCs w:val="22"/>
        </w:rPr>
      </w:pPr>
      <w:r w:rsidRPr="0067355D">
        <w:rPr>
          <w:i/>
          <w:szCs w:val="22"/>
        </w:rPr>
        <w:t>Wireless Services</w:t>
      </w:r>
      <w:r w:rsidRPr="0067355D">
        <w:rPr>
          <w:szCs w:val="22"/>
        </w:rPr>
        <w:t>:  CMRS cellular, mobile, and messaging services (fees based on number of subscribers or telephone number count):  Regulatory fees must be paid for authorizations that were granted on or before October 1, 201</w:t>
      </w:r>
      <w:r w:rsidRPr="0067355D" w:rsidR="000E5F86">
        <w:rPr>
          <w:szCs w:val="22"/>
        </w:rPr>
        <w:t>7</w:t>
      </w:r>
      <w:r w:rsidRPr="0067355D">
        <w:rPr>
          <w:szCs w:val="22"/>
        </w:rPr>
        <w:t>.  The number of subscribers, units, or telephone numbers on December 31, 201</w:t>
      </w:r>
      <w:r w:rsidRPr="0067355D" w:rsidR="000E5F86">
        <w:rPr>
          <w:szCs w:val="22"/>
        </w:rPr>
        <w:t>7</w:t>
      </w:r>
      <w:r w:rsidRPr="0067355D">
        <w:rPr>
          <w:szCs w:val="22"/>
        </w:rPr>
        <w:t xml:space="preserve"> will be used as the basis from which to calculate the fee payment.  In instances where a permit or license is transferred or assigned after October 1, 201</w:t>
      </w:r>
      <w:r w:rsidRPr="0067355D" w:rsidR="000E5F86">
        <w:rPr>
          <w:szCs w:val="22"/>
        </w:rPr>
        <w:t>7</w:t>
      </w:r>
      <w:r w:rsidRPr="0067355D">
        <w:rPr>
          <w:szCs w:val="22"/>
        </w:rPr>
        <w:t xml:space="preserve">, responsibility for payment rests with the holder of the permit or license as of the fee due date.  </w:t>
      </w:r>
    </w:p>
    <w:p w:rsidR="001145EC" w:rsidRPr="0067355D" w:rsidP="00795234">
      <w:pPr>
        <w:pStyle w:val="ParaNum"/>
        <w:numPr>
          <w:ilvl w:val="0"/>
          <w:numId w:val="6"/>
        </w:numPr>
        <w:rPr>
          <w:szCs w:val="22"/>
        </w:rPr>
      </w:pPr>
      <w:r w:rsidRPr="0067355D">
        <w:rPr>
          <w:i/>
          <w:szCs w:val="22"/>
        </w:rPr>
        <w:t>Wireless Services, Multi-year fees</w:t>
      </w:r>
      <w:r w:rsidRPr="0067355D">
        <w:rPr>
          <w:szCs w:val="22"/>
        </w:rPr>
        <w:t xml:space="preserve">:  The first eight regulatory fee categories in our Schedule of Regulatory Fees pay “small multi-year wireless regulatory fees.”  Entities pay these regulatory fees in advance for the entire amount period covered by the five-year or ten-year terms of their initial </w:t>
      </w:r>
      <w:r w:rsidRPr="0067355D">
        <w:rPr>
          <w:szCs w:val="22"/>
        </w:rPr>
        <w:t>licenses, and</w:t>
      </w:r>
      <w:r w:rsidRPr="0067355D">
        <w:rPr>
          <w:szCs w:val="22"/>
        </w:rPr>
        <w:t xml:space="preserve"> pay regulatory fees again only when the license is renewed or a new license is obtained.  We include these fee categories in our rulemaking to publicize our estimates of the number of “small multi-year wireless” licenses that will be renewed or newly obtained in FY 201</w:t>
      </w:r>
      <w:r w:rsidRPr="0067355D" w:rsidR="00E52F41">
        <w:rPr>
          <w:szCs w:val="22"/>
        </w:rPr>
        <w:t>8</w:t>
      </w:r>
      <w:r w:rsidRPr="0067355D">
        <w:rPr>
          <w:szCs w:val="22"/>
        </w:rPr>
        <w:t xml:space="preserve">. </w:t>
      </w:r>
    </w:p>
    <w:p w:rsidR="001145EC" w:rsidRPr="0067355D" w:rsidP="00795234">
      <w:pPr>
        <w:pStyle w:val="ParaNum"/>
        <w:numPr>
          <w:ilvl w:val="0"/>
          <w:numId w:val="6"/>
        </w:numPr>
        <w:rPr>
          <w:szCs w:val="22"/>
        </w:rPr>
      </w:pPr>
      <w:r w:rsidRPr="0067355D">
        <w:rPr>
          <w:i/>
          <w:szCs w:val="22"/>
        </w:rPr>
        <w:t xml:space="preserve">Multichannel Video Programming Distributor Services </w:t>
      </w:r>
      <w:r w:rsidRPr="0067355D" w:rsidR="000B31E9">
        <w:rPr>
          <w:i/>
          <w:szCs w:val="22"/>
        </w:rPr>
        <w:t xml:space="preserve">(cable television operators, </w:t>
      </w:r>
      <w:r w:rsidRPr="0067355D">
        <w:rPr>
          <w:i/>
          <w:szCs w:val="22"/>
        </w:rPr>
        <w:t>CARS licensees</w:t>
      </w:r>
      <w:r w:rsidRPr="0067355D" w:rsidR="000B31E9">
        <w:rPr>
          <w:i/>
          <w:szCs w:val="22"/>
        </w:rPr>
        <w:t>, DBS, and IPTV</w:t>
      </w:r>
      <w:r w:rsidRPr="0067355D">
        <w:rPr>
          <w:i/>
          <w:szCs w:val="22"/>
        </w:rPr>
        <w:t>)</w:t>
      </w:r>
      <w:r w:rsidRPr="0067355D">
        <w:rPr>
          <w:szCs w:val="22"/>
        </w:rPr>
        <w:t>:  Regulatory fees must be paid for the number of basic cable television subscribers as of December 31, 201</w:t>
      </w:r>
      <w:r w:rsidRPr="0067355D" w:rsidR="00E52F41">
        <w:rPr>
          <w:szCs w:val="22"/>
        </w:rPr>
        <w:t>7</w:t>
      </w:r>
      <w:r w:rsidRPr="0067355D">
        <w:rPr>
          <w:szCs w:val="22"/>
        </w:rPr>
        <w:t>.</w:t>
      </w:r>
      <w:r>
        <w:rPr>
          <w:szCs w:val="22"/>
          <w:vertAlign w:val="superscript"/>
        </w:rPr>
        <w:footnoteReference w:id="63"/>
      </w:r>
      <w:r w:rsidRPr="0067355D">
        <w:rPr>
          <w:szCs w:val="22"/>
        </w:rPr>
        <w:t xml:space="preserve">  Regulatory fees also must be paid for CARS licenses that were granted on or before October 1, 201</w:t>
      </w:r>
      <w:r w:rsidRPr="0067355D" w:rsidR="00E52F41">
        <w:rPr>
          <w:szCs w:val="22"/>
        </w:rPr>
        <w:t>7</w:t>
      </w:r>
      <w:r w:rsidRPr="0067355D">
        <w:rPr>
          <w:szCs w:val="22"/>
        </w:rPr>
        <w:t>.  In instances where a permit or license is transferred or assigned after October 1, 201</w:t>
      </w:r>
      <w:r w:rsidRPr="0067355D" w:rsidR="00E52F41">
        <w:rPr>
          <w:szCs w:val="22"/>
        </w:rPr>
        <w:t>7</w:t>
      </w:r>
      <w:r w:rsidRPr="0067355D">
        <w:rPr>
          <w:szCs w:val="22"/>
        </w:rPr>
        <w:t xml:space="preserve">, responsibility for payment rests with the holder of the permit or license as of the fee due date.  </w:t>
      </w:r>
      <w:r w:rsidRPr="0067355D" w:rsidR="000B31E9">
        <w:rPr>
          <w:bCs/>
          <w:szCs w:val="22"/>
        </w:rPr>
        <w:t>For providers of Direct Broadcast Satellite (DBS) service</w:t>
      </w:r>
      <w:r w:rsidRPr="0067355D" w:rsidR="00CE4D7E">
        <w:rPr>
          <w:bCs/>
          <w:szCs w:val="22"/>
        </w:rPr>
        <w:t xml:space="preserve"> and IPTV</w:t>
      </w:r>
      <w:r w:rsidRPr="0067355D" w:rsidR="00F54DAD">
        <w:rPr>
          <w:bCs/>
          <w:szCs w:val="22"/>
        </w:rPr>
        <w:t>-based MVPDs</w:t>
      </w:r>
      <w:r w:rsidRPr="0067355D" w:rsidR="000B31E9">
        <w:rPr>
          <w:bCs/>
          <w:szCs w:val="22"/>
        </w:rPr>
        <w:t>, regulatory fees should be paid based on a subscriber count on or about December 31, 201</w:t>
      </w:r>
      <w:r w:rsidRPr="0067355D" w:rsidR="00E52F41">
        <w:rPr>
          <w:bCs/>
          <w:szCs w:val="22"/>
        </w:rPr>
        <w:t>7</w:t>
      </w:r>
      <w:r w:rsidRPr="0067355D" w:rsidR="000B31E9">
        <w:rPr>
          <w:bCs/>
          <w:szCs w:val="22"/>
        </w:rPr>
        <w:t>.</w:t>
      </w:r>
      <w:r w:rsidRPr="0067355D" w:rsidR="000B31E9">
        <w:rPr>
          <w:szCs w:val="22"/>
        </w:rPr>
        <w:t xml:space="preserve">  In instances where a permit or license is transferred or assigned after October 1, 201</w:t>
      </w:r>
      <w:r w:rsidRPr="0067355D" w:rsidR="00E52F41">
        <w:rPr>
          <w:szCs w:val="22"/>
        </w:rPr>
        <w:t>7</w:t>
      </w:r>
      <w:r w:rsidRPr="0067355D" w:rsidR="000B31E9">
        <w:rPr>
          <w:szCs w:val="22"/>
        </w:rPr>
        <w:t>, responsibility for payment rests with the holder of the permit or license as of the fee due date.</w:t>
      </w:r>
    </w:p>
    <w:p w:rsidR="001145EC" w:rsidRPr="0067355D" w:rsidP="00795234">
      <w:pPr>
        <w:pStyle w:val="ParaNum"/>
        <w:numPr>
          <w:ilvl w:val="0"/>
          <w:numId w:val="6"/>
        </w:numPr>
        <w:rPr>
          <w:szCs w:val="22"/>
        </w:rPr>
      </w:pPr>
      <w:r w:rsidRPr="0067355D">
        <w:rPr>
          <w:i/>
          <w:szCs w:val="22"/>
        </w:rPr>
        <w:t>International Services</w:t>
      </w:r>
      <w:r w:rsidRPr="0067355D">
        <w:rPr>
          <w:szCs w:val="22"/>
        </w:rPr>
        <w:t>:  Regulatory fees must be paid for (1) earth stations and (2) geostationary orbit space stations and non-geostationary orbit satellite systems that were licensed and operational on or before October 1, 201</w:t>
      </w:r>
      <w:r w:rsidRPr="0067355D" w:rsidR="00E52F41">
        <w:rPr>
          <w:szCs w:val="22"/>
        </w:rPr>
        <w:t>7</w:t>
      </w:r>
      <w:r w:rsidRPr="0067355D">
        <w:rPr>
          <w:szCs w:val="22"/>
        </w:rPr>
        <w:t>.  In instances where a permit or license is transferred or assigned after October 1, 201</w:t>
      </w:r>
      <w:r w:rsidRPr="0067355D" w:rsidR="00E52F41">
        <w:rPr>
          <w:szCs w:val="22"/>
        </w:rPr>
        <w:t>7</w:t>
      </w:r>
      <w:r w:rsidRPr="0067355D">
        <w:rPr>
          <w:szCs w:val="22"/>
        </w:rPr>
        <w:t>, responsibility for payment rests with the holder of the permit or license as of the fee due date.</w:t>
      </w:r>
    </w:p>
    <w:p w:rsidR="001145EC" w:rsidRPr="0067355D" w:rsidP="00795234">
      <w:pPr>
        <w:pStyle w:val="ParaNum"/>
        <w:numPr>
          <w:ilvl w:val="0"/>
          <w:numId w:val="6"/>
        </w:numPr>
        <w:rPr>
          <w:szCs w:val="22"/>
        </w:rPr>
      </w:pPr>
      <w:r w:rsidRPr="0067355D">
        <w:rPr>
          <w:i/>
          <w:szCs w:val="22"/>
        </w:rPr>
        <w:t xml:space="preserve">International Services </w:t>
      </w:r>
      <w:r w:rsidRPr="0067355D">
        <w:rPr>
          <w:szCs w:val="22"/>
        </w:rPr>
        <w:t>(</w:t>
      </w:r>
      <w:r w:rsidRPr="0067355D">
        <w:rPr>
          <w:i/>
          <w:szCs w:val="22"/>
        </w:rPr>
        <w:t>Submarine Cable Systems</w:t>
      </w:r>
      <w:r w:rsidRPr="0067355D">
        <w:rPr>
          <w:szCs w:val="22"/>
        </w:rPr>
        <w:t>):</w:t>
      </w:r>
      <w:r w:rsidRPr="0067355D">
        <w:rPr>
          <w:i/>
          <w:szCs w:val="22"/>
        </w:rPr>
        <w:t xml:space="preserve">  </w:t>
      </w:r>
      <w:r w:rsidRPr="0067355D">
        <w:rPr>
          <w:szCs w:val="22"/>
        </w:rPr>
        <w:t xml:space="preserve">Regulatory fees for submarine cable systems are to be paid on a per cable landing license basis </w:t>
      </w:r>
      <w:r w:rsidR="0059770D">
        <w:rPr>
          <w:szCs w:val="22"/>
        </w:rPr>
        <w:t>for all systems that are licensed and operational as of October 1, 2017.  The fee is</w:t>
      </w:r>
      <w:r w:rsidRPr="0067355D" w:rsidR="0059770D">
        <w:rPr>
          <w:szCs w:val="22"/>
        </w:rPr>
        <w:t xml:space="preserve"> </w:t>
      </w:r>
      <w:r w:rsidRPr="0067355D">
        <w:rPr>
          <w:szCs w:val="22"/>
        </w:rPr>
        <w:t>based on circuit capacity as of December 31, 201</w:t>
      </w:r>
      <w:r w:rsidRPr="0067355D" w:rsidR="00E52F41">
        <w:rPr>
          <w:szCs w:val="22"/>
        </w:rPr>
        <w:t>7</w:t>
      </w:r>
      <w:r w:rsidRPr="0067355D">
        <w:rPr>
          <w:szCs w:val="22"/>
        </w:rPr>
        <w:t>.  In instances where a license is transferred or assigned after October 1, 201</w:t>
      </w:r>
      <w:r w:rsidRPr="0067355D" w:rsidR="00E52F41">
        <w:rPr>
          <w:szCs w:val="22"/>
        </w:rPr>
        <w:t>7</w:t>
      </w:r>
      <w:r w:rsidRPr="0067355D">
        <w:rPr>
          <w:szCs w:val="22"/>
        </w:rPr>
        <w:t>, responsibility for payment rests with the holder of the license as of the fee due date.  For regulatory fee purposes, the allocation in FY 201</w:t>
      </w:r>
      <w:r w:rsidRPr="0067355D" w:rsidR="00E52F41">
        <w:rPr>
          <w:szCs w:val="22"/>
        </w:rPr>
        <w:t>8</w:t>
      </w:r>
      <w:r w:rsidRPr="0067355D">
        <w:rPr>
          <w:szCs w:val="22"/>
        </w:rPr>
        <w:t xml:space="preserve"> </w:t>
      </w:r>
      <w:r w:rsidRPr="0067355D" w:rsidR="0024756C">
        <w:rPr>
          <w:szCs w:val="22"/>
        </w:rPr>
        <w:t xml:space="preserve">will </w:t>
      </w:r>
      <w:r w:rsidRPr="0067355D">
        <w:rPr>
          <w:szCs w:val="22"/>
        </w:rPr>
        <w:t>remain at 87.6 percent for submarine cable and 12.4 percent for satellite/terrestrial facilities</w:t>
      </w:r>
      <w:r w:rsidRPr="0067355D" w:rsidR="0024756C">
        <w:rPr>
          <w:szCs w:val="22"/>
        </w:rPr>
        <w:t>.</w:t>
      </w:r>
    </w:p>
    <w:p w:rsidR="001145EC" w:rsidRPr="0067355D" w:rsidP="00795234">
      <w:pPr>
        <w:pStyle w:val="ParaNum"/>
        <w:numPr>
          <w:ilvl w:val="0"/>
          <w:numId w:val="6"/>
        </w:numPr>
        <w:rPr>
          <w:szCs w:val="22"/>
        </w:rPr>
      </w:pPr>
      <w:r w:rsidRPr="0067355D">
        <w:rPr>
          <w:i/>
          <w:szCs w:val="22"/>
        </w:rPr>
        <w:t xml:space="preserve">International Services </w:t>
      </w:r>
      <w:r w:rsidRPr="0067355D">
        <w:rPr>
          <w:szCs w:val="22"/>
        </w:rPr>
        <w:t>(</w:t>
      </w:r>
      <w:r w:rsidRPr="0067355D">
        <w:rPr>
          <w:i/>
          <w:szCs w:val="22"/>
        </w:rPr>
        <w:t>Terrestrial and Satellite Services</w:t>
      </w:r>
      <w:r w:rsidRPr="0067355D">
        <w:rPr>
          <w:szCs w:val="22"/>
        </w:rPr>
        <w:t xml:space="preserve">):  Regulatory fees for Terrestrial and Satellite IBCs are to be paid </w:t>
      </w:r>
      <w:r w:rsidRPr="0067355D" w:rsidR="00B34B2B">
        <w:rPr>
          <w:szCs w:val="22"/>
        </w:rPr>
        <w:t xml:space="preserve">based on </w:t>
      </w:r>
      <w:r w:rsidRPr="0067355D">
        <w:rPr>
          <w:szCs w:val="22"/>
        </w:rPr>
        <w:t>active (used or leased) international bearer circuits as of December 31, 201</w:t>
      </w:r>
      <w:r w:rsidRPr="0067355D" w:rsidR="00817621">
        <w:rPr>
          <w:szCs w:val="22"/>
        </w:rPr>
        <w:t>7</w:t>
      </w:r>
      <w:r w:rsidRPr="0067355D">
        <w:rPr>
          <w:szCs w:val="22"/>
        </w:rPr>
        <w:t xml:space="preserve"> in any terrestrial or satellite transmission facility for the provision of service to an end user or resale carrier.  When calculating the number of such active circuits, </w:t>
      </w:r>
      <w:r w:rsidRPr="0067355D" w:rsidR="00B34B2B">
        <w:rPr>
          <w:szCs w:val="22"/>
        </w:rPr>
        <w:t xml:space="preserve">entities must </w:t>
      </w:r>
      <w:r w:rsidRPr="0067355D">
        <w:rPr>
          <w:szCs w:val="22"/>
        </w:rPr>
        <w:t xml:space="preserve">include circuits used by themselves or their affiliates.  For these purposes, “active circuits” include backup and redundant circuits as of December 31, </w:t>
      </w:r>
      <w:r w:rsidRPr="00F83942">
        <w:rPr>
          <w:szCs w:val="22"/>
        </w:rPr>
        <w:t>201</w:t>
      </w:r>
      <w:r w:rsidRPr="00F83942" w:rsidR="00817621">
        <w:rPr>
          <w:szCs w:val="22"/>
        </w:rPr>
        <w:t>7</w:t>
      </w:r>
      <w:r w:rsidRPr="00F83942" w:rsidR="00F83942">
        <w:t xml:space="preserve"> and include both common carrier and non-common carrier circuits for both terrestrial and satellite services. </w:t>
      </w:r>
      <w:r w:rsidRPr="00F83942">
        <w:rPr>
          <w:szCs w:val="22"/>
        </w:rPr>
        <w:t xml:space="preserve"> Whether circuits are used specifically for voice or data is not relevant for purposes of determining</w:t>
      </w:r>
      <w:r w:rsidRPr="0067355D">
        <w:rPr>
          <w:szCs w:val="22"/>
        </w:rPr>
        <w:t xml:space="preserve"> that they are active circuits.</w:t>
      </w:r>
      <w:r>
        <w:rPr>
          <w:rStyle w:val="FootnoteReference"/>
          <w:sz w:val="22"/>
          <w:szCs w:val="22"/>
        </w:rPr>
        <w:footnoteReference w:id="64"/>
      </w:r>
      <w:r w:rsidRPr="0067355D">
        <w:rPr>
          <w:szCs w:val="22"/>
        </w:rPr>
        <w:t xml:space="preserve">  In instances where a permit or license is transferred or assigned after October 1, 201</w:t>
      </w:r>
      <w:r w:rsidRPr="0067355D" w:rsidR="00817621">
        <w:rPr>
          <w:szCs w:val="22"/>
        </w:rPr>
        <w:t>7</w:t>
      </w:r>
      <w:r w:rsidRPr="0067355D">
        <w:rPr>
          <w:szCs w:val="22"/>
        </w:rPr>
        <w:t xml:space="preserve">, responsibility for payment rests with the holder of the permit or license as of the fee due </w:t>
      </w:r>
      <w:r w:rsidRPr="00F83942">
        <w:rPr>
          <w:szCs w:val="22"/>
        </w:rPr>
        <w:t>date</w:t>
      </w:r>
      <w:r w:rsidRPr="00F83942" w:rsidR="00F83942">
        <w:t xml:space="preserve"> based on circuit counts as of December 31, 2017. </w:t>
      </w:r>
      <w:r w:rsidRPr="00F83942">
        <w:rPr>
          <w:szCs w:val="22"/>
        </w:rPr>
        <w:t xml:space="preserve"> For regulatory fee</w:t>
      </w:r>
      <w:r w:rsidRPr="0067355D">
        <w:rPr>
          <w:szCs w:val="22"/>
        </w:rPr>
        <w:t xml:space="preserve"> purposes, the allocation in FY 201</w:t>
      </w:r>
      <w:r w:rsidRPr="0067355D" w:rsidR="00817621">
        <w:rPr>
          <w:szCs w:val="22"/>
        </w:rPr>
        <w:t>8</w:t>
      </w:r>
      <w:r w:rsidRPr="0067355D">
        <w:rPr>
          <w:szCs w:val="22"/>
        </w:rPr>
        <w:t xml:space="preserve"> </w:t>
      </w:r>
      <w:r w:rsidRPr="0067355D" w:rsidR="0024756C">
        <w:rPr>
          <w:szCs w:val="22"/>
        </w:rPr>
        <w:t xml:space="preserve">will </w:t>
      </w:r>
      <w:r w:rsidRPr="0067355D">
        <w:rPr>
          <w:szCs w:val="22"/>
        </w:rPr>
        <w:t>remain at 87.6 percent for submarine cable and 12.4 percent for satellite/terrestrial facilities</w:t>
      </w:r>
      <w:r w:rsidRPr="0067355D" w:rsidR="0060471E">
        <w:rPr>
          <w:szCs w:val="22"/>
        </w:rPr>
        <w:t>.</w:t>
      </w:r>
    </w:p>
    <w:p w:rsidR="00E3705B" w:rsidRPr="0067355D">
      <w:pPr>
        <w:pStyle w:val="Heading2"/>
      </w:pPr>
      <w:r w:rsidRPr="0067355D">
        <w:t>Commercial Mobile Radio Service (CMRS) and Mobile Services Assessments</w:t>
      </w:r>
    </w:p>
    <w:p w:rsidR="00426C4C" w:rsidRPr="0067355D" w:rsidP="00795234">
      <w:pPr>
        <w:pStyle w:val="ParaNum"/>
        <w:rPr>
          <w:szCs w:val="22"/>
        </w:rPr>
      </w:pPr>
      <w:r>
        <w:rPr>
          <w:szCs w:val="22"/>
        </w:rPr>
        <w:t>T</w:t>
      </w:r>
      <w:r w:rsidRPr="0067355D">
        <w:rPr>
          <w:szCs w:val="22"/>
        </w:rPr>
        <w:t>he Commission will compile data from the Numbering Resource Utilization Forecast (NRUF) report that is based on “assigned” telephone number (subscriber) counts that have been adjusted for porting to net Type 0 ports (“in” and “out”).</w:t>
      </w:r>
      <w:r>
        <w:rPr>
          <w:rStyle w:val="FootnoteReference"/>
          <w:sz w:val="22"/>
          <w:szCs w:val="22"/>
        </w:rPr>
        <w:footnoteReference w:id="65"/>
      </w:r>
      <w:r w:rsidRPr="0067355D">
        <w:rPr>
          <w:szCs w:val="22"/>
        </w:rPr>
        <w:t xml:space="preserve">  This information of telephone numbers (subscriber count) will be posted on the Commission’s electronic filing and payment system (Fee Filer) along with the carrier’s Operating Company Numbers (OCNs).  </w:t>
      </w:r>
    </w:p>
    <w:p w:rsidR="002B7F59" w:rsidRPr="0067355D" w:rsidP="00853972">
      <w:pPr>
        <w:pStyle w:val="ParaNum"/>
        <w:widowControl/>
        <w:rPr>
          <w:szCs w:val="22"/>
        </w:rPr>
      </w:pPr>
      <w:r w:rsidRPr="0067355D">
        <w:rPr>
          <w:szCs w:val="22"/>
        </w:rPr>
        <w:t>A carrier wishing to revise its telephone number (subscriber) count can do so by accessing Fee Filer and follow the prompts to revise their telephone number counts.  Any revisions to the telephone number counts should be accompanied by an explanation or</w:t>
      </w:r>
      <w:r w:rsidRPr="0067355D">
        <w:rPr>
          <w:rStyle w:val="CommentReference"/>
          <w:sz w:val="22"/>
          <w:szCs w:val="22"/>
        </w:rPr>
        <w:t> </w:t>
      </w:r>
      <w:r w:rsidRPr="0067355D">
        <w:rPr>
          <w:szCs w:val="22"/>
        </w:rPr>
        <w:t>supporting documentation.</w:t>
      </w:r>
      <w:r>
        <w:rPr>
          <w:rStyle w:val="FootnoteReference"/>
          <w:sz w:val="22"/>
          <w:szCs w:val="22"/>
        </w:rPr>
        <w:footnoteReference w:id="66"/>
      </w:r>
      <w:r w:rsidRPr="0067355D">
        <w:rPr>
          <w:szCs w:val="22"/>
        </w:rPr>
        <w:t xml:space="preserve">  The Commission will then review the revised count and supporting documentation and either approve or</w:t>
      </w:r>
      <w:r w:rsidRPr="0067355D">
        <w:rPr>
          <w:szCs w:val="22"/>
        </w:rPr>
        <w:t xml:space="preserve"> disapprove the submission in Fee Filer.  If the submission is disapproved, the Commission will contact the provider to afford the provider an opportunity to discuss its revised subscriber count and/or provide additional supporting documentation.  If we receive no response from the provider, or we do not reverse our initial disapproval of the provider’s revised count submission, the fee payment must be based on the number of subscribers listed initially in Fee Filer.  Once the timeframe for revision has passed, the telephone number counts are final and are the basis upon which CMRS regulatory fees are to be paid.  Providers can view their final telephone counts online in Fee Filer.  A final CMRS assessment letter will not be mailed out.</w:t>
      </w:r>
    </w:p>
    <w:p w:rsidR="002B7F59" w:rsidRPr="0067355D" w:rsidP="00795234">
      <w:pPr>
        <w:pStyle w:val="ParaNum"/>
        <w:rPr>
          <w:szCs w:val="22"/>
        </w:rPr>
      </w:pPr>
      <w:r w:rsidRPr="0067355D">
        <w:rPr>
          <w:szCs w:val="22"/>
        </w:rPr>
        <w:t>Because some carriers do not file the NRUF report, they may not see their telephone number counts in Fee Filer.  In these instances, the carriers should compute their fee payment using the standard methodology that is currently in place for CMRS Wireless services (i.e., compute their telephone number counts as of December 31, 201</w:t>
      </w:r>
      <w:r w:rsidRPr="0067355D" w:rsidR="00817621">
        <w:rPr>
          <w:szCs w:val="22"/>
        </w:rPr>
        <w:t>7</w:t>
      </w:r>
      <w:r w:rsidRPr="0067355D">
        <w:rPr>
          <w:szCs w:val="22"/>
        </w:rPr>
        <w:t xml:space="preserve">), and submit their fee payment accordingly.  Whether a carrier reviews its telephone number counts in Fee Filer or not, the Commission reserves the right to audit the number of telephone numbers for which regulatory fees are paid.  </w:t>
      </w:r>
      <w:r w:rsidRPr="0067355D">
        <w:rPr>
          <w:szCs w:val="22"/>
        </w:rPr>
        <w:t>In the event that</w:t>
      </w:r>
      <w:r w:rsidRPr="0067355D">
        <w:rPr>
          <w:szCs w:val="22"/>
        </w:rPr>
        <w:t xml:space="preserve"> the Commission determines that the number of telephone numbers that are paid is inaccurate, the Commission will bill the carrier for the difference between what was paid and what should have been paid.</w:t>
      </w:r>
    </w:p>
    <w:p w:rsidR="00317007" w:rsidRPr="0067355D">
      <w:pPr>
        <w:pStyle w:val="Heading2"/>
      </w:pPr>
      <w:bookmarkStart w:id="55" w:name="_Toc491865046"/>
      <w:bookmarkStart w:id="56" w:name="_Toc491865461"/>
      <w:r w:rsidRPr="0067355D">
        <w:t>Enforcement</w:t>
      </w:r>
      <w:bookmarkEnd w:id="55"/>
      <w:bookmarkEnd w:id="56"/>
    </w:p>
    <w:p w:rsidR="00317007" w:rsidRPr="0067355D" w:rsidP="00317007">
      <w:pPr>
        <w:pStyle w:val="ParaNum"/>
        <w:rPr>
          <w:szCs w:val="22"/>
        </w:rPr>
      </w:pPr>
      <w:r w:rsidRPr="0067355D">
        <w:rPr>
          <w:szCs w:val="22"/>
        </w:rPr>
        <w:t>To be considered timely, regulatory fee payments must be made electronically by the payment due date for regulatory fees.  Section 9(c) of the Act requires us to impose a late payment penalty of 25 percent of the unpaid amount to be assessed on the first day following the deadline for filing these fees.</w:t>
      </w:r>
      <w:r>
        <w:rPr>
          <w:rStyle w:val="FootnoteReference"/>
          <w:sz w:val="22"/>
          <w:szCs w:val="22"/>
        </w:rPr>
        <w:footnoteReference w:id="67"/>
      </w:r>
      <w:r w:rsidRPr="0067355D">
        <w:rPr>
          <w:szCs w:val="22"/>
        </w:rPr>
        <w:t xml:space="preserve">  Failure to pay regulatory fees and/or any late penalty will subject </w:t>
      </w:r>
      <w:r w:rsidRPr="0067355D">
        <w:rPr>
          <w:szCs w:val="22"/>
        </w:rPr>
        <w:t>regulatees</w:t>
      </w:r>
      <w:r w:rsidRPr="0067355D">
        <w:rPr>
          <w:szCs w:val="22"/>
        </w:rPr>
        <w:t xml:space="preserve"> to sanctions, including those set forth in section 1.1910 of the Commission’s rules,</w:t>
      </w:r>
      <w:r>
        <w:rPr>
          <w:rStyle w:val="FootnoteReference"/>
          <w:sz w:val="22"/>
          <w:szCs w:val="22"/>
        </w:rPr>
        <w:footnoteReference w:id="68"/>
      </w:r>
      <w:r w:rsidRPr="0067355D">
        <w:rPr>
          <w:szCs w:val="22"/>
        </w:rPr>
        <w:t xml:space="preserve"> which generally requires the Commission to withhold action on “applications, including on a petition for reconsideration or any application for review of a fee determination, or requests for authorization by any entity found to be delinquent in its debt to the Commission” and in the DCIA.</w:t>
      </w:r>
      <w:r>
        <w:rPr>
          <w:rStyle w:val="FootnoteReference"/>
          <w:sz w:val="22"/>
          <w:szCs w:val="22"/>
        </w:rPr>
        <w:footnoteReference w:id="69"/>
      </w:r>
      <w:r w:rsidRPr="0067355D">
        <w:rPr>
          <w:szCs w:val="22"/>
        </w:rPr>
        <w:t xml:space="preserve">  </w:t>
      </w:r>
      <w:r w:rsidRPr="0067355D" w:rsidR="00F63138">
        <w:rPr>
          <w:szCs w:val="22"/>
        </w:rPr>
        <w:t>We also assess administrative processing charges on delinquent debts to recover additional costs incurred in processing and handling the debt pursuant to the DCIA and section 1.1940(</w:t>
      </w:r>
      <w:r w:rsidR="008F02A3">
        <w:rPr>
          <w:szCs w:val="22"/>
        </w:rPr>
        <w:t>c</w:t>
      </w:r>
      <w:r w:rsidRPr="0067355D" w:rsidR="00F63138">
        <w:rPr>
          <w:szCs w:val="22"/>
        </w:rPr>
        <w:t>) of the Commission’s rules.</w:t>
      </w:r>
      <w:r>
        <w:rPr>
          <w:rStyle w:val="FootnoteReference"/>
          <w:sz w:val="22"/>
          <w:szCs w:val="22"/>
        </w:rPr>
        <w:footnoteReference w:id="70"/>
      </w:r>
      <w:r w:rsidRPr="0067355D" w:rsidR="00F63138">
        <w:rPr>
          <w:szCs w:val="22"/>
        </w:rPr>
        <w:t xml:space="preserve">  </w:t>
      </w:r>
      <w:r w:rsidRPr="0067355D">
        <w:rPr>
          <w:szCs w:val="22"/>
        </w:rPr>
        <w:t xml:space="preserve">These administrative processing charges will be assessed on any delinquent </w:t>
      </w:r>
      <w:r w:rsidR="0084433B">
        <w:rPr>
          <w:szCs w:val="22"/>
        </w:rPr>
        <w:t xml:space="preserve">FY 2018 </w:t>
      </w:r>
      <w:r w:rsidRPr="0067355D">
        <w:rPr>
          <w:szCs w:val="22"/>
        </w:rPr>
        <w:t>regulatory fee, in addition to the 25 percent late charge penalty.  In the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895439" w:rsidRPr="0067355D" w:rsidP="00895439">
      <w:pPr>
        <w:pStyle w:val="ParaNum"/>
        <w:rPr>
          <w:spacing w:val="-2"/>
          <w:szCs w:val="22"/>
        </w:rPr>
      </w:pPr>
      <w:r w:rsidRPr="0067355D">
        <w:rPr>
          <w:szCs w:val="22"/>
        </w:rPr>
        <w:t>In addition to financial penalties, section 9(c)(3) of the Act,</w:t>
      </w:r>
      <w:r>
        <w:rPr>
          <w:rStyle w:val="FootnoteReference"/>
          <w:sz w:val="22"/>
          <w:szCs w:val="22"/>
        </w:rPr>
        <w:footnoteReference w:id="71"/>
      </w:r>
      <w:r w:rsidRPr="0067355D">
        <w:rPr>
          <w:szCs w:val="22"/>
        </w:rPr>
        <w:t xml:space="preserve"> and section 1.1164(f) of the Commission’s rules</w:t>
      </w:r>
      <w:r>
        <w:rPr>
          <w:rStyle w:val="FootnoteReference"/>
          <w:sz w:val="22"/>
          <w:szCs w:val="22"/>
        </w:rPr>
        <w:footnoteReference w:id="72"/>
      </w:r>
      <w:r w:rsidRPr="0067355D">
        <w:rPr>
          <w:szCs w:val="22"/>
        </w:rPr>
        <w:t xml:space="preserve"> grant the FCC the authority to revoke authorizations for failure to pay regulatory fees in a timely fashion.  Should a fee delinquency not be rectified in a timely manner the Commission may require the license</w:t>
      </w:r>
      <w:r w:rsidR="009E3D53">
        <w:rPr>
          <w:szCs w:val="22"/>
        </w:rPr>
        <w:t>e</w:t>
      </w:r>
      <w:r w:rsidRPr="0067355D">
        <w:rPr>
          <w:szCs w:val="22"/>
        </w:rPr>
        <w:t xml:space="preserve"> to file with documented evidence within sixty (60) calendar days that full payment of all outstanding regulatory fees has been made, plus any associated penalties as calculated by the Secretary of Treasury in accordance with section 1.1164(a) of the Commission’s rules,</w:t>
      </w:r>
      <w:r>
        <w:rPr>
          <w:rStyle w:val="FootnoteReference"/>
          <w:sz w:val="22"/>
          <w:szCs w:val="22"/>
        </w:rPr>
        <w:footnoteReference w:id="73"/>
      </w:r>
      <w:r w:rsidRPr="0067355D">
        <w:rPr>
          <w:szCs w:val="22"/>
        </w:rPr>
        <w:t xml:space="preserve"> or show cause why the payment is inapplicable or should be waived or deferred.  Failure to provide such evidence of payment or to show cause within the time specified may result in revocation of the station license.</w:t>
      </w:r>
      <w:r>
        <w:rPr>
          <w:rStyle w:val="FootnoteReference"/>
          <w:sz w:val="22"/>
          <w:szCs w:val="22"/>
        </w:rPr>
        <w:footnoteReference w:id="74"/>
      </w:r>
      <w:r w:rsidRPr="0067355D">
        <w:rPr>
          <w:szCs w:val="22"/>
        </w:rPr>
        <w:t xml:space="preserve">  </w:t>
      </w:r>
    </w:p>
    <w:p w:rsidR="00317007" w:rsidRPr="0067355D" w:rsidP="00317007">
      <w:pPr>
        <w:pStyle w:val="ParaNum"/>
        <w:rPr>
          <w:szCs w:val="22"/>
        </w:rPr>
      </w:pPr>
      <w:r w:rsidRPr="0067355D">
        <w:rPr>
          <w:szCs w:val="22"/>
        </w:rPr>
        <w:t>Pursuant to the “red light rule,” we will withhold action on any applications or other requests for benefits filed by anyone who is delinquent in any non-tax debts owed to the Commission (including regulatory fees) and will ultimately dismiss those applications or other requests if payment of the delinquent debt or other satisfactory arrangement for payment is not made.</w:t>
      </w:r>
      <w:r>
        <w:rPr>
          <w:rStyle w:val="FootnoteReference"/>
          <w:sz w:val="22"/>
          <w:szCs w:val="22"/>
        </w:rPr>
        <w:footnoteReference w:id="75"/>
      </w:r>
      <w:r w:rsidRPr="0067355D">
        <w:rPr>
          <w:szCs w:val="22"/>
        </w:rPr>
        <w:t xml:space="preserve">  Failure to pay regulatory fees can also result in the initiation of a proceeding to revoke any and all authorizations held by the entity responsible for paying the delinquent fee(s).</w:t>
      </w:r>
      <w:r>
        <w:rPr>
          <w:rStyle w:val="FootnoteReference"/>
          <w:sz w:val="22"/>
          <w:szCs w:val="22"/>
        </w:rPr>
        <w:footnoteReference w:id="76"/>
      </w:r>
      <w:r w:rsidRPr="0067355D">
        <w:rPr>
          <w:szCs w:val="22"/>
        </w:rPr>
        <w:t xml:space="preserve">  </w:t>
      </w:r>
    </w:p>
    <w:p w:rsidR="00E3705B" w:rsidRPr="0067355D">
      <w:pPr>
        <w:pStyle w:val="Heading2"/>
      </w:pPr>
      <w:r w:rsidRPr="0067355D">
        <w:t>Paperwork Reduction Act of 1995 Analysis</w:t>
      </w:r>
    </w:p>
    <w:p w:rsidR="00E36E1E" w:rsidRPr="0067355D" w:rsidP="00795234">
      <w:pPr>
        <w:pStyle w:val="ParaNum"/>
        <w:rPr>
          <w:szCs w:val="22"/>
        </w:rPr>
      </w:pPr>
      <w:r w:rsidRPr="0067355D">
        <w:rPr>
          <w:szCs w:val="22"/>
        </w:rPr>
        <w:t xml:space="preserve">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67355D">
        <w:rPr>
          <w:i/>
          <w:iCs/>
          <w:szCs w:val="22"/>
        </w:rPr>
        <w:t xml:space="preserve">see </w:t>
      </w:r>
      <w:r w:rsidRPr="0067355D">
        <w:rPr>
          <w:szCs w:val="22"/>
        </w:rPr>
        <w:t>44 U.S.C. § 3506(c)(4).</w:t>
      </w:r>
    </w:p>
    <w:p w:rsidR="00DF6804" w:rsidRPr="0067355D">
      <w:pPr>
        <w:pStyle w:val="Heading2"/>
      </w:pPr>
      <w:r w:rsidRPr="0067355D">
        <w:t>Final Regulatory Flexibility Act Analysis</w:t>
      </w:r>
    </w:p>
    <w:p w:rsidR="00DF6804" w:rsidP="00DF6804">
      <w:pPr>
        <w:pStyle w:val="ParaNum"/>
        <w:rPr>
          <w:szCs w:val="22"/>
        </w:rPr>
      </w:pPr>
      <w:r w:rsidRPr="0067355D">
        <w:rPr>
          <w:szCs w:val="22"/>
        </w:rPr>
        <w:t>As required by the Regulatory Flexibility Act of 1980 (RFA)</w:t>
      </w:r>
      <w:r>
        <w:rPr>
          <w:rStyle w:val="FootnoteReference"/>
          <w:sz w:val="22"/>
          <w:szCs w:val="22"/>
        </w:rPr>
        <w:footnoteReference w:id="77"/>
      </w:r>
      <w:r w:rsidRPr="0067355D" w:rsidR="0007374D">
        <w:rPr>
          <w:szCs w:val="22"/>
        </w:rPr>
        <w:t xml:space="preserve"> the Commission has prepared a Final Regulatory Flexibility Analysis (FRFA) relating to this Report and Order.  The FRFA is contained in Appendix </w:t>
      </w:r>
      <w:r w:rsidR="00C94015">
        <w:rPr>
          <w:szCs w:val="22"/>
        </w:rPr>
        <w:t>F</w:t>
      </w:r>
      <w:r w:rsidRPr="0067355D" w:rsidR="0007374D">
        <w:rPr>
          <w:szCs w:val="22"/>
        </w:rPr>
        <w:t>.</w:t>
      </w:r>
    </w:p>
    <w:p w:rsidR="0018618F">
      <w:pPr>
        <w:pStyle w:val="Heading2"/>
      </w:pPr>
      <w:r>
        <w:t>Effective Date</w:t>
      </w:r>
    </w:p>
    <w:p w:rsidR="00A67342" w:rsidRPr="00A67342" w:rsidP="00A67342">
      <w:pPr>
        <w:pStyle w:val="Heading3"/>
      </w:pPr>
      <w:r w:rsidRPr="00A67342">
        <w:t>Report and Order – FY 2018 Regulatory Fees</w:t>
      </w:r>
      <w:r>
        <w:rPr>
          <w:i/>
        </w:rPr>
        <w:t xml:space="preserve">  </w:t>
      </w:r>
    </w:p>
    <w:p w:rsidR="0018618F" w:rsidRPr="00A67342" w:rsidP="00933205">
      <w:pPr>
        <w:pStyle w:val="ParaNum"/>
        <w:rPr>
          <w:szCs w:val="22"/>
        </w:rPr>
      </w:pPr>
      <w:r>
        <w:t xml:space="preserve">Providing a 30-day period after Federal Register publication before this Report and Order becomes effective as required by 5 U.S.C. § 553(d) will not allow sufficient time to collect the FY 2018 fees before FY 2018 ends on September 30, 2018.  For this reason, pursuant to 5 U.S.C. § 553(d)(3), we find there is good cause to waive the requirements of section 553(d), and this Report and Order will become effective upon publication in the Federal Register.  Because payments of the regulatory fees will not actually be due until late </w:t>
      </w:r>
      <w:r w:rsidRPr="005D3AD4">
        <w:t>September,</w:t>
      </w:r>
      <w:r>
        <w:t xml:space="preserve"> persons affected by this Report and Order will still have a reasonable period in which to make their payments and thereby comply with the rules established herein.</w:t>
      </w:r>
    </w:p>
    <w:p w:rsidR="00A67342" w:rsidRPr="00A67342" w:rsidP="00A67342">
      <w:pPr>
        <w:pStyle w:val="Heading3"/>
      </w:pPr>
      <w:r w:rsidRPr="00A67342">
        <w:rPr>
          <w:szCs w:val="22"/>
        </w:rPr>
        <w:t>Order – Collection Costs for R</w:t>
      </w:r>
      <w:r>
        <w:rPr>
          <w:szCs w:val="22"/>
        </w:rPr>
        <w:t>egulatory and Application Fees</w:t>
      </w:r>
    </w:p>
    <w:p w:rsidR="0044454C" w:rsidRPr="00144C43" w:rsidP="0044454C">
      <w:pPr>
        <w:pStyle w:val="ParaNum"/>
        <w:rPr>
          <w:szCs w:val="22"/>
        </w:rPr>
      </w:pPr>
      <w:r w:rsidRPr="0044454C">
        <w:rPr>
          <w:szCs w:val="22"/>
        </w:rPr>
        <w:t xml:space="preserve">In our Order above, we </w:t>
      </w:r>
      <w:r w:rsidR="00FF2AF6">
        <w:rPr>
          <w:szCs w:val="22"/>
        </w:rPr>
        <w:t>amend</w:t>
      </w:r>
      <w:r w:rsidRPr="0044454C">
        <w:rPr>
          <w:szCs w:val="22"/>
        </w:rPr>
        <w:t xml:space="preserve"> </w:t>
      </w:r>
      <w:r w:rsidR="00750064">
        <w:rPr>
          <w:szCs w:val="22"/>
        </w:rPr>
        <w:t xml:space="preserve">section </w:t>
      </w:r>
      <w:r w:rsidRPr="0044454C">
        <w:rPr>
          <w:szCs w:val="22"/>
        </w:rPr>
        <w:t>1.1940 of our rules and find that there is good cause under 5 U.S.C. § 553(b)(B) to adopt the clarification without following the notice and comment procedures of the Administrative Procedure Act.</w:t>
      </w:r>
      <w:r>
        <w:rPr>
          <w:rStyle w:val="FootnoteReference"/>
          <w:szCs w:val="22"/>
        </w:rPr>
        <w:footnoteReference w:id="78"/>
      </w:r>
      <w:r w:rsidRPr="0044454C">
        <w:rPr>
          <w:szCs w:val="22"/>
        </w:rPr>
        <w:t xml:space="preserve">   Similarly, under these circumstances, we find that these actions fall under the good cause exemption to the 5 U.S.C. § 553(d) effective date requirements and the clarification of section 1.1940 of our rules will become effective on October 1, 2018.   </w:t>
      </w:r>
    </w:p>
    <w:p w:rsidR="00E3705B" w:rsidRPr="0067355D" w:rsidP="00E3705B">
      <w:pPr>
        <w:pStyle w:val="Heading1"/>
        <w:rPr>
          <w:rFonts w:ascii="Times New Roman" w:hAnsi="Times New Roman"/>
          <w:szCs w:val="22"/>
        </w:rPr>
      </w:pPr>
      <w:bookmarkStart w:id="57" w:name="_Hlk509265090"/>
      <w:r w:rsidRPr="0067355D">
        <w:rPr>
          <w:rFonts w:ascii="Times New Roman" w:hAnsi="Times New Roman"/>
          <w:szCs w:val="22"/>
        </w:rPr>
        <w:t>Ordering clause</w:t>
      </w:r>
      <w:r w:rsidR="00C523AB">
        <w:rPr>
          <w:rFonts w:ascii="Times New Roman" w:hAnsi="Times New Roman"/>
          <w:szCs w:val="22"/>
        </w:rPr>
        <w:t>s</w:t>
      </w:r>
    </w:p>
    <w:p w:rsidR="00337F21" w:rsidP="00795234">
      <w:pPr>
        <w:pStyle w:val="ParaNum"/>
        <w:rPr>
          <w:szCs w:val="22"/>
        </w:rPr>
      </w:pPr>
      <w:r w:rsidRPr="0067355D">
        <w:rPr>
          <w:szCs w:val="22"/>
        </w:rPr>
        <w:t xml:space="preserve">Accordingly, </w:t>
      </w:r>
      <w:r w:rsidRPr="0067355D">
        <w:rPr>
          <w:b/>
          <w:szCs w:val="22"/>
        </w:rPr>
        <w:t>IT IS ORDERED</w:t>
      </w:r>
      <w:r w:rsidRPr="0067355D">
        <w:rPr>
          <w:szCs w:val="22"/>
        </w:rPr>
        <w:t xml:space="preserve"> that, pursuant to Section 9 </w:t>
      </w:r>
      <w:r w:rsidR="0084326F">
        <w:rPr>
          <w:szCs w:val="22"/>
        </w:rPr>
        <w:t xml:space="preserve">(a), (b), (e), (f), and (g) </w:t>
      </w:r>
      <w:r w:rsidRPr="0067355D">
        <w:rPr>
          <w:szCs w:val="22"/>
        </w:rPr>
        <w:t>of the Communications Act of 1934, as amended, 47 U.S.C. §§ 159</w:t>
      </w:r>
      <w:r w:rsidR="00347ED1">
        <w:rPr>
          <w:szCs w:val="22"/>
        </w:rPr>
        <w:t>(a), (b), (e), (f), and (g)</w:t>
      </w:r>
      <w:r w:rsidRPr="0067355D">
        <w:rPr>
          <w:szCs w:val="22"/>
        </w:rPr>
        <w:t xml:space="preserve">, this </w:t>
      </w:r>
      <w:r w:rsidR="005C15EF">
        <w:rPr>
          <w:szCs w:val="22"/>
        </w:rPr>
        <w:t xml:space="preserve">Report and Order </w:t>
      </w:r>
      <w:r w:rsidRPr="0067355D">
        <w:rPr>
          <w:b/>
          <w:szCs w:val="22"/>
        </w:rPr>
        <w:t>IS HEREBY ADOPTED</w:t>
      </w:r>
      <w:r w:rsidRPr="0067355D">
        <w:rPr>
          <w:szCs w:val="22"/>
        </w:rPr>
        <w:t>.</w:t>
      </w:r>
    </w:p>
    <w:p w:rsidR="00FC339D" w:rsidP="00795234">
      <w:pPr>
        <w:pStyle w:val="ParaNum"/>
        <w:rPr>
          <w:szCs w:val="22"/>
        </w:rPr>
      </w:pPr>
      <w:r w:rsidRPr="006D1810">
        <w:rPr>
          <w:b/>
          <w:color w:val="000000"/>
        </w:rPr>
        <w:t>IT IS FURTHER ORDERED</w:t>
      </w:r>
      <w:r w:rsidRPr="006D1810">
        <w:rPr>
          <w:color w:val="000000"/>
        </w:rPr>
        <w:t xml:space="preserve"> that</w:t>
      </w:r>
      <w:r>
        <w:rPr>
          <w:color w:val="000000"/>
        </w:rPr>
        <w:t xml:space="preserve">, pursuant to </w:t>
      </w:r>
      <w:r>
        <w:rPr>
          <w:color w:val="000000"/>
          <w:sz w:val="20"/>
        </w:rPr>
        <w:t xml:space="preserve">Division P – RAY BAUM’s Act of 2018, Title I, §§ 101 - 103, </w:t>
      </w:r>
      <w:r>
        <w:rPr>
          <w:color w:val="000000"/>
        </w:rPr>
        <w:t>Consolidated Appropriations Act, 2018, Pub</w:t>
      </w:r>
      <w:r w:rsidR="00E779A2">
        <w:rPr>
          <w:color w:val="000000"/>
        </w:rPr>
        <w:t xml:space="preserve">. </w:t>
      </w:r>
      <w:r>
        <w:rPr>
          <w:color w:val="000000"/>
        </w:rPr>
        <w:t>L</w:t>
      </w:r>
      <w:r w:rsidR="00E779A2">
        <w:rPr>
          <w:color w:val="000000"/>
        </w:rPr>
        <w:t>.</w:t>
      </w:r>
      <w:r>
        <w:rPr>
          <w:color w:val="000000"/>
        </w:rPr>
        <w:t xml:space="preserve"> No. 115-141</w:t>
      </w:r>
      <w:r w:rsidR="00E779A2">
        <w:rPr>
          <w:color w:val="000000"/>
        </w:rPr>
        <w:t>, 132 Stat. 1084, (</w:t>
      </w:r>
      <w:r>
        <w:rPr>
          <w:color w:val="000000"/>
        </w:rPr>
        <w:t xml:space="preserve">2018), the Order in Section IV </w:t>
      </w:r>
      <w:r>
        <w:rPr>
          <w:b/>
          <w:color w:val="000000"/>
        </w:rPr>
        <w:t>IS HEREBY ADOPTED</w:t>
      </w:r>
      <w:r>
        <w:rPr>
          <w:color w:val="000000"/>
        </w:rPr>
        <w:t>. </w:t>
      </w:r>
    </w:p>
    <w:p w:rsidR="00C94015" w:rsidP="00C94015">
      <w:pPr>
        <w:pStyle w:val="ParaNum"/>
      </w:pPr>
      <w:r w:rsidRPr="00BB229F">
        <w:rPr>
          <w:b/>
        </w:rPr>
        <w:t xml:space="preserve">IT IS FURTHER ORDERED </w:t>
      </w:r>
      <w:r w:rsidRPr="00BB229F">
        <w:t>that th</w:t>
      </w:r>
      <w:r w:rsidR="007B6754">
        <w:t>e</w:t>
      </w:r>
      <w:r w:rsidRPr="00BB229F">
        <w:t xml:space="preserve"> Report and Order </w:t>
      </w:r>
      <w:r w:rsidR="007B6754">
        <w:t xml:space="preserve">in </w:t>
      </w:r>
      <w:r w:rsidR="00D75A47">
        <w:t>S</w:t>
      </w:r>
      <w:r w:rsidR="007B6754">
        <w:t xml:space="preserve">ection III </w:t>
      </w:r>
      <w:r w:rsidRPr="00BB229F">
        <w:rPr>
          <w:b/>
        </w:rPr>
        <w:t>SHALL BE EFFECTIVE</w:t>
      </w:r>
      <w:r w:rsidRPr="00BB229F">
        <w:t xml:space="preserve"> upon publication in the Federal Register.</w:t>
      </w:r>
    </w:p>
    <w:p w:rsidR="0072790B" w:rsidRPr="00BB229F" w:rsidP="00C94015">
      <w:pPr>
        <w:pStyle w:val="ParaNum"/>
      </w:pPr>
      <w:r>
        <w:rPr>
          <w:b/>
          <w:bCs/>
        </w:rPr>
        <w:t xml:space="preserve">IT IS FURTHER ORDERED </w:t>
      </w:r>
      <w:r w:rsidR="007B6754">
        <w:t>that the</w:t>
      </w:r>
      <w:r>
        <w:t xml:space="preserve"> Order </w:t>
      </w:r>
      <w:r w:rsidR="007B6754">
        <w:t xml:space="preserve">in </w:t>
      </w:r>
      <w:r w:rsidR="00D75A47">
        <w:t>S</w:t>
      </w:r>
      <w:r w:rsidR="007B6754">
        <w:t xml:space="preserve">ection IV </w:t>
      </w:r>
      <w:r>
        <w:rPr>
          <w:b/>
          <w:bCs/>
        </w:rPr>
        <w:t>SHALL BE EFFECTIVE</w:t>
      </w:r>
      <w:r>
        <w:t xml:space="preserve"> on October 1, 2018.</w:t>
      </w:r>
    </w:p>
    <w:p w:rsidR="00C94015" w:rsidRPr="00BB229F" w:rsidP="00C94015">
      <w:pPr>
        <w:pStyle w:val="ParaNum"/>
      </w:pPr>
      <w:r w:rsidRPr="00BB229F">
        <w:rPr>
          <w:b/>
        </w:rPr>
        <w:t xml:space="preserve">IT IS FURTHER ORDERED </w:t>
      </w:r>
      <w:r w:rsidRPr="00BB229F">
        <w:t xml:space="preserve">that the Commission’s Consumer &amp; Governmental Affairs Bureau, Reference Information Center, </w:t>
      </w:r>
      <w:r w:rsidRPr="00BB229F">
        <w:rPr>
          <w:b/>
        </w:rPr>
        <w:t>SHALL SEND</w:t>
      </w:r>
      <w:r w:rsidRPr="00BB229F">
        <w:t xml:space="preserve"> </w:t>
      </w:r>
      <w:r>
        <w:t xml:space="preserve">a copy of this Report and Order, </w:t>
      </w:r>
      <w:r w:rsidRPr="00BB229F">
        <w:t xml:space="preserve">including the Final Regulatory Flexibility Analysis in </w:t>
      </w:r>
      <w:r w:rsidRPr="005D6F56">
        <w:t xml:space="preserve">Appendix </w:t>
      </w:r>
      <w:r w:rsidRPr="00B761F3">
        <w:t>F</w:t>
      </w:r>
      <w:r w:rsidRPr="00B761F3">
        <w:rPr>
          <w:b/>
        </w:rPr>
        <w:t>,</w:t>
      </w:r>
      <w:r w:rsidRPr="00BB229F">
        <w:t xml:space="preserve"> to the Chief Counsel for Advocacy of the U.S. Small Business Administration.</w:t>
      </w:r>
    </w:p>
    <w:p w:rsidR="00C94015" w:rsidRPr="0067355D" w:rsidP="00CF5E5C">
      <w:pPr>
        <w:pStyle w:val="ParaNum"/>
        <w:numPr>
          <w:ilvl w:val="0"/>
          <w:numId w:val="0"/>
        </w:numPr>
        <w:ind w:left="720"/>
        <w:rPr>
          <w:szCs w:val="22"/>
        </w:rPr>
      </w:pPr>
    </w:p>
    <w:p w:rsidR="00337F21" w:rsidRPr="0067355D" w:rsidP="00337F21">
      <w:pPr>
        <w:pStyle w:val="Heading1"/>
        <w:numPr>
          <w:ilvl w:val="0"/>
          <w:numId w:val="0"/>
        </w:numPr>
        <w:ind w:left="720" w:hanging="720"/>
        <w:rPr>
          <w:rFonts w:ascii="Times New Roman" w:hAnsi="Times New Roman"/>
          <w:szCs w:val="22"/>
        </w:rPr>
      </w:pPr>
      <w:bookmarkEnd w:id="57"/>
    </w:p>
    <w:p w:rsidR="00337F21" w:rsidRPr="0067355D" w:rsidP="00337F21">
      <w:pPr>
        <w:rPr>
          <w:szCs w:val="22"/>
        </w:rPr>
      </w:pPr>
      <w:r w:rsidRPr="0067355D">
        <w:rPr>
          <w:szCs w:val="22"/>
        </w:rPr>
        <w:tab/>
      </w:r>
      <w:r w:rsidRPr="0067355D">
        <w:rPr>
          <w:szCs w:val="22"/>
        </w:rPr>
        <w:tab/>
      </w:r>
      <w:r w:rsidRPr="0067355D">
        <w:rPr>
          <w:szCs w:val="22"/>
        </w:rPr>
        <w:tab/>
      </w:r>
      <w:r w:rsidRPr="0067355D">
        <w:rPr>
          <w:szCs w:val="22"/>
        </w:rPr>
        <w:tab/>
      </w:r>
      <w:r w:rsidRPr="0067355D">
        <w:rPr>
          <w:szCs w:val="22"/>
        </w:rPr>
        <w:tab/>
      </w:r>
      <w:r w:rsidRPr="0067355D">
        <w:rPr>
          <w:szCs w:val="22"/>
        </w:rPr>
        <w:tab/>
        <w:t>FEDERAL COMMUNICATIONS COMMISSION</w:t>
      </w:r>
    </w:p>
    <w:p w:rsidR="00337F21" w:rsidRPr="0067355D" w:rsidP="00337F21">
      <w:pPr>
        <w:rPr>
          <w:szCs w:val="22"/>
        </w:rPr>
      </w:pPr>
    </w:p>
    <w:p w:rsidR="00337F21" w:rsidP="00337F21">
      <w:pPr>
        <w:rPr>
          <w:szCs w:val="22"/>
        </w:rPr>
      </w:pPr>
    </w:p>
    <w:p w:rsidR="00D665CD" w:rsidP="00337F21">
      <w:pPr>
        <w:rPr>
          <w:szCs w:val="22"/>
        </w:rPr>
      </w:pPr>
    </w:p>
    <w:p w:rsidR="009F78AC" w:rsidRPr="0067355D" w:rsidP="00337F21">
      <w:pPr>
        <w:rPr>
          <w:szCs w:val="22"/>
        </w:rPr>
      </w:pPr>
    </w:p>
    <w:p w:rsidR="00337F21" w:rsidRPr="0067355D" w:rsidP="00337F21">
      <w:pPr>
        <w:rPr>
          <w:szCs w:val="22"/>
        </w:rPr>
      </w:pPr>
      <w:r w:rsidRPr="0067355D">
        <w:rPr>
          <w:szCs w:val="22"/>
        </w:rPr>
        <w:tab/>
      </w:r>
      <w:r w:rsidRPr="0067355D">
        <w:rPr>
          <w:szCs w:val="22"/>
        </w:rPr>
        <w:tab/>
      </w:r>
      <w:r w:rsidRPr="0067355D">
        <w:rPr>
          <w:szCs w:val="22"/>
        </w:rPr>
        <w:tab/>
      </w:r>
      <w:r w:rsidRPr="0067355D">
        <w:rPr>
          <w:szCs w:val="22"/>
        </w:rPr>
        <w:tab/>
      </w:r>
      <w:r w:rsidRPr="0067355D">
        <w:rPr>
          <w:szCs w:val="22"/>
        </w:rPr>
        <w:tab/>
      </w:r>
      <w:r w:rsidRPr="0067355D">
        <w:rPr>
          <w:szCs w:val="22"/>
        </w:rPr>
        <w:tab/>
        <w:t>Marlene H. Dortch</w:t>
      </w:r>
    </w:p>
    <w:p w:rsidR="003D4368" w:rsidP="00B70629">
      <w:pPr>
        <w:rPr>
          <w:b/>
          <w:szCs w:val="22"/>
        </w:rPr>
      </w:pPr>
      <w:r w:rsidRPr="0067355D">
        <w:rPr>
          <w:szCs w:val="22"/>
        </w:rPr>
        <w:tab/>
      </w:r>
      <w:r w:rsidRPr="0067355D">
        <w:rPr>
          <w:szCs w:val="22"/>
        </w:rPr>
        <w:tab/>
      </w:r>
      <w:r w:rsidRPr="0067355D">
        <w:rPr>
          <w:szCs w:val="22"/>
        </w:rPr>
        <w:tab/>
      </w:r>
      <w:r w:rsidRPr="0067355D">
        <w:rPr>
          <w:szCs w:val="22"/>
        </w:rPr>
        <w:tab/>
      </w:r>
      <w:r w:rsidRPr="0067355D">
        <w:rPr>
          <w:szCs w:val="22"/>
        </w:rPr>
        <w:tab/>
      </w:r>
      <w:r w:rsidRPr="0067355D">
        <w:rPr>
          <w:szCs w:val="22"/>
        </w:rPr>
        <w:tab/>
        <w:t>Secretary</w:t>
      </w:r>
    </w:p>
    <w:p w:rsidR="003D4368" w:rsidP="00B70629">
      <w:pPr>
        <w:rPr>
          <w:b/>
          <w:szCs w:val="22"/>
        </w:rPr>
      </w:pPr>
    </w:p>
    <w:p w:rsidR="003D4368">
      <w:pPr>
        <w:widowControl/>
        <w:rPr>
          <w:b/>
          <w:szCs w:val="22"/>
        </w:rPr>
      </w:pPr>
      <w:r>
        <w:rPr>
          <w:b/>
          <w:szCs w:val="22"/>
        </w:rPr>
        <w:br w:type="page"/>
      </w:r>
    </w:p>
    <w:p w:rsidR="00B21814" w:rsidP="00B70629">
      <w:pPr>
        <w:jc w:val="center"/>
        <w:rPr>
          <w:b/>
          <w:szCs w:val="22"/>
        </w:rPr>
      </w:pPr>
      <w:r>
        <w:rPr>
          <w:b/>
          <w:szCs w:val="22"/>
        </w:rPr>
        <w:t>APPENDIX A</w:t>
      </w:r>
    </w:p>
    <w:p w:rsidR="00B21814" w:rsidP="00E76ED4">
      <w:pPr>
        <w:tabs>
          <w:tab w:val="left" w:pos="3629"/>
        </w:tabs>
        <w:jc w:val="center"/>
        <w:rPr>
          <w:b/>
          <w:szCs w:val="22"/>
        </w:rPr>
      </w:pPr>
    </w:p>
    <w:p w:rsidR="00B21814" w:rsidP="00E76ED4">
      <w:pPr>
        <w:tabs>
          <w:tab w:val="left" w:pos="3629"/>
        </w:tabs>
        <w:jc w:val="center"/>
        <w:rPr>
          <w:b/>
          <w:szCs w:val="22"/>
        </w:rPr>
      </w:pPr>
      <w:r>
        <w:rPr>
          <w:b/>
          <w:szCs w:val="22"/>
        </w:rPr>
        <w:t>List of Commenters</w:t>
      </w:r>
    </w:p>
    <w:p w:rsidR="00155173" w:rsidP="00E76ED4">
      <w:pPr>
        <w:tabs>
          <w:tab w:val="left" w:pos="3629"/>
        </w:tabs>
        <w:jc w:val="center"/>
        <w:rPr>
          <w:b/>
          <w:szCs w:val="22"/>
        </w:rPr>
      </w:pPr>
    </w:p>
    <w:tbl>
      <w:tblPr>
        <w:tblStyle w:val="TableGrid"/>
        <w:tblW w:w="0" w:type="auto"/>
        <w:tblLook w:val="04A0"/>
      </w:tblPr>
      <w:tblGrid>
        <w:gridCol w:w="4675"/>
        <w:gridCol w:w="4675"/>
      </w:tblGrid>
      <w:tr w:rsidTr="00155173">
        <w:tblPrEx>
          <w:tblW w:w="0" w:type="auto"/>
          <w:tblLook w:val="04A0"/>
        </w:tblPrEx>
        <w:tc>
          <w:tcPr>
            <w:tcW w:w="4675" w:type="dxa"/>
          </w:tcPr>
          <w:p w:rsidR="00155173" w:rsidP="00E76ED4">
            <w:pPr>
              <w:tabs>
                <w:tab w:val="left" w:pos="3629"/>
              </w:tabs>
              <w:jc w:val="center"/>
              <w:rPr>
                <w:b/>
                <w:szCs w:val="22"/>
              </w:rPr>
            </w:pPr>
            <w:r>
              <w:rPr>
                <w:b/>
                <w:szCs w:val="22"/>
              </w:rPr>
              <w:t>Commenter</w:t>
            </w:r>
          </w:p>
        </w:tc>
        <w:tc>
          <w:tcPr>
            <w:tcW w:w="4675" w:type="dxa"/>
          </w:tcPr>
          <w:p w:rsidR="00155173" w:rsidP="00E76ED4">
            <w:pPr>
              <w:tabs>
                <w:tab w:val="left" w:pos="3629"/>
              </w:tabs>
              <w:jc w:val="center"/>
              <w:rPr>
                <w:b/>
                <w:szCs w:val="22"/>
              </w:rPr>
            </w:pPr>
            <w:r>
              <w:rPr>
                <w:b/>
                <w:szCs w:val="22"/>
              </w:rPr>
              <w:t>Abbreviated name</w:t>
            </w:r>
          </w:p>
        </w:tc>
      </w:tr>
      <w:tr w:rsidTr="00155173">
        <w:tblPrEx>
          <w:tblW w:w="0" w:type="auto"/>
          <w:tblLook w:val="04A0"/>
        </w:tblPrEx>
        <w:tc>
          <w:tcPr>
            <w:tcW w:w="4675" w:type="dxa"/>
          </w:tcPr>
          <w:p w:rsidR="00340C9E" w:rsidP="00E76ED4">
            <w:pPr>
              <w:tabs>
                <w:tab w:val="left" w:pos="3629"/>
              </w:tabs>
              <w:jc w:val="center"/>
              <w:rPr>
                <w:szCs w:val="22"/>
              </w:rPr>
            </w:pPr>
            <w:r>
              <w:rPr>
                <w:szCs w:val="22"/>
              </w:rPr>
              <w:t xml:space="preserve">American Cable </w:t>
            </w:r>
            <w:r>
              <w:rPr>
                <w:szCs w:val="22"/>
              </w:rPr>
              <w:t>Assocation</w:t>
            </w:r>
          </w:p>
        </w:tc>
        <w:tc>
          <w:tcPr>
            <w:tcW w:w="4675" w:type="dxa"/>
          </w:tcPr>
          <w:p w:rsidR="00340C9E" w:rsidP="00E76ED4">
            <w:pPr>
              <w:tabs>
                <w:tab w:val="left" w:pos="3629"/>
              </w:tabs>
              <w:jc w:val="center"/>
              <w:rPr>
                <w:szCs w:val="22"/>
              </w:rPr>
            </w:pPr>
            <w:r>
              <w:rPr>
                <w:szCs w:val="22"/>
              </w:rPr>
              <w:t>ACA</w:t>
            </w:r>
          </w:p>
        </w:tc>
      </w:tr>
      <w:tr w:rsidTr="00155173">
        <w:tblPrEx>
          <w:tblW w:w="0" w:type="auto"/>
          <w:tblLook w:val="04A0"/>
        </w:tblPrEx>
        <w:tc>
          <w:tcPr>
            <w:tcW w:w="4675" w:type="dxa"/>
          </w:tcPr>
          <w:p w:rsidR="004535FE" w:rsidP="00E76ED4">
            <w:pPr>
              <w:tabs>
                <w:tab w:val="left" w:pos="3629"/>
              </w:tabs>
              <w:jc w:val="center"/>
              <w:rPr>
                <w:szCs w:val="22"/>
              </w:rPr>
            </w:pPr>
            <w:r>
              <w:rPr>
                <w:szCs w:val="22"/>
              </w:rPr>
              <w:t>Astro Digital, US, Inc., Planet, Inc., and Spire Global, Inc.</w:t>
            </w:r>
          </w:p>
        </w:tc>
        <w:tc>
          <w:tcPr>
            <w:tcW w:w="4675" w:type="dxa"/>
          </w:tcPr>
          <w:p w:rsidR="004535FE" w:rsidP="00E76ED4">
            <w:pPr>
              <w:tabs>
                <w:tab w:val="left" w:pos="3629"/>
              </w:tabs>
              <w:jc w:val="center"/>
              <w:rPr>
                <w:szCs w:val="22"/>
              </w:rPr>
            </w:pPr>
            <w:r>
              <w:rPr>
                <w:szCs w:val="22"/>
              </w:rPr>
              <w:t>Astro Digital</w:t>
            </w:r>
            <w:r w:rsidR="00691F3A">
              <w:rPr>
                <w:szCs w:val="22"/>
              </w:rPr>
              <w:t>, Planet,</w:t>
            </w:r>
            <w:r w:rsidR="00127840">
              <w:rPr>
                <w:szCs w:val="22"/>
              </w:rPr>
              <w:t xml:space="preserve"> </w:t>
            </w:r>
            <w:r w:rsidR="00691F3A">
              <w:rPr>
                <w:szCs w:val="22"/>
              </w:rPr>
              <w:t>and Spire</w:t>
            </w:r>
          </w:p>
        </w:tc>
      </w:tr>
      <w:tr w:rsidTr="00155173">
        <w:tblPrEx>
          <w:tblW w:w="0" w:type="auto"/>
          <w:tblLook w:val="04A0"/>
        </w:tblPrEx>
        <w:tc>
          <w:tcPr>
            <w:tcW w:w="4675" w:type="dxa"/>
          </w:tcPr>
          <w:p w:rsidR="00D662DE" w:rsidP="00E76ED4">
            <w:pPr>
              <w:tabs>
                <w:tab w:val="left" w:pos="3629"/>
              </w:tabs>
              <w:jc w:val="center"/>
              <w:rPr>
                <w:szCs w:val="22"/>
              </w:rPr>
            </w:pPr>
            <w:r>
              <w:rPr>
                <w:szCs w:val="22"/>
              </w:rPr>
              <w:t>CenturyLink, Inc.</w:t>
            </w:r>
          </w:p>
        </w:tc>
        <w:tc>
          <w:tcPr>
            <w:tcW w:w="4675" w:type="dxa"/>
          </w:tcPr>
          <w:p w:rsidR="00D662DE" w:rsidP="00E76ED4">
            <w:pPr>
              <w:tabs>
                <w:tab w:val="left" w:pos="3629"/>
              </w:tabs>
              <w:jc w:val="center"/>
              <w:rPr>
                <w:szCs w:val="22"/>
              </w:rPr>
            </w:pPr>
            <w:r>
              <w:rPr>
                <w:szCs w:val="22"/>
              </w:rPr>
              <w:t>CenturyLink</w:t>
            </w:r>
          </w:p>
        </w:tc>
      </w:tr>
      <w:tr w:rsidTr="00155173">
        <w:tblPrEx>
          <w:tblW w:w="0" w:type="auto"/>
          <w:tblLook w:val="04A0"/>
        </w:tblPrEx>
        <w:tc>
          <w:tcPr>
            <w:tcW w:w="4675" w:type="dxa"/>
          </w:tcPr>
          <w:p w:rsidR="00D662DE" w:rsidP="00E76ED4">
            <w:pPr>
              <w:tabs>
                <w:tab w:val="left" w:pos="3629"/>
              </w:tabs>
              <w:jc w:val="center"/>
              <w:rPr>
                <w:szCs w:val="22"/>
              </w:rPr>
            </w:pPr>
            <w:r>
              <w:rPr>
                <w:szCs w:val="22"/>
              </w:rPr>
              <w:t>DISH Network L.L.C. and AT&amp;T Services, Inc.</w:t>
            </w:r>
          </w:p>
        </w:tc>
        <w:tc>
          <w:tcPr>
            <w:tcW w:w="4675" w:type="dxa"/>
          </w:tcPr>
          <w:p w:rsidR="00D662DE" w:rsidP="00E76ED4">
            <w:pPr>
              <w:tabs>
                <w:tab w:val="left" w:pos="3629"/>
              </w:tabs>
              <w:jc w:val="center"/>
              <w:rPr>
                <w:szCs w:val="22"/>
              </w:rPr>
            </w:pPr>
            <w:r>
              <w:rPr>
                <w:szCs w:val="22"/>
              </w:rPr>
              <w:t>DISH and AT&amp;T</w:t>
            </w:r>
          </w:p>
        </w:tc>
      </w:tr>
      <w:tr w:rsidTr="00155173">
        <w:tblPrEx>
          <w:tblW w:w="0" w:type="auto"/>
          <w:tblLook w:val="04A0"/>
        </w:tblPrEx>
        <w:tc>
          <w:tcPr>
            <w:tcW w:w="4675" w:type="dxa"/>
          </w:tcPr>
          <w:p w:rsidR="00BD614A" w:rsidP="00E76ED4">
            <w:pPr>
              <w:tabs>
                <w:tab w:val="left" w:pos="3629"/>
              </w:tabs>
              <w:jc w:val="center"/>
              <w:rPr>
                <w:szCs w:val="22"/>
              </w:rPr>
            </w:pPr>
            <w:r>
              <w:rPr>
                <w:szCs w:val="22"/>
              </w:rPr>
              <w:t>Richard A. Golden</w:t>
            </w:r>
          </w:p>
        </w:tc>
        <w:tc>
          <w:tcPr>
            <w:tcW w:w="4675" w:type="dxa"/>
          </w:tcPr>
          <w:p w:rsidR="00BD614A" w:rsidRPr="00155173" w:rsidP="00E76ED4">
            <w:pPr>
              <w:tabs>
                <w:tab w:val="left" w:pos="3629"/>
              </w:tabs>
              <w:jc w:val="center"/>
              <w:rPr>
                <w:szCs w:val="22"/>
              </w:rPr>
            </w:pPr>
            <w:r>
              <w:rPr>
                <w:szCs w:val="22"/>
              </w:rPr>
              <w:t>Golden</w:t>
            </w:r>
          </w:p>
        </w:tc>
      </w:tr>
      <w:tr w:rsidTr="00155173">
        <w:tblPrEx>
          <w:tblW w:w="0" w:type="auto"/>
          <w:tblLook w:val="04A0"/>
        </w:tblPrEx>
        <w:tc>
          <w:tcPr>
            <w:tcW w:w="4675" w:type="dxa"/>
          </w:tcPr>
          <w:p w:rsidR="00155173" w:rsidRPr="00155173" w:rsidP="00E76ED4">
            <w:pPr>
              <w:tabs>
                <w:tab w:val="left" w:pos="3629"/>
              </w:tabs>
              <w:jc w:val="center"/>
              <w:rPr>
                <w:szCs w:val="22"/>
              </w:rPr>
            </w:pPr>
            <w:r>
              <w:rPr>
                <w:szCs w:val="22"/>
              </w:rPr>
              <w:t>NCTA—The Internet and Television Association</w:t>
            </w:r>
          </w:p>
        </w:tc>
        <w:tc>
          <w:tcPr>
            <w:tcW w:w="4675" w:type="dxa"/>
          </w:tcPr>
          <w:p w:rsidR="00155173" w:rsidRPr="00155173" w:rsidP="00E76ED4">
            <w:pPr>
              <w:tabs>
                <w:tab w:val="left" w:pos="3629"/>
              </w:tabs>
              <w:jc w:val="center"/>
              <w:rPr>
                <w:szCs w:val="22"/>
              </w:rPr>
            </w:pPr>
            <w:r w:rsidRPr="00155173">
              <w:rPr>
                <w:szCs w:val="22"/>
              </w:rPr>
              <w:t>NCTA</w:t>
            </w:r>
          </w:p>
        </w:tc>
      </w:tr>
      <w:tr w:rsidTr="00155173">
        <w:tblPrEx>
          <w:tblW w:w="0" w:type="auto"/>
          <w:tblLook w:val="04A0"/>
        </w:tblPrEx>
        <w:tc>
          <w:tcPr>
            <w:tcW w:w="4675" w:type="dxa"/>
          </w:tcPr>
          <w:p w:rsidR="009D2B29" w:rsidP="00E76ED4">
            <w:pPr>
              <w:tabs>
                <w:tab w:val="left" w:pos="3629"/>
              </w:tabs>
              <w:jc w:val="center"/>
              <w:rPr>
                <w:szCs w:val="22"/>
              </w:rPr>
            </w:pPr>
            <w:r>
              <w:rPr>
                <w:szCs w:val="22"/>
              </w:rPr>
              <w:t>Satellite Industry Association</w:t>
            </w:r>
          </w:p>
        </w:tc>
        <w:tc>
          <w:tcPr>
            <w:tcW w:w="4675" w:type="dxa"/>
          </w:tcPr>
          <w:p w:rsidR="009D2B29" w:rsidRPr="00155173" w:rsidP="00E76ED4">
            <w:pPr>
              <w:tabs>
                <w:tab w:val="left" w:pos="3629"/>
              </w:tabs>
              <w:jc w:val="center"/>
              <w:rPr>
                <w:szCs w:val="22"/>
              </w:rPr>
            </w:pPr>
            <w:r>
              <w:rPr>
                <w:szCs w:val="22"/>
              </w:rPr>
              <w:t>SIA</w:t>
            </w:r>
          </w:p>
        </w:tc>
      </w:tr>
      <w:tr w:rsidTr="00155173">
        <w:tblPrEx>
          <w:tblW w:w="0" w:type="auto"/>
          <w:tblLook w:val="04A0"/>
        </w:tblPrEx>
        <w:tc>
          <w:tcPr>
            <w:tcW w:w="4675" w:type="dxa"/>
          </w:tcPr>
          <w:p w:rsidR="00155173" w:rsidRPr="00474FC8" w:rsidP="00E76ED4">
            <w:pPr>
              <w:tabs>
                <w:tab w:val="left" w:pos="3629"/>
              </w:tabs>
              <w:jc w:val="center"/>
              <w:rPr>
                <w:szCs w:val="22"/>
              </w:rPr>
            </w:pPr>
            <w:r>
              <w:rPr>
                <w:szCs w:val="22"/>
              </w:rPr>
              <w:t>Somos</w:t>
            </w:r>
            <w:r>
              <w:rPr>
                <w:szCs w:val="22"/>
              </w:rPr>
              <w:t>, Inc.</w:t>
            </w:r>
          </w:p>
        </w:tc>
        <w:tc>
          <w:tcPr>
            <w:tcW w:w="4675" w:type="dxa"/>
          </w:tcPr>
          <w:p w:rsidR="00155173" w:rsidRPr="00474FC8" w:rsidP="00E76ED4">
            <w:pPr>
              <w:tabs>
                <w:tab w:val="left" w:pos="3629"/>
              </w:tabs>
              <w:jc w:val="center"/>
              <w:rPr>
                <w:szCs w:val="22"/>
              </w:rPr>
            </w:pPr>
            <w:r w:rsidRPr="00474FC8">
              <w:rPr>
                <w:szCs w:val="22"/>
              </w:rPr>
              <w:t>Somos</w:t>
            </w:r>
          </w:p>
        </w:tc>
      </w:tr>
      <w:tr w:rsidTr="00155173">
        <w:tblPrEx>
          <w:tblW w:w="0" w:type="auto"/>
          <w:tblLook w:val="04A0"/>
        </w:tblPrEx>
        <w:tc>
          <w:tcPr>
            <w:tcW w:w="4675" w:type="dxa"/>
          </w:tcPr>
          <w:p w:rsidR="009D2B29" w:rsidP="00E76ED4">
            <w:pPr>
              <w:tabs>
                <w:tab w:val="left" w:pos="3629"/>
              </w:tabs>
              <w:jc w:val="center"/>
              <w:rPr>
                <w:szCs w:val="22"/>
              </w:rPr>
            </w:pPr>
            <w:r>
              <w:rPr>
                <w:szCs w:val="22"/>
              </w:rPr>
              <w:t>University Small-Satellite Researchers</w:t>
            </w:r>
          </w:p>
        </w:tc>
        <w:tc>
          <w:tcPr>
            <w:tcW w:w="4675" w:type="dxa"/>
          </w:tcPr>
          <w:p w:rsidR="009D2B29" w:rsidRPr="00474FC8" w:rsidP="00E76ED4">
            <w:pPr>
              <w:tabs>
                <w:tab w:val="left" w:pos="3629"/>
              </w:tabs>
              <w:jc w:val="center"/>
              <w:rPr>
                <w:szCs w:val="22"/>
              </w:rPr>
            </w:pPr>
            <w:r>
              <w:rPr>
                <w:szCs w:val="22"/>
              </w:rPr>
              <w:t>Small</w:t>
            </w:r>
            <w:r w:rsidR="004C5247">
              <w:rPr>
                <w:szCs w:val="22"/>
              </w:rPr>
              <w:t>-</w:t>
            </w:r>
            <w:r>
              <w:rPr>
                <w:szCs w:val="22"/>
              </w:rPr>
              <w:t>Satellite</w:t>
            </w:r>
            <w:r w:rsidR="004C5247">
              <w:rPr>
                <w:szCs w:val="22"/>
              </w:rPr>
              <w:t xml:space="preserve"> Researchers</w:t>
            </w:r>
          </w:p>
        </w:tc>
      </w:tr>
    </w:tbl>
    <w:p w:rsidR="00155173" w:rsidP="00E76ED4">
      <w:pPr>
        <w:tabs>
          <w:tab w:val="left" w:pos="3629"/>
        </w:tabs>
        <w:jc w:val="center"/>
        <w:rPr>
          <w:b/>
          <w:szCs w:val="22"/>
        </w:rPr>
      </w:pPr>
    </w:p>
    <w:p w:rsidR="00147314" w:rsidP="00E76ED4">
      <w:pPr>
        <w:tabs>
          <w:tab w:val="left" w:pos="3629"/>
        </w:tabs>
        <w:jc w:val="center"/>
        <w:rPr>
          <w:b/>
          <w:szCs w:val="22"/>
        </w:rPr>
      </w:pPr>
    </w:p>
    <w:p w:rsidR="00147314" w:rsidP="00E76ED4">
      <w:pPr>
        <w:tabs>
          <w:tab w:val="left" w:pos="3629"/>
        </w:tabs>
        <w:jc w:val="center"/>
        <w:rPr>
          <w:b/>
          <w:szCs w:val="22"/>
        </w:rPr>
      </w:pPr>
      <w:r>
        <w:rPr>
          <w:b/>
          <w:szCs w:val="22"/>
        </w:rPr>
        <w:t>List of Reply Commenters</w:t>
      </w:r>
    </w:p>
    <w:p w:rsidR="003C073E" w:rsidP="00E76ED4">
      <w:pPr>
        <w:tabs>
          <w:tab w:val="left" w:pos="3629"/>
        </w:tabs>
        <w:jc w:val="center"/>
        <w:rPr>
          <w:b/>
          <w:szCs w:val="22"/>
        </w:rPr>
      </w:pPr>
    </w:p>
    <w:tbl>
      <w:tblPr>
        <w:tblStyle w:val="TableGrid"/>
        <w:tblW w:w="0" w:type="auto"/>
        <w:tblLook w:val="04A0"/>
      </w:tblPr>
      <w:tblGrid>
        <w:gridCol w:w="4675"/>
        <w:gridCol w:w="4675"/>
      </w:tblGrid>
      <w:tr w:rsidTr="00147314">
        <w:tblPrEx>
          <w:tblW w:w="0" w:type="auto"/>
          <w:tblLook w:val="04A0"/>
        </w:tblPrEx>
        <w:tc>
          <w:tcPr>
            <w:tcW w:w="4675" w:type="dxa"/>
          </w:tcPr>
          <w:p w:rsidR="00147314" w:rsidRPr="00CF5E5C" w:rsidP="00E76ED4">
            <w:pPr>
              <w:tabs>
                <w:tab w:val="left" w:pos="3629"/>
              </w:tabs>
              <w:jc w:val="center"/>
            </w:pPr>
            <w:r w:rsidRPr="006D46C8">
              <w:rPr>
                <w:szCs w:val="22"/>
              </w:rPr>
              <w:t>AT&amp;T Services, Inc.</w:t>
            </w:r>
          </w:p>
        </w:tc>
        <w:tc>
          <w:tcPr>
            <w:tcW w:w="4675" w:type="dxa"/>
          </w:tcPr>
          <w:p w:rsidR="00147314" w:rsidRPr="00CF5E5C" w:rsidP="00E76ED4">
            <w:pPr>
              <w:tabs>
                <w:tab w:val="left" w:pos="3629"/>
              </w:tabs>
              <w:jc w:val="center"/>
            </w:pPr>
            <w:r w:rsidRPr="006D46C8">
              <w:rPr>
                <w:szCs w:val="22"/>
              </w:rPr>
              <w:t>AT&amp;T</w:t>
            </w:r>
          </w:p>
        </w:tc>
      </w:tr>
      <w:tr w:rsidTr="00147314">
        <w:tblPrEx>
          <w:tblW w:w="0" w:type="auto"/>
          <w:tblLook w:val="04A0"/>
        </w:tblPrEx>
        <w:tc>
          <w:tcPr>
            <w:tcW w:w="4675" w:type="dxa"/>
          </w:tcPr>
          <w:p w:rsidR="00147314" w:rsidRPr="00CF5E5C" w:rsidP="00E76ED4">
            <w:pPr>
              <w:tabs>
                <w:tab w:val="left" w:pos="3629"/>
              </w:tabs>
              <w:jc w:val="center"/>
            </w:pPr>
            <w:r>
              <w:rPr>
                <w:szCs w:val="22"/>
              </w:rPr>
              <w:t>CenturyLink, Inc.</w:t>
            </w:r>
          </w:p>
        </w:tc>
        <w:tc>
          <w:tcPr>
            <w:tcW w:w="4675" w:type="dxa"/>
          </w:tcPr>
          <w:p w:rsidR="00147314" w:rsidRPr="00CF5E5C" w:rsidP="00E76ED4">
            <w:pPr>
              <w:tabs>
                <w:tab w:val="left" w:pos="3629"/>
              </w:tabs>
              <w:jc w:val="center"/>
            </w:pPr>
            <w:r>
              <w:rPr>
                <w:szCs w:val="22"/>
              </w:rPr>
              <w:t>CenturyLink</w:t>
            </w:r>
          </w:p>
        </w:tc>
      </w:tr>
      <w:tr w:rsidTr="00147314">
        <w:tblPrEx>
          <w:tblW w:w="0" w:type="auto"/>
          <w:tblLook w:val="04A0"/>
        </w:tblPrEx>
        <w:tc>
          <w:tcPr>
            <w:tcW w:w="4675" w:type="dxa"/>
          </w:tcPr>
          <w:p w:rsidR="006D46C8" w:rsidP="00E76ED4">
            <w:pPr>
              <w:tabs>
                <w:tab w:val="left" w:pos="3629"/>
              </w:tabs>
              <w:jc w:val="center"/>
              <w:rPr>
                <w:szCs w:val="22"/>
              </w:rPr>
            </w:pPr>
            <w:r>
              <w:rPr>
                <w:szCs w:val="22"/>
              </w:rPr>
              <w:t>EchoStar Satellite Operating Corporation and Hughes Network Systems, LLC</w:t>
            </w:r>
          </w:p>
        </w:tc>
        <w:tc>
          <w:tcPr>
            <w:tcW w:w="4675" w:type="dxa"/>
          </w:tcPr>
          <w:p w:rsidR="006D46C8" w:rsidP="00E76ED4">
            <w:pPr>
              <w:tabs>
                <w:tab w:val="left" w:pos="3629"/>
              </w:tabs>
              <w:jc w:val="center"/>
              <w:rPr>
                <w:szCs w:val="22"/>
              </w:rPr>
            </w:pPr>
            <w:r>
              <w:rPr>
                <w:szCs w:val="22"/>
              </w:rPr>
              <w:t>EchoStar</w:t>
            </w:r>
          </w:p>
        </w:tc>
      </w:tr>
      <w:tr w:rsidTr="00147314">
        <w:tblPrEx>
          <w:tblW w:w="0" w:type="auto"/>
          <w:tblLook w:val="04A0"/>
        </w:tblPrEx>
        <w:tc>
          <w:tcPr>
            <w:tcW w:w="4675" w:type="dxa"/>
          </w:tcPr>
          <w:p w:rsidR="006D46C8" w:rsidP="00E76ED4">
            <w:pPr>
              <w:tabs>
                <w:tab w:val="left" w:pos="3629"/>
              </w:tabs>
              <w:jc w:val="center"/>
              <w:rPr>
                <w:szCs w:val="22"/>
              </w:rPr>
            </w:pPr>
            <w:r>
              <w:rPr>
                <w:szCs w:val="22"/>
              </w:rPr>
              <w:t xml:space="preserve">NCTA—The Internet &amp; Television </w:t>
            </w:r>
            <w:r>
              <w:rPr>
                <w:szCs w:val="22"/>
              </w:rPr>
              <w:t>Assocation</w:t>
            </w:r>
            <w:r>
              <w:rPr>
                <w:szCs w:val="22"/>
              </w:rPr>
              <w:t xml:space="preserve"> and the American Cable Association</w:t>
            </w:r>
          </w:p>
        </w:tc>
        <w:tc>
          <w:tcPr>
            <w:tcW w:w="4675" w:type="dxa"/>
          </w:tcPr>
          <w:p w:rsidR="006D46C8" w:rsidP="00E76ED4">
            <w:pPr>
              <w:tabs>
                <w:tab w:val="left" w:pos="3629"/>
              </w:tabs>
              <w:jc w:val="center"/>
              <w:rPr>
                <w:szCs w:val="22"/>
              </w:rPr>
            </w:pPr>
            <w:r>
              <w:rPr>
                <w:szCs w:val="22"/>
              </w:rPr>
              <w:t>NCTA and ACA</w:t>
            </w:r>
          </w:p>
        </w:tc>
      </w:tr>
    </w:tbl>
    <w:p w:rsidR="00147314" w:rsidP="00E76ED4">
      <w:pPr>
        <w:tabs>
          <w:tab w:val="left" w:pos="3629"/>
        </w:tabs>
        <w:jc w:val="center"/>
        <w:rPr>
          <w:b/>
          <w:szCs w:val="22"/>
        </w:rPr>
      </w:pPr>
    </w:p>
    <w:p w:rsidR="00147314" w:rsidP="00E76ED4">
      <w:pPr>
        <w:tabs>
          <w:tab w:val="left" w:pos="3629"/>
        </w:tabs>
        <w:jc w:val="center"/>
        <w:rPr>
          <w:b/>
          <w:szCs w:val="22"/>
        </w:rPr>
      </w:pPr>
    </w:p>
    <w:p w:rsidR="00147314" w:rsidP="00E76ED4">
      <w:pPr>
        <w:tabs>
          <w:tab w:val="left" w:pos="3629"/>
        </w:tabs>
        <w:jc w:val="center"/>
        <w:rPr>
          <w:b/>
          <w:szCs w:val="22"/>
        </w:rPr>
      </w:pPr>
    </w:p>
    <w:p w:rsidR="003D4368">
      <w:pPr>
        <w:widowControl/>
        <w:rPr>
          <w:b/>
          <w:szCs w:val="22"/>
        </w:rPr>
      </w:pPr>
      <w:r>
        <w:rPr>
          <w:b/>
          <w:szCs w:val="22"/>
        </w:rPr>
        <w:br w:type="page"/>
      </w:r>
    </w:p>
    <w:p w:rsidR="00E76ED4" w:rsidRPr="0067355D" w:rsidP="00E76ED4">
      <w:pPr>
        <w:tabs>
          <w:tab w:val="left" w:pos="3629"/>
        </w:tabs>
        <w:jc w:val="center"/>
        <w:rPr>
          <w:b/>
          <w:szCs w:val="22"/>
        </w:rPr>
      </w:pPr>
      <w:r w:rsidRPr="0067355D">
        <w:rPr>
          <w:b/>
          <w:szCs w:val="22"/>
        </w:rPr>
        <w:t xml:space="preserve">APPENDIX </w:t>
      </w:r>
      <w:r w:rsidR="00832BB5">
        <w:rPr>
          <w:b/>
          <w:szCs w:val="22"/>
        </w:rPr>
        <w:t>B</w:t>
      </w:r>
      <w:r w:rsidRPr="0067355D">
        <w:rPr>
          <w:b/>
          <w:szCs w:val="22"/>
        </w:rPr>
        <w:t xml:space="preserve"> </w:t>
      </w:r>
    </w:p>
    <w:p w:rsidR="00E76ED4" w:rsidRPr="0067355D" w:rsidP="00E76ED4">
      <w:pPr>
        <w:tabs>
          <w:tab w:val="left" w:pos="3629"/>
        </w:tabs>
        <w:rPr>
          <w:b/>
          <w:szCs w:val="22"/>
        </w:rPr>
      </w:pPr>
    </w:p>
    <w:p w:rsidR="00E76ED4" w:rsidP="00E76ED4">
      <w:pPr>
        <w:tabs>
          <w:tab w:val="left" w:pos="3629"/>
        </w:tabs>
        <w:jc w:val="center"/>
        <w:rPr>
          <w:b/>
          <w:szCs w:val="22"/>
        </w:rPr>
      </w:pPr>
      <w:r w:rsidRPr="0067355D">
        <w:rPr>
          <w:b/>
          <w:szCs w:val="22"/>
        </w:rPr>
        <w:t>Calculation of FY 2018 Revenue Requirements and Pro-Rata Fees</w:t>
      </w:r>
      <w:r w:rsidRPr="0067355D">
        <w:rPr>
          <w:b/>
          <w:szCs w:val="22"/>
        </w:rPr>
        <w:t xml:space="preserve"> </w:t>
      </w:r>
    </w:p>
    <w:p w:rsidR="005B7942" w:rsidP="00E76ED4">
      <w:pPr>
        <w:tabs>
          <w:tab w:val="left" w:pos="3629"/>
        </w:tabs>
        <w:jc w:val="center"/>
        <w:rPr>
          <w:b/>
          <w:szCs w:val="22"/>
        </w:rPr>
      </w:pPr>
    </w:p>
    <w:p w:rsidR="00F81229" w:rsidRPr="0067355D" w:rsidP="00F81229">
      <w:pPr>
        <w:tabs>
          <w:tab w:val="center" w:pos="5040"/>
        </w:tabs>
        <w:suppressAutoHyphens/>
        <w:outlineLvl w:val="0"/>
        <w:rPr>
          <w:b/>
          <w:szCs w:val="22"/>
        </w:rPr>
      </w:pPr>
      <w:bookmarkStart w:id="58" w:name="_Toc394672329"/>
      <w:r w:rsidRPr="0067355D">
        <w:rPr>
          <w:szCs w:val="22"/>
        </w:rPr>
        <w:t>Regulatory fees for the categories shaded in gray are collected by the Commission in advance to cover the term of the license and are submitted at the time the application is filed.</w:t>
      </w:r>
      <w:bookmarkEnd w:id="58"/>
      <w:r w:rsidRPr="0067355D">
        <w:rPr>
          <w:szCs w:val="22"/>
        </w:rPr>
        <w:t xml:space="preserve">  </w:t>
      </w:r>
    </w:p>
    <w:tbl>
      <w:tblPr>
        <w:tblW w:w="9990" w:type="dxa"/>
        <w:tblInd w:w="-203" w:type="dxa"/>
        <w:tblLayout w:type="fixed"/>
        <w:tblCellMar>
          <w:left w:w="30" w:type="dxa"/>
          <w:right w:w="30" w:type="dxa"/>
        </w:tblCellMar>
        <w:tblLook w:val="0000"/>
      </w:tblPr>
      <w:tblGrid>
        <w:gridCol w:w="2160"/>
        <w:gridCol w:w="1620"/>
        <w:gridCol w:w="450"/>
        <w:gridCol w:w="1260"/>
        <w:gridCol w:w="1170"/>
        <w:gridCol w:w="1170"/>
        <w:gridCol w:w="990"/>
        <w:gridCol w:w="1170"/>
      </w:tblGrid>
      <w:tr w:rsidTr="00B62B5F">
        <w:tblPrEx>
          <w:tblW w:w="9990" w:type="dxa"/>
          <w:tblInd w:w="-203" w:type="dxa"/>
          <w:tblLayout w:type="fixed"/>
          <w:tblCellMar>
            <w:left w:w="30" w:type="dxa"/>
            <w:right w:w="30" w:type="dxa"/>
          </w:tblCellMar>
          <w:tblLook w:val="0000"/>
        </w:tblPrEx>
        <w:trPr>
          <w:tblHeader/>
        </w:trPr>
        <w:tc>
          <w:tcPr>
            <w:tcW w:w="2160" w:type="dxa"/>
            <w:tcBorders>
              <w:top w:val="double" w:sz="6" w:space="0" w:color="auto"/>
              <w:left w:val="double" w:sz="6" w:space="0" w:color="auto"/>
              <w:bottom w:val="single" w:sz="18"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Pr>
                <w:b/>
                <w:szCs w:val="22"/>
              </w:rPr>
              <w:fldChar w:fldCharType="begin"/>
            </w:r>
            <w:r w:rsidRPr="0067355D">
              <w:rPr>
                <w:b/>
                <w:szCs w:val="22"/>
              </w:rPr>
              <w:instrText xml:space="preserve">PRIVATE </w:instrText>
            </w:r>
            <w:r>
              <w:rPr>
                <w:b/>
                <w:szCs w:val="22"/>
              </w:rPr>
              <w:fldChar w:fldCharType="end"/>
            </w:r>
            <w:r w:rsidRPr="0067355D">
              <w:rPr>
                <w:b/>
                <w:szCs w:val="22"/>
              </w:rPr>
              <w:t>Fee Category</w:t>
            </w:r>
          </w:p>
        </w:tc>
        <w:tc>
          <w:tcPr>
            <w:tcW w:w="1620" w:type="dxa"/>
            <w:tcBorders>
              <w:top w:val="double" w:sz="6" w:space="0" w:color="auto"/>
              <w:left w:val="single" w:sz="6" w:space="0" w:color="auto"/>
              <w:bottom w:val="single" w:sz="18"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FY 2018 Payment Units</w:t>
            </w:r>
          </w:p>
        </w:tc>
        <w:tc>
          <w:tcPr>
            <w:tcW w:w="450" w:type="dxa"/>
            <w:tcBorders>
              <w:top w:val="double" w:sz="6" w:space="0" w:color="auto"/>
              <w:left w:val="single" w:sz="6" w:space="0" w:color="auto"/>
              <w:bottom w:val="single" w:sz="18"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Yrs</w:t>
            </w:r>
          </w:p>
        </w:tc>
        <w:tc>
          <w:tcPr>
            <w:tcW w:w="1260" w:type="dxa"/>
            <w:tcBorders>
              <w:top w:val="double" w:sz="6" w:space="0" w:color="auto"/>
              <w:left w:val="single" w:sz="6" w:space="0" w:color="auto"/>
              <w:bottom w:val="single" w:sz="18"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FY 2017 Revenue Estimate</w:t>
            </w:r>
          </w:p>
        </w:tc>
        <w:tc>
          <w:tcPr>
            <w:tcW w:w="1170" w:type="dxa"/>
            <w:tcBorders>
              <w:top w:val="double" w:sz="6" w:space="0" w:color="auto"/>
              <w:left w:val="single" w:sz="6" w:space="0" w:color="auto"/>
              <w:bottom w:val="single" w:sz="18"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b/>
                <w:szCs w:val="22"/>
              </w:rPr>
            </w:pPr>
            <w:r w:rsidRPr="0067355D">
              <w:rPr>
                <w:b/>
                <w:szCs w:val="22"/>
              </w:rPr>
              <w:t>Pro-Rated FY 2018 Revenue Require-</w:t>
            </w:r>
            <w:r w:rsidRPr="0067355D">
              <w:rPr>
                <w:b/>
                <w:szCs w:val="22"/>
              </w:rPr>
              <w:t>ment</w:t>
            </w:r>
          </w:p>
        </w:tc>
        <w:tc>
          <w:tcPr>
            <w:tcW w:w="1170" w:type="dxa"/>
            <w:tcBorders>
              <w:top w:val="double" w:sz="6" w:space="0" w:color="auto"/>
              <w:left w:val="single" w:sz="6" w:space="0" w:color="auto"/>
              <w:bottom w:val="single" w:sz="18"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b/>
                <w:szCs w:val="22"/>
              </w:rPr>
              <w:t>Computed FY 2018 Regulatory Fee</w:t>
            </w:r>
          </w:p>
        </w:tc>
        <w:tc>
          <w:tcPr>
            <w:tcW w:w="990" w:type="dxa"/>
            <w:tcBorders>
              <w:top w:val="double" w:sz="6" w:space="0" w:color="auto"/>
              <w:left w:val="single" w:sz="6" w:space="0" w:color="auto"/>
              <w:bottom w:val="single" w:sz="18"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 xml:space="preserve"> Rounded </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 xml:space="preserve">FY 2018 </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b/>
                <w:szCs w:val="22"/>
              </w:rPr>
              <w:t>Reg. Fee</w:t>
            </w:r>
          </w:p>
        </w:tc>
        <w:tc>
          <w:tcPr>
            <w:tcW w:w="1170" w:type="dxa"/>
            <w:tcBorders>
              <w:top w:val="double" w:sz="6" w:space="0" w:color="auto"/>
              <w:left w:val="single" w:sz="6" w:space="0" w:color="auto"/>
              <w:bottom w:val="single" w:sz="18"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Expected</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FY 2018</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b/>
                <w:szCs w:val="22"/>
              </w:rPr>
              <w:t>Revenue</w:t>
            </w:r>
          </w:p>
        </w:tc>
      </w:tr>
      <w:tr w:rsidTr="00B62B5F">
        <w:tblPrEx>
          <w:tblW w:w="9990" w:type="dxa"/>
          <w:tblInd w:w="-203" w:type="dxa"/>
          <w:tblLayout w:type="fixed"/>
          <w:tblCellMar>
            <w:left w:w="30" w:type="dxa"/>
            <w:right w:w="30" w:type="dxa"/>
          </w:tblCellMar>
          <w:tblLook w:val="0000"/>
        </w:tblPrEx>
        <w:tc>
          <w:tcPr>
            <w:tcW w:w="2160" w:type="dxa"/>
            <w:tcBorders>
              <w:top w:val="single" w:sz="1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 PLMRS (Exclusive Use) </w:t>
            </w:r>
          </w:p>
        </w:tc>
        <w:tc>
          <w:tcPr>
            <w:tcW w:w="1620" w:type="dxa"/>
            <w:tcBorders>
              <w:top w:val="single" w:sz="1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340</w:t>
            </w:r>
          </w:p>
        </w:tc>
        <w:tc>
          <w:tcPr>
            <w:tcW w:w="450" w:type="dxa"/>
            <w:tcBorders>
              <w:top w:val="single" w:sz="1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1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85,000</w:t>
            </w:r>
          </w:p>
        </w:tc>
        <w:tc>
          <w:tcPr>
            <w:tcW w:w="1170" w:type="dxa"/>
            <w:tcBorders>
              <w:top w:val="single" w:sz="1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p>
        </w:tc>
        <w:tc>
          <w:tcPr>
            <w:tcW w:w="990" w:type="dxa"/>
            <w:tcBorders>
              <w:top w:val="single" w:sz="1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p>
        </w:tc>
        <w:tc>
          <w:tcPr>
            <w:tcW w:w="1170" w:type="dxa"/>
            <w:tcBorders>
              <w:top w:val="single" w:sz="1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85,000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PLMRS (Shared use)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12,500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10</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1,600,000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1,250,000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Microwave</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7,750</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2,950,000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1,937,500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1,937,500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Marine (Ship)</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7,150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1,215,000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1,072,500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1,072,500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Aviation (Aircraft)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4,000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400,000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Marine (Coast)</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75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30,000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4"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Aviation (Ground)</w:t>
            </w:r>
          </w:p>
        </w:tc>
        <w:tc>
          <w:tcPr>
            <w:tcW w:w="162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1,000 </w:t>
            </w:r>
          </w:p>
        </w:tc>
        <w:tc>
          <w:tcPr>
            <w:tcW w:w="45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10 </w:t>
            </w:r>
          </w:p>
        </w:tc>
        <w:tc>
          <w:tcPr>
            <w:tcW w:w="126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220,000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200,000</w:t>
            </w:r>
          </w:p>
        </w:tc>
        <w:tc>
          <w:tcPr>
            <w:tcW w:w="117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20</w:t>
            </w:r>
          </w:p>
        </w:tc>
        <w:tc>
          <w:tcPr>
            <w:tcW w:w="990" w:type="dxa"/>
            <w:tcBorders>
              <w:top w:val="single" w:sz="8" w:space="0" w:color="auto"/>
              <w:left w:val="single" w:sz="8" w:space="0" w:color="auto"/>
              <w:bottom w:val="single" w:sz="8" w:space="0" w:color="auto"/>
              <w:right w:val="single" w:sz="8"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20</w:t>
            </w:r>
          </w:p>
        </w:tc>
        <w:tc>
          <w:tcPr>
            <w:tcW w:w="1170" w:type="dxa"/>
            <w:tcBorders>
              <w:top w:val="single" w:sz="8" w:space="0" w:color="auto"/>
              <w:left w:val="single" w:sz="8" w:space="0" w:color="auto"/>
              <w:bottom w:val="single" w:sz="8" w:space="0" w:color="auto"/>
              <w:right w:val="double" w:sz="4" w:space="0" w:color="auto"/>
            </w:tcBorders>
            <w:shd w:val="clear" w:color="auto" w:fill="C0C0C0"/>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200,000</w:t>
            </w:r>
          </w:p>
        </w:tc>
      </w:tr>
      <w:tr w:rsidTr="00B62B5F">
        <w:tblPrEx>
          <w:tblW w:w="9990" w:type="dxa"/>
          <w:tblInd w:w="-203" w:type="dxa"/>
          <w:tblLayout w:type="fixed"/>
          <w:tblCellMar>
            <w:left w:w="30" w:type="dxa"/>
            <w:right w:w="30" w:type="dxa"/>
          </w:tblCellMar>
          <w:tblLook w:val="0000"/>
        </w:tblPrEx>
        <w:tc>
          <w:tcPr>
            <w:tcW w:w="2160" w:type="dxa"/>
            <w:tcBorders>
              <w:top w:val="single" w:sz="8"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A</w:t>
            </w:r>
            <w:r>
              <w:rPr>
                <w:szCs w:val="22"/>
                <w:vertAlign w:val="superscript"/>
              </w:rPr>
              <w:t>1</w:t>
            </w:r>
          </w:p>
        </w:tc>
        <w:tc>
          <w:tcPr>
            <w:tcW w:w="1620" w:type="dxa"/>
            <w:tcBorders>
              <w:top w:val="single" w:sz="8"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63</w:t>
            </w:r>
          </w:p>
        </w:tc>
        <w:tc>
          <w:tcPr>
            <w:tcW w:w="450" w:type="dxa"/>
            <w:tcBorders>
              <w:top w:val="single" w:sz="8"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8"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305,500</w:t>
            </w:r>
          </w:p>
        </w:tc>
        <w:tc>
          <w:tcPr>
            <w:tcW w:w="1170" w:type="dxa"/>
            <w:tcBorders>
              <w:top w:val="single" w:sz="8"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266,175</w:t>
            </w:r>
          </w:p>
        </w:tc>
        <w:tc>
          <w:tcPr>
            <w:tcW w:w="1170" w:type="dxa"/>
            <w:tcBorders>
              <w:top w:val="single" w:sz="8"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4,214</w:t>
            </w:r>
          </w:p>
        </w:tc>
        <w:tc>
          <w:tcPr>
            <w:tcW w:w="990" w:type="dxa"/>
            <w:tcBorders>
              <w:top w:val="single" w:sz="8"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4,225</w:t>
            </w:r>
          </w:p>
        </w:tc>
        <w:tc>
          <w:tcPr>
            <w:tcW w:w="1170" w:type="dxa"/>
            <w:tcBorders>
              <w:top w:val="single" w:sz="8"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266,175</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B</w:t>
            </w:r>
            <w:r>
              <w:rPr>
                <w:szCs w:val="22"/>
                <w:vertAlign w:val="superscript"/>
              </w:rPr>
              <w:t>1</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1,523</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3,807,500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3,274,450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2,162</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2,150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3,274,450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C</w:t>
            </w:r>
            <w:r>
              <w:rPr>
                <w:szCs w:val="22"/>
                <w:vertAlign w:val="superscript"/>
              </w:rPr>
              <w:t>1</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872</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1,348,500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1,177,200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1,352</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1,350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1,177,200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AM Class D</w:t>
            </w:r>
            <w:r>
              <w:rPr>
                <w:szCs w:val="22"/>
                <w:vertAlign w:val="superscript"/>
              </w:rPr>
              <w:t>1</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1,503</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4,476,000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3,907,800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2,592</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2,600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3,907,800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lang w:val="pt-BR"/>
              </w:rPr>
            </w:pPr>
            <w:r w:rsidRPr="0067355D">
              <w:rPr>
                <w:szCs w:val="22"/>
                <w:lang w:val="pt-BR"/>
              </w:rPr>
              <w:t>FM Classes A, B1 &amp; C3</w:t>
            </w:r>
            <w:r>
              <w:rPr>
                <w:szCs w:val="22"/>
                <w:vertAlign w:val="superscript"/>
              </w:rPr>
              <w:t>1</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3,166</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9,371,250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8,152,450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2,582</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2,575</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8,152,450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FM Classes B, C, C0, C1 &amp; C2</w:t>
            </w:r>
            <w:r>
              <w:rPr>
                <w:szCs w:val="22"/>
                <w:vertAlign w:val="superscript"/>
              </w:rPr>
              <w:t>1</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3,128</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11,521,800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10,009,600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3,203</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3,200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10,009,600</w:t>
            </w:r>
          </w:p>
        </w:tc>
      </w:tr>
      <w:tr w:rsidTr="00B62B5F">
        <w:tblPrEx>
          <w:tblW w:w="9990" w:type="dxa"/>
          <w:tblInd w:w="-203" w:type="dxa"/>
          <w:tblLayout w:type="fixed"/>
          <w:tblCellMar>
            <w:left w:w="30" w:type="dxa"/>
            <w:right w:w="30" w:type="dxa"/>
          </w:tblCellMar>
          <w:tblLook w:val="0000"/>
        </w:tblPrEx>
        <w:trPr>
          <w:trHeight w:val="534"/>
        </w:trPr>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AM Construction Permits </w:t>
            </w:r>
            <w:r>
              <w:rPr>
                <w:szCs w:val="22"/>
                <w:vertAlign w:val="superscript"/>
              </w:rPr>
              <w:t>2</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9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5,550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4,950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550</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550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4,950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FM Construction Permits</w:t>
            </w:r>
            <w:r>
              <w:rPr>
                <w:szCs w:val="22"/>
                <w:vertAlign w:val="superscript"/>
              </w:rPr>
              <w:t>2</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109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110,740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105,185</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965</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965</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105,185</w:t>
            </w:r>
          </w:p>
        </w:tc>
      </w:tr>
      <w:tr w:rsidTr="00B62B5F">
        <w:tblPrEx>
          <w:tblW w:w="9990" w:type="dxa"/>
          <w:tblInd w:w="-203" w:type="dxa"/>
          <w:tblLayout w:type="fixed"/>
          <w:tblCellMar>
            <w:left w:w="30" w:type="dxa"/>
            <w:right w:w="30" w:type="dxa"/>
          </w:tblCellMar>
          <w:tblLook w:val="0000"/>
        </w:tblPrEx>
        <w:trPr>
          <w:trHeight w:val="444"/>
        </w:trPr>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Satellite TV</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126</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217,350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189,000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1,497</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1,500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189,000</w:t>
            </w:r>
          </w:p>
        </w:tc>
      </w:tr>
      <w:tr w:rsidTr="00B62B5F">
        <w:tblPrEx>
          <w:tblW w:w="9990" w:type="dxa"/>
          <w:tblInd w:w="-203" w:type="dxa"/>
          <w:tblLayout w:type="fixed"/>
          <w:tblCellMar>
            <w:left w:w="30" w:type="dxa"/>
            <w:right w:w="30" w:type="dxa"/>
          </w:tblCellMar>
          <w:tblLook w:val="0000"/>
        </w:tblPrEx>
        <w:trPr>
          <w:trHeight w:val="480"/>
        </w:trPr>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kt</w:t>
            </w:r>
            <w:r w:rsidRPr="0067355D">
              <w:rPr>
                <w:szCs w:val="22"/>
              </w:rPr>
              <w:t xml:space="preserve"> 1-10</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144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8,305,250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7,164,000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49,739</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49,750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7,164,000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 xml:space="preserve">kt </w:t>
            </w:r>
            <w:r w:rsidRPr="0067355D">
              <w:rPr>
                <w:szCs w:val="22"/>
              </w:rPr>
              <w:t>11-25</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140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5,898,275</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5,243,000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37,455</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37,450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5,243,000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 xml:space="preserve">kt </w:t>
            </w:r>
            <w:r w:rsidRPr="0067355D">
              <w:rPr>
                <w:szCs w:val="22"/>
              </w:rPr>
              <w:t>26-50</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189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5,439,050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4,729,725</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25,013</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25,025</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4,729,725</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Digital TV M</w:t>
            </w:r>
            <w:r>
              <w:rPr>
                <w:szCs w:val="22"/>
              </w:rPr>
              <w:t xml:space="preserve">kt </w:t>
            </w:r>
            <w:r w:rsidRPr="0067355D">
              <w:rPr>
                <w:szCs w:val="22"/>
              </w:rPr>
              <w:t>51-100</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290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4,267,875</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3,617,750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12,470</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12,475</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3,617,750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Digital </w:t>
            </w:r>
            <w:r w:rsidRPr="0067355D">
              <w:rPr>
                <w:szCs w:val="22"/>
              </w:rPr>
              <w:t>TV  Remaining</w:t>
            </w:r>
            <w:r w:rsidRPr="0067355D">
              <w:rPr>
                <w:szCs w:val="22"/>
              </w:rPr>
              <w:t xml:space="preserve"> Markets </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389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1,807,475</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1,594,900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4,099</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4,100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1,594,900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Digital TV Construction Permits</w:t>
            </w:r>
            <w:r>
              <w:rPr>
                <w:szCs w:val="22"/>
                <w:vertAlign w:val="superscript"/>
              </w:rPr>
              <w:t>2</w:t>
            </w:r>
          </w:p>
        </w:tc>
        <w:tc>
          <w:tcPr>
            <w:tcW w:w="162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3 </w:t>
            </w:r>
          </w:p>
        </w:tc>
        <w:tc>
          <w:tcPr>
            <w:tcW w:w="45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14,775</w:t>
            </w:r>
          </w:p>
        </w:tc>
        <w:tc>
          <w:tcPr>
            <w:tcW w:w="117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12,300</w:t>
            </w:r>
          </w:p>
        </w:tc>
        <w:tc>
          <w:tcPr>
            <w:tcW w:w="1170" w:type="dxa"/>
            <w:tcBorders>
              <w:top w:val="single" w:sz="6" w:space="0" w:color="auto"/>
              <w:left w:val="single" w:sz="6" w:space="0" w:color="auto"/>
              <w:bottom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4,100</w:t>
            </w:r>
          </w:p>
        </w:tc>
        <w:tc>
          <w:tcPr>
            <w:tcW w:w="99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4,100</w:t>
            </w:r>
          </w:p>
        </w:tc>
        <w:tc>
          <w:tcPr>
            <w:tcW w:w="1170" w:type="dxa"/>
            <w:tcBorders>
              <w:top w:val="single" w:sz="6" w:space="0" w:color="auto"/>
              <w:left w:val="single" w:sz="6" w:space="0" w:color="auto"/>
              <w:bottom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12,300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LPTV/Translators/ Boosters/Class A TV</w:t>
            </w:r>
          </w:p>
        </w:tc>
        <w:tc>
          <w:tcPr>
            <w:tcW w:w="162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3,989 </w:t>
            </w:r>
          </w:p>
        </w:tc>
        <w:tc>
          <w:tcPr>
            <w:tcW w:w="45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1,741,930</w:t>
            </w:r>
          </w:p>
        </w:tc>
        <w:tc>
          <w:tcPr>
            <w:tcW w:w="117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1,515,820</w:t>
            </w:r>
          </w:p>
        </w:tc>
        <w:tc>
          <w:tcPr>
            <w:tcW w:w="1170" w:type="dxa"/>
            <w:tcBorders>
              <w:top w:val="single" w:sz="6" w:space="0" w:color="auto"/>
              <w:left w:val="single" w:sz="6" w:space="0" w:color="auto"/>
              <w:bottom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378</w:t>
            </w:r>
          </w:p>
        </w:tc>
        <w:tc>
          <w:tcPr>
            <w:tcW w:w="990" w:type="dxa"/>
            <w:tcBorders>
              <w:top w:val="single" w:sz="6" w:space="0" w:color="auto"/>
              <w:left w:val="single" w:sz="6" w:space="0" w:color="auto"/>
              <w:bottom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380</w:t>
            </w:r>
          </w:p>
        </w:tc>
        <w:tc>
          <w:tcPr>
            <w:tcW w:w="1170" w:type="dxa"/>
            <w:tcBorders>
              <w:top w:val="single" w:sz="6" w:space="0" w:color="auto"/>
              <w:left w:val="single" w:sz="6" w:space="0" w:color="auto"/>
              <w:bottom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1,515,820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bottom w:val="double" w:sz="4"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CARS Stations</w:t>
            </w:r>
          </w:p>
        </w:tc>
        <w:tc>
          <w:tcPr>
            <w:tcW w:w="1620" w:type="dxa"/>
            <w:tcBorders>
              <w:top w:val="single" w:sz="6" w:space="0" w:color="auto"/>
              <w:left w:val="single" w:sz="6" w:space="0" w:color="auto"/>
              <w:bottom w:val="double" w:sz="4"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175 </w:t>
            </w:r>
          </w:p>
        </w:tc>
        <w:tc>
          <w:tcPr>
            <w:tcW w:w="450" w:type="dxa"/>
            <w:tcBorders>
              <w:top w:val="single" w:sz="6" w:space="0" w:color="auto"/>
              <w:left w:val="single" w:sz="6" w:space="0" w:color="auto"/>
              <w:bottom w:val="double" w:sz="4"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double" w:sz="4"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215,050</w:t>
            </w:r>
          </w:p>
        </w:tc>
        <w:tc>
          <w:tcPr>
            <w:tcW w:w="1170" w:type="dxa"/>
            <w:tcBorders>
              <w:top w:val="single" w:sz="6" w:space="0" w:color="auto"/>
              <w:left w:val="single" w:sz="6" w:space="0" w:color="auto"/>
              <w:bottom w:val="double" w:sz="4"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188,125</w:t>
            </w:r>
          </w:p>
        </w:tc>
        <w:tc>
          <w:tcPr>
            <w:tcW w:w="1170" w:type="dxa"/>
            <w:tcBorders>
              <w:top w:val="single" w:sz="6" w:space="0" w:color="auto"/>
              <w:left w:val="single" w:sz="6" w:space="0" w:color="auto"/>
              <w:bottom w:val="double" w:sz="4"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1,068</w:t>
            </w:r>
          </w:p>
        </w:tc>
        <w:tc>
          <w:tcPr>
            <w:tcW w:w="990" w:type="dxa"/>
            <w:tcBorders>
              <w:top w:val="single" w:sz="6" w:space="0" w:color="auto"/>
              <w:left w:val="single" w:sz="6" w:space="0" w:color="auto"/>
              <w:bottom w:val="double" w:sz="4"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1,075</w:t>
            </w:r>
          </w:p>
        </w:tc>
        <w:tc>
          <w:tcPr>
            <w:tcW w:w="1170" w:type="dxa"/>
            <w:tcBorders>
              <w:top w:val="single" w:sz="6" w:space="0" w:color="auto"/>
              <w:left w:val="single" w:sz="6" w:space="0" w:color="auto"/>
              <w:bottom w:val="double" w:sz="4"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188,125</w:t>
            </w:r>
          </w:p>
        </w:tc>
      </w:tr>
      <w:tr w:rsidTr="00B62B5F">
        <w:tblPrEx>
          <w:tblW w:w="9990" w:type="dxa"/>
          <w:tblInd w:w="-203" w:type="dxa"/>
          <w:tblLayout w:type="fixed"/>
          <w:tblCellMar>
            <w:left w:w="30" w:type="dxa"/>
            <w:right w:w="30" w:type="dxa"/>
          </w:tblCellMar>
          <w:tblLook w:val="0000"/>
        </w:tblPrEx>
        <w:tc>
          <w:tcPr>
            <w:tcW w:w="2160" w:type="dxa"/>
            <w:tcBorders>
              <w:top w:val="double" w:sz="4"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bookmarkStart w:id="59" w:name="_Hlk520729967"/>
            <w:r w:rsidRPr="0067355D">
              <w:rPr>
                <w:szCs w:val="22"/>
              </w:rPr>
              <w:t xml:space="preserve">Cable TV Systems, including IPTV </w:t>
            </w:r>
          </w:p>
        </w:tc>
        <w:tc>
          <w:tcPr>
            <w:tcW w:w="1620" w:type="dxa"/>
            <w:tcBorders>
              <w:top w:val="double" w:sz="4"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61,000,000 </w:t>
            </w:r>
          </w:p>
        </w:tc>
        <w:tc>
          <w:tcPr>
            <w:tcW w:w="450" w:type="dxa"/>
            <w:tcBorders>
              <w:top w:val="double" w:sz="4"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double" w:sz="4"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58,900,000</w:t>
            </w:r>
          </w:p>
        </w:tc>
        <w:tc>
          <w:tcPr>
            <w:tcW w:w="1170" w:type="dxa"/>
            <w:tcBorders>
              <w:top w:val="double" w:sz="4"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46,970,000</w:t>
            </w:r>
          </w:p>
        </w:tc>
        <w:tc>
          <w:tcPr>
            <w:tcW w:w="1170" w:type="dxa"/>
            <w:tcBorders>
              <w:top w:val="double" w:sz="4"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.7658</w:t>
            </w:r>
          </w:p>
        </w:tc>
        <w:tc>
          <w:tcPr>
            <w:tcW w:w="990" w:type="dxa"/>
            <w:tcBorders>
              <w:top w:val="double" w:sz="4"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.77</w:t>
            </w:r>
          </w:p>
        </w:tc>
        <w:tc>
          <w:tcPr>
            <w:tcW w:w="1170" w:type="dxa"/>
            <w:tcBorders>
              <w:top w:val="double" w:sz="4"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46,970,000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Direct Broadcast Satellite (DBS)</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32,000,000</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12,350,000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15,360,000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.480</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.48</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15,360,000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bookmarkEnd w:id="59"/>
            <w:r w:rsidRPr="0067355D">
              <w:rPr>
                <w:szCs w:val="22"/>
              </w:rPr>
              <w:t>Interstate Telecommunication Service Providers</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w:t>
            </w:r>
            <w:r>
              <w:rPr>
                <w:szCs w:val="22"/>
              </w:rPr>
              <w:t>4,6</w:t>
            </w:r>
            <w:r w:rsidRPr="0067355D">
              <w:rPr>
                <w:szCs w:val="22"/>
              </w:rPr>
              <w:t xml:space="preserve">00,000,000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111,740,000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100,686</w:t>
            </w:r>
            <w:r w:rsidRPr="0067355D">
              <w:rPr>
                <w:szCs w:val="22"/>
              </w:rPr>
              <w:t>,000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0.002906</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0.00291</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100,686</w:t>
            </w:r>
            <w:r w:rsidRPr="0067355D">
              <w:rPr>
                <w:szCs w:val="22"/>
              </w:rPr>
              <w:t>,000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Toll Free Numbers</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33,200,000</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3,924,000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3,320,000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0.10405</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0.10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3,320,000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CMRS Mobile Services (Cellular/Public Mobile)</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w:t>
            </w:r>
            <w:r w:rsidR="00832BB5">
              <w:rPr>
                <w:szCs w:val="22"/>
              </w:rPr>
              <w:t>4</w:t>
            </w:r>
            <w:r w:rsidRPr="0067355D">
              <w:rPr>
                <w:szCs w:val="22"/>
              </w:rPr>
              <w:t xml:space="preserve">,000,000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82,530,000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80,</w:t>
            </w:r>
            <w:r w:rsidR="00832BB5">
              <w:rPr>
                <w:szCs w:val="22"/>
              </w:rPr>
              <w:t>8</w:t>
            </w:r>
            <w:r w:rsidRPr="0067355D">
              <w:rPr>
                <w:szCs w:val="22"/>
              </w:rPr>
              <w:t>00,000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0.19</w:t>
            </w:r>
            <w:r w:rsidR="00832BB5">
              <w:rPr>
                <w:szCs w:val="22"/>
              </w:rPr>
              <w:t>5</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0.20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80,</w:t>
            </w:r>
            <w:r w:rsidR="00832BB5">
              <w:rPr>
                <w:szCs w:val="22"/>
              </w:rPr>
              <w:t>8</w:t>
            </w:r>
            <w:r w:rsidRPr="0067355D">
              <w:rPr>
                <w:szCs w:val="22"/>
              </w:rPr>
              <w:t>00,000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CMRS </w:t>
            </w:r>
            <w:r w:rsidRPr="0067355D">
              <w:rPr>
                <w:szCs w:val="22"/>
              </w:rPr>
              <w:t>Messag</w:t>
            </w:r>
            <w:r w:rsidRPr="0067355D">
              <w:rPr>
                <w:szCs w:val="22"/>
              </w:rPr>
              <w:t>. Services</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1,000,000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168,000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80,000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0.0800</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0.080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80,000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BRS</w:t>
            </w:r>
            <w:r>
              <w:rPr>
                <w:szCs w:val="22"/>
              </w:rPr>
              <w:t>/</w:t>
            </w:r>
            <w:r>
              <w:rPr>
                <w:szCs w:val="22"/>
                <w:vertAlign w:val="superscript"/>
              </w:rPr>
              <w:t>3</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LMDS </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1,175</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400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1</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696,000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316,000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567,050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378,250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600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600</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600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600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705,000</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240,000</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 xml:space="preserve">Per </w:t>
            </w:r>
            <w:r w:rsidR="00FE78DA">
              <w:rPr>
                <w:szCs w:val="22"/>
              </w:rPr>
              <w:t>Gbps circuit</w:t>
            </w:r>
            <w:r w:rsidRPr="0067355D">
              <w:rPr>
                <w:szCs w:val="22"/>
              </w:rPr>
              <w:t xml:space="preserve"> Int’l Bearer Circuits </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Terrestrial (Common</w:t>
            </w:r>
            <w:r w:rsidR="00FE78DA">
              <w:rPr>
                <w:szCs w:val="22"/>
              </w:rPr>
              <w:t xml:space="preserve"> and Non-Common</w:t>
            </w:r>
            <w:r w:rsidRPr="0067355D">
              <w:rPr>
                <w:szCs w:val="22"/>
              </w:rPr>
              <w:t xml:space="preserve">) &amp; Satellite (Common &amp; Non-Common) </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2,831</w:t>
            </w:r>
            <w:r w:rsidRPr="0067355D">
              <w:rPr>
                <w:szCs w:val="22"/>
              </w:rPr>
              <w:t xml:space="preserve">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901,680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685,102</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176</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176</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685,102</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Submarine Cable Providers (see chart in Appendix C)</w:t>
            </w:r>
            <w:r>
              <w:rPr>
                <w:szCs w:val="22"/>
                <w:vertAlign w:val="superscript"/>
              </w:rPr>
              <w:t>4</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41.19</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5,660,261</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4,959,228</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120,405</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120,400</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4,959,035</w:t>
            </w:r>
          </w:p>
        </w:tc>
      </w:tr>
      <w:tr w:rsidTr="00B62B5F">
        <w:tblPrEx>
          <w:tblW w:w="9990" w:type="dxa"/>
          <w:tblInd w:w="-203" w:type="dxa"/>
          <w:tblLayout w:type="fixed"/>
          <w:tblCellMar>
            <w:left w:w="30" w:type="dxa"/>
            <w:right w:w="30" w:type="dxa"/>
          </w:tblCellMar>
          <w:tblLook w:val="0000"/>
        </w:tblPrEx>
        <w:trPr>
          <w:trHeight w:val="370"/>
        </w:trPr>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vertAlign w:val="superscript"/>
              </w:rPr>
            </w:pPr>
            <w:r w:rsidRPr="0067355D">
              <w:rPr>
                <w:szCs w:val="22"/>
              </w:rPr>
              <w:t xml:space="preserve">Earth Stations </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 xml:space="preserve">3,400 </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1,224,000</w:t>
            </w:r>
          </w:p>
        </w:tc>
        <w:tc>
          <w:tcPr>
            <w:tcW w:w="117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1,105,000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326</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325</w:t>
            </w:r>
          </w:p>
        </w:tc>
        <w:tc>
          <w:tcPr>
            <w:tcW w:w="1170" w:type="dxa"/>
            <w:tcBorders>
              <w:top w:val="single" w:sz="6" w:space="0" w:color="auto"/>
              <w:left w:val="single" w:sz="6"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1,105,000</w:t>
            </w:r>
          </w:p>
        </w:tc>
      </w:tr>
      <w:tr w:rsidTr="00B62B5F">
        <w:tblPrEx>
          <w:tblW w:w="9990" w:type="dxa"/>
          <w:tblInd w:w="-203" w:type="dxa"/>
          <w:tblLayout w:type="fixed"/>
          <w:tblCellMar>
            <w:left w:w="30" w:type="dxa"/>
            <w:right w:w="30" w:type="dxa"/>
          </w:tblCellMar>
          <w:tblLook w:val="0000"/>
        </w:tblPrEx>
        <w:trPr>
          <w:trHeight w:val="595"/>
        </w:trPr>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Space Stations (Geostationary) </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97</w:t>
            </w: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sidRPr="0067355D">
              <w:rPr>
                <w:szCs w:val="22"/>
              </w:rPr>
              <w:t xml:space="preserve">1 </w:t>
            </w:r>
          </w:p>
        </w:tc>
        <w:tc>
          <w:tcPr>
            <w:tcW w:w="1260" w:type="dxa"/>
            <w:tcBorders>
              <w:top w:val="single" w:sz="6" w:space="0" w:color="auto"/>
              <w:left w:val="single" w:sz="6" w:space="0" w:color="auto"/>
              <w:bottom w:val="single" w:sz="2"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13,669,725</w:t>
            </w:r>
          </w:p>
        </w:tc>
        <w:tc>
          <w:tcPr>
            <w:tcW w:w="1170" w:type="dxa"/>
            <w:tcBorders>
              <w:top w:val="single" w:sz="6" w:space="0" w:color="auto"/>
              <w:left w:val="single" w:sz="6" w:space="0" w:color="auto"/>
              <w:bottom w:val="single" w:sz="2"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12,401,450</w:t>
            </w:r>
          </w:p>
        </w:tc>
        <w:tc>
          <w:tcPr>
            <w:tcW w:w="1170" w:type="dxa"/>
            <w:tcBorders>
              <w:top w:val="single" w:sz="6" w:space="0" w:color="auto"/>
              <w:left w:val="single" w:sz="6" w:space="0" w:color="auto"/>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127,839</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127,850</w:t>
            </w:r>
          </w:p>
        </w:tc>
        <w:tc>
          <w:tcPr>
            <w:tcW w:w="1170" w:type="dxa"/>
            <w:tcBorders>
              <w:top w:val="single" w:sz="6" w:space="0" w:color="auto"/>
              <w:left w:val="single" w:sz="6" w:space="0" w:color="auto"/>
              <w:bottom w:val="single" w:sz="2" w:space="0" w:color="auto"/>
              <w:righ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sidRPr="0067355D">
              <w:rPr>
                <w:szCs w:val="22"/>
              </w:rPr>
              <w:t>12,401,450</w:t>
            </w:r>
          </w:p>
        </w:tc>
      </w:tr>
      <w:tr w:rsidTr="00B62B5F">
        <w:tblPrEx>
          <w:tblW w:w="9990" w:type="dxa"/>
          <w:tblInd w:w="-203" w:type="dxa"/>
          <w:tblLayout w:type="fixed"/>
          <w:tblCellMar>
            <w:left w:w="30" w:type="dxa"/>
            <w:right w:w="30" w:type="dxa"/>
          </w:tblCellMar>
          <w:tblLook w:val="0000"/>
        </w:tblPrEx>
        <w:trPr>
          <w:trHeight w:val="813"/>
        </w:trPr>
        <w:tc>
          <w:tcPr>
            <w:tcW w:w="2160" w:type="dxa"/>
            <w:tcBorders>
              <w:top w:val="single" w:sz="6" w:space="0" w:color="auto"/>
              <w:left w:val="doub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r w:rsidRPr="0067355D">
              <w:rPr>
                <w:szCs w:val="22"/>
              </w:rPr>
              <w:t xml:space="preserve">Space Stations (Non-Geostationary) </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szCs w:val="22"/>
              </w:rPr>
            </w:pP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7</w:t>
            </w:r>
          </w:p>
        </w:tc>
        <w:tc>
          <w:tcPr>
            <w:tcW w:w="450" w:type="dxa"/>
            <w:tcBorders>
              <w:top w:val="single" w:sz="6" w:space="0" w:color="auto"/>
              <w:left w:val="single" w:sz="6" w:space="0" w:color="auto"/>
            </w:tcBorders>
          </w:tcPr>
          <w:p w:rsidR="00F81229"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r>
              <w:rPr>
                <w:szCs w:val="22"/>
              </w:rPr>
              <w:t>1</w:t>
            </w:r>
          </w:p>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center"/>
              <w:rPr>
                <w:szCs w:val="22"/>
              </w:rPr>
            </w:pPr>
          </w:p>
        </w:tc>
        <w:tc>
          <w:tcPr>
            <w:tcW w:w="1260" w:type="dxa"/>
            <w:tcBorders>
              <w:top w:val="single" w:sz="2" w:space="0" w:color="auto"/>
              <w:left w:val="single" w:sz="2" w:space="0" w:color="auto"/>
              <w:bottom w:val="single" w:sz="2" w:space="0" w:color="auto"/>
              <w:right w:val="single" w:sz="2"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947,450</w:t>
            </w:r>
          </w:p>
        </w:tc>
        <w:tc>
          <w:tcPr>
            <w:tcW w:w="1170" w:type="dxa"/>
            <w:tcBorders>
              <w:top w:val="single" w:sz="2" w:space="0" w:color="auto"/>
              <w:left w:val="nil"/>
              <w:bottom w:val="single" w:sz="2" w:space="0" w:color="auto"/>
              <w:right w:val="single" w:sz="2"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859,425</w:t>
            </w:r>
          </w:p>
        </w:tc>
        <w:tc>
          <w:tcPr>
            <w:tcW w:w="1170" w:type="dxa"/>
            <w:tcBorders>
              <w:top w:val="single" w:sz="6" w:space="0" w:color="auto"/>
              <w:left w:val="nil"/>
              <w:righ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122,776</w:t>
            </w:r>
          </w:p>
        </w:tc>
        <w:tc>
          <w:tcPr>
            <w:tcW w:w="99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122,775</w:t>
            </w:r>
          </w:p>
        </w:tc>
        <w:tc>
          <w:tcPr>
            <w:tcW w:w="1170" w:type="dxa"/>
            <w:tcBorders>
              <w:top w:val="single" w:sz="2" w:space="0" w:color="auto"/>
              <w:left w:val="single" w:sz="2" w:space="0" w:color="auto"/>
              <w:bottom w:val="single" w:sz="2" w:space="0" w:color="auto"/>
              <w:right w:val="double" w:sz="2"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r>
              <w:rPr>
                <w:szCs w:val="22"/>
              </w:rPr>
              <w:t>859,425</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C0661D">
              <w:rPr>
                <w:b/>
                <w:szCs w:val="22"/>
              </w:rPr>
              <w:t>*****</w:t>
            </w:r>
            <w:r w:rsidRPr="00C0661D">
              <w:rPr>
                <w:b/>
                <w:szCs w:val="22"/>
              </w:rPr>
              <w:t>*  Total</w:t>
            </w:r>
            <w:r w:rsidRPr="00C0661D">
              <w:rPr>
                <w:b/>
                <w:szCs w:val="22"/>
              </w:rPr>
              <w:t xml:space="preserve"> Estimated Revenue to be Collected</w:t>
            </w:r>
          </w:p>
        </w:tc>
        <w:tc>
          <w:tcPr>
            <w:tcW w:w="162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450" w:type="dxa"/>
            <w:tcBorders>
              <w:top w:val="single" w:sz="6" w:space="0" w:color="auto"/>
              <w:left w:val="single" w:sz="6" w:space="0" w:color="auto"/>
            </w:tcBorders>
          </w:tcPr>
          <w:p w:rsidR="00F81229" w:rsidRPr="0067355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szCs w:val="22"/>
              </w:rPr>
            </w:pPr>
          </w:p>
        </w:tc>
        <w:tc>
          <w:tcPr>
            <w:tcW w:w="1260" w:type="dxa"/>
            <w:tcBorders>
              <w:top w:val="single" w:sz="2" w:space="0" w:color="auto"/>
              <w:left w:val="sing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358,670,986</w:t>
            </w:r>
          </w:p>
        </w:tc>
        <w:tc>
          <w:tcPr>
            <w:tcW w:w="1170" w:type="dxa"/>
            <w:tcBorders>
              <w:top w:val="single" w:sz="2" w:space="0" w:color="auto"/>
              <w:left w:val="single" w:sz="6" w:space="0" w:color="auto"/>
              <w:bottom w:val="single" w:sz="2" w:space="0" w:color="auto"/>
            </w:tcBorders>
          </w:tcPr>
          <w:p w:rsidR="00F81229"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p w:rsidR="00832BB5"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324,323,753</w:t>
            </w:r>
          </w:p>
        </w:tc>
        <w:tc>
          <w:tcPr>
            <w:tcW w:w="1170" w:type="dxa"/>
            <w:tcBorders>
              <w:top w:val="single" w:sz="6" w:space="0" w:color="auto"/>
              <w:left w:val="single" w:sz="6" w:space="0" w:color="auto"/>
              <w:right w:val="sing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6" w:space="0" w:color="auto"/>
              <w:bottom w:val="single" w:sz="2" w:space="0" w:color="auto"/>
              <w:right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324,365,671</w:t>
            </w:r>
          </w:p>
        </w:tc>
      </w:tr>
      <w:tr w:rsidTr="00B62B5F">
        <w:tblPrEx>
          <w:tblW w:w="9990" w:type="dxa"/>
          <w:tblInd w:w="-203" w:type="dxa"/>
          <w:tblLayout w:type="fixed"/>
          <w:tblCellMar>
            <w:left w:w="30" w:type="dxa"/>
            <w:right w:w="30" w:type="dxa"/>
          </w:tblCellMar>
          <w:tblLook w:val="0000"/>
        </w:tblPrEx>
        <w:tc>
          <w:tcPr>
            <w:tcW w:w="2160" w:type="dxa"/>
            <w:tcBorders>
              <w:top w:val="single" w:sz="6" w:space="0" w:color="auto"/>
              <w:left w:val="doub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C0661D">
              <w:rPr>
                <w:b/>
                <w:szCs w:val="22"/>
              </w:rPr>
              <w:t>*****</w:t>
            </w:r>
            <w:r w:rsidRPr="00C0661D">
              <w:rPr>
                <w:b/>
                <w:szCs w:val="22"/>
              </w:rPr>
              <w:t>*  Total</w:t>
            </w:r>
            <w:r w:rsidRPr="00C0661D">
              <w:rPr>
                <w:b/>
                <w:szCs w:val="22"/>
              </w:rPr>
              <w:t xml:space="preserve"> Revenue Requirement</w:t>
            </w:r>
          </w:p>
        </w:tc>
        <w:tc>
          <w:tcPr>
            <w:tcW w:w="1620" w:type="dxa"/>
            <w:tcBorders>
              <w:top w:val="sing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sing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sing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356,710,992</w:t>
            </w:r>
          </w:p>
        </w:tc>
        <w:tc>
          <w:tcPr>
            <w:tcW w:w="1170" w:type="dxa"/>
            <w:tcBorders>
              <w:top w:val="single" w:sz="2" w:space="0" w:color="auto"/>
              <w:left w:val="single" w:sz="2" w:space="0" w:color="auto"/>
              <w:bottom w:val="double" w:sz="6" w:space="0" w:color="auto"/>
              <w:right w:val="single" w:sz="2"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322,035,000</w:t>
            </w:r>
          </w:p>
        </w:tc>
        <w:tc>
          <w:tcPr>
            <w:tcW w:w="1170" w:type="dxa"/>
            <w:tcBorders>
              <w:top w:val="single" w:sz="6" w:space="0" w:color="auto"/>
              <w:left w:val="nil"/>
              <w:bottom w:val="double" w:sz="6" w:space="0" w:color="auto"/>
              <w:right w:val="sing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sing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single" w:sz="2" w:space="0" w:color="auto"/>
              <w:left w:val="single" w:sz="2" w:space="0" w:color="auto"/>
              <w:bottom w:val="double" w:sz="6" w:space="0" w:color="auto"/>
              <w:right w:val="double" w:sz="2"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322,035,000</w:t>
            </w:r>
          </w:p>
        </w:tc>
      </w:tr>
      <w:tr w:rsidTr="00B62B5F">
        <w:tblPrEx>
          <w:tblW w:w="9990" w:type="dxa"/>
          <w:tblInd w:w="-203" w:type="dxa"/>
          <w:tblLayout w:type="fixed"/>
          <w:tblCellMar>
            <w:left w:w="30" w:type="dxa"/>
            <w:right w:w="30" w:type="dxa"/>
          </w:tblCellMar>
          <w:tblLook w:val="0000"/>
        </w:tblPrEx>
        <w:tc>
          <w:tcPr>
            <w:tcW w:w="2160" w:type="dxa"/>
            <w:tcBorders>
              <w:top w:val="double" w:sz="6" w:space="0" w:color="auto"/>
              <w:left w:val="doub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rPr>
                <w:b/>
                <w:szCs w:val="22"/>
              </w:rPr>
            </w:pPr>
            <w:r w:rsidRPr="00C0661D">
              <w:rPr>
                <w:b/>
                <w:szCs w:val="22"/>
              </w:rPr>
              <w:t xml:space="preserve">                   Difference</w:t>
            </w:r>
          </w:p>
        </w:tc>
        <w:tc>
          <w:tcPr>
            <w:tcW w:w="1620" w:type="dxa"/>
            <w:tcBorders>
              <w:top w:val="doub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450" w:type="dxa"/>
            <w:tcBorders>
              <w:top w:val="doub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260" w:type="dxa"/>
            <w:tcBorders>
              <w:top w:val="doub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sidRPr="00C0661D">
              <w:rPr>
                <w:b/>
                <w:szCs w:val="22"/>
              </w:rPr>
              <w:t>1,959,994</w:t>
            </w:r>
          </w:p>
        </w:tc>
        <w:tc>
          <w:tcPr>
            <w:tcW w:w="1170" w:type="dxa"/>
            <w:tcBorders>
              <w:top w:val="doub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2,288,753</w:t>
            </w:r>
          </w:p>
        </w:tc>
        <w:tc>
          <w:tcPr>
            <w:tcW w:w="1170" w:type="dxa"/>
            <w:tcBorders>
              <w:top w:val="double" w:sz="6" w:space="0" w:color="auto"/>
              <w:left w:val="single" w:sz="6" w:space="0" w:color="auto"/>
              <w:bottom w:val="double" w:sz="6" w:space="0" w:color="auto"/>
              <w:right w:val="sing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990" w:type="dxa"/>
            <w:tcBorders>
              <w:top w:val="double" w:sz="6" w:space="0" w:color="auto"/>
              <w:left w:val="single" w:sz="6" w:space="0" w:color="auto"/>
              <w:bottom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p>
        </w:tc>
        <w:tc>
          <w:tcPr>
            <w:tcW w:w="1170" w:type="dxa"/>
            <w:tcBorders>
              <w:top w:val="double" w:sz="6" w:space="0" w:color="auto"/>
              <w:left w:val="single" w:sz="6" w:space="0" w:color="auto"/>
              <w:bottom w:val="double" w:sz="6" w:space="0" w:color="auto"/>
              <w:right w:val="double" w:sz="6" w:space="0" w:color="auto"/>
            </w:tcBorders>
          </w:tcPr>
          <w:p w:rsidR="00F81229" w:rsidRPr="00C0661D" w:rsidP="00B62B5F">
            <w:pPr>
              <w:tabs>
                <w:tab w:val="left" w:pos="-1440"/>
                <w:tab w:val="left" w:pos="-720"/>
                <w:tab w:val="left" w:pos="0"/>
                <w:tab w:val="left" w:pos="720"/>
                <w:tab w:val="left" w:pos="1440"/>
                <w:tab w:val="left" w:pos="2160"/>
                <w:tab w:val="left" w:pos="2880"/>
                <w:tab w:val="left" w:pos="3600"/>
                <w:tab w:val="left" w:pos="4680"/>
                <w:tab w:val="left" w:pos="5040"/>
              </w:tabs>
              <w:suppressAutoHyphens/>
              <w:spacing w:after="48"/>
              <w:jc w:val="right"/>
              <w:rPr>
                <w:b/>
                <w:szCs w:val="22"/>
              </w:rPr>
            </w:pPr>
            <w:r>
              <w:rPr>
                <w:b/>
                <w:szCs w:val="22"/>
              </w:rPr>
              <w:t>2,330,671</w:t>
            </w:r>
          </w:p>
        </w:tc>
      </w:tr>
    </w:tbl>
    <w:p w:rsidR="00F81229" w:rsidRPr="00CF5E5C" w:rsidP="00CF5E5C">
      <w:pPr>
        <w:tabs>
          <w:tab w:val="left" w:pos="3629"/>
        </w:tabs>
        <w:jc w:val="center"/>
        <w:rPr>
          <w:b/>
        </w:rPr>
      </w:pPr>
    </w:p>
    <w:p w:rsidR="007A7AF2" w:rsidP="00E76ED4">
      <w:pPr>
        <w:widowControl/>
        <w:rPr>
          <w:szCs w:val="22"/>
          <w:u w:val="single"/>
        </w:rPr>
      </w:pPr>
    </w:p>
    <w:p w:rsidR="007A7AF2" w:rsidP="00E76ED4">
      <w:pPr>
        <w:widowControl/>
        <w:rPr>
          <w:szCs w:val="22"/>
          <w:u w:val="single"/>
        </w:rPr>
      </w:pPr>
    </w:p>
    <w:p w:rsidR="003D4368" w:rsidP="00E76ED4">
      <w:pPr>
        <w:widowControl/>
        <w:rPr>
          <w:szCs w:val="22"/>
          <w:u w:val="single"/>
        </w:rPr>
      </w:pPr>
    </w:p>
    <w:p w:rsidR="00E76ED4" w:rsidP="00E76ED4">
      <w:pPr>
        <w:widowControl/>
        <w:rPr>
          <w:szCs w:val="22"/>
          <w:u w:val="single"/>
        </w:rPr>
      </w:pPr>
      <w:r w:rsidRPr="0067355D">
        <w:rPr>
          <w:szCs w:val="22"/>
          <w:u w:val="single"/>
        </w:rPr>
        <w:t xml:space="preserve">Notes on Appendix </w:t>
      </w:r>
      <w:r w:rsidR="00C7310B">
        <w:rPr>
          <w:szCs w:val="22"/>
          <w:u w:val="single"/>
        </w:rPr>
        <w:t>B</w:t>
      </w:r>
    </w:p>
    <w:p w:rsidR="003A7E7C" w:rsidP="00E76ED4">
      <w:pPr>
        <w:widowControl/>
        <w:rPr>
          <w:szCs w:val="22"/>
        </w:rPr>
      </w:pPr>
    </w:p>
    <w:p w:rsidR="003A7E7C" w:rsidP="00E76ED4">
      <w:pPr>
        <w:widowControl/>
        <w:rPr>
          <w:szCs w:val="22"/>
        </w:rPr>
      </w:pPr>
      <w:r w:rsidRPr="0067355D">
        <w:rPr>
          <w:szCs w:val="22"/>
          <w:vertAlign w:val="superscript"/>
        </w:rPr>
        <w:t>1</w:t>
      </w:r>
      <w:r w:rsidRPr="0067355D">
        <w:rPr>
          <w:szCs w:val="22"/>
        </w:rPr>
        <w:t xml:space="preserve"> The fee amounts listed in the column entitled “Rounded New FY 2018 Regulatory Fee” constitute a weighted average broadcast regulatory fee by class of service.  The actual FY 2018 regulatory fees for AM/FM radio station are listed on a grid located at the end of Appendix </w:t>
      </w:r>
      <w:r>
        <w:rPr>
          <w:szCs w:val="22"/>
        </w:rPr>
        <w:t>B</w:t>
      </w:r>
      <w:r w:rsidRPr="0067355D">
        <w:rPr>
          <w:szCs w:val="22"/>
        </w:rPr>
        <w:t>.</w:t>
      </w:r>
    </w:p>
    <w:p w:rsidR="003A7E7C" w:rsidRPr="003A7E7C" w:rsidP="00E76ED4">
      <w:pPr>
        <w:widowControl/>
        <w:rPr>
          <w:szCs w:val="22"/>
        </w:rPr>
      </w:pP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vertAlign w:val="superscript"/>
        </w:rPr>
      </w:pPr>
      <w:r>
        <w:rPr>
          <w:szCs w:val="22"/>
          <w:vertAlign w:val="superscript"/>
        </w:rPr>
        <w:t>2</w:t>
      </w:r>
      <w:r w:rsidRPr="0067355D">
        <w:rPr>
          <w:szCs w:val="22"/>
        </w:rPr>
        <w:t xml:space="preserve"> The AM and FM Construction Permit revenues and the Digital (VHF/UHF) Construction Permit revenues were adjusted, respectively, to set the regulatory fee to an amount no higher than the lowest licensed fee for that class of service.  Reductions in the Digital (VHF/UHF) Construction Permit revenues, and in the AM and FM Construction Permit revenues, were offset by increases in the revenue totals for Digital television stations by market size, and in the AM and FM radio stations by class size and population served, respectively. </w:t>
      </w: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3</w:t>
      </w:r>
      <w:r w:rsidRPr="0067355D">
        <w:rPr>
          <w:szCs w:val="22"/>
        </w:rPr>
        <w:t xml:space="preserve"> MDS/MMDS </w:t>
      </w:r>
      <w:r w:rsidRPr="0067355D">
        <w:rPr>
          <w:szCs w:val="22"/>
        </w:rPr>
        <w:t>category</w:t>
      </w:r>
      <w:r w:rsidRPr="0067355D">
        <w:rPr>
          <w:szCs w:val="22"/>
        </w:rPr>
        <w:t xml:space="preserve"> was renamed Broadband Radio Service (BRS).  </w:t>
      </w:r>
      <w:r w:rsidRPr="0067355D">
        <w:rPr>
          <w:i/>
          <w:szCs w:val="22"/>
        </w:rPr>
        <w:t xml:space="preserve"> See Amendment of Parts 1, 21, 73, 74 and 101 of the Commission’s Rules to Facilitate the Provision of Fixed and Mobile </w:t>
      </w:r>
      <w:r w:rsidRPr="0067355D">
        <w:rPr>
          <w:i/>
          <w:szCs w:val="22"/>
        </w:rPr>
        <w:t>Broadband  Access</w:t>
      </w:r>
      <w:r w:rsidRPr="0067355D">
        <w:rPr>
          <w:i/>
          <w:szCs w:val="22"/>
        </w:rPr>
        <w:t>, Educational and Other Advanced Services in the 2150-2162 and 2500-2690 MHz Bands</w:t>
      </w:r>
      <w:r w:rsidRPr="0067355D">
        <w:rPr>
          <w:szCs w:val="22"/>
        </w:rPr>
        <w:t>, Report &amp; Order and Further Notice of Proposed Rulemaking, 19 FCC Rcd 14165, 14169, para. 6 (2004).</w:t>
      </w: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Pr>
          <w:szCs w:val="22"/>
          <w:vertAlign w:val="superscript"/>
        </w:rPr>
        <w:t>4</w:t>
      </w:r>
      <w:r w:rsidRPr="0067355D">
        <w:rPr>
          <w:szCs w:val="22"/>
        </w:rPr>
        <w:t xml:space="preserve"> Th</w:t>
      </w:r>
      <w:r w:rsidR="00EA0C1D">
        <w:rPr>
          <w:szCs w:val="22"/>
        </w:rPr>
        <w:t xml:space="preserve">e chart at the end of Appendix </w:t>
      </w:r>
      <w:r w:rsidR="00C7310B">
        <w:rPr>
          <w:szCs w:val="22"/>
        </w:rPr>
        <w:t>C</w:t>
      </w:r>
      <w:r w:rsidRPr="0067355D">
        <w:rPr>
          <w:szCs w:val="22"/>
        </w:rPr>
        <w:t xml:space="preserve"> lists the submarine cable bearer circuit regulatory fees (common and non-common carrier basis) that resulted from the adoption of the </w:t>
      </w:r>
      <w:r w:rsidRPr="0067355D">
        <w:rPr>
          <w:i/>
          <w:szCs w:val="22"/>
        </w:rPr>
        <w:t xml:space="preserve">Assessment and Collection of Regulatory Fees for Fiscal Year 2008, </w:t>
      </w:r>
      <w:r w:rsidRPr="0067355D">
        <w:rPr>
          <w:szCs w:val="22"/>
        </w:rPr>
        <w:t xml:space="preserve">Report and Order and Further Notice of Proposed Rulemaking, 24 FCC Rcd 6388 (2008) and </w:t>
      </w:r>
      <w:r w:rsidRPr="0067355D">
        <w:rPr>
          <w:i/>
          <w:szCs w:val="22"/>
        </w:rPr>
        <w:t>Assessment and Collection of Regulatory Fees for Fiscal Year 2008</w:t>
      </w:r>
      <w:r w:rsidRPr="0067355D">
        <w:rPr>
          <w:szCs w:val="22"/>
        </w:rPr>
        <w:t>, Second Report and Order, 24 FCC Rcd 4208 (2009).</w:t>
      </w: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20"/>
        <w:rPr>
          <w:szCs w:val="22"/>
        </w:rPr>
      </w:pPr>
      <w:r w:rsidRPr="0067355D">
        <w:rPr>
          <w:szCs w:val="22"/>
        </w:rPr>
        <w:t xml:space="preserve">   </w:t>
      </w:r>
    </w:p>
    <w:p w:rsidR="003D4368">
      <w:pPr>
        <w:widowControl/>
        <w:rPr>
          <w:b/>
          <w:szCs w:val="22"/>
        </w:rPr>
      </w:pPr>
      <w:r>
        <w:rPr>
          <w:b/>
          <w:szCs w:val="22"/>
        </w:rPr>
        <w:br w:type="page"/>
      </w:r>
    </w:p>
    <w:p w:rsidR="00E76ED4" w:rsidRPr="0067355D" w:rsidP="00E76ED4">
      <w:pPr>
        <w:tabs>
          <w:tab w:val="left" w:pos="3629"/>
        </w:tabs>
        <w:jc w:val="center"/>
        <w:rPr>
          <w:b/>
          <w:szCs w:val="22"/>
        </w:rPr>
      </w:pPr>
      <w:r w:rsidRPr="0067355D">
        <w:rPr>
          <w:b/>
          <w:szCs w:val="22"/>
        </w:rPr>
        <w:t xml:space="preserve">APPENDIX </w:t>
      </w:r>
      <w:r w:rsidR="00C7310B">
        <w:rPr>
          <w:b/>
          <w:szCs w:val="22"/>
        </w:rPr>
        <w:t>C</w:t>
      </w:r>
      <w:r w:rsidRPr="0067355D">
        <w:rPr>
          <w:b/>
          <w:szCs w:val="22"/>
        </w:rPr>
        <w:t xml:space="preserve"> </w:t>
      </w:r>
    </w:p>
    <w:p w:rsidR="00E76ED4" w:rsidRPr="0067355D" w:rsidP="00E76ED4">
      <w:pPr>
        <w:tabs>
          <w:tab w:val="left" w:pos="3629"/>
        </w:tabs>
        <w:jc w:val="center"/>
        <w:rPr>
          <w:b/>
          <w:szCs w:val="22"/>
        </w:rPr>
      </w:pPr>
    </w:p>
    <w:p w:rsidR="00EA4E2E" w:rsidRPr="0067355D" w:rsidP="00E76ED4">
      <w:pPr>
        <w:tabs>
          <w:tab w:val="left" w:pos="3629"/>
        </w:tabs>
        <w:jc w:val="center"/>
        <w:rPr>
          <w:b/>
          <w:szCs w:val="22"/>
        </w:rPr>
      </w:pPr>
      <w:r w:rsidRPr="0067355D">
        <w:rPr>
          <w:b/>
          <w:szCs w:val="22"/>
        </w:rPr>
        <w:t>Regulatory Fees</w:t>
      </w:r>
      <w:r w:rsidRPr="0067355D">
        <w:rPr>
          <w:b/>
          <w:szCs w:val="22"/>
        </w:rPr>
        <w:t xml:space="preserve"> </w:t>
      </w:r>
    </w:p>
    <w:p w:rsidR="00E76ED4" w:rsidRPr="0067355D" w:rsidP="00E76ED4">
      <w:pPr>
        <w:tabs>
          <w:tab w:val="left" w:pos="3629"/>
        </w:tabs>
        <w:jc w:val="center"/>
        <w:rPr>
          <w:b/>
          <w:szCs w:val="22"/>
        </w:rPr>
      </w:pPr>
      <w:r w:rsidRPr="0067355D">
        <w:rPr>
          <w:b/>
          <w:szCs w:val="22"/>
        </w:rPr>
        <w:t>FY 2018</w:t>
      </w:r>
    </w:p>
    <w:p w:rsidR="00E76ED4" w:rsidRPr="0067355D" w:rsidP="00E76ED4">
      <w:pPr>
        <w:tabs>
          <w:tab w:val="left" w:pos="3629"/>
        </w:tabs>
        <w:jc w:val="center"/>
        <w:rPr>
          <w:b/>
          <w:szCs w:val="22"/>
        </w:rPr>
      </w:pPr>
    </w:p>
    <w:p w:rsidR="00E76ED4" w:rsidRPr="0067355D" w:rsidP="00E76ED4">
      <w:pPr>
        <w:tabs>
          <w:tab w:val="center" w:pos="5040"/>
        </w:tabs>
        <w:suppressAutoHyphens/>
        <w:outlineLvl w:val="0"/>
        <w:rPr>
          <w:szCs w:val="22"/>
        </w:rPr>
      </w:pPr>
      <w:bookmarkStart w:id="60" w:name="_Toc394672330"/>
      <w:r w:rsidRPr="0067355D">
        <w:rPr>
          <w:szCs w:val="22"/>
        </w:rPr>
        <w:t>Regulatory fees for the categories shaded in gray are collected by the Commission in advance to cover the term of the license and are submitted at the time the application is filed.</w:t>
      </w:r>
      <w:bookmarkEnd w:id="60"/>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ind w:left="1440" w:hanging="1440"/>
        <w:rPr>
          <w:szCs w:val="22"/>
        </w:rPr>
      </w:pPr>
      <w:r w:rsidRPr="0067355D">
        <w:rPr>
          <w:szCs w:val="22"/>
        </w:rPr>
        <w:tab/>
      </w:r>
      <w:r w:rsidRPr="0067355D">
        <w:rPr>
          <w:szCs w:val="22"/>
        </w:rPr>
        <w:tab/>
      </w:r>
      <w:r w:rsidRPr="0067355D">
        <w:rPr>
          <w:szCs w:val="22"/>
        </w:rPr>
        <w:tab/>
      </w:r>
    </w:p>
    <w:tbl>
      <w:tblPr>
        <w:tblW w:w="8550"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6840"/>
        <w:gridCol w:w="1710"/>
      </w:tblGrid>
      <w:tr w:rsidTr="0006562E">
        <w:tblPrEx>
          <w:tblW w:w="8550" w:type="dxa"/>
          <w:tblInd w:w="210" w:type="dxa"/>
          <w:tblBorders>
            <w:top w:val="single" w:sz="6"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rPr>
          <w:tblHeader/>
        </w:trPr>
        <w:tc>
          <w:tcPr>
            <w:tcW w:w="6840" w:type="dxa"/>
            <w:tcBorders>
              <w:top w:val="double" w:sz="4"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szCs w:val="22"/>
              </w:rPr>
            </w:pPr>
            <w:r>
              <w:rPr>
                <w:szCs w:val="22"/>
              </w:rPr>
              <w:fldChar w:fldCharType="begin"/>
            </w:r>
            <w:r w:rsidRPr="0067355D">
              <w:rPr>
                <w:szCs w:val="22"/>
              </w:rPr>
              <w:instrText xml:space="preserve">PRIVATE </w:instrText>
            </w:r>
            <w:r>
              <w:rPr>
                <w:szCs w:val="22"/>
              </w:rPr>
              <w:fldChar w:fldCharType="end"/>
            </w:r>
          </w:p>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zCs w:val="22"/>
              </w:rPr>
            </w:pPr>
            <w:r w:rsidRPr="0067355D">
              <w:rPr>
                <w:b/>
                <w:szCs w:val="22"/>
              </w:rPr>
              <w:t>Fee Category</w:t>
            </w:r>
          </w:p>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54"/>
              <w:rPr>
                <w:b/>
                <w:szCs w:val="22"/>
              </w:rPr>
            </w:pPr>
          </w:p>
        </w:tc>
        <w:tc>
          <w:tcPr>
            <w:tcW w:w="1710" w:type="dxa"/>
            <w:tcBorders>
              <w:top w:val="double" w:sz="4"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jc w:val="center"/>
              <w:rPr>
                <w:b/>
                <w:szCs w:val="22"/>
              </w:rPr>
            </w:pPr>
            <w:r w:rsidRPr="0067355D">
              <w:rPr>
                <w:b/>
                <w:szCs w:val="22"/>
              </w:rPr>
              <w:t>Annual Regulatory Fee</w:t>
            </w:r>
          </w:p>
          <w:p w:rsidR="00E76ED4" w:rsidRPr="0067355D" w:rsidP="001546A3">
            <w:pPr>
              <w:tabs>
                <w:tab w:val="center" w:pos="850"/>
              </w:tabs>
              <w:suppressAutoHyphens/>
              <w:spacing w:after="54"/>
              <w:jc w:val="center"/>
              <w:rPr>
                <w:b/>
                <w:szCs w:val="22"/>
              </w:rPr>
            </w:pPr>
            <w:r w:rsidRPr="0067355D">
              <w:rPr>
                <w:b/>
                <w:szCs w:val="22"/>
              </w:rPr>
              <w:t>(U.S. $'s)</w:t>
            </w:r>
          </w:p>
        </w:tc>
      </w:tr>
      <w:tr w:rsidTr="0006562E">
        <w:tblPrEx>
          <w:tblW w:w="8550" w:type="dxa"/>
          <w:tblInd w:w="210" w:type="dxa"/>
          <w:tblLayout w:type="fixed"/>
          <w:tblCellMar>
            <w:left w:w="120" w:type="dxa"/>
            <w:right w:w="120" w:type="dxa"/>
          </w:tblCellMar>
          <w:tblLook w:val="0000"/>
        </w:tblPrEx>
        <w:tc>
          <w:tcPr>
            <w:tcW w:w="6840" w:type="dxa"/>
            <w:tcBorders>
              <w:top w:val="single" w:sz="6" w:space="0" w:color="auto"/>
            </w:tcBorders>
            <w:shd w:val="clear" w:color="auto" w:fill="C0C0C0"/>
          </w:tcPr>
          <w:p w:rsidR="00E76ED4" w:rsidRPr="003C5186"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ind w:left="4680" w:hanging="4680"/>
              <w:rPr>
                <w:szCs w:val="22"/>
              </w:rPr>
            </w:pPr>
            <w:r w:rsidRPr="003C5186">
              <w:rPr>
                <w:szCs w:val="22"/>
              </w:rPr>
              <w:t>PLMRS (per license) (Exclusive Use) (47 CFR part 90)</w:t>
            </w:r>
          </w:p>
        </w:tc>
        <w:tc>
          <w:tcPr>
            <w:tcW w:w="1710" w:type="dxa"/>
            <w:tcBorders>
              <w:top w:val="single" w:sz="6" w:space="0" w:color="auto"/>
            </w:tcBorders>
            <w:shd w:val="clear" w:color="auto" w:fill="C0C0C0"/>
          </w:tcPr>
          <w:p w:rsidR="00E76ED4" w:rsidRPr="003C5186" w:rsidP="001546A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3C5186">
              <w:rPr>
                <w:szCs w:val="22"/>
              </w:rPr>
              <w:t>25</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 w:val="left" w:pos="0"/>
                <w:tab w:val="left" w:pos="720"/>
                <w:tab w:val="left" w:pos="1440"/>
                <w:tab w:val="left" w:pos="2160"/>
                <w:tab w:val="left" w:pos="2880"/>
                <w:tab w:val="right" w:pos="3461"/>
                <w:tab w:val="left" w:pos="3600"/>
              </w:tabs>
              <w:suppressAutoHyphens/>
              <w:spacing w:before="90" w:after="54"/>
              <w:ind w:left="4320" w:hanging="4320"/>
              <w:rPr>
                <w:szCs w:val="22"/>
              </w:rPr>
            </w:pPr>
            <w:r w:rsidRPr="003C5186">
              <w:rPr>
                <w:szCs w:val="22"/>
              </w:rPr>
              <w:t>Microwave (per license) (47 CFR part 101)</w:t>
            </w:r>
            <w:r w:rsidRPr="003C5186">
              <w:rPr>
                <w:szCs w:val="22"/>
              </w:rPr>
              <w:tab/>
            </w:r>
          </w:p>
        </w:tc>
        <w:tc>
          <w:tcPr>
            <w:tcW w:w="1710" w:type="dxa"/>
            <w:shd w:val="clear" w:color="auto" w:fill="C0C0C0"/>
          </w:tcPr>
          <w:p w:rsidR="00E76ED4" w:rsidRPr="003C5186" w:rsidP="001546A3">
            <w:pPr>
              <w:tabs>
                <w:tab w:val="left" w:pos="-1440"/>
                <w:tab w:val="left" w:pos="-720"/>
                <w:tab w:val="left" w:pos="0"/>
                <w:tab w:val="left" w:pos="720"/>
                <w:tab w:val="left" w:pos="1440"/>
                <w:tab w:val="left" w:pos="2160"/>
                <w:tab w:val="left" w:pos="2880"/>
                <w:tab w:val="right" w:pos="3461"/>
                <w:tab w:val="left" w:pos="3600"/>
              </w:tabs>
              <w:suppressAutoHyphens/>
              <w:spacing w:before="90" w:after="54"/>
              <w:jc w:val="center"/>
              <w:rPr>
                <w:szCs w:val="22"/>
              </w:rPr>
            </w:pPr>
            <w:r w:rsidRPr="003C5186">
              <w:rPr>
                <w:szCs w:val="22"/>
              </w:rPr>
              <w:t>25</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s>
              <w:suppressAutoHyphens/>
              <w:spacing w:before="90" w:after="54"/>
              <w:rPr>
                <w:szCs w:val="22"/>
              </w:rPr>
            </w:pPr>
            <w:r w:rsidRPr="003C5186">
              <w:rPr>
                <w:szCs w:val="22"/>
              </w:rPr>
              <w:t>Marine (Ship) (per station) (47 CFR part 80)</w:t>
            </w:r>
          </w:p>
        </w:tc>
        <w:tc>
          <w:tcPr>
            <w:tcW w:w="1710" w:type="dxa"/>
            <w:shd w:val="clear" w:color="auto" w:fill="C0C0C0"/>
          </w:tcPr>
          <w:p w:rsidR="00E76ED4" w:rsidRPr="003C5186" w:rsidP="001546A3">
            <w:pPr>
              <w:tabs>
                <w:tab w:val="left" w:pos="-1440"/>
                <w:tab w:val="left" w:pos="-720"/>
              </w:tabs>
              <w:suppressAutoHyphens/>
              <w:spacing w:before="90" w:after="54"/>
              <w:jc w:val="center"/>
              <w:rPr>
                <w:szCs w:val="22"/>
              </w:rPr>
            </w:pPr>
            <w:r w:rsidRPr="003C5186">
              <w:rPr>
                <w:szCs w:val="22"/>
              </w:rPr>
              <w:t>15</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s>
              <w:suppressAutoHyphens/>
              <w:spacing w:before="90" w:after="54"/>
              <w:rPr>
                <w:szCs w:val="22"/>
              </w:rPr>
            </w:pPr>
            <w:r w:rsidRPr="003C5186">
              <w:rPr>
                <w:szCs w:val="22"/>
              </w:rPr>
              <w:t>Marine (Coast) (per license) (47 CFR part 80)</w:t>
            </w:r>
          </w:p>
        </w:tc>
        <w:tc>
          <w:tcPr>
            <w:tcW w:w="1710" w:type="dxa"/>
            <w:shd w:val="clear" w:color="auto" w:fill="C0C0C0"/>
          </w:tcPr>
          <w:p w:rsidR="00E76ED4" w:rsidRPr="003C5186" w:rsidP="001546A3">
            <w:pPr>
              <w:tabs>
                <w:tab w:val="left" w:pos="-1440"/>
                <w:tab w:val="left" w:pos="-720"/>
              </w:tabs>
              <w:suppressAutoHyphens/>
              <w:spacing w:before="90" w:after="54"/>
              <w:jc w:val="center"/>
              <w:rPr>
                <w:szCs w:val="22"/>
              </w:rPr>
            </w:pPr>
            <w:r w:rsidRPr="003C5186">
              <w:rPr>
                <w:szCs w:val="22"/>
              </w:rPr>
              <w:t>40</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s>
              <w:suppressAutoHyphens/>
              <w:spacing w:before="90" w:after="54"/>
              <w:rPr>
                <w:szCs w:val="22"/>
              </w:rPr>
            </w:pPr>
            <w:r w:rsidRPr="003C5186">
              <w:rPr>
                <w:szCs w:val="22"/>
              </w:rPr>
              <w:t>Rural Radio (47 CFR part 22) (previously listed under the Land Mobile category)</w:t>
            </w:r>
          </w:p>
        </w:tc>
        <w:tc>
          <w:tcPr>
            <w:tcW w:w="1710" w:type="dxa"/>
            <w:shd w:val="clear" w:color="auto" w:fill="C0C0C0"/>
          </w:tcPr>
          <w:p w:rsidR="00E76ED4" w:rsidRPr="003C5186" w:rsidP="001546A3">
            <w:pPr>
              <w:tabs>
                <w:tab w:val="left" w:pos="-1440"/>
                <w:tab w:val="left" w:pos="-720"/>
              </w:tabs>
              <w:suppressAutoHyphens/>
              <w:spacing w:before="90" w:after="54"/>
              <w:jc w:val="center"/>
              <w:rPr>
                <w:szCs w:val="22"/>
              </w:rPr>
            </w:pPr>
            <w:r w:rsidRPr="003C5186">
              <w:rPr>
                <w:szCs w:val="22"/>
              </w:rPr>
              <w:t>10</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s>
              <w:suppressAutoHyphens/>
              <w:spacing w:before="90" w:after="54"/>
              <w:rPr>
                <w:szCs w:val="22"/>
              </w:rPr>
            </w:pPr>
            <w:r w:rsidRPr="003C5186">
              <w:rPr>
                <w:szCs w:val="22"/>
              </w:rPr>
              <w:t>PLMRS (Shared Use) (per license) (47 CFR part 90)</w:t>
            </w:r>
          </w:p>
        </w:tc>
        <w:tc>
          <w:tcPr>
            <w:tcW w:w="1710" w:type="dxa"/>
            <w:shd w:val="clear" w:color="auto" w:fill="C0C0C0"/>
          </w:tcPr>
          <w:p w:rsidR="00E76ED4" w:rsidRPr="003C5186" w:rsidP="001546A3">
            <w:pPr>
              <w:tabs>
                <w:tab w:val="left" w:pos="-1440"/>
                <w:tab w:val="left" w:pos="-720"/>
              </w:tabs>
              <w:suppressAutoHyphens/>
              <w:spacing w:before="90" w:after="54"/>
              <w:jc w:val="center"/>
              <w:rPr>
                <w:szCs w:val="22"/>
              </w:rPr>
            </w:pPr>
            <w:r w:rsidRPr="003C5186">
              <w:rPr>
                <w:szCs w:val="22"/>
              </w:rPr>
              <w:t>10</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3C5186">
              <w:rPr>
                <w:szCs w:val="22"/>
              </w:rPr>
              <w:t>Aviation (Aircraft) (per station) (47 CFR part 87)</w:t>
            </w:r>
            <w:r w:rsidRPr="003C5186">
              <w:rPr>
                <w:szCs w:val="22"/>
              </w:rPr>
              <w:tab/>
            </w:r>
            <w:r w:rsidRPr="003C5186">
              <w:rPr>
                <w:szCs w:val="22"/>
              </w:rPr>
              <w:tab/>
            </w:r>
            <w:r w:rsidRPr="003C5186">
              <w:rPr>
                <w:szCs w:val="22"/>
              </w:rPr>
              <w:tab/>
            </w:r>
          </w:p>
        </w:tc>
        <w:tc>
          <w:tcPr>
            <w:tcW w:w="1710" w:type="dxa"/>
            <w:shd w:val="clear" w:color="auto" w:fill="C0C0C0"/>
          </w:tcPr>
          <w:p w:rsidR="00E76ED4" w:rsidRPr="003C5186" w:rsidP="001546A3">
            <w:pPr>
              <w:tabs>
                <w:tab w:val="left" w:pos="-1440"/>
                <w:tab w:val="left" w:pos="-720"/>
              </w:tabs>
              <w:suppressAutoHyphens/>
              <w:spacing w:before="90" w:after="54"/>
              <w:jc w:val="center"/>
              <w:rPr>
                <w:szCs w:val="22"/>
              </w:rPr>
            </w:pPr>
            <w:r w:rsidRPr="003C5186">
              <w:rPr>
                <w:szCs w:val="22"/>
              </w:rPr>
              <w:t>10</w:t>
            </w:r>
          </w:p>
        </w:tc>
      </w:tr>
      <w:tr w:rsidTr="00E01A4B">
        <w:tblPrEx>
          <w:tblW w:w="8550" w:type="dxa"/>
          <w:tblInd w:w="210" w:type="dxa"/>
          <w:tblLayout w:type="fixed"/>
          <w:tblCellMar>
            <w:left w:w="120" w:type="dxa"/>
            <w:right w:w="120" w:type="dxa"/>
          </w:tblCellMar>
          <w:tblLook w:val="0000"/>
        </w:tblPrEx>
        <w:tc>
          <w:tcPr>
            <w:tcW w:w="6840" w:type="dxa"/>
            <w:shd w:val="clear" w:color="auto" w:fill="C0C0C0"/>
          </w:tcPr>
          <w:p w:rsidR="00E76ED4" w:rsidRPr="003C5186" w:rsidP="001546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3C5186">
              <w:rPr>
                <w:szCs w:val="22"/>
              </w:rPr>
              <w:t>Aviation (Ground) (per license) (47 CFR part 87)</w:t>
            </w:r>
            <w:r w:rsidRPr="003C5186">
              <w:rPr>
                <w:szCs w:val="22"/>
              </w:rPr>
              <w:tab/>
            </w:r>
          </w:p>
        </w:tc>
        <w:tc>
          <w:tcPr>
            <w:tcW w:w="1710" w:type="dxa"/>
            <w:shd w:val="clear" w:color="auto" w:fill="C0C0C0"/>
          </w:tcPr>
          <w:p w:rsidR="00E76ED4" w:rsidRPr="003C5186" w:rsidP="001546A3">
            <w:pPr>
              <w:tabs>
                <w:tab w:val="left" w:pos="-1440"/>
                <w:tab w:val="left" w:pos="-720"/>
              </w:tabs>
              <w:suppressAutoHyphens/>
              <w:spacing w:before="90" w:after="54"/>
              <w:jc w:val="center"/>
              <w:rPr>
                <w:szCs w:val="22"/>
              </w:rPr>
            </w:pPr>
            <w:r w:rsidRPr="003C5186">
              <w:rPr>
                <w:szCs w:val="22"/>
              </w:rPr>
              <w:t>20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CMRS Mobile/Cellular Services (per unit) (47 CFR parts 20, 22, 24, 27, 80 and 90)</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.20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CMRS Messaging Services (per unit) (47 CFR parts 20, 22, 24 and 90)</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.08</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Broadband Radio Service (formerly MMDS/ MDS) (per license) (47 CFR part 27)</w:t>
            </w:r>
          </w:p>
          <w:p w:rsidR="00E76ED4" w:rsidRPr="0067355D" w:rsidP="001546A3">
            <w:pPr>
              <w:tabs>
                <w:tab w:val="left" w:pos="-1440"/>
                <w:tab w:val="left" w:pos="-720"/>
              </w:tabs>
              <w:suppressAutoHyphens/>
              <w:spacing w:before="90" w:after="54"/>
              <w:rPr>
                <w:szCs w:val="22"/>
              </w:rPr>
            </w:pPr>
            <w:r w:rsidRPr="0067355D">
              <w:rPr>
                <w:szCs w:val="22"/>
              </w:rPr>
              <w:t>Local Multipoint Distribution Service (per call sign) (47 CFR, part 101)</w:t>
            </w:r>
          </w:p>
          <w:p w:rsidR="00E76ED4" w:rsidRPr="0067355D" w:rsidP="001546A3">
            <w:pPr>
              <w:tabs>
                <w:tab w:val="left" w:pos="-1440"/>
                <w:tab w:val="left" w:pos="-720"/>
              </w:tabs>
              <w:suppressAutoHyphens/>
              <w:spacing w:before="90" w:after="54"/>
              <w:rPr>
                <w:szCs w:val="22"/>
              </w:rPr>
            </w:pP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600</w:t>
            </w:r>
          </w:p>
          <w:p w:rsidR="00E76ED4" w:rsidRPr="0067355D" w:rsidP="001546A3">
            <w:pPr>
              <w:tabs>
                <w:tab w:val="left" w:pos="-1440"/>
                <w:tab w:val="left" w:pos="-720"/>
              </w:tabs>
              <w:suppressAutoHyphens/>
              <w:spacing w:before="90" w:after="54"/>
              <w:jc w:val="center"/>
              <w:rPr>
                <w:szCs w:val="22"/>
              </w:rPr>
            </w:pPr>
          </w:p>
          <w:p w:rsidR="00E76ED4" w:rsidRPr="0067355D" w:rsidP="001546A3">
            <w:pPr>
              <w:tabs>
                <w:tab w:val="left" w:pos="-1440"/>
                <w:tab w:val="left" w:pos="-720"/>
              </w:tabs>
              <w:suppressAutoHyphens/>
              <w:spacing w:before="90" w:after="54"/>
              <w:jc w:val="center"/>
              <w:rPr>
                <w:szCs w:val="22"/>
              </w:rPr>
            </w:pPr>
            <w:r w:rsidRPr="0067355D">
              <w:rPr>
                <w:szCs w:val="22"/>
              </w:rPr>
              <w:t>600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AM Radio Construction Permits</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550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FM Radio Construction Permits</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965</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Digital TV (47 CFR part 73) VHF and UHF Commercial</w:t>
            </w:r>
          </w:p>
        </w:tc>
        <w:tc>
          <w:tcPr>
            <w:tcW w:w="1710" w:type="dxa"/>
          </w:tcPr>
          <w:p w:rsidR="00E76ED4" w:rsidRPr="0067355D" w:rsidP="001546A3">
            <w:pPr>
              <w:tabs>
                <w:tab w:val="left" w:pos="-1440"/>
                <w:tab w:val="left" w:pos="-720"/>
              </w:tabs>
              <w:suppressAutoHyphens/>
              <w:spacing w:before="90" w:after="54"/>
              <w:jc w:val="right"/>
              <w:rPr>
                <w:szCs w:val="22"/>
              </w:rPr>
            </w:pP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 w:val="left" w:pos="720"/>
                <w:tab w:val="left" w:pos="1440"/>
              </w:tabs>
              <w:suppressAutoHyphens/>
              <w:spacing w:before="90" w:after="54"/>
              <w:ind w:left="2160" w:hanging="2160"/>
              <w:rPr>
                <w:szCs w:val="22"/>
              </w:rPr>
            </w:pPr>
            <w:r w:rsidRPr="0067355D">
              <w:rPr>
                <w:szCs w:val="22"/>
              </w:rPr>
              <w:tab/>
              <w:t>Markets 1-10</w:t>
            </w:r>
            <w:r w:rsidRPr="0067355D">
              <w:rPr>
                <w:szCs w:val="22"/>
              </w:rPr>
              <w:tab/>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49,750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s>
              <w:suppressAutoHyphens/>
              <w:spacing w:before="90" w:after="54"/>
              <w:ind w:left="720" w:hanging="720"/>
              <w:rPr>
                <w:szCs w:val="22"/>
              </w:rPr>
            </w:pPr>
            <w:r w:rsidRPr="0067355D">
              <w:rPr>
                <w:szCs w:val="22"/>
              </w:rPr>
              <w:tab/>
              <w:t>Markets 11-25</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37,450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s>
              <w:suppressAutoHyphens/>
              <w:spacing w:before="90" w:after="54"/>
              <w:ind w:left="720" w:hanging="720"/>
              <w:rPr>
                <w:szCs w:val="22"/>
              </w:rPr>
            </w:pPr>
            <w:r w:rsidRPr="0067355D">
              <w:rPr>
                <w:szCs w:val="22"/>
              </w:rPr>
              <w:tab/>
              <w:t>Markets 26-50</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25,025</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 w:val="left" w:pos="720"/>
                <w:tab w:val="left" w:pos="1440"/>
                <w:tab w:val="left" w:pos="2160"/>
              </w:tabs>
              <w:suppressAutoHyphens/>
              <w:spacing w:before="90" w:after="54"/>
              <w:ind w:left="2880" w:hanging="2880"/>
              <w:rPr>
                <w:szCs w:val="22"/>
              </w:rPr>
            </w:pPr>
            <w:r w:rsidRPr="0067355D">
              <w:rPr>
                <w:szCs w:val="22"/>
              </w:rPr>
              <w:tab/>
              <w:t>Markets 51-100</w:t>
            </w:r>
            <w:r w:rsidRPr="0067355D">
              <w:rPr>
                <w:szCs w:val="22"/>
              </w:rPr>
              <w:tab/>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12,475</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s>
              <w:suppressAutoHyphens/>
              <w:spacing w:before="90" w:after="54"/>
              <w:ind w:left="720" w:hanging="720"/>
              <w:rPr>
                <w:szCs w:val="22"/>
              </w:rPr>
            </w:pPr>
            <w:r w:rsidRPr="0067355D">
              <w:rPr>
                <w:szCs w:val="22"/>
              </w:rPr>
              <w:tab/>
              <w:t>Remaining Markets</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4,100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s>
              <w:suppressAutoHyphens/>
              <w:spacing w:before="90" w:after="54"/>
              <w:ind w:left="720" w:hanging="720"/>
              <w:rPr>
                <w:szCs w:val="22"/>
              </w:rPr>
            </w:pPr>
            <w:r w:rsidRPr="0067355D">
              <w:rPr>
                <w:szCs w:val="22"/>
              </w:rPr>
              <w:tab/>
              <w:t>Construction Permits</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4,100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 xml:space="preserve">Satellite Television </w:t>
            </w:r>
            <w:r w:rsidRPr="0067355D">
              <w:rPr>
                <w:szCs w:val="22"/>
              </w:rPr>
              <w:t>Stations  (</w:t>
            </w:r>
            <w:r w:rsidRPr="0067355D">
              <w:rPr>
                <w:szCs w:val="22"/>
              </w:rPr>
              <w:t xml:space="preserve">All Markets)   </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1,500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67355D">
              <w:rPr>
                <w:szCs w:val="22"/>
              </w:rPr>
              <w:t>Low Power TV, Class A TV, TV/FM Translators &amp; Boosters (47 CFR part 74)</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380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 w:val="left" w:pos="0"/>
                <w:tab w:val="left" w:pos="720"/>
                <w:tab w:val="left" w:pos="1440"/>
                <w:tab w:val="left" w:pos="2160"/>
                <w:tab w:val="left" w:pos="2880"/>
                <w:tab w:val="left" w:pos="3600"/>
              </w:tabs>
              <w:suppressAutoHyphens/>
              <w:spacing w:before="90" w:after="54"/>
              <w:ind w:left="4320" w:hanging="4320"/>
              <w:rPr>
                <w:szCs w:val="22"/>
              </w:rPr>
            </w:pPr>
            <w:r w:rsidRPr="0067355D">
              <w:rPr>
                <w:szCs w:val="22"/>
              </w:rPr>
              <w:t>CARS (47 CFR part 78)</w:t>
            </w:r>
            <w:r w:rsidRPr="0067355D">
              <w:rPr>
                <w:szCs w:val="22"/>
              </w:rPr>
              <w:tab/>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1,075</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Cable Television Systems (per subscriber) (47 CFR part 76), Including IPTV</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.77</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Direct Broadcast Service (DBS) (per subscriber) (as defined by section 602(13) of the Act)</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.48</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Interstate Telecommunication Service Providers (per revenue dollar)</w:t>
            </w:r>
          </w:p>
        </w:tc>
        <w:tc>
          <w:tcPr>
            <w:tcW w:w="1710" w:type="dxa"/>
          </w:tcPr>
          <w:p w:rsidR="00E76ED4" w:rsidRPr="0067355D" w:rsidP="001546A3">
            <w:pPr>
              <w:tabs>
                <w:tab w:val="left" w:pos="-1440"/>
                <w:tab w:val="left" w:pos="-720"/>
              </w:tabs>
              <w:suppressAutoHyphens/>
              <w:spacing w:before="90" w:after="54"/>
              <w:jc w:val="center"/>
              <w:rPr>
                <w:szCs w:val="22"/>
              </w:rPr>
            </w:pPr>
            <w:r>
              <w:rPr>
                <w:szCs w:val="22"/>
              </w:rPr>
              <w:t>.00291</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Toll Free (per toll free subscriber) (47 C.F.R. section 52.101 (f) of the rules)</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.10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Earth Stations (47 CFR part 25)</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325</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Space Stations (per operational station in geostationary orbit) (47 CFR part 25) also includes DBS Service (per operational station) (47 CFR part 100)</w:t>
            </w:r>
          </w:p>
        </w:tc>
        <w:tc>
          <w:tcPr>
            <w:tcW w:w="1710" w:type="dxa"/>
          </w:tcPr>
          <w:p w:rsidR="00E76ED4" w:rsidRPr="0067355D" w:rsidP="001546A3">
            <w:pPr>
              <w:tabs>
                <w:tab w:val="left" w:pos="-1440"/>
                <w:tab w:val="left" w:pos="-720"/>
              </w:tabs>
              <w:suppressAutoHyphens/>
              <w:spacing w:before="90"/>
              <w:jc w:val="center"/>
              <w:rPr>
                <w:szCs w:val="22"/>
              </w:rPr>
            </w:pPr>
          </w:p>
          <w:p w:rsidR="00E76ED4" w:rsidRPr="0067355D" w:rsidP="001546A3">
            <w:pPr>
              <w:tabs>
                <w:tab w:val="left" w:pos="-1440"/>
                <w:tab w:val="left" w:pos="-720"/>
              </w:tabs>
              <w:suppressAutoHyphens/>
              <w:spacing w:after="54"/>
              <w:jc w:val="center"/>
              <w:rPr>
                <w:szCs w:val="22"/>
              </w:rPr>
            </w:pPr>
            <w:r w:rsidRPr="0067355D">
              <w:rPr>
                <w:szCs w:val="22"/>
              </w:rPr>
              <w:t>127,850</w:t>
            </w:r>
          </w:p>
        </w:tc>
      </w:tr>
      <w:tr w:rsidTr="00E01A4B">
        <w:tblPrEx>
          <w:tblW w:w="8550" w:type="dxa"/>
          <w:tblInd w:w="210" w:type="dxa"/>
          <w:tblLayout w:type="fixed"/>
          <w:tblCellMar>
            <w:left w:w="120" w:type="dxa"/>
            <w:right w:w="120" w:type="dxa"/>
          </w:tblCellMar>
          <w:tblLook w:val="0000"/>
        </w:tblPrEx>
        <w:tc>
          <w:tcPr>
            <w:tcW w:w="6840" w:type="dxa"/>
          </w:tcPr>
          <w:p w:rsidR="00E76ED4" w:rsidRPr="0067355D" w:rsidP="001546A3">
            <w:pPr>
              <w:tabs>
                <w:tab w:val="left" w:pos="-1440"/>
                <w:tab w:val="left" w:pos="-720"/>
              </w:tabs>
              <w:suppressAutoHyphens/>
              <w:spacing w:before="90" w:after="54"/>
              <w:rPr>
                <w:szCs w:val="22"/>
              </w:rPr>
            </w:pPr>
            <w:r w:rsidRPr="0067355D">
              <w:rPr>
                <w:szCs w:val="22"/>
              </w:rPr>
              <w:t>Space Stations (per operational system in non-geostationary orbit) (47 CFR part 25)</w:t>
            </w:r>
          </w:p>
        </w:tc>
        <w:tc>
          <w:tcPr>
            <w:tcW w:w="1710" w:type="dxa"/>
          </w:tcPr>
          <w:p w:rsidR="00E76ED4" w:rsidRPr="0067355D" w:rsidP="001546A3">
            <w:pPr>
              <w:tabs>
                <w:tab w:val="left" w:pos="-1440"/>
                <w:tab w:val="left" w:pos="-720"/>
              </w:tabs>
              <w:suppressAutoHyphens/>
              <w:spacing w:before="90" w:after="54"/>
              <w:jc w:val="center"/>
              <w:rPr>
                <w:szCs w:val="22"/>
              </w:rPr>
            </w:pPr>
            <w:r w:rsidRPr="0067355D">
              <w:rPr>
                <w:szCs w:val="22"/>
              </w:rPr>
              <w:t>122,775</w:t>
            </w:r>
          </w:p>
        </w:tc>
      </w:tr>
      <w:tr w:rsidTr="0006562E">
        <w:tblPrEx>
          <w:tblW w:w="8550" w:type="dxa"/>
          <w:tblInd w:w="210" w:type="dxa"/>
          <w:tblLayout w:type="fixed"/>
          <w:tblCellMar>
            <w:left w:w="120" w:type="dxa"/>
            <w:right w:w="120" w:type="dxa"/>
          </w:tblCellMar>
          <w:tblLook w:val="0000"/>
        </w:tblPrEx>
        <w:tc>
          <w:tcPr>
            <w:tcW w:w="6840" w:type="dxa"/>
            <w:tcBorders>
              <w:bottom w:val="single" w:sz="6" w:space="0" w:color="auto"/>
            </w:tcBorders>
          </w:tcPr>
          <w:p w:rsidR="00E76ED4" w:rsidP="001546A3">
            <w:pPr>
              <w:tabs>
                <w:tab w:val="left" w:pos="-1440"/>
                <w:tab w:val="left" w:pos="-720"/>
              </w:tabs>
              <w:suppressAutoHyphens/>
              <w:spacing w:before="90" w:after="54"/>
              <w:rPr>
                <w:szCs w:val="22"/>
              </w:rPr>
            </w:pPr>
          </w:p>
          <w:p w:rsidR="00C7310B" w:rsidRPr="0067355D" w:rsidP="001546A3">
            <w:pPr>
              <w:tabs>
                <w:tab w:val="left" w:pos="-1440"/>
                <w:tab w:val="left" w:pos="-720"/>
              </w:tabs>
              <w:suppressAutoHyphens/>
              <w:spacing w:before="90" w:after="54"/>
              <w:rPr>
                <w:szCs w:val="22"/>
              </w:rPr>
            </w:pPr>
            <w:r w:rsidRPr="00686D69">
              <w:t xml:space="preserve">International Bearer Circuits -  Terrestrial/Satellites (per </w:t>
            </w:r>
            <w:r>
              <w:t>Gbps</w:t>
            </w:r>
            <w:r w:rsidRPr="00686D69">
              <w:t xml:space="preserve"> circuit)</w:t>
            </w:r>
          </w:p>
        </w:tc>
        <w:tc>
          <w:tcPr>
            <w:tcW w:w="1710" w:type="dxa"/>
            <w:tcBorders>
              <w:bottom w:val="single" w:sz="6" w:space="0" w:color="auto"/>
            </w:tcBorders>
          </w:tcPr>
          <w:p w:rsidR="00E76ED4" w:rsidP="001546A3">
            <w:pPr>
              <w:tabs>
                <w:tab w:val="left" w:pos="-1440"/>
                <w:tab w:val="left" w:pos="-720"/>
              </w:tabs>
              <w:suppressAutoHyphens/>
              <w:spacing w:before="90" w:after="54"/>
              <w:jc w:val="center"/>
              <w:rPr>
                <w:szCs w:val="22"/>
              </w:rPr>
            </w:pPr>
            <w:r w:rsidRPr="0067355D">
              <w:rPr>
                <w:szCs w:val="22"/>
              </w:rPr>
              <w:t>.</w:t>
            </w:r>
          </w:p>
          <w:p w:rsidR="00C7310B" w:rsidRPr="0067355D" w:rsidP="001546A3">
            <w:pPr>
              <w:tabs>
                <w:tab w:val="left" w:pos="-1440"/>
                <w:tab w:val="left" w:pos="-720"/>
              </w:tabs>
              <w:suppressAutoHyphens/>
              <w:spacing w:before="90" w:after="54"/>
              <w:jc w:val="center"/>
              <w:rPr>
                <w:szCs w:val="22"/>
              </w:rPr>
            </w:pPr>
            <w:r>
              <w:rPr>
                <w:szCs w:val="22"/>
              </w:rPr>
              <w:t>176</w:t>
            </w:r>
          </w:p>
        </w:tc>
      </w:tr>
      <w:tr w:rsidTr="0006562E">
        <w:tblPrEx>
          <w:tblW w:w="8550" w:type="dxa"/>
          <w:tblInd w:w="210" w:type="dxa"/>
          <w:tblLayout w:type="fixed"/>
          <w:tblCellMar>
            <w:left w:w="120" w:type="dxa"/>
            <w:right w:w="120" w:type="dxa"/>
          </w:tblCellMar>
          <w:tblLook w:val="0000"/>
        </w:tblPrEx>
        <w:tc>
          <w:tcPr>
            <w:tcW w:w="6840" w:type="dxa"/>
            <w:tcBorders>
              <w:bottom w:val="double" w:sz="4"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320"/>
                <w:tab w:val="left" w:pos="5040"/>
              </w:tabs>
              <w:suppressAutoHyphens/>
              <w:spacing w:before="90" w:after="54"/>
              <w:ind w:left="5760" w:hanging="5760"/>
              <w:rPr>
                <w:szCs w:val="22"/>
              </w:rPr>
            </w:pPr>
            <w:r w:rsidRPr="0067355D">
              <w:rPr>
                <w:szCs w:val="22"/>
              </w:rPr>
              <w:t xml:space="preserve">Submarine Cable Landing Licenses Fee (per cable system) </w:t>
            </w:r>
          </w:p>
        </w:tc>
        <w:tc>
          <w:tcPr>
            <w:tcW w:w="1710" w:type="dxa"/>
            <w:tcBorders>
              <w:bottom w:val="double" w:sz="4" w:space="0" w:color="auto"/>
            </w:tcBorders>
          </w:tcPr>
          <w:p w:rsidR="00E76ED4" w:rsidRPr="0067355D" w:rsidP="001546A3">
            <w:pPr>
              <w:tabs>
                <w:tab w:val="left" w:pos="-1440"/>
                <w:tab w:val="left" w:pos="-720"/>
              </w:tabs>
              <w:suppressAutoHyphens/>
              <w:spacing w:before="90" w:after="54"/>
              <w:jc w:val="center"/>
              <w:rPr>
                <w:szCs w:val="22"/>
              </w:rPr>
            </w:pPr>
            <w:r w:rsidRPr="0067355D">
              <w:rPr>
                <w:szCs w:val="22"/>
              </w:rPr>
              <w:t>See Table Below</w:t>
            </w:r>
          </w:p>
        </w:tc>
      </w:tr>
    </w:tbl>
    <w:p w:rsidR="002720D8"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2720D8">
      <w:pPr>
        <w:widowControl/>
        <w:rPr>
          <w:b/>
          <w:szCs w:val="22"/>
        </w:rPr>
      </w:pPr>
      <w:r>
        <w:rPr>
          <w:b/>
          <w:szCs w:val="22"/>
        </w:rPr>
        <w:br w:type="page"/>
      </w: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outlineLvl w:val="0"/>
        <w:rPr>
          <w:b/>
          <w:szCs w:val="22"/>
        </w:rPr>
      </w:pP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ind w:left="450"/>
        <w:rPr>
          <w:b/>
          <w:szCs w:val="22"/>
        </w:rPr>
      </w:pP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rsidTr="001546A3">
        <w:tblPrEx>
          <w:tblW w:w="8550" w:type="dxa"/>
          <w:tblInd w:w="152" w:type="dxa"/>
          <w:tblLayout w:type="fixed"/>
          <w:tblCellMar>
            <w:left w:w="62" w:type="dxa"/>
            <w:right w:w="62" w:type="dxa"/>
          </w:tblCellMar>
          <w:tblLook w:val="0000"/>
        </w:tblPrEx>
        <w:tc>
          <w:tcPr>
            <w:tcW w:w="8550" w:type="dxa"/>
            <w:gridSpan w:val="7"/>
            <w:tcBorders>
              <w:top w:val="double" w:sz="6" w:space="0" w:color="auto"/>
              <w:left w:val="doub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 xml:space="preserve">FY 2018 </w:t>
            </w:r>
            <w:r>
              <w:rPr>
                <w:b/>
                <w:szCs w:val="22"/>
              </w:rPr>
              <w:fldChar w:fldCharType="begin"/>
            </w:r>
            <w:r w:rsidRPr="0067355D">
              <w:rPr>
                <w:b/>
                <w:szCs w:val="22"/>
              </w:rPr>
              <w:instrText xml:space="preserve">PRIVATE </w:instrText>
            </w:r>
            <w:r>
              <w:rPr>
                <w:b/>
                <w:szCs w:val="22"/>
              </w:rPr>
              <w:fldChar w:fldCharType="end"/>
            </w:r>
            <w:r w:rsidRPr="0067355D">
              <w:rPr>
                <w:b/>
                <w:szCs w:val="22"/>
              </w:rPr>
              <w:t>RADIO STATION REGULATORY FEES</w:t>
            </w:r>
          </w:p>
        </w:tc>
      </w:tr>
      <w:tr w:rsidTr="001546A3">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rPr>
            </w:pPr>
            <w:r w:rsidRPr="0067355D">
              <w:rPr>
                <w:b/>
                <w:szCs w:val="22"/>
              </w:rPr>
              <w:t xml:space="preserve">Population </w:t>
            </w:r>
          </w:p>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rPr>
            </w:pPr>
            <w:r w:rsidRPr="0067355D">
              <w:rPr>
                <w:b/>
                <w:szCs w:val="22"/>
              </w:rPr>
              <w:t>Served</w:t>
            </w:r>
          </w:p>
        </w:tc>
        <w:tc>
          <w:tcPr>
            <w:tcW w:w="108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A</w:t>
            </w:r>
          </w:p>
        </w:tc>
        <w:tc>
          <w:tcPr>
            <w:tcW w:w="99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B</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C</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center"/>
              <w:rPr>
                <w:b/>
                <w:szCs w:val="22"/>
              </w:rPr>
            </w:pPr>
            <w:r w:rsidRPr="0067355D">
              <w:rPr>
                <w:b/>
                <w:szCs w:val="22"/>
              </w:rPr>
              <w:t>AM Class D</w:t>
            </w:r>
          </w:p>
        </w:tc>
        <w:tc>
          <w:tcPr>
            <w:tcW w:w="144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lang w:val="pt-BR"/>
              </w:rPr>
            </w:pPr>
            <w:r w:rsidRPr="0067355D">
              <w:rPr>
                <w:b/>
                <w:szCs w:val="22"/>
                <w:lang w:val="pt-BR"/>
              </w:rPr>
              <w:t>FM Classes</w:t>
            </w:r>
          </w:p>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lang w:val="pt-BR"/>
              </w:rPr>
            </w:pPr>
            <w:r w:rsidRPr="0067355D">
              <w:rPr>
                <w:b/>
                <w:szCs w:val="22"/>
                <w:lang w:val="pt-BR"/>
              </w:rPr>
              <w:t>A, B1 &amp; C3</w:t>
            </w:r>
          </w:p>
        </w:tc>
        <w:tc>
          <w:tcPr>
            <w:tcW w:w="1350" w:type="dxa"/>
            <w:tcBorders>
              <w:top w:val="single" w:sz="6" w:space="0" w:color="auto"/>
              <w:left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jc w:val="center"/>
              <w:rPr>
                <w:b/>
                <w:szCs w:val="22"/>
                <w:lang w:val="pt-BR"/>
              </w:rPr>
            </w:pPr>
            <w:r w:rsidRPr="0067355D">
              <w:rPr>
                <w:b/>
                <w:szCs w:val="22"/>
                <w:lang w:val="pt-BR"/>
              </w:rPr>
              <w:t>FM Classes</w:t>
            </w:r>
          </w:p>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after="104"/>
              <w:jc w:val="center"/>
              <w:rPr>
                <w:b/>
                <w:szCs w:val="22"/>
                <w:lang w:val="pt-BR"/>
              </w:rPr>
            </w:pPr>
            <w:r w:rsidRPr="0067355D">
              <w:rPr>
                <w:b/>
                <w:szCs w:val="22"/>
                <w:lang w:val="pt-BR"/>
              </w:rPr>
              <w:t>B, C, C0, C1 &amp; C2</w:t>
            </w:r>
          </w:p>
        </w:tc>
      </w:tr>
      <w:tr w:rsidTr="001546A3">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&lt;=25,000</w:t>
            </w:r>
          </w:p>
        </w:tc>
        <w:tc>
          <w:tcPr>
            <w:tcW w:w="108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$880</w:t>
            </w:r>
          </w:p>
        </w:tc>
        <w:tc>
          <w:tcPr>
            <w:tcW w:w="99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$635</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$550</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$605</w:t>
            </w:r>
          </w:p>
        </w:tc>
        <w:tc>
          <w:tcPr>
            <w:tcW w:w="144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$965</w:t>
            </w:r>
          </w:p>
        </w:tc>
        <w:tc>
          <w:tcPr>
            <w:tcW w:w="1350" w:type="dxa"/>
            <w:tcBorders>
              <w:top w:val="single" w:sz="6" w:space="0" w:color="auto"/>
              <w:left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$1,100</w:t>
            </w:r>
          </w:p>
        </w:tc>
      </w:tr>
      <w:tr w:rsidTr="001546A3">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25,001 – 75,000</w:t>
            </w:r>
          </w:p>
        </w:tc>
        <w:tc>
          <w:tcPr>
            <w:tcW w:w="108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$1,325</w:t>
            </w:r>
          </w:p>
        </w:tc>
        <w:tc>
          <w:tcPr>
            <w:tcW w:w="99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$950</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$825</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$910</w:t>
            </w:r>
          </w:p>
        </w:tc>
        <w:tc>
          <w:tcPr>
            <w:tcW w:w="144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$1,450</w:t>
            </w:r>
          </w:p>
        </w:tc>
        <w:tc>
          <w:tcPr>
            <w:tcW w:w="1350" w:type="dxa"/>
            <w:tcBorders>
              <w:top w:val="single" w:sz="6" w:space="0" w:color="auto"/>
              <w:left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$1,650</w:t>
            </w:r>
          </w:p>
        </w:tc>
      </w:tr>
      <w:tr w:rsidTr="001546A3">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75,001 – 150,000</w:t>
            </w:r>
          </w:p>
        </w:tc>
        <w:tc>
          <w:tcPr>
            <w:tcW w:w="108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$1,975</w:t>
            </w:r>
          </w:p>
        </w:tc>
        <w:tc>
          <w:tcPr>
            <w:tcW w:w="99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$1,425</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$1,250</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$1,350</w:t>
            </w:r>
          </w:p>
        </w:tc>
        <w:tc>
          <w:tcPr>
            <w:tcW w:w="144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$2,175</w:t>
            </w:r>
          </w:p>
        </w:tc>
        <w:tc>
          <w:tcPr>
            <w:tcW w:w="1350" w:type="dxa"/>
            <w:tcBorders>
              <w:top w:val="single" w:sz="6" w:space="0" w:color="auto"/>
              <w:left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$2,475</w:t>
            </w:r>
          </w:p>
        </w:tc>
      </w:tr>
      <w:tr w:rsidTr="001546A3">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150,001 – 500,000</w:t>
            </w:r>
          </w:p>
        </w:tc>
        <w:tc>
          <w:tcPr>
            <w:tcW w:w="108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$2,975</w:t>
            </w:r>
          </w:p>
        </w:tc>
        <w:tc>
          <w:tcPr>
            <w:tcW w:w="99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$2,150</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$1,850</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$2,050</w:t>
            </w:r>
          </w:p>
        </w:tc>
        <w:tc>
          <w:tcPr>
            <w:tcW w:w="144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$3,250</w:t>
            </w:r>
          </w:p>
        </w:tc>
        <w:tc>
          <w:tcPr>
            <w:tcW w:w="1350" w:type="dxa"/>
            <w:tcBorders>
              <w:top w:val="single" w:sz="6" w:space="0" w:color="auto"/>
              <w:left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$3,725</w:t>
            </w:r>
          </w:p>
        </w:tc>
      </w:tr>
      <w:tr w:rsidTr="001546A3">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500,001 – 1,200,000</w:t>
            </w:r>
          </w:p>
        </w:tc>
        <w:tc>
          <w:tcPr>
            <w:tcW w:w="1080" w:type="dxa"/>
            <w:tcBorders>
              <w:top w:val="single" w:sz="6" w:space="0" w:color="auto"/>
              <w:left w:val="single" w:sz="6" w:space="0" w:color="auto"/>
            </w:tcBorders>
          </w:tcPr>
          <w:p w:rsidR="00E76ED4" w:rsidRPr="0067355D" w:rsidP="008247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w:t>
            </w:r>
            <w:r w:rsidRPr="0067355D" w:rsidR="008247A3">
              <w:rPr>
                <w:szCs w:val="22"/>
              </w:rPr>
              <w:t>4</w:t>
            </w:r>
            <w:r w:rsidRPr="0067355D">
              <w:rPr>
                <w:szCs w:val="22"/>
              </w:rPr>
              <w:t>,45</w:t>
            </w:r>
            <w:r w:rsidRPr="0067355D" w:rsidR="008247A3">
              <w:rPr>
                <w:szCs w:val="22"/>
              </w:rPr>
              <w:t>0</w:t>
            </w:r>
          </w:p>
        </w:tc>
        <w:tc>
          <w:tcPr>
            <w:tcW w:w="99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$3,225</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$2,775</w:t>
            </w:r>
          </w:p>
        </w:tc>
        <w:tc>
          <w:tcPr>
            <w:tcW w:w="90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$3,050</w:t>
            </w:r>
          </w:p>
        </w:tc>
        <w:tc>
          <w:tcPr>
            <w:tcW w:w="1440" w:type="dxa"/>
            <w:tcBorders>
              <w:top w:val="single" w:sz="6" w:space="0" w:color="auto"/>
              <w:left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$4,875</w:t>
            </w:r>
          </w:p>
        </w:tc>
        <w:tc>
          <w:tcPr>
            <w:tcW w:w="1350" w:type="dxa"/>
            <w:tcBorders>
              <w:top w:val="single" w:sz="6" w:space="0" w:color="auto"/>
              <w:left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$5,575</w:t>
            </w:r>
          </w:p>
        </w:tc>
      </w:tr>
      <w:tr w:rsidTr="001546A3">
        <w:tblPrEx>
          <w:tblW w:w="8550" w:type="dxa"/>
          <w:tblInd w:w="152" w:type="dxa"/>
          <w:tblLayout w:type="fixed"/>
          <w:tblCellMar>
            <w:left w:w="62" w:type="dxa"/>
            <w:right w:w="62" w:type="dxa"/>
          </w:tblCellMar>
          <w:tblLook w:val="0000"/>
        </w:tblPrEx>
        <w:trPr>
          <w:trHeight w:val="361"/>
        </w:trPr>
        <w:tc>
          <w:tcPr>
            <w:tcW w:w="1890" w:type="dxa"/>
            <w:tcBorders>
              <w:top w:val="single" w:sz="6" w:space="0" w:color="auto"/>
              <w:left w:val="doub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1,200,001 – 3,000,00</w:t>
            </w:r>
          </w:p>
        </w:tc>
        <w:tc>
          <w:tcPr>
            <w:tcW w:w="108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$6,700</w:t>
            </w:r>
          </w:p>
        </w:tc>
        <w:tc>
          <w:tcPr>
            <w:tcW w:w="99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$4,825</w:t>
            </w:r>
          </w:p>
        </w:tc>
        <w:tc>
          <w:tcPr>
            <w:tcW w:w="90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$4,175</w:t>
            </w:r>
          </w:p>
        </w:tc>
        <w:tc>
          <w:tcPr>
            <w:tcW w:w="90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$4,600</w:t>
            </w:r>
          </w:p>
        </w:tc>
        <w:tc>
          <w:tcPr>
            <w:tcW w:w="144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$7,325</w:t>
            </w:r>
          </w:p>
        </w:tc>
        <w:tc>
          <w:tcPr>
            <w:tcW w:w="1350" w:type="dxa"/>
            <w:tcBorders>
              <w:top w:val="single" w:sz="6" w:space="0" w:color="auto"/>
              <w:left w:val="single" w:sz="6" w:space="0" w:color="auto"/>
              <w:bottom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$8,350</w:t>
            </w:r>
          </w:p>
        </w:tc>
      </w:tr>
      <w:tr w:rsidTr="00F12879">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3,000,001 – 6,000,00</w:t>
            </w:r>
          </w:p>
        </w:tc>
        <w:tc>
          <w:tcPr>
            <w:tcW w:w="108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$10,025</w:t>
            </w:r>
          </w:p>
        </w:tc>
        <w:tc>
          <w:tcPr>
            <w:tcW w:w="99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$7,225</w:t>
            </w:r>
          </w:p>
        </w:tc>
        <w:tc>
          <w:tcPr>
            <w:tcW w:w="90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$6,275</w:t>
            </w:r>
          </w:p>
        </w:tc>
        <w:tc>
          <w:tcPr>
            <w:tcW w:w="90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$6,900</w:t>
            </w:r>
          </w:p>
        </w:tc>
        <w:tc>
          <w:tcPr>
            <w:tcW w:w="1440" w:type="dxa"/>
            <w:tcBorders>
              <w:top w:val="single" w:sz="6" w:space="0" w:color="auto"/>
              <w:left w:val="single" w:sz="6" w:space="0" w:color="auto"/>
              <w:bottom w:val="sing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$11,000</w:t>
            </w:r>
          </w:p>
        </w:tc>
        <w:tc>
          <w:tcPr>
            <w:tcW w:w="1350" w:type="dxa"/>
            <w:tcBorders>
              <w:top w:val="single" w:sz="6" w:space="0" w:color="auto"/>
              <w:left w:val="single" w:sz="6" w:space="0" w:color="auto"/>
              <w:bottom w:val="single" w:sz="6"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$12,525</w:t>
            </w:r>
          </w:p>
        </w:tc>
      </w:tr>
      <w:tr w:rsidTr="00F12879">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double" w:sz="4"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rPr>
                <w:b/>
                <w:szCs w:val="22"/>
              </w:rPr>
            </w:pPr>
            <w:r w:rsidRPr="0067355D">
              <w:rPr>
                <w:b/>
                <w:szCs w:val="22"/>
              </w:rPr>
              <w:t>&gt;6,000,000</w:t>
            </w:r>
          </w:p>
        </w:tc>
        <w:tc>
          <w:tcPr>
            <w:tcW w:w="1080" w:type="dxa"/>
            <w:tcBorders>
              <w:top w:val="single" w:sz="6" w:space="0" w:color="auto"/>
              <w:left w:val="single" w:sz="6" w:space="0" w:color="auto"/>
              <w:bottom w:val="double" w:sz="4"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$15,050</w:t>
            </w:r>
          </w:p>
        </w:tc>
        <w:tc>
          <w:tcPr>
            <w:tcW w:w="990" w:type="dxa"/>
            <w:tcBorders>
              <w:top w:val="single" w:sz="6" w:space="0" w:color="auto"/>
              <w:left w:val="single" w:sz="6" w:space="0" w:color="auto"/>
              <w:bottom w:val="double" w:sz="4"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$10,850</w:t>
            </w:r>
          </w:p>
        </w:tc>
        <w:tc>
          <w:tcPr>
            <w:tcW w:w="900" w:type="dxa"/>
            <w:tcBorders>
              <w:top w:val="single" w:sz="6" w:space="0" w:color="auto"/>
              <w:left w:val="single" w:sz="6" w:space="0" w:color="auto"/>
              <w:bottom w:val="double" w:sz="4"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$9,400</w:t>
            </w:r>
          </w:p>
        </w:tc>
        <w:tc>
          <w:tcPr>
            <w:tcW w:w="900" w:type="dxa"/>
            <w:tcBorders>
              <w:top w:val="single" w:sz="6" w:space="0" w:color="auto"/>
              <w:left w:val="single" w:sz="6" w:space="0" w:color="auto"/>
              <w:bottom w:val="double" w:sz="4" w:space="0" w:color="auto"/>
            </w:tcBorders>
          </w:tcPr>
          <w:p w:rsidR="00E76ED4" w:rsidRPr="0067355D" w:rsidP="003F7879">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$10,3</w:t>
            </w:r>
            <w:r w:rsidRPr="0067355D" w:rsidR="003F7879">
              <w:rPr>
                <w:szCs w:val="22"/>
              </w:rPr>
              <w:t>25</w:t>
            </w:r>
          </w:p>
        </w:tc>
        <w:tc>
          <w:tcPr>
            <w:tcW w:w="1440" w:type="dxa"/>
            <w:tcBorders>
              <w:top w:val="single" w:sz="6" w:space="0" w:color="auto"/>
              <w:left w:val="single" w:sz="6" w:space="0" w:color="auto"/>
              <w:bottom w:val="double" w:sz="4"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$16,500</w:t>
            </w:r>
          </w:p>
        </w:tc>
        <w:tc>
          <w:tcPr>
            <w:tcW w:w="1350" w:type="dxa"/>
            <w:tcBorders>
              <w:top w:val="single" w:sz="6" w:space="0" w:color="auto"/>
              <w:left w:val="single" w:sz="6" w:space="0" w:color="auto"/>
              <w:bottom w:val="double" w:sz="4" w:space="0" w:color="auto"/>
              <w:right w:val="double" w:sz="6" w:space="0" w:color="auto"/>
            </w:tcBorders>
          </w:tcPr>
          <w:p w:rsidR="00E76ED4" w:rsidRPr="0067355D"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42" w:after="104"/>
              <w:jc w:val="right"/>
              <w:rPr>
                <w:szCs w:val="22"/>
              </w:rPr>
            </w:pPr>
            <w:r w:rsidRPr="0067355D">
              <w:rPr>
                <w:szCs w:val="22"/>
              </w:rPr>
              <w:t>$18,800</w:t>
            </w:r>
          </w:p>
        </w:tc>
      </w:tr>
    </w:tbl>
    <w:p w:rsidR="00E76ED4" w:rsidRPr="0067355D" w:rsidP="00E76ED4">
      <w:pPr>
        <w:tabs>
          <w:tab w:val="right" w:pos="10080"/>
        </w:tabs>
        <w:suppressAutoHyphens/>
        <w:ind w:left="450"/>
        <w:jc w:val="center"/>
        <w:outlineLvl w:val="0"/>
        <w:rPr>
          <w:b/>
          <w:szCs w:val="22"/>
        </w:rPr>
      </w:pPr>
    </w:p>
    <w:p w:rsidR="00E76ED4" w:rsidRPr="0067355D" w:rsidP="00E76ED4">
      <w:pPr>
        <w:tabs>
          <w:tab w:val="right" w:pos="10080"/>
        </w:tabs>
        <w:suppressAutoHyphens/>
        <w:ind w:left="450"/>
        <w:jc w:val="center"/>
        <w:outlineLvl w:val="0"/>
        <w:rPr>
          <w:b/>
          <w:szCs w:val="22"/>
        </w:rPr>
      </w:pPr>
    </w:p>
    <w:p w:rsidR="00E76ED4" w:rsidRPr="0067355D" w:rsidP="00E76ED4">
      <w:pPr>
        <w:tabs>
          <w:tab w:val="right" w:pos="10080"/>
        </w:tabs>
        <w:suppressAutoHyphens/>
        <w:ind w:left="450"/>
        <w:jc w:val="center"/>
        <w:outlineLvl w:val="0"/>
        <w:rPr>
          <w:b/>
          <w:szCs w:val="22"/>
        </w:rPr>
      </w:pPr>
      <w:bookmarkStart w:id="61" w:name="_Toc394672333"/>
      <w:r>
        <w:rPr>
          <w:b/>
          <w:szCs w:val="22"/>
        </w:rPr>
        <w:t xml:space="preserve">FY 2018 </w:t>
      </w:r>
      <w:r w:rsidRPr="0067355D">
        <w:rPr>
          <w:b/>
          <w:szCs w:val="22"/>
        </w:rPr>
        <w:t>International Bearer Circuits - Submarine Cable</w:t>
      </w:r>
      <w:bookmarkEnd w:id="61"/>
      <w:r w:rsidR="00EA0C1D">
        <w:rPr>
          <w:b/>
          <w:szCs w:val="22"/>
        </w:rPr>
        <w:t xml:space="preserve"> Systems</w:t>
      </w:r>
    </w:p>
    <w:p w:rsidR="00E76ED4" w:rsidRPr="0067355D" w:rsidP="00E76ED4">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1546A3">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E76ED4" w:rsidRPr="006E1769"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6E1769">
              <w:rPr>
                <w:b/>
                <w:spacing w:val="-3"/>
                <w:szCs w:val="22"/>
              </w:rPr>
              <w:t>Submarine Cable Systems</w:t>
            </w:r>
          </w:p>
          <w:p w:rsidR="00E76ED4" w:rsidRPr="006E1769"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Cs w:val="22"/>
              </w:rPr>
            </w:pPr>
            <w:r w:rsidRPr="006E1769">
              <w:rPr>
                <w:b/>
                <w:szCs w:val="22"/>
              </w:rPr>
              <w:t>(capacity as of December 31, 2017)</w:t>
            </w:r>
          </w:p>
        </w:tc>
        <w:tc>
          <w:tcPr>
            <w:tcW w:w="3780" w:type="dxa"/>
          </w:tcPr>
          <w:p w:rsidR="00E76ED4" w:rsidRPr="006E1769"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Cs w:val="22"/>
              </w:rPr>
            </w:pPr>
            <w:r>
              <w:rPr>
                <w:b/>
                <w:spacing w:val="-3"/>
                <w:szCs w:val="22"/>
              </w:rPr>
              <w:t>F</w:t>
            </w:r>
            <w:r w:rsidRPr="006E1769">
              <w:rPr>
                <w:b/>
                <w:spacing w:val="-3"/>
                <w:szCs w:val="22"/>
              </w:rPr>
              <w:t>ee amount</w:t>
            </w:r>
            <w:r w:rsidR="00CE7D05">
              <w:rPr>
                <w:b/>
                <w:spacing w:val="-3"/>
                <w:szCs w:val="22"/>
              </w:rPr>
              <w:t xml:space="preserve"> for FY 2018</w:t>
            </w:r>
          </w:p>
        </w:tc>
      </w:tr>
      <w:tr w:rsidTr="00F82DC5">
        <w:tblPrEx>
          <w:tblW w:w="0" w:type="auto"/>
          <w:tblInd w:w="175" w:type="dxa"/>
          <w:tblLook w:val="01E0"/>
        </w:tblPrEx>
        <w:trPr>
          <w:trHeight w:val="764"/>
        </w:trPr>
        <w:tc>
          <w:tcPr>
            <w:tcW w:w="4860" w:type="dxa"/>
          </w:tcPr>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Cs w:val="22"/>
              </w:rPr>
            </w:pPr>
          </w:p>
          <w:p w:rsidR="00E76ED4" w:rsidRPr="0072247C" w:rsidP="00E262DF">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72247C">
              <w:rPr>
                <w:szCs w:val="22"/>
              </w:rPr>
              <w:t>Less t</w:t>
            </w:r>
            <w:r w:rsidRPr="0072247C" w:rsidR="00E262DF">
              <w:rPr>
                <w:szCs w:val="22"/>
              </w:rPr>
              <w:t>han 5</w:t>
            </w:r>
            <w:r w:rsidRPr="0072247C" w:rsidR="00D252D8">
              <w:rPr>
                <w:szCs w:val="22"/>
              </w:rPr>
              <w:t>0</w:t>
            </w:r>
            <w:r w:rsidRPr="0072247C">
              <w:rPr>
                <w:szCs w:val="22"/>
              </w:rPr>
              <w:t xml:space="preserve"> Gbps</w:t>
            </w:r>
          </w:p>
        </w:tc>
        <w:tc>
          <w:tcPr>
            <w:tcW w:w="3780" w:type="dxa"/>
            <w:vAlign w:val="center"/>
          </w:tcPr>
          <w:p w:rsidR="00E76ED4" w:rsidRPr="0072247C" w:rsidP="00E262D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r w:rsidRPr="0072247C">
              <w:rPr>
                <w:bCs/>
                <w:szCs w:val="22"/>
              </w:rPr>
              <w:t>$</w:t>
            </w:r>
            <w:r w:rsidRPr="0072247C" w:rsidR="00D252D8">
              <w:rPr>
                <w:bCs/>
                <w:szCs w:val="22"/>
              </w:rPr>
              <w:t>9,850</w:t>
            </w:r>
          </w:p>
        </w:tc>
      </w:tr>
      <w:tr w:rsidTr="00F82DC5">
        <w:tblPrEx>
          <w:tblW w:w="0" w:type="auto"/>
          <w:tblInd w:w="175" w:type="dxa"/>
          <w:tblLook w:val="01E0"/>
        </w:tblPrEx>
        <w:trPr>
          <w:trHeight w:val="701"/>
        </w:trPr>
        <w:tc>
          <w:tcPr>
            <w:tcW w:w="4860" w:type="dxa"/>
          </w:tcPr>
          <w:p w:rsidR="00E76ED4" w:rsidRPr="0072247C" w:rsidP="00E262D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72247C">
              <w:rPr>
                <w:szCs w:val="22"/>
              </w:rPr>
              <w:t>5</w:t>
            </w:r>
            <w:r w:rsidRPr="0072247C" w:rsidR="00D252D8">
              <w:rPr>
                <w:szCs w:val="22"/>
              </w:rPr>
              <w:t xml:space="preserve">0 </w:t>
            </w:r>
            <w:r w:rsidRPr="0072247C">
              <w:rPr>
                <w:szCs w:val="22"/>
              </w:rPr>
              <w:t xml:space="preserve">Gbps or greater, but less than </w:t>
            </w:r>
            <w:r w:rsidRPr="0072247C" w:rsidR="00D252D8">
              <w:rPr>
                <w:szCs w:val="22"/>
              </w:rPr>
              <w:t>250</w:t>
            </w:r>
            <w:r w:rsidRPr="0072247C">
              <w:rPr>
                <w:szCs w:val="22"/>
              </w:rPr>
              <w:t xml:space="preserve"> Gbps</w:t>
            </w:r>
          </w:p>
        </w:tc>
        <w:tc>
          <w:tcPr>
            <w:tcW w:w="3780" w:type="dxa"/>
            <w:vAlign w:val="center"/>
          </w:tcPr>
          <w:p w:rsidR="00E76ED4" w:rsidRPr="0072247C" w:rsidP="001546A3">
            <w:pPr>
              <w:jc w:val="center"/>
              <w:rPr>
                <w:bCs/>
                <w:szCs w:val="22"/>
              </w:rPr>
            </w:pPr>
            <w:r w:rsidRPr="0072247C">
              <w:rPr>
                <w:bCs/>
                <w:szCs w:val="22"/>
              </w:rPr>
              <w:t>$</w:t>
            </w:r>
            <w:r w:rsidRPr="0072247C" w:rsidR="00E262DF">
              <w:rPr>
                <w:bCs/>
                <w:szCs w:val="22"/>
              </w:rPr>
              <w:t>1</w:t>
            </w:r>
            <w:r w:rsidRPr="0072247C" w:rsidR="00D252D8">
              <w:rPr>
                <w:bCs/>
                <w:szCs w:val="22"/>
              </w:rPr>
              <w:t>9,725</w:t>
            </w:r>
          </w:p>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Cs w:val="22"/>
              </w:rPr>
            </w:pPr>
          </w:p>
        </w:tc>
      </w:tr>
      <w:tr w:rsidTr="001546A3">
        <w:tblPrEx>
          <w:tblW w:w="0" w:type="auto"/>
          <w:tblInd w:w="175" w:type="dxa"/>
          <w:tblLook w:val="01E0"/>
        </w:tblPrEx>
        <w:tc>
          <w:tcPr>
            <w:tcW w:w="4860" w:type="dxa"/>
          </w:tcPr>
          <w:p w:rsidR="00E76ED4" w:rsidRPr="0072247C" w:rsidP="00E262DF">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r w:rsidRPr="0072247C">
              <w:rPr>
                <w:szCs w:val="22"/>
              </w:rPr>
              <w:t>250</w:t>
            </w:r>
            <w:r w:rsidRPr="0072247C">
              <w:rPr>
                <w:szCs w:val="22"/>
              </w:rPr>
              <w:t xml:space="preserve"> Gbps or greater, but less than </w:t>
            </w:r>
            <w:r w:rsidRPr="0072247C">
              <w:rPr>
                <w:szCs w:val="22"/>
              </w:rPr>
              <w:t>1,000</w:t>
            </w:r>
            <w:r w:rsidRPr="0072247C">
              <w:rPr>
                <w:szCs w:val="22"/>
              </w:rPr>
              <w:t xml:space="preserve"> Gbps</w:t>
            </w:r>
          </w:p>
        </w:tc>
        <w:tc>
          <w:tcPr>
            <w:tcW w:w="3780" w:type="dxa"/>
            <w:vAlign w:val="center"/>
          </w:tcPr>
          <w:p w:rsidR="00E76ED4" w:rsidRPr="0072247C" w:rsidP="001546A3">
            <w:pPr>
              <w:jc w:val="center"/>
              <w:rPr>
                <w:bCs/>
                <w:szCs w:val="22"/>
              </w:rPr>
            </w:pPr>
          </w:p>
          <w:p w:rsidR="00E76ED4" w:rsidRPr="0072247C" w:rsidP="001546A3">
            <w:pPr>
              <w:jc w:val="center"/>
              <w:rPr>
                <w:bCs/>
                <w:szCs w:val="22"/>
              </w:rPr>
            </w:pPr>
            <w:r w:rsidRPr="0072247C">
              <w:rPr>
                <w:bCs/>
                <w:szCs w:val="22"/>
              </w:rPr>
              <w:t>$</w:t>
            </w:r>
            <w:r w:rsidRPr="0072247C" w:rsidR="00D252D8">
              <w:rPr>
                <w:bCs/>
                <w:szCs w:val="22"/>
              </w:rPr>
              <w:t>39,425</w:t>
            </w:r>
          </w:p>
          <w:p w:rsidR="00E76ED4" w:rsidRPr="0072247C" w:rsidP="001546A3">
            <w:pPr>
              <w:jc w:val="center"/>
              <w:rPr>
                <w:spacing w:val="-3"/>
                <w:szCs w:val="22"/>
              </w:rPr>
            </w:pPr>
          </w:p>
        </w:tc>
      </w:tr>
      <w:tr w:rsidTr="00F82DC5">
        <w:tblPrEx>
          <w:tblW w:w="0" w:type="auto"/>
          <w:tblInd w:w="175" w:type="dxa"/>
          <w:tblLook w:val="01E0"/>
        </w:tblPrEx>
        <w:trPr>
          <w:trHeight w:val="782"/>
        </w:trPr>
        <w:tc>
          <w:tcPr>
            <w:tcW w:w="4860" w:type="dxa"/>
          </w:tcPr>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72247C">
              <w:rPr>
                <w:szCs w:val="22"/>
              </w:rPr>
              <w:t>1,00</w:t>
            </w:r>
            <w:r w:rsidRPr="0072247C">
              <w:rPr>
                <w:szCs w:val="22"/>
              </w:rPr>
              <w:t xml:space="preserve">0 Gbps or greater, but less than </w:t>
            </w:r>
            <w:r w:rsidRPr="0072247C">
              <w:rPr>
                <w:szCs w:val="22"/>
              </w:rPr>
              <w:t>4,000</w:t>
            </w:r>
            <w:r w:rsidRPr="0072247C">
              <w:rPr>
                <w:szCs w:val="22"/>
              </w:rPr>
              <w:t xml:space="preserve"> Gbps</w:t>
            </w:r>
          </w:p>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tc>
        <w:tc>
          <w:tcPr>
            <w:tcW w:w="3780" w:type="dxa"/>
            <w:vAlign w:val="center"/>
          </w:tcPr>
          <w:p w:rsidR="00E76ED4" w:rsidRPr="0072247C" w:rsidP="00F82DC5">
            <w:pPr>
              <w:jc w:val="center"/>
              <w:rPr>
                <w:spacing w:val="-3"/>
                <w:szCs w:val="22"/>
              </w:rPr>
            </w:pPr>
            <w:r w:rsidRPr="0072247C">
              <w:rPr>
                <w:bCs/>
                <w:szCs w:val="22"/>
              </w:rPr>
              <w:t>$</w:t>
            </w:r>
            <w:r w:rsidRPr="0072247C" w:rsidR="00D252D8">
              <w:rPr>
                <w:bCs/>
                <w:szCs w:val="22"/>
              </w:rPr>
              <w:t>78,875</w:t>
            </w:r>
          </w:p>
        </w:tc>
      </w:tr>
      <w:tr w:rsidTr="00F82DC5">
        <w:tblPrEx>
          <w:tblW w:w="0" w:type="auto"/>
          <w:tblInd w:w="175" w:type="dxa"/>
          <w:tblLook w:val="01E0"/>
        </w:tblPrEx>
        <w:trPr>
          <w:trHeight w:val="692"/>
        </w:trPr>
        <w:tc>
          <w:tcPr>
            <w:tcW w:w="4860" w:type="dxa"/>
          </w:tcPr>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r w:rsidRPr="0072247C">
              <w:rPr>
                <w:szCs w:val="22"/>
              </w:rPr>
              <w:t>4,000</w:t>
            </w:r>
            <w:r w:rsidRPr="0072247C">
              <w:rPr>
                <w:szCs w:val="22"/>
              </w:rPr>
              <w:t xml:space="preserve"> Gbps or greater</w:t>
            </w:r>
          </w:p>
          <w:p w:rsidR="00E76ED4" w:rsidRPr="0072247C" w:rsidP="001546A3">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tc>
        <w:tc>
          <w:tcPr>
            <w:tcW w:w="3780" w:type="dxa"/>
            <w:vAlign w:val="center"/>
          </w:tcPr>
          <w:p w:rsidR="00E76ED4" w:rsidRPr="0072247C" w:rsidP="00E262DF">
            <w:pPr>
              <w:jc w:val="center"/>
              <w:rPr>
                <w:szCs w:val="22"/>
              </w:rPr>
            </w:pPr>
            <w:r w:rsidRPr="0072247C">
              <w:rPr>
                <w:bCs/>
                <w:szCs w:val="22"/>
              </w:rPr>
              <w:t>$</w:t>
            </w:r>
            <w:r w:rsidRPr="0072247C" w:rsidR="00D252D8">
              <w:rPr>
                <w:bCs/>
                <w:szCs w:val="22"/>
              </w:rPr>
              <w:t>157,750</w:t>
            </w:r>
          </w:p>
        </w:tc>
      </w:tr>
    </w:tbl>
    <w:p w:rsidR="00E76ED4" w:rsidRPr="0067355D" w:rsidP="00495F30">
      <w:pPr>
        <w:tabs>
          <w:tab w:val="left" w:pos="3629"/>
        </w:tabs>
        <w:jc w:val="center"/>
        <w:rPr>
          <w:b/>
          <w:szCs w:val="22"/>
        </w:rPr>
      </w:pPr>
    </w:p>
    <w:p w:rsidR="00E76ED4" w:rsidRPr="0067355D">
      <w:pPr>
        <w:widowControl/>
        <w:rPr>
          <w:b/>
          <w:szCs w:val="22"/>
        </w:rPr>
      </w:pPr>
    </w:p>
    <w:p w:rsidR="003D4368">
      <w:pPr>
        <w:widowControl/>
        <w:rPr>
          <w:b/>
          <w:szCs w:val="22"/>
        </w:rPr>
      </w:pPr>
      <w:r>
        <w:rPr>
          <w:b/>
          <w:szCs w:val="22"/>
        </w:rPr>
        <w:br w:type="page"/>
      </w:r>
    </w:p>
    <w:p w:rsidR="00905A42" w:rsidRPr="0067355D" w:rsidP="00495F30">
      <w:pPr>
        <w:tabs>
          <w:tab w:val="left" w:pos="3629"/>
        </w:tabs>
        <w:jc w:val="center"/>
        <w:rPr>
          <w:b/>
          <w:szCs w:val="22"/>
        </w:rPr>
      </w:pPr>
      <w:r w:rsidRPr="0067355D">
        <w:rPr>
          <w:b/>
          <w:szCs w:val="22"/>
        </w:rPr>
        <w:t xml:space="preserve">APPENDIX </w:t>
      </w:r>
      <w:r w:rsidR="00186674">
        <w:rPr>
          <w:b/>
          <w:szCs w:val="22"/>
        </w:rPr>
        <w:t>D</w:t>
      </w:r>
    </w:p>
    <w:p w:rsidR="00905A42" w:rsidRPr="0067355D" w:rsidP="00495F30">
      <w:pPr>
        <w:tabs>
          <w:tab w:val="left" w:pos="3629"/>
        </w:tabs>
        <w:jc w:val="center"/>
        <w:rPr>
          <w:b/>
          <w:szCs w:val="22"/>
        </w:rPr>
      </w:pPr>
    </w:p>
    <w:p w:rsidR="00905A42" w:rsidRPr="0067355D" w:rsidP="00495F30">
      <w:pPr>
        <w:tabs>
          <w:tab w:val="left" w:pos="3629"/>
        </w:tabs>
        <w:jc w:val="center"/>
        <w:rPr>
          <w:b/>
          <w:szCs w:val="22"/>
        </w:rPr>
      </w:pPr>
      <w:r w:rsidRPr="0067355D">
        <w:rPr>
          <w:b/>
          <w:szCs w:val="22"/>
        </w:rPr>
        <w:t>Sources of Payment Unit Estimates for FY 201</w:t>
      </w:r>
      <w:r w:rsidRPr="0067355D" w:rsidR="00817621">
        <w:rPr>
          <w:b/>
          <w:szCs w:val="22"/>
        </w:rPr>
        <w:t>8</w:t>
      </w:r>
    </w:p>
    <w:p w:rsidR="00905A42" w:rsidRPr="0067355D" w:rsidP="00495F30">
      <w:pPr>
        <w:tabs>
          <w:tab w:val="left" w:pos="3629"/>
        </w:tabs>
        <w:jc w:val="center"/>
        <w:rPr>
          <w:b/>
          <w:szCs w:val="22"/>
        </w:rPr>
      </w:pPr>
    </w:p>
    <w:p w:rsidR="00B546D4" w:rsidRPr="0067355D" w:rsidP="00B546D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67355D">
        <w:rPr>
          <w:szCs w:val="22"/>
        </w:rPr>
        <w:t>In order to</w:t>
      </w:r>
      <w:r w:rsidRPr="0067355D">
        <w:rPr>
          <w:szCs w:val="22"/>
        </w:rPr>
        <w:t xml:space="preserve"> calculate individual service fees for FY 2018, we adjusted FY 2017 payment units for each service to more accurately reflect expected FY 2018 payment liabilities.  </w:t>
      </w:r>
      <w:r w:rsidRPr="0067355D">
        <w:rPr>
          <w:spacing w:val="-2"/>
          <w:szCs w:val="22"/>
        </w:rPr>
        <w:t xml:space="preserve">We obtained our updated estimates through a variety of means. For example, we used Commission licensee data bases, actual prior year payment records and industry and trade association projections when available.  The databases we consulted include </w:t>
      </w:r>
      <w:r w:rsidRPr="0067355D">
        <w:rPr>
          <w:szCs w:val="22"/>
        </w:rPr>
        <w:t xml:space="preserve">our Universal Licensing System (ULS), International Bureau Filing System (IBFS), Consolidated Database System (CDBS) and Cable Operations and Licensing System (COALS), as well as reports generated within the Commission such as the Wireless Telecommunications Bureau’s </w:t>
      </w:r>
      <w:r w:rsidRPr="0067355D">
        <w:rPr>
          <w:i/>
          <w:szCs w:val="22"/>
        </w:rPr>
        <w:t>Numbering Resource Utilization Forecast</w:t>
      </w:r>
      <w:r w:rsidRPr="0067355D">
        <w:rPr>
          <w:szCs w:val="22"/>
        </w:rPr>
        <w:t xml:space="preserve">.  </w:t>
      </w:r>
    </w:p>
    <w:p w:rsidR="00B546D4" w:rsidRPr="0067355D" w:rsidP="00B546D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p>
    <w:p w:rsidR="00B546D4" w:rsidRPr="0067355D" w:rsidP="00B546D4">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2"/>
          <w:szCs w:val="22"/>
        </w:rPr>
      </w:pPr>
      <w:r w:rsidRPr="0067355D">
        <w:rPr>
          <w:spacing w:val="-2"/>
          <w:szCs w:val="22"/>
        </w:rPr>
        <w:t xml:space="preserve">We sought verification for these estimates from multiple sources and, in all cases, we compared FY 2018 estimates with actual FY 2017 payment units to ensure that our revised estimates were reasonable.  Where appropriate, we adjusted and/or rounded our final estimates to take into consideration the fact that certain variables that impact on the number of payment units cannot yet be estimated with sufficient accuracy.  These include an unknown number of waivers and/or exemptions that may occur in FY 2018 and the fact that, in many services, the number of actual licensees or station operators fluctuates from time to time due to economic, technical, or other reasons.  When we note, for example, that our estimated FY 2018 payment units are based on FY 2017 actual payment units, it does not necessarily mean that our FY 2018 projection is </w:t>
      </w:r>
      <w:r w:rsidRPr="0067355D">
        <w:rPr>
          <w:spacing w:val="-2"/>
          <w:szCs w:val="22"/>
        </w:rPr>
        <w:t>exactly the same</w:t>
      </w:r>
      <w:r w:rsidRPr="0067355D">
        <w:rPr>
          <w:spacing w:val="-2"/>
          <w:szCs w:val="22"/>
        </w:rPr>
        <w:t xml:space="preserve"> number as in FY 2017.  We have either rounded the FY 2018 number or adjusted it slightly to account for these variables.</w:t>
      </w:r>
    </w:p>
    <w:p w:rsidR="00B546D4" w:rsidRPr="0067355D" w:rsidP="00B546D4">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67355D">
        <w:rPr>
          <w:szCs w:val="22"/>
        </w:rPr>
        <w:t xml:space="preserve"> </w:t>
      </w:r>
    </w:p>
    <w:tbl>
      <w:tblPr>
        <w:tblW w:w="8640" w:type="dxa"/>
        <w:tblInd w:w="120" w:type="dxa"/>
        <w:tblLayout w:type="fixed"/>
        <w:tblCellMar>
          <w:left w:w="120" w:type="dxa"/>
          <w:right w:w="120" w:type="dxa"/>
        </w:tblCellMar>
        <w:tblLook w:val="0000"/>
      </w:tblPr>
      <w:tblGrid>
        <w:gridCol w:w="2978"/>
        <w:gridCol w:w="5662"/>
      </w:tblGrid>
      <w:tr w:rsidTr="00BC12D8">
        <w:tblPrEx>
          <w:tblW w:w="8640" w:type="dxa"/>
          <w:tblInd w:w="120" w:type="dxa"/>
          <w:tblLayout w:type="fixed"/>
          <w:tblCellMar>
            <w:left w:w="120" w:type="dxa"/>
            <w:right w:w="120" w:type="dxa"/>
          </w:tblCellMar>
          <w:tblLook w:val="0000"/>
        </w:tblPrEx>
        <w:tc>
          <w:tcPr>
            <w:tcW w:w="2978" w:type="dxa"/>
            <w:tcBorders>
              <w:top w:val="doub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Pr>
                <w:szCs w:val="22"/>
              </w:rPr>
              <w:fldChar w:fldCharType="begin"/>
            </w:r>
            <w:r w:rsidRPr="0067355D">
              <w:rPr>
                <w:szCs w:val="22"/>
              </w:rPr>
              <w:instrText xml:space="preserve">PRIVATE </w:instrText>
            </w:r>
            <w:r>
              <w:rPr>
                <w:szCs w:val="22"/>
              </w:rPr>
              <w:fldChar w:fldCharType="end"/>
            </w:r>
            <w:r w:rsidRPr="0067355D">
              <w:rPr>
                <w:b/>
                <w:szCs w:val="22"/>
              </w:rPr>
              <w:t>FEE CATEGORY</w:t>
            </w:r>
          </w:p>
        </w:tc>
        <w:tc>
          <w:tcPr>
            <w:tcW w:w="5662" w:type="dxa"/>
            <w:tcBorders>
              <w:top w:val="doub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jc w:val="center"/>
              <w:rPr>
                <w:b/>
                <w:szCs w:val="22"/>
              </w:rPr>
            </w:pPr>
            <w:r w:rsidRPr="0067355D">
              <w:rPr>
                <w:b/>
                <w:szCs w:val="22"/>
              </w:rPr>
              <w:t>SOURCES OF PAYMENT UNIT ESTIMATES</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Land Mobile (All), Microwave, Marine (Ship &amp; Coast), Aviation (Aircraft &amp; Ground), Domestic Public Fixed </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Wireless Telecommunications Bureau (WTB) projections of new applications and renewals taking into consideration existing Commission licensee data bases. Aviation (Aircraft) and Marine (Ship) estimates have been adjusted to take into consideration the licensing of portions of these services on a voluntary basis.</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CMRS Cellular/Mobile Services </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WTB projection reports, and FY 17 payment data. </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CMRS Messaging Services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WTB reports, and FY 17 payment data.  </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AM/FM Radio Stations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2017 payment units.</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Digital TV Stations</w:t>
            </w:r>
          </w:p>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(Combined VHF/UHF units)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2017 payment units.</w:t>
            </w:r>
          </w:p>
        </w:tc>
      </w:tr>
      <w:tr w:rsidTr="00E01A4B">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AM/FM/TV Construction Permits</w:t>
            </w:r>
          </w:p>
        </w:tc>
        <w:tc>
          <w:tcPr>
            <w:tcW w:w="5662" w:type="dxa"/>
            <w:tcBorders>
              <w:top w:val="single" w:sz="6" w:space="0" w:color="auto"/>
              <w:left w:val="single" w:sz="6" w:space="0" w:color="auto"/>
              <w:bottom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CDBS data, adjusted for exemptions, and actual FY 2017 payment units. </w:t>
            </w:r>
          </w:p>
        </w:tc>
      </w:tr>
      <w:tr w:rsidTr="00A60C55">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LPTV, Translators and Boosters, Class A Television</w:t>
            </w:r>
          </w:p>
        </w:tc>
        <w:tc>
          <w:tcPr>
            <w:tcW w:w="5662" w:type="dxa"/>
            <w:tcBorders>
              <w:top w:val="single" w:sz="6" w:space="0" w:color="auto"/>
              <w:left w:val="single" w:sz="6" w:space="0" w:color="auto"/>
              <w:bottom w:val="double" w:sz="4"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CDBS data, adjusted for exemptions, and actual FY 2017 payment units.</w:t>
            </w:r>
          </w:p>
        </w:tc>
      </w:tr>
      <w:tr w:rsidTr="00A60C55">
        <w:tblPrEx>
          <w:tblW w:w="8640" w:type="dxa"/>
          <w:tblInd w:w="120" w:type="dxa"/>
          <w:tblLayout w:type="fixed"/>
          <w:tblCellMar>
            <w:left w:w="120" w:type="dxa"/>
            <w:right w:w="120" w:type="dxa"/>
          </w:tblCellMar>
          <w:tblLook w:val="0000"/>
        </w:tblPrEx>
        <w:tc>
          <w:tcPr>
            <w:tcW w:w="2978" w:type="dxa"/>
            <w:tcBorders>
              <w:top w:val="double" w:sz="4" w:space="0" w:color="auto"/>
              <w:left w:val="double" w:sz="6" w:space="0" w:color="auto"/>
              <w:bottom w:val="single" w:sz="4"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BRS (formerly MDS/MMDS)</w:t>
            </w:r>
          </w:p>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LMDS</w:t>
            </w:r>
          </w:p>
        </w:tc>
        <w:tc>
          <w:tcPr>
            <w:tcW w:w="5662" w:type="dxa"/>
            <w:tcBorders>
              <w:top w:val="double" w:sz="4" w:space="0" w:color="auto"/>
              <w:left w:val="single" w:sz="6" w:space="0" w:color="auto"/>
              <w:bottom w:val="single" w:sz="4"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WTB reports and actual FY 2017 payment units.</w:t>
            </w:r>
          </w:p>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WTB reports and actual FY 2017 payment units.</w:t>
            </w:r>
          </w:p>
        </w:tc>
      </w:tr>
      <w:tr w:rsidTr="00A60C55">
        <w:tblPrEx>
          <w:tblW w:w="8640" w:type="dxa"/>
          <w:tblInd w:w="120" w:type="dxa"/>
          <w:tblLayout w:type="fixed"/>
          <w:tblCellMar>
            <w:left w:w="120" w:type="dxa"/>
            <w:right w:w="120" w:type="dxa"/>
          </w:tblCellMar>
          <w:tblLook w:val="0000"/>
        </w:tblPrEx>
        <w:tc>
          <w:tcPr>
            <w:tcW w:w="2978" w:type="dxa"/>
            <w:tcBorders>
              <w:top w:val="single" w:sz="4"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Cable Television Relay Service (CARS) Stations</w:t>
            </w:r>
          </w:p>
        </w:tc>
        <w:tc>
          <w:tcPr>
            <w:tcW w:w="5662" w:type="dxa"/>
            <w:tcBorders>
              <w:top w:val="single" w:sz="4"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data from Media Bureau’s COALS database and actual FY 2017 payment units.</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Cable Television System Subscribers, Including IPTV Subscribers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publicly available data sources for estimated subscriber counts and actual FY 2017 payment units. </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Interstate Telecommunication Service Providers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 xml:space="preserve">Based on FCC Form 499-Q data for the four quarters of calendar year 2017, the Wireline Competition Bureau projected the amount of calendar year 2017 revenue that will be reported on 2018 FCC Form 499-A worksheets due in </w:t>
            </w:r>
            <w:r w:rsidRPr="0067355D">
              <w:rPr>
                <w:szCs w:val="22"/>
              </w:rPr>
              <w:t>April,</w:t>
            </w:r>
            <w:r w:rsidRPr="0067355D">
              <w:rPr>
                <w:szCs w:val="22"/>
              </w:rPr>
              <w:t xml:space="preserve"> 2018.</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Earth Stations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International Bureau (“IB”) licensing data and actual FY 2017 payment units.</w:t>
            </w:r>
          </w:p>
        </w:tc>
      </w:tr>
      <w:tr w:rsidTr="00BC12D8">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Space Stations (GSOs &amp; NGSOs)</w:t>
            </w:r>
          </w:p>
        </w:tc>
        <w:tc>
          <w:tcPr>
            <w:tcW w:w="5662" w:type="dxa"/>
            <w:tcBorders>
              <w:top w:val="single" w:sz="6" w:space="0" w:color="auto"/>
              <w:left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IB data reports and actual FY 2017 payment units.</w:t>
            </w:r>
          </w:p>
        </w:tc>
      </w:tr>
      <w:tr w:rsidTr="00E01A4B">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sing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International Bearer Circuits</w:t>
            </w:r>
          </w:p>
        </w:tc>
        <w:tc>
          <w:tcPr>
            <w:tcW w:w="5662" w:type="dxa"/>
            <w:tcBorders>
              <w:top w:val="single" w:sz="6" w:space="0" w:color="auto"/>
              <w:left w:val="single" w:sz="6" w:space="0" w:color="auto"/>
              <w:bottom w:val="single" w:sz="6"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IB reports and submissions by licensees, adjusted as necessary.</w:t>
            </w:r>
          </w:p>
        </w:tc>
      </w:tr>
      <w:tr w:rsidTr="00E01A4B">
        <w:tblPrEx>
          <w:tblW w:w="8640" w:type="dxa"/>
          <w:tblInd w:w="120" w:type="dxa"/>
          <w:tblLayout w:type="fixed"/>
          <w:tblCellMar>
            <w:left w:w="120" w:type="dxa"/>
            <w:right w:w="120" w:type="dxa"/>
          </w:tblCellMar>
          <w:tblLook w:val="0000"/>
        </w:tblPrEx>
        <w:tc>
          <w:tcPr>
            <w:tcW w:w="2978" w:type="dxa"/>
            <w:tcBorders>
              <w:top w:val="single" w:sz="6" w:space="0" w:color="auto"/>
              <w:left w:val="double" w:sz="6" w:space="0" w:color="auto"/>
              <w:bottom w:val="double" w:sz="4"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Submarine Cable Licenses</w:t>
            </w:r>
          </w:p>
        </w:tc>
        <w:tc>
          <w:tcPr>
            <w:tcW w:w="5662" w:type="dxa"/>
            <w:tcBorders>
              <w:top w:val="single" w:sz="6" w:space="0" w:color="auto"/>
              <w:left w:val="single" w:sz="6" w:space="0" w:color="auto"/>
              <w:bottom w:val="double" w:sz="4" w:space="0" w:color="auto"/>
              <w:right w:val="double" w:sz="6" w:space="0" w:color="auto"/>
            </w:tcBorders>
          </w:tcPr>
          <w:p w:rsidR="00B546D4" w:rsidRPr="0067355D" w:rsidP="00BC12D8">
            <w:pPr>
              <w:tabs>
                <w:tab w:val="left" w:pos="-1440"/>
                <w:tab w:val="left" w:pos="-720"/>
                <w:tab w:val="left" w:pos="0"/>
                <w:tab w:val="left" w:pos="720"/>
                <w:tab w:val="left" w:pos="1440"/>
                <w:tab w:val="left" w:pos="2160"/>
                <w:tab w:val="left" w:pos="2880"/>
                <w:tab w:val="left" w:pos="3600"/>
                <w:tab w:val="left" w:pos="4680"/>
                <w:tab w:val="left" w:pos="5040"/>
              </w:tabs>
              <w:suppressAutoHyphens/>
              <w:spacing w:before="90" w:after="54"/>
              <w:rPr>
                <w:szCs w:val="22"/>
              </w:rPr>
            </w:pPr>
            <w:r w:rsidRPr="0067355D">
              <w:rPr>
                <w:szCs w:val="22"/>
              </w:rPr>
              <w:t>Based on IB license information.</w:t>
            </w:r>
          </w:p>
        </w:tc>
      </w:tr>
    </w:tbl>
    <w:p w:rsidR="00B546D4" w:rsidRPr="0067355D" w:rsidP="00B546D4">
      <w:pPr>
        <w:jc w:val="center"/>
        <w:rPr>
          <w:szCs w:val="22"/>
        </w:rPr>
      </w:pPr>
    </w:p>
    <w:p w:rsidR="00B546D4" w:rsidRPr="0067355D" w:rsidP="00B546D4">
      <w:pPr>
        <w:tabs>
          <w:tab w:val="left" w:pos="3629"/>
        </w:tabs>
        <w:rPr>
          <w:b/>
          <w:szCs w:val="22"/>
        </w:rPr>
      </w:pPr>
    </w:p>
    <w:p w:rsidR="003D4368">
      <w:pPr>
        <w:widowControl/>
        <w:rPr>
          <w:szCs w:val="22"/>
        </w:rPr>
      </w:pPr>
      <w:r>
        <w:rPr>
          <w:szCs w:val="22"/>
        </w:rPr>
        <w:br w:type="page"/>
      </w:r>
    </w:p>
    <w:p w:rsidR="000E2D26" w:rsidRPr="0067355D" w:rsidP="00495F30">
      <w:pPr>
        <w:tabs>
          <w:tab w:val="left" w:pos="3629"/>
        </w:tabs>
        <w:jc w:val="center"/>
        <w:rPr>
          <w:b/>
          <w:szCs w:val="22"/>
        </w:rPr>
      </w:pPr>
      <w:r w:rsidRPr="0067355D">
        <w:rPr>
          <w:b/>
          <w:szCs w:val="22"/>
        </w:rPr>
        <w:t>APPENDIX</w:t>
      </w:r>
      <w:r w:rsidR="00186674">
        <w:rPr>
          <w:b/>
          <w:szCs w:val="22"/>
        </w:rPr>
        <w:t xml:space="preserve"> E</w:t>
      </w:r>
    </w:p>
    <w:p w:rsidR="000E2D26" w:rsidRPr="0067355D" w:rsidP="00495F30">
      <w:pPr>
        <w:tabs>
          <w:tab w:val="left" w:pos="3629"/>
        </w:tabs>
        <w:jc w:val="center"/>
        <w:rPr>
          <w:b/>
          <w:szCs w:val="22"/>
        </w:rPr>
      </w:pPr>
    </w:p>
    <w:p w:rsidR="000E2D26" w:rsidRPr="0067355D" w:rsidP="00495F30">
      <w:pPr>
        <w:tabs>
          <w:tab w:val="left" w:pos="3629"/>
        </w:tabs>
        <w:jc w:val="center"/>
        <w:rPr>
          <w:b/>
          <w:szCs w:val="22"/>
        </w:rPr>
      </w:pPr>
      <w:r w:rsidRPr="0067355D">
        <w:rPr>
          <w:b/>
          <w:szCs w:val="22"/>
        </w:rPr>
        <w:t>Factors, Measurements, and Calculations that Determine Station Signal Contours and Associated Population Coverages</w:t>
      </w:r>
    </w:p>
    <w:p w:rsidR="000E2D26" w:rsidRPr="0067355D" w:rsidP="00495F30">
      <w:pPr>
        <w:tabs>
          <w:tab w:val="left" w:pos="3629"/>
        </w:tabs>
        <w:jc w:val="center"/>
        <w:rPr>
          <w:b/>
          <w:szCs w:val="22"/>
        </w:rPr>
      </w:pPr>
    </w:p>
    <w:p w:rsidR="000E2D26" w:rsidRPr="0067355D" w:rsidP="000E2D26">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ight="720"/>
        <w:outlineLvl w:val="0"/>
        <w:rPr>
          <w:b/>
          <w:spacing w:val="-3"/>
          <w:szCs w:val="22"/>
          <w:u w:val="single"/>
        </w:rPr>
      </w:pPr>
      <w:bookmarkStart w:id="62" w:name="_Toc394672337"/>
      <w:r w:rsidRPr="0067355D">
        <w:rPr>
          <w:b/>
          <w:spacing w:val="-3"/>
          <w:szCs w:val="22"/>
          <w:u w:val="single"/>
        </w:rPr>
        <w:t xml:space="preserve">AM </w:t>
      </w:r>
      <w:r w:rsidRPr="0067355D">
        <w:rPr>
          <w:b/>
          <w:szCs w:val="22"/>
          <w:u w:val="single"/>
        </w:rPr>
        <w:t>Stations</w:t>
      </w:r>
      <w:bookmarkEnd w:id="62"/>
    </w:p>
    <w:p w:rsidR="000E2D26" w:rsidRPr="0067355D" w:rsidP="000E2D26">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Cs w:val="22"/>
        </w:rPr>
      </w:pPr>
    </w:p>
    <w:p w:rsidR="000E2D26" w:rsidRPr="0067355D" w:rsidP="000E2D26">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r w:rsidRPr="0067355D">
        <w:rPr>
          <w:szCs w:val="22"/>
        </w:rPr>
        <w:t>For stations with nondirectional daytime antennas, the theoretical radiation was used at all azimuths.  For stations with directional daytime antennas, specific information on each day tower, including field ratio, phase, spacing, and orientation was retrieved, as well as the theoretical pattern root-mean-square of the radiation in all directions in the horizontal plane (RMS) figure (</w:t>
      </w:r>
      <w:r w:rsidRPr="0067355D">
        <w:rPr>
          <w:szCs w:val="22"/>
        </w:rPr>
        <w:t>milliVolt</w:t>
      </w:r>
      <w:r w:rsidRPr="0067355D">
        <w:rPr>
          <w:szCs w:val="22"/>
        </w:rPr>
        <w:t xml:space="preserve"> per meter (mV/m) @ 1 km) for the antenna system.  The standard, or augmented standard if pertinent, horizontal plane radiation pattern was calculated using techniques and methods specified in sections 73.150 and 73.152 of the Commission’s rules. Radiation values were calculated for each of 360 radials around the transmitter site.  Next, estimated soil conductivity data was retrieved from a database representing the information in FCC Figure R3. Using the calculated horizontal radiation values, and the retrieved soil conductivity data, the distance to the principal community (5 mV/m) contour was predicted for each of the 360 radials.  The resulting distance to principal community contours were used to form a geographical polygon.  Population counting was accomplished by determining which 2010 block centroids were contained in the polygon.  (A block centroid is the center point of a small area containing population as computed by the U.S. Census Bureau.)  The sum of the population figures for all enclosed blocks represents the total population for the predicted principal community coverage area.</w:t>
      </w:r>
    </w:p>
    <w:p w:rsidR="000E2D26" w:rsidRPr="0067355D" w:rsidP="000E2D26">
      <w:pPr>
        <w:tabs>
          <w:tab w:val="left" w:pos="-1440"/>
          <w:tab w:val="left" w:pos="-720"/>
          <w:tab w:val="left" w:pos="0"/>
          <w:tab w:val="left" w:pos="720"/>
          <w:tab w:val="left" w:pos="1440"/>
          <w:tab w:val="left" w:pos="2160"/>
          <w:tab w:val="left" w:pos="2880"/>
          <w:tab w:val="left" w:pos="3600"/>
          <w:tab w:val="left" w:pos="4680"/>
          <w:tab w:val="left" w:pos="5040"/>
        </w:tabs>
        <w:suppressAutoHyphens/>
        <w:ind w:left="720"/>
        <w:rPr>
          <w:szCs w:val="22"/>
        </w:rPr>
      </w:pPr>
    </w:p>
    <w:p w:rsidR="000E2D26" w:rsidRPr="0067355D" w:rsidP="000E2D26">
      <w:pPr>
        <w:tabs>
          <w:tab w:val="left" w:pos="-1440"/>
          <w:tab w:val="left" w:pos="-720"/>
          <w:tab w:val="left" w:pos="0"/>
          <w:tab w:val="left" w:pos="720"/>
          <w:tab w:val="left" w:pos="1440"/>
          <w:tab w:val="left" w:pos="2160"/>
          <w:tab w:val="left" w:pos="2880"/>
          <w:tab w:val="left" w:pos="3600"/>
          <w:tab w:val="left" w:pos="4680"/>
          <w:tab w:val="left" w:pos="5040"/>
        </w:tabs>
        <w:suppressAutoHyphens/>
        <w:rPr>
          <w:b/>
          <w:szCs w:val="22"/>
          <w:u w:val="single"/>
        </w:rPr>
      </w:pPr>
      <w:r w:rsidRPr="0067355D">
        <w:rPr>
          <w:b/>
          <w:szCs w:val="22"/>
        </w:rPr>
        <w:tab/>
      </w:r>
      <w:r w:rsidRPr="0067355D">
        <w:rPr>
          <w:b/>
          <w:szCs w:val="22"/>
          <w:u w:val="single"/>
        </w:rPr>
        <w:t>FM Stations</w:t>
      </w:r>
    </w:p>
    <w:p w:rsidR="000E2D26" w:rsidRPr="0067355D" w:rsidP="000E2D26">
      <w:pPr>
        <w:tabs>
          <w:tab w:val="left" w:pos="-1440"/>
          <w:tab w:val="left" w:pos="-720"/>
          <w:tab w:val="left" w:pos="0"/>
          <w:tab w:val="left" w:pos="720"/>
          <w:tab w:val="left" w:pos="1440"/>
          <w:tab w:val="left" w:pos="2160"/>
          <w:tab w:val="left" w:pos="2880"/>
          <w:tab w:val="left" w:pos="3600"/>
          <w:tab w:val="left" w:pos="4680"/>
          <w:tab w:val="left" w:pos="5040"/>
        </w:tabs>
        <w:suppressAutoHyphens/>
        <w:rPr>
          <w:szCs w:val="22"/>
        </w:rPr>
      </w:pPr>
    </w:p>
    <w:p w:rsidR="000E2D26" w:rsidP="000E2D26">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r w:rsidRPr="0067355D">
        <w:rPr>
          <w:szCs w:val="22"/>
        </w:rPr>
        <w:t xml:space="preserve">The greater of the horizontal or vertical effective radiated power (ERP) (kW) and respective height above average terrain (HAAT) (m) combination was used.  Where the antenna height above mean sea level (HAMSL) was available, it was used in lieu of the average HAAT figure to calculate specific HAAT figures for each of 360 radials under study.  Any available directional pattern information was applied as well, to produce a radial-specific ERP figure.  The HAAT and ERP figures were used in conjunction with the Field Strength (50-50) propagation curves specified in 47 CFR § 73.313 of the Commission’s rules to predict the distance to the principal community (70 dBu (decibel above 1 </w:t>
      </w:r>
      <w:r w:rsidRPr="0067355D">
        <w:rPr>
          <w:szCs w:val="22"/>
        </w:rPr>
        <w:t>microVolt</w:t>
      </w:r>
      <w:r w:rsidRPr="0067355D">
        <w:rPr>
          <w:szCs w:val="22"/>
        </w:rPr>
        <w:t xml:space="preserve"> per meter) or 3.17 mV/m) contour for each of the 360 radials.  The resulting distance to principal community contours were used to form a geographical polygon.  Population counting was accomplished by determining which 2010 block centroids were contained in the polygon.  The sum of the population figures for all enclosed blocks represents the total population for the predicted principal community coverage area. </w:t>
      </w:r>
    </w:p>
    <w:p w:rsidR="00D335A7" w:rsidP="000E2D26">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D335A7" w:rsidRPr="0067355D" w:rsidP="000E2D26">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D144CF" w:rsidRPr="0067355D" w:rsidP="000E2D26">
      <w:pPr>
        <w:tabs>
          <w:tab w:val="left" w:pos="-1440"/>
          <w:tab w:val="left" w:pos="-720"/>
          <w:tab w:val="left" w:pos="720"/>
          <w:tab w:val="left" w:pos="1440"/>
          <w:tab w:val="left" w:pos="2160"/>
          <w:tab w:val="left" w:pos="2880"/>
          <w:tab w:val="left" w:pos="3600"/>
          <w:tab w:val="left" w:pos="4680"/>
          <w:tab w:val="left" w:pos="5040"/>
        </w:tabs>
        <w:suppressAutoHyphens/>
        <w:ind w:left="720"/>
        <w:rPr>
          <w:szCs w:val="22"/>
        </w:rPr>
      </w:pPr>
    </w:p>
    <w:p w:rsidR="00D45ED2">
      <w:pPr>
        <w:widowControl/>
        <w:rPr>
          <w:b/>
          <w:szCs w:val="22"/>
        </w:rPr>
        <w:sectPr w:rsidSect="00CF5E5C">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pPr>
    </w:p>
    <w:p w:rsidR="00074E7A" w:rsidRPr="0067355D" w:rsidP="009F3DF1">
      <w:pPr>
        <w:pStyle w:val="ParaNum"/>
        <w:numPr>
          <w:ilvl w:val="0"/>
          <w:numId w:val="0"/>
        </w:numPr>
        <w:tabs>
          <w:tab w:val="num" w:pos="1440"/>
        </w:tabs>
        <w:ind w:firstLine="720"/>
        <w:jc w:val="center"/>
        <w:rPr>
          <w:b/>
          <w:szCs w:val="22"/>
        </w:rPr>
      </w:pPr>
      <w:r w:rsidRPr="0067355D">
        <w:rPr>
          <w:b/>
          <w:szCs w:val="22"/>
        </w:rPr>
        <w:t xml:space="preserve">APPENDIX </w:t>
      </w:r>
      <w:r w:rsidR="00186674">
        <w:rPr>
          <w:b/>
          <w:szCs w:val="22"/>
        </w:rPr>
        <w:t>F</w:t>
      </w:r>
    </w:p>
    <w:p w:rsidR="00074E7A" w:rsidRPr="0067355D" w:rsidP="00074E7A">
      <w:pPr>
        <w:pStyle w:val="ParaNum"/>
        <w:numPr>
          <w:ilvl w:val="0"/>
          <w:numId w:val="0"/>
        </w:numPr>
        <w:ind w:firstLine="720"/>
        <w:jc w:val="center"/>
        <w:rPr>
          <w:b/>
          <w:szCs w:val="22"/>
        </w:rPr>
      </w:pPr>
      <w:r w:rsidRPr="0067355D">
        <w:rPr>
          <w:b/>
          <w:szCs w:val="22"/>
        </w:rPr>
        <w:t>Final Regulatory Flexibility Analysis</w:t>
      </w:r>
    </w:p>
    <w:p w:rsidR="00074E7A" w:rsidRPr="0067355D" w:rsidP="00F25DDB">
      <w:pPr>
        <w:pStyle w:val="ParaNum"/>
        <w:numPr>
          <w:ilvl w:val="0"/>
          <w:numId w:val="9"/>
        </w:numPr>
        <w:rPr>
          <w:szCs w:val="22"/>
        </w:rPr>
      </w:pPr>
      <w:r w:rsidRPr="0067355D">
        <w:rPr>
          <w:szCs w:val="22"/>
        </w:rPr>
        <w:t>As required by the Regulatory Flexibility Act of 1980, as amended (RFA),</w:t>
      </w:r>
      <w:r>
        <w:rPr>
          <w:rStyle w:val="FootnoteReference"/>
          <w:spacing w:val="-2"/>
          <w:sz w:val="22"/>
          <w:szCs w:val="22"/>
        </w:rPr>
        <w:footnoteReference w:id="79"/>
      </w:r>
      <w:r w:rsidRPr="0067355D">
        <w:rPr>
          <w:szCs w:val="22"/>
        </w:rPr>
        <w:t xml:space="preserve"> an Initial Regulatory Flexibility Analysis (IRFA) was included in the </w:t>
      </w:r>
      <w:r w:rsidRPr="0067355D">
        <w:rPr>
          <w:i/>
          <w:szCs w:val="22"/>
        </w:rPr>
        <w:t>Notice of Proposed Rulemaking</w:t>
      </w:r>
      <w:r w:rsidRPr="0067355D" w:rsidR="00A02042">
        <w:rPr>
          <w:i/>
          <w:szCs w:val="22"/>
        </w:rPr>
        <w:t xml:space="preserve"> </w:t>
      </w:r>
      <w:r w:rsidRPr="0067355D" w:rsidR="00A02042">
        <w:rPr>
          <w:szCs w:val="22"/>
        </w:rPr>
        <w:t>(</w:t>
      </w:r>
      <w:r w:rsidRPr="0067355D" w:rsidR="00A02042">
        <w:rPr>
          <w:i/>
          <w:szCs w:val="22"/>
        </w:rPr>
        <w:t>NPRM</w:t>
      </w:r>
      <w:r w:rsidRPr="0067355D" w:rsidR="00A02042">
        <w:rPr>
          <w:szCs w:val="22"/>
        </w:rPr>
        <w:t>)</w:t>
      </w:r>
      <w:r w:rsidRPr="0067355D">
        <w:rPr>
          <w:szCs w:val="22"/>
        </w:rPr>
        <w:t>.</w:t>
      </w:r>
      <w:r>
        <w:rPr>
          <w:rStyle w:val="FootnoteReference"/>
          <w:sz w:val="22"/>
          <w:szCs w:val="22"/>
        </w:rPr>
        <w:footnoteReference w:id="80"/>
      </w:r>
      <w:r w:rsidRPr="0067355D">
        <w:rPr>
          <w:i/>
          <w:szCs w:val="22"/>
        </w:rPr>
        <w:t xml:space="preserve">  </w:t>
      </w:r>
      <w:r w:rsidRPr="0067355D">
        <w:rPr>
          <w:szCs w:val="22"/>
        </w:rPr>
        <w:t>The Commission sought written public comment on these proposals including comment on the IRFA.  This Final Regulatory Flexibility Analysis (FRFA) conforms to the IRFA.</w:t>
      </w:r>
      <w:r>
        <w:rPr>
          <w:rStyle w:val="FootnoteReference"/>
          <w:spacing w:val="-2"/>
          <w:sz w:val="22"/>
          <w:szCs w:val="22"/>
        </w:rPr>
        <w:footnoteReference w:id="81"/>
      </w:r>
      <w:r w:rsidRPr="0067355D">
        <w:rPr>
          <w:szCs w:val="22"/>
        </w:rPr>
        <w:t xml:space="preserve"> </w:t>
      </w:r>
    </w:p>
    <w:p w:rsidR="00074E7A" w:rsidRPr="0067355D" w:rsidP="00397214">
      <w:pPr>
        <w:pStyle w:val="Heading2"/>
        <w:numPr>
          <w:ilvl w:val="0"/>
          <w:numId w:val="0"/>
        </w:numPr>
        <w:ind w:left="1440"/>
      </w:pPr>
      <w:bookmarkStart w:id="63" w:name="_Toc353870731"/>
      <w:bookmarkStart w:id="64" w:name="_Toc353987758"/>
      <w:bookmarkStart w:id="65" w:name="_Toc353988079"/>
      <w:bookmarkStart w:id="66" w:name="_Toc390878817"/>
      <w:bookmarkStart w:id="67" w:name="_Toc403117508"/>
      <w:bookmarkStart w:id="68" w:name="_Toc404352144"/>
      <w:bookmarkStart w:id="69" w:name="_Toc406064038"/>
      <w:bookmarkStart w:id="70" w:name="_Toc406754918"/>
      <w:bookmarkStart w:id="71" w:name="_Toc407006736"/>
      <w:bookmarkStart w:id="72" w:name="_Toc407018471"/>
      <w:bookmarkStart w:id="73" w:name="_Toc408483453"/>
      <w:bookmarkStart w:id="74" w:name="_Toc410723693"/>
      <w:bookmarkStart w:id="75" w:name="_Toc411434902"/>
      <w:bookmarkStart w:id="76" w:name="_Toc413083244"/>
      <w:bookmarkStart w:id="77" w:name="_Toc413672134"/>
      <w:bookmarkStart w:id="78" w:name="_Toc491865066"/>
      <w:bookmarkStart w:id="79" w:name="_Toc491865481"/>
      <w:r w:rsidRPr="0067355D">
        <w:t>A.</w:t>
      </w:r>
      <w:r w:rsidRPr="0067355D">
        <w:tab/>
        <w:t xml:space="preserve"> </w:t>
      </w:r>
      <w:bookmarkStart w:id="80" w:name="_Toc391364450"/>
      <w:bookmarkStart w:id="81" w:name="_Toc394672338"/>
      <w:bookmarkStart w:id="82" w:name="_Toc397078346"/>
      <w:r w:rsidRPr="0067355D">
        <w:t xml:space="preserve">Need for, and Objectives of, the </w:t>
      </w:r>
      <w:bookmarkEnd w:id="63"/>
      <w:bookmarkEnd w:id="64"/>
      <w:bookmarkEnd w:id="65"/>
      <w:r w:rsidRPr="0067355D">
        <w:t>Report and Order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7355D">
        <w:t xml:space="preserve">  </w:t>
      </w:r>
    </w:p>
    <w:p w:rsidR="00074E7A" w:rsidRPr="00817F01" w:rsidP="00817F01">
      <w:pPr>
        <w:pStyle w:val="ParaNum"/>
        <w:numPr>
          <w:ilvl w:val="0"/>
          <w:numId w:val="9"/>
        </w:numPr>
        <w:rPr>
          <w:szCs w:val="22"/>
        </w:rPr>
      </w:pPr>
      <w:r w:rsidRPr="00817F01">
        <w:rPr>
          <w:szCs w:val="22"/>
        </w:rPr>
        <w:t xml:space="preserve">In this </w:t>
      </w:r>
      <w:r w:rsidRPr="00817F01" w:rsidR="0095269F">
        <w:rPr>
          <w:szCs w:val="22"/>
        </w:rPr>
        <w:t xml:space="preserve">Report and Order we adopt our proposal in the </w:t>
      </w:r>
      <w:r w:rsidRPr="00817F01" w:rsidR="00374E84">
        <w:rPr>
          <w:szCs w:val="22"/>
        </w:rPr>
        <w:t xml:space="preserve">Notice of Proposed Rulemaking </w:t>
      </w:r>
      <w:r w:rsidRPr="00817F01" w:rsidR="00E610C5">
        <w:rPr>
          <w:szCs w:val="22"/>
        </w:rPr>
        <w:t xml:space="preserve">on </w:t>
      </w:r>
      <w:r w:rsidRPr="00817F01">
        <w:rPr>
          <w:szCs w:val="22"/>
        </w:rPr>
        <w:t>collect</w:t>
      </w:r>
      <w:r w:rsidRPr="00817F01" w:rsidR="00E610C5">
        <w:rPr>
          <w:szCs w:val="22"/>
        </w:rPr>
        <w:t>ing $</w:t>
      </w:r>
      <w:r w:rsidRPr="00817F01" w:rsidR="001F57A1">
        <w:rPr>
          <w:szCs w:val="22"/>
        </w:rPr>
        <w:t>322,035,000</w:t>
      </w:r>
      <w:r w:rsidRPr="00817F01" w:rsidR="00B76BD3">
        <w:rPr>
          <w:szCs w:val="22"/>
        </w:rPr>
        <w:t xml:space="preserve"> i</w:t>
      </w:r>
      <w:r w:rsidRPr="00817F01" w:rsidR="004624AF">
        <w:rPr>
          <w:szCs w:val="22"/>
        </w:rPr>
        <w:t>n regulatory fees for FY 2018</w:t>
      </w:r>
      <w:r w:rsidRPr="00817F01">
        <w:rPr>
          <w:szCs w:val="22"/>
        </w:rPr>
        <w:t>, pursuant to section 9 of the Communications Act of 1934, as amended (Communications Act or Act).</w:t>
      </w:r>
      <w:r>
        <w:rPr>
          <w:rStyle w:val="FootnoteReference"/>
          <w:sz w:val="22"/>
          <w:szCs w:val="22"/>
        </w:rPr>
        <w:footnoteReference w:id="82"/>
      </w:r>
      <w:r w:rsidRPr="00817F01">
        <w:rPr>
          <w:szCs w:val="22"/>
        </w:rPr>
        <w:t xml:space="preserve">  These regulatory fe</w:t>
      </w:r>
      <w:r w:rsidRPr="00817F01" w:rsidR="004624AF">
        <w:rPr>
          <w:szCs w:val="22"/>
        </w:rPr>
        <w:t>es will be due in September 2018</w:t>
      </w:r>
      <w:r w:rsidRPr="00817F01">
        <w:rPr>
          <w:szCs w:val="22"/>
        </w:rPr>
        <w:t>.  Under section 9 of the Communications Act, regulatory fees are mandated by Congress and collected to recover the regulatory costs associated with the Commission’s enforcement, policy and rulemaking, user information, and international activities in an amount that can be reasonably expected to equal the amount of the Commission’s annual appropriation.</w:t>
      </w:r>
      <w:r>
        <w:rPr>
          <w:rStyle w:val="FootnoteReference"/>
          <w:sz w:val="22"/>
          <w:szCs w:val="22"/>
        </w:rPr>
        <w:footnoteReference w:id="83"/>
      </w:r>
      <w:r w:rsidRPr="00817F01">
        <w:rPr>
          <w:szCs w:val="22"/>
        </w:rPr>
        <w:t xml:space="preserve">  Th</w:t>
      </w:r>
      <w:r w:rsidRPr="00817F01" w:rsidR="00B12FBA">
        <w:rPr>
          <w:szCs w:val="22"/>
        </w:rPr>
        <w:t>is</w:t>
      </w:r>
      <w:r w:rsidRPr="00817F01">
        <w:rPr>
          <w:szCs w:val="22"/>
        </w:rPr>
        <w:t xml:space="preserve"> Report and Order</w:t>
      </w:r>
      <w:r w:rsidRPr="00817F01" w:rsidR="00CA194E">
        <w:rPr>
          <w:szCs w:val="22"/>
        </w:rPr>
        <w:t xml:space="preserve"> adopts the regulatory fees proposed in the Notice of Proposed Rulemaking</w:t>
      </w:r>
      <w:r w:rsidRPr="00817F01">
        <w:rPr>
          <w:szCs w:val="22"/>
        </w:rPr>
        <w:t>.</w:t>
      </w:r>
    </w:p>
    <w:p w:rsidR="00074E7A" w:rsidRPr="0067355D" w:rsidP="00397214">
      <w:pPr>
        <w:pStyle w:val="Heading2"/>
        <w:numPr>
          <w:ilvl w:val="0"/>
          <w:numId w:val="0"/>
        </w:numPr>
        <w:ind w:left="1440"/>
      </w:pPr>
      <w:bookmarkStart w:id="83" w:name="_Toc390878818"/>
      <w:bookmarkStart w:id="84" w:name="_Toc391364451"/>
      <w:bookmarkStart w:id="85" w:name="_Toc394672339"/>
      <w:bookmarkStart w:id="86" w:name="_Toc397078347"/>
      <w:bookmarkStart w:id="87" w:name="_Toc403117509"/>
      <w:bookmarkStart w:id="88" w:name="_Toc404352145"/>
      <w:bookmarkStart w:id="89" w:name="_Toc406064039"/>
      <w:bookmarkStart w:id="90" w:name="_Toc406754919"/>
      <w:bookmarkStart w:id="91" w:name="_Toc407006737"/>
      <w:bookmarkStart w:id="92" w:name="_Toc407018472"/>
      <w:bookmarkStart w:id="93" w:name="_Toc408483454"/>
      <w:bookmarkStart w:id="94" w:name="_Toc410723694"/>
      <w:bookmarkStart w:id="95" w:name="_Toc411434903"/>
      <w:bookmarkStart w:id="96" w:name="_Toc413083245"/>
      <w:bookmarkStart w:id="97" w:name="_Toc413672135"/>
      <w:bookmarkStart w:id="98" w:name="_Toc491865067"/>
      <w:bookmarkStart w:id="99" w:name="_Toc491865482"/>
      <w:r w:rsidRPr="0067355D">
        <w:t>B.</w:t>
      </w:r>
      <w:r w:rsidRPr="0067355D">
        <w:tab/>
        <w:t>Summary of the Significant Issues Raised by the Public Comments in Response to the IRFA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74E7A" w:rsidRPr="0067355D" w:rsidP="00817F01">
      <w:pPr>
        <w:pStyle w:val="ParaNum"/>
        <w:numPr>
          <w:ilvl w:val="0"/>
          <w:numId w:val="9"/>
        </w:numPr>
        <w:rPr>
          <w:szCs w:val="22"/>
        </w:rPr>
      </w:pPr>
      <w:bookmarkStart w:id="100" w:name="_Toc390878819"/>
      <w:r w:rsidRPr="0067355D">
        <w:rPr>
          <w:szCs w:val="22"/>
        </w:rPr>
        <w:t>None.</w:t>
      </w:r>
    </w:p>
    <w:p w:rsidR="00074E7A" w:rsidRPr="0067355D" w:rsidP="00397214">
      <w:pPr>
        <w:pStyle w:val="Heading2"/>
        <w:numPr>
          <w:ilvl w:val="0"/>
          <w:numId w:val="0"/>
        </w:numPr>
        <w:ind w:left="1440"/>
      </w:pPr>
      <w:bookmarkStart w:id="101" w:name="_Toc391364452"/>
      <w:bookmarkStart w:id="102" w:name="_Toc394672340"/>
      <w:bookmarkStart w:id="103" w:name="_Toc397078348"/>
      <w:bookmarkStart w:id="104" w:name="_Toc403117510"/>
      <w:bookmarkStart w:id="105" w:name="_Toc404352146"/>
      <w:bookmarkStart w:id="106" w:name="_Toc406064040"/>
      <w:bookmarkStart w:id="107" w:name="_Toc406754920"/>
      <w:bookmarkStart w:id="108" w:name="_Toc407006738"/>
      <w:bookmarkStart w:id="109" w:name="_Toc407018473"/>
      <w:bookmarkStart w:id="110" w:name="_Toc408483455"/>
      <w:bookmarkStart w:id="111" w:name="_Toc410723695"/>
      <w:bookmarkStart w:id="112" w:name="_Toc411434904"/>
      <w:bookmarkStart w:id="113" w:name="_Toc413083246"/>
      <w:bookmarkStart w:id="114" w:name="_Toc413672136"/>
      <w:bookmarkStart w:id="115" w:name="_Toc491865068"/>
      <w:bookmarkStart w:id="116" w:name="_Toc491865483"/>
      <w:r w:rsidRPr="0067355D">
        <w:t>C.</w:t>
      </w:r>
      <w:r w:rsidRPr="0067355D">
        <w:tab/>
        <w:t>Description and Estimate of the Number of Small Entities to Which the Rules Will Apply: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74E7A" w:rsidRPr="0067355D" w:rsidP="00B70629">
      <w:pPr>
        <w:pStyle w:val="ParaNum"/>
        <w:widowControl/>
        <w:numPr>
          <w:ilvl w:val="0"/>
          <w:numId w:val="9"/>
        </w:numPr>
        <w:rPr>
          <w:szCs w:val="22"/>
        </w:rPr>
      </w:pPr>
      <w:r w:rsidRPr="0067355D">
        <w:rPr>
          <w:szCs w:val="22"/>
        </w:rPr>
        <w:t>The RFA directs agencies to provide a description of, and where feasible, an estimate of the number of small entities that may be affected by the proposed rules and policies, if adopted.</w:t>
      </w:r>
      <w:r>
        <w:rPr>
          <w:rStyle w:val="FootnoteReference"/>
          <w:spacing w:val="-2"/>
          <w:sz w:val="22"/>
          <w:szCs w:val="22"/>
        </w:rPr>
        <w:footnoteReference w:id="84"/>
      </w:r>
      <w:r w:rsidRPr="0067355D">
        <w:rPr>
          <w:szCs w:val="22"/>
        </w:rPr>
        <w:t xml:space="preserve">  The RFA generally defines the term “small entity” as having the same meaning as the terms “small business,” “small organization,” and “small governmental jurisdiction.”</w:t>
      </w:r>
      <w:r>
        <w:rPr>
          <w:rStyle w:val="FootnoteReference"/>
          <w:spacing w:val="-2"/>
          <w:sz w:val="22"/>
          <w:szCs w:val="22"/>
        </w:rPr>
        <w:footnoteReference w:id="85"/>
      </w:r>
      <w:r w:rsidRPr="0067355D">
        <w:rPr>
          <w:szCs w:val="22"/>
        </w:rPr>
        <w:t xml:space="preserve">  In addition, the term “small business” has the same meaning as the term “small business concern” under the Small Business Act.</w:t>
      </w:r>
      <w:r>
        <w:rPr>
          <w:rStyle w:val="FootnoteReference"/>
          <w:spacing w:val="-2"/>
          <w:sz w:val="22"/>
          <w:szCs w:val="22"/>
        </w:rPr>
        <w:footnoteReference w:id="86"/>
      </w:r>
      <w:r w:rsidRPr="0067355D">
        <w:rPr>
          <w:szCs w:val="22"/>
        </w:rPr>
        <w:t xml:space="preserve">  A “small business concern” is one which: (1) is independently owned and operated; (2) is not dominant in its field of operation; and (3) satisfies any additional criteria established by the SBA.</w:t>
      </w:r>
      <w:r>
        <w:rPr>
          <w:rStyle w:val="FootnoteReference"/>
          <w:spacing w:val="-2"/>
          <w:sz w:val="22"/>
          <w:szCs w:val="22"/>
        </w:rPr>
        <w:footnoteReference w:id="87"/>
      </w:r>
      <w:r w:rsidRPr="0067355D">
        <w:rPr>
          <w:szCs w:val="22"/>
        </w:rPr>
        <w:t xml:space="preserve">  Nationwide, there are a total of approximately 27.9 million small businesses, according to the SBA.</w:t>
      </w:r>
      <w:r>
        <w:rPr>
          <w:rStyle w:val="FootnoteReference"/>
          <w:spacing w:val="-2"/>
          <w:sz w:val="22"/>
          <w:szCs w:val="22"/>
        </w:rPr>
        <w:footnoteReference w:id="88"/>
      </w:r>
      <w:r w:rsidRPr="0067355D">
        <w:rPr>
          <w:szCs w:val="22"/>
        </w:rPr>
        <w:t xml:space="preserve">   </w:t>
      </w:r>
    </w:p>
    <w:p w:rsidR="00074E7A" w:rsidRPr="0067355D" w:rsidP="00817F01">
      <w:pPr>
        <w:pStyle w:val="ParaNum"/>
        <w:numPr>
          <w:ilvl w:val="0"/>
          <w:numId w:val="9"/>
        </w:numPr>
        <w:rPr>
          <w:szCs w:val="22"/>
        </w:rPr>
      </w:pPr>
      <w:r w:rsidRPr="0067355D">
        <w:rPr>
          <w:b/>
          <w:szCs w:val="22"/>
        </w:rPr>
        <w:t>Wired Telecommunications Carriers</w:t>
      </w:r>
      <w:r w:rsidRPr="0067355D">
        <w:rPr>
          <w:szCs w:val="22"/>
        </w:rP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89"/>
      </w:r>
      <w:r w:rsidRPr="0067355D">
        <w:rPr>
          <w:szCs w:val="22"/>
        </w:rPr>
        <w:t xml:space="preserve">  The SBA has developed a small business size standard for Wired Telecommunications Carriers, which consists of all such companies having 1,500 or fewer employees.</w:t>
      </w:r>
      <w:r>
        <w:rPr>
          <w:rStyle w:val="FootnoteReference"/>
          <w:sz w:val="22"/>
          <w:szCs w:val="22"/>
        </w:rPr>
        <w:footnoteReference w:id="90"/>
      </w:r>
      <w:r w:rsidRPr="0067355D">
        <w:rPr>
          <w:szCs w:val="22"/>
        </w:rPr>
        <w:t xml:space="preserve">  Census data for 2012 shows that there were 3,117 firms that operated that year.  Of this total, 3,083 operated with fewer than 1,000 employees.</w:t>
      </w:r>
      <w:r>
        <w:rPr>
          <w:rStyle w:val="FootnoteReference"/>
          <w:sz w:val="22"/>
          <w:szCs w:val="22"/>
        </w:rPr>
        <w:footnoteReference w:id="91"/>
      </w:r>
      <w:r w:rsidRPr="0067355D">
        <w:rPr>
          <w:szCs w:val="22"/>
        </w:rPr>
        <w:t xml:space="preserve">  Thus, under this size standard, most firms in this industry can be considered small.</w:t>
      </w:r>
    </w:p>
    <w:p w:rsidR="00074E7A" w:rsidRPr="0067355D" w:rsidP="00817F01">
      <w:pPr>
        <w:pStyle w:val="ParaNum"/>
        <w:numPr>
          <w:ilvl w:val="0"/>
          <w:numId w:val="9"/>
        </w:numPr>
        <w:rPr>
          <w:szCs w:val="22"/>
        </w:rPr>
      </w:pPr>
      <w:r w:rsidRPr="0067355D">
        <w:rPr>
          <w:b/>
          <w:szCs w:val="22"/>
        </w:rPr>
        <w:t>Local Exchange Carriers (LECs)</w:t>
      </w:r>
      <w:r w:rsidRPr="0067355D">
        <w:rPr>
          <w:szCs w:val="22"/>
        </w:rPr>
        <w:t>.  Neither the Commission nor the SBA has developed a size standard for small businesses specifically applicable to local exchange services.  The closest applicable NAICS code category is Wired Telecommunications Carriers as defined in paragraph 6 of this FRFA.  Under the applicable SBA size standard, such a business is small if it has 1,500 or fewer employees.</w:t>
      </w:r>
      <w:r>
        <w:rPr>
          <w:rStyle w:val="FootnoteReference"/>
          <w:spacing w:val="-2"/>
          <w:sz w:val="22"/>
          <w:szCs w:val="22"/>
        </w:rPr>
        <w:footnoteReference w:id="92"/>
      </w:r>
      <w:r w:rsidRPr="0067355D">
        <w:rPr>
          <w:szCs w:val="22"/>
        </w:rPr>
        <w:t xml:space="preserve">  According to Commission data, census data for 2012 shows that there were 3,117 firms that operated that year.  Of this total, 3,083 operated with fewer than 1,000 employees.</w:t>
      </w:r>
      <w:r>
        <w:rPr>
          <w:rStyle w:val="FootnoteReference"/>
          <w:sz w:val="22"/>
          <w:szCs w:val="22"/>
        </w:rPr>
        <w:footnoteReference w:id="93"/>
      </w:r>
      <w:r w:rsidRPr="0067355D">
        <w:rPr>
          <w:szCs w:val="22"/>
        </w:rPr>
        <w:t xml:space="preserve">  The Commission therefore estimates that most providers of local exchange carrier service are small entities that may be affected by the rules adopted.</w:t>
      </w:r>
    </w:p>
    <w:p w:rsidR="00074E7A" w:rsidRPr="0067355D" w:rsidP="00817F01">
      <w:pPr>
        <w:pStyle w:val="ParaNum"/>
        <w:numPr>
          <w:ilvl w:val="0"/>
          <w:numId w:val="9"/>
        </w:numPr>
        <w:rPr>
          <w:szCs w:val="22"/>
        </w:rPr>
      </w:pPr>
      <w:r w:rsidRPr="0067355D">
        <w:rPr>
          <w:b/>
          <w:szCs w:val="22"/>
        </w:rPr>
        <w:t>Incumbent LECs</w:t>
      </w:r>
      <w:r w:rsidRPr="002C2A45">
        <w:rPr>
          <w:szCs w:val="22"/>
        </w:rPr>
        <w:t>.</w:t>
      </w:r>
      <w:r w:rsidRPr="0067355D">
        <w:rPr>
          <w:szCs w:val="22"/>
        </w:rPr>
        <w:t xml:space="preserve">  Neither the Commission nor the SBA has developed a small business size standard specifically for incumbent local exchange services.  The closest applicable NAICS code category is Wired Telecommunications Carriers as defined in paragraph 6 of this FRFA.  Under that size standard, such a business is small if it has 1,500 or fewer employees.</w:t>
      </w:r>
      <w:r>
        <w:rPr>
          <w:rStyle w:val="FootnoteReference"/>
          <w:spacing w:val="-2"/>
          <w:sz w:val="22"/>
          <w:szCs w:val="22"/>
        </w:rPr>
        <w:footnoteReference w:id="94"/>
      </w:r>
      <w:r w:rsidRPr="0067355D">
        <w:rPr>
          <w:szCs w:val="22"/>
        </w:rPr>
        <w:t xml:space="preserve">  According to Commission data, 3,117 firms operated in that year.  Of this total, 3,083 operated with fewer than 1,000 employees.</w:t>
      </w:r>
      <w:r>
        <w:rPr>
          <w:rStyle w:val="FootnoteReference"/>
          <w:sz w:val="22"/>
          <w:szCs w:val="22"/>
        </w:rPr>
        <w:footnoteReference w:id="95"/>
      </w:r>
      <w:r w:rsidRPr="0067355D">
        <w:rPr>
          <w:szCs w:val="22"/>
        </w:rPr>
        <w:t xml:space="preserve">  Consequently, the Commission estimates that most providers of incumbent local exchange service are small businesses that may be affected by the rules and policies adopted</w:t>
      </w:r>
      <w:r w:rsidRPr="0067355D">
        <w:rPr>
          <w:i/>
          <w:szCs w:val="22"/>
        </w:rPr>
        <w:t>.</w:t>
      </w:r>
      <w:r w:rsidRPr="0067355D">
        <w:rPr>
          <w:szCs w:val="22"/>
        </w:rPr>
        <w:t xml:space="preserve">  Three hundred and seven (307) Incumbent Local Exchange Carriers reported that they were incumbent local exchange service providers.</w:t>
      </w:r>
      <w:r>
        <w:rPr>
          <w:rStyle w:val="FootnoteReference"/>
          <w:spacing w:val="-2"/>
          <w:sz w:val="22"/>
          <w:szCs w:val="22"/>
        </w:rPr>
        <w:footnoteReference w:id="96"/>
      </w:r>
      <w:r w:rsidRPr="0067355D">
        <w:rPr>
          <w:szCs w:val="22"/>
        </w:rPr>
        <w:t xml:space="preserve">  Of this total, an estimated 1,006 have 1,500 or fewer employees.</w:t>
      </w:r>
      <w:r>
        <w:rPr>
          <w:rStyle w:val="FootnoteReference"/>
          <w:spacing w:val="-2"/>
          <w:sz w:val="22"/>
          <w:szCs w:val="22"/>
        </w:rPr>
        <w:footnoteReference w:id="97"/>
      </w:r>
      <w:r w:rsidRPr="0067355D">
        <w:rPr>
          <w:szCs w:val="22"/>
        </w:rPr>
        <w:t xml:space="preserve">    </w:t>
      </w:r>
    </w:p>
    <w:p w:rsidR="00074E7A" w:rsidRPr="0067355D" w:rsidP="00817F01">
      <w:pPr>
        <w:pStyle w:val="ParaNum"/>
        <w:numPr>
          <w:ilvl w:val="0"/>
          <w:numId w:val="9"/>
        </w:numPr>
        <w:rPr>
          <w:szCs w:val="22"/>
        </w:rPr>
      </w:pPr>
      <w:r w:rsidRPr="0067355D">
        <w:rPr>
          <w:b/>
          <w:szCs w:val="22"/>
        </w:rPr>
        <w:t>Competitive Local Exchange Carriers (Competitive LECs), Competitive Access Providers (CAPs), Shared-Tenant Service Providers, and Other Local Service Providers</w:t>
      </w:r>
      <w:r w:rsidRPr="0067355D">
        <w:rPr>
          <w:szCs w:val="22"/>
        </w:rPr>
        <w:t>.  Neither the Commission nor the SBA has developed a small business size standard specifically for these service providers.  The appropriate NAICS code category is Wired Telecommunications Carriers, as defined in paragraph 6 of this FRFA.  Under that size standard, such a business is small if it has 1,500 or fewer employees.</w:t>
      </w:r>
      <w:r>
        <w:rPr>
          <w:rStyle w:val="FootnoteReference"/>
          <w:spacing w:val="-2"/>
          <w:sz w:val="22"/>
          <w:szCs w:val="22"/>
        </w:rPr>
        <w:footnoteReference w:id="98"/>
      </w:r>
      <w:r w:rsidRPr="0067355D">
        <w:rPr>
          <w:szCs w:val="22"/>
        </w:rPr>
        <w:t xml:space="preserve">  U.S. Census data for 2012 indicate that 3,117 firms operated during that year.  Of that number, 3,083 operated with fewer than 1,000 employees.</w:t>
      </w:r>
      <w:r>
        <w:rPr>
          <w:rStyle w:val="FootnoteReference"/>
          <w:sz w:val="22"/>
          <w:szCs w:val="22"/>
        </w:rPr>
        <w:footnoteReference w:id="99"/>
      </w:r>
      <w:r w:rsidRPr="0067355D">
        <w:rPr>
          <w:szCs w:val="22"/>
        </w:rPr>
        <w:t xml:space="preserve">  Based on this data, the Commission concludes that most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pacing w:val="-2"/>
          <w:sz w:val="22"/>
          <w:szCs w:val="22"/>
        </w:rPr>
        <w:footnoteReference w:id="100"/>
      </w:r>
      <w:r w:rsidRPr="0067355D">
        <w:rPr>
          <w:szCs w:val="22"/>
        </w:rPr>
        <w:t xml:space="preserve">  Of these 1,442 carriers, an estimated 1,256 have 1,500 or fewer employees.</w:t>
      </w:r>
      <w:r>
        <w:rPr>
          <w:rStyle w:val="FootnoteReference"/>
          <w:spacing w:val="-2"/>
          <w:sz w:val="22"/>
          <w:szCs w:val="22"/>
        </w:rPr>
        <w:footnoteReference w:id="101"/>
      </w:r>
      <w:r w:rsidRPr="0067355D">
        <w:rPr>
          <w:szCs w:val="22"/>
        </w:rPr>
        <w:t xml:space="preserve">  In addition, 17 carriers have reported that they are Shared-Tenant Service Providers, and all 17 are estimated to have 1,500 or fewer employees.</w:t>
      </w:r>
      <w:r>
        <w:rPr>
          <w:rStyle w:val="FootnoteReference"/>
          <w:spacing w:val="-2"/>
          <w:sz w:val="22"/>
          <w:szCs w:val="22"/>
        </w:rPr>
        <w:footnoteReference w:id="102"/>
      </w:r>
      <w:r w:rsidRPr="0067355D">
        <w:rPr>
          <w:szCs w:val="22"/>
        </w:rPr>
        <w:t xml:space="preserve">  Also, 72 carriers have reported that they are Other Local Service Providers.</w:t>
      </w:r>
      <w:r>
        <w:rPr>
          <w:rStyle w:val="FootnoteReference"/>
          <w:spacing w:val="-2"/>
          <w:sz w:val="22"/>
          <w:szCs w:val="22"/>
        </w:rPr>
        <w:footnoteReference w:id="103"/>
      </w:r>
      <w:r w:rsidRPr="0067355D">
        <w:rPr>
          <w:szCs w:val="22"/>
        </w:rPr>
        <w:t xml:space="preserve">   Of this total, 70 have 1,500 or fewer employees.</w:t>
      </w:r>
      <w:r>
        <w:rPr>
          <w:rStyle w:val="FootnoteReference"/>
          <w:spacing w:val="-2"/>
          <w:sz w:val="22"/>
          <w:szCs w:val="22"/>
        </w:rPr>
        <w:footnoteReference w:id="104"/>
      </w:r>
      <w:r w:rsidRPr="0067355D">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074E7A" w:rsidRPr="0067355D" w:rsidP="00817F01">
      <w:pPr>
        <w:pStyle w:val="ParaNum"/>
        <w:widowControl/>
        <w:numPr>
          <w:ilvl w:val="0"/>
          <w:numId w:val="9"/>
        </w:numPr>
        <w:rPr>
          <w:szCs w:val="22"/>
        </w:rPr>
      </w:pPr>
      <w:r w:rsidRPr="0067355D">
        <w:rPr>
          <w:b/>
          <w:szCs w:val="22"/>
        </w:rPr>
        <w:t>Interexchange Carriers (IXCs)</w:t>
      </w:r>
      <w:r w:rsidRPr="0067355D">
        <w:rPr>
          <w:szCs w:val="22"/>
        </w:rPr>
        <w:t>.  Neither the Commission nor the SBA has developed a definition for Interexchange Carriers.  The closest NAICS code category is Wired Telecommunications Carriers as defined in paragraph 6 of this FRFA.  The applicable size standard under SBA rules is that such a business is small if it has 1,500 or fewer employees.</w:t>
      </w:r>
      <w:r>
        <w:rPr>
          <w:rStyle w:val="FootnoteReference"/>
          <w:spacing w:val="-2"/>
          <w:sz w:val="22"/>
          <w:szCs w:val="22"/>
        </w:rPr>
        <w:footnoteReference w:id="105"/>
      </w:r>
      <w:r w:rsidRPr="0067355D">
        <w:rPr>
          <w:szCs w:val="22"/>
        </w:rPr>
        <w:t xml:space="preserve">  U.S. Census data for 2012 indicates that 3,117 firms operated during that year.  Of that number, 3,083 operated with fewer than 1,000 employees.</w:t>
      </w:r>
      <w:r>
        <w:rPr>
          <w:rStyle w:val="FootnoteReference"/>
          <w:sz w:val="22"/>
          <w:szCs w:val="22"/>
        </w:rPr>
        <w:footnoteReference w:id="106"/>
      </w:r>
      <w:r w:rsidRPr="0067355D">
        <w:rPr>
          <w:szCs w:val="22"/>
        </w:rPr>
        <w:t xml:space="preserve">  According to internally developed Commission data, 359 companies reported that their primary telecommunications service activity was the provision of interexchange services.</w:t>
      </w:r>
      <w:r>
        <w:rPr>
          <w:rStyle w:val="FootnoteReference"/>
          <w:spacing w:val="-2"/>
          <w:sz w:val="22"/>
          <w:szCs w:val="22"/>
        </w:rPr>
        <w:footnoteReference w:id="107"/>
      </w:r>
      <w:r w:rsidRPr="0067355D">
        <w:rPr>
          <w:szCs w:val="22"/>
        </w:rPr>
        <w:t xml:space="preserve">  Of this total, an estimated 317 have 1,500 or fewer employees.</w:t>
      </w:r>
      <w:r>
        <w:rPr>
          <w:rStyle w:val="FootnoteReference"/>
          <w:spacing w:val="-2"/>
          <w:sz w:val="22"/>
          <w:szCs w:val="22"/>
        </w:rPr>
        <w:footnoteReference w:id="108"/>
      </w:r>
      <w:r w:rsidRPr="0067355D">
        <w:rPr>
          <w:szCs w:val="22"/>
        </w:rPr>
        <w:t xml:space="preserve">  Consequently, the Commission estimates that most interexchange service providers are small entities that may be affected by the rules adopted.</w:t>
      </w:r>
    </w:p>
    <w:p w:rsidR="00074E7A" w:rsidRPr="0067355D" w:rsidP="00817F01">
      <w:pPr>
        <w:pStyle w:val="ParaNum"/>
        <w:numPr>
          <w:ilvl w:val="0"/>
          <w:numId w:val="9"/>
        </w:numPr>
        <w:rPr>
          <w:szCs w:val="22"/>
        </w:rPr>
      </w:pPr>
      <w:r w:rsidRPr="0067355D">
        <w:rPr>
          <w:b/>
          <w:szCs w:val="22"/>
        </w:rPr>
        <w:t>Prepaid Calling Card Providers</w:t>
      </w:r>
      <w:r w:rsidRPr="002C2A45">
        <w:rPr>
          <w:szCs w:val="22"/>
        </w:rPr>
        <w:t xml:space="preserve">. </w:t>
      </w:r>
      <w:r w:rsidRPr="0067355D">
        <w:rPr>
          <w:szCs w:val="22"/>
        </w:rPr>
        <w:t xml:space="preserve"> Neither the Commission nor the SBA has developed a small business definition specifically for prepaid calling card providers.  The most appropriate NAICS code-based category for defining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rStyle w:val="FootnoteReference"/>
          <w:sz w:val="22"/>
          <w:szCs w:val="22"/>
        </w:rPr>
        <w:footnoteReference w:id="109"/>
      </w:r>
      <w:r w:rsidRPr="0067355D">
        <w:rPr>
          <w:szCs w:val="22"/>
        </w:rPr>
        <w:t xml:space="preserve">  Under the applicable SBA size standard, such a business is small if it has 1,500 or fewer employees.</w:t>
      </w:r>
      <w:r>
        <w:rPr>
          <w:rStyle w:val="FootnoteReference"/>
          <w:spacing w:val="-2"/>
          <w:sz w:val="22"/>
          <w:szCs w:val="22"/>
        </w:rPr>
        <w:footnoteReference w:id="110"/>
      </w:r>
      <w:r w:rsidRPr="0067355D">
        <w:rPr>
          <w:szCs w:val="22"/>
        </w:rPr>
        <w:t xml:space="preserve">  U.S. Census data for 2012 show that 1,341 firms provided resale services during that year.  Of that number, 1,341 operated with fewer than 1,000 employees.</w:t>
      </w:r>
      <w:r>
        <w:rPr>
          <w:rStyle w:val="FootnoteReference"/>
          <w:spacing w:val="-2"/>
          <w:sz w:val="22"/>
          <w:szCs w:val="22"/>
        </w:rPr>
        <w:footnoteReference w:id="111"/>
      </w:r>
      <w:r w:rsidRPr="0067355D">
        <w:rPr>
          <w:szCs w:val="22"/>
        </w:rPr>
        <w:t xml:space="preserve">  Thus, under this category and the associated small business size standard, </w:t>
      </w:r>
      <w:r w:rsidRPr="0067355D">
        <w:rPr>
          <w:szCs w:val="22"/>
        </w:rPr>
        <w:t>the majority of</w:t>
      </w:r>
      <w:r w:rsidRPr="0067355D">
        <w:rPr>
          <w:szCs w:val="22"/>
        </w:rPr>
        <w:t xml:space="preserve"> these prepaid calling card providers can be considered small entities.  According to Commission data, 193 carriers have reported that they are engaged in the provision of prepaid calling cards.</w:t>
      </w:r>
      <w:r>
        <w:rPr>
          <w:rStyle w:val="FootnoteReference"/>
          <w:spacing w:val="-2"/>
          <w:sz w:val="22"/>
          <w:szCs w:val="22"/>
        </w:rPr>
        <w:footnoteReference w:id="112"/>
      </w:r>
      <w:r w:rsidRPr="0067355D">
        <w:rPr>
          <w:szCs w:val="22"/>
        </w:rPr>
        <w:t xml:space="preserve">  All 193 carriers have 1,500 or fewer employees.</w:t>
      </w:r>
      <w:r>
        <w:rPr>
          <w:rStyle w:val="FootnoteReference"/>
          <w:spacing w:val="-2"/>
          <w:sz w:val="22"/>
          <w:szCs w:val="22"/>
        </w:rPr>
        <w:footnoteReference w:id="113"/>
      </w:r>
      <w:r w:rsidRPr="0067355D">
        <w:rPr>
          <w:szCs w:val="22"/>
        </w:rPr>
        <w:t xml:space="preserve">  Consequently, the Commission estimates that </w:t>
      </w:r>
      <w:r w:rsidRPr="0067355D">
        <w:rPr>
          <w:szCs w:val="22"/>
        </w:rPr>
        <w:t>the majority of</w:t>
      </w:r>
      <w:r w:rsidRPr="0067355D">
        <w:rPr>
          <w:szCs w:val="22"/>
        </w:rPr>
        <w:t xml:space="preserve"> prepaid calling card providers are small entities that may be affected by the rules adopted.</w:t>
      </w:r>
    </w:p>
    <w:p w:rsidR="00074E7A" w:rsidRPr="0067355D" w:rsidP="00817F01">
      <w:pPr>
        <w:pStyle w:val="ParaNum"/>
        <w:numPr>
          <w:ilvl w:val="0"/>
          <w:numId w:val="9"/>
        </w:numPr>
        <w:rPr>
          <w:szCs w:val="22"/>
        </w:rPr>
      </w:pPr>
      <w:r w:rsidRPr="0067355D">
        <w:rPr>
          <w:b/>
          <w:szCs w:val="22"/>
        </w:rPr>
        <w:t>Local Resellers</w:t>
      </w:r>
      <w:r w:rsidRPr="0067355D">
        <w:rPr>
          <w:szCs w:val="22"/>
        </w:rPr>
        <w:t>.  Neither the Commission nor the SBA has developed a small business size standard specifically for Local Resellers.  The SBA has developed a small business size standard for the category of Telecommunications Resellers.  Under that size standard, such a business is small if it has 1,500 or fewer employees.</w:t>
      </w:r>
      <w:r>
        <w:rPr>
          <w:rStyle w:val="FootnoteReference"/>
          <w:spacing w:val="-2"/>
          <w:sz w:val="22"/>
          <w:szCs w:val="22"/>
        </w:rPr>
        <w:footnoteReference w:id="114"/>
      </w:r>
      <w:r w:rsidRPr="0067355D">
        <w:rPr>
          <w:szCs w:val="22"/>
        </w:rPr>
        <w:t xml:space="preserve">  Census data for 2012 show that 1,341 firms provided resale services during that year.  Of that number, 1,341 operated with fewer than 1,000 employees.</w:t>
      </w:r>
      <w:r>
        <w:rPr>
          <w:rStyle w:val="FootnoteReference"/>
          <w:spacing w:val="-2"/>
          <w:sz w:val="22"/>
          <w:szCs w:val="22"/>
        </w:rPr>
        <w:footnoteReference w:id="115"/>
      </w:r>
      <w:r w:rsidRPr="0067355D">
        <w:rPr>
          <w:szCs w:val="22"/>
        </w:rPr>
        <w:t xml:space="preserve">  Under this category and the associated small business size standard, </w:t>
      </w:r>
      <w:r w:rsidRPr="0067355D">
        <w:rPr>
          <w:szCs w:val="22"/>
        </w:rPr>
        <w:t>the majority of</w:t>
      </w:r>
      <w:r w:rsidRPr="0067355D">
        <w:rPr>
          <w:szCs w:val="22"/>
        </w:rPr>
        <w:t xml:space="preserve"> these local resellers can be considered small entities.  According to Commission data, 213 carriers have reported that they are engaged in the provision of local resale services.</w:t>
      </w:r>
      <w:r>
        <w:rPr>
          <w:rStyle w:val="FootnoteReference"/>
          <w:spacing w:val="-2"/>
          <w:sz w:val="22"/>
          <w:szCs w:val="22"/>
        </w:rPr>
        <w:footnoteReference w:id="116"/>
      </w:r>
      <w:r w:rsidRPr="0067355D">
        <w:rPr>
          <w:szCs w:val="22"/>
        </w:rPr>
        <w:t xml:space="preserve">  Of this total, an estimated 211 have 1,500 or fewer employees.</w:t>
      </w:r>
      <w:r>
        <w:rPr>
          <w:rStyle w:val="FootnoteReference"/>
          <w:spacing w:val="-2"/>
          <w:sz w:val="22"/>
          <w:szCs w:val="22"/>
        </w:rPr>
        <w:footnoteReference w:id="117"/>
      </w:r>
      <w:r w:rsidRPr="0067355D">
        <w:rPr>
          <w:szCs w:val="22"/>
        </w:rPr>
        <w:t xml:space="preserve">  Consequently, the Commission estimates that </w:t>
      </w:r>
      <w:r w:rsidRPr="0067355D">
        <w:rPr>
          <w:szCs w:val="22"/>
        </w:rPr>
        <w:t>the majority of</w:t>
      </w:r>
      <w:r w:rsidRPr="0067355D">
        <w:rPr>
          <w:szCs w:val="22"/>
        </w:rPr>
        <w:t xml:space="preserve"> local resellers are small entities that may be affected by the rules adopted. </w:t>
      </w:r>
    </w:p>
    <w:p w:rsidR="00074E7A" w:rsidRPr="0067355D" w:rsidP="00817F01">
      <w:pPr>
        <w:pStyle w:val="ParaNum"/>
        <w:numPr>
          <w:ilvl w:val="0"/>
          <w:numId w:val="9"/>
        </w:numPr>
        <w:rPr>
          <w:szCs w:val="22"/>
        </w:rPr>
      </w:pPr>
      <w:r w:rsidRPr="0067355D">
        <w:rPr>
          <w:b/>
          <w:szCs w:val="22"/>
        </w:rPr>
        <w:t>Toll Resellers</w:t>
      </w:r>
      <w:r w:rsidRPr="0067355D">
        <w:rPr>
          <w:szCs w:val="22"/>
        </w:rPr>
        <w:t>.  The Commission has not developed a definition for Toll Resellers.  The closest NAICS code Category is Telecommunications Resellers, and the SBA has developed a small business size standard for the category of Telecommunications Resellers.</w:t>
      </w:r>
      <w:r>
        <w:rPr>
          <w:rStyle w:val="FootnoteReference"/>
          <w:spacing w:val="-2"/>
          <w:sz w:val="22"/>
          <w:szCs w:val="22"/>
        </w:rPr>
        <w:footnoteReference w:id="118"/>
      </w:r>
      <w:r w:rsidRPr="0067355D">
        <w:rPr>
          <w:szCs w:val="22"/>
        </w:rPr>
        <w:t xml:space="preserve">  Under that size standard, such a business is small if it has 1,500 or fewer employees.</w:t>
      </w:r>
      <w:r>
        <w:rPr>
          <w:rStyle w:val="FootnoteReference"/>
          <w:sz w:val="22"/>
          <w:szCs w:val="22"/>
        </w:rPr>
        <w:footnoteReference w:id="119"/>
      </w:r>
      <w:r w:rsidRPr="0067355D">
        <w:rPr>
          <w:szCs w:val="22"/>
        </w:rPr>
        <w:t xml:space="preserve">  Census data for 2012 show that 1,341 firms provided resale services during that year.  Of that number, 1,341 operated with fewer than 1,000 employees.</w:t>
      </w:r>
      <w:r>
        <w:rPr>
          <w:rStyle w:val="FootnoteReference"/>
          <w:spacing w:val="-2"/>
          <w:sz w:val="22"/>
          <w:szCs w:val="22"/>
        </w:rPr>
        <w:footnoteReference w:id="120"/>
      </w:r>
      <w:r w:rsidRPr="0067355D">
        <w:rPr>
          <w:szCs w:val="22"/>
        </w:rPr>
        <w:t xml:space="preserve">  Thus, under this category and the associated small business size standard, </w:t>
      </w:r>
      <w:r w:rsidRPr="0067355D">
        <w:rPr>
          <w:szCs w:val="22"/>
        </w:rPr>
        <w:t>the majority of</w:t>
      </w:r>
      <w:r w:rsidRPr="0067355D">
        <w:rPr>
          <w:szCs w:val="22"/>
        </w:rPr>
        <w:t xml:space="preserve"> these resellers can be considered small entities.  According to Commission data, 881 carriers have reported that they are engaged in the provision of toll resale services.</w:t>
      </w:r>
      <w:r>
        <w:rPr>
          <w:rStyle w:val="FootnoteReference"/>
          <w:spacing w:val="-2"/>
          <w:sz w:val="22"/>
          <w:szCs w:val="22"/>
        </w:rPr>
        <w:footnoteReference w:id="121"/>
      </w:r>
      <w:r w:rsidRPr="0067355D">
        <w:rPr>
          <w:szCs w:val="22"/>
        </w:rPr>
        <w:t xml:space="preserve">  Of this total, an estimated 857 have 1,500 or fewer employees.</w:t>
      </w:r>
      <w:r>
        <w:rPr>
          <w:rStyle w:val="FootnoteReference"/>
          <w:spacing w:val="-2"/>
          <w:sz w:val="22"/>
          <w:szCs w:val="22"/>
        </w:rPr>
        <w:footnoteReference w:id="122"/>
      </w:r>
      <w:r w:rsidRPr="0067355D">
        <w:rPr>
          <w:szCs w:val="22"/>
        </w:rPr>
        <w:t xml:space="preserve">  Consequently, the Commission estimates that </w:t>
      </w:r>
      <w:r w:rsidRPr="0067355D">
        <w:rPr>
          <w:szCs w:val="22"/>
        </w:rPr>
        <w:t>the majority of</w:t>
      </w:r>
      <w:r w:rsidRPr="0067355D">
        <w:rPr>
          <w:szCs w:val="22"/>
        </w:rPr>
        <w:t xml:space="preserve"> toll resellers are small entities.</w:t>
      </w:r>
    </w:p>
    <w:p w:rsidR="00074E7A" w:rsidRPr="0067355D" w:rsidP="00817F01">
      <w:pPr>
        <w:pStyle w:val="ParaNum"/>
        <w:numPr>
          <w:ilvl w:val="0"/>
          <w:numId w:val="9"/>
        </w:numPr>
        <w:rPr>
          <w:szCs w:val="22"/>
        </w:rPr>
      </w:pPr>
      <w:r w:rsidRPr="0067355D">
        <w:rPr>
          <w:b/>
          <w:szCs w:val="22"/>
        </w:rPr>
        <w:t>Other Toll Carriers</w:t>
      </w:r>
      <w:r w:rsidRPr="002C2A45">
        <w:rPr>
          <w:szCs w:val="22"/>
        </w:rPr>
        <w:t xml:space="preserve">. </w:t>
      </w:r>
      <w:r w:rsidRPr="0067355D">
        <w:rPr>
          <w:szCs w:val="22"/>
        </w:rPr>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6 of this FRFA.  Under the applicable SBA size standard, such a business is small if it has 1,500 or fewer employees.</w:t>
      </w:r>
      <w:r>
        <w:rPr>
          <w:rStyle w:val="FootnoteReference"/>
          <w:spacing w:val="-2"/>
          <w:sz w:val="22"/>
          <w:szCs w:val="22"/>
        </w:rPr>
        <w:footnoteReference w:id="123"/>
      </w:r>
      <w:r w:rsidRPr="0067355D">
        <w:rPr>
          <w:szCs w:val="22"/>
        </w:rPr>
        <w:t xml:space="preserve">  Census data for 2012 shows that there were 3,117 firms that operated that year.  Of this total, 3,083 operated with fewer than 1,000 employees.</w:t>
      </w:r>
      <w:r>
        <w:rPr>
          <w:rStyle w:val="FootnoteReference"/>
          <w:sz w:val="22"/>
          <w:szCs w:val="22"/>
        </w:rPr>
        <w:footnoteReference w:id="124"/>
      </w:r>
      <w:r w:rsidRPr="0067355D">
        <w:rPr>
          <w:szCs w:val="22"/>
        </w:rPr>
        <w:t xml:space="preserve">  Thus, under this category and the associated small business size standard, most Other Toll Carriers can be considered small.  According to internally developed Commission data, 284 companies reported that their primary telecommunications service activity was the provision of other toll carriage.</w:t>
      </w:r>
      <w:r>
        <w:rPr>
          <w:rStyle w:val="FootnoteReference"/>
          <w:spacing w:val="-2"/>
          <w:sz w:val="22"/>
          <w:szCs w:val="22"/>
        </w:rPr>
        <w:footnoteReference w:id="125"/>
      </w:r>
      <w:r w:rsidRPr="0067355D">
        <w:rPr>
          <w:szCs w:val="22"/>
        </w:rPr>
        <w:t xml:space="preserve">  Of these, an estimated 279 have 1,500 or fewer employees.</w:t>
      </w:r>
      <w:r>
        <w:rPr>
          <w:rStyle w:val="FootnoteReference"/>
          <w:spacing w:val="-2"/>
          <w:sz w:val="22"/>
          <w:szCs w:val="22"/>
        </w:rPr>
        <w:footnoteReference w:id="126"/>
      </w:r>
      <w:r w:rsidRPr="0067355D">
        <w:rPr>
          <w:szCs w:val="22"/>
        </w:rPr>
        <w:t xml:space="preserve">  Consequently, the Commission estimates that most Other Toll Carriers are small entities. </w:t>
      </w:r>
    </w:p>
    <w:p w:rsidR="00074E7A" w:rsidRPr="0067355D" w:rsidP="00817F01">
      <w:pPr>
        <w:pStyle w:val="ParaNum"/>
        <w:widowControl/>
        <w:numPr>
          <w:ilvl w:val="0"/>
          <w:numId w:val="9"/>
        </w:numPr>
        <w:rPr>
          <w:szCs w:val="22"/>
        </w:rPr>
      </w:pPr>
      <w:r w:rsidRPr="0067355D">
        <w:rPr>
          <w:b/>
          <w:szCs w:val="22"/>
        </w:rPr>
        <w:t>Wireless Telecommunications Carriers (except Satellite)</w:t>
      </w:r>
      <w:r w:rsidRPr="002C2A45">
        <w:rPr>
          <w:szCs w:val="22"/>
        </w:rPr>
        <w:t xml:space="preserve">. </w:t>
      </w:r>
      <w:r w:rsidRPr="0067355D">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127"/>
      </w:r>
      <w:r w:rsidRPr="0067355D">
        <w:rPr>
          <w:szCs w:val="22"/>
        </w:rPr>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  Thus, under this category and the associated size standard, the Commission estimates that </w:t>
      </w:r>
      <w:r w:rsidRPr="0067355D">
        <w:rPr>
          <w:szCs w:val="22"/>
        </w:rPr>
        <w:t>the majority of</w:t>
      </w:r>
      <w:r w:rsidRPr="0067355D">
        <w:rPr>
          <w:szCs w:val="22"/>
        </w:rPr>
        <w:t xml:space="preserve">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Pr>
          <w:rStyle w:val="FootnoteReference"/>
          <w:spacing w:val="-2"/>
          <w:sz w:val="22"/>
          <w:szCs w:val="22"/>
        </w:rPr>
        <w:footnoteReference w:id="128"/>
      </w:r>
      <w:r w:rsidRPr="0067355D">
        <w:rPr>
          <w:szCs w:val="22"/>
        </w:rPr>
        <w:t xml:space="preserve">  Of this total, an estimated 261 have 1,500 or fewer employees.</w:t>
      </w:r>
      <w:r>
        <w:rPr>
          <w:rStyle w:val="FootnoteReference"/>
          <w:spacing w:val="-2"/>
          <w:sz w:val="22"/>
          <w:szCs w:val="22"/>
        </w:rPr>
        <w:footnoteReference w:id="129"/>
      </w:r>
      <w:r w:rsidRPr="0067355D">
        <w:rPr>
          <w:szCs w:val="22"/>
        </w:rPr>
        <w:t xml:space="preserve">  Thus, using available data, we estimate that the majority of wireless firms can be considered small.</w:t>
      </w:r>
    </w:p>
    <w:p w:rsidR="00074E7A" w:rsidRPr="0067355D" w:rsidP="00817F01">
      <w:pPr>
        <w:pStyle w:val="ParaNum"/>
        <w:numPr>
          <w:ilvl w:val="0"/>
          <w:numId w:val="9"/>
        </w:numPr>
        <w:rPr>
          <w:szCs w:val="22"/>
        </w:rPr>
      </w:pPr>
      <w:r w:rsidRPr="0067355D">
        <w:rPr>
          <w:b/>
          <w:szCs w:val="22"/>
        </w:rPr>
        <w:t>Television Broadcasting</w:t>
      </w:r>
      <w:r w:rsidRPr="0067355D">
        <w:rPr>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Pr>
          <w:rStyle w:val="FootnoteReference"/>
          <w:sz w:val="22"/>
          <w:szCs w:val="22"/>
        </w:rPr>
        <w:footnoteReference w:id="130"/>
      </w:r>
      <w:r w:rsidRPr="0067355D">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Pr>
          <w:rStyle w:val="FootnoteReference"/>
          <w:sz w:val="22"/>
          <w:szCs w:val="22"/>
        </w:rPr>
        <w:footnoteReference w:id="131"/>
      </w:r>
      <w:r w:rsidRPr="0067355D">
        <w:rPr>
          <w:szCs w:val="22"/>
        </w:rPr>
        <w:t xml:space="preserve">  The 2012 Economic Census reports that 751 television broadcasting firms operated during that year.  Of that number, 656 had annual receipts of less than $25 million per year.  Based on that Census data we conclude that most firms that operate television stations are small.  The Commission has estimated the number of licensed commercial television stations to be 1,383.</w:t>
      </w:r>
      <w:r>
        <w:rPr>
          <w:rStyle w:val="FootnoteReference"/>
          <w:sz w:val="22"/>
          <w:szCs w:val="22"/>
        </w:rPr>
        <w:footnoteReference w:id="132"/>
      </w:r>
      <w:r w:rsidRPr="0067355D">
        <w:rPr>
          <w:szCs w:val="22"/>
        </w:rPr>
        <w:t xml:space="preserve">  In addition, according to Commission staff review of the BIA Advisory Services, LLC’s Media Access Pro Television Database, on March 28, 2012, about 950 of an estimated 1,300 commercial television stations (or approximately 73 percent) had revenues of $14 million or less.</w:t>
      </w:r>
      <w:r>
        <w:rPr>
          <w:rStyle w:val="FootnoteReference"/>
          <w:sz w:val="22"/>
          <w:szCs w:val="22"/>
        </w:rPr>
        <w:footnoteReference w:id="133"/>
      </w:r>
      <w:r w:rsidRPr="0067355D">
        <w:rPr>
          <w:szCs w:val="22"/>
        </w:rPr>
        <w:t xml:space="preserve">  We therefore estimate that the majority of commercial television broadcasters are small entities.</w:t>
      </w:r>
    </w:p>
    <w:p w:rsidR="00074E7A" w:rsidRPr="0067355D" w:rsidP="00817F01">
      <w:pPr>
        <w:pStyle w:val="ParaNum"/>
        <w:numPr>
          <w:ilvl w:val="0"/>
          <w:numId w:val="9"/>
        </w:numPr>
        <w:rPr>
          <w:szCs w:val="22"/>
        </w:rPr>
      </w:pPr>
      <w:r w:rsidRPr="0067355D">
        <w:rPr>
          <w:szCs w:val="22"/>
        </w:rPr>
        <w:t>In assessing whether a business concern qualifies as small under the above definition, business (control) affiliations</w:t>
      </w:r>
      <w:r>
        <w:rPr>
          <w:szCs w:val="22"/>
          <w:vertAlign w:val="superscript"/>
        </w:rPr>
        <w:footnoteReference w:id="134"/>
      </w:r>
      <w:r w:rsidRPr="0067355D">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074E7A" w:rsidRPr="0067355D" w:rsidP="00817F01">
      <w:pPr>
        <w:pStyle w:val="ParaNum"/>
        <w:widowControl/>
        <w:numPr>
          <w:ilvl w:val="0"/>
          <w:numId w:val="9"/>
        </w:numPr>
        <w:rPr>
          <w:szCs w:val="22"/>
        </w:rPr>
      </w:pPr>
      <w:r w:rsidRPr="0067355D">
        <w:rPr>
          <w:szCs w:val="22"/>
        </w:rPr>
        <w:t>In addition, the Commission has estimated the number of licensed noncommercial educational television stations to be 394.</w:t>
      </w:r>
      <w:r>
        <w:rPr>
          <w:rStyle w:val="FootnoteReference"/>
          <w:sz w:val="22"/>
          <w:szCs w:val="22"/>
        </w:rPr>
        <w:footnoteReference w:id="135"/>
      </w:r>
      <w:r w:rsidRPr="0067355D">
        <w:rPr>
          <w:szCs w:val="22"/>
        </w:rPr>
        <w:t xml:space="preserve">  These stations are non-profit, and therefore considered to be small entities.</w:t>
      </w:r>
      <w:r>
        <w:rPr>
          <w:rStyle w:val="FootnoteReference"/>
          <w:sz w:val="22"/>
          <w:szCs w:val="22"/>
        </w:rPr>
        <w:footnoteReference w:id="136"/>
      </w:r>
      <w:r w:rsidRPr="0067355D">
        <w:rPr>
          <w:szCs w:val="22"/>
        </w:rPr>
        <w:t xml:space="preserve">  There are also 2,382 low power television stations, including Class A stations.</w:t>
      </w:r>
      <w:r>
        <w:rPr>
          <w:rStyle w:val="FootnoteReference"/>
          <w:sz w:val="22"/>
          <w:szCs w:val="22"/>
        </w:rPr>
        <w:footnoteReference w:id="137"/>
      </w:r>
      <w:r w:rsidRPr="0067355D">
        <w:rPr>
          <w:szCs w:val="22"/>
        </w:rPr>
        <w:t xml:space="preserve">  Given the nature of these services, we will presume that all LPTV licensees qualify as small entities under the above SBA small business size standard.</w:t>
      </w:r>
    </w:p>
    <w:p w:rsidR="00074E7A" w:rsidRPr="0067355D" w:rsidP="00817F01">
      <w:pPr>
        <w:pStyle w:val="ParaNum"/>
        <w:numPr>
          <w:ilvl w:val="0"/>
          <w:numId w:val="9"/>
        </w:numPr>
        <w:rPr>
          <w:rStyle w:val="documentbody1"/>
          <w:rFonts w:ascii="Times New Roman" w:hAnsi="Times New Roman"/>
          <w:sz w:val="22"/>
          <w:szCs w:val="22"/>
        </w:rPr>
      </w:pPr>
      <w:r>
        <w:rPr>
          <w:b/>
          <w:szCs w:val="22"/>
        </w:rPr>
        <w:t>Radio Broadcasting</w:t>
      </w:r>
      <w:r w:rsidR="002C511B">
        <w:rPr>
          <w:b/>
          <w:szCs w:val="22"/>
        </w:rPr>
        <w:t xml:space="preserve">.  </w:t>
      </w:r>
      <w:r w:rsidRPr="0067355D">
        <w:rPr>
          <w:rStyle w:val="documentbody1"/>
          <w:rFonts w:ascii="Times New Roman" w:hAnsi="Times New Roman"/>
          <w:sz w:val="22"/>
          <w:szCs w:val="22"/>
        </w:rPr>
        <w:t>This Economic Census category “</w:t>
      </w:r>
      <w:r w:rsidRPr="0067355D">
        <w:rPr>
          <w:szCs w:val="22"/>
        </w:rPr>
        <w:t>comprises establishments primarily engaged in broadcasting aural programs by radio to the public.  Programming may originate in their own studio, from an affiliated network, or from external sources.”</w:t>
      </w:r>
      <w:r>
        <w:rPr>
          <w:rStyle w:val="FootnoteReference"/>
          <w:sz w:val="22"/>
          <w:szCs w:val="22"/>
        </w:rPr>
        <w:footnoteReference w:id="138"/>
      </w:r>
      <w:r w:rsidRPr="0067355D">
        <w:rPr>
          <w:szCs w:val="22"/>
        </w:rPr>
        <w:t xml:space="preserve">  The SBA has established a small business size standard for this category, which is:  such firms having $38.5 million or less in annual receipts.</w:t>
      </w:r>
      <w:r>
        <w:rPr>
          <w:rStyle w:val="FootnoteReference"/>
          <w:sz w:val="22"/>
          <w:szCs w:val="22"/>
        </w:rPr>
        <w:footnoteReference w:id="139"/>
      </w:r>
      <w:r w:rsidRPr="0067355D">
        <w:rPr>
          <w:szCs w:val="22"/>
        </w:rPr>
        <w:t xml:space="preserve">  Census data for 2012 show that 2,849 radio station firms operated during that year.  Of that number, 2,806 operated with annual receipts of less than $25 million per year</w:t>
      </w:r>
      <w:r w:rsidRPr="0067355D">
        <w:rPr>
          <w:rStyle w:val="documentbody1"/>
          <w:rFonts w:ascii="Times New Roman" w:hAnsi="Times New Roman"/>
          <w:sz w:val="22"/>
          <w:szCs w:val="22"/>
        </w:rPr>
        <w:t>.</w:t>
      </w:r>
      <w:r w:rsidRPr="0067355D">
        <w:rPr>
          <w:rStyle w:val="FootnoteReference"/>
          <w:sz w:val="22"/>
          <w:szCs w:val="22"/>
        </w:rPr>
        <w:t xml:space="preserve"> </w:t>
      </w:r>
      <w:r>
        <w:rPr>
          <w:rStyle w:val="FootnoteReference"/>
          <w:sz w:val="22"/>
          <w:szCs w:val="22"/>
        </w:rPr>
        <w:footnoteReference w:id="140"/>
      </w:r>
      <w:r w:rsidRPr="0067355D">
        <w:rPr>
          <w:szCs w:val="22"/>
        </w:rPr>
        <w:t xml:space="preserve">  </w:t>
      </w:r>
      <w:r w:rsidRPr="0067355D">
        <w:rPr>
          <w:rStyle w:val="documentbody1"/>
          <w:rFonts w:ascii="Times New Roman" w:hAnsi="Times New Roman"/>
          <w:sz w:val="22"/>
          <w:szCs w:val="22"/>
        </w:rPr>
        <w:t xml:space="preserve">According to Commission staff review of </w:t>
      </w:r>
      <w:r w:rsidRPr="0067355D">
        <w:rPr>
          <w:szCs w:val="22"/>
        </w:rPr>
        <w:t xml:space="preserve">BIA Advisory Services, LLC’s Media Access Pro Radio Database, </w:t>
      </w:r>
      <w:r w:rsidRPr="0067355D">
        <w:rPr>
          <w:rStyle w:val="documentbody1"/>
          <w:rFonts w:ascii="Times New Roman" w:hAnsi="Times New Roman"/>
          <w:sz w:val="22"/>
          <w:szCs w:val="22"/>
        </w:rPr>
        <w:t>on March 28, 2012, about 10,759 (97 percent) of 11,102 commercial radio stations had revenues of $38.5 million or less.  Therefore, most such entities are small entities.</w:t>
      </w:r>
    </w:p>
    <w:p w:rsidR="00074E7A" w:rsidRPr="0067355D" w:rsidP="00817F01">
      <w:pPr>
        <w:pStyle w:val="ParaNum"/>
        <w:numPr>
          <w:ilvl w:val="0"/>
          <w:numId w:val="9"/>
        </w:numPr>
        <w:rPr>
          <w:szCs w:val="22"/>
        </w:rPr>
      </w:pPr>
      <w:r w:rsidRPr="0067355D">
        <w:rPr>
          <w:szCs w:val="22"/>
        </w:rPr>
        <w:t>In assessing whether a business concern qualifies as small under the above size standard, business affiliations must be included.</w:t>
      </w:r>
      <w:r>
        <w:rPr>
          <w:szCs w:val="22"/>
          <w:vertAlign w:val="superscript"/>
        </w:rPr>
        <w:footnoteReference w:id="141"/>
      </w:r>
      <w:r w:rsidRPr="0067355D">
        <w:rPr>
          <w:szCs w:val="22"/>
        </w:rPr>
        <w:t xml:space="preserve">  In addition, to be determined to be a “small business,” the entity may not be dominant in its field of operation.</w:t>
      </w:r>
      <w:r>
        <w:rPr>
          <w:rStyle w:val="FootnoteReference"/>
          <w:sz w:val="22"/>
          <w:szCs w:val="22"/>
        </w:rPr>
        <w:footnoteReference w:id="142"/>
      </w:r>
      <w:r w:rsidRPr="0067355D">
        <w:rPr>
          <w:szCs w:val="22"/>
        </w:rPr>
        <w:t xml:space="preserve">  We note that it is difficult at times to assess these criteria in the context of media entities, and our estimate of small businesses may therefore be over-inclusive.</w:t>
      </w:r>
    </w:p>
    <w:p w:rsidR="00074E7A" w:rsidRPr="0067355D" w:rsidP="00817F01">
      <w:pPr>
        <w:pStyle w:val="ParaNum"/>
        <w:numPr>
          <w:ilvl w:val="0"/>
          <w:numId w:val="9"/>
        </w:numPr>
        <w:rPr>
          <w:szCs w:val="22"/>
        </w:rPr>
      </w:pPr>
      <w:r w:rsidRPr="0067355D">
        <w:rPr>
          <w:b/>
          <w:szCs w:val="22"/>
        </w:rPr>
        <w:t>Cable Television and Other Subscription Programming</w:t>
      </w:r>
      <w:r w:rsidRPr="0067355D">
        <w:rPr>
          <w:szCs w:val="22"/>
        </w:rPr>
        <w:t>.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z w:val="22"/>
          <w:szCs w:val="22"/>
        </w:rPr>
        <w:footnoteReference w:id="143"/>
      </w:r>
      <w:r w:rsidRPr="0067355D">
        <w:rPr>
          <w:szCs w:val="22"/>
        </w:rPr>
        <w:t xml:space="preserve">  The SBA has established a size standard for this industry of $38.5 million or less.  Census data for 2012 shows that there were 367 firms that operated that year.  Of this total, 319 operated with annual receipts of less than $25 million.</w:t>
      </w:r>
      <w:r>
        <w:rPr>
          <w:rStyle w:val="FootnoteReference"/>
          <w:sz w:val="22"/>
          <w:szCs w:val="22"/>
        </w:rPr>
        <w:footnoteReference w:id="144"/>
      </w:r>
      <w:r w:rsidRPr="0067355D">
        <w:rPr>
          <w:szCs w:val="22"/>
        </w:rPr>
        <w:t xml:space="preserve">  Thus under this size standard, most firms offering cable and other program distribution services can be considered small and may be affected by rules adopted.</w:t>
      </w:r>
    </w:p>
    <w:p w:rsidR="00074E7A" w:rsidRPr="0067355D" w:rsidP="00817F01">
      <w:pPr>
        <w:pStyle w:val="ParaNum"/>
        <w:numPr>
          <w:ilvl w:val="0"/>
          <w:numId w:val="9"/>
        </w:numPr>
        <w:rPr>
          <w:szCs w:val="22"/>
        </w:rPr>
      </w:pPr>
      <w:r w:rsidRPr="0067355D">
        <w:rPr>
          <w:b/>
          <w:szCs w:val="22"/>
        </w:rPr>
        <w:t>Cable Companies and Systems</w:t>
      </w:r>
      <w:r w:rsidRPr="0067355D">
        <w:rPr>
          <w:szCs w:val="22"/>
        </w:rPr>
        <w:t xml:space="preserve">.  The Commission has developed its own small business size standards </w:t>
      </w:r>
      <w:r w:rsidRPr="0067355D">
        <w:rPr>
          <w:szCs w:val="22"/>
        </w:rPr>
        <w:t>for the purpose of</w:t>
      </w:r>
      <w:r w:rsidRPr="0067355D">
        <w:rPr>
          <w:szCs w:val="22"/>
        </w:rPr>
        <w:t xml:space="preserve"> cable rate regulation.  Under the Commission's rules, a “small cable company” is one serving 400,000 or fewer subscribers nationwide.</w:t>
      </w:r>
      <w:r>
        <w:rPr>
          <w:rStyle w:val="FootnoteReference"/>
          <w:sz w:val="22"/>
          <w:szCs w:val="22"/>
        </w:rPr>
        <w:footnoteReference w:id="145"/>
      </w:r>
      <w:r w:rsidRPr="0067355D">
        <w:rPr>
          <w:szCs w:val="22"/>
        </w:rPr>
        <w:t xml:space="preserve">  </w:t>
      </w:r>
      <w:r w:rsidR="00AC01F0">
        <w:rPr>
          <w:szCs w:val="22"/>
        </w:rPr>
        <w:t>The Commission’s i</w:t>
      </w:r>
      <w:r w:rsidRPr="0067355D">
        <w:rPr>
          <w:szCs w:val="22"/>
        </w:rPr>
        <w:t>ndustry data indicate that there are currently 4,</w:t>
      </w:r>
      <w:r w:rsidR="00AC01F0">
        <w:rPr>
          <w:szCs w:val="22"/>
        </w:rPr>
        <w:t>160</w:t>
      </w:r>
      <w:r w:rsidRPr="0067355D">
        <w:rPr>
          <w:szCs w:val="22"/>
        </w:rPr>
        <w:t xml:space="preserve"> active cable systems in the United States.</w:t>
      </w:r>
      <w:r>
        <w:rPr>
          <w:rStyle w:val="FootnoteReference"/>
          <w:sz w:val="22"/>
          <w:szCs w:val="22"/>
        </w:rPr>
        <w:footnoteReference w:id="146"/>
      </w:r>
      <w:r w:rsidRPr="0067355D">
        <w:rPr>
          <w:szCs w:val="22"/>
        </w:rPr>
        <w:t xml:space="preserve">  Of this total, all but ten cable operators nationwide are small under the 400,000-subscriber size standard.</w:t>
      </w:r>
      <w:r>
        <w:rPr>
          <w:rStyle w:val="FootnoteReference"/>
          <w:sz w:val="22"/>
          <w:szCs w:val="22"/>
        </w:rPr>
        <w:footnoteReference w:id="147"/>
      </w:r>
      <w:r w:rsidRPr="0067355D">
        <w:rPr>
          <w:szCs w:val="22"/>
        </w:rPr>
        <w:t xml:space="preserve">  In addition, under the Commission's rate regulation rules, a “small system” is a cable system serving 15,000 or fewer subscribers.</w:t>
      </w:r>
      <w:r>
        <w:rPr>
          <w:rStyle w:val="FootnoteReference"/>
          <w:sz w:val="22"/>
          <w:szCs w:val="22"/>
        </w:rPr>
        <w:footnoteReference w:id="148"/>
      </w:r>
      <w:r w:rsidRPr="0067355D">
        <w:rPr>
          <w:szCs w:val="22"/>
        </w:rPr>
        <w:t xml:space="preserve">  Current Commission records show 4,</w:t>
      </w:r>
      <w:r w:rsidR="00AC01F0">
        <w:rPr>
          <w:szCs w:val="22"/>
        </w:rPr>
        <w:t>160</w:t>
      </w:r>
      <w:r w:rsidRPr="0067355D">
        <w:rPr>
          <w:szCs w:val="22"/>
        </w:rPr>
        <w:t xml:space="preserve"> cable systems nationwide.</w:t>
      </w:r>
      <w:r>
        <w:rPr>
          <w:rStyle w:val="FootnoteReference"/>
          <w:sz w:val="22"/>
          <w:szCs w:val="22"/>
        </w:rPr>
        <w:footnoteReference w:id="149"/>
      </w:r>
      <w:r w:rsidRPr="0067355D">
        <w:rPr>
          <w:szCs w:val="22"/>
        </w:rPr>
        <w:t xml:space="preserve">  Thus, under this standard as well, we estimate that most cable systems are small entities.</w:t>
      </w:r>
    </w:p>
    <w:p w:rsidR="00074E7A" w:rsidRPr="0067355D" w:rsidP="00074E7A">
      <w:pPr>
        <w:pStyle w:val="ParaNum"/>
        <w:rPr>
          <w:szCs w:val="22"/>
        </w:rPr>
      </w:pPr>
      <w:r w:rsidRPr="0067355D">
        <w:rPr>
          <w:b/>
          <w:szCs w:val="22"/>
        </w:rPr>
        <w:t>Cable System Operators (Telecom Act Standard)</w:t>
      </w:r>
      <w:r w:rsidRPr="002C2A45">
        <w:rPr>
          <w:szCs w:val="22"/>
        </w:rPr>
        <w:t xml:space="preserve">. </w:t>
      </w:r>
      <w:r w:rsidRPr="0067355D">
        <w:rPr>
          <w:szCs w:val="22"/>
        </w:rPr>
        <w:t xml:space="preserve"> The Communications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 w:val="22"/>
          <w:szCs w:val="22"/>
        </w:rPr>
        <w:footnoteReference w:id="150"/>
      </w:r>
      <w:r w:rsidRPr="0067355D">
        <w:rPr>
          <w:szCs w:val="22"/>
        </w:rPr>
        <w:t xml:space="preserve">  There are approximately 53 million cable video subscribers in the United States today.</w:t>
      </w:r>
      <w:r>
        <w:rPr>
          <w:rStyle w:val="FootnoteReference"/>
          <w:sz w:val="22"/>
          <w:szCs w:val="22"/>
        </w:rPr>
        <w:footnoteReference w:id="151"/>
      </w:r>
      <w:r w:rsidRPr="0067355D">
        <w:rPr>
          <w:szCs w:val="22"/>
        </w:rP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sz w:val="22"/>
          <w:szCs w:val="22"/>
        </w:rPr>
        <w:footnoteReference w:id="152"/>
      </w:r>
      <w:r w:rsidRPr="0067355D">
        <w:rPr>
          <w:szCs w:val="22"/>
        </w:rPr>
        <w:t xml:space="preserve">  Based on available data, we find that all but nine incumbent cable operators are small entities under this size standard.</w:t>
      </w:r>
      <w:r>
        <w:rPr>
          <w:rStyle w:val="FootnoteReference"/>
          <w:sz w:val="22"/>
          <w:szCs w:val="22"/>
        </w:rPr>
        <w:footnoteReference w:id="153"/>
      </w:r>
      <w:r w:rsidRPr="0067355D">
        <w:rPr>
          <w:szCs w:val="22"/>
        </w:rPr>
        <w:t xml:space="preserve">  We note that the Commission neither requests nor collects information on whether cable system operators are affiliated with entities whose gross annual revenues exceed $250 million.</w:t>
      </w:r>
      <w:r>
        <w:rPr>
          <w:rStyle w:val="FootnoteReference"/>
          <w:sz w:val="22"/>
          <w:szCs w:val="22"/>
        </w:rPr>
        <w:footnoteReference w:id="154"/>
      </w:r>
      <w:r w:rsidRPr="0067355D">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074E7A" w:rsidRPr="0067355D" w:rsidP="00074E7A">
      <w:pPr>
        <w:pStyle w:val="ParaNum"/>
        <w:rPr>
          <w:szCs w:val="22"/>
        </w:rPr>
      </w:pPr>
      <w:r w:rsidRPr="0067355D">
        <w:rPr>
          <w:b/>
          <w:szCs w:val="22"/>
        </w:rPr>
        <w:t>Direct Broadcast Satellite (DBS) Service.</w:t>
      </w:r>
      <w:r w:rsidRPr="0067355D">
        <w:rPr>
          <w:szCs w:val="22"/>
        </w:rPr>
        <w:t xml:space="preserve">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155"/>
      </w:r>
      <w:r w:rsidRPr="0067355D">
        <w:rPr>
          <w:szCs w:val="22"/>
        </w:rPr>
        <w:t xml:space="preserve">  The SBA determines that a wireline business is small if it has fewer than 1500 employees.</w:t>
      </w:r>
      <w:r>
        <w:rPr>
          <w:rStyle w:val="FootnoteReference"/>
          <w:sz w:val="22"/>
          <w:szCs w:val="22"/>
        </w:rPr>
        <w:footnoteReference w:id="156"/>
      </w:r>
      <w:r w:rsidRPr="0067355D">
        <w:rPr>
          <w:szCs w:val="22"/>
        </w:rPr>
        <w:t xml:space="preserve">  Census data for 2012 indicate that 3,117 wireline companies were operational during that year.  Of that number, 3,083 operated with fewer than 1,000 employees.</w:t>
      </w:r>
      <w:r>
        <w:rPr>
          <w:rStyle w:val="FootnoteReference"/>
          <w:sz w:val="22"/>
          <w:szCs w:val="22"/>
        </w:rPr>
        <w:footnoteReference w:id="157"/>
      </w:r>
      <w:r w:rsidRPr="0067355D">
        <w:rPr>
          <w:szCs w:val="22"/>
        </w:rPr>
        <w:t xml:space="preserve">  Based on that data, we conclude that most wireline firms are small under the applicable standard.  However, currently only two entities provide DBS service, AT&amp;T and DISH Network.  AT&amp;T and DISH Network each report annual revenues that are </w:t>
      </w:r>
      <w:r w:rsidRPr="0067355D">
        <w:rPr>
          <w:szCs w:val="22"/>
        </w:rPr>
        <w:t>in excess of</w:t>
      </w:r>
      <w:r w:rsidRPr="0067355D">
        <w:rPr>
          <w:szCs w:val="22"/>
        </w:rPr>
        <w:t xml:space="preserve"> the threshold for a small business.  Accordingly, we conclude that DBS service is provided only by large firms.</w:t>
      </w:r>
    </w:p>
    <w:p w:rsidR="00074E7A" w:rsidRPr="0067355D" w:rsidP="00074E7A">
      <w:pPr>
        <w:pStyle w:val="ParaNum"/>
        <w:rPr>
          <w:szCs w:val="22"/>
        </w:rPr>
      </w:pPr>
      <w:r w:rsidRPr="0067355D">
        <w:rPr>
          <w:b/>
          <w:szCs w:val="22"/>
        </w:rPr>
        <w:t>All Other Telecommunications</w:t>
      </w:r>
      <w:r w:rsidRPr="0067355D">
        <w:rPr>
          <w:szCs w:val="22"/>
        </w:rPr>
        <w:t xml:space="preserve">.  </w:t>
      </w:r>
      <w:bookmarkStart w:id="117" w:name="_Toc390878820"/>
      <w:bookmarkStart w:id="118" w:name="_Toc391364453"/>
      <w:bookmarkStart w:id="119" w:name="_Toc394672341"/>
      <w:bookmarkStart w:id="120" w:name="_Toc397078349"/>
      <w:bookmarkStart w:id="121" w:name="_Toc403117511"/>
      <w:bookmarkStart w:id="122" w:name="_Toc404352147"/>
      <w:bookmarkStart w:id="123" w:name="_Toc406064041"/>
      <w:bookmarkStart w:id="124" w:name="_Toc406754921"/>
      <w:bookmarkStart w:id="125" w:name="_Toc407006739"/>
      <w:bookmarkStart w:id="126" w:name="_Toc407018474"/>
      <w:bookmarkStart w:id="127" w:name="_Toc408483456"/>
      <w:bookmarkStart w:id="128" w:name="_Toc410723696"/>
      <w:bookmarkStart w:id="129" w:name="_Toc411434905"/>
      <w:bookmarkStart w:id="130" w:name="_Toc413083247"/>
      <w:bookmarkStart w:id="131" w:name="_Toc413672137"/>
      <w:r w:rsidRPr="0067355D">
        <w:rPr>
          <w:b/>
          <w:szCs w:val="22"/>
        </w:rPr>
        <w:t>“</w:t>
      </w:r>
      <w:r w:rsidRPr="0067355D">
        <w:rPr>
          <w:szCs w:val="22"/>
        </w:rPr>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 w:val="22"/>
          <w:szCs w:val="22"/>
        </w:rPr>
        <w:footnoteReference w:id="158"/>
      </w:r>
      <w:r w:rsidRPr="0067355D">
        <w:rPr>
          <w:szCs w:val="22"/>
        </w:rPr>
        <w:t xml:space="preserve">  The SBA has developed a small business size standard for “All Other Telecommunications,” which consists of all such firms with gross annual receipts of $32.5 million or less.</w:t>
      </w:r>
      <w:r>
        <w:rPr>
          <w:rStyle w:val="FootnoteReference"/>
          <w:sz w:val="22"/>
          <w:szCs w:val="22"/>
        </w:rPr>
        <w:footnoteReference w:id="159"/>
      </w:r>
      <w:r w:rsidRPr="0067355D">
        <w:rPr>
          <w:szCs w:val="22"/>
        </w:rPr>
        <w:t xml:space="preserve">  For this category, census data for 2012 show that there were 1,442 firms that operated for the entire year.  Of these firms, a total of 1,400 had gross annual receipts of less than $25 million.</w:t>
      </w:r>
      <w:r>
        <w:rPr>
          <w:rStyle w:val="FootnoteReference"/>
          <w:sz w:val="22"/>
          <w:szCs w:val="22"/>
        </w:rPr>
        <w:footnoteReference w:id="160"/>
      </w:r>
      <w:r w:rsidRPr="0067355D">
        <w:rPr>
          <w:szCs w:val="22"/>
        </w:rPr>
        <w:t xml:space="preserve">  Thus, most “All Other Telecommunications” firms potentially affected by the rules adopted can be considered small.</w:t>
      </w:r>
    </w:p>
    <w:p w:rsidR="00074E7A" w:rsidRPr="0067355D" w:rsidP="00074E7A">
      <w:pPr>
        <w:pStyle w:val="ParaNum"/>
        <w:rPr>
          <w:szCs w:val="22"/>
        </w:rPr>
      </w:pPr>
      <w:r w:rsidRPr="0067355D">
        <w:rPr>
          <w:b/>
          <w:szCs w:val="22"/>
        </w:rPr>
        <w:t>RespOrgs</w:t>
      </w:r>
      <w:r w:rsidRPr="00D81681">
        <w:rPr>
          <w:szCs w:val="22"/>
        </w:rPr>
        <w:t>.</w:t>
      </w:r>
      <w:r w:rsidRPr="0067355D">
        <w:rPr>
          <w:b/>
          <w:szCs w:val="22"/>
        </w:rPr>
        <w:t xml:space="preserve">  </w:t>
      </w:r>
      <w:r w:rsidRPr="0067355D">
        <w:rPr>
          <w:szCs w:val="22"/>
        </w:rPr>
        <w:t>RespOrgs, i.e., Responsible Organizations, are entities chosen by toll-free subscribers to manage and administer the appropriate records in the toll-free Service Management System for the toll-free subscriber.</w:t>
      </w:r>
      <w:r>
        <w:rPr>
          <w:rStyle w:val="FootnoteReference"/>
          <w:sz w:val="22"/>
          <w:szCs w:val="22"/>
        </w:rPr>
        <w:footnoteReference w:id="161"/>
      </w:r>
      <w:r w:rsidRPr="0067355D">
        <w:rPr>
          <w:szCs w:val="22"/>
        </w:rPr>
        <w:t xml:space="preserve">  Although RespOrgs are often wireline carriers, they can also include non-carrier entities.  Therefore, in the definition herein of RespOrgs, two categories are presented, i.e., Carrier RespOrgs and Non-Carrier RespOrgs.</w:t>
      </w:r>
    </w:p>
    <w:p w:rsidR="00074E7A" w:rsidRPr="0067355D" w:rsidP="00074E7A">
      <w:pPr>
        <w:pStyle w:val="ParaNum"/>
        <w:rPr>
          <w:szCs w:val="22"/>
        </w:rPr>
      </w:pPr>
      <w:r w:rsidRPr="0067355D">
        <w:rPr>
          <w:b/>
          <w:szCs w:val="22"/>
        </w:rPr>
        <w:t>Carrier RespOrgs</w:t>
      </w:r>
      <w:r w:rsidRPr="0067355D">
        <w:rPr>
          <w:szCs w:val="22"/>
        </w:rPr>
        <w:t>. Neither the Commission, the U.S. Census, nor the SBA have developed a definition for Carrier RespOrgs.  Accordingly, the Commission believes that the closest NAICS code-based definitional categories for Carrier RespOrgs are Wired Telecommunications Carriers</w:t>
      </w:r>
      <w:r>
        <w:rPr>
          <w:rStyle w:val="FootnoteReference"/>
          <w:sz w:val="22"/>
          <w:szCs w:val="22"/>
        </w:rPr>
        <w:footnoteReference w:id="162"/>
      </w:r>
      <w:r w:rsidRPr="0067355D">
        <w:rPr>
          <w:szCs w:val="22"/>
        </w:rPr>
        <w:t xml:space="preserve"> and Wireless Telecommunications Carriers (except satellite).</w:t>
      </w:r>
      <w:r>
        <w:rPr>
          <w:rStyle w:val="FootnoteReference"/>
          <w:sz w:val="22"/>
          <w:szCs w:val="22"/>
        </w:rPr>
        <w:footnoteReference w:id="163"/>
      </w:r>
      <w:r w:rsidRPr="0067355D">
        <w:rPr>
          <w:szCs w:val="22"/>
        </w:rPr>
        <w:t xml:space="preserve"> </w:t>
      </w:r>
    </w:p>
    <w:p w:rsidR="00074E7A" w:rsidRPr="0067355D" w:rsidP="00074E7A">
      <w:pPr>
        <w:pStyle w:val="ParaNum"/>
        <w:rPr>
          <w:szCs w:val="22"/>
        </w:rPr>
      </w:pPr>
      <w:r w:rsidRPr="0067355D">
        <w:rPr>
          <w:szCs w:val="22"/>
        </w:rPr>
        <w:t xml:space="preserve">The U.S. Census Bureau defines </w:t>
      </w:r>
      <w:r w:rsidRPr="0067355D">
        <w:rPr>
          <w:b/>
          <w:szCs w:val="22"/>
        </w:rPr>
        <w:t>Wired Telecommunications Carriers</w:t>
      </w:r>
      <w:r w:rsidRPr="0067355D">
        <w:rPr>
          <w:szCs w:val="22"/>
        </w:rPr>
        <w:t xml:space="preserve">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sz w:val="22"/>
          <w:szCs w:val="22"/>
        </w:rPr>
        <w:footnoteReference w:id="164"/>
      </w:r>
      <w:r w:rsidRPr="0067355D">
        <w:rPr>
          <w:szCs w:val="22"/>
        </w:rPr>
        <w:t xml:space="preserve">  The SBA has developed a small business size standard for Wired Telecommunications Carriers, which consists of all such companies having 1,500 or fewer employees.</w:t>
      </w:r>
      <w:r>
        <w:rPr>
          <w:rStyle w:val="FootnoteReference"/>
          <w:sz w:val="22"/>
          <w:szCs w:val="22"/>
        </w:rPr>
        <w:footnoteReference w:id="165"/>
      </w:r>
      <w:r w:rsidRPr="0067355D">
        <w:rPr>
          <w:szCs w:val="22"/>
        </w:rPr>
        <w:t xml:space="preserve">  Census data for 2012 show that there were 3,117 Wired Telecommunications Carrier firms that operated for that entire year.  Of that number, 3,083 operated with less than 1,000 employees.</w:t>
      </w:r>
      <w:r>
        <w:rPr>
          <w:rStyle w:val="FootnoteReference"/>
          <w:sz w:val="22"/>
          <w:szCs w:val="22"/>
        </w:rPr>
        <w:footnoteReference w:id="166"/>
      </w:r>
      <w:r w:rsidRPr="0067355D">
        <w:rPr>
          <w:szCs w:val="22"/>
        </w:rPr>
        <w:t xml:space="preserve">  Based on that data, we conclude that most Carrier RespOrgs that operated with wireline-based technology are small.</w:t>
      </w:r>
    </w:p>
    <w:p w:rsidR="00074E7A" w:rsidRPr="0067355D" w:rsidP="00074E7A">
      <w:pPr>
        <w:pStyle w:val="ParaNum"/>
        <w:rPr>
          <w:szCs w:val="22"/>
        </w:rPr>
      </w:pPr>
      <w:r w:rsidRPr="0067355D">
        <w:rPr>
          <w:szCs w:val="22"/>
        </w:rPr>
        <w:t xml:space="preserve">The U.S. Census Bureau defines </w:t>
      </w:r>
      <w:r w:rsidRPr="0067355D">
        <w:rPr>
          <w:b/>
          <w:szCs w:val="22"/>
        </w:rPr>
        <w:t>Wireless Telecommunications Carriers (except satellite</w:t>
      </w:r>
      <w:r w:rsidRPr="0067355D">
        <w:rPr>
          <w:szCs w:val="22"/>
        </w:rPr>
        <w:t>) as  establishments engaged in operating and maintaining switching and transmission facilities to provide communications via the airwaves, such as cellular services, paging services, wireless internet access, and wireless video services.</w:t>
      </w:r>
      <w:r>
        <w:rPr>
          <w:rStyle w:val="FootnoteReference"/>
          <w:sz w:val="22"/>
          <w:szCs w:val="22"/>
        </w:rPr>
        <w:footnoteReference w:id="167"/>
      </w:r>
      <w:r w:rsidRPr="0067355D">
        <w:rPr>
          <w:szCs w:val="22"/>
        </w:rPr>
        <w:t xml:space="preserve">  The appropriate size standard under SBA rules is that such a business is small if it has 1,500 or fewer employees.</w:t>
      </w:r>
      <w:r>
        <w:rPr>
          <w:rStyle w:val="FootnoteReference"/>
          <w:sz w:val="22"/>
          <w:szCs w:val="22"/>
        </w:rPr>
        <w:footnoteReference w:id="168"/>
      </w:r>
      <w:r w:rsidRPr="0067355D">
        <w:rPr>
          <w:szCs w:val="22"/>
        </w:rPr>
        <w:t xml:space="preserve">  Census data for 2012 show that 967 Wireless Telecommunications Carriers operated in that year. Of that number, 955 operated with less than 1,000 employees.</w:t>
      </w:r>
      <w:r>
        <w:rPr>
          <w:rStyle w:val="FootnoteReference"/>
          <w:sz w:val="22"/>
          <w:szCs w:val="22"/>
        </w:rPr>
        <w:footnoteReference w:id="169"/>
      </w:r>
      <w:r w:rsidRPr="0067355D">
        <w:rPr>
          <w:szCs w:val="22"/>
        </w:rPr>
        <w:t xml:space="preserve">   Based on that data, we conclude that most Carrier RespOrgs that operated with wireless-based technology are small.</w:t>
      </w:r>
    </w:p>
    <w:p w:rsidR="00074E7A" w:rsidRPr="0067355D" w:rsidP="00074E7A">
      <w:pPr>
        <w:pStyle w:val="ParaNum"/>
        <w:rPr>
          <w:szCs w:val="22"/>
        </w:rPr>
      </w:pPr>
      <w:r w:rsidRPr="0067355D">
        <w:rPr>
          <w:b/>
          <w:szCs w:val="22"/>
        </w:rPr>
        <w:t>Non-Carrier RespOrgs</w:t>
      </w:r>
      <w:r w:rsidRPr="0067355D">
        <w:rPr>
          <w:szCs w:val="22"/>
        </w:rPr>
        <w:t xml:space="preserve">. </w:t>
      </w:r>
      <w:r w:rsidRPr="0067355D">
        <w:rPr>
          <w:b/>
          <w:szCs w:val="22"/>
        </w:rPr>
        <w:t xml:space="preserve"> </w:t>
      </w:r>
      <w:r w:rsidRPr="0067355D">
        <w:rPr>
          <w:szCs w:val="22"/>
        </w:rPr>
        <w:t xml:space="preserve">Neither the Commission, the Census, nor the SBA have developed a definition of Non-Carrier RespOrgs.  Accordingly, the Commission believes that the closest NAICS code-based definitional categories for Non-Carrier RespOrgs are “Other Services Related </w:t>
      </w:r>
      <w:r w:rsidRPr="0067355D">
        <w:rPr>
          <w:szCs w:val="22"/>
        </w:rPr>
        <w:t>To</w:t>
      </w:r>
      <w:r w:rsidRPr="0067355D">
        <w:rPr>
          <w:szCs w:val="22"/>
        </w:rPr>
        <w:t xml:space="preserve"> Advertising”</w:t>
      </w:r>
      <w:r>
        <w:rPr>
          <w:rStyle w:val="FootnoteReference"/>
          <w:sz w:val="22"/>
          <w:szCs w:val="22"/>
        </w:rPr>
        <w:footnoteReference w:id="170"/>
      </w:r>
      <w:r w:rsidRPr="0067355D">
        <w:rPr>
          <w:szCs w:val="22"/>
        </w:rPr>
        <w:t xml:space="preserve"> and “Other Management Consulting Services.”</w:t>
      </w:r>
      <w:r>
        <w:rPr>
          <w:rStyle w:val="FootnoteReference"/>
          <w:sz w:val="22"/>
          <w:szCs w:val="22"/>
        </w:rPr>
        <w:footnoteReference w:id="171"/>
      </w:r>
    </w:p>
    <w:p w:rsidR="00074E7A" w:rsidRPr="0067355D" w:rsidP="00074E7A">
      <w:pPr>
        <w:pStyle w:val="ParaNum"/>
        <w:rPr>
          <w:szCs w:val="22"/>
        </w:rPr>
      </w:pPr>
      <w:r w:rsidRPr="0067355D">
        <w:rPr>
          <w:szCs w:val="22"/>
        </w:rPr>
        <w:t xml:space="preserve">The U.S. Census defines </w:t>
      </w:r>
      <w:r w:rsidRPr="0067355D">
        <w:rPr>
          <w:b/>
          <w:szCs w:val="22"/>
        </w:rPr>
        <w:t xml:space="preserve">Other Services Related to Advertising </w:t>
      </w:r>
      <w:r w:rsidRPr="0067355D">
        <w:rPr>
          <w:szCs w:val="22"/>
        </w:rPr>
        <w:t>as comprising establishments primarily engaged in providing advertising services (except advertising agency services, public relations agency services, media buying agency services, media representative services, display advertising services, direct mail advertising services, advertising material distribution services, and marketing consulting services.</w:t>
      </w:r>
      <w:r>
        <w:rPr>
          <w:rStyle w:val="FootnoteReference"/>
          <w:sz w:val="22"/>
          <w:szCs w:val="22"/>
        </w:rPr>
        <w:footnoteReference w:id="172"/>
      </w:r>
      <w:r w:rsidRPr="0067355D">
        <w:rPr>
          <w:szCs w:val="22"/>
        </w:rPr>
        <w:t xml:space="preserve">  The SBA has established a size standard for this industry as annual receipts of $15 million dollars or less.</w:t>
      </w:r>
      <w:r>
        <w:rPr>
          <w:rStyle w:val="FootnoteReference"/>
          <w:sz w:val="22"/>
          <w:szCs w:val="22"/>
        </w:rPr>
        <w:footnoteReference w:id="173"/>
      </w:r>
      <w:r w:rsidRPr="0067355D">
        <w:rPr>
          <w:szCs w:val="22"/>
        </w:rPr>
        <w:t xml:space="preserve">  Census data for 2012 show that 5,804 firms operated in this industry for the entire year.  Of that number, 5,249 operated with annual receipts of less than $10 million.</w:t>
      </w:r>
      <w:r>
        <w:rPr>
          <w:rStyle w:val="FootnoteReference"/>
          <w:sz w:val="22"/>
          <w:szCs w:val="22"/>
        </w:rPr>
        <w:footnoteReference w:id="174"/>
      </w:r>
      <w:r w:rsidRPr="0067355D">
        <w:rPr>
          <w:szCs w:val="22"/>
        </w:rPr>
        <w:t xml:space="preserve">  Based on that data we conclude that most Non-Carrier RespOrgs who provide TFN-related advertising services are small.</w:t>
      </w:r>
    </w:p>
    <w:p w:rsidR="00074E7A" w:rsidRPr="0067355D" w:rsidP="00074E7A">
      <w:pPr>
        <w:pStyle w:val="ParaNum"/>
        <w:rPr>
          <w:szCs w:val="22"/>
        </w:rPr>
      </w:pPr>
      <w:r w:rsidRPr="0067355D">
        <w:rPr>
          <w:szCs w:val="22"/>
        </w:rPr>
        <w:t xml:space="preserve">The U.S. Census defines </w:t>
      </w:r>
      <w:r w:rsidRPr="0067355D">
        <w:rPr>
          <w:b/>
          <w:szCs w:val="22"/>
        </w:rPr>
        <w:t xml:space="preserve">Other Management Consulting Services </w:t>
      </w:r>
      <w:r w:rsidRPr="0067355D">
        <w:rPr>
          <w:szCs w:val="22"/>
        </w:rPr>
        <w:t>as establishments primarily engaged in providing management consulting services (except administrative and general management consulting; human resources consulting; marketing consulting; or process, physical distribution, and logistics consulting).  Establishments providing telecommunications or utilities management consulting services are included in this industry.</w:t>
      </w:r>
      <w:r>
        <w:rPr>
          <w:rStyle w:val="FootnoteReference"/>
          <w:sz w:val="22"/>
          <w:szCs w:val="22"/>
        </w:rPr>
        <w:footnoteReference w:id="175"/>
      </w:r>
      <w:r w:rsidRPr="0067355D">
        <w:rPr>
          <w:szCs w:val="22"/>
        </w:rPr>
        <w:t xml:space="preserve">  The SBA has established a size standard for this industry of $15 million dollars or less.</w:t>
      </w:r>
      <w:r>
        <w:rPr>
          <w:rStyle w:val="FootnoteReference"/>
          <w:sz w:val="22"/>
          <w:szCs w:val="22"/>
        </w:rPr>
        <w:footnoteReference w:id="176"/>
      </w:r>
      <w:r w:rsidRPr="0067355D">
        <w:rPr>
          <w:szCs w:val="22"/>
        </w:rPr>
        <w:t xml:space="preserve">  Census data for 2012 show that 3,683 firms operated in this industry for that entire year.  Of that number, 3,632 operated with less than $10 million in annual receipts.</w:t>
      </w:r>
      <w:r w:rsidRPr="0067355D">
        <w:rPr>
          <w:rStyle w:val="FootnoteReference"/>
          <w:sz w:val="22"/>
          <w:szCs w:val="22"/>
        </w:rPr>
        <w:t xml:space="preserve"> </w:t>
      </w:r>
      <w:r>
        <w:rPr>
          <w:rStyle w:val="FootnoteReference"/>
          <w:sz w:val="22"/>
          <w:szCs w:val="22"/>
        </w:rPr>
        <w:footnoteReference w:id="177"/>
      </w:r>
      <w:r w:rsidRPr="0067355D">
        <w:rPr>
          <w:szCs w:val="22"/>
        </w:rPr>
        <w:t xml:space="preserve"> Based on this data, we conclude that most non-carrier RespOrgs who provide TFN-related management consulting services are small.</w:t>
      </w:r>
      <w:r>
        <w:rPr>
          <w:rStyle w:val="FootnoteReference"/>
          <w:sz w:val="22"/>
          <w:szCs w:val="22"/>
        </w:rPr>
        <w:footnoteReference w:id="178"/>
      </w:r>
    </w:p>
    <w:p w:rsidR="00074E7A" w:rsidRPr="0067355D" w:rsidP="00817F01">
      <w:pPr>
        <w:pStyle w:val="ParaNum"/>
        <w:numPr>
          <w:ilvl w:val="0"/>
          <w:numId w:val="9"/>
        </w:numPr>
        <w:rPr>
          <w:szCs w:val="22"/>
        </w:rPr>
      </w:pPr>
      <w:r w:rsidRPr="0067355D">
        <w:rPr>
          <w:szCs w:val="22"/>
        </w:rPr>
        <w:t xml:space="preserve">In addition to the data contained in the four (see above) U.S. Census NAICS code categories that provide definitions of what services and functions the Carrier and Non-Carrier </w:t>
      </w:r>
      <w:r w:rsidRPr="0067355D">
        <w:rPr>
          <w:szCs w:val="22"/>
        </w:rPr>
        <w:t>RespOrgs</w:t>
      </w:r>
      <w:r w:rsidRPr="0067355D">
        <w:rPr>
          <w:szCs w:val="22"/>
        </w:rPr>
        <w:t xml:space="preserve"> provide, </w:t>
      </w:r>
      <w:r w:rsidRPr="0067355D">
        <w:rPr>
          <w:szCs w:val="22"/>
        </w:rPr>
        <w:t>Somos</w:t>
      </w:r>
      <w:r w:rsidRPr="0067355D">
        <w:rPr>
          <w:szCs w:val="22"/>
        </w:rPr>
        <w:t xml:space="preserve">, the trade association that monitors </w:t>
      </w:r>
      <w:r w:rsidRPr="0067355D">
        <w:rPr>
          <w:szCs w:val="22"/>
        </w:rPr>
        <w:t>RespOrg</w:t>
      </w:r>
      <w:r w:rsidRPr="0067355D">
        <w:rPr>
          <w:szCs w:val="22"/>
        </w:rPr>
        <w:t xml:space="preserve"> activities, compiled data showing that as of July 1, 2016, there were 23 RespOrgs operational in Canada and 436 RespOrgs operational in the United States, for a total of 459 RespOrgs currently registered with </w:t>
      </w:r>
      <w:r w:rsidRPr="0067355D">
        <w:rPr>
          <w:szCs w:val="22"/>
        </w:rPr>
        <w:t>Somos</w:t>
      </w:r>
      <w:r w:rsidRPr="0067355D">
        <w:rPr>
          <w:szCs w:val="22"/>
        </w:rPr>
        <w:t>.</w:t>
      </w:r>
      <w:r>
        <w:rPr>
          <w:rStyle w:val="FootnoteReference"/>
          <w:sz w:val="22"/>
          <w:szCs w:val="22"/>
        </w:rPr>
        <w:footnoteReference w:id="179"/>
      </w:r>
    </w:p>
    <w:p w:rsidR="00074E7A" w:rsidRPr="0067355D" w:rsidP="00397214">
      <w:pPr>
        <w:pStyle w:val="Heading2"/>
        <w:numPr>
          <w:ilvl w:val="0"/>
          <w:numId w:val="0"/>
        </w:numPr>
        <w:ind w:left="1440"/>
      </w:pPr>
      <w:bookmarkStart w:id="132" w:name="_Toc491865069"/>
      <w:bookmarkStart w:id="133" w:name="_Toc491865484"/>
      <w:r w:rsidRPr="0067355D">
        <w:t>D.</w:t>
      </w:r>
      <w:r w:rsidRPr="0067355D">
        <w:tab/>
        <w:t>Description of Projected Reporting, Recordkeeping and Other Compliance Requirements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D5B69" w:rsidP="00817F01">
      <w:pPr>
        <w:pStyle w:val="ParaNum"/>
        <w:numPr>
          <w:ilvl w:val="0"/>
          <w:numId w:val="9"/>
        </w:numPr>
        <w:rPr>
          <w:szCs w:val="22"/>
        </w:rPr>
      </w:pPr>
      <w:r w:rsidRPr="0067355D">
        <w:rPr>
          <w:szCs w:val="22"/>
        </w:rPr>
        <w:t xml:space="preserve">This Report and Order does not adopt any new reporting, recordkeeping, or other compliance </w:t>
      </w:r>
      <w:r w:rsidR="006F6911">
        <w:rPr>
          <w:szCs w:val="22"/>
        </w:rPr>
        <w:t>requirements.</w:t>
      </w:r>
    </w:p>
    <w:p w:rsidR="006F6911" w:rsidP="00397214">
      <w:pPr>
        <w:pStyle w:val="Heading2"/>
        <w:numPr>
          <w:ilvl w:val="0"/>
          <w:numId w:val="0"/>
        </w:numPr>
        <w:ind w:left="1440"/>
      </w:pPr>
      <w:r>
        <w:t>E.</w:t>
      </w:r>
      <w:r>
        <w:tab/>
        <w:t>Steps Taken to Minimize Significant Economic Impact on Small Entities and Significant Alternatives Considered</w:t>
      </w:r>
    </w:p>
    <w:p w:rsidR="000F14E5" w:rsidRPr="0067355D" w:rsidP="00817F01">
      <w:pPr>
        <w:pStyle w:val="ParaNum"/>
        <w:numPr>
          <w:ilvl w:val="0"/>
          <w:numId w:val="9"/>
        </w:numPr>
        <w:rPr>
          <w:szCs w:val="22"/>
        </w:rPr>
      </w:pPr>
      <w:r w:rsidRPr="0067355D">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pacing w:val="-2"/>
          <w:sz w:val="22"/>
          <w:szCs w:val="22"/>
        </w:rPr>
        <w:footnoteReference w:id="180"/>
      </w:r>
      <w:r w:rsidRPr="0067355D">
        <w:rPr>
          <w:szCs w:val="22"/>
        </w:rPr>
        <w:t xml:space="preserve">   </w:t>
      </w:r>
    </w:p>
    <w:p w:rsidR="000F14E5" w:rsidP="00817F01">
      <w:pPr>
        <w:pStyle w:val="ParaNum"/>
        <w:numPr>
          <w:ilvl w:val="0"/>
          <w:numId w:val="9"/>
        </w:numPr>
        <w:rPr>
          <w:szCs w:val="22"/>
        </w:rPr>
      </w:pPr>
      <w:r w:rsidRPr="0067355D">
        <w:rPr>
          <w:szCs w:val="22"/>
        </w:rPr>
        <w:t xml:space="preserve">This Report and Order adopts </w:t>
      </w:r>
      <w:r>
        <w:rPr>
          <w:szCs w:val="22"/>
        </w:rPr>
        <w:t>t</w:t>
      </w:r>
      <w:r w:rsidRPr="0067355D">
        <w:rPr>
          <w:szCs w:val="22"/>
        </w:rPr>
        <w:t xml:space="preserve">he </w:t>
      </w:r>
      <w:r>
        <w:rPr>
          <w:szCs w:val="22"/>
        </w:rPr>
        <w:t xml:space="preserve">proposals in the </w:t>
      </w:r>
      <w:r w:rsidRPr="0067355D">
        <w:rPr>
          <w:i/>
          <w:szCs w:val="22"/>
        </w:rPr>
        <w:t>Notice</w:t>
      </w:r>
      <w:r w:rsidRPr="0067355D">
        <w:rPr>
          <w:szCs w:val="22"/>
        </w:rPr>
        <w:t xml:space="preserve"> to collect </w:t>
      </w:r>
      <w:r w:rsidRPr="00CD1925">
        <w:rPr>
          <w:szCs w:val="22"/>
        </w:rPr>
        <w:t xml:space="preserve">$322,035,000 </w:t>
      </w:r>
      <w:r w:rsidRPr="0067355D">
        <w:rPr>
          <w:szCs w:val="22"/>
        </w:rPr>
        <w:t>in regulatory fees for FY 2018</w:t>
      </w:r>
      <w:r w:rsidR="00F14FE3">
        <w:rPr>
          <w:szCs w:val="22"/>
        </w:rPr>
        <w:t>, as detailed in the</w:t>
      </w:r>
      <w:r w:rsidRPr="0067355D">
        <w:rPr>
          <w:szCs w:val="22"/>
        </w:rPr>
        <w:t xml:space="preserve"> fee schedules in Appendix </w:t>
      </w:r>
      <w:r w:rsidR="00186674">
        <w:rPr>
          <w:szCs w:val="22"/>
        </w:rPr>
        <w:t>C</w:t>
      </w:r>
      <w:r w:rsidRPr="0067355D">
        <w:rPr>
          <w:szCs w:val="22"/>
        </w:rPr>
        <w:t xml:space="preserve">, including an increase in the DBS fee rate to 48 cents per subscriber so that the DBS fee would approach the cable television/IPTV fee, based on the Media Bureau FTEs devoted to issues that include DBS.  </w:t>
      </w:r>
      <w:r w:rsidR="00E3249D">
        <w:rPr>
          <w:szCs w:val="22"/>
        </w:rPr>
        <w:t xml:space="preserve">The two </w:t>
      </w:r>
      <w:r w:rsidRPr="0067355D">
        <w:rPr>
          <w:szCs w:val="22"/>
        </w:rPr>
        <w:t xml:space="preserve">DBS providers are not small entities.  The regulatory fees </w:t>
      </w:r>
      <w:r w:rsidR="00F14FE3">
        <w:rPr>
          <w:szCs w:val="22"/>
        </w:rPr>
        <w:t xml:space="preserve">adopted </w:t>
      </w:r>
      <w:r w:rsidRPr="0067355D">
        <w:rPr>
          <w:szCs w:val="22"/>
        </w:rPr>
        <w:t xml:space="preserve">do not include any new fee categories, </w:t>
      </w:r>
      <w:r w:rsidR="00E3249D">
        <w:rPr>
          <w:szCs w:val="22"/>
        </w:rPr>
        <w:t xml:space="preserve">except for </w:t>
      </w:r>
      <w:r w:rsidRPr="0067355D">
        <w:rPr>
          <w:szCs w:val="22"/>
        </w:rPr>
        <w:t xml:space="preserve">the addition of non-common carrier terrestrial international bearer circuits </w:t>
      </w:r>
      <w:r w:rsidR="00955BCC">
        <w:rPr>
          <w:szCs w:val="22"/>
        </w:rPr>
        <w:t xml:space="preserve">to the regulatory fee category of international bearer circuits, </w:t>
      </w:r>
      <w:r w:rsidRPr="0067355D">
        <w:rPr>
          <w:szCs w:val="22"/>
        </w:rPr>
        <w:t xml:space="preserve">that previously did not pay regulatory fees.  To the extent such providers are small entities, the rates for smaller numbers of </w:t>
      </w:r>
      <w:r w:rsidRPr="0067355D">
        <w:rPr>
          <w:szCs w:val="22"/>
        </w:rPr>
        <w:t>circuits  would</w:t>
      </w:r>
      <w:r w:rsidRPr="0067355D">
        <w:rPr>
          <w:szCs w:val="22"/>
        </w:rPr>
        <w:t xml:space="preserve"> be lower than the rates for larger quantity of circuits and, in addition, the de minimis of $1,000 would likely exempt the smaller entities from paying annual regulatory fees.</w:t>
      </w:r>
      <w:r w:rsidR="00E3249D">
        <w:rPr>
          <w:szCs w:val="22"/>
        </w:rPr>
        <w:t xml:space="preserve">  </w:t>
      </w:r>
    </w:p>
    <w:p w:rsidR="000F14E5" w:rsidRPr="0067355D" w:rsidP="00817F01">
      <w:pPr>
        <w:pStyle w:val="ParaNum"/>
        <w:numPr>
          <w:ilvl w:val="0"/>
          <w:numId w:val="9"/>
        </w:numPr>
        <w:rPr>
          <w:szCs w:val="22"/>
        </w:rPr>
      </w:pPr>
      <w:r w:rsidRPr="0067355D">
        <w:rPr>
          <w:szCs w:val="22"/>
        </w:rPr>
        <w:t xml:space="preserve">In keeping with the requirements of the Regulatory Flexibility Act, we have considered certain alternative means of mitigating the effects of fee increases to a </w:t>
      </w:r>
      <w:r w:rsidRPr="0067355D">
        <w:rPr>
          <w:szCs w:val="22"/>
        </w:rPr>
        <w:t>particular industry</w:t>
      </w:r>
      <w:r w:rsidRPr="0067355D">
        <w:rPr>
          <w:szCs w:val="22"/>
        </w:rPr>
        <w:t xml:space="preserve"> segment.  For example, the Commission has increased the de minimis threshold to $1,000, which will impact many small entities that pay regulatory fees.  This increase in the de minimis threshold to $1,000 will relieve </w:t>
      </w:r>
      <w:r w:rsidRPr="0067355D">
        <w:rPr>
          <w:szCs w:val="22"/>
        </w:rPr>
        <w:t>regulatees</w:t>
      </w:r>
      <w:r w:rsidRPr="0067355D">
        <w:rPr>
          <w:szCs w:val="22"/>
        </w:rPr>
        <w:t xml:space="preserve"> both financially and administratively.  Regulatees may also seek waivers or other relief </w:t>
      </w:r>
      <w:r w:rsidRPr="0067355D">
        <w:rPr>
          <w:szCs w:val="22"/>
        </w:rPr>
        <w:t>on the basis of</w:t>
      </w:r>
      <w:r w:rsidRPr="0067355D">
        <w:rPr>
          <w:szCs w:val="22"/>
        </w:rPr>
        <w:t xml:space="preserve"> financial hardship.  </w:t>
      </w:r>
      <w:r w:rsidRPr="0067355D">
        <w:rPr>
          <w:i/>
          <w:szCs w:val="22"/>
        </w:rPr>
        <w:t xml:space="preserve">See </w:t>
      </w:r>
      <w:r w:rsidRPr="0067355D">
        <w:rPr>
          <w:szCs w:val="22"/>
        </w:rPr>
        <w:t xml:space="preserve">47 CFR §1.1166. </w:t>
      </w:r>
    </w:p>
    <w:p w:rsidR="000F14E5" w:rsidRPr="0067355D" w:rsidP="00397214">
      <w:pPr>
        <w:pStyle w:val="Heading2"/>
        <w:numPr>
          <w:ilvl w:val="0"/>
          <w:numId w:val="0"/>
        </w:numPr>
        <w:ind w:left="1440"/>
      </w:pPr>
      <w:bookmarkStart w:id="134" w:name="_Toc391364455"/>
      <w:bookmarkStart w:id="135" w:name="_Toc394672343"/>
      <w:bookmarkStart w:id="136" w:name="_Toc397078351"/>
      <w:bookmarkStart w:id="137" w:name="_Toc403117513"/>
      <w:bookmarkStart w:id="138" w:name="_Toc404352149"/>
      <w:bookmarkStart w:id="139" w:name="_Toc406064043"/>
      <w:bookmarkStart w:id="140" w:name="_Toc406754923"/>
      <w:bookmarkStart w:id="141" w:name="_Toc407006741"/>
      <w:bookmarkStart w:id="142" w:name="_Toc407018476"/>
      <w:bookmarkStart w:id="143" w:name="_Toc408483458"/>
      <w:bookmarkStart w:id="144" w:name="_Toc410723698"/>
      <w:bookmarkStart w:id="145" w:name="_Toc411434907"/>
      <w:bookmarkStart w:id="146" w:name="_Toc413083249"/>
      <w:bookmarkStart w:id="147" w:name="_Toc413672139"/>
      <w:bookmarkStart w:id="148" w:name="_Toc491865071"/>
      <w:bookmarkStart w:id="149" w:name="_Toc491865486"/>
      <w:bookmarkStart w:id="150" w:name="_Toc390878822"/>
      <w:r w:rsidRPr="0067355D">
        <w:t>F.</w:t>
      </w:r>
      <w:r w:rsidRPr="0067355D">
        <w:tab/>
      </w:r>
      <w:bookmarkStart w:id="151" w:name="start_from_here"/>
      <w:r w:rsidRPr="0067355D">
        <w:t>Federal Rules that May Duplicate, Overlap, or Conflict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1"/>
      <w:r w:rsidRPr="0067355D">
        <w:t xml:space="preserve"> </w:t>
      </w:r>
      <w:bookmarkEnd w:id="150"/>
    </w:p>
    <w:p w:rsidR="000E05D4" w:rsidP="00B70629">
      <w:pPr>
        <w:pStyle w:val="ParaNum"/>
        <w:numPr>
          <w:ilvl w:val="0"/>
          <w:numId w:val="0"/>
        </w:numPr>
        <w:ind w:left="720"/>
        <w:rPr>
          <w:b/>
          <w:szCs w:val="22"/>
        </w:rPr>
      </w:pPr>
      <w:r w:rsidRPr="0067355D">
        <w:rPr>
          <w:szCs w:val="22"/>
        </w:rPr>
        <w:t>None.</w:t>
      </w:r>
    </w:p>
    <w:p w:rsidR="000E05D4" w:rsidP="00B70629">
      <w:pPr>
        <w:pStyle w:val="ParaNum"/>
        <w:numPr>
          <w:ilvl w:val="0"/>
          <w:numId w:val="0"/>
        </w:numPr>
        <w:ind w:left="720"/>
        <w:jc w:val="center"/>
        <w:rPr>
          <w:b/>
          <w:szCs w:val="22"/>
        </w:rPr>
      </w:pPr>
    </w:p>
    <w:p w:rsidR="000E05D4">
      <w:pPr>
        <w:widowControl/>
        <w:rPr>
          <w:b/>
          <w:szCs w:val="22"/>
        </w:rPr>
      </w:pPr>
      <w:r>
        <w:rPr>
          <w:b/>
          <w:szCs w:val="22"/>
        </w:rPr>
        <w:br w:type="page"/>
      </w:r>
    </w:p>
    <w:p w:rsidR="00C05946" w:rsidP="00B70629">
      <w:pPr>
        <w:pStyle w:val="ParaNum"/>
        <w:numPr>
          <w:ilvl w:val="0"/>
          <w:numId w:val="0"/>
        </w:numPr>
        <w:ind w:left="720"/>
        <w:jc w:val="center"/>
        <w:rPr>
          <w:b/>
          <w:szCs w:val="22"/>
        </w:rPr>
      </w:pPr>
      <w:r w:rsidRPr="0067355D">
        <w:rPr>
          <w:b/>
          <w:szCs w:val="22"/>
        </w:rPr>
        <w:t xml:space="preserve">APPENDIX </w:t>
      </w:r>
      <w:r w:rsidR="004076E7">
        <w:rPr>
          <w:b/>
          <w:szCs w:val="22"/>
        </w:rPr>
        <w:t>H</w:t>
      </w:r>
    </w:p>
    <w:p w:rsidR="00C05946" w:rsidRPr="0067355D" w:rsidP="00C05946">
      <w:pPr>
        <w:pStyle w:val="ParaNum"/>
        <w:numPr>
          <w:ilvl w:val="0"/>
          <w:numId w:val="0"/>
        </w:numPr>
        <w:spacing w:after="0"/>
        <w:ind w:left="720"/>
        <w:jc w:val="center"/>
        <w:rPr>
          <w:b/>
          <w:szCs w:val="22"/>
        </w:rPr>
      </w:pPr>
    </w:p>
    <w:p w:rsidR="00C05946" w:rsidP="00C05946">
      <w:pPr>
        <w:pStyle w:val="ParaNum"/>
        <w:numPr>
          <w:ilvl w:val="0"/>
          <w:numId w:val="0"/>
        </w:numPr>
        <w:spacing w:after="0"/>
        <w:ind w:firstLine="720"/>
        <w:jc w:val="center"/>
        <w:rPr>
          <w:b/>
          <w:szCs w:val="22"/>
        </w:rPr>
      </w:pPr>
      <w:r w:rsidRPr="0067355D">
        <w:rPr>
          <w:b/>
          <w:szCs w:val="22"/>
        </w:rPr>
        <w:t>FY 2017 Schedule of Regulatory Fees</w:t>
      </w:r>
    </w:p>
    <w:p w:rsidR="00C05946" w:rsidRPr="0067355D" w:rsidP="00C05946">
      <w:pPr>
        <w:pStyle w:val="ParaNum"/>
        <w:numPr>
          <w:ilvl w:val="0"/>
          <w:numId w:val="0"/>
        </w:numPr>
        <w:spacing w:after="0"/>
        <w:ind w:firstLine="720"/>
        <w:jc w:val="center"/>
        <w:rPr>
          <w:b/>
          <w:szCs w:val="22"/>
        </w:rPr>
      </w:pPr>
    </w:p>
    <w:p w:rsidR="00C05946" w:rsidRPr="0067355D" w:rsidP="00C05946">
      <w:pPr>
        <w:tabs>
          <w:tab w:val="center" w:pos="5040"/>
        </w:tabs>
        <w:suppressAutoHyphens/>
        <w:outlineLvl w:val="0"/>
        <w:rPr>
          <w:szCs w:val="22"/>
        </w:rPr>
      </w:pPr>
      <w:bookmarkStart w:id="152" w:name="_Toc491865057"/>
      <w:bookmarkStart w:id="153" w:name="_Toc491865472"/>
      <w:bookmarkStart w:id="154" w:name="_Toc514751357"/>
      <w:r w:rsidRPr="0067355D">
        <w:rPr>
          <w:szCs w:val="22"/>
        </w:rPr>
        <w:t>Regulatory fees for the categories shaded in gray are collected by the Commission in advance to cover the term of the license and are submitted at the time the application is filed.</w:t>
      </w:r>
      <w:bookmarkEnd w:id="152"/>
      <w:bookmarkEnd w:id="153"/>
      <w:bookmarkEnd w:id="154"/>
    </w:p>
    <w:p w:rsidR="00C05946" w:rsidRPr="0067355D" w:rsidP="00C05946">
      <w:pPr>
        <w:suppressAutoHyphens/>
        <w:ind w:left="1440" w:hanging="1440"/>
        <w:rPr>
          <w:szCs w:val="22"/>
        </w:rPr>
      </w:pPr>
    </w:p>
    <w:tbl>
      <w:tblPr>
        <w:tblW w:w="8550" w:type="dxa"/>
        <w:tblInd w:w="210" w:type="dxa"/>
        <w:tblLayout w:type="fixed"/>
        <w:tblCellMar>
          <w:left w:w="120" w:type="dxa"/>
          <w:right w:w="120" w:type="dxa"/>
        </w:tblCellMar>
        <w:tblLook w:val="0000"/>
      </w:tblPr>
      <w:tblGrid>
        <w:gridCol w:w="6840"/>
        <w:gridCol w:w="1710"/>
      </w:tblGrid>
      <w:tr w:rsidTr="00B62B5F">
        <w:tblPrEx>
          <w:tblW w:w="8550" w:type="dxa"/>
          <w:tblInd w:w="210" w:type="dxa"/>
          <w:tblLayout w:type="fixed"/>
          <w:tblCellMar>
            <w:left w:w="120" w:type="dxa"/>
            <w:right w:w="120" w:type="dxa"/>
          </w:tblCellMar>
          <w:tblLook w:val="0000"/>
        </w:tblPrEx>
        <w:trPr>
          <w:tblHeader/>
        </w:trPr>
        <w:tc>
          <w:tcPr>
            <w:tcW w:w="6840" w:type="dxa"/>
            <w:tcBorders>
              <w:top w:val="double" w:sz="6" w:space="0" w:color="auto"/>
              <w:left w:val="double" w:sz="6" w:space="0" w:color="auto"/>
              <w:bottom w:val="single" w:sz="8" w:space="0" w:color="auto"/>
            </w:tcBorders>
          </w:tcPr>
          <w:p w:rsidR="00C05946" w:rsidRPr="0067355D" w:rsidP="00B62B5F">
            <w:pPr>
              <w:suppressAutoHyphens/>
              <w:spacing w:before="90"/>
              <w:jc w:val="center"/>
              <w:rPr>
                <w:szCs w:val="22"/>
              </w:rPr>
            </w:pPr>
            <w:r>
              <w:rPr>
                <w:szCs w:val="22"/>
              </w:rPr>
              <w:fldChar w:fldCharType="begin"/>
            </w:r>
            <w:r w:rsidRPr="0067355D">
              <w:rPr>
                <w:szCs w:val="22"/>
              </w:rPr>
              <w:instrText xml:space="preserve">PRIVATE </w:instrText>
            </w:r>
            <w:r>
              <w:rPr>
                <w:szCs w:val="22"/>
              </w:rPr>
              <w:fldChar w:fldCharType="end"/>
            </w:r>
          </w:p>
          <w:p w:rsidR="00C05946" w:rsidRPr="0067355D" w:rsidP="00B62B5F">
            <w:pPr>
              <w:suppressAutoHyphens/>
              <w:jc w:val="center"/>
              <w:rPr>
                <w:b/>
                <w:szCs w:val="22"/>
              </w:rPr>
            </w:pPr>
            <w:r w:rsidRPr="0067355D">
              <w:rPr>
                <w:b/>
                <w:szCs w:val="22"/>
              </w:rPr>
              <w:t>Fee Category</w:t>
            </w:r>
          </w:p>
          <w:p w:rsidR="00C05946" w:rsidRPr="0067355D" w:rsidP="00B62B5F">
            <w:pPr>
              <w:suppressAutoHyphens/>
              <w:spacing w:after="54"/>
              <w:rPr>
                <w:b/>
                <w:szCs w:val="22"/>
              </w:rPr>
            </w:pPr>
          </w:p>
        </w:tc>
        <w:tc>
          <w:tcPr>
            <w:tcW w:w="1710" w:type="dxa"/>
            <w:tcBorders>
              <w:top w:val="double" w:sz="6" w:space="0" w:color="auto"/>
              <w:left w:val="single" w:sz="6" w:space="0" w:color="auto"/>
              <w:bottom w:val="single" w:sz="8" w:space="0" w:color="auto"/>
              <w:right w:val="double" w:sz="6" w:space="0" w:color="auto"/>
            </w:tcBorders>
          </w:tcPr>
          <w:p w:rsidR="00C05946" w:rsidRPr="0067355D" w:rsidP="00B62B5F">
            <w:pPr>
              <w:suppressAutoHyphens/>
              <w:spacing w:before="90"/>
              <w:jc w:val="center"/>
              <w:rPr>
                <w:b/>
                <w:szCs w:val="22"/>
              </w:rPr>
            </w:pPr>
            <w:r w:rsidRPr="0067355D">
              <w:rPr>
                <w:b/>
                <w:szCs w:val="22"/>
              </w:rPr>
              <w:t>Annual Regulatory Fee</w:t>
            </w:r>
          </w:p>
          <w:p w:rsidR="00C05946" w:rsidRPr="0067355D" w:rsidP="00B62B5F">
            <w:pPr>
              <w:suppressAutoHyphens/>
              <w:spacing w:after="54"/>
              <w:jc w:val="center"/>
              <w:rPr>
                <w:b/>
                <w:szCs w:val="22"/>
              </w:rPr>
            </w:pPr>
            <w:r w:rsidRPr="0067355D">
              <w:rPr>
                <w:b/>
                <w:szCs w:val="22"/>
              </w:rPr>
              <w:t>(U.S. $s)</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ind w:left="4680" w:hanging="4680"/>
              <w:rPr>
                <w:szCs w:val="22"/>
              </w:rPr>
            </w:pPr>
            <w:r w:rsidRPr="0067355D">
              <w:rPr>
                <w:szCs w:val="22"/>
              </w:rPr>
              <w:t>PLMRS (per license) (Exclusive Use) (47 CFR part 90)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25</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ind w:left="4320" w:hanging="4320"/>
              <w:rPr>
                <w:szCs w:val="22"/>
              </w:rPr>
            </w:pPr>
            <w:r w:rsidRPr="0067355D">
              <w:rPr>
                <w:szCs w:val="22"/>
              </w:rPr>
              <w:t>Microwave (per license) (47 CFR part 101)</w:t>
            </w:r>
            <w:r w:rsidRPr="0067355D">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25</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rPr>
                <w:szCs w:val="22"/>
              </w:rPr>
            </w:pPr>
            <w:r w:rsidRPr="0067355D">
              <w:rPr>
                <w:szCs w:val="22"/>
              </w:rPr>
              <w:t>Marine (Ship) (per station) (47 CFR part 80)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15</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rPr>
                <w:szCs w:val="22"/>
              </w:rPr>
            </w:pPr>
            <w:r w:rsidRPr="0067355D">
              <w:rPr>
                <w:szCs w:val="22"/>
              </w:rPr>
              <w:t>Marine (Coast) (per license) (47 CFR part 80)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40</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rPr>
                <w:szCs w:val="22"/>
              </w:rPr>
            </w:pPr>
            <w:r w:rsidRPr="0067355D">
              <w:rPr>
                <w:szCs w:val="22"/>
              </w:rPr>
              <w:t>Rural Radio (47 CFR part 22) (previously listed under the Land Mobile category)</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10</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rPr>
                <w:szCs w:val="22"/>
              </w:rPr>
            </w:pPr>
            <w:r w:rsidRPr="0067355D">
              <w:rPr>
                <w:szCs w:val="22"/>
              </w:rPr>
              <w:t>PLMRS (Shared Use) (per license) (47 CFR part 90)</w:t>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10</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ind w:left="5760" w:hanging="5760"/>
              <w:rPr>
                <w:szCs w:val="22"/>
              </w:rPr>
            </w:pPr>
            <w:r w:rsidRPr="0067355D">
              <w:rPr>
                <w:szCs w:val="22"/>
              </w:rPr>
              <w:t>Aviation (Aircraft) (per station) (47 CFR part 87)</w:t>
            </w:r>
            <w:r w:rsidRPr="0067355D">
              <w:rPr>
                <w:szCs w:val="22"/>
              </w:rPr>
              <w:tab/>
            </w:r>
            <w:r w:rsidRPr="0067355D">
              <w:rPr>
                <w:szCs w:val="22"/>
              </w:rPr>
              <w:tab/>
            </w:r>
            <w:r w:rsidRPr="0067355D">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10</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4" w:space="0" w:color="auto"/>
              <w:bottom w:val="single" w:sz="8" w:space="0" w:color="auto"/>
              <w:right w:val="single" w:sz="8" w:space="0" w:color="auto"/>
            </w:tcBorders>
            <w:shd w:val="clear" w:color="auto" w:fill="C0C0C0"/>
          </w:tcPr>
          <w:p w:rsidR="00C05946" w:rsidRPr="0067355D" w:rsidP="00B62B5F">
            <w:pPr>
              <w:suppressAutoHyphens/>
              <w:spacing w:before="90" w:after="54"/>
              <w:ind w:left="4320" w:hanging="4320"/>
              <w:rPr>
                <w:szCs w:val="22"/>
              </w:rPr>
            </w:pPr>
            <w:r w:rsidRPr="0067355D">
              <w:rPr>
                <w:szCs w:val="22"/>
              </w:rPr>
              <w:t>Aviation (Ground) (per license) (47 CFR part 87)</w:t>
            </w:r>
            <w:r w:rsidRPr="0067355D">
              <w:rPr>
                <w:szCs w:val="22"/>
              </w:rPr>
              <w:tab/>
            </w:r>
          </w:p>
        </w:tc>
        <w:tc>
          <w:tcPr>
            <w:tcW w:w="1710" w:type="dxa"/>
            <w:tcBorders>
              <w:top w:val="single" w:sz="8" w:space="0" w:color="auto"/>
              <w:left w:val="single" w:sz="8" w:space="0" w:color="auto"/>
              <w:bottom w:val="single" w:sz="8" w:space="0" w:color="auto"/>
              <w:right w:val="double" w:sz="4" w:space="0" w:color="auto"/>
            </w:tcBorders>
            <w:shd w:val="clear" w:color="auto" w:fill="C0C0C0"/>
          </w:tcPr>
          <w:p w:rsidR="00C05946" w:rsidRPr="0067355D" w:rsidP="00B62B5F">
            <w:pPr>
              <w:suppressAutoHyphens/>
              <w:spacing w:before="90" w:after="54"/>
              <w:jc w:val="center"/>
              <w:rPr>
                <w:szCs w:val="22"/>
              </w:rPr>
            </w:pPr>
            <w:r w:rsidRPr="0067355D">
              <w:rPr>
                <w:szCs w:val="22"/>
              </w:rPr>
              <w:t>20</w:t>
            </w:r>
          </w:p>
        </w:tc>
      </w:tr>
      <w:tr w:rsidTr="00B62B5F">
        <w:tblPrEx>
          <w:tblW w:w="8550" w:type="dxa"/>
          <w:tblInd w:w="210" w:type="dxa"/>
          <w:tblLayout w:type="fixed"/>
          <w:tblCellMar>
            <w:left w:w="120" w:type="dxa"/>
            <w:right w:w="120" w:type="dxa"/>
          </w:tblCellMar>
          <w:tblLook w:val="0000"/>
        </w:tblPrEx>
        <w:tc>
          <w:tcPr>
            <w:tcW w:w="6840" w:type="dxa"/>
            <w:tcBorders>
              <w:top w:val="single" w:sz="8" w:space="0" w:color="auto"/>
              <w:left w:val="double" w:sz="6" w:space="0" w:color="auto"/>
            </w:tcBorders>
          </w:tcPr>
          <w:p w:rsidR="00C05946" w:rsidRPr="0067355D" w:rsidP="00B62B5F">
            <w:pPr>
              <w:suppressAutoHyphens/>
              <w:spacing w:before="90" w:after="54"/>
              <w:rPr>
                <w:szCs w:val="22"/>
              </w:rPr>
            </w:pPr>
            <w:r w:rsidRPr="0067355D">
              <w:rPr>
                <w:szCs w:val="22"/>
              </w:rPr>
              <w:t>CMRS Mobile/Cellular Services (per unit) (47 CFR parts 20, 22, 24, 27, 80 and 90)</w:t>
            </w:r>
          </w:p>
        </w:tc>
        <w:tc>
          <w:tcPr>
            <w:tcW w:w="1710" w:type="dxa"/>
            <w:tcBorders>
              <w:top w:val="single" w:sz="8"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.21</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CMRS Messaging Services (per unit) (47 CFR parts 20, 22, 24 and 90)</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.08</w:t>
            </w:r>
          </w:p>
        </w:tc>
      </w:tr>
      <w:tr w:rsidTr="00B62B5F">
        <w:tblPrEx>
          <w:tblW w:w="8550" w:type="dxa"/>
          <w:tblInd w:w="210" w:type="dxa"/>
          <w:tblLayout w:type="fixed"/>
          <w:tblCellMar>
            <w:left w:w="120" w:type="dxa"/>
            <w:right w:w="120" w:type="dxa"/>
          </w:tblCellMar>
          <w:tblLook w:val="0000"/>
        </w:tblPrEx>
        <w:trPr>
          <w:trHeight w:val="1137"/>
        </w:trPr>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Broadband Radio Service (formerly MMDS/ MDS) (per license) (47 CFR part 27)</w:t>
            </w:r>
          </w:p>
          <w:p w:rsidR="00C05946" w:rsidRPr="0067355D" w:rsidP="00B62B5F">
            <w:pPr>
              <w:suppressAutoHyphens/>
              <w:spacing w:before="90" w:after="54"/>
              <w:rPr>
                <w:szCs w:val="22"/>
              </w:rPr>
            </w:pPr>
            <w:r w:rsidRPr="0067355D">
              <w:rPr>
                <w:szCs w:val="22"/>
              </w:rPr>
              <w:t>Local Multipoint Distribution Service (per call sign) (47 CFR, part 101)</w:t>
            </w:r>
          </w:p>
          <w:p w:rsidR="00C05946" w:rsidRPr="0067355D" w:rsidP="00B62B5F">
            <w:pPr>
              <w:suppressAutoHyphens/>
              <w:spacing w:before="90" w:after="54"/>
              <w:rPr>
                <w:szCs w:val="22"/>
              </w:rPr>
            </w:pP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800</w:t>
            </w:r>
          </w:p>
          <w:p w:rsidR="00C05946" w:rsidRPr="0067355D" w:rsidP="00B62B5F">
            <w:pPr>
              <w:suppressAutoHyphens/>
              <w:spacing w:before="90" w:after="54"/>
              <w:jc w:val="center"/>
              <w:rPr>
                <w:szCs w:val="22"/>
              </w:rPr>
            </w:pPr>
          </w:p>
          <w:p w:rsidR="00C05946" w:rsidRPr="0067355D" w:rsidP="00B62B5F">
            <w:pPr>
              <w:suppressAutoHyphens/>
              <w:spacing w:before="90" w:after="54"/>
              <w:jc w:val="center"/>
              <w:rPr>
                <w:szCs w:val="22"/>
              </w:rPr>
            </w:pPr>
            <w:r w:rsidRPr="0067355D">
              <w:rPr>
                <w:szCs w:val="22"/>
              </w:rPr>
              <w:t>800</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AM Radio Construction Permits</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555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FM Radio Construction Permits</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980</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Digital TV (47 CFR part 73) VHF and UHF Commercial</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right"/>
              <w:rPr>
                <w:szCs w:val="22"/>
              </w:rPr>
            </w:pP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ind w:left="720" w:hanging="720"/>
              <w:rPr>
                <w:szCs w:val="22"/>
              </w:rPr>
            </w:pPr>
            <w:r w:rsidRPr="0067355D">
              <w:rPr>
                <w:szCs w:val="22"/>
              </w:rPr>
              <w:tab/>
              <w:t>Markets 1-10</w:t>
            </w:r>
            <w:r w:rsidRPr="0067355D">
              <w:rPr>
                <w:szCs w:val="22"/>
              </w:rPr>
              <w:tab/>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59,750</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ind w:left="720" w:hanging="720"/>
              <w:rPr>
                <w:szCs w:val="22"/>
              </w:rPr>
            </w:pPr>
            <w:r w:rsidRPr="0067355D">
              <w:rPr>
                <w:szCs w:val="22"/>
              </w:rPr>
              <w:tab/>
              <w:t>Markets 11-25</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45,025</w:t>
            </w:r>
          </w:p>
        </w:tc>
      </w:tr>
      <w:tr w:rsidTr="00B62B5F">
        <w:tblPrEx>
          <w:tblW w:w="8550" w:type="dxa"/>
          <w:tblInd w:w="210" w:type="dxa"/>
          <w:tblLayout w:type="fixed"/>
          <w:tblCellMar>
            <w:left w:w="120" w:type="dxa"/>
            <w:right w:w="120" w:type="dxa"/>
          </w:tblCellMar>
          <w:tblLook w:val="0000"/>
        </w:tblPrEx>
        <w:tc>
          <w:tcPr>
            <w:tcW w:w="6840" w:type="dxa"/>
            <w:tcBorders>
              <w:top w:val="single" w:sz="2" w:space="0" w:color="auto"/>
              <w:left w:val="double" w:sz="2" w:space="0" w:color="auto"/>
              <w:right w:val="single" w:sz="2" w:space="0" w:color="auto"/>
            </w:tcBorders>
          </w:tcPr>
          <w:p w:rsidR="00C05946" w:rsidRPr="0067355D" w:rsidP="00B62B5F">
            <w:pPr>
              <w:suppressAutoHyphens/>
              <w:spacing w:before="90" w:after="54"/>
              <w:ind w:left="720" w:hanging="720"/>
              <w:rPr>
                <w:szCs w:val="22"/>
              </w:rPr>
            </w:pPr>
            <w:r w:rsidRPr="0067355D">
              <w:rPr>
                <w:szCs w:val="22"/>
              </w:rPr>
              <w:tab/>
              <w:t>Markets 26-50</w:t>
            </w:r>
          </w:p>
        </w:tc>
        <w:tc>
          <w:tcPr>
            <w:tcW w:w="1710" w:type="dxa"/>
            <w:tcBorders>
              <w:top w:val="single" w:sz="2" w:space="0" w:color="auto"/>
              <w:left w:val="single" w:sz="2" w:space="0" w:color="auto"/>
              <w:right w:val="double" w:sz="2" w:space="0" w:color="auto"/>
            </w:tcBorders>
          </w:tcPr>
          <w:p w:rsidR="00C05946" w:rsidRPr="0067355D" w:rsidP="00B62B5F">
            <w:pPr>
              <w:suppressAutoHyphens/>
              <w:spacing w:before="90" w:after="54"/>
              <w:jc w:val="center"/>
              <w:rPr>
                <w:szCs w:val="22"/>
              </w:rPr>
            </w:pPr>
            <w:r w:rsidRPr="0067355D">
              <w:rPr>
                <w:szCs w:val="22"/>
              </w:rPr>
              <w:t>30,050</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ind w:left="720" w:hanging="720"/>
              <w:rPr>
                <w:szCs w:val="22"/>
              </w:rPr>
            </w:pPr>
            <w:r w:rsidRPr="0067355D">
              <w:rPr>
                <w:szCs w:val="22"/>
              </w:rPr>
              <w:tab/>
              <w:t>Markets 51-100</w:t>
            </w:r>
            <w:r w:rsidRPr="0067355D">
              <w:rPr>
                <w:szCs w:val="22"/>
              </w:rPr>
              <w:tab/>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14,975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ind w:left="720" w:hanging="720"/>
              <w:rPr>
                <w:szCs w:val="22"/>
              </w:rPr>
            </w:pPr>
            <w:r w:rsidRPr="0067355D">
              <w:rPr>
                <w:szCs w:val="22"/>
              </w:rPr>
              <w:tab/>
              <w:t>Remaining Markets</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4,925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ind w:left="720" w:hanging="720"/>
              <w:rPr>
                <w:szCs w:val="22"/>
              </w:rPr>
            </w:pPr>
            <w:r w:rsidRPr="0067355D">
              <w:rPr>
                <w:szCs w:val="22"/>
              </w:rPr>
              <w:tab/>
              <w:t>Construction Permits</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4,925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single" w:sz="6" w:space="0" w:color="auto"/>
            </w:tcBorders>
          </w:tcPr>
          <w:p w:rsidR="00C05946" w:rsidRPr="0067355D" w:rsidP="00B62B5F">
            <w:pPr>
              <w:suppressAutoHyphens/>
              <w:spacing w:before="90" w:after="54"/>
              <w:rPr>
                <w:szCs w:val="22"/>
              </w:rPr>
            </w:pPr>
            <w:r w:rsidRPr="0067355D">
              <w:rPr>
                <w:szCs w:val="22"/>
              </w:rPr>
              <w:t xml:space="preserve">Satellite Television Stations (All Markets)  </w:t>
            </w:r>
          </w:p>
        </w:tc>
        <w:tc>
          <w:tcPr>
            <w:tcW w:w="1710" w:type="dxa"/>
            <w:tcBorders>
              <w:top w:val="single" w:sz="6" w:space="0" w:color="auto"/>
              <w:left w:val="single" w:sz="6" w:space="0" w:color="auto"/>
              <w:bottom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1,725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double" w:sz="4" w:space="0" w:color="auto"/>
            </w:tcBorders>
          </w:tcPr>
          <w:p w:rsidR="00C05946" w:rsidRPr="0067355D" w:rsidP="00B62B5F">
            <w:pPr>
              <w:suppressAutoHyphens/>
              <w:spacing w:before="90" w:after="54"/>
              <w:ind w:left="5760" w:hanging="5760"/>
              <w:rPr>
                <w:szCs w:val="22"/>
              </w:rPr>
            </w:pPr>
            <w:r w:rsidRPr="0067355D">
              <w:rPr>
                <w:szCs w:val="22"/>
              </w:rPr>
              <w:t>Low Po</w:t>
            </w:r>
            <w:r>
              <w:rPr>
                <w:szCs w:val="22"/>
              </w:rPr>
              <w:t xml:space="preserve">wer TV, Class A TV, TV/FM Trans. </w:t>
            </w:r>
            <w:r w:rsidRPr="0067355D">
              <w:rPr>
                <w:szCs w:val="22"/>
              </w:rPr>
              <w:t>&amp; Boosters (47 CFR part 74)</w:t>
            </w:r>
          </w:p>
        </w:tc>
        <w:tc>
          <w:tcPr>
            <w:tcW w:w="1710" w:type="dxa"/>
            <w:tcBorders>
              <w:top w:val="single" w:sz="6" w:space="0" w:color="auto"/>
              <w:left w:val="single" w:sz="6" w:space="0" w:color="auto"/>
              <w:bottom w:val="double" w:sz="4" w:space="0" w:color="auto"/>
              <w:right w:val="double" w:sz="6" w:space="0" w:color="auto"/>
            </w:tcBorders>
          </w:tcPr>
          <w:p w:rsidR="00C05946" w:rsidRPr="0067355D" w:rsidP="00B62B5F">
            <w:pPr>
              <w:suppressAutoHyphens/>
              <w:spacing w:before="90" w:after="54"/>
              <w:jc w:val="center"/>
              <w:rPr>
                <w:szCs w:val="22"/>
              </w:rPr>
            </w:pPr>
            <w:r w:rsidRPr="0067355D">
              <w:rPr>
                <w:szCs w:val="22"/>
              </w:rPr>
              <w:t>430</w:t>
            </w:r>
          </w:p>
        </w:tc>
      </w:tr>
      <w:tr w:rsidTr="00B62B5F">
        <w:tblPrEx>
          <w:tblW w:w="8550" w:type="dxa"/>
          <w:tblInd w:w="210" w:type="dxa"/>
          <w:tblLayout w:type="fixed"/>
          <w:tblCellMar>
            <w:left w:w="120" w:type="dxa"/>
            <w:right w:w="120" w:type="dxa"/>
          </w:tblCellMar>
          <w:tblLook w:val="0000"/>
        </w:tblPrEx>
        <w:tc>
          <w:tcPr>
            <w:tcW w:w="6840" w:type="dxa"/>
            <w:tcBorders>
              <w:top w:val="double" w:sz="4" w:space="0" w:color="auto"/>
              <w:left w:val="double" w:sz="6" w:space="0" w:color="auto"/>
            </w:tcBorders>
          </w:tcPr>
          <w:p w:rsidR="00C05946" w:rsidRPr="0067355D" w:rsidP="00B62B5F">
            <w:pPr>
              <w:suppressAutoHyphens/>
              <w:spacing w:before="90" w:after="54"/>
              <w:ind w:left="4320" w:hanging="4320"/>
              <w:rPr>
                <w:szCs w:val="22"/>
              </w:rPr>
            </w:pPr>
            <w:r w:rsidRPr="0067355D">
              <w:rPr>
                <w:szCs w:val="22"/>
              </w:rPr>
              <w:t>CARS (47 CFR part 78)</w:t>
            </w:r>
            <w:r w:rsidRPr="0067355D">
              <w:rPr>
                <w:szCs w:val="22"/>
              </w:rPr>
              <w:tab/>
            </w:r>
          </w:p>
        </w:tc>
        <w:tc>
          <w:tcPr>
            <w:tcW w:w="1710" w:type="dxa"/>
            <w:tcBorders>
              <w:top w:val="double" w:sz="4"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935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Cable Television Systems (per subscriber) (47 CFR part 76), Including IPTV</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.95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Direct Broadcast Service (DBS) (per subscriber) (as defined by section 602(13) of the Act)</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.38</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Interstate Telecommunication Service Providers (per revenue dollar)</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.00302</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Toll Free (per toll free subscriber) (47 C.F.R. section 52.101 (f) of the rules)</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.12</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Earth Stations (47 CFR part 25)</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360</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Space Stations (per operational station in geostationary orbit) (47 CFR part 25) also includes DBS Service (per operational station) (47 CFR part 100)</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jc w:val="center"/>
              <w:rPr>
                <w:szCs w:val="22"/>
              </w:rPr>
            </w:pPr>
          </w:p>
          <w:p w:rsidR="00C05946" w:rsidRPr="0067355D" w:rsidP="00B62B5F">
            <w:pPr>
              <w:suppressAutoHyphens/>
              <w:spacing w:after="54"/>
              <w:jc w:val="center"/>
              <w:rPr>
                <w:szCs w:val="22"/>
              </w:rPr>
            </w:pPr>
            <w:r w:rsidRPr="0067355D">
              <w:rPr>
                <w:szCs w:val="22"/>
              </w:rPr>
              <w:t>140,925</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tcBorders>
          </w:tcPr>
          <w:p w:rsidR="00C05946" w:rsidRPr="0067355D" w:rsidP="00B62B5F">
            <w:pPr>
              <w:suppressAutoHyphens/>
              <w:spacing w:before="90" w:after="54"/>
              <w:rPr>
                <w:szCs w:val="22"/>
              </w:rPr>
            </w:pPr>
            <w:r w:rsidRPr="0067355D">
              <w:rPr>
                <w:szCs w:val="22"/>
              </w:rPr>
              <w:t>Space Stations (per operational system in non-geostationary orbit) (47 CFR part 25)</w:t>
            </w:r>
          </w:p>
        </w:tc>
        <w:tc>
          <w:tcPr>
            <w:tcW w:w="1710" w:type="dxa"/>
            <w:tcBorders>
              <w:top w:val="single" w:sz="6" w:space="0" w:color="auto"/>
              <w:left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135,350</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single" w:sz="6" w:space="0" w:color="auto"/>
            </w:tcBorders>
          </w:tcPr>
          <w:p w:rsidR="00C05946" w:rsidRPr="0067355D" w:rsidP="00B62B5F">
            <w:pPr>
              <w:suppressAutoHyphens/>
              <w:spacing w:before="90" w:after="54"/>
              <w:rPr>
                <w:szCs w:val="22"/>
              </w:rPr>
            </w:pPr>
            <w:r w:rsidRPr="0067355D">
              <w:rPr>
                <w:szCs w:val="22"/>
              </w:rPr>
              <w:t>International Bearer Circuits -  Terrestrial/Satellites (per 64KB circuit)</w:t>
            </w:r>
            <w:r w:rsidRPr="0067355D">
              <w:rPr>
                <w:szCs w:val="22"/>
                <w:vertAlign w:val="superscript"/>
              </w:rPr>
              <w:t xml:space="preserve"> </w:t>
            </w:r>
            <w:r w:rsidRPr="0067355D">
              <w:rPr>
                <w:szCs w:val="22"/>
              </w:rPr>
              <w:t xml:space="preserve"> </w:t>
            </w:r>
          </w:p>
        </w:tc>
        <w:tc>
          <w:tcPr>
            <w:tcW w:w="1710" w:type="dxa"/>
            <w:tcBorders>
              <w:top w:val="single" w:sz="6" w:space="0" w:color="auto"/>
              <w:left w:val="single" w:sz="6" w:space="0" w:color="auto"/>
              <w:bottom w:val="single" w:sz="6" w:space="0" w:color="auto"/>
              <w:right w:val="double" w:sz="6" w:space="0" w:color="auto"/>
            </w:tcBorders>
          </w:tcPr>
          <w:p w:rsidR="00C05946" w:rsidRPr="0067355D" w:rsidP="00B62B5F">
            <w:pPr>
              <w:suppressAutoHyphens/>
              <w:spacing w:before="90" w:after="54"/>
              <w:jc w:val="center"/>
              <w:rPr>
                <w:szCs w:val="22"/>
              </w:rPr>
            </w:pPr>
            <w:r w:rsidRPr="0067355D">
              <w:rPr>
                <w:szCs w:val="22"/>
              </w:rPr>
              <w:t>.03</w:t>
            </w:r>
          </w:p>
        </w:tc>
      </w:tr>
      <w:tr w:rsidTr="00B62B5F">
        <w:tblPrEx>
          <w:tblW w:w="8550" w:type="dxa"/>
          <w:tblInd w:w="210" w:type="dxa"/>
          <w:tblLayout w:type="fixed"/>
          <w:tblCellMar>
            <w:left w:w="120" w:type="dxa"/>
            <w:right w:w="120" w:type="dxa"/>
          </w:tblCellMar>
          <w:tblLook w:val="0000"/>
        </w:tblPrEx>
        <w:tc>
          <w:tcPr>
            <w:tcW w:w="6840" w:type="dxa"/>
            <w:tcBorders>
              <w:top w:val="single" w:sz="6" w:space="0" w:color="auto"/>
              <w:left w:val="double" w:sz="6" w:space="0" w:color="auto"/>
              <w:bottom w:val="double" w:sz="4" w:space="0" w:color="auto"/>
            </w:tcBorders>
          </w:tcPr>
          <w:p w:rsidR="00C05946" w:rsidRPr="0067355D" w:rsidP="00B62B5F">
            <w:pPr>
              <w:suppressAutoHyphens/>
              <w:spacing w:before="90" w:after="54"/>
              <w:ind w:left="5760" w:hanging="5760"/>
              <w:rPr>
                <w:szCs w:val="22"/>
              </w:rPr>
            </w:pPr>
            <w:r w:rsidRPr="0067355D">
              <w:rPr>
                <w:szCs w:val="22"/>
              </w:rPr>
              <w:t xml:space="preserve">Submarine Cable Landing Licenses Fee (per cable system) </w:t>
            </w:r>
          </w:p>
        </w:tc>
        <w:tc>
          <w:tcPr>
            <w:tcW w:w="1710" w:type="dxa"/>
            <w:tcBorders>
              <w:top w:val="single" w:sz="6" w:space="0" w:color="auto"/>
              <w:left w:val="single" w:sz="6" w:space="0" w:color="auto"/>
              <w:bottom w:val="double" w:sz="4" w:space="0" w:color="auto"/>
              <w:right w:val="double" w:sz="6" w:space="0" w:color="auto"/>
            </w:tcBorders>
          </w:tcPr>
          <w:p w:rsidR="00C05946" w:rsidRPr="0067355D" w:rsidP="00B62B5F">
            <w:pPr>
              <w:suppressAutoHyphens/>
              <w:spacing w:before="90" w:after="54"/>
              <w:jc w:val="center"/>
              <w:rPr>
                <w:szCs w:val="22"/>
              </w:rPr>
            </w:pPr>
            <w:r w:rsidRPr="0067355D">
              <w:rPr>
                <w:szCs w:val="22"/>
              </w:rPr>
              <w:t>See Table Below</w:t>
            </w:r>
          </w:p>
        </w:tc>
      </w:tr>
    </w:tbl>
    <w:p w:rsidR="00C05946" w:rsidRPr="0067355D" w:rsidP="00C05946">
      <w:pPr>
        <w:suppressAutoHyphens/>
        <w:outlineLvl w:val="0"/>
        <w:rPr>
          <w:b/>
          <w:szCs w:val="22"/>
        </w:rPr>
      </w:pPr>
    </w:p>
    <w:p w:rsidR="00C05946" w:rsidRPr="0067355D" w:rsidP="00C05946">
      <w:pPr>
        <w:suppressAutoHyphens/>
        <w:jc w:val="center"/>
        <w:outlineLvl w:val="0"/>
        <w:rPr>
          <w:b/>
          <w:szCs w:val="22"/>
        </w:rPr>
      </w:pPr>
    </w:p>
    <w:tbl>
      <w:tblPr>
        <w:tblW w:w="8550" w:type="dxa"/>
        <w:tblInd w:w="152" w:type="dxa"/>
        <w:tblLayout w:type="fixed"/>
        <w:tblCellMar>
          <w:left w:w="62" w:type="dxa"/>
          <w:right w:w="62" w:type="dxa"/>
        </w:tblCellMar>
        <w:tblLook w:val="0000"/>
      </w:tblPr>
      <w:tblGrid>
        <w:gridCol w:w="1890"/>
        <w:gridCol w:w="1080"/>
        <w:gridCol w:w="990"/>
        <w:gridCol w:w="900"/>
        <w:gridCol w:w="900"/>
        <w:gridCol w:w="1440"/>
        <w:gridCol w:w="1350"/>
      </w:tblGrid>
      <w:tr w:rsidTr="00B62B5F">
        <w:tblPrEx>
          <w:tblW w:w="8550" w:type="dxa"/>
          <w:tblInd w:w="152" w:type="dxa"/>
          <w:tblLayout w:type="fixed"/>
          <w:tblCellMar>
            <w:left w:w="62" w:type="dxa"/>
            <w:right w:w="62" w:type="dxa"/>
          </w:tblCellMar>
          <w:tblLook w:val="0000"/>
        </w:tblPrEx>
        <w:tc>
          <w:tcPr>
            <w:tcW w:w="8550" w:type="dxa"/>
            <w:gridSpan w:val="7"/>
            <w:tcBorders>
              <w:top w:val="double" w:sz="6" w:space="0" w:color="auto"/>
              <w:left w:val="double" w:sz="6" w:space="0" w:color="auto"/>
              <w:right w:val="double" w:sz="6" w:space="0" w:color="auto"/>
            </w:tcBorders>
          </w:tcPr>
          <w:p w:rsidR="00C05946" w:rsidRPr="0067355D" w:rsidP="00B62B5F">
            <w:pPr>
              <w:keepNext/>
              <w:suppressAutoHyphens/>
              <w:spacing w:before="42" w:after="104"/>
              <w:jc w:val="center"/>
              <w:rPr>
                <w:b/>
                <w:szCs w:val="22"/>
              </w:rPr>
            </w:pPr>
            <w:r w:rsidRPr="0067355D">
              <w:rPr>
                <w:b/>
                <w:szCs w:val="22"/>
              </w:rPr>
              <w:t xml:space="preserve">FY 2017 </w:t>
            </w:r>
            <w:r>
              <w:rPr>
                <w:b/>
                <w:szCs w:val="22"/>
              </w:rPr>
              <w:fldChar w:fldCharType="begin"/>
            </w:r>
            <w:r w:rsidRPr="0067355D">
              <w:rPr>
                <w:b/>
                <w:szCs w:val="22"/>
              </w:rPr>
              <w:instrText xml:space="preserve">PRIVATE </w:instrText>
            </w:r>
            <w:r>
              <w:rPr>
                <w:b/>
                <w:szCs w:val="22"/>
              </w:rPr>
              <w:fldChar w:fldCharType="end"/>
            </w:r>
            <w:r w:rsidRPr="0067355D">
              <w:rPr>
                <w:b/>
                <w:szCs w:val="22"/>
              </w:rPr>
              <w:t>RADIO STATION REGULATORY FEES</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C05946" w:rsidRPr="0067355D" w:rsidP="00B62B5F">
            <w:pPr>
              <w:keepNext/>
              <w:suppressAutoHyphens/>
              <w:spacing w:before="42"/>
              <w:jc w:val="center"/>
              <w:rPr>
                <w:b/>
                <w:szCs w:val="22"/>
              </w:rPr>
            </w:pPr>
            <w:r w:rsidRPr="0067355D">
              <w:rPr>
                <w:b/>
                <w:szCs w:val="22"/>
              </w:rPr>
              <w:t xml:space="preserve">Population </w:t>
            </w:r>
          </w:p>
          <w:p w:rsidR="00C05946" w:rsidRPr="0067355D" w:rsidP="00B62B5F">
            <w:pPr>
              <w:keepNext/>
              <w:suppressAutoHyphens/>
              <w:spacing w:after="104"/>
              <w:jc w:val="center"/>
              <w:rPr>
                <w:b/>
                <w:szCs w:val="22"/>
              </w:rPr>
            </w:pPr>
            <w:r w:rsidRPr="0067355D">
              <w:rPr>
                <w:b/>
                <w:szCs w:val="22"/>
              </w:rPr>
              <w:t>Served</w:t>
            </w:r>
          </w:p>
        </w:tc>
        <w:tc>
          <w:tcPr>
            <w:tcW w:w="1080" w:type="dxa"/>
            <w:tcBorders>
              <w:top w:val="single" w:sz="6" w:space="0" w:color="auto"/>
              <w:left w:val="single" w:sz="6" w:space="0" w:color="auto"/>
            </w:tcBorders>
          </w:tcPr>
          <w:p w:rsidR="00C05946" w:rsidRPr="0067355D" w:rsidP="00B62B5F">
            <w:pPr>
              <w:keepNext/>
              <w:suppressAutoHyphens/>
              <w:spacing w:before="42" w:after="104"/>
              <w:jc w:val="center"/>
              <w:rPr>
                <w:b/>
                <w:szCs w:val="22"/>
              </w:rPr>
            </w:pPr>
            <w:r w:rsidRPr="0067355D">
              <w:rPr>
                <w:b/>
                <w:szCs w:val="22"/>
              </w:rPr>
              <w:t>AM Class A</w:t>
            </w:r>
          </w:p>
        </w:tc>
        <w:tc>
          <w:tcPr>
            <w:tcW w:w="990" w:type="dxa"/>
            <w:tcBorders>
              <w:top w:val="single" w:sz="6" w:space="0" w:color="auto"/>
              <w:left w:val="single" w:sz="6" w:space="0" w:color="auto"/>
            </w:tcBorders>
          </w:tcPr>
          <w:p w:rsidR="00C05946" w:rsidRPr="0067355D" w:rsidP="00B62B5F">
            <w:pPr>
              <w:keepNext/>
              <w:suppressAutoHyphens/>
              <w:spacing w:before="42" w:after="104"/>
              <w:jc w:val="center"/>
              <w:rPr>
                <w:b/>
                <w:szCs w:val="22"/>
              </w:rPr>
            </w:pPr>
            <w:r w:rsidRPr="0067355D">
              <w:rPr>
                <w:b/>
                <w:szCs w:val="22"/>
              </w:rPr>
              <w:t>AM Class B</w:t>
            </w:r>
          </w:p>
        </w:tc>
        <w:tc>
          <w:tcPr>
            <w:tcW w:w="900" w:type="dxa"/>
            <w:tcBorders>
              <w:top w:val="single" w:sz="6" w:space="0" w:color="auto"/>
              <w:left w:val="single" w:sz="6" w:space="0" w:color="auto"/>
            </w:tcBorders>
          </w:tcPr>
          <w:p w:rsidR="00C05946" w:rsidRPr="0067355D" w:rsidP="00B62B5F">
            <w:pPr>
              <w:keepNext/>
              <w:suppressAutoHyphens/>
              <w:spacing w:before="42" w:after="104"/>
              <w:jc w:val="center"/>
              <w:rPr>
                <w:b/>
                <w:szCs w:val="22"/>
              </w:rPr>
            </w:pPr>
            <w:r w:rsidRPr="0067355D">
              <w:rPr>
                <w:b/>
                <w:szCs w:val="22"/>
              </w:rPr>
              <w:t>AM Class C</w:t>
            </w:r>
          </w:p>
        </w:tc>
        <w:tc>
          <w:tcPr>
            <w:tcW w:w="900" w:type="dxa"/>
            <w:tcBorders>
              <w:top w:val="single" w:sz="6" w:space="0" w:color="auto"/>
              <w:left w:val="single" w:sz="6" w:space="0" w:color="auto"/>
            </w:tcBorders>
          </w:tcPr>
          <w:p w:rsidR="00C05946" w:rsidRPr="0067355D" w:rsidP="00B62B5F">
            <w:pPr>
              <w:keepNext/>
              <w:suppressAutoHyphens/>
              <w:spacing w:before="42" w:after="104"/>
              <w:jc w:val="center"/>
              <w:rPr>
                <w:b/>
                <w:szCs w:val="22"/>
              </w:rPr>
            </w:pPr>
            <w:r w:rsidRPr="0067355D">
              <w:rPr>
                <w:b/>
                <w:szCs w:val="22"/>
              </w:rPr>
              <w:t>AM Class D</w:t>
            </w:r>
          </w:p>
        </w:tc>
        <w:tc>
          <w:tcPr>
            <w:tcW w:w="1440" w:type="dxa"/>
            <w:tcBorders>
              <w:top w:val="single" w:sz="6" w:space="0" w:color="auto"/>
              <w:left w:val="single" w:sz="6" w:space="0" w:color="auto"/>
            </w:tcBorders>
          </w:tcPr>
          <w:p w:rsidR="00C05946" w:rsidRPr="0067355D" w:rsidP="00B62B5F">
            <w:pPr>
              <w:keepNext/>
              <w:suppressAutoHyphens/>
              <w:spacing w:before="42"/>
              <w:jc w:val="center"/>
              <w:rPr>
                <w:b/>
                <w:szCs w:val="22"/>
                <w:lang w:val="pt-BR"/>
              </w:rPr>
            </w:pPr>
            <w:r w:rsidRPr="0067355D">
              <w:rPr>
                <w:b/>
                <w:szCs w:val="22"/>
                <w:lang w:val="pt-BR"/>
              </w:rPr>
              <w:t>FM Classes</w:t>
            </w:r>
          </w:p>
          <w:p w:rsidR="00C05946" w:rsidRPr="0067355D" w:rsidP="00B62B5F">
            <w:pPr>
              <w:keepNext/>
              <w:suppressAutoHyphens/>
              <w:spacing w:after="104"/>
              <w:jc w:val="center"/>
              <w:rPr>
                <w:b/>
                <w:szCs w:val="22"/>
                <w:lang w:val="pt-BR"/>
              </w:rPr>
            </w:pPr>
            <w:r w:rsidRPr="0067355D">
              <w:rPr>
                <w:b/>
                <w:szCs w:val="22"/>
                <w:lang w:val="pt-BR"/>
              </w:rPr>
              <w:t>A, B1 &amp; C3</w:t>
            </w:r>
          </w:p>
        </w:tc>
        <w:tc>
          <w:tcPr>
            <w:tcW w:w="1350" w:type="dxa"/>
            <w:tcBorders>
              <w:top w:val="single" w:sz="6" w:space="0" w:color="auto"/>
              <w:left w:val="single" w:sz="6" w:space="0" w:color="auto"/>
              <w:right w:val="double" w:sz="6" w:space="0" w:color="auto"/>
            </w:tcBorders>
          </w:tcPr>
          <w:p w:rsidR="00C05946" w:rsidRPr="0067355D" w:rsidP="00B62B5F">
            <w:pPr>
              <w:keepNext/>
              <w:suppressAutoHyphens/>
              <w:spacing w:before="42"/>
              <w:jc w:val="center"/>
              <w:rPr>
                <w:b/>
                <w:szCs w:val="22"/>
                <w:lang w:val="pt-BR"/>
              </w:rPr>
            </w:pPr>
            <w:r w:rsidRPr="0067355D">
              <w:rPr>
                <w:b/>
                <w:szCs w:val="22"/>
                <w:lang w:val="pt-BR"/>
              </w:rPr>
              <w:t>FM Classes</w:t>
            </w:r>
          </w:p>
          <w:p w:rsidR="00C05946" w:rsidRPr="0067355D" w:rsidP="00B62B5F">
            <w:pPr>
              <w:keepNext/>
              <w:suppressAutoHyphens/>
              <w:spacing w:after="104"/>
              <w:jc w:val="center"/>
              <w:rPr>
                <w:b/>
                <w:szCs w:val="22"/>
                <w:lang w:val="pt-BR"/>
              </w:rPr>
            </w:pPr>
            <w:r w:rsidRPr="0067355D">
              <w:rPr>
                <w:b/>
                <w:szCs w:val="22"/>
                <w:lang w:val="pt-BR"/>
              </w:rPr>
              <w:t>B, C, C0, C1 &amp; C2</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C05946" w:rsidRPr="0067355D" w:rsidP="00B62B5F">
            <w:pPr>
              <w:keepNext/>
              <w:suppressAutoHyphens/>
              <w:spacing w:before="42" w:after="104"/>
              <w:rPr>
                <w:b/>
                <w:szCs w:val="22"/>
              </w:rPr>
            </w:pPr>
            <w:r w:rsidRPr="0067355D">
              <w:rPr>
                <w:b/>
                <w:szCs w:val="22"/>
              </w:rPr>
              <w:t>&lt;=25,000</w:t>
            </w:r>
          </w:p>
        </w:tc>
        <w:tc>
          <w:tcPr>
            <w:tcW w:w="108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$895</w:t>
            </w:r>
          </w:p>
        </w:tc>
        <w:tc>
          <w:tcPr>
            <w:tcW w:w="99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$640</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$555</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$610</w:t>
            </w:r>
          </w:p>
        </w:tc>
        <w:tc>
          <w:tcPr>
            <w:tcW w:w="144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$980</w:t>
            </w:r>
          </w:p>
        </w:tc>
        <w:tc>
          <w:tcPr>
            <w:tcW w:w="1350" w:type="dxa"/>
            <w:tcBorders>
              <w:top w:val="single" w:sz="6" w:space="0" w:color="auto"/>
              <w:left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$1,100</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C05946" w:rsidRPr="0067355D" w:rsidP="00B62B5F">
            <w:pPr>
              <w:keepNext/>
              <w:suppressAutoHyphens/>
              <w:spacing w:before="42" w:after="104"/>
              <w:rPr>
                <w:b/>
                <w:szCs w:val="22"/>
              </w:rPr>
            </w:pPr>
            <w:r w:rsidRPr="0067355D">
              <w:rPr>
                <w:b/>
                <w:szCs w:val="22"/>
              </w:rPr>
              <w:t>25,001 – 75,000</w:t>
            </w:r>
          </w:p>
        </w:tc>
        <w:tc>
          <w:tcPr>
            <w:tcW w:w="108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$1,350</w:t>
            </w:r>
          </w:p>
        </w:tc>
        <w:tc>
          <w:tcPr>
            <w:tcW w:w="99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$955</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$830</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$915</w:t>
            </w:r>
          </w:p>
        </w:tc>
        <w:tc>
          <w:tcPr>
            <w:tcW w:w="144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$1,475</w:t>
            </w:r>
          </w:p>
        </w:tc>
        <w:tc>
          <w:tcPr>
            <w:tcW w:w="1350" w:type="dxa"/>
            <w:tcBorders>
              <w:top w:val="single" w:sz="6" w:space="0" w:color="auto"/>
              <w:left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$1,650</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C05946" w:rsidRPr="0067355D" w:rsidP="00B62B5F">
            <w:pPr>
              <w:keepNext/>
              <w:suppressAutoHyphens/>
              <w:spacing w:before="42" w:after="104"/>
              <w:rPr>
                <w:b/>
                <w:szCs w:val="22"/>
              </w:rPr>
            </w:pPr>
            <w:r w:rsidRPr="0067355D">
              <w:rPr>
                <w:b/>
                <w:szCs w:val="22"/>
              </w:rPr>
              <w:t>75,001 – 150,000</w:t>
            </w:r>
          </w:p>
        </w:tc>
        <w:tc>
          <w:tcPr>
            <w:tcW w:w="108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$2,375</w:t>
            </w:r>
          </w:p>
        </w:tc>
        <w:tc>
          <w:tcPr>
            <w:tcW w:w="99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$1,700</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$1,475</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$1,600</w:t>
            </w:r>
          </w:p>
        </w:tc>
        <w:tc>
          <w:tcPr>
            <w:tcW w:w="144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$2,600</w:t>
            </w:r>
          </w:p>
        </w:tc>
        <w:tc>
          <w:tcPr>
            <w:tcW w:w="1350" w:type="dxa"/>
            <w:tcBorders>
              <w:top w:val="single" w:sz="6" w:space="0" w:color="auto"/>
              <w:left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$2,925</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C05946" w:rsidRPr="0067355D" w:rsidP="00B62B5F">
            <w:pPr>
              <w:keepNext/>
              <w:suppressAutoHyphens/>
              <w:spacing w:before="42" w:after="104"/>
              <w:rPr>
                <w:b/>
                <w:szCs w:val="22"/>
              </w:rPr>
            </w:pPr>
            <w:r w:rsidRPr="0067355D">
              <w:rPr>
                <w:b/>
                <w:szCs w:val="22"/>
              </w:rPr>
              <w:t>150,001 – 500,000</w:t>
            </w:r>
          </w:p>
        </w:tc>
        <w:tc>
          <w:tcPr>
            <w:tcW w:w="108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$3,550</w:t>
            </w:r>
          </w:p>
        </w:tc>
        <w:tc>
          <w:tcPr>
            <w:tcW w:w="99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$2,525</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$2,200</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$2,425</w:t>
            </w:r>
          </w:p>
        </w:tc>
        <w:tc>
          <w:tcPr>
            <w:tcW w:w="144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$3,875</w:t>
            </w:r>
          </w:p>
        </w:tc>
        <w:tc>
          <w:tcPr>
            <w:tcW w:w="1350" w:type="dxa"/>
            <w:tcBorders>
              <w:top w:val="single" w:sz="6" w:space="0" w:color="auto"/>
              <w:left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$4,400</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tcBorders>
          </w:tcPr>
          <w:p w:rsidR="00C05946" w:rsidRPr="0067355D" w:rsidP="00B62B5F">
            <w:pPr>
              <w:keepNext/>
              <w:suppressAutoHyphens/>
              <w:spacing w:before="42" w:after="104"/>
              <w:rPr>
                <w:b/>
                <w:szCs w:val="22"/>
              </w:rPr>
            </w:pPr>
            <w:r w:rsidRPr="0067355D">
              <w:rPr>
                <w:b/>
                <w:szCs w:val="22"/>
              </w:rPr>
              <w:t>500,001 – 1,200,000</w:t>
            </w:r>
          </w:p>
        </w:tc>
        <w:tc>
          <w:tcPr>
            <w:tcW w:w="108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$5,325</w:t>
            </w:r>
          </w:p>
        </w:tc>
        <w:tc>
          <w:tcPr>
            <w:tcW w:w="99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$3,800</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$3,300</w:t>
            </w:r>
          </w:p>
        </w:tc>
        <w:tc>
          <w:tcPr>
            <w:tcW w:w="90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$3,625</w:t>
            </w:r>
          </w:p>
        </w:tc>
        <w:tc>
          <w:tcPr>
            <w:tcW w:w="1440" w:type="dxa"/>
            <w:tcBorders>
              <w:top w:val="single" w:sz="6" w:space="0" w:color="auto"/>
              <w:left w:val="single" w:sz="6" w:space="0" w:color="auto"/>
            </w:tcBorders>
          </w:tcPr>
          <w:p w:rsidR="00C05946" w:rsidRPr="0067355D" w:rsidP="00B62B5F">
            <w:pPr>
              <w:keepNext/>
              <w:suppressAutoHyphens/>
              <w:spacing w:before="42" w:after="104"/>
              <w:jc w:val="right"/>
              <w:rPr>
                <w:szCs w:val="22"/>
              </w:rPr>
            </w:pPr>
            <w:r w:rsidRPr="0067355D">
              <w:rPr>
                <w:szCs w:val="22"/>
              </w:rPr>
              <w:t>$5,825</w:t>
            </w:r>
          </w:p>
        </w:tc>
        <w:tc>
          <w:tcPr>
            <w:tcW w:w="1350" w:type="dxa"/>
            <w:tcBorders>
              <w:top w:val="single" w:sz="6" w:space="0" w:color="auto"/>
              <w:left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$6,575</w:t>
            </w:r>
          </w:p>
        </w:tc>
      </w:tr>
      <w:tr w:rsidTr="00B62B5F">
        <w:tblPrEx>
          <w:tblW w:w="8550" w:type="dxa"/>
          <w:tblInd w:w="152" w:type="dxa"/>
          <w:tblLayout w:type="fixed"/>
          <w:tblCellMar>
            <w:left w:w="62" w:type="dxa"/>
            <w:right w:w="62" w:type="dxa"/>
          </w:tblCellMar>
          <w:tblLook w:val="0000"/>
        </w:tblPrEx>
        <w:trPr>
          <w:trHeight w:val="361"/>
        </w:trPr>
        <w:tc>
          <w:tcPr>
            <w:tcW w:w="1890" w:type="dxa"/>
            <w:tcBorders>
              <w:top w:val="single" w:sz="6" w:space="0" w:color="auto"/>
              <w:left w:val="double" w:sz="6" w:space="0" w:color="auto"/>
              <w:bottom w:val="single" w:sz="6" w:space="0" w:color="auto"/>
            </w:tcBorders>
          </w:tcPr>
          <w:p w:rsidR="00C05946" w:rsidRPr="0067355D" w:rsidP="00B62B5F">
            <w:pPr>
              <w:keepNext/>
              <w:suppressAutoHyphens/>
              <w:spacing w:before="42" w:after="104"/>
              <w:rPr>
                <w:b/>
                <w:szCs w:val="22"/>
              </w:rPr>
            </w:pPr>
            <w:r w:rsidRPr="0067355D">
              <w:rPr>
                <w:b/>
                <w:szCs w:val="22"/>
              </w:rPr>
              <w:t>1,200,001 – 3,000,00</w:t>
            </w:r>
          </w:p>
        </w:tc>
        <w:tc>
          <w:tcPr>
            <w:tcW w:w="108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$7,975</w:t>
            </w:r>
          </w:p>
        </w:tc>
        <w:tc>
          <w:tcPr>
            <w:tcW w:w="99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$5,700</w:t>
            </w:r>
          </w:p>
        </w:tc>
        <w:tc>
          <w:tcPr>
            <w:tcW w:w="90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$4,950</w:t>
            </w:r>
          </w:p>
        </w:tc>
        <w:tc>
          <w:tcPr>
            <w:tcW w:w="90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$5,425</w:t>
            </w:r>
          </w:p>
        </w:tc>
        <w:tc>
          <w:tcPr>
            <w:tcW w:w="144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$8,750</w:t>
            </w:r>
          </w:p>
        </w:tc>
        <w:tc>
          <w:tcPr>
            <w:tcW w:w="1350" w:type="dxa"/>
            <w:tcBorders>
              <w:top w:val="single" w:sz="6" w:space="0" w:color="auto"/>
              <w:left w:val="single" w:sz="6" w:space="0" w:color="auto"/>
              <w:bottom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$9,875</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single" w:sz="6" w:space="0" w:color="auto"/>
            </w:tcBorders>
          </w:tcPr>
          <w:p w:rsidR="00C05946" w:rsidRPr="0067355D" w:rsidP="00B62B5F">
            <w:pPr>
              <w:keepNext/>
              <w:suppressAutoHyphens/>
              <w:spacing w:before="42" w:after="104"/>
              <w:rPr>
                <w:b/>
                <w:szCs w:val="22"/>
              </w:rPr>
            </w:pPr>
            <w:r w:rsidRPr="0067355D">
              <w:rPr>
                <w:b/>
                <w:szCs w:val="22"/>
              </w:rPr>
              <w:t>3,000,001 – 6,000,00</w:t>
            </w:r>
          </w:p>
        </w:tc>
        <w:tc>
          <w:tcPr>
            <w:tcW w:w="108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$11,950</w:t>
            </w:r>
          </w:p>
        </w:tc>
        <w:tc>
          <w:tcPr>
            <w:tcW w:w="99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$8,550</w:t>
            </w:r>
          </w:p>
        </w:tc>
        <w:tc>
          <w:tcPr>
            <w:tcW w:w="90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$7,400</w:t>
            </w:r>
          </w:p>
        </w:tc>
        <w:tc>
          <w:tcPr>
            <w:tcW w:w="90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$8,150</w:t>
            </w:r>
          </w:p>
        </w:tc>
        <w:tc>
          <w:tcPr>
            <w:tcW w:w="1440" w:type="dxa"/>
            <w:tcBorders>
              <w:top w:val="single" w:sz="6" w:space="0" w:color="auto"/>
              <w:left w:val="single" w:sz="6" w:space="0" w:color="auto"/>
              <w:bottom w:val="single" w:sz="6" w:space="0" w:color="auto"/>
            </w:tcBorders>
          </w:tcPr>
          <w:p w:rsidR="00C05946" w:rsidRPr="0067355D" w:rsidP="00B62B5F">
            <w:pPr>
              <w:keepNext/>
              <w:suppressAutoHyphens/>
              <w:spacing w:before="42" w:after="104"/>
              <w:jc w:val="right"/>
              <w:rPr>
                <w:szCs w:val="22"/>
              </w:rPr>
            </w:pPr>
            <w:r w:rsidRPr="0067355D">
              <w:rPr>
                <w:szCs w:val="22"/>
              </w:rPr>
              <w:t>$13,100</w:t>
            </w:r>
          </w:p>
        </w:tc>
        <w:tc>
          <w:tcPr>
            <w:tcW w:w="1350" w:type="dxa"/>
            <w:tcBorders>
              <w:top w:val="single" w:sz="6" w:space="0" w:color="auto"/>
              <w:left w:val="single" w:sz="6" w:space="0" w:color="auto"/>
              <w:bottom w:val="sing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$14,800</w:t>
            </w:r>
          </w:p>
        </w:tc>
      </w:tr>
      <w:tr w:rsidTr="00B62B5F">
        <w:tblPrEx>
          <w:tblW w:w="8550" w:type="dxa"/>
          <w:tblInd w:w="152" w:type="dxa"/>
          <w:tblLayout w:type="fixed"/>
          <w:tblCellMar>
            <w:left w:w="62" w:type="dxa"/>
            <w:right w:w="62" w:type="dxa"/>
          </w:tblCellMar>
          <w:tblLook w:val="0000"/>
        </w:tblPrEx>
        <w:tc>
          <w:tcPr>
            <w:tcW w:w="1890" w:type="dxa"/>
            <w:tcBorders>
              <w:top w:val="single" w:sz="6" w:space="0" w:color="auto"/>
              <w:left w:val="double" w:sz="6" w:space="0" w:color="auto"/>
              <w:bottom w:val="double" w:sz="6" w:space="0" w:color="auto"/>
            </w:tcBorders>
          </w:tcPr>
          <w:p w:rsidR="00C05946" w:rsidRPr="0067355D" w:rsidP="00B62B5F">
            <w:pPr>
              <w:keepNext/>
              <w:suppressAutoHyphens/>
              <w:spacing w:before="42" w:after="104"/>
              <w:rPr>
                <w:b/>
                <w:szCs w:val="22"/>
              </w:rPr>
            </w:pPr>
            <w:r w:rsidRPr="0067355D">
              <w:rPr>
                <w:b/>
                <w:szCs w:val="22"/>
              </w:rPr>
              <w:t>&gt;6,000,000</w:t>
            </w:r>
          </w:p>
        </w:tc>
        <w:tc>
          <w:tcPr>
            <w:tcW w:w="1080" w:type="dxa"/>
            <w:tcBorders>
              <w:top w:val="single" w:sz="6" w:space="0" w:color="auto"/>
              <w:left w:val="single" w:sz="6" w:space="0" w:color="auto"/>
              <w:bottom w:val="double" w:sz="6" w:space="0" w:color="auto"/>
            </w:tcBorders>
          </w:tcPr>
          <w:p w:rsidR="00C05946" w:rsidRPr="0067355D" w:rsidP="00B62B5F">
            <w:pPr>
              <w:keepNext/>
              <w:suppressAutoHyphens/>
              <w:spacing w:before="42" w:after="104"/>
              <w:jc w:val="right"/>
              <w:rPr>
                <w:szCs w:val="22"/>
              </w:rPr>
            </w:pPr>
            <w:r w:rsidRPr="0067355D">
              <w:rPr>
                <w:szCs w:val="22"/>
              </w:rPr>
              <w:t>$17,950</w:t>
            </w:r>
          </w:p>
        </w:tc>
        <w:tc>
          <w:tcPr>
            <w:tcW w:w="990" w:type="dxa"/>
            <w:tcBorders>
              <w:top w:val="single" w:sz="6" w:space="0" w:color="auto"/>
              <w:left w:val="single" w:sz="6" w:space="0" w:color="auto"/>
              <w:bottom w:val="double" w:sz="6" w:space="0" w:color="auto"/>
            </w:tcBorders>
          </w:tcPr>
          <w:p w:rsidR="00C05946" w:rsidRPr="0067355D" w:rsidP="00B62B5F">
            <w:pPr>
              <w:keepNext/>
              <w:suppressAutoHyphens/>
              <w:spacing w:before="42" w:after="104"/>
              <w:jc w:val="right"/>
              <w:rPr>
                <w:szCs w:val="22"/>
              </w:rPr>
            </w:pPr>
            <w:r w:rsidRPr="0067355D">
              <w:rPr>
                <w:szCs w:val="22"/>
              </w:rPr>
              <w:t>$12,825</w:t>
            </w:r>
          </w:p>
        </w:tc>
        <w:tc>
          <w:tcPr>
            <w:tcW w:w="900" w:type="dxa"/>
            <w:tcBorders>
              <w:top w:val="single" w:sz="6" w:space="0" w:color="auto"/>
              <w:left w:val="single" w:sz="6" w:space="0" w:color="auto"/>
              <w:bottom w:val="double" w:sz="6" w:space="0" w:color="auto"/>
            </w:tcBorders>
          </w:tcPr>
          <w:p w:rsidR="00C05946" w:rsidRPr="0067355D" w:rsidP="00B62B5F">
            <w:pPr>
              <w:keepNext/>
              <w:suppressAutoHyphens/>
              <w:spacing w:before="42" w:after="104"/>
              <w:jc w:val="right"/>
              <w:rPr>
                <w:szCs w:val="22"/>
              </w:rPr>
            </w:pPr>
            <w:r w:rsidRPr="0067355D">
              <w:rPr>
                <w:szCs w:val="22"/>
              </w:rPr>
              <w:t>$11,100</w:t>
            </w:r>
          </w:p>
        </w:tc>
        <w:tc>
          <w:tcPr>
            <w:tcW w:w="900" w:type="dxa"/>
            <w:tcBorders>
              <w:top w:val="single" w:sz="6" w:space="0" w:color="auto"/>
              <w:left w:val="single" w:sz="6" w:space="0" w:color="auto"/>
              <w:bottom w:val="double" w:sz="6" w:space="0" w:color="auto"/>
            </w:tcBorders>
          </w:tcPr>
          <w:p w:rsidR="00C05946" w:rsidRPr="0067355D" w:rsidP="00B62B5F">
            <w:pPr>
              <w:keepNext/>
              <w:suppressAutoHyphens/>
              <w:spacing w:before="42" w:after="104"/>
              <w:jc w:val="right"/>
              <w:rPr>
                <w:szCs w:val="22"/>
              </w:rPr>
            </w:pPr>
            <w:r w:rsidRPr="0067355D">
              <w:rPr>
                <w:szCs w:val="22"/>
              </w:rPr>
              <w:t>$12,225</w:t>
            </w:r>
          </w:p>
        </w:tc>
        <w:tc>
          <w:tcPr>
            <w:tcW w:w="1440" w:type="dxa"/>
            <w:tcBorders>
              <w:top w:val="single" w:sz="6" w:space="0" w:color="auto"/>
              <w:left w:val="single" w:sz="6" w:space="0" w:color="auto"/>
              <w:bottom w:val="double" w:sz="6" w:space="0" w:color="auto"/>
            </w:tcBorders>
          </w:tcPr>
          <w:p w:rsidR="00C05946" w:rsidRPr="0067355D" w:rsidP="00B62B5F">
            <w:pPr>
              <w:keepNext/>
              <w:suppressAutoHyphens/>
              <w:spacing w:before="42" w:after="104"/>
              <w:jc w:val="right"/>
              <w:rPr>
                <w:szCs w:val="22"/>
              </w:rPr>
            </w:pPr>
            <w:r w:rsidRPr="0067355D">
              <w:rPr>
                <w:szCs w:val="22"/>
              </w:rPr>
              <w:t>$19,650</w:t>
            </w:r>
          </w:p>
        </w:tc>
        <w:tc>
          <w:tcPr>
            <w:tcW w:w="1350" w:type="dxa"/>
            <w:tcBorders>
              <w:top w:val="single" w:sz="6" w:space="0" w:color="auto"/>
              <w:left w:val="single" w:sz="6" w:space="0" w:color="auto"/>
              <w:bottom w:val="double" w:sz="6" w:space="0" w:color="auto"/>
              <w:right w:val="double" w:sz="6" w:space="0" w:color="auto"/>
            </w:tcBorders>
          </w:tcPr>
          <w:p w:rsidR="00C05946" w:rsidRPr="0067355D" w:rsidP="00B62B5F">
            <w:pPr>
              <w:keepNext/>
              <w:suppressAutoHyphens/>
              <w:spacing w:before="42" w:after="104"/>
              <w:jc w:val="right"/>
              <w:rPr>
                <w:szCs w:val="22"/>
              </w:rPr>
            </w:pPr>
            <w:r w:rsidRPr="0067355D">
              <w:rPr>
                <w:szCs w:val="22"/>
              </w:rPr>
              <w:t>$22,225</w:t>
            </w:r>
          </w:p>
        </w:tc>
      </w:tr>
    </w:tbl>
    <w:p w:rsidR="00C05946" w:rsidRPr="0067355D" w:rsidP="00C05946">
      <w:pPr>
        <w:suppressAutoHyphens/>
        <w:ind w:left="450"/>
        <w:jc w:val="center"/>
        <w:outlineLvl w:val="0"/>
        <w:rPr>
          <w:b/>
          <w:szCs w:val="22"/>
        </w:rPr>
      </w:pPr>
    </w:p>
    <w:p w:rsidR="00C05946" w:rsidRPr="0067355D" w:rsidP="00C05946">
      <w:pPr>
        <w:suppressAutoHyphens/>
        <w:ind w:left="450"/>
        <w:jc w:val="center"/>
        <w:outlineLvl w:val="0"/>
        <w:rPr>
          <w:b/>
          <w:szCs w:val="22"/>
        </w:rPr>
      </w:pPr>
    </w:p>
    <w:p w:rsidR="00C05946" w:rsidRPr="0067355D" w:rsidP="00C05946">
      <w:pPr>
        <w:suppressAutoHyphens/>
        <w:ind w:left="450"/>
        <w:jc w:val="center"/>
        <w:outlineLvl w:val="0"/>
        <w:rPr>
          <w:b/>
          <w:szCs w:val="22"/>
        </w:rPr>
      </w:pPr>
      <w:bookmarkStart w:id="155" w:name="_Toc491865058"/>
      <w:bookmarkStart w:id="156" w:name="_Toc491865473"/>
      <w:bookmarkStart w:id="157" w:name="_Toc514751358"/>
      <w:r w:rsidRPr="0067355D">
        <w:rPr>
          <w:b/>
          <w:szCs w:val="22"/>
        </w:rPr>
        <w:t xml:space="preserve">FY 2017 Regulatory Fees </w:t>
      </w:r>
      <w:r w:rsidRPr="0067355D">
        <w:rPr>
          <w:b/>
          <w:szCs w:val="22"/>
        </w:rPr>
        <w:t>International Bearer Circuits - Submarine Cable</w:t>
      </w:r>
      <w:bookmarkEnd w:id="155"/>
      <w:bookmarkEnd w:id="156"/>
      <w:bookmarkEnd w:id="157"/>
    </w:p>
    <w:p w:rsidR="00C05946" w:rsidRPr="0067355D" w:rsidP="00C05946">
      <w:pPr>
        <w:suppressAutoHyphens/>
        <w:rPr>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780"/>
      </w:tblGrid>
      <w:tr w:rsidTr="00B62B5F">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60" w:type="dxa"/>
          </w:tcPr>
          <w:p w:rsidR="00C05946" w:rsidRPr="0067355D" w:rsidP="00B62B5F">
            <w:pPr>
              <w:suppressAutoHyphens/>
              <w:jc w:val="both"/>
              <w:rPr>
                <w:spacing w:val="-3"/>
                <w:szCs w:val="22"/>
              </w:rPr>
            </w:pPr>
            <w:r w:rsidRPr="0067355D">
              <w:rPr>
                <w:spacing w:val="-3"/>
                <w:szCs w:val="22"/>
              </w:rPr>
              <w:t>Submarine Cable Systems</w:t>
            </w:r>
          </w:p>
          <w:p w:rsidR="00C05946" w:rsidRPr="0067355D" w:rsidP="00B62B5F">
            <w:pPr>
              <w:suppressAutoHyphens/>
              <w:jc w:val="both"/>
              <w:rPr>
                <w:spacing w:val="-3"/>
                <w:szCs w:val="22"/>
              </w:rPr>
            </w:pPr>
            <w:r w:rsidRPr="0067355D">
              <w:rPr>
                <w:szCs w:val="22"/>
              </w:rPr>
              <w:t>(capacity as of December 31, 2016)</w:t>
            </w:r>
          </w:p>
        </w:tc>
        <w:tc>
          <w:tcPr>
            <w:tcW w:w="3780" w:type="dxa"/>
          </w:tcPr>
          <w:p w:rsidR="00C05946" w:rsidRPr="0067355D" w:rsidP="00B62B5F">
            <w:pPr>
              <w:suppressAutoHyphens/>
              <w:jc w:val="center"/>
              <w:rPr>
                <w:spacing w:val="-3"/>
                <w:szCs w:val="22"/>
              </w:rPr>
            </w:pPr>
            <w:r w:rsidRPr="0067355D">
              <w:rPr>
                <w:spacing w:val="-3"/>
                <w:szCs w:val="22"/>
              </w:rPr>
              <w:t>Fee amount</w:t>
            </w:r>
          </w:p>
        </w:tc>
      </w:tr>
      <w:tr w:rsidTr="00B62B5F">
        <w:tblPrEx>
          <w:tblW w:w="0" w:type="auto"/>
          <w:tblInd w:w="175" w:type="dxa"/>
          <w:tblLook w:val="01E0"/>
        </w:tblPrEx>
        <w:trPr>
          <w:trHeight w:val="1034"/>
        </w:trPr>
        <w:tc>
          <w:tcPr>
            <w:tcW w:w="4860" w:type="dxa"/>
          </w:tcPr>
          <w:p w:rsidR="00C05946" w:rsidRPr="0067355D" w:rsidP="00B62B5F">
            <w:pPr>
              <w:suppressAutoHyphens/>
              <w:jc w:val="both"/>
              <w:rPr>
                <w:b/>
                <w:szCs w:val="22"/>
              </w:rPr>
            </w:pPr>
          </w:p>
          <w:p w:rsidR="00C05946" w:rsidRPr="0067355D" w:rsidP="00B62B5F">
            <w:pPr>
              <w:suppressAutoHyphens/>
              <w:jc w:val="both"/>
              <w:rPr>
                <w:b/>
                <w:spacing w:val="-3"/>
                <w:szCs w:val="22"/>
              </w:rPr>
            </w:pPr>
            <w:r w:rsidRPr="0067355D">
              <w:rPr>
                <w:b/>
                <w:szCs w:val="22"/>
              </w:rPr>
              <w:t>&lt; 2.5 Gbps</w:t>
            </w:r>
          </w:p>
        </w:tc>
        <w:tc>
          <w:tcPr>
            <w:tcW w:w="3780" w:type="dxa"/>
            <w:vAlign w:val="center"/>
          </w:tcPr>
          <w:p w:rsidR="00C05946" w:rsidRPr="0067355D" w:rsidP="00B62B5F">
            <w:pPr>
              <w:suppressAutoHyphens/>
              <w:jc w:val="center"/>
              <w:rPr>
                <w:spacing w:val="-3"/>
                <w:szCs w:val="22"/>
              </w:rPr>
            </w:pPr>
            <w:r w:rsidRPr="0067355D">
              <w:rPr>
                <w:bCs/>
                <w:szCs w:val="22"/>
              </w:rPr>
              <w:t>$8,600</w:t>
            </w:r>
          </w:p>
        </w:tc>
      </w:tr>
      <w:tr w:rsidTr="00B62B5F">
        <w:tblPrEx>
          <w:tblW w:w="0" w:type="auto"/>
          <w:tblInd w:w="175" w:type="dxa"/>
          <w:tblLook w:val="01E0"/>
        </w:tblPrEx>
        <w:trPr>
          <w:trHeight w:val="1034"/>
        </w:trPr>
        <w:tc>
          <w:tcPr>
            <w:tcW w:w="4860" w:type="dxa"/>
          </w:tcPr>
          <w:p w:rsidR="00C05946" w:rsidRPr="0067355D" w:rsidP="00B62B5F">
            <w:pPr>
              <w:suppressAutoHyphens/>
              <w:rPr>
                <w:b/>
                <w:spacing w:val="-3"/>
                <w:szCs w:val="22"/>
              </w:rPr>
            </w:pPr>
            <w:r w:rsidRPr="0067355D">
              <w:rPr>
                <w:b/>
                <w:szCs w:val="22"/>
              </w:rPr>
              <w:t>2.5 Gbps or greater, but less than 5 Gbps</w:t>
            </w:r>
          </w:p>
        </w:tc>
        <w:tc>
          <w:tcPr>
            <w:tcW w:w="3780" w:type="dxa"/>
            <w:vAlign w:val="center"/>
          </w:tcPr>
          <w:p w:rsidR="00C05946" w:rsidRPr="0067355D" w:rsidP="00B62B5F">
            <w:pPr>
              <w:jc w:val="center"/>
              <w:rPr>
                <w:bCs/>
                <w:szCs w:val="22"/>
              </w:rPr>
            </w:pPr>
            <w:r w:rsidRPr="0067355D">
              <w:rPr>
                <w:bCs/>
                <w:szCs w:val="22"/>
              </w:rPr>
              <w:t>$17,175</w:t>
            </w:r>
          </w:p>
          <w:p w:rsidR="00C05946" w:rsidRPr="0067355D" w:rsidP="00B62B5F">
            <w:pPr>
              <w:suppressAutoHyphens/>
              <w:jc w:val="center"/>
              <w:rPr>
                <w:spacing w:val="-3"/>
                <w:szCs w:val="22"/>
              </w:rPr>
            </w:pPr>
          </w:p>
        </w:tc>
      </w:tr>
      <w:tr w:rsidTr="00B62B5F">
        <w:tblPrEx>
          <w:tblW w:w="0" w:type="auto"/>
          <w:tblInd w:w="175" w:type="dxa"/>
          <w:tblLook w:val="01E0"/>
        </w:tblPrEx>
        <w:tc>
          <w:tcPr>
            <w:tcW w:w="4860" w:type="dxa"/>
          </w:tcPr>
          <w:p w:rsidR="00C05946" w:rsidRPr="0067355D" w:rsidP="00B62B5F">
            <w:pPr>
              <w:suppressAutoHyphens/>
              <w:rPr>
                <w:b/>
                <w:spacing w:val="-3"/>
                <w:szCs w:val="22"/>
              </w:rPr>
            </w:pPr>
            <w:r w:rsidRPr="0067355D">
              <w:rPr>
                <w:b/>
                <w:szCs w:val="22"/>
              </w:rPr>
              <w:t>5 Gbps or greater, but less than 10 Gbps</w:t>
            </w:r>
          </w:p>
        </w:tc>
        <w:tc>
          <w:tcPr>
            <w:tcW w:w="3780" w:type="dxa"/>
            <w:vAlign w:val="center"/>
          </w:tcPr>
          <w:p w:rsidR="00C05946" w:rsidRPr="0067355D" w:rsidP="00B62B5F">
            <w:pPr>
              <w:jc w:val="center"/>
              <w:rPr>
                <w:bCs/>
                <w:szCs w:val="22"/>
              </w:rPr>
            </w:pPr>
          </w:p>
          <w:p w:rsidR="00C05946" w:rsidRPr="0067355D" w:rsidP="00B62B5F">
            <w:pPr>
              <w:jc w:val="center"/>
              <w:rPr>
                <w:bCs/>
                <w:szCs w:val="22"/>
              </w:rPr>
            </w:pPr>
            <w:r w:rsidRPr="0067355D">
              <w:rPr>
                <w:bCs/>
                <w:szCs w:val="22"/>
              </w:rPr>
              <w:t xml:space="preserve"> $34,350</w:t>
            </w:r>
          </w:p>
          <w:p w:rsidR="00C05946" w:rsidRPr="0067355D" w:rsidP="00B62B5F">
            <w:pPr>
              <w:jc w:val="center"/>
              <w:rPr>
                <w:spacing w:val="-3"/>
                <w:szCs w:val="22"/>
              </w:rPr>
            </w:pPr>
          </w:p>
        </w:tc>
      </w:tr>
      <w:tr w:rsidTr="00B62B5F">
        <w:tblPrEx>
          <w:tblW w:w="0" w:type="auto"/>
          <w:tblInd w:w="175" w:type="dxa"/>
          <w:tblLook w:val="01E0"/>
        </w:tblPrEx>
        <w:trPr>
          <w:trHeight w:val="998"/>
        </w:trPr>
        <w:tc>
          <w:tcPr>
            <w:tcW w:w="4860" w:type="dxa"/>
          </w:tcPr>
          <w:p w:rsidR="00C05946" w:rsidRPr="0067355D" w:rsidP="00B62B5F">
            <w:pPr>
              <w:suppressAutoHyphens/>
              <w:rPr>
                <w:b/>
                <w:szCs w:val="22"/>
              </w:rPr>
            </w:pPr>
            <w:r w:rsidRPr="0067355D">
              <w:rPr>
                <w:b/>
                <w:szCs w:val="22"/>
              </w:rPr>
              <w:t>10 Gbps or greater, but less than 20 Gbps</w:t>
            </w:r>
          </w:p>
          <w:p w:rsidR="00C05946" w:rsidRPr="0067355D" w:rsidP="00B62B5F">
            <w:pPr>
              <w:suppressAutoHyphens/>
              <w:rPr>
                <w:b/>
                <w:spacing w:val="-3"/>
                <w:szCs w:val="22"/>
              </w:rPr>
            </w:pPr>
          </w:p>
        </w:tc>
        <w:tc>
          <w:tcPr>
            <w:tcW w:w="3780" w:type="dxa"/>
            <w:vAlign w:val="center"/>
          </w:tcPr>
          <w:p w:rsidR="00C05946" w:rsidRPr="0067355D" w:rsidP="00B62B5F">
            <w:pPr>
              <w:jc w:val="center"/>
              <w:rPr>
                <w:bCs/>
                <w:szCs w:val="22"/>
              </w:rPr>
            </w:pPr>
            <w:r w:rsidRPr="0067355D">
              <w:rPr>
                <w:bCs/>
                <w:szCs w:val="22"/>
              </w:rPr>
              <w:t>$68,725</w:t>
            </w:r>
          </w:p>
          <w:p w:rsidR="00C05946" w:rsidRPr="0067355D" w:rsidP="00B62B5F">
            <w:pPr>
              <w:suppressAutoHyphens/>
              <w:jc w:val="center"/>
              <w:rPr>
                <w:spacing w:val="-3"/>
                <w:szCs w:val="22"/>
              </w:rPr>
            </w:pPr>
          </w:p>
        </w:tc>
      </w:tr>
      <w:tr w:rsidTr="00B62B5F">
        <w:tblPrEx>
          <w:tblW w:w="0" w:type="auto"/>
          <w:tblInd w:w="175" w:type="dxa"/>
          <w:tblLook w:val="01E0"/>
        </w:tblPrEx>
        <w:trPr>
          <w:trHeight w:val="998"/>
        </w:trPr>
        <w:tc>
          <w:tcPr>
            <w:tcW w:w="4860" w:type="dxa"/>
          </w:tcPr>
          <w:p w:rsidR="00C05946" w:rsidRPr="0067355D" w:rsidP="00B62B5F">
            <w:pPr>
              <w:suppressAutoHyphens/>
              <w:rPr>
                <w:b/>
                <w:szCs w:val="22"/>
              </w:rPr>
            </w:pPr>
          </w:p>
          <w:p w:rsidR="00C05946" w:rsidRPr="0067355D" w:rsidP="00B62B5F">
            <w:pPr>
              <w:suppressAutoHyphens/>
              <w:rPr>
                <w:b/>
                <w:szCs w:val="22"/>
              </w:rPr>
            </w:pPr>
            <w:r w:rsidRPr="0067355D">
              <w:rPr>
                <w:b/>
                <w:szCs w:val="22"/>
              </w:rPr>
              <w:t>20 Gbps or greater</w:t>
            </w:r>
          </w:p>
          <w:p w:rsidR="00C05946" w:rsidRPr="0067355D" w:rsidP="00B62B5F">
            <w:pPr>
              <w:suppressAutoHyphens/>
              <w:rPr>
                <w:b/>
                <w:szCs w:val="22"/>
              </w:rPr>
            </w:pPr>
          </w:p>
        </w:tc>
        <w:tc>
          <w:tcPr>
            <w:tcW w:w="3780" w:type="dxa"/>
            <w:vAlign w:val="center"/>
          </w:tcPr>
          <w:p w:rsidR="00C05946" w:rsidRPr="0067355D" w:rsidP="00B62B5F">
            <w:pPr>
              <w:jc w:val="center"/>
              <w:rPr>
                <w:szCs w:val="22"/>
              </w:rPr>
            </w:pPr>
            <w:r w:rsidRPr="0067355D">
              <w:rPr>
                <w:bCs/>
                <w:szCs w:val="22"/>
              </w:rPr>
              <w:t>$137,425</w:t>
            </w:r>
          </w:p>
        </w:tc>
      </w:tr>
    </w:tbl>
    <w:p w:rsidR="00C05946" w:rsidP="00C05946">
      <w:pPr>
        <w:tabs>
          <w:tab w:val="left" w:pos="3629"/>
        </w:tabs>
        <w:rPr>
          <w:b/>
          <w:szCs w:val="22"/>
        </w:rPr>
      </w:pPr>
    </w:p>
    <w:p w:rsidR="00D45ED2">
      <w:pPr>
        <w:widowControl/>
        <w:rPr>
          <w:b/>
          <w:szCs w:val="22"/>
        </w:rPr>
        <w:sectPr w:rsidSect="00D45ED2">
          <w:headerReference w:type="default" r:id="rId10"/>
          <w:footerReference w:type="first" r:id="rId11"/>
          <w:footnotePr>
            <w:numRestart w:val="eachSect"/>
          </w:footnotePr>
          <w:pgSz w:w="12240" w:h="15840"/>
          <w:pgMar w:top="1440" w:right="1440" w:bottom="720" w:left="1440" w:header="720" w:footer="720" w:gutter="0"/>
          <w:cols w:space="720"/>
          <w:noEndnote/>
          <w:titlePg/>
        </w:sectPr>
      </w:pPr>
    </w:p>
    <w:p w:rsidR="00C05946" w:rsidRPr="00BB229F" w:rsidP="00C05946">
      <w:pPr>
        <w:pStyle w:val="ParaNum"/>
        <w:numPr>
          <w:ilvl w:val="0"/>
          <w:numId w:val="0"/>
        </w:numPr>
        <w:jc w:val="center"/>
        <w:rPr>
          <w:b/>
          <w:spacing w:val="-2"/>
        </w:rPr>
      </w:pPr>
      <w:r w:rsidRPr="00BB229F">
        <w:rPr>
          <w:b/>
          <w:spacing w:val="-2"/>
        </w:rPr>
        <w:t xml:space="preserve">APPENDIX </w:t>
      </w:r>
      <w:r w:rsidR="00CB564C">
        <w:rPr>
          <w:b/>
          <w:spacing w:val="-2"/>
        </w:rPr>
        <w:t>I</w:t>
      </w:r>
    </w:p>
    <w:p w:rsidR="00C05946" w:rsidRPr="00BB229F" w:rsidP="00C05946">
      <w:pPr>
        <w:pStyle w:val="EndnoteText"/>
        <w:jc w:val="center"/>
        <w:rPr>
          <w:b/>
          <w:sz w:val="22"/>
          <w:szCs w:val="22"/>
        </w:rPr>
      </w:pPr>
      <w:r w:rsidRPr="00BB229F">
        <w:rPr>
          <w:b/>
          <w:sz w:val="22"/>
          <w:szCs w:val="22"/>
        </w:rPr>
        <w:t>Rule Changes</w:t>
      </w:r>
    </w:p>
    <w:p w:rsidR="00C05946" w:rsidRPr="00BB229F" w:rsidP="00C05946">
      <w:pPr>
        <w:pStyle w:val="EndnoteText"/>
        <w:rPr>
          <w:sz w:val="22"/>
          <w:szCs w:val="22"/>
        </w:rPr>
      </w:pPr>
    </w:p>
    <w:p w:rsidR="00C05946" w:rsidRPr="00BB229F" w:rsidP="00C05946">
      <w:pPr>
        <w:pStyle w:val="EndnoteText"/>
        <w:rPr>
          <w:sz w:val="22"/>
          <w:szCs w:val="22"/>
        </w:rPr>
      </w:pPr>
      <w:r w:rsidRPr="00BB229F">
        <w:rPr>
          <w:sz w:val="22"/>
          <w:szCs w:val="22"/>
        </w:rPr>
        <w:t>Part 1 of Title 47 of the Code of Federal Regulations is amended to read as follows:</w:t>
      </w:r>
    </w:p>
    <w:p w:rsidR="00C05946" w:rsidRPr="00BB229F" w:rsidP="00C05946">
      <w:pPr>
        <w:pStyle w:val="EndnoteText"/>
        <w:rPr>
          <w:sz w:val="22"/>
          <w:szCs w:val="22"/>
        </w:rPr>
      </w:pPr>
    </w:p>
    <w:p w:rsidR="00C05946" w:rsidRPr="00BB229F" w:rsidP="00C05946">
      <w:pPr>
        <w:pStyle w:val="EndnoteText"/>
        <w:rPr>
          <w:b/>
          <w:sz w:val="22"/>
          <w:szCs w:val="22"/>
        </w:rPr>
      </w:pPr>
      <w:r w:rsidRPr="00BB229F">
        <w:rPr>
          <w:b/>
          <w:sz w:val="22"/>
          <w:szCs w:val="22"/>
        </w:rPr>
        <w:t>PART 1 – PRACTICE AND PROCEDURE</w:t>
      </w:r>
    </w:p>
    <w:p w:rsidR="00C05946" w:rsidRPr="00BB229F" w:rsidP="00C05946">
      <w:pPr>
        <w:pStyle w:val="EndnoteText"/>
        <w:rPr>
          <w:sz w:val="22"/>
          <w:szCs w:val="22"/>
        </w:rPr>
      </w:pPr>
    </w:p>
    <w:p w:rsidR="00C05946" w:rsidRPr="00BB229F" w:rsidP="00C05946">
      <w:pPr>
        <w:pStyle w:val="EndnoteText"/>
        <w:tabs>
          <w:tab w:val="left" w:pos="720"/>
        </w:tabs>
        <w:rPr>
          <w:sz w:val="22"/>
          <w:szCs w:val="22"/>
        </w:rPr>
      </w:pPr>
      <w:r w:rsidRPr="00BB229F">
        <w:rPr>
          <w:sz w:val="22"/>
          <w:szCs w:val="22"/>
        </w:rPr>
        <w:t>1.</w:t>
      </w:r>
      <w:r w:rsidRPr="00BB229F">
        <w:rPr>
          <w:sz w:val="22"/>
          <w:szCs w:val="22"/>
        </w:rPr>
        <w:tab/>
        <w:t>The authority citation for part 1 continues to read as follows:</w:t>
      </w:r>
    </w:p>
    <w:p w:rsidR="00C05946" w:rsidRPr="00BB229F" w:rsidP="00C05946">
      <w:pPr>
        <w:pStyle w:val="EndnoteText"/>
        <w:tabs>
          <w:tab w:val="left" w:pos="720"/>
        </w:tabs>
        <w:rPr>
          <w:sz w:val="22"/>
          <w:szCs w:val="22"/>
        </w:rPr>
      </w:pPr>
    </w:p>
    <w:p w:rsidR="00C05946" w:rsidP="00C05946">
      <w:pPr>
        <w:pStyle w:val="EndnoteText"/>
        <w:rPr>
          <w:sz w:val="22"/>
          <w:szCs w:val="22"/>
          <w:shd w:val="clear" w:color="auto" w:fill="FFFFFF"/>
        </w:rPr>
      </w:pPr>
      <w:r w:rsidRPr="00BB229F">
        <w:rPr>
          <w:sz w:val="22"/>
          <w:szCs w:val="22"/>
        </w:rPr>
        <w:tab/>
        <w:t xml:space="preserve">Authority:  </w:t>
      </w:r>
      <w:r w:rsidRPr="005D44ED" w:rsidR="008C755F">
        <w:rPr>
          <w:sz w:val="22"/>
          <w:szCs w:val="22"/>
          <w:shd w:val="clear" w:color="auto" w:fill="FFFFFF"/>
        </w:rPr>
        <w:t>47 U.S.C. 151, 154(</w:t>
      </w:r>
      <w:r w:rsidRPr="005D44ED" w:rsidR="008C755F">
        <w:rPr>
          <w:sz w:val="22"/>
          <w:szCs w:val="22"/>
          <w:shd w:val="clear" w:color="auto" w:fill="FFFFFF"/>
        </w:rPr>
        <w:t>i</w:t>
      </w:r>
      <w:r w:rsidRPr="005D44ED" w:rsidR="008C755F">
        <w:rPr>
          <w:sz w:val="22"/>
          <w:szCs w:val="22"/>
          <w:shd w:val="clear" w:color="auto" w:fill="FFFFFF"/>
        </w:rPr>
        <w:t>), 155, 157, 160, 201, 225, 227, 303, 309, 332, 1403, 1404, 1451, 1452, and 1455; Sec. 102(c), Div. P, Pub. L. 115-141, 132 Stat. 1084, unless otherwise noted</w:t>
      </w:r>
      <w:r w:rsidR="008C755F">
        <w:rPr>
          <w:sz w:val="22"/>
          <w:szCs w:val="22"/>
          <w:shd w:val="clear" w:color="auto" w:fill="FFFFFF"/>
        </w:rPr>
        <w:t>.</w:t>
      </w:r>
    </w:p>
    <w:p w:rsidR="008C755F" w:rsidRPr="00BB229F" w:rsidP="00C05946">
      <w:pPr>
        <w:pStyle w:val="EndnoteText"/>
        <w:rPr>
          <w:sz w:val="22"/>
          <w:szCs w:val="22"/>
        </w:rPr>
      </w:pPr>
    </w:p>
    <w:p w:rsidR="00C05946" w:rsidRPr="00BB229F" w:rsidP="00C05946">
      <w:pPr>
        <w:pStyle w:val="EndnoteText"/>
        <w:tabs>
          <w:tab w:val="left" w:pos="720"/>
        </w:tabs>
        <w:rPr>
          <w:sz w:val="22"/>
          <w:szCs w:val="22"/>
        </w:rPr>
      </w:pPr>
      <w:r w:rsidRPr="00BB229F">
        <w:rPr>
          <w:sz w:val="22"/>
          <w:szCs w:val="22"/>
        </w:rPr>
        <w:t xml:space="preserve">2.   </w:t>
      </w:r>
      <w:r w:rsidRPr="00BB229F">
        <w:rPr>
          <w:sz w:val="22"/>
          <w:szCs w:val="22"/>
        </w:rPr>
        <w:tab/>
        <w:t>Section 1.1152 is revised to read as follows:</w:t>
      </w:r>
    </w:p>
    <w:p w:rsidR="00C05946" w:rsidRPr="00BB229F" w:rsidP="00C05946">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 xml:space="preserve">   </w:t>
      </w:r>
    </w:p>
    <w:p w:rsidR="00C05946" w:rsidRPr="00BB229F" w:rsidP="00C05946">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 xml:space="preserve">§ </w:t>
      </w:r>
      <w:r w:rsidRPr="00BB229F">
        <w:rPr>
          <w:spacing w:val="-3"/>
          <w:szCs w:val="22"/>
        </w:rPr>
        <w:t>1.1152  Schedule</w:t>
      </w:r>
      <w:r w:rsidRPr="00BB229F">
        <w:rPr>
          <w:spacing w:val="-3"/>
          <w:szCs w:val="22"/>
        </w:rPr>
        <w:t xml:space="preserve"> of annual regulatory fees for wireless radio services.</w:t>
      </w:r>
    </w:p>
    <w:p w:rsidR="00C05946" w:rsidRPr="00BB229F" w:rsidP="00C05946">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Cs w:val="22"/>
        </w:rPr>
      </w:pPr>
      <w:r w:rsidRPr="00BB229F">
        <w:rPr>
          <w:spacing w:val="-3"/>
          <w:szCs w:val="22"/>
        </w:rPr>
        <w:t xml:space="preserve">                     </w:t>
      </w:r>
    </w:p>
    <w:p w:rsidR="00C05946" w:rsidRPr="00BB229F" w:rsidP="00C05946">
      <w:pPr>
        <w:tabs>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6840"/>
          <w:tab w:val="left" w:pos="7920"/>
        </w:tabs>
        <w:suppressAutoHyphens/>
        <w:jc w:val="both"/>
        <w:rPr>
          <w:spacing w:val="-3"/>
          <w:szCs w:val="22"/>
        </w:rPr>
      </w:pPr>
      <w:r w:rsidRPr="00BB229F">
        <w:rPr>
          <w:b/>
          <w:spacing w:val="-3"/>
          <w:szCs w:val="22"/>
        </w:rPr>
        <w:t>Exclusive use services (per license)</w:t>
      </w:r>
      <w:r w:rsidRPr="00BB229F">
        <w:rPr>
          <w:b/>
          <w:spacing w:val="-3"/>
          <w:szCs w:val="22"/>
        </w:rPr>
        <w:tab/>
      </w:r>
      <w:r w:rsidRPr="00BB229F">
        <w:rPr>
          <w:b/>
          <w:spacing w:val="-3"/>
          <w:szCs w:val="22"/>
        </w:rPr>
        <w:tab/>
      </w:r>
      <w:r w:rsidRPr="00BB229F">
        <w:rPr>
          <w:b/>
          <w:spacing w:val="-3"/>
          <w:szCs w:val="22"/>
        </w:rPr>
        <w:tab/>
        <w:t>Fee Amount</w:t>
      </w:r>
      <w:r>
        <w:rPr>
          <w:rStyle w:val="FootnoteReference"/>
          <w:spacing w:val="-3"/>
          <w:szCs w:val="22"/>
        </w:rPr>
        <w:footnoteReference w:id="181"/>
      </w:r>
      <w:r w:rsidRPr="00BB229F">
        <w:rPr>
          <w:b/>
          <w:spacing w:val="-3"/>
          <w:szCs w:val="22"/>
        </w:rPr>
        <w:tab/>
      </w:r>
      <w:r w:rsidRPr="00BB229F">
        <w:rPr>
          <w:spacing w:val="-3"/>
          <w:szCs w:val="22"/>
        </w:rPr>
        <w:t xml:space="preserve">  </w:t>
      </w:r>
    </w:p>
    <w:p w:rsidR="00C05946" w:rsidRPr="00BB229F" w:rsidP="00C05946">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C05946" w:rsidRPr="00BB229F" w:rsidP="00C05946">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spacing w:val="-3"/>
          <w:szCs w:val="22"/>
        </w:rPr>
      </w:pPr>
      <w:bookmarkStart w:id="158" w:name="_Toc491865076"/>
      <w:bookmarkStart w:id="159" w:name="_Toc491865491"/>
      <w:r w:rsidRPr="00BB229F">
        <w:rPr>
          <w:b/>
          <w:spacing w:val="-3"/>
          <w:szCs w:val="22"/>
        </w:rPr>
        <w:t>1.</w:t>
      </w:r>
      <w:r w:rsidRPr="00BB229F">
        <w:rPr>
          <w:b/>
          <w:spacing w:val="-3"/>
          <w:szCs w:val="22"/>
        </w:rPr>
        <w:tab/>
        <w:t>Land Mobile (Above 470</w:t>
      </w:r>
      <w:bookmarkEnd w:id="158"/>
      <w:bookmarkEnd w:id="159"/>
    </w:p>
    <w:p w:rsidR="00C05946" w:rsidRPr="00BB229F" w:rsidP="00C05946">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BB229F">
        <w:rPr>
          <w:b/>
          <w:spacing w:val="-3"/>
          <w:szCs w:val="22"/>
        </w:rPr>
        <w:tab/>
      </w:r>
      <w:bookmarkStart w:id="160" w:name="_Toc491865077"/>
      <w:bookmarkStart w:id="161" w:name="_Toc491865492"/>
      <w:r w:rsidRPr="00BB229F">
        <w:rPr>
          <w:b/>
          <w:spacing w:val="-3"/>
          <w:szCs w:val="22"/>
        </w:rPr>
        <w:t>MHz and 220 MHz Local,</w:t>
      </w:r>
      <w:bookmarkEnd w:id="160"/>
      <w:bookmarkEnd w:id="161"/>
    </w:p>
    <w:p w:rsidR="00C05946" w:rsidRPr="00BB229F" w:rsidP="00C05946">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outlineLvl w:val="0"/>
        <w:rPr>
          <w:b/>
          <w:spacing w:val="-3"/>
          <w:szCs w:val="22"/>
        </w:rPr>
      </w:pPr>
      <w:r w:rsidRPr="00BB229F">
        <w:rPr>
          <w:b/>
          <w:spacing w:val="-3"/>
          <w:szCs w:val="22"/>
        </w:rPr>
        <w:tab/>
      </w:r>
      <w:bookmarkStart w:id="162" w:name="_Toc491865078"/>
      <w:bookmarkStart w:id="163" w:name="_Toc491865493"/>
      <w:r w:rsidRPr="00BB229F">
        <w:rPr>
          <w:b/>
          <w:spacing w:val="-3"/>
          <w:szCs w:val="22"/>
        </w:rPr>
        <w:t>Base Station &amp; SMRS)</w:t>
      </w:r>
      <w:bookmarkEnd w:id="162"/>
      <w:bookmarkEnd w:id="163"/>
    </w:p>
    <w:p w:rsidR="00C05946" w:rsidRPr="00BB229F" w:rsidP="00C05946">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r w:rsidRPr="00BB229F">
        <w:rPr>
          <w:b/>
          <w:spacing w:val="-3"/>
          <w:szCs w:val="22"/>
        </w:rPr>
        <w:tab/>
        <w:t>(47 CFR part 90)</w:t>
      </w:r>
    </w:p>
    <w:p w:rsidR="00C05946" w:rsidRPr="00BB229F" w:rsidP="00C05946">
      <w:pPr>
        <w:tabs>
          <w:tab w:val="left" w:pos="-1440"/>
          <w:tab w:val="left" w:pos="-720"/>
          <w:tab w:val="left" w:pos="5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Renew/Mod</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b) New, Renew/Mod</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ind w:left="540"/>
        <w:jc w:val="both"/>
        <w:rPr>
          <w:spacing w:val="-3"/>
          <w:szCs w:val="22"/>
        </w:rPr>
      </w:pPr>
      <w:r w:rsidRPr="00BB229F">
        <w:rPr>
          <w:spacing w:val="-3"/>
          <w:szCs w:val="22"/>
        </w:rPr>
        <w:t>c)Renewal Only</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w:t>
      </w:r>
      <w:r w:rsidRPr="00BB229F">
        <w:rPr>
          <w:b/>
          <w:spacing w:val="-3"/>
          <w:szCs w:val="22"/>
        </w:rPr>
        <w:t>220 MHz Nationwide</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Renew/Mod</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053B68"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Pr>
          <w:spacing w:val="-3"/>
          <w:szCs w:val="22"/>
        </w:rPr>
        <w:tab/>
      </w:r>
      <w:r w:rsidRPr="00BB229F">
        <w:rPr>
          <w:spacing w:val="-3"/>
          <w:szCs w:val="22"/>
        </w:rPr>
        <w:t>b)New</w:t>
      </w:r>
      <w:r w:rsidRPr="00BB229F">
        <w:rPr>
          <w:spacing w:val="-3"/>
          <w:szCs w:val="22"/>
        </w:rPr>
        <w:t>, Renew/Mod</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 xml:space="preserve">          d)Renewal Only</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spacing w:val="-3"/>
          <w:szCs w:val="22"/>
        </w:rPr>
      </w:pPr>
      <w:bookmarkStart w:id="164" w:name="_Toc491865079"/>
      <w:bookmarkStart w:id="165" w:name="_Toc491865494"/>
      <w:r w:rsidRPr="00BB229F">
        <w:rPr>
          <w:b/>
          <w:spacing w:val="-3"/>
          <w:szCs w:val="22"/>
        </w:rPr>
        <w:t>2.</w:t>
      </w:r>
      <w:r w:rsidRPr="00BB229F">
        <w:rPr>
          <w:b/>
          <w:spacing w:val="-3"/>
          <w:szCs w:val="22"/>
        </w:rPr>
        <w:tab/>
        <w:t>Microwave (47 CFR Pt. 101) (Private)</w:t>
      </w:r>
      <w:bookmarkEnd w:id="164"/>
      <w:bookmarkEnd w:id="165"/>
    </w:p>
    <w:p w:rsidR="00C05946" w:rsidRPr="00BB229F" w:rsidP="00C05946">
      <w:pPr>
        <w:tabs>
          <w:tab w:val="left" w:pos="540"/>
          <w:tab w:val="left" w:pos="4860"/>
          <w:tab w:val="left" w:pos="6840"/>
        </w:tabs>
        <w:suppressAutoHyphens/>
        <w:jc w:val="both"/>
        <w:rPr>
          <w:spacing w:val="-3"/>
          <w:szCs w:val="22"/>
        </w:rPr>
      </w:pPr>
      <w:r w:rsidRPr="00BB229F">
        <w:rPr>
          <w:spacing w:val="-3"/>
          <w:szCs w:val="22"/>
        </w:rPr>
        <w:t xml:space="preserve">         </w:t>
      </w:r>
      <w:r w:rsidRPr="00BB229F">
        <w:rPr>
          <w:spacing w:val="-3"/>
          <w:szCs w:val="22"/>
        </w:rPr>
        <w:tab/>
      </w:r>
      <w:r w:rsidRPr="00BB229F">
        <w:rPr>
          <w:spacing w:val="-3"/>
          <w:szCs w:val="22"/>
        </w:rPr>
        <w:t>a)New</w:t>
      </w:r>
      <w:r w:rsidRPr="00BB229F">
        <w:rPr>
          <w:spacing w:val="-3"/>
          <w:szCs w:val="22"/>
        </w:rPr>
        <w:t>, Renew/Mod</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b)New</w:t>
      </w:r>
      <w:r w:rsidRPr="00BB229F">
        <w:rPr>
          <w:spacing w:val="-3"/>
          <w:szCs w:val="22"/>
        </w:rPr>
        <w:t>, Renew/Mod</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ind w:left="540"/>
        <w:jc w:val="both"/>
        <w:rPr>
          <w:spacing w:val="-3"/>
          <w:szCs w:val="22"/>
        </w:rPr>
      </w:pPr>
      <w:r w:rsidRPr="00BB229F">
        <w:rPr>
          <w:spacing w:val="-3"/>
          <w:szCs w:val="22"/>
        </w:rPr>
        <w:t>c)Renewal Only</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 xml:space="preserve">          d)Renewal Only</w:t>
      </w:r>
      <w:r w:rsidRPr="00BB229F">
        <w:rPr>
          <w:spacing w:val="-3"/>
          <w:szCs w:val="22"/>
        </w:rPr>
        <w:tab/>
        <w:t>$25.00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spacing w:val="-3"/>
          <w:szCs w:val="22"/>
        </w:rPr>
      </w:pPr>
      <w:bookmarkStart w:id="166" w:name="_Toc491865080"/>
      <w:bookmarkStart w:id="167" w:name="_Toc491865495"/>
      <w:r w:rsidRPr="00BB229F">
        <w:rPr>
          <w:b/>
          <w:spacing w:val="-3"/>
          <w:szCs w:val="22"/>
        </w:rPr>
        <w:t>3.  Shared Use Services</w:t>
      </w:r>
      <w:bookmarkEnd w:id="166"/>
      <w:bookmarkEnd w:id="167"/>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outlineLvl w:val="0"/>
        <w:rPr>
          <w:b/>
          <w:spacing w:val="-3"/>
          <w:szCs w:val="22"/>
        </w:rPr>
      </w:pPr>
      <w:r w:rsidRPr="00BB229F">
        <w:rPr>
          <w:spacing w:val="-3"/>
          <w:szCs w:val="22"/>
        </w:rPr>
        <w:t xml:space="preserve">          </w:t>
      </w:r>
      <w:bookmarkStart w:id="168" w:name="_Toc491865081"/>
      <w:bookmarkStart w:id="169" w:name="_Toc491865496"/>
      <w:r w:rsidRPr="00BB229F">
        <w:rPr>
          <w:b/>
          <w:spacing w:val="-3"/>
          <w:szCs w:val="22"/>
        </w:rPr>
        <w:t>Land Mobile (Frequencies</w:t>
      </w:r>
      <w:bookmarkEnd w:id="168"/>
      <w:bookmarkEnd w:id="169"/>
    </w:p>
    <w:p w:rsidR="00C05946" w:rsidRPr="00BB229F" w:rsidP="00C05946">
      <w:pPr>
        <w:tabs>
          <w:tab w:val="left" w:pos="540"/>
          <w:tab w:val="left" w:pos="4860"/>
          <w:tab w:val="left" w:pos="6840"/>
        </w:tabs>
        <w:suppressAutoHyphens/>
        <w:jc w:val="both"/>
        <w:outlineLvl w:val="0"/>
        <w:rPr>
          <w:b/>
          <w:spacing w:val="-3"/>
          <w:szCs w:val="22"/>
        </w:rPr>
      </w:pPr>
      <w:r w:rsidRPr="00BB229F">
        <w:rPr>
          <w:spacing w:val="-3"/>
          <w:szCs w:val="22"/>
        </w:rPr>
        <w:t xml:space="preserve">          </w:t>
      </w:r>
      <w:bookmarkStart w:id="170" w:name="_Toc491865082"/>
      <w:bookmarkStart w:id="171" w:name="_Toc491865497"/>
      <w:r w:rsidRPr="00BB229F">
        <w:rPr>
          <w:b/>
          <w:spacing w:val="-3"/>
          <w:szCs w:val="22"/>
        </w:rPr>
        <w:t>Below 470 MHz – except</w:t>
      </w:r>
      <w:bookmarkEnd w:id="170"/>
      <w:bookmarkEnd w:id="171"/>
    </w:p>
    <w:p w:rsidR="00C05946" w:rsidRPr="00BB229F" w:rsidP="00C05946">
      <w:pPr>
        <w:tabs>
          <w:tab w:val="left" w:pos="540"/>
          <w:tab w:val="left" w:pos="4860"/>
          <w:tab w:val="left" w:pos="6840"/>
        </w:tabs>
        <w:suppressAutoHyphens/>
        <w:jc w:val="both"/>
        <w:outlineLvl w:val="0"/>
        <w:rPr>
          <w:b/>
          <w:spacing w:val="-3"/>
          <w:szCs w:val="22"/>
        </w:rPr>
      </w:pPr>
      <w:r w:rsidRPr="00BB229F">
        <w:rPr>
          <w:b/>
          <w:spacing w:val="-3"/>
          <w:szCs w:val="22"/>
        </w:rPr>
        <w:t xml:space="preserve">           </w:t>
      </w:r>
      <w:bookmarkStart w:id="172" w:name="_Toc491865083"/>
      <w:bookmarkStart w:id="173" w:name="_Toc491865498"/>
      <w:r w:rsidRPr="00BB229F">
        <w:rPr>
          <w:b/>
          <w:spacing w:val="-3"/>
          <w:szCs w:val="22"/>
        </w:rPr>
        <w:t>220 MHz)</w:t>
      </w:r>
      <w:bookmarkEnd w:id="172"/>
      <w:bookmarkEnd w:id="173"/>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Renew/Mod</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b) New, Renew/Mod</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spacing w:val="-3"/>
          <w:szCs w:val="22"/>
        </w:rPr>
      </w:pPr>
      <w:r w:rsidRPr="00BB229F">
        <w:rPr>
          <w:b/>
          <w:spacing w:val="-3"/>
          <w:szCs w:val="22"/>
        </w:rPr>
        <w:tab/>
      </w:r>
      <w:bookmarkStart w:id="174" w:name="_Toc491865084"/>
      <w:bookmarkStart w:id="175" w:name="_Toc491865499"/>
      <w:r w:rsidRPr="00BB229F">
        <w:rPr>
          <w:b/>
          <w:spacing w:val="-3"/>
          <w:szCs w:val="22"/>
        </w:rPr>
        <w:t>Rural Radio (Part 22)</w:t>
      </w:r>
      <w:bookmarkEnd w:id="174"/>
      <w:bookmarkEnd w:id="175"/>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Additional Facility,</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Major Renew/Mod</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b)Renewal</w:t>
      </w:r>
      <w:r w:rsidRPr="00BB229F">
        <w:rPr>
          <w:spacing w:val="-3"/>
          <w:szCs w:val="22"/>
        </w:rPr>
        <w:t>, Minor Renew/Mod</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b/>
          <w:spacing w:val="-3"/>
          <w:szCs w:val="22"/>
        </w:rPr>
      </w:pPr>
      <w:r w:rsidRPr="00BB229F">
        <w:rPr>
          <w:b/>
          <w:spacing w:val="-3"/>
          <w:szCs w:val="22"/>
        </w:rPr>
        <w:tab/>
      </w:r>
      <w:bookmarkStart w:id="176" w:name="_Toc491865085"/>
      <w:bookmarkStart w:id="177" w:name="_Toc491865500"/>
      <w:r w:rsidRPr="00BB229F">
        <w:rPr>
          <w:b/>
          <w:spacing w:val="-3"/>
          <w:szCs w:val="22"/>
        </w:rPr>
        <w:t>Marine Coast</w:t>
      </w:r>
      <w:bookmarkEnd w:id="176"/>
      <w:bookmarkEnd w:id="177"/>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xml:space="preserve"> Renewal/Mod</w:t>
      </w:r>
      <w:r w:rsidRPr="00BB229F">
        <w:rPr>
          <w:spacing w:val="-3"/>
          <w:szCs w:val="22"/>
        </w:rPr>
        <w:tab/>
        <w:t>$40.00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b)New</w:t>
      </w:r>
      <w:r w:rsidRPr="00BB229F">
        <w:rPr>
          <w:spacing w:val="-3"/>
          <w:szCs w:val="22"/>
        </w:rPr>
        <w:t>, Renewal/Mod</w:t>
      </w:r>
      <w:r w:rsidRPr="00BB229F">
        <w:rPr>
          <w:spacing w:val="-3"/>
          <w:szCs w:val="22"/>
        </w:rPr>
        <w:tab/>
        <w:t>$40.00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ind w:left="540"/>
        <w:jc w:val="both"/>
        <w:rPr>
          <w:spacing w:val="-3"/>
          <w:szCs w:val="22"/>
        </w:rPr>
      </w:pPr>
      <w:r w:rsidRPr="00BB229F">
        <w:rPr>
          <w:spacing w:val="-3"/>
          <w:szCs w:val="22"/>
        </w:rPr>
        <w:t>c)Renewal Only</w:t>
      </w:r>
      <w:r w:rsidRPr="00BB229F">
        <w:rPr>
          <w:spacing w:val="-3"/>
          <w:szCs w:val="22"/>
        </w:rPr>
        <w:tab/>
        <w:t>$40.00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$40.00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b/>
          <w:spacing w:val="-3"/>
          <w:szCs w:val="22"/>
        </w:rPr>
      </w:pPr>
      <w:r w:rsidRPr="00BB229F">
        <w:rPr>
          <w:b/>
          <w:spacing w:val="-3"/>
          <w:szCs w:val="22"/>
        </w:rPr>
        <w:tab/>
      </w:r>
      <w:bookmarkStart w:id="178" w:name="_Toc491865086"/>
      <w:bookmarkStart w:id="179" w:name="_Toc491865501"/>
      <w:r w:rsidRPr="00BB229F">
        <w:rPr>
          <w:b/>
          <w:spacing w:val="-3"/>
          <w:szCs w:val="22"/>
        </w:rPr>
        <w:t>Aviation Ground</w:t>
      </w:r>
      <w:bookmarkEnd w:id="178"/>
      <w:bookmarkEnd w:id="179"/>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Renewal/Mod</w:t>
      </w:r>
      <w:r w:rsidRPr="00BB229F">
        <w:rPr>
          <w:spacing w:val="-3"/>
          <w:szCs w:val="22"/>
        </w:rPr>
        <w:tab/>
        <w:t>$20.00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b)New</w:t>
      </w:r>
      <w:r w:rsidRPr="00BB229F">
        <w:rPr>
          <w:spacing w:val="-3"/>
          <w:szCs w:val="22"/>
        </w:rPr>
        <w:t>, Renewal/Mod</w:t>
      </w:r>
      <w:r w:rsidRPr="00BB229F">
        <w:rPr>
          <w:spacing w:val="-3"/>
          <w:szCs w:val="22"/>
        </w:rPr>
        <w:tab/>
        <w:t>$20.00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$20.00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$20.00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Only)</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601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spacing w:val="-3"/>
          <w:szCs w:val="22"/>
        </w:rPr>
      </w:pPr>
      <w:r w:rsidRPr="00BB229F">
        <w:rPr>
          <w:b/>
          <w:spacing w:val="-3"/>
          <w:szCs w:val="22"/>
        </w:rPr>
        <w:tab/>
      </w:r>
      <w:bookmarkStart w:id="180" w:name="_Toc491865087"/>
      <w:bookmarkStart w:id="181" w:name="_Toc491865502"/>
      <w:r w:rsidRPr="00BB229F">
        <w:rPr>
          <w:b/>
          <w:spacing w:val="-3"/>
          <w:szCs w:val="22"/>
        </w:rPr>
        <w:t>Marine Ship</w:t>
      </w:r>
      <w:bookmarkEnd w:id="180"/>
      <w:bookmarkEnd w:id="181"/>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Renewal/Mod</w:t>
      </w:r>
      <w:r w:rsidRPr="00BB229F">
        <w:rPr>
          <w:spacing w:val="-3"/>
          <w:szCs w:val="22"/>
        </w:rPr>
        <w:tab/>
        <w:t>$15.00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b)New</w:t>
      </w:r>
      <w:r w:rsidRPr="00BB229F">
        <w:rPr>
          <w:spacing w:val="-3"/>
          <w:szCs w:val="22"/>
        </w:rPr>
        <w:t>, Renewal/Mod</w:t>
      </w:r>
      <w:r w:rsidRPr="00BB229F">
        <w:rPr>
          <w:spacing w:val="-3"/>
          <w:szCs w:val="22"/>
        </w:rPr>
        <w:tab/>
        <w:t>$15.00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(FCC 605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$15.00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$15.00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(FCC 605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outlineLvl w:val="0"/>
        <w:rPr>
          <w:spacing w:val="-3"/>
          <w:szCs w:val="22"/>
        </w:rPr>
      </w:pPr>
      <w:r w:rsidRPr="00BB229F">
        <w:rPr>
          <w:spacing w:val="-3"/>
          <w:szCs w:val="22"/>
        </w:rPr>
        <w:tab/>
      </w:r>
    </w:p>
    <w:p w:rsidR="00C05946" w:rsidRPr="00BB229F" w:rsidP="00C05946">
      <w:pPr>
        <w:widowControl/>
        <w:rPr>
          <w:spacing w:val="-3"/>
          <w:szCs w:val="22"/>
        </w:rPr>
      </w:pPr>
    </w:p>
    <w:p w:rsidR="00C05946" w:rsidRPr="00BB229F" w:rsidP="00C05946">
      <w:pPr>
        <w:tabs>
          <w:tab w:val="left" w:pos="540"/>
          <w:tab w:val="left" w:pos="4860"/>
          <w:tab w:val="left" w:pos="6840"/>
        </w:tabs>
        <w:suppressAutoHyphens/>
        <w:jc w:val="both"/>
        <w:outlineLvl w:val="0"/>
        <w:rPr>
          <w:spacing w:val="-3"/>
          <w:szCs w:val="22"/>
        </w:rPr>
      </w:pPr>
      <w:r w:rsidRPr="00BB229F">
        <w:rPr>
          <w:b/>
          <w:spacing w:val="-3"/>
          <w:szCs w:val="22"/>
        </w:rPr>
        <w:tab/>
      </w:r>
      <w:bookmarkStart w:id="182" w:name="_Toc491865088"/>
      <w:bookmarkStart w:id="183" w:name="_Toc491865503"/>
      <w:r w:rsidRPr="00BB229F">
        <w:rPr>
          <w:b/>
          <w:spacing w:val="-3"/>
          <w:szCs w:val="22"/>
        </w:rPr>
        <w:t>Aviation Aircraft</w:t>
      </w:r>
      <w:bookmarkEnd w:id="182"/>
      <w:bookmarkEnd w:id="183"/>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a)New</w:t>
      </w:r>
      <w:r w:rsidRPr="00BB229F">
        <w:rPr>
          <w:spacing w:val="-3"/>
          <w:szCs w:val="22"/>
        </w:rPr>
        <w:t>, Renew/Mod</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b)New</w:t>
      </w:r>
      <w:r w:rsidRPr="00BB229F">
        <w:rPr>
          <w:spacing w:val="-3"/>
          <w:szCs w:val="22"/>
        </w:rPr>
        <w:t>, Renew/Mod</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c)Renewal Only</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d)Renewal Only</w:t>
      </w:r>
      <w:r w:rsidRPr="00BB229F">
        <w:rPr>
          <w:spacing w:val="-3"/>
          <w:szCs w:val="22"/>
        </w:rPr>
        <w:tab/>
        <w:t>$10.00</w:t>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(Electronic Filing)</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ab/>
        <w:t xml:space="preserve">  (FCC 605 &amp;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b/>
          <w:spacing w:val="-3"/>
          <w:szCs w:val="22"/>
        </w:rPr>
        <w:t>4.  CMRS Cellular/Mobile Services</w:t>
      </w:r>
      <w:r w:rsidRPr="00BB229F">
        <w:rPr>
          <w:spacing w:val="-3"/>
          <w:szCs w:val="22"/>
        </w:rPr>
        <w:tab/>
        <w:t>$ .2</w:t>
      </w:r>
      <w:r>
        <w:rPr>
          <w:spacing w:val="-3"/>
          <w:szCs w:val="22"/>
        </w:rPr>
        <w:t>0</w:t>
      </w:r>
      <w:r>
        <w:rPr>
          <w:rStyle w:val="FootnoteReference"/>
          <w:spacing w:val="-3"/>
          <w:szCs w:val="22"/>
        </w:rPr>
        <w:footnoteReference w:id="182"/>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b/>
          <w:spacing w:val="-3"/>
          <w:szCs w:val="22"/>
        </w:rPr>
        <w:t xml:space="preserve">     (per unit)</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 xml:space="preserve">     (FCC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b/>
          <w:spacing w:val="-3"/>
          <w:szCs w:val="22"/>
        </w:rPr>
        <w:t>5.  CMRS Messaging Services</w:t>
      </w:r>
      <w:r w:rsidRPr="00BB229F">
        <w:rPr>
          <w:spacing w:val="-3"/>
          <w:szCs w:val="22"/>
        </w:rPr>
        <w:tab/>
        <w:t>$ .08</w:t>
      </w:r>
      <w:r>
        <w:rPr>
          <w:rStyle w:val="FootnoteReference"/>
          <w:spacing w:val="-3"/>
          <w:szCs w:val="22"/>
        </w:rPr>
        <w:footnoteReference w:id="183"/>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b/>
          <w:spacing w:val="-3"/>
          <w:szCs w:val="22"/>
        </w:rPr>
        <w:t xml:space="preserve">     (per unit)</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r w:rsidRPr="00BB229F">
        <w:rPr>
          <w:spacing w:val="-3"/>
          <w:szCs w:val="22"/>
        </w:rPr>
        <w:t xml:space="preserve">     (FCC 159)</w:t>
      </w:r>
      <w:r w:rsidRPr="00BB229F">
        <w:rPr>
          <w:spacing w:val="-3"/>
          <w:szCs w:val="22"/>
        </w:rPr>
        <w:tab/>
      </w:r>
      <w:r w:rsidRPr="00BB229F">
        <w:rPr>
          <w:spacing w:val="-3"/>
          <w:szCs w:val="22"/>
        </w:rPr>
        <w:tab/>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6. Broadband Radio Service</w:t>
      </w:r>
      <w:r w:rsidRPr="00BB229F">
        <w:rPr>
          <w:spacing w:val="-3"/>
          <w:szCs w:val="22"/>
        </w:rPr>
        <w:tab/>
        <w:t xml:space="preserve">     </w:t>
      </w:r>
      <w:r w:rsidRPr="00BB229F">
        <w:rPr>
          <w:spacing w:val="-3"/>
          <w:szCs w:val="22"/>
        </w:rPr>
        <w:t xml:space="preserve">$  </w:t>
      </w:r>
      <w:r>
        <w:rPr>
          <w:spacing w:val="-3"/>
          <w:szCs w:val="22"/>
        </w:rPr>
        <w:t>6</w:t>
      </w:r>
      <w:r w:rsidRPr="00BB229F">
        <w:rPr>
          <w:spacing w:val="-3"/>
          <w:szCs w:val="22"/>
        </w:rPr>
        <w:t>00</w:t>
      </w:r>
      <w:r w:rsidRPr="00BB229F">
        <w:rPr>
          <w:spacing w:val="-3"/>
          <w:szCs w:val="22"/>
        </w:rPr>
        <w:tab/>
        <w:t xml:space="preserve">       </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 xml:space="preserve">    (formerly MMDS </w:t>
      </w:r>
      <w:r w:rsidRPr="00BB229F">
        <w:rPr>
          <w:spacing w:val="-3"/>
          <w:szCs w:val="22"/>
        </w:rPr>
        <w:t>and  MDS</w:t>
      </w:r>
      <w:r w:rsidRPr="00BB229F">
        <w:rPr>
          <w:spacing w:val="-3"/>
          <w:szCs w:val="22"/>
        </w:rPr>
        <w:t>)</w:t>
      </w:r>
      <w:r w:rsidRPr="00BB229F">
        <w:rPr>
          <w:spacing w:val="-3"/>
          <w:szCs w:val="22"/>
        </w:rPr>
        <w:tab/>
      </w:r>
      <w:r w:rsidRPr="00BB229F">
        <w:rPr>
          <w:spacing w:val="-3"/>
          <w:szCs w:val="22"/>
        </w:rPr>
        <w:tab/>
        <w:t xml:space="preserve">       </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t xml:space="preserve">       </w:t>
      </w:r>
    </w:p>
    <w:p w:rsidR="00C05946" w:rsidRPr="00BB229F" w:rsidP="00C05946">
      <w:pPr>
        <w:widowControl/>
        <w:rPr>
          <w:b/>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7. Local Multipoint Distribution Service</w:t>
      </w:r>
      <w:r w:rsidRPr="00BB229F">
        <w:rPr>
          <w:spacing w:val="-3"/>
          <w:szCs w:val="22"/>
        </w:rPr>
        <w:tab/>
        <w:t xml:space="preserve">     </w:t>
      </w:r>
      <w:r w:rsidRPr="00BB229F">
        <w:rPr>
          <w:spacing w:val="-3"/>
          <w:szCs w:val="22"/>
        </w:rPr>
        <w:t xml:space="preserve">$  </w:t>
      </w:r>
      <w:r>
        <w:rPr>
          <w:spacing w:val="-3"/>
          <w:szCs w:val="22"/>
        </w:rPr>
        <w:t>6</w:t>
      </w:r>
      <w:r w:rsidRPr="00BB229F">
        <w:rPr>
          <w:spacing w:val="-3"/>
          <w:szCs w:val="22"/>
        </w:rPr>
        <w:t>00</w:t>
      </w:r>
      <w:r w:rsidRPr="00BB229F">
        <w:rPr>
          <w:spacing w:val="-3"/>
          <w:szCs w:val="22"/>
        </w:rPr>
        <w:tab/>
        <w:t xml:space="preserve">       </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 xml:space="preserve">    </w:t>
      </w:r>
      <w:r w:rsidRPr="00BB229F">
        <w:rPr>
          <w:spacing w:val="-3"/>
          <w:szCs w:val="22"/>
        </w:rPr>
        <w:tab/>
      </w:r>
      <w:r w:rsidRPr="00BB229F">
        <w:rPr>
          <w:spacing w:val="-3"/>
          <w:szCs w:val="22"/>
        </w:rPr>
        <w:tab/>
      </w:r>
      <w:r w:rsidRPr="00BB229F">
        <w:rPr>
          <w:spacing w:val="-3"/>
          <w:szCs w:val="22"/>
        </w:rPr>
        <w:tab/>
        <w:t xml:space="preserve">       </w:t>
      </w:r>
      <w:r w:rsidRPr="00BB229F">
        <w:rPr>
          <w:spacing w:val="-3"/>
          <w:szCs w:val="22"/>
        </w:rPr>
        <w:tab/>
      </w:r>
      <w:r w:rsidRPr="00BB229F">
        <w:rPr>
          <w:spacing w:val="-3"/>
          <w:szCs w:val="22"/>
        </w:rPr>
        <w:tab/>
        <w:t xml:space="preserve">       </w:t>
      </w:r>
    </w:p>
    <w:p w:rsidR="00C05946" w:rsidRPr="00BB229F" w:rsidP="00C05946">
      <w:pPr>
        <w:tabs>
          <w:tab w:val="left" w:pos="720"/>
          <w:tab w:val="left" w:pos="4860"/>
          <w:tab w:val="left" w:pos="6840"/>
        </w:tabs>
        <w:suppressAutoHyphens/>
        <w:jc w:val="both"/>
        <w:rPr>
          <w:spacing w:val="-3"/>
          <w:szCs w:val="22"/>
        </w:rPr>
      </w:pPr>
      <w:r w:rsidRPr="00BB229F">
        <w:rPr>
          <w:spacing w:val="-3"/>
          <w:szCs w:val="22"/>
        </w:rPr>
        <w:t>3.   Section 1.1153 is revised to read as follows:</w:t>
      </w:r>
    </w:p>
    <w:p w:rsidR="00C05946" w:rsidRPr="00BB229F" w:rsidP="00C05946">
      <w:pPr>
        <w:tabs>
          <w:tab w:val="left" w:pos="540"/>
          <w:tab w:val="left" w:pos="4860"/>
          <w:tab w:val="left" w:pos="6840"/>
        </w:tabs>
        <w:suppressAutoHyphens/>
        <w:rPr>
          <w:b/>
          <w:szCs w:val="22"/>
        </w:rPr>
      </w:pPr>
    </w:p>
    <w:p w:rsidR="00C05946" w:rsidRPr="00BB229F" w:rsidP="00C05946">
      <w:pPr>
        <w:tabs>
          <w:tab w:val="left" w:pos="540"/>
          <w:tab w:val="left" w:pos="4860"/>
          <w:tab w:val="left" w:pos="6840"/>
        </w:tabs>
        <w:suppressAutoHyphens/>
        <w:rPr>
          <w:szCs w:val="22"/>
        </w:rPr>
      </w:pPr>
      <w:r w:rsidRPr="00BB229F">
        <w:rPr>
          <w:szCs w:val="22"/>
        </w:rPr>
        <w:t xml:space="preserve">§ </w:t>
      </w:r>
      <w:r w:rsidRPr="00BB229F">
        <w:rPr>
          <w:szCs w:val="22"/>
        </w:rPr>
        <w:t>1.1153  Schedule</w:t>
      </w:r>
      <w:r w:rsidRPr="00BB229F">
        <w:rPr>
          <w:szCs w:val="22"/>
        </w:rPr>
        <w:t xml:space="preserve"> of annual regulatory fees and filing locations for mass media services. </w:t>
      </w: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p>
    <w:p w:rsidR="00C05946" w:rsidRPr="00BB229F" w:rsidP="00C05946">
      <w:pPr>
        <w:tabs>
          <w:tab w:val="left" w:pos="540"/>
          <w:tab w:val="left" w:pos="4860"/>
          <w:tab w:val="left" w:pos="6840"/>
        </w:tabs>
        <w:suppressAutoHyphens/>
        <w:jc w:val="both"/>
        <w:rPr>
          <w:spacing w:val="-3"/>
          <w:szCs w:val="22"/>
        </w:rPr>
      </w:pPr>
      <w:r w:rsidRPr="00BB229F">
        <w:rPr>
          <w:b/>
          <w:spacing w:val="-3"/>
          <w:szCs w:val="22"/>
        </w:rPr>
        <w:t>Radio [AM and FM] (47 CFR part 73)</w:t>
      </w:r>
      <w:r w:rsidRPr="00BB229F">
        <w:rPr>
          <w:b/>
          <w:spacing w:val="-3"/>
          <w:szCs w:val="22"/>
        </w:rPr>
        <w:tab/>
        <w:t>Fee Amount</w:t>
      </w:r>
      <w:r w:rsidRPr="00BB229F">
        <w:rPr>
          <w:b/>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outlineLvl w:val="0"/>
        <w:rPr>
          <w:spacing w:val="-3"/>
          <w:szCs w:val="22"/>
        </w:rPr>
      </w:pPr>
      <w:bookmarkStart w:id="184" w:name="_Toc491865089"/>
      <w:bookmarkStart w:id="185" w:name="_Toc491865504"/>
      <w:r w:rsidRPr="00BB229F">
        <w:rPr>
          <w:spacing w:val="-3"/>
          <w:szCs w:val="22"/>
        </w:rPr>
        <w:t>1.</w:t>
      </w:r>
      <w:r w:rsidRPr="00BB229F">
        <w:rPr>
          <w:spacing w:val="-3"/>
          <w:szCs w:val="22"/>
        </w:rPr>
        <w:tab/>
      </w:r>
      <w:r w:rsidRPr="00BB229F">
        <w:rPr>
          <w:spacing w:val="-3"/>
          <w:szCs w:val="22"/>
          <w:u w:val="single"/>
        </w:rPr>
        <w:t>AM Class A</w:t>
      </w:r>
      <w:bookmarkEnd w:id="184"/>
      <w:bookmarkEnd w:id="185"/>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&lt;=25,000 population</w:t>
      </w:r>
      <w:r w:rsidRPr="00BB229F">
        <w:rPr>
          <w:spacing w:val="-3"/>
          <w:szCs w:val="22"/>
        </w:rPr>
        <w:tab/>
        <w:t xml:space="preserve">   $8</w:t>
      </w:r>
      <w:r>
        <w:rPr>
          <w:spacing w:val="-3"/>
          <w:szCs w:val="22"/>
        </w:rPr>
        <w:t>80</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rPr>
        <w:tab/>
      </w:r>
      <w:r w:rsidRPr="00BB229F">
        <w:rPr>
          <w:spacing w:val="-3"/>
          <w:szCs w:val="22"/>
          <w:lang w:val="fr-FR"/>
        </w:rPr>
        <w:t>25,001-75,000 population</w:t>
      </w:r>
      <w:r w:rsidRPr="00BB229F">
        <w:rPr>
          <w:spacing w:val="-3"/>
          <w:szCs w:val="22"/>
          <w:lang w:val="fr-FR"/>
        </w:rPr>
        <w:tab/>
        <w:t>$1,3</w:t>
      </w:r>
      <w:r>
        <w:rPr>
          <w:spacing w:val="-3"/>
          <w:szCs w:val="22"/>
          <w:lang w:val="fr-FR"/>
        </w:rPr>
        <w:t>25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w:t>
      </w:r>
      <w:r>
        <w:rPr>
          <w:spacing w:val="-3"/>
          <w:szCs w:val="22"/>
          <w:lang w:val="fr-FR"/>
        </w:rPr>
        <w:t>1,975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w:t>
      </w:r>
      <w:r>
        <w:rPr>
          <w:spacing w:val="-3"/>
          <w:szCs w:val="22"/>
          <w:lang w:val="fr-FR"/>
        </w:rPr>
        <w:t>2,975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w:t>
      </w:r>
      <w:r>
        <w:rPr>
          <w:spacing w:val="-3"/>
          <w:szCs w:val="22"/>
          <w:lang w:val="fr-FR"/>
        </w:rPr>
        <w:t>4,450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w:t>
      </w:r>
      <w:r>
        <w:rPr>
          <w:spacing w:val="-3"/>
          <w:szCs w:val="22"/>
          <w:lang w:val="fr-FR"/>
        </w:rPr>
        <w:t>6,700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$1</w:t>
      </w:r>
      <w:r>
        <w:rPr>
          <w:spacing w:val="-3"/>
          <w:szCs w:val="22"/>
          <w:lang w:val="fr-FR"/>
        </w:rPr>
        <w:t>0,025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w:t>
      </w:r>
      <w:r>
        <w:rPr>
          <w:spacing w:val="-3"/>
          <w:szCs w:val="22"/>
          <w:lang w:val="fr-FR"/>
        </w:rPr>
        <w:t>5,050</w:t>
      </w:r>
      <w:bookmarkStart w:id="186" w:name="_GoBack"/>
      <w:bookmarkEnd w:id="186"/>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2.</w:t>
      </w:r>
      <w:r w:rsidRPr="00BB229F">
        <w:rPr>
          <w:spacing w:val="-3"/>
          <w:szCs w:val="22"/>
          <w:lang w:val="fr-FR"/>
        </w:rPr>
        <w:tab/>
      </w:r>
      <w:r w:rsidRPr="00BB229F">
        <w:rPr>
          <w:spacing w:val="-3"/>
          <w:szCs w:val="22"/>
          <w:u w:val="single"/>
          <w:lang w:val="fr-FR"/>
        </w:rPr>
        <w:t>AM Class B</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$6</w:t>
      </w:r>
      <w:r>
        <w:rPr>
          <w:spacing w:val="-3"/>
          <w:szCs w:val="22"/>
          <w:lang w:val="fr-FR"/>
        </w:rPr>
        <w:t>35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 xml:space="preserve">   $95</w:t>
      </w:r>
      <w:r>
        <w:rPr>
          <w:spacing w:val="-3"/>
          <w:szCs w:val="22"/>
          <w:lang w:val="fr-FR"/>
        </w:rPr>
        <w:t>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$1,</w:t>
      </w:r>
      <w:r>
        <w:rPr>
          <w:spacing w:val="-3"/>
          <w:szCs w:val="22"/>
          <w:lang w:val="fr-FR"/>
        </w:rPr>
        <w:t>425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$2,</w:t>
      </w:r>
      <w:r>
        <w:rPr>
          <w:spacing w:val="-3"/>
          <w:szCs w:val="22"/>
          <w:lang w:val="fr-FR"/>
        </w:rPr>
        <w:t>150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$3,</w:t>
      </w:r>
      <w:r>
        <w:rPr>
          <w:spacing w:val="-3"/>
          <w:szCs w:val="22"/>
          <w:lang w:val="fr-FR"/>
        </w:rPr>
        <w:t>225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w:t>
      </w:r>
      <w:r>
        <w:rPr>
          <w:spacing w:val="-3"/>
          <w:szCs w:val="22"/>
          <w:lang w:val="fr-FR"/>
        </w:rPr>
        <w:t>4,825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w:t>
      </w:r>
      <w:r>
        <w:rPr>
          <w:spacing w:val="-3"/>
          <w:szCs w:val="22"/>
          <w:lang w:val="fr-FR"/>
        </w:rPr>
        <w:t>7,225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w:t>
      </w:r>
      <w:r>
        <w:rPr>
          <w:spacing w:val="-3"/>
          <w:szCs w:val="22"/>
          <w:lang w:val="fr-FR"/>
        </w:rPr>
        <w:t>0,850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p>
    <w:p w:rsidR="00C05946" w:rsidRPr="00BB229F" w:rsidP="00C05946">
      <w:pPr>
        <w:tabs>
          <w:tab w:val="left" w:pos="-1440"/>
          <w:tab w:val="left" w:pos="-720"/>
          <w:tab w:val="left" w:pos="540"/>
          <w:tab w:val="left" w:pos="4590"/>
          <w:tab w:val="left" w:pos="6480"/>
        </w:tabs>
        <w:suppressAutoHyphens/>
        <w:jc w:val="both"/>
        <w:outlineLvl w:val="0"/>
        <w:rPr>
          <w:spacing w:val="-3"/>
          <w:szCs w:val="22"/>
          <w:lang w:val="fr-FR"/>
        </w:rPr>
      </w:pPr>
      <w:bookmarkStart w:id="187" w:name="_Toc491865090"/>
      <w:bookmarkStart w:id="188" w:name="_Toc491865505"/>
      <w:r w:rsidRPr="00BB229F">
        <w:rPr>
          <w:spacing w:val="-3"/>
          <w:szCs w:val="22"/>
          <w:lang w:val="fr-FR"/>
        </w:rPr>
        <w:t>3.</w:t>
      </w:r>
      <w:r w:rsidRPr="00BB229F">
        <w:rPr>
          <w:spacing w:val="-3"/>
          <w:szCs w:val="22"/>
          <w:lang w:val="fr-FR"/>
        </w:rPr>
        <w:tab/>
      </w:r>
      <w:r w:rsidRPr="00BB229F">
        <w:rPr>
          <w:spacing w:val="-3"/>
          <w:szCs w:val="22"/>
          <w:u w:val="single"/>
          <w:lang w:val="fr-FR"/>
        </w:rPr>
        <w:t>AM Class C</w:t>
      </w:r>
      <w:bookmarkEnd w:id="187"/>
      <w:bookmarkEnd w:id="188"/>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$55</w:t>
      </w:r>
      <w:r>
        <w:rPr>
          <w:spacing w:val="-3"/>
          <w:szCs w:val="22"/>
          <w:lang w:val="fr-FR"/>
        </w:rPr>
        <w:t>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 xml:space="preserve">   $8</w:t>
      </w:r>
      <w:r>
        <w:rPr>
          <w:spacing w:val="-3"/>
          <w:szCs w:val="22"/>
          <w:lang w:val="fr-FR"/>
        </w:rPr>
        <w:t>25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$1,</w:t>
      </w:r>
      <w:r>
        <w:rPr>
          <w:spacing w:val="-3"/>
          <w:szCs w:val="22"/>
          <w:lang w:val="fr-FR"/>
        </w:rPr>
        <w:t>250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w:t>
      </w:r>
      <w:r>
        <w:rPr>
          <w:spacing w:val="-3"/>
          <w:szCs w:val="22"/>
          <w:lang w:val="fr-FR"/>
        </w:rPr>
        <w:t>1,850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w:t>
      </w:r>
      <w:r>
        <w:rPr>
          <w:spacing w:val="-3"/>
          <w:szCs w:val="22"/>
          <w:lang w:val="fr-FR"/>
        </w:rPr>
        <w:t>2,775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$4</w:t>
      </w:r>
      <w:r>
        <w:rPr>
          <w:spacing w:val="-3"/>
          <w:szCs w:val="22"/>
          <w:lang w:val="fr-FR"/>
        </w:rPr>
        <w:t>,175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w:t>
      </w:r>
      <w:r>
        <w:rPr>
          <w:spacing w:val="-3"/>
          <w:szCs w:val="22"/>
          <w:lang w:val="fr-FR"/>
        </w:rPr>
        <w:t>6,275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w:t>
      </w:r>
      <w:r>
        <w:rPr>
          <w:spacing w:val="-3"/>
          <w:szCs w:val="22"/>
          <w:lang w:val="fr-FR"/>
        </w:rPr>
        <w:t>9,400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p>
    <w:p w:rsidR="00C05946" w:rsidRPr="00BB229F" w:rsidP="00C05946">
      <w:pPr>
        <w:tabs>
          <w:tab w:val="left" w:pos="-1440"/>
          <w:tab w:val="left" w:pos="-720"/>
          <w:tab w:val="left" w:pos="540"/>
          <w:tab w:val="left" w:pos="4590"/>
          <w:tab w:val="left" w:pos="6480"/>
        </w:tabs>
        <w:suppressAutoHyphens/>
        <w:jc w:val="both"/>
        <w:outlineLvl w:val="0"/>
        <w:rPr>
          <w:spacing w:val="-3"/>
          <w:szCs w:val="22"/>
          <w:lang w:val="fr-FR"/>
        </w:rPr>
      </w:pPr>
      <w:bookmarkStart w:id="189" w:name="_Toc491865091"/>
      <w:bookmarkStart w:id="190" w:name="_Toc491865506"/>
      <w:r w:rsidRPr="00BB229F">
        <w:rPr>
          <w:spacing w:val="-3"/>
          <w:szCs w:val="22"/>
          <w:lang w:val="fr-FR"/>
        </w:rPr>
        <w:t>4.</w:t>
      </w:r>
      <w:r w:rsidRPr="00BB229F">
        <w:rPr>
          <w:spacing w:val="-3"/>
          <w:szCs w:val="22"/>
          <w:lang w:val="fr-FR"/>
        </w:rPr>
        <w:tab/>
      </w:r>
      <w:r w:rsidRPr="00BB229F">
        <w:rPr>
          <w:spacing w:val="-3"/>
          <w:szCs w:val="22"/>
          <w:u w:val="single"/>
          <w:lang w:val="fr-FR"/>
        </w:rPr>
        <w:t>AM Class D</w:t>
      </w:r>
      <w:bookmarkEnd w:id="189"/>
      <w:bookmarkEnd w:id="190"/>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$6</w:t>
      </w:r>
      <w:r>
        <w:rPr>
          <w:spacing w:val="-3"/>
          <w:szCs w:val="22"/>
          <w:lang w:val="fr-FR"/>
        </w:rPr>
        <w:t>05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 xml:space="preserve">   $91</w:t>
      </w:r>
      <w:r>
        <w:rPr>
          <w:spacing w:val="-3"/>
          <w:szCs w:val="22"/>
          <w:lang w:val="fr-FR"/>
        </w:rPr>
        <w:t>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$1,</w:t>
      </w:r>
      <w:r>
        <w:rPr>
          <w:spacing w:val="-3"/>
          <w:szCs w:val="22"/>
          <w:lang w:val="fr-FR"/>
        </w:rPr>
        <w:t>350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$2,</w:t>
      </w:r>
      <w:r>
        <w:rPr>
          <w:spacing w:val="-3"/>
          <w:szCs w:val="22"/>
          <w:lang w:val="fr-FR"/>
        </w:rPr>
        <w:t>050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$3,</w:t>
      </w:r>
      <w:r>
        <w:rPr>
          <w:spacing w:val="-3"/>
          <w:szCs w:val="22"/>
          <w:lang w:val="fr-FR"/>
        </w:rPr>
        <w:t>050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w:t>
      </w:r>
      <w:r>
        <w:rPr>
          <w:spacing w:val="-3"/>
          <w:szCs w:val="22"/>
          <w:lang w:val="fr-FR"/>
        </w:rPr>
        <w:t>4,600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w:t>
      </w:r>
      <w:r>
        <w:rPr>
          <w:spacing w:val="-3"/>
          <w:szCs w:val="22"/>
          <w:lang w:val="fr-FR"/>
        </w:rPr>
        <w:t>6,900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w:t>
      </w:r>
      <w:r>
        <w:rPr>
          <w:spacing w:val="-3"/>
          <w:szCs w:val="22"/>
          <w:lang w:val="fr-FR"/>
        </w:rPr>
        <w:t>0,325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5.</w:t>
      </w:r>
      <w:r w:rsidRPr="00BB229F">
        <w:rPr>
          <w:spacing w:val="-3"/>
          <w:szCs w:val="22"/>
          <w:lang w:val="fr-FR"/>
        </w:rPr>
        <w:tab/>
        <w:t>AM Construction Permit</w:t>
      </w:r>
      <w:r w:rsidRPr="00BB229F">
        <w:rPr>
          <w:spacing w:val="-3"/>
          <w:szCs w:val="22"/>
          <w:lang w:val="fr-FR"/>
        </w:rPr>
        <w:tab/>
        <w:t xml:space="preserve">   $55</w:t>
      </w:r>
      <w:r>
        <w:rPr>
          <w:spacing w:val="-3"/>
          <w:szCs w:val="22"/>
          <w:lang w:val="fr-FR"/>
        </w:rPr>
        <w:t>0</w:t>
      </w:r>
      <w:r w:rsidRPr="00BB229F">
        <w:rPr>
          <w:spacing w:val="-3"/>
          <w:szCs w:val="22"/>
          <w:lang w:val="fr-FR"/>
        </w:rPr>
        <w:tab/>
      </w:r>
      <w:r w:rsidRPr="00BB229F">
        <w:rPr>
          <w:spacing w:val="-3"/>
          <w:szCs w:val="22"/>
          <w:lang w:val="fr-FR"/>
        </w:rPr>
        <w:tab/>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r>
      <w:r w:rsidRPr="00BB229F">
        <w:rPr>
          <w:spacing w:val="-3"/>
          <w:szCs w:val="22"/>
          <w:lang w:val="fr-FR"/>
        </w:rPr>
        <w:tab/>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outlineLvl w:val="0"/>
        <w:rPr>
          <w:spacing w:val="-3"/>
          <w:szCs w:val="22"/>
          <w:lang w:val="fr-FR"/>
        </w:rPr>
      </w:pPr>
      <w:bookmarkStart w:id="191" w:name="_Toc491865092"/>
      <w:bookmarkStart w:id="192" w:name="_Toc491865507"/>
      <w:r w:rsidRPr="00BB229F">
        <w:rPr>
          <w:spacing w:val="-3"/>
          <w:szCs w:val="22"/>
          <w:lang w:val="fr-FR"/>
        </w:rPr>
        <w:t>6.</w:t>
      </w:r>
      <w:r w:rsidRPr="00BB229F">
        <w:rPr>
          <w:spacing w:val="-3"/>
          <w:szCs w:val="22"/>
          <w:lang w:val="fr-FR"/>
        </w:rPr>
        <w:tab/>
      </w:r>
      <w:r w:rsidRPr="00BB229F">
        <w:rPr>
          <w:spacing w:val="-3"/>
          <w:szCs w:val="22"/>
          <w:u w:val="single"/>
          <w:lang w:val="fr-FR"/>
        </w:rPr>
        <w:t>FM Classes A, B1 and C3</w:t>
      </w:r>
      <w:bookmarkEnd w:id="191"/>
      <w:bookmarkEnd w:id="192"/>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&lt;=25,000 population</w:t>
      </w:r>
      <w:r w:rsidRPr="00BB229F">
        <w:rPr>
          <w:spacing w:val="-3"/>
          <w:szCs w:val="22"/>
          <w:lang w:val="fr-FR"/>
        </w:rPr>
        <w:tab/>
        <w:t xml:space="preserve">   $9</w:t>
      </w:r>
      <w:r>
        <w:rPr>
          <w:spacing w:val="-3"/>
          <w:szCs w:val="22"/>
          <w:lang w:val="fr-FR"/>
        </w:rPr>
        <w:t>65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$1,4</w:t>
      </w:r>
      <w:r>
        <w:rPr>
          <w:spacing w:val="-3"/>
          <w:szCs w:val="22"/>
          <w:lang w:val="fr-FR"/>
        </w:rPr>
        <w:t>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$2,</w:t>
      </w:r>
      <w:r>
        <w:rPr>
          <w:spacing w:val="-3"/>
          <w:szCs w:val="22"/>
          <w:lang w:val="fr-FR"/>
        </w:rPr>
        <w:t>175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$3,</w:t>
      </w:r>
      <w:r>
        <w:rPr>
          <w:spacing w:val="-3"/>
          <w:szCs w:val="22"/>
          <w:lang w:val="fr-FR"/>
        </w:rPr>
        <w:t>250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w:t>
      </w:r>
      <w:r>
        <w:rPr>
          <w:spacing w:val="-3"/>
          <w:szCs w:val="22"/>
          <w:lang w:val="fr-FR"/>
        </w:rPr>
        <w:t>4,875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w:t>
      </w:r>
      <w:r>
        <w:rPr>
          <w:spacing w:val="-3"/>
          <w:szCs w:val="22"/>
          <w:lang w:val="fr-FR"/>
        </w:rPr>
        <w:t>7,325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$1</w:t>
      </w:r>
      <w:r>
        <w:rPr>
          <w:spacing w:val="-3"/>
          <w:szCs w:val="22"/>
          <w:lang w:val="fr-FR"/>
        </w:rPr>
        <w:t>1,000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$1</w:t>
      </w:r>
      <w:r>
        <w:rPr>
          <w:spacing w:val="-3"/>
          <w:szCs w:val="22"/>
          <w:lang w:val="fr-FR"/>
        </w:rPr>
        <w:t>6,500</w:t>
      </w:r>
      <w:r w:rsidRPr="00BB229F">
        <w:rPr>
          <w:spacing w:val="-3"/>
          <w:szCs w:val="22"/>
          <w:lang w:val="fr-FR"/>
        </w:rPr>
        <w:tab/>
      </w:r>
      <w:r w:rsidRPr="00BB229F">
        <w:rPr>
          <w:spacing w:val="-3"/>
          <w:szCs w:val="22"/>
          <w:lang w:val="fr-FR"/>
        </w:rPr>
        <w:tab/>
      </w:r>
      <w:r w:rsidRPr="00BB229F">
        <w:rPr>
          <w:spacing w:val="-3"/>
          <w:szCs w:val="22"/>
          <w:lang w:val="fr-FR"/>
        </w:rPr>
        <w:tab/>
      </w:r>
    </w:p>
    <w:p w:rsidR="00C05946" w:rsidRPr="00BB229F" w:rsidP="00C05946">
      <w:pPr>
        <w:widowControl/>
        <w:rPr>
          <w:spacing w:val="-3"/>
          <w:szCs w:val="22"/>
          <w:lang w:val="fr-FR"/>
        </w:rPr>
      </w:pPr>
    </w:p>
    <w:p w:rsidR="00C05946" w:rsidRPr="00BB229F" w:rsidP="00C05946">
      <w:pPr>
        <w:tabs>
          <w:tab w:val="left" w:pos="-1440"/>
          <w:tab w:val="left" w:pos="-720"/>
          <w:tab w:val="left" w:pos="540"/>
          <w:tab w:val="left" w:pos="4590"/>
          <w:tab w:val="left" w:pos="6480"/>
        </w:tabs>
        <w:suppressAutoHyphens/>
        <w:jc w:val="both"/>
        <w:outlineLvl w:val="0"/>
        <w:rPr>
          <w:spacing w:val="-3"/>
          <w:szCs w:val="22"/>
        </w:rPr>
      </w:pPr>
      <w:bookmarkStart w:id="193" w:name="_Toc491865093"/>
      <w:bookmarkStart w:id="194" w:name="_Toc491865508"/>
      <w:r w:rsidRPr="00BB229F">
        <w:rPr>
          <w:spacing w:val="-3"/>
          <w:szCs w:val="22"/>
        </w:rPr>
        <w:t>7.</w:t>
      </w:r>
      <w:r w:rsidRPr="00BB229F">
        <w:rPr>
          <w:spacing w:val="-3"/>
          <w:szCs w:val="22"/>
        </w:rPr>
        <w:tab/>
      </w:r>
      <w:r w:rsidRPr="00BB229F">
        <w:rPr>
          <w:spacing w:val="-3"/>
          <w:szCs w:val="22"/>
          <w:u w:val="single"/>
        </w:rPr>
        <w:t>FM Classes B, C, C0, C1 and C2</w:t>
      </w:r>
      <w:bookmarkEnd w:id="193"/>
      <w:bookmarkEnd w:id="194"/>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rPr>
        <w:tab/>
      </w:r>
      <w:r w:rsidRPr="00BB229F">
        <w:rPr>
          <w:spacing w:val="-3"/>
          <w:szCs w:val="22"/>
          <w:lang w:val="fr-FR"/>
        </w:rPr>
        <w:t>&lt;=25,000 population</w:t>
      </w:r>
      <w:r w:rsidRPr="00BB229F">
        <w:rPr>
          <w:spacing w:val="-3"/>
          <w:szCs w:val="22"/>
          <w:lang w:val="fr-FR"/>
        </w:rPr>
        <w:tab/>
        <w:t>$1,100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25,001-75,000 population</w:t>
      </w:r>
      <w:r w:rsidRPr="00BB229F">
        <w:rPr>
          <w:spacing w:val="-3"/>
          <w:szCs w:val="22"/>
          <w:lang w:val="fr-FR"/>
        </w:rPr>
        <w:tab/>
        <w:t>$1,650</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75,001-150,000 population</w:t>
      </w:r>
      <w:r w:rsidRPr="00BB229F">
        <w:rPr>
          <w:spacing w:val="-3"/>
          <w:szCs w:val="22"/>
          <w:lang w:val="fr-FR"/>
        </w:rPr>
        <w:tab/>
        <w:t>$2,</w:t>
      </w:r>
      <w:r>
        <w:rPr>
          <w:spacing w:val="-3"/>
          <w:szCs w:val="22"/>
          <w:lang w:val="fr-FR"/>
        </w:rPr>
        <w:t>475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150,001-500,000 population</w:t>
      </w:r>
      <w:r w:rsidRPr="00BB229F">
        <w:rPr>
          <w:spacing w:val="-3"/>
          <w:szCs w:val="22"/>
          <w:lang w:val="fr-FR"/>
        </w:rPr>
        <w:tab/>
        <w:t>$</w:t>
      </w:r>
      <w:r>
        <w:rPr>
          <w:spacing w:val="-3"/>
          <w:szCs w:val="22"/>
          <w:lang w:val="fr-FR"/>
        </w:rPr>
        <w:t>3,725</w:t>
      </w:r>
      <w:r w:rsidRPr="00BB229F">
        <w:rPr>
          <w:spacing w:val="-3"/>
          <w:szCs w:val="22"/>
          <w:lang w:val="fr-FR"/>
        </w:rPr>
        <w:tab/>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500,001-1,200,000 population</w:t>
      </w:r>
      <w:r w:rsidRPr="00BB229F">
        <w:rPr>
          <w:spacing w:val="-3"/>
          <w:szCs w:val="22"/>
          <w:lang w:val="fr-FR"/>
        </w:rPr>
        <w:tab/>
        <w:t>$</w:t>
      </w:r>
      <w:r>
        <w:rPr>
          <w:spacing w:val="-3"/>
          <w:szCs w:val="22"/>
          <w:lang w:val="fr-FR"/>
        </w:rPr>
        <w:t>5,575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1,200,001-3,000,000 population</w:t>
      </w:r>
      <w:r w:rsidRPr="00BB229F">
        <w:rPr>
          <w:spacing w:val="-3"/>
          <w:szCs w:val="22"/>
          <w:lang w:val="fr-FR"/>
        </w:rPr>
        <w:tab/>
        <w:t>$</w:t>
      </w:r>
      <w:r>
        <w:rPr>
          <w:spacing w:val="-3"/>
          <w:szCs w:val="22"/>
          <w:lang w:val="fr-FR"/>
        </w:rPr>
        <w:t>8,350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3,000,001-6,000,000 population</w:t>
      </w:r>
      <w:r w:rsidRPr="00BB229F">
        <w:rPr>
          <w:spacing w:val="-3"/>
          <w:szCs w:val="22"/>
          <w:lang w:val="fr-FR"/>
        </w:rPr>
        <w:tab/>
        <w:t>$1</w:t>
      </w:r>
      <w:r>
        <w:rPr>
          <w:spacing w:val="-3"/>
          <w:szCs w:val="22"/>
          <w:lang w:val="fr-FR"/>
        </w:rPr>
        <w:t>2,525</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r w:rsidRPr="00BB229F">
        <w:rPr>
          <w:spacing w:val="-3"/>
          <w:szCs w:val="22"/>
          <w:lang w:val="fr-FR"/>
        </w:rPr>
        <w:tab/>
        <w:t>&gt;6,000,000 population</w:t>
      </w:r>
      <w:r w:rsidRPr="00BB229F">
        <w:rPr>
          <w:spacing w:val="-3"/>
          <w:szCs w:val="22"/>
          <w:lang w:val="fr-FR"/>
        </w:rPr>
        <w:tab/>
        <w:t>$</w:t>
      </w:r>
      <w:r>
        <w:rPr>
          <w:spacing w:val="-3"/>
          <w:szCs w:val="22"/>
          <w:lang w:val="fr-FR"/>
        </w:rPr>
        <w:t>18,800</w:t>
      </w:r>
    </w:p>
    <w:p w:rsidR="00C05946" w:rsidRPr="00BB229F" w:rsidP="00C05946">
      <w:pPr>
        <w:tabs>
          <w:tab w:val="left" w:pos="-1440"/>
          <w:tab w:val="left" w:pos="-720"/>
          <w:tab w:val="left" w:pos="540"/>
          <w:tab w:val="left" w:pos="4590"/>
          <w:tab w:val="left" w:pos="6480"/>
        </w:tabs>
        <w:suppressAutoHyphens/>
        <w:jc w:val="both"/>
        <w:rPr>
          <w:spacing w:val="-3"/>
          <w:szCs w:val="22"/>
          <w:lang w:val="fr-FR"/>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lang w:val="fr-FR"/>
        </w:rPr>
        <w:t>8.</w:t>
      </w:r>
      <w:r w:rsidRPr="00BB229F">
        <w:rPr>
          <w:spacing w:val="-3"/>
          <w:szCs w:val="22"/>
          <w:lang w:val="fr-FR"/>
        </w:rPr>
        <w:tab/>
        <w:t xml:space="preserve">FM Construction </w:t>
      </w:r>
      <w:r w:rsidRPr="00BB229F">
        <w:rPr>
          <w:spacing w:val="-3"/>
          <w:szCs w:val="22"/>
          <w:lang w:val="fr-FR"/>
        </w:rPr>
        <w:t>Permits</w:t>
      </w:r>
      <w:r w:rsidRPr="00BB229F">
        <w:rPr>
          <w:spacing w:val="-3"/>
          <w:szCs w:val="22"/>
          <w:lang w:val="fr-FR"/>
        </w:rPr>
        <w:tab/>
        <w:t>$9</w:t>
      </w:r>
      <w:r>
        <w:rPr>
          <w:spacing w:val="-3"/>
          <w:szCs w:val="22"/>
          <w:lang w:val="fr-FR"/>
        </w:rPr>
        <w:t>65</w:t>
      </w:r>
      <w:r w:rsidRPr="00BB229F">
        <w:rPr>
          <w:spacing w:val="-3"/>
          <w:szCs w:val="22"/>
          <w:lang w:val="fr-FR"/>
        </w:rPr>
        <w:tab/>
      </w:r>
    </w:p>
    <w:p w:rsidR="00C05946" w:rsidRPr="00BB229F" w:rsidP="00C05946">
      <w:pPr>
        <w:widowControl/>
        <w:rPr>
          <w:spacing w:val="-3"/>
          <w:szCs w:val="22"/>
          <w:lang w:val="fr-FR"/>
        </w:rPr>
      </w:pPr>
    </w:p>
    <w:p w:rsidR="00C05946" w:rsidRPr="00BB229F" w:rsidP="00C05946">
      <w:pPr>
        <w:widowControl/>
        <w:rPr>
          <w:spacing w:val="-3"/>
          <w:szCs w:val="22"/>
          <w:lang w:val="fr-FR"/>
        </w:rPr>
      </w:pPr>
    </w:p>
    <w:p w:rsidR="00C05946" w:rsidRPr="00BB229F" w:rsidP="00C05946">
      <w:pPr>
        <w:tabs>
          <w:tab w:val="left" w:pos="-1440"/>
          <w:tab w:val="left" w:pos="-720"/>
          <w:tab w:val="left" w:pos="540"/>
          <w:tab w:val="left" w:pos="4590"/>
          <w:tab w:val="left" w:pos="6480"/>
        </w:tabs>
        <w:suppressAutoHyphens/>
        <w:jc w:val="both"/>
        <w:outlineLvl w:val="0"/>
        <w:rPr>
          <w:b/>
          <w:spacing w:val="-3"/>
          <w:szCs w:val="22"/>
        </w:rPr>
      </w:pPr>
      <w:bookmarkStart w:id="195" w:name="_Toc491865094"/>
      <w:bookmarkStart w:id="196" w:name="_Toc491865509"/>
      <w:r w:rsidRPr="00BB229F">
        <w:rPr>
          <w:b/>
          <w:spacing w:val="-3"/>
          <w:szCs w:val="22"/>
        </w:rPr>
        <w:t>TV (47 CFR, part 73)</w:t>
      </w:r>
      <w:bookmarkEnd w:id="195"/>
      <w:bookmarkEnd w:id="196"/>
    </w:p>
    <w:p w:rsidR="00C05946" w:rsidRPr="00BB229F" w:rsidP="00C05946">
      <w:pPr>
        <w:tabs>
          <w:tab w:val="left" w:pos="-1440"/>
          <w:tab w:val="left" w:pos="-720"/>
          <w:tab w:val="left" w:pos="540"/>
          <w:tab w:val="left" w:pos="4590"/>
          <w:tab w:val="left" w:pos="6480"/>
        </w:tabs>
        <w:suppressAutoHyphens/>
        <w:jc w:val="both"/>
        <w:outlineLvl w:val="0"/>
        <w:rPr>
          <w:spacing w:val="-3"/>
          <w:szCs w:val="22"/>
        </w:rPr>
      </w:pPr>
      <w:bookmarkStart w:id="197" w:name="_Toc491865095"/>
      <w:bookmarkStart w:id="198" w:name="_Toc491865510"/>
      <w:r w:rsidRPr="00BB229F">
        <w:rPr>
          <w:b/>
          <w:spacing w:val="-3"/>
          <w:szCs w:val="22"/>
        </w:rPr>
        <w:t>Digital TV (UHF and VHF Commercial Stations)</w:t>
      </w:r>
      <w:bookmarkEnd w:id="197"/>
      <w:bookmarkEnd w:id="198"/>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Markets 1 thru 10</w:t>
      </w:r>
      <w:r w:rsidRPr="00BB229F">
        <w:rPr>
          <w:spacing w:val="-3"/>
          <w:szCs w:val="22"/>
        </w:rPr>
        <w:tab/>
        <w:t>$</w:t>
      </w:r>
      <w:r>
        <w:rPr>
          <w:spacing w:val="-3"/>
          <w:szCs w:val="22"/>
        </w:rPr>
        <w:t>4</w:t>
      </w:r>
      <w:r w:rsidRPr="00BB229F">
        <w:rPr>
          <w:spacing w:val="-3"/>
          <w:szCs w:val="22"/>
        </w:rPr>
        <w:t>9,750</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2.</w:t>
      </w:r>
      <w:r w:rsidRPr="00BB229F">
        <w:rPr>
          <w:spacing w:val="-3"/>
          <w:szCs w:val="22"/>
        </w:rPr>
        <w:tab/>
        <w:t>Markets 11 thru 25</w:t>
      </w:r>
      <w:r w:rsidRPr="00BB229F">
        <w:rPr>
          <w:spacing w:val="-3"/>
          <w:szCs w:val="22"/>
        </w:rPr>
        <w:tab/>
        <w:t>$</w:t>
      </w:r>
      <w:r>
        <w:rPr>
          <w:spacing w:val="-3"/>
          <w:szCs w:val="22"/>
        </w:rPr>
        <w:t>37,450</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3.</w:t>
      </w:r>
      <w:r w:rsidRPr="00BB229F">
        <w:rPr>
          <w:spacing w:val="-3"/>
          <w:szCs w:val="22"/>
        </w:rPr>
        <w:tab/>
        <w:t>Markets 26 thru 50</w:t>
      </w:r>
      <w:r w:rsidRPr="00BB229F">
        <w:rPr>
          <w:spacing w:val="-3"/>
          <w:szCs w:val="22"/>
        </w:rPr>
        <w:tab/>
        <w:t>$</w:t>
      </w:r>
      <w:r>
        <w:rPr>
          <w:spacing w:val="-3"/>
          <w:szCs w:val="22"/>
        </w:rPr>
        <w:t>25,025</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4.</w:t>
      </w:r>
      <w:r w:rsidRPr="00BB229F">
        <w:rPr>
          <w:spacing w:val="-3"/>
          <w:szCs w:val="22"/>
        </w:rPr>
        <w:tab/>
        <w:t>Markets 51 thru 100</w:t>
      </w:r>
      <w:r w:rsidRPr="00BB229F">
        <w:rPr>
          <w:spacing w:val="-3"/>
          <w:szCs w:val="22"/>
        </w:rPr>
        <w:tab/>
        <w:t>$1</w:t>
      </w:r>
      <w:r>
        <w:rPr>
          <w:spacing w:val="-3"/>
          <w:szCs w:val="22"/>
        </w:rPr>
        <w:t>2,475</w:t>
      </w:r>
      <w:r w:rsidRPr="00BB229F">
        <w:rPr>
          <w:spacing w:val="-3"/>
          <w:szCs w:val="22"/>
        </w:rPr>
        <w:t xml:space="preserve">   </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5.</w:t>
      </w:r>
      <w:r w:rsidRPr="00BB229F">
        <w:rPr>
          <w:spacing w:val="-3"/>
          <w:szCs w:val="22"/>
        </w:rPr>
        <w:tab/>
        <w:t>Remaining Markets</w:t>
      </w:r>
      <w:r w:rsidRPr="00BB229F">
        <w:rPr>
          <w:spacing w:val="-3"/>
          <w:szCs w:val="22"/>
        </w:rPr>
        <w:tab/>
      </w:r>
      <w:r w:rsidRPr="00BB229F">
        <w:rPr>
          <w:spacing w:val="-3"/>
          <w:szCs w:val="22"/>
        </w:rPr>
        <w:t>$  4,</w:t>
      </w:r>
      <w:r>
        <w:rPr>
          <w:spacing w:val="-3"/>
          <w:szCs w:val="22"/>
        </w:rPr>
        <w:t>100</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6.</w:t>
      </w:r>
      <w:r w:rsidRPr="00BB229F">
        <w:rPr>
          <w:spacing w:val="-3"/>
          <w:szCs w:val="22"/>
        </w:rPr>
        <w:tab/>
        <w:t>Construction Permits</w:t>
      </w:r>
      <w:r w:rsidRPr="00BB229F">
        <w:rPr>
          <w:spacing w:val="-3"/>
          <w:szCs w:val="22"/>
        </w:rPr>
        <w:tab/>
      </w:r>
      <w:r w:rsidRPr="00BB229F">
        <w:rPr>
          <w:spacing w:val="-3"/>
          <w:szCs w:val="22"/>
        </w:rPr>
        <w:t>$  4,</w:t>
      </w:r>
      <w:r>
        <w:rPr>
          <w:spacing w:val="-3"/>
          <w:szCs w:val="22"/>
        </w:rPr>
        <w:t>100</w:t>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outlineLvl w:val="0"/>
        <w:rPr>
          <w:spacing w:val="-3"/>
          <w:szCs w:val="22"/>
        </w:rPr>
      </w:pPr>
      <w:bookmarkStart w:id="199" w:name="_Toc491865096"/>
      <w:bookmarkStart w:id="200" w:name="_Toc491865511"/>
      <w:r w:rsidRPr="00BB229F">
        <w:rPr>
          <w:b/>
          <w:spacing w:val="-3"/>
          <w:szCs w:val="22"/>
        </w:rPr>
        <w:t>Satellite UHF/VHF Commercial</w:t>
      </w:r>
      <w:bookmarkEnd w:id="199"/>
      <w:bookmarkEnd w:id="200"/>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All Markets</w:t>
      </w:r>
      <w:r w:rsidRPr="00BB229F">
        <w:rPr>
          <w:spacing w:val="-3"/>
          <w:szCs w:val="22"/>
        </w:rPr>
        <w:tab/>
        <w:t>$1,</w:t>
      </w:r>
      <w:r>
        <w:rPr>
          <w:spacing w:val="-3"/>
          <w:szCs w:val="22"/>
        </w:rPr>
        <w:t>500</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r>
      <w:r w:rsidRPr="00BB229F">
        <w:rPr>
          <w:spacing w:val="-3"/>
          <w:szCs w:val="22"/>
        </w:rPr>
        <w:tab/>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 xml:space="preserve">Low Power </w:t>
      </w:r>
      <w:r w:rsidRPr="00BB229F">
        <w:rPr>
          <w:b/>
          <w:spacing w:val="-3"/>
          <w:szCs w:val="22"/>
        </w:rPr>
        <w:t>TV,  Class</w:t>
      </w:r>
      <w:r w:rsidRPr="00BB229F">
        <w:rPr>
          <w:b/>
          <w:spacing w:val="-3"/>
          <w:szCs w:val="22"/>
        </w:rPr>
        <w:t xml:space="preserve"> A TV, TV/FM</w:t>
      </w:r>
      <w:r w:rsidRPr="00BB229F">
        <w:rPr>
          <w:spacing w:val="-3"/>
          <w:szCs w:val="22"/>
        </w:rPr>
        <w:tab/>
        <w:t xml:space="preserve">$  </w:t>
      </w:r>
      <w:r>
        <w:rPr>
          <w:spacing w:val="-3"/>
          <w:szCs w:val="22"/>
        </w:rPr>
        <w:t>380</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Translator, &amp; TV/FM Booster</w:t>
      </w:r>
      <w:r w:rsidRPr="00BB229F">
        <w:rPr>
          <w:spacing w:val="-3"/>
          <w:szCs w:val="22"/>
        </w:rPr>
        <w:t xml:space="preserve"> </w:t>
      </w: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(47 CFR part 74)</w:t>
      </w: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 xml:space="preserve">   </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4</w:t>
      </w:r>
      <w:r w:rsidRPr="00BB229F">
        <w:rPr>
          <w:szCs w:val="22"/>
        </w:rPr>
        <w:t>.   Section 1.1154 is revised to read as follows:</w:t>
      </w:r>
    </w:p>
    <w:p w:rsidR="00C05946" w:rsidRPr="00BB229F" w:rsidP="00C05946">
      <w:pPr>
        <w:pStyle w:val="BodyText"/>
        <w:rPr>
          <w:szCs w:val="22"/>
        </w:rPr>
      </w:pPr>
    </w:p>
    <w:p w:rsidR="00C05946" w:rsidRPr="00BB229F" w:rsidP="00C05946">
      <w:pPr>
        <w:pStyle w:val="BodyText"/>
        <w:rPr>
          <w:szCs w:val="22"/>
        </w:rPr>
      </w:pPr>
      <w:r w:rsidRPr="00BB229F">
        <w:rPr>
          <w:szCs w:val="22"/>
        </w:rPr>
        <w:t>§ 1.1154  Schedule of annual regulatory charges for common carrier services.</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Radio Facilities</w:t>
      </w:r>
      <w:r w:rsidRPr="00BB229F">
        <w:rPr>
          <w:b/>
          <w:spacing w:val="-3"/>
          <w:szCs w:val="22"/>
        </w:rPr>
        <w:tab/>
        <w:t>Fee Amount</w:t>
      </w:r>
      <w:r w:rsidRPr="00BB229F">
        <w:rPr>
          <w:b/>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Microwave (Domestic Public Fixed)</w:t>
      </w:r>
      <w:r w:rsidRPr="00BB229F">
        <w:rPr>
          <w:spacing w:val="-3"/>
          <w:szCs w:val="22"/>
        </w:rPr>
        <w:tab/>
        <w:t>$25.00</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(Electronic Filing)</w:t>
      </w: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(FCC Form 601 &amp; 159)</w:t>
      </w: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outlineLvl w:val="0"/>
        <w:rPr>
          <w:spacing w:val="-3"/>
          <w:szCs w:val="22"/>
        </w:rPr>
      </w:pPr>
      <w:bookmarkStart w:id="201" w:name="_Toc491865097"/>
      <w:bookmarkStart w:id="202" w:name="_Toc491865512"/>
      <w:r w:rsidRPr="00BB229F">
        <w:rPr>
          <w:b/>
          <w:spacing w:val="-3"/>
          <w:szCs w:val="22"/>
        </w:rPr>
        <w:t>Carriers</w:t>
      </w:r>
      <w:bookmarkEnd w:id="201"/>
      <w:bookmarkEnd w:id="202"/>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Interstate Telephone Service Providers</w:t>
      </w:r>
      <w:r w:rsidRPr="00BB229F">
        <w:rPr>
          <w:spacing w:val="-3"/>
          <w:szCs w:val="22"/>
        </w:rPr>
        <w:tab/>
        <w:t>$   .00</w:t>
      </w:r>
      <w:r>
        <w:rPr>
          <w:spacing w:val="-3"/>
          <w:szCs w:val="22"/>
        </w:rPr>
        <w:t>291</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 xml:space="preserve">(per interstate and international end-user </w:t>
      </w:r>
      <w:r w:rsidRPr="00BB229F">
        <w:rPr>
          <w:spacing w:val="-3"/>
          <w:szCs w:val="22"/>
        </w:rPr>
        <w:tab/>
      </w: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revenues (see FCC Form 499-A)</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2.</w:t>
      </w:r>
      <w:r w:rsidRPr="00BB229F">
        <w:rPr>
          <w:spacing w:val="-3"/>
          <w:szCs w:val="22"/>
        </w:rPr>
        <w:tab/>
        <w:t>Toll Free Number Fee</w:t>
      </w:r>
      <w:r w:rsidRPr="00BB229F">
        <w:rPr>
          <w:spacing w:val="-3"/>
          <w:szCs w:val="22"/>
        </w:rPr>
        <w:tab/>
        <w:t>$.1</w:t>
      </w:r>
      <w:r>
        <w:rPr>
          <w:spacing w:val="-3"/>
          <w:szCs w:val="22"/>
        </w:rPr>
        <w:t>0</w:t>
      </w:r>
      <w:r w:rsidRPr="00BB229F">
        <w:rPr>
          <w:spacing w:val="-3"/>
          <w:szCs w:val="22"/>
        </w:rPr>
        <w:t xml:space="preserve"> per Toll Free Number</w:t>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720"/>
          <w:tab w:val="left" w:pos="4590"/>
          <w:tab w:val="left" w:pos="6480"/>
        </w:tabs>
        <w:suppressAutoHyphens/>
        <w:jc w:val="both"/>
        <w:outlineLvl w:val="0"/>
        <w:rPr>
          <w:spacing w:val="-3"/>
          <w:szCs w:val="22"/>
        </w:rPr>
      </w:pPr>
      <w:bookmarkStart w:id="203" w:name="_Toc491865098"/>
      <w:bookmarkStart w:id="204" w:name="_Toc491865513"/>
      <w:r w:rsidRPr="00BB229F">
        <w:rPr>
          <w:spacing w:val="-3"/>
          <w:szCs w:val="22"/>
        </w:rPr>
        <w:t>5.   Section 1.1155 is revised to read as follows:</w:t>
      </w:r>
      <w:bookmarkEnd w:id="203"/>
      <w:bookmarkEnd w:id="204"/>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rPr>
          <w:szCs w:val="22"/>
        </w:rPr>
      </w:pPr>
      <w:r w:rsidRPr="00BB229F">
        <w:rPr>
          <w:szCs w:val="22"/>
        </w:rPr>
        <w:t xml:space="preserve">§ </w:t>
      </w:r>
      <w:r w:rsidRPr="00BB229F">
        <w:rPr>
          <w:szCs w:val="22"/>
        </w:rPr>
        <w:t>1.1155  Schedule</w:t>
      </w:r>
      <w:r w:rsidRPr="00BB229F">
        <w:rPr>
          <w:szCs w:val="22"/>
        </w:rPr>
        <w:t xml:space="preserve"> of regulatory fees for cable television services.</w:t>
      </w:r>
    </w:p>
    <w:p w:rsidR="00C05946" w:rsidRPr="00BB229F" w:rsidP="00C05946">
      <w:pPr>
        <w:tabs>
          <w:tab w:val="left" w:pos="-1440"/>
          <w:tab w:val="left" w:pos="-720"/>
          <w:tab w:val="left" w:pos="540"/>
          <w:tab w:val="left" w:pos="4590"/>
          <w:tab w:val="left" w:pos="6480"/>
        </w:tabs>
        <w:suppressAutoHyphens/>
        <w:jc w:val="both"/>
        <w:rPr>
          <w:b/>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b/>
          <w:spacing w:val="-3"/>
          <w:szCs w:val="22"/>
        </w:rPr>
        <w:tab/>
      </w:r>
      <w:r w:rsidRPr="00BB229F">
        <w:rPr>
          <w:b/>
          <w:spacing w:val="-3"/>
          <w:szCs w:val="22"/>
        </w:rPr>
        <w:tab/>
        <w:t>Fee Amount</w:t>
      </w:r>
      <w:r w:rsidRPr="00BB229F">
        <w:rPr>
          <w:b/>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1.</w:t>
      </w:r>
      <w:r w:rsidRPr="00BB229F">
        <w:rPr>
          <w:spacing w:val="-3"/>
          <w:szCs w:val="22"/>
        </w:rPr>
        <w:tab/>
        <w:t>Cable Television Relay Service</w:t>
      </w:r>
      <w:r w:rsidRPr="00BB229F">
        <w:rPr>
          <w:spacing w:val="-3"/>
          <w:szCs w:val="22"/>
        </w:rPr>
        <w:tab/>
        <w:t>$</w:t>
      </w:r>
      <w:r>
        <w:rPr>
          <w:spacing w:val="-3"/>
          <w:szCs w:val="22"/>
        </w:rPr>
        <w:t>1,075</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2.</w:t>
      </w:r>
      <w:r w:rsidRPr="00BB229F">
        <w:rPr>
          <w:spacing w:val="-3"/>
          <w:szCs w:val="22"/>
        </w:rPr>
        <w:tab/>
        <w:t>Cable TV System, Including IPTV</w:t>
      </w:r>
      <w:r w:rsidRPr="00BB229F">
        <w:rPr>
          <w:spacing w:val="-3"/>
          <w:szCs w:val="22"/>
        </w:rPr>
        <w:tab/>
        <w:t>$   .</w:t>
      </w:r>
      <w:r>
        <w:rPr>
          <w:spacing w:val="-3"/>
          <w:szCs w:val="22"/>
        </w:rPr>
        <w:t>77</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(per subscriber)</w:t>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ab/>
        <w:t xml:space="preserve">  </w:t>
      </w:r>
      <w:r w:rsidRPr="00BB229F">
        <w:rPr>
          <w:spacing w:val="-3"/>
          <w:szCs w:val="22"/>
        </w:rPr>
        <w:tab/>
      </w:r>
    </w:p>
    <w:p w:rsidR="00C05946" w:rsidRPr="00BB229F" w:rsidP="00C05946">
      <w:pPr>
        <w:tabs>
          <w:tab w:val="left" w:pos="-1440"/>
          <w:tab w:val="left" w:pos="-720"/>
          <w:tab w:val="left" w:pos="540"/>
          <w:tab w:val="left" w:pos="4590"/>
          <w:tab w:val="left" w:pos="6480"/>
        </w:tabs>
        <w:suppressAutoHyphens/>
        <w:jc w:val="both"/>
        <w:rPr>
          <w:spacing w:val="-3"/>
          <w:szCs w:val="22"/>
        </w:rPr>
      </w:pPr>
      <w:r w:rsidRPr="00BB229F">
        <w:rPr>
          <w:spacing w:val="-3"/>
          <w:szCs w:val="22"/>
        </w:rPr>
        <w:t>3.</w:t>
      </w:r>
      <w:r w:rsidRPr="00BB229F">
        <w:rPr>
          <w:spacing w:val="-3"/>
          <w:szCs w:val="22"/>
        </w:rPr>
        <w:tab/>
        <w:t>Direct Broadcast Satellite (DBS)</w:t>
      </w:r>
      <w:r w:rsidRPr="00BB229F">
        <w:rPr>
          <w:b/>
          <w:spacing w:val="-3"/>
          <w:szCs w:val="22"/>
        </w:rPr>
        <w:tab/>
      </w:r>
      <w:r w:rsidRPr="00BB229F">
        <w:rPr>
          <w:spacing w:val="-3"/>
          <w:szCs w:val="22"/>
        </w:rPr>
        <w:t>$.</w:t>
      </w:r>
      <w:r>
        <w:rPr>
          <w:spacing w:val="-3"/>
          <w:szCs w:val="22"/>
        </w:rPr>
        <w:t>4</w:t>
      </w:r>
      <w:r w:rsidRPr="00BB229F">
        <w:rPr>
          <w:spacing w:val="-3"/>
          <w:szCs w:val="22"/>
        </w:rPr>
        <w:t>8 per subscriber</w:t>
      </w:r>
    </w:p>
    <w:p w:rsidR="00C05946" w:rsidRPr="00BB229F" w:rsidP="00C05946">
      <w:pPr>
        <w:widowControl/>
        <w:rPr>
          <w:spacing w:val="-3"/>
          <w:szCs w:val="22"/>
        </w:rPr>
      </w:pPr>
    </w:p>
    <w:p w:rsidR="00C05946" w:rsidRPr="00BB229F" w:rsidP="00C05946">
      <w:pPr>
        <w:widowControl/>
        <w:rPr>
          <w:spacing w:val="-3"/>
          <w:szCs w:val="22"/>
        </w:rPr>
      </w:pPr>
    </w:p>
    <w:p w:rsidR="00C05946" w:rsidRPr="008C755F" w:rsidP="00C05946">
      <w:pPr>
        <w:tabs>
          <w:tab w:val="left" w:pos="-1440"/>
          <w:tab w:val="left" w:pos="-720"/>
          <w:tab w:val="left" w:pos="720"/>
          <w:tab w:val="left" w:pos="4590"/>
          <w:tab w:val="left" w:pos="6480"/>
        </w:tabs>
        <w:suppressAutoHyphens/>
        <w:outlineLvl w:val="0"/>
        <w:rPr>
          <w:szCs w:val="22"/>
        </w:rPr>
      </w:pPr>
      <w:bookmarkStart w:id="205" w:name="_Toc491865099"/>
      <w:bookmarkStart w:id="206" w:name="_Toc491865514"/>
      <w:r w:rsidRPr="008C755F">
        <w:rPr>
          <w:szCs w:val="22"/>
        </w:rPr>
        <w:t>6.   Section 1.1156 is revised to read as follows:</w:t>
      </w:r>
      <w:bookmarkEnd w:id="205"/>
      <w:bookmarkEnd w:id="206"/>
    </w:p>
    <w:p w:rsidR="00C05946" w:rsidRPr="008C755F" w:rsidP="00C05946">
      <w:pPr>
        <w:tabs>
          <w:tab w:val="left" w:pos="-1440"/>
          <w:tab w:val="left" w:pos="-720"/>
          <w:tab w:val="left" w:pos="540"/>
          <w:tab w:val="left" w:pos="4590"/>
          <w:tab w:val="left" w:pos="6480"/>
        </w:tabs>
        <w:suppressAutoHyphens/>
        <w:rPr>
          <w:szCs w:val="22"/>
        </w:rPr>
      </w:pPr>
      <w:r w:rsidRPr="008C755F">
        <w:rPr>
          <w:szCs w:val="22"/>
        </w:rPr>
        <w:t xml:space="preserve"> </w:t>
      </w:r>
      <w:r w:rsidRPr="008C755F">
        <w:rPr>
          <w:szCs w:val="22"/>
        </w:rPr>
        <w:tab/>
      </w:r>
    </w:p>
    <w:p w:rsidR="00C05946" w:rsidRPr="008C755F" w:rsidP="00C05946">
      <w:pPr>
        <w:tabs>
          <w:tab w:val="left" w:pos="-1440"/>
          <w:tab w:val="left" w:pos="-720"/>
          <w:tab w:val="left" w:pos="540"/>
          <w:tab w:val="left" w:pos="4590"/>
          <w:tab w:val="left" w:pos="6480"/>
        </w:tabs>
        <w:suppressAutoHyphens/>
        <w:rPr>
          <w:szCs w:val="22"/>
        </w:rPr>
      </w:pPr>
      <w:r w:rsidRPr="008C755F">
        <w:rPr>
          <w:szCs w:val="22"/>
        </w:rPr>
        <w:t xml:space="preserve">§ </w:t>
      </w:r>
      <w:r w:rsidRPr="008C755F">
        <w:rPr>
          <w:szCs w:val="22"/>
        </w:rPr>
        <w:t>1.1156  Schedule</w:t>
      </w:r>
      <w:r w:rsidRPr="008C755F">
        <w:rPr>
          <w:szCs w:val="22"/>
        </w:rPr>
        <w:t xml:space="preserve"> of regulatory fees for international services.</w:t>
      </w:r>
    </w:p>
    <w:p w:rsidR="00C05946" w:rsidRPr="008C755F" w:rsidP="00C05946">
      <w:pPr>
        <w:tabs>
          <w:tab w:val="left" w:pos="-1440"/>
          <w:tab w:val="left" w:pos="-720"/>
          <w:tab w:val="left" w:pos="540"/>
          <w:tab w:val="left" w:pos="4590"/>
          <w:tab w:val="left" w:pos="6480"/>
        </w:tabs>
        <w:suppressAutoHyphens/>
        <w:jc w:val="both"/>
        <w:rPr>
          <w:spacing w:val="-3"/>
          <w:szCs w:val="22"/>
        </w:rPr>
      </w:pPr>
    </w:p>
    <w:p w:rsidR="00C05946" w:rsidRPr="008C755F" w:rsidP="00C05946">
      <w:pPr>
        <w:widowControl/>
        <w:jc w:val="both"/>
        <w:rPr>
          <w:spacing w:val="-3"/>
          <w:kern w:val="0"/>
          <w:szCs w:val="22"/>
        </w:rPr>
      </w:pPr>
      <w:r w:rsidRPr="008C755F">
        <w:rPr>
          <w:spacing w:val="-3"/>
          <w:kern w:val="0"/>
          <w:szCs w:val="22"/>
        </w:rPr>
        <w:t>a.         The following schedule applies for the listed services:</w:t>
      </w:r>
    </w:p>
    <w:p w:rsidR="00C05946" w:rsidRPr="008C755F" w:rsidP="00C05946">
      <w:pPr>
        <w:widowControl/>
        <w:jc w:val="both"/>
        <w:rPr>
          <w:spacing w:val="-3"/>
          <w:kern w:val="0"/>
          <w:szCs w:val="22"/>
        </w:rPr>
      </w:pPr>
    </w:p>
    <w:tbl>
      <w:tblPr>
        <w:tblW w:w="0" w:type="auto"/>
        <w:tblCellMar>
          <w:left w:w="0" w:type="dxa"/>
          <w:right w:w="0" w:type="dxa"/>
        </w:tblCellMar>
        <w:tblLook w:val="0000"/>
      </w:tblPr>
      <w:tblGrid>
        <w:gridCol w:w="5047"/>
        <w:gridCol w:w="1597"/>
      </w:tblGrid>
      <w:tr w:rsidTr="00B62B5F">
        <w:tblPrEx>
          <w:tblW w:w="0" w:type="auto"/>
          <w:tblCellMar>
            <w:left w:w="0" w:type="dxa"/>
            <w:right w:w="0" w:type="dxa"/>
          </w:tblCellMar>
          <w:tblLook w:val="0000"/>
        </w:tblPrEx>
        <w:tc>
          <w:tcPr>
            <w:tcW w:w="5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r w:rsidRPr="008C755F">
              <w:rPr>
                <w:spacing w:val="-3"/>
                <w:kern w:val="0"/>
                <w:szCs w:val="22"/>
              </w:rPr>
              <w:t>Fee Category</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r w:rsidRPr="008C755F">
              <w:rPr>
                <w:spacing w:val="-3"/>
                <w:kern w:val="0"/>
                <w:szCs w:val="22"/>
              </w:rPr>
              <w:t>Fee Amount</w:t>
            </w:r>
          </w:p>
        </w:tc>
      </w:tr>
      <w:tr w:rsidTr="00B62B5F">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spacing w:val="-3"/>
                <w:kern w:val="0"/>
                <w:szCs w:val="22"/>
              </w:rPr>
            </w:pPr>
            <w:r w:rsidRPr="008C755F">
              <w:rPr>
                <w:spacing w:val="-3"/>
                <w:kern w:val="0"/>
                <w:szCs w:val="22"/>
              </w:rPr>
              <w:t>Space Stations (Geostationary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p>
          <w:p w:rsidR="00C05946" w:rsidRPr="008C755F" w:rsidP="00B62B5F">
            <w:pPr>
              <w:widowControl/>
              <w:jc w:val="center"/>
              <w:rPr>
                <w:spacing w:val="-3"/>
                <w:kern w:val="0"/>
                <w:szCs w:val="22"/>
              </w:rPr>
            </w:pPr>
            <w:r w:rsidRPr="008C755F">
              <w:rPr>
                <w:spacing w:val="-3"/>
                <w:kern w:val="0"/>
                <w:szCs w:val="22"/>
              </w:rPr>
              <w:t>$127,850</w:t>
            </w:r>
          </w:p>
          <w:p w:rsidR="00C05946" w:rsidRPr="008C755F" w:rsidP="00B62B5F">
            <w:pPr>
              <w:widowControl/>
              <w:jc w:val="center"/>
              <w:rPr>
                <w:spacing w:val="-3"/>
                <w:kern w:val="0"/>
                <w:szCs w:val="22"/>
              </w:rPr>
            </w:pPr>
          </w:p>
        </w:tc>
      </w:tr>
      <w:tr w:rsidTr="00B62B5F">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spacing w:val="-3"/>
                <w:kern w:val="0"/>
                <w:szCs w:val="22"/>
              </w:rPr>
            </w:pPr>
            <w:r w:rsidRPr="008C755F">
              <w:rPr>
                <w:spacing w:val="-3"/>
                <w:kern w:val="0"/>
                <w:szCs w:val="22"/>
              </w:rPr>
              <w:t>Space Stations (Non-Geostationary Orbit)</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p>
          <w:p w:rsidR="00C05946" w:rsidRPr="008C755F" w:rsidP="00B62B5F">
            <w:pPr>
              <w:widowControl/>
              <w:jc w:val="center"/>
              <w:rPr>
                <w:spacing w:val="-3"/>
                <w:kern w:val="0"/>
                <w:szCs w:val="22"/>
              </w:rPr>
            </w:pPr>
            <w:r w:rsidRPr="008C755F">
              <w:rPr>
                <w:spacing w:val="-3"/>
                <w:kern w:val="0"/>
                <w:szCs w:val="22"/>
              </w:rPr>
              <w:t>$122,775</w:t>
            </w:r>
          </w:p>
        </w:tc>
      </w:tr>
      <w:tr w:rsidTr="00B62B5F">
        <w:tblPrEx>
          <w:tblW w:w="0" w:type="auto"/>
          <w:tblCellMar>
            <w:left w:w="0" w:type="dxa"/>
            <w:right w:w="0" w:type="dxa"/>
          </w:tblCellMar>
          <w:tblLook w:val="0000"/>
        </w:tblPrEx>
        <w:tc>
          <w:tcPr>
            <w:tcW w:w="50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spacing w:val="-3"/>
                <w:kern w:val="0"/>
                <w:szCs w:val="22"/>
              </w:rPr>
            </w:pPr>
            <w:r w:rsidRPr="008C755F">
              <w:rPr>
                <w:spacing w:val="-3"/>
                <w:kern w:val="0"/>
                <w:szCs w:val="22"/>
              </w:rPr>
              <w:t xml:space="preserve">Earth Stations:  Transmit/Receive &amp; Transmit only (per </w:t>
            </w:r>
            <w:r w:rsidRPr="008C755F">
              <w:rPr>
                <w:spacing w:val="-3"/>
                <w:kern w:val="0"/>
                <w:szCs w:val="22"/>
              </w:rPr>
              <w:t>authorization  or</w:t>
            </w:r>
            <w:r w:rsidRPr="008C755F">
              <w:rPr>
                <w:spacing w:val="-3"/>
                <w:kern w:val="0"/>
                <w:szCs w:val="22"/>
              </w:rPr>
              <w:t xml:space="preserve"> registration)</w:t>
            </w:r>
          </w:p>
        </w:tc>
        <w:tc>
          <w:tcPr>
            <w:tcW w:w="1597" w:type="dxa"/>
            <w:tcBorders>
              <w:top w:val="nil"/>
              <w:left w:val="nil"/>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p>
          <w:p w:rsidR="00C05946" w:rsidRPr="008C755F" w:rsidP="00B62B5F">
            <w:pPr>
              <w:widowControl/>
              <w:jc w:val="center"/>
              <w:rPr>
                <w:spacing w:val="-3"/>
                <w:kern w:val="0"/>
                <w:szCs w:val="22"/>
              </w:rPr>
            </w:pPr>
            <w:r w:rsidRPr="008C755F">
              <w:rPr>
                <w:spacing w:val="-3"/>
                <w:kern w:val="0"/>
                <w:szCs w:val="22"/>
              </w:rPr>
              <w:t>$325</w:t>
            </w:r>
          </w:p>
        </w:tc>
      </w:tr>
    </w:tbl>
    <w:p w:rsidR="00C05946" w:rsidRPr="008C755F" w:rsidP="00C05946">
      <w:pPr>
        <w:widowControl/>
        <w:rPr>
          <w:spacing w:val="-3"/>
          <w:kern w:val="0"/>
          <w:szCs w:val="22"/>
        </w:rPr>
      </w:pPr>
    </w:p>
    <w:p w:rsidR="00C05946" w:rsidRPr="008C755F" w:rsidP="00C05946">
      <w:pPr>
        <w:widowControl/>
        <w:rPr>
          <w:spacing w:val="-3"/>
          <w:kern w:val="0"/>
          <w:szCs w:val="22"/>
        </w:rPr>
      </w:pPr>
      <w:r w:rsidRPr="008C755F">
        <w:rPr>
          <w:spacing w:val="-3"/>
          <w:kern w:val="0"/>
          <w:szCs w:val="22"/>
        </w:rPr>
        <w:t xml:space="preserve">b.         </w:t>
      </w:r>
      <w:r w:rsidRPr="008C755F">
        <w:rPr>
          <w:i/>
          <w:iCs/>
          <w:kern w:val="0"/>
          <w:szCs w:val="22"/>
        </w:rPr>
        <w:t>International Terrestrial and Satellite</w:t>
      </w:r>
      <w:r w:rsidRPr="008C755F">
        <w:rPr>
          <w:kern w:val="0"/>
          <w:szCs w:val="22"/>
        </w:rPr>
        <w:t xml:space="preserve">.  Regulatory fees for International Bearer Circuits are to be paid by facilities-based common carriers that have active (used or leased) international bearer circuits as of December 31 of the prior year in any terrestrial or satellite transmission facility for the provision of service to an end user or resale carrier, which includes active circuits to themselves or to their affiliates.   In addition, non-common carrier </w:t>
      </w:r>
      <w:r w:rsidRPr="008C755F" w:rsidR="00CB7A06">
        <w:rPr>
          <w:kern w:val="0"/>
          <w:szCs w:val="22"/>
        </w:rPr>
        <w:t xml:space="preserve">terrestrial and </w:t>
      </w:r>
      <w:r w:rsidRPr="008C755F">
        <w:rPr>
          <w:kern w:val="0"/>
          <w:szCs w:val="22"/>
        </w:rPr>
        <w:t>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C05946" w:rsidRPr="008C755F" w:rsidP="00C05946">
      <w:pPr>
        <w:widowControl/>
        <w:rPr>
          <w:spacing w:val="-3"/>
          <w:kern w:val="0"/>
          <w:szCs w:val="22"/>
        </w:rPr>
      </w:pPr>
    </w:p>
    <w:p w:rsidR="00C05946" w:rsidRPr="008C755F" w:rsidP="00C05946">
      <w:pPr>
        <w:widowControl/>
        <w:snapToGrid w:val="0"/>
        <w:rPr>
          <w:kern w:val="0"/>
          <w:szCs w:val="22"/>
        </w:rPr>
      </w:pPr>
      <w:r w:rsidRPr="008C755F">
        <w:rPr>
          <w:spacing w:val="-3"/>
          <w:kern w:val="0"/>
          <w:szCs w:val="22"/>
        </w:rPr>
        <w:t xml:space="preserve">The fee amount, per active </w:t>
      </w:r>
      <w:r w:rsidRPr="008C755F" w:rsidR="00186674">
        <w:rPr>
          <w:kern w:val="0"/>
          <w:szCs w:val="22"/>
        </w:rPr>
        <w:t>Gbps circuit</w:t>
      </w:r>
      <w:r w:rsidRPr="008C755F" w:rsidR="00186674">
        <w:rPr>
          <w:spacing w:val="-3"/>
          <w:kern w:val="0"/>
          <w:szCs w:val="22"/>
        </w:rPr>
        <w:t xml:space="preserve"> </w:t>
      </w:r>
      <w:r w:rsidRPr="008C755F">
        <w:rPr>
          <w:spacing w:val="-3"/>
          <w:kern w:val="0"/>
          <w:szCs w:val="22"/>
        </w:rPr>
        <w:t>will be determined for each fiscal year.</w:t>
      </w:r>
      <w:r w:rsidRPr="008C755F">
        <w:rPr>
          <w:kern w:val="0"/>
          <w:szCs w:val="22"/>
        </w:rPr>
        <w:t xml:space="preserve"> </w:t>
      </w:r>
    </w:p>
    <w:p w:rsidR="00C05946" w:rsidRPr="008C755F" w:rsidP="00C05946">
      <w:pPr>
        <w:widowControl/>
        <w:snapToGrid w:val="0"/>
        <w:rPr>
          <w:kern w:val="0"/>
          <w:szCs w:val="22"/>
        </w:rPr>
      </w:pPr>
    </w:p>
    <w:tbl>
      <w:tblPr>
        <w:tblW w:w="0" w:type="auto"/>
        <w:tblCellMar>
          <w:left w:w="0" w:type="dxa"/>
          <w:right w:w="0" w:type="dxa"/>
        </w:tblCellMar>
        <w:tblLook w:val="0000"/>
      </w:tblPr>
      <w:tblGrid>
        <w:gridCol w:w="5199"/>
        <w:gridCol w:w="1659"/>
      </w:tblGrid>
      <w:tr w:rsidTr="00B62B5F">
        <w:tblPrEx>
          <w:tblW w:w="0" w:type="auto"/>
          <w:tblCellMar>
            <w:left w:w="0" w:type="dxa"/>
            <w:right w:w="0" w:type="dxa"/>
          </w:tblCellMar>
          <w:tblLook w:val="0000"/>
        </w:tblPrEx>
        <w:trPr>
          <w:trHeight w:val="793"/>
        </w:trPr>
        <w:tc>
          <w:tcPr>
            <w:tcW w:w="5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jc w:val="both"/>
              <w:rPr>
                <w:spacing w:val="-3"/>
                <w:kern w:val="0"/>
                <w:szCs w:val="22"/>
              </w:rPr>
            </w:pPr>
            <w:r w:rsidRPr="008C755F">
              <w:rPr>
                <w:spacing w:val="-3"/>
                <w:kern w:val="0"/>
                <w:szCs w:val="22"/>
              </w:rPr>
              <w:t xml:space="preserve">International Terrestrial and Satellite </w:t>
            </w:r>
            <w:r w:rsidRPr="008C755F">
              <w:rPr>
                <w:kern w:val="0"/>
                <w:szCs w:val="22"/>
              </w:rPr>
              <w:t>(capacity as of December 31, 2017)</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r w:rsidRPr="008C755F">
              <w:rPr>
                <w:spacing w:val="-3"/>
                <w:kern w:val="0"/>
                <w:szCs w:val="22"/>
              </w:rPr>
              <w:t>Fee Amount</w:t>
            </w:r>
          </w:p>
        </w:tc>
      </w:tr>
      <w:tr w:rsidTr="008C755F">
        <w:tblPrEx>
          <w:tblW w:w="0" w:type="auto"/>
          <w:tblCellMar>
            <w:left w:w="0" w:type="dxa"/>
            <w:right w:w="0" w:type="dxa"/>
          </w:tblCellMar>
          <w:tblLook w:val="0000"/>
        </w:tblPrEx>
        <w:trPr>
          <w:trHeight w:val="925"/>
        </w:trPr>
        <w:tc>
          <w:tcPr>
            <w:tcW w:w="5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jc w:val="both"/>
              <w:rPr>
                <w:spacing w:val="-3"/>
                <w:kern w:val="0"/>
                <w:szCs w:val="22"/>
              </w:rPr>
            </w:pPr>
          </w:p>
          <w:p w:rsidR="00C05946" w:rsidRPr="008C755F" w:rsidP="00CF5E5C">
            <w:pPr>
              <w:widowControl/>
              <w:rPr>
                <w:spacing w:val="-3"/>
                <w:kern w:val="0"/>
                <w:szCs w:val="22"/>
              </w:rPr>
            </w:pPr>
            <w:r w:rsidRPr="008C755F">
              <w:rPr>
                <w:spacing w:val="-3"/>
                <w:kern w:val="0"/>
                <w:szCs w:val="22"/>
              </w:rPr>
              <w:t>Terrestrial Common Carrier</w:t>
            </w:r>
            <w:r w:rsidRPr="008C755F" w:rsidR="00186674">
              <w:rPr>
                <w:spacing w:val="-3"/>
                <w:kern w:val="0"/>
                <w:szCs w:val="22"/>
              </w:rPr>
              <w:t xml:space="preserve"> and </w:t>
            </w:r>
            <w:r w:rsidRPr="008C755F" w:rsidR="00186674">
              <w:rPr>
                <w:spacing w:val="-3"/>
                <w:kern w:val="0"/>
                <w:szCs w:val="22"/>
              </w:rPr>
              <w:t>Non Common</w:t>
            </w:r>
            <w:r w:rsidRPr="008C755F" w:rsidR="00186674">
              <w:rPr>
                <w:spacing w:val="-3"/>
                <w:kern w:val="0"/>
                <w:szCs w:val="22"/>
              </w:rPr>
              <w:t xml:space="preserve"> Carrier</w:t>
            </w:r>
          </w:p>
          <w:p w:rsidR="00C05946" w:rsidRPr="008C755F" w:rsidP="00CF5E5C">
            <w:pPr>
              <w:widowControl/>
              <w:rPr>
                <w:spacing w:val="-3"/>
                <w:kern w:val="0"/>
                <w:szCs w:val="22"/>
              </w:rPr>
            </w:pPr>
            <w:r w:rsidRPr="008C755F">
              <w:rPr>
                <w:spacing w:val="-3"/>
                <w:kern w:val="0"/>
                <w:szCs w:val="22"/>
              </w:rPr>
              <w:t>Satellite Common Carrier</w:t>
            </w:r>
            <w:r w:rsidRPr="008C755F" w:rsidR="00186674">
              <w:rPr>
                <w:spacing w:val="-3"/>
                <w:kern w:val="0"/>
                <w:szCs w:val="22"/>
              </w:rPr>
              <w:t xml:space="preserve"> </w:t>
            </w:r>
            <w:r w:rsidRPr="008C755F" w:rsidR="00186674">
              <w:rPr>
                <w:spacing w:val="-3"/>
                <w:kern w:val="0"/>
                <w:szCs w:val="22"/>
              </w:rPr>
              <w:t xml:space="preserve">and </w:t>
            </w:r>
            <w:r w:rsidRPr="008C755F">
              <w:rPr>
                <w:spacing w:val="-3"/>
                <w:kern w:val="0"/>
                <w:szCs w:val="22"/>
              </w:rPr>
              <w:t xml:space="preserve"> Non</w:t>
            </w:r>
            <w:r w:rsidRPr="008C755F">
              <w:rPr>
                <w:spacing w:val="-3"/>
                <w:kern w:val="0"/>
                <w:szCs w:val="22"/>
              </w:rPr>
              <w:t>-Common Carrier</w:t>
            </w:r>
          </w:p>
          <w:p w:rsidR="00C05946" w:rsidRPr="008C755F" w:rsidP="00B62B5F">
            <w:pPr>
              <w:widowControl/>
              <w:jc w:val="both"/>
              <w:rPr>
                <w:spacing w:val="-3"/>
                <w:kern w:val="0"/>
                <w:szCs w:val="22"/>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C05946" w:rsidRPr="008C755F" w:rsidP="00B62B5F">
            <w:pPr>
              <w:widowControl/>
              <w:jc w:val="center"/>
              <w:rPr>
                <w:spacing w:val="-3"/>
                <w:kern w:val="0"/>
                <w:szCs w:val="22"/>
              </w:rPr>
            </w:pPr>
            <w:r w:rsidRPr="008C755F">
              <w:rPr>
                <w:kern w:val="0"/>
                <w:szCs w:val="22"/>
              </w:rPr>
              <w:t>$176</w:t>
            </w:r>
            <w:r w:rsidRPr="008C755F" w:rsidR="00186674">
              <w:rPr>
                <w:kern w:val="0"/>
                <w:szCs w:val="22"/>
              </w:rPr>
              <w:t xml:space="preserve"> </w:t>
            </w:r>
            <w:bookmarkStart w:id="207" w:name="_Hlk519776034"/>
            <w:r w:rsidRPr="008C755F" w:rsidR="00186674">
              <w:rPr>
                <w:kern w:val="0"/>
                <w:szCs w:val="22"/>
              </w:rPr>
              <w:t>per Gbps circuit</w:t>
            </w:r>
            <w:bookmarkEnd w:id="207"/>
          </w:p>
        </w:tc>
      </w:tr>
    </w:tbl>
    <w:p w:rsidR="00C05946" w:rsidRPr="008C755F" w:rsidP="00C05946">
      <w:pPr>
        <w:widowControl/>
        <w:rPr>
          <w:kern w:val="0"/>
          <w:szCs w:val="22"/>
        </w:rPr>
      </w:pPr>
      <w:r w:rsidRPr="008C755F">
        <w:rPr>
          <w:kern w:val="0"/>
          <w:szCs w:val="22"/>
        </w:rPr>
        <w:t xml:space="preserve">c.         </w:t>
      </w:r>
      <w:r w:rsidRPr="008C755F">
        <w:rPr>
          <w:i/>
          <w:iCs/>
          <w:kern w:val="0"/>
          <w:szCs w:val="22"/>
        </w:rPr>
        <w:t xml:space="preserve">Submarine cable:  </w:t>
      </w:r>
      <w:r w:rsidRPr="008C755F">
        <w:rPr>
          <w:kern w:val="0"/>
          <w:szCs w:val="22"/>
        </w:rPr>
        <w:t xml:space="preserve">Regulatory fees for submarine cable systems will be paid annually, per cable landing license, for all submarine cable systems operating as of December 31 of the prior year.  The fee amount will be determined by the Commission for each fiscal year.  </w:t>
      </w:r>
    </w:p>
    <w:p w:rsidR="00C05946" w:rsidRPr="00BB229F" w:rsidP="00C05946">
      <w:pPr>
        <w:widowControl/>
        <w:rPr>
          <w:kern w:val="0"/>
          <w:sz w:val="24"/>
          <w:szCs w:val="24"/>
        </w:rPr>
      </w:pPr>
    </w:p>
    <w:tbl>
      <w:tblPr>
        <w:tblW w:w="6858" w:type="dxa"/>
        <w:tblCellMar>
          <w:left w:w="0" w:type="dxa"/>
          <w:right w:w="0" w:type="dxa"/>
        </w:tblCellMar>
        <w:tblLook w:val="0000"/>
      </w:tblPr>
      <w:tblGrid>
        <w:gridCol w:w="4850"/>
        <w:gridCol w:w="2008"/>
      </w:tblGrid>
      <w:tr w:rsidTr="00B62B5F">
        <w:tblPrEx>
          <w:tblW w:w="6858" w:type="dxa"/>
          <w:tblCellMar>
            <w:left w:w="0" w:type="dxa"/>
            <w:right w:w="0" w:type="dxa"/>
          </w:tblCellMar>
          <w:tblLook w:val="0000"/>
        </w:tblPrEx>
        <w:trPr>
          <w:trHeight w:val="700"/>
        </w:trPr>
        <w:tc>
          <w:tcPr>
            <w:tcW w:w="4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jc w:val="both"/>
              <w:rPr>
                <w:spacing w:val="-3"/>
                <w:kern w:val="0"/>
                <w:szCs w:val="22"/>
              </w:rPr>
            </w:pPr>
            <w:r w:rsidRPr="008C755F">
              <w:rPr>
                <w:spacing w:val="-3"/>
                <w:kern w:val="0"/>
                <w:szCs w:val="22"/>
              </w:rPr>
              <w:t>Submarine Cable Systems</w:t>
            </w:r>
          </w:p>
          <w:p w:rsidR="00C05946" w:rsidRPr="008C755F" w:rsidP="00B62B5F">
            <w:pPr>
              <w:widowControl/>
              <w:jc w:val="both"/>
              <w:rPr>
                <w:spacing w:val="-3"/>
                <w:kern w:val="0"/>
                <w:szCs w:val="22"/>
              </w:rPr>
            </w:pPr>
            <w:r w:rsidRPr="008C755F">
              <w:rPr>
                <w:kern w:val="0"/>
                <w:szCs w:val="22"/>
              </w:rPr>
              <w:t>(capacity as of Dec. 31, 2017)</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5946" w:rsidRPr="008C755F" w:rsidP="00B62B5F">
            <w:pPr>
              <w:widowControl/>
              <w:jc w:val="center"/>
              <w:rPr>
                <w:spacing w:val="-3"/>
                <w:kern w:val="0"/>
                <w:szCs w:val="22"/>
              </w:rPr>
            </w:pPr>
            <w:r w:rsidRPr="008C755F">
              <w:rPr>
                <w:spacing w:val="-3"/>
                <w:kern w:val="0"/>
                <w:szCs w:val="22"/>
              </w:rPr>
              <w:t>Fee Amount</w:t>
            </w:r>
          </w:p>
        </w:tc>
      </w:tr>
      <w:tr w:rsidTr="00B62B5F">
        <w:tblPrEx>
          <w:tblW w:w="6858" w:type="dxa"/>
          <w:tblCellMar>
            <w:left w:w="0" w:type="dxa"/>
            <w:right w:w="0" w:type="dxa"/>
          </w:tblCellMar>
          <w:tblLook w:val="0000"/>
        </w:tblPrEx>
        <w:trPr>
          <w:trHeight w:val="1069"/>
        </w:trPr>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jc w:val="both"/>
              <w:rPr>
                <w:spacing w:val="-3"/>
                <w:kern w:val="0"/>
                <w:szCs w:val="22"/>
              </w:rPr>
            </w:pPr>
            <w:r w:rsidRPr="008C755F">
              <w:rPr>
                <w:kern w:val="0"/>
                <w:szCs w:val="22"/>
              </w:rPr>
              <w:t>&lt; 50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C05946" w:rsidRPr="008C755F" w:rsidP="00B62B5F">
            <w:pPr>
              <w:widowControl/>
              <w:jc w:val="center"/>
              <w:rPr>
                <w:spacing w:val="-3"/>
                <w:kern w:val="0"/>
                <w:szCs w:val="22"/>
              </w:rPr>
            </w:pPr>
            <w:r w:rsidRPr="008C755F">
              <w:rPr>
                <w:kern w:val="0"/>
                <w:szCs w:val="22"/>
              </w:rPr>
              <w:t>$9,850</w:t>
            </w:r>
          </w:p>
        </w:tc>
      </w:tr>
      <w:tr w:rsidTr="00B62B5F">
        <w:tblPrEx>
          <w:tblW w:w="6858" w:type="dxa"/>
          <w:tblCellMar>
            <w:left w:w="0" w:type="dxa"/>
            <w:right w:w="0" w:type="dxa"/>
          </w:tblCellMar>
          <w:tblLook w:val="0000"/>
        </w:tblPrEx>
        <w:trPr>
          <w:trHeight w:val="1195"/>
        </w:trPr>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spacing w:val="-3"/>
                <w:kern w:val="0"/>
                <w:szCs w:val="22"/>
              </w:rPr>
            </w:pPr>
            <w:r w:rsidRPr="008C755F">
              <w:rPr>
                <w:kern w:val="0"/>
                <w:szCs w:val="22"/>
              </w:rPr>
              <w:t>50 Gbps or greater, but less than 250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C05946" w:rsidRPr="008C755F" w:rsidP="00B62B5F">
            <w:pPr>
              <w:widowControl/>
              <w:jc w:val="center"/>
              <w:rPr>
                <w:kern w:val="0"/>
                <w:szCs w:val="22"/>
              </w:rPr>
            </w:pPr>
            <w:r w:rsidRPr="008C755F">
              <w:rPr>
                <w:kern w:val="0"/>
                <w:szCs w:val="22"/>
              </w:rPr>
              <w:t>$19,725</w:t>
            </w:r>
          </w:p>
          <w:p w:rsidR="00C05946" w:rsidRPr="008C755F" w:rsidP="00B62B5F">
            <w:pPr>
              <w:widowControl/>
              <w:jc w:val="center"/>
              <w:rPr>
                <w:spacing w:val="-3"/>
                <w:kern w:val="0"/>
                <w:szCs w:val="22"/>
              </w:rPr>
            </w:pPr>
          </w:p>
        </w:tc>
      </w:tr>
      <w:tr w:rsidTr="00B62B5F">
        <w:tblPrEx>
          <w:tblW w:w="6858" w:type="dxa"/>
          <w:tblCellMar>
            <w:left w:w="0" w:type="dxa"/>
            <w:right w:w="0" w:type="dxa"/>
          </w:tblCellMar>
          <w:tblLook w:val="0000"/>
        </w:tblPrEx>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spacing w:val="-3"/>
                <w:kern w:val="0"/>
                <w:szCs w:val="22"/>
              </w:rPr>
            </w:pPr>
            <w:r w:rsidRPr="008C755F">
              <w:rPr>
                <w:kern w:val="0"/>
                <w:szCs w:val="22"/>
              </w:rPr>
              <w:t>250 Gbps or greater, but less than 1,000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C05946" w:rsidRPr="008C755F" w:rsidP="00B62B5F">
            <w:pPr>
              <w:widowControl/>
              <w:jc w:val="center"/>
              <w:rPr>
                <w:kern w:val="0"/>
                <w:szCs w:val="22"/>
              </w:rPr>
            </w:pPr>
            <w:r w:rsidRPr="008C755F">
              <w:rPr>
                <w:kern w:val="0"/>
                <w:szCs w:val="22"/>
              </w:rPr>
              <w:t xml:space="preserve">$39,425 </w:t>
            </w:r>
          </w:p>
          <w:p w:rsidR="00C05946" w:rsidRPr="008C755F" w:rsidP="00B62B5F">
            <w:pPr>
              <w:widowControl/>
              <w:jc w:val="center"/>
              <w:rPr>
                <w:spacing w:val="-3"/>
                <w:kern w:val="0"/>
                <w:szCs w:val="22"/>
              </w:rPr>
            </w:pPr>
          </w:p>
        </w:tc>
      </w:tr>
      <w:tr w:rsidTr="00B62B5F">
        <w:tblPrEx>
          <w:tblW w:w="6858" w:type="dxa"/>
          <w:tblCellMar>
            <w:left w:w="0" w:type="dxa"/>
            <w:right w:w="0" w:type="dxa"/>
          </w:tblCellMar>
          <w:tblLook w:val="0000"/>
        </w:tblPrEx>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spacing w:val="-3"/>
                <w:kern w:val="0"/>
                <w:szCs w:val="22"/>
              </w:rPr>
            </w:pPr>
            <w:r w:rsidRPr="008C755F">
              <w:rPr>
                <w:kern w:val="0"/>
                <w:szCs w:val="22"/>
              </w:rPr>
              <w:t>1,000 Gbps or greater, but less than 4,000 Gbps</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C05946" w:rsidRPr="008C755F" w:rsidP="00B62B5F">
            <w:pPr>
              <w:widowControl/>
              <w:jc w:val="center"/>
              <w:rPr>
                <w:kern w:val="0"/>
                <w:szCs w:val="22"/>
              </w:rPr>
            </w:pPr>
            <w:r w:rsidRPr="008C755F">
              <w:rPr>
                <w:kern w:val="0"/>
                <w:szCs w:val="22"/>
              </w:rPr>
              <w:t xml:space="preserve">$78,875 </w:t>
            </w:r>
          </w:p>
          <w:p w:rsidR="00C05946" w:rsidRPr="008C755F" w:rsidP="00B62B5F">
            <w:pPr>
              <w:widowControl/>
              <w:jc w:val="center"/>
              <w:rPr>
                <w:spacing w:val="-3"/>
                <w:kern w:val="0"/>
                <w:szCs w:val="22"/>
              </w:rPr>
            </w:pPr>
          </w:p>
        </w:tc>
      </w:tr>
      <w:tr w:rsidTr="00B62B5F">
        <w:tblPrEx>
          <w:tblW w:w="6858" w:type="dxa"/>
          <w:tblCellMar>
            <w:left w:w="0" w:type="dxa"/>
            <w:right w:w="0" w:type="dxa"/>
          </w:tblCellMar>
          <w:tblLook w:val="0000"/>
        </w:tblPrEx>
        <w:trPr>
          <w:trHeight w:val="682"/>
        </w:trPr>
        <w:tc>
          <w:tcPr>
            <w:tcW w:w="48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5946" w:rsidRPr="008C755F" w:rsidP="00B62B5F">
            <w:pPr>
              <w:widowControl/>
              <w:rPr>
                <w:kern w:val="0"/>
                <w:szCs w:val="22"/>
              </w:rPr>
            </w:pPr>
            <w:r w:rsidRPr="008C755F">
              <w:rPr>
                <w:kern w:val="0"/>
                <w:szCs w:val="22"/>
              </w:rPr>
              <w:t>4,000 Gbps or greater</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center"/>
          </w:tcPr>
          <w:p w:rsidR="00C05946" w:rsidRPr="008C755F" w:rsidP="00B62B5F">
            <w:pPr>
              <w:widowControl/>
              <w:jc w:val="center"/>
              <w:rPr>
                <w:kern w:val="0"/>
                <w:szCs w:val="22"/>
              </w:rPr>
            </w:pPr>
            <w:r w:rsidRPr="008C755F">
              <w:rPr>
                <w:kern w:val="0"/>
                <w:szCs w:val="22"/>
              </w:rPr>
              <w:t xml:space="preserve">$157,750 </w:t>
            </w:r>
          </w:p>
          <w:p w:rsidR="00C05946" w:rsidRPr="008C755F" w:rsidP="00B62B5F">
            <w:pPr>
              <w:widowControl/>
              <w:jc w:val="center"/>
              <w:rPr>
                <w:spacing w:val="-3"/>
                <w:kern w:val="0"/>
                <w:szCs w:val="22"/>
              </w:rPr>
            </w:pPr>
          </w:p>
        </w:tc>
      </w:tr>
    </w:tbl>
    <w:p w:rsidR="00C05946" w:rsidRPr="00BB229F" w:rsidP="00C05946"/>
    <w:p w:rsidR="008C755F" w:rsidRPr="008C755F" w:rsidP="008C755F">
      <w:pPr>
        <w:tabs>
          <w:tab w:val="left" w:pos="-1440"/>
          <w:tab w:val="left" w:pos="-720"/>
          <w:tab w:val="left" w:pos="720"/>
          <w:tab w:val="left" w:pos="4590"/>
          <w:tab w:val="left" w:pos="6480"/>
        </w:tabs>
        <w:suppressAutoHyphens/>
        <w:outlineLvl w:val="0"/>
        <w:rPr>
          <w:szCs w:val="22"/>
        </w:rPr>
      </w:pPr>
      <w:r w:rsidRPr="008C755F">
        <w:rPr>
          <w:szCs w:val="22"/>
        </w:rPr>
        <w:t>7. Section 1.1940 is revised to read as follows:</w:t>
      </w:r>
    </w:p>
    <w:p w:rsidR="008C755F" w:rsidRPr="008C755F" w:rsidP="008C755F">
      <w:pPr>
        <w:tabs>
          <w:tab w:val="left" w:pos="-1440"/>
          <w:tab w:val="left" w:pos="-720"/>
          <w:tab w:val="left" w:pos="720"/>
          <w:tab w:val="left" w:pos="4590"/>
          <w:tab w:val="left" w:pos="6480"/>
        </w:tabs>
        <w:suppressAutoHyphens/>
        <w:outlineLvl w:val="0"/>
        <w:rPr>
          <w:szCs w:val="22"/>
        </w:rPr>
      </w:pPr>
    </w:p>
    <w:p w:rsidR="008C755F" w:rsidRPr="000D0681" w:rsidP="008C755F">
      <w:pPr>
        <w:tabs>
          <w:tab w:val="left" w:pos="-1440"/>
          <w:tab w:val="left" w:pos="-720"/>
          <w:tab w:val="left" w:pos="720"/>
          <w:tab w:val="left" w:pos="4590"/>
          <w:tab w:val="left" w:pos="6480"/>
        </w:tabs>
        <w:suppressAutoHyphens/>
        <w:outlineLvl w:val="0"/>
        <w:rPr>
          <w:szCs w:val="22"/>
        </w:rPr>
      </w:pPr>
      <w:r w:rsidRPr="008C755F">
        <w:t>(c) The Commission shall assess administrative costs incurred for processing and handling delinquent debts, unless otherwise prohibited by statute. The calculation of administrative costs may be based on actual costs incurred or upon estimated costs as determined by the Commission. Commission administrative costs include the personnel and service costs (e.g., telephone, copier, and overhead) to notify and collect the debt, without regard to the success of such efforts by the Commission.</w:t>
      </w:r>
    </w:p>
    <w:p w:rsidR="00C05946" w:rsidP="008C755F">
      <w:pPr>
        <w:pStyle w:val="ParaNum"/>
        <w:numPr>
          <w:ilvl w:val="0"/>
          <w:numId w:val="0"/>
        </w:numPr>
        <w:ind w:firstLine="720"/>
        <w:rPr>
          <w:szCs w:val="22"/>
        </w:rPr>
      </w:pPr>
    </w:p>
    <w:p w:rsidR="000F14E5" w:rsidP="008C755F">
      <w:pPr>
        <w:pStyle w:val="ParaNum"/>
        <w:numPr>
          <w:ilvl w:val="0"/>
          <w:numId w:val="0"/>
        </w:numPr>
        <w:ind w:firstLine="720"/>
        <w:rPr>
          <w:szCs w:val="22"/>
        </w:rPr>
      </w:pPr>
    </w:p>
    <w:sectPr w:rsidSect="00D45ED2">
      <w:footnotePr>
        <w:numRestart w:val="eachSect"/>
      </w:foot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rsidP="0055614C">
    <w:pPr>
      <w:pStyle w:val="Footer"/>
      <w:framePr w:wrap="around" w:vAnchor="text" w:hAnchor="margin" w:xAlign="center" w:y="1"/>
    </w:pPr>
    <w:r>
      <w:fldChar w:fldCharType="begin"/>
    </w:r>
    <w:r>
      <w:instrText xml:space="preserve">PAGE  </w:instrText>
    </w:r>
    <w:r>
      <w:fldChar w:fldCharType="separate"/>
    </w:r>
    <w:r>
      <w:fldChar w:fldCharType="end"/>
    </w:r>
  </w:p>
  <w:p w:rsidR="00053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pPr>
      <w:pStyle w:val="Footer"/>
      <w:jc w:val="center"/>
    </w:pPr>
  </w:p>
  <w:p w:rsidR="00053B6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3B68">
      <w:r>
        <w:separator/>
      </w:r>
    </w:p>
  </w:footnote>
  <w:footnote w:type="continuationSeparator" w:id="1">
    <w:p w:rsidR="00053B68" w:rsidP="00C721AC">
      <w:pPr>
        <w:spacing w:before="120"/>
        <w:rPr>
          <w:sz w:val="20"/>
        </w:rPr>
      </w:pPr>
      <w:r>
        <w:continuationSeparator/>
      </w:r>
    </w:p>
  </w:footnote>
  <w:footnote w:type="continuationNotice" w:id="2">
    <w:p w:rsidR="00053B68" w:rsidP="00C721AC">
      <w:pPr>
        <w:jc w:val="right"/>
        <w:rPr>
          <w:sz w:val="20"/>
        </w:rPr>
      </w:pPr>
    </w:p>
  </w:footnote>
  <w:footnote w:id="3">
    <w:p w:rsidR="00053B68" w:rsidP="00A449CF">
      <w:pPr>
        <w:pStyle w:val="FootnoteText"/>
      </w:pPr>
      <w:r>
        <w:rPr>
          <w:rStyle w:val="FootnoteReference"/>
        </w:rPr>
        <w:footnoteRef/>
      </w:r>
      <w:r>
        <w:t xml:space="preserve"> </w:t>
      </w:r>
      <w:r w:rsidRPr="000A4ED6">
        <w:t>47 U.S.C. § 159.  Although the Repack Airwaves Yielding Better Access for Users of Modern Services Act of 2018, or the RAY BAUM’</w:t>
      </w:r>
      <w:r>
        <w:t>S</w:t>
      </w:r>
      <w:r w:rsidRPr="000A4ED6">
        <w:t xml:space="preserve"> Act of 2018, amended section</w:t>
      </w:r>
      <w:r>
        <w:t>s</w:t>
      </w:r>
      <w:r w:rsidRPr="000A4ED6">
        <w:t xml:space="preserve"> </w:t>
      </w:r>
      <w:r>
        <w:t xml:space="preserve">8 and </w:t>
      </w:r>
      <w:r w:rsidRPr="000A4ED6">
        <w:t>9 and added section 9A to the Communications Act, those provisions do not become effective until October 1, 2018.  Consolidated Appropriations Act, 2018, Pub</w:t>
      </w:r>
      <w:r>
        <w:t>.</w:t>
      </w:r>
      <w:r w:rsidRPr="000A4ED6">
        <w:t xml:space="preserve"> L</w:t>
      </w:r>
      <w:r>
        <w:t>.</w:t>
      </w:r>
      <w:r w:rsidRPr="000A4ED6">
        <w:t xml:space="preserve"> No. 115-141, </w:t>
      </w:r>
      <w:r>
        <w:t xml:space="preserve">132 Stat. 1084, </w:t>
      </w:r>
      <w:r w:rsidRPr="000A4ED6">
        <w:t>Division P – RAY BAUM’s Act of 2018, Title I, § 103 (2018).</w:t>
      </w:r>
    </w:p>
  </w:footnote>
  <w:footnote w:id="4">
    <w:p w:rsidR="00053B68" w:rsidP="00D420E4">
      <w:pPr>
        <w:pStyle w:val="FootnoteText"/>
      </w:pPr>
      <w:r>
        <w:rPr>
          <w:rStyle w:val="FootnoteReference"/>
        </w:rPr>
        <w:footnoteRef/>
      </w:r>
      <w:r>
        <w:t xml:space="preserve"> </w:t>
      </w:r>
      <w:r w:rsidRPr="0059736D">
        <w:t>Consolidated Appropriations Act, 2018, Division E—Financial Services and General Government Appropriations Act, 2018, Title V—Independent Agencies, Public Law No. 115-141 (March 23, 2018) (FCC FY 2018 Appropriation).</w:t>
      </w:r>
    </w:p>
  </w:footnote>
  <w:footnote w:id="5">
    <w:p w:rsidR="00053B68">
      <w:pPr>
        <w:pStyle w:val="FootnoteText"/>
      </w:pPr>
      <w:r>
        <w:rPr>
          <w:rStyle w:val="FootnoteReference"/>
        </w:rPr>
        <w:footnoteRef/>
      </w:r>
      <w:r>
        <w:t xml:space="preserve"> </w:t>
      </w:r>
      <w:r w:rsidRPr="00BF139A">
        <w:rPr>
          <w:i/>
        </w:rPr>
        <w:t>See</w:t>
      </w:r>
      <w:r>
        <w:t xml:space="preserve"> </w:t>
      </w:r>
      <w:r w:rsidRPr="00E2030E">
        <w:rPr>
          <w:i/>
        </w:rPr>
        <w:t>supra</w:t>
      </w:r>
      <w:r>
        <w:t xml:space="preserve"> note 1. </w:t>
      </w:r>
    </w:p>
  </w:footnote>
  <w:footnote w:id="6">
    <w:p w:rsidR="00053B68" w:rsidP="00C65067">
      <w:pPr>
        <w:pStyle w:val="FootnoteText"/>
      </w:pPr>
      <w:r>
        <w:rPr>
          <w:rStyle w:val="FootnoteReference"/>
        </w:rPr>
        <w:footnoteRef/>
      </w:r>
      <w:r>
        <w:t xml:space="preserve"> 47 U.S.C. § 159(b)(1)(B). </w:t>
      </w:r>
    </w:p>
  </w:footnote>
  <w:footnote w:id="7">
    <w:p w:rsidR="00053B68">
      <w:pPr>
        <w:pStyle w:val="FootnoteText"/>
      </w:pPr>
      <w:r>
        <w:rPr>
          <w:rStyle w:val="FootnoteReference"/>
        </w:rPr>
        <w:footnoteRef/>
      </w:r>
      <w:r>
        <w:t xml:space="preserve"> 47 U.S.C. § 159(a).</w:t>
      </w:r>
    </w:p>
  </w:footnote>
  <w:footnote w:id="8">
    <w:p w:rsidR="00053B68" w:rsidRPr="00A1103B" w:rsidP="00C65067">
      <w:pPr>
        <w:pStyle w:val="FootnoteText"/>
      </w:pPr>
      <w:r w:rsidRPr="00A1103B">
        <w:rPr>
          <w:rStyle w:val="FootnoteReference"/>
        </w:rPr>
        <w:footnoteRef/>
      </w:r>
      <w:r w:rsidRPr="00A1103B">
        <w:t xml:space="preserve"> 47 U.S.C. § 159(b)(1)(A).</w:t>
      </w:r>
    </w:p>
  </w:footnote>
  <w:footnote w:id="9">
    <w:p w:rsidR="00053B68" w:rsidRPr="00A1103B" w:rsidP="00C65067">
      <w:pPr>
        <w:pStyle w:val="FootnoteText"/>
      </w:pPr>
      <w:r w:rsidRPr="00A1103B">
        <w:rPr>
          <w:rStyle w:val="FootnoteReference"/>
        </w:rPr>
        <w:footnoteRef/>
      </w:r>
      <w:r w:rsidRPr="00A1103B">
        <w:t xml:space="preserve"> </w:t>
      </w:r>
      <w:r w:rsidRPr="00A1103B">
        <w:rPr>
          <w:i/>
        </w:rPr>
        <w:t>Assessment and Collection of Regulatory Fees for Fiscal Year 2004</w:t>
      </w:r>
      <w:r w:rsidRPr="00A1103B">
        <w:t>, Report and Order, 19 FCC Rcd 11662, 11666, para. 11 (2004) (</w:t>
      </w:r>
      <w:r w:rsidRPr="00A1103B">
        <w:rPr>
          <w:i/>
        </w:rPr>
        <w:t>FY 2004 Report and Order</w:t>
      </w:r>
      <w:r w:rsidRPr="00A1103B">
        <w:t xml:space="preserve">).  </w:t>
      </w:r>
    </w:p>
  </w:footnote>
  <w:footnote w:id="10">
    <w:p w:rsidR="00053B68" w:rsidP="00C65067">
      <w:pPr>
        <w:pStyle w:val="FootnoteText"/>
      </w:pPr>
      <w:r>
        <w:rPr>
          <w:rStyle w:val="FootnoteReference"/>
        </w:rPr>
        <w:footnoteRef/>
      </w:r>
      <w:r>
        <w:t xml:space="preserve"> For example, governmental and nonprofit entities are exempt from regulatory fees under section 9(h).  47 U.S.C. </w:t>
      </w:r>
      <w:r w:rsidRPr="00A1103B">
        <w:t>§</w:t>
      </w:r>
      <w:r>
        <w:t xml:space="preserve"> 159(h); 47 CFR </w:t>
      </w:r>
      <w:r w:rsidRPr="00A1103B">
        <w:t>§</w:t>
      </w:r>
      <w:r>
        <w:t xml:space="preserve"> 1.1162.</w:t>
      </w:r>
    </w:p>
  </w:footnote>
  <w:footnote w:id="11">
    <w:p w:rsidR="00053B68" w:rsidP="00C65067">
      <w:pPr>
        <w:pStyle w:val="FootnoteText"/>
      </w:pPr>
      <w:r>
        <w:rPr>
          <w:rStyle w:val="FootnoteReference"/>
        </w:rPr>
        <w:footnoteRef/>
      </w:r>
      <w:r>
        <w:t xml:space="preserve"> 47 CFR</w:t>
      </w:r>
      <w:r w:rsidRPr="00410E02">
        <w:t xml:space="preserve"> </w:t>
      </w:r>
      <w:r w:rsidRPr="00A1103B">
        <w:t>§</w:t>
      </w:r>
      <w:r>
        <w:t xml:space="preserve"> 1.1166.</w:t>
      </w:r>
    </w:p>
  </w:footnote>
  <w:footnote w:id="12">
    <w:p w:rsidR="00053B68" w:rsidP="00C65067">
      <w:pPr>
        <w:pStyle w:val="FootnoteText"/>
      </w:pPr>
      <w:r>
        <w:rPr>
          <w:rStyle w:val="FootnoteReference"/>
        </w:rPr>
        <w:footnoteRef/>
      </w:r>
      <w:r>
        <w:t xml:space="preserve"> 47 U.S.C. § 159(a)(2).</w:t>
      </w:r>
    </w:p>
  </w:footnote>
  <w:footnote w:id="13">
    <w:p w:rsidR="00053B68" w:rsidRPr="00565E15" w:rsidP="007C62B0">
      <w:pPr>
        <w:pStyle w:val="FootnoteText"/>
      </w:pPr>
      <w:r w:rsidRPr="00565E15">
        <w:rPr>
          <w:rStyle w:val="FootnoteReference"/>
        </w:rPr>
        <w:footnoteRef/>
      </w:r>
      <w:r w:rsidRPr="00565E15">
        <w:t xml:space="preserve"> One FTE is a unit of measure equal to the work performed annually by a </w:t>
      </w:r>
      <w:r w:rsidRPr="00565E15">
        <w:t>full time</w:t>
      </w:r>
      <w:r w:rsidRPr="00565E15">
        <w:t xml:space="preserve"> person (working a 40 hour workweek for a full year) assigned to the particular job, and subject to agency personnel staffing limitations established by the U.S. Office of Management and Budget.</w:t>
      </w:r>
    </w:p>
  </w:footnote>
  <w:footnote w:id="14">
    <w:p w:rsidR="00053B68" w:rsidRPr="00A1103B" w:rsidP="00C65067">
      <w:pPr>
        <w:pStyle w:val="FootnoteText"/>
      </w:pPr>
      <w:r w:rsidRPr="00A1103B">
        <w:rPr>
          <w:rStyle w:val="FootnoteReference"/>
        </w:rPr>
        <w:footnoteRef/>
      </w:r>
      <w:r w:rsidRPr="00A1103B">
        <w:t xml:space="preserve"> </w:t>
      </w:r>
      <w:r>
        <w:rPr>
          <w:snapToGrid w:val="0"/>
        </w:rPr>
        <w:t xml:space="preserve">The core bureaus, which have the direct FTEs, are the Wireline Competition Bureau (124), Wireless Telecommunications Bureau (101), Media Bureau (135), and part of the International Bureau (24).  The indirect FTEs are the employees from the following bureaus and offices:  Enforcement Bureau (203), Consumer &amp; Governmental Affairs Bureau (136), Public Safety and Homeland Security Bureau (104), part of the International Bureau (72), part of the Wireline Competition Bureau (38), Chairman and Commissioners’ offices (15), Office of the Managing Director (149), Office of General Counsel (74), Office of the Inspector General (46), Office of Communications Business Opportunities (8), Office of Engineering and Technology (73), Office of Legislative Affairs (9), Office of Strategic Planning and Policy Analysis (15), Office of Workplace Diversity (5), Office of Media Relations (14), and Office of Administrative Law Judges (4).  </w:t>
      </w:r>
    </w:p>
  </w:footnote>
  <w:footnote w:id="15">
    <w:p w:rsidR="00053B68">
      <w:pPr>
        <w:pStyle w:val="FootnoteText"/>
      </w:pPr>
      <w:r>
        <w:rPr>
          <w:rStyle w:val="FootnoteReference"/>
        </w:rPr>
        <w:footnoteRef/>
      </w:r>
      <w:r>
        <w:t xml:space="preserve"> The Commission observed in the </w:t>
      </w:r>
      <w:r w:rsidRPr="00D23917">
        <w:rPr>
          <w:i/>
        </w:rPr>
        <w:t>FY 2013 Report and Order</w:t>
      </w:r>
      <w:r>
        <w:t xml:space="preserve"> that “the high percentage of the indirect FTEs is indicative of the fact that many Commission activities and costs are not limited to a particular fee category and instead benefit the Commission as a whole.”  </w:t>
      </w:r>
      <w:r w:rsidRPr="00D23917">
        <w:rPr>
          <w:i/>
        </w:rPr>
        <w:t xml:space="preserve">See </w:t>
      </w:r>
      <w:r w:rsidRPr="00A1103B">
        <w:rPr>
          <w:i/>
        </w:rPr>
        <w:t>Assessment and Collection of Regulatory Fees for Fiscal Year 20</w:t>
      </w:r>
      <w:r>
        <w:rPr>
          <w:i/>
        </w:rPr>
        <w:t>13</w:t>
      </w:r>
      <w:r w:rsidRPr="00A1103B">
        <w:t>, Report and Order</w:t>
      </w:r>
      <w:r>
        <w:t>, 28</w:t>
      </w:r>
      <w:r w:rsidRPr="00A1103B">
        <w:t xml:space="preserve"> FCC Rcd</w:t>
      </w:r>
      <w:r>
        <w:t xml:space="preserve"> 12351, 12357, para. 17 (2013</w:t>
      </w:r>
      <w:r w:rsidRPr="00A1103B">
        <w:t>) (</w:t>
      </w:r>
      <w:r>
        <w:rPr>
          <w:i/>
        </w:rPr>
        <w:t>FY 2013 Report and Order</w:t>
      </w:r>
      <w:r w:rsidRPr="00A1103B">
        <w:t>).</w:t>
      </w:r>
      <w:r w:rsidRPr="003216AF">
        <w:rPr>
          <w:szCs w:val="22"/>
        </w:rPr>
        <w:t xml:space="preserve"> </w:t>
      </w:r>
      <w:r>
        <w:rPr>
          <w:szCs w:val="22"/>
        </w:rPr>
        <w:t xml:space="preserve"> </w:t>
      </w:r>
    </w:p>
  </w:footnote>
  <w:footnote w:id="16">
    <w:p w:rsidR="00053B68" w:rsidRPr="00A1103B" w:rsidP="00C65067">
      <w:pPr>
        <w:pStyle w:val="FootnoteText"/>
      </w:pPr>
      <w:r w:rsidRPr="00A1103B">
        <w:rPr>
          <w:rStyle w:val="FootnoteReference"/>
        </w:rPr>
        <w:footnoteRef/>
      </w:r>
      <w:r w:rsidRPr="00A1103B">
        <w:t xml:space="preserve"> </w:t>
      </w:r>
      <w:r w:rsidRPr="00C82293">
        <w:rPr>
          <w:i/>
        </w:rPr>
        <w:t>S</w:t>
      </w:r>
      <w:r w:rsidRPr="0088462E">
        <w:rPr>
          <w:i/>
        </w:rPr>
        <w:t xml:space="preserve">ee </w:t>
      </w:r>
      <w:r>
        <w:rPr>
          <w:i/>
        </w:rPr>
        <w:t xml:space="preserve">Procedures for </w:t>
      </w:r>
      <w:r w:rsidRPr="00A1103B">
        <w:rPr>
          <w:i/>
        </w:rPr>
        <w:t>Assessment and Collection of Regulatory Fees</w:t>
      </w:r>
      <w:r w:rsidRPr="00A1103B">
        <w:t>, Notice of Proposed Rulemaking, 27 FCC Rcd 8458</w:t>
      </w:r>
      <w:r>
        <w:t>, 8461-62, paras. 8-11</w:t>
      </w:r>
      <w:r w:rsidRPr="00A1103B">
        <w:t xml:space="preserve"> (2012) (</w:t>
      </w:r>
      <w:r w:rsidRPr="00A1103B">
        <w:rPr>
          <w:i/>
        </w:rPr>
        <w:t>FY 2012 NPRM</w:t>
      </w:r>
      <w:r w:rsidRPr="00A1103B">
        <w:t>).</w:t>
      </w:r>
      <w:r w:rsidRPr="00B16900">
        <w:rPr>
          <w:i/>
        </w:rPr>
        <w:t xml:space="preserve"> </w:t>
      </w:r>
      <w:r>
        <w:t xml:space="preserve"> </w:t>
      </w:r>
    </w:p>
  </w:footnote>
  <w:footnote w:id="17">
    <w:p w:rsidR="00053B68" w:rsidP="00C65067">
      <w:pPr>
        <w:pStyle w:val="FootnoteText"/>
      </w:pPr>
      <w:r>
        <w:rPr>
          <w:rStyle w:val="FootnoteReference"/>
        </w:rPr>
        <w:footnoteRef/>
      </w:r>
      <w:r>
        <w:t xml:space="preserve"> 47 U.S.C. § 159(b)(1)(B).</w:t>
      </w:r>
      <w:r w:rsidRPr="00FE24D5">
        <w:t xml:space="preserve"> </w:t>
      </w:r>
      <w:r>
        <w:t xml:space="preserve"> </w:t>
      </w:r>
    </w:p>
  </w:footnote>
  <w:footnote w:id="18">
    <w:p w:rsidR="00053B68">
      <w:pPr>
        <w:pStyle w:val="FootnoteText"/>
      </w:pPr>
      <w:r>
        <w:rPr>
          <w:rStyle w:val="FootnoteReference"/>
        </w:rPr>
        <w:footnoteRef/>
      </w:r>
      <w:r>
        <w:t xml:space="preserve"> </w:t>
      </w:r>
      <w:r>
        <w:rPr>
          <w:szCs w:val="22"/>
        </w:rPr>
        <w:t>I</w:t>
      </w:r>
      <w:r w:rsidRPr="00940E2F">
        <w:rPr>
          <w:szCs w:val="22"/>
        </w:rPr>
        <w:t xml:space="preserve">n the </w:t>
      </w:r>
      <w:r w:rsidRPr="00940E2F">
        <w:rPr>
          <w:i/>
        </w:rPr>
        <w:t>FY 2013 Report and Order</w:t>
      </w:r>
      <w:r>
        <w:t>,</w:t>
      </w:r>
      <w:r w:rsidRPr="00940E2F">
        <w:rPr>
          <w:i/>
        </w:rPr>
        <w:t xml:space="preserve"> </w:t>
      </w:r>
      <w:r>
        <w:t xml:space="preserve">the Commission adopted updated FTE allocations to more accurately reflect the number of FTEs working on regulation and oversight of </w:t>
      </w:r>
      <w:r>
        <w:t>regulatees</w:t>
      </w:r>
      <w:r>
        <w:t xml:space="preserve"> in the fee categories.  </w:t>
      </w:r>
      <w:r w:rsidRPr="00615E06">
        <w:rPr>
          <w:i/>
        </w:rPr>
        <w:t>FY 2013 Report and Order</w:t>
      </w:r>
      <w:r>
        <w:t>, 28</w:t>
      </w:r>
      <w:r w:rsidRPr="00A1103B">
        <w:t xml:space="preserve"> FCC Rcd</w:t>
      </w:r>
      <w:r>
        <w:t xml:space="preserve"> at 12354-58, paras. 10-20</w:t>
      </w:r>
      <w:r w:rsidRPr="00A1103B">
        <w:t>.</w:t>
      </w:r>
      <w:r w:rsidRPr="003216AF">
        <w:rPr>
          <w:szCs w:val="22"/>
        </w:rPr>
        <w:t xml:space="preserve"> </w:t>
      </w:r>
      <w:r>
        <w:rPr>
          <w:szCs w:val="22"/>
        </w:rPr>
        <w:t xml:space="preserve"> This wa</w:t>
      </w:r>
      <w:r w:rsidRPr="00590524">
        <w:rPr>
          <w:szCs w:val="22"/>
        </w:rPr>
        <w:t>s recommended in a report issued by the Government Accountability Office (GAO) in 2012</w:t>
      </w:r>
      <w:r>
        <w:t xml:space="preserve">.  </w:t>
      </w:r>
      <w:r w:rsidRPr="003833AB">
        <w:rPr>
          <w:i/>
        </w:rPr>
        <w:t>See</w:t>
      </w:r>
      <w:r>
        <w:t xml:space="preserve"> </w:t>
      </w:r>
      <w:r w:rsidRPr="00DB334D">
        <w:t>GAO “Federal Communications Commission Regulatory Fee Process Needs to be Updated,” GAO-12-686</w:t>
      </w:r>
      <w:r>
        <w:t xml:space="preserve"> (Aug. 2012) (GAO Report) at 36, </w:t>
      </w:r>
      <w:r>
        <w:fldChar w:fldCharType="begin"/>
      </w:r>
      <w:r>
        <w:instrText xml:space="preserve"> HYPERLINK "https://webmail.fcc.gov/owa/redir.aspx?C=wqnj8kn3oku5Fr9g5YIF5qjGXefZH9IIrV8Oe5mwtPTsM9Lo4smJDv0FGd5MSK8G8q8LbqaEf8M.&amp;URL=http%3a%2f%2fwww.gao.gov%2fproducts%2fGAO-12-686" \t "_blank" </w:instrText>
      </w:r>
      <w:r>
        <w:fldChar w:fldCharType="separate"/>
      </w:r>
      <w:r w:rsidRPr="000761C8">
        <w:rPr>
          <w:snapToGrid w:val="0"/>
          <w:color w:val="0000FF"/>
          <w:kern w:val="28"/>
          <w:u w:val="single"/>
        </w:rPr>
        <w:t>http://www.gao.gov/products/GAO-12-686</w:t>
      </w:r>
      <w:r>
        <w:fldChar w:fldCharType="end"/>
      </w:r>
      <w:r w:rsidRPr="00CE7493">
        <w:rPr>
          <w:snapToGrid w:val="0"/>
          <w:color w:val="0000FF"/>
          <w:kern w:val="28"/>
        </w:rPr>
        <w:t>.</w:t>
      </w:r>
      <w:r>
        <w:rPr>
          <w:snapToGrid w:val="0"/>
          <w:color w:val="0000FF"/>
          <w:kern w:val="28"/>
        </w:rPr>
        <w:t xml:space="preserve">  </w:t>
      </w:r>
      <w:r>
        <w:rPr>
          <w:szCs w:val="22"/>
        </w:rPr>
        <w:t xml:space="preserve">The Commission has since updated the FTE allocations annually.  In addition, the Commission </w:t>
      </w:r>
      <w:r w:rsidRPr="00940E2F">
        <w:rPr>
          <w:szCs w:val="22"/>
        </w:rPr>
        <w:t>reallocated some FTEs fr</w:t>
      </w:r>
      <w:r>
        <w:rPr>
          <w:szCs w:val="22"/>
        </w:rPr>
        <w:t xml:space="preserve">om the International Bureau as </w:t>
      </w:r>
      <w:r w:rsidRPr="00940E2F">
        <w:rPr>
          <w:szCs w:val="22"/>
        </w:rPr>
        <w:t>indirect</w:t>
      </w:r>
      <w:r>
        <w:rPr>
          <w:szCs w:val="22"/>
        </w:rPr>
        <w:t xml:space="preserve">; </w:t>
      </w:r>
      <w:r>
        <w:t>combined the UHF and VHF television stations into one regulatory fee category; and added Internet Protocol Television (IPTV) to the cable television regulatory fee category.</w:t>
      </w:r>
      <w:r w:rsidRPr="00A449CF">
        <w:t xml:space="preserve">  </w:t>
      </w:r>
      <w:r w:rsidRPr="00DD64CF">
        <w:rPr>
          <w:i/>
        </w:rPr>
        <w:t>FY 201</w:t>
      </w:r>
      <w:r>
        <w:rPr>
          <w:i/>
        </w:rPr>
        <w:t>3</w:t>
      </w:r>
      <w:r w:rsidRPr="00DD64CF">
        <w:rPr>
          <w:i/>
        </w:rPr>
        <w:t xml:space="preserve"> Report and Order</w:t>
      </w:r>
      <w:r>
        <w:t>, 28 FCC Rcd at 12355-63, paras. 13-33.</w:t>
      </w:r>
    </w:p>
  </w:footnote>
  <w:footnote w:id="19">
    <w:p w:rsidR="00053B68">
      <w:pPr>
        <w:pStyle w:val="FootnoteText"/>
      </w:pPr>
      <w:r>
        <w:rPr>
          <w:rStyle w:val="FootnoteReference"/>
        </w:rPr>
        <w:footnoteRef/>
      </w:r>
      <w:r>
        <w:t xml:space="preserve"> </w:t>
      </w:r>
      <w:r w:rsidRPr="00A1103B">
        <w:rPr>
          <w:i/>
        </w:rPr>
        <w:t>Assessment and Collection of Reg</w:t>
      </w:r>
      <w:r>
        <w:rPr>
          <w:i/>
        </w:rPr>
        <w:t>ulatory Fees for Fiscal Year 2018</w:t>
      </w:r>
      <w:r w:rsidRPr="00A1103B">
        <w:t>, Report and Order</w:t>
      </w:r>
      <w:r>
        <w:t xml:space="preserve"> and Notice of Proposed Rulemaking</w:t>
      </w:r>
      <w:r w:rsidRPr="00A1103B">
        <w:t>,</w:t>
      </w:r>
      <w:r>
        <w:t xml:space="preserve"> FCC 18-65</w:t>
      </w:r>
      <w:r w:rsidRPr="00A1103B">
        <w:t xml:space="preserve"> (20</w:t>
      </w:r>
      <w:r>
        <w:t>18</w:t>
      </w:r>
      <w:r w:rsidRPr="00A1103B">
        <w:t>) (</w:t>
      </w:r>
      <w:r w:rsidRPr="00A1103B">
        <w:rPr>
          <w:i/>
        </w:rPr>
        <w:t>FY 20</w:t>
      </w:r>
      <w:r>
        <w:rPr>
          <w:i/>
        </w:rPr>
        <w:t>18 NPRM</w:t>
      </w:r>
      <w:r>
        <w:t>).</w:t>
      </w:r>
    </w:p>
  </w:footnote>
  <w:footnote w:id="20">
    <w:p w:rsidR="00053B68">
      <w:pPr>
        <w:pStyle w:val="FootnoteText"/>
      </w:pPr>
      <w:r>
        <w:rPr>
          <w:rStyle w:val="FootnoteReference"/>
        </w:rPr>
        <w:footnoteRef/>
      </w:r>
      <w:r>
        <w:t xml:space="preserve"> </w:t>
      </w:r>
      <w:r w:rsidRPr="00407A90">
        <w:rPr>
          <w:i/>
        </w:rPr>
        <w:t>Id.</w:t>
      </w:r>
      <w:r>
        <w:t xml:space="preserve"> paras. 17-20.</w:t>
      </w:r>
    </w:p>
  </w:footnote>
  <w:footnote w:id="21">
    <w:p w:rsidR="00053B68">
      <w:pPr>
        <w:pStyle w:val="FootnoteText"/>
      </w:pPr>
      <w:r>
        <w:rPr>
          <w:rStyle w:val="FootnoteReference"/>
        </w:rPr>
        <w:footnoteRef/>
      </w:r>
      <w:r>
        <w:t xml:space="preserve"> </w:t>
      </w:r>
      <w:r w:rsidRPr="00407A90">
        <w:rPr>
          <w:i/>
        </w:rPr>
        <w:t>Id.</w:t>
      </w:r>
      <w:r>
        <w:t xml:space="preserve"> paras. 22-26.</w:t>
      </w:r>
    </w:p>
  </w:footnote>
  <w:footnote w:id="22">
    <w:p w:rsidR="00053B68">
      <w:pPr>
        <w:pStyle w:val="FootnoteText"/>
      </w:pPr>
      <w:r>
        <w:rPr>
          <w:rStyle w:val="FootnoteReference"/>
        </w:rPr>
        <w:footnoteRef/>
      </w:r>
      <w:r>
        <w:t xml:space="preserve"> </w:t>
      </w:r>
      <w:r w:rsidRPr="00D20A19">
        <w:rPr>
          <w:i/>
        </w:rPr>
        <w:t>Id.</w:t>
      </w:r>
      <w:r>
        <w:t xml:space="preserve"> paras. 27-31.</w:t>
      </w:r>
    </w:p>
  </w:footnote>
  <w:footnote w:id="23">
    <w:p w:rsidR="00053B68">
      <w:pPr>
        <w:pStyle w:val="FootnoteText"/>
      </w:pPr>
      <w:r>
        <w:rPr>
          <w:rStyle w:val="FootnoteReference"/>
        </w:rPr>
        <w:footnoteRef/>
      </w:r>
      <w:r>
        <w:t xml:space="preserve"> </w:t>
      </w:r>
      <w:r w:rsidRPr="00D20A19">
        <w:rPr>
          <w:i/>
        </w:rPr>
        <w:t>Id.</w:t>
      </w:r>
      <w:r>
        <w:t xml:space="preserve"> paras. 32-33.  We defer consideration of a new regulatory fee category, and the appropriate regulatory fee, for small satellites until we adopt a definition of “small satellites” in the pending </w:t>
      </w:r>
      <w:r w:rsidRPr="00A27BE8">
        <w:rPr>
          <w:i/>
        </w:rPr>
        <w:t>Small Satellite NPRM</w:t>
      </w:r>
      <w:r>
        <w:t xml:space="preserve"> proceeding.  </w:t>
      </w:r>
      <w:r w:rsidRPr="00A27BE8">
        <w:rPr>
          <w:i/>
        </w:rPr>
        <w:t>See</w:t>
      </w:r>
      <w:r>
        <w:t xml:space="preserve"> </w:t>
      </w:r>
      <w:r w:rsidRPr="00A27BE8">
        <w:rPr>
          <w:i/>
        </w:rPr>
        <w:t>Streamlining Licensing Procedures for Small Satellites</w:t>
      </w:r>
      <w:r>
        <w:t>, IB Docket No. 18-86, Notice of Proposed Rulemaking, FCC 18-44 (2018) (</w:t>
      </w:r>
      <w:r w:rsidRPr="00A27BE8">
        <w:rPr>
          <w:i/>
        </w:rPr>
        <w:t>Small Satellite NPRM</w:t>
      </w:r>
      <w:r>
        <w:t>).</w:t>
      </w:r>
    </w:p>
  </w:footnote>
  <w:footnote w:id="24">
    <w:p w:rsidR="00053B68">
      <w:pPr>
        <w:pStyle w:val="FootnoteText"/>
      </w:pPr>
      <w:r>
        <w:rPr>
          <w:rStyle w:val="FootnoteReference"/>
        </w:rPr>
        <w:footnoteRef/>
      </w:r>
      <w:r>
        <w:t xml:space="preserve"> Commenters to the </w:t>
      </w:r>
      <w:r w:rsidRPr="00566681">
        <w:rPr>
          <w:i/>
        </w:rPr>
        <w:t>FY 2018 NPRM</w:t>
      </w:r>
      <w:r>
        <w:t xml:space="preserve"> are listed in Appendix A.</w:t>
      </w:r>
    </w:p>
  </w:footnote>
  <w:footnote w:id="25">
    <w:p w:rsidR="00053B68" w:rsidP="005528ED">
      <w:pPr>
        <w:pStyle w:val="FootnoteText"/>
      </w:pPr>
      <w:r>
        <w:rPr>
          <w:rStyle w:val="FootnoteReference"/>
        </w:rPr>
        <w:footnoteRef/>
      </w:r>
      <w:r>
        <w:t xml:space="preserve"> </w:t>
      </w:r>
      <w:r w:rsidRPr="00D934B6">
        <w:rPr>
          <w:i/>
        </w:rPr>
        <w:t>See</w:t>
      </w:r>
      <w:r>
        <w:t xml:space="preserve"> NCTA Comments at 6-7; ACA Comments at 4 &amp; n.13.</w:t>
      </w:r>
    </w:p>
  </w:footnote>
  <w:footnote w:id="26">
    <w:p w:rsidR="00053B68" w:rsidP="00525A16">
      <w:pPr>
        <w:pStyle w:val="FootnoteText"/>
      </w:pPr>
      <w:r>
        <w:rPr>
          <w:rStyle w:val="FootnoteReference"/>
        </w:rPr>
        <w:footnoteRef/>
      </w:r>
      <w:r>
        <w:t xml:space="preserve"> </w:t>
      </w:r>
      <w:r w:rsidRPr="00E65F65">
        <w:rPr>
          <w:i/>
        </w:rPr>
        <w:t xml:space="preserve">Assessment and Collection of Regulatory Fees for Fiscal Year </w:t>
      </w:r>
      <w:r w:rsidRPr="00E65F65">
        <w:rPr>
          <w:i/>
          <w:szCs w:val="22"/>
        </w:rPr>
        <w:t>201</w:t>
      </w:r>
      <w:r>
        <w:rPr>
          <w:i/>
          <w:szCs w:val="22"/>
        </w:rPr>
        <w:t>5</w:t>
      </w:r>
      <w:r w:rsidRPr="00E65F65">
        <w:rPr>
          <w:szCs w:val="22"/>
        </w:rPr>
        <w:t xml:space="preserve">, </w:t>
      </w:r>
      <w:r w:rsidRPr="00901A0F">
        <w:rPr>
          <w:szCs w:val="22"/>
        </w:rPr>
        <w:t>Report and Order</w:t>
      </w:r>
      <w:r w:rsidRPr="00901A0F">
        <w:t>,</w:t>
      </w:r>
      <w:r w:rsidRPr="00565E15">
        <w:t xml:space="preserve"> 30 FCC Rcd </w:t>
      </w:r>
      <w:r>
        <w:t>10268, 10277, para. 20 (2015) (</w:t>
      </w:r>
      <w:r w:rsidRPr="00901A0F">
        <w:rPr>
          <w:i/>
        </w:rPr>
        <w:t>FY 2015 Report and Order</w:t>
      </w:r>
      <w:r>
        <w:t>).</w:t>
      </w:r>
    </w:p>
  </w:footnote>
  <w:footnote w:id="27">
    <w:p w:rsidR="00053B68" w:rsidRPr="00565E15" w:rsidP="00525A16">
      <w:pPr>
        <w:pStyle w:val="FootnoteText"/>
      </w:pPr>
      <w:r w:rsidRPr="00565E15">
        <w:rPr>
          <w:rStyle w:val="FootnoteReference"/>
        </w:rPr>
        <w:footnoteRef/>
      </w:r>
      <w:r w:rsidRPr="00565E15">
        <w:t xml:space="preserve"> </w:t>
      </w:r>
      <w:r w:rsidRPr="00565E15">
        <w:rPr>
          <w:i/>
        </w:rPr>
        <w:t>FY 2015 Report and Order</w:t>
      </w:r>
      <w:r w:rsidRPr="00565E15">
        <w:t>, 30 FCC Rcd at 10277, para. 20.</w:t>
      </w:r>
    </w:p>
  </w:footnote>
  <w:footnote w:id="28">
    <w:p w:rsidR="00053B68">
      <w:pPr>
        <w:pStyle w:val="FootnoteText"/>
      </w:pPr>
      <w:r>
        <w:rPr>
          <w:rStyle w:val="FootnoteReference"/>
        </w:rPr>
        <w:footnoteRef/>
      </w:r>
      <w:r>
        <w:t xml:space="preserve"> </w:t>
      </w:r>
      <w:r w:rsidRPr="00E65F65">
        <w:rPr>
          <w:i/>
        </w:rPr>
        <w:t xml:space="preserve">Assessment and Collection of Regulatory Fees for Fiscal Year </w:t>
      </w:r>
      <w:r w:rsidRPr="00E65F65">
        <w:rPr>
          <w:i/>
          <w:szCs w:val="22"/>
        </w:rPr>
        <w:t>2017</w:t>
      </w:r>
      <w:r w:rsidRPr="00E65F65">
        <w:rPr>
          <w:szCs w:val="22"/>
        </w:rPr>
        <w:t xml:space="preserve">, </w:t>
      </w:r>
      <w:r w:rsidRPr="0069017D">
        <w:rPr>
          <w:i/>
          <w:szCs w:val="22"/>
        </w:rPr>
        <w:t>Report and Order</w:t>
      </w:r>
      <w:r>
        <w:rPr>
          <w:szCs w:val="22"/>
        </w:rPr>
        <w:t>, 32 FCC Rcd 7057, 7067, para. 20 (2017)</w:t>
      </w:r>
      <w:r w:rsidRPr="006D51AB">
        <w:rPr>
          <w:i/>
          <w:szCs w:val="22"/>
        </w:rPr>
        <w:t xml:space="preserve"> </w:t>
      </w:r>
      <w:r w:rsidRPr="006D51AB">
        <w:rPr>
          <w:szCs w:val="22"/>
        </w:rPr>
        <w:t>(</w:t>
      </w:r>
      <w:r w:rsidRPr="00A449CF">
        <w:rPr>
          <w:i/>
        </w:rPr>
        <w:t>FY 2017 Report and Order</w:t>
      </w:r>
      <w:r>
        <w:rPr>
          <w:szCs w:val="22"/>
        </w:rPr>
        <w:t xml:space="preserve">); </w:t>
      </w:r>
      <w:r w:rsidRPr="00E65F65">
        <w:rPr>
          <w:i/>
        </w:rPr>
        <w:t xml:space="preserve">Assessment and Collection of Regulatory Fees for Fiscal Year </w:t>
      </w:r>
      <w:r w:rsidRPr="00E65F65">
        <w:rPr>
          <w:i/>
          <w:szCs w:val="22"/>
        </w:rPr>
        <w:t>201</w:t>
      </w:r>
      <w:r>
        <w:rPr>
          <w:i/>
          <w:szCs w:val="22"/>
        </w:rPr>
        <w:t>6</w:t>
      </w:r>
      <w:r w:rsidRPr="00E65F65">
        <w:rPr>
          <w:szCs w:val="22"/>
        </w:rPr>
        <w:t xml:space="preserve">, </w:t>
      </w:r>
      <w:r w:rsidRPr="0069017D">
        <w:rPr>
          <w:i/>
          <w:szCs w:val="22"/>
        </w:rPr>
        <w:t>Report and Order</w:t>
      </w:r>
      <w:r>
        <w:rPr>
          <w:szCs w:val="22"/>
        </w:rPr>
        <w:t>, 31 FCC Rcd 10339, 10350, para. 30 (2016) (</w:t>
      </w:r>
      <w:r w:rsidRPr="00A449CF">
        <w:rPr>
          <w:i/>
        </w:rPr>
        <w:t>FY 2016 Report and Order</w:t>
      </w:r>
      <w:r>
        <w:rPr>
          <w:szCs w:val="22"/>
        </w:rPr>
        <w:t xml:space="preserve">).  </w:t>
      </w:r>
    </w:p>
  </w:footnote>
  <w:footnote w:id="29">
    <w:p w:rsidR="00053B68" w:rsidRPr="00040C8F">
      <w:pPr>
        <w:pStyle w:val="FootnoteText"/>
      </w:pPr>
      <w:r>
        <w:rPr>
          <w:rStyle w:val="FootnoteReference"/>
        </w:rPr>
        <w:footnoteRef/>
      </w:r>
      <w:r>
        <w:t xml:space="preserve"> </w:t>
      </w:r>
      <w:r w:rsidRPr="00566681">
        <w:rPr>
          <w:i/>
        </w:rPr>
        <w:t>FY 2018 NPRM</w:t>
      </w:r>
      <w:r>
        <w:rPr>
          <w:i/>
        </w:rPr>
        <w:t xml:space="preserve"> </w:t>
      </w:r>
      <w:r>
        <w:t>at</w:t>
      </w:r>
      <w:r>
        <w:rPr>
          <w:i/>
        </w:rPr>
        <w:t xml:space="preserve"> </w:t>
      </w:r>
      <w:r>
        <w:t>para. 19.</w:t>
      </w:r>
    </w:p>
  </w:footnote>
  <w:footnote w:id="30">
    <w:p w:rsidR="00053B68">
      <w:pPr>
        <w:pStyle w:val="FootnoteText"/>
      </w:pPr>
      <w:r>
        <w:rPr>
          <w:rStyle w:val="FootnoteReference"/>
        </w:rPr>
        <w:footnoteRef/>
      </w:r>
      <w:r>
        <w:t xml:space="preserve"> ACA Comments at 1-3; NCTA Comments at 4.</w:t>
      </w:r>
    </w:p>
  </w:footnote>
  <w:footnote w:id="31">
    <w:p w:rsidR="00053B68">
      <w:pPr>
        <w:pStyle w:val="FootnoteText"/>
      </w:pPr>
      <w:r>
        <w:rPr>
          <w:rStyle w:val="FootnoteReference"/>
        </w:rPr>
        <w:footnoteRef/>
      </w:r>
      <w:r>
        <w:t xml:space="preserve"> 47 U.S.C. § 159(b)(1)(A).</w:t>
      </w:r>
    </w:p>
  </w:footnote>
  <w:footnote w:id="32">
    <w:p w:rsidR="00053B68" w:rsidP="00484CA1">
      <w:pPr>
        <w:pStyle w:val="FootnoteText"/>
      </w:pPr>
      <w:r>
        <w:rPr>
          <w:rStyle w:val="FootnoteReference"/>
        </w:rPr>
        <w:footnoteRef/>
      </w:r>
      <w:r>
        <w:t xml:space="preserve"> For similar reasons, we reject NCTA’s request to increase the DBS regulatory fee to at least 60 cents per subscriber per year (and reduce the proposed cable television/IPTV regulatory fee to 72 cents per subscriber per year) </w:t>
      </w:r>
      <w:r>
        <w:t>in order to</w:t>
      </w:r>
      <w:r>
        <w:t xml:space="preserve"> accommodate cable television providers’ chosen billing systems.  </w:t>
      </w:r>
      <w:r w:rsidRPr="00D77BF1">
        <w:rPr>
          <w:i/>
        </w:rPr>
        <w:t xml:space="preserve">See </w:t>
      </w:r>
      <w:r>
        <w:t>NCTA Comments at 8 &amp; n.23.</w:t>
      </w:r>
    </w:p>
  </w:footnote>
  <w:footnote w:id="33">
    <w:p w:rsidR="00053B68" w:rsidP="00977989">
      <w:pPr>
        <w:pStyle w:val="FootnoteText"/>
      </w:pPr>
      <w:r>
        <w:rPr>
          <w:rStyle w:val="FootnoteReference"/>
        </w:rPr>
        <w:footnoteRef/>
      </w:r>
      <w:r>
        <w:t xml:space="preserve"> DISH and AT&amp;T Comments at 9.</w:t>
      </w:r>
      <w:r w:rsidRPr="002E0816">
        <w:t xml:space="preserve"> </w:t>
      </w:r>
      <w:r>
        <w:t xml:space="preserve"> </w:t>
      </w:r>
    </w:p>
  </w:footnote>
  <w:footnote w:id="34">
    <w:p w:rsidR="00053B68" w:rsidP="00977989">
      <w:pPr>
        <w:pStyle w:val="FootnoteText"/>
      </w:pPr>
      <w:r>
        <w:rPr>
          <w:rStyle w:val="FootnoteReference"/>
        </w:rPr>
        <w:footnoteRef/>
      </w:r>
      <w:r>
        <w:t xml:space="preserve"> </w:t>
      </w:r>
      <w:r w:rsidRPr="00782703">
        <w:rPr>
          <w:i/>
        </w:rPr>
        <w:t>See also FY 2017 Report and Order</w:t>
      </w:r>
      <w:r>
        <w:t xml:space="preserve">, 32 FCC Rcd at 7067, para. 21 (rejecting the claim that a regulatory fee </w:t>
      </w:r>
      <w:r>
        <w:t>increase</w:t>
      </w:r>
      <w:r>
        <w:t xml:space="preserve"> of several cents per subscriber, per month would harm customers given that “such an increase is a </w:t>
      </w:r>
      <w:r>
        <w:t>neglible</w:t>
      </w:r>
      <w:r>
        <w:t xml:space="preserve"> faction of a monthly bill”).</w:t>
      </w:r>
    </w:p>
  </w:footnote>
  <w:footnote w:id="35">
    <w:p w:rsidR="00053B68" w:rsidP="00977989">
      <w:pPr>
        <w:pStyle w:val="FootnoteText"/>
      </w:pPr>
      <w:r>
        <w:rPr>
          <w:rStyle w:val="FootnoteReference"/>
        </w:rPr>
        <w:footnoteRef/>
      </w:r>
      <w:r>
        <w:t xml:space="preserve"> AT&amp;T and DISH Comments at 3.</w:t>
      </w:r>
    </w:p>
  </w:footnote>
  <w:footnote w:id="36">
    <w:p w:rsidR="00053B68" w:rsidP="00977989">
      <w:pPr>
        <w:pStyle w:val="FootnoteText"/>
      </w:pPr>
      <w:r>
        <w:rPr>
          <w:rStyle w:val="FootnoteReference"/>
        </w:rPr>
        <w:footnoteRef/>
      </w:r>
      <w:r>
        <w:t xml:space="preserve"> </w:t>
      </w:r>
      <w:r w:rsidRPr="006D312C">
        <w:rPr>
          <w:i/>
        </w:rPr>
        <w:t>FY 2017 Report and Order</w:t>
      </w:r>
      <w:r>
        <w:t>, 32 FCC Rcd at 7067-</w:t>
      </w:r>
      <w:r>
        <w:t>68,  paras</w:t>
      </w:r>
      <w:r>
        <w:t xml:space="preserve">. 22-23; </w:t>
      </w:r>
      <w:r w:rsidRPr="003610E3">
        <w:rPr>
          <w:i/>
        </w:rPr>
        <w:t xml:space="preserve">see also FY 2015 </w:t>
      </w:r>
      <w:r>
        <w:rPr>
          <w:i/>
        </w:rPr>
        <w:t xml:space="preserve">NPRM and </w:t>
      </w:r>
      <w:r w:rsidRPr="003610E3">
        <w:rPr>
          <w:i/>
        </w:rPr>
        <w:t>Report and Order</w:t>
      </w:r>
      <w:r>
        <w:t>, 30 FCC Rcd 5354, 5369, para. 33 (2015) (</w:t>
      </w:r>
      <w:r w:rsidRPr="001C6590">
        <w:rPr>
          <w:i/>
        </w:rPr>
        <w:t>FY 2015 NPRM and Report and Order</w:t>
      </w:r>
      <w:r>
        <w:t>) (“We also reject the argument raised by DIRECTV and DISH that section 9 of the Act requires us to ‘show that DBS and cable occupy a comparable number of FTEs.’”).</w:t>
      </w:r>
    </w:p>
  </w:footnote>
  <w:footnote w:id="37">
    <w:p w:rsidR="00053B68">
      <w:pPr>
        <w:pStyle w:val="FootnoteText"/>
      </w:pPr>
      <w:r>
        <w:rPr>
          <w:rStyle w:val="FootnoteReference"/>
        </w:rPr>
        <w:footnoteRef/>
      </w:r>
      <w:r>
        <w:t xml:space="preserve"> </w:t>
      </w:r>
      <w:r w:rsidRPr="00041EB3">
        <w:rPr>
          <w:i/>
        </w:rPr>
        <w:t>See FY 2018 NPRM</w:t>
      </w:r>
      <w:r>
        <w:t xml:space="preserve">, paras. 22-26.  SIA raises </w:t>
      </w:r>
      <w:r>
        <w:t>a number of</w:t>
      </w:r>
      <w:r>
        <w:t xml:space="preserve"> arguments in opposition to a tiered methodology for assessing terrestrial and satellite IBC regulatory fees.  </w:t>
      </w:r>
      <w:r w:rsidRPr="00676744">
        <w:rPr>
          <w:i/>
        </w:rPr>
        <w:t xml:space="preserve">See </w:t>
      </w:r>
      <w:r>
        <w:t xml:space="preserve">SIA Comments at 1-2 (“SIA continues to oppose use of a tier-based system to calculate fees </w:t>
      </w:r>
      <w:r>
        <w:t>. . . .</w:t>
      </w:r>
      <w:r>
        <w:t xml:space="preserve">  Instead, the Commission should reconsider exempting satellite IBCs from IBC [regulatory] fees or retain the current assessment method.); </w:t>
      </w:r>
      <w:r w:rsidRPr="002C08F7">
        <w:rPr>
          <w:i/>
        </w:rPr>
        <w:t>id.</w:t>
      </w:r>
      <w:r>
        <w:t xml:space="preserve"> at 2-5.  Because we do not adopt a tiered methodology </w:t>
      </w:r>
      <w:r>
        <w:t>at this time</w:t>
      </w:r>
      <w:r>
        <w:t>, we do not address SIA’s arguments here.</w:t>
      </w:r>
    </w:p>
  </w:footnote>
  <w:footnote w:id="38">
    <w:p w:rsidR="00053B68">
      <w:pPr>
        <w:pStyle w:val="FootnoteText"/>
      </w:pPr>
      <w:r>
        <w:rPr>
          <w:rStyle w:val="FootnoteReference"/>
        </w:rPr>
        <w:footnoteRef/>
      </w:r>
      <w:r>
        <w:t xml:space="preserve"> </w:t>
      </w:r>
      <w:r w:rsidRPr="00041EB3">
        <w:rPr>
          <w:i/>
        </w:rPr>
        <w:t>FY 2018 NPRM.</w:t>
      </w:r>
      <w:r>
        <w:t xml:space="preserve"> para. 26.</w:t>
      </w:r>
    </w:p>
  </w:footnote>
  <w:footnote w:id="39">
    <w:p w:rsidR="00053B68" w:rsidP="006F4EAB">
      <w:pPr>
        <w:pStyle w:val="FootnoteText"/>
      </w:pPr>
      <w:r>
        <w:rPr>
          <w:rStyle w:val="FootnoteReference"/>
        </w:rPr>
        <w:footnoteRef/>
      </w:r>
      <w:r>
        <w:t xml:space="preserve"> CenturyLink Comments at 1-2.</w:t>
      </w:r>
    </w:p>
  </w:footnote>
  <w:footnote w:id="40">
    <w:p w:rsidR="00053B68" w:rsidP="00DD6522">
      <w:pPr>
        <w:pStyle w:val="FootnoteText"/>
      </w:pPr>
      <w:r>
        <w:rPr>
          <w:rStyle w:val="FootnoteReference"/>
        </w:rPr>
        <w:footnoteRef/>
      </w:r>
      <w:r>
        <w:t xml:space="preserve"> 47 U.S.C. § 159(g).</w:t>
      </w:r>
    </w:p>
  </w:footnote>
  <w:footnote w:id="41">
    <w:p w:rsidR="00053B68" w:rsidP="00DD6522">
      <w:pPr>
        <w:pStyle w:val="FootnoteText"/>
      </w:pPr>
      <w:r>
        <w:rPr>
          <w:rStyle w:val="FootnoteReference"/>
        </w:rPr>
        <w:footnoteRef/>
      </w:r>
      <w:r>
        <w:t xml:space="preserve"> </w:t>
      </w:r>
      <w:r w:rsidRPr="00861D31">
        <w:rPr>
          <w:i/>
        </w:rPr>
        <w:t>Assessment and Collection of Regulatory Fees for Fiscal Year 1995</w:t>
      </w:r>
      <w:r>
        <w:t>, Report and Order, 10 FCC Rcd 13512, 13534, para. 60 (1995).</w:t>
      </w:r>
    </w:p>
  </w:footnote>
  <w:footnote w:id="42">
    <w:p w:rsidR="00053B68">
      <w:pPr>
        <w:pStyle w:val="FootnoteText"/>
      </w:pPr>
      <w:r>
        <w:rPr>
          <w:rStyle w:val="FootnoteReference"/>
        </w:rPr>
        <w:footnoteRef/>
      </w:r>
      <w:r>
        <w:t xml:space="preserve"> </w:t>
      </w:r>
      <w:r w:rsidRPr="00DD6522">
        <w:rPr>
          <w:i/>
        </w:rPr>
        <w:t>FY 2018 NPRM</w:t>
      </w:r>
      <w:r>
        <w:t xml:space="preserve"> at para. 28.</w:t>
      </w:r>
    </w:p>
  </w:footnote>
  <w:footnote w:id="43">
    <w:p w:rsidR="00053B68" w:rsidP="00A95963">
      <w:pPr>
        <w:pStyle w:val="FootnoteText"/>
      </w:pPr>
      <w:r>
        <w:rPr>
          <w:rStyle w:val="FootnoteReference"/>
        </w:rPr>
        <w:footnoteRef/>
      </w:r>
      <w:r>
        <w:t xml:space="preserve"> </w:t>
      </w:r>
      <w:r w:rsidRPr="00DD6522">
        <w:rPr>
          <w:i/>
        </w:rPr>
        <w:t>FY 2018 NPRM</w:t>
      </w:r>
      <w:r>
        <w:t xml:space="preserve"> at para. 28.</w:t>
      </w:r>
    </w:p>
  </w:footnote>
  <w:footnote w:id="44">
    <w:p w:rsidR="00053B68">
      <w:pPr>
        <w:pStyle w:val="FootnoteText"/>
      </w:pPr>
      <w:r>
        <w:rPr>
          <w:rStyle w:val="FootnoteReference"/>
        </w:rPr>
        <w:footnoteRef/>
      </w:r>
      <w:r>
        <w:t xml:space="preserve"> </w:t>
      </w:r>
      <w:r w:rsidRPr="008C229F">
        <w:rPr>
          <w:i/>
        </w:rPr>
        <w:t>FY 2018 NPRM</w:t>
      </w:r>
      <w:r>
        <w:t xml:space="preserve"> at para. 28.</w:t>
      </w:r>
    </w:p>
  </w:footnote>
  <w:footnote w:id="45">
    <w:p w:rsidR="00053B68" w:rsidP="009177C8">
      <w:pPr>
        <w:pStyle w:val="FootnoteText"/>
      </w:pPr>
      <w:r>
        <w:rPr>
          <w:rStyle w:val="FootnoteReference"/>
        </w:rPr>
        <w:footnoteRef/>
      </w:r>
      <w:r>
        <w:t xml:space="preserve"> </w:t>
      </w:r>
      <w:r w:rsidRPr="002447BE">
        <w:rPr>
          <w:i/>
        </w:rPr>
        <w:t>See, e.g.</w:t>
      </w:r>
      <w:r>
        <w:t xml:space="preserve">, </w:t>
      </w:r>
      <w:r w:rsidRPr="002447BE">
        <w:rPr>
          <w:i/>
        </w:rPr>
        <w:t xml:space="preserve">FY 2017 </w:t>
      </w:r>
      <w:r w:rsidRPr="002447BE">
        <w:rPr>
          <w:i/>
        </w:rPr>
        <w:t>NPRM</w:t>
      </w:r>
      <w:r>
        <w:t xml:space="preserve"> ,</w:t>
      </w:r>
      <w:r>
        <w:t xml:space="preserve"> 32 FCC Rcd at 4534-36, paras. 20-22 (discussing concerns about the regulatory fees assessed on broadcast satellite television stations serving small markets at the fringe of larger DMAs).</w:t>
      </w:r>
    </w:p>
  </w:footnote>
  <w:footnote w:id="46">
    <w:p w:rsidR="00053B68" w:rsidP="00DD6522">
      <w:pPr>
        <w:pStyle w:val="FootnoteText"/>
      </w:pPr>
      <w:r>
        <w:rPr>
          <w:rStyle w:val="FootnoteReference"/>
        </w:rPr>
        <w:footnoteRef/>
      </w:r>
      <w:r>
        <w:t xml:space="preserve"> </w:t>
      </w:r>
      <w:r w:rsidRPr="00584333">
        <w:t>47 CFR § 73.622(e)</w:t>
      </w:r>
      <w:r>
        <w:rPr>
          <w:color w:val="1F497D"/>
        </w:rPr>
        <w:t>.</w:t>
      </w:r>
    </w:p>
  </w:footnote>
  <w:footnote w:id="47">
    <w:p w:rsidR="00053B68" w:rsidRPr="00565E15" w:rsidP="00DD6522">
      <w:pPr>
        <w:pStyle w:val="FootnoteText"/>
      </w:pPr>
      <w:r w:rsidRPr="00565E15">
        <w:rPr>
          <w:rStyle w:val="FootnoteReference"/>
        </w:rPr>
        <w:footnoteRef/>
      </w:r>
      <w:r w:rsidRPr="00565E15">
        <w:t xml:space="preserve"> 47 U.S.C. § 159(b)(3).</w:t>
      </w:r>
    </w:p>
  </w:footnote>
  <w:footnote w:id="48">
    <w:p w:rsidR="00053B68" w:rsidRPr="00565E15" w:rsidP="00DD6522">
      <w:pPr>
        <w:pStyle w:val="FootnoteText"/>
      </w:pPr>
      <w:r w:rsidRPr="00565E15">
        <w:rPr>
          <w:rStyle w:val="FootnoteReference"/>
        </w:rPr>
        <w:footnoteRef/>
      </w:r>
      <w:r w:rsidRPr="00565E15">
        <w:t xml:space="preserve"> 47 U.S.C. § 159(b)(4)(B).</w:t>
      </w:r>
    </w:p>
  </w:footnote>
  <w:footnote w:id="49">
    <w:p w:rsidR="00053B68" w:rsidP="00F13C37">
      <w:pPr>
        <w:pStyle w:val="FootnoteText"/>
      </w:pPr>
      <w:r>
        <w:rPr>
          <w:rStyle w:val="FootnoteReference"/>
        </w:rPr>
        <w:footnoteRef/>
      </w:r>
      <w:r>
        <w:t xml:space="preserve"> </w:t>
      </w:r>
      <w:r>
        <w:rPr>
          <w:i/>
          <w:iCs/>
        </w:rPr>
        <w:t>See e.g</w:t>
      </w:r>
      <w:r>
        <w:t xml:space="preserve">., </w:t>
      </w:r>
      <w:r>
        <w:rPr>
          <w:i/>
          <w:iCs/>
          <w:snapToGrid w:val="0"/>
        </w:rPr>
        <w:t>FY 2018 NPRM</w:t>
      </w:r>
      <w:r>
        <w:rPr>
          <w:snapToGrid w:val="0"/>
        </w:rPr>
        <w:t xml:space="preserve"> at Appendix H.</w:t>
      </w:r>
    </w:p>
  </w:footnote>
  <w:footnote w:id="50">
    <w:p w:rsidR="00053B68" w:rsidP="008C229F">
      <w:pPr>
        <w:pStyle w:val="FootnoteText"/>
      </w:pPr>
      <w:r>
        <w:rPr>
          <w:rStyle w:val="FootnoteReference"/>
        </w:rPr>
        <w:footnoteRef/>
      </w:r>
      <w:r>
        <w:t xml:space="preserve"> 47 CFR § </w:t>
      </w:r>
      <w:r>
        <w:rPr>
          <w:szCs w:val="22"/>
        </w:rPr>
        <w:t xml:space="preserve">1.1940(c).  This provision implements </w:t>
      </w:r>
      <w:r>
        <w:t>31 U.S.C. § 3717(e), part of the Debt Collection Improvement Act.</w:t>
      </w:r>
      <w:r w:rsidRPr="001B78F0">
        <w:t xml:space="preserve"> </w:t>
      </w:r>
    </w:p>
  </w:footnote>
  <w:footnote w:id="51">
    <w:p w:rsidR="00053B68">
      <w:pPr>
        <w:pStyle w:val="FootnoteText"/>
      </w:pPr>
      <w:r>
        <w:rPr>
          <w:rStyle w:val="FootnoteReference"/>
        </w:rPr>
        <w:footnoteRef/>
      </w:r>
      <w:r>
        <w:t xml:space="preserve"> New section 9A(c)(2) </w:t>
      </w:r>
      <w:r w:rsidRPr="001B78F0">
        <w:t xml:space="preserve">requires the Commission to charge interest </w:t>
      </w:r>
      <w:r>
        <w:t xml:space="preserve">at the rate set forth in 31 U.S.C. § 3717 </w:t>
      </w:r>
      <w:r w:rsidRPr="001B78F0">
        <w:t xml:space="preserve">on delinquent regulatory and application fee debt </w:t>
      </w:r>
      <w:r>
        <w:t>as well as</w:t>
      </w:r>
      <w:r w:rsidRPr="001B78F0">
        <w:t xml:space="preserve"> the 25 percent penalty </w:t>
      </w:r>
      <w:r>
        <w:t>prescribed in new section 9A(c)(1).  However,</w:t>
      </w:r>
      <w:r w:rsidRPr="001B78F0">
        <w:t xml:space="preserve"> </w:t>
      </w:r>
      <w:r>
        <w:t xml:space="preserve">new section 9A(c)(2) </w:t>
      </w:r>
      <w:r w:rsidRPr="001B78F0">
        <w:t>provides that section 3717 shall not otherwise apply to</w:t>
      </w:r>
      <w:r>
        <w:t xml:space="preserve"> such a fee or penalty.  </w:t>
      </w:r>
      <w:r w:rsidRPr="001B78F0">
        <w:t>Thus, while new section 9A(c)(2) of the Communications Act leaves intact those parts of section 1.1940 of the Commission’s rules pertaining to interest charges, the Commission is no longer authorized to a</w:t>
      </w:r>
      <w:r>
        <w:t>ssess its administrative costs on these delinquent debts.</w:t>
      </w:r>
    </w:p>
  </w:footnote>
  <w:footnote w:id="52">
    <w:p w:rsidR="00053B68">
      <w:pPr>
        <w:pStyle w:val="FootnoteText"/>
      </w:pPr>
      <w:r>
        <w:rPr>
          <w:rStyle w:val="FootnoteReference"/>
        </w:rPr>
        <w:footnoteRef/>
      </w:r>
      <w:r>
        <w:t xml:space="preserve"> </w:t>
      </w:r>
      <w:r w:rsidRPr="00662135">
        <w:rPr>
          <w:i/>
        </w:rPr>
        <w:t>See infra</w:t>
      </w:r>
      <w:r>
        <w:t xml:space="preserve"> Appendix I (amending section 1.1940(c) of the Commission’s rules).</w:t>
      </w:r>
    </w:p>
  </w:footnote>
  <w:footnote w:id="53">
    <w:p w:rsidR="00053B68" w:rsidP="008C229F">
      <w:pPr>
        <w:pStyle w:val="FootnoteText"/>
      </w:pPr>
      <w:r>
        <w:rPr>
          <w:rStyle w:val="FootnoteReference"/>
        </w:rPr>
        <w:footnoteRef/>
      </w:r>
      <w:r>
        <w:t xml:space="preserve"> 5 U.S.C. </w:t>
      </w:r>
      <w:r>
        <w:rPr>
          <w:rFonts w:cstheme="minorHAnsi"/>
        </w:rPr>
        <w:t xml:space="preserve">§ </w:t>
      </w:r>
      <w:r>
        <w:t>553(b)(B).</w:t>
      </w:r>
    </w:p>
  </w:footnote>
  <w:footnote w:id="54">
    <w:p w:rsidR="00053B68" w:rsidP="00513FBB">
      <w:pPr>
        <w:pStyle w:val="FootnoteText"/>
        <w:rPr>
          <w:rFonts w:eastAsiaTheme="minorHAnsi"/>
        </w:rPr>
      </w:pPr>
      <w:r>
        <w:rPr>
          <w:rStyle w:val="FootnoteReference"/>
        </w:rPr>
        <w:footnoteRef/>
      </w:r>
      <w:r>
        <w:t xml:space="preserve"> The Commission previously has applied the “unnecessary” prong to encompass rule amendments that involve little or no exercise of agency discretion.  </w:t>
      </w:r>
      <w:r w:rsidRPr="00513FBB">
        <w:rPr>
          <w:i/>
        </w:rPr>
        <w:t>See, e.g., Amendment of Parts 0, 1, 73, and 74 of the Commission’s Rules</w:t>
      </w:r>
      <w:r>
        <w:t>, Order, 26 FCC Rcd 13538, 13544, 13539-41, 13543, 13545, paras. 4-5, 10, 15 (OMD 2011) (deleting or amending obsolete rule provisions, including those superseded by an Act of Congress).</w:t>
      </w:r>
    </w:p>
  </w:footnote>
  <w:footnote w:id="55">
    <w:p w:rsidR="00053B68" w:rsidP="00CF450E">
      <w:pPr>
        <w:pStyle w:val="FootnoteText"/>
      </w:pPr>
      <w:r>
        <w:rPr>
          <w:rStyle w:val="FootnoteReference"/>
        </w:rPr>
        <w:footnoteRef/>
      </w:r>
      <w:r>
        <w:t xml:space="preserve"> </w:t>
      </w:r>
      <w:r w:rsidRPr="00C81531">
        <w:rPr>
          <w:i/>
        </w:rPr>
        <w:t>Incentive Auction Closing and Channel Reassignment Public Notice</w:t>
      </w:r>
      <w:r>
        <w:t xml:space="preserve">, Public Notice, 32 FCC Rcd 2786 (MB, WTB 2017).  </w:t>
      </w:r>
    </w:p>
  </w:footnote>
  <w:footnote w:id="56">
    <w:p w:rsidR="00053B68" w:rsidP="00CF450E">
      <w:pPr>
        <w:pStyle w:val="FootnoteText"/>
      </w:pPr>
      <w:r>
        <w:rPr>
          <w:rStyle w:val="FootnoteReference"/>
        </w:rPr>
        <w:footnoteRef/>
      </w:r>
      <w:r>
        <w:t xml:space="preserve"> </w:t>
      </w:r>
      <w:r w:rsidRPr="004B2B92">
        <w:rPr>
          <w:i/>
        </w:rPr>
        <w:t>See</w:t>
      </w:r>
      <w:r>
        <w:t xml:space="preserve"> “Standard Fee Calculation and Payment Dates,” para. 20, </w:t>
      </w:r>
      <w:r w:rsidRPr="00C95CDF">
        <w:rPr>
          <w:i/>
        </w:rPr>
        <w:t>infra</w:t>
      </w:r>
      <w:r>
        <w:t>.</w:t>
      </w:r>
    </w:p>
  </w:footnote>
  <w:footnote w:id="57">
    <w:p w:rsidR="00053B68" w:rsidP="00CF450E">
      <w:pPr>
        <w:pStyle w:val="FootnoteText"/>
      </w:pPr>
      <w:r>
        <w:rPr>
          <w:rStyle w:val="FootnoteReference"/>
        </w:rPr>
        <w:footnoteRef/>
      </w:r>
      <w:r>
        <w:t xml:space="preserve"> Cancelled licenses from May 31, 2017 through September 30, 2017 are, according to the Commission’s records, the following call signs:  KSPR, WIFR, WAGT, WDLP-CD, WEMM-CD, KMMA-CD, WAZF-CD, WLPH-CD, WQVC-CD, WQCH-CD, WBOA-CD, WMUN-CD, WTSD-CD, WATA-CD, WHTV, WMEI, WWIS-CD.</w:t>
      </w:r>
    </w:p>
  </w:footnote>
  <w:footnote w:id="58">
    <w:p w:rsidR="00053B68" w:rsidP="00090CF5">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59">
    <w:p w:rsidR="00053B68" w:rsidRPr="00B60211" w:rsidP="009E26F8">
      <w:pPr>
        <w:pStyle w:val="FootnoteText"/>
      </w:pPr>
      <w:r w:rsidRPr="00B60211">
        <w:rPr>
          <w:rStyle w:val="FootnoteReference"/>
        </w:rPr>
        <w:footnoteRef/>
      </w:r>
      <w:r w:rsidRPr="00B60211">
        <w:t xml:space="preserve"> In accordance with U.S. Treasury Financial Manual Announcement No. A-201</w:t>
      </w:r>
      <w:r>
        <w:t>4</w:t>
      </w:r>
      <w:r w:rsidRPr="00B60211">
        <w:t>-0</w:t>
      </w:r>
      <w:r>
        <w:t>4 (July 2014)</w:t>
      </w:r>
      <w:r w:rsidRPr="00B60211">
        <w:t xml:space="preserve">, the </w:t>
      </w:r>
      <w:r>
        <w:t>amount that may be charged on a credit card for transactions with federal agencies has been reduced to $24,999.99.</w:t>
      </w:r>
    </w:p>
  </w:footnote>
  <w:footnote w:id="60">
    <w:p w:rsidR="00053B68" w:rsidRPr="00B60211" w:rsidP="009E26F8">
      <w:pPr>
        <w:pStyle w:val="FootnoteText"/>
      </w:pPr>
      <w:r w:rsidRPr="00B60211">
        <w:rPr>
          <w:rStyle w:val="FootnoteReference"/>
        </w:rPr>
        <w:footnoteRef/>
      </w:r>
      <w:r w:rsidRPr="00B60211">
        <w:t xml:space="preserve"> In accordance with U.S. Treasury Financial Manual Announcement No. A-2012-02, the maximum dollar-value limit for debit card transactions </w:t>
      </w:r>
      <w:r>
        <w:t>is eliminated.  O</w:t>
      </w:r>
      <w:r w:rsidRPr="00B60211">
        <w:t>nly Visa and MasterCard branded debit cards are accepted by Pay.gov.</w:t>
      </w:r>
    </w:p>
  </w:footnote>
  <w:footnote w:id="61">
    <w:p w:rsidR="00053B68" w:rsidRPr="00B60211" w:rsidP="001145EC">
      <w:pPr>
        <w:pStyle w:val="FootnoteText"/>
      </w:pPr>
      <w:r w:rsidRPr="00B60211">
        <w:rPr>
          <w:rStyle w:val="FootnoteReference"/>
        </w:rPr>
        <w:footnoteRef/>
      </w:r>
      <w:r w:rsidRPr="00B60211">
        <w:t xml:space="preserve"> Audio bridging services are </w:t>
      </w:r>
      <w:r>
        <w:t>toll teleconferencing services</w:t>
      </w:r>
      <w:r w:rsidRPr="00B60211">
        <w:t xml:space="preserve">. </w:t>
      </w:r>
    </w:p>
  </w:footnote>
  <w:footnote w:id="62">
    <w:p w:rsidR="00053B68" w:rsidP="001145EC">
      <w:pPr>
        <w:pStyle w:val="FootnoteText"/>
      </w:pPr>
      <w:r>
        <w:rPr>
          <w:rStyle w:val="FootnoteReference"/>
        </w:rPr>
        <w:footnoteRef/>
      </w:r>
      <w:r>
        <w:t xml:space="preserve"> 47 CFR § 52.103.</w:t>
      </w:r>
    </w:p>
  </w:footnote>
  <w:footnote w:id="63">
    <w:p w:rsidR="00053B68" w:rsidRPr="00B60211" w:rsidP="001145EC">
      <w:pPr>
        <w:pStyle w:val="FootnoteText"/>
      </w:pPr>
      <w:r w:rsidRPr="00B60211">
        <w:rPr>
          <w:rStyle w:val="FootnoteReference"/>
          <w:color w:val="000000"/>
        </w:rPr>
        <w:footnoteRef/>
      </w:r>
      <w:r w:rsidRPr="00B60211">
        <w:rPr>
          <w:color w:val="000000"/>
        </w:rPr>
        <w:t xml:space="preserve"> Cable television system operators should compute their number of basic subscribers as follows: Number of single family dwellings + number of individual households in multiple dwelling unit (apartments, condominiums, mobile home parks, </w:t>
      </w:r>
      <w:r w:rsidRPr="006F6C54">
        <w:rPr>
          <w:color w:val="000000"/>
        </w:rPr>
        <w:t>etc.</w:t>
      </w:r>
      <w:r w:rsidRPr="00B60211">
        <w:rPr>
          <w:color w:val="000000"/>
        </w:rPr>
        <w:t>) paying at the basic subscriber rate + bulk rate customers + courtesy and free service.  Note: Bulk-Rate Customers = Total annual bulk-rate charge divided by basic annual subscription rate for individual households.  Operators may base their count on “a typical day in the last full week” of December 201</w:t>
      </w:r>
      <w:r>
        <w:rPr>
          <w:color w:val="000000"/>
        </w:rPr>
        <w:t>7</w:t>
      </w:r>
      <w:r w:rsidRPr="00B60211">
        <w:rPr>
          <w:color w:val="000000"/>
        </w:rPr>
        <w:t>, rather than on a count as of December 31, 201</w:t>
      </w:r>
      <w:r>
        <w:rPr>
          <w:color w:val="000000"/>
        </w:rPr>
        <w:t>7</w:t>
      </w:r>
      <w:r w:rsidRPr="00B60211">
        <w:rPr>
          <w:color w:val="000000"/>
        </w:rPr>
        <w:t xml:space="preserve">. </w:t>
      </w:r>
    </w:p>
  </w:footnote>
  <w:footnote w:id="64">
    <w:p w:rsidR="00053B68" w:rsidP="001145EC">
      <w:pPr>
        <w:pStyle w:val="FootnoteText"/>
      </w:pPr>
      <w:r>
        <w:rPr>
          <w:rStyle w:val="FootnoteReference"/>
        </w:rPr>
        <w:footnoteRef/>
      </w:r>
      <w:r>
        <w:t xml:space="preserve"> </w:t>
      </w:r>
      <w:r w:rsidRPr="0041294C">
        <w:t xml:space="preserve">We encourage terrestrial and satellite service providers to seek guidance from the International Bureau’s </w:t>
      </w:r>
      <w:r>
        <w:t xml:space="preserve">Telecommunications and Analysis </w:t>
      </w:r>
      <w:r w:rsidRPr="0041294C">
        <w:t>Division to verify their</w:t>
      </w:r>
      <w:r>
        <w:t xml:space="preserve"> </w:t>
      </w:r>
      <w:r>
        <w:t>particular</w:t>
      </w:r>
      <w:r w:rsidRPr="0041294C">
        <w:t xml:space="preserve"> IBC</w:t>
      </w:r>
      <w:r w:rsidRPr="0041294C">
        <w:t xml:space="preserve"> reporting processes to ensure that their </w:t>
      </w:r>
      <w:r>
        <w:t xml:space="preserve">calculation </w:t>
      </w:r>
      <w:r w:rsidRPr="0041294C">
        <w:t>methods comply with our rules.</w:t>
      </w:r>
    </w:p>
  </w:footnote>
  <w:footnote w:id="65">
    <w:p w:rsidR="00053B68" w:rsidP="00426C4C">
      <w:pPr>
        <w:pStyle w:val="FootnoteText"/>
      </w:pPr>
      <w:r>
        <w:rPr>
          <w:rStyle w:val="FootnoteReference"/>
        </w:rPr>
        <w:footnoteRef/>
      </w:r>
      <w:r>
        <w:t xml:space="preserve"> </w:t>
      </w:r>
      <w:r>
        <w:rPr>
          <w:i/>
          <w:iCs/>
        </w:rPr>
        <w:t>See Assessment and Collection of Regulatory Fees for Fiscal Year 2005,</w:t>
      </w:r>
      <w:r w:rsidRPr="005354D7">
        <w:rPr>
          <w:iCs/>
        </w:rPr>
        <w:t xml:space="preserve"> Report and Order</w:t>
      </w:r>
      <w:r>
        <w:rPr>
          <w:iCs/>
        </w:rPr>
        <w:t xml:space="preserve"> and Order on Reconsideration</w:t>
      </w:r>
      <w:r w:rsidRPr="005354D7">
        <w:rPr>
          <w:iCs/>
        </w:rPr>
        <w:t>,</w:t>
      </w:r>
      <w:r>
        <w:rPr>
          <w:i/>
          <w:iCs/>
        </w:rPr>
        <w:t xml:space="preserve"> </w:t>
      </w:r>
      <w:r>
        <w:t>20 FCC Rcd 12259, 12264, paras. 38-44 (2005).</w:t>
      </w:r>
    </w:p>
  </w:footnote>
  <w:footnote w:id="66">
    <w:p w:rsidR="00053B68" w:rsidP="00426C4C">
      <w:pPr>
        <w:pStyle w:val="FootnoteText"/>
      </w:pPr>
      <w:r>
        <w:rPr>
          <w:rStyle w:val="FootnoteReference"/>
        </w:rPr>
        <w:footnoteRef/>
      </w:r>
      <w:r>
        <w:t xml:space="preserve"> In the supporting documentation, the provider will need to state a reason for the change, such as a purchase or sale of a subsidiary, the date of the transaction, and any other pertinent information that will help to justify a reason for the change.</w:t>
      </w:r>
    </w:p>
  </w:footnote>
  <w:footnote w:id="67">
    <w:p w:rsidR="00053B68" w:rsidRPr="00B60211" w:rsidP="00317007">
      <w:pPr>
        <w:pStyle w:val="FootnoteText"/>
      </w:pPr>
      <w:r w:rsidRPr="00B60211">
        <w:rPr>
          <w:rStyle w:val="FootnoteReference"/>
        </w:rPr>
        <w:footnoteRef/>
      </w:r>
      <w:r w:rsidRPr="00B60211">
        <w:t xml:space="preserve"> 47 U.S.C. § 159(c).</w:t>
      </w:r>
    </w:p>
  </w:footnote>
  <w:footnote w:id="68">
    <w:p w:rsidR="00053B68" w:rsidRPr="00B60211" w:rsidP="00317007">
      <w:pPr>
        <w:pStyle w:val="FootnoteText"/>
      </w:pPr>
      <w:r w:rsidRPr="00B60211">
        <w:rPr>
          <w:rStyle w:val="FootnoteReference"/>
        </w:rPr>
        <w:footnoteRef/>
      </w:r>
      <w:r w:rsidRPr="00B60211">
        <w:t xml:space="preserve"> </w:t>
      </w:r>
      <w:r w:rsidRPr="00B60211">
        <w:rPr>
          <w:i/>
        </w:rPr>
        <w:t>See</w:t>
      </w:r>
      <w:r w:rsidRPr="00B60211">
        <w:t xml:space="preserve"> 47 CFR § 1.1910.</w:t>
      </w:r>
    </w:p>
  </w:footnote>
  <w:footnote w:id="69">
    <w:p w:rsidR="00053B68" w:rsidRPr="00B60211" w:rsidP="00317007">
      <w:pPr>
        <w:pStyle w:val="FootnoteText"/>
      </w:pPr>
      <w:r w:rsidRPr="00B60211">
        <w:rPr>
          <w:rStyle w:val="FootnoteReference"/>
        </w:rPr>
        <w:footnoteRef/>
      </w:r>
      <w:r w:rsidRPr="00B60211">
        <w:t xml:space="preserve"> </w:t>
      </w:r>
      <w:r>
        <w:rPr>
          <w:snapToGrid w:val="0"/>
        </w:rPr>
        <w:t>Delinquent debt owed to the Commission triggers the “red light rule,</w:t>
      </w:r>
      <w:r w:rsidRPr="00177232">
        <w:rPr>
          <w:snapToGrid w:val="0"/>
        </w:rPr>
        <w:t xml:space="preserve">” </w:t>
      </w:r>
      <w:r w:rsidRPr="00177232">
        <w:rPr>
          <w:bCs/>
          <w:snapToGrid w:val="0"/>
        </w:rPr>
        <w:t>which places a hold on the processing of pending applications, fee offsets, and pending disbursement payments.</w:t>
      </w:r>
      <w:r>
        <w:rPr>
          <w:snapToGrid w:val="0"/>
        </w:rPr>
        <w:t xml:space="preserve">  47 CFR §§ 1.1910, 1.1911, 1.1912.  </w:t>
      </w:r>
      <w:r w:rsidRPr="002463C3">
        <w:rPr>
          <w:snapToGrid w:val="0"/>
        </w:rPr>
        <w:t>In 2004, the Commission adopted rules implementing the requirements of the DCIA.</w:t>
      </w:r>
      <w:r>
        <w:rPr>
          <w:snapToGrid w:val="0"/>
        </w:rPr>
        <w:t xml:space="preserve">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70">
    <w:p w:rsidR="00053B68" w:rsidRPr="00B60211" w:rsidP="00F63138">
      <w:pPr>
        <w:pStyle w:val="FootnoteText"/>
      </w:pPr>
      <w:r w:rsidRPr="00B60211">
        <w:rPr>
          <w:rStyle w:val="FootnoteReference"/>
        </w:rPr>
        <w:footnoteRef/>
      </w:r>
      <w:r w:rsidRPr="00B60211">
        <w:t xml:space="preserve"> 47 CFR § 1.1940(</w:t>
      </w:r>
      <w:r>
        <w:t>c</w:t>
      </w:r>
      <w:r w:rsidRPr="00B60211">
        <w:t>).</w:t>
      </w:r>
      <w:r>
        <w:t xml:space="preserve">  As discussed in Part IV above, the amendment to section 1.1940(c) of the Commission’s rules that we adopt to reflect amendments to the Communications Act by the RAY BAUM’S Act does not take effect until October 1, 2018.  Therefore, the Commission will assess administrative processing charges for failure to timely pay FY 2018 regulatory fees, which are due in September 2018.</w:t>
      </w:r>
    </w:p>
  </w:footnote>
  <w:footnote w:id="71">
    <w:p w:rsidR="00053B68" w:rsidRPr="00141957" w:rsidP="00895439">
      <w:pPr>
        <w:pStyle w:val="FootnoteText"/>
      </w:pPr>
      <w:r w:rsidRPr="00141957">
        <w:rPr>
          <w:rStyle w:val="FootnoteReference"/>
        </w:rPr>
        <w:footnoteRef/>
      </w:r>
      <w:r w:rsidRPr="00141957">
        <w:t xml:space="preserve"> 47 U.S.C. § 159(c)(3).</w:t>
      </w:r>
    </w:p>
  </w:footnote>
  <w:footnote w:id="72">
    <w:p w:rsidR="00053B68" w:rsidRPr="00141957" w:rsidP="00895439">
      <w:pPr>
        <w:pStyle w:val="FootnoteText"/>
      </w:pPr>
      <w:r w:rsidRPr="00141957">
        <w:rPr>
          <w:rStyle w:val="FootnoteReference"/>
        </w:rPr>
        <w:footnoteRef/>
      </w:r>
      <w:r w:rsidRPr="00141957">
        <w:t xml:space="preserve"> 47 CFR § 1.1164(f).</w:t>
      </w:r>
    </w:p>
  </w:footnote>
  <w:footnote w:id="73">
    <w:p w:rsidR="00053B68" w:rsidRPr="00141957" w:rsidP="00895439">
      <w:pPr>
        <w:pStyle w:val="FootnoteText"/>
      </w:pPr>
      <w:r w:rsidRPr="00141957">
        <w:rPr>
          <w:rStyle w:val="FootnoteReference"/>
        </w:rPr>
        <w:footnoteRef/>
      </w:r>
      <w:r w:rsidRPr="00141957">
        <w:t xml:space="preserve"> 47 CFR § 1.1164(a).</w:t>
      </w:r>
    </w:p>
  </w:footnote>
  <w:footnote w:id="74">
    <w:p w:rsidR="00053B68" w:rsidRPr="00037586" w:rsidP="00895439">
      <w:pPr>
        <w:pStyle w:val="FootnoteText"/>
      </w:pPr>
      <w:r>
        <w:rPr>
          <w:rStyle w:val="FootnoteReference"/>
        </w:rPr>
        <w:footnoteRef/>
      </w:r>
      <w:r>
        <w:t xml:space="preserve"> </w:t>
      </w:r>
      <w:r>
        <w:rPr>
          <w:i/>
        </w:rPr>
        <w:t xml:space="preserve">See, e.g., </w:t>
      </w:r>
      <w:r>
        <w:rPr>
          <w:i/>
        </w:rPr>
        <w:t>Cortaro</w:t>
      </w:r>
      <w:r>
        <w:rPr>
          <w:i/>
        </w:rPr>
        <w:t xml:space="preserve"> Broadcasting Corp.,</w:t>
      </w:r>
      <w:r>
        <w:t xml:space="preserve"> Order to Pay or Show Cause</w:t>
      </w:r>
      <w:r>
        <w:rPr>
          <w:i/>
        </w:rPr>
        <w:t xml:space="preserve">, </w:t>
      </w:r>
      <w:r>
        <w:t>32 FCC Rcd 9336 (MB 2017).</w:t>
      </w:r>
    </w:p>
  </w:footnote>
  <w:footnote w:id="75">
    <w:p w:rsidR="00053B68" w:rsidRPr="00B60211" w:rsidP="00317007">
      <w:pPr>
        <w:pStyle w:val="FootnoteText"/>
      </w:pPr>
      <w:r w:rsidRPr="00B60211">
        <w:rPr>
          <w:rStyle w:val="FootnoteReference"/>
        </w:rPr>
        <w:footnoteRef/>
      </w:r>
      <w:r w:rsidRPr="00B60211">
        <w:t xml:space="preserve"> </w:t>
      </w:r>
      <w:r w:rsidRPr="00B60211">
        <w:rPr>
          <w:i/>
        </w:rPr>
        <w:t>See</w:t>
      </w:r>
      <w:r w:rsidRPr="00B60211">
        <w:t xml:space="preserve"> 47 CFR §§ 1.1161(c), 1.1164(f)(5), and 1.1910.  </w:t>
      </w:r>
    </w:p>
  </w:footnote>
  <w:footnote w:id="76">
    <w:p w:rsidR="00053B68" w:rsidP="00317007">
      <w:pPr>
        <w:pStyle w:val="FootnoteText"/>
      </w:pPr>
      <w:r>
        <w:rPr>
          <w:rStyle w:val="FootnoteReference"/>
        </w:rPr>
        <w:footnoteRef/>
      </w:r>
      <w:r>
        <w:t xml:space="preserve"> 47 U.S.C. § 159.</w:t>
      </w:r>
    </w:p>
  </w:footnote>
  <w:footnote w:id="77">
    <w:p w:rsidR="00053B68">
      <w:pPr>
        <w:pStyle w:val="FootnoteText"/>
      </w:pPr>
      <w:r>
        <w:rPr>
          <w:rStyle w:val="FootnoteReference"/>
        </w:rPr>
        <w:footnoteRef/>
      </w:r>
      <w:r>
        <w:t xml:space="preserve"> </w:t>
      </w:r>
      <w:r w:rsidRPr="00953418">
        <w:rPr>
          <w:i/>
        </w:rPr>
        <w:t>See</w:t>
      </w:r>
      <w:r>
        <w:t xml:space="preserve"> 5 U.S.C. § 603.  </w:t>
      </w:r>
      <w:r w:rsidRPr="00B60211">
        <w:t xml:space="preserve">The RFA, </w:t>
      </w:r>
      <w:r w:rsidRPr="00B60211">
        <w:rPr>
          <w:i/>
        </w:rPr>
        <w:t>see</w:t>
      </w:r>
      <w:r w:rsidRPr="00B60211">
        <w:t xml:space="preserve"> 5 U.S.C. §§ 601-612, has been amended by the Small Business Regulatory Enf</w:t>
      </w:r>
      <w:r>
        <w:t>orcement Fairness Act of 1996 (</w:t>
      </w:r>
      <w:r w:rsidRPr="00B60211">
        <w:t xml:space="preserve">SBREFA), Pub. L. No. 104-121, Title II, 110 Stat. 847 (1996).  The SBREFA was enacted as Title II of the Contract </w:t>
      </w:r>
      <w:r>
        <w:t>w</w:t>
      </w:r>
      <w:r w:rsidRPr="00B60211">
        <w:t>ith America Advancement Act of 1996 (CWAAA).</w:t>
      </w:r>
    </w:p>
  </w:footnote>
  <w:footnote w:id="78">
    <w:p w:rsidR="00053B68" w:rsidRPr="0044454C">
      <w:pPr>
        <w:pStyle w:val="FootnoteText"/>
        <w:rPr>
          <w:i/>
        </w:rPr>
      </w:pPr>
      <w:r>
        <w:rPr>
          <w:rStyle w:val="FootnoteReference"/>
        </w:rPr>
        <w:footnoteRef/>
      </w:r>
      <w:r>
        <w:t xml:space="preserve"> </w:t>
      </w:r>
      <w:r>
        <w:rPr>
          <w:i/>
        </w:rPr>
        <w:t xml:space="preserve">See supra </w:t>
      </w:r>
      <w:r>
        <w:t>Section IV.</w:t>
      </w:r>
    </w:p>
  </w:footnote>
  <w:footnote w:id="79">
    <w:p w:rsidR="00053B68" w:rsidP="00074E7A">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80">
    <w:p w:rsidR="00053B68" w:rsidP="00074E7A">
      <w:pPr>
        <w:pStyle w:val="FootnoteText"/>
      </w:pPr>
      <w:r>
        <w:rPr>
          <w:rStyle w:val="FootnoteReference"/>
        </w:rPr>
        <w:footnoteRef/>
      </w:r>
      <w:r>
        <w:t xml:space="preserve"> </w:t>
      </w:r>
      <w:r w:rsidRPr="006A75BE">
        <w:rPr>
          <w:i/>
        </w:rPr>
        <w:t>Assessment and Collection of Regulatory Fees for Fiscal Year 201</w:t>
      </w:r>
      <w:r>
        <w:rPr>
          <w:i/>
        </w:rPr>
        <w:t>7</w:t>
      </w:r>
      <w:r>
        <w:t>, Report and Order and Further Notice of Proposed Rulemaking, 32 FCC Rcd 7057 (2017).</w:t>
      </w:r>
    </w:p>
  </w:footnote>
  <w:footnote w:id="81">
    <w:p w:rsidR="00053B68" w:rsidP="00074E7A">
      <w:pPr>
        <w:pStyle w:val="FootnoteText"/>
      </w:pPr>
      <w:r>
        <w:rPr>
          <w:rStyle w:val="FootnoteReference"/>
        </w:rPr>
        <w:footnoteRef/>
      </w:r>
      <w:r>
        <w:t xml:space="preserve"> </w:t>
      </w:r>
      <w:r>
        <w:rPr>
          <w:spacing w:val="-2"/>
          <w:lang w:val="fr-FR"/>
        </w:rPr>
        <w:t>5 U.S.C. § 604.</w:t>
      </w:r>
    </w:p>
  </w:footnote>
  <w:footnote w:id="82">
    <w:p w:rsidR="00053B68" w:rsidP="00074E7A">
      <w:pPr>
        <w:pStyle w:val="FootnoteText"/>
      </w:pPr>
      <w:r>
        <w:rPr>
          <w:rStyle w:val="FootnoteReference"/>
        </w:rPr>
        <w:footnoteRef/>
      </w:r>
      <w:r>
        <w:t xml:space="preserve"> 47 U.S.C. </w:t>
      </w:r>
      <w:r>
        <w:rPr>
          <w:spacing w:val="-2"/>
          <w:lang w:val="fr-FR"/>
        </w:rPr>
        <w:t>§ 159.</w:t>
      </w:r>
    </w:p>
  </w:footnote>
  <w:footnote w:id="83">
    <w:p w:rsidR="00053B68" w:rsidP="00074E7A">
      <w:pPr>
        <w:pStyle w:val="FootnoteText"/>
      </w:pPr>
      <w:r>
        <w:rPr>
          <w:rStyle w:val="FootnoteReference"/>
        </w:rPr>
        <w:footnoteRef/>
      </w:r>
      <w:r>
        <w:t xml:space="preserve"> 47 U.S.C. </w:t>
      </w:r>
      <w:r>
        <w:rPr>
          <w:spacing w:val="-2"/>
          <w:lang w:val="fr-FR"/>
        </w:rPr>
        <w:t>§ 159(a).</w:t>
      </w:r>
    </w:p>
  </w:footnote>
  <w:footnote w:id="84">
    <w:p w:rsidR="00053B68" w:rsidP="00074E7A">
      <w:pPr>
        <w:pStyle w:val="FootnoteText"/>
      </w:pPr>
      <w:r>
        <w:rPr>
          <w:rStyle w:val="FootnoteReference"/>
        </w:rPr>
        <w:footnoteRef/>
      </w:r>
      <w:r>
        <w:t xml:space="preserve"> </w:t>
      </w:r>
      <w:r>
        <w:rPr>
          <w:rStyle w:val="Footnote"/>
        </w:rPr>
        <w:t>5 U.S.C. § 603(b)(3).</w:t>
      </w:r>
    </w:p>
  </w:footnote>
  <w:footnote w:id="85">
    <w:p w:rsidR="00053B68" w:rsidP="00074E7A">
      <w:pPr>
        <w:pStyle w:val="FootnoteText"/>
      </w:pPr>
      <w:r>
        <w:rPr>
          <w:rStyle w:val="FootnoteReference"/>
        </w:rPr>
        <w:footnoteRef/>
      </w:r>
      <w:r>
        <w:t xml:space="preserve"> </w:t>
      </w:r>
      <w:r>
        <w:rPr>
          <w:rStyle w:val="Footnote"/>
        </w:rPr>
        <w:t>5 U.S.C. § 601(6).</w:t>
      </w:r>
    </w:p>
  </w:footnote>
  <w:footnote w:id="86">
    <w:p w:rsidR="00053B68" w:rsidP="00074E7A">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87">
    <w:p w:rsidR="00053B68" w:rsidP="00074E7A">
      <w:pPr>
        <w:pStyle w:val="FootnoteText"/>
      </w:pPr>
      <w:r>
        <w:rPr>
          <w:rStyle w:val="FootnoteReference"/>
        </w:rPr>
        <w:footnoteRef/>
      </w:r>
      <w:r>
        <w:t xml:space="preserve"> </w:t>
      </w:r>
      <w:r>
        <w:rPr>
          <w:rStyle w:val="Footnote"/>
        </w:rPr>
        <w:t>15 U.S.C. § 632.</w:t>
      </w:r>
    </w:p>
  </w:footnote>
  <w:footnote w:id="88">
    <w:p w:rsidR="00053B68" w:rsidP="00074E7A">
      <w:pPr>
        <w:pStyle w:val="FootnoteText"/>
      </w:pPr>
      <w:r>
        <w:rPr>
          <w:rStyle w:val="FootnoteReference"/>
        </w:rPr>
        <w:footnoteRef/>
      </w:r>
      <w:r>
        <w:t xml:space="preserve"> </w:t>
      </w:r>
      <w:r w:rsidRPr="005A3505">
        <w:rPr>
          <w:i/>
        </w:rPr>
        <w:t>See</w:t>
      </w:r>
      <w:r w:rsidRPr="005A3505">
        <w:t xml:space="preserve"> SBA, Office of Advocacy</w:t>
      </w:r>
      <w:r>
        <w:t xml:space="preserve">, “Frequently Asked Questions,” </w:t>
      </w:r>
      <w:r>
        <w:fldChar w:fldCharType="begin"/>
      </w:r>
      <w:r>
        <w:instrText xml:space="preserve"> HYPERLINK "https://www.sba.gov/sites/default/files/advocacy/SB-FAQ-2016_WEB.pdf" </w:instrText>
      </w:r>
      <w:r>
        <w:fldChar w:fldCharType="separate"/>
      </w:r>
      <w:r w:rsidRPr="00EE3A67">
        <w:rPr>
          <w:rStyle w:val="Hyperlink"/>
        </w:rPr>
        <w:t>https://www.sba.gov/sites/default/files/advocacy/SB-FAQ-2016_WEB.pdf</w:t>
      </w:r>
      <w:r>
        <w:fldChar w:fldCharType="end"/>
      </w:r>
      <w:r>
        <w:t>.</w:t>
      </w:r>
    </w:p>
  </w:footnote>
  <w:footnote w:id="89">
    <w:p w:rsidR="00053B68" w:rsidP="00074E7A">
      <w:pPr>
        <w:pStyle w:val="FootnoteText"/>
      </w:pPr>
      <w:r>
        <w:rPr>
          <w:rStyle w:val="FootnoteReference"/>
        </w:rPr>
        <w:footnoteRef/>
      </w:r>
      <w:r>
        <w:t xml:space="preserve"> </w:t>
      </w:r>
      <w:r>
        <w:fldChar w:fldCharType="begin"/>
      </w:r>
      <w:r>
        <w:instrText xml:space="preserve"> HYPERLINK "http://www.census.gov/cgi-bin/sssd/naics/naicsrch" </w:instrText>
      </w:r>
      <w:r>
        <w:fldChar w:fldCharType="separate"/>
      </w:r>
      <w:r w:rsidRPr="00C662B9">
        <w:rPr>
          <w:rStyle w:val="Hyperlink"/>
        </w:rPr>
        <w:t>http://www.census.gov/cgi-bin/sssd/naics/naicsrch</w:t>
      </w:r>
      <w:r>
        <w:fldChar w:fldCharType="end"/>
      </w:r>
      <w:r>
        <w:t>.</w:t>
      </w:r>
    </w:p>
  </w:footnote>
  <w:footnote w:id="90">
    <w:p w:rsidR="00053B68" w:rsidP="00074E7A">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120.201, NAICS code 517110.</w:t>
      </w:r>
    </w:p>
  </w:footnote>
  <w:footnote w:id="91">
    <w:p w:rsidR="00053B68" w:rsidRPr="001B08D4" w:rsidP="00074E7A">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053B68" w:rsidRPr="00A54FE6" w:rsidP="00074E7A">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92">
    <w:p w:rsidR="00053B68" w:rsidP="00074E7A">
      <w:pPr>
        <w:pStyle w:val="FootnoteText"/>
      </w:pPr>
      <w:r>
        <w:rPr>
          <w:rStyle w:val="FootnoteReference"/>
        </w:rPr>
        <w:footnoteRef/>
      </w:r>
      <w:r>
        <w:t xml:space="preserve"> </w:t>
      </w:r>
      <w:r w:rsidRPr="00D15B65">
        <w:rPr>
          <w:rStyle w:val="Footnote"/>
        </w:rPr>
        <w:t>13</w:t>
      </w:r>
      <w:r w:rsidRPr="0020482D">
        <w:t xml:space="preserve"> </w:t>
      </w:r>
      <w:r w:rsidRPr="00D15B65">
        <w:rPr>
          <w:rStyle w:val="Footnote"/>
        </w:rPr>
        <w:t>C</w:t>
      </w:r>
      <w:r>
        <w:rPr>
          <w:rStyle w:val="Footnote"/>
        </w:rPr>
        <w:t>F</w:t>
      </w:r>
      <w:r w:rsidRPr="00D15B65">
        <w:rPr>
          <w:rStyle w:val="Footnote"/>
        </w:rPr>
        <w:t>R § 121.201, NAICS code 517110</w:t>
      </w:r>
      <w:r>
        <w:rPr>
          <w:rStyle w:val="Footnote"/>
        </w:rPr>
        <w:t>.</w:t>
      </w:r>
    </w:p>
  </w:footnote>
  <w:footnote w:id="93">
    <w:p w:rsidR="00053B68" w:rsidRPr="001B08D4" w:rsidP="00074E7A">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053B68" w:rsidRPr="00A54FE6" w:rsidP="00074E7A">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94">
    <w:p w:rsidR="00053B68" w:rsidP="00074E7A">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95">
    <w:p w:rsidR="00053B68" w:rsidRPr="001B08D4" w:rsidP="00074E7A">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053B68" w:rsidRPr="00A54FE6" w:rsidP="00074E7A">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96">
    <w:p w:rsidR="00053B68" w:rsidP="00074E7A">
      <w:pPr>
        <w:pStyle w:val="FootnoteText"/>
      </w:pPr>
      <w:r>
        <w:rPr>
          <w:rStyle w:val="FootnoteReference"/>
        </w:rPr>
        <w:footnoteRef/>
      </w:r>
      <w:r>
        <w:t xml:space="preserve"> </w:t>
      </w:r>
      <w:r w:rsidRPr="00D15B65">
        <w:rPr>
          <w:i/>
        </w:rPr>
        <w:t>See Trends in Telephone Service</w:t>
      </w:r>
      <w:r w:rsidRPr="00D15B65">
        <w:t>, Federal Communications Commission, Wireline Competition Bureau, Industry Analysis and Technology Divis</w:t>
      </w:r>
      <w:r>
        <w:t>ion at Table 5.3 (Sept. 2010) (</w:t>
      </w:r>
      <w:r w:rsidRPr="00D15B65">
        <w:rPr>
          <w:i/>
        </w:rPr>
        <w:t>Trends in Telephone Service</w:t>
      </w:r>
      <w:r w:rsidRPr="00D15B65">
        <w:t>).</w:t>
      </w:r>
    </w:p>
  </w:footnote>
  <w:footnote w:id="97">
    <w:p w:rsidR="00053B68" w:rsidP="00074E7A">
      <w:pPr>
        <w:pStyle w:val="FootnoteText"/>
      </w:pPr>
      <w:r>
        <w:rPr>
          <w:rStyle w:val="FootnoteReference"/>
        </w:rPr>
        <w:footnoteRef/>
      </w:r>
      <w:r>
        <w:t xml:space="preserve"> </w:t>
      </w:r>
      <w:r w:rsidRPr="00007763">
        <w:rPr>
          <w:i/>
        </w:rPr>
        <w:t>Id.</w:t>
      </w:r>
    </w:p>
  </w:footnote>
  <w:footnote w:id="98">
    <w:p w:rsidR="00053B68" w:rsidP="00074E7A">
      <w:pPr>
        <w:pStyle w:val="FootnoteText"/>
      </w:pPr>
      <w:r>
        <w:rPr>
          <w:rStyle w:val="FootnoteReference"/>
        </w:rPr>
        <w:footnoteRef/>
      </w:r>
      <w:r>
        <w:t xml:space="preserve"> </w:t>
      </w:r>
      <w:r>
        <w:rPr>
          <w:rStyle w:val="FootnoteTextChar4"/>
        </w:rPr>
        <w:t>13 CFR § 121.201, NAICS code 517110.</w:t>
      </w:r>
    </w:p>
  </w:footnote>
  <w:footnote w:id="99">
    <w:p w:rsidR="00053B68" w:rsidRPr="001B08D4" w:rsidP="00074E7A">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053B68" w:rsidRPr="00A54FE6" w:rsidP="00074E7A">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100">
    <w:p w:rsidR="00053B68" w:rsidP="00074E7A">
      <w:pPr>
        <w:pStyle w:val="FootnoteText"/>
      </w:pPr>
      <w:r>
        <w:rPr>
          <w:rStyle w:val="FootnoteReference"/>
        </w:rPr>
        <w:footnoteRef/>
      </w:r>
      <w:r>
        <w:t xml:space="preserve"> </w:t>
      </w:r>
      <w:r>
        <w:rPr>
          <w:i/>
        </w:rPr>
        <w:t>See Trends in Telephone Service,</w:t>
      </w:r>
      <w:r>
        <w:t xml:space="preserve"> at </w:t>
      </w:r>
      <w:r>
        <w:t>tbl</w:t>
      </w:r>
      <w:r>
        <w:t>. 5.3.</w:t>
      </w:r>
    </w:p>
  </w:footnote>
  <w:footnote w:id="101">
    <w:p w:rsidR="00053B68" w:rsidP="00074E7A">
      <w:pPr>
        <w:pStyle w:val="FootnoteText"/>
      </w:pPr>
      <w:r>
        <w:rPr>
          <w:rStyle w:val="FootnoteReference"/>
        </w:rPr>
        <w:footnoteRef/>
      </w:r>
      <w:r>
        <w:t xml:space="preserve"> </w:t>
      </w:r>
      <w:r>
        <w:rPr>
          <w:i/>
        </w:rPr>
        <w:t>I</w:t>
      </w:r>
      <w:r w:rsidRPr="00F71FA2">
        <w:rPr>
          <w:i/>
        </w:rPr>
        <w:t>d.</w:t>
      </w:r>
    </w:p>
  </w:footnote>
  <w:footnote w:id="102">
    <w:p w:rsidR="00053B68" w:rsidP="00074E7A">
      <w:pPr>
        <w:pStyle w:val="FootnoteText"/>
      </w:pPr>
      <w:r>
        <w:rPr>
          <w:rStyle w:val="FootnoteReference"/>
        </w:rPr>
        <w:footnoteRef/>
      </w:r>
      <w:r>
        <w:t xml:space="preserve"> </w:t>
      </w:r>
      <w:r w:rsidRPr="00C71B0F">
        <w:rPr>
          <w:i/>
        </w:rPr>
        <w:t>Id.</w:t>
      </w:r>
    </w:p>
  </w:footnote>
  <w:footnote w:id="103">
    <w:p w:rsidR="00053B68" w:rsidP="00074E7A">
      <w:pPr>
        <w:pStyle w:val="FootnoteText"/>
      </w:pPr>
      <w:r>
        <w:rPr>
          <w:rStyle w:val="FootnoteReference"/>
        </w:rPr>
        <w:footnoteRef/>
      </w:r>
      <w:r>
        <w:t xml:space="preserve"> </w:t>
      </w:r>
      <w:r w:rsidRPr="00C71B0F">
        <w:rPr>
          <w:i/>
        </w:rPr>
        <w:t>Id.</w:t>
      </w:r>
    </w:p>
  </w:footnote>
  <w:footnote w:id="104">
    <w:p w:rsidR="00053B68" w:rsidP="00074E7A">
      <w:pPr>
        <w:pStyle w:val="FootnoteText"/>
      </w:pPr>
      <w:r>
        <w:rPr>
          <w:rStyle w:val="FootnoteReference"/>
        </w:rPr>
        <w:footnoteRef/>
      </w:r>
      <w:r>
        <w:t xml:space="preserve"> </w:t>
      </w:r>
      <w:r w:rsidRPr="00C71B0F">
        <w:rPr>
          <w:i/>
        </w:rPr>
        <w:t>Id.</w:t>
      </w:r>
    </w:p>
  </w:footnote>
  <w:footnote w:id="105">
    <w:p w:rsidR="00053B68" w:rsidP="00074E7A">
      <w:pPr>
        <w:pStyle w:val="FootnoteText"/>
      </w:pPr>
      <w:r>
        <w:rPr>
          <w:rStyle w:val="FootnoteReference"/>
        </w:rPr>
        <w:footnoteRef/>
      </w:r>
      <w:r>
        <w:t xml:space="preserve"> </w:t>
      </w:r>
      <w:r>
        <w:rPr>
          <w:color w:val="000000"/>
        </w:rPr>
        <w:t>13 CFR § 121.201, NAICS code 517110.</w:t>
      </w:r>
    </w:p>
  </w:footnote>
  <w:footnote w:id="106">
    <w:p w:rsidR="00053B68" w:rsidRPr="001B08D4" w:rsidP="00074E7A">
      <w:pPr>
        <w:pStyle w:val="FootnoteText"/>
        <w:spacing w:after="0"/>
      </w:pPr>
      <w:r>
        <w:rPr>
          <w:rStyle w:val="FootnoteReference"/>
        </w:rPr>
        <w:footnoteRef/>
      </w:r>
      <w:r>
        <w:t xml:space="preserve"> </w:t>
      </w:r>
      <w:r>
        <w:fldChar w:fldCharType="begin"/>
      </w:r>
      <w:r>
        <w:instrText xml:space="preserve"> HYPERLINK "</w:instrText>
      </w:r>
      <w:r w:rsidRPr="001B08D4">
        <w:instrText>http://factfinder.census.gov/faces/tableservices/jsf/pages/productview.xhtml?</w:instrText>
      </w:r>
    </w:p>
    <w:p w:rsidR="00053B68" w:rsidRPr="00A54FE6" w:rsidP="00074E7A">
      <w:pPr>
        <w:pStyle w:val="FootnoteText"/>
        <w:spacing w:after="0"/>
        <w:rPr>
          <w:rStyle w:val="Hyperlink"/>
        </w:rPr>
      </w:pPr>
      <w:r w:rsidRPr="001B08D4">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107">
    <w:p w:rsidR="00053B68" w:rsidP="00074E7A">
      <w:pPr>
        <w:pStyle w:val="FootnoteText"/>
      </w:pPr>
      <w:r>
        <w:rPr>
          <w:rStyle w:val="FootnoteReference"/>
        </w:rPr>
        <w:footnoteRef/>
      </w:r>
      <w:r>
        <w:t xml:space="preserve"> </w:t>
      </w:r>
      <w:r>
        <w:rPr>
          <w:i/>
        </w:rPr>
        <w:t>See Trends in Telephone Service,</w:t>
      </w:r>
      <w:r>
        <w:t xml:space="preserve"> at </w:t>
      </w:r>
      <w:r>
        <w:t>tbl</w:t>
      </w:r>
      <w:r>
        <w:t>. 5.3.</w:t>
      </w:r>
    </w:p>
  </w:footnote>
  <w:footnote w:id="108">
    <w:p w:rsidR="00053B68" w:rsidP="00074E7A">
      <w:pPr>
        <w:pStyle w:val="FootnoteText"/>
      </w:pPr>
      <w:r>
        <w:rPr>
          <w:rStyle w:val="FootnoteReference"/>
        </w:rPr>
        <w:footnoteRef/>
      </w:r>
      <w:r>
        <w:t xml:space="preserve"> </w:t>
      </w:r>
      <w:r w:rsidRPr="0026657E">
        <w:rPr>
          <w:i/>
        </w:rPr>
        <w:t>Id.</w:t>
      </w:r>
    </w:p>
  </w:footnote>
  <w:footnote w:id="109">
    <w:p w:rsidR="00053B68" w:rsidP="00074E7A">
      <w:pPr>
        <w:pStyle w:val="FootnoteText"/>
      </w:pPr>
      <w:r>
        <w:rPr>
          <w:rStyle w:val="FootnoteReference"/>
        </w:rPr>
        <w:footnoteRef/>
      </w:r>
      <w:r>
        <w:t xml:space="preserve"> </w:t>
      </w:r>
      <w:r>
        <w:fldChar w:fldCharType="begin"/>
      </w:r>
      <w:r>
        <w:instrText xml:space="preserve"> HYPERLINK "http://www.census.gov/cgi-bin/ssd/naics/naicsrch" </w:instrText>
      </w:r>
      <w:r>
        <w:fldChar w:fldCharType="separate"/>
      </w:r>
      <w:r w:rsidRPr="00F7466E">
        <w:rPr>
          <w:rStyle w:val="Hyperlink"/>
        </w:rPr>
        <w:t>http://www.census.gov/cgi-bin/ssd/naics/naicsrch</w:t>
      </w:r>
      <w:r>
        <w:fldChar w:fldCharType="end"/>
      </w:r>
      <w:r>
        <w:t>.</w:t>
      </w:r>
    </w:p>
  </w:footnote>
  <w:footnote w:id="110">
    <w:p w:rsidR="00053B68" w:rsidP="00074E7A">
      <w:pPr>
        <w:pStyle w:val="FootnoteText"/>
      </w:pPr>
      <w:r>
        <w:rPr>
          <w:rStyle w:val="FootnoteReference"/>
        </w:rPr>
        <w:footnoteRef/>
      </w:r>
      <w:r>
        <w:t xml:space="preserve"> </w:t>
      </w:r>
      <w:r>
        <w:rPr>
          <w:color w:val="000000"/>
        </w:rPr>
        <w:t>13 CFR § 121.201, NAICS code 517911.</w:t>
      </w:r>
    </w:p>
  </w:footnote>
  <w:footnote w:id="111">
    <w:p w:rsidR="00053B68" w:rsidRPr="00603E5E" w:rsidP="00074E7A">
      <w:pPr>
        <w:pStyle w:val="FootnoteText"/>
        <w:spacing w:after="0"/>
      </w:pPr>
      <w:r>
        <w:rPr>
          <w:rStyle w:val="FootnoteReference"/>
        </w:rPr>
        <w:footnoteRef/>
      </w:r>
      <w:r>
        <w:t xml:space="preserve"> </w:t>
      </w:r>
      <w:r>
        <w:fldChar w:fldCharType="begin"/>
      </w:r>
      <w:r>
        <w:instrText xml:space="preserve"> HYPERLINK "</w:instrText>
      </w:r>
      <w:r w:rsidRPr="00603E5E">
        <w:instrText>http://factfinder.census.gov/faces/tableservices/jsf/pages/productview.xhtml?</w:instrText>
      </w:r>
    </w:p>
    <w:p w:rsidR="00053B68" w:rsidRPr="00A54FE6" w:rsidP="00074E7A">
      <w:pPr>
        <w:pStyle w:val="FootnoteText"/>
        <w:spacing w:after="0"/>
        <w:rPr>
          <w:rStyle w:val="Hyperlink"/>
        </w:rPr>
      </w:pPr>
      <w:r w:rsidRPr="00603E5E">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8A1C84" w:rsidP="00074E7A">
      <w:pPr>
        <w:pStyle w:val="FootnoteText"/>
      </w:pPr>
      <w:r w:rsidRPr="00A54FE6">
        <w:rPr>
          <w:rStyle w:val="Hyperlink"/>
        </w:rPr>
        <w:t>pid</w:t>
      </w:r>
      <w:r w:rsidRPr="00A54FE6">
        <w:rPr>
          <w:rStyle w:val="Hyperlink"/>
        </w:rPr>
        <w:t>=ECN_2012_US_51SSSZ5&amp;prodType=table</w:t>
      </w:r>
      <w:r>
        <w:fldChar w:fldCharType="end"/>
      </w:r>
      <w:r>
        <w:rPr>
          <w:sz w:val="16"/>
          <w:szCs w:val="16"/>
        </w:rPr>
        <w:t>.</w:t>
      </w:r>
    </w:p>
  </w:footnote>
  <w:footnote w:id="112">
    <w:p w:rsidR="00053B68" w:rsidP="00074E7A">
      <w:pPr>
        <w:pStyle w:val="FootnoteText"/>
      </w:pPr>
      <w:r>
        <w:rPr>
          <w:rStyle w:val="FootnoteReference"/>
        </w:rPr>
        <w:footnoteRef/>
      </w:r>
      <w:r>
        <w:t xml:space="preserve"> </w:t>
      </w:r>
      <w:r>
        <w:rPr>
          <w:i/>
        </w:rPr>
        <w:t>See Trends in Telephone Service,</w:t>
      </w:r>
      <w:r>
        <w:t xml:space="preserve"> at </w:t>
      </w:r>
      <w:r>
        <w:t>tbl</w:t>
      </w:r>
      <w:r>
        <w:t>. 5.3.</w:t>
      </w:r>
    </w:p>
  </w:footnote>
  <w:footnote w:id="113">
    <w:p w:rsidR="00053B68" w:rsidP="00074E7A">
      <w:pPr>
        <w:pStyle w:val="FootnoteText"/>
      </w:pPr>
      <w:r>
        <w:rPr>
          <w:rStyle w:val="FootnoteReference"/>
        </w:rPr>
        <w:footnoteRef/>
      </w:r>
      <w:r>
        <w:t xml:space="preserve"> </w:t>
      </w:r>
      <w:r w:rsidRPr="00860117">
        <w:rPr>
          <w:i/>
        </w:rPr>
        <w:t>Id.</w:t>
      </w:r>
    </w:p>
  </w:footnote>
  <w:footnote w:id="114">
    <w:p w:rsidR="00053B68" w:rsidP="00074E7A">
      <w:pPr>
        <w:pStyle w:val="FootnoteText"/>
      </w:pPr>
      <w:r>
        <w:rPr>
          <w:rStyle w:val="FootnoteReference"/>
        </w:rPr>
        <w:footnoteRef/>
      </w:r>
      <w:r>
        <w:t xml:space="preserve"> </w:t>
      </w:r>
      <w:r>
        <w:rPr>
          <w:color w:val="000000"/>
        </w:rPr>
        <w:t>13 CFR § 121.201, NAICS code 517911.</w:t>
      </w:r>
    </w:p>
  </w:footnote>
  <w:footnote w:id="115">
    <w:p w:rsidR="00053B68" w:rsidRPr="00802C81" w:rsidP="00074E7A">
      <w:pPr>
        <w:pStyle w:val="FootnoteText"/>
        <w:spacing w:after="0"/>
      </w:pPr>
      <w:r>
        <w:rPr>
          <w:rStyle w:val="FootnoteReference"/>
        </w:rPr>
        <w:footnoteRef/>
      </w:r>
      <w:r>
        <w:t xml:space="preserve"> </w:t>
      </w:r>
      <w:r>
        <w:fldChar w:fldCharType="begin"/>
      </w:r>
      <w:r>
        <w:instrText xml:space="preserve"> HYPERLINK "</w:instrText>
      </w:r>
      <w:r w:rsidRPr="00802C81">
        <w:instrText>http://factfinder.census.gov/faces/tableservices/jsf/pages/productview.xhtml?</w:instrText>
      </w:r>
    </w:p>
    <w:p w:rsidR="00053B68" w:rsidRPr="00A54FE6" w:rsidP="00074E7A">
      <w:pPr>
        <w:pStyle w:val="FootnoteText"/>
        <w:spacing w:after="0"/>
        <w:rPr>
          <w:rStyle w:val="Hyperlink"/>
        </w:rPr>
      </w:pPr>
      <w:r w:rsidRPr="00802C81">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105D71" w:rsidP="00074E7A">
      <w:pPr>
        <w:pStyle w:val="FootnoteText"/>
      </w:pPr>
      <w:r w:rsidRPr="00A54FE6">
        <w:rPr>
          <w:rStyle w:val="Hyperlink"/>
        </w:rPr>
        <w:t>pid</w:t>
      </w:r>
      <w:r w:rsidRPr="00A54FE6">
        <w:rPr>
          <w:rStyle w:val="Hyperlink"/>
        </w:rPr>
        <w:t>=ECN_2012_US_51SSSZ5&amp;prodType=table</w:t>
      </w:r>
      <w:r>
        <w:fldChar w:fldCharType="end"/>
      </w:r>
      <w:r>
        <w:rPr>
          <w:sz w:val="16"/>
          <w:szCs w:val="16"/>
        </w:rPr>
        <w:t>.</w:t>
      </w:r>
    </w:p>
  </w:footnote>
  <w:footnote w:id="116">
    <w:p w:rsidR="00053B68" w:rsidP="00074E7A">
      <w:pPr>
        <w:pStyle w:val="FootnoteText"/>
      </w:pPr>
      <w:r>
        <w:rPr>
          <w:rStyle w:val="FootnoteReference"/>
        </w:rPr>
        <w:footnoteRef/>
      </w:r>
      <w:r>
        <w:t xml:space="preserve"> </w:t>
      </w:r>
      <w:r>
        <w:rPr>
          <w:i/>
          <w:color w:val="000000"/>
        </w:rPr>
        <w:t>See Trends in Telephone Service,</w:t>
      </w:r>
      <w:r>
        <w:rPr>
          <w:color w:val="000000"/>
        </w:rPr>
        <w:t xml:space="preserve"> at </w:t>
      </w:r>
      <w:r>
        <w:rPr>
          <w:color w:val="000000"/>
        </w:rPr>
        <w:t>tbl</w:t>
      </w:r>
      <w:r>
        <w:rPr>
          <w:color w:val="000000"/>
        </w:rPr>
        <w:t xml:space="preserve">. 5.3.  </w:t>
      </w:r>
    </w:p>
  </w:footnote>
  <w:footnote w:id="117">
    <w:p w:rsidR="00053B68" w:rsidP="00074E7A">
      <w:pPr>
        <w:pStyle w:val="FootnoteText"/>
      </w:pPr>
      <w:r>
        <w:rPr>
          <w:rStyle w:val="FootnoteReference"/>
        </w:rPr>
        <w:footnoteRef/>
      </w:r>
      <w:r>
        <w:t xml:space="preserve"> </w:t>
      </w:r>
      <w:r w:rsidRPr="00E024DD">
        <w:rPr>
          <w:i/>
        </w:rPr>
        <w:t>Id.</w:t>
      </w:r>
    </w:p>
  </w:footnote>
  <w:footnote w:id="118">
    <w:p w:rsidR="00053B68" w:rsidP="00074E7A">
      <w:pPr>
        <w:pStyle w:val="FootnoteText"/>
      </w:pPr>
      <w:r>
        <w:rPr>
          <w:rStyle w:val="FootnoteReference"/>
        </w:rPr>
        <w:footnoteRef/>
      </w:r>
      <w:r>
        <w:t xml:space="preserve"> </w:t>
      </w:r>
      <w:r>
        <w:rPr>
          <w:color w:val="000000"/>
        </w:rPr>
        <w:t>13 CFR § 121.201, NAICS code 517911.</w:t>
      </w:r>
    </w:p>
  </w:footnote>
  <w:footnote w:id="119">
    <w:p w:rsidR="00053B68" w:rsidRPr="00802C81" w:rsidP="00074E7A">
      <w:pPr>
        <w:pStyle w:val="FootnoteText"/>
        <w:spacing w:after="0"/>
      </w:pPr>
      <w:r>
        <w:rPr>
          <w:rStyle w:val="FootnoteReference"/>
        </w:rPr>
        <w:footnoteRef/>
      </w:r>
      <w:r>
        <w:t xml:space="preserve"> </w:t>
      </w:r>
      <w:r>
        <w:fldChar w:fldCharType="begin"/>
      </w:r>
      <w:r>
        <w:instrText xml:space="preserve"> HYPERLINK "</w:instrText>
      </w:r>
      <w:r w:rsidRPr="00802C81">
        <w:instrText>http://factfinder.census.gov/faces/tableservices/jsf/pages/productview.xhtml?</w:instrText>
      </w:r>
    </w:p>
    <w:p w:rsidR="00053B68" w:rsidRPr="00A54FE6" w:rsidP="00074E7A">
      <w:pPr>
        <w:pStyle w:val="FootnoteText"/>
        <w:spacing w:after="0"/>
        <w:rPr>
          <w:rStyle w:val="Hyperlink"/>
        </w:rPr>
      </w:pPr>
      <w:r w:rsidRPr="00802C81">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120">
    <w:p w:rsidR="00053B68" w:rsidP="00074E7A">
      <w:pPr>
        <w:pStyle w:val="FootnoteText"/>
      </w:pPr>
      <w:r>
        <w:rPr>
          <w:rStyle w:val="FootnoteReference"/>
        </w:rPr>
        <w:footnoteRef/>
      </w:r>
      <w:r>
        <w:t xml:space="preserve"> </w:t>
      </w:r>
      <w:r w:rsidRPr="00F7466E">
        <w:rPr>
          <w:i/>
        </w:rPr>
        <w:t>Id</w:t>
      </w:r>
      <w:r>
        <w:t>.</w:t>
      </w:r>
    </w:p>
  </w:footnote>
  <w:footnote w:id="121">
    <w:p w:rsidR="00053B68" w:rsidP="00074E7A">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122">
    <w:p w:rsidR="00053B68" w:rsidP="00074E7A">
      <w:pPr>
        <w:pStyle w:val="FootnoteText"/>
      </w:pPr>
      <w:r>
        <w:rPr>
          <w:rStyle w:val="FootnoteReference"/>
        </w:rPr>
        <w:footnoteRef/>
      </w:r>
      <w:r>
        <w:t xml:space="preserve"> </w:t>
      </w:r>
      <w:r w:rsidRPr="00E52E8F">
        <w:rPr>
          <w:i/>
        </w:rPr>
        <w:t>Id.</w:t>
      </w:r>
    </w:p>
  </w:footnote>
  <w:footnote w:id="123">
    <w:p w:rsidR="00053B68" w:rsidP="00074E7A">
      <w:pPr>
        <w:pStyle w:val="FootnoteText"/>
      </w:pPr>
      <w:r>
        <w:rPr>
          <w:rStyle w:val="FootnoteReference"/>
        </w:rPr>
        <w:footnoteRef/>
      </w:r>
      <w:r>
        <w:t xml:space="preserve"> </w:t>
      </w:r>
      <w:r>
        <w:rPr>
          <w:color w:val="000000"/>
        </w:rPr>
        <w:t>13 CFR § 121.201, NAICS code 517110.</w:t>
      </w:r>
    </w:p>
  </w:footnote>
  <w:footnote w:id="124">
    <w:p w:rsidR="00053B68" w:rsidRPr="00DE61B6" w:rsidP="00074E7A">
      <w:pPr>
        <w:pStyle w:val="FootnoteText"/>
        <w:spacing w:after="0"/>
      </w:pPr>
      <w:r>
        <w:rPr>
          <w:rStyle w:val="FootnoteReference"/>
        </w:rPr>
        <w:footnoteRef/>
      </w:r>
      <w:r>
        <w:t xml:space="preserve"> </w:t>
      </w:r>
      <w:r>
        <w:fldChar w:fldCharType="begin"/>
      </w:r>
      <w:r>
        <w:instrText xml:space="preserve"> HYPERLINK "</w:instrText>
      </w:r>
      <w:r w:rsidRPr="00DE61B6">
        <w:instrText>http://factfinder.census.gov/faces/tableservices/jsf/pages/productview.xhtml?</w:instrText>
      </w:r>
    </w:p>
    <w:p w:rsidR="00053B68" w:rsidRPr="00A54FE6" w:rsidP="00074E7A">
      <w:pPr>
        <w:pStyle w:val="FootnoteText"/>
        <w:spacing w:after="0"/>
        <w:rPr>
          <w:rStyle w:val="Hyperlink"/>
        </w:rPr>
      </w:pPr>
      <w:r w:rsidRPr="00DE61B6">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125">
    <w:p w:rsidR="00053B68" w:rsidP="00074E7A">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126">
    <w:p w:rsidR="00053B68" w:rsidP="00074E7A">
      <w:pPr>
        <w:pStyle w:val="FootnoteText"/>
      </w:pPr>
      <w:r>
        <w:rPr>
          <w:rStyle w:val="FootnoteReference"/>
        </w:rPr>
        <w:footnoteRef/>
      </w:r>
      <w:r>
        <w:t xml:space="preserve"> </w:t>
      </w:r>
      <w:r w:rsidRPr="00B605CD">
        <w:rPr>
          <w:i/>
        </w:rPr>
        <w:t>Id.</w:t>
      </w:r>
    </w:p>
  </w:footnote>
  <w:footnote w:id="127">
    <w:p w:rsidR="00053B68" w:rsidP="00074E7A">
      <w:pPr>
        <w:pStyle w:val="FootnoteText"/>
      </w:pPr>
      <w:r>
        <w:rPr>
          <w:rStyle w:val="FootnoteReference"/>
        </w:rPr>
        <w:footnoteRef/>
      </w:r>
      <w:r>
        <w:t xml:space="preserve"> NAICS code 517210.  </w:t>
      </w:r>
      <w:r w:rsidRPr="00C114BE">
        <w:rPr>
          <w:i/>
        </w:rPr>
        <w:t>See</w:t>
      </w:r>
      <w:r>
        <w:t xml:space="preserve"> </w:t>
      </w:r>
      <w:r>
        <w:fldChar w:fldCharType="begin"/>
      </w:r>
      <w:r>
        <w:instrText xml:space="preserve"> HYPERLINK "http://www.census.gov/cgi-bin/ssd/naics/naiscsrch" </w:instrText>
      </w:r>
      <w:r>
        <w:fldChar w:fldCharType="separate"/>
      </w:r>
      <w:r w:rsidRPr="00C114BE">
        <w:rPr>
          <w:rStyle w:val="Hyperlink"/>
        </w:rPr>
        <w:t>http://www.census.gov/cgi-bin/ssd/naics/naiscsrch</w:t>
      </w:r>
      <w:r>
        <w:fldChar w:fldCharType="end"/>
      </w:r>
      <w:r>
        <w:t>.</w:t>
      </w:r>
    </w:p>
  </w:footnote>
  <w:footnote w:id="128">
    <w:p w:rsidR="00053B68" w:rsidP="00074E7A">
      <w:pPr>
        <w:pStyle w:val="FootnoteText"/>
      </w:pPr>
      <w:r>
        <w:rPr>
          <w:rStyle w:val="FootnoteReference"/>
        </w:rPr>
        <w:footnoteRef/>
      </w:r>
      <w:r>
        <w:t xml:space="preserve"> </w:t>
      </w:r>
      <w:r w:rsidRPr="00CB2DF4">
        <w:rPr>
          <w:rFonts w:ascii="Times New Roman Italic" w:hAnsi="Times New Roman Italic"/>
          <w:i/>
        </w:rPr>
        <w:t>Trends in Telephone Service</w:t>
      </w:r>
      <w:r>
        <w:t xml:space="preserve"> at </w:t>
      </w:r>
      <w:r>
        <w:t>tbl</w:t>
      </w:r>
      <w:r>
        <w:t>.</w:t>
      </w:r>
      <w:r>
        <w:rPr>
          <w:color w:val="000000"/>
        </w:rPr>
        <w:t xml:space="preserve"> 5.3.</w:t>
      </w:r>
    </w:p>
  </w:footnote>
  <w:footnote w:id="129">
    <w:p w:rsidR="00053B68" w:rsidP="00074E7A">
      <w:pPr>
        <w:pStyle w:val="FootnoteText"/>
      </w:pPr>
      <w:r>
        <w:rPr>
          <w:rStyle w:val="FootnoteReference"/>
        </w:rPr>
        <w:footnoteRef/>
      </w:r>
      <w:r>
        <w:t xml:space="preserve"> </w:t>
      </w:r>
      <w:r w:rsidRPr="00233E31">
        <w:rPr>
          <w:i/>
        </w:rPr>
        <w:t>Id.</w:t>
      </w:r>
    </w:p>
  </w:footnote>
  <w:footnote w:id="130">
    <w:p w:rsidR="00053B68" w:rsidP="00074E7A">
      <w:pPr>
        <w:pStyle w:val="FootnoteText"/>
      </w:pPr>
      <w:r>
        <w:rPr>
          <w:rStyle w:val="FootnoteReference"/>
          <w:szCs w:val="22"/>
        </w:rPr>
        <w:footnoteRef/>
      </w:r>
      <w:r>
        <w:rPr>
          <w:szCs w:val="22"/>
        </w:rPr>
        <w:t xml:space="preserve"> U.S. Census Bureau, 2012 NAICS code Economic Census Definitions,</w:t>
      </w:r>
      <w:r>
        <w:rPr>
          <w:bCs/>
          <w:szCs w:val="22"/>
        </w:rPr>
        <w:t xml:space="preserve"> </w:t>
      </w:r>
      <w:r>
        <w:fldChar w:fldCharType="begin"/>
      </w:r>
      <w:r>
        <w:instrText xml:space="preserve"> HYPERLINK "http://www.census.gov.cgi-bin/sssd/naics/naicsrch" </w:instrText>
      </w:r>
      <w:r>
        <w:fldChar w:fldCharType="separate"/>
      </w:r>
      <w:r w:rsidRPr="00A54FE6">
        <w:rPr>
          <w:rStyle w:val="Hyperlink"/>
          <w:bCs/>
          <w:szCs w:val="22"/>
        </w:rPr>
        <w:t>http://www.census.gov.cgi-bin/sssd/naics/naicsrch</w:t>
      </w:r>
      <w:r>
        <w:fldChar w:fldCharType="end"/>
      </w:r>
      <w:r>
        <w:rPr>
          <w:bCs/>
          <w:szCs w:val="22"/>
        </w:rPr>
        <w:t>.</w:t>
      </w:r>
    </w:p>
  </w:footnote>
  <w:footnote w:id="131">
    <w:p w:rsidR="00053B68" w:rsidP="00074E7A">
      <w:pPr>
        <w:pStyle w:val="FootnoteText"/>
      </w:pPr>
      <w:r>
        <w:rPr>
          <w:rStyle w:val="FootnoteReference"/>
        </w:rPr>
        <w:footnoteRef/>
      </w:r>
      <w:r>
        <w:t xml:space="preserve"> 13 CFR § 121.201, NAICS code 515120.</w:t>
      </w:r>
    </w:p>
  </w:footnote>
  <w:footnote w:id="132">
    <w:p w:rsidR="00053B68" w:rsidP="00074E7A">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r>
        <w:fldChar w:fldCharType="begin"/>
      </w:r>
      <w:r>
        <w:instrText xml:space="preserve"> HYPERLINK "https://apps.fcc.gov/edocs_public/attachmatch/DOC-344256A1.pdf" </w:instrText>
      </w:r>
      <w:r>
        <w:fldChar w:fldCharType="separate"/>
      </w:r>
      <w:r w:rsidRPr="00EE3A67">
        <w:rPr>
          <w:rStyle w:val="Hyperlink"/>
        </w:rPr>
        <w:t>https://apps.fcc.gov/edocs_public/attachmatch/DOC-344256A1.pdf</w:t>
      </w:r>
      <w:r>
        <w:fldChar w:fldCharType="end"/>
      </w:r>
      <w:r>
        <w:t>.</w:t>
      </w:r>
    </w:p>
  </w:footnote>
  <w:footnote w:id="133">
    <w:p w:rsidR="00053B68" w:rsidP="00074E7A">
      <w:pPr>
        <w:pStyle w:val="FootnoteText"/>
      </w:pPr>
      <w:r>
        <w:rPr>
          <w:rStyle w:val="FootnoteReference"/>
        </w:rPr>
        <w:footnoteRef/>
      </w:r>
      <w:r>
        <w:t xml:space="preserve"> We recognize that BIA’s estimate differs slightly from the FCC total.</w:t>
      </w:r>
    </w:p>
  </w:footnote>
  <w:footnote w:id="134">
    <w:p w:rsidR="00053B68" w:rsidP="00074E7A">
      <w:pPr>
        <w:pStyle w:val="FootnoteText"/>
      </w:pPr>
      <w:r>
        <w:rPr>
          <w:rStyle w:val="FootnoteReference"/>
          <w:szCs w:val="22"/>
        </w:rPr>
        <w:footnoteRef/>
      </w:r>
      <w:r>
        <w:rPr>
          <w:szCs w:val="22"/>
        </w:rPr>
        <w:t xml:space="preserve"> “[Business concerns] are affiliates of each other when one concern controls or has the power to control the other or a third party or parties controls or has to power to control both.”  13 CFR § 21.103(a)(1).</w:t>
      </w:r>
    </w:p>
  </w:footnote>
  <w:footnote w:id="135">
    <w:p w:rsidR="00053B68" w:rsidP="00074E7A">
      <w:pPr>
        <w:pStyle w:val="FootnoteText"/>
      </w:pPr>
      <w:r>
        <w:rPr>
          <w:rStyle w:val="FootnoteReference"/>
        </w:rPr>
        <w:footnoteRef/>
      </w:r>
      <w:r>
        <w:t xml:space="preserve"> </w:t>
      </w:r>
      <w:r>
        <w:rPr>
          <w:i/>
        </w:rPr>
        <w:t>See</w:t>
      </w:r>
      <w:r>
        <w:t xml:space="preserve"> </w:t>
      </w:r>
      <w:r>
        <w:rPr>
          <w:i/>
        </w:rPr>
        <w:t>FCC News Release</w:t>
      </w:r>
      <w:r>
        <w:t>, “Broadcast Station Totals as of March 31, 2017,” April 11, 2017;</w:t>
      </w:r>
      <w:r w:rsidRPr="003F41A2">
        <w:t xml:space="preserve"> </w:t>
      </w:r>
      <w:r>
        <w:fldChar w:fldCharType="begin"/>
      </w:r>
      <w:r>
        <w:instrText xml:space="preserve"> HYPERLINK "https://apps.fcc.gov/edocs_public/attachmatch/DOC-344256A1.pdf" </w:instrText>
      </w:r>
      <w:r>
        <w:fldChar w:fldCharType="separate"/>
      </w:r>
      <w:r w:rsidRPr="00EE3A67">
        <w:rPr>
          <w:rStyle w:val="Hyperlink"/>
        </w:rPr>
        <w:t>https://apps.fcc.gov/edocs_public/attachmatch/DOC-344256A1.pdf</w:t>
      </w:r>
      <w:r>
        <w:fldChar w:fldCharType="end"/>
      </w:r>
      <w:r>
        <w:t>.</w:t>
      </w:r>
    </w:p>
  </w:footnote>
  <w:footnote w:id="136">
    <w:p w:rsidR="00053B68" w:rsidP="00074E7A">
      <w:pPr>
        <w:pStyle w:val="FootnoteText"/>
      </w:pPr>
      <w:r>
        <w:rPr>
          <w:rStyle w:val="FootnoteReference"/>
        </w:rPr>
        <w:footnoteRef/>
      </w:r>
      <w:r>
        <w:t xml:space="preserve"> </w:t>
      </w:r>
      <w:r>
        <w:rPr>
          <w:i/>
        </w:rPr>
        <w:t>See generally</w:t>
      </w:r>
      <w:r>
        <w:t xml:space="preserve"> 5 U.S.C. §§ 601(4), (6).</w:t>
      </w:r>
    </w:p>
  </w:footnote>
  <w:footnote w:id="137">
    <w:p w:rsidR="00053B68" w:rsidP="00074E7A">
      <w:pPr>
        <w:pStyle w:val="FootnoteText"/>
      </w:pPr>
      <w:r>
        <w:rPr>
          <w:rStyle w:val="FootnoteReference"/>
        </w:rPr>
        <w:footnoteRef/>
      </w:r>
      <w:r>
        <w:rPr>
          <w:i/>
        </w:rPr>
        <w:t xml:space="preserve"> See</w:t>
      </w:r>
      <w:r>
        <w:t xml:space="preserve"> </w:t>
      </w:r>
      <w:r>
        <w:rPr>
          <w:i/>
        </w:rPr>
        <w:t>FCC News Release</w:t>
      </w:r>
      <w:r>
        <w:t>, “Broadcast Station Totals as of March 31, 2017,” April 11, 2017;</w:t>
      </w:r>
      <w:r w:rsidRPr="003F41A2">
        <w:t xml:space="preserve"> </w:t>
      </w:r>
      <w:r>
        <w:fldChar w:fldCharType="begin"/>
      </w:r>
      <w:r>
        <w:instrText xml:space="preserve"> HYPERLINK "https://apps.fcc.gov/edocs_public/attachmatch/DOC-344256A1.pdf" </w:instrText>
      </w:r>
      <w:r>
        <w:fldChar w:fldCharType="separate"/>
      </w:r>
      <w:r w:rsidRPr="00EE3A67">
        <w:rPr>
          <w:rStyle w:val="Hyperlink"/>
        </w:rPr>
        <w:t>https://apps.fcc.gov/edocs_public/attachmatch/DOC-344256A1.pdf</w:t>
      </w:r>
      <w:r>
        <w:fldChar w:fldCharType="end"/>
      </w:r>
      <w:r>
        <w:t>.</w:t>
      </w:r>
    </w:p>
  </w:footnote>
  <w:footnote w:id="138">
    <w:p w:rsidR="00053B68" w:rsidP="00074E7A">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139">
    <w:p w:rsidR="00053B68" w:rsidP="00074E7A">
      <w:pPr>
        <w:pStyle w:val="FootnoteText"/>
      </w:pPr>
      <w:r>
        <w:rPr>
          <w:rStyle w:val="FootnoteReference"/>
        </w:rPr>
        <w:footnoteRef/>
      </w:r>
      <w:r>
        <w:t xml:space="preserve"> 13 CFR</w:t>
      </w:r>
      <w:r>
        <w:rPr>
          <w:szCs w:val="22"/>
        </w:rPr>
        <w:t xml:space="preserve"> § </w:t>
      </w:r>
      <w:r>
        <w:t>121.201, NAICS code 515112.</w:t>
      </w:r>
    </w:p>
  </w:footnote>
  <w:footnote w:id="140">
    <w:p w:rsidR="00053B68" w:rsidRPr="00DE61B6" w:rsidP="00074E7A">
      <w:pPr>
        <w:pStyle w:val="FootnoteText"/>
        <w:spacing w:after="0"/>
      </w:pPr>
      <w:r>
        <w:rPr>
          <w:rStyle w:val="FootnoteReference"/>
        </w:rPr>
        <w:footnoteRef/>
      </w:r>
      <w:r>
        <w:t xml:space="preserve"> </w:t>
      </w:r>
      <w:r>
        <w:fldChar w:fldCharType="begin"/>
      </w:r>
      <w:r>
        <w:instrText xml:space="preserve"> HYPERLINK "</w:instrText>
      </w:r>
      <w:r w:rsidRPr="00DE61B6">
        <w:instrText>http://factfinder.census.gov/faces/tableservices/jsf/pages/productview.xhtml?</w:instrText>
      </w:r>
    </w:p>
    <w:p w:rsidR="00053B68" w:rsidRPr="00A54FE6" w:rsidP="00074E7A">
      <w:pPr>
        <w:pStyle w:val="FootnoteText"/>
        <w:spacing w:after="0"/>
        <w:rPr>
          <w:rStyle w:val="Hyperlink"/>
        </w:rPr>
      </w:pPr>
      <w:r w:rsidRPr="00DE61B6">
        <w:instrText>pid=ECN_2012_US_51SSSZ5&amp;prodType=table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=ECN_2012_US_51SSSZ5&amp;prodType=table</w:t>
      </w:r>
      <w:r>
        <w:fldChar w:fldCharType="end"/>
      </w:r>
      <w:r w:rsidRPr="00B013DC">
        <w:t>.</w:t>
      </w:r>
    </w:p>
  </w:footnote>
  <w:footnote w:id="141">
    <w:p w:rsidR="00053B68" w:rsidP="00074E7A">
      <w:pPr>
        <w:pStyle w:val="FootnoteText"/>
      </w:pPr>
      <w:r>
        <w:rPr>
          <w:rStyle w:val="FootnoteReference"/>
          <w:szCs w:val="22"/>
        </w:rPr>
        <w:footnoteRef/>
      </w:r>
      <w:r>
        <w:rPr>
          <w:szCs w:val="22"/>
        </w:rPr>
        <w:t xml:space="preserve"> </w:t>
      </w:r>
      <w:r w:rsidRPr="00BF32AA">
        <w:t>“Concerns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142">
    <w:p w:rsidR="00053B68" w:rsidP="00074E7A">
      <w:pPr>
        <w:pStyle w:val="FootnoteText"/>
      </w:pPr>
      <w:r>
        <w:rPr>
          <w:rStyle w:val="FootnoteReference"/>
        </w:rPr>
        <w:footnoteRef/>
      </w:r>
      <w:r>
        <w:t xml:space="preserve"> 13 CFR </w:t>
      </w:r>
      <w:r>
        <w:rPr>
          <w:szCs w:val="22"/>
        </w:rPr>
        <w:t>§ 121.102(b) (an SBA regulation).</w:t>
      </w:r>
    </w:p>
  </w:footnote>
  <w:footnote w:id="143">
    <w:p w:rsidR="00053B68" w:rsidP="00074E7A">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144">
    <w:p w:rsidR="00053B68" w:rsidP="00074E7A">
      <w:pPr>
        <w:pStyle w:val="FootnoteText"/>
      </w:pPr>
      <w:r>
        <w:rPr>
          <w:rStyle w:val="FootnoteReference"/>
        </w:rPr>
        <w:footnoteRef/>
      </w:r>
      <w:r>
        <w:t xml:space="preserve"> </w:t>
      </w:r>
      <w:r>
        <w:fldChar w:fldCharType="begin"/>
      </w:r>
      <w:r>
        <w:instrText xml:space="preserve"> HYPERLINK "http://factfinder.census.gov/faces/tableservices/jsf/pages/productview.xhtml?pid=ECN_2012_US-51SSSZ5&amp;prodType=Table" </w:instrText>
      </w:r>
      <w:r>
        <w:fldChar w:fldCharType="separate"/>
      </w:r>
      <w:r w:rsidRPr="00A54FE6">
        <w:rPr>
          <w:rStyle w:val="Hyperlink"/>
        </w:rPr>
        <w:t>http://factfinder.census.gov/faces/tableservices/jsf/pages/productview.xhtml?pid=ECN_2012_US-51SSSZ5&amp;prodType=Table</w:t>
      </w:r>
      <w:r>
        <w:fldChar w:fldCharType="end"/>
      </w:r>
      <w:r>
        <w:t>.</w:t>
      </w:r>
    </w:p>
  </w:footnote>
  <w:footnote w:id="145">
    <w:p w:rsidR="00053B68" w:rsidP="00074E7A">
      <w:pPr>
        <w:pStyle w:val="FootnoteText"/>
      </w:pPr>
      <w:r>
        <w:rPr>
          <w:rStyle w:val="FootnoteReference"/>
        </w:rPr>
        <w:footnoteRef/>
      </w:r>
      <w:r>
        <w:t xml:space="preserve"> 47 CFR </w:t>
      </w:r>
      <w:r w:rsidRPr="00133697">
        <w:t>§</w:t>
      </w:r>
      <w:r>
        <w:t xml:space="preserve"> 76.901(e).</w:t>
      </w:r>
    </w:p>
  </w:footnote>
  <w:footnote w:id="146">
    <w:p w:rsidR="00053B68" w:rsidP="00074E7A">
      <w:pPr>
        <w:pStyle w:val="FootnoteText"/>
      </w:pPr>
      <w:r>
        <w:rPr>
          <w:rStyle w:val="FootnoteReference"/>
        </w:rPr>
        <w:footnoteRef/>
      </w:r>
      <w:r>
        <w:t xml:space="preserve"> As of July 5, 2018, there were 4,160 active cable systems in the Commission’s Cable Operations and Licensing Systems (COALS) database.</w:t>
      </w:r>
    </w:p>
  </w:footnote>
  <w:footnote w:id="147">
    <w:p w:rsidR="00053B68" w:rsidP="00074E7A">
      <w:pPr>
        <w:pStyle w:val="FootnoteText"/>
      </w:pPr>
      <w:r>
        <w:rPr>
          <w:rStyle w:val="FootnoteReference"/>
        </w:rPr>
        <w:footnoteRef/>
      </w:r>
      <w:r>
        <w:t xml:space="preserve"> </w:t>
      </w:r>
      <w:r w:rsidRPr="002936D4">
        <w:rPr>
          <w:i/>
        </w:rPr>
        <w:t>See</w:t>
      </w:r>
      <w:r>
        <w:t xml:space="preserve"> </w:t>
      </w:r>
      <w:r>
        <w:fldChar w:fldCharType="begin"/>
      </w:r>
      <w:r>
        <w:instrText xml:space="preserve"> HYPERLINK "https://www.snl.com/web/client?auth=inherit" \l "industry/topCableMSOs" </w:instrText>
      </w:r>
      <w:r>
        <w:fldChar w:fldCharType="separate"/>
      </w:r>
      <w:r w:rsidRPr="000D405F">
        <w:rPr>
          <w:rStyle w:val="Hyperlink"/>
        </w:rPr>
        <w:t>https://www.snl.com/web/client?auth=inherit#industry/topCableMSOs</w:t>
      </w:r>
      <w:r>
        <w:fldChar w:fldCharType="end"/>
      </w:r>
      <w:r>
        <w:t xml:space="preserve"> (last visited July 18, 2017).</w:t>
      </w:r>
    </w:p>
  </w:footnote>
  <w:footnote w:id="148">
    <w:p w:rsidR="00053B68" w:rsidP="00074E7A">
      <w:pPr>
        <w:pStyle w:val="FootnoteText"/>
      </w:pPr>
      <w:r>
        <w:rPr>
          <w:rStyle w:val="FootnoteReference"/>
        </w:rPr>
        <w:footnoteRef/>
      </w:r>
      <w:r>
        <w:t xml:space="preserve"> 47 CFR </w:t>
      </w:r>
      <w:r w:rsidRPr="00133697">
        <w:t>§</w:t>
      </w:r>
      <w:r>
        <w:t xml:space="preserve"> 76.901(c)</w:t>
      </w:r>
    </w:p>
  </w:footnote>
  <w:footnote w:id="149">
    <w:p w:rsidR="00053B68" w:rsidP="00074E7A">
      <w:pPr>
        <w:pStyle w:val="FootnoteText"/>
      </w:pPr>
      <w:r>
        <w:rPr>
          <w:rStyle w:val="FootnoteReference"/>
        </w:rPr>
        <w:footnoteRef/>
      </w:r>
      <w:r>
        <w:t xml:space="preserve"> </w:t>
      </w:r>
      <w:r w:rsidRPr="002B1B38">
        <w:rPr>
          <w:i/>
        </w:rPr>
        <w:t>See</w:t>
      </w:r>
      <w:r>
        <w:t xml:space="preserve"> footnote 2, </w:t>
      </w:r>
      <w:r w:rsidRPr="002B1B38">
        <w:rPr>
          <w:i/>
        </w:rPr>
        <w:t>supra</w:t>
      </w:r>
      <w:r>
        <w:t>.</w:t>
      </w:r>
    </w:p>
  </w:footnote>
  <w:footnote w:id="150">
    <w:p w:rsidR="00053B68" w:rsidP="00074E7A">
      <w:pPr>
        <w:pStyle w:val="FootnoteText"/>
      </w:pPr>
      <w:r>
        <w:rPr>
          <w:rStyle w:val="FootnoteReference"/>
        </w:rPr>
        <w:footnoteRef/>
      </w:r>
      <w:r>
        <w:t xml:space="preserve"> 47 CFR </w:t>
      </w:r>
      <w:r w:rsidRPr="00133697">
        <w:t>§</w:t>
      </w:r>
      <w:r>
        <w:t xml:space="preserve"> 76.901 (f) and notes ff. 1, 2, and 3.</w:t>
      </w:r>
    </w:p>
  </w:footnote>
  <w:footnote w:id="151">
    <w:p w:rsidR="00053B68" w:rsidP="00074E7A">
      <w:pPr>
        <w:pStyle w:val="FootnoteText"/>
      </w:pPr>
      <w:r>
        <w:rPr>
          <w:rStyle w:val="FootnoteReference"/>
        </w:rPr>
        <w:footnoteRef/>
      </w:r>
      <w:r>
        <w:t xml:space="preserve"> </w:t>
      </w:r>
      <w:r w:rsidRPr="002B1B38">
        <w:rPr>
          <w:i/>
        </w:rPr>
        <w:t>See</w:t>
      </w:r>
      <w:r>
        <w:t xml:space="preserve"> NCTA Industry Data, Cable’s Customer Base, available at </w:t>
      </w:r>
      <w:r>
        <w:fldChar w:fldCharType="begin"/>
      </w:r>
      <w:r>
        <w:instrText xml:space="preserve"> HYPERLINK "https://www.ncta.com/industry-data" </w:instrText>
      </w:r>
      <w:r>
        <w:fldChar w:fldCharType="separate"/>
      </w:r>
      <w:r w:rsidRPr="00EE3A67">
        <w:rPr>
          <w:rStyle w:val="Hyperlink"/>
        </w:rPr>
        <w:t>https://www.ncta.com/industry-data</w:t>
      </w:r>
      <w:r>
        <w:fldChar w:fldCharType="end"/>
      </w:r>
      <w:r>
        <w:t xml:space="preserve"> (last visited July 6, 2017).</w:t>
      </w:r>
    </w:p>
  </w:footnote>
  <w:footnote w:id="152">
    <w:p w:rsidR="00053B68" w:rsidP="00074E7A">
      <w:pPr>
        <w:pStyle w:val="FootnoteText"/>
      </w:pPr>
      <w:r>
        <w:rPr>
          <w:rStyle w:val="FootnoteReference"/>
        </w:rPr>
        <w:footnoteRef/>
      </w:r>
      <w:r>
        <w:t xml:space="preserve"> </w:t>
      </w:r>
      <w:r w:rsidRPr="00133697">
        <w:t xml:space="preserve">47 CFR § </w:t>
      </w:r>
      <w:r>
        <w:t>76.901(f) and notes ff. 1, 2, and 3.</w:t>
      </w:r>
    </w:p>
  </w:footnote>
  <w:footnote w:id="153">
    <w:p w:rsidR="00053B68" w:rsidP="00074E7A">
      <w:pPr>
        <w:pStyle w:val="FootnoteText"/>
      </w:pPr>
      <w:r>
        <w:rPr>
          <w:rStyle w:val="FootnoteReference"/>
        </w:rPr>
        <w:footnoteRef/>
      </w:r>
      <w:r>
        <w:t xml:space="preserve"> </w:t>
      </w:r>
      <w:r w:rsidRPr="002B1B38">
        <w:rPr>
          <w:i/>
        </w:rPr>
        <w:t>See</w:t>
      </w:r>
      <w:r>
        <w:rPr>
          <w:i/>
        </w:rPr>
        <w:t xml:space="preserve"> </w:t>
      </w:r>
      <w:r>
        <w:fldChar w:fldCharType="begin"/>
      </w:r>
      <w:r>
        <w:instrText xml:space="preserve"> HYPERLINK "https://www.snl.com/web/client?auth=inherit" \l "industry/topCableMSOs" </w:instrText>
      </w:r>
      <w:r>
        <w:fldChar w:fldCharType="separate"/>
      </w:r>
      <w:r w:rsidRPr="000D405F">
        <w:rPr>
          <w:rStyle w:val="Hyperlink"/>
        </w:rPr>
        <w:t>https://www.snl.com/web/client?auth=inherit#industry/topCableMSOs</w:t>
      </w:r>
      <w:r>
        <w:fldChar w:fldCharType="end"/>
      </w:r>
      <w:r>
        <w:t xml:space="preserve"> (last visited July 18, 2018).</w:t>
      </w:r>
    </w:p>
  </w:footnote>
  <w:footnote w:id="154">
    <w:p w:rsidR="00053B68" w:rsidP="00074E7A">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155">
    <w:p w:rsidR="00053B68" w:rsidP="00074E7A">
      <w:pPr>
        <w:pStyle w:val="FootnoteText"/>
      </w:pPr>
      <w:r>
        <w:rPr>
          <w:rStyle w:val="FootnoteReference"/>
        </w:rPr>
        <w:footnoteRef/>
      </w:r>
      <w:r>
        <w:t xml:space="preserve"> </w:t>
      </w:r>
      <w:r>
        <w:fldChar w:fldCharType="begin"/>
      </w:r>
      <w:r>
        <w:instrText xml:space="preserve"> HYPERLINK "http://www.census.gov/cgi-bin/sssd/naics/naicsrch" </w:instrText>
      </w:r>
      <w:r>
        <w:fldChar w:fldCharType="separate"/>
      </w:r>
      <w:r w:rsidRPr="00365B1A">
        <w:rPr>
          <w:rStyle w:val="Hyperlink"/>
        </w:rPr>
        <w:t>http://www.census.gov/cgi-bin/sssd/naics/naicsrch</w:t>
      </w:r>
      <w:r>
        <w:fldChar w:fldCharType="end"/>
      </w:r>
      <w:r>
        <w:t xml:space="preserve">. </w:t>
      </w:r>
    </w:p>
  </w:footnote>
  <w:footnote w:id="156">
    <w:p w:rsidR="00053B68" w:rsidP="00074E7A">
      <w:pPr>
        <w:pStyle w:val="FootnoteText"/>
      </w:pPr>
      <w:r>
        <w:rPr>
          <w:rStyle w:val="FootnoteReference"/>
        </w:rPr>
        <w:footnoteRef/>
      </w:r>
      <w:r>
        <w:t xml:space="preserve"> NAICS code 517110; 13 CFR</w:t>
      </w:r>
      <w:r w:rsidRPr="00A7270F">
        <w:t xml:space="preserve"> </w:t>
      </w:r>
      <w:r w:rsidRPr="00133697">
        <w:t>§</w:t>
      </w:r>
      <w:r>
        <w:t xml:space="preserve"> </w:t>
      </w:r>
      <w:r w:rsidRPr="00A7270F">
        <w:t>121.201.</w:t>
      </w:r>
    </w:p>
  </w:footnote>
  <w:footnote w:id="157">
    <w:p w:rsidR="00053B68" w:rsidRPr="00851F3F" w:rsidP="00074E7A">
      <w:pPr>
        <w:pStyle w:val="FootnoteText"/>
        <w:spacing w:after="0"/>
      </w:pPr>
      <w:r>
        <w:rPr>
          <w:rStyle w:val="FootnoteReference"/>
        </w:rPr>
        <w:footnoteRef/>
      </w:r>
      <w:r>
        <w:t xml:space="preserve"> </w:t>
      </w:r>
      <w:r>
        <w:fldChar w:fldCharType="begin"/>
      </w:r>
      <w:r>
        <w:instrText xml:space="preserve"> HYPERLINK "</w:instrText>
      </w:r>
      <w:r w:rsidRPr="00851F3F">
        <w:instrText>http://factfinder.census.gov/faces/tableservices.jasf/pages/productview.xhtml?</w:instrText>
      </w:r>
    </w:p>
    <w:p w:rsidR="00053B68" w:rsidRPr="00A54FE6" w:rsidP="00074E7A">
      <w:pPr>
        <w:pStyle w:val="FootnoteText"/>
        <w:spacing w:after="0"/>
        <w:rPr>
          <w:rStyle w:val="Hyperlink"/>
        </w:rPr>
      </w:pPr>
      <w:r w:rsidRPr="00851F3F">
        <w:instrText>pid+ECN_2012_US.51SSSZ4&amp;prodType=table</w:instrText>
      </w:r>
      <w:r>
        <w:instrText xml:space="preserve">" </w:instrText>
      </w:r>
      <w:r>
        <w:fldChar w:fldCharType="separate"/>
      </w:r>
      <w:r w:rsidRPr="00A54FE6">
        <w:rPr>
          <w:rStyle w:val="Hyperlink"/>
        </w:rPr>
        <w:t>http://factfinder.census.gov/faces/tableservices.jasf/pages/productview.xhtml?</w:t>
      </w:r>
    </w:p>
    <w:p w:rsidR="00053B68" w:rsidP="00074E7A">
      <w:pPr>
        <w:pStyle w:val="FootnoteText"/>
      </w:pPr>
      <w:r w:rsidRPr="00A54FE6">
        <w:rPr>
          <w:rStyle w:val="Hyperlink"/>
        </w:rPr>
        <w:t>pid+ECN_2012_US.51SSSZ4&amp;prodType=table</w:t>
      </w:r>
      <w:r>
        <w:fldChar w:fldCharType="end"/>
      </w:r>
      <w:r>
        <w:rPr>
          <w:sz w:val="16"/>
          <w:szCs w:val="16"/>
        </w:rPr>
        <w:t>.</w:t>
      </w:r>
      <w:r>
        <w:t xml:space="preserve"> </w:t>
      </w:r>
    </w:p>
  </w:footnote>
  <w:footnote w:id="158">
    <w:p w:rsidR="00053B68" w:rsidP="00074E7A">
      <w:pPr>
        <w:pStyle w:val="FootnoteText"/>
      </w:pPr>
      <w:r>
        <w:rPr>
          <w:rStyle w:val="FootnoteReference"/>
        </w:rPr>
        <w:footnoteRef/>
      </w:r>
      <w:r>
        <w:t xml:space="preserve"> </w:t>
      </w:r>
      <w:r>
        <w:fldChar w:fldCharType="begin"/>
      </w:r>
      <w:r>
        <w:instrText xml:space="preserve"> HYPERLINK "http://www.census.gov/cgi-bin/ssssd/naics/naicsrch" </w:instrText>
      </w:r>
      <w:r>
        <w:fldChar w:fldCharType="separate"/>
      </w:r>
      <w:r w:rsidRPr="00080C31">
        <w:rPr>
          <w:rStyle w:val="Hyperlink"/>
        </w:rPr>
        <w:t>http://www.census.gov/cgi-bin/ssssd/naics/naicsrch</w:t>
      </w:r>
      <w:r>
        <w:fldChar w:fldCharType="end"/>
      </w:r>
      <w:r>
        <w:t>.</w:t>
      </w:r>
    </w:p>
  </w:footnote>
  <w:footnote w:id="159">
    <w:p w:rsidR="00053B68" w:rsidP="00074E7A">
      <w:pPr>
        <w:pStyle w:val="FootnoteText"/>
      </w:pPr>
      <w:r>
        <w:rPr>
          <w:rStyle w:val="FootnoteReference"/>
        </w:rPr>
        <w:footnoteRef/>
      </w:r>
      <w:r>
        <w:t xml:space="preserve"> 13 CFR </w:t>
      </w:r>
      <w:r w:rsidRPr="00133697">
        <w:t>§</w:t>
      </w:r>
      <w:r>
        <w:t xml:space="preserve"> 121.201; NAICS code 517919.</w:t>
      </w:r>
    </w:p>
  </w:footnote>
  <w:footnote w:id="160">
    <w:p w:rsidR="00053B68" w:rsidRPr="00B141B0" w:rsidP="00074E7A">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53B68" w:rsidRPr="00A54FE6" w:rsidP="00074E7A">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=ECN_2012_US_51SSSZ4&amp;prodType=table</w:t>
      </w:r>
      <w:r>
        <w:fldChar w:fldCharType="end"/>
      </w:r>
      <w:r w:rsidRPr="00B013DC">
        <w:t>.</w:t>
      </w:r>
    </w:p>
  </w:footnote>
  <w:footnote w:id="161">
    <w:p w:rsidR="00053B68" w:rsidP="00074E7A">
      <w:pPr>
        <w:pStyle w:val="FootnoteText"/>
      </w:pPr>
      <w:r>
        <w:rPr>
          <w:rStyle w:val="FootnoteReference"/>
        </w:rPr>
        <w:footnoteRef/>
      </w:r>
      <w:r>
        <w:t xml:space="preserve"> </w:t>
      </w:r>
      <w:r w:rsidRPr="00B80C6E">
        <w:rPr>
          <w:i/>
        </w:rPr>
        <w:t>See</w:t>
      </w:r>
      <w:r>
        <w:t xml:space="preserve"> 47 CFR </w:t>
      </w:r>
      <w:r w:rsidRPr="00133697">
        <w:t>§</w:t>
      </w:r>
      <w:r>
        <w:t xml:space="preserve"> 52.101(b)</w:t>
      </w:r>
    </w:p>
  </w:footnote>
  <w:footnote w:id="162">
    <w:p w:rsidR="00053B68" w:rsidP="00074E7A">
      <w:pPr>
        <w:pStyle w:val="FootnoteText"/>
      </w:pPr>
      <w:r>
        <w:rPr>
          <w:rStyle w:val="FootnoteReference"/>
        </w:rPr>
        <w:footnoteRef/>
      </w:r>
      <w:r>
        <w:t xml:space="preserve"> 13 CFR </w:t>
      </w:r>
      <w:r w:rsidRPr="00133697">
        <w:t>§</w:t>
      </w:r>
      <w:r>
        <w:t xml:space="preserve"> 121.201, NAICS code 517110</w:t>
      </w:r>
    </w:p>
  </w:footnote>
  <w:footnote w:id="163">
    <w:p w:rsidR="00053B68" w:rsidP="00074E7A">
      <w:pPr>
        <w:pStyle w:val="FootnoteText"/>
      </w:pPr>
      <w:r>
        <w:rPr>
          <w:rStyle w:val="FootnoteReference"/>
        </w:rPr>
        <w:footnoteRef/>
      </w:r>
      <w:r>
        <w:t xml:space="preserve"> 13 CFR </w:t>
      </w:r>
      <w:r w:rsidRPr="00133697">
        <w:t>§</w:t>
      </w:r>
      <w:r>
        <w:t xml:space="preserve"> 121.201, NAICS code 517210.</w:t>
      </w:r>
    </w:p>
  </w:footnote>
  <w:footnote w:id="164">
    <w:p w:rsidR="00053B68" w:rsidP="00074E7A">
      <w:pPr>
        <w:pStyle w:val="FootnoteText"/>
      </w:pPr>
      <w:r>
        <w:rPr>
          <w:rStyle w:val="FootnoteReference"/>
        </w:rPr>
        <w:footnoteRef/>
      </w:r>
      <w:r>
        <w:t xml:space="preserve"> </w:t>
      </w:r>
      <w:r w:rsidRPr="00CD3CED">
        <w:rPr>
          <w:rStyle w:val="Hyperlink"/>
        </w:rPr>
        <w:t>http://www.census,gov/cgi-bin/sssd/naics.naicsrch</w:t>
      </w:r>
      <w:r>
        <w:rPr>
          <w:rStyle w:val="Hyperlink"/>
        </w:rPr>
        <w:t>.</w:t>
      </w:r>
    </w:p>
  </w:footnote>
  <w:footnote w:id="165">
    <w:p w:rsidR="00053B68" w:rsidP="00074E7A">
      <w:pPr>
        <w:pStyle w:val="FootnoteText"/>
      </w:pPr>
      <w:r>
        <w:rPr>
          <w:rStyle w:val="FootnoteReference"/>
        </w:rPr>
        <w:footnoteRef/>
      </w:r>
      <w:r>
        <w:t xml:space="preserve"> 13 CFR </w:t>
      </w:r>
      <w:r w:rsidRPr="00133697">
        <w:t>§</w:t>
      </w:r>
      <w:r>
        <w:t xml:space="preserve"> 120,201, NAICS code 517110.</w:t>
      </w:r>
    </w:p>
  </w:footnote>
  <w:footnote w:id="166">
    <w:p w:rsidR="00053B68" w:rsidRPr="00B141B0" w:rsidP="00074E7A">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53B68" w:rsidRPr="00A54FE6" w:rsidP="00074E7A">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=ECN_2012_US_51SSSZ4&amp;prodType=table</w:t>
      </w:r>
      <w:r>
        <w:fldChar w:fldCharType="end"/>
      </w:r>
      <w:r w:rsidRPr="00B013DC">
        <w:t>.</w:t>
      </w:r>
    </w:p>
  </w:footnote>
  <w:footnote w:id="167">
    <w:p w:rsidR="00053B68" w:rsidP="00074E7A">
      <w:pPr>
        <w:pStyle w:val="FootnoteText"/>
      </w:pPr>
      <w:r>
        <w:rPr>
          <w:rStyle w:val="FootnoteReference"/>
        </w:rPr>
        <w:footnoteRef/>
      </w:r>
      <w:r>
        <w:t xml:space="preserve"> </w:t>
      </w:r>
      <w:r w:rsidRPr="00CD3CED">
        <w:rPr>
          <w:rStyle w:val="Hyperlink"/>
        </w:rPr>
        <w:t>http://www.census,gov/cgi-bin/sssd/naics.naicsrch</w:t>
      </w:r>
      <w:r>
        <w:t>.</w:t>
      </w:r>
    </w:p>
  </w:footnote>
  <w:footnote w:id="168">
    <w:p w:rsidR="00053B68" w:rsidP="00074E7A">
      <w:pPr>
        <w:pStyle w:val="FootnoteText"/>
      </w:pPr>
      <w:r>
        <w:rPr>
          <w:rStyle w:val="FootnoteReference"/>
        </w:rPr>
        <w:footnoteRef/>
      </w:r>
      <w:r>
        <w:t xml:space="preserve"> 13 CFR </w:t>
      </w:r>
      <w:r w:rsidRPr="00133697">
        <w:t>§</w:t>
      </w:r>
      <w:r>
        <w:t xml:space="preserve"> 120.201, NAICS code 517120.</w:t>
      </w:r>
    </w:p>
  </w:footnote>
  <w:footnote w:id="169">
    <w:p w:rsidR="00053B68" w:rsidRPr="00B141B0" w:rsidP="00074E7A">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53B68" w:rsidRPr="00A54FE6" w:rsidP="00074E7A">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=ECN_2012_US_51SSSZ4&amp;prodType=table</w:t>
      </w:r>
      <w:r>
        <w:fldChar w:fldCharType="end"/>
      </w:r>
      <w:r w:rsidRPr="00B013DC">
        <w:t>.</w:t>
      </w:r>
    </w:p>
  </w:footnote>
  <w:footnote w:id="170">
    <w:p w:rsidR="00053B68" w:rsidP="00074E7A">
      <w:pPr>
        <w:pStyle w:val="FootnoteText"/>
      </w:pPr>
      <w:r>
        <w:rPr>
          <w:rStyle w:val="FootnoteReference"/>
        </w:rPr>
        <w:footnoteRef/>
      </w:r>
      <w:r>
        <w:t xml:space="preserve"> 13 CFR </w:t>
      </w:r>
      <w:r w:rsidRPr="00133697">
        <w:t>§</w:t>
      </w:r>
      <w:r>
        <w:t xml:space="preserve"> 120.201, NAICS code 541890.</w:t>
      </w:r>
    </w:p>
  </w:footnote>
  <w:footnote w:id="171">
    <w:p w:rsidR="00053B68" w:rsidP="00074E7A">
      <w:pPr>
        <w:pStyle w:val="FootnoteText"/>
      </w:pPr>
      <w:r>
        <w:rPr>
          <w:rStyle w:val="FootnoteReference"/>
        </w:rPr>
        <w:footnoteRef/>
      </w:r>
      <w:r>
        <w:t xml:space="preserve"> 13 CFR </w:t>
      </w:r>
      <w:r w:rsidRPr="00133697">
        <w:t>§</w:t>
      </w:r>
      <w:r>
        <w:t xml:space="preserve"> 120.201, NAICS code 541618.</w:t>
      </w:r>
    </w:p>
  </w:footnote>
  <w:footnote w:id="172">
    <w:p w:rsidR="00053B68" w:rsidP="00074E7A">
      <w:pPr>
        <w:pStyle w:val="FootnoteText"/>
      </w:pPr>
      <w:r>
        <w:rPr>
          <w:rStyle w:val="FootnoteReference"/>
        </w:rPr>
        <w:footnoteRef/>
      </w:r>
      <w:r>
        <w:t xml:space="preserve"> </w:t>
      </w:r>
      <w:r w:rsidRPr="005B51CD">
        <w:t xml:space="preserve"> </w:t>
      </w:r>
      <w:r w:rsidRPr="00CD3CED">
        <w:rPr>
          <w:rStyle w:val="Hyperlink"/>
        </w:rPr>
        <w:t>http://www.census,gov/cgi-bin/sssd/naics.naicsrch</w:t>
      </w:r>
      <w:r>
        <w:rPr>
          <w:rStyle w:val="Hyperlink"/>
        </w:rPr>
        <w:t>.</w:t>
      </w:r>
    </w:p>
  </w:footnote>
  <w:footnote w:id="173">
    <w:p w:rsidR="00053B68" w:rsidP="00074E7A">
      <w:pPr>
        <w:pStyle w:val="FootnoteText"/>
      </w:pPr>
      <w:r>
        <w:rPr>
          <w:rStyle w:val="FootnoteReference"/>
        </w:rPr>
        <w:footnoteRef/>
      </w:r>
      <w:r>
        <w:t xml:space="preserve"> </w:t>
      </w:r>
      <w:r w:rsidRPr="00A017E4">
        <w:t xml:space="preserve">13 CFR </w:t>
      </w:r>
      <w:r w:rsidRPr="00133697">
        <w:t>§</w:t>
      </w:r>
      <w:r>
        <w:t xml:space="preserve"> 120.201, NAICS c</w:t>
      </w:r>
      <w:r w:rsidRPr="00A017E4">
        <w:t>ode 541890</w:t>
      </w:r>
      <w:r>
        <w:t>.</w:t>
      </w:r>
    </w:p>
  </w:footnote>
  <w:footnote w:id="174">
    <w:p w:rsidR="00053B68" w:rsidRPr="00B141B0" w:rsidP="00074E7A">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53B68" w:rsidRPr="00A54FE6" w:rsidP="00074E7A">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=ECN_2012_US_51SSSZ4&amp;prodType=table</w:t>
      </w:r>
      <w:r>
        <w:fldChar w:fldCharType="end"/>
      </w:r>
      <w:r w:rsidRPr="00B013DC">
        <w:t>.</w:t>
      </w:r>
    </w:p>
  </w:footnote>
  <w:footnote w:id="175">
    <w:p w:rsidR="00053B68" w:rsidP="00074E7A">
      <w:pPr>
        <w:pStyle w:val="FootnoteText"/>
      </w:pPr>
      <w:r>
        <w:rPr>
          <w:rStyle w:val="FootnoteReference"/>
        </w:rPr>
        <w:footnoteRef/>
      </w:r>
      <w:r w:rsidRPr="00470358">
        <w:t xml:space="preserve"> </w:t>
      </w:r>
      <w:r w:rsidRPr="00B974AD">
        <w:rPr>
          <w:rStyle w:val="Hyperlink"/>
        </w:rPr>
        <w:t>http://www.census,gov/cgi-bin/sssd/naics.naicsrch</w:t>
      </w:r>
      <w:r>
        <w:t>.</w:t>
      </w:r>
    </w:p>
  </w:footnote>
  <w:footnote w:id="176">
    <w:p w:rsidR="00053B68" w:rsidP="00074E7A">
      <w:pPr>
        <w:pStyle w:val="FootnoteText"/>
      </w:pPr>
      <w:r>
        <w:rPr>
          <w:rStyle w:val="FootnoteReference"/>
        </w:rPr>
        <w:footnoteRef/>
      </w:r>
      <w:r>
        <w:t xml:space="preserve"> 13 CFR </w:t>
      </w:r>
      <w:r w:rsidRPr="00133697">
        <w:t>§</w:t>
      </w:r>
      <w:r>
        <w:t xml:space="preserve"> 120.201, NAICS code 514618.</w:t>
      </w:r>
    </w:p>
  </w:footnote>
  <w:footnote w:id="177">
    <w:p w:rsidR="00053B68" w:rsidRPr="00B141B0" w:rsidP="00074E7A">
      <w:pPr>
        <w:pStyle w:val="FootnoteText"/>
        <w:spacing w:after="0"/>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053B68" w:rsidRPr="00A54FE6" w:rsidP="00074E7A">
      <w:pPr>
        <w:pStyle w:val="FootnoteText"/>
        <w:spacing w:after="0"/>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053B68" w:rsidRPr="00B013DC" w:rsidP="00074E7A">
      <w:pPr>
        <w:pStyle w:val="FootnoteText"/>
      </w:pPr>
      <w:r w:rsidRPr="00A54FE6">
        <w:rPr>
          <w:rStyle w:val="Hyperlink"/>
        </w:rPr>
        <w:t>pid</w:t>
      </w:r>
      <w:r w:rsidRPr="00A54FE6">
        <w:rPr>
          <w:rStyle w:val="Hyperlink"/>
        </w:rPr>
        <w:t>=ECN_2012_US_51SSSZ4&amp;prodType=table</w:t>
      </w:r>
      <w:r>
        <w:fldChar w:fldCharType="end"/>
      </w:r>
      <w:r w:rsidRPr="00B013DC">
        <w:t>.</w:t>
      </w:r>
    </w:p>
  </w:footnote>
  <w:footnote w:id="178">
    <w:p w:rsidR="00053B68" w:rsidP="00074E7A">
      <w:pPr>
        <w:pStyle w:val="FootnoteText"/>
      </w:pPr>
      <w:r>
        <w:rPr>
          <w:rStyle w:val="FootnoteReference"/>
        </w:rPr>
        <w:footnoteRef/>
      </w:r>
      <w:r>
        <w:t xml:space="preserve"> The four NAICS code-based categories selected above to provide definitions for Carrier and Non-Carrier RespOrgs were selected because as a group they refer generically and comprehensively to all RespOrgs.  Therefore, all RespOrgs, including those not identified specifically or individually, must comply with the rules adopted in the Regulatory Fees Report and Order associated with this Final Regulatory Flexibility Analysis. </w:t>
      </w:r>
    </w:p>
  </w:footnote>
  <w:footnote w:id="179">
    <w:p w:rsidR="00053B68" w:rsidP="00074E7A">
      <w:pPr>
        <w:pStyle w:val="FootnoteText"/>
      </w:pPr>
      <w:r>
        <w:rPr>
          <w:rStyle w:val="FootnoteReference"/>
        </w:rPr>
        <w:footnoteRef/>
      </w:r>
      <w:r>
        <w:t xml:space="preserve"> Email from Jennifer Blanchard, </w:t>
      </w:r>
      <w:r>
        <w:t>Somos</w:t>
      </w:r>
      <w:r>
        <w:t>, July 1, 2016.</w:t>
      </w:r>
    </w:p>
  </w:footnote>
  <w:footnote w:id="180">
    <w:p w:rsidR="00053B68" w:rsidP="000F14E5">
      <w:pPr>
        <w:pStyle w:val="FootnoteText"/>
      </w:pPr>
      <w:r>
        <w:rPr>
          <w:rStyle w:val="FootnoteReference"/>
        </w:rPr>
        <w:footnoteRef/>
      </w:r>
      <w:r>
        <w:t xml:space="preserve"> </w:t>
      </w:r>
      <w:r w:rsidRPr="00185ED3">
        <w:t>5 U.S.C. § 603(c)(1)–(c)(4).</w:t>
      </w:r>
    </w:p>
  </w:footnote>
  <w:footnote w:id="181">
    <w:p w:rsidR="00053B68" w:rsidRPr="00B60211" w:rsidP="007A3681">
      <w:pPr>
        <w:pStyle w:val="FootnoteText"/>
        <w:spacing w:after="240"/>
        <w:rPr>
          <w:spacing w:val="-2"/>
        </w:rPr>
      </w:pPr>
      <w:r>
        <w:rPr>
          <w:rStyle w:val="FootnoteReference"/>
        </w:rPr>
        <w:footnoteRef/>
      </w:r>
      <w:r>
        <w:t xml:space="preserve"> </w:t>
      </w:r>
      <w:r w:rsidRPr="00B60211">
        <w:rPr>
          <w:spacing w:val="-2"/>
        </w:rPr>
        <w:t xml:space="preserve">Note that </w:t>
      </w:r>
      <w:r>
        <w:rPr>
          <w:spacing w:val="-2"/>
        </w:rPr>
        <w:t>“</w:t>
      </w:r>
      <w:r w:rsidRPr="00B60211">
        <w:rPr>
          <w:spacing w:val="-2"/>
        </w:rPr>
        <w:t>small fees</w:t>
      </w:r>
      <w:r>
        <w:rPr>
          <w:spacing w:val="-2"/>
        </w:rPr>
        <w:t>”</w:t>
      </w:r>
      <w:r w:rsidRPr="00B60211">
        <w:rPr>
          <w:spacing w:val="-2"/>
        </w:rPr>
        <w:t xml:space="preserve"> are collected in advance for the entire license term.  Therefore, the annual fee amount shown in this table that is a small fee (categories 1 through 5) must be multiplied by the 5-or 10-year license term, as appropriate, to arrive at the total amount of regulatory fees owed.  </w:t>
      </w:r>
      <w:r>
        <w:rPr>
          <w:spacing w:val="-2"/>
        </w:rPr>
        <w:t xml:space="preserve">Also, </w:t>
      </w:r>
      <w:r w:rsidRPr="00B60211">
        <w:rPr>
          <w:spacing w:val="-2"/>
        </w:rPr>
        <w:t>application fees may apply as detailed in §1.1102 of this chapter.</w:t>
      </w:r>
    </w:p>
    <w:p w:rsidR="00053B68">
      <w:pPr>
        <w:pStyle w:val="FootnoteText"/>
      </w:pPr>
    </w:p>
  </w:footnote>
  <w:footnote w:id="182">
    <w:p w:rsidR="00053B68" w:rsidRPr="00B60211" w:rsidP="00C05946">
      <w:pPr>
        <w:pStyle w:val="FootnoteText"/>
      </w:pPr>
      <w:r w:rsidRPr="00B60211">
        <w:rPr>
          <w:rStyle w:val="FootnoteReference"/>
        </w:rPr>
        <w:footnoteRef/>
      </w:r>
      <w:r w:rsidRPr="00B60211">
        <w:t xml:space="preserve"> These are standard fees that are to be paid in accordance with § 1.1157(b) of this chapter.</w:t>
      </w:r>
    </w:p>
  </w:footnote>
  <w:footnote w:id="183">
    <w:p w:rsidR="00053B68" w:rsidRPr="005A3505" w:rsidP="00C05946">
      <w:pPr>
        <w:pStyle w:val="FootnoteText"/>
      </w:pPr>
      <w:r w:rsidRPr="00B60211">
        <w:rPr>
          <w:rStyle w:val="FootnoteReference"/>
        </w:rPr>
        <w:footnoteRef/>
      </w:r>
      <w:r w:rsidRPr="00B60211">
        <w:t xml:space="preserve"> Th</w:t>
      </w:r>
      <w:r w:rsidRPr="005A3505">
        <w:t>ese are standard fees that are to be paid in accordance with § 1.1157(b) of this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pPr>
      <w:pStyle w:val="Header"/>
    </w:pPr>
    <w:r>
      <w:tab/>
      <w:t>Federal Communications Commission</w:t>
    </w:r>
    <w:r>
      <w:tab/>
      <w:t>FCC 18-126</w:t>
    </w:r>
  </w:p>
  <w:p w:rsidR="00053B6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18-126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B68">
    <w:pPr>
      <w:pStyle w:val="Header"/>
    </w:pPr>
    <w:r>
      <w:tab/>
      <w:t>Federal Communications Commission</w:t>
    </w:r>
    <w:r>
      <w:tab/>
      <w:t>FCC 18-126</w:t>
    </w:r>
  </w:p>
  <w:p w:rsidR="00053B68">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81240C"/>
    <w:multiLevelType w:val="hybridMultilevel"/>
    <w:tmpl w:val="292E23E6"/>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7">
    <w:nsid w:val="5F2A14A0"/>
    <w:multiLevelType w:val="hybridMultilevel"/>
    <w:tmpl w:val="CBB46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0">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FD7DCC"/>
    <w:multiLevelType w:val="hybridMultilevel"/>
    <w:tmpl w:val="7B9C8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lvlOverride w:ilvl="0">
      <w:startOverride w:val="1"/>
    </w:lvlOverride>
  </w:num>
  <w:num w:numId="4">
    <w:abstractNumId w:val="10"/>
  </w:num>
  <w:num w:numId="5">
    <w:abstractNumId w:val="9"/>
  </w:num>
  <w:num w:numId="6">
    <w:abstractNumId w:val="6"/>
  </w:num>
  <w:num w:numId="7">
    <w:abstractNumId w:val="4"/>
  </w:num>
  <w:num w:numId="8">
    <w:abstractNumId w:val="3"/>
    <w:lvlOverride w:ilvl="0">
      <w:startOverride w:val="1"/>
    </w:lvlOverride>
    <w:lvlOverride w:ilvl="1">
      <w:startOverride w:val="1"/>
    </w:lvlOverride>
  </w:num>
  <w:num w:numId="9">
    <w:abstractNumId w:val="8"/>
    <w:lvlOverride w:ilvl="0">
      <w:startOverride w:val="1"/>
    </w:lvlOverride>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1"/>
  </w:num>
  <w:num w:numId="15">
    <w:abstractNumId w:val="5"/>
  </w:num>
  <w:num w:numId="16">
    <w:abstractNumId w:val="2"/>
  </w:num>
  <w:num w:numId="17">
    <w:abstractNumId w:val="0"/>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7"/>
  </w:num>
  <w:num w:numId="22">
    <w:abstractNumId w:val="8"/>
  </w:num>
  <w:num w:numId="23">
    <w:abstractNumId w:val="3"/>
  </w:num>
  <w:num w:numId="24">
    <w:abstractNumId w:val="8"/>
    <w:lvlOverride w:ilvl="0">
      <w:startOverride w:val="1"/>
    </w:lvlOverride>
  </w:num>
  <w:num w:numId="25">
    <w:abstractNumId w:val="8"/>
  </w:num>
  <w:num w:numId="26">
    <w:abstractNumId w:val="8"/>
  </w:num>
  <w:num w:numId="27">
    <w:abstractNumId w:val="8"/>
  </w:num>
  <w:num w:numId="28">
    <w:abstractNumId w:val="8"/>
  </w:num>
  <w:num w:numId="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FA7"/>
    <w:pPr>
      <w:widowControl w:val="0"/>
    </w:pPr>
    <w:rPr>
      <w:snapToGrid w:val="0"/>
      <w:kern w:val="28"/>
      <w:sz w:val="22"/>
    </w:rPr>
  </w:style>
  <w:style w:type="paragraph" w:styleId="Heading1">
    <w:name w:val="heading 1"/>
    <w:basedOn w:val="Normal"/>
    <w:next w:val="ParaNum"/>
    <w:link w:val="Heading1Char"/>
    <w:qFormat/>
    <w:rsid w:val="00582FA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582FA7"/>
    <w:pPr>
      <w:keepNext/>
      <w:numPr>
        <w:ilvl w:val="1"/>
        <w:numId w:val="2"/>
      </w:numPr>
      <w:spacing w:after="120"/>
      <w:outlineLvl w:val="1"/>
    </w:pPr>
    <w:rPr>
      <w:b/>
    </w:rPr>
  </w:style>
  <w:style w:type="paragraph" w:styleId="Heading3">
    <w:name w:val="heading 3"/>
    <w:basedOn w:val="Normal"/>
    <w:next w:val="ParaNum"/>
    <w:link w:val="Heading3Char"/>
    <w:qFormat/>
    <w:rsid w:val="00582FA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582FA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82FA7"/>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582FA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582FA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582FA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82FA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2F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2FA7"/>
  </w:style>
  <w:style w:type="paragraph" w:customStyle="1" w:styleId="ParaNum">
    <w:name w:val="ParaNum"/>
    <w:basedOn w:val="Normal"/>
    <w:link w:val="ParaNumChar1"/>
    <w:rsid w:val="00582FA7"/>
    <w:pPr>
      <w:numPr>
        <w:numId w:val="1"/>
      </w:numPr>
      <w:tabs>
        <w:tab w:val="clear" w:pos="1080"/>
        <w:tab w:val="num" w:pos="1440"/>
      </w:tabs>
      <w:spacing w:after="120"/>
    </w:pPr>
  </w:style>
  <w:style w:type="paragraph" w:styleId="EndnoteText">
    <w:name w:val="endnote text"/>
    <w:basedOn w:val="Normal"/>
    <w:link w:val="EndnoteTextChar"/>
    <w:semiHidden/>
    <w:rsid w:val="00582FA7"/>
    <w:rPr>
      <w:sz w:val="20"/>
    </w:rPr>
  </w:style>
  <w:style w:type="character" w:styleId="EndnoteReference">
    <w:name w:val="endnote reference"/>
    <w:semiHidden/>
    <w:rsid w:val="00582FA7"/>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582FA7"/>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582FA7"/>
    <w:rPr>
      <w:rFonts w:ascii="Times New Roman" w:hAnsi="Times New Roman"/>
      <w:dstrike w:val="0"/>
      <w:color w:val="auto"/>
      <w:sz w:val="20"/>
      <w:vertAlign w:val="superscript"/>
    </w:rPr>
  </w:style>
  <w:style w:type="paragraph" w:styleId="TOC1">
    <w:name w:val="toc 1"/>
    <w:basedOn w:val="Normal"/>
    <w:next w:val="Normal"/>
    <w:rsid w:val="00582FA7"/>
    <w:pPr>
      <w:tabs>
        <w:tab w:val="left" w:pos="360"/>
        <w:tab w:val="right" w:leader="dot" w:pos="9360"/>
      </w:tabs>
      <w:suppressAutoHyphens/>
      <w:ind w:left="360" w:right="720" w:hanging="360"/>
    </w:pPr>
    <w:rPr>
      <w:caps/>
      <w:noProof/>
    </w:rPr>
  </w:style>
  <w:style w:type="paragraph" w:styleId="TOC2">
    <w:name w:val="toc 2"/>
    <w:basedOn w:val="Normal"/>
    <w:next w:val="Normal"/>
    <w:rsid w:val="00582FA7"/>
    <w:pPr>
      <w:tabs>
        <w:tab w:val="left" w:pos="720"/>
        <w:tab w:val="right" w:leader="dot" w:pos="9360"/>
      </w:tabs>
      <w:suppressAutoHyphens/>
      <w:ind w:left="720" w:right="720" w:hanging="360"/>
    </w:pPr>
    <w:rPr>
      <w:noProof/>
    </w:rPr>
  </w:style>
  <w:style w:type="paragraph" w:styleId="TOC3">
    <w:name w:val="toc 3"/>
    <w:basedOn w:val="Normal"/>
    <w:next w:val="Normal"/>
    <w:rsid w:val="00582F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2F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2F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2F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2F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2F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2F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2FA7"/>
    <w:pPr>
      <w:tabs>
        <w:tab w:val="right" w:pos="9360"/>
      </w:tabs>
      <w:suppressAutoHyphens/>
    </w:pPr>
  </w:style>
  <w:style w:type="character" w:customStyle="1" w:styleId="EquationCaption">
    <w:name w:val="_Equation Caption"/>
    <w:rsid w:val="00582FA7"/>
  </w:style>
  <w:style w:type="paragraph" w:styleId="Header">
    <w:name w:val="header"/>
    <w:basedOn w:val="Normal"/>
    <w:link w:val="HeaderChar"/>
    <w:autoRedefine/>
    <w:rsid w:val="00582FA7"/>
    <w:pPr>
      <w:tabs>
        <w:tab w:val="center" w:pos="4680"/>
        <w:tab w:val="right" w:pos="9360"/>
      </w:tabs>
    </w:pPr>
    <w:rPr>
      <w:b/>
    </w:rPr>
  </w:style>
  <w:style w:type="paragraph" w:styleId="Footer">
    <w:name w:val="footer"/>
    <w:basedOn w:val="Normal"/>
    <w:link w:val="FooterChar"/>
    <w:uiPriority w:val="99"/>
    <w:rsid w:val="00582FA7"/>
    <w:pPr>
      <w:tabs>
        <w:tab w:val="center" w:pos="4320"/>
        <w:tab w:val="right" w:pos="8640"/>
      </w:tabs>
    </w:pPr>
  </w:style>
  <w:style w:type="character" w:styleId="PageNumber">
    <w:name w:val="page number"/>
    <w:basedOn w:val="DefaultParagraphFont"/>
    <w:rsid w:val="00582FA7"/>
  </w:style>
  <w:style w:type="paragraph" w:styleId="BlockText">
    <w:name w:val="Block Text"/>
    <w:basedOn w:val="Normal"/>
    <w:rsid w:val="00582FA7"/>
    <w:pPr>
      <w:spacing w:after="240"/>
      <w:ind w:left="1440" w:right="1440"/>
    </w:pPr>
  </w:style>
  <w:style w:type="paragraph" w:customStyle="1" w:styleId="Paratitle">
    <w:name w:val="Para title"/>
    <w:basedOn w:val="Normal"/>
    <w:rsid w:val="00582FA7"/>
    <w:pPr>
      <w:tabs>
        <w:tab w:val="center" w:pos="9270"/>
      </w:tabs>
      <w:spacing w:after="240"/>
    </w:pPr>
    <w:rPr>
      <w:spacing w:val="-2"/>
    </w:rPr>
  </w:style>
  <w:style w:type="paragraph" w:customStyle="1" w:styleId="Bullet">
    <w:name w:val="Bullet"/>
    <w:basedOn w:val="Normal"/>
    <w:rsid w:val="00582FA7"/>
    <w:pPr>
      <w:tabs>
        <w:tab w:val="left" w:pos="2160"/>
      </w:tabs>
      <w:spacing w:after="220"/>
      <w:ind w:left="2160" w:hanging="720"/>
    </w:pPr>
  </w:style>
  <w:style w:type="paragraph" w:customStyle="1" w:styleId="TableFormat">
    <w:name w:val="TableFormat"/>
    <w:basedOn w:val="Bullet"/>
    <w:rsid w:val="00582FA7"/>
    <w:pPr>
      <w:tabs>
        <w:tab w:val="clear" w:pos="2160"/>
        <w:tab w:val="left" w:pos="5040"/>
      </w:tabs>
      <w:ind w:left="5040" w:hanging="3600"/>
    </w:pPr>
  </w:style>
  <w:style w:type="paragraph" w:customStyle="1" w:styleId="TOCTitle">
    <w:name w:val="TOC Title"/>
    <w:basedOn w:val="Normal"/>
    <w:rsid w:val="00582F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2FA7"/>
    <w:pPr>
      <w:jc w:val="center"/>
    </w:pPr>
    <w:rPr>
      <w:rFonts w:ascii="Times New Roman Bold" w:hAnsi="Times New Roman Bold"/>
      <w:b/>
      <w:bCs/>
      <w:caps/>
      <w:szCs w:val="22"/>
    </w:rPr>
  </w:style>
  <w:style w:type="character" w:styleId="Hyperlink">
    <w:name w:val="Hyperlink"/>
    <w:rsid w:val="00582FA7"/>
    <w:rPr>
      <w:color w:val="0000FF"/>
      <w:u w:val="single"/>
    </w:rPr>
  </w:style>
  <w:style w:type="character" w:styleId="Emphasis">
    <w:name w:val="Emphasis"/>
    <w:basedOn w:val="DefaultParagraphFont"/>
    <w:qFormat/>
    <w:rsid w:val="00E3705B"/>
    <w:rPr>
      <w:i/>
      <w:iCs/>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basedOn w:val="DefaultParagraphFont"/>
    <w:link w:val="FootnoteText"/>
    <w:rsid w:val="00C65067"/>
  </w:style>
  <w:style w:type="character" w:customStyle="1" w:styleId="ParaNumChar1">
    <w:name w:val="ParaNum Char1"/>
    <w:link w:val="ParaNum"/>
    <w:locked/>
    <w:rsid w:val="00C65067"/>
    <w:rPr>
      <w:snapToGrid w:val="0"/>
      <w:kern w:val="28"/>
      <w:sz w:val="22"/>
    </w:rPr>
  </w:style>
  <w:style w:type="character" w:customStyle="1" w:styleId="documentbody">
    <w:name w:val="documentbody"/>
    <w:rsid w:val="00C67CE4"/>
  </w:style>
  <w:style w:type="character" w:customStyle="1" w:styleId="searchterm">
    <w:name w:val="searchterm"/>
    <w:rsid w:val="00C67CE4"/>
  </w:style>
  <w:style w:type="character" w:customStyle="1" w:styleId="apple-converted-space">
    <w:name w:val="apple-converted-space"/>
    <w:basedOn w:val="DefaultParagraphFont"/>
    <w:rsid w:val="003D094D"/>
  </w:style>
  <w:style w:type="paragraph" w:styleId="Caption">
    <w:name w:val="caption"/>
    <w:basedOn w:val="Normal"/>
    <w:next w:val="Normal"/>
    <w:qFormat/>
    <w:rsid w:val="0094279A"/>
    <w:pPr>
      <w:spacing w:before="120" w:after="120"/>
    </w:pPr>
    <w:rPr>
      <w:b/>
      <w:snapToGrid/>
    </w:rPr>
  </w:style>
  <w:style w:type="numbering" w:customStyle="1" w:styleId="Style1">
    <w:name w:val="Style1"/>
    <w:uiPriority w:val="99"/>
    <w:rsid w:val="0094279A"/>
    <w:pPr>
      <w:numPr>
        <w:numId w:val="4"/>
      </w:numPr>
    </w:pPr>
  </w:style>
  <w:style w:type="paragraph" w:customStyle="1" w:styleId="Paranum0">
    <w:name w:val="Paranum"/>
    <w:rsid w:val="0094279A"/>
    <w:pPr>
      <w:numPr>
        <w:numId w:val="5"/>
      </w:numPr>
      <w:tabs>
        <w:tab w:val="left" w:pos="1440"/>
      </w:tabs>
      <w:spacing w:after="240"/>
      <w:jc w:val="both"/>
    </w:pPr>
    <w:rPr>
      <w:sz w:val="22"/>
    </w:r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basedOn w:val="DefaultParagraphFont"/>
    <w:link w:val="Heading2"/>
    <w:rsid w:val="001C2ADB"/>
    <w:rPr>
      <w:b/>
      <w:snapToGrid w:val="0"/>
      <w:kern w:val="28"/>
      <w:sz w:val="22"/>
    </w:rPr>
  </w:style>
  <w:style w:type="character" w:customStyle="1" w:styleId="Heading3Char">
    <w:name w:val="Heading 3 Char"/>
    <w:link w:val="Heading3"/>
    <w:rsid w:val="00090CF5"/>
    <w:rPr>
      <w:b/>
      <w:snapToGrid w:val="0"/>
      <w:kern w:val="28"/>
      <w:sz w:val="22"/>
    </w:rPr>
  </w:style>
  <w:style w:type="character" w:styleId="CommentReference">
    <w:name w:val="annotation reference"/>
    <w:uiPriority w:val="99"/>
    <w:rsid w:val="00426C4C"/>
    <w:rPr>
      <w:sz w:val="16"/>
      <w:szCs w:val="16"/>
    </w:rPr>
  </w:style>
  <w:style w:type="character" w:customStyle="1" w:styleId="Heading1Char">
    <w:name w:val="Heading 1 Char"/>
    <w:link w:val="Heading1"/>
    <w:rsid w:val="00337F21"/>
    <w:rPr>
      <w:rFonts w:ascii="Times New Roman Bold" w:hAnsi="Times New Roman Bold"/>
      <w:b/>
      <w:caps/>
      <w:snapToGrid w:val="0"/>
      <w:kern w:val="28"/>
      <w:sz w:val="22"/>
    </w:rPr>
  </w:style>
  <w:style w:type="character" w:customStyle="1" w:styleId="FooterChar">
    <w:name w:val="Footer Char"/>
    <w:link w:val="Footer"/>
    <w:uiPriority w:val="99"/>
    <w:rsid w:val="00582FA7"/>
    <w:rPr>
      <w:snapToGrid w:val="0"/>
      <w:kern w:val="28"/>
      <w:sz w:val="22"/>
    </w:rPr>
  </w:style>
  <w:style w:type="character" w:customStyle="1" w:styleId="Footnote">
    <w:name w:val="Footnote"/>
    <w:rsid w:val="000D5B25"/>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0D5B25"/>
    <w:rPr>
      <w:rFonts w:cs="Times New Roman"/>
      <w:lang w:val="en-US" w:eastAsia="en-US" w:bidi="ar-SA"/>
    </w:rPr>
  </w:style>
  <w:style w:type="character" w:customStyle="1" w:styleId="documentbody1">
    <w:name w:val="documentbody1"/>
    <w:rsid w:val="000D5B25"/>
    <w:rPr>
      <w:rFonts w:ascii="Verdana" w:hAnsi="Verdana" w:cs="Times New Roman"/>
      <w:sz w:val="19"/>
      <w:szCs w:val="19"/>
    </w:rPr>
  </w:style>
  <w:style w:type="paragraph" w:styleId="BalloonText">
    <w:name w:val="Balloon Text"/>
    <w:basedOn w:val="Normal"/>
    <w:link w:val="BalloonTextChar"/>
    <w:uiPriority w:val="99"/>
    <w:rsid w:val="00397A38"/>
    <w:rPr>
      <w:rFonts w:ascii="Segoe UI" w:hAnsi="Segoe UI" w:cs="Segoe UI"/>
      <w:sz w:val="18"/>
      <w:szCs w:val="18"/>
    </w:rPr>
  </w:style>
  <w:style w:type="character" w:customStyle="1" w:styleId="BalloonTextChar">
    <w:name w:val="Balloon Text Char"/>
    <w:basedOn w:val="DefaultParagraphFont"/>
    <w:link w:val="BalloonText"/>
    <w:uiPriority w:val="99"/>
    <w:rsid w:val="00397A38"/>
    <w:rPr>
      <w:rFonts w:ascii="Segoe UI" w:hAnsi="Segoe UI" w:cs="Segoe UI"/>
      <w:snapToGrid w:val="0"/>
      <w:kern w:val="28"/>
      <w:sz w:val="18"/>
      <w:szCs w:val="18"/>
    </w:rPr>
  </w:style>
  <w:style w:type="paragraph" w:styleId="CommentText">
    <w:name w:val="annotation text"/>
    <w:basedOn w:val="Normal"/>
    <w:link w:val="CommentTextChar"/>
    <w:rsid w:val="00F7730A"/>
    <w:rPr>
      <w:sz w:val="20"/>
    </w:rPr>
  </w:style>
  <w:style w:type="character" w:customStyle="1" w:styleId="CommentTextChar">
    <w:name w:val="Comment Text Char"/>
    <w:basedOn w:val="DefaultParagraphFont"/>
    <w:link w:val="CommentText"/>
    <w:rsid w:val="00F7730A"/>
    <w:rPr>
      <w:snapToGrid w:val="0"/>
      <w:kern w:val="28"/>
    </w:rPr>
  </w:style>
  <w:style w:type="paragraph" w:styleId="CommentSubject">
    <w:name w:val="annotation subject"/>
    <w:basedOn w:val="CommentText"/>
    <w:next w:val="CommentText"/>
    <w:link w:val="CommentSubjectChar"/>
    <w:rsid w:val="00F7730A"/>
    <w:rPr>
      <w:b/>
      <w:bCs/>
    </w:rPr>
  </w:style>
  <w:style w:type="character" w:customStyle="1" w:styleId="CommentSubjectChar">
    <w:name w:val="Comment Subject Char"/>
    <w:basedOn w:val="CommentTextChar"/>
    <w:link w:val="CommentSubject"/>
    <w:rsid w:val="00F7730A"/>
    <w:rPr>
      <w:b/>
      <w:bCs/>
      <w:snapToGrid w:val="0"/>
      <w:kern w:val="28"/>
    </w:rPr>
  </w:style>
  <w:style w:type="character" w:customStyle="1" w:styleId="Heading4Char">
    <w:name w:val="Heading 4 Char"/>
    <w:basedOn w:val="DefaultParagraphFont"/>
    <w:link w:val="Heading4"/>
    <w:rsid w:val="00981296"/>
    <w:rPr>
      <w:b/>
      <w:snapToGrid w:val="0"/>
      <w:kern w:val="28"/>
      <w:sz w:val="22"/>
    </w:rPr>
  </w:style>
  <w:style w:type="character" w:customStyle="1" w:styleId="Heading5Char">
    <w:name w:val="Heading 5 Char"/>
    <w:basedOn w:val="DefaultParagraphFont"/>
    <w:link w:val="Heading5"/>
    <w:rsid w:val="00981296"/>
    <w:rPr>
      <w:b/>
      <w:snapToGrid w:val="0"/>
      <w:kern w:val="28"/>
      <w:sz w:val="22"/>
    </w:rPr>
  </w:style>
  <w:style w:type="character" w:customStyle="1" w:styleId="Heading6Char">
    <w:name w:val="Heading 6 Char"/>
    <w:aliases w:val="h6 Char"/>
    <w:basedOn w:val="DefaultParagraphFont"/>
    <w:link w:val="Heading6"/>
    <w:rsid w:val="00981296"/>
    <w:rPr>
      <w:b/>
      <w:snapToGrid w:val="0"/>
      <w:kern w:val="28"/>
      <w:sz w:val="22"/>
    </w:rPr>
  </w:style>
  <w:style w:type="character" w:customStyle="1" w:styleId="Heading7Char">
    <w:name w:val="Heading 7 Char"/>
    <w:basedOn w:val="DefaultParagraphFont"/>
    <w:link w:val="Heading7"/>
    <w:rsid w:val="00981296"/>
    <w:rPr>
      <w:b/>
      <w:snapToGrid w:val="0"/>
      <w:kern w:val="28"/>
      <w:sz w:val="22"/>
    </w:rPr>
  </w:style>
  <w:style w:type="character" w:customStyle="1" w:styleId="Heading8Char">
    <w:name w:val="Heading 8 Char"/>
    <w:basedOn w:val="DefaultParagraphFont"/>
    <w:link w:val="Heading8"/>
    <w:rsid w:val="00981296"/>
    <w:rPr>
      <w:b/>
      <w:snapToGrid w:val="0"/>
      <w:kern w:val="28"/>
      <w:sz w:val="22"/>
    </w:rPr>
  </w:style>
  <w:style w:type="character" w:customStyle="1" w:styleId="Heading9Char">
    <w:name w:val="Heading 9 Char"/>
    <w:basedOn w:val="DefaultParagraphFont"/>
    <w:link w:val="Heading9"/>
    <w:rsid w:val="00981296"/>
    <w:rPr>
      <w:b/>
      <w:snapToGrid w:val="0"/>
      <w:kern w:val="28"/>
      <w:sz w:val="22"/>
    </w:rPr>
  </w:style>
  <w:style w:type="paragraph" w:styleId="BodyText">
    <w:name w:val="Body Text"/>
    <w:basedOn w:val="Normal"/>
    <w:link w:val="BodyTextChar"/>
    <w:rsid w:val="00973C65"/>
    <w:pPr>
      <w:widowControl/>
    </w:pPr>
    <w:rPr>
      <w:rFonts w:ascii="CG Times (W1)" w:hAnsi="CG Times (W1)"/>
      <w:snapToGrid/>
      <w:kern w:val="0"/>
    </w:rPr>
  </w:style>
  <w:style w:type="character" w:customStyle="1" w:styleId="BodyTextChar">
    <w:name w:val="Body Text Char"/>
    <w:basedOn w:val="DefaultParagraphFont"/>
    <w:link w:val="BodyText"/>
    <w:rsid w:val="00973C65"/>
    <w:rPr>
      <w:rFonts w:ascii="CG Times (W1)" w:hAnsi="CG Times (W1)"/>
      <w:sz w:val="22"/>
    </w:rPr>
  </w:style>
  <w:style w:type="character" w:styleId="FollowedHyperlink">
    <w:name w:val="FollowedHyperlink"/>
    <w:basedOn w:val="DefaultParagraphFont"/>
    <w:uiPriority w:val="99"/>
    <w:rsid w:val="00C654C0"/>
    <w:rPr>
      <w:color w:val="954F72" w:themeColor="followedHyperlink"/>
      <w:u w:val="single"/>
    </w:rPr>
  </w:style>
  <w:style w:type="character" w:customStyle="1" w:styleId="cosearchterm">
    <w:name w:val="co_searchterm"/>
    <w:basedOn w:val="DefaultParagraphFont"/>
    <w:rsid w:val="00F3528C"/>
  </w:style>
  <w:style w:type="character" w:customStyle="1" w:styleId="ParaNumChar">
    <w:name w:val="ParaNum Char"/>
    <w:locked/>
    <w:rsid w:val="00895439"/>
    <w:rPr>
      <w:rFonts w:ascii="Times New Roman" w:eastAsia="Times New Roman" w:hAnsi="Times New Roman" w:cs="Times New Roman"/>
      <w:snapToGrid w:val="0"/>
      <w:kern w:val="28"/>
      <w:szCs w:val="20"/>
    </w:rPr>
  </w:style>
  <w:style w:type="character" w:customStyle="1" w:styleId="UnresolvedMention1">
    <w:name w:val="Unresolved Mention1"/>
    <w:basedOn w:val="DefaultParagraphFont"/>
    <w:uiPriority w:val="99"/>
    <w:semiHidden/>
    <w:unhideWhenUsed/>
    <w:rsid w:val="00306ED0"/>
    <w:rPr>
      <w:color w:val="808080"/>
      <w:shd w:val="clear" w:color="auto" w:fill="E6E6E6"/>
    </w:rPr>
  </w:style>
  <w:style w:type="character" w:customStyle="1" w:styleId="HeaderChar">
    <w:name w:val="Header Char"/>
    <w:basedOn w:val="DefaultParagraphFont"/>
    <w:link w:val="Header"/>
    <w:rsid w:val="007A7AF2"/>
    <w:rPr>
      <w:b/>
      <w:snapToGrid w:val="0"/>
      <w:kern w:val="28"/>
      <w:sz w:val="22"/>
    </w:rPr>
  </w:style>
  <w:style w:type="character" w:customStyle="1" w:styleId="EndnoteTextChar">
    <w:name w:val="Endnote Text Char"/>
    <w:basedOn w:val="DefaultParagraphFont"/>
    <w:link w:val="EndnoteText"/>
    <w:semiHidden/>
    <w:rsid w:val="00E76ED4"/>
    <w:rPr>
      <w:snapToGrid w:val="0"/>
      <w:kern w:val="28"/>
    </w:rPr>
  </w:style>
  <w:style w:type="paragraph" w:styleId="ListParagraph">
    <w:name w:val="List Paragraph"/>
    <w:basedOn w:val="Normal"/>
    <w:uiPriority w:val="34"/>
    <w:qFormat/>
    <w:rsid w:val="00587183"/>
    <w:pPr>
      <w:ind w:left="720"/>
      <w:contextualSpacing/>
    </w:pPr>
  </w:style>
  <w:style w:type="paragraph" w:customStyle="1" w:styleId="msonormal">
    <w:name w:val="msonormal"/>
    <w:basedOn w:val="Normal"/>
    <w:rsid w:val="00AB697C"/>
    <w:pPr>
      <w:widowControl/>
      <w:spacing w:before="100" w:beforeAutospacing="1" w:after="100" w:afterAutospacing="1"/>
    </w:pPr>
    <w:rPr>
      <w:snapToGrid/>
      <w:kern w:val="0"/>
      <w:sz w:val="24"/>
      <w:szCs w:val="24"/>
    </w:rPr>
  </w:style>
  <w:style w:type="paragraph" w:customStyle="1" w:styleId="xl63">
    <w:name w:val="xl63"/>
    <w:basedOn w:val="Normal"/>
    <w:rsid w:val="00AB697C"/>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4">
    <w:name w:val="xl64"/>
    <w:basedOn w:val="Normal"/>
    <w:rsid w:val="00AB697C"/>
    <w:pPr>
      <w:widowControl/>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b/>
      <w:bCs/>
      <w:snapToGrid/>
      <w:kern w:val="0"/>
      <w:sz w:val="18"/>
      <w:szCs w:val="18"/>
    </w:rPr>
  </w:style>
  <w:style w:type="paragraph" w:customStyle="1" w:styleId="xl65">
    <w:name w:val="xl65"/>
    <w:basedOn w:val="Normal"/>
    <w:rsid w:val="00AB697C"/>
    <w:pPr>
      <w:widowControl/>
      <w:spacing w:before="100" w:beforeAutospacing="1" w:after="100" w:afterAutospacing="1"/>
    </w:pPr>
    <w:rPr>
      <w:rFonts w:ascii="Arial" w:hAnsi="Arial" w:cs="Arial"/>
      <w:b/>
      <w:bCs/>
      <w:snapToGrid/>
      <w:kern w:val="0"/>
      <w:sz w:val="18"/>
      <w:szCs w:val="18"/>
    </w:rPr>
  </w:style>
  <w:style w:type="paragraph" w:customStyle="1" w:styleId="xl66">
    <w:name w:val="xl66"/>
    <w:basedOn w:val="Normal"/>
    <w:rsid w:val="00AB697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67">
    <w:name w:val="xl67"/>
    <w:basedOn w:val="Normal"/>
    <w:rsid w:val="00AB697C"/>
    <w:pPr>
      <w:widowControl/>
      <w:pBdr>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68">
    <w:name w:val="xl68"/>
    <w:basedOn w:val="Normal"/>
    <w:rsid w:val="00AB697C"/>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69">
    <w:name w:val="xl69"/>
    <w:basedOn w:val="Normal"/>
    <w:rsid w:val="00AB697C"/>
    <w:pPr>
      <w:widowControl/>
      <w:spacing w:before="100" w:beforeAutospacing="1" w:after="100" w:afterAutospacing="1"/>
    </w:pPr>
    <w:rPr>
      <w:rFonts w:ascii="Arial" w:hAnsi="Arial" w:cs="Arial"/>
      <w:snapToGrid/>
      <w:kern w:val="0"/>
      <w:sz w:val="18"/>
      <w:szCs w:val="18"/>
    </w:rPr>
  </w:style>
  <w:style w:type="paragraph" w:customStyle="1" w:styleId="xl70">
    <w:name w:val="xl70"/>
    <w:basedOn w:val="Normal"/>
    <w:rsid w:val="00AB697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color w:val="333333"/>
      <w:kern w:val="0"/>
      <w:sz w:val="18"/>
      <w:szCs w:val="18"/>
    </w:rPr>
  </w:style>
  <w:style w:type="paragraph" w:customStyle="1" w:styleId="xl71">
    <w:name w:val="xl71"/>
    <w:basedOn w:val="Normal"/>
    <w:rsid w:val="00AB697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color w:val="333333"/>
      <w:kern w:val="0"/>
      <w:sz w:val="18"/>
      <w:szCs w:val="18"/>
    </w:rPr>
  </w:style>
  <w:style w:type="paragraph" w:customStyle="1" w:styleId="xl72">
    <w:name w:val="xl72"/>
    <w:basedOn w:val="Normal"/>
    <w:rsid w:val="00AB697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3">
    <w:name w:val="xl73"/>
    <w:basedOn w:val="Normal"/>
    <w:rsid w:val="00AB697C"/>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4">
    <w:name w:val="xl74"/>
    <w:basedOn w:val="Normal"/>
    <w:rsid w:val="00AB697C"/>
    <w:pPr>
      <w:widowControl/>
      <w:pBdr>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customStyle="1" w:styleId="xl75">
    <w:name w:val="xl75"/>
    <w:basedOn w:val="Normal"/>
    <w:rsid w:val="00AB697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kern w:val="0"/>
      <w:sz w:val="18"/>
      <w:szCs w:val="18"/>
    </w:rPr>
  </w:style>
  <w:style w:type="paragraph" w:customStyle="1" w:styleId="xl76">
    <w:name w:val="xl76"/>
    <w:basedOn w:val="Normal"/>
    <w:rsid w:val="00AB697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color w:val="333333"/>
      <w:kern w:val="0"/>
      <w:sz w:val="18"/>
      <w:szCs w:val="18"/>
    </w:rPr>
  </w:style>
  <w:style w:type="paragraph" w:styleId="NormalWeb">
    <w:name w:val="Normal (Web)"/>
    <w:basedOn w:val="Normal"/>
    <w:uiPriority w:val="99"/>
    <w:unhideWhenUsed/>
    <w:rsid w:val="00A6333F"/>
    <w:pPr>
      <w:widowControl/>
      <w:spacing w:before="100" w:beforeAutospacing="1" w:after="100" w:afterAutospacing="1"/>
    </w:pPr>
    <w:rPr>
      <w:snapToGrid/>
      <w:kern w:val="0"/>
      <w:sz w:val="24"/>
      <w:szCs w:val="24"/>
    </w:rPr>
  </w:style>
  <w:style w:type="character" w:customStyle="1" w:styleId="hits">
    <w:name w:val="hits"/>
    <w:basedOn w:val="DefaultParagraphFont"/>
    <w:rsid w:val="00A6333F"/>
  </w:style>
  <w:style w:type="table" w:styleId="TableGrid">
    <w:name w:val="Table Grid"/>
    <w:basedOn w:val="TableNormal"/>
    <w:rsid w:val="0015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12D"/>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45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