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0359A" w:rsidRPr="005971D7" w:rsidP="00E0359A">
      <w:pPr>
        <w:ind w:left="720" w:hanging="720"/>
        <w:jc w:val="center"/>
        <w:rPr>
          <w:b/>
        </w:rPr>
      </w:pPr>
      <w:r w:rsidRPr="005971D7">
        <w:rPr>
          <w:b/>
        </w:rPr>
        <w:t>STATEMENT OF</w:t>
      </w:r>
    </w:p>
    <w:p w:rsidR="00E0359A" w:rsidRPr="005971D7" w:rsidP="00E0359A">
      <w:pPr>
        <w:ind w:left="720" w:hanging="720"/>
        <w:jc w:val="center"/>
        <w:rPr>
          <w:b/>
        </w:rPr>
      </w:pPr>
      <w:r w:rsidRPr="005971D7">
        <w:rPr>
          <w:b/>
        </w:rPr>
        <w:t>COMMISSIONER MICHAEL O’RIELLY</w:t>
      </w:r>
    </w:p>
    <w:p w:rsidR="00E0359A" w:rsidRPr="005971D7" w:rsidP="00E0359A">
      <w:pPr>
        <w:ind w:left="720" w:hanging="720"/>
      </w:pPr>
    </w:p>
    <w:p w:rsidR="00E0359A" w:rsidRPr="005971D7" w:rsidP="00E0359A">
      <w:pPr>
        <w:ind w:left="720" w:hanging="720"/>
      </w:pPr>
      <w:r w:rsidRPr="005971D7">
        <w:t>Re:</w:t>
      </w:r>
      <w:r w:rsidRPr="005971D7">
        <w:rPr>
          <w:i/>
        </w:rPr>
        <w:tab/>
        <w:t>Implementation of Section 621(a)(1) of the Cable Communications Policy Act of 1984 as Amended by the Cable Television Consumer Protection and Competition Act of 1992</w:t>
      </w:r>
      <w:r w:rsidRPr="00343083">
        <w:t>,</w:t>
      </w:r>
      <w:r w:rsidRPr="005971D7">
        <w:t xml:space="preserve"> MB Docket </w:t>
      </w:r>
      <w:bookmarkStart w:id="0" w:name="_GoBack"/>
      <w:r w:rsidRPr="005971D7">
        <w:t>No. 05-311</w:t>
      </w:r>
    </w:p>
    <w:p w:rsidR="00E0359A" w:rsidRPr="005971D7" w:rsidP="00E0359A">
      <w:pPr>
        <w:ind w:left="720" w:hanging="720"/>
      </w:pPr>
      <w:bookmarkEnd w:id="0"/>
    </w:p>
    <w:p w:rsidR="00E0359A" w:rsidRPr="00C87E2D" w:rsidP="00E0359A">
      <w:r w:rsidRPr="005971D7">
        <w:t xml:space="preserve">The market for communications services is dramatically changing before our very eyes, making many parts of current law and Commission regulations vastly anachronistic.  </w:t>
      </w:r>
      <w:r>
        <w:rPr>
          <w:i/>
        </w:rPr>
        <w:t>U</w:t>
      </w:r>
      <w:r w:rsidRPr="00F22330">
        <w:rPr>
          <w:i/>
        </w:rPr>
        <w:t>nregulated</w:t>
      </w:r>
      <w:r w:rsidRPr="00F22330">
        <w:t xml:space="preserve"> over-the-top providers</w:t>
      </w:r>
      <w:r>
        <w:t xml:space="preserve"> have achieved </w:t>
      </w:r>
      <w:r w:rsidRPr="00D25036">
        <w:t>enormous popularity and success</w:t>
      </w:r>
      <w:r w:rsidRPr="00F22330">
        <w:t xml:space="preserve">.  </w:t>
      </w:r>
      <w:r>
        <w:t>For this and other reasons,</w:t>
      </w:r>
      <w:r w:rsidRPr="00F22330">
        <w:t xml:space="preserve"> I have endorsed efforts by Congress to rewrite the Communications Act, particularly Title VI, which governs a significant portion of </w:t>
      </w:r>
      <w:r>
        <w:t xml:space="preserve">the </w:t>
      </w:r>
      <w:r w:rsidRPr="00F22330">
        <w:t xml:space="preserve">video services offered by traditional video providers.  Moreover, I have pushed the Commission to update its own rules and internal structure to reflect the current and future marketplace for video and other services.  With such </w:t>
      </w:r>
      <w:r>
        <w:t>a dynamic video marketplace</w:t>
      </w:r>
      <w:r w:rsidRPr="0019642F">
        <w:t xml:space="preserve"> and a shrinking role of franchise authorities, it </w:t>
      </w:r>
      <w:r>
        <w:t>is</w:t>
      </w:r>
      <w:r w:rsidRPr="00343083">
        <w:t xml:space="preserve"> </w:t>
      </w:r>
      <w:r>
        <w:t>un</w:t>
      </w:r>
      <w:r w:rsidRPr="00C87E2D">
        <w:t xml:space="preserve">surprising that </w:t>
      </w:r>
      <w:r>
        <w:t>the latter</w:t>
      </w:r>
      <w:r w:rsidRPr="00C87E2D">
        <w:t xml:space="preserve"> entities are under intense pressure – both financial and political – to expand their reach outside their respective jurisdictions into various businesses and activities of local video franchisees.  But </w:t>
      </w:r>
      <w:r>
        <w:t>such unauthorized expansion</w:t>
      </w:r>
      <w:r w:rsidRPr="00C87E2D">
        <w:t xml:space="preserve"> is wrong and must be curtailed.  </w:t>
      </w:r>
    </w:p>
    <w:p w:rsidR="00E0359A" w:rsidRPr="00C87E2D" w:rsidP="00E0359A">
      <w:r w:rsidRPr="00C87E2D">
        <w:t xml:space="preserve">  </w:t>
      </w:r>
    </w:p>
    <w:p w:rsidR="00E0359A" w:rsidRPr="00834E42" w:rsidP="00E0359A">
      <w:r>
        <w:t>After a remand from the United States Court of Appeals for the Sixth Circuit, t</w:t>
      </w:r>
      <w:r w:rsidRPr="00C87E2D">
        <w:t xml:space="preserve">his item appropriately and justifiably starts the procedural steps to prevent the overreach of franchise authorities in two instances.  First, it </w:t>
      </w:r>
      <w:r>
        <w:t>correctly proposes to count</w:t>
      </w:r>
      <w:r w:rsidRPr="00E75B1D">
        <w:t xml:space="preserve"> </w:t>
      </w:r>
      <w:r>
        <w:t xml:space="preserve">cable-related </w:t>
      </w:r>
      <w:r w:rsidRPr="00E75B1D">
        <w:t xml:space="preserve">“in kind” contributions against the cap on franchise fees.  The absence of </w:t>
      </w:r>
      <w:r w:rsidRPr="00E75B1D">
        <w:t>such a limitation leaves franchise authorities</w:t>
      </w:r>
      <w:r w:rsidRPr="00E75B1D">
        <w:t xml:space="preserve"> with </w:t>
      </w:r>
      <w:r>
        <w:t>the</w:t>
      </w:r>
      <w:r w:rsidRPr="00E75B1D">
        <w:t xml:space="preserve"> ability to end-run the fee cap, making a mockery of the law.  And this isn’t </w:t>
      </w:r>
      <w:r>
        <w:t xml:space="preserve">simply </w:t>
      </w:r>
      <w:r w:rsidRPr="00834E42">
        <w:t xml:space="preserve">a theoretical issue, </w:t>
      </w:r>
      <w:r>
        <w:t xml:space="preserve">as </w:t>
      </w:r>
      <w:r w:rsidRPr="00834E42">
        <w:t xml:space="preserve">there are concrete instances in which franchise authorities have already abused their powers to force these “contributions.”  Beyond </w:t>
      </w:r>
      <w:r>
        <w:t>violating</w:t>
      </w:r>
      <w:r w:rsidRPr="00834E42">
        <w:t xml:space="preserve"> their </w:t>
      </w:r>
      <w:r>
        <w:t>legal authority</w:t>
      </w:r>
      <w:r w:rsidRPr="00834E42">
        <w:t xml:space="preserve">, such efforts have many destructive impacts, including directly increasing consumer costs and indirectly harming the ability of providers to deploy and offer service.  </w:t>
      </w:r>
    </w:p>
    <w:p w:rsidR="00E0359A" w:rsidRPr="00834E42" w:rsidP="00E0359A"/>
    <w:p w:rsidR="00E0359A" w:rsidRPr="003A01D4" w:rsidP="00E0359A">
      <w:r w:rsidRPr="00834E42">
        <w:t xml:space="preserve">Second, the item properly </w:t>
      </w:r>
      <w:r>
        <w:t>seeks comment on the tentative conclusion that</w:t>
      </w:r>
      <w:r w:rsidRPr="006C6010">
        <w:t xml:space="preserve"> franchise authorities </w:t>
      </w:r>
      <w:r>
        <w:t>cannot</w:t>
      </w:r>
      <w:r w:rsidRPr="006C6010">
        <w:t xml:space="preserve"> impos</w:t>
      </w:r>
      <w:r>
        <w:t>e</w:t>
      </w:r>
      <w:r w:rsidRPr="006C6010">
        <w:t xml:space="preserve"> regulatory burdens on </w:t>
      </w:r>
      <w:r>
        <w:t xml:space="preserve">incumbent </w:t>
      </w:r>
      <w:r w:rsidRPr="006C6010">
        <w:t xml:space="preserve">non-cable services.  Title VI only </w:t>
      </w:r>
      <w:r>
        <w:t>authorizes</w:t>
      </w:r>
      <w:r w:rsidRPr="006C6010">
        <w:t xml:space="preserve"> franchise authorities to oversee or regulate certain aspects of cable services, not other portions of a cable provider’s business.  Without </w:t>
      </w:r>
      <w:r w:rsidRPr="001B0AEE">
        <w:t>o</w:t>
      </w:r>
      <w:r w:rsidRPr="007B1F61">
        <w:t>ur action today</w:t>
      </w:r>
      <w:r w:rsidRPr="00231603">
        <w:t xml:space="preserve">, which is consistent with past Commission rulings, franchise authorities would be emboldened to intervene, impose mandates, extract concessions and more on host of services outside the scope of Congress’ directive.  In fact, absent our action, it’s hard to see any boundaries </w:t>
      </w:r>
      <w:r>
        <w:t>to</w:t>
      </w:r>
      <w:r w:rsidRPr="00231603">
        <w:t xml:space="preserve"> the meddling of franchise authorities, creating the perverse circumstance in which such non-cable services could be regulated by mul</w:t>
      </w:r>
      <w:r w:rsidRPr="003A01D4">
        <w:t xml:space="preserve">tiple governmental layers, generating confusing and conflicting obligations.  </w:t>
      </w:r>
    </w:p>
    <w:p w:rsidR="00E0359A" w:rsidRPr="003A01D4" w:rsidP="00E0359A"/>
    <w:p w:rsidR="00E0359A" w:rsidRPr="002C7BF5" w:rsidP="00E0359A">
      <w:r w:rsidRPr="003A01D4">
        <w:t xml:space="preserve">Consistent with </w:t>
      </w:r>
      <w:r>
        <w:t>this</w:t>
      </w:r>
      <w:r w:rsidRPr="003A01D4">
        <w:t xml:space="preserve"> </w:t>
      </w:r>
      <w:r>
        <w:t>approach</w:t>
      </w:r>
      <w:r w:rsidRPr="003A01D4">
        <w:t xml:space="preserve">, I am pleased that the Chairman added my request to seek comment on whether statewide cable provider franchises should </w:t>
      </w:r>
      <w:r>
        <w:t>be subject to</w:t>
      </w:r>
      <w:r w:rsidRPr="004D1762">
        <w:t xml:space="preserve"> similar limitations as those enacted </w:t>
      </w:r>
      <w:r>
        <w:t>for</w:t>
      </w:r>
      <w:r w:rsidRPr="004D1762">
        <w:t xml:space="preserve"> local franchise authorities.  Authorizing or implementing statewide franchising doesn’t eliminate the possibility of the same type of overreach </w:t>
      </w:r>
      <w:r>
        <w:t>inflicted by</w:t>
      </w:r>
      <w:r w:rsidRPr="002C7BF5">
        <w:t xml:space="preserve"> local franchise authorities</w:t>
      </w:r>
      <w:r>
        <w:t>,</w:t>
      </w:r>
      <w:r w:rsidRPr="002C7BF5">
        <w:t xml:space="preserve"> and we must curtail these efforts as well. </w:t>
      </w:r>
    </w:p>
    <w:p w:rsidR="00E0359A" w:rsidRPr="002C7BF5" w:rsidP="00E0359A"/>
    <w:p w:rsidR="00412FC5" w:rsidRPr="00E0359A" w:rsidP="00E0359A">
      <w:r w:rsidRPr="002C7BF5">
        <w:t xml:space="preserve">Lastly, I appreciate Chairman </w:t>
      </w:r>
      <w:r w:rsidRPr="002C7BF5">
        <w:t>Pai’s</w:t>
      </w:r>
      <w:r w:rsidRPr="002C7BF5">
        <w:t xml:space="preserve"> willingness to expand our media modernization effort for cable services beyond the </w:t>
      </w:r>
      <w:r w:rsidRPr="002C7BF5">
        <w:t>fairly technical</w:t>
      </w:r>
      <w:r w:rsidRPr="002C7BF5">
        <w:t xml:space="preserve"> items.  Until recent life events</w:t>
      </w:r>
      <w:r>
        <w:t xml:space="preserve"> took over</w:t>
      </w:r>
      <w:r w:rsidRPr="002C7BF5">
        <w:t xml:space="preserve">, I had been working </w:t>
      </w:r>
      <w:r>
        <w:t>on a project to</w:t>
      </w:r>
      <w:r w:rsidRPr="002C7BF5">
        <w:t xml:space="preserve"> outlin</w:t>
      </w:r>
      <w:r>
        <w:t>e</w:t>
      </w:r>
      <w:r w:rsidRPr="002C7BF5">
        <w:t xml:space="preserve"> </w:t>
      </w:r>
      <w:r>
        <w:t>significant</w:t>
      </w:r>
      <w:r w:rsidRPr="002C7BF5">
        <w:t xml:space="preserve">, substantive </w:t>
      </w:r>
      <w:r>
        <w:t>reforms</w:t>
      </w:r>
      <w:r w:rsidRPr="004C754E">
        <w:t xml:space="preserve"> that the Commission can and should pursue to reflect the current marketplace.  While </w:t>
      </w:r>
      <w:r>
        <w:t>critical</w:t>
      </w:r>
      <w:r w:rsidRPr="004C754E">
        <w:t>, some of these actions may require alterations of law</w:t>
      </w:r>
      <w:r>
        <w:t>,</w:t>
      </w:r>
      <w:r w:rsidRPr="004C754E">
        <w:t xml:space="preserve"> but doing so would provide a pathway for Congress to consider the same, if it was so inclined.  </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359A">
      <w:rPr>
        <w:spacing w:val="-2"/>
      </w:rPr>
      <w:t>FCC 18-131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2C0"/>
    <w:pPr>
      <w:widowControl w:val="0"/>
    </w:pPr>
    <w:rPr>
      <w:snapToGrid w:val="0"/>
      <w:kern w:val="28"/>
      <w:sz w:val="22"/>
    </w:rPr>
  </w:style>
  <w:style w:type="paragraph" w:styleId="Heading1">
    <w:name w:val="heading 1"/>
    <w:basedOn w:val="Normal"/>
    <w:next w:val="ParaNum"/>
    <w:qFormat/>
    <w:rsid w:val="003772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72C0"/>
    <w:pPr>
      <w:keepNext/>
      <w:numPr>
        <w:ilvl w:val="1"/>
        <w:numId w:val="3"/>
      </w:numPr>
      <w:spacing w:after="120"/>
      <w:outlineLvl w:val="1"/>
    </w:pPr>
    <w:rPr>
      <w:b/>
    </w:rPr>
  </w:style>
  <w:style w:type="paragraph" w:styleId="Heading3">
    <w:name w:val="heading 3"/>
    <w:basedOn w:val="Normal"/>
    <w:next w:val="ParaNum"/>
    <w:qFormat/>
    <w:rsid w:val="003772C0"/>
    <w:pPr>
      <w:keepNext/>
      <w:numPr>
        <w:ilvl w:val="2"/>
        <w:numId w:val="3"/>
      </w:numPr>
      <w:tabs>
        <w:tab w:val="left" w:pos="2160"/>
      </w:tabs>
      <w:spacing w:after="120"/>
      <w:outlineLvl w:val="2"/>
    </w:pPr>
    <w:rPr>
      <w:b/>
    </w:rPr>
  </w:style>
  <w:style w:type="paragraph" w:styleId="Heading4">
    <w:name w:val="heading 4"/>
    <w:basedOn w:val="Normal"/>
    <w:next w:val="ParaNum"/>
    <w:qFormat/>
    <w:rsid w:val="003772C0"/>
    <w:pPr>
      <w:keepNext/>
      <w:numPr>
        <w:ilvl w:val="3"/>
        <w:numId w:val="3"/>
      </w:numPr>
      <w:tabs>
        <w:tab w:val="left" w:pos="2880"/>
      </w:tabs>
      <w:spacing w:after="120"/>
      <w:outlineLvl w:val="3"/>
    </w:pPr>
    <w:rPr>
      <w:b/>
    </w:rPr>
  </w:style>
  <w:style w:type="paragraph" w:styleId="Heading5">
    <w:name w:val="heading 5"/>
    <w:basedOn w:val="Normal"/>
    <w:next w:val="ParaNum"/>
    <w:qFormat/>
    <w:rsid w:val="003772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772C0"/>
    <w:pPr>
      <w:numPr>
        <w:ilvl w:val="5"/>
        <w:numId w:val="3"/>
      </w:numPr>
      <w:tabs>
        <w:tab w:val="left" w:pos="4320"/>
      </w:tabs>
      <w:spacing w:after="120"/>
      <w:outlineLvl w:val="5"/>
    </w:pPr>
    <w:rPr>
      <w:b/>
    </w:rPr>
  </w:style>
  <w:style w:type="paragraph" w:styleId="Heading7">
    <w:name w:val="heading 7"/>
    <w:basedOn w:val="Normal"/>
    <w:next w:val="ParaNum"/>
    <w:qFormat/>
    <w:rsid w:val="003772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772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772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7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2C0"/>
  </w:style>
  <w:style w:type="paragraph" w:customStyle="1" w:styleId="ParaNum">
    <w:name w:val="ParaNum"/>
    <w:basedOn w:val="Normal"/>
    <w:rsid w:val="003772C0"/>
    <w:pPr>
      <w:numPr>
        <w:numId w:val="2"/>
      </w:numPr>
      <w:tabs>
        <w:tab w:val="clear" w:pos="1080"/>
        <w:tab w:val="num" w:pos="1440"/>
      </w:tabs>
      <w:spacing w:after="120"/>
    </w:pPr>
  </w:style>
  <w:style w:type="paragraph" w:styleId="EndnoteText">
    <w:name w:val="endnote text"/>
    <w:basedOn w:val="Normal"/>
    <w:semiHidden/>
    <w:rsid w:val="003772C0"/>
    <w:rPr>
      <w:sz w:val="20"/>
    </w:rPr>
  </w:style>
  <w:style w:type="character" w:styleId="EndnoteReference">
    <w:name w:val="endnote reference"/>
    <w:semiHidden/>
    <w:rsid w:val="003772C0"/>
    <w:rPr>
      <w:vertAlign w:val="superscript"/>
    </w:rPr>
  </w:style>
  <w:style w:type="paragraph" w:styleId="FootnoteText">
    <w:name w:val="footnote text"/>
    <w:rsid w:val="003772C0"/>
    <w:pPr>
      <w:spacing w:after="120"/>
    </w:pPr>
  </w:style>
  <w:style w:type="character" w:styleId="FootnoteReference">
    <w:name w:val="footnote reference"/>
    <w:rsid w:val="003772C0"/>
    <w:rPr>
      <w:rFonts w:ascii="Times New Roman" w:hAnsi="Times New Roman"/>
      <w:dstrike w:val="0"/>
      <w:color w:val="auto"/>
      <w:sz w:val="20"/>
      <w:vertAlign w:val="superscript"/>
    </w:rPr>
  </w:style>
  <w:style w:type="paragraph" w:styleId="TOC1">
    <w:name w:val="toc 1"/>
    <w:basedOn w:val="Normal"/>
    <w:next w:val="Normal"/>
    <w:semiHidden/>
    <w:rsid w:val="003772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72C0"/>
    <w:pPr>
      <w:tabs>
        <w:tab w:val="left" w:pos="720"/>
        <w:tab w:val="right" w:leader="dot" w:pos="9360"/>
      </w:tabs>
      <w:suppressAutoHyphens/>
      <w:ind w:left="720" w:right="720" w:hanging="360"/>
    </w:pPr>
    <w:rPr>
      <w:noProof/>
    </w:rPr>
  </w:style>
  <w:style w:type="paragraph" w:styleId="TOC3">
    <w:name w:val="toc 3"/>
    <w:basedOn w:val="Normal"/>
    <w:next w:val="Normal"/>
    <w:semiHidden/>
    <w:rsid w:val="003772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72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72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72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72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72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72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72C0"/>
    <w:pPr>
      <w:tabs>
        <w:tab w:val="right" w:pos="9360"/>
      </w:tabs>
      <w:suppressAutoHyphens/>
    </w:pPr>
  </w:style>
  <w:style w:type="character" w:customStyle="1" w:styleId="EquationCaption">
    <w:name w:val="_Equation Caption"/>
    <w:rsid w:val="003772C0"/>
  </w:style>
  <w:style w:type="paragraph" w:styleId="Header">
    <w:name w:val="header"/>
    <w:basedOn w:val="Normal"/>
    <w:autoRedefine/>
    <w:rsid w:val="003772C0"/>
    <w:pPr>
      <w:tabs>
        <w:tab w:val="center" w:pos="4680"/>
        <w:tab w:val="right" w:pos="9360"/>
      </w:tabs>
    </w:pPr>
    <w:rPr>
      <w:b/>
    </w:rPr>
  </w:style>
  <w:style w:type="paragraph" w:styleId="Footer">
    <w:name w:val="footer"/>
    <w:basedOn w:val="Normal"/>
    <w:link w:val="FooterChar"/>
    <w:uiPriority w:val="99"/>
    <w:rsid w:val="003772C0"/>
    <w:pPr>
      <w:tabs>
        <w:tab w:val="center" w:pos="4320"/>
        <w:tab w:val="right" w:pos="8640"/>
      </w:tabs>
    </w:pPr>
  </w:style>
  <w:style w:type="character" w:styleId="PageNumber">
    <w:name w:val="page number"/>
    <w:basedOn w:val="DefaultParagraphFont"/>
    <w:rsid w:val="003772C0"/>
  </w:style>
  <w:style w:type="paragraph" w:styleId="BlockText">
    <w:name w:val="Block Text"/>
    <w:basedOn w:val="Normal"/>
    <w:rsid w:val="003772C0"/>
    <w:pPr>
      <w:spacing w:after="240"/>
      <w:ind w:left="1440" w:right="1440"/>
    </w:pPr>
  </w:style>
  <w:style w:type="paragraph" w:customStyle="1" w:styleId="Paratitle">
    <w:name w:val="Para title"/>
    <w:basedOn w:val="Normal"/>
    <w:rsid w:val="003772C0"/>
    <w:pPr>
      <w:tabs>
        <w:tab w:val="center" w:pos="9270"/>
      </w:tabs>
      <w:spacing w:after="240"/>
    </w:pPr>
    <w:rPr>
      <w:spacing w:val="-2"/>
    </w:rPr>
  </w:style>
  <w:style w:type="paragraph" w:customStyle="1" w:styleId="Bullet">
    <w:name w:val="Bullet"/>
    <w:basedOn w:val="Normal"/>
    <w:rsid w:val="003772C0"/>
    <w:pPr>
      <w:tabs>
        <w:tab w:val="left" w:pos="2160"/>
      </w:tabs>
      <w:spacing w:after="220"/>
      <w:ind w:left="2160" w:hanging="720"/>
    </w:pPr>
  </w:style>
  <w:style w:type="paragraph" w:customStyle="1" w:styleId="TableFormat">
    <w:name w:val="TableFormat"/>
    <w:basedOn w:val="Bullet"/>
    <w:rsid w:val="003772C0"/>
    <w:pPr>
      <w:tabs>
        <w:tab w:val="clear" w:pos="2160"/>
        <w:tab w:val="left" w:pos="5040"/>
      </w:tabs>
      <w:ind w:left="5040" w:hanging="3600"/>
    </w:pPr>
  </w:style>
  <w:style w:type="paragraph" w:customStyle="1" w:styleId="TOCTitle">
    <w:name w:val="TOC Title"/>
    <w:basedOn w:val="Normal"/>
    <w:rsid w:val="003772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2C0"/>
    <w:pPr>
      <w:jc w:val="center"/>
    </w:pPr>
    <w:rPr>
      <w:rFonts w:ascii="Times New Roman Bold" w:hAnsi="Times New Roman Bold"/>
      <w:b/>
      <w:bCs/>
      <w:caps/>
      <w:szCs w:val="22"/>
    </w:rPr>
  </w:style>
  <w:style w:type="character" w:styleId="Hyperlink">
    <w:name w:val="Hyperlink"/>
    <w:rsid w:val="003772C0"/>
    <w:rPr>
      <w:color w:val="0000FF"/>
      <w:u w:val="single"/>
    </w:rPr>
  </w:style>
  <w:style w:type="character" w:customStyle="1" w:styleId="FooterChar">
    <w:name w:val="Footer Char"/>
    <w:link w:val="Footer"/>
    <w:uiPriority w:val="99"/>
    <w:rsid w:val="003772C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