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46086" w:rsidRPr="0082492A" w:rsidP="00446086" w14:paraId="153ACD97" w14:textId="77777777">
      <w:pPr>
        <w:jc w:val="center"/>
        <w:rPr>
          <w:b/>
          <w:szCs w:val="22"/>
        </w:rPr>
      </w:pPr>
      <w:bookmarkStart w:id="0" w:name="_GoBack"/>
      <w:bookmarkEnd w:id="0"/>
      <w:r w:rsidRPr="0082492A">
        <w:rPr>
          <w:b/>
          <w:kern w:val="0"/>
          <w:szCs w:val="22"/>
        </w:rPr>
        <w:t>Before</w:t>
      </w:r>
      <w:r w:rsidRPr="0082492A">
        <w:rPr>
          <w:b/>
          <w:szCs w:val="22"/>
        </w:rPr>
        <w:t xml:space="preserve"> the</w:t>
      </w:r>
    </w:p>
    <w:p w:rsidR="00446086" w:rsidRPr="0082492A" w:rsidP="00446086" w14:paraId="0BEDDC18" w14:textId="77777777">
      <w:pPr>
        <w:pStyle w:val="StyleBoldCentered"/>
        <w:rPr>
          <w:rFonts w:ascii="Times New Roman" w:hAnsi="Times New Roman"/>
        </w:rPr>
      </w:pPr>
      <w:r w:rsidRPr="0082492A">
        <w:rPr>
          <w:rFonts w:ascii="Times New Roman" w:hAnsi="Times New Roman"/>
        </w:rPr>
        <w:t>F</w:t>
      </w:r>
      <w:r w:rsidRPr="0082492A">
        <w:rPr>
          <w:rFonts w:ascii="Times New Roman" w:hAnsi="Times New Roman"/>
          <w:caps w:val="0"/>
        </w:rPr>
        <w:t>ederal Communications Commission</w:t>
      </w:r>
    </w:p>
    <w:p w:rsidR="00446086" w:rsidRPr="0082492A" w:rsidP="00446086" w14:paraId="3F214E13" w14:textId="77777777">
      <w:pPr>
        <w:pStyle w:val="StyleBoldCentered"/>
        <w:rPr>
          <w:rFonts w:ascii="Times New Roman" w:hAnsi="Times New Roman"/>
        </w:rPr>
      </w:pPr>
      <w:r w:rsidRPr="0082492A">
        <w:rPr>
          <w:rFonts w:ascii="Times New Roman" w:hAnsi="Times New Roman"/>
          <w:caps w:val="0"/>
        </w:rPr>
        <w:t>Washington, D.C. 20554</w:t>
      </w:r>
    </w:p>
    <w:p w:rsidR="00446086" w:rsidRPr="0082492A" w:rsidP="00446086" w14:paraId="7BBD0212" w14:textId="77777777">
      <w:pPr>
        <w:rPr>
          <w:szCs w:val="22"/>
        </w:rPr>
      </w:pPr>
    </w:p>
    <w:p w:rsidR="00446086" w:rsidRPr="0082492A" w:rsidP="00446086" w14:paraId="1D055E35" w14:textId="77777777">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333DED6C" w14:textId="77777777" w:rsidTr="00D52BC8">
        <w:tblPrEx>
          <w:tblW w:w="0" w:type="auto"/>
          <w:tblInd w:w="0" w:type="dxa"/>
          <w:tblLayout w:type="fixed"/>
          <w:tblCellMar>
            <w:top w:w="0" w:type="dxa"/>
            <w:left w:w="108" w:type="dxa"/>
            <w:bottom w:w="0" w:type="dxa"/>
            <w:right w:w="108" w:type="dxa"/>
          </w:tblCellMar>
          <w:tblLook w:val="0000"/>
        </w:tblPrEx>
        <w:tc>
          <w:tcPr>
            <w:tcW w:w="4698" w:type="dxa"/>
          </w:tcPr>
          <w:p w:rsidR="00504877" w:rsidRPr="00504877" w:rsidP="00504877" w14:paraId="71FBDFDB" w14:textId="77777777">
            <w:pPr>
              <w:widowControl w:val="0"/>
              <w:tabs>
                <w:tab w:val="center" w:pos="4680"/>
              </w:tabs>
              <w:suppressAutoHyphens/>
              <w:rPr>
                <w:rStyle w:val="DefaultParagraphFont"/>
                <w:snapToGrid w:val="0"/>
                <w:spacing w:val="-2"/>
                <w:kern w:val="28"/>
                <w:sz w:val="22"/>
                <w:szCs w:val="22"/>
                <w:lang w:val="en-US" w:eastAsia="en-US" w:bidi="ar-SA"/>
              </w:rPr>
            </w:pPr>
            <w:r w:rsidRPr="00504877">
              <w:rPr>
                <w:snapToGrid w:val="0"/>
                <w:spacing w:val="-2"/>
                <w:kern w:val="28"/>
                <w:sz w:val="22"/>
                <w:szCs w:val="22"/>
                <w:lang w:val="en-US" w:eastAsia="en-US" w:bidi="ar-SA"/>
              </w:rPr>
              <w:t>In the Matter of</w:t>
            </w:r>
          </w:p>
          <w:p w:rsidR="00504877" w:rsidRPr="00504877" w:rsidP="00504877" w14:paraId="66C7D522" w14:textId="77777777">
            <w:pPr>
              <w:widowControl w:val="0"/>
              <w:tabs>
                <w:tab w:val="center" w:pos="4680"/>
              </w:tabs>
              <w:suppressAutoHyphens/>
              <w:rPr>
                <w:rStyle w:val="DefaultParagraphFont"/>
                <w:snapToGrid w:val="0"/>
                <w:spacing w:val="-2"/>
                <w:kern w:val="28"/>
                <w:sz w:val="22"/>
                <w:szCs w:val="22"/>
                <w:lang w:val="en-US" w:eastAsia="en-US" w:bidi="ar-SA"/>
              </w:rPr>
            </w:pPr>
          </w:p>
          <w:p w:rsidR="00504877" w:rsidRPr="00504877" w:rsidP="00504877" w14:paraId="1B486DDE" w14:textId="77777777">
            <w:pPr>
              <w:widowControl w:val="0"/>
              <w:tabs>
                <w:tab w:val="center" w:pos="4680"/>
              </w:tabs>
              <w:suppressAutoHyphens/>
              <w:rPr>
                <w:rStyle w:val="DefaultParagraphFont"/>
                <w:snapToGrid w:val="0"/>
                <w:spacing w:val="-2"/>
                <w:kern w:val="28"/>
                <w:sz w:val="22"/>
                <w:szCs w:val="22"/>
                <w:lang w:val="en-US" w:eastAsia="en-US" w:bidi="ar-SA"/>
              </w:rPr>
            </w:pPr>
            <w:r w:rsidRPr="00504877">
              <w:rPr>
                <w:snapToGrid w:val="0"/>
                <w:spacing w:val="-2"/>
                <w:kern w:val="28"/>
                <w:sz w:val="22"/>
                <w:szCs w:val="22"/>
                <w:lang w:val="en-US" w:eastAsia="en-US" w:bidi="ar-SA"/>
              </w:rPr>
              <w:t>Connect America Fund</w:t>
            </w:r>
          </w:p>
          <w:p w:rsidR="00504877" w:rsidRPr="00504877" w:rsidP="00504877" w14:paraId="44ABA26F" w14:textId="77777777">
            <w:pPr>
              <w:widowControl w:val="0"/>
              <w:tabs>
                <w:tab w:val="center" w:pos="4680"/>
              </w:tabs>
              <w:suppressAutoHyphens/>
              <w:rPr>
                <w:rStyle w:val="DefaultParagraphFont"/>
                <w:snapToGrid w:val="0"/>
                <w:spacing w:val="-2"/>
                <w:kern w:val="28"/>
                <w:sz w:val="22"/>
                <w:szCs w:val="22"/>
                <w:lang w:val="en-US" w:eastAsia="en-US" w:bidi="ar-SA"/>
              </w:rPr>
            </w:pPr>
          </w:p>
          <w:p w:rsidR="00504877" w:rsidRPr="00504877" w:rsidP="00504877" w14:paraId="07834C6D" w14:textId="77777777">
            <w:pPr>
              <w:widowControl w:val="0"/>
              <w:tabs>
                <w:tab w:val="center" w:pos="4680"/>
              </w:tabs>
              <w:suppressAutoHyphens/>
              <w:rPr>
                <w:rStyle w:val="DefaultParagraphFont"/>
                <w:snapToGrid w:val="0"/>
                <w:spacing w:val="-2"/>
                <w:kern w:val="28"/>
                <w:sz w:val="22"/>
                <w:szCs w:val="22"/>
                <w:lang w:val="en-US" w:eastAsia="en-US" w:bidi="ar-SA"/>
              </w:rPr>
            </w:pPr>
            <w:r w:rsidRPr="00504877">
              <w:rPr>
                <w:snapToGrid w:val="0"/>
                <w:spacing w:val="-2"/>
                <w:kern w:val="28"/>
                <w:sz w:val="22"/>
                <w:szCs w:val="22"/>
                <w:lang w:val="en-US" w:eastAsia="en-US" w:bidi="ar-SA"/>
              </w:rPr>
              <w:t>ETC Annual Reports and Certifications</w:t>
            </w:r>
          </w:p>
          <w:p w:rsidR="00504877" w:rsidRPr="00504877" w:rsidP="00504877" w14:paraId="5317ABBE" w14:textId="77777777">
            <w:pPr>
              <w:widowControl w:val="0"/>
              <w:tabs>
                <w:tab w:val="center" w:pos="4680"/>
              </w:tabs>
              <w:suppressAutoHyphens/>
              <w:rPr>
                <w:rStyle w:val="DefaultParagraphFont"/>
                <w:snapToGrid w:val="0"/>
                <w:spacing w:val="-2"/>
                <w:kern w:val="28"/>
                <w:sz w:val="22"/>
                <w:szCs w:val="22"/>
                <w:lang w:val="en-US" w:eastAsia="en-US" w:bidi="ar-SA"/>
              </w:rPr>
            </w:pPr>
          </w:p>
          <w:p w:rsidR="00446086" w:rsidRPr="001F03C8" w:rsidP="00504877" w14:paraId="4E247010" w14:textId="77777777">
            <w:pPr>
              <w:widowControl/>
              <w:autoSpaceDE w:val="0"/>
              <w:autoSpaceDN w:val="0"/>
              <w:adjustRightInd w:val="0"/>
              <w:rPr>
                <w:rStyle w:val="DefaultParagraphFont"/>
                <w:snapToGrid/>
                <w:kern w:val="0"/>
                <w:sz w:val="22"/>
                <w:szCs w:val="22"/>
                <w:lang w:val="en-US" w:eastAsia="en-US" w:bidi="ar-SA"/>
              </w:rPr>
            </w:pPr>
            <w:r w:rsidRPr="00504877">
              <w:rPr>
                <w:snapToGrid w:val="0"/>
                <w:spacing w:val="-2"/>
                <w:kern w:val="28"/>
                <w:sz w:val="22"/>
                <w:szCs w:val="22"/>
                <w:lang w:val="en-US" w:eastAsia="en-US" w:bidi="ar-SA"/>
              </w:rPr>
              <w:t>Developing a Unified Intercarrier Compensation Regime</w:t>
            </w:r>
          </w:p>
        </w:tc>
        <w:tc>
          <w:tcPr>
            <w:tcW w:w="630" w:type="dxa"/>
          </w:tcPr>
          <w:p w:rsidR="00446086" w:rsidRPr="0082492A" w:rsidP="00D52BC8" w14:paraId="66EC000F"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p>
          <w:p w:rsidR="00446086" w:rsidRPr="0082492A" w:rsidP="00D52BC8" w14:paraId="06CB2F05"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p>
          <w:p w:rsidR="00446086" w:rsidRPr="0082492A" w:rsidP="00D52BC8" w14:paraId="3BD7980D"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p>
          <w:p w:rsidR="00446086" w:rsidRPr="0082492A" w:rsidP="00D52BC8" w14:paraId="58F0FE44"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p>
          <w:p w:rsidR="00446086" w:rsidRPr="0082492A" w:rsidP="00D52BC8" w14:paraId="305764D9"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p>
          <w:p w:rsidR="00446086" w:rsidRPr="0082492A" w:rsidP="00D52BC8" w14:paraId="23C4B31F"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p>
          <w:p w:rsidR="00446086" w:rsidRPr="0082492A" w:rsidP="00D52BC8" w14:paraId="4C188161"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p>
          <w:p w:rsidR="00446086" w:rsidRPr="001F03C8" w:rsidP="00D52BC8" w14:paraId="63284D43" w14:textId="77777777">
            <w:pPr>
              <w:widowControl w:val="0"/>
              <w:tabs>
                <w:tab w:val="center" w:pos="4680"/>
              </w:tabs>
              <w:suppressAutoHyphens/>
              <w:rPr>
                <w:rStyle w:val="DefaultParagraphFont"/>
                <w:b/>
                <w:snapToGrid w:val="0"/>
                <w:spacing w:val="-2"/>
                <w:kern w:val="28"/>
                <w:sz w:val="22"/>
                <w:szCs w:val="22"/>
                <w:lang w:val="en-US" w:eastAsia="en-US" w:bidi="ar-SA"/>
              </w:rPr>
            </w:pPr>
            <w:r w:rsidRPr="0082492A">
              <w:rPr>
                <w:b/>
                <w:snapToGrid w:val="0"/>
                <w:spacing w:val="-2"/>
                <w:kern w:val="28"/>
                <w:sz w:val="22"/>
                <w:szCs w:val="22"/>
                <w:lang w:val="en-US" w:eastAsia="en-US" w:bidi="ar-SA"/>
              </w:rPr>
              <w:t>)</w:t>
            </w:r>
            <w:r w:rsidR="00EC6B69">
              <w:rPr>
                <w:b/>
                <w:snapToGrid w:val="0"/>
                <w:spacing w:val="-2"/>
                <w:kern w:val="28"/>
                <w:sz w:val="22"/>
                <w:szCs w:val="22"/>
                <w:lang w:val="en-US" w:eastAsia="en-US" w:bidi="ar-SA"/>
              </w:rPr>
              <w:br/>
            </w:r>
          </w:p>
        </w:tc>
        <w:tc>
          <w:tcPr>
            <w:tcW w:w="4248" w:type="dxa"/>
          </w:tcPr>
          <w:p w:rsidR="00446086" w:rsidRPr="0082492A" w:rsidP="00D52BC8" w14:paraId="1C28FA2E" w14:textId="77777777">
            <w:pPr>
              <w:widowControl w:val="0"/>
              <w:tabs>
                <w:tab w:val="center" w:pos="4680"/>
              </w:tabs>
              <w:suppressAutoHyphens/>
              <w:rPr>
                <w:rStyle w:val="DefaultParagraphFont"/>
                <w:snapToGrid w:val="0"/>
                <w:spacing w:val="-2"/>
                <w:kern w:val="28"/>
                <w:sz w:val="22"/>
                <w:szCs w:val="22"/>
                <w:lang w:val="en-US" w:eastAsia="en-US" w:bidi="ar-SA"/>
              </w:rPr>
            </w:pPr>
          </w:p>
          <w:p w:rsidR="00504877" w:rsidP="00504877" w14:paraId="6B126D55" w14:textId="77777777">
            <w:pPr>
              <w:pStyle w:val="TOAHeading"/>
              <w:widowControl w:val="0"/>
              <w:tabs>
                <w:tab w:val="center" w:pos="4680"/>
                <w:tab w:val="right" w:pos="9360"/>
              </w:tabs>
              <w:suppressAutoHyphens/>
              <w:rPr>
                <w:rStyle w:val="DefaultParagraphFont"/>
                <w:snapToGrid w:val="0"/>
                <w:spacing w:val="-2"/>
                <w:kern w:val="28"/>
                <w:sz w:val="22"/>
                <w:szCs w:val="22"/>
                <w:lang w:val="en-US" w:eastAsia="en-US" w:bidi="ar-SA"/>
              </w:rPr>
            </w:pPr>
          </w:p>
          <w:p w:rsidR="00504877" w:rsidRPr="00504877" w:rsidP="00504877" w14:paraId="3CF93FAE" w14:textId="77777777">
            <w:pPr>
              <w:pStyle w:val="TOAHeading"/>
              <w:widowControl w:val="0"/>
              <w:tabs>
                <w:tab w:val="center" w:pos="4680"/>
                <w:tab w:val="right" w:pos="9360"/>
              </w:tabs>
              <w:suppressAutoHyphens/>
              <w:rPr>
                <w:rStyle w:val="DefaultParagraphFont"/>
                <w:snapToGrid w:val="0"/>
                <w:spacing w:val="-2"/>
                <w:kern w:val="28"/>
                <w:sz w:val="22"/>
                <w:szCs w:val="22"/>
                <w:lang w:val="en-US" w:eastAsia="en-US" w:bidi="ar-SA"/>
              </w:rPr>
            </w:pPr>
            <w:r w:rsidRPr="00504877">
              <w:rPr>
                <w:snapToGrid w:val="0"/>
                <w:spacing w:val="-2"/>
                <w:kern w:val="28"/>
                <w:sz w:val="22"/>
                <w:szCs w:val="22"/>
                <w:lang w:val="en-US" w:eastAsia="en-US" w:bidi="ar-SA"/>
              </w:rPr>
              <w:t>WC Docket No. 10-90</w:t>
            </w:r>
          </w:p>
          <w:p w:rsidR="00504877" w:rsidRPr="00504877" w:rsidP="00504877" w14:paraId="410CBBF8" w14:textId="77777777">
            <w:pPr>
              <w:pStyle w:val="TOAHeading"/>
              <w:widowControl w:val="0"/>
              <w:tabs>
                <w:tab w:val="center" w:pos="4680"/>
                <w:tab w:val="right" w:pos="9360"/>
              </w:tabs>
              <w:suppressAutoHyphens/>
              <w:rPr>
                <w:rStyle w:val="DefaultParagraphFont"/>
                <w:snapToGrid w:val="0"/>
                <w:spacing w:val="-2"/>
                <w:kern w:val="28"/>
                <w:sz w:val="22"/>
                <w:szCs w:val="22"/>
                <w:lang w:val="en-US" w:eastAsia="en-US" w:bidi="ar-SA"/>
              </w:rPr>
            </w:pPr>
          </w:p>
          <w:p w:rsidR="00504877" w:rsidRPr="00504877" w:rsidP="00504877" w14:paraId="2093F70E" w14:textId="77777777">
            <w:pPr>
              <w:pStyle w:val="TOAHeading"/>
              <w:widowControl w:val="0"/>
              <w:tabs>
                <w:tab w:val="center" w:pos="4680"/>
                <w:tab w:val="right" w:pos="9360"/>
              </w:tabs>
              <w:suppressAutoHyphens/>
              <w:rPr>
                <w:rStyle w:val="DefaultParagraphFont"/>
                <w:snapToGrid w:val="0"/>
                <w:spacing w:val="-2"/>
                <w:kern w:val="28"/>
                <w:sz w:val="22"/>
                <w:szCs w:val="22"/>
                <w:lang w:val="en-US" w:eastAsia="en-US" w:bidi="ar-SA"/>
              </w:rPr>
            </w:pPr>
            <w:r w:rsidRPr="00504877">
              <w:rPr>
                <w:snapToGrid w:val="0"/>
                <w:spacing w:val="-2"/>
                <w:kern w:val="28"/>
                <w:sz w:val="22"/>
                <w:szCs w:val="22"/>
                <w:lang w:val="en-US" w:eastAsia="en-US" w:bidi="ar-SA"/>
              </w:rPr>
              <w:t>WC Docket No. 14-58</w:t>
            </w:r>
          </w:p>
          <w:p w:rsidR="00504877" w:rsidRPr="00504877" w:rsidP="00504877" w14:paraId="6779A562" w14:textId="77777777">
            <w:pPr>
              <w:pStyle w:val="TOAHeading"/>
              <w:widowControl w:val="0"/>
              <w:tabs>
                <w:tab w:val="center" w:pos="4680"/>
                <w:tab w:val="right" w:pos="9360"/>
              </w:tabs>
              <w:suppressAutoHyphens/>
              <w:rPr>
                <w:rStyle w:val="DefaultParagraphFont"/>
                <w:snapToGrid w:val="0"/>
                <w:spacing w:val="-2"/>
                <w:kern w:val="28"/>
                <w:sz w:val="22"/>
                <w:szCs w:val="22"/>
                <w:lang w:val="en-US" w:eastAsia="en-US" w:bidi="ar-SA"/>
              </w:rPr>
            </w:pPr>
          </w:p>
          <w:p w:rsidR="00446086" w:rsidRPr="0082492A" w:rsidP="00504877" w14:paraId="40CA7D83" w14:textId="77777777">
            <w:pPr>
              <w:widowControl w:val="0"/>
              <w:tabs>
                <w:tab w:val="center" w:pos="4680"/>
              </w:tabs>
              <w:suppressAutoHyphens/>
              <w:rPr>
                <w:rStyle w:val="DefaultParagraphFont"/>
                <w:snapToGrid w:val="0"/>
                <w:spacing w:val="-2"/>
                <w:kern w:val="28"/>
                <w:sz w:val="22"/>
                <w:szCs w:val="22"/>
                <w:lang w:val="en-US" w:eastAsia="en-US" w:bidi="ar-SA"/>
              </w:rPr>
            </w:pPr>
            <w:r w:rsidRPr="00504877">
              <w:rPr>
                <w:snapToGrid w:val="0"/>
                <w:spacing w:val="-2"/>
                <w:kern w:val="28"/>
                <w:sz w:val="22"/>
                <w:szCs w:val="22"/>
                <w:lang w:val="en-US" w:eastAsia="en-US" w:bidi="ar-SA"/>
              </w:rPr>
              <w:t>CC Docket No. 01-92</w:t>
            </w:r>
          </w:p>
        </w:tc>
      </w:tr>
    </w:tbl>
    <w:p w:rsidR="00446086" w:rsidRPr="0082492A" w:rsidP="00446086" w14:paraId="69CA121D" w14:textId="77777777">
      <w:pPr>
        <w:pStyle w:val="StyleBoldCentered"/>
        <w:rPr>
          <w:rFonts w:ascii="Times New Roman" w:hAnsi="Times New Roman"/>
        </w:rPr>
      </w:pPr>
      <w:r>
        <w:rPr>
          <w:rFonts w:ascii="Times New Roman" w:hAnsi="Times New Roman"/>
        </w:rPr>
        <w:t xml:space="preserve">SECOND </w:t>
      </w:r>
      <w:r w:rsidR="00DA1B21">
        <w:rPr>
          <w:rFonts w:ascii="Times New Roman" w:hAnsi="Times New Roman"/>
        </w:rPr>
        <w:t>ORDER ON RECONSIDERATION AND</w:t>
      </w:r>
      <w:r w:rsidR="006F5C00">
        <w:rPr>
          <w:rFonts w:ascii="Times New Roman" w:hAnsi="Times New Roman"/>
        </w:rPr>
        <w:t xml:space="preserve"> </w:t>
      </w:r>
      <w:r w:rsidR="00B77D2C">
        <w:rPr>
          <w:rFonts w:ascii="Times New Roman" w:hAnsi="Times New Roman"/>
        </w:rPr>
        <w:t>CLARIFICATION</w:t>
      </w:r>
    </w:p>
    <w:p w:rsidR="00446086" w:rsidRPr="0082492A" w:rsidP="00446086" w14:paraId="0825C020" w14:textId="77777777">
      <w:pPr>
        <w:tabs>
          <w:tab w:val="left" w:pos="-720"/>
        </w:tabs>
        <w:suppressAutoHyphens/>
        <w:spacing w:line="227" w:lineRule="auto"/>
        <w:rPr>
          <w:spacing w:val="-2"/>
          <w:szCs w:val="22"/>
        </w:rPr>
      </w:pPr>
    </w:p>
    <w:p w:rsidR="005618AC" w:rsidP="00446086" w14:paraId="2B483A15" w14:textId="446BF002">
      <w:pPr>
        <w:tabs>
          <w:tab w:val="left" w:pos="720"/>
          <w:tab w:val="right" w:pos="9360"/>
        </w:tabs>
        <w:suppressAutoHyphens/>
        <w:spacing w:line="227" w:lineRule="auto"/>
        <w:rPr>
          <w:b/>
          <w:spacing w:val="-2"/>
          <w:szCs w:val="22"/>
        </w:rPr>
      </w:pPr>
      <w:r>
        <w:rPr>
          <w:b/>
          <w:spacing w:val="-2"/>
          <w:szCs w:val="22"/>
        </w:rPr>
        <w:t xml:space="preserve">Adopted:  </w:t>
      </w:r>
      <w:r w:rsidR="0059696E">
        <w:rPr>
          <w:b/>
          <w:spacing w:val="-2"/>
          <w:szCs w:val="22"/>
        </w:rPr>
        <w:t>February 1</w:t>
      </w:r>
      <w:r w:rsidR="0007774E">
        <w:rPr>
          <w:b/>
          <w:spacing w:val="-2"/>
          <w:szCs w:val="22"/>
        </w:rPr>
        <w:t>5</w:t>
      </w:r>
      <w:r w:rsidR="0059696E">
        <w:rPr>
          <w:b/>
          <w:spacing w:val="-2"/>
          <w:szCs w:val="22"/>
        </w:rPr>
        <w:t xml:space="preserve">, </w:t>
      </w:r>
      <w:r w:rsidR="00642876">
        <w:rPr>
          <w:b/>
          <w:spacing w:val="-2"/>
          <w:szCs w:val="22"/>
        </w:rPr>
        <w:t>201</w:t>
      </w:r>
      <w:r w:rsidR="0019616E">
        <w:rPr>
          <w:b/>
          <w:spacing w:val="-2"/>
          <w:szCs w:val="22"/>
        </w:rPr>
        <w:t>8</w:t>
      </w:r>
      <w:r w:rsidRPr="0082492A" w:rsidR="00446086">
        <w:rPr>
          <w:b/>
          <w:spacing w:val="-2"/>
          <w:szCs w:val="22"/>
        </w:rPr>
        <w:tab/>
        <w:t>Released:</w:t>
      </w:r>
      <w:r w:rsidR="00591B8F">
        <w:rPr>
          <w:b/>
          <w:spacing w:val="-2"/>
          <w:szCs w:val="22"/>
        </w:rPr>
        <w:t xml:space="preserve">  </w:t>
      </w:r>
      <w:r w:rsidR="007D700D">
        <w:rPr>
          <w:b/>
          <w:spacing w:val="-2"/>
          <w:szCs w:val="22"/>
        </w:rPr>
        <w:t>February 16,</w:t>
      </w:r>
      <w:r w:rsidR="00642876">
        <w:rPr>
          <w:b/>
          <w:spacing w:val="-2"/>
          <w:szCs w:val="22"/>
        </w:rPr>
        <w:t xml:space="preserve"> 201</w:t>
      </w:r>
      <w:r w:rsidR="0019616E">
        <w:rPr>
          <w:b/>
          <w:spacing w:val="-2"/>
          <w:szCs w:val="22"/>
        </w:rPr>
        <w:t>8</w:t>
      </w:r>
    </w:p>
    <w:p w:rsidR="00446086" w:rsidRPr="0082492A" w:rsidP="00446086" w14:paraId="0CE902C9" w14:textId="77777777">
      <w:pPr>
        <w:rPr>
          <w:szCs w:val="22"/>
        </w:rPr>
      </w:pPr>
    </w:p>
    <w:p w:rsidR="00446086" w:rsidRPr="0082492A" w:rsidP="00446086" w14:paraId="621C939D" w14:textId="77777777">
      <w:pPr>
        <w:rPr>
          <w:spacing w:val="-2"/>
          <w:szCs w:val="22"/>
        </w:rPr>
      </w:pPr>
      <w:r w:rsidRPr="0082492A">
        <w:rPr>
          <w:szCs w:val="22"/>
        </w:rPr>
        <w:t xml:space="preserve">By the </w:t>
      </w:r>
      <w:r w:rsidRPr="0082492A">
        <w:rPr>
          <w:spacing w:val="-2"/>
          <w:szCs w:val="22"/>
        </w:rPr>
        <w:t>Commission:</w:t>
      </w:r>
    </w:p>
    <w:p w:rsidR="00446086" w:rsidRPr="0082492A" w:rsidP="00446086" w14:paraId="7D57C985" w14:textId="77777777">
      <w:pPr>
        <w:pStyle w:val="Heading1"/>
        <w:numPr>
          <w:ilvl w:val="0"/>
          <w:numId w:val="0"/>
        </w:numPr>
        <w:rPr>
          <w:rFonts w:ascii="Times New Roman" w:hAnsi="Times New Roman"/>
          <w:b w:val="0"/>
          <w:caps w:val="0"/>
          <w:spacing w:val="-2"/>
          <w:szCs w:val="22"/>
        </w:rPr>
      </w:pPr>
    </w:p>
    <w:p w:rsidR="00446086" w:rsidRPr="0082492A" w:rsidP="00446086" w14:paraId="2BDAEB34" w14:textId="77777777">
      <w:pPr>
        <w:pStyle w:val="Heading1"/>
        <w:rPr>
          <w:rFonts w:ascii="Times New Roman" w:hAnsi="Times New Roman"/>
          <w:szCs w:val="22"/>
        </w:rPr>
      </w:pPr>
      <w:r w:rsidRPr="0082492A">
        <w:rPr>
          <w:rFonts w:ascii="Times New Roman" w:hAnsi="Times New Roman"/>
          <w:szCs w:val="22"/>
        </w:rPr>
        <w:t>introduction</w:t>
      </w:r>
    </w:p>
    <w:p w:rsidR="00893C65" w:rsidRPr="00D2110E" w:rsidP="00893C65" w14:paraId="087DF559" w14:textId="2A86DB5E">
      <w:pPr>
        <w:pStyle w:val="ParaNum"/>
      </w:pPr>
      <w:r w:rsidRPr="00504877">
        <w:t xml:space="preserve">By this </w:t>
      </w:r>
      <w:r w:rsidR="0021493B">
        <w:t xml:space="preserve">Second </w:t>
      </w:r>
      <w:r w:rsidR="008E696D">
        <w:t>Order on R</w:t>
      </w:r>
      <w:r w:rsidR="00DA1B21">
        <w:t>econsideration</w:t>
      </w:r>
      <w:r w:rsidR="00B77D2C">
        <w:t xml:space="preserve"> and Clarification</w:t>
      </w:r>
      <w:r w:rsidR="00DA1B21">
        <w:t xml:space="preserve"> (Order)</w:t>
      </w:r>
      <w:r w:rsidRPr="00504877">
        <w:t xml:space="preserve">, </w:t>
      </w:r>
      <w:r w:rsidR="007B4AC1">
        <w:t xml:space="preserve">we </w:t>
      </w:r>
      <w:r w:rsidR="006B19DA">
        <w:t xml:space="preserve">reconsider </w:t>
      </w:r>
      <w:r w:rsidRPr="00504877">
        <w:t xml:space="preserve">rules </w:t>
      </w:r>
      <w:r w:rsidR="0034414A">
        <w:t xml:space="preserve">adopted in the </w:t>
      </w:r>
      <w:r w:rsidRPr="00092202" w:rsidR="0034414A">
        <w:rPr>
          <w:i/>
          <w:szCs w:val="22"/>
        </w:rPr>
        <w:t xml:space="preserve">Rate-of-Return Reform Order </w:t>
      </w:r>
      <w:r w:rsidR="00EF5BEB">
        <w:t xml:space="preserve">relating </w:t>
      </w:r>
      <w:r w:rsidR="0034414A">
        <w:t>to rate-of-return local exchange carriers</w:t>
      </w:r>
      <w:r w:rsidR="00485E15">
        <w:t>’</w:t>
      </w:r>
      <w:r w:rsidR="0034414A">
        <w:t xml:space="preserve"> (LECs) provision of consumer broadband-only loops</w:t>
      </w:r>
      <w:r w:rsidR="00C61FC2">
        <w:t xml:space="preserve"> (CBOLs)</w:t>
      </w:r>
      <w:r w:rsidR="007B4AC1">
        <w:t>.</w:t>
      </w:r>
      <w:r>
        <w:rPr>
          <w:rStyle w:val="FootnoteReference"/>
          <w:szCs w:val="22"/>
        </w:rPr>
        <w:footnoteReference w:id="3"/>
      </w:r>
      <w:r w:rsidRPr="00092202" w:rsidR="00416ADE">
        <w:rPr>
          <w:szCs w:val="22"/>
        </w:rPr>
        <w:t xml:space="preserve"> </w:t>
      </w:r>
      <w:r w:rsidR="007B4AC1">
        <w:rPr>
          <w:szCs w:val="22"/>
        </w:rPr>
        <w:t xml:space="preserve"> </w:t>
      </w:r>
      <w:r w:rsidRPr="00092202" w:rsidR="00416ADE">
        <w:rPr>
          <w:szCs w:val="22"/>
        </w:rPr>
        <w:t xml:space="preserve">First, we </w:t>
      </w:r>
      <w:r w:rsidRPr="00092202" w:rsidR="001E0E56">
        <w:rPr>
          <w:szCs w:val="22"/>
        </w:rPr>
        <w:t xml:space="preserve">revise </w:t>
      </w:r>
      <w:r w:rsidR="00D2110E">
        <w:rPr>
          <w:szCs w:val="22"/>
        </w:rPr>
        <w:t xml:space="preserve">our </w:t>
      </w:r>
      <w:r w:rsidRPr="00092202" w:rsidR="0095091D">
        <w:rPr>
          <w:szCs w:val="22"/>
        </w:rPr>
        <w:t xml:space="preserve">rules </w:t>
      </w:r>
      <w:r w:rsidRPr="00092202" w:rsidR="001E0E56">
        <w:rPr>
          <w:szCs w:val="22"/>
        </w:rPr>
        <w:t xml:space="preserve">to </w:t>
      </w:r>
      <w:r w:rsidRPr="00504877">
        <w:t>replac</w:t>
      </w:r>
      <w:r w:rsidR="00416ADE">
        <w:t>e</w:t>
      </w:r>
      <w:r w:rsidRPr="00504877">
        <w:t xml:space="preserve"> the surrogate cost method</w:t>
      </w:r>
      <w:r w:rsidRPr="00092202">
        <w:rPr>
          <w:szCs w:val="22"/>
        </w:rPr>
        <w:t xml:space="preserve"> </w:t>
      </w:r>
      <w:r w:rsidRPr="00092202" w:rsidR="00591B8F">
        <w:rPr>
          <w:szCs w:val="22"/>
        </w:rPr>
        <w:t xml:space="preserve">for determining the cost of </w:t>
      </w:r>
      <w:r w:rsidR="00C61FC2">
        <w:rPr>
          <w:szCs w:val="22"/>
        </w:rPr>
        <w:t>CBOL</w:t>
      </w:r>
      <w:r w:rsidRPr="00092202" w:rsidR="00591B8F">
        <w:rPr>
          <w:szCs w:val="22"/>
        </w:rPr>
        <w:t xml:space="preserve">s </w:t>
      </w:r>
      <w:r w:rsidRPr="00092202">
        <w:rPr>
          <w:szCs w:val="22"/>
        </w:rPr>
        <w:t>with rules employing existing separations and cost allocation procedures.</w:t>
      </w:r>
      <w:r>
        <w:rPr>
          <w:rStyle w:val="FootnoteReference"/>
          <w:szCs w:val="22"/>
        </w:rPr>
        <w:footnoteReference w:id="4"/>
      </w:r>
      <w:r w:rsidRPr="00092202">
        <w:rPr>
          <w:szCs w:val="22"/>
        </w:rPr>
        <w:t xml:space="preserve">  </w:t>
      </w:r>
      <w:r w:rsidRPr="00092202" w:rsidR="00416ADE">
        <w:rPr>
          <w:szCs w:val="22"/>
        </w:rPr>
        <w:t xml:space="preserve">Second, </w:t>
      </w:r>
      <w:r w:rsidRPr="00092202" w:rsidR="006929A7">
        <w:rPr>
          <w:szCs w:val="22"/>
        </w:rPr>
        <w:t xml:space="preserve">we </w:t>
      </w:r>
      <w:r w:rsidR="00C10DFB">
        <w:rPr>
          <w:szCs w:val="22"/>
        </w:rPr>
        <w:t xml:space="preserve">revise the </w:t>
      </w:r>
      <w:r w:rsidRPr="00092202" w:rsidR="006B19DA">
        <w:rPr>
          <w:szCs w:val="22"/>
        </w:rPr>
        <w:t xml:space="preserve">rule requiring rate-of-return carriers to impute </w:t>
      </w:r>
      <w:r w:rsidR="00C04D5F">
        <w:rPr>
          <w:szCs w:val="22"/>
        </w:rPr>
        <w:t xml:space="preserve">on CBOLs </w:t>
      </w:r>
      <w:r w:rsidRPr="00092202" w:rsidR="006B19DA">
        <w:rPr>
          <w:szCs w:val="22"/>
        </w:rPr>
        <w:t xml:space="preserve">an amount equal to the Access Recovery Charge (ARC) that could have been assessed on a </w:t>
      </w:r>
      <w:r w:rsidR="00C04D5F">
        <w:rPr>
          <w:szCs w:val="22"/>
        </w:rPr>
        <w:t>voice or voice/</w:t>
      </w:r>
      <w:r w:rsidR="00331A92">
        <w:rPr>
          <w:szCs w:val="22"/>
        </w:rPr>
        <w:t>broadband</w:t>
      </w:r>
      <w:r w:rsidR="00C04D5F">
        <w:rPr>
          <w:szCs w:val="22"/>
        </w:rPr>
        <w:t xml:space="preserve"> line</w:t>
      </w:r>
      <w:r w:rsidRPr="00092202" w:rsidR="00DD558E">
        <w:rPr>
          <w:szCs w:val="22"/>
        </w:rPr>
        <w:t xml:space="preserve"> </w:t>
      </w:r>
      <w:r w:rsidRPr="00092202" w:rsidR="004252C1">
        <w:rPr>
          <w:szCs w:val="22"/>
        </w:rPr>
        <w:t xml:space="preserve">to better implement </w:t>
      </w:r>
      <w:r w:rsidRPr="00092202" w:rsidR="001E0E56">
        <w:rPr>
          <w:szCs w:val="22"/>
        </w:rPr>
        <w:t xml:space="preserve">our intent to maintain </w:t>
      </w:r>
      <w:r w:rsidRPr="00092202" w:rsidR="004252C1">
        <w:rPr>
          <w:szCs w:val="22"/>
        </w:rPr>
        <w:t xml:space="preserve">the balance between end user charges and universal service adopted in the </w:t>
      </w:r>
      <w:r w:rsidRPr="00092202" w:rsidR="004252C1">
        <w:rPr>
          <w:i/>
          <w:szCs w:val="22"/>
        </w:rPr>
        <w:t>USF/ICC Transformation Order</w:t>
      </w:r>
      <w:r w:rsidRPr="00092202" w:rsidR="004252C1">
        <w:rPr>
          <w:szCs w:val="22"/>
        </w:rPr>
        <w:t>.</w:t>
      </w:r>
      <w:r>
        <w:rPr>
          <w:rStyle w:val="FootnoteReference"/>
          <w:szCs w:val="22"/>
        </w:rPr>
        <w:footnoteReference w:id="5"/>
      </w:r>
      <w:r w:rsidRPr="00092202" w:rsidR="00075483">
        <w:rPr>
          <w:szCs w:val="22"/>
        </w:rPr>
        <w:t xml:space="preserve">  Finally, we clarify</w:t>
      </w:r>
      <w:r w:rsidR="00BF5B53">
        <w:rPr>
          <w:szCs w:val="22"/>
        </w:rPr>
        <w:t xml:space="preserve"> two matters pertaining to reductions in </w:t>
      </w:r>
      <w:r w:rsidRPr="00504877" w:rsidR="007B4AC1">
        <w:rPr>
          <w:szCs w:val="22"/>
        </w:rPr>
        <w:t>Connect America Fund Broadband Loop Support (CAF BLS)</w:t>
      </w:r>
      <w:r w:rsidR="00BF5B53">
        <w:rPr>
          <w:szCs w:val="22"/>
        </w:rPr>
        <w:t xml:space="preserve"> due to competitive overlap.</w:t>
      </w:r>
      <w:r w:rsidR="007C53EF">
        <w:rPr>
          <w:szCs w:val="22"/>
        </w:rPr>
        <w:t xml:space="preserve">  </w:t>
      </w:r>
      <w:r w:rsidRPr="003E5DCE">
        <w:t>Making these adjustments to the rules for rate-of-return carriers serves the Commission’s goals of providing more certainty and stability for carriers investing for the future, thereby ensuring that all consumers have access to advanced telecommunications and information services.</w:t>
      </w:r>
      <w:r>
        <w:rPr>
          <w:rStyle w:val="FootnoteReference"/>
          <w:szCs w:val="22"/>
        </w:rPr>
        <w:footnoteReference w:id="6"/>
      </w:r>
    </w:p>
    <w:p w:rsidR="005618AC" w:rsidP="00446086" w14:paraId="633A076F" w14:textId="77777777">
      <w:pPr>
        <w:pStyle w:val="Heading1"/>
        <w:rPr>
          <w:rFonts w:ascii="Times New Roman" w:hAnsi="Times New Roman"/>
          <w:szCs w:val="22"/>
        </w:rPr>
      </w:pPr>
      <w:r w:rsidRPr="0082492A">
        <w:rPr>
          <w:rFonts w:ascii="Times New Roman" w:hAnsi="Times New Roman"/>
          <w:szCs w:val="22"/>
        </w:rPr>
        <w:t>Background</w:t>
      </w:r>
    </w:p>
    <w:p w:rsidR="00267ABD" w:rsidP="00504877" w14:paraId="443C1EB1" w14:textId="77777777">
      <w:pPr>
        <w:pStyle w:val="ParaNum"/>
        <w:rPr>
          <w:szCs w:val="22"/>
        </w:rPr>
      </w:pPr>
      <w:r w:rsidRPr="00504877">
        <w:rPr>
          <w:szCs w:val="22"/>
        </w:rPr>
        <w:t xml:space="preserve">In the </w:t>
      </w:r>
      <w:r w:rsidRPr="00B66940" w:rsidR="00B66940">
        <w:rPr>
          <w:i/>
          <w:szCs w:val="22"/>
        </w:rPr>
        <w:t>Rate-of-Return Reform Order</w:t>
      </w:r>
      <w:r w:rsidRPr="00504877">
        <w:rPr>
          <w:szCs w:val="22"/>
        </w:rPr>
        <w:t xml:space="preserve">, the Commission </w:t>
      </w:r>
      <w:r w:rsidR="007B4AC1">
        <w:rPr>
          <w:szCs w:val="22"/>
        </w:rPr>
        <w:t xml:space="preserve">revised its approach to providing </w:t>
      </w:r>
      <w:r w:rsidRPr="00504877">
        <w:rPr>
          <w:szCs w:val="22"/>
        </w:rPr>
        <w:t xml:space="preserve">universal service support to rate-of-return </w:t>
      </w:r>
      <w:r w:rsidR="00A368BF">
        <w:rPr>
          <w:szCs w:val="22"/>
        </w:rPr>
        <w:t>LECs</w:t>
      </w:r>
      <w:r>
        <w:rPr>
          <w:szCs w:val="22"/>
        </w:rPr>
        <w:t>.</w:t>
      </w:r>
      <w:r>
        <w:rPr>
          <w:rStyle w:val="FootnoteReference"/>
          <w:szCs w:val="22"/>
        </w:rPr>
        <w:footnoteReference w:id="7"/>
      </w:r>
      <w:r>
        <w:rPr>
          <w:szCs w:val="22"/>
        </w:rPr>
        <w:t xml:space="preserve">  </w:t>
      </w:r>
      <w:r w:rsidRPr="00504877">
        <w:rPr>
          <w:szCs w:val="22"/>
        </w:rPr>
        <w:t>The Commission adopted a voluntary path under wh</w:t>
      </w:r>
      <w:r w:rsidR="00C04D5F">
        <w:rPr>
          <w:szCs w:val="22"/>
        </w:rPr>
        <w:t xml:space="preserve">ich rate-of-return carriers could </w:t>
      </w:r>
      <w:r w:rsidRPr="00504877">
        <w:rPr>
          <w:szCs w:val="22"/>
        </w:rPr>
        <w:t>elect model-based support for a term of 10 years in exchange for meeting defined build-out obligations.</w:t>
      </w:r>
      <w:r>
        <w:rPr>
          <w:rStyle w:val="FootnoteReference"/>
          <w:szCs w:val="22"/>
        </w:rPr>
        <w:footnoteReference w:id="8"/>
      </w:r>
      <w:r>
        <w:rPr>
          <w:szCs w:val="22"/>
        </w:rPr>
        <w:t xml:space="preserve">  </w:t>
      </w:r>
      <w:r w:rsidRPr="00504877">
        <w:rPr>
          <w:szCs w:val="22"/>
        </w:rPr>
        <w:t xml:space="preserve">For carriers not electing model-based support, </w:t>
      </w:r>
      <w:r w:rsidR="006E0863">
        <w:rPr>
          <w:szCs w:val="22"/>
        </w:rPr>
        <w:t xml:space="preserve">among other things, </w:t>
      </w:r>
      <w:r w:rsidRPr="00504877">
        <w:rPr>
          <w:szCs w:val="22"/>
        </w:rPr>
        <w:t xml:space="preserve">the </w:t>
      </w:r>
      <w:r w:rsidRPr="00504877">
        <w:rPr>
          <w:szCs w:val="22"/>
        </w:rPr>
        <w:t xml:space="preserve">Commission modernized the existing interstate common line support rules to provide support in situations where </w:t>
      </w:r>
      <w:r w:rsidR="006E0863">
        <w:rPr>
          <w:szCs w:val="22"/>
        </w:rPr>
        <w:t xml:space="preserve">customers subscribe to stand-alone broadband service, instead of </w:t>
      </w:r>
      <w:r w:rsidRPr="00504877">
        <w:rPr>
          <w:szCs w:val="22"/>
        </w:rPr>
        <w:t>traditional regulated local exchange voice service</w:t>
      </w:r>
      <w:r w:rsidR="006E0863">
        <w:rPr>
          <w:szCs w:val="22"/>
        </w:rPr>
        <w:t>.</w:t>
      </w:r>
      <w:r>
        <w:rPr>
          <w:rStyle w:val="FootnoteReference"/>
          <w:szCs w:val="22"/>
        </w:rPr>
        <w:footnoteReference w:id="9"/>
      </w:r>
    </w:p>
    <w:p w:rsidR="00D937A7" w:rsidP="007C6485" w14:paraId="51723F52" w14:textId="77777777">
      <w:pPr>
        <w:pStyle w:val="ParaNum"/>
      </w:pPr>
      <w:r w:rsidRPr="00504877">
        <w:rPr>
          <w:szCs w:val="22"/>
        </w:rPr>
        <w:t xml:space="preserve">To implement the provision of universal service support for stand-alone broadband, the Commission </w:t>
      </w:r>
      <w:r w:rsidR="00807C42">
        <w:rPr>
          <w:szCs w:val="22"/>
        </w:rPr>
        <w:t>defined a new type of service t</w:t>
      </w:r>
      <w:r w:rsidR="00151CB4">
        <w:rPr>
          <w:szCs w:val="22"/>
        </w:rPr>
        <w:t>hat would receive such support</w:t>
      </w:r>
      <w:r w:rsidR="00C1790F">
        <w:rPr>
          <w:szCs w:val="22"/>
        </w:rPr>
        <w:t xml:space="preserve"> – </w:t>
      </w:r>
      <w:r w:rsidR="00C61FC2">
        <w:rPr>
          <w:szCs w:val="22"/>
        </w:rPr>
        <w:t>CBOL</w:t>
      </w:r>
      <w:r w:rsidRPr="00504877">
        <w:rPr>
          <w:szCs w:val="22"/>
        </w:rPr>
        <w:t xml:space="preserve"> service.</w:t>
      </w:r>
      <w:r>
        <w:rPr>
          <w:rStyle w:val="FootnoteReference"/>
          <w:szCs w:val="22"/>
        </w:rPr>
        <w:footnoteReference w:id="10"/>
      </w:r>
      <w:r>
        <w:rPr>
          <w:szCs w:val="22"/>
        </w:rPr>
        <w:t xml:space="preserve">  </w:t>
      </w:r>
      <w:r w:rsidRPr="00504877">
        <w:rPr>
          <w:szCs w:val="22"/>
        </w:rPr>
        <w:t xml:space="preserve">Because </w:t>
      </w:r>
      <w:r w:rsidR="00C61FC2">
        <w:rPr>
          <w:szCs w:val="22"/>
        </w:rPr>
        <w:t>CBOL</w:t>
      </w:r>
      <w:r w:rsidRPr="00504877">
        <w:rPr>
          <w:szCs w:val="22"/>
        </w:rPr>
        <w:t xml:space="preserve"> costs </w:t>
      </w:r>
      <w:r w:rsidR="00B32157">
        <w:rPr>
          <w:szCs w:val="22"/>
        </w:rPr>
        <w:t xml:space="preserve">were </w:t>
      </w:r>
      <w:r w:rsidRPr="00504877">
        <w:rPr>
          <w:szCs w:val="22"/>
        </w:rPr>
        <w:t>included in the Special Access category</w:t>
      </w:r>
      <w:r w:rsidR="00807C42">
        <w:rPr>
          <w:szCs w:val="22"/>
        </w:rPr>
        <w:t xml:space="preserve"> </w:t>
      </w:r>
      <w:r w:rsidR="00E91842">
        <w:rPr>
          <w:szCs w:val="22"/>
        </w:rPr>
        <w:t xml:space="preserve">by </w:t>
      </w:r>
      <w:r w:rsidR="00807C42">
        <w:rPr>
          <w:szCs w:val="22"/>
        </w:rPr>
        <w:t xml:space="preserve">the separations </w:t>
      </w:r>
      <w:r w:rsidR="00E91842">
        <w:rPr>
          <w:szCs w:val="22"/>
        </w:rPr>
        <w:t>and Part 69 cost allocation rules</w:t>
      </w:r>
      <w:r w:rsidRPr="00504877">
        <w:rPr>
          <w:szCs w:val="22"/>
        </w:rPr>
        <w:t xml:space="preserve">, the Commission required carriers to shift </w:t>
      </w:r>
      <w:r w:rsidR="00C61FC2">
        <w:rPr>
          <w:szCs w:val="22"/>
        </w:rPr>
        <w:t>CBOL</w:t>
      </w:r>
      <w:r w:rsidRPr="00504877">
        <w:rPr>
          <w:szCs w:val="22"/>
        </w:rPr>
        <w:t xml:space="preserve"> costs from the Special Access category to a new </w:t>
      </w:r>
      <w:r w:rsidR="00807C42">
        <w:rPr>
          <w:szCs w:val="22"/>
        </w:rPr>
        <w:t xml:space="preserve">CBOL </w:t>
      </w:r>
      <w:r w:rsidRPr="00504877">
        <w:rPr>
          <w:szCs w:val="22"/>
        </w:rPr>
        <w:t>category</w:t>
      </w:r>
      <w:r w:rsidR="00044AA2">
        <w:rPr>
          <w:szCs w:val="22"/>
        </w:rPr>
        <w:t>.</w:t>
      </w:r>
      <w:r>
        <w:rPr>
          <w:rStyle w:val="FootnoteReference"/>
          <w:szCs w:val="22"/>
        </w:rPr>
        <w:footnoteReference w:id="11"/>
      </w:r>
      <w:r w:rsidR="00044AA2">
        <w:rPr>
          <w:szCs w:val="22"/>
        </w:rPr>
        <w:t xml:space="preserve">  </w:t>
      </w:r>
      <w:r w:rsidR="00ED2848">
        <w:rPr>
          <w:szCs w:val="22"/>
        </w:rPr>
        <w:t xml:space="preserve">The goal was </w:t>
      </w:r>
      <w:r w:rsidRPr="00504877">
        <w:rPr>
          <w:szCs w:val="22"/>
        </w:rPr>
        <w:t xml:space="preserve">to </w:t>
      </w:r>
      <w:r w:rsidR="00807C42">
        <w:rPr>
          <w:szCs w:val="22"/>
        </w:rPr>
        <w:t xml:space="preserve">avoid </w:t>
      </w:r>
      <w:r w:rsidR="007C53EF">
        <w:rPr>
          <w:szCs w:val="22"/>
        </w:rPr>
        <w:t xml:space="preserve">including </w:t>
      </w:r>
      <w:r w:rsidR="00807C42">
        <w:rPr>
          <w:szCs w:val="22"/>
        </w:rPr>
        <w:t xml:space="preserve">such </w:t>
      </w:r>
      <w:r w:rsidR="00C61FC2">
        <w:rPr>
          <w:szCs w:val="22"/>
        </w:rPr>
        <w:t>CBOL</w:t>
      </w:r>
      <w:r w:rsidR="00ED2848">
        <w:rPr>
          <w:szCs w:val="22"/>
        </w:rPr>
        <w:t xml:space="preserve"> </w:t>
      </w:r>
      <w:r w:rsidR="00807C42">
        <w:rPr>
          <w:szCs w:val="22"/>
        </w:rPr>
        <w:t xml:space="preserve">costs in the determination of </w:t>
      </w:r>
      <w:r w:rsidRPr="00504877">
        <w:rPr>
          <w:szCs w:val="22"/>
        </w:rPr>
        <w:t>just and reasonable rates</w:t>
      </w:r>
      <w:r w:rsidR="00044AA2">
        <w:rPr>
          <w:szCs w:val="22"/>
        </w:rPr>
        <w:t xml:space="preserve"> for </w:t>
      </w:r>
      <w:r w:rsidR="0021493B">
        <w:rPr>
          <w:szCs w:val="22"/>
        </w:rPr>
        <w:t>special access</w:t>
      </w:r>
      <w:r w:rsidR="00044AA2">
        <w:rPr>
          <w:szCs w:val="22"/>
        </w:rPr>
        <w:t xml:space="preserve"> services</w:t>
      </w:r>
      <w:r w:rsidRPr="00504877">
        <w:rPr>
          <w:szCs w:val="22"/>
        </w:rPr>
        <w:t xml:space="preserve"> and to develop the support mechanism and tariff rates for </w:t>
      </w:r>
      <w:r w:rsidR="00C61FC2">
        <w:rPr>
          <w:szCs w:val="22"/>
        </w:rPr>
        <w:t>CBOL</w:t>
      </w:r>
      <w:r w:rsidRPr="00504877">
        <w:rPr>
          <w:szCs w:val="22"/>
        </w:rPr>
        <w:t xml:space="preserve"> service.</w:t>
      </w:r>
      <w:r>
        <w:rPr>
          <w:rStyle w:val="FootnoteReference"/>
          <w:szCs w:val="22"/>
        </w:rPr>
        <w:footnoteReference w:id="12"/>
      </w:r>
      <w:r>
        <w:rPr>
          <w:szCs w:val="22"/>
        </w:rPr>
        <w:t xml:space="preserve">  </w:t>
      </w:r>
      <w:r w:rsidR="00263ABB">
        <w:rPr>
          <w:szCs w:val="22"/>
        </w:rPr>
        <w:t>Reasoning</w:t>
      </w:r>
      <w:r w:rsidRPr="00504877" w:rsidR="00263ABB">
        <w:rPr>
          <w:szCs w:val="22"/>
        </w:rPr>
        <w:t xml:space="preserve"> </w:t>
      </w:r>
      <w:r w:rsidRPr="00504877">
        <w:rPr>
          <w:szCs w:val="22"/>
        </w:rPr>
        <w:t xml:space="preserve">that </w:t>
      </w:r>
      <w:r w:rsidR="00C61FC2">
        <w:rPr>
          <w:szCs w:val="22"/>
        </w:rPr>
        <w:t>CBOL</w:t>
      </w:r>
      <w:r w:rsidRPr="00504877">
        <w:rPr>
          <w:szCs w:val="22"/>
        </w:rPr>
        <w:t xml:space="preserve"> costs were </w:t>
      </w:r>
      <w:r w:rsidR="00044AA2">
        <w:rPr>
          <w:szCs w:val="22"/>
        </w:rPr>
        <w:t>similar</w:t>
      </w:r>
      <w:r w:rsidRPr="00504877">
        <w:rPr>
          <w:szCs w:val="22"/>
        </w:rPr>
        <w:t xml:space="preserve"> to common line costs</w:t>
      </w:r>
      <w:r w:rsidR="00FF529A">
        <w:rPr>
          <w:szCs w:val="22"/>
        </w:rPr>
        <w:t>,</w:t>
      </w:r>
      <w:r w:rsidRPr="00504877">
        <w:rPr>
          <w:szCs w:val="22"/>
        </w:rPr>
        <w:t xml:space="preserve"> the Commission </w:t>
      </w:r>
      <w:r w:rsidR="00044AA2">
        <w:rPr>
          <w:szCs w:val="22"/>
        </w:rPr>
        <w:t xml:space="preserve">decided to use common line costs as a surrogate for identifying the </w:t>
      </w:r>
      <w:r w:rsidR="00C61FC2">
        <w:rPr>
          <w:szCs w:val="22"/>
        </w:rPr>
        <w:t>CBOL</w:t>
      </w:r>
      <w:r w:rsidR="00044AA2">
        <w:rPr>
          <w:szCs w:val="22"/>
        </w:rPr>
        <w:t xml:space="preserve"> costs to be </w:t>
      </w:r>
      <w:r w:rsidRPr="00504877">
        <w:rPr>
          <w:szCs w:val="22"/>
        </w:rPr>
        <w:t xml:space="preserve">shifted from the Special Access category to the </w:t>
      </w:r>
      <w:r w:rsidR="00EF5BEB">
        <w:rPr>
          <w:szCs w:val="22"/>
        </w:rPr>
        <w:t xml:space="preserve">CBOL </w:t>
      </w:r>
      <w:r w:rsidRPr="00504877">
        <w:rPr>
          <w:szCs w:val="22"/>
        </w:rPr>
        <w:t xml:space="preserve">category for each </w:t>
      </w:r>
      <w:r w:rsidR="00C61FC2">
        <w:rPr>
          <w:szCs w:val="22"/>
        </w:rPr>
        <w:t>CBOL</w:t>
      </w:r>
      <w:r w:rsidRPr="007E76DF">
        <w:rPr>
          <w:szCs w:val="22"/>
        </w:rPr>
        <w:t>.</w:t>
      </w:r>
      <w:r>
        <w:rPr>
          <w:rStyle w:val="FootnoteReference"/>
          <w:szCs w:val="22"/>
        </w:rPr>
        <w:footnoteReference w:id="13"/>
      </w:r>
      <w:r w:rsidRPr="007E76DF">
        <w:rPr>
          <w:szCs w:val="22"/>
        </w:rPr>
        <w:t xml:space="preserve">  </w:t>
      </w:r>
      <w:r w:rsidRPr="007E76DF" w:rsidR="00C16ECF">
        <w:rPr>
          <w:szCs w:val="22"/>
        </w:rPr>
        <w:t xml:space="preserve">This process is referred to as the </w:t>
      </w:r>
      <w:r w:rsidR="00485E15">
        <w:rPr>
          <w:szCs w:val="22"/>
        </w:rPr>
        <w:t>“</w:t>
      </w:r>
      <w:r w:rsidRPr="007E76DF" w:rsidR="00C16ECF">
        <w:rPr>
          <w:szCs w:val="22"/>
        </w:rPr>
        <w:t>surrogate method</w:t>
      </w:r>
      <w:r w:rsidRPr="007E76DF" w:rsidR="00473B3B">
        <w:rPr>
          <w:szCs w:val="22"/>
        </w:rPr>
        <w:t>.</w:t>
      </w:r>
      <w:r w:rsidR="00485E15">
        <w:rPr>
          <w:szCs w:val="22"/>
        </w:rPr>
        <w:t>”</w:t>
      </w:r>
      <w:r w:rsidRPr="007E76DF" w:rsidR="00E3350E">
        <w:rPr>
          <w:szCs w:val="22"/>
        </w:rPr>
        <w:t xml:space="preserve">  </w:t>
      </w:r>
      <w:r w:rsidRPr="007E76DF" w:rsidR="00E3350E">
        <w:t xml:space="preserve">The surrogate method </w:t>
      </w:r>
      <w:r w:rsidRPr="007E76DF" w:rsidR="00263ABB">
        <w:t xml:space="preserve">included the broadest definition of loop costs feasible based on </w:t>
      </w:r>
      <w:r w:rsidR="007C53EF">
        <w:t xml:space="preserve">the Commission’s </w:t>
      </w:r>
      <w:r w:rsidRPr="007E76DF" w:rsidR="000C5E30">
        <w:t>then-</w:t>
      </w:r>
      <w:r w:rsidRPr="007E76DF" w:rsidR="00263ABB">
        <w:t>current cost accounting rules</w:t>
      </w:r>
      <w:r w:rsidR="007C53EF">
        <w:t>.</w:t>
      </w:r>
      <w:r w:rsidRPr="007E76DF" w:rsidR="00263ABB">
        <w:t xml:space="preserve"> </w:t>
      </w:r>
      <w:r w:rsidR="00677EE8">
        <w:t xml:space="preserve"> </w:t>
      </w:r>
      <w:r w:rsidR="007C53EF">
        <w:t xml:space="preserve">It also </w:t>
      </w:r>
      <w:r w:rsidRPr="007E76DF" w:rsidR="00E3350E">
        <w:t xml:space="preserve">was intended to identify </w:t>
      </w:r>
      <w:r w:rsidR="007C53EF">
        <w:t xml:space="preserve">those costs in an </w:t>
      </w:r>
      <w:r w:rsidRPr="007E76DF" w:rsidR="00263ABB">
        <w:t>expansive</w:t>
      </w:r>
      <w:r w:rsidRPr="007E76DF" w:rsidR="00E3350E">
        <w:t xml:space="preserve"> </w:t>
      </w:r>
      <w:r w:rsidR="007C53EF">
        <w:t xml:space="preserve">manner, to </w:t>
      </w:r>
      <w:r w:rsidRPr="007E76DF" w:rsidR="00E3350E">
        <w:t>segregate the broadband-only loop investment and expenses from other special</w:t>
      </w:r>
      <w:r w:rsidR="00E3350E">
        <w:t xml:space="preserve"> access costs currently included in the Special Access category</w:t>
      </w:r>
      <w:r w:rsidR="007C53EF">
        <w:t>,</w:t>
      </w:r>
      <w:r>
        <w:rPr>
          <w:rStyle w:val="FootnoteReference"/>
        </w:rPr>
        <w:footnoteReference w:id="14"/>
      </w:r>
      <w:r w:rsidR="00E3350E">
        <w:t xml:space="preserve"> and to preclude cross-subsidization.</w:t>
      </w:r>
      <w:r>
        <w:rPr>
          <w:rStyle w:val="FootnoteReference"/>
        </w:rPr>
        <w:footnoteReference w:id="15"/>
      </w:r>
      <w:r w:rsidR="00E3350E">
        <w:t xml:space="preserve"> </w:t>
      </w:r>
      <w:r w:rsidR="005C5F8A">
        <w:t xml:space="preserve"> </w:t>
      </w:r>
      <w:r w:rsidR="002F0D0E">
        <w:t>T</w:t>
      </w:r>
      <w:r w:rsidRPr="00504877" w:rsidR="002F0D0E">
        <w:t>h</w:t>
      </w:r>
      <w:r w:rsidR="002F0D0E">
        <w:t>e Commission recognized, however, that it might be appropriate to revisit the surrogate method in the future if it was not working as intended</w:t>
      </w:r>
      <w:r w:rsidRPr="00504877" w:rsidR="002F0D0E">
        <w:t>.</w:t>
      </w:r>
      <w:r>
        <w:rPr>
          <w:rStyle w:val="FootnoteReference"/>
        </w:rPr>
        <w:footnoteReference w:id="16"/>
      </w:r>
    </w:p>
    <w:p w:rsidR="00267ABD" w:rsidP="00F923B0" w14:paraId="26F41085" w14:textId="41F361D9">
      <w:pPr>
        <w:pStyle w:val="ParaNum"/>
        <w:widowControl/>
      </w:pPr>
      <w:r>
        <w:t xml:space="preserve">In the course of implementing the new rules and carrier introduction of the new CBOL service, </w:t>
      </w:r>
      <w:r w:rsidR="00FA3EFF">
        <w:t>it became apparent</w:t>
      </w:r>
      <w:r>
        <w:t xml:space="preserve"> </w:t>
      </w:r>
      <w:r w:rsidRPr="006B7A88">
        <w:t xml:space="preserve">that, in certain limited situations, </w:t>
      </w:r>
      <w:r w:rsidRPr="006B7A88">
        <w:rPr>
          <w:color w:val="000000"/>
        </w:rPr>
        <w:t>the surrogate</w:t>
      </w:r>
      <w:r>
        <w:rPr>
          <w:color w:val="000000"/>
        </w:rPr>
        <w:t xml:space="preserve"> cost methodology over-allocated</w:t>
      </w:r>
      <w:r w:rsidRPr="006B7A88">
        <w:rPr>
          <w:color w:val="000000"/>
        </w:rPr>
        <w:t xml:space="preserve"> costs out of the Special Access category</w:t>
      </w:r>
      <w:r w:rsidRPr="006B7A88">
        <w:t>, thereby</w:t>
      </w:r>
      <w:r>
        <w:t xml:space="preserve"> reducing the revenue requirement and resulting</w:t>
      </w:r>
      <w:r w:rsidRPr="006B7A88">
        <w:t xml:space="preserve"> </w:t>
      </w:r>
      <w:r w:rsidR="0021493B">
        <w:rPr>
          <w:color w:val="000000"/>
        </w:rPr>
        <w:t>special access</w:t>
      </w:r>
      <w:r>
        <w:rPr>
          <w:color w:val="000000"/>
        </w:rPr>
        <w:t xml:space="preserve"> services</w:t>
      </w:r>
      <w:r w:rsidRPr="006B7A88">
        <w:rPr>
          <w:color w:val="000000"/>
        </w:rPr>
        <w:t xml:space="preserve"> rates more than intended</w:t>
      </w:r>
      <w:r>
        <w:rPr>
          <w:color w:val="000000"/>
        </w:rPr>
        <w:t xml:space="preserve">; </w:t>
      </w:r>
      <w:r w:rsidR="00067C3F">
        <w:rPr>
          <w:color w:val="000000"/>
        </w:rPr>
        <w:t xml:space="preserve">indeed, </w:t>
      </w:r>
      <w:r w:rsidRPr="006B7A88">
        <w:rPr>
          <w:color w:val="000000"/>
        </w:rPr>
        <w:t>in the</w:t>
      </w:r>
      <w:r>
        <w:rPr>
          <w:color w:val="000000"/>
        </w:rPr>
        <w:t xml:space="preserve"> worst case scenario, </w:t>
      </w:r>
      <w:r w:rsidR="00067C3F">
        <w:rPr>
          <w:color w:val="000000"/>
        </w:rPr>
        <w:t xml:space="preserve">rates </w:t>
      </w:r>
      <w:r>
        <w:rPr>
          <w:color w:val="000000"/>
        </w:rPr>
        <w:t xml:space="preserve">would have been </w:t>
      </w:r>
      <w:r w:rsidR="00067C3F">
        <w:rPr>
          <w:color w:val="000000"/>
        </w:rPr>
        <w:t xml:space="preserve">reduced </w:t>
      </w:r>
      <w:r>
        <w:rPr>
          <w:color w:val="000000"/>
        </w:rPr>
        <w:t>to zero.</w:t>
      </w:r>
      <w:r>
        <w:rPr>
          <w:rStyle w:val="FootnoteReference"/>
          <w:szCs w:val="22"/>
        </w:rPr>
        <w:footnoteReference w:id="17"/>
      </w:r>
      <w:r>
        <w:rPr>
          <w:color w:val="000000"/>
        </w:rPr>
        <w:t xml:space="preserve">  Concluding that it would be unreasonable to apply the surrogate method in such circumstances, the Wireline Competition Bureau (Bureau) granted a limited </w:t>
      </w:r>
      <w:r w:rsidRPr="006B7A88">
        <w:t>waive</w:t>
      </w:r>
      <w:r>
        <w:t xml:space="preserve">r of </w:t>
      </w:r>
      <w:r w:rsidRPr="006B7A88">
        <w:t xml:space="preserve">sections 69.311 and 69.416 of the </w:t>
      </w:r>
      <w:r w:rsidR="003D22E0">
        <w:t xml:space="preserve">Commission’s </w:t>
      </w:r>
      <w:r w:rsidRPr="006B7A88">
        <w:t>rules in cases where use of the surroga</w:t>
      </w:r>
      <w:r>
        <w:t xml:space="preserve">te cost method would result in </w:t>
      </w:r>
      <w:r w:rsidR="00067C3F">
        <w:t xml:space="preserve">such </w:t>
      </w:r>
      <w:r>
        <w:t>unintended rate reductions</w:t>
      </w:r>
      <w:r>
        <w:rPr>
          <w:color w:val="000000"/>
        </w:rPr>
        <w:t>.</w:t>
      </w:r>
      <w:r>
        <w:rPr>
          <w:rStyle w:val="FootnoteReference"/>
          <w:szCs w:val="22"/>
        </w:rPr>
        <w:footnoteReference w:id="18"/>
      </w:r>
      <w:r>
        <w:rPr>
          <w:color w:val="000000"/>
        </w:rPr>
        <w:t xml:space="preserve">  The Bureau granted a similar</w:t>
      </w:r>
      <w:r>
        <w:t xml:space="preserve"> limited waiver of the rules </w:t>
      </w:r>
      <w:r>
        <w:t>concerning use of the surrogate cost method for the 2017 annual access charge tariff filing, and any later tariff filings related to the development of the CBOL revenue requirement.</w:t>
      </w:r>
      <w:r>
        <w:rPr>
          <w:rStyle w:val="FootnoteReference"/>
        </w:rPr>
        <w:footnoteReference w:id="19"/>
      </w:r>
    </w:p>
    <w:p w:rsidR="00485E15" w:rsidP="00D670AC" w14:paraId="7C2A8F16" w14:textId="36A74A58">
      <w:pPr>
        <w:pStyle w:val="ParaNum"/>
        <w:rPr>
          <w:szCs w:val="22"/>
        </w:rPr>
      </w:pPr>
      <w:r>
        <w:rPr>
          <w:szCs w:val="22"/>
        </w:rPr>
        <w:t xml:space="preserve">In the </w:t>
      </w:r>
      <w:r>
        <w:rPr>
          <w:i/>
          <w:szCs w:val="22"/>
        </w:rPr>
        <w:t xml:space="preserve">Rate-of-Return Reform Order, </w:t>
      </w:r>
      <w:r>
        <w:rPr>
          <w:szCs w:val="22"/>
        </w:rPr>
        <w:t>t</w:t>
      </w:r>
      <w:r w:rsidRPr="00504877" w:rsidR="00504877">
        <w:rPr>
          <w:szCs w:val="22"/>
        </w:rPr>
        <w:t xml:space="preserve">he Commission also adopted a rule requiring that rate-of-return carriers impute an amount equal to the ARC on </w:t>
      </w:r>
      <w:r w:rsidR="00C61FC2">
        <w:rPr>
          <w:szCs w:val="22"/>
        </w:rPr>
        <w:t>CBOL</w:t>
      </w:r>
      <w:r w:rsidRPr="00504877" w:rsidR="00504877">
        <w:rPr>
          <w:szCs w:val="22"/>
        </w:rPr>
        <w:t xml:space="preserve"> service</w:t>
      </w:r>
      <w:r w:rsidR="00807C42">
        <w:rPr>
          <w:szCs w:val="22"/>
        </w:rPr>
        <w:t xml:space="preserve"> as part of the process of calculating their CAF ICC Support</w:t>
      </w:r>
      <w:r w:rsidRPr="00504877" w:rsidR="00504877">
        <w:rPr>
          <w:szCs w:val="22"/>
        </w:rPr>
        <w:t>.</w:t>
      </w:r>
      <w:r>
        <w:rPr>
          <w:rStyle w:val="FootnoteReference"/>
          <w:szCs w:val="22"/>
        </w:rPr>
        <w:footnoteReference w:id="20"/>
      </w:r>
      <w:r w:rsidRPr="00504877" w:rsidR="00504877">
        <w:rPr>
          <w:szCs w:val="22"/>
        </w:rPr>
        <w:t xml:space="preserve"> </w:t>
      </w:r>
      <w:r w:rsidR="00807C42">
        <w:rPr>
          <w:szCs w:val="22"/>
        </w:rPr>
        <w:t xml:space="preserve"> </w:t>
      </w:r>
      <w:r w:rsidRPr="00504877" w:rsidR="00504877">
        <w:rPr>
          <w:szCs w:val="22"/>
        </w:rPr>
        <w:t>T</w:t>
      </w:r>
      <w:r w:rsidR="00FC01D6">
        <w:rPr>
          <w:szCs w:val="22"/>
        </w:rPr>
        <w:t>he Commission anticipated the</w:t>
      </w:r>
      <w:r w:rsidRPr="00FC01D6" w:rsidR="00FC01D6">
        <w:t xml:space="preserve"> </w:t>
      </w:r>
      <w:r w:rsidR="00FC01D6">
        <w:t xml:space="preserve">migration of some end users from their current </w:t>
      </w:r>
      <w:r w:rsidR="00BE4BF8">
        <w:t xml:space="preserve">voice/broadband </w:t>
      </w:r>
      <w:r w:rsidR="00FC01D6">
        <w:t>offerings to supported broadband-only lines due to increased affordability of these services.</w:t>
      </w:r>
      <w:r>
        <w:rPr>
          <w:rStyle w:val="FootnoteReference"/>
        </w:rPr>
        <w:footnoteReference w:id="21"/>
      </w:r>
      <w:r w:rsidR="001E3EF8">
        <w:t xml:space="preserve">  </w:t>
      </w:r>
      <w:r w:rsidR="00ED2848">
        <w:t xml:space="preserve">It recognized that as </w:t>
      </w:r>
      <w:r w:rsidR="00FC01D6">
        <w:t xml:space="preserve">such migration </w:t>
      </w:r>
      <w:r w:rsidR="00ED2848">
        <w:t xml:space="preserve">occurred, the reduction in the number of </w:t>
      </w:r>
      <w:r w:rsidR="00FC01D6">
        <w:t>ARC-eligib</w:t>
      </w:r>
      <w:r w:rsidR="001E3EF8">
        <w:t>le lines</w:t>
      </w:r>
      <w:r w:rsidR="00FC01D6">
        <w:t xml:space="preserve"> </w:t>
      </w:r>
      <w:r w:rsidR="00ED2848">
        <w:t xml:space="preserve">would require </w:t>
      </w:r>
      <w:r w:rsidR="001E3EF8">
        <w:t>carrier</w:t>
      </w:r>
      <w:r w:rsidR="00602D91">
        <w:t>s</w:t>
      </w:r>
      <w:r w:rsidR="001E3EF8">
        <w:t xml:space="preserve"> to recover</w:t>
      </w:r>
      <w:r w:rsidR="00FC01D6">
        <w:t xml:space="preserve"> more</w:t>
      </w:r>
      <w:r w:rsidR="001E3EF8">
        <w:t xml:space="preserve"> </w:t>
      </w:r>
      <w:r w:rsidR="00FC01D6">
        <w:t>from CAF ICC support.</w:t>
      </w:r>
      <w:r>
        <w:rPr>
          <w:rStyle w:val="FootnoteReference"/>
        </w:rPr>
        <w:footnoteReference w:id="22"/>
      </w:r>
      <w:r w:rsidRPr="00504877" w:rsidR="00504877">
        <w:rPr>
          <w:szCs w:val="22"/>
        </w:rPr>
        <w:t xml:space="preserve"> </w:t>
      </w:r>
      <w:r w:rsidR="00ED2848">
        <w:rPr>
          <w:szCs w:val="22"/>
        </w:rPr>
        <w:t xml:space="preserve"> To help </w:t>
      </w:r>
      <w:r w:rsidRPr="00504877" w:rsidR="00504877">
        <w:rPr>
          <w:szCs w:val="22"/>
        </w:rPr>
        <w:t xml:space="preserve">maintain the careful balance between end-user charges and universal service support adopted in the </w:t>
      </w:r>
      <w:r w:rsidRPr="00B66940" w:rsidR="00B66940">
        <w:rPr>
          <w:i/>
          <w:szCs w:val="22"/>
        </w:rPr>
        <w:t>USF/ICC Transformation Order</w:t>
      </w:r>
      <w:r w:rsidR="00ED2848">
        <w:rPr>
          <w:szCs w:val="22"/>
        </w:rPr>
        <w:t>, the Commission adopted the ARC imputat</w:t>
      </w:r>
      <w:r w:rsidR="00602D91">
        <w:rPr>
          <w:szCs w:val="22"/>
        </w:rPr>
        <w:t xml:space="preserve">ion rule for </w:t>
      </w:r>
      <w:r w:rsidR="00C61FC2">
        <w:rPr>
          <w:szCs w:val="22"/>
        </w:rPr>
        <w:t>CBOL</w:t>
      </w:r>
      <w:r w:rsidR="00ED2848">
        <w:rPr>
          <w:szCs w:val="22"/>
        </w:rPr>
        <w:t xml:space="preserve"> service</w:t>
      </w:r>
      <w:r w:rsidRPr="00504877" w:rsidR="00504877">
        <w:rPr>
          <w:szCs w:val="22"/>
        </w:rPr>
        <w:t>.</w:t>
      </w:r>
      <w:r>
        <w:rPr>
          <w:rStyle w:val="FootnoteReference"/>
          <w:szCs w:val="22"/>
        </w:rPr>
        <w:footnoteReference w:id="23"/>
      </w:r>
      <w:r w:rsidR="00ED2848">
        <w:rPr>
          <w:szCs w:val="22"/>
        </w:rPr>
        <w:t xml:space="preserve">  Those rules </w:t>
      </w:r>
      <w:r w:rsidR="00067C3F">
        <w:rPr>
          <w:szCs w:val="22"/>
        </w:rPr>
        <w:t>d</w:t>
      </w:r>
      <w:r w:rsidR="00ED2848">
        <w:rPr>
          <w:szCs w:val="22"/>
        </w:rPr>
        <w:t>o not distinguish between carriers</w:t>
      </w:r>
      <w:r>
        <w:rPr>
          <w:szCs w:val="22"/>
        </w:rPr>
        <w:t>’</w:t>
      </w:r>
      <w:r w:rsidR="00ED2848">
        <w:rPr>
          <w:szCs w:val="22"/>
        </w:rPr>
        <w:t xml:space="preserve"> revenue from new and existing broadband only loop subscribers.</w:t>
      </w:r>
    </w:p>
    <w:p w:rsidR="00A45D98" w:rsidRPr="00A45D98" w:rsidP="00465E17" w14:paraId="17FAAEE6" w14:textId="5DB0DB01">
      <w:pPr>
        <w:pStyle w:val="ParaNum"/>
        <w:rPr>
          <w:szCs w:val="22"/>
        </w:rPr>
      </w:pPr>
      <w:r w:rsidRPr="00A45D98">
        <w:rPr>
          <w:szCs w:val="22"/>
        </w:rPr>
        <w:t xml:space="preserve">NTCA – The Rural Broadband Association filed a petition asking the Commission to reconsider </w:t>
      </w:r>
      <w:r w:rsidRPr="00A45D98" w:rsidR="00BD59FA">
        <w:rPr>
          <w:szCs w:val="22"/>
        </w:rPr>
        <w:t xml:space="preserve">portions </w:t>
      </w:r>
      <w:r w:rsidRPr="00A45D98">
        <w:rPr>
          <w:szCs w:val="22"/>
        </w:rPr>
        <w:t xml:space="preserve">of the </w:t>
      </w:r>
      <w:r w:rsidRPr="00A45D98">
        <w:rPr>
          <w:i/>
          <w:szCs w:val="22"/>
        </w:rPr>
        <w:t>Rate-of-Return Reform Order</w:t>
      </w:r>
      <w:r w:rsidRPr="00A45D98">
        <w:rPr>
          <w:szCs w:val="22"/>
        </w:rPr>
        <w:t>.</w:t>
      </w:r>
      <w:r>
        <w:rPr>
          <w:rStyle w:val="FootnoteReference"/>
          <w:sz w:val="22"/>
          <w:szCs w:val="22"/>
        </w:rPr>
        <w:footnoteReference w:id="24"/>
      </w:r>
      <w:r w:rsidRPr="00A45D98">
        <w:rPr>
          <w:szCs w:val="22"/>
        </w:rPr>
        <w:t xml:space="preserve"> </w:t>
      </w:r>
      <w:r w:rsidRPr="00A45D98" w:rsidR="005811BD">
        <w:rPr>
          <w:szCs w:val="22"/>
        </w:rPr>
        <w:t xml:space="preserve"> </w:t>
      </w:r>
      <w:r w:rsidRPr="00A45D98" w:rsidR="001535D7">
        <w:rPr>
          <w:szCs w:val="22"/>
        </w:rPr>
        <w:t xml:space="preserve">Among other things, </w:t>
      </w:r>
      <w:r w:rsidRPr="00A45D98" w:rsidR="005811BD">
        <w:rPr>
          <w:szCs w:val="22"/>
        </w:rPr>
        <w:t xml:space="preserve">NTCA </w:t>
      </w:r>
      <w:r w:rsidRPr="00A45D98" w:rsidR="00FA3EFF">
        <w:rPr>
          <w:szCs w:val="22"/>
        </w:rPr>
        <w:t xml:space="preserve">asks </w:t>
      </w:r>
      <w:r w:rsidRPr="00A45D98" w:rsidR="005811BD">
        <w:rPr>
          <w:szCs w:val="22"/>
        </w:rPr>
        <w:t>that the Commission reconsider the</w:t>
      </w:r>
      <w:r w:rsidRPr="00A45D98">
        <w:rPr>
          <w:szCs w:val="22"/>
        </w:rPr>
        <w:t xml:space="preserve"> </w:t>
      </w:r>
      <w:r w:rsidRPr="00A45D98" w:rsidR="00BD59FA">
        <w:rPr>
          <w:szCs w:val="22"/>
        </w:rPr>
        <w:t xml:space="preserve">surrogate </w:t>
      </w:r>
      <w:r w:rsidRPr="00A45D98" w:rsidR="00D2110E">
        <w:rPr>
          <w:szCs w:val="22"/>
        </w:rPr>
        <w:t>method for estimating CBOL costs, and instead</w:t>
      </w:r>
      <w:r w:rsidRPr="00A45D98" w:rsidR="00490712">
        <w:rPr>
          <w:szCs w:val="22"/>
        </w:rPr>
        <w:t xml:space="preserve"> </w:t>
      </w:r>
      <w:r w:rsidRPr="00A45D98" w:rsidR="001535D7">
        <w:rPr>
          <w:snapToGrid/>
          <w:kern w:val="0"/>
          <w:szCs w:val="22"/>
        </w:rPr>
        <w:t xml:space="preserve">adopt a more cost-based </w:t>
      </w:r>
      <w:r w:rsidRPr="00A45D98" w:rsidR="00B32157">
        <w:rPr>
          <w:snapToGrid/>
          <w:kern w:val="0"/>
          <w:szCs w:val="22"/>
        </w:rPr>
        <w:t>method</w:t>
      </w:r>
      <w:r w:rsidRPr="00A45D98" w:rsidR="005811BD">
        <w:rPr>
          <w:snapToGrid/>
          <w:kern w:val="0"/>
          <w:szCs w:val="22"/>
        </w:rPr>
        <w:t>.</w:t>
      </w:r>
      <w:r w:rsidRPr="00A45D98">
        <w:rPr>
          <w:szCs w:val="22"/>
        </w:rPr>
        <w:t xml:space="preserve"> </w:t>
      </w:r>
      <w:r>
        <w:rPr>
          <w:rStyle w:val="FootnoteReference"/>
          <w:sz w:val="22"/>
          <w:szCs w:val="22"/>
        </w:rPr>
        <w:footnoteReference w:id="25"/>
      </w:r>
      <w:r w:rsidRPr="00A45D98" w:rsidR="005811BD">
        <w:rPr>
          <w:szCs w:val="22"/>
        </w:rPr>
        <w:t xml:space="preserve">  NTCA</w:t>
      </w:r>
      <w:r w:rsidRPr="00A45D98">
        <w:rPr>
          <w:szCs w:val="22"/>
        </w:rPr>
        <w:t xml:space="preserve"> also requests that the Commission reconsider the ARC imputation rule and grandfather stand-alone broadband connections in place as of September 30, 2011 from imputation of the ARC amounts.</w:t>
      </w:r>
      <w:r>
        <w:rPr>
          <w:rStyle w:val="FootnoteReference"/>
          <w:sz w:val="22"/>
          <w:szCs w:val="22"/>
        </w:rPr>
        <w:footnoteReference w:id="26"/>
      </w:r>
    </w:p>
    <w:p w:rsidR="00BD407B" w:rsidP="00465E17" w14:paraId="129A6118" w14:textId="6E09E2E0">
      <w:pPr>
        <w:pStyle w:val="ParaNum"/>
        <w:rPr>
          <w:szCs w:val="22"/>
        </w:rPr>
      </w:pPr>
      <w:r>
        <w:rPr>
          <w:szCs w:val="22"/>
        </w:rPr>
        <w:t xml:space="preserve">Further, </w:t>
      </w:r>
      <w:r w:rsidRPr="004F0320">
        <w:rPr>
          <w:szCs w:val="22"/>
        </w:rPr>
        <w:t xml:space="preserve">the Commission </w:t>
      </w:r>
      <w:r>
        <w:rPr>
          <w:szCs w:val="22"/>
        </w:rPr>
        <w:t xml:space="preserve">also </w:t>
      </w:r>
      <w:r w:rsidRPr="004F0320">
        <w:rPr>
          <w:szCs w:val="22"/>
        </w:rPr>
        <w:t xml:space="preserve">adopted rules </w:t>
      </w:r>
      <w:r>
        <w:rPr>
          <w:szCs w:val="22"/>
        </w:rPr>
        <w:t xml:space="preserve">in the </w:t>
      </w:r>
      <w:r w:rsidR="00F3170D">
        <w:rPr>
          <w:i/>
          <w:szCs w:val="22"/>
        </w:rPr>
        <w:t>Rate-of-</w:t>
      </w:r>
      <w:r>
        <w:rPr>
          <w:i/>
          <w:szCs w:val="22"/>
        </w:rPr>
        <w:t>Return Reform Order</w:t>
      </w:r>
      <w:r w:rsidRPr="004F0320">
        <w:rPr>
          <w:szCs w:val="22"/>
        </w:rPr>
        <w:t xml:space="preserve"> to eliminate CAF BLS in census blocks served by an unsubsidized competitor.</w:t>
      </w:r>
      <w:r>
        <w:rPr>
          <w:rStyle w:val="FootnoteReference"/>
          <w:szCs w:val="22"/>
        </w:rPr>
        <w:footnoteReference w:id="27"/>
      </w:r>
      <w:r w:rsidRPr="004F0320">
        <w:rPr>
          <w:szCs w:val="22"/>
        </w:rPr>
        <w:t xml:space="preserve">  The Commission recognized that the census blocks served by an unsubsidized competitor are likely to be lower cost areas, as compared to the other census bloc</w:t>
      </w:r>
      <w:r>
        <w:rPr>
          <w:szCs w:val="22"/>
        </w:rPr>
        <w:t>ks in the carrier’s study area.</w:t>
      </w:r>
      <w:r>
        <w:rPr>
          <w:rStyle w:val="FootnoteReference"/>
          <w:szCs w:val="22"/>
        </w:rPr>
        <w:footnoteReference w:id="28"/>
      </w:r>
      <w:r w:rsidRPr="004F0320">
        <w:rPr>
          <w:szCs w:val="22"/>
        </w:rPr>
        <w:t xml:space="preserve">  Accordingly, the Commission provided that a carrier subject to competitive overlap may elect one of three methodologies to </w:t>
      </w:r>
      <w:r>
        <w:rPr>
          <w:szCs w:val="22"/>
        </w:rPr>
        <w:t>“</w:t>
      </w:r>
      <w:r w:rsidRPr="004F0320">
        <w:rPr>
          <w:szCs w:val="22"/>
        </w:rPr>
        <w:t>disaggregate</w:t>
      </w:r>
      <w:r>
        <w:rPr>
          <w:szCs w:val="22"/>
        </w:rPr>
        <w:t>”</w:t>
      </w:r>
      <w:r w:rsidRPr="004F0320">
        <w:rPr>
          <w:szCs w:val="22"/>
        </w:rPr>
        <w:t xml:space="preserve"> its support into competitive census blocks (in which support would be eliminated) and non-competitive census block</w:t>
      </w:r>
      <w:r>
        <w:rPr>
          <w:szCs w:val="22"/>
        </w:rPr>
        <w:t>s</w:t>
      </w:r>
      <w:r w:rsidRPr="004F0320">
        <w:rPr>
          <w:szCs w:val="22"/>
        </w:rPr>
        <w:t xml:space="preserve"> (in which support would not be eliminated).</w:t>
      </w:r>
      <w:r>
        <w:rPr>
          <w:rStyle w:val="FootnoteReference"/>
          <w:szCs w:val="22"/>
        </w:rPr>
        <w:footnoteReference w:id="29"/>
      </w:r>
      <w:r>
        <w:rPr>
          <w:szCs w:val="22"/>
        </w:rPr>
        <w:t xml:space="preserve">  </w:t>
      </w:r>
      <w:r w:rsidRPr="004F0320">
        <w:rPr>
          <w:szCs w:val="22"/>
        </w:rPr>
        <w:t>The Commission further adopted a plan for transitioning support reductions for areas subject to competitive overlap.</w:t>
      </w:r>
      <w:r>
        <w:rPr>
          <w:rStyle w:val="FootnoteReference"/>
          <w:szCs w:val="22"/>
        </w:rPr>
        <w:footnoteReference w:id="30"/>
      </w:r>
    </w:p>
    <w:p w:rsidR="005618AC" w:rsidP="00446086" w14:paraId="43CA6BB8" w14:textId="77777777">
      <w:pPr>
        <w:pStyle w:val="Heading1"/>
        <w:rPr>
          <w:rFonts w:ascii="Times New Roman" w:hAnsi="Times New Roman"/>
          <w:szCs w:val="22"/>
        </w:rPr>
      </w:pPr>
      <w:r w:rsidRPr="0082492A">
        <w:rPr>
          <w:rFonts w:ascii="Times New Roman" w:hAnsi="Times New Roman"/>
          <w:szCs w:val="22"/>
        </w:rPr>
        <w:t>Discussion</w:t>
      </w:r>
    </w:p>
    <w:p w:rsidR="00A72157" w:rsidP="004F71DC" w14:paraId="47933D99" w14:textId="4139098F">
      <w:pPr>
        <w:pStyle w:val="ParaNum"/>
      </w:pPr>
      <w:r w:rsidRPr="003E5DCE">
        <w:t>Upon review of the record, we modify our rules by replacing the surrogate cost method for determining the cost of CBOLs and revise the rule requiring rate-of-return carriers to impute an amount equal to the ARC that cou</w:t>
      </w:r>
      <w:r w:rsidR="00331A92">
        <w:t xml:space="preserve">ld have been assessed on a </w:t>
      </w:r>
      <w:r w:rsidRPr="00893C65" w:rsidR="00331A92">
        <w:rPr>
          <w:szCs w:val="22"/>
        </w:rPr>
        <w:t>voice or voice/broadband line</w:t>
      </w:r>
      <w:r w:rsidRPr="003E5DCE">
        <w:t xml:space="preserve">.  We also clarify two matters pertaining to the manner in which competitive overlap can lead to a reduction in CAF BLS.  </w:t>
      </w:r>
      <w:r w:rsidR="004F71DC">
        <w:t xml:space="preserve">These actions will </w:t>
      </w:r>
      <w:r w:rsidR="00677EE8">
        <w:t xml:space="preserve">further </w:t>
      </w:r>
      <w:r>
        <w:t xml:space="preserve">advance </w:t>
      </w:r>
      <w:r w:rsidR="00677EE8">
        <w:t>our</w:t>
      </w:r>
      <w:r>
        <w:t xml:space="preserve"> goal of ensuring deployment of advanced telecommunications and information services networks throughout “all regions of the nation.”</w:t>
      </w:r>
      <w:r>
        <w:rPr>
          <w:rStyle w:val="FootnoteReference"/>
        </w:rPr>
        <w:footnoteReference w:id="31"/>
      </w:r>
    </w:p>
    <w:p w:rsidR="00504877" w:rsidRPr="00504877" w:rsidP="00634480" w14:paraId="76AEE28E" w14:textId="77777777">
      <w:pPr>
        <w:pStyle w:val="Heading2"/>
      </w:pPr>
      <w:r>
        <w:t>Replacing the Surrogate M</w:t>
      </w:r>
      <w:r>
        <w:t>ethod</w:t>
      </w:r>
    </w:p>
    <w:p w:rsidR="00D937A7" w:rsidP="00504877" w14:paraId="2E3668D5" w14:textId="77777777">
      <w:pPr>
        <w:pStyle w:val="ParaNum"/>
      </w:pPr>
      <w:r>
        <w:t>First, w</w:t>
      </w:r>
      <w:r w:rsidRPr="00504877" w:rsidR="00504877">
        <w:t xml:space="preserve">e revise sections 69.311 and 69.416 as set forth in </w:t>
      </w:r>
      <w:r w:rsidR="00A024F8">
        <w:t xml:space="preserve">the </w:t>
      </w:r>
      <w:r w:rsidRPr="00504877" w:rsidR="00504877">
        <w:t xml:space="preserve">Appendix to determine </w:t>
      </w:r>
      <w:r w:rsidR="00C61FC2">
        <w:rPr>
          <w:szCs w:val="22"/>
        </w:rPr>
        <w:t>CBOL</w:t>
      </w:r>
      <w:r w:rsidRPr="00504877" w:rsidR="00504877">
        <w:t xml:space="preserve"> costs from the Part 36 and Part 69 cost studies without using a surrogate method.  While the surrogate method produced </w:t>
      </w:r>
      <w:r w:rsidR="00C61FC2">
        <w:t>CBOL</w:t>
      </w:r>
      <w:r w:rsidR="00C10DFB">
        <w:t xml:space="preserve"> </w:t>
      </w:r>
      <w:r w:rsidRPr="00504877" w:rsidR="00504877">
        <w:t xml:space="preserve">cost estimates in the expected ranges for many, if not most, carriers, </w:t>
      </w:r>
      <w:r w:rsidR="00634480">
        <w:t xml:space="preserve">in other </w:t>
      </w:r>
      <w:r w:rsidRPr="00504877" w:rsidR="00504877">
        <w:t xml:space="preserve">situations </w:t>
      </w:r>
      <w:r w:rsidR="00C10DFB">
        <w:t>the estimates were problematic</w:t>
      </w:r>
      <w:r w:rsidRPr="00504877" w:rsidR="00504877">
        <w:t>.</w:t>
      </w:r>
      <w:r>
        <w:rPr>
          <w:rStyle w:val="FootnoteReference"/>
        </w:rPr>
        <w:footnoteReference w:id="32"/>
      </w:r>
      <w:r w:rsidRPr="00504877" w:rsidR="00504877">
        <w:t xml:space="preserve">  For a few carriers, particularly those that elected to freeze their separations category relationships,</w:t>
      </w:r>
      <w:r>
        <w:rPr>
          <w:rStyle w:val="FootnoteReference"/>
        </w:rPr>
        <w:footnoteReference w:id="33"/>
      </w:r>
      <w:r w:rsidR="00BD2BAC">
        <w:t xml:space="preserve"> use of the surrogate method would have eliminated </w:t>
      </w:r>
      <w:r w:rsidRPr="00504877" w:rsidR="00504877">
        <w:t xml:space="preserve">the Special Access revenue requirement </w:t>
      </w:r>
      <w:r w:rsidR="00A01DBE">
        <w:t xml:space="preserve">thereby requiring carriers to </w:t>
      </w:r>
      <w:r w:rsidR="00BD2BAC">
        <w:t xml:space="preserve">offer </w:t>
      </w:r>
      <w:r w:rsidR="0021493B">
        <w:t>special access</w:t>
      </w:r>
      <w:r w:rsidRPr="00504877" w:rsidR="00504877">
        <w:t xml:space="preserve"> services at no charge.  </w:t>
      </w:r>
      <w:r w:rsidR="00553DAB">
        <w:rPr>
          <w:szCs w:val="22"/>
        </w:rPr>
        <w:t>T</w:t>
      </w:r>
      <w:r w:rsidR="00BD2BAC">
        <w:rPr>
          <w:szCs w:val="22"/>
        </w:rPr>
        <w:t>he</w:t>
      </w:r>
      <w:r w:rsidRPr="00504877" w:rsidR="00BD2BAC">
        <w:rPr>
          <w:szCs w:val="22"/>
        </w:rPr>
        <w:t xml:space="preserve"> costs shifted to the CBOL category are also an input into the amount of CAF BLS a carrier is eligible to receive</w:t>
      </w:r>
      <w:r w:rsidR="00553DAB">
        <w:rPr>
          <w:szCs w:val="22"/>
        </w:rPr>
        <w:t>;</w:t>
      </w:r>
      <w:r w:rsidRPr="00504877" w:rsidR="00BD2BAC">
        <w:t xml:space="preserve"> </w:t>
      </w:r>
      <w:r w:rsidR="00553DAB">
        <w:t xml:space="preserve">accordingly, </w:t>
      </w:r>
      <w:r w:rsidR="00BD2BAC">
        <w:t>this</w:t>
      </w:r>
      <w:r w:rsidRPr="00504877" w:rsidR="00504877">
        <w:t xml:space="preserve"> </w:t>
      </w:r>
      <w:r w:rsidR="002F0D0E">
        <w:t>over-allocation</w:t>
      </w:r>
      <w:r w:rsidR="00A01DBE">
        <w:t xml:space="preserve"> </w:t>
      </w:r>
      <w:r w:rsidR="00C10DFB">
        <w:t xml:space="preserve">would have </w:t>
      </w:r>
      <w:r w:rsidR="002F0D0E">
        <w:t>had the unintended effect of increasing</w:t>
      </w:r>
      <w:r w:rsidRPr="00504877" w:rsidR="00504877">
        <w:t xml:space="preserve"> the projected revenue requirement for CAF BLS.</w:t>
      </w:r>
      <w:r>
        <w:rPr>
          <w:rStyle w:val="FootnoteReference"/>
        </w:rPr>
        <w:footnoteReference w:id="34"/>
      </w:r>
      <w:r w:rsidR="00FE6BD7">
        <w:t xml:space="preserve">  </w:t>
      </w:r>
      <w:r w:rsidR="0061133D">
        <w:t xml:space="preserve">Because use of </w:t>
      </w:r>
      <w:r w:rsidR="005C5F8A">
        <w:t xml:space="preserve">the </w:t>
      </w:r>
      <w:r w:rsidR="0061133D">
        <w:t xml:space="preserve">surrogate method does not result in an appropriate cost allocation for some rate-of-return carriers, </w:t>
      </w:r>
      <w:r w:rsidR="00254A0A">
        <w:t xml:space="preserve">we now </w:t>
      </w:r>
      <w:r w:rsidR="00FE6BD7">
        <w:t>reconsider</w:t>
      </w:r>
      <w:r w:rsidR="00254A0A">
        <w:t xml:space="preserve"> and adopt a different approach for</w:t>
      </w:r>
      <w:r w:rsidR="00FB3B04">
        <w:t xml:space="preserve"> identifying </w:t>
      </w:r>
      <w:r w:rsidR="00C61FC2">
        <w:t>CBOL</w:t>
      </w:r>
      <w:r w:rsidR="00254A0A">
        <w:t xml:space="preserve"> costs</w:t>
      </w:r>
      <w:r w:rsidR="00D64EB1">
        <w:t xml:space="preserve"> that should be shifted from the Special Access category to the CBOL category</w:t>
      </w:r>
      <w:r w:rsidR="00B5660E">
        <w:t xml:space="preserve"> commencing with the 2018 annual access charge tariff filings</w:t>
      </w:r>
      <w:r w:rsidR="00254A0A">
        <w:t>.</w:t>
      </w:r>
    </w:p>
    <w:p w:rsidR="0003255E" w:rsidP="00504877" w14:paraId="786087F8" w14:textId="77777777">
      <w:pPr>
        <w:pStyle w:val="ParaNum"/>
      </w:pPr>
      <w:r>
        <w:t>We find the approach suggested by NTCA to be a significantly better approach</w:t>
      </w:r>
      <w:r w:rsidR="00D64EB1">
        <w:t xml:space="preserve"> than the surrogate method</w:t>
      </w:r>
      <w:r>
        <w:t xml:space="preserve">.  </w:t>
      </w:r>
      <w:r w:rsidR="00504877">
        <w:t>NTCA proposes that the Commission revise section 69.311(b) to specify that broadband-only investment shall equal the amount of broadband-only loop investment included in CWF Category 2 Wideband and COE Category 4.11 Wideband Exchange Line Circuit Equipment, and related reserves and other investment, assigned to interstate special access pursuant to Parts 36 and 69 of the Commission</w:t>
      </w:r>
      <w:r w:rsidR="00485E15">
        <w:t>’</w:t>
      </w:r>
      <w:r w:rsidR="00504877">
        <w:t>s rules.</w:t>
      </w:r>
      <w:r>
        <w:rPr>
          <w:rStyle w:val="FootnoteReference"/>
        </w:rPr>
        <w:footnoteReference w:id="35"/>
      </w:r>
      <w:r w:rsidR="00504877">
        <w:t xml:space="preserve"> </w:t>
      </w:r>
      <w:r w:rsidR="00B814D2">
        <w:t xml:space="preserve"> </w:t>
      </w:r>
      <w:r w:rsidR="00504877">
        <w:t>It further proposes that broadband-only loop expenses should then be determined by reference to such investments.</w:t>
      </w:r>
      <w:r>
        <w:rPr>
          <w:rStyle w:val="FootnoteReference"/>
        </w:rPr>
        <w:footnoteReference w:id="36"/>
      </w:r>
      <w:r w:rsidR="00504877">
        <w:t xml:space="preserve">  We note that </w:t>
      </w:r>
      <w:r w:rsidR="006A541A">
        <w:t>the National Exchange Carrier Association</w:t>
      </w:r>
      <w:r w:rsidR="00504877">
        <w:t xml:space="preserve"> </w:t>
      </w:r>
      <w:r w:rsidR="00FB3B04">
        <w:t xml:space="preserve">(NECA) </w:t>
      </w:r>
      <w:r w:rsidR="00504877">
        <w:t>supported a similar concept for moving forward.</w:t>
      </w:r>
      <w:r>
        <w:rPr>
          <w:rStyle w:val="FootnoteReference"/>
        </w:rPr>
        <w:footnoteReference w:id="37"/>
      </w:r>
      <w:r w:rsidR="00B66940">
        <w:t xml:space="preserve">  </w:t>
      </w:r>
      <w:r w:rsidR="00504877">
        <w:t xml:space="preserve">No party has opposed </w:t>
      </w:r>
      <w:r w:rsidR="00B32157">
        <w:t>this</w:t>
      </w:r>
      <w:r w:rsidR="00504877">
        <w:t xml:space="preserve"> approach.</w:t>
      </w:r>
    </w:p>
    <w:p w:rsidR="00EB4002" w:rsidP="00EB4002" w14:paraId="2A4D3812" w14:textId="77777777">
      <w:pPr>
        <w:pStyle w:val="ParaNum"/>
      </w:pPr>
      <w:r>
        <w:t>Rate-of-return carriers, other than average schedule carriers and those that elected to freeze their separations category relationships, perform cost studies to implement the Part 36 and 69 cost allocations in the process of establishing interstate access rates.</w:t>
      </w:r>
      <w:r>
        <w:rPr>
          <w:rStyle w:val="FootnoteReference"/>
        </w:rPr>
        <w:footnoteReference w:id="38"/>
      </w:r>
      <w:r w:rsidR="00AD4AE9">
        <w:t xml:space="preserve">  The approach proposed by NTCA and supported by NECA would use existing cost categories and allocation procedures to identify the costs</w:t>
      </w:r>
      <w:r w:rsidR="00E102BD">
        <w:t xml:space="preserve"> shifted to the </w:t>
      </w:r>
      <w:r w:rsidR="00AD4AE9">
        <w:t>CBOL category.  Because</w:t>
      </w:r>
      <w:r w:rsidR="00E102BD">
        <w:t xml:space="preserve"> this approach takes the actual </w:t>
      </w:r>
      <w:r w:rsidR="00AD4AE9">
        <w:t>costs</w:t>
      </w:r>
      <w:r w:rsidR="00E102BD">
        <w:t xml:space="preserve"> from the cost studies</w:t>
      </w:r>
      <w:r w:rsidR="00AD4AE9">
        <w:t xml:space="preserve"> into consideration rather than using common line costs as a surrogate, it should </w:t>
      </w:r>
      <w:r w:rsidR="00E102BD">
        <w:t>produce a more accurate means of</w:t>
      </w:r>
      <w:r w:rsidR="006D2DD1">
        <w:t xml:space="preserve"> identifying and allocating these costs. </w:t>
      </w:r>
      <w:r w:rsidR="00D64EB1">
        <w:t xml:space="preserve"> Under this approach</w:t>
      </w:r>
      <w:r w:rsidR="00031E21">
        <w:t>,</w:t>
      </w:r>
      <w:r>
        <w:t xml:space="preserve"> carriers </w:t>
      </w:r>
      <w:r w:rsidR="00031E21">
        <w:t xml:space="preserve">can </w:t>
      </w:r>
      <w:r>
        <w:t xml:space="preserve">identify </w:t>
      </w:r>
      <w:r w:rsidR="000413DA">
        <w:t xml:space="preserve">and track </w:t>
      </w:r>
      <w:r w:rsidR="00C61FC2">
        <w:rPr>
          <w:szCs w:val="22"/>
        </w:rPr>
        <w:t>CBOL</w:t>
      </w:r>
      <w:r>
        <w:t xml:space="preserve"> investment costs tha</w:t>
      </w:r>
      <w:r w:rsidR="00FB3B04">
        <w:t>t are directly assigned to the Special A</w:t>
      </w:r>
      <w:r>
        <w:t>ccess category, as well as track</w:t>
      </w:r>
      <w:r w:rsidR="000413DA">
        <w:t xml:space="preserve"> </w:t>
      </w:r>
      <w:r>
        <w:t xml:space="preserve">indirect </w:t>
      </w:r>
      <w:r w:rsidR="001C0525">
        <w:t xml:space="preserve">costs </w:t>
      </w:r>
      <w:r>
        <w:t xml:space="preserve">to the new CBOL category.  </w:t>
      </w:r>
      <w:r w:rsidR="00350A6E">
        <w:t xml:space="preserve">Once </w:t>
      </w:r>
      <w:r w:rsidR="000413DA">
        <w:t xml:space="preserve">investments </w:t>
      </w:r>
      <w:r w:rsidR="00350A6E">
        <w:t>are assigned, the existing</w:t>
      </w:r>
      <w:r>
        <w:t xml:space="preserve"> rules</w:t>
      </w:r>
      <w:r w:rsidR="00350A6E">
        <w:t xml:space="preserve"> </w:t>
      </w:r>
      <w:r>
        <w:t xml:space="preserve">provide procedures for allocating expenses among categories in a consistent manner that will allow carriers to determine the expenses associated with </w:t>
      </w:r>
      <w:r w:rsidR="00C61FC2">
        <w:rPr>
          <w:szCs w:val="22"/>
        </w:rPr>
        <w:t>CBOL</w:t>
      </w:r>
      <w:r>
        <w:t xml:space="preserve"> services and shift them to the CBOL category.</w:t>
      </w:r>
      <w:r w:rsidR="00350A6E">
        <w:t xml:space="preserve">  In addition to producing more accurate results, using</w:t>
      </w:r>
      <w:r w:rsidR="001C0525">
        <w:t xml:space="preserve"> the current cost study process minimizes the burden on carriers and the likelihood of cost variability and</w:t>
      </w:r>
      <w:r w:rsidR="00350A6E">
        <w:t xml:space="preserve"> distortions in future years.</w:t>
      </w:r>
    </w:p>
    <w:p w:rsidR="00267ABD" w:rsidP="00267ABD" w14:paraId="6F6CD17E" w14:textId="77777777">
      <w:pPr>
        <w:pStyle w:val="ParaNum"/>
      </w:pPr>
      <w:r>
        <w:t xml:space="preserve">While </w:t>
      </w:r>
      <w:r w:rsidR="00350A6E">
        <w:t>NTCA proposes specific</w:t>
      </w:r>
      <w:r w:rsidR="00504877">
        <w:t xml:space="preserve"> </w:t>
      </w:r>
      <w:r w:rsidR="00350A6E">
        <w:t xml:space="preserve">assignment categories </w:t>
      </w:r>
      <w:r w:rsidR="00C02595">
        <w:t>–</w:t>
      </w:r>
      <w:r w:rsidR="00350A6E">
        <w:t xml:space="preserve"> </w:t>
      </w:r>
      <w:r w:rsidR="00504877">
        <w:t>separations category 2.1, cable and wire facilities, and category 4.1.1, ci</w:t>
      </w:r>
      <w:r w:rsidR="00350A6E">
        <w:t xml:space="preserve">rcuit equipment </w:t>
      </w:r>
      <w:r w:rsidR="00D937A7">
        <w:t>–</w:t>
      </w:r>
      <w:r>
        <w:t xml:space="preserve"> </w:t>
      </w:r>
      <w:r w:rsidR="00504877">
        <w:t xml:space="preserve">we </w:t>
      </w:r>
      <w:r w:rsidR="002C5994">
        <w:t>find that the better approach is to be less specific conc</w:t>
      </w:r>
      <w:r w:rsidR="00D4602A">
        <w:t>erning permitted cost categories</w:t>
      </w:r>
      <w:r w:rsidR="002C5994">
        <w:t>.</w:t>
      </w:r>
      <w:r w:rsidR="00D4602A">
        <w:t xml:space="preserve">  T</w:t>
      </w:r>
      <w:r w:rsidR="00504877">
        <w:t xml:space="preserve">he Federal-State Joint Board on </w:t>
      </w:r>
      <w:r w:rsidR="00C10DFB">
        <w:t>Jurisdictional S</w:t>
      </w:r>
      <w:r w:rsidR="00504877">
        <w:t xml:space="preserve">eparations is </w:t>
      </w:r>
      <w:r w:rsidR="005C5F8A">
        <w:t>considering</w:t>
      </w:r>
      <w:r w:rsidR="00504877">
        <w:t xml:space="preserve"> reforms of the separations procedures that have been frozen since 2000.</w:t>
      </w:r>
      <w:r>
        <w:rPr>
          <w:rStyle w:val="FootnoteReference"/>
        </w:rPr>
        <w:footnoteReference w:id="39"/>
      </w:r>
      <w:r w:rsidR="00B66940">
        <w:t xml:space="preserve">  </w:t>
      </w:r>
      <w:r w:rsidR="00504877">
        <w:t xml:space="preserve">More generic rule language will </w:t>
      </w:r>
      <w:r w:rsidR="000010A3">
        <w:t>simplify</w:t>
      </w:r>
      <w:r w:rsidR="00504877">
        <w:t xml:space="preserve"> harmonization of any reforms adopted in that proceeding with the cost allocation rules in Part 69.</w:t>
      </w:r>
      <w:r w:rsidR="0064474E">
        <w:t xml:space="preserve">  Therefore, the new rules will require rate-of-return carriers to use direct assignment principles to the extent possible before making any indirect allocations.</w:t>
      </w:r>
    </w:p>
    <w:p w:rsidR="00267ABD" w:rsidP="00267ABD" w14:paraId="3CADCF80" w14:textId="77777777">
      <w:pPr>
        <w:pStyle w:val="ParaNum"/>
      </w:pPr>
      <w:r>
        <w:t>Rate-of-return carriers shall use t</w:t>
      </w:r>
      <w:r w:rsidRPr="007447F3" w:rsidR="001C6FC6">
        <w:t xml:space="preserve">he revised procedures for determining broadband-only line costs to be shifted beginning July 1, 2018.  </w:t>
      </w:r>
      <w:r>
        <w:t>Such carriers have already completed t</w:t>
      </w:r>
      <w:r w:rsidRPr="007447F3" w:rsidR="00B5660E">
        <w:t xml:space="preserve">he cost studies necessary for developing data related to support amounts and access rates for tariff year 2017 </w:t>
      </w:r>
      <w:r w:rsidRPr="007447F3" w:rsidR="00C10DFB">
        <w:t xml:space="preserve">and the </w:t>
      </w:r>
      <w:r w:rsidRPr="00267ABD" w:rsidR="00C10DFB">
        <w:rPr>
          <w:i/>
        </w:rPr>
        <w:t>Second Cost Surrogate Waiver Order</w:t>
      </w:r>
      <w:r w:rsidRPr="007447F3" w:rsidR="00C10DFB">
        <w:t xml:space="preserve"> mitigated the most significant short-term concerns with the surrogate method.</w:t>
      </w:r>
      <w:r w:rsidR="00B5660E">
        <w:t xml:space="preserve">  </w:t>
      </w:r>
      <w:r w:rsidR="00C10DFB">
        <w:t>Moreover, t</w:t>
      </w:r>
      <w:r w:rsidR="00B5660E">
        <w:t>he changes we adopt largely reflect longer-term considerations</w:t>
      </w:r>
      <w:r w:rsidR="006F70D5">
        <w:t>.</w:t>
      </w:r>
      <w:r>
        <w:rPr>
          <w:rStyle w:val="FootnoteReference"/>
        </w:rPr>
        <w:footnoteReference w:id="40"/>
      </w:r>
      <w:r w:rsidR="00B5660E">
        <w:t xml:space="preserve">  </w:t>
      </w:r>
      <w:r w:rsidR="00602D91">
        <w:t>M</w:t>
      </w:r>
      <w:r w:rsidR="00C10DFB">
        <w:t>aking the revisions to these rules</w:t>
      </w:r>
      <w:r w:rsidR="00602D91">
        <w:t xml:space="preserve"> applicable </w:t>
      </w:r>
      <w:r w:rsidR="00553DAB">
        <w:t xml:space="preserve">beginning </w:t>
      </w:r>
      <w:r w:rsidR="00B5660E">
        <w:t>July 1, 2018</w:t>
      </w:r>
      <w:r w:rsidR="00602D91">
        <w:t xml:space="preserve"> </w:t>
      </w:r>
      <w:r w:rsidR="00C10DFB">
        <w:t>allows carriers to plan for these changes as part of the next annual access tariff filings.</w:t>
      </w:r>
      <w:r>
        <w:rPr>
          <w:rStyle w:val="FootnoteReference"/>
        </w:rPr>
        <w:footnoteReference w:id="41"/>
      </w:r>
    </w:p>
    <w:p w:rsidR="00B66940" w:rsidP="00B66940" w14:paraId="72FE3DBC" w14:textId="77777777">
      <w:pPr>
        <w:pStyle w:val="Heading2"/>
      </w:pPr>
      <w:r>
        <w:t>ARC I</w:t>
      </w:r>
      <w:r>
        <w:t>mputation</w:t>
      </w:r>
    </w:p>
    <w:p w:rsidR="00D937A7" w:rsidP="007F2FE1" w14:paraId="1E934624" w14:textId="0C519374">
      <w:pPr>
        <w:pStyle w:val="ParaNum"/>
      </w:pPr>
      <w:r>
        <w:t>Upon further consideration</w:t>
      </w:r>
      <w:r w:rsidRPr="00591B8F" w:rsidR="00591B8F">
        <w:t xml:space="preserve">, </w:t>
      </w:r>
      <w:r w:rsidR="002B7E73">
        <w:t xml:space="preserve">we </w:t>
      </w:r>
      <w:r w:rsidR="00C10DFB">
        <w:t xml:space="preserve">also </w:t>
      </w:r>
      <w:r w:rsidR="0020340B">
        <w:t>revise</w:t>
      </w:r>
      <w:r w:rsidR="00D33345">
        <w:t>, effective for a period of five years</w:t>
      </w:r>
      <w:r w:rsidR="00BC2A95">
        <w:t>,</w:t>
      </w:r>
      <w:r w:rsidRPr="003E5DCE" w:rsidR="00D33345">
        <w:t xml:space="preserve"> </w:t>
      </w:r>
      <w:r w:rsidR="0020340B">
        <w:t>section 51.917(f)</w:t>
      </w:r>
      <w:r w:rsidR="0072524A">
        <w:t xml:space="preserve"> of </w:t>
      </w:r>
      <w:r w:rsidR="00C10DFB">
        <w:t xml:space="preserve">our </w:t>
      </w:r>
      <w:r w:rsidR="0072524A">
        <w:t>rules</w:t>
      </w:r>
      <w:r>
        <w:t xml:space="preserve"> to address</w:t>
      </w:r>
      <w:r w:rsidR="0072524A">
        <w:t xml:space="preserve"> </w:t>
      </w:r>
      <w:r w:rsidR="003E3FB6">
        <w:t>NTCA</w:t>
      </w:r>
      <w:r w:rsidR="00485E15">
        <w:t>’</w:t>
      </w:r>
      <w:r w:rsidR="003E3FB6">
        <w:t xml:space="preserve">s </w:t>
      </w:r>
      <w:r w:rsidR="002B7E73">
        <w:t>concern</w:t>
      </w:r>
      <w:r>
        <w:t xml:space="preserve"> </w:t>
      </w:r>
      <w:r w:rsidR="002B7E73">
        <w:t>that, under the existing rule,</w:t>
      </w:r>
      <w:r w:rsidRPr="00591B8F" w:rsidR="00591B8F">
        <w:t xml:space="preserve"> </w:t>
      </w:r>
      <w:r w:rsidR="002B7E73">
        <w:t xml:space="preserve">a </w:t>
      </w:r>
      <w:r w:rsidRPr="00591B8F" w:rsidR="00591B8F">
        <w:t>carrier</w:t>
      </w:r>
      <w:r w:rsidR="00485E15">
        <w:t>’</w:t>
      </w:r>
      <w:r w:rsidRPr="00591B8F" w:rsidR="00591B8F">
        <w:t xml:space="preserve">s CAF ICC </w:t>
      </w:r>
      <w:r w:rsidR="002B7E73">
        <w:t>support is</w:t>
      </w:r>
      <w:r w:rsidRPr="00591B8F" w:rsidR="00591B8F">
        <w:t xml:space="preserve"> reduced because of the imputation of an amount on </w:t>
      </w:r>
      <w:r w:rsidR="00C61FC2">
        <w:rPr>
          <w:szCs w:val="22"/>
        </w:rPr>
        <w:t>CBOL</w:t>
      </w:r>
      <w:r w:rsidRPr="00591B8F" w:rsidR="00591B8F">
        <w:t xml:space="preserve">s that </w:t>
      </w:r>
      <w:r w:rsidR="00F3170D">
        <w:t>was</w:t>
      </w:r>
      <w:r w:rsidRPr="00591B8F" w:rsidR="00F3170D">
        <w:t xml:space="preserve"> </w:t>
      </w:r>
      <w:r w:rsidRPr="00591B8F" w:rsidR="00591B8F">
        <w:t xml:space="preserve">not part of the balance struck in the </w:t>
      </w:r>
      <w:r w:rsidRPr="007F2FE1" w:rsidR="00591B8F">
        <w:rPr>
          <w:i/>
        </w:rPr>
        <w:t>USF/ICC Transformation Order</w:t>
      </w:r>
      <w:r w:rsidRPr="00591B8F" w:rsidR="00591B8F">
        <w:t>.</w:t>
      </w:r>
      <w:r>
        <w:rPr>
          <w:rStyle w:val="FootnoteReference"/>
        </w:rPr>
        <w:footnoteReference w:id="42"/>
      </w:r>
      <w:r w:rsidR="007F2FE1">
        <w:t xml:space="preserve">  </w:t>
      </w:r>
      <w:r w:rsidR="0014631B">
        <w:t xml:space="preserve">NTCA argues that </w:t>
      </w:r>
      <w:r w:rsidR="00485E15">
        <w:t>“</w:t>
      </w:r>
      <w:r w:rsidR="0014631B">
        <w:t xml:space="preserve">[a] standalone broadband connection in place as of September 30, 2011 was never included within the CAF-ICC baseline and thus was not part of the </w:t>
      </w:r>
      <w:r w:rsidR="006F70D5">
        <w:t>‘</w:t>
      </w:r>
      <w:r w:rsidR="0014631B">
        <w:t>careful balancing</w:t>
      </w:r>
      <w:r w:rsidR="006F70D5">
        <w:t>’</w:t>
      </w:r>
      <w:r w:rsidR="0014631B">
        <w:t xml:space="preserve"> that went into establishing the mechanism.</w:t>
      </w:r>
      <w:r w:rsidR="00485E15">
        <w:t>”</w:t>
      </w:r>
      <w:r>
        <w:rPr>
          <w:rStyle w:val="FootnoteReference"/>
        </w:rPr>
        <w:footnoteReference w:id="43"/>
      </w:r>
      <w:r w:rsidR="0014631B">
        <w:t xml:space="preserve">  </w:t>
      </w:r>
      <w:r w:rsidR="00602D91">
        <w:t>O</w:t>
      </w:r>
      <w:r w:rsidR="00C10DFB">
        <w:t>ther</w:t>
      </w:r>
      <w:r w:rsidR="0072524A">
        <w:t xml:space="preserve"> parties support reconsideration of</w:t>
      </w:r>
      <w:r w:rsidR="0014631B">
        <w:t xml:space="preserve"> </w:t>
      </w:r>
      <w:r w:rsidR="0072524A">
        <w:t xml:space="preserve">the ARC imputation rule </w:t>
      </w:r>
      <w:r w:rsidR="0014631B">
        <w:t>and the solution proposed by NTCA.</w:t>
      </w:r>
      <w:r>
        <w:rPr>
          <w:rStyle w:val="FootnoteReference"/>
        </w:rPr>
        <w:footnoteReference w:id="44"/>
      </w:r>
    </w:p>
    <w:p w:rsidR="00485E15" w:rsidP="00F923B0" w14:paraId="12F69BD6" w14:textId="77777777">
      <w:pPr>
        <w:pStyle w:val="ParaNum"/>
        <w:widowControl/>
      </w:pPr>
      <w:r>
        <w:t>W</w:t>
      </w:r>
      <w:r w:rsidRPr="00591B8F" w:rsidR="0014631B">
        <w:t xml:space="preserve">e </w:t>
      </w:r>
      <w:r w:rsidR="00C10DFB">
        <w:t xml:space="preserve">agree with NTCA that our focus on reconsideration should be on </w:t>
      </w:r>
      <w:r w:rsidR="0014631B">
        <w:t>t</w:t>
      </w:r>
      <w:r w:rsidRPr="00591B8F" w:rsidR="0014631B">
        <w:t>he goal of balancing end</w:t>
      </w:r>
      <w:r w:rsidR="00B32157">
        <w:t>-</w:t>
      </w:r>
      <w:r w:rsidRPr="00591B8F" w:rsidR="0014631B">
        <w:t xml:space="preserve">user and universal service support adopted in the </w:t>
      </w:r>
      <w:r w:rsidRPr="007F2FE1" w:rsidR="0014631B">
        <w:rPr>
          <w:i/>
        </w:rPr>
        <w:t>USF/ICC Transformation Order</w:t>
      </w:r>
      <w:r w:rsidR="00C10DFB">
        <w:t>.</w:t>
      </w:r>
      <w:r w:rsidR="0014631B">
        <w:t xml:space="preserve">  </w:t>
      </w:r>
      <w:r w:rsidR="001B2009">
        <w:t>The</w:t>
      </w:r>
      <w:r w:rsidR="006F70D5">
        <w:t xml:space="preserve"> ARC imputation for CBOLs was </w:t>
      </w:r>
      <w:r w:rsidR="001B2009">
        <w:t xml:space="preserve">intended </w:t>
      </w:r>
      <w:r w:rsidR="006F70D5">
        <w:t>to ensure that new support for CBOLs would not unduly increase CAF ICC</w:t>
      </w:r>
      <w:r w:rsidR="0035269C">
        <w:t xml:space="preserve">.  Although the ARC imputation achieves that goal, </w:t>
      </w:r>
      <w:r w:rsidR="006F70D5">
        <w:t xml:space="preserve">we agree with NTCA that, as implemented, the ARC imputation may unduly penalize rate-of-return carriers that offered stand-alone broadband connections </w:t>
      </w:r>
      <w:r w:rsidRPr="006F70D5" w:rsidR="006F70D5">
        <w:t>before</w:t>
      </w:r>
      <w:r w:rsidR="006F70D5">
        <w:t xml:space="preserve"> </w:t>
      </w:r>
      <w:r w:rsidR="0035269C">
        <w:t xml:space="preserve">the </w:t>
      </w:r>
      <w:r w:rsidR="006F70D5">
        <w:rPr>
          <w:i/>
          <w:szCs w:val="22"/>
        </w:rPr>
        <w:t>Rate-of-Return Reform Order</w:t>
      </w:r>
      <w:r w:rsidR="006F70D5">
        <w:t>.  As such, we believe adjusting the ARC imputation calculation is appropriate.</w:t>
      </w:r>
      <w:r w:rsidR="00D33345">
        <w:t xml:space="preserve">  At the same time, however, we are mindful of the concerns raised by NTCA regarding the need to </w:t>
      </w:r>
      <w:r w:rsidR="008F39CE">
        <w:t>en</w:t>
      </w:r>
      <w:r w:rsidR="00D33345">
        <w:t>sure that any exemption that we create “be properly targeted and limit potential adverse impacts on carriers that do not qualify for such an exemption.”</w:t>
      </w:r>
      <w:r>
        <w:rPr>
          <w:rStyle w:val="FootnoteReference"/>
        </w:rPr>
        <w:footnoteReference w:id="45"/>
      </w:r>
    </w:p>
    <w:p w:rsidR="00604953" w:rsidRPr="00604953" w14:paraId="19C52288" w14:textId="77777777">
      <w:pPr>
        <w:pStyle w:val="ParaNum"/>
        <w:rPr>
          <w:szCs w:val="22"/>
        </w:rPr>
      </w:pPr>
      <w:r>
        <w:t>We</w:t>
      </w:r>
      <w:r w:rsidR="001178A6">
        <w:t xml:space="preserve"> limit the ARC imputation amount so that the total ARC revenues and imputation for the current tariff period </w:t>
      </w:r>
      <w:r w:rsidR="00FC0890">
        <w:t>will</w:t>
      </w:r>
      <w:r w:rsidR="001178A6">
        <w:t xml:space="preserve"> not exceed </w:t>
      </w:r>
      <w:r>
        <w:t>a pre-</w:t>
      </w:r>
      <w:r>
        <w:rPr>
          <w:i/>
        </w:rPr>
        <w:t>Rate-of-Return Reform Order</w:t>
      </w:r>
      <w:r>
        <w:t xml:space="preserve"> </w:t>
      </w:r>
      <w:r w:rsidRPr="00E846C5">
        <w:t>baseline</w:t>
      </w:r>
      <w:r w:rsidRPr="00E846C5" w:rsidR="00FC0890">
        <w:t xml:space="preserve"> as a result of CBOL imputation</w:t>
      </w:r>
      <w:r w:rsidRPr="00E846C5">
        <w:t xml:space="preserve">.  Specifically, we set the baseline as </w:t>
      </w:r>
      <w:r w:rsidRPr="00E846C5" w:rsidR="00D9418D">
        <w:t xml:space="preserve">the ARC </w:t>
      </w:r>
      <w:r w:rsidRPr="00E846C5" w:rsidR="00D554FD">
        <w:t>revenues</w:t>
      </w:r>
      <w:r w:rsidR="00FC0890">
        <w:t xml:space="preserve"> </w:t>
      </w:r>
      <w:r w:rsidR="00D554FD">
        <w:t xml:space="preserve">from </w:t>
      </w:r>
      <w:r w:rsidR="00C02595">
        <w:t xml:space="preserve">the most recent </w:t>
      </w:r>
      <w:r w:rsidR="00D554FD">
        <w:t xml:space="preserve">tariff period prior to </w:t>
      </w:r>
      <w:r w:rsidR="00C02595">
        <w:t xml:space="preserve">the effective date </w:t>
      </w:r>
      <w:r w:rsidR="00D554FD">
        <w:t xml:space="preserve">of the </w:t>
      </w:r>
      <w:r w:rsidR="00B445EB">
        <w:t xml:space="preserve">CBOL </w:t>
      </w:r>
      <w:r w:rsidR="00D554FD">
        <w:t xml:space="preserve">imputation rule </w:t>
      </w:r>
      <w:r w:rsidR="00C02595">
        <w:t>(tariff year 201</w:t>
      </w:r>
      <w:r w:rsidR="00485E15">
        <w:t>5-1</w:t>
      </w:r>
      <w:r w:rsidR="00C02595">
        <w:t>6)</w:t>
      </w:r>
      <w:r w:rsidR="00D554FD">
        <w:t>.</w:t>
      </w:r>
      <w:r w:rsidRPr="00591B8F" w:rsidR="00591B8F">
        <w:t xml:space="preserve"> </w:t>
      </w:r>
      <w:r w:rsidR="00D554FD">
        <w:t xml:space="preserve"> Under this approach, </w:t>
      </w:r>
      <w:r>
        <w:t xml:space="preserve">a rate-of-return carrier’s CAF ICC support will be reduced by the ARC imputation on CBOLs </w:t>
      </w:r>
      <w:r w:rsidR="0035269C">
        <w:t xml:space="preserve">only </w:t>
      </w:r>
      <w:r w:rsidR="00FC0890">
        <w:t>if</w:t>
      </w:r>
      <w:r w:rsidR="0035269C">
        <w:t xml:space="preserve"> </w:t>
      </w:r>
      <w:r w:rsidRPr="00591B8F" w:rsidR="00591B8F">
        <w:t>a carrier</w:t>
      </w:r>
      <w:r w:rsidR="00485E15">
        <w:t>’</w:t>
      </w:r>
      <w:r w:rsidRPr="00591B8F" w:rsidR="00591B8F">
        <w:t>s maximum a</w:t>
      </w:r>
      <w:r w:rsidR="001D54B8">
        <w:t>ssessa</w:t>
      </w:r>
      <w:r w:rsidRPr="00591B8F" w:rsidR="00591B8F">
        <w:t xml:space="preserve">ble ARCs and imputed </w:t>
      </w:r>
      <w:r w:rsidR="00C61FC2">
        <w:rPr>
          <w:szCs w:val="22"/>
        </w:rPr>
        <w:t>CBOL</w:t>
      </w:r>
      <w:r w:rsidRPr="00591B8F" w:rsidR="00591B8F">
        <w:t xml:space="preserve"> ARCs </w:t>
      </w:r>
      <w:r w:rsidR="0035269C">
        <w:t>falls short of</w:t>
      </w:r>
      <w:r w:rsidRPr="00591B8F" w:rsidR="00591B8F">
        <w:t xml:space="preserve"> the baseline amount.</w:t>
      </w:r>
      <w:r w:rsidR="00274395">
        <w:t xml:space="preserve">  We revise section 51.917(f)</w:t>
      </w:r>
      <w:r w:rsidR="008473BB">
        <w:t xml:space="preserve"> of the Commission</w:t>
      </w:r>
      <w:r w:rsidR="00485E15">
        <w:t>’</w:t>
      </w:r>
      <w:r w:rsidR="008473BB">
        <w:t>s rules</w:t>
      </w:r>
      <w:r w:rsidRPr="00591B8F" w:rsidR="00591B8F">
        <w:t xml:space="preserve"> to </w:t>
      </w:r>
      <w:r w:rsidR="00D046DA">
        <w:t xml:space="preserve">explain </w:t>
      </w:r>
      <w:r w:rsidRPr="00591B8F" w:rsidR="00591B8F">
        <w:t xml:space="preserve">the process for making the necessary comparisons and any resulting imputation on </w:t>
      </w:r>
      <w:r w:rsidR="00C61FC2">
        <w:rPr>
          <w:szCs w:val="22"/>
        </w:rPr>
        <w:t>CBOL</w:t>
      </w:r>
      <w:r w:rsidRPr="007F2FE1" w:rsidR="00EF5BEB">
        <w:rPr>
          <w:szCs w:val="22"/>
        </w:rPr>
        <w:t>s</w:t>
      </w:r>
      <w:r w:rsidR="00D33345">
        <w:t>.</w:t>
      </w:r>
    </w:p>
    <w:p w:rsidR="00D71F3E" w:rsidP="00D71F3E" w14:paraId="757D8C8D" w14:textId="5E149FA0">
      <w:pPr>
        <w:pStyle w:val="ParaNum"/>
      </w:pPr>
      <w:r>
        <w:t>The revisions to section 51.917(f) rules will take effect on July 1, 2018, the date that the upcoming annual access tariffs will take effect</w:t>
      </w:r>
      <w:r w:rsidR="000E0C08">
        <w:t>.  This effective date will</w:t>
      </w:r>
      <w:r>
        <w:t xml:space="preserve"> simplify implementation and avoid any complications that would occur as a result of a need to true-up such amounts in 2019.  All rate-of-return carriers must reflect the effects of these rule revisions in their </w:t>
      </w:r>
      <w:r w:rsidR="00F3170D">
        <w:t xml:space="preserve">Tariff Review Plans </w:t>
      </w:r>
      <w:r>
        <w:t>for the June 2018 annual access charge tariff filings.  We adopt NTCA’s recommendation to sunset section 51.917(f)(5), the provision implementing our revisions to the imputation requirement, after five years.</w:t>
      </w:r>
      <w:r>
        <w:rPr>
          <w:rStyle w:val="FootnoteReference"/>
        </w:rPr>
        <w:footnoteReference w:id="46"/>
      </w:r>
      <w:r>
        <w:t xml:space="preserve">  We believe that such a limitation is warranted in light of our currently-limited experience with CAF-supported CBOL-based service.  We will monitor the effects of section 51.917(f)(5) during that period and take further action as necessary.</w:t>
      </w:r>
    </w:p>
    <w:p w:rsidR="006F70D5" w:rsidP="003B2DC8" w14:paraId="05CFC5F7" w14:textId="77777777">
      <w:pPr>
        <w:pStyle w:val="ParaNum"/>
      </w:pPr>
      <w:r>
        <w:t xml:space="preserve">We reject the </w:t>
      </w:r>
      <w:r>
        <w:t>grandfathering approach</w:t>
      </w:r>
      <w:r>
        <w:t xml:space="preserve"> suggested by NTCA.  That approach r</w:t>
      </w:r>
      <w:r w:rsidRPr="00591B8F">
        <w:t xml:space="preserve">aises </w:t>
      </w:r>
      <w:r>
        <w:t xml:space="preserve">unnecessarily complicated administrative </w:t>
      </w:r>
      <w:r w:rsidRPr="00591B8F">
        <w:t xml:space="preserve">issues </w:t>
      </w:r>
      <w:r>
        <w:t xml:space="preserve">with respect to </w:t>
      </w:r>
      <w:r w:rsidRPr="00591B8F">
        <w:t xml:space="preserve">the determination and verification of the number of stand-alone broadband lines in service on September 30, 2011.  </w:t>
      </w:r>
      <w:r>
        <w:t xml:space="preserve">We also </w:t>
      </w:r>
      <w:r w:rsidRPr="00591B8F">
        <w:t xml:space="preserve">question whether a </w:t>
      </w:r>
      <w:r>
        <w:t xml:space="preserve">simple </w:t>
      </w:r>
      <w:r w:rsidRPr="00591B8F">
        <w:t>froze</w:t>
      </w:r>
      <w:r>
        <w:t xml:space="preserve">n number of lines is the best approach </w:t>
      </w:r>
      <w:r w:rsidRPr="00591B8F">
        <w:t xml:space="preserve">since some turnover would be expected over time. </w:t>
      </w:r>
      <w:r>
        <w:t xml:space="preserve"> For these reasons, we decline to adopt the </w:t>
      </w:r>
      <w:r w:rsidR="003B2DC8">
        <w:t xml:space="preserve">grandfathering </w:t>
      </w:r>
      <w:r>
        <w:t xml:space="preserve">solution </w:t>
      </w:r>
      <w:r>
        <w:t>suggested</w:t>
      </w:r>
      <w:r>
        <w:t xml:space="preserve"> by NTCA.</w:t>
      </w:r>
    </w:p>
    <w:p w:rsidR="00092202" w:rsidP="00092202" w14:paraId="0EEA376D" w14:textId="77777777">
      <w:pPr>
        <w:pStyle w:val="Heading2"/>
      </w:pPr>
      <w:r>
        <w:t xml:space="preserve">Clarification of </w:t>
      </w:r>
      <w:r w:rsidR="00BF5B53">
        <w:t>Competitive Overlap</w:t>
      </w:r>
      <w:r>
        <w:t xml:space="preserve"> Procedures</w:t>
      </w:r>
    </w:p>
    <w:p w:rsidR="008473BB" w:rsidP="004F0320" w14:paraId="4A5D07E5" w14:textId="77777777">
      <w:pPr>
        <w:pStyle w:val="ParaNum"/>
        <w:rPr>
          <w:szCs w:val="22"/>
        </w:rPr>
      </w:pPr>
      <w:r w:rsidRPr="004F0320">
        <w:rPr>
          <w:szCs w:val="22"/>
        </w:rPr>
        <w:t>In addition to the issues on reconsideration addressed above, we also clarify</w:t>
      </w:r>
      <w:r w:rsidR="00B77D2C">
        <w:rPr>
          <w:szCs w:val="22"/>
        </w:rPr>
        <w:t xml:space="preserve"> </w:t>
      </w:r>
      <w:r w:rsidRPr="004F0320">
        <w:rPr>
          <w:szCs w:val="22"/>
        </w:rPr>
        <w:t xml:space="preserve">two matters related to reductions in support due to the competitive overlap procedure adopted in the </w:t>
      </w:r>
      <w:r w:rsidRPr="004F0320">
        <w:rPr>
          <w:i/>
          <w:szCs w:val="22"/>
        </w:rPr>
        <w:t>Rate-of-Return Reform Order</w:t>
      </w:r>
      <w:r w:rsidRPr="004F0320">
        <w:rPr>
          <w:szCs w:val="22"/>
        </w:rPr>
        <w:t>.</w:t>
      </w:r>
    </w:p>
    <w:p w:rsidR="00602D91" w:rsidRPr="00602D91" w:rsidP="00602D91" w14:paraId="6E04B7FA" w14:textId="2D47635F">
      <w:pPr>
        <w:pStyle w:val="ParaNum"/>
        <w:rPr>
          <w:szCs w:val="22"/>
        </w:rPr>
      </w:pPr>
      <w:r>
        <w:rPr>
          <w:szCs w:val="22"/>
        </w:rPr>
        <w:t xml:space="preserve">First we </w:t>
      </w:r>
      <w:r w:rsidRPr="004F0320" w:rsidR="004F0320">
        <w:rPr>
          <w:szCs w:val="22"/>
        </w:rPr>
        <w:t>clarif</w:t>
      </w:r>
      <w:r>
        <w:rPr>
          <w:szCs w:val="22"/>
        </w:rPr>
        <w:t>y</w:t>
      </w:r>
      <w:r w:rsidRPr="004F0320" w:rsidR="004F0320">
        <w:rPr>
          <w:szCs w:val="22"/>
        </w:rPr>
        <w:t xml:space="preserve"> the reduction amounts associated with the second disaggregation method.</w:t>
      </w:r>
      <w:r>
        <w:rPr>
          <w:rStyle w:val="FootnoteReference"/>
          <w:szCs w:val="22"/>
        </w:rPr>
        <w:footnoteReference w:id="47"/>
      </w:r>
      <w:r w:rsidR="004F0320">
        <w:rPr>
          <w:szCs w:val="22"/>
        </w:rPr>
        <w:t xml:space="preserve">  </w:t>
      </w:r>
      <w:r w:rsidRPr="004F0320" w:rsidR="004F0320">
        <w:rPr>
          <w:szCs w:val="22"/>
        </w:rPr>
        <w:t xml:space="preserve">In the </w:t>
      </w:r>
      <w:r w:rsidRPr="004F0320" w:rsidR="004F0320">
        <w:rPr>
          <w:i/>
          <w:szCs w:val="22"/>
        </w:rPr>
        <w:t>Rate-of-Return Reform Order</w:t>
      </w:r>
      <w:r w:rsidRPr="004F0320" w:rsidR="004F0320">
        <w:rPr>
          <w:szCs w:val="22"/>
        </w:rPr>
        <w:t xml:space="preserve">, the Commission published a table showing the </w:t>
      </w:r>
      <w:r w:rsidR="00485E15">
        <w:rPr>
          <w:szCs w:val="22"/>
        </w:rPr>
        <w:t>“</w:t>
      </w:r>
      <w:r w:rsidRPr="004F0320" w:rsidR="004F0320">
        <w:rPr>
          <w:szCs w:val="22"/>
        </w:rPr>
        <w:t>reduction ratio</w:t>
      </w:r>
      <w:r w:rsidR="00485E15">
        <w:rPr>
          <w:szCs w:val="22"/>
        </w:rPr>
        <w:t>”</w:t>
      </w:r>
      <w:r w:rsidRPr="004F0320" w:rsidR="004F0320">
        <w:rPr>
          <w:szCs w:val="22"/>
        </w:rPr>
        <w:t xml:space="preserve"> for specified </w:t>
      </w:r>
      <w:r w:rsidR="00485E15">
        <w:rPr>
          <w:szCs w:val="22"/>
        </w:rPr>
        <w:t>“</w:t>
      </w:r>
      <w:r w:rsidRPr="004F0320" w:rsidR="004F0320">
        <w:rPr>
          <w:szCs w:val="22"/>
        </w:rPr>
        <w:t>competitive ratios</w:t>
      </w:r>
      <w:r w:rsidR="00485E15">
        <w:rPr>
          <w:szCs w:val="22"/>
        </w:rPr>
        <w:t>”</w:t>
      </w:r>
      <w:r w:rsidRPr="004F0320" w:rsidR="004F0320">
        <w:rPr>
          <w:szCs w:val="22"/>
        </w:rPr>
        <w:t xml:space="preserve"> (</w:t>
      </w:r>
      <w:r w:rsidRPr="004F0320" w:rsidR="004F0320">
        <w:rPr>
          <w:i/>
          <w:szCs w:val="22"/>
        </w:rPr>
        <w:t>i.e.</w:t>
      </w:r>
      <w:r w:rsidRPr="004F0320" w:rsidR="004F0320">
        <w:rPr>
          <w:szCs w:val="22"/>
        </w:rPr>
        <w:t>, the ratio of competitive square miles to non-competitive square miles in a study are</w:t>
      </w:r>
      <w:r w:rsidR="009E36E0">
        <w:rPr>
          <w:szCs w:val="22"/>
        </w:rPr>
        <w:t>a</w:t>
      </w:r>
      <w:r w:rsidRPr="004F0320" w:rsidR="004F0320">
        <w:rPr>
          <w:szCs w:val="22"/>
        </w:rPr>
        <w:t>).</w:t>
      </w:r>
      <w:r>
        <w:rPr>
          <w:rStyle w:val="FootnoteReference"/>
          <w:szCs w:val="22"/>
        </w:rPr>
        <w:footnoteReference w:id="48"/>
      </w:r>
      <w:r w:rsidR="004F0320">
        <w:rPr>
          <w:szCs w:val="22"/>
        </w:rPr>
        <w:t xml:space="preserve">  </w:t>
      </w:r>
      <w:r w:rsidR="00B77D2C">
        <w:rPr>
          <w:szCs w:val="22"/>
        </w:rPr>
        <w:t>While t</w:t>
      </w:r>
      <w:r w:rsidRPr="004F0320" w:rsidR="004F0320">
        <w:rPr>
          <w:szCs w:val="22"/>
        </w:rPr>
        <w:t xml:space="preserve">he table </w:t>
      </w:r>
      <w:r w:rsidR="00B77D2C">
        <w:rPr>
          <w:szCs w:val="22"/>
        </w:rPr>
        <w:t xml:space="preserve">sets forth a precise reduction ratio for each competitive ratio that was listed, it </w:t>
      </w:r>
      <w:r w:rsidRPr="004F0320" w:rsidR="004F0320">
        <w:rPr>
          <w:szCs w:val="22"/>
        </w:rPr>
        <w:t xml:space="preserve">did not clearly reflect the </w:t>
      </w:r>
      <w:r w:rsidR="00B77D2C">
        <w:rPr>
          <w:szCs w:val="22"/>
        </w:rPr>
        <w:t xml:space="preserve">intent of the Commission with respect to the </w:t>
      </w:r>
      <w:r w:rsidRPr="004F0320" w:rsidR="004F0320">
        <w:rPr>
          <w:szCs w:val="22"/>
        </w:rPr>
        <w:t xml:space="preserve">reduction ratios </w:t>
      </w:r>
      <w:r w:rsidR="00B77D2C">
        <w:rPr>
          <w:szCs w:val="22"/>
        </w:rPr>
        <w:t xml:space="preserve">that should apply to </w:t>
      </w:r>
      <w:r w:rsidRPr="004F0320" w:rsidR="004F0320">
        <w:rPr>
          <w:szCs w:val="22"/>
        </w:rPr>
        <w:t xml:space="preserve">competitive ratios </w:t>
      </w:r>
      <w:r w:rsidRPr="00B77D2C" w:rsidR="004F0320">
        <w:rPr>
          <w:i/>
          <w:szCs w:val="22"/>
        </w:rPr>
        <w:t>in between</w:t>
      </w:r>
      <w:r w:rsidRPr="004F0320" w:rsidR="004F0320">
        <w:rPr>
          <w:szCs w:val="22"/>
        </w:rPr>
        <w:t xml:space="preserve"> the specified competitive ratios.  The table below fills in the gaps </w:t>
      </w:r>
      <w:r w:rsidR="00B77D2C">
        <w:rPr>
          <w:szCs w:val="22"/>
        </w:rPr>
        <w:t xml:space="preserve">in accordance with the Commission’s clear intent </w:t>
      </w:r>
      <w:r w:rsidRPr="004F0320" w:rsidR="004F0320">
        <w:rPr>
          <w:szCs w:val="22"/>
        </w:rPr>
        <w:t xml:space="preserve">and replaces the table in the </w:t>
      </w:r>
      <w:r w:rsidRPr="004F0320" w:rsidR="004F0320">
        <w:rPr>
          <w:i/>
          <w:szCs w:val="22"/>
        </w:rPr>
        <w:t>Rate-of-Return Reform Order</w:t>
      </w:r>
      <w:r w:rsidRPr="004F0320" w:rsidR="004F0320">
        <w:rPr>
          <w:szCs w:val="22"/>
        </w:rPr>
        <w:t>.</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136"/>
        <w:gridCol w:w="1924"/>
        <w:gridCol w:w="1182"/>
      </w:tblGrid>
      <w:tr w14:paraId="68D32F07" w14:textId="77777777" w:rsidTr="006E178C">
        <w:tblPrEx>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jc w:val="center"/>
        </w:trPr>
        <w:tc>
          <w:tcPr>
            <w:tcW w:w="3060" w:type="dxa"/>
            <w:gridSpan w:val="2"/>
          </w:tcPr>
          <w:p w:rsidR="00602D91" w:rsidRPr="004F0320" w:rsidP="006E178C" w14:paraId="4612DF37" w14:textId="77777777">
            <w:pPr>
              <w:pStyle w:val="ParaNum"/>
              <w:keepNext/>
              <w:keepLines/>
              <w:widowControl w:val="0"/>
              <w:numPr>
                <w:ilvl w:val="0"/>
                <w:numId w:val="0"/>
              </w:numPr>
              <w:tabs>
                <w:tab w:val="clear" w:pos="1080"/>
                <w:tab w:val="clear" w:pos="1440"/>
              </w:tabs>
              <w:spacing w:after="0"/>
              <w:ind w:left="0" w:firstLine="0"/>
              <w:jc w:val="center"/>
              <w:rPr>
                <w:rStyle w:val="DefaultParagraphFont"/>
                <w:b/>
                <w:snapToGrid w:val="0"/>
                <w:kern w:val="28"/>
                <w:sz w:val="22"/>
                <w:szCs w:val="22"/>
                <w:lang w:val="en-US" w:eastAsia="en-US" w:bidi="ar-SA"/>
              </w:rPr>
            </w:pPr>
            <w:r w:rsidRPr="004F0320">
              <w:rPr>
                <w:b/>
                <w:snapToGrid w:val="0"/>
                <w:kern w:val="28"/>
                <w:sz w:val="22"/>
                <w:szCs w:val="22"/>
                <w:lang w:val="en-US" w:eastAsia="en-US" w:bidi="ar-SA"/>
              </w:rPr>
              <w:t>Competitive Ratio</w:t>
            </w:r>
          </w:p>
        </w:tc>
        <w:tc>
          <w:tcPr>
            <w:tcW w:w="1182" w:type="dxa"/>
            <w:vMerge w:val="restart"/>
          </w:tcPr>
          <w:p w:rsidR="00602D91" w:rsidRPr="004F0320" w:rsidP="006E178C" w14:paraId="5D0A2250" w14:textId="77777777">
            <w:pPr>
              <w:pStyle w:val="ParaNum"/>
              <w:keepNext/>
              <w:keepLines/>
              <w:widowControl w:val="0"/>
              <w:numPr>
                <w:ilvl w:val="0"/>
                <w:numId w:val="0"/>
              </w:numPr>
              <w:tabs>
                <w:tab w:val="clear" w:pos="1080"/>
                <w:tab w:val="clear" w:pos="1440"/>
              </w:tabs>
              <w:spacing w:after="0"/>
              <w:ind w:left="0" w:firstLine="0"/>
              <w:jc w:val="center"/>
              <w:rPr>
                <w:rStyle w:val="DefaultParagraphFont"/>
                <w:b/>
                <w:snapToGrid w:val="0"/>
                <w:kern w:val="28"/>
                <w:sz w:val="22"/>
                <w:szCs w:val="22"/>
                <w:lang w:val="en-US" w:eastAsia="en-US" w:bidi="ar-SA"/>
              </w:rPr>
            </w:pPr>
            <w:r w:rsidRPr="004F0320">
              <w:rPr>
                <w:b/>
                <w:snapToGrid w:val="0"/>
                <w:kern w:val="28"/>
                <w:sz w:val="22"/>
                <w:szCs w:val="22"/>
                <w:lang w:val="en-US" w:eastAsia="en-US" w:bidi="ar-SA"/>
              </w:rPr>
              <w:t>Reduction Ratio</w:t>
            </w:r>
          </w:p>
        </w:tc>
      </w:tr>
      <w:tr w14:paraId="40172410"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08C002D4"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More than</w:t>
            </w:r>
          </w:p>
        </w:tc>
        <w:tc>
          <w:tcPr>
            <w:tcW w:w="1924" w:type="dxa"/>
          </w:tcPr>
          <w:p w:rsidR="00602D91" w:rsidRPr="004F0320" w:rsidP="006E178C" w14:paraId="493925FA"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But no more than</w:t>
            </w:r>
          </w:p>
        </w:tc>
        <w:tc>
          <w:tcPr>
            <w:tcW w:w="1182" w:type="dxa"/>
            <w:vMerge/>
          </w:tcPr>
          <w:p w:rsidR="00602D91" w:rsidRPr="004F0320" w:rsidP="006E178C" w14:paraId="3072D30B"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p>
        </w:tc>
      </w:tr>
      <w:tr w14:paraId="245BFCD5"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52CF5633"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0%</w:t>
            </w:r>
          </w:p>
        </w:tc>
        <w:tc>
          <w:tcPr>
            <w:tcW w:w="1924" w:type="dxa"/>
          </w:tcPr>
          <w:p w:rsidR="00602D91" w:rsidRPr="004F0320" w:rsidP="006E178C" w14:paraId="772ABAF1"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20%</w:t>
            </w:r>
          </w:p>
        </w:tc>
        <w:tc>
          <w:tcPr>
            <w:tcW w:w="1182" w:type="dxa"/>
          </w:tcPr>
          <w:p w:rsidR="00602D91" w:rsidRPr="004F0320" w:rsidP="006E178C" w14:paraId="3D529647"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N/A</w:t>
            </w:r>
          </w:p>
        </w:tc>
      </w:tr>
      <w:tr w14:paraId="30FB41BB"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77FF4573"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20%</w:t>
            </w:r>
          </w:p>
        </w:tc>
        <w:tc>
          <w:tcPr>
            <w:tcW w:w="1924" w:type="dxa"/>
          </w:tcPr>
          <w:p w:rsidR="00602D91" w:rsidRPr="004F0320" w:rsidP="006E178C" w14:paraId="17185753"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25%</w:t>
            </w:r>
          </w:p>
        </w:tc>
        <w:tc>
          <w:tcPr>
            <w:tcW w:w="1182" w:type="dxa"/>
          </w:tcPr>
          <w:p w:rsidR="00602D91" w:rsidRPr="004F0320" w:rsidP="006E178C" w14:paraId="1BDAB916"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3.3%</w:t>
            </w:r>
          </w:p>
        </w:tc>
      </w:tr>
      <w:tr w14:paraId="4FBB550E"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32157A60"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25%</w:t>
            </w:r>
          </w:p>
        </w:tc>
        <w:tc>
          <w:tcPr>
            <w:tcW w:w="1924" w:type="dxa"/>
          </w:tcPr>
          <w:p w:rsidR="00602D91" w:rsidRPr="004F0320" w:rsidP="006E178C" w14:paraId="7D048DBD"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30%</w:t>
            </w:r>
          </w:p>
        </w:tc>
        <w:tc>
          <w:tcPr>
            <w:tcW w:w="1182" w:type="dxa"/>
          </w:tcPr>
          <w:p w:rsidR="00602D91" w:rsidRPr="004F0320" w:rsidP="006E178C" w14:paraId="32BE75D6"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6.7%</w:t>
            </w:r>
          </w:p>
        </w:tc>
      </w:tr>
      <w:tr w14:paraId="54DFBDA0"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60BACA68"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30%</w:t>
            </w:r>
          </w:p>
        </w:tc>
        <w:tc>
          <w:tcPr>
            <w:tcW w:w="1924" w:type="dxa"/>
          </w:tcPr>
          <w:p w:rsidR="00602D91" w:rsidRPr="004F0320" w:rsidP="006E178C" w14:paraId="78F3ED31"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35%</w:t>
            </w:r>
          </w:p>
        </w:tc>
        <w:tc>
          <w:tcPr>
            <w:tcW w:w="1182" w:type="dxa"/>
          </w:tcPr>
          <w:p w:rsidR="00602D91" w:rsidRPr="004F0320" w:rsidP="006E178C" w14:paraId="40DF62D8"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10.0%</w:t>
            </w:r>
          </w:p>
        </w:tc>
      </w:tr>
      <w:tr w14:paraId="2CA4985A"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267A9611"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35%</w:t>
            </w:r>
          </w:p>
        </w:tc>
        <w:tc>
          <w:tcPr>
            <w:tcW w:w="1924" w:type="dxa"/>
          </w:tcPr>
          <w:p w:rsidR="00602D91" w:rsidRPr="004F0320" w:rsidP="006E178C" w14:paraId="47DBD614"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40%</w:t>
            </w:r>
          </w:p>
        </w:tc>
        <w:tc>
          <w:tcPr>
            <w:tcW w:w="1182" w:type="dxa"/>
          </w:tcPr>
          <w:p w:rsidR="00602D91" w:rsidRPr="004F0320" w:rsidP="006E178C" w14:paraId="57B0972E"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13.3%</w:t>
            </w:r>
          </w:p>
        </w:tc>
      </w:tr>
      <w:tr w14:paraId="128FEFE9"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417589F7"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40%</w:t>
            </w:r>
          </w:p>
        </w:tc>
        <w:tc>
          <w:tcPr>
            <w:tcW w:w="1924" w:type="dxa"/>
          </w:tcPr>
          <w:p w:rsidR="00602D91" w:rsidRPr="004F0320" w:rsidP="006E178C" w14:paraId="553A9754"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45%</w:t>
            </w:r>
          </w:p>
        </w:tc>
        <w:tc>
          <w:tcPr>
            <w:tcW w:w="1182" w:type="dxa"/>
          </w:tcPr>
          <w:p w:rsidR="00602D91" w:rsidRPr="004F0320" w:rsidP="006E178C" w14:paraId="43CC601C"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16.7%</w:t>
            </w:r>
          </w:p>
        </w:tc>
      </w:tr>
      <w:tr w14:paraId="5254F156"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36F37A0A"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45%</w:t>
            </w:r>
          </w:p>
        </w:tc>
        <w:tc>
          <w:tcPr>
            <w:tcW w:w="1924" w:type="dxa"/>
          </w:tcPr>
          <w:p w:rsidR="00602D91" w:rsidRPr="004F0320" w:rsidP="006E178C" w14:paraId="359D948B"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50%</w:t>
            </w:r>
          </w:p>
        </w:tc>
        <w:tc>
          <w:tcPr>
            <w:tcW w:w="1182" w:type="dxa"/>
          </w:tcPr>
          <w:p w:rsidR="00602D91" w:rsidRPr="004F0320" w:rsidP="006E178C" w14:paraId="79587A33"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20.0%</w:t>
            </w:r>
          </w:p>
        </w:tc>
      </w:tr>
      <w:tr w14:paraId="69E6B813"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1FBB3EFE"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50%</w:t>
            </w:r>
          </w:p>
        </w:tc>
        <w:tc>
          <w:tcPr>
            <w:tcW w:w="1924" w:type="dxa"/>
          </w:tcPr>
          <w:p w:rsidR="00602D91" w:rsidRPr="004F0320" w:rsidP="006E178C" w14:paraId="6D6C6C70"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55%</w:t>
            </w:r>
          </w:p>
        </w:tc>
        <w:tc>
          <w:tcPr>
            <w:tcW w:w="1182" w:type="dxa"/>
          </w:tcPr>
          <w:p w:rsidR="00602D91" w:rsidRPr="004F0320" w:rsidP="006E178C" w14:paraId="7389008B"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25.0%</w:t>
            </w:r>
          </w:p>
        </w:tc>
      </w:tr>
      <w:tr w14:paraId="4C86EB15"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53309A2D"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55%</w:t>
            </w:r>
          </w:p>
        </w:tc>
        <w:tc>
          <w:tcPr>
            <w:tcW w:w="1924" w:type="dxa"/>
          </w:tcPr>
          <w:p w:rsidR="00602D91" w:rsidRPr="004F0320" w:rsidP="006E178C" w14:paraId="0A97920F"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60%</w:t>
            </w:r>
          </w:p>
        </w:tc>
        <w:tc>
          <w:tcPr>
            <w:tcW w:w="1182" w:type="dxa"/>
          </w:tcPr>
          <w:p w:rsidR="00602D91" w:rsidRPr="004F0320" w:rsidP="006E178C" w14:paraId="73CAF787"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30.0%</w:t>
            </w:r>
          </w:p>
        </w:tc>
      </w:tr>
      <w:tr w14:paraId="61F7B74C"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6EF553FA"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60%</w:t>
            </w:r>
          </w:p>
        </w:tc>
        <w:tc>
          <w:tcPr>
            <w:tcW w:w="1924" w:type="dxa"/>
          </w:tcPr>
          <w:p w:rsidR="00602D91" w:rsidRPr="004F0320" w:rsidP="006E178C" w14:paraId="54A3855F"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65%</w:t>
            </w:r>
          </w:p>
        </w:tc>
        <w:tc>
          <w:tcPr>
            <w:tcW w:w="1182" w:type="dxa"/>
          </w:tcPr>
          <w:p w:rsidR="00602D91" w:rsidRPr="004F0320" w:rsidP="006E178C" w14:paraId="2040688D"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35.0%</w:t>
            </w:r>
          </w:p>
        </w:tc>
      </w:tr>
      <w:tr w14:paraId="2471E9D4"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773FC2C9"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65%</w:t>
            </w:r>
          </w:p>
        </w:tc>
        <w:tc>
          <w:tcPr>
            <w:tcW w:w="1924" w:type="dxa"/>
          </w:tcPr>
          <w:p w:rsidR="00602D91" w:rsidRPr="004F0320" w:rsidP="006E178C" w14:paraId="6420939A"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70%</w:t>
            </w:r>
          </w:p>
        </w:tc>
        <w:tc>
          <w:tcPr>
            <w:tcW w:w="1182" w:type="dxa"/>
          </w:tcPr>
          <w:p w:rsidR="00602D91" w:rsidRPr="004F0320" w:rsidP="006E178C" w14:paraId="50CB5B14"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40.0%</w:t>
            </w:r>
          </w:p>
        </w:tc>
      </w:tr>
      <w:tr w14:paraId="6709033A"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41244282"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70%</w:t>
            </w:r>
          </w:p>
        </w:tc>
        <w:tc>
          <w:tcPr>
            <w:tcW w:w="1924" w:type="dxa"/>
          </w:tcPr>
          <w:p w:rsidR="00602D91" w:rsidRPr="004F0320" w:rsidP="006E178C" w14:paraId="27183C8F"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75%</w:t>
            </w:r>
          </w:p>
        </w:tc>
        <w:tc>
          <w:tcPr>
            <w:tcW w:w="1182" w:type="dxa"/>
          </w:tcPr>
          <w:p w:rsidR="00602D91" w:rsidRPr="004F0320" w:rsidP="006E178C" w14:paraId="67D810CA"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45.0%</w:t>
            </w:r>
          </w:p>
        </w:tc>
      </w:tr>
      <w:tr w14:paraId="1C402AD5"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5FCDACD9"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75%</w:t>
            </w:r>
          </w:p>
        </w:tc>
        <w:tc>
          <w:tcPr>
            <w:tcW w:w="1924" w:type="dxa"/>
          </w:tcPr>
          <w:p w:rsidR="00602D91" w:rsidRPr="004F0320" w:rsidP="006E178C" w14:paraId="706CE66F"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80%</w:t>
            </w:r>
          </w:p>
        </w:tc>
        <w:tc>
          <w:tcPr>
            <w:tcW w:w="1182" w:type="dxa"/>
          </w:tcPr>
          <w:p w:rsidR="00602D91" w:rsidRPr="004F0320" w:rsidP="006E178C" w14:paraId="1CD115DB"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50.0%</w:t>
            </w:r>
          </w:p>
        </w:tc>
      </w:tr>
      <w:tr w14:paraId="45D6D2A9"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64B7F0AA"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80%</w:t>
            </w:r>
          </w:p>
        </w:tc>
        <w:tc>
          <w:tcPr>
            <w:tcW w:w="1924" w:type="dxa"/>
          </w:tcPr>
          <w:p w:rsidR="00602D91" w:rsidRPr="004F0320" w:rsidP="006E178C" w14:paraId="7F9887F0"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85%</w:t>
            </w:r>
          </w:p>
        </w:tc>
        <w:tc>
          <w:tcPr>
            <w:tcW w:w="1182" w:type="dxa"/>
          </w:tcPr>
          <w:p w:rsidR="00602D91" w:rsidRPr="004F0320" w:rsidP="006E178C" w14:paraId="19A40EC1"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62.5%</w:t>
            </w:r>
          </w:p>
        </w:tc>
      </w:tr>
      <w:tr w14:paraId="39D4BB25"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5D5C8159"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85%</w:t>
            </w:r>
          </w:p>
        </w:tc>
        <w:tc>
          <w:tcPr>
            <w:tcW w:w="1924" w:type="dxa"/>
          </w:tcPr>
          <w:p w:rsidR="00602D91" w:rsidRPr="004F0320" w:rsidP="006E178C" w14:paraId="40DB1903"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90%</w:t>
            </w:r>
          </w:p>
        </w:tc>
        <w:tc>
          <w:tcPr>
            <w:tcW w:w="1182" w:type="dxa"/>
          </w:tcPr>
          <w:p w:rsidR="00602D91" w:rsidRPr="004F0320" w:rsidP="006E178C" w14:paraId="305B4E39"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75.0%</w:t>
            </w:r>
          </w:p>
        </w:tc>
      </w:tr>
      <w:tr w14:paraId="5A95A9F2"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311C5D7F"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90%</w:t>
            </w:r>
          </w:p>
        </w:tc>
        <w:tc>
          <w:tcPr>
            <w:tcW w:w="1924" w:type="dxa"/>
          </w:tcPr>
          <w:p w:rsidR="00602D91" w:rsidRPr="004F0320" w:rsidP="006E178C" w14:paraId="283BAFEC"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95%</w:t>
            </w:r>
          </w:p>
        </w:tc>
        <w:tc>
          <w:tcPr>
            <w:tcW w:w="1182" w:type="dxa"/>
          </w:tcPr>
          <w:p w:rsidR="00602D91" w:rsidRPr="004F0320" w:rsidP="006E178C" w14:paraId="14D8C1F6"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87.5%</w:t>
            </w:r>
          </w:p>
        </w:tc>
      </w:tr>
      <w:tr w14:paraId="5BCD64DA" w14:textId="77777777" w:rsidTr="006E178C">
        <w:tblPrEx>
          <w:tblW w:w="0" w:type="auto"/>
          <w:jc w:val="center"/>
          <w:tblInd w:w="0" w:type="dxa"/>
          <w:tblCellMar>
            <w:top w:w="0" w:type="dxa"/>
            <w:left w:w="108" w:type="dxa"/>
            <w:bottom w:w="0" w:type="dxa"/>
            <w:right w:w="108" w:type="dxa"/>
          </w:tblCellMar>
          <w:tblLook w:val="04A0"/>
        </w:tblPrEx>
        <w:trPr>
          <w:jc w:val="center"/>
        </w:trPr>
        <w:tc>
          <w:tcPr>
            <w:tcW w:w="1136" w:type="dxa"/>
          </w:tcPr>
          <w:p w:rsidR="00602D91" w:rsidRPr="004F0320" w:rsidP="006E178C" w14:paraId="3AA58FDE"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95%</w:t>
            </w:r>
          </w:p>
        </w:tc>
        <w:tc>
          <w:tcPr>
            <w:tcW w:w="1924" w:type="dxa"/>
          </w:tcPr>
          <w:p w:rsidR="00602D91" w:rsidRPr="004F0320" w:rsidP="006E178C" w14:paraId="7C8D0126"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100%</w:t>
            </w:r>
          </w:p>
        </w:tc>
        <w:tc>
          <w:tcPr>
            <w:tcW w:w="1182" w:type="dxa"/>
          </w:tcPr>
          <w:p w:rsidR="00602D91" w:rsidP="006E178C" w14:paraId="48721646" w14:textId="77777777">
            <w:pPr>
              <w:pStyle w:val="ParaNum"/>
              <w:keepNext/>
              <w:keepLines/>
              <w:widowControl w:val="0"/>
              <w:numPr>
                <w:ilvl w:val="0"/>
                <w:numId w:val="0"/>
              </w:numPr>
              <w:tabs>
                <w:tab w:val="clear" w:pos="1080"/>
                <w:tab w:val="clear" w:pos="1440"/>
              </w:tabs>
              <w:spacing w:after="0"/>
              <w:ind w:left="0" w:firstLine="0"/>
              <w:jc w:val="center"/>
              <w:rPr>
                <w:rStyle w:val="DefaultParagraphFont"/>
                <w:snapToGrid w:val="0"/>
                <w:kern w:val="28"/>
                <w:sz w:val="22"/>
                <w:szCs w:val="22"/>
                <w:lang w:val="en-US" w:eastAsia="en-US" w:bidi="ar-SA"/>
              </w:rPr>
            </w:pPr>
            <w:r w:rsidRPr="004F0320">
              <w:rPr>
                <w:snapToGrid w:val="0"/>
                <w:kern w:val="28"/>
                <w:sz w:val="22"/>
                <w:szCs w:val="22"/>
                <w:lang w:val="en-US" w:eastAsia="en-US" w:bidi="ar-SA"/>
              </w:rPr>
              <w:t>100%</w:t>
            </w:r>
          </w:p>
        </w:tc>
      </w:tr>
    </w:tbl>
    <w:p w:rsidR="00602D91" w:rsidP="00EB4002" w14:paraId="71A2EED6" w14:textId="77777777">
      <w:pPr>
        <w:pStyle w:val="ParaNum"/>
        <w:numPr>
          <w:ilvl w:val="0"/>
          <w:numId w:val="0"/>
        </w:numPr>
        <w:spacing w:after="0"/>
        <w:rPr>
          <w:szCs w:val="22"/>
        </w:rPr>
      </w:pPr>
    </w:p>
    <w:p w:rsidR="004F0320" w:rsidRPr="00602D91" w:rsidP="00602D91" w14:paraId="12B17A50" w14:textId="77777777">
      <w:pPr>
        <w:pStyle w:val="ParaNum"/>
        <w:rPr>
          <w:szCs w:val="22"/>
        </w:rPr>
      </w:pPr>
      <w:r w:rsidRPr="004F0320">
        <w:rPr>
          <w:szCs w:val="22"/>
        </w:rPr>
        <w:t xml:space="preserve">Second, in discussing the transition to support reductions and in the associated rule, the Commission referred to the transition schedule where the CAF BLS subject to competitive overlap is </w:t>
      </w:r>
      <w:r w:rsidR="00485E15">
        <w:rPr>
          <w:szCs w:val="22"/>
        </w:rPr>
        <w:t>“</w:t>
      </w:r>
      <w:r w:rsidRPr="004F0320">
        <w:rPr>
          <w:szCs w:val="22"/>
        </w:rPr>
        <w:t>more than 25 percent</w:t>
      </w:r>
      <w:r w:rsidR="00485E15">
        <w:rPr>
          <w:szCs w:val="22"/>
        </w:rPr>
        <w:t>”</w:t>
      </w:r>
      <w:r w:rsidRPr="004F0320">
        <w:rPr>
          <w:szCs w:val="22"/>
        </w:rPr>
        <w:t xml:space="preserve"> of total CAF BLS</w:t>
      </w:r>
      <w:r>
        <w:rPr>
          <w:szCs w:val="22"/>
        </w:rPr>
        <w:t>.</w:t>
      </w:r>
      <w:r>
        <w:rPr>
          <w:rStyle w:val="FootnoteReference"/>
          <w:szCs w:val="22"/>
        </w:rPr>
        <w:footnoteReference w:id="49"/>
      </w:r>
      <w:r>
        <w:rPr>
          <w:szCs w:val="22"/>
        </w:rPr>
        <w:t xml:space="preserve">  </w:t>
      </w:r>
      <w:r w:rsidR="00B77D2C">
        <w:rPr>
          <w:szCs w:val="22"/>
        </w:rPr>
        <w:t xml:space="preserve">This </w:t>
      </w:r>
      <w:r w:rsidR="00D046DA">
        <w:rPr>
          <w:szCs w:val="22"/>
        </w:rPr>
        <w:t xml:space="preserve">reference </w:t>
      </w:r>
      <w:r w:rsidR="00B77D2C">
        <w:rPr>
          <w:szCs w:val="22"/>
        </w:rPr>
        <w:t xml:space="preserve">was in contrast to areas “where the reduction of CAF BLS from competitive census block(s) represents </w:t>
      </w:r>
      <w:r w:rsidR="00B77D2C">
        <w:rPr>
          <w:i/>
          <w:szCs w:val="22"/>
        </w:rPr>
        <w:t>less tha</w:t>
      </w:r>
      <w:r w:rsidRPr="00B77D2C" w:rsidR="00B77D2C">
        <w:rPr>
          <w:i/>
          <w:szCs w:val="22"/>
        </w:rPr>
        <w:t>n 25 percent</w:t>
      </w:r>
      <w:r w:rsidR="00B77D2C">
        <w:rPr>
          <w:szCs w:val="22"/>
        </w:rPr>
        <w:t xml:space="preserve"> of the total CAF BLS support the carrier would have received in the study area in the absence of this rule.”</w:t>
      </w:r>
      <w:r>
        <w:rPr>
          <w:rStyle w:val="FootnoteReference"/>
          <w:szCs w:val="22"/>
        </w:rPr>
        <w:footnoteReference w:id="50"/>
      </w:r>
      <w:r w:rsidR="00B77D2C">
        <w:rPr>
          <w:szCs w:val="22"/>
        </w:rPr>
        <w:t xml:space="preserve">  </w:t>
      </w:r>
      <w:r w:rsidR="00D046DA">
        <w:rPr>
          <w:szCs w:val="22"/>
        </w:rPr>
        <w:t xml:space="preserve">To prevent </w:t>
      </w:r>
      <w:r w:rsidR="00E028E8">
        <w:t xml:space="preserve">a gap when the reduction is exactly 25 percent, </w:t>
      </w:r>
      <w:r w:rsidR="00E028E8">
        <w:rPr>
          <w:szCs w:val="22"/>
        </w:rPr>
        <w:t>w</w:t>
      </w:r>
      <w:r w:rsidRPr="004F0320">
        <w:rPr>
          <w:szCs w:val="22"/>
        </w:rPr>
        <w:t>e clarify that that schedule applies where the CAF BLS subject to competitive overlap is 25 percent or more of total CAF BLS, and modify section 54.319(g) to reflect that clarification.</w:t>
      </w:r>
    </w:p>
    <w:p w:rsidR="00446086" w:rsidRPr="0082492A" w:rsidP="0081346C" w14:paraId="3DADF833" w14:textId="77777777">
      <w:pPr>
        <w:pStyle w:val="Heading1"/>
        <w:keepLines/>
        <w:rPr>
          <w:rFonts w:ascii="Times New Roman" w:hAnsi="Times New Roman"/>
          <w:szCs w:val="22"/>
        </w:rPr>
      </w:pPr>
      <w:r>
        <w:rPr>
          <w:rFonts w:ascii="Times New Roman" w:hAnsi="Times New Roman"/>
          <w:szCs w:val="22"/>
        </w:rPr>
        <w:t>PROCEDURAL MATTERS</w:t>
      </w:r>
    </w:p>
    <w:p w:rsidR="00B66940" w:rsidRPr="00B66940" w:rsidP="00B66940" w14:paraId="56178BA7" w14:textId="77777777">
      <w:pPr>
        <w:pStyle w:val="Heading2"/>
      </w:pPr>
      <w:r>
        <w:t>Paperwork Reduction Act Analysis</w:t>
      </w:r>
    </w:p>
    <w:p w:rsidR="00C02595" w:rsidRPr="00FD4906" w:rsidP="00C02595" w14:paraId="60555850" w14:textId="77777777">
      <w:pPr>
        <w:pStyle w:val="ParaNum"/>
        <w:rPr>
          <w:rFonts w:eastAsia="Calibri"/>
          <w:snapToGrid/>
        </w:rPr>
      </w:pPr>
      <w:r w:rsidRPr="00EA4C45">
        <w:rPr>
          <w:snapToGrid/>
        </w:rPr>
        <w:t xml:space="preserve">This document does not contain new or modified information collection requirements subject to the Paperwork Reduction Act of 1995 (PRA), </w:t>
      </w:r>
      <w:r w:rsidR="00C04D5F">
        <w:rPr>
          <w:snapToGrid/>
        </w:rPr>
        <w:t>Public Law 104-13</w:t>
      </w:r>
      <w:r w:rsidR="00C04D5F">
        <w:t xml:space="preserve">.  </w:t>
      </w:r>
      <w:r w:rsidRPr="00EA4C45">
        <w:rPr>
          <w:snapToGrid/>
        </w:rPr>
        <w:t xml:space="preserve">Therefore, it does not contain any new </w:t>
      </w:r>
      <w:r w:rsidRPr="00365420">
        <w:t>or</w:t>
      </w:r>
      <w:r w:rsidRPr="00EA4C45">
        <w:rPr>
          <w:snapToGrid/>
        </w:rPr>
        <w:t xml:space="preserve"> modified information collection burden</w:t>
      </w:r>
      <w:r w:rsidRPr="00BA5BE4">
        <w:rPr>
          <w:snapToGrid/>
        </w:rPr>
        <w:t>s for small business concerns with fewer than 25 employees, pursuant to the Small Business Paperwork Relief Act of 2002,</w:t>
      </w:r>
      <w:r w:rsidR="00C04D5F">
        <w:rPr>
          <w:snapToGrid/>
        </w:rPr>
        <w:t xml:space="preserve"> Public Law 107-198</w:t>
      </w:r>
      <w:r w:rsidRPr="00AB041D">
        <w:t xml:space="preserve">, </w:t>
      </w:r>
      <w:r w:rsidRPr="00AB041D">
        <w:rPr>
          <w:i/>
          <w:iCs/>
          <w:snapToGrid/>
        </w:rPr>
        <w:t>see</w:t>
      </w:r>
      <w:r w:rsidRPr="00AB041D">
        <w:t xml:space="preserve"> </w:t>
      </w:r>
      <w:r w:rsidR="00C04D5F">
        <w:t>44 U.S.C. § 3506(c)(4)</w:t>
      </w:r>
      <w:r w:rsidRPr="00AB041D">
        <w:t>.</w:t>
      </w:r>
    </w:p>
    <w:p w:rsidR="00B66940" w:rsidRPr="0082492A" w:rsidP="00B66940" w14:paraId="4529DC50" w14:textId="77777777">
      <w:pPr>
        <w:pStyle w:val="Heading2"/>
      </w:pPr>
      <w:r>
        <w:t>Congressional Review Act</w:t>
      </w:r>
    </w:p>
    <w:p w:rsidR="00446086" w:rsidP="00B66940" w14:paraId="71F5CE70" w14:textId="77777777">
      <w:pPr>
        <w:pStyle w:val="ParaNum"/>
      </w:pPr>
      <w:r w:rsidRPr="00B66940">
        <w:t xml:space="preserve">The Commission will send a copy of this </w:t>
      </w:r>
      <w:r w:rsidR="001A5390">
        <w:t>Second Order on Reconsideration</w:t>
      </w:r>
      <w:r w:rsidR="00B77D2C">
        <w:t xml:space="preserve"> and Clarification</w:t>
      </w:r>
      <w:r w:rsidRPr="00B66940">
        <w:t xml:space="preserve"> to Congress and the Government Accountability Office pursuant to the Congressional Review Act.</w:t>
      </w:r>
      <w:r>
        <w:rPr>
          <w:rStyle w:val="FootnoteReference"/>
        </w:rPr>
        <w:footnoteReference w:id="51"/>
      </w:r>
    </w:p>
    <w:p w:rsidR="00B66940" w:rsidP="00B66940" w14:paraId="7DFD95AC" w14:textId="59498114">
      <w:pPr>
        <w:pStyle w:val="Heading2"/>
      </w:pPr>
      <w:r>
        <w:t xml:space="preserve">Final Regulatory Flexibility </w:t>
      </w:r>
      <w:r w:rsidR="0043656F">
        <w:t>Certification</w:t>
      </w:r>
    </w:p>
    <w:p w:rsidR="00C02595" w:rsidRPr="003567F1" w:rsidP="00C02595" w14:paraId="0463D269" w14:textId="77777777">
      <w:pPr>
        <w:pStyle w:val="ParaNum"/>
        <w:widowControl/>
        <w:rPr>
          <w:szCs w:val="22"/>
        </w:rPr>
      </w:pPr>
      <w:r w:rsidRPr="003567F1">
        <w:rPr>
          <w:szCs w:val="22"/>
        </w:rPr>
        <w:t>The Regulatory Flexibility Act of 1980, as amended (RFA),</w:t>
      </w:r>
      <w:r>
        <w:rPr>
          <w:rStyle w:val="FootnoteReference"/>
          <w:sz w:val="22"/>
          <w:szCs w:val="22"/>
        </w:rPr>
        <w:footnoteReference w:id="52"/>
      </w:r>
      <w:r w:rsidRPr="003567F1">
        <w:rPr>
          <w:szCs w:val="22"/>
        </w:rPr>
        <w:t xml:space="preserve"> requires agencies to prepare a regulatory flexibility analysis for rulemaking proceedings, unless the agency certifies that </w:t>
      </w:r>
      <w:r w:rsidR="00485E15">
        <w:rPr>
          <w:szCs w:val="22"/>
        </w:rPr>
        <w:t>“</w:t>
      </w:r>
      <w:r w:rsidRPr="003567F1">
        <w:rPr>
          <w:szCs w:val="22"/>
        </w:rPr>
        <w:t>the rule will not have a significant economic impact on a substantial number of small entities.</w:t>
      </w:r>
      <w:r w:rsidR="00485E15">
        <w:rPr>
          <w:szCs w:val="22"/>
        </w:rPr>
        <w:t>”</w:t>
      </w:r>
      <w:r>
        <w:rPr>
          <w:rStyle w:val="FootnoteReference"/>
          <w:sz w:val="22"/>
          <w:szCs w:val="22"/>
        </w:rPr>
        <w:footnoteReference w:id="53"/>
      </w:r>
      <w:r w:rsidRPr="003567F1">
        <w:rPr>
          <w:szCs w:val="22"/>
        </w:rPr>
        <w:t xml:space="preserve">  The RFA generally defines </w:t>
      </w:r>
      <w:r w:rsidR="00485E15">
        <w:rPr>
          <w:szCs w:val="22"/>
        </w:rPr>
        <w:t>“</w:t>
      </w:r>
      <w:r w:rsidRPr="003567F1">
        <w:rPr>
          <w:szCs w:val="22"/>
        </w:rPr>
        <w:t>small entity</w:t>
      </w:r>
      <w:r w:rsidR="00485E15">
        <w:rPr>
          <w:szCs w:val="22"/>
        </w:rPr>
        <w:t>”</w:t>
      </w:r>
      <w:r w:rsidRPr="003567F1">
        <w:rPr>
          <w:szCs w:val="22"/>
        </w:rPr>
        <w:t xml:space="preserve"> as having the same meaning as the terms </w:t>
      </w:r>
      <w:r w:rsidR="00485E15">
        <w:rPr>
          <w:szCs w:val="22"/>
        </w:rPr>
        <w:t>“</w:t>
      </w:r>
      <w:r w:rsidRPr="003567F1">
        <w:rPr>
          <w:szCs w:val="22"/>
        </w:rPr>
        <w:t>small business,</w:t>
      </w:r>
      <w:r w:rsidR="00485E15">
        <w:rPr>
          <w:szCs w:val="22"/>
        </w:rPr>
        <w:t>”</w:t>
      </w:r>
      <w:r w:rsidRPr="003567F1">
        <w:rPr>
          <w:szCs w:val="22"/>
        </w:rPr>
        <w:t xml:space="preserve"> </w:t>
      </w:r>
      <w:r w:rsidR="00485E15">
        <w:rPr>
          <w:szCs w:val="22"/>
        </w:rPr>
        <w:t>“</w:t>
      </w:r>
      <w:r w:rsidRPr="003567F1">
        <w:rPr>
          <w:szCs w:val="22"/>
        </w:rPr>
        <w:t>small organization,</w:t>
      </w:r>
      <w:r w:rsidR="00485E15">
        <w:rPr>
          <w:szCs w:val="22"/>
        </w:rPr>
        <w:t>”</w:t>
      </w:r>
      <w:r w:rsidRPr="003567F1">
        <w:rPr>
          <w:szCs w:val="22"/>
        </w:rPr>
        <w:t xml:space="preserve"> and </w:t>
      </w:r>
      <w:r w:rsidR="00485E15">
        <w:rPr>
          <w:szCs w:val="22"/>
        </w:rPr>
        <w:t>“</w:t>
      </w:r>
      <w:r w:rsidRPr="003567F1">
        <w:rPr>
          <w:szCs w:val="22"/>
        </w:rPr>
        <w:t>small governmental jurisdiction.</w:t>
      </w:r>
      <w:r w:rsidR="00485E15">
        <w:rPr>
          <w:szCs w:val="22"/>
        </w:rPr>
        <w:t>”</w:t>
      </w:r>
      <w:r>
        <w:rPr>
          <w:rStyle w:val="FootnoteReference"/>
          <w:sz w:val="22"/>
          <w:szCs w:val="22"/>
        </w:rPr>
        <w:footnoteReference w:id="54"/>
      </w:r>
      <w:r w:rsidRPr="003567F1">
        <w:rPr>
          <w:szCs w:val="22"/>
        </w:rPr>
        <w:t xml:space="preserve">  In addition, the term </w:t>
      </w:r>
      <w:r w:rsidR="00485E15">
        <w:rPr>
          <w:szCs w:val="22"/>
        </w:rPr>
        <w:t>“</w:t>
      </w:r>
      <w:r w:rsidRPr="003567F1">
        <w:rPr>
          <w:szCs w:val="22"/>
        </w:rPr>
        <w:t>small business</w:t>
      </w:r>
      <w:r w:rsidR="00485E15">
        <w:rPr>
          <w:szCs w:val="22"/>
        </w:rPr>
        <w:t>”</w:t>
      </w:r>
      <w:r w:rsidRPr="003567F1">
        <w:rPr>
          <w:szCs w:val="22"/>
        </w:rPr>
        <w:t xml:space="preserve"> has the same meaning as the term </w:t>
      </w:r>
      <w:r w:rsidR="00485E15">
        <w:rPr>
          <w:szCs w:val="22"/>
        </w:rPr>
        <w:t>“</w:t>
      </w:r>
      <w:r w:rsidRPr="003567F1">
        <w:rPr>
          <w:szCs w:val="22"/>
        </w:rPr>
        <w:t>small business concern</w:t>
      </w:r>
      <w:r w:rsidR="00485E15">
        <w:rPr>
          <w:szCs w:val="22"/>
        </w:rPr>
        <w:t>”</w:t>
      </w:r>
      <w:r w:rsidRPr="003567F1">
        <w:rPr>
          <w:szCs w:val="22"/>
        </w:rPr>
        <w:t xml:space="preserve"> under the Small Business Act.</w:t>
      </w:r>
      <w:r>
        <w:rPr>
          <w:rStyle w:val="FootnoteReference"/>
          <w:sz w:val="22"/>
          <w:szCs w:val="22"/>
        </w:rPr>
        <w:footnoteReference w:id="55"/>
      </w:r>
      <w:r w:rsidRPr="003567F1">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 w:val="22"/>
          <w:szCs w:val="22"/>
        </w:rPr>
        <w:footnoteReference w:id="56"/>
      </w:r>
    </w:p>
    <w:p w:rsidR="00B55BCE" w:rsidRPr="00B55BCE" w:rsidP="00C02595" w14:paraId="048BC16B" w14:textId="44BE518E">
      <w:pPr>
        <w:pStyle w:val="ParaNum"/>
      </w:pPr>
      <w:r w:rsidRPr="003567F1">
        <w:rPr>
          <w:szCs w:val="22"/>
        </w:rPr>
        <w:t xml:space="preserve">  This Order amends rules adopted in the </w:t>
      </w:r>
      <w:r>
        <w:rPr>
          <w:i/>
          <w:szCs w:val="22"/>
        </w:rPr>
        <w:t>Rate-of-Return Reform Order</w:t>
      </w:r>
      <w:r w:rsidRPr="003567F1">
        <w:rPr>
          <w:i/>
          <w:szCs w:val="22"/>
        </w:rPr>
        <w:t xml:space="preserve"> </w:t>
      </w:r>
      <w:r w:rsidRPr="003567F1">
        <w:rPr>
          <w:szCs w:val="22"/>
        </w:rPr>
        <w:t xml:space="preserve">by </w:t>
      </w:r>
      <w:r w:rsidRPr="00504877">
        <w:t>replac</w:t>
      </w:r>
      <w:r>
        <w:t>ing</w:t>
      </w:r>
      <w:r w:rsidRPr="00504877">
        <w:t xml:space="preserve"> the surrogate cost method</w:t>
      </w:r>
      <w:r>
        <w:t xml:space="preserve"> for calculating the costs of </w:t>
      </w:r>
      <w:r w:rsidR="00664DAD">
        <w:rPr>
          <w:szCs w:val="22"/>
        </w:rPr>
        <w:t xml:space="preserve">Consumer Broadband-only Loops (CBOLs) </w:t>
      </w:r>
      <w:r>
        <w:rPr>
          <w:szCs w:val="22"/>
        </w:rPr>
        <w:t xml:space="preserve">and revising the </w:t>
      </w:r>
      <w:r w:rsidRPr="00C97DDB" w:rsidR="00664DAD">
        <w:rPr>
          <w:szCs w:val="22"/>
        </w:rPr>
        <w:t>Access Recovery Charge</w:t>
      </w:r>
      <w:r w:rsidR="00664DAD">
        <w:rPr>
          <w:szCs w:val="22"/>
        </w:rPr>
        <w:t xml:space="preserve"> (</w:t>
      </w:r>
      <w:r>
        <w:rPr>
          <w:szCs w:val="22"/>
        </w:rPr>
        <w:t>ARC</w:t>
      </w:r>
      <w:r w:rsidR="00664DAD">
        <w:rPr>
          <w:szCs w:val="22"/>
        </w:rPr>
        <w:t>)</w:t>
      </w:r>
      <w:r>
        <w:rPr>
          <w:szCs w:val="22"/>
        </w:rPr>
        <w:t xml:space="preserve"> imputation rules for</w:t>
      </w:r>
      <w:r w:rsidR="00664DAD">
        <w:rPr>
          <w:szCs w:val="22"/>
        </w:rPr>
        <w:t xml:space="preserve"> </w:t>
      </w:r>
      <w:r w:rsidR="00C61FC2">
        <w:rPr>
          <w:szCs w:val="22"/>
        </w:rPr>
        <w:t>CBOL</w:t>
      </w:r>
      <w:r>
        <w:rPr>
          <w:szCs w:val="22"/>
        </w:rPr>
        <w:t xml:space="preserve">s.  </w:t>
      </w:r>
      <w:r w:rsidRPr="003567F1">
        <w:rPr>
          <w:szCs w:val="22"/>
        </w:rPr>
        <w:t xml:space="preserve">These revisions do not create any burdens, benefits, or requirements that were not addressed by the Final Regulatory Flexibility Analysis attached to the </w:t>
      </w:r>
      <w:r w:rsidRPr="00B66940">
        <w:rPr>
          <w:i/>
          <w:szCs w:val="22"/>
        </w:rPr>
        <w:t>Rate-of-Return Reform Order</w:t>
      </w:r>
      <w:r w:rsidRPr="003567F1">
        <w:rPr>
          <w:szCs w:val="22"/>
        </w:rPr>
        <w:t>.</w:t>
      </w:r>
      <w:r>
        <w:rPr>
          <w:rStyle w:val="FootnoteReference"/>
          <w:sz w:val="22"/>
          <w:szCs w:val="22"/>
        </w:rPr>
        <w:footnoteReference w:id="57"/>
      </w:r>
      <w:r w:rsidRPr="003567F1">
        <w:rPr>
          <w:szCs w:val="22"/>
        </w:rPr>
        <w:t xml:space="preserve"> </w:t>
      </w:r>
      <w:r w:rsidR="00664DAD">
        <w:rPr>
          <w:szCs w:val="22"/>
        </w:rPr>
        <w:t>Therefore, we</w:t>
      </w:r>
      <w:r w:rsidRPr="003567F1">
        <w:rPr>
          <w:szCs w:val="22"/>
        </w:rPr>
        <w:t xml:space="preserve"> </w:t>
      </w:r>
      <w:r w:rsidRPr="003567F1" w:rsidR="00664DAD">
        <w:rPr>
          <w:szCs w:val="22"/>
        </w:rPr>
        <w:t xml:space="preserve">certify that the rule revisions adopted in this </w:t>
      </w:r>
      <w:r w:rsidR="00664DAD">
        <w:rPr>
          <w:szCs w:val="22"/>
        </w:rPr>
        <w:t>Second Order on Reconsideration and Clarification</w:t>
      </w:r>
      <w:r w:rsidRPr="003567F1" w:rsidR="00664DAD">
        <w:rPr>
          <w:szCs w:val="22"/>
        </w:rPr>
        <w:t xml:space="preserve"> will not have a significant economic impact on a substantial number of small entities.</w:t>
      </w:r>
      <w:r w:rsidR="00664DAD">
        <w:rPr>
          <w:szCs w:val="22"/>
        </w:rPr>
        <w:t xml:space="preserve">  </w:t>
      </w:r>
    </w:p>
    <w:p w:rsidR="00B66940" w:rsidRPr="0082492A" w:rsidP="00C02595" w14:paraId="0087CCFD" w14:textId="7760C8CB">
      <w:pPr>
        <w:pStyle w:val="ParaNum"/>
      </w:pPr>
      <w:r w:rsidRPr="003567F1">
        <w:rPr>
          <w:szCs w:val="22"/>
        </w:rPr>
        <w:t>The Commission will send a copy of th</w:t>
      </w:r>
      <w:r w:rsidR="00474AB9">
        <w:rPr>
          <w:szCs w:val="22"/>
        </w:rPr>
        <w:t>e</w:t>
      </w:r>
      <w:r w:rsidRPr="003567F1">
        <w:rPr>
          <w:szCs w:val="22"/>
        </w:rPr>
        <w:t xml:space="preserve"> </w:t>
      </w:r>
      <w:r w:rsidR="0043656F">
        <w:rPr>
          <w:szCs w:val="22"/>
        </w:rPr>
        <w:t xml:space="preserve">Second </w:t>
      </w:r>
      <w:r w:rsidR="00496D6D">
        <w:rPr>
          <w:szCs w:val="22"/>
        </w:rPr>
        <w:t>Order on Reconsideration</w:t>
      </w:r>
      <w:r w:rsidR="00B77D2C">
        <w:rPr>
          <w:szCs w:val="22"/>
        </w:rPr>
        <w:t xml:space="preserve"> and Clarification</w:t>
      </w:r>
      <w:r w:rsidRPr="003567F1">
        <w:rPr>
          <w:szCs w:val="22"/>
        </w:rPr>
        <w:t xml:space="preserve">, including a copy of this </w:t>
      </w:r>
      <w:r w:rsidR="0043656F">
        <w:rPr>
          <w:szCs w:val="22"/>
        </w:rPr>
        <w:t>F</w:t>
      </w:r>
      <w:r w:rsidRPr="003567F1">
        <w:rPr>
          <w:szCs w:val="22"/>
        </w:rPr>
        <w:t xml:space="preserve">inal </w:t>
      </w:r>
      <w:r w:rsidR="0043656F">
        <w:rPr>
          <w:szCs w:val="22"/>
        </w:rPr>
        <w:t>C</w:t>
      </w:r>
      <w:r w:rsidRPr="003567F1">
        <w:rPr>
          <w:szCs w:val="22"/>
        </w:rPr>
        <w:t xml:space="preserve">ertification, </w:t>
      </w:r>
      <w:r w:rsidR="00B55BCE">
        <w:rPr>
          <w:szCs w:val="22"/>
        </w:rPr>
        <w:t>in a report to Congress pursuant to the Congressional Review Act.</w:t>
      </w:r>
      <w:r>
        <w:rPr>
          <w:rStyle w:val="FootnoteReference"/>
          <w:sz w:val="22"/>
          <w:szCs w:val="22"/>
        </w:rPr>
        <w:footnoteReference w:id="58"/>
      </w:r>
      <w:r w:rsidRPr="003567F1">
        <w:rPr>
          <w:szCs w:val="22"/>
        </w:rPr>
        <w:t xml:space="preserve"> </w:t>
      </w:r>
      <w:r w:rsidR="00B55BCE">
        <w:rPr>
          <w:szCs w:val="22"/>
        </w:rPr>
        <w:t xml:space="preserve"> In addition, the Second Order on Reconsideration and Clarification</w:t>
      </w:r>
      <w:r w:rsidRPr="003567F1" w:rsidR="00B55BCE">
        <w:rPr>
          <w:szCs w:val="22"/>
        </w:rPr>
        <w:t xml:space="preserve"> </w:t>
      </w:r>
      <w:r w:rsidR="00B55BCE">
        <w:rPr>
          <w:szCs w:val="22"/>
        </w:rPr>
        <w:t xml:space="preserve">and this </w:t>
      </w:r>
      <w:r w:rsidR="008E500E">
        <w:rPr>
          <w:szCs w:val="22"/>
        </w:rPr>
        <w:t>F</w:t>
      </w:r>
      <w:r w:rsidR="00B55BCE">
        <w:rPr>
          <w:szCs w:val="22"/>
        </w:rPr>
        <w:t xml:space="preserve">inal </w:t>
      </w:r>
      <w:r w:rsidR="008E500E">
        <w:rPr>
          <w:szCs w:val="22"/>
        </w:rPr>
        <w:t>C</w:t>
      </w:r>
      <w:r w:rsidR="00B55BCE">
        <w:rPr>
          <w:szCs w:val="22"/>
        </w:rPr>
        <w:t xml:space="preserve">ertification will be sent </w:t>
      </w:r>
      <w:r w:rsidRPr="003567F1" w:rsidR="00B55BCE">
        <w:rPr>
          <w:szCs w:val="22"/>
        </w:rPr>
        <w:t>to the Chief Counsel for Advocacy of the SBA</w:t>
      </w:r>
      <w:r w:rsidR="000D128B">
        <w:rPr>
          <w:szCs w:val="22"/>
        </w:rPr>
        <w:t>,</w:t>
      </w:r>
      <w:r w:rsidRPr="003567F1" w:rsidR="00B55BCE">
        <w:rPr>
          <w:szCs w:val="22"/>
        </w:rPr>
        <w:t xml:space="preserve"> </w:t>
      </w:r>
      <w:r w:rsidR="0043656F">
        <w:rPr>
          <w:szCs w:val="22"/>
        </w:rPr>
        <w:t xml:space="preserve">and </w:t>
      </w:r>
      <w:r w:rsidRPr="003567F1">
        <w:rPr>
          <w:szCs w:val="22"/>
        </w:rPr>
        <w:t>will be published in the Federal Register.</w:t>
      </w:r>
      <w:r>
        <w:rPr>
          <w:rStyle w:val="FootnoteReference"/>
          <w:sz w:val="22"/>
          <w:szCs w:val="22"/>
        </w:rPr>
        <w:footnoteReference w:id="59"/>
      </w:r>
    </w:p>
    <w:p w:rsidR="00446086" w:rsidRPr="0082492A" w:rsidP="00446086" w14:paraId="74CFB257" w14:textId="77777777">
      <w:pPr>
        <w:pStyle w:val="Heading1"/>
        <w:rPr>
          <w:rFonts w:ascii="Times New Roman" w:hAnsi="Times New Roman"/>
          <w:szCs w:val="22"/>
        </w:rPr>
      </w:pPr>
      <w:r w:rsidRPr="0082492A">
        <w:rPr>
          <w:rFonts w:ascii="Times New Roman" w:hAnsi="Times New Roman"/>
          <w:szCs w:val="22"/>
        </w:rPr>
        <w:t>Ordering clauses</w:t>
      </w:r>
    </w:p>
    <w:p w:rsidR="00EF3D4B" w:rsidP="00EF3D4B" w14:paraId="5EF9A8CB" w14:textId="77777777">
      <w:pPr>
        <w:pStyle w:val="ParaNum"/>
      </w:pPr>
      <w:r w:rsidRPr="00EF3D4B">
        <w:t xml:space="preserve">Accordingly, IT IS ORDERED, pursuant to the authority contained in sections 1, 2, 4(i), 205, 214, 218-220, 251, 252, 254, 256, 303(r), 332, 403, and 405 of the Communications Act of 1934, as amended, and section 706 of the Telecommunications Act of 1996, 47 U.S.C. §§ 151, 152, 154(i), 155, 205, 214, 218-220, 251, 252, 254, 256, 303(r), 332, 403, 405, 1302, that this </w:t>
      </w:r>
      <w:r w:rsidR="001A5390">
        <w:t>Second Order on Reconsideration</w:t>
      </w:r>
      <w:r w:rsidRPr="00EF3D4B">
        <w:t xml:space="preserve"> and Clarification IS ADOPTED, effective thirty (30) days after publication of the text or summary thereof in the Federal Register.</w:t>
      </w:r>
    </w:p>
    <w:p w:rsidR="00485E15" w:rsidP="00EF3D4B" w14:paraId="2ACD5C6C" w14:textId="77777777">
      <w:pPr>
        <w:pStyle w:val="ParaNum"/>
      </w:pPr>
      <w:r>
        <w:t>IT IS FURTHER ORDERED that Part</w:t>
      </w:r>
      <w:r w:rsidR="007941A9">
        <w:t>s</w:t>
      </w:r>
      <w:r>
        <w:t xml:space="preserve"> </w:t>
      </w:r>
      <w:r w:rsidR="001C6FC6">
        <w:t xml:space="preserve">51, 54, </w:t>
      </w:r>
      <w:r w:rsidR="007941A9">
        <w:t xml:space="preserve">and </w:t>
      </w:r>
      <w:r>
        <w:t>69 of the Commission</w:t>
      </w:r>
      <w:r>
        <w:t>’</w:t>
      </w:r>
      <w:r>
        <w:t>s rules, 47 CFR Part</w:t>
      </w:r>
      <w:r w:rsidR="007941A9">
        <w:t>s</w:t>
      </w:r>
      <w:r>
        <w:t xml:space="preserve"> </w:t>
      </w:r>
      <w:r w:rsidR="007941A9">
        <w:t>51</w:t>
      </w:r>
      <w:r w:rsidR="001C6FC6">
        <w:t>, 54,</w:t>
      </w:r>
      <w:r w:rsidR="007941A9">
        <w:t xml:space="preserve"> and </w:t>
      </w:r>
      <w:r>
        <w:t xml:space="preserve">69, </w:t>
      </w:r>
      <w:r w:rsidR="007941A9">
        <w:t xml:space="preserve">ARE </w:t>
      </w:r>
      <w:r>
        <w:t xml:space="preserve">AMENDED as set forth in </w:t>
      </w:r>
      <w:r w:rsidR="00A024F8">
        <w:t>the Appendix</w:t>
      </w:r>
      <w:r>
        <w:t xml:space="preserve">, and such rule amendments SHALL BE EFFECTIVE </w:t>
      </w:r>
      <w:r w:rsidR="00BF5B53">
        <w:t>thirty (30) days after publication of the rules amendments in the Federal Register</w:t>
      </w:r>
      <w:r>
        <w:t>.</w:t>
      </w:r>
    </w:p>
    <w:p w:rsidR="00B66940" w:rsidP="00B66940" w14:paraId="235F6B8F" w14:textId="77777777">
      <w:pPr>
        <w:pStyle w:val="ParaNum"/>
      </w:pPr>
      <w:r>
        <w:t xml:space="preserve">IT IS FURTHER ORDERED that the Commission SHALL SEND a copy of this </w:t>
      </w:r>
      <w:r w:rsidR="001A5390">
        <w:t>Second Order on Reconsideration</w:t>
      </w:r>
      <w:r w:rsidR="00B77D2C">
        <w:t xml:space="preserve"> and Clarification</w:t>
      </w:r>
      <w:r>
        <w:t xml:space="preserve"> to Congress and the Government Accountability Office pursuant to the Congressional Review Act, see 5 U.S.C. § 801(a)(1)(A).</w:t>
      </w:r>
    </w:p>
    <w:p w:rsidR="00446086" w:rsidP="00B66940" w14:paraId="1EAE1C00" w14:textId="77777777">
      <w:pPr>
        <w:pStyle w:val="ParaNum"/>
      </w:pPr>
      <w:r>
        <w:t>IT IS FURTHER ORDERED, that the Commission</w:t>
      </w:r>
      <w:r w:rsidR="00485E15">
        <w:t>’</w:t>
      </w:r>
      <w:r>
        <w:t xml:space="preserve">s Consumer and Governmental Affairs Bureau, Reference Information Center, SHALL SEND a copy of this </w:t>
      </w:r>
      <w:r w:rsidR="0043656F">
        <w:t xml:space="preserve">Second </w:t>
      </w:r>
      <w:r w:rsidR="00B37BC8">
        <w:t>Order on Reconsideration</w:t>
      </w:r>
      <w:r w:rsidR="00B77D2C">
        <w:t xml:space="preserve"> and Clarification</w:t>
      </w:r>
      <w:r w:rsidR="0043656F">
        <w:t xml:space="preserve">, including the Final Regulatory Flexibility Certification, </w:t>
      </w:r>
      <w:r>
        <w:t>to the Chief Counsel for Advocacy of the Small Business Administration.</w:t>
      </w:r>
    </w:p>
    <w:p w:rsidR="00EF3D4B" w:rsidRPr="00B66940" w:rsidP="00F923B0" w14:paraId="1874F7AE" w14:textId="77777777">
      <w:pPr>
        <w:pStyle w:val="ParaNum"/>
        <w:widowControl/>
      </w:pPr>
      <w:r>
        <w:t>IT IS FURTHER ORDERED that the Petition for Reconsideration and/or Clarification of NTCA – The Rural Broadband Association filed May 25, 2016, is GRANTED IN PART as described herein.</w:t>
      </w:r>
    </w:p>
    <w:p w:rsidR="00446086" w:rsidRPr="0082492A" w:rsidP="00446086" w14:paraId="5A4E9338" w14:textId="77777777">
      <w:pPr>
        <w:pStyle w:val="ParaNum"/>
        <w:keepNext/>
        <w:keepLines/>
        <w:widowControl/>
        <w:numPr>
          <w:ilvl w:val="0"/>
          <w:numId w:val="0"/>
        </w:numPr>
        <w:contextualSpacing/>
        <w:rPr>
          <w:szCs w:val="22"/>
        </w:rPr>
      </w:pPr>
    </w:p>
    <w:p w:rsidR="00446086" w:rsidRPr="0082492A" w:rsidP="00446086" w14:paraId="1372B05A" w14:textId="77777777">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FEDERAL COMMUNICATIONS COMMISSION</w:t>
      </w:r>
    </w:p>
    <w:p w:rsidR="00446086" w:rsidRPr="0082492A" w:rsidP="00446086" w14:paraId="31E41A7A" w14:textId="77777777">
      <w:pPr>
        <w:keepNext/>
        <w:keepLines/>
        <w:rPr>
          <w:szCs w:val="22"/>
        </w:rPr>
      </w:pPr>
    </w:p>
    <w:p w:rsidR="00446086" w:rsidRPr="0082492A" w:rsidP="00446086" w14:paraId="16D8937D" w14:textId="77777777">
      <w:pPr>
        <w:keepNext/>
        <w:keepLines/>
        <w:rPr>
          <w:szCs w:val="22"/>
        </w:rPr>
      </w:pPr>
    </w:p>
    <w:p w:rsidR="00446086" w:rsidRPr="0082492A" w:rsidP="00446086" w14:paraId="0D9EDBBC" w14:textId="77777777">
      <w:pPr>
        <w:keepNext/>
        <w:keepLines/>
        <w:rPr>
          <w:szCs w:val="22"/>
        </w:rPr>
      </w:pPr>
    </w:p>
    <w:p w:rsidR="00446086" w:rsidRPr="0082492A" w:rsidP="00446086" w14:paraId="22606D0D" w14:textId="77777777">
      <w:pPr>
        <w:keepNext/>
        <w:keepLines/>
        <w:rPr>
          <w:szCs w:val="22"/>
        </w:rPr>
      </w:pPr>
    </w:p>
    <w:p w:rsidR="005618AC" w:rsidP="00446086" w14:paraId="68445693" w14:textId="77777777">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Marlene H. Dortch</w:t>
      </w:r>
    </w:p>
    <w:p w:rsidR="00446086" w:rsidRPr="0082492A" w:rsidP="00446086" w14:paraId="20BA30DA" w14:textId="77777777">
      <w:pPr>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Secretary</w:t>
      </w:r>
    </w:p>
    <w:p w:rsidR="005618AC" w:rsidP="00446086" w14:paraId="21F0E0CE" w14:textId="77777777">
      <w:pPr>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p>
    <w:p w:rsidR="00F923B0" w14:paraId="30ED0EDC" w14:textId="77777777">
      <w:pPr>
        <w:widowControl/>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0433B5" w:rsidRPr="000433B5" w:rsidP="000433B5" w14:paraId="115FE777" w14:textId="77777777">
      <w:pPr>
        <w:jc w:val="center"/>
        <w:rPr>
          <w:b/>
        </w:rPr>
      </w:pPr>
      <w:r>
        <w:rPr>
          <w:b/>
        </w:rPr>
        <w:t>APPENDIX</w:t>
      </w:r>
    </w:p>
    <w:p w:rsidR="000433B5" w:rsidP="000433B5" w14:paraId="273F7608" w14:textId="77777777"/>
    <w:p w:rsidR="003003DF" w:rsidRPr="000433B5" w:rsidP="003003DF" w14:paraId="489FD46B" w14:textId="77777777">
      <w:pPr>
        <w:jc w:val="center"/>
        <w:rPr>
          <w:b/>
        </w:rPr>
      </w:pPr>
      <w:r w:rsidRPr="000433B5">
        <w:rPr>
          <w:b/>
        </w:rPr>
        <w:t>Final Rules</w:t>
      </w:r>
    </w:p>
    <w:p w:rsidR="003003DF" w:rsidP="003003DF" w14:paraId="36A4D999" w14:textId="77777777"/>
    <w:p w:rsidR="003003DF" w:rsidP="003003DF" w14:paraId="6D3C9C6B" w14:textId="77777777">
      <w:r>
        <w:t>For the reasons discussed in the preamble, the Federal Communications Commission amends 47 CFR parts 51</w:t>
      </w:r>
      <w:r w:rsidR="004835B9">
        <w:t>, 54</w:t>
      </w:r>
      <w:r>
        <w:t xml:space="preserve"> and 69 as follows:</w:t>
      </w:r>
    </w:p>
    <w:p w:rsidR="003003DF" w:rsidP="003003DF" w14:paraId="4949ACE8" w14:textId="77777777"/>
    <w:p w:rsidR="003003DF" w:rsidRPr="000433B5" w:rsidP="003003DF" w14:paraId="2A7B19D2" w14:textId="77777777">
      <w:pPr>
        <w:jc w:val="center"/>
        <w:rPr>
          <w:b/>
        </w:rPr>
      </w:pPr>
      <w:r>
        <w:br/>
      </w:r>
      <w:r w:rsidRPr="000433B5">
        <w:rPr>
          <w:b/>
        </w:rPr>
        <w:t>PART 51—INTERCONNECTION</w:t>
      </w:r>
    </w:p>
    <w:p w:rsidR="003003DF" w:rsidP="003003DF" w14:paraId="4F9A6973" w14:textId="77777777"/>
    <w:p w:rsidR="003003DF" w:rsidP="003003DF" w14:paraId="71CC4AA6" w14:textId="77777777">
      <w:r>
        <w:t>1.  The authority citation for part 51 is revised to read as follows:</w:t>
      </w:r>
    </w:p>
    <w:p w:rsidR="003003DF" w:rsidP="003003DF" w14:paraId="4558B565" w14:textId="77777777"/>
    <w:p w:rsidR="003003DF" w:rsidP="003003DF" w14:paraId="7733BD87" w14:textId="77777777">
      <w:r>
        <w:t>AUTHORITY: 47 U.S.C. 151-55, 201-05, 207-09, 218, 220, 225-27, 251-54, 256, 271, 303(r), 332, 1302.</w:t>
      </w:r>
    </w:p>
    <w:p w:rsidR="003003DF" w:rsidP="003003DF" w14:paraId="16FADC15" w14:textId="77777777"/>
    <w:p w:rsidR="003003DF" w:rsidP="003003DF" w14:paraId="30D9C4CE" w14:textId="77777777">
      <w:r>
        <w:t xml:space="preserve">2.  Amend paragraph (f)(4) </w:t>
      </w:r>
      <w:r w:rsidR="00EF3D4B">
        <w:t>of</w:t>
      </w:r>
      <w:r>
        <w:t xml:space="preserve"> § 51.917 and add a new paragraph (f)(5) to read as follows:</w:t>
      </w:r>
    </w:p>
    <w:p w:rsidR="003003DF" w:rsidP="003003DF" w14:paraId="2D5FEF00" w14:textId="77777777"/>
    <w:p w:rsidR="003003DF" w:rsidRPr="000433B5" w:rsidP="003003DF" w14:paraId="54609682" w14:textId="77777777">
      <w:pPr>
        <w:rPr>
          <w:b/>
        </w:rPr>
      </w:pPr>
      <w:r w:rsidRPr="000433B5">
        <w:rPr>
          <w:b/>
          <w:u w:val="single"/>
        </w:rPr>
        <w:t>§</w:t>
      </w:r>
      <w:r>
        <w:rPr>
          <w:b/>
          <w:u w:val="single"/>
        </w:rPr>
        <w:t xml:space="preserve"> </w:t>
      </w:r>
      <w:r w:rsidRPr="000433B5">
        <w:rPr>
          <w:b/>
          <w:u w:val="single"/>
        </w:rPr>
        <w:t>51.917</w:t>
      </w:r>
      <w:r>
        <w:rPr>
          <w:b/>
          <w:u w:val="single"/>
        </w:rPr>
        <w:t xml:space="preserve">  </w:t>
      </w:r>
      <w:r w:rsidRPr="000433B5">
        <w:rPr>
          <w:b/>
          <w:u w:val="single"/>
        </w:rPr>
        <w:t>Revenue recovery for Rate-of-Return Carriers</w:t>
      </w:r>
      <w:r w:rsidRPr="000433B5">
        <w:rPr>
          <w:b/>
        </w:rPr>
        <w:t>.</w:t>
      </w:r>
    </w:p>
    <w:p w:rsidR="003003DF" w:rsidP="003003DF" w14:paraId="187AEC52" w14:textId="77777777"/>
    <w:p w:rsidR="003003DF" w:rsidP="003003DF" w14:paraId="3EC8B944" w14:textId="77777777">
      <w:r>
        <w:t>* * * * *</w:t>
      </w:r>
    </w:p>
    <w:p w:rsidR="003003DF" w:rsidP="003003DF" w14:paraId="35783760" w14:textId="77777777"/>
    <w:p w:rsidR="00485E15" w:rsidP="003003DF" w14:paraId="5FF13743" w14:textId="77777777">
      <w:r>
        <w:t>(f)  * * *</w:t>
      </w:r>
    </w:p>
    <w:p w:rsidR="003003DF" w:rsidP="003003DF" w14:paraId="43E1F9EE" w14:textId="77777777"/>
    <w:p w:rsidR="003003DF" w:rsidP="003003DF" w14:paraId="4F3DEB36" w14:textId="77777777">
      <w:pPr>
        <w:ind w:left="720"/>
      </w:pPr>
      <w:r>
        <w:t xml:space="preserve">(4) Except as provided in paragraph (f)(5) of this section, </w:t>
      </w:r>
      <w:r w:rsidR="00B41116">
        <w:t>* * *</w:t>
      </w:r>
    </w:p>
    <w:p w:rsidR="003003DF" w:rsidP="003003DF" w14:paraId="157568F6" w14:textId="77777777"/>
    <w:p w:rsidR="003003DF" w:rsidP="003003DF" w14:paraId="54485FE3" w14:textId="640AD577">
      <w:pPr>
        <w:ind w:left="720"/>
      </w:pPr>
      <w:r>
        <w:t>(5) Notwithstanding paragraph (f)(</w:t>
      </w:r>
      <w:r w:rsidR="005E171B">
        <w:t xml:space="preserve">4) of this section, </w:t>
      </w:r>
      <w:r w:rsidR="00267ABD">
        <w:t>commencing</w:t>
      </w:r>
      <w:r w:rsidR="00B74414">
        <w:t xml:space="preserve"> </w:t>
      </w:r>
      <w:r w:rsidR="002B27C2">
        <w:t>July</w:t>
      </w:r>
      <w:r w:rsidR="00B74414">
        <w:t xml:space="preserve"> 1, 201</w:t>
      </w:r>
      <w:r w:rsidR="002B27C2">
        <w:t>8</w:t>
      </w:r>
      <w:r w:rsidR="00D33345">
        <w:t xml:space="preserve"> and ending </w:t>
      </w:r>
      <w:r w:rsidR="002B27C2">
        <w:t>June 30, 2023</w:t>
      </w:r>
      <w:r w:rsidR="005E171B">
        <w:t>,</w:t>
      </w:r>
      <w:r>
        <w:t xml:space="preserve"> the maximum total dollar amount a carrier must impute on supported </w:t>
      </w:r>
      <w:r>
        <w:rPr>
          <w:szCs w:val="22"/>
        </w:rPr>
        <w:t>consumer broadband-only loop</w:t>
      </w:r>
      <w:r>
        <w:t>s is limited as follows:</w:t>
      </w:r>
    </w:p>
    <w:p w:rsidR="003003DF" w:rsidP="003003DF" w14:paraId="77935BFB" w14:textId="77777777">
      <w:pPr>
        <w:ind w:firstLine="720"/>
      </w:pPr>
    </w:p>
    <w:p w:rsidR="00485E15" w:rsidP="003003DF" w14:paraId="6B3CA830" w14:textId="77777777">
      <w:pPr>
        <w:ind w:left="1440"/>
      </w:pPr>
      <w:r>
        <w:t>(A)  For the affected tariff year, the carrier shall compare</w:t>
      </w:r>
    </w:p>
    <w:p w:rsidR="003003DF" w:rsidP="003003DF" w14:paraId="110D2AF5" w14:textId="77777777">
      <w:pPr>
        <w:ind w:left="720"/>
      </w:pPr>
    </w:p>
    <w:p w:rsidR="00267ABD" w:rsidP="003003DF" w14:paraId="4135B3AC" w14:textId="77777777">
      <w:pPr>
        <w:ind w:left="2160"/>
      </w:pPr>
      <w:r>
        <w:t xml:space="preserve">(i) the sum of the revenues from projected Access Recovery Charges assessed pursuant to section 51.917(e), any amounts imputed pursuant to section 51.917(f)(2), and any imputation pursuant to section 51.917(f)(4) </w:t>
      </w:r>
      <w:r w:rsidR="00750EB0">
        <w:t>to</w:t>
      </w:r>
    </w:p>
    <w:p w:rsidR="003003DF" w:rsidP="003003DF" w14:paraId="443AAFF1" w14:textId="77777777">
      <w:pPr>
        <w:ind w:left="720"/>
      </w:pPr>
    </w:p>
    <w:p w:rsidR="00750EB0" w:rsidP="003003DF" w14:paraId="1A7C7DF4" w14:textId="77777777">
      <w:pPr>
        <w:ind w:left="2160"/>
      </w:pPr>
      <w:r>
        <w:t>(ii) the sum of the revenues from Access Recovery Charges assessed pursuant to section 51.917(e) and any amounts imputed pursuant to section 51.9</w:t>
      </w:r>
      <w:r w:rsidR="00E25AC6">
        <w:t>17(f)(2) for tariff year 2015-16</w:t>
      </w:r>
      <w:r>
        <w:t>, a</w:t>
      </w:r>
      <w:r w:rsidR="00AF6C0F">
        <w:t>fter being trued-up.</w:t>
      </w:r>
    </w:p>
    <w:p w:rsidR="00750EB0" w:rsidP="003003DF" w14:paraId="34F8C578" w14:textId="77777777">
      <w:pPr>
        <w:ind w:left="2160"/>
      </w:pPr>
    </w:p>
    <w:p w:rsidR="00C02ED5" w:rsidP="00C02ED5" w14:paraId="46BC5F8A" w14:textId="77777777">
      <w:pPr>
        <w:ind w:left="1440"/>
      </w:pPr>
      <w:r>
        <w:t>(B)  If the amount determined in paragraph (f)(5)(A)(i) of this section is greater than the amount determined in paragraph (f)(5)(A)(ii), the sum of the revenues from projected Access Recovery Charges assessed pursuant to section 51.917(e) and any amounts imputed pursuant to section 51.917(f)(2) for the affected year must be compared to the amount determined in section paragraph (f)(5)(A)(ii).</w:t>
      </w:r>
    </w:p>
    <w:p w:rsidR="00C02ED5" w:rsidP="00C02ED5" w14:paraId="43AA0DE5" w14:textId="77777777">
      <w:pPr>
        <w:ind w:left="2160"/>
      </w:pPr>
    </w:p>
    <w:p w:rsidR="00C02ED5" w:rsidP="00C02ED5" w14:paraId="6DE3DF15" w14:textId="77777777">
      <w:pPr>
        <w:ind w:left="2160"/>
      </w:pPr>
      <w:r>
        <w:t>(i)  If the former amount is greater than the latter amount, no imputation is made on Consumer Broadband-Only Loops.</w:t>
      </w:r>
    </w:p>
    <w:p w:rsidR="00C02ED5" w:rsidP="00C02ED5" w14:paraId="59F2211D" w14:textId="77777777">
      <w:pPr>
        <w:ind w:left="2160"/>
      </w:pPr>
    </w:p>
    <w:p w:rsidR="003003DF" w:rsidP="00C02ED5" w14:paraId="38ED325F" w14:textId="77777777">
      <w:pPr>
        <w:ind w:left="2160"/>
      </w:pPr>
      <w:r>
        <w:t>(ii) If the former amount is equal to or less than the latter amount, the imputation on Consumer Broadband-Only Loops is limited to the difference between the two amounts.</w:t>
      </w:r>
    </w:p>
    <w:p w:rsidR="003003DF" w:rsidP="003003DF" w14:paraId="7EB2425F" w14:textId="77777777"/>
    <w:p w:rsidR="00150CEC" w:rsidP="003003DF" w14:paraId="17A92AE1" w14:textId="77777777"/>
    <w:p w:rsidR="00150CEC" w:rsidP="003003DF" w14:paraId="4FDEB0A9" w14:textId="77777777"/>
    <w:p w:rsidR="00D72119" w:rsidP="00150CEC" w14:paraId="2D2C22B4" w14:textId="77777777">
      <w:pPr>
        <w:widowControl/>
        <w:jc w:val="center"/>
        <w:rPr>
          <w:b/>
        </w:rPr>
      </w:pPr>
      <w:r>
        <w:rPr>
          <w:b/>
        </w:rPr>
        <w:t>PART 54—UNIVERSAL SERVICE</w:t>
      </w:r>
    </w:p>
    <w:p w:rsidR="00D72119" w:rsidP="00D72119" w14:paraId="113C2F08" w14:textId="77777777">
      <w:pPr>
        <w:jc w:val="center"/>
        <w:rPr>
          <w:b/>
        </w:rPr>
      </w:pPr>
    </w:p>
    <w:p w:rsidR="00D72119" w:rsidP="00D72119" w14:paraId="4CE4FF00" w14:textId="77777777">
      <w:pPr>
        <w:tabs>
          <w:tab w:val="left" w:pos="360"/>
        </w:tabs>
      </w:pPr>
      <w:r>
        <w:t>3.</w:t>
      </w:r>
      <w:r>
        <w:tab/>
        <w:t>The authority citation for part 54 is revised to read as follows:</w:t>
      </w:r>
    </w:p>
    <w:p w:rsidR="00D72119" w:rsidP="00D72119" w14:paraId="08178C94" w14:textId="77777777"/>
    <w:p w:rsidR="00D72119" w:rsidP="00D72119" w14:paraId="0A78BA9F" w14:textId="77777777">
      <w:r>
        <w:t xml:space="preserve">AUTHORITY: </w:t>
      </w:r>
      <w:r w:rsidRPr="00F70935">
        <w:t>47 U.S.C. 151, 154(i), 155, 201, 205, 214, 219, 220, 254, 303(r), 403, and 1302 unless otherwise noted.</w:t>
      </w:r>
    </w:p>
    <w:p w:rsidR="00D72119" w:rsidP="00D72119" w14:paraId="549C29B9" w14:textId="77777777"/>
    <w:p w:rsidR="00D72119" w:rsidP="00D72119" w14:paraId="05F96E62" w14:textId="77777777">
      <w:pPr>
        <w:tabs>
          <w:tab w:val="left" w:pos="360"/>
        </w:tabs>
      </w:pPr>
      <w:r>
        <w:t>4.</w:t>
      </w:r>
      <w:r>
        <w:tab/>
        <w:t>Amend § 54.319 by revising paragraph (g) introductory text as follows:</w:t>
      </w:r>
    </w:p>
    <w:p w:rsidR="00D72119" w:rsidP="00D72119" w14:paraId="4D0C66B7" w14:textId="77777777"/>
    <w:p w:rsidR="00D72119" w:rsidRPr="00F70935" w:rsidP="00D72119" w14:paraId="6FCD4E66" w14:textId="77777777">
      <w:pPr>
        <w:rPr>
          <w:b/>
          <w:u w:val="single"/>
        </w:rPr>
      </w:pPr>
      <w:r w:rsidRPr="00F70935">
        <w:rPr>
          <w:b/>
          <w:u w:val="single"/>
        </w:rPr>
        <w:t xml:space="preserve">§ 54.319 </w:t>
      </w:r>
      <w:r>
        <w:rPr>
          <w:b/>
          <w:u w:val="single"/>
        </w:rPr>
        <w:t>Elimination of high-cost support in areas with 100 percent coverage by an unsubsidized competitor.</w:t>
      </w:r>
    </w:p>
    <w:p w:rsidR="00D72119" w:rsidP="00D72119" w14:paraId="324589AE" w14:textId="77777777"/>
    <w:p w:rsidR="00D72119" w:rsidP="00D72119" w14:paraId="30BF9DF8" w14:textId="77777777">
      <w:r>
        <w:t>* * * * *</w:t>
      </w:r>
    </w:p>
    <w:p w:rsidR="00D72119" w:rsidP="00D72119" w14:paraId="421C110E" w14:textId="77777777"/>
    <w:p w:rsidR="00D72119" w:rsidP="00D72119" w14:paraId="49C71762" w14:textId="77777777">
      <w:r>
        <w:t xml:space="preserve">(g) </w:t>
      </w:r>
      <w:r w:rsidRPr="003876E9">
        <w:t xml:space="preserve">For any incumbent local exchange carrier for which the disaggregated support for competitive census blocks represents </w:t>
      </w:r>
      <w:r>
        <w:t>25 percent or more</w:t>
      </w:r>
      <w:r w:rsidRPr="003876E9">
        <w:t xml:space="preserve"> of the support the carrier would have received in the study area in the absence of this rule, support shall be reduced for each competitive census block according to the following schedule:</w:t>
      </w:r>
    </w:p>
    <w:p w:rsidR="00D72119" w:rsidP="00D72119" w14:paraId="75D8E782" w14:textId="77777777"/>
    <w:p w:rsidR="00D72119" w:rsidRPr="00DB6C57" w:rsidP="00D72119" w14:paraId="1D366F6C" w14:textId="77777777">
      <w:r>
        <w:t>* * * * *</w:t>
      </w:r>
    </w:p>
    <w:p w:rsidR="004835B9" w:rsidP="003003DF" w14:paraId="4C5D4C30" w14:textId="77777777">
      <w:pPr>
        <w:jc w:val="center"/>
        <w:rPr>
          <w:b/>
        </w:rPr>
      </w:pPr>
    </w:p>
    <w:p w:rsidR="003003DF" w:rsidRPr="000433B5" w:rsidP="003003DF" w14:paraId="3240B1FE" w14:textId="77777777">
      <w:pPr>
        <w:jc w:val="center"/>
        <w:rPr>
          <w:b/>
        </w:rPr>
      </w:pPr>
      <w:r w:rsidRPr="000433B5">
        <w:rPr>
          <w:b/>
        </w:rPr>
        <w:t>PART 69—ACCESS CHARGES</w:t>
      </w:r>
    </w:p>
    <w:p w:rsidR="003003DF" w:rsidP="003003DF" w14:paraId="76F92DF8" w14:textId="77777777"/>
    <w:p w:rsidR="003003DF" w:rsidP="003003DF" w14:paraId="506574FC" w14:textId="77777777">
      <w:pPr>
        <w:tabs>
          <w:tab w:val="left" w:pos="360"/>
        </w:tabs>
      </w:pPr>
      <w:r>
        <w:t>5</w:t>
      </w:r>
      <w:r>
        <w:t>.</w:t>
      </w:r>
      <w:r>
        <w:tab/>
        <w:t>The authority citation for part 69 is revised to read as follows:</w:t>
      </w:r>
    </w:p>
    <w:p w:rsidR="003003DF" w:rsidP="003003DF" w14:paraId="5F45C4FB" w14:textId="77777777"/>
    <w:p w:rsidR="003003DF" w:rsidP="003003DF" w14:paraId="12A2BE6F" w14:textId="77777777">
      <w:r>
        <w:t>AUTHORITY: 47 U.S.C. 154, 201, 202, 203, 205, 218, 220, 254, 403.</w:t>
      </w:r>
    </w:p>
    <w:p w:rsidR="003003DF" w:rsidP="003003DF" w14:paraId="0870555C" w14:textId="77777777"/>
    <w:p w:rsidR="003003DF" w:rsidP="003003DF" w14:paraId="58876444" w14:textId="77777777">
      <w:pPr>
        <w:tabs>
          <w:tab w:val="left" w:pos="360"/>
        </w:tabs>
      </w:pPr>
      <w:r>
        <w:t>6</w:t>
      </w:r>
      <w:r>
        <w:t>.</w:t>
      </w:r>
      <w:r>
        <w:tab/>
        <w:t>Amend § 69.311 to read as follows:</w:t>
      </w:r>
    </w:p>
    <w:p w:rsidR="003003DF" w:rsidP="003003DF" w14:paraId="5D1E673B" w14:textId="77777777"/>
    <w:p w:rsidR="00485E15" w:rsidP="003003DF" w14:paraId="726B3D2A" w14:textId="77777777">
      <w:pPr>
        <w:rPr>
          <w:b/>
        </w:rPr>
      </w:pPr>
      <w:r w:rsidRPr="000433B5">
        <w:rPr>
          <w:b/>
          <w:u w:val="single"/>
        </w:rPr>
        <w:t>§</w:t>
      </w:r>
      <w:r>
        <w:rPr>
          <w:b/>
          <w:u w:val="single"/>
        </w:rPr>
        <w:t xml:space="preserve"> </w:t>
      </w:r>
      <w:r w:rsidRPr="000433B5">
        <w:rPr>
          <w:b/>
          <w:u w:val="single"/>
        </w:rPr>
        <w:t>69.311</w:t>
      </w:r>
      <w:r>
        <w:rPr>
          <w:b/>
          <w:u w:val="single"/>
        </w:rPr>
        <w:t xml:space="preserve">  </w:t>
      </w:r>
      <w:r w:rsidRPr="000433B5">
        <w:rPr>
          <w:b/>
          <w:u w:val="single"/>
        </w:rPr>
        <w:t>Consumer Broadband-Only Loop investment</w:t>
      </w:r>
      <w:r w:rsidRPr="000433B5">
        <w:rPr>
          <w:b/>
        </w:rPr>
        <w:t>.</w:t>
      </w:r>
    </w:p>
    <w:p w:rsidR="003003DF" w:rsidP="003003DF" w14:paraId="17166255" w14:textId="77777777"/>
    <w:p w:rsidR="00485E15" w:rsidP="003003DF" w14:paraId="50C703E9" w14:textId="77777777">
      <w:pPr>
        <w:pStyle w:val="ListParagraph"/>
        <w:ind w:left="0"/>
      </w:pPr>
      <w:r>
        <w:t>* * * *</w:t>
      </w:r>
    </w:p>
    <w:p w:rsidR="003003DF" w:rsidP="003003DF" w14:paraId="7DEDE1D9" w14:textId="77777777">
      <w:pPr>
        <w:pStyle w:val="ListParagraph"/>
        <w:ind w:left="0"/>
      </w:pPr>
    </w:p>
    <w:p w:rsidR="003003DF" w:rsidP="003003DF" w14:paraId="29FE4ABA" w14:textId="77777777">
      <w:r>
        <w:t>(b) Until June 30, 2018, * * *</w:t>
      </w:r>
    </w:p>
    <w:p w:rsidR="003003DF" w:rsidP="003003DF" w14:paraId="1B859604" w14:textId="77777777"/>
    <w:p w:rsidR="003003DF" w:rsidP="003003DF" w14:paraId="6ED8E620" w14:textId="77777777">
      <w:r>
        <w:t>(c) Beginning July 1, 2018, each carrier shall determine, consistent with the Part 36 and Part 69 cost allocation rules, the amount of Consumer Broadband-Only Loop investment and related reserves and other investm</w:t>
      </w:r>
      <w:r w:rsidR="004835B9">
        <w:t>ent assigned to the interstate Special A</w:t>
      </w:r>
      <w:r>
        <w:t>ccess category that is to be shifted to the Consumer Broadband-Only Loop category.</w:t>
      </w:r>
    </w:p>
    <w:p w:rsidR="003003DF" w:rsidP="003003DF" w14:paraId="12014F31" w14:textId="77777777"/>
    <w:p w:rsidR="003003DF" w:rsidP="003003DF" w14:paraId="5747BE20" w14:textId="77777777">
      <w:r>
        <w:t>7</w:t>
      </w:r>
      <w:r>
        <w:t>.   Amend § 69.416 to read as follows:</w:t>
      </w:r>
    </w:p>
    <w:p w:rsidR="003003DF" w:rsidP="003003DF" w14:paraId="7655BBB8" w14:textId="77777777"/>
    <w:p w:rsidR="003003DF" w:rsidP="003003DF" w14:paraId="520F89D6" w14:textId="77777777">
      <w:r w:rsidRPr="000433B5">
        <w:rPr>
          <w:b/>
          <w:u w:val="single"/>
        </w:rPr>
        <w:t>§ 69.416</w:t>
      </w:r>
      <w:r>
        <w:rPr>
          <w:b/>
          <w:u w:val="single"/>
        </w:rPr>
        <w:t xml:space="preserve">  </w:t>
      </w:r>
      <w:r w:rsidRPr="000433B5">
        <w:rPr>
          <w:b/>
          <w:u w:val="single"/>
        </w:rPr>
        <w:t>Consumer Broadband-Only Loop expenses</w:t>
      </w:r>
      <w:r>
        <w:t>.</w:t>
      </w:r>
    </w:p>
    <w:p w:rsidR="00485E15" w:rsidP="003003DF" w14:paraId="3927CAA8" w14:textId="77777777"/>
    <w:p w:rsidR="00485E15" w:rsidP="003003DF" w14:paraId="469668CC" w14:textId="77777777">
      <w:pPr>
        <w:pStyle w:val="ListParagraph"/>
        <w:ind w:left="0"/>
      </w:pPr>
      <w:r>
        <w:t>* * * *</w:t>
      </w:r>
    </w:p>
    <w:p w:rsidR="003003DF" w:rsidP="003003DF" w14:paraId="133F24D1" w14:textId="77777777">
      <w:pPr>
        <w:pStyle w:val="ListParagraph"/>
      </w:pPr>
    </w:p>
    <w:p w:rsidR="003003DF" w:rsidP="003003DF" w14:paraId="78741D12" w14:textId="77777777">
      <w:r>
        <w:t>(b) Until June 30, 2018, * * *</w:t>
      </w:r>
    </w:p>
    <w:p w:rsidR="003003DF" w:rsidP="003003DF" w14:paraId="198C2FC1" w14:textId="77777777"/>
    <w:p w:rsidR="00916D08" w:rsidRPr="00446086" w:rsidP="000433B5" w14:paraId="3210CE77" w14:textId="77777777">
      <w:r>
        <w:t>(c) Beginning July 1, 2018, each carrier shall determine, consistent with the Part 36 and Part 69 cost allocation rules, the amount of Consumer Broadband-Only Loop expen</w:t>
      </w:r>
      <w:r w:rsidR="004835B9">
        <w:t>ses assigned to the interstate Special A</w:t>
      </w:r>
      <w:r>
        <w:t>ccess category that are to be shifted to the Consumer Broadband-Only Loop category.</w:t>
      </w:r>
    </w:p>
    <w:sectPr w:rsidSect="003B5A8F">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D08" w:rsidP="0055614C" w14:paraId="700CA65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16D08" w14:paraId="30575B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D08" w:rsidP="003B5A8F" w14:paraId="2DF3908D" w14:textId="57C04A90">
    <w:pPr>
      <w:suppressAutoHyphens/>
      <w:spacing w:line="227" w:lineRule="auto"/>
      <w:jc w:val="center"/>
    </w:pPr>
    <w:r>
      <w:fldChar w:fldCharType="begin"/>
    </w:r>
    <w:r>
      <w:instrText xml:space="preserve"> PAGE  \* Arabic  \* MERGEFORMAT </w:instrText>
    </w:r>
    <w:r>
      <w:fldChar w:fldCharType="separate"/>
    </w:r>
    <w:r w:rsidR="00E321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D08" w14:paraId="0A01A2A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0757" w14:paraId="4AE88AD1" w14:textId="77777777">
      <w:r>
        <w:separator/>
      </w:r>
    </w:p>
  </w:footnote>
  <w:footnote w:type="continuationSeparator" w:id="1">
    <w:p w:rsidR="00770757" w:rsidP="00C721AC" w14:paraId="001EE693" w14:textId="77777777">
      <w:pPr>
        <w:spacing w:before="120"/>
        <w:rPr>
          <w:sz w:val="20"/>
        </w:rPr>
      </w:pPr>
      <w:r>
        <w:rPr>
          <w:sz w:val="20"/>
        </w:rPr>
        <w:t xml:space="preserve">(Continued from previous page)  </w:t>
      </w:r>
      <w:r>
        <w:rPr>
          <w:sz w:val="20"/>
        </w:rPr>
        <w:separator/>
      </w:r>
    </w:p>
  </w:footnote>
  <w:footnote w:type="continuationNotice" w:id="2">
    <w:p w:rsidR="00770757" w:rsidP="00C721AC" w14:paraId="1E8767CA" w14:textId="77777777">
      <w:pPr>
        <w:jc w:val="right"/>
        <w:rPr>
          <w:sz w:val="20"/>
        </w:rPr>
      </w:pPr>
    </w:p>
  </w:footnote>
  <w:footnote w:id="3">
    <w:p w:rsidR="007B4AC1" w:rsidP="007B4AC1" w14:paraId="49CD6C6B" w14:textId="77777777">
      <w:pPr>
        <w:pStyle w:val="FootnoteText"/>
      </w:pPr>
      <w:r>
        <w:rPr>
          <w:rStyle w:val="FootnoteReference"/>
        </w:rPr>
        <w:footnoteRef/>
      </w:r>
      <w:r>
        <w:t xml:space="preserve"> </w:t>
      </w:r>
      <w:r w:rsidRPr="00B66940">
        <w:rPr>
          <w:i/>
        </w:rPr>
        <w:t>Connect America Fund et al.</w:t>
      </w:r>
      <w:r w:rsidRPr="00504877">
        <w:t>, Report and Order, Order and Order on Reconsideration and Further Notice of Proposed Rulemaking, WC Docket No. 10-90 et al., 31 FCC Rcd 3087 (2016) (</w:t>
      </w:r>
      <w:r w:rsidRPr="00B66940">
        <w:rPr>
          <w:i/>
        </w:rPr>
        <w:t>Rate-of-Return Reform Order</w:t>
      </w:r>
      <w:r w:rsidRPr="00504877">
        <w:t>).</w:t>
      </w:r>
    </w:p>
  </w:footnote>
  <w:footnote w:id="4">
    <w:p w:rsidR="00916D08" w14:paraId="68C51FC2" w14:textId="77777777">
      <w:pPr>
        <w:pStyle w:val="FootnoteText"/>
      </w:pPr>
      <w:r>
        <w:rPr>
          <w:rStyle w:val="FootnoteReference"/>
        </w:rPr>
        <w:footnoteRef/>
      </w:r>
      <w:r>
        <w:t xml:space="preserve"> </w:t>
      </w:r>
      <w:r w:rsidR="001E0E56">
        <w:t xml:space="preserve">47 CFR §§ </w:t>
      </w:r>
      <w:r w:rsidRPr="00504877" w:rsidR="001E0E56">
        <w:t>69.311, 69.416</w:t>
      </w:r>
      <w:r w:rsidR="001E0E56">
        <w:t>.</w:t>
      </w:r>
    </w:p>
  </w:footnote>
  <w:footnote w:id="5">
    <w:p w:rsidR="0095091D" w14:paraId="6D603BFA" w14:textId="77777777">
      <w:pPr>
        <w:pStyle w:val="FootnoteText"/>
      </w:pPr>
      <w:r>
        <w:rPr>
          <w:rStyle w:val="FootnoteReference"/>
        </w:rPr>
        <w:footnoteRef/>
      </w:r>
      <w:r>
        <w:t xml:space="preserve"> </w:t>
      </w:r>
      <w:r w:rsidRPr="00602D91" w:rsidR="00602D91">
        <w:rPr>
          <w:i/>
        </w:rPr>
        <w:t>Connect America Fund et al.</w:t>
      </w:r>
      <w:r w:rsidRPr="00602D91" w:rsidR="00602D91">
        <w:t>, WC Docket No. 10-90 et al., Report and Order and Further Notice of Proposed Rulemaking, 26 FCC Rcd 17663 (2011)</w:t>
      </w:r>
      <w:r w:rsidR="00E628B4">
        <w:t xml:space="preserve"> (</w:t>
      </w:r>
      <w:r w:rsidR="00CA16D5">
        <w:rPr>
          <w:i/>
        </w:rPr>
        <w:t>USF</w:t>
      </w:r>
      <w:r w:rsidR="00E628B4">
        <w:rPr>
          <w:i/>
        </w:rPr>
        <w:t>/ICC Transformation Order</w:t>
      </w:r>
      <w:r w:rsidR="00E628B4">
        <w:t>)</w:t>
      </w:r>
      <w:r w:rsidRPr="00602D91" w:rsidR="00602D91">
        <w:t xml:space="preserve">, </w:t>
      </w:r>
      <w:r w:rsidRPr="00602D91" w:rsidR="00602D91">
        <w:rPr>
          <w:i/>
        </w:rPr>
        <w:t>pets. for review denied sub nom. In re: FCC 11-161</w:t>
      </w:r>
      <w:r w:rsidRPr="00602D91" w:rsidR="00602D91">
        <w:t>, 753 F.3d 1015 (10</w:t>
      </w:r>
      <w:r w:rsidRPr="00602D91" w:rsidR="00602D91">
        <w:rPr>
          <w:vertAlign w:val="superscript"/>
        </w:rPr>
        <w:t>th</w:t>
      </w:r>
      <w:r w:rsidR="00B03ACB">
        <w:t xml:space="preserve"> Cir. 2014); </w:t>
      </w:r>
      <w:r w:rsidR="00602D91">
        <w:t xml:space="preserve">47 CFR </w:t>
      </w:r>
      <w:r w:rsidR="0020340B">
        <w:t>§ 51.917(f)</w:t>
      </w:r>
      <w:r>
        <w:t>.</w:t>
      </w:r>
    </w:p>
  </w:footnote>
  <w:footnote w:id="6">
    <w:p w:rsidR="00893C65" w:rsidP="00893C65" w14:paraId="1FE9D23E" w14:textId="77777777">
      <w:pPr>
        <w:pStyle w:val="FootnoteText"/>
      </w:pPr>
      <w:r>
        <w:rPr>
          <w:rStyle w:val="FootnoteReference"/>
        </w:rPr>
        <w:footnoteRef/>
      </w:r>
      <w:r>
        <w:t xml:space="preserve"> </w:t>
      </w:r>
      <w:r>
        <w:rPr>
          <w:i/>
        </w:rPr>
        <w:t>Rate-of-Return Reform Order</w:t>
      </w:r>
      <w:r>
        <w:t xml:space="preserve">, 31 FCC Rcd at 3089, para. 1; </w:t>
      </w:r>
      <w:r w:rsidRPr="00504877">
        <w:t>47 U.S.C. § 254(b)(3).</w:t>
      </w:r>
    </w:p>
  </w:footnote>
  <w:footnote w:id="7">
    <w:p w:rsidR="00916D08" w14:paraId="68336811" w14:textId="77777777">
      <w:pPr>
        <w:pStyle w:val="FootnoteText"/>
      </w:pPr>
      <w:r>
        <w:rPr>
          <w:rStyle w:val="FootnoteReference"/>
        </w:rPr>
        <w:footnoteRef/>
      </w:r>
      <w:r>
        <w:t xml:space="preserve"> </w:t>
      </w:r>
      <w:r w:rsidRPr="0003255E">
        <w:rPr>
          <w:i/>
        </w:rPr>
        <w:t>See</w:t>
      </w:r>
      <w:r w:rsidR="0095091D">
        <w:rPr>
          <w:i/>
        </w:rPr>
        <w:t xml:space="preserve"> generally</w:t>
      </w:r>
      <w:r w:rsidRPr="0003255E">
        <w:rPr>
          <w:i/>
        </w:rPr>
        <w:t xml:space="preserve"> </w:t>
      </w:r>
      <w:r w:rsidRPr="00B66940">
        <w:rPr>
          <w:i/>
        </w:rPr>
        <w:t>Rate-of-Return Reform Order</w:t>
      </w:r>
      <w:r w:rsidR="0095091D">
        <w:t>, 31 FCC Rcd at 3087</w:t>
      </w:r>
      <w:r w:rsidR="00DA1B21">
        <w:t>.</w:t>
      </w:r>
    </w:p>
  </w:footnote>
  <w:footnote w:id="8">
    <w:p w:rsidR="00916D08" w14:paraId="172C4253" w14:textId="77777777">
      <w:pPr>
        <w:pStyle w:val="FootnoteText"/>
      </w:pPr>
      <w:r>
        <w:rPr>
          <w:rStyle w:val="FootnoteReference"/>
        </w:rPr>
        <w:footnoteRef/>
      </w:r>
      <w:r>
        <w:t xml:space="preserve"> </w:t>
      </w:r>
      <w:r w:rsidRPr="0003255E">
        <w:rPr>
          <w:i/>
        </w:rPr>
        <w:t xml:space="preserve">See </w:t>
      </w:r>
      <w:r w:rsidR="0095091D">
        <w:rPr>
          <w:i/>
        </w:rPr>
        <w:t>id.</w:t>
      </w:r>
      <w:r w:rsidRPr="00504877">
        <w:t xml:space="preserve"> at 3094-117, paras. 17-79.</w:t>
      </w:r>
    </w:p>
  </w:footnote>
  <w:footnote w:id="9">
    <w:p w:rsidR="00916D08" w14:paraId="17F91E15" w14:textId="77777777">
      <w:pPr>
        <w:pStyle w:val="FootnoteText"/>
      </w:pPr>
      <w:r>
        <w:rPr>
          <w:rStyle w:val="FootnoteReference"/>
        </w:rPr>
        <w:footnoteRef/>
      </w:r>
      <w:r>
        <w:t xml:space="preserve"> </w:t>
      </w:r>
      <w:r w:rsidRPr="0003255E">
        <w:rPr>
          <w:i/>
        </w:rPr>
        <w:t xml:space="preserve">See </w:t>
      </w:r>
      <w:r w:rsidR="00F42B5C">
        <w:rPr>
          <w:i/>
        </w:rPr>
        <w:t>id.</w:t>
      </w:r>
      <w:r w:rsidRPr="00504877">
        <w:t xml:space="preserve"> at 3117-</w:t>
      </w:r>
      <w:r w:rsidR="00C6387B">
        <w:t>5</w:t>
      </w:r>
      <w:r w:rsidRPr="00504877">
        <w:t>7, paras. 80-187.</w:t>
      </w:r>
    </w:p>
  </w:footnote>
  <w:footnote w:id="10">
    <w:p w:rsidR="00916D08" w14:paraId="4B03BA62" w14:textId="77777777">
      <w:pPr>
        <w:pStyle w:val="FootnoteText"/>
      </w:pPr>
      <w:r>
        <w:rPr>
          <w:rStyle w:val="FootnoteReference"/>
        </w:rPr>
        <w:footnoteRef/>
      </w:r>
      <w:r>
        <w:t xml:space="preserve"> </w:t>
      </w:r>
      <w:r w:rsidR="00C443DB">
        <w:rPr>
          <w:i/>
        </w:rPr>
        <w:t>I</w:t>
      </w:r>
      <w:r w:rsidR="00044AA2">
        <w:rPr>
          <w:i/>
        </w:rPr>
        <w:t>d.</w:t>
      </w:r>
      <w:r w:rsidR="00DA1B21">
        <w:t xml:space="preserve"> at 3158-59, paras. 190-91.</w:t>
      </w:r>
    </w:p>
  </w:footnote>
  <w:footnote w:id="11">
    <w:p w:rsidR="00DA1B21" w14:paraId="691228A0" w14:textId="77777777">
      <w:pPr>
        <w:pStyle w:val="FootnoteText"/>
      </w:pPr>
      <w:r>
        <w:rPr>
          <w:rStyle w:val="FootnoteReference"/>
        </w:rPr>
        <w:footnoteRef/>
      </w:r>
      <w:r>
        <w:t xml:space="preserve"> </w:t>
      </w:r>
      <w:r>
        <w:rPr>
          <w:i/>
        </w:rPr>
        <w:t>Id.</w:t>
      </w:r>
    </w:p>
  </w:footnote>
  <w:footnote w:id="12">
    <w:p w:rsidR="00916D08" w14:paraId="78AD78F5" w14:textId="77777777">
      <w:pPr>
        <w:pStyle w:val="FootnoteText"/>
      </w:pPr>
      <w:r>
        <w:rPr>
          <w:rStyle w:val="FootnoteReference"/>
        </w:rPr>
        <w:footnoteRef/>
      </w:r>
      <w:r>
        <w:t xml:space="preserve"> </w:t>
      </w:r>
      <w:r w:rsidR="00044AA2">
        <w:rPr>
          <w:i/>
        </w:rPr>
        <w:t>Id.</w:t>
      </w:r>
    </w:p>
  </w:footnote>
  <w:footnote w:id="13">
    <w:p w:rsidR="00916D08" w14:paraId="3206525B" w14:textId="77777777">
      <w:pPr>
        <w:pStyle w:val="FootnoteText"/>
      </w:pPr>
      <w:r>
        <w:rPr>
          <w:rStyle w:val="FootnoteReference"/>
        </w:rPr>
        <w:footnoteRef/>
      </w:r>
      <w:r>
        <w:t xml:space="preserve"> </w:t>
      </w:r>
      <w:r w:rsidR="00DA1B21">
        <w:rPr>
          <w:i/>
        </w:rPr>
        <w:t>Id.</w:t>
      </w:r>
      <w:r w:rsidRPr="001A1877" w:rsidR="00DA1B21">
        <w:t xml:space="preserve"> </w:t>
      </w:r>
      <w:r w:rsidR="00DA1B21">
        <w:t>at 3158-59, p</w:t>
      </w:r>
      <w:r w:rsidRPr="00F36A75" w:rsidR="00DA1B21">
        <w:t>ara</w:t>
      </w:r>
      <w:r w:rsidR="00DA1B21">
        <w:t xml:space="preserve">. 191; </w:t>
      </w:r>
      <w:r w:rsidRPr="00504877">
        <w:t xml:space="preserve">47 CFR </w:t>
      </w:r>
      <w:r>
        <w:t xml:space="preserve">§§ </w:t>
      </w:r>
      <w:r w:rsidRPr="00504877">
        <w:t>69.311, 69.416.</w:t>
      </w:r>
      <w:r w:rsidR="00C16ECF">
        <w:t xml:space="preserve">  </w:t>
      </w:r>
      <w:r w:rsidRPr="00504877" w:rsidR="00C16ECF">
        <w:rPr>
          <w:szCs w:val="22"/>
        </w:rPr>
        <w:t>The costs shifted to the CBOL category are also an input into the amount of CAF BLS a carrier is eligible to receive</w:t>
      </w:r>
      <w:r w:rsidR="00C16ECF">
        <w:rPr>
          <w:szCs w:val="22"/>
        </w:rPr>
        <w:t xml:space="preserve">. </w:t>
      </w:r>
      <w:r w:rsidRPr="00504877" w:rsidR="00C16ECF">
        <w:t xml:space="preserve">47 CFR </w:t>
      </w:r>
      <w:r w:rsidR="00C16ECF">
        <w:t>§ 54.901</w:t>
      </w:r>
      <w:r w:rsidR="00C6387B">
        <w:t>(a)</w:t>
      </w:r>
      <w:r w:rsidR="00C16ECF">
        <w:t>.</w:t>
      </w:r>
    </w:p>
  </w:footnote>
  <w:footnote w:id="14">
    <w:p w:rsidR="00E3350E" w:rsidRPr="00EC687D" w:rsidP="00E3350E" w14:paraId="37923092" w14:textId="04983EBC">
      <w:pPr>
        <w:pStyle w:val="FootnoteText"/>
      </w:pPr>
      <w:r w:rsidRPr="00EC687D">
        <w:rPr>
          <w:rStyle w:val="FootnoteReference"/>
        </w:rPr>
        <w:footnoteRef/>
      </w:r>
      <w:r w:rsidRPr="00EC687D">
        <w:t xml:space="preserve"> The costs remaining in the </w:t>
      </w:r>
      <w:r w:rsidR="00A45D98">
        <w:t>S</w:t>
      </w:r>
      <w:r w:rsidRPr="00EC687D">
        <w:t xml:space="preserve">pecial </w:t>
      </w:r>
      <w:r w:rsidR="00A45D98">
        <w:t>A</w:t>
      </w:r>
      <w:r w:rsidRPr="00EC687D">
        <w:t>ccess category include those related to business services, such as DS1 and DS3</w:t>
      </w:r>
      <w:r w:rsidR="00FA3EFF">
        <w:t>,</w:t>
      </w:r>
      <w:r w:rsidRPr="00EC687D">
        <w:t xml:space="preserve"> other wide-ba</w:t>
      </w:r>
      <w:r>
        <w:t>nd services, and the costs for Digital Subscriber L</w:t>
      </w:r>
      <w:r w:rsidRPr="00EC687D">
        <w:t>ine (DSL) service that could be tariffed.</w:t>
      </w:r>
    </w:p>
  </w:footnote>
  <w:footnote w:id="15">
    <w:p w:rsidR="00E3350E" w:rsidP="00E3350E" w14:paraId="7E5E1DC3" w14:textId="77777777">
      <w:pPr>
        <w:pStyle w:val="FootnoteText"/>
      </w:pPr>
      <w:r>
        <w:rPr>
          <w:rStyle w:val="FootnoteReference"/>
        </w:rPr>
        <w:footnoteRef/>
      </w:r>
      <w:r>
        <w:t xml:space="preserve"> </w:t>
      </w:r>
      <w:r w:rsidRPr="00652F46">
        <w:rPr>
          <w:i/>
        </w:rPr>
        <w:t>Rate-of-Return Reform Order</w:t>
      </w:r>
      <w:r w:rsidRPr="001A1877">
        <w:t xml:space="preserve">, 31 FCC Rcd </w:t>
      </w:r>
      <w:r>
        <w:t>at 3158-59, p</w:t>
      </w:r>
      <w:r w:rsidRPr="00F36A75">
        <w:t>ara</w:t>
      </w:r>
      <w:r>
        <w:t>. 191.</w:t>
      </w:r>
    </w:p>
  </w:footnote>
  <w:footnote w:id="16">
    <w:p w:rsidR="002F0D0E" w:rsidP="002F0D0E" w14:paraId="7BA8C20A" w14:textId="77777777">
      <w:pPr>
        <w:pStyle w:val="FootnoteText"/>
      </w:pPr>
      <w:r>
        <w:rPr>
          <w:rStyle w:val="FootnoteReference"/>
        </w:rPr>
        <w:footnoteRef/>
      </w:r>
      <w:r>
        <w:t xml:space="preserve"> </w:t>
      </w:r>
      <w:r w:rsidR="00A45FA9">
        <w:rPr>
          <w:i/>
        </w:rPr>
        <w:t>Id.</w:t>
      </w:r>
      <w:r>
        <w:t xml:space="preserve"> at 3158, n.423.</w:t>
      </w:r>
    </w:p>
  </w:footnote>
  <w:footnote w:id="17">
    <w:p w:rsidR="00BD59FA" w:rsidP="00BD59FA" w14:paraId="1428F1BF" w14:textId="77777777">
      <w:pPr>
        <w:pStyle w:val="FootnoteText"/>
      </w:pPr>
      <w:r>
        <w:rPr>
          <w:rStyle w:val="FootnoteReference"/>
        </w:rPr>
        <w:footnoteRef/>
      </w:r>
      <w:r>
        <w:t xml:space="preserve"> </w:t>
      </w:r>
      <w:r w:rsidRPr="00305017">
        <w:rPr>
          <w:i/>
        </w:rPr>
        <w:t xml:space="preserve">Connect America Fund et al., </w:t>
      </w:r>
      <w:r>
        <w:t xml:space="preserve">WC Docket No. 10-90 </w:t>
      </w:r>
      <w:r w:rsidRPr="001E5B48">
        <w:rPr>
          <w:i/>
        </w:rPr>
        <w:t>et al.</w:t>
      </w:r>
      <w:r>
        <w:t>, Order, 31 FCC Rcd 13153, 13154, para. 5 (WCB 2016) (</w:t>
      </w:r>
      <w:r>
        <w:rPr>
          <w:i/>
        </w:rPr>
        <w:t>Cost Surrogate Waiver Order</w:t>
      </w:r>
      <w:r>
        <w:t xml:space="preserve">).  </w:t>
      </w:r>
      <w:r>
        <w:rPr>
          <w:color w:val="000000"/>
          <w:szCs w:val="22"/>
        </w:rPr>
        <w:t xml:space="preserve">The resulting </w:t>
      </w:r>
      <w:r w:rsidR="0021493B">
        <w:rPr>
          <w:color w:val="000000"/>
          <w:szCs w:val="22"/>
        </w:rPr>
        <w:t>special access</w:t>
      </w:r>
      <w:r>
        <w:rPr>
          <w:color w:val="000000"/>
          <w:szCs w:val="22"/>
        </w:rPr>
        <w:t xml:space="preserve"> service rates would likely be unreasonably low until the Commission revisit</w:t>
      </w:r>
      <w:r w:rsidR="00FA3EFF">
        <w:rPr>
          <w:color w:val="000000"/>
          <w:szCs w:val="22"/>
        </w:rPr>
        <w:t>ed</w:t>
      </w:r>
      <w:r>
        <w:rPr>
          <w:color w:val="000000"/>
          <w:szCs w:val="22"/>
        </w:rPr>
        <w:t xml:space="preserve"> the allocation methodology and, when the costs in the Special Access category </w:t>
      </w:r>
      <w:r w:rsidR="00FA3EFF">
        <w:rPr>
          <w:color w:val="000000"/>
          <w:szCs w:val="22"/>
        </w:rPr>
        <w:t>increased</w:t>
      </w:r>
      <w:r>
        <w:rPr>
          <w:color w:val="000000"/>
          <w:szCs w:val="22"/>
        </w:rPr>
        <w:t xml:space="preserve">, there would be a consequent spike in these rates.  </w:t>
      </w:r>
      <w:r w:rsidRPr="00473B3B">
        <w:rPr>
          <w:i/>
          <w:color w:val="000000"/>
          <w:szCs w:val="22"/>
        </w:rPr>
        <w:t>Id</w:t>
      </w:r>
      <w:r>
        <w:rPr>
          <w:color w:val="000000"/>
          <w:szCs w:val="22"/>
        </w:rPr>
        <w:t>.</w:t>
      </w:r>
    </w:p>
  </w:footnote>
  <w:footnote w:id="18">
    <w:p w:rsidR="00BD59FA" w:rsidP="00BD59FA" w14:paraId="01CEE676" w14:textId="20D593B1">
      <w:pPr>
        <w:pStyle w:val="FootnoteText"/>
      </w:pPr>
      <w:r>
        <w:rPr>
          <w:rStyle w:val="FootnoteReference"/>
        </w:rPr>
        <w:footnoteRef/>
      </w:r>
      <w:r>
        <w:t xml:space="preserve"> </w:t>
      </w:r>
      <w:r>
        <w:rPr>
          <w:i/>
        </w:rPr>
        <w:t>Cost Surrogate Waiver Order</w:t>
      </w:r>
      <w:r w:rsidR="003D22E0">
        <w:t>, 31 FCC Rcd at 13154-55, paras. 5-6</w:t>
      </w:r>
      <w:r>
        <w:rPr>
          <w:i/>
        </w:rPr>
        <w:t xml:space="preserve">.  </w:t>
      </w:r>
      <w:r>
        <w:t>In certain circumstances, rate-of-return carriers had the option to</w:t>
      </w:r>
      <w:r w:rsidRPr="00504877">
        <w:t xml:space="preserve"> limit the level of costs subtracted from the Special Access category to the amount only affecting broadband transmission rates</w:t>
      </w:r>
      <w:r>
        <w:t>.</w:t>
      </w:r>
      <w:r>
        <w:rPr>
          <w:szCs w:val="22"/>
        </w:rPr>
        <w:t xml:space="preserve">  </w:t>
      </w:r>
      <w:r>
        <w:rPr>
          <w:i/>
          <w:szCs w:val="22"/>
        </w:rPr>
        <w:t>Id.</w:t>
      </w:r>
      <w:r>
        <w:rPr>
          <w:szCs w:val="22"/>
        </w:rPr>
        <w:t xml:space="preserve"> at 13155, para. 6.</w:t>
      </w:r>
    </w:p>
  </w:footnote>
  <w:footnote w:id="19">
    <w:p w:rsidR="00BD59FA" w:rsidP="00BD59FA" w14:paraId="796BE793" w14:textId="77777777">
      <w:pPr>
        <w:pStyle w:val="FootnoteText"/>
      </w:pPr>
      <w:r>
        <w:rPr>
          <w:rStyle w:val="FootnoteReference"/>
        </w:rPr>
        <w:footnoteRef/>
      </w:r>
      <w:r>
        <w:t xml:space="preserve"> </w:t>
      </w:r>
      <w:r w:rsidRPr="00305017">
        <w:rPr>
          <w:i/>
        </w:rPr>
        <w:t xml:space="preserve">Connect America Fund et al., </w:t>
      </w:r>
      <w:r>
        <w:t xml:space="preserve">WC Docket No. 10-90 </w:t>
      </w:r>
      <w:r w:rsidRPr="001E5B48">
        <w:rPr>
          <w:i/>
        </w:rPr>
        <w:t>et al.</w:t>
      </w:r>
      <w:r>
        <w:t xml:space="preserve">, </w:t>
      </w:r>
      <w:r w:rsidRPr="004426D4">
        <w:t>Second Cost Surrogate Waiver Order</w:t>
      </w:r>
      <w:r>
        <w:t>, 32 FCC Rcd 1953 (WCB 2017) (</w:t>
      </w:r>
      <w:r>
        <w:rPr>
          <w:i/>
        </w:rPr>
        <w:t>Second Cost Surrogate Waiver Order</w:t>
      </w:r>
      <w:r>
        <w:t>).</w:t>
      </w:r>
    </w:p>
  </w:footnote>
  <w:footnote w:id="20">
    <w:p w:rsidR="00916D08" w14:paraId="3B9FE0C6" w14:textId="77777777">
      <w:pPr>
        <w:pStyle w:val="FootnoteText"/>
      </w:pPr>
      <w:r>
        <w:rPr>
          <w:rStyle w:val="FootnoteReference"/>
        </w:rPr>
        <w:footnoteRef/>
      </w:r>
      <w:r>
        <w:t xml:space="preserve"> </w:t>
      </w:r>
      <w:r w:rsidRPr="00652F46" w:rsidR="007538FC">
        <w:rPr>
          <w:i/>
        </w:rPr>
        <w:t>Rate-of-Return Reform Order</w:t>
      </w:r>
      <w:r w:rsidR="007538FC">
        <w:t>, 31 FCC Rcd</w:t>
      </w:r>
      <w:r>
        <w:t xml:space="preserve"> at 3161-62, para. </w:t>
      </w:r>
      <w:r w:rsidR="00FC01D6">
        <w:t>2</w:t>
      </w:r>
      <w:r>
        <w:t>03; 47 CFR § 51.917(f)(4).</w:t>
      </w:r>
    </w:p>
  </w:footnote>
  <w:footnote w:id="21">
    <w:p w:rsidR="00FC01D6" w14:paraId="7F7EEBC2" w14:textId="5FAB6B77">
      <w:pPr>
        <w:pStyle w:val="FootnoteText"/>
      </w:pPr>
      <w:r>
        <w:rPr>
          <w:rStyle w:val="FootnoteReference"/>
        </w:rPr>
        <w:footnoteRef/>
      </w:r>
      <w:r>
        <w:t xml:space="preserve"> </w:t>
      </w:r>
      <w:r w:rsidRPr="00652F46" w:rsidR="00214C04">
        <w:rPr>
          <w:i/>
        </w:rPr>
        <w:t>Rate-of-Return Reform Order</w:t>
      </w:r>
      <w:r w:rsidRPr="001A1877" w:rsidR="00214C04">
        <w:t>, 31 FCC Rcd</w:t>
      </w:r>
      <w:r w:rsidR="00620179">
        <w:t xml:space="preserve"> at </w:t>
      </w:r>
      <w:r>
        <w:t>3161-62, para. 203.</w:t>
      </w:r>
    </w:p>
  </w:footnote>
  <w:footnote w:id="22">
    <w:p w:rsidR="00FC01D6" w14:paraId="43277DE4" w14:textId="77777777">
      <w:pPr>
        <w:pStyle w:val="FootnoteText"/>
      </w:pPr>
      <w:r>
        <w:rPr>
          <w:rStyle w:val="FootnoteReference"/>
        </w:rPr>
        <w:footnoteRef/>
      </w:r>
      <w:r>
        <w:t xml:space="preserve"> </w:t>
      </w:r>
      <w:r w:rsidRPr="00D670AC">
        <w:rPr>
          <w:i/>
        </w:rPr>
        <w:t>Id</w:t>
      </w:r>
      <w:r>
        <w:t>.</w:t>
      </w:r>
    </w:p>
  </w:footnote>
  <w:footnote w:id="23">
    <w:p w:rsidR="00916D08" w14:paraId="5D157CF3" w14:textId="77777777">
      <w:pPr>
        <w:pStyle w:val="FootnoteText"/>
      </w:pPr>
      <w:r>
        <w:rPr>
          <w:rStyle w:val="FootnoteReference"/>
        </w:rPr>
        <w:footnoteRef/>
      </w:r>
      <w:r>
        <w:t xml:space="preserve"> </w:t>
      </w:r>
      <w:r w:rsidR="00A45FA9">
        <w:rPr>
          <w:i/>
        </w:rPr>
        <w:t>Id.</w:t>
      </w:r>
      <w:r w:rsidR="00C55346">
        <w:t xml:space="preserve"> at 3162, para. 2</w:t>
      </w:r>
      <w:r>
        <w:t>03.</w:t>
      </w:r>
    </w:p>
  </w:footnote>
  <w:footnote w:id="24">
    <w:p w:rsidR="00DA639C" w:rsidP="00DA639C" w14:paraId="1C67706A" w14:textId="77777777">
      <w:pPr>
        <w:pStyle w:val="FootnoteText"/>
      </w:pPr>
      <w:r>
        <w:rPr>
          <w:rStyle w:val="FootnoteReference"/>
        </w:rPr>
        <w:footnoteRef/>
      </w:r>
      <w:r>
        <w:t xml:space="preserve"> </w:t>
      </w:r>
      <w:r w:rsidRPr="0096268F">
        <w:rPr>
          <w:i/>
        </w:rPr>
        <w:t xml:space="preserve">See </w:t>
      </w:r>
      <w:r>
        <w:t xml:space="preserve">Petition </w:t>
      </w:r>
      <w:r w:rsidR="00E028E8">
        <w:t>f</w:t>
      </w:r>
      <w:r>
        <w:t>or Reconsideration and/or Clarification of NTCA–The Rural Broadband Association, WC Docket No. 10-90, et al. (filed May 25, 2016) (NTCA Petition).</w:t>
      </w:r>
      <w:r w:rsidR="00E028E8">
        <w:t xml:space="preserve">  Issues raised in the NTCA Petition that are not addressed in this Order remain pending.</w:t>
      </w:r>
    </w:p>
  </w:footnote>
  <w:footnote w:id="25">
    <w:p w:rsidR="00DA639C" w:rsidP="00DA639C" w14:paraId="475048D5" w14:textId="77777777">
      <w:pPr>
        <w:pStyle w:val="FootnoteText"/>
      </w:pPr>
      <w:r>
        <w:rPr>
          <w:rStyle w:val="FootnoteReference"/>
        </w:rPr>
        <w:footnoteRef/>
      </w:r>
      <w:r>
        <w:t xml:space="preserve"> </w:t>
      </w:r>
      <w:r w:rsidRPr="0096268F">
        <w:rPr>
          <w:i/>
        </w:rPr>
        <w:t>Id</w:t>
      </w:r>
      <w:r w:rsidR="00EA4759">
        <w:rPr>
          <w:i/>
        </w:rPr>
        <w:t>.</w:t>
      </w:r>
      <w:r>
        <w:t xml:space="preserve"> at 9, n. 18.</w:t>
      </w:r>
    </w:p>
  </w:footnote>
  <w:footnote w:id="26">
    <w:p w:rsidR="00DA639C" w:rsidP="00DA639C" w14:paraId="6E06E14D" w14:textId="77777777">
      <w:pPr>
        <w:pStyle w:val="FootnoteText"/>
      </w:pPr>
      <w:r>
        <w:rPr>
          <w:rStyle w:val="FootnoteReference"/>
        </w:rPr>
        <w:footnoteRef/>
      </w:r>
      <w:r>
        <w:t xml:space="preserve"> </w:t>
      </w:r>
      <w:r w:rsidRPr="0096268F">
        <w:rPr>
          <w:i/>
        </w:rPr>
        <w:t>See</w:t>
      </w:r>
      <w:r>
        <w:t xml:space="preserve"> </w:t>
      </w:r>
      <w:r w:rsidRPr="0096268F">
        <w:rPr>
          <w:i/>
        </w:rPr>
        <w:t>id</w:t>
      </w:r>
      <w:r>
        <w:t>. at 23.</w:t>
      </w:r>
    </w:p>
  </w:footnote>
  <w:footnote w:id="27">
    <w:p w:rsidR="00BD407B" w:rsidP="00BD407B" w14:paraId="478B952F" w14:textId="77777777">
      <w:pPr>
        <w:pStyle w:val="FootnoteText"/>
      </w:pPr>
      <w:r>
        <w:rPr>
          <w:rStyle w:val="FootnoteReference"/>
        </w:rPr>
        <w:footnoteRef/>
      </w:r>
      <w:r>
        <w:t xml:space="preserve"> </w:t>
      </w:r>
      <w:r w:rsidRPr="004F0320">
        <w:rPr>
          <w:i/>
        </w:rPr>
        <w:t xml:space="preserve">Rate-of-Return </w:t>
      </w:r>
      <w:r>
        <w:rPr>
          <w:i/>
        </w:rPr>
        <w:t xml:space="preserve">Reform </w:t>
      </w:r>
      <w:r w:rsidRPr="004F0320">
        <w:rPr>
          <w:i/>
        </w:rPr>
        <w:t>Order</w:t>
      </w:r>
      <w:r w:rsidRPr="004F0320">
        <w:t>, 31 FCC Rcd at 3131-42, paras. 116-45.</w:t>
      </w:r>
    </w:p>
  </w:footnote>
  <w:footnote w:id="28">
    <w:p w:rsidR="00BD407B" w:rsidP="00BD407B" w14:paraId="50E70025" w14:textId="77777777">
      <w:pPr>
        <w:pStyle w:val="FootnoteText"/>
      </w:pPr>
      <w:r>
        <w:rPr>
          <w:rStyle w:val="FootnoteReference"/>
        </w:rPr>
        <w:footnoteRef/>
      </w:r>
      <w:r>
        <w:t xml:space="preserve"> </w:t>
      </w:r>
      <w:r w:rsidRPr="004F0320">
        <w:rPr>
          <w:i/>
        </w:rPr>
        <w:t>Id.</w:t>
      </w:r>
      <w:r w:rsidRPr="004F0320">
        <w:t xml:space="preserve"> at 3139-40, para. 138.</w:t>
      </w:r>
    </w:p>
  </w:footnote>
  <w:footnote w:id="29">
    <w:p w:rsidR="00BD407B" w:rsidP="00BD407B" w14:paraId="48FD5DA3" w14:textId="77777777">
      <w:pPr>
        <w:pStyle w:val="FootnoteText"/>
      </w:pPr>
      <w:r>
        <w:rPr>
          <w:rStyle w:val="FootnoteReference"/>
        </w:rPr>
        <w:footnoteRef/>
      </w:r>
      <w:r>
        <w:t xml:space="preserve"> </w:t>
      </w:r>
      <w:r w:rsidRPr="004F0320">
        <w:rPr>
          <w:i/>
        </w:rPr>
        <w:t>Id.</w:t>
      </w:r>
      <w:r w:rsidRPr="004F0320">
        <w:t xml:space="preserve"> at 3139-42, paras. 138-44.</w:t>
      </w:r>
    </w:p>
  </w:footnote>
  <w:footnote w:id="30">
    <w:p w:rsidR="00BD407B" w:rsidP="00BD407B" w14:paraId="3AFE1A05" w14:textId="77777777">
      <w:pPr>
        <w:pStyle w:val="FootnoteText"/>
      </w:pPr>
      <w:r>
        <w:rPr>
          <w:rStyle w:val="FootnoteReference"/>
        </w:rPr>
        <w:footnoteRef/>
      </w:r>
      <w:r>
        <w:t xml:space="preserve"> </w:t>
      </w:r>
      <w:r w:rsidRPr="004F0320">
        <w:rPr>
          <w:i/>
        </w:rPr>
        <w:t>Id.</w:t>
      </w:r>
      <w:r w:rsidRPr="004F0320">
        <w:t xml:space="preserve"> at 3142, para. 145.</w:t>
      </w:r>
    </w:p>
  </w:footnote>
  <w:footnote w:id="31">
    <w:p w:rsidR="004F71DC" w14:paraId="4FD933BE" w14:textId="77777777">
      <w:pPr>
        <w:pStyle w:val="FootnoteText"/>
      </w:pPr>
      <w:r>
        <w:rPr>
          <w:rStyle w:val="FootnoteReference"/>
        </w:rPr>
        <w:footnoteRef/>
      </w:r>
      <w:r>
        <w:t xml:space="preserve"> </w:t>
      </w:r>
      <w:r w:rsidRPr="004F71DC">
        <w:rPr>
          <w:i/>
        </w:rPr>
        <w:t>Rate-of-Return Reform Order</w:t>
      </w:r>
      <w:r w:rsidRPr="004F71DC">
        <w:t xml:space="preserve">, 31 FCC Rcd at </w:t>
      </w:r>
      <w:r>
        <w:t>3094</w:t>
      </w:r>
      <w:r w:rsidRPr="004F71DC">
        <w:t xml:space="preserve">, para. </w:t>
      </w:r>
      <w:r>
        <w:t>12</w:t>
      </w:r>
      <w:r w:rsidR="00677EE8">
        <w:t xml:space="preserve">; and </w:t>
      </w:r>
      <w:r w:rsidRPr="004F71DC">
        <w:t>47 U.S.C. § 254(b)(</w:t>
      </w:r>
      <w:r w:rsidR="00677EE8">
        <w:t>2</w:t>
      </w:r>
      <w:r w:rsidRPr="004F71DC">
        <w:t>).</w:t>
      </w:r>
    </w:p>
  </w:footnote>
  <w:footnote w:id="32">
    <w:p w:rsidR="00932EF8" w14:paraId="5AA2E52D" w14:textId="77777777">
      <w:pPr>
        <w:pStyle w:val="FootnoteText"/>
      </w:pPr>
      <w:r>
        <w:rPr>
          <w:rStyle w:val="FootnoteReference"/>
        </w:rPr>
        <w:footnoteRef/>
      </w:r>
      <w:r>
        <w:t xml:space="preserve"> </w:t>
      </w:r>
      <w:r w:rsidR="001E7FEF">
        <w:rPr>
          <w:i/>
        </w:rPr>
        <w:t>Cost Surrogate Waiver Order</w:t>
      </w:r>
      <w:r w:rsidR="001E7FEF">
        <w:t xml:space="preserve">, 31 FCC Rcd at 13154, para. 5; </w:t>
      </w:r>
      <w:r w:rsidR="001E7FEF">
        <w:rPr>
          <w:i/>
        </w:rPr>
        <w:t>Second Cost Surrogate Waiver Order</w:t>
      </w:r>
      <w:r w:rsidR="001E7FEF">
        <w:t>, 32 FCC Rcd at 1954-55, paras. 6-7.</w:t>
      </w:r>
    </w:p>
  </w:footnote>
  <w:footnote w:id="33">
    <w:p w:rsidR="00916D08" w14:paraId="363ED16E" w14:textId="790EF6CD">
      <w:pPr>
        <w:pStyle w:val="FootnoteText"/>
      </w:pPr>
      <w:r>
        <w:rPr>
          <w:rStyle w:val="FootnoteReference"/>
        </w:rPr>
        <w:footnoteRef/>
      </w:r>
      <w:r>
        <w:t xml:space="preserve"> </w:t>
      </w:r>
      <w:r w:rsidR="00620179">
        <w:t xml:space="preserve">Issues relating to the separations </w:t>
      </w:r>
      <w:r w:rsidR="00A7029A">
        <w:t xml:space="preserve">freeze </w:t>
      </w:r>
      <w:r w:rsidR="00620179">
        <w:t xml:space="preserve">are before the Federal-State Joint Board on Jurisdictional Separations.  </w:t>
      </w:r>
      <w:r w:rsidRPr="00DC78A9" w:rsidR="00620179">
        <w:rPr>
          <w:i/>
        </w:rPr>
        <w:t>See</w:t>
      </w:r>
      <w:r w:rsidR="00620179">
        <w:t xml:space="preserve"> </w:t>
      </w:r>
      <w:r w:rsidRPr="005F536C" w:rsidR="00620179">
        <w:rPr>
          <w:i/>
        </w:rPr>
        <w:t>Federal-State Joint Board on Jurisdictional Separations Seeks to Refresh Record on Issues Related to Jurisdictional Separations</w:t>
      </w:r>
      <w:r w:rsidRPr="009D5890" w:rsidR="00620179">
        <w:t xml:space="preserve">, WC Docket No. </w:t>
      </w:r>
      <w:r w:rsidR="00620179">
        <w:t>80-286</w:t>
      </w:r>
      <w:r w:rsidRPr="009D5890" w:rsidR="00620179">
        <w:t xml:space="preserve">, </w:t>
      </w:r>
      <w:r w:rsidRPr="00A04237" w:rsidR="00620179">
        <w:t>Public Notic</w:t>
      </w:r>
      <w:r w:rsidRPr="00DC78A9" w:rsidR="00620179">
        <w:t xml:space="preserve">e, </w:t>
      </w:r>
      <w:r w:rsidR="00620179">
        <w:t>32 FCC Rcd 3234 (2017) (</w:t>
      </w:r>
      <w:r w:rsidR="00620179">
        <w:rPr>
          <w:i/>
        </w:rPr>
        <w:t>Separations Record Refresh Public Notice</w:t>
      </w:r>
      <w:r w:rsidR="00620179">
        <w:t xml:space="preserve">).  Therefore, </w:t>
      </w:r>
      <w:r w:rsidR="00A7029A">
        <w:t xml:space="preserve">such </w:t>
      </w:r>
      <w:r w:rsidR="00620179">
        <w:t>issues not addressed by this Order.</w:t>
      </w:r>
    </w:p>
  </w:footnote>
  <w:footnote w:id="34">
    <w:p w:rsidR="00FE6BD7" w14:paraId="22F539E3" w14:textId="77777777">
      <w:pPr>
        <w:pStyle w:val="FootnoteText"/>
      </w:pPr>
      <w:r>
        <w:rPr>
          <w:rStyle w:val="FootnoteReference"/>
        </w:rPr>
        <w:footnoteRef/>
      </w:r>
      <w:r>
        <w:t xml:space="preserve"> </w:t>
      </w:r>
      <w:r w:rsidRPr="00FE6BD7">
        <w:rPr>
          <w:i/>
        </w:rPr>
        <w:t>See</w:t>
      </w:r>
      <w:r>
        <w:t xml:space="preserve"> 47 CFR § 54.901</w:t>
      </w:r>
      <w:r w:rsidR="001E7FEF">
        <w:t>(a)</w:t>
      </w:r>
      <w:r>
        <w:t>.</w:t>
      </w:r>
    </w:p>
  </w:footnote>
  <w:footnote w:id="35">
    <w:p w:rsidR="00916D08" w:rsidP="00DF5E69" w14:paraId="34BA7389" w14:textId="77777777">
      <w:pPr>
        <w:pStyle w:val="FootnoteText"/>
      </w:pPr>
      <w:r>
        <w:rPr>
          <w:rStyle w:val="FootnoteReference"/>
        </w:rPr>
        <w:footnoteRef/>
      </w:r>
      <w:r>
        <w:t xml:space="preserve"> </w:t>
      </w:r>
      <w:r w:rsidR="00FB3B04">
        <w:t>NTCA Petition at 9, n.18.</w:t>
      </w:r>
    </w:p>
  </w:footnote>
  <w:footnote w:id="36">
    <w:p w:rsidR="00916D08" w14:paraId="6FEF1FD7" w14:textId="77777777">
      <w:pPr>
        <w:pStyle w:val="FootnoteText"/>
      </w:pPr>
      <w:r>
        <w:rPr>
          <w:rStyle w:val="FootnoteReference"/>
        </w:rPr>
        <w:footnoteRef/>
      </w:r>
      <w:r>
        <w:t xml:space="preserve"> </w:t>
      </w:r>
      <w:r w:rsidRPr="0003255E">
        <w:rPr>
          <w:i/>
        </w:rPr>
        <w:t>Id.</w:t>
      </w:r>
    </w:p>
  </w:footnote>
  <w:footnote w:id="37">
    <w:p w:rsidR="00916D08" w14:paraId="43A5697A" w14:textId="665C4762">
      <w:pPr>
        <w:pStyle w:val="FootnoteText"/>
      </w:pPr>
      <w:r>
        <w:rPr>
          <w:rStyle w:val="FootnoteReference"/>
        </w:rPr>
        <w:footnoteRef/>
      </w:r>
      <w:r>
        <w:t xml:space="preserve"> </w:t>
      </w:r>
      <w:r w:rsidRPr="00FB3B04" w:rsidR="00FB3B04">
        <w:rPr>
          <w:i/>
        </w:rPr>
        <w:t>See</w:t>
      </w:r>
      <w:r w:rsidR="00FB3B04">
        <w:t xml:space="preserve"> </w:t>
      </w:r>
      <w:r>
        <w:t xml:space="preserve">Letter from Jeffrey E. Dupree, Vice President – Government Relations, National </w:t>
      </w:r>
      <w:r w:rsidR="002C5994">
        <w:t>Exchange Carrie</w:t>
      </w:r>
      <w:r>
        <w:t xml:space="preserve"> Association, to Marlene H. Dortch, Secretary, FCC, WC Docket No. 10-90 et al. </w:t>
      </w:r>
      <w:r w:rsidR="00775CF5">
        <w:t>(</w:t>
      </w:r>
      <w:r>
        <w:t>filed Feb. 3, 2017</w:t>
      </w:r>
      <w:r w:rsidR="00775CF5">
        <w:t>)</w:t>
      </w:r>
      <w:r>
        <w:t>.</w:t>
      </w:r>
    </w:p>
  </w:footnote>
  <w:footnote w:id="38">
    <w:p w:rsidR="00B5316B" w14:paraId="3BCC363A" w14:textId="77777777">
      <w:pPr>
        <w:pStyle w:val="FootnoteText"/>
      </w:pPr>
      <w:r>
        <w:rPr>
          <w:rStyle w:val="FootnoteReference"/>
        </w:rPr>
        <w:footnoteRef/>
      </w:r>
      <w:r>
        <w:t xml:space="preserve"> </w:t>
      </w:r>
      <w:r w:rsidR="000413DA">
        <w:t>Average schedule car</w:t>
      </w:r>
      <w:r w:rsidR="003003DF">
        <w:t>r</w:t>
      </w:r>
      <w:r w:rsidR="000413DA">
        <w:t xml:space="preserve">iers recover their costs through average schedule formulas that are developed to simulate the cost settlements they would receive if they were a cost company.  </w:t>
      </w:r>
      <w:r w:rsidRPr="00813CAB" w:rsidR="000413DA">
        <w:rPr>
          <w:i/>
        </w:rPr>
        <w:t>S</w:t>
      </w:r>
      <w:r w:rsidRPr="00813CAB" w:rsidR="00813CAB">
        <w:rPr>
          <w:i/>
        </w:rPr>
        <w:t>ee</w:t>
      </w:r>
      <w:r w:rsidR="000413DA">
        <w:t xml:space="preserve"> 47 CFR </w:t>
      </w:r>
      <w:r w:rsidR="003003DF">
        <w:t xml:space="preserve">§ </w:t>
      </w:r>
      <w:r w:rsidR="000413DA">
        <w:t>69.606(a).  Carriers that elected to freeze their separations category relationships</w:t>
      </w:r>
      <w:r w:rsidR="00813CAB">
        <w:t xml:space="preserve"> </w:t>
      </w:r>
      <w:r w:rsidR="000413DA">
        <w:t>do not perfor</w:t>
      </w:r>
      <w:r w:rsidR="00813CAB">
        <w:t>m</w:t>
      </w:r>
      <w:r w:rsidR="000413DA">
        <w:t xml:space="preserve"> complete cost studies, </w:t>
      </w:r>
      <w:r w:rsidR="00813CAB">
        <w:t>instead using the frozen factors to assign costs among categories.</w:t>
      </w:r>
    </w:p>
  </w:footnote>
  <w:footnote w:id="39">
    <w:p w:rsidR="00916D08" w:rsidRPr="001E7FEF" w14:paraId="24491ECC" w14:textId="7D2B68F8">
      <w:pPr>
        <w:pStyle w:val="FootnoteText"/>
      </w:pPr>
      <w:r>
        <w:rPr>
          <w:rStyle w:val="FootnoteReference"/>
        </w:rPr>
        <w:footnoteRef/>
      </w:r>
      <w:r>
        <w:t xml:space="preserve"> </w:t>
      </w:r>
      <w:r w:rsidR="001E7FEF">
        <w:rPr>
          <w:i/>
        </w:rPr>
        <w:t xml:space="preserve">See </w:t>
      </w:r>
      <w:r w:rsidR="00D65E83">
        <w:rPr>
          <w:i/>
        </w:rPr>
        <w:t>Separations Record Refresh Public Notice</w:t>
      </w:r>
      <w:r w:rsidR="00775CF5">
        <w:t>.</w:t>
      </w:r>
    </w:p>
  </w:footnote>
  <w:footnote w:id="40">
    <w:p w:rsidR="002A71BC" w:rsidRPr="002A71BC" w14:paraId="242F35C7" w14:textId="77777777">
      <w:pPr>
        <w:pStyle w:val="FootnoteText"/>
      </w:pPr>
      <w:r>
        <w:rPr>
          <w:rStyle w:val="FootnoteReference"/>
        </w:rPr>
        <w:footnoteRef/>
      </w:r>
      <w:r>
        <w:t xml:space="preserve"> </w:t>
      </w:r>
      <w:r w:rsidRPr="002A71BC">
        <w:rPr>
          <w:i/>
        </w:rPr>
        <w:t>See</w:t>
      </w:r>
      <w:r>
        <w:t xml:space="preserve"> </w:t>
      </w:r>
      <w:r>
        <w:rPr>
          <w:i/>
        </w:rPr>
        <w:t>Second Cost Surrogate Waiver Order</w:t>
      </w:r>
      <w:r w:rsidR="0003480B">
        <w:t>,</w:t>
      </w:r>
      <w:r>
        <w:t xml:space="preserve"> </w:t>
      </w:r>
      <w:r w:rsidR="0003480B">
        <w:t>32 FCC Rcd at</w:t>
      </w:r>
      <w:r w:rsidR="00E028E8">
        <w:t xml:space="preserve"> </w:t>
      </w:r>
      <w:r w:rsidR="0003480B">
        <w:t>1955, para. 8.</w:t>
      </w:r>
    </w:p>
  </w:footnote>
  <w:footnote w:id="41">
    <w:p w:rsidR="003F21E4" w:rsidRPr="003F21E4" w:rsidP="003F21E4" w14:paraId="422ED993" w14:textId="3674390F">
      <w:pPr>
        <w:pStyle w:val="FootnoteText"/>
      </w:pPr>
      <w:r>
        <w:rPr>
          <w:rStyle w:val="FootnoteReference"/>
        </w:rPr>
        <w:footnoteRef/>
      </w:r>
      <w:r>
        <w:t xml:space="preserve"> In the </w:t>
      </w:r>
      <w:r>
        <w:rPr>
          <w:i/>
        </w:rPr>
        <w:t>Second Cost Surrogate Waiver Order</w:t>
      </w:r>
      <w:r>
        <w:t xml:space="preserve">, </w:t>
      </w:r>
      <w:r w:rsidR="00775CF5">
        <w:t>the Bureau predicated</w:t>
      </w:r>
      <w:r>
        <w:t xml:space="preserve"> relief on the continuing existence of certain conditions which included, among other things, particular results produced by application of the surrogate method.  </w:t>
      </w:r>
      <w:r w:rsidRPr="002A71BC" w:rsidR="002A71BC">
        <w:rPr>
          <w:i/>
        </w:rPr>
        <w:t xml:space="preserve">See </w:t>
      </w:r>
      <w:r w:rsidR="00775CF5">
        <w:rPr>
          <w:i/>
        </w:rPr>
        <w:t>Second Cost Surrogate Waive</w:t>
      </w:r>
      <w:r w:rsidRPr="00775CF5" w:rsidR="00775CF5">
        <w:rPr>
          <w:i/>
        </w:rPr>
        <w:t>r Order</w:t>
      </w:r>
      <w:r w:rsidR="00775CF5">
        <w:t>, 32 FCC Rcd at 1955, para. 8</w:t>
      </w:r>
      <w:r w:rsidR="0003480B">
        <w:rPr>
          <w:i/>
        </w:rPr>
        <w:t>.</w:t>
      </w:r>
      <w:r w:rsidR="002A71BC">
        <w:t xml:space="preserve">  </w:t>
      </w:r>
      <w:r>
        <w:t xml:space="preserve">Because the surrogate methodology will no longer be applicable commencing with the annual access tariff filings due July 1, 2018, </w:t>
      </w:r>
      <w:bookmarkStart w:id="1" w:name="_Hlk506489847"/>
      <w:r>
        <w:t xml:space="preserve">we terminate the waiver granted in the </w:t>
      </w:r>
      <w:r>
        <w:rPr>
          <w:i/>
        </w:rPr>
        <w:t>Second Cost Surrogate Waiver Order</w:t>
      </w:r>
      <w:r>
        <w:t xml:space="preserve"> </w:t>
      </w:r>
      <w:r w:rsidR="0073396E">
        <w:t>effective July 1, 2018</w:t>
      </w:r>
      <w:bookmarkEnd w:id="1"/>
      <w:r>
        <w:t>.</w:t>
      </w:r>
    </w:p>
  </w:footnote>
  <w:footnote w:id="42">
    <w:p w:rsidR="003E3FB6" w:rsidP="003E3FB6" w14:paraId="1A5DC4C8" w14:textId="77777777">
      <w:pPr>
        <w:pStyle w:val="FootnoteText"/>
      </w:pPr>
      <w:r>
        <w:rPr>
          <w:rStyle w:val="FootnoteReference"/>
        </w:rPr>
        <w:footnoteRef/>
      </w:r>
      <w:r>
        <w:t xml:space="preserve"> </w:t>
      </w:r>
      <w:r w:rsidRPr="00B66940">
        <w:t>NTCA Petition at 23.</w:t>
      </w:r>
    </w:p>
  </w:footnote>
  <w:footnote w:id="43">
    <w:p w:rsidR="0014631B" w:rsidP="0014631B" w14:paraId="1A52E11C" w14:textId="77777777">
      <w:pPr>
        <w:pStyle w:val="FootnoteText"/>
      </w:pPr>
      <w:r>
        <w:rPr>
          <w:rStyle w:val="FootnoteReference"/>
        </w:rPr>
        <w:footnoteRef/>
      </w:r>
      <w:r>
        <w:t xml:space="preserve"> </w:t>
      </w:r>
      <w:r w:rsidR="001E7FEF">
        <w:rPr>
          <w:i/>
        </w:rPr>
        <w:t>Id.</w:t>
      </w:r>
    </w:p>
  </w:footnote>
  <w:footnote w:id="44">
    <w:p w:rsidR="0014631B" w:rsidRPr="00D937A7" w:rsidP="0014631B" w14:paraId="7892A857" w14:textId="77777777">
      <w:pPr>
        <w:pStyle w:val="FootnoteText"/>
      </w:pPr>
      <w:r>
        <w:rPr>
          <w:rStyle w:val="FootnoteReference"/>
        </w:rPr>
        <w:footnoteRef/>
      </w:r>
      <w:r>
        <w:t xml:space="preserve"> </w:t>
      </w:r>
      <w:r w:rsidRPr="0003255E">
        <w:rPr>
          <w:i/>
        </w:rPr>
        <w:t>See</w:t>
      </w:r>
      <w:r w:rsidRPr="00D937A7" w:rsidR="001E7FEF">
        <w:t>,</w:t>
      </w:r>
      <w:r w:rsidR="001E7FEF">
        <w:rPr>
          <w:i/>
        </w:rPr>
        <w:t xml:space="preserve"> e.g.</w:t>
      </w:r>
      <w:r w:rsidR="001E7FEF">
        <w:t xml:space="preserve">, </w:t>
      </w:r>
      <w:r w:rsidRPr="00B66940">
        <w:t xml:space="preserve">ITTA Comments at </w:t>
      </w:r>
      <w:r w:rsidR="00D937A7">
        <w:t>5-6</w:t>
      </w:r>
      <w:r w:rsidRPr="00B66940">
        <w:t xml:space="preserve">, </w:t>
      </w:r>
      <w:r w:rsidR="001E7FEF">
        <w:t xml:space="preserve">GVNW Consulting, Inc. </w:t>
      </w:r>
      <w:r w:rsidR="00D937A7">
        <w:t>Reply at 7-8</w:t>
      </w:r>
      <w:r w:rsidRPr="00B66940">
        <w:t>.</w:t>
      </w:r>
      <w:r>
        <w:t xml:space="preserve">  The parties commenting on this issue request that carriers not be required to impute an amount equal to the ARCs to the extent that a carrier can show that it had a certain number of standalone broadband connections in place as of September 30, 2011.</w:t>
      </w:r>
      <w:r w:rsidR="00D937A7">
        <w:t xml:space="preserve">  </w:t>
      </w:r>
      <w:r w:rsidRPr="0003255E" w:rsidR="00D937A7">
        <w:rPr>
          <w:i/>
        </w:rPr>
        <w:t>See</w:t>
      </w:r>
      <w:r w:rsidRPr="00D937A7" w:rsidR="00D937A7">
        <w:t>,</w:t>
      </w:r>
      <w:r w:rsidR="00D937A7">
        <w:rPr>
          <w:i/>
        </w:rPr>
        <w:t xml:space="preserve"> e.g.</w:t>
      </w:r>
      <w:r w:rsidR="00D937A7">
        <w:t xml:space="preserve">, </w:t>
      </w:r>
      <w:r w:rsidR="00D937A7">
        <w:rPr>
          <w:i/>
        </w:rPr>
        <w:t>id.</w:t>
      </w:r>
    </w:p>
  </w:footnote>
  <w:footnote w:id="45">
    <w:p w:rsidR="00D33345" w:rsidP="00D33345" w14:paraId="2D510226" w14:textId="77777777">
      <w:pPr>
        <w:pStyle w:val="FootnoteText"/>
      </w:pPr>
      <w:r>
        <w:rPr>
          <w:rStyle w:val="FootnoteReference"/>
        </w:rPr>
        <w:footnoteRef/>
      </w:r>
      <w:r>
        <w:t xml:space="preserve"> </w:t>
      </w:r>
      <w:r w:rsidRPr="009D6BC5">
        <w:t xml:space="preserve">Letter from </w:t>
      </w:r>
      <w:r>
        <w:t>Michael R. Romano</w:t>
      </w:r>
      <w:r w:rsidRPr="009D6BC5">
        <w:t xml:space="preserve">, </w:t>
      </w:r>
      <w:r>
        <w:t xml:space="preserve">Senior Vice President – Industry Affairs &amp; Business Development, NTCA, </w:t>
      </w:r>
      <w:r w:rsidRPr="009D6BC5">
        <w:t>to Marlene H. Dortch, Secretary, FCC, WC Docket No. 1</w:t>
      </w:r>
      <w:r>
        <w:t>0-90 (filed May 30, 2017).</w:t>
      </w:r>
    </w:p>
  </w:footnote>
  <w:footnote w:id="46">
    <w:p w:rsidR="00D71F3E" w:rsidRPr="00F85409" w:rsidP="00D71F3E" w14:paraId="6C85EC57" w14:textId="77777777">
      <w:pPr>
        <w:pStyle w:val="FootnoteText"/>
      </w:pPr>
      <w:r>
        <w:rPr>
          <w:rStyle w:val="FootnoteReference"/>
        </w:rPr>
        <w:footnoteRef/>
      </w:r>
      <w:r>
        <w:t xml:space="preserve"> </w:t>
      </w:r>
      <w:r>
        <w:rPr>
          <w:i/>
        </w:rPr>
        <w:t>See id.</w:t>
      </w:r>
    </w:p>
  </w:footnote>
  <w:footnote w:id="47">
    <w:p w:rsidR="004F0320" w14:paraId="119BA7FF" w14:textId="0645821E">
      <w:pPr>
        <w:pStyle w:val="FootnoteText"/>
      </w:pPr>
      <w:r>
        <w:rPr>
          <w:rStyle w:val="FootnoteReference"/>
        </w:rPr>
        <w:footnoteRef/>
      </w:r>
      <w:r>
        <w:t xml:space="preserve"> </w:t>
      </w:r>
      <w:r w:rsidR="0073396E">
        <w:rPr>
          <w:i/>
        </w:rPr>
        <w:t>Rate-of-Return Reform Order</w:t>
      </w:r>
      <w:r w:rsidR="0073396E">
        <w:t xml:space="preserve">, 31 FCC Rcd </w:t>
      </w:r>
      <w:r w:rsidRPr="004F0320">
        <w:t>at 3141, para. 142</w:t>
      </w:r>
      <w:r w:rsidR="00327371">
        <w:t>.</w:t>
      </w:r>
    </w:p>
  </w:footnote>
  <w:footnote w:id="48">
    <w:p w:rsidR="004F0320" w14:paraId="1B88A60C" w14:textId="77777777">
      <w:pPr>
        <w:pStyle w:val="FootnoteText"/>
      </w:pPr>
      <w:r>
        <w:rPr>
          <w:rStyle w:val="FootnoteReference"/>
        </w:rPr>
        <w:footnoteRef/>
      </w:r>
      <w:r>
        <w:t xml:space="preserve"> </w:t>
      </w:r>
      <w:r w:rsidRPr="004F0320">
        <w:rPr>
          <w:i/>
        </w:rPr>
        <w:t>Id.</w:t>
      </w:r>
    </w:p>
  </w:footnote>
  <w:footnote w:id="49">
    <w:p w:rsidR="00602D91" w:rsidP="00602D91" w14:paraId="6456EDFA" w14:textId="77777777">
      <w:pPr>
        <w:pStyle w:val="FootnoteText"/>
      </w:pPr>
      <w:r>
        <w:rPr>
          <w:rStyle w:val="FootnoteReference"/>
        </w:rPr>
        <w:footnoteRef/>
      </w:r>
      <w:r>
        <w:t xml:space="preserve"> </w:t>
      </w:r>
      <w:r w:rsidRPr="004F0320">
        <w:rPr>
          <w:i/>
        </w:rPr>
        <w:t>Id.</w:t>
      </w:r>
      <w:r w:rsidRPr="004F0320">
        <w:t xml:space="preserve"> at 3142, para. 145.</w:t>
      </w:r>
    </w:p>
  </w:footnote>
  <w:footnote w:id="50">
    <w:p w:rsidR="00B77D2C" w14:paraId="75F484EE" w14:textId="77777777">
      <w:pPr>
        <w:pStyle w:val="FootnoteText"/>
      </w:pPr>
      <w:r>
        <w:rPr>
          <w:rStyle w:val="FootnoteReference"/>
        </w:rPr>
        <w:footnoteRef/>
      </w:r>
      <w:r>
        <w:t xml:space="preserve"> </w:t>
      </w:r>
      <w:r w:rsidRPr="00EF3D4B" w:rsidR="00EF3D4B">
        <w:rPr>
          <w:i/>
        </w:rPr>
        <w:t>Id.</w:t>
      </w:r>
      <w:r w:rsidRPr="00EF3D4B" w:rsidR="00EF3D4B">
        <w:t xml:space="preserve"> (emphasis added); </w:t>
      </w:r>
      <w:r w:rsidRPr="00EF3D4B" w:rsidR="00EF3D4B">
        <w:rPr>
          <w:i/>
        </w:rPr>
        <w:t>see also</w:t>
      </w:r>
      <w:r w:rsidRPr="00EF3D4B" w:rsidR="00EF3D4B">
        <w:t xml:space="preserve"> 47 CFR § 54.319(f).</w:t>
      </w:r>
    </w:p>
  </w:footnote>
  <w:footnote w:id="51">
    <w:p w:rsidR="00916D08" w14:paraId="409C9AFE" w14:textId="77777777">
      <w:pPr>
        <w:pStyle w:val="FootnoteText"/>
      </w:pPr>
      <w:r>
        <w:rPr>
          <w:rStyle w:val="FootnoteReference"/>
        </w:rPr>
        <w:footnoteRef/>
      </w:r>
      <w:r>
        <w:t xml:space="preserve"> </w:t>
      </w:r>
      <w:r w:rsidRPr="0003255E">
        <w:rPr>
          <w:i/>
        </w:rPr>
        <w:t>See</w:t>
      </w:r>
      <w:r w:rsidRPr="00B66940">
        <w:t xml:space="preserve"> 5 U.S.C. § 801(a)(1)(A).</w:t>
      </w:r>
    </w:p>
  </w:footnote>
  <w:footnote w:id="52">
    <w:p w:rsidR="00C02595" w:rsidRPr="00ED0B16" w:rsidP="00C02595" w14:paraId="52F2D7EA" w14:textId="77777777">
      <w:pPr>
        <w:pStyle w:val="FootnoteText"/>
      </w:pPr>
      <w:r>
        <w:rPr>
          <w:rStyle w:val="FootnoteReference"/>
        </w:rPr>
        <w:footnoteRef/>
      </w:r>
      <w:r>
        <w:t xml:space="preserve"> 5 U.S.C. § 601 </w:t>
      </w:r>
      <w:r>
        <w:rPr>
          <w:i/>
        </w:rPr>
        <w:t>et seq</w:t>
      </w:r>
      <w:r>
        <w:t>.</w:t>
      </w:r>
    </w:p>
  </w:footnote>
  <w:footnote w:id="53">
    <w:p w:rsidR="00C02595" w:rsidP="00C02595" w14:paraId="49521D73" w14:textId="77777777">
      <w:pPr>
        <w:pStyle w:val="FootnoteText"/>
      </w:pPr>
      <w:r>
        <w:rPr>
          <w:rStyle w:val="FootnoteReference"/>
        </w:rPr>
        <w:footnoteRef/>
      </w:r>
      <w:r>
        <w:t xml:space="preserve"> 5 U.S.C. § 605(b).</w:t>
      </w:r>
    </w:p>
  </w:footnote>
  <w:footnote w:id="54">
    <w:p w:rsidR="00C02595" w:rsidP="00C02595" w14:paraId="6E409EC4" w14:textId="77777777">
      <w:pPr>
        <w:pStyle w:val="FootnoteText"/>
      </w:pPr>
      <w:r>
        <w:rPr>
          <w:rStyle w:val="FootnoteReference"/>
        </w:rPr>
        <w:footnoteRef/>
      </w:r>
      <w:r w:rsidR="00EF3D4B">
        <w:t xml:space="preserve"> 5 U.S.C. § 601(6</w:t>
      </w:r>
      <w:r>
        <w:t>).</w:t>
      </w:r>
    </w:p>
  </w:footnote>
  <w:footnote w:id="55">
    <w:p w:rsidR="00C02595" w:rsidRPr="00FA6A5A" w:rsidP="00C02595" w14:paraId="4017A4D0" w14:textId="77777777">
      <w:pPr>
        <w:widowControl/>
        <w:autoSpaceDE w:val="0"/>
        <w:autoSpaceDN w:val="0"/>
        <w:adjustRightInd w:val="0"/>
        <w:rPr>
          <w:snapToGrid/>
          <w:kern w:val="0"/>
          <w:sz w:val="20"/>
        </w:rPr>
      </w:pPr>
      <w:r>
        <w:rPr>
          <w:rStyle w:val="FootnoteReference"/>
        </w:rPr>
        <w:footnoteRef/>
      </w:r>
      <w:r>
        <w:t xml:space="preserve"> </w:t>
      </w:r>
      <w:r w:rsidRPr="00FA6A5A">
        <w:rPr>
          <w:snapToGrid/>
          <w:kern w:val="0"/>
          <w:sz w:val="20"/>
        </w:rPr>
        <w:t xml:space="preserve">5 U.S.C. § 601(3) (incorporating by reference the definition of </w:t>
      </w:r>
      <w:r w:rsidR="00485E15">
        <w:rPr>
          <w:snapToGrid/>
          <w:kern w:val="0"/>
          <w:sz w:val="20"/>
        </w:rPr>
        <w:t>“</w:t>
      </w:r>
      <w:r w:rsidRPr="00FA6A5A">
        <w:rPr>
          <w:snapToGrid/>
          <w:kern w:val="0"/>
          <w:sz w:val="20"/>
        </w:rPr>
        <w:t>small business concern</w:t>
      </w:r>
      <w:r w:rsidR="00485E15">
        <w:rPr>
          <w:snapToGrid/>
          <w:kern w:val="0"/>
          <w:sz w:val="20"/>
        </w:rPr>
        <w:t>”</w:t>
      </w:r>
      <w:r w:rsidRPr="00FA6A5A">
        <w:rPr>
          <w:snapToGrid/>
          <w:kern w:val="0"/>
          <w:sz w:val="20"/>
        </w:rPr>
        <w:t xml:space="preserve"> in Small Business Act,</w:t>
      </w:r>
    </w:p>
    <w:p w:rsidR="00C02595" w:rsidRPr="007B35F5" w:rsidP="00C02595" w14:paraId="661A90B5" w14:textId="77777777">
      <w:pPr>
        <w:pStyle w:val="FootnoteText"/>
      </w:pPr>
      <w:r w:rsidRPr="00FA6A5A">
        <w:t xml:space="preserve">15 U.S.C. § 632). </w:t>
      </w:r>
      <w:r>
        <w:t xml:space="preserve"> </w:t>
      </w:r>
      <w:r w:rsidRPr="00FA6A5A">
        <w:t xml:space="preserve">Pursuant to 5 U.S.C. § 601(3), the statutory definition of a small business applies </w:t>
      </w:r>
      <w:r w:rsidR="00485E15">
        <w:t>“</w:t>
      </w:r>
      <w:r w:rsidRPr="00FA6A5A">
        <w:t>unless an</w:t>
      </w:r>
      <w:r>
        <w:t xml:space="preserve"> </w:t>
      </w:r>
      <w:r w:rsidRPr="00FA6A5A">
        <w:t>agency, after consultation with the Office of Advocacy of the Small Business Administration and after opportunity</w:t>
      </w:r>
      <w:r>
        <w:t xml:space="preserve"> </w:t>
      </w:r>
      <w:r w:rsidRPr="00FA6A5A">
        <w:t>for public comment, establishes one or more definitions of such term which are appropriate to the activities of the</w:t>
      </w:r>
      <w:r>
        <w:t xml:space="preserve"> </w:t>
      </w:r>
      <w:r w:rsidRPr="00FA6A5A">
        <w:t>agency and publishes such definition(s) in the Federal Register.</w:t>
      </w:r>
      <w:r w:rsidR="00485E15">
        <w:t>”</w:t>
      </w:r>
      <w:r>
        <w:t xml:space="preserve"> </w:t>
      </w:r>
      <w:r w:rsidRPr="00FA6A5A">
        <w:t xml:space="preserve"> 5 U.S.C. § 601(3).</w:t>
      </w:r>
    </w:p>
  </w:footnote>
  <w:footnote w:id="56">
    <w:p w:rsidR="00C02595" w:rsidP="00C02595" w14:paraId="242E6518" w14:textId="77777777">
      <w:pPr>
        <w:pStyle w:val="FootnoteText"/>
      </w:pPr>
      <w:r>
        <w:rPr>
          <w:rStyle w:val="FootnoteReference"/>
        </w:rPr>
        <w:footnoteRef/>
      </w:r>
      <w:r>
        <w:t xml:space="preserve"> Small Business Act, 15 U.S.C. § 632.</w:t>
      </w:r>
    </w:p>
  </w:footnote>
  <w:footnote w:id="57">
    <w:p w:rsidR="00C02595" w:rsidRPr="00920C59" w:rsidP="00C02595" w14:paraId="22E90E6E" w14:textId="77777777">
      <w:pPr>
        <w:pStyle w:val="FootnoteText"/>
        <w:rPr>
          <w:i/>
        </w:rPr>
      </w:pPr>
      <w:r>
        <w:rPr>
          <w:rStyle w:val="FootnoteReference"/>
        </w:rPr>
        <w:footnoteRef/>
      </w:r>
      <w:r>
        <w:t xml:space="preserve"> </w:t>
      </w:r>
      <w:r>
        <w:rPr>
          <w:i/>
        </w:rPr>
        <w:t xml:space="preserve">See </w:t>
      </w:r>
      <w:r w:rsidRPr="00B66940">
        <w:rPr>
          <w:i/>
        </w:rPr>
        <w:t>Rate-of-Return Reform Order</w:t>
      </w:r>
      <w:r>
        <w:rPr>
          <w:iCs/>
        </w:rPr>
        <w:t>, 31 FCC Rcd at 3286, App D</w:t>
      </w:r>
      <w:r w:rsidRPr="004F6775">
        <w:t>.</w:t>
      </w:r>
    </w:p>
  </w:footnote>
  <w:footnote w:id="58">
    <w:p w:rsidR="00C02595" w:rsidP="00C02595" w14:paraId="61DB5B17" w14:textId="77777777">
      <w:pPr>
        <w:pStyle w:val="FootnoteText"/>
      </w:pPr>
      <w:r>
        <w:rPr>
          <w:rStyle w:val="FootnoteReference"/>
        </w:rPr>
        <w:footnoteRef/>
      </w:r>
      <w:r>
        <w:t xml:space="preserve"> </w:t>
      </w:r>
      <w:r w:rsidR="00B55BCE">
        <w:t>5 U.S.C. § 801(a)(1)(A).</w:t>
      </w:r>
    </w:p>
  </w:footnote>
  <w:footnote w:id="59">
    <w:p w:rsidR="00C02595" w:rsidRPr="00D97FB7" w:rsidP="00C02595" w14:paraId="094F4C37" w14:textId="1CF7BEB9">
      <w:pPr>
        <w:pStyle w:val="FootnoteText"/>
        <w:rPr>
          <w:i/>
        </w:rPr>
      </w:pPr>
      <w:r>
        <w:rPr>
          <w:rStyle w:val="FootnoteReference"/>
        </w:rPr>
        <w:footnoteRef/>
      </w:r>
      <w:r>
        <w:t xml:space="preserve"> </w:t>
      </w:r>
      <w:r w:rsidR="00B55BCE">
        <w:t>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112" w14:paraId="730289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D08" w:rsidP="00810B6F" w14:paraId="422BA163" w14:textId="7BDFBDF7">
    <w:pPr>
      <w:pStyle w:val="Header"/>
      <w:rPr>
        <w:b w:val="0"/>
      </w:rPr>
    </w:pPr>
    <w:r>
      <w:tab/>
    </w:r>
    <w:r w:rsidRPr="001657F0">
      <w:t>Federal Communications Commission</w:t>
    </w:r>
    <w:r w:rsidRPr="001657F0">
      <w:tab/>
      <w:t>FCC 1</w:t>
    </w:r>
    <w:r w:rsidR="00A45D98">
      <w:t>8</w:t>
    </w:r>
    <w:r w:rsidRPr="001657F0">
      <w:t>-</w:t>
    </w:r>
    <w:r w:rsidR="007467F1">
      <w:t>13</w:t>
    </w:r>
  </w:p>
  <w:p w:rsidR="00916D08" w14:paraId="1EDB30C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16D08" w14:paraId="59EB05A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D08" w:rsidP="00810B6F" w14:paraId="54895543" w14:textId="5A337EE7">
    <w:pPr>
      <w:pStyle w:val="Header"/>
      <w:rPr>
        <w:b w:val="0"/>
      </w:rPr>
    </w:pPr>
    <w:r w:rsidRPr="001657F0">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1657F0">
      <w:tab/>
      <w:t>Federal Communications Commission</w:t>
    </w:r>
    <w:r w:rsidRPr="001657F0">
      <w:tab/>
    </w:r>
    <w:r w:rsidRPr="001657F0">
      <w:rPr>
        <w:spacing w:val="-2"/>
      </w:rPr>
      <w:t>FCC 1</w:t>
    </w:r>
    <w:r w:rsidR="00A45D98">
      <w:rPr>
        <w:spacing w:val="-2"/>
      </w:rPr>
      <w:t>8</w:t>
    </w:r>
    <w:r w:rsidRPr="001657F0">
      <w:rPr>
        <w:spacing w:val="-2"/>
      </w:rPr>
      <w:t>-</w:t>
    </w:r>
    <w:r w:rsidR="007467F1">
      <w:rPr>
        <w:spacing w:val="-2"/>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86"/>
    <w:rsid w:val="000010A3"/>
    <w:rsid w:val="000034BC"/>
    <w:rsid w:val="00005521"/>
    <w:rsid w:val="0002109D"/>
    <w:rsid w:val="0002461A"/>
    <w:rsid w:val="00024786"/>
    <w:rsid w:val="00031E21"/>
    <w:rsid w:val="0003255E"/>
    <w:rsid w:val="00032D60"/>
    <w:rsid w:val="0003480B"/>
    <w:rsid w:val="00036039"/>
    <w:rsid w:val="00036B3C"/>
    <w:rsid w:val="00037B3D"/>
    <w:rsid w:val="00037F90"/>
    <w:rsid w:val="000413DA"/>
    <w:rsid w:val="00041B4B"/>
    <w:rsid w:val="00042800"/>
    <w:rsid w:val="00043019"/>
    <w:rsid w:val="000433B5"/>
    <w:rsid w:val="000442C8"/>
    <w:rsid w:val="00044AA2"/>
    <w:rsid w:val="000513B1"/>
    <w:rsid w:val="000532E0"/>
    <w:rsid w:val="00054CCF"/>
    <w:rsid w:val="00057351"/>
    <w:rsid w:val="0006096B"/>
    <w:rsid w:val="00062800"/>
    <w:rsid w:val="00063640"/>
    <w:rsid w:val="00067C3F"/>
    <w:rsid w:val="0007290B"/>
    <w:rsid w:val="00075483"/>
    <w:rsid w:val="0007774E"/>
    <w:rsid w:val="00077E5A"/>
    <w:rsid w:val="00082F5F"/>
    <w:rsid w:val="0008362B"/>
    <w:rsid w:val="00083AA5"/>
    <w:rsid w:val="000851B6"/>
    <w:rsid w:val="000875BF"/>
    <w:rsid w:val="00090268"/>
    <w:rsid w:val="00092202"/>
    <w:rsid w:val="00093086"/>
    <w:rsid w:val="00096B23"/>
    <w:rsid w:val="00096D8C"/>
    <w:rsid w:val="00097BAD"/>
    <w:rsid w:val="000A01DE"/>
    <w:rsid w:val="000A18DE"/>
    <w:rsid w:val="000A1953"/>
    <w:rsid w:val="000A3909"/>
    <w:rsid w:val="000B4F1E"/>
    <w:rsid w:val="000C010D"/>
    <w:rsid w:val="000C0B65"/>
    <w:rsid w:val="000C5E30"/>
    <w:rsid w:val="000C6520"/>
    <w:rsid w:val="000D128B"/>
    <w:rsid w:val="000E00C5"/>
    <w:rsid w:val="000E05FE"/>
    <w:rsid w:val="000E0C08"/>
    <w:rsid w:val="000E3D42"/>
    <w:rsid w:val="000E4A9E"/>
    <w:rsid w:val="000E5275"/>
    <w:rsid w:val="000E6CB0"/>
    <w:rsid w:val="0010435E"/>
    <w:rsid w:val="001071DA"/>
    <w:rsid w:val="001157CB"/>
    <w:rsid w:val="00117223"/>
    <w:rsid w:val="001178A6"/>
    <w:rsid w:val="00122BD5"/>
    <w:rsid w:val="00123192"/>
    <w:rsid w:val="001255A5"/>
    <w:rsid w:val="001271BB"/>
    <w:rsid w:val="00130AA3"/>
    <w:rsid w:val="00133F79"/>
    <w:rsid w:val="00141B2A"/>
    <w:rsid w:val="00144156"/>
    <w:rsid w:val="0014631B"/>
    <w:rsid w:val="00150CEC"/>
    <w:rsid w:val="0015120E"/>
    <w:rsid w:val="00151CB4"/>
    <w:rsid w:val="001535D7"/>
    <w:rsid w:val="00156481"/>
    <w:rsid w:val="001655C1"/>
    <w:rsid w:val="001657F0"/>
    <w:rsid w:val="00166DE5"/>
    <w:rsid w:val="001673FA"/>
    <w:rsid w:val="00170AF1"/>
    <w:rsid w:val="00182FA9"/>
    <w:rsid w:val="001848B4"/>
    <w:rsid w:val="00184EFF"/>
    <w:rsid w:val="0019175A"/>
    <w:rsid w:val="00194A66"/>
    <w:rsid w:val="0019616E"/>
    <w:rsid w:val="00197AE6"/>
    <w:rsid w:val="001A1877"/>
    <w:rsid w:val="001A339B"/>
    <w:rsid w:val="001A5390"/>
    <w:rsid w:val="001A7E12"/>
    <w:rsid w:val="001B06EC"/>
    <w:rsid w:val="001B1200"/>
    <w:rsid w:val="001B1B9E"/>
    <w:rsid w:val="001B2009"/>
    <w:rsid w:val="001B2307"/>
    <w:rsid w:val="001B3088"/>
    <w:rsid w:val="001B56C9"/>
    <w:rsid w:val="001B6DAD"/>
    <w:rsid w:val="001C0525"/>
    <w:rsid w:val="001C1A51"/>
    <w:rsid w:val="001C39A8"/>
    <w:rsid w:val="001C5346"/>
    <w:rsid w:val="001C6FC6"/>
    <w:rsid w:val="001D2676"/>
    <w:rsid w:val="001D3704"/>
    <w:rsid w:val="001D43AD"/>
    <w:rsid w:val="001D490A"/>
    <w:rsid w:val="001D54B8"/>
    <w:rsid w:val="001D6BCF"/>
    <w:rsid w:val="001E01CA"/>
    <w:rsid w:val="001E0E56"/>
    <w:rsid w:val="001E14E9"/>
    <w:rsid w:val="001E3EF8"/>
    <w:rsid w:val="001E4C72"/>
    <w:rsid w:val="001E5B48"/>
    <w:rsid w:val="001E7FEF"/>
    <w:rsid w:val="001F03C8"/>
    <w:rsid w:val="001F3607"/>
    <w:rsid w:val="001F4CBF"/>
    <w:rsid w:val="001F6780"/>
    <w:rsid w:val="001F6940"/>
    <w:rsid w:val="001F7792"/>
    <w:rsid w:val="0020340B"/>
    <w:rsid w:val="002043F5"/>
    <w:rsid w:val="002044FF"/>
    <w:rsid w:val="00207E04"/>
    <w:rsid w:val="0021493B"/>
    <w:rsid w:val="00214C04"/>
    <w:rsid w:val="00223A44"/>
    <w:rsid w:val="00227459"/>
    <w:rsid w:val="0023023C"/>
    <w:rsid w:val="002315CA"/>
    <w:rsid w:val="00240765"/>
    <w:rsid w:val="002416F5"/>
    <w:rsid w:val="00245F4C"/>
    <w:rsid w:val="0025258D"/>
    <w:rsid w:val="0025407B"/>
    <w:rsid w:val="00254848"/>
    <w:rsid w:val="00254A0A"/>
    <w:rsid w:val="00262B39"/>
    <w:rsid w:val="00263ABB"/>
    <w:rsid w:val="002647D3"/>
    <w:rsid w:val="00265A4D"/>
    <w:rsid w:val="00267ABD"/>
    <w:rsid w:val="002728F2"/>
    <w:rsid w:val="00274395"/>
    <w:rsid w:val="00274501"/>
    <w:rsid w:val="00274619"/>
    <w:rsid w:val="00274914"/>
    <w:rsid w:val="00275CF5"/>
    <w:rsid w:val="00276553"/>
    <w:rsid w:val="0028301F"/>
    <w:rsid w:val="00285017"/>
    <w:rsid w:val="002859B8"/>
    <w:rsid w:val="0029229E"/>
    <w:rsid w:val="0029275C"/>
    <w:rsid w:val="00293FAA"/>
    <w:rsid w:val="00296F80"/>
    <w:rsid w:val="00297418"/>
    <w:rsid w:val="002A2D2E"/>
    <w:rsid w:val="002A5D6E"/>
    <w:rsid w:val="002A71BC"/>
    <w:rsid w:val="002B0BCA"/>
    <w:rsid w:val="002B153E"/>
    <w:rsid w:val="002B27C2"/>
    <w:rsid w:val="002B4C51"/>
    <w:rsid w:val="002B7E73"/>
    <w:rsid w:val="002C00E8"/>
    <w:rsid w:val="002C4658"/>
    <w:rsid w:val="002C5994"/>
    <w:rsid w:val="002C69D1"/>
    <w:rsid w:val="002C77DC"/>
    <w:rsid w:val="002C7A87"/>
    <w:rsid w:val="002D02FD"/>
    <w:rsid w:val="002D4A02"/>
    <w:rsid w:val="002E0FF6"/>
    <w:rsid w:val="002E5B88"/>
    <w:rsid w:val="002E70EC"/>
    <w:rsid w:val="002F0D0E"/>
    <w:rsid w:val="002F14F2"/>
    <w:rsid w:val="003003DF"/>
    <w:rsid w:val="00305017"/>
    <w:rsid w:val="003073C5"/>
    <w:rsid w:val="00314715"/>
    <w:rsid w:val="003151AA"/>
    <w:rsid w:val="00320517"/>
    <w:rsid w:val="00320F6C"/>
    <w:rsid w:val="00321D0C"/>
    <w:rsid w:val="00322F0B"/>
    <w:rsid w:val="003238F3"/>
    <w:rsid w:val="00327371"/>
    <w:rsid w:val="00331A92"/>
    <w:rsid w:val="0033557B"/>
    <w:rsid w:val="00343749"/>
    <w:rsid w:val="0034414A"/>
    <w:rsid w:val="0034592F"/>
    <w:rsid w:val="00350A6E"/>
    <w:rsid w:val="0035165E"/>
    <w:rsid w:val="003521D9"/>
    <w:rsid w:val="0035269C"/>
    <w:rsid w:val="003554C6"/>
    <w:rsid w:val="003567F1"/>
    <w:rsid w:val="00365420"/>
    <w:rsid w:val="003660ED"/>
    <w:rsid w:val="00372CD0"/>
    <w:rsid w:val="00374E59"/>
    <w:rsid w:val="00383EDC"/>
    <w:rsid w:val="0038460D"/>
    <w:rsid w:val="003846C4"/>
    <w:rsid w:val="003875B2"/>
    <w:rsid w:val="003876E9"/>
    <w:rsid w:val="0039265F"/>
    <w:rsid w:val="00393212"/>
    <w:rsid w:val="003A043A"/>
    <w:rsid w:val="003A677E"/>
    <w:rsid w:val="003A7E37"/>
    <w:rsid w:val="003B0550"/>
    <w:rsid w:val="003B09B6"/>
    <w:rsid w:val="003B2DC8"/>
    <w:rsid w:val="003B30AB"/>
    <w:rsid w:val="003B5440"/>
    <w:rsid w:val="003B5696"/>
    <w:rsid w:val="003B5A8F"/>
    <w:rsid w:val="003B694F"/>
    <w:rsid w:val="003B6E8D"/>
    <w:rsid w:val="003C25A1"/>
    <w:rsid w:val="003D13BA"/>
    <w:rsid w:val="003D1AE2"/>
    <w:rsid w:val="003D22E0"/>
    <w:rsid w:val="003D4CA7"/>
    <w:rsid w:val="003D644E"/>
    <w:rsid w:val="003D73A8"/>
    <w:rsid w:val="003D75A7"/>
    <w:rsid w:val="003E3703"/>
    <w:rsid w:val="003E3FB6"/>
    <w:rsid w:val="003E5DCE"/>
    <w:rsid w:val="003F171C"/>
    <w:rsid w:val="003F21E4"/>
    <w:rsid w:val="003F43D1"/>
    <w:rsid w:val="003F6B6A"/>
    <w:rsid w:val="003F76A7"/>
    <w:rsid w:val="00401031"/>
    <w:rsid w:val="00402562"/>
    <w:rsid w:val="00402E0B"/>
    <w:rsid w:val="0040415F"/>
    <w:rsid w:val="004042D4"/>
    <w:rsid w:val="00406B80"/>
    <w:rsid w:val="00410703"/>
    <w:rsid w:val="004112E8"/>
    <w:rsid w:val="0041285D"/>
    <w:rsid w:val="004128C3"/>
    <w:rsid w:val="00412C61"/>
    <w:rsid w:val="00412FC5"/>
    <w:rsid w:val="0041397D"/>
    <w:rsid w:val="00415DE9"/>
    <w:rsid w:val="00416ADE"/>
    <w:rsid w:val="00421EE3"/>
    <w:rsid w:val="00422276"/>
    <w:rsid w:val="00422BF8"/>
    <w:rsid w:val="004242F1"/>
    <w:rsid w:val="004252C1"/>
    <w:rsid w:val="00426FD0"/>
    <w:rsid w:val="004270B3"/>
    <w:rsid w:val="00430EEB"/>
    <w:rsid w:val="0043538A"/>
    <w:rsid w:val="004358F7"/>
    <w:rsid w:val="0043656F"/>
    <w:rsid w:val="00436DE6"/>
    <w:rsid w:val="004426D4"/>
    <w:rsid w:val="004442C3"/>
    <w:rsid w:val="0044536C"/>
    <w:rsid w:val="004455A1"/>
    <w:rsid w:val="00445A00"/>
    <w:rsid w:val="00446086"/>
    <w:rsid w:val="00450BA0"/>
    <w:rsid w:val="0045154E"/>
    <w:rsid w:val="00451B0F"/>
    <w:rsid w:val="00452371"/>
    <w:rsid w:val="00456037"/>
    <w:rsid w:val="00456727"/>
    <w:rsid w:val="0045747C"/>
    <w:rsid w:val="00462295"/>
    <w:rsid w:val="004639DD"/>
    <w:rsid w:val="00465E17"/>
    <w:rsid w:val="004665EC"/>
    <w:rsid w:val="00471CA2"/>
    <w:rsid w:val="00473B3B"/>
    <w:rsid w:val="00474AB9"/>
    <w:rsid w:val="0047619A"/>
    <w:rsid w:val="004835B9"/>
    <w:rsid w:val="00485E15"/>
    <w:rsid w:val="00490712"/>
    <w:rsid w:val="00491415"/>
    <w:rsid w:val="004921C5"/>
    <w:rsid w:val="0049222F"/>
    <w:rsid w:val="00492C0C"/>
    <w:rsid w:val="00496D6D"/>
    <w:rsid w:val="004A3A0D"/>
    <w:rsid w:val="004B7646"/>
    <w:rsid w:val="004C2EE3"/>
    <w:rsid w:val="004C62E0"/>
    <w:rsid w:val="004C6A97"/>
    <w:rsid w:val="004D39D4"/>
    <w:rsid w:val="004E339E"/>
    <w:rsid w:val="004E4A22"/>
    <w:rsid w:val="004E4C71"/>
    <w:rsid w:val="004E5B95"/>
    <w:rsid w:val="004E74E6"/>
    <w:rsid w:val="004E7C16"/>
    <w:rsid w:val="004F01BD"/>
    <w:rsid w:val="004F0320"/>
    <w:rsid w:val="004F4C51"/>
    <w:rsid w:val="004F6775"/>
    <w:rsid w:val="004F71DC"/>
    <w:rsid w:val="00501919"/>
    <w:rsid w:val="005035DE"/>
    <w:rsid w:val="00504877"/>
    <w:rsid w:val="00511968"/>
    <w:rsid w:val="005145A0"/>
    <w:rsid w:val="00517744"/>
    <w:rsid w:val="00523CC7"/>
    <w:rsid w:val="00526D4B"/>
    <w:rsid w:val="0053042A"/>
    <w:rsid w:val="00535018"/>
    <w:rsid w:val="00535C94"/>
    <w:rsid w:val="00537006"/>
    <w:rsid w:val="00541B26"/>
    <w:rsid w:val="005439F3"/>
    <w:rsid w:val="0054513E"/>
    <w:rsid w:val="00545961"/>
    <w:rsid w:val="005479B0"/>
    <w:rsid w:val="00552E6B"/>
    <w:rsid w:val="00553DAB"/>
    <w:rsid w:val="00555496"/>
    <w:rsid w:val="0055614C"/>
    <w:rsid w:val="00560555"/>
    <w:rsid w:val="005616E6"/>
    <w:rsid w:val="005618AC"/>
    <w:rsid w:val="00562D2D"/>
    <w:rsid w:val="005740BC"/>
    <w:rsid w:val="005811BD"/>
    <w:rsid w:val="00582FC7"/>
    <w:rsid w:val="00584839"/>
    <w:rsid w:val="005867A6"/>
    <w:rsid w:val="00591B8F"/>
    <w:rsid w:val="0059696E"/>
    <w:rsid w:val="005A485A"/>
    <w:rsid w:val="005A76EE"/>
    <w:rsid w:val="005A7E5F"/>
    <w:rsid w:val="005C1F02"/>
    <w:rsid w:val="005C4366"/>
    <w:rsid w:val="005C5F8A"/>
    <w:rsid w:val="005D1585"/>
    <w:rsid w:val="005D70C7"/>
    <w:rsid w:val="005E14C2"/>
    <w:rsid w:val="005E171B"/>
    <w:rsid w:val="005E1CD0"/>
    <w:rsid w:val="005E1D9C"/>
    <w:rsid w:val="005E3021"/>
    <w:rsid w:val="005E4B6F"/>
    <w:rsid w:val="005E772D"/>
    <w:rsid w:val="005F1817"/>
    <w:rsid w:val="005F4789"/>
    <w:rsid w:val="005F536C"/>
    <w:rsid w:val="0060040F"/>
    <w:rsid w:val="00600F7A"/>
    <w:rsid w:val="00601250"/>
    <w:rsid w:val="00602D0B"/>
    <w:rsid w:val="00602D91"/>
    <w:rsid w:val="00603D03"/>
    <w:rsid w:val="00604953"/>
    <w:rsid w:val="00605FE6"/>
    <w:rsid w:val="00607B29"/>
    <w:rsid w:val="00607BA5"/>
    <w:rsid w:val="0061133D"/>
    <w:rsid w:val="0061180A"/>
    <w:rsid w:val="00620179"/>
    <w:rsid w:val="0062169B"/>
    <w:rsid w:val="0062407F"/>
    <w:rsid w:val="00624786"/>
    <w:rsid w:val="00625D39"/>
    <w:rsid w:val="006268FB"/>
    <w:rsid w:val="00626EB6"/>
    <w:rsid w:val="00627626"/>
    <w:rsid w:val="00627E4E"/>
    <w:rsid w:val="006320B8"/>
    <w:rsid w:val="00634480"/>
    <w:rsid w:val="00634AA9"/>
    <w:rsid w:val="00634F8A"/>
    <w:rsid w:val="00635184"/>
    <w:rsid w:val="00637660"/>
    <w:rsid w:val="00640271"/>
    <w:rsid w:val="00641646"/>
    <w:rsid w:val="00642876"/>
    <w:rsid w:val="0064474E"/>
    <w:rsid w:val="00645FC8"/>
    <w:rsid w:val="0064747D"/>
    <w:rsid w:val="006519DD"/>
    <w:rsid w:val="00652F46"/>
    <w:rsid w:val="00655D03"/>
    <w:rsid w:val="00660872"/>
    <w:rsid w:val="006619CE"/>
    <w:rsid w:val="00664DAD"/>
    <w:rsid w:val="00673016"/>
    <w:rsid w:val="00677EE8"/>
    <w:rsid w:val="00680E49"/>
    <w:rsid w:val="00682054"/>
    <w:rsid w:val="00683388"/>
    <w:rsid w:val="00683F84"/>
    <w:rsid w:val="0068594B"/>
    <w:rsid w:val="006903DF"/>
    <w:rsid w:val="006922C3"/>
    <w:rsid w:val="006929A7"/>
    <w:rsid w:val="00697440"/>
    <w:rsid w:val="00697DC2"/>
    <w:rsid w:val="006A541A"/>
    <w:rsid w:val="006A6A81"/>
    <w:rsid w:val="006A74DD"/>
    <w:rsid w:val="006B19DA"/>
    <w:rsid w:val="006B7A88"/>
    <w:rsid w:val="006C1F1C"/>
    <w:rsid w:val="006C4650"/>
    <w:rsid w:val="006D2DD1"/>
    <w:rsid w:val="006D69D9"/>
    <w:rsid w:val="006E0863"/>
    <w:rsid w:val="006E1720"/>
    <w:rsid w:val="006E178C"/>
    <w:rsid w:val="006E2F31"/>
    <w:rsid w:val="006E7377"/>
    <w:rsid w:val="006F09D1"/>
    <w:rsid w:val="006F12AC"/>
    <w:rsid w:val="006F5C00"/>
    <w:rsid w:val="006F5CE9"/>
    <w:rsid w:val="006F70D5"/>
    <w:rsid w:val="006F7393"/>
    <w:rsid w:val="006F7A94"/>
    <w:rsid w:val="0070224F"/>
    <w:rsid w:val="007115F7"/>
    <w:rsid w:val="00711C0E"/>
    <w:rsid w:val="00711D57"/>
    <w:rsid w:val="00712DD5"/>
    <w:rsid w:val="00716549"/>
    <w:rsid w:val="00722A82"/>
    <w:rsid w:val="00724EF8"/>
    <w:rsid w:val="0072524A"/>
    <w:rsid w:val="00732D10"/>
    <w:rsid w:val="00733858"/>
    <w:rsid w:val="0073396E"/>
    <w:rsid w:val="00735428"/>
    <w:rsid w:val="00735444"/>
    <w:rsid w:val="00740CE8"/>
    <w:rsid w:val="0074169C"/>
    <w:rsid w:val="007444CD"/>
    <w:rsid w:val="007447F3"/>
    <w:rsid w:val="007467F1"/>
    <w:rsid w:val="007477FD"/>
    <w:rsid w:val="00750EB0"/>
    <w:rsid w:val="00752C49"/>
    <w:rsid w:val="00752F85"/>
    <w:rsid w:val="007538FC"/>
    <w:rsid w:val="007549FE"/>
    <w:rsid w:val="00756286"/>
    <w:rsid w:val="00770757"/>
    <w:rsid w:val="00775CF5"/>
    <w:rsid w:val="00780BF3"/>
    <w:rsid w:val="00782BDE"/>
    <w:rsid w:val="007840B9"/>
    <w:rsid w:val="00785689"/>
    <w:rsid w:val="00787DD6"/>
    <w:rsid w:val="00791CD0"/>
    <w:rsid w:val="007941A9"/>
    <w:rsid w:val="00794727"/>
    <w:rsid w:val="0079754B"/>
    <w:rsid w:val="007A1E6D"/>
    <w:rsid w:val="007A36EA"/>
    <w:rsid w:val="007A5497"/>
    <w:rsid w:val="007B04AB"/>
    <w:rsid w:val="007B0EB2"/>
    <w:rsid w:val="007B35F5"/>
    <w:rsid w:val="007B3889"/>
    <w:rsid w:val="007B4AC1"/>
    <w:rsid w:val="007C269C"/>
    <w:rsid w:val="007C4E84"/>
    <w:rsid w:val="007C53EF"/>
    <w:rsid w:val="007C6485"/>
    <w:rsid w:val="007D1AD8"/>
    <w:rsid w:val="007D3BEB"/>
    <w:rsid w:val="007D69DF"/>
    <w:rsid w:val="007D700D"/>
    <w:rsid w:val="007D733D"/>
    <w:rsid w:val="007E21A1"/>
    <w:rsid w:val="007E2236"/>
    <w:rsid w:val="007E6D3D"/>
    <w:rsid w:val="007E76DF"/>
    <w:rsid w:val="007F005D"/>
    <w:rsid w:val="007F2D41"/>
    <w:rsid w:val="007F2FE1"/>
    <w:rsid w:val="007F4A7A"/>
    <w:rsid w:val="007F69BF"/>
    <w:rsid w:val="00800513"/>
    <w:rsid w:val="00800EE3"/>
    <w:rsid w:val="008020E2"/>
    <w:rsid w:val="00802A3B"/>
    <w:rsid w:val="00803E6D"/>
    <w:rsid w:val="00807C42"/>
    <w:rsid w:val="00810B6F"/>
    <w:rsid w:val="0081271B"/>
    <w:rsid w:val="0081346C"/>
    <w:rsid w:val="00813CAB"/>
    <w:rsid w:val="00814BF1"/>
    <w:rsid w:val="00822CE0"/>
    <w:rsid w:val="0082492A"/>
    <w:rsid w:val="00826C35"/>
    <w:rsid w:val="00832EFF"/>
    <w:rsid w:val="0083796E"/>
    <w:rsid w:val="008416C4"/>
    <w:rsid w:val="00841AB1"/>
    <w:rsid w:val="0084322A"/>
    <w:rsid w:val="0084677D"/>
    <w:rsid w:val="008473BB"/>
    <w:rsid w:val="00851111"/>
    <w:rsid w:val="008550B4"/>
    <w:rsid w:val="00866529"/>
    <w:rsid w:val="008759F6"/>
    <w:rsid w:val="00882BEF"/>
    <w:rsid w:val="00886A1E"/>
    <w:rsid w:val="00886E55"/>
    <w:rsid w:val="00893C65"/>
    <w:rsid w:val="00894773"/>
    <w:rsid w:val="00895CD6"/>
    <w:rsid w:val="008A0DA1"/>
    <w:rsid w:val="008A5F0B"/>
    <w:rsid w:val="008A6D07"/>
    <w:rsid w:val="008A6F7E"/>
    <w:rsid w:val="008B3380"/>
    <w:rsid w:val="008B37C2"/>
    <w:rsid w:val="008B3D76"/>
    <w:rsid w:val="008C0173"/>
    <w:rsid w:val="008C032D"/>
    <w:rsid w:val="008C0D37"/>
    <w:rsid w:val="008C68F1"/>
    <w:rsid w:val="008D599B"/>
    <w:rsid w:val="008D7AEB"/>
    <w:rsid w:val="008E24E9"/>
    <w:rsid w:val="008E500E"/>
    <w:rsid w:val="008E696D"/>
    <w:rsid w:val="008E6B13"/>
    <w:rsid w:val="008F01A7"/>
    <w:rsid w:val="008F0A1E"/>
    <w:rsid w:val="008F39CE"/>
    <w:rsid w:val="008F62F3"/>
    <w:rsid w:val="008F7478"/>
    <w:rsid w:val="009006F8"/>
    <w:rsid w:val="00901C81"/>
    <w:rsid w:val="00901DEA"/>
    <w:rsid w:val="00902368"/>
    <w:rsid w:val="00905D56"/>
    <w:rsid w:val="00912F64"/>
    <w:rsid w:val="00914833"/>
    <w:rsid w:val="00915EE2"/>
    <w:rsid w:val="00916D08"/>
    <w:rsid w:val="00920C59"/>
    <w:rsid w:val="00921803"/>
    <w:rsid w:val="009251B1"/>
    <w:rsid w:val="009251C2"/>
    <w:rsid w:val="00925C51"/>
    <w:rsid w:val="00926503"/>
    <w:rsid w:val="00932EF8"/>
    <w:rsid w:val="00933A67"/>
    <w:rsid w:val="00933B22"/>
    <w:rsid w:val="00934113"/>
    <w:rsid w:val="00934CD6"/>
    <w:rsid w:val="009354FC"/>
    <w:rsid w:val="00936827"/>
    <w:rsid w:val="009430DE"/>
    <w:rsid w:val="0095091D"/>
    <w:rsid w:val="0095092B"/>
    <w:rsid w:val="0096268F"/>
    <w:rsid w:val="009726D8"/>
    <w:rsid w:val="00973203"/>
    <w:rsid w:val="00976458"/>
    <w:rsid w:val="009765FB"/>
    <w:rsid w:val="00977E38"/>
    <w:rsid w:val="00985519"/>
    <w:rsid w:val="00986B0D"/>
    <w:rsid w:val="009875DA"/>
    <w:rsid w:val="00991441"/>
    <w:rsid w:val="009924A6"/>
    <w:rsid w:val="009955C9"/>
    <w:rsid w:val="0099643A"/>
    <w:rsid w:val="00996AC6"/>
    <w:rsid w:val="009A281A"/>
    <w:rsid w:val="009A5EC4"/>
    <w:rsid w:val="009B37D4"/>
    <w:rsid w:val="009B550C"/>
    <w:rsid w:val="009C3CD2"/>
    <w:rsid w:val="009C3FDD"/>
    <w:rsid w:val="009C49BF"/>
    <w:rsid w:val="009D4DCE"/>
    <w:rsid w:val="009D5890"/>
    <w:rsid w:val="009D6BC5"/>
    <w:rsid w:val="009E0144"/>
    <w:rsid w:val="009E0D06"/>
    <w:rsid w:val="009E36E0"/>
    <w:rsid w:val="009E6F71"/>
    <w:rsid w:val="009F000B"/>
    <w:rsid w:val="009F199C"/>
    <w:rsid w:val="009F2006"/>
    <w:rsid w:val="009F2CC7"/>
    <w:rsid w:val="009F369B"/>
    <w:rsid w:val="009F76DB"/>
    <w:rsid w:val="00A009B1"/>
    <w:rsid w:val="00A01DBE"/>
    <w:rsid w:val="00A024F8"/>
    <w:rsid w:val="00A04237"/>
    <w:rsid w:val="00A14791"/>
    <w:rsid w:val="00A20A61"/>
    <w:rsid w:val="00A26306"/>
    <w:rsid w:val="00A32C3B"/>
    <w:rsid w:val="00A332CF"/>
    <w:rsid w:val="00A368BF"/>
    <w:rsid w:val="00A3768F"/>
    <w:rsid w:val="00A42048"/>
    <w:rsid w:val="00A45D98"/>
    <w:rsid w:val="00A45F4F"/>
    <w:rsid w:val="00A45FA9"/>
    <w:rsid w:val="00A53218"/>
    <w:rsid w:val="00A54F5D"/>
    <w:rsid w:val="00A55FBC"/>
    <w:rsid w:val="00A600A9"/>
    <w:rsid w:val="00A654F0"/>
    <w:rsid w:val="00A673EA"/>
    <w:rsid w:val="00A67F5D"/>
    <w:rsid w:val="00A7000E"/>
    <w:rsid w:val="00A7029A"/>
    <w:rsid w:val="00A72157"/>
    <w:rsid w:val="00A7394E"/>
    <w:rsid w:val="00A80A4C"/>
    <w:rsid w:val="00A86499"/>
    <w:rsid w:val="00A9421D"/>
    <w:rsid w:val="00A95BBC"/>
    <w:rsid w:val="00A95C55"/>
    <w:rsid w:val="00A97377"/>
    <w:rsid w:val="00AA2AFA"/>
    <w:rsid w:val="00AA2F63"/>
    <w:rsid w:val="00AA55B7"/>
    <w:rsid w:val="00AA5B9E"/>
    <w:rsid w:val="00AB041D"/>
    <w:rsid w:val="00AB2407"/>
    <w:rsid w:val="00AB388A"/>
    <w:rsid w:val="00AB4F96"/>
    <w:rsid w:val="00AB53DF"/>
    <w:rsid w:val="00AC27EB"/>
    <w:rsid w:val="00AD089E"/>
    <w:rsid w:val="00AD187D"/>
    <w:rsid w:val="00AD4AE9"/>
    <w:rsid w:val="00AD4E66"/>
    <w:rsid w:val="00AE1493"/>
    <w:rsid w:val="00AE7A3A"/>
    <w:rsid w:val="00AF3CDC"/>
    <w:rsid w:val="00AF52D5"/>
    <w:rsid w:val="00AF6C0F"/>
    <w:rsid w:val="00B013BD"/>
    <w:rsid w:val="00B03ACB"/>
    <w:rsid w:val="00B05558"/>
    <w:rsid w:val="00B07E5C"/>
    <w:rsid w:val="00B105E5"/>
    <w:rsid w:val="00B129FE"/>
    <w:rsid w:val="00B131AB"/>
    <w:rsid w:val="00B13D56"/>
    <w:rsid w:val="00B1773A"/>
    <w:rsid w:val="00B20069"/>
    <w:rsid w:val="00B23B35"/>
    <w:rsid w:val="00B23D81"/>
    <w:rsid w:val="00B26AA9"/>
    <w:rsid w:val="00B27B1C"/>
    <w:rsid w:val="00B32157"/>
    <w:rsid w:val="00B37BC8"/>
    <w:rsid w:val="00B37F63"/>
    <w:rsid w:val="00B41116"/>
    <w:rsid w:val="00B44530"/>
    <w:rsid w:val="00B445EB"/>
    <w:rsid w:val="00B44AC6"/>
    <w:rsid w:val="00B45270"/>
    <w:rsid w:val="00B465CE"/>
    <w:rsid w:val="00B46D89"/>
    <w:rsid w:val="00B5128E"/>
    <w:rsid w:val="00B51AF5"/>
    <w:rsid w:val="00B5316B"/>
    <w:rsid w:val="00B5424E"/>
    <w:rsid w:val="00B55BCE"/>
    <w:rsid w:val="00B5660E"/>
    <w:rsid w:val="00B61DF3"/>
    <w:rsid w:val="00B66940"/>
    <w:rsid w:val="00B70060"/>
    <w:rsid w:val="00B70F3D"/>
    <w:rsid w:val="00B710B9"/>
    <w:rsid w:val="00B742EA"/>
    <w:rsid w:val="00B74414"/>
    <w:rsid w:val="00B77D2C"/>
    <w:rsid w:val="00B811F7"/>
    <w:rsid w:val="00B814D2"/>
    <w:rsid w:val="00B8610D"/>
    <w:rsid w:val="00B87B66"/>
    <w:rsid w:val="00B9011D"/>
    <w:rsid w:val="00B920E9"/>
    <w:rsid w:val="00B92C80"/>
    <w:rsid w:val="00B93AD0"/>
    <w:rsid w:val="00B95954"/>
    <w:rsid w:val="00BA5BE4"/>
    <w:rsid w:val="00BA5DC6"/>
    <w:rsid w:val="00BA6196"/>
    <w:rsid w:val="00BC2046"/>
    <w:rsid w:val="00BC24EB"/>
    <w:rsid w:val="00BC2A95"/>
    <w:rsid w:val="00BC2FBB"/>
    <w:rsid w:val="00BC45C8"/>
    <w:rsid w:val="00BC5D2B"/>
    <w:rsid w:val="00BC6D8C"/>
    <w:rsid w:val="00BD0910"/>
    <w:rsid w:val="00BD2BAC"/>
    <w:rsid w:val="00BD407B"/>
    <w:rsid w:val="00BD4FD0"/>
    <w:rsid w:val="00BD59FA"/>
    <w:rsid w:val="00BE1A04"/>
    <w:rsid w:val="00BE4BF8"/>
    <w:rsid w:val="00BE7826"/>
    <w:rsid w:val="00BF5B53"/>
    <w:rsid w:val="00BF7CBE"/>
    <w:rsid w:val="00BF7F73"/>
    <w:rsid w:val="00C02595"/>
    <w:rsid w:val="00C026F4"/>
    <w:rsid w:val="00C02ED5"/>
    <w:rsid w:val="00C03C34"/>
    <w:rsid w:val="00C04D5F"/>
    <w:rsid w:val="00C060B2"/>
    <w:rsid w:val="00C10DFB"/>
    <w:rsid w:val="00C16ECF"/>
    <w:rsid w:val="00C1790F"/>
    <w:rsid w:val="00C17A52"/>
    <w:rsid w:val="00C226F3"/>
    <w:rsid w:val="00C23B59"/>
    <w:rsid w:val="00C250D1"/>
    <w:rsid w:val="00C3175F"/>
    <w:rsid w:val="00C32123"/>
    <w:rsid w:val="00C33C64"/>
    <w:rsid w:val="00C34006"/>
    <w:rsid w:val="00C426B1"/>
    <w:rsid w:val="00C443DB"/>
    <w:rsid w:val="00C53BF1"/>
    <w:rsid w:val="00C55291"/>
    <w:rsid w:val="00C55346"/>
    <w:rsid w:val="00C56EF9"/>
    <w:rsid w:val="00C61AFD"/>
    <w:rsid w:val="00C61FC2"/>
    <w:rsid w:val="00C6387B"/>
    <w:rsid w:val="00C64466"/>
    <w:rsid w:val="00C66160"/>
    <w:rsid w:val="00C663FD"/>
    <w:rsid w:val="00C66C6A"/>
    <w:rsid w:val="00C67B1D"/>
    <w:rsid w:val="00C721AC"/>
    <w:rsid w:val="00C851FE"/>
    <w:rsid w:val="00C90D6A"/>
    <w:rsid w:val="00C97DDB"/>
    <w:rsid w:val="00CA16D5"/>
    <w:rsid w:val="00CA247E"/>
    <w:rsid w:val="00CA3CEA"/>
    <w:rsid w:val="00CB0B8B"/>
    <w:rsid w:val="00CB19E0"/>
    <w:rsid w:val="00CB2A91"/>
    <w:rsid w:val="00CC3F58"/>
    <w:rsid w:val="00CC6D3D"/>
    <w:rsid w:val="00CC72B6"/>
    <w:rsid w:val="00CD1892"/>
    <w:rsid w:val="00CD4BAD"/>
    <w:rsid w:val="00CD5795"/>
    <w:rsid w:val="00CE0532"/>
    <w:rsid w:val="00CE0A0E"/>
    <w:rsid w:val="00CE17CD"/>
    <w:rsid w:val="00CE4CD9"/>
    <w:rsid w:val="00CE5BD5"/>
    <w:rsid w:val="00D0218D"/>
    <w:rsid w:val="00D02228"/>
    <w:rsid w:val="00D02566"/>
    <w:rsid w:val="00D046DA"/>
    <w:rsid w:val="00D17D07"/>
    <w:rsid w:val="00D2061F"/>
    <w:rsid w:val="00D2110E"/>
    <w:rsid w:val="00D22672"/>
    <w:rsid w:val="00D24B26"/>
    <w:rsid w:val="00D25FB5"/>
    <w:rsid w:val="00D33345"/>
    <w:rsid w:val="00D424A3"/>
    <w:rsid w:val="00D425E1"/>
    <w:rsid w:val="00D44223"/>
    <w:rsid w:val="00D4602A"/>
    <w:rsid w:val="00D517B3"/>
    <w:rsid w:val="00D51886"/>
    <w:rsid w:val="00D52BC8"/>
    <w:rsid w:val="00D5461A"/>
    <w:rsid w:val="00D554FD"/>
    <w:rsid w:val="00D577BF"/>
    <w:rsid w:val="00D62A93"/>
    <w:rsid w:val="00D64C39"/>
    <w:rsid w:val="00D64EB1"/>
    <w:rsid w:val="00D65E83"/>
    <w:rsid w:val="00D670AC"/>
    <w:rsid w:val="00D67B2E"/>
    <w:rsid w:val="00D71F3E"/>
    <w:rsid w:val="00D72119"/>
    <w:rsid w:val="00D73C38"/>
    <w:rsid w:val="00D834F1"/>
    <w:rsid w:val="00D838BA"/>
    <w:rsid w:val="00D85DBC"/>
    <w:rsid w:val="00D86A61"/>
    <w:rsid w:val="00D937A7"/>
    <w:rsid w:val="00D9418D"/>
    <w:rsid w:val="00D978E8"/>
    <w:rsid w:val="00D97FB7"/>
    <w:rsid w:val="00DA06AC"/>
    <w:rsid w:val="00DA151D"/>
    <w:rsid w:val="00DA1B21"/>
    <w:rsid w:val="00DA241B"/>
    <w:rsid w:val="00DA2529"/>
    <w:rsid w:val="00DA317A"/>
    <w:rsid w:val="00DA46D3"/>
    <w:rsid w:val="00DA542D"/>
    <w:rsid w:val="00DA639C"/>
    <w:rsid w:val="00DA6A6C"/>
    <w:rsid w:val="00DB130A"/>
    <w:rsid w:val="00DB2EBB"/>
    <w:rsid w:val="00DB63A8"/>
    <w:rsid w:val="00DB6C57"/>
    <w:rsid w:val="00DC10A1"/>
    <w:rsid w:val="00DC25C4"/>
    <w:rsid w:val="00DC3E73"/>
    <w:rsid w:val="00DC655F"/>
    <w:rsid w:val="00DC78A9"/>
    <w:rsid w:val="00DD028D"/>
    <w:rsid w:val="00DD0B59"/>
    <w:rsid w:val="00DD260B"/>
    <w:rsid w:val="00DD558E"/>
    <w:rsid w:val="00DD7EBD"/>
    <w:rsid w:val="00DE29E1"/>
    <w:rsid w:val="00DE31AB"/>
    <w:rsid w:val="00DE501D"/>
    <w:rsid w:val="00DF2577"/>
    <w:rsid w:val="00DF5E69"/>
    <w:rsid w:val="00DF62B6"/>
    <w:rsid w:val="00DF7914"/>
    <w:rsid w:val="00E0178E"/>
    <w:rsid w:val="00E028E8"/>
    <w:rsid w:val="00E03959"/>
    <w:rsid w:val="00E07225"/>
    <w:rsid w:val="00E07A1A"/>
    <w:rsid w:val="00E102BD"/>
    <w:rsid w:val="00E10C6C"/>
    <w:rsid w:val="00E1184F"/>
    <w:rsid w:val="00E24960"/>
    <w:rsid w:val="00E25AC6"/>
    <w:rsid w:val="00E3079F"/>
    <w:rsid w:val="00E31BA3"/>
    <w:rsid w:val="00E32112"/>
    <w:rsid w:val="00E3350E"/>
    <w:rsid w:val="00E359A7"/>
    <w:rsid w:val="00E41668"/>
    <w:rsid w:val="00E41ACC"/>
    <w:rsid w:val="00E43A45"/>
    <w:rsid w:val="00E47243"/>
    <w:rsid w:val="00E478E2"/>
    <w:rsid w:val="00E5409F"/>
    <w:rsid w:val="00E55ABD"/>
    <w:rsid w:val="00E628B4"/>
    <w:rsid w:val="00E64E52"/>
    <w:rsid w:val="00E67944"/>
    <w:rsid w:val="00E71A63"/>
    <w:rsid w:val="00E76DF4"/>
    <w:rsid w:val="00E772B4"/>
    <w:rsid w:val="00E772DC"/>
    <w:rsid w:val="00E80DD6"/>
    <w:rsid w:val="00E83608"/>
    <w:rsid w:val="00E846C5"/>
    <w:rsid w:val="00E86ADC"/>
    <w:rsid w:val="00E91842"/>
    <w:rsid w:val="00E94412"/>
    <w:rsid w:val="00E954EE"/>
    <w:rsid w:val="00EA2926"/>
    <w:rsid w:val="00EA4759"/>
    <w:rsid w:val="00EA4C45"/>
    <w:rsid w:val="00EB1E59"/>
    <w:rsid w:val="00EB249C"/>
    <w:rsid w:val="00EB4002"/>
    <w:rsid w:val="00EB5351"/>
    <w:rsid w:val="00EC0291"/>
    <w:rsid w:val="00EC04B7"/>
    <w:rsid w:val="00EC08ED"/>
    <w:rsid w:val="00EC675C"/>
    <w:rsid w:val="00EC687D"/>
    <w:rsid w:val="00EC6B69"/>
    <w:rsid w:val="00ED0B16"/>
    <w:rsid w:val="00ED2848"/>
    <w:rsid w:val="00ED4BE0"/>
    <w:rsid w:val="00EE35AF"/>
    <w:rsid w:val="00EE6488"/>
    <w:rsid w:val="00EF1231"/>
    <w:rsid w:val="00EF1525"/>
    <w:rsid w:val="00EF2A8A"/>
    <w:rsid w:val="00EF2BEC"/>
    <w:rsid w:val="00EF3D4B"/>
    <w:rsid w:val="00EF5BEB"/>
    <w:rsid w:val="00F00D72"/>
    <w:rsid w:val="00F00F31"/>
    <w:rsid w:val="00F021FA"/>
    <w:rsid w:val="00F05DE7"/>
    <w:rsid w:val="00F10335"/>
    <w:rsid w:val="00F10E95"/>
    <w:rsid w:val="00F13721"/>
    <w:rsid w:val="00F14DFD"/>
    <w:rsid w:val="00F20C79"/>
    <w:rsid w:val="00F2118D"/>
    <w:rsid w:val="00F2646E"/>
    <w:rsid w:val="00F3170D"/>
    <w:rsid w:val="00F369F1"/>
    <w:rsid w:val="00F36A75"/>
    <w:rsid w:val="00F42487"/>
    <w:rsid w:val="00F42B5C"/>
    <w:rsid w:val="00F52210"/>
    <w:rsid w:val="00F55DFD"/>
    <w:rsid w:val="00F56167"/>
    <w:rsid w:val="00F567E4"/>
    <w:rsid w:val="00F572F7"/>
    <w:rsid w:val="00F5767C"/>
    <w:rsid w:val="00F61800"/>
    <w:rsid w:val="00F62E97"/>
    <w:rsid w:val="00F632C0"/>
    <w:rsid w:val="00F64209"/>
    <w:rsid w:val="00F654D5"/>
    <w:rsid w:val="00F70935"/>
    <w:rsid w:val="00F752C7"/>
    <w:rsid w:val="00F8246B"/>
    <w:rsid w:val="00F85409"/>
    <w:rsid w:val="00F9220D"/>
    <w:rsid w:val="00F923B0"/>
    <w:rsid w:val="00F93BF5"/>
    <w:rsid w:val="00F95504"/>
    <w:rsid w:val="00FA172E"/>
    <w:rsid w:val="00FA3EFF"/>
    <w:rsid w:val="00FA6A5A"/>
    <w:rsid w:val="00FB0129"/>
    <w:rsid w:val="00FB0433"/>
    <w:rsid w:val="00FB326E"/>
    <w:rsid w:val="00FB3411"/>
    <w:rsid w:val="00FB3B04"/>
    <w:rsid w:val="00FB4FC9"/>
    <w:rsid w:val="00FB6D9D"/>
    <w:rsid w:val="00FC01D6"/>
    <w:rsid w:val="00FC0890"/>
    <w:rsid w:val="00FC1E09"/>
    <w:rsid w:val="00FC4A71"/>
    <w:rsid w:val="00FC7A80"/>
    <w:rsid w:val="00FD077A"/>
    <w:rsid w:val="00FD4906"/>
    <w:rsid w:val="00FD7A0E"/>
    <w:rsid w:val="00FD7AE9"/>
    <w:rsid w:val="00FE0C0E"/>
    <w:rsid w:val="00FE25D3"/>
    <w:rsid w:val="00FE2A16"/>
    <w:rsid w:val="00FE49E5"/>
    <w:rsid w:val="00FE668C"/>
    <w:rsid w:val="00FE6BD7"/>
    <w:rsid w:val="00FF0493"/>
    <w:rsid w:val="00FF16CA"/>
    <w:rsid w:val="00FF34AD"/>
    <w:rsid w:val="00FF52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0D"/>
    <w:pPr>
      <w:widowControl w:val="0"/>
    </w:pPr>
    <w:rPr>
      <w:snapToGrid w:val="0"/>
      <w:kern w:val="28"/>
      <w:sz w:val="22"/>
    </w:rPr>
  </w:style>
  <w:style w:type="paragraph" w:styleId="Heading1">
    <w:name w:val="heading 1"/>
    <w:basedOn w:val="Normal"/>
    <w:next w:val="ParaNum"/>
    <w:qFormat/>
    <w:rsid w:val="007D70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D700D"/>
    <w:pPr>
      <w:keepNext/>
      <w:numPr>
        <w:ilvl w:val="1"/>
        <w:numId w:val="3"/>
      </w:numPr>
      <w:spacing w:after="120"/>
      <w:outlineLvl w:val="1"/>
    </w:pPr>
    <w:rPr>
      <w:b/>
    </w:rPr>
  </w:style>
  <w:style w:type="paragraph" w:styleId="Heading3">
    <w:name w:val="heading 3"/>
    <w:basedOn w:val="Normal"/>
    <w:next w:val="ParaNum"/>
    <w:qFormat/>
    <w:rsid w:val="007D700D"/>
    <w:pPr>
      <w:keepNext/>
      <w:numPr>
        <w:ilvl w:val="2"/>
        <w:numId w:val="3"/>
      </w:numPr>
      <w:tabs>
        <w:tab w:val="left" w:pos="2160"/>
      </w:tabs>
      <w:spacing w:after="120"/>
      <w:outlineLvl w:val="2"/>
    </w:pPr>
    <w:rPr>
      <w:b/>
    </w:rPr>
  </w:style>
  <w:style w:type="paragraph" w:styleId="Heading4">
    <w:name w:val="heading 4"/>
    <w:basedOn w:val="Normal"/>
    <w:next w:val="ParaNum"/>
    <w:qFormat/>
    <w:rsid w:val="007D700D"/>
    <w:pPr>
      <w:keepNext/>
      <w:numPr>
        <w:ilvl w:val="3"/>
        <w:numId w:val="3"/>
      </w:numPr>
      <w:tabs>
        <w:tab w:val="left" w:pos="2880"/>
      </w:tabs>
      <w:spacing w:after="120"/>
      <w:outlineLvl w:val="3"/>
    </w:pPr>
    <w:rPr>
      <w:b/>
    </w:rPr>
  </w:style>
  <w:style w:type="paragraph" w:styleId="Heading5">
    <w:name w:val="heading 5"/>
    <w:basedOn w:val="Normal"/>
    <w:next w:val="ParaNum"/>
    <w:qFormat/>
    <w:rsid w:val="007D70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D700D"/>
    <w:pPr>
      <w:numPr>
        <w:ilvl w:val="5"/>
        <w:numId w:val="3"/>
      </w:numPr>
      <w:tabs>
        <w:tab w:val="left" w:pos="4320"/>
      </w:tabs>
      <w:spacing w:after="120"/>
      <w:outlineLvl w:val="5"/>
    </w:pPr>
    <w:rPr>
      <w:b/>
    </w:rPr>
  </w:style>
  <w:style w:type="paragraph" w:styleId="Heading7">
    <w:name w:val="heading 7"/>
    <w:basedOn w:val="Normal"/>
    <w:next w:val="ParaNum"/>
    <w:qFormat/>
    <w:rsid w:val="007D70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70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D70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D700D"/>
    <w:pPr>
      <w:numPr>
        <w:numId w:val="2"/>
      </w:numPr>
      <w:tabs>
        <w:tab w:val="clear" w:pos="1080"/>
        <w:tab w:val="num" w:pos="1440"/>
      </w:tabs>
      <w:spacing w:after="120"/>
    </w:pPr>
  </w:style>
  <w:style w:type="paragraph" w:styleId="EndnoteText">
    <w:name w:val="endnote text"/>
    <w:basedOn w:val="Normal"/>
    <w:semiHidden/>
    <w:rsid w:val="007D700D"/>
    <w:rPr>
      <w:sz w:val="20"/>
    </w:rPr>
  </w:style>
  <w:style w:type="character" w:styleId="EndnoteReference">
    <w:name w:val="endnote reference"/>
    <w:semiHidden/>
    <w:rsid w:val="007D700D"/>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7D700D"/>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7D700D"/>
    <w:rPr>
      <w:rFonts w:ascii="Times New Roman" w:hAnsi="Times New Roman"/>
      <w:dstrike w:val="0"/>
      <w:color w:val="auto"/>
      <w:sz w:val="20"/>
      <w:vertAlign w:val="superscript"/>
    </w:rPr>
  </w:style>
  <w:style w:type="paragraph" w:styleId="TOC1">
    <w:name w:val="toc 1"/>
    <w:basedOn w:val="Normal"/>
    <w:next w:val="Normal"/>
    <w:semiHidden/>
    <w:rsid w:val="007D70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700D"/>
    <w:pPr>
      <w:tabs>
        <w:tab w:val="left" w:pos="720"/>
        <w:tab w:val="right" w:leader="dot" w:pos="9360"/>
      </w:tabs>
      <w:suppressAutoHyphens/>
      <w:ind w:left="720" w:right="720" w:hanging="360"/>
    </w:pPr>
    <w:rPr>
      <w:noProof/>
    </w:rPr>
  </w:style>
  <w:style w:type="paragraph" w:styleId="TOC3">
    <w:name w:val="toc 3"/>
    <w:basedOn w:val="Normal"/>
    <w:next w:val="Normal"/>
    <w:semiHidden/>
    <w:rsid w:val="007D70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70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70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70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70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70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70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700D"/>
    <w:pPr>
      <w:tabs>
        <w:tab w:val="right" w:pos="9360"/>
      </w:tabs>
      <w:suppressAutoHyphens/>
    </w:pPr>
  </w:style>
  <w:style w:type="character" w:customStyle="1" w:styleId="EquationCaption">
    <w:name w:val="_Equation Caption"/>
    <w:rsid w:val="007D700D"/>
  </w:style>
  <w:style w:type="paragraph" w:styleId="Header">
    <w:name w:val="header"/>
    <w:basedOn w:val="Normal"/>
    <w:autoRedefine/>
    <w:rsid w:val="007D700D"/>
    <w:pPr>
      <w:tabs>
        <w:tab w:val="center" w:pos="4680"/>
        <w:tab w:val="right" w:pos="9360"/>
      </w:tabs>
    </w:pPr>
    <w:rPr>
      <w:b/>
    </w:rPr>
  </w:style>
  <w:style w:type="paragraph" w:styleId="Footer">
    <w:name w:val="footer"/>
    <w:basedOn w:val="Normal"/>
    <w:rsid w:val="007D700D"/>
    <w:pPr>
      <w:tabs>
        <w:tab w:val="center" w:pos="4320"/>
        <w:tab w:val="right" w:pos="8640"/>
      </w:tabs>
    </w:pPr>
  </w:style>
  <w:style w:type="character" w:styleId="PageNumber">
    <w:name w:val="page number"/>
    <w:basedOn w:val="DefaultParagraphFont"/>
    <w:rsid w:val="007D700D"/>
  </w:style>
  <w:style w:type="paragraph" w:styleId="BlockText">
    <w:name w:val="Block Text"/>
    <w:basedOn w:val="Normal"/>
    <w:rsid w:val="007D700D"/>
    <w:pPr>
      <w:spacing w:after="240"/>
      <w:ind w:left="1440" w:right="1440"/>
    </w:pPr>
  </w:style>
  <w:style w:type="paragraph" w:customStyle="1" w:styleId="Paratitle">
    <w:name w:val="Para title"/>
    <w:basedOn w:val="Normal"/>
    <w:rsid w:val="007D700D"/>
    <w:pPr>
      <w:tabs>
        <w:tab w:val="center" w:pos="9270"/>
      </w:tabs>
      <w:spacing w:after="240"/>
    </w:pPr>
    <w:rPr>
      <w:spacing w:val="-2"/>
    </w:rPr>
  </w:style>
  <w:style w:type="paragraph" w:customStyle="1" w:styleId="Bullet">
    <w:name w:val="Bullet"/>
    <w:basedOn w:val="Normal"/>
    <w:rsid w:val="007D700D"/>
    <w:pPr>
      <w:tabs>
        <w:tab w:val="left" w:pos="2160"/>
      </w:tabs>
      <w:spacing w:after="220"/>
      <w:ind w:left="2160" w:hanging="720"/>
    </w:pPr>
  </w:style>
  <w:style w:type="paragraph" w:customStyle="1" w:styleId="TableFormat">
    <w:name w:val="TableFormat"/>
    <w:basedOn w:val="Bullet"/>
    <w:rsid w:val="007D700D"/>
    <w:pPr>
      <w:tabs>
        <w:tab w:val="clear" w:pos="2160"/>
        <w:tab w:val="left" w:pos="5040"/>
      </w:tabs>
      <w:ind w:left="5040" w:hanging="3600"/>
    </w:pPr>
  </w:style>
  <w:style w:type="paragraph" w:customStyle="1" w:styleId="TOCTitle">
    <w:name w:val="TOC Title"/>
    <w:basedOn w:val="Normal"/>
    <w:rsid w:val="007D70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700D"/>
    <w:pPr>
      <w:jc w:val="center"/>
    </w:pPr>
    <w:rPr>
      <w:rFonts w:ascii="Times New Roman Bold" w:hAnsi="Times New Roman Bold"/>
      <w:b/>
      <w:bCs/>
      <w:caps/>
      <w:szCs w:val="22"/>
    </w:rPr>
  </w:style>
  <w:style w:type="character" w:styleId="Hyperlink">
    <w:name w:val="Hyperlink"/>
    <w:rsid w:val="007D700D"/>
    <w:rPr>
      <w:color w:val="0000FF"/>
      <w:u w:val="single"/>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rsid w:val="00446086"/>
  </w:style>
  <w:style w:type="character" w:customStyle="1" w:styleId="ParaNumChar">
    <w:name w:val="ParaNum Char"/>
    <w:link w:val="ParaNum"/>
    <w:locked/>
    <w:rsid w:val="00446086"/>
    <w:rPr>
      <w:snapToGrid w:val="0"/>
      <w:kern w:val="28"/>
      <w:sz w:val="22"/>
    </w:rPr>
  </w:style>
  <w:style w:type="paragraph" w:styleId="BalloonText">
    <w:name w:val="Balloon Text"/>
    <w:basedOn w:val="Normal"/>
    <w:link w:val="BalloonTextChar"/>
    <w:rsid w:val="007A36EA"/>
    <w:rPr>
      <w:rFonts w:ascii="Segoe UI" w:hAnsi="Segoe UI" w:cs="Segoe UI"/>
      <w:sz w:val="18"/>
      <w:szCs w:val="18"/>
    </w:rPr>
  </w:style>
  <w:style w:type="character" w:customStyle="1" w:styleId="BalloonTextChar">
    <w:name w:val="Balloon Text Char"/>
    <w:basedOn w:val="DefaultParagraphFont"/>
    <w:link w:val="BalloonText"/>
    <w:rsid w:val="007A36EA"/>
    <w:rPr>
      <w:rFonts w:ascii="Segoe UI" w:hAnsi="Segoe UI" w:cs="Segoe UI"/>
      <w:snapToGrid w:val="0"/>
      <w:kern w:val="28"/>
      <w:sz w:val="18"/>
      <w:szCs w:val="18"/>
    </w:rPr>
  </w:style>
  <w:style w:type="character" w:styleId="CommentReference">
    <w:name w:val="annotation reference"/>
    <w:basedOn w:val="DefaultParagraphFont"/>
    <w:rsid w:val="00F10E95"/>
    <w:rPr>
      <w:sz w:val="16"/>
      <w:szCs w:val="16"/>
    </w:rPr>
  </w:style>
  <w:style w:type="paragraph" w:styleId="CommentText">
    <w:name w:val="annotation text"/>
    <w:basedOn w:val="Normal"/>
    <w:link w:val="CommentTextChar"/>
    <w:rsid w:val="00F10E95"/>
    <w:rPr>
      <w:sz w:val="20"/>
    </w:rPr>
  </w:style>
  <w:style w:type="character" w:customStyle="1" w:styleId="CommentTextChar">
    <w:name w:val="Comment Text Char"/>
    <w:basedOn w:val="DefaultParagraphFont"/>
    <w:link w:val="CommentText"/>
    <w:rsid w:val="00F10E95"/>
    <w:rPr>
      <w:snapToGrid w:val="0"/>
      <w:kern w:val="28"/>
    </w:rPr>
  </w:style>
  <w:style w:type="paragraph" w:styleId="CommentSubject">
    <w:name w:val="annotation subject"/>
    <w:basedOn w:val="CommentText"/>
    <w:next w:val="CommentText"/>
    <w:link w:val="CommentSubjectChar"/>
    <w:rsid w:val="00F10E95"/>
    <w:rPr>
      <w:b/>
      <w:bCs/>
    </w:rPr>
  </w:style>
  <w:style w:type="character" w:customStyle="1" w:styleId="CommentSubjectChar">
    <w:name w:val="Comment Subject Char"/>
    <w:basedOn w:val="CommentTextChar"/>
    <w:link w:val="CommentSubject"/>
    <w:rsid w:val="00F10E95"/>
    <w:rPr>
      <w:b/>
      <w:bCs/>
      <w:snapToGrid w:val="0"/>
      <w:kern w:val="28"/>
    </w:rPr>
  </w:style>
  <w:style w:type="paragraph" w:styleId="Revision">
    <w:name w:val="Revision"/>
    <w:hidden/>
    <w:uiPriority w:val="99"/>
    <w:semiHidden/>
    <w:rsid w:val="00D64C39"/>
    <w:rPr>
      <w:snapToGrid w:val="0"/>
      <w:kern w:val="28"/>
      <w:sz w:val="22"/>
    </w:rPr>
  </w:style>
  <w:style w:type="paragraph" w:styleId="ListParagraph">
    <w:name w:val="List Paragraph"/>
    <w:basedOn w:val="Normal"/>
    <w:uiPriority w:val="34"/>
    <w:qFormat/>
    <w:rsid w:val="003003DF"/>
    <w:pPr>
      <w:ind w:left="720"/>
      <w:contextualSpacing/>
    </w:pPr>
  </w:style>
  <w:style w:type="table" w:styleId="TableGrid">
    <w:name w:val="Table Grid"/>
    <w:basedOn w:val="TableNormal"/>
    <w:rsid w:val="004F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920E-2760-45C9-9D88-556D9E74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3830</Words>
  <Characters>21834</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_</vt:lpstr>
      <vt:lpstr/>
      <vt:lpstr>introduction</vt:lpstr>
      <vt:lpstr>Background</vt:lpstr>
      <vt:lpstr>Discussion</vt:lpstr>
      <vt:lpstr>    Replacing the Surrogate Method</vt:lpstr>
      <vt:lpstr>    ARC Imputation</vt:lpstr>
      <vt:lpstr>    Clarification of Competitive Overlap Procedures</vt:lpstr>
      <vt:lpstr>PROCEDURAL MATTERS</vt:lpstr>
      <vt:lpstr>    Paperwork Reduction Act Analysis</vt:lpstr>
      <vt:lpstr>    Congressional Review Act</vt:lpstr>
      <vt:lpstr>    Final Regulatory Flexibility Certification</vt:lpstr>
      <vt:lpstr>Ordering clauses</vt:lpstr>
    </vt:vector>
  </TitlesOfParts>
  <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2018-02-16T20:11:52Z</dcterms:created>
  <dcterms:modified xsi:type="dcterms:W3CDTF">2018-02-16T20:11:52Z</dcterms:modified>
</cp:coreProperties>
</file>