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74BC" w:rsidP="004974B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4974BC" w:rsidP="004974BC">
      <w:pPr>
        <w:pStyle w:val="StyleBoldCentered"/>
        <w:widowControl/>
      </w:pPr>
      <w:r>
        <w:t>F</w:t>
      </w:r>
      <w:r>
        <w:rPr>
          <w:caps w:val="0"/>
        </w:rPr>
        <w:t>ederal Communications Commission</w:t>
      </w:r>
    </w:p>
    <w:p w:rsidR="004974BC" w:rsidP="004974BC">
      <w:pPr>
        <w:pStyle w:val="StyleBoldCentered"/>
        <w:widowControl/>
      </w:pPr>
      <w:r>
        <w:rPr>
          <w:caps w:val="0"/>
        </w:rPr>
        <w:t>Washington, D.C. 20554</w:t>
      </w:r>
    </w:p>
    <w:p w:rsidR="004974BC" w:rsidP="004974BC">
      <w:pPr>
        <w:widowControl/>
      </w:pPr>
    </w:p>
    <w:p w:rsidR="004974BC" w:rsidP="004974BC">
      <w:pPr>
        <w:widowControl/>
      </w:pPr>
    </w:p>
    <w:tbl>
      <w:tblPr>
        <w:tblW w:w="0" w:type="auto"/>
        <w:tblLayout w:type="fixed"/>
        <w:tblLook w:val="0000"/>
      </w:tblPr>
      <w:tblGrid>
        <w:gridCol w:w="4698"/>
        <w:gridCol w:w="630"/>
        <w:gridCol w:w="4248"/>
      </w:tblGrid>
      <w:tr w:rsidTr="00933418">
        <w:tblPrEx>
          <w:tblW w:w="0" w:type="auto"/>
          <w:tblLayout w:type="fixed"/>
          <w:tblLook w:val="0000"/>
        </w:tblPrEx>
        <w:tc>
          <w:tcPr>
            <w:tcW w:w="4698" w:type="dxa"/>
          </w:tcPr>
          <w:p w:rsidR="004974BC" w:rsidP="00933418">
            <w:pPr>
              <w:widowControl/>
              <w:tabs>
                <w:tab w:val="center" w:pos="4680"/>
              </w:tabs>
              <w:suppressAutoHyphens/>
              <w:rPr>
                <w:spacing w:val="-2"/>
              </w:rPr>
            </w:pPr>
            <w:r>
              <w:rPr>
                <w:spacing w:val="-2"/>
              </w:rPr>
              <w:t>In the Matter of</w:t>
            </w: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r w:rsidRPr="00A47095">
              <w:rPr>
                <w:spacing w:val="-2"/>
              </w:rPr>
              <w:t>Creation of Interstitial 12.5 Kilohertz Channels in the 800 MHz Band Between 809-817/854-862 MHz</w:t>
            </w: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r>
              <w:rPr>
                <w:spacing w:val="-2"/>
              </w:rPr>
              <w:t>Amendment of Part 90 of the Commission’s Rules to Improve Access to Private Land Mobile Radio Spectrum</w:t>
            </w:r>
          </w:p>
          <w:p w:rsidR="004974BC" w:rsidP="00933418">
            <w:pPr>
              <w:widowControl/>
            </w:pPr>
          </w:p>
          <w:p w:rsidR="004974BC" w:rsidP="00933418">
            <w:pPr>
              <w:widowControl/>
            </w:pPr>
            <w:r>
              <w:t>Land Mobile Communications Council</w:t>
            </w:r>
          </w:p>
          <w:p w:rsidR="004974BC" w:rsidP="00933418">
            <w:pPr>
              <w:widowControl/>
            </w:pPr>
            <w:r>
              <w:t>Petition for Rulemaking Regarding Interim Eligibility for 800 MHz Expansion Band and Guard Band Frequencies</w:t>
            </w:r>
          </w:p>
          <w:p w:rsidR="004974BC" w:rsidP="00933418">
            <w:pPr>
              <w:widowControl/>
            </w:pPr>
          </w:p>
          <w:p w:rsidR="004974BC" w:rsidP="00933418">
            <w:pPr>
              <w:widowControl/>
            </w:pPr>
            <w:r>
              <w:t>Petition for Rulemaking Regarding Conditional Licensing Authority Above 470 MHz</w:t>
            </w:r>
          </w:p>
          <w:p w:rsidR="004974BC" w:rsidRPr="007115F7" w:rsidP="00933418">
            <w:pPr>
              <w:widowControl/>
              <w:tabs>
                <w:tab w:val="center" w:pos="4680"/>
              </w:tabs>
              <w:suppressAutoHyphens/>
              <w:rPr>
                <w:spacing w:val="-2"/>
              </w:rPr>
            </w:pPr>
          </w:p>
        </w:tc>
        <w:tc>
          <w:tcPr>
            <w:tcW w:w="630" w:type="dxa"/>
          </w:tcPr>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b/>
                <w:spacing w:val="-2"/>
              </w:rPr>
            </w:pPr>
            <w:r>
              <w:rPr>
                <w:b/>
                <w:spacing w:val="-2"/>
              </w:rPr>
              <w:t>)</w:t>
            </w:r>
          </w:p>
          <w:p w:rsidR="004974BC" w:rsidP="00933418">
            <w:pPr>
              <w:widowControl/>
              <w:tabs>
                <w:tab w:val="center" w:pos="4680"/>
              </w:tabs>
              <w:suppressAutoHyphens/>
              <w:rPr>
                <w:spacing w:val="-2"/>
              </w:rPr>
            </w:pPr>
            <w:r>
              <w:rPr>
                <w:b/>
                <w:spacing w:val="-2"/>
              </w:rPr>
              <w:t>)</w:t>
            </w:r>
          </w:p>
        </w:tc>
        <w:tc>
          <w:tcPr>
            <w:tcW w:w="4248" w:type="dxa"/>
          </w:tcPr>
          <w:p w:rsidR="004974BC" w:rsidP="00933418">
            <w:pPr>
              <w:widowControl/>
              <w:tabs>
                <w:tab w:val="center" w:pos="4680"/>
              </w:tabs>
              <w:suppressAutoHyphens/>
              <w:rPr>
                <w:spacing w:val="-2"/>
              </w:rPr>
            </w:pPr>
          </w:p>
          <w:p w:rsidR="004974BC" w:rsidP="00933418">
            <w:pPr>
              <w:pStyle w:val="TOAHeading"/>
              <w:widowControl/>
              <w:tabs>
                <w:tab w:val="center" w:pos="4680"/>
                <w:tab w:val="clear" w:pos="9360"/>
              </w:tabs>
              <w:rPr>
                <w:spacing w:val="-2"/>
              </w:rPr>
            </w:pPr>
          </w:p>
          <w:p w:rsidR="004974BC" w:rsidRPr="00B50E8B" w:rsidP="00933418">
            <w:pPr>
              <w:pStyle w:val="TOAHeading"/>
              <w:widowControl/>
              <w:tabs>
                <w:tab w:val="center" w:pos="4680"/>
              </w:tabs>
              <w:rPr>
                <w:spacing w:val="-2"/>
              </w:rPr>
            </w:pPr>
            <w:r w:rsidRPr="00B50E8B">
              <w:rPr>
                <w:spacing w:val="-2"/>
              </w:rPr>
              <w:t>WP Docket No. 15-32</w:t>
            </w:r>
          </w:p>
          <w:p w:rsidR="004974BC" w:rsidP="00933418">
            <w:pPr>
              <w:widowControl/>
              <w:tabs>
                <w:tab w:val="center" w:pos="4680"/>
              </w:tabs>
              <w:suppressAutoHyphens/>
              <w:rPr>
                <w:spacing w:val="-2"/>
              </w:rPr>
            </w:pPr>
            <w:r w:rsidRPr="00B50E8B">
              <w:rPr>
                <w:spacing w:val="-2"/>
              </w:rPr>
              <w:t>RM-11572</w:t>
            </w: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r>
              <w:rPr>
                <w:spacing w:val="-2"/>
              </w:rPr>
              <w:t xml:space="preserve">WP Docket No. </w:t>
            </w:r>
            <w:bookmarkStart w:id="1" w:name="_Hlk526156582"/>
            <w:r>
              <w:rPr>
                <w:spacing w:val="-2"/>
              </w:rPr>
              <w:t>16-261</w:t>
            </w:r>
            <w:bookmarkEnd w:id="1"/>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r>
              <w:rPr>
                <w:spacing w:val="-2"/>
              </w:rPr>
              <w:t>RM-11719</w:t>
            </w:r>
          </w:p>
          <w:p w:rsidR="004974BC" w:rsidP="00933418">
            <w:pPr>
              <w:widowControl/>
              <w:tabs>
                <w:tab w:val="center" w:pos="4680"/>
              </w:tabs>
              <w:suppressAutoHyphens/>
              <w:rPr>
                <w:spacing w:val="-2"/>
              </w:rPr>
            </w:pPr>
            <w:r>
              <w:rPr>
                <w:szCs w:val="22"/>
              </w:rPr>
              <w:t xml:space="preserve">  </w:t>
            </w: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p>
          <w:p w:rsidR="004974BC" w:rsidP="00933418">
            <w:pPr>
              <w:widowControl/>
              <w:tabs>
                <w:tab w:val="center" w:pos="4680"/>
              </w:tabs>
              <w:suppressAutoHyphens/>
              <w:rPr>
                <w:spacing w:val="-2"/>
              </w:rPr>
            </w:pPr>
            <w:r>
              <w:rPr>
                <w:spacing w:val="-2"/>
              </w:rPr>
              <w:t>RM-11722</w:t>
            </w:r>
          </w:p>
        </w:tc>
      </w:tr>
    </w:tbl>
    <w:p w:rsidR="004974BC" w:rsidP="004974BC">
      <w:pPr>
        <w:pStyle w:val="StyleBoldCentered"/>
        <w:widowControl/>
      </w:pPr>
      <w:r>
        <w:t>REPORT AND ORDER and order</w:t>
      </w:r>
    </w:p>
    <w:p w:rsidR="004974BC" w:rsidP="004974BC">
      <w:pPr>
        <w:widowControl/>
        <w:tabs>
          <w:tab w:val="left" w:pos="-720"/>
        </w:tabs>
        <w:suppressAutoHyphens/>
        <w:spacing w:line="227" w:lineRule="auto"/>
        <w:rPr>
          <w:spacing w:val="-2"/>
        </w:rPr>
      </w:pPr>
    </w:p>
    <w:p w:rsidR="004974BC" w:rsidP="004974BC">
      <w:pPr>
        <w:widowControl/>
        <w:tabs>
          <w:tab w:val="left" w:pos="720"/>
          <w:tab w:val="right" w:pos="9360"/>
        </w:tabs>
        <w:suppressAutoHyphens/>
        <w:spacing w:line="227" w:lineRule="auto"/>
        <w:rPr>
          <w:spacing w:val="-2"/>
        </w:rPr>
      </w:pPr>
      <w:r>
        <w:rPr>
          <w:b/>
          <w:spacing w:val="-2"/>
        </w:rPr>
        <w:t>Adopted:  October 19, 2018</w:t>
      </w:r>
      <w:r>
        <w:rPr>
          <w:b/>
          <w:spacing w:val="-2"/>
        </w:rPr>
        <w:tab/>
        <w:t>Released:  October 22, 2018</w:t>
      </w:r>
    </w:p>
    <w:p w:rsidR="004974BC" w:rsidP="004974BC">
      <w:pPr>
        <w:widowControl/>
      </w:pPr>
    </w:p>
    <w:p w:rsidR="004974BC" w:rsidP="004974BC">
      <w:pPr>
        <w:widowControl/>
        <w:rPr>
          <w:spacing w:val="-2"/>
        </w:rPr>
      </w:pPr>
      <w:r>
        <w:t xml:space="preserve">By the </w:t>
      </w:r>
      <w:r>
        <w:rPr>
          <w:spacing w:val="-2"/>
        </w:rPr>
        <w:t>Commission:</w:t>
      </w:r>
    </w:p>
    <w:p w:rsidR="004974BC" w:rsidP="004974BC">
      <w:pPr>
        <w:pStyle w:val="TOCTitle"/>
        <w:widowControl/>
      </w:pPr>
      <w:bookmarkStart w:id="2" w:name="TOChere"/>
      <w:r>
        <w:t>Table of Contents</w:t>
      </w:r>
    </w:p>
    <w:p w:rsidR="004974BC" w:rsidP="004974BC">
      <w:pPr>
        <w:pStyle w:val="Paratitle"/>
        <w:widowControl/>
      </w:pPr>
      <w:r>
        <w:t>Heading</w:t>
      </w:r>
      <w:r>
        <w:tab/>
        <w:t>Paragraph #</w:t>
      </w:r>
      <w:bookmarkStart w:id="3" w:name="start_here"/>
      <w:bookmarkEnd w:id="3"/>
    </w:p>
    <w:p w:rsidR="004974BC" w:rsidP="004974BC">
      <w:pPr>
        <w:pStyle w:val="TOC1"/>
        <w:widowControl/>
      </w:pPr>
      <w:r>
        <w:t>I.</w:t>
      </w:r>
      <w:r w:rsidRPr="00543FB5">
        <w:rPr>
          <w:rFonts w:ascii="Calibri" w:hAnsi="Calibri"/>
          <w:caps w:val="0"/>
          <w:kern w:val="0"/>
        </w:rPr>
        <w:tab/>
      </w:r>
      <w:bookmarkStart w:id="4" w:name="_Hlk515635746"/>
      <w:r>
        <w:t>introduction</w:t>
      </w:r>
      <w:r>
        <w:tab/>
        <w:t>1</w:t>
      </w:r>
    </w:p>
    <w:p w:rsidR="004974BC" w:rsidRPr="00112662" w:rsidP="004974BC">
      <w:pPr>
        <w:pStyle w:val="TOC1"/>
        <w:widowControl/>
      </w:pPr>
      <w:r>
        <w:t>II.</w:t>
      </w:r>
      <w:r w:rsidRPr="00543FB5">
        <w:rPr>
          <w:rFonts w:ascii="Calibri" w:hAnsi="Calibri"/>
          <w:caps w:val="0"/>
          <w:kern w:val="0"/>
        </w:rPr>
        <w:tab/>
      </w:r>
      <w:r>
        <w:rPr>
          <w:caps w:val="0"/>
          <w:kern w:val="0"/>
        </w:rPr>
        <w:t>BACKGROUND</w:t>
      </w:r>
      <w:r>
        <w:tab/>
        <w:t>3</w:t>
      </w:r>
    </w:p>
    <w:p w:rsidR="004974BC" w:rsidRPr="00543FB5" w:rsidP="004974BC">
      <w:pPr>
        <w:pStyle w:val="TOC1"/>
        <w:widowControl/>
        <w:rPr>
          <w:rFonts w:ascii="Calibri" w:hAnsi="Calibri"/>
          <w:caps w:val="0"/>
          <w:kern w:val="0"/>
        </w:rPr>
      </w:pPr>
      <w:r>
        <w:t>III.</w:t>
      </w:r>
      <w:r w:rsidRPr="00543FB5">
        <w:rPr>
          <w:rFonts w:ascii="Calibri" w:hAnsi="Calibri"/>
          <w:caps w:val="0"/>
          <w:kern w:val="0"/>
        </w:rPr>
        <w:tab/>
      </w:r>
      <w:bookmarkStart w:id="5" w:name="_Hlk515875815"/>
      <w:r>
        <w:t>discussion</w:t>
      </w:r>
      <w:r>
        <w:tab/>
        <w:t>10</w:t>
      </w:r>
    </w:p>
    <w:p w:rsidR="004974BC" w:rsidRPr="00543FB5" w:rsidP="004974BC">
      <w:pPr>
        <w:pStyle w:val="TOC2"/>
        <w:widowControl/>
        <w:tabs>
          <w:tab w:val="left" w:pos="360"/>
        </w:tabs>
        <w:rPr>
          <w:rFonts w:ascii="Calibri" w:hAnsi="Calibri"/>
          <w:kern w:val="0"/>
        </w:rPr>
      </w:pPr>
      <w:r>
        <w:t>A.</w:t>
      </w:r>
      <w:r w:rsidRPr="00543FB5">
        <w:rPr>
          <w:rFonts w:ascii="Calibri" w:hAnsi="Calibri"/>
          <w:kern w:val="0"/>
        </w:rPr>
        <w:tab/>
      </w:r>
      <w:r>
        <w:t>Creating New Opportunities</w:t>
      </w:r>
      <w:r>
        <w:tab/>
      </w:r>
      <w:bookmarkStart w:id="6" w:name="_Hlk519165927"/>
      <w:bookmarkEnd w:id="5"/>
      <w:r>
        <w:t>10</w:t>
      </w:r>
    </w:p>
    <w:p w:rsidR="004974BC" w:rsidRPr="00543FB5" w:rsidP="004974BC">
      <w:pPr>
        <w:pStyle w:val="TOC3"/>
        <w:widowControl/>
        <w:tabs>
          <w:tab w:val="left" w:pos="360"/>
        </w:tabs>
        <w:rPr>
          <w:rFonts w:ascii="Calibri" w:hAnsi="Calibri"/>
          <w:kern w:val="0"/>
        </w:rPr>
      </w:pPr>
      <w:r>
        <w:t>1.</w:t>
      </w:r>
      <w:r w:rsidRPr="00143B14">
        <w:rPr>
          <w:rFonts w:ascii="Calibri" w:hAnsi="Calibri"/>
          <w:snapToGrid/>
          <w:kern w:val="0"/>
          <w:szCs w:val="22"/>
        </w:rPr>
        <w:tab/>
      </w:r>
      <w:r>
        <w:t xml:space="preserve">Additional Industrial/Business Pool </w:t>
      </w:r>
      <w:r w:rsidRPr="004974BC">
        <w:rPr>
          <w:snapToGrid/>
          <w:kern w:val="0"/>
          <w:szCs w:val="22"/>
        </w:rPr>
        <w:t>Frequencies</w:t>
      </w:r>
      <w:r>
        <w:tab/>
        <w:t>11</w:t>
      </w:r>
    </w:p>
    <w:p w:rsidR="004974BC" w:rsidRPr="00543FB5" w:rsidP="004974BC">
      <w:pPr>
        <w:pStyle w:val="TOC3"/>
        <w:rPr>
          <w:rFonts w:ascii="Calibri" w:hAnsi="Calibri"/>
          <w:kern w:val="0"/>
        </w:rPr>
      </w:pPr>
      <w:r>
        <w:t>2.</w:t>
      </w:r>
      <w:r w:rsidRPr="00143B14">
        <w:rPr>
          <w:rFonts w:ascii="Calibri" w:hAnsi="Calibri"/>
          <w:snapToGrid/>
          <w:kern w:val="0"/>
          <w:szCs w:val="22"/>
        </w:rPr>
        <w:tab/>
      </w:r>
      <w:r>
        <w:t>Interstitial Channels in the 800 MHz Band</w:t>
      </w:r>
      <w:r>
        <w:tab/>
        <w:t>21</w:t>
      </w:r>
    </w:p>
    <w:p w:rsidR="004974BC" w:rsidRPr="00543FB5" w:rsidP="004974BC">
      <w:pPr>
        <w:pStyle w:val="TOC3"/>
        <w:widowControl/>
        <w:tabs>
          <w:tab w:val="left" w:pos="360"/>
        </w:tabs>
        <w:rPr>
          <w:rFonts w:ascii="Calibri" w:hAnsi="Calibri"/>
          <w:kern w:val="0"/>
        </w:rPr>
      </w:pPr>
      <w:r>
        <w:t>3.</w:t>
      </w:r>
      <w:r w:rsidRPr="00143B14">
        <w:rPr>
          <w:rFonts w:ascii="Calibri" w:hAnsi="Calibri"/>
          <w:snapToGrid/>
          <w:kern w:val="0"/>
          <w:szCs w:val="22"/>
        </w:rPr>
        <w:tab/>
      </w:r>
      <w:r>
        <w:t>Licensing Additional 800 MHz Channels</w:t>
      </w:r>
      <w:r>
        <w:tab/>
      </w:r>
      <w:bookmarkEnd w:id="6"/>
      <w:r>
        <w:t>53</w:t>
      </w:r>
    </w:p>
    <w:p w:rsidR="004974BC" w:rsidP="004974BC">
      <w:pPr>
        <w:pStyle w:val="TOC3"/>
        <w:widowControl/>
        <w:tabs>
          <w:tab w:val="left" w:pos="360"/>
        </w:tabs>
      </w:pPr>
      <w:r>
        <w:t>4.</w:t>
      </w:r>
      <w:r w:rsidRPr="00143B14">
        <w:rPr>
          <w:rFonts w:ascii="Calibri" w:hAnsi="Calibri"/>
          <w:snapToGrid/>
          <w:kern w:val="0"/>
          <w:szCs w:val="22"/>
        </w:rPr>
        <w:tab/>
      </w:r>
      <w:r>
        <w:t>Trackside Signal Booster</w:t>
      </w:r>
      <w:r w:rsidRPr="00543FB5">
        <w:t>s</w:t>
      </w:r>
      <w:r>
        <w:tab/>
        <w:t>61</w:t>
      </w:r>
    </w:p>
    <w:p w:rsidR="004974BC" w:rsidRPr="00543FB5" w:rsidP="004974BC">
      <w:pPr>
        <w:pStyle w:val="TOC2"/>
        <w:widowControl/>
        <w:tabs>
          <w:tab w:val="left" w:pos="360"/>
        </w:tabs>
        <w:rPr>
          <w:rFonts w:ascii="Calibri" w:hAnsi="Calibri"/>
          <w:kern w:val="0"/>
        </w:rPr>
      </w:pPr>
      <w:r>
        <w:t>B.</w:t>
      </w:r>
      <w:r w:rsidRPr="00543FB5">
        <w:rPr>
          <w:rFonts w:ascii="Calibri" w:hAnsi="Calibri"/>
          <w:kern w:val="0"/>
        </w:rPr>
        <w:tab/>
      </w:r>
      <w:r>
        <w:t>Removing Unnecessary Restrictions</w:t>
      </w:r>
      <w:bookmarkStart w:id="7" w:name="_Hlk519165207"/>
      <w:r>
        <w:tab/>
      </w:r>
      <w:bookmarkEnd w:id="7"/>
      <w:r>
        <w:t>65</w:t>
      </w:r>
    </w:p>
    <w:p w:rsidR="004974BC" w:rsidRPr="00543FB5" w:rsidP="004974BC">
      <w:pPr>
        <w:pStyle w:val="TOC3"/>
        <w:widowControl/>
        <w:tabs>
          <w:tab w:val="left" w:pos="360"/>
        </w:tabs>
        <w:rPr>
          <w:rFonts w:ascii="Calibri" w:hAnsi="Calibri"/>
          <w:kern w:val="0"/>
        </w:rPr>
      </w:pPr>
      <w:r>
        <w:t>1.</w:t>
      </w:r>
      <w:r w:rsidRPr="00143B14">
        <w:rPr>
          <w:rFonts w:ascii="Calibri" w:hAnsi="Calibri"/>
          <w:snapToGrid/>
          <w:kern w:val="0"/>
          <w:szCs w:val="22"/>
        </w:rPr>
        <w:tab/>
      </w:r>
      <w:r>
        <w:rPr>
          <w:snapToGrid/>
          <w:kern w:val="0"/>
          <w:szCs w:val="22"/>
        </w:rPr>
        <w:t>Conditional Licensing Authority</w:t>
      </w:r>
      <w:r>
        <w:tab/>
        <w:t>66</w:t>
      </w:r>
    </w:p>
    <w:p w:rsidR="004974BC" w:rsidRPr="00543FB5" w:rsidP="004974BC">
      <w:pPr>
        <w:pStyle w:val="TOC3"/>
        <w:widowControl/>
        <w:tabs>
          <w:tab w:val="left" w:pos="360"/>
        </w:tabs>
        <w:rPr>
          <w:rFonts w:ascii="Calibri" w:hAnsi="Calibri"/>
          <w:kern w:val="0"/>
        </w:rPr>
      </w:pPr>
      <w:r>
        <w:t>2.</w:t>
      </w:r>
      <w:r w:rsidRPr="00143B14">
        <w:rPr>
          <w:rFonts w:ascii="Calibri" w:hAnsi="Calibri"/>
          <w:snapToGrid/>
          <w:kern w:val="0"/>
          <w:szCs w:val="22"/>
        </w:rPr>
        <w:tab/>
      </w:r>
      <w:r>
        <w:t>Termination of the Freeze on Inter-Category Sharing in the 800 MHz Band</w:t>
      </w:r>
      <w:r>
        <w:tab/>
        <w:t>73</w:t>
      </w:r>
    </w:p>
    <w:p w:rsidR="004974BC" w:rsidRPr="00143B14" w:rsidP="004974BC">
      <w:pPr>
        <w:pStyle w:val="TOC3"/>
        <w:widowControl/>
        <w:tabs>
          <w:tab w:val="left" w:pos="360"/>
        </w:tabs>
        <w:rPr>
          <w:rFonts w:ascii="Calibri" w:hAnsi="Calibri"/>
          <w:snapToGrid/>
          <w:kern w:val="0"/>
          <w:szCs w:val="22"/>
        </w:rPr>
      </w:pPr>
      <w:r>
        <w:t>3.</w:t>
      </w:r>
      <w:r w:rsidRPr="00143B14">
        <w:rPr>
          <w:rFonts w:ascii="Calibri" w:hAnsi="Calibri"/>
          <w:snapToGrid/>
          <w:kern w:val="0"/>
          <w:szCs w:val="22"/>
        </w:rPr>
        <w:tab/>
      </w:r>
      <w:r>
        <w:t>Central Station Alarm Channels</w:t>
      </w:r>
      <w:r>
        <w:tab/>
        <w:t>80</w:t>
      </w:r>
    </w:p>
    <w:p w:rsidR="004974BC" w:rsidRPr="00543FB5" w:rsidP="004974BC">
      <w:pPr>
        <w:pStyle w:val="TOC2"/>
        <w:widowControl/>
        <w:tabs>
          <w:tab w:val="left" w:pos="360"/>
        </w:tabs>
        <w:rPr>
          <w:rFonts w:ascii="Calibri" w:hAnsi="Calibri"/>
          <w:kern w:val="0"/>
        </w:rPr>
      </w:pPr>
      <w:r>
        <w:t>C.</w:t>
      </w:r>
      <w:r w:rsidRPr="00543FB5">
        <w:rPr>
          <w:rFonts w:ascii="Calibri" w:hAnsi="Calibri"/>
          <w:kern w:val="0"/>
        </w:rPr>
        <w:tab/>
      </w:r>
      <w:r>
        <w:t>Editorial Corrections and Updates</w:t>
      </w:r>
      <w:r>
        <w:tab/>
        <w:t>85</w:t>
      </w:r>
    </w:p>
    <w:p w:rsidR="004974BC" w:rsidRPr="00543FB5" w:rsidP="004974BC">
      <w:pPr>
        <w:pStyle w:val="TOC1"/>
        <w:rPr>
          <w:rFonts w:ascii="Calibri" w:hAnsi="Calibri"/>
          <w:kern w:val="0"/>
        </w:rPr>
      </w:pPr>
      <w:r>
        <w:t>IV.</w:t>
      </w:r>
      <w:r w:rsidRPr="00543FB5">
        <w:rPr>
          <w:rFonts w:ascii="Calibri" w:hAnsi="Calibri"/>
          <w:caps w:val="0"/>
          <w:kern w:val="0"/>
        </w:rPr>
        <w:tab/>
      </w:r>
      <w:bookmarkStart w:id="8" w:name="_Hlk515637001"/>
      <w:bookmarkEnd w:id="4"/>
      <w:r>
        <w:t>PROCEDURAL MATTERS</w:t>
      </w:r>
      <w:r>
        <w:tab/>
        <w:t>86</w:t>
      </w:r>
    </w:p>
    <w:p w:rsidR="004974BC" w:rsidP="004974BC">
      <w:pPr>
        <w:pStyle w:val="TOC1"/>
        <w:widowControl/>
      </w:pPr>
      <w:r>
        <w:t>V.</w:t>
      </w:r>
      <w:r w:rsidRPr="00543FB5">
        <w:rPr>
          <w:rFonts w:ascii="Calibri" w:hAnsi="Calibri"/>
          <w:caps w:val="0"/>
          <w:kern w:val="0"/>
        </w:rPr>
        <w:tab/>
      </w:r>
      <w:r>
        <w:t>ORDERING CLAUSES</w:t>
      </w:r>
      <w:r>
        <w:tab/>
      </w:r>
      <w:bookmarkEnd w:id="8"/>
      <w:r>
        <w:t>89</w:t>
      </w:r>
    </w:p>
    <w:p w:rsidR="004974BC" w:rsidP="004974BC">
      <w:pPr>
        <w:widowControl/>
      </w:pPr>
      <w:r>
        <w:t>Appendix A:  Final Regulatory Flexibility Analysis</w:t>
      </w:r>
    </w:p>
    <w:p w:rsidR="004974BC" w:rsidP="004974BC">
      <w:pPr>
        <w:widowControl/>
      </w:pPr>
      <w:r>
        <w:t>Appendix B:  Final Rules</w:t>
      </w:r>
    </w:p>
    <w:p w:rsidR="004974BC" w:rsidP="004974BC">
      <w:pPr>
        <w:widowControl/>
      </w:pPr>
      <w:r>
        <w:t>Appendix C:  List of Commenters</w:t>
      </w:r>
    </w:p>
    <w:p w:rsidR="004974BC" w:rsidRPr="00543FB5" w:rsidP="004974BC">
      <w:pPr>
        <w:widowControl/>
      </w:pPr>
    </w:p>
    <w:p w:rsidR="004974BC" w:rsidP="004974BC">
      <w:pPr>
        <w:pStyle w:val="Heading1"/>
        <w:widowControl/>
      </w:pPr>
      <w:bookmarkStart w:id="9" w:name="_Toc499561685"/>
      <w:bookmarkStart w:id="10" w:name="_Toc499561855"/>
      <w:bookmarkStart w:id="11" w:name="_Toc499731385"/>
      <w:bookmarkStart w:id="12" w:name="_Toc499815967"/>
      <w:bookmarkStart w:id="13" w:name="_Toc500945677"/>
      <w:bookmarkStart w:id="14" w:name="_Toc501012139"/>
      <w:bookmarkStart w:id="15" w:name="_Toc519260230"/>
      <w:bookmarkEnd w:id="2"/>
      <w:r>
        <w:t>introduction</w:t>
      </w:r>
      <w:bookmarkEnd w:id="9"/>
      <w:bookmarkEnd w:id="10"/>
      <w:bookmarkEnd w:id="11"/>
      <w:bookmarkEnd w:id="12"/>
      <w:bookmarkEnd w:id="13"/>
      <w:bookmarkEnd w:id="14"/>
      <w:bookmarkEnd w:id="15"/>
    </w:p>
    <w:p w:rsidR="004974BC" w:rsidP="004974BC">
      <w:pPr>
        <w:pStyle w:val="ParaNum"/>
      </w:pPr>
      <w:r w:rsidRPr="00AE0361">
        <w:rPr>
          <w:szCs w:val="22"/>
        </w:rPr>
        <w:t xml:space="preserve">For decades, </w:t>
      </w:r>
      <w:r>
        <w:rPr>
          <w:szCs w:val="22"/>
        </w:rPr>
        <w:t>private land mobile radio (</w:t>
      </w:r>
      <w:r>
        <w:t>PLMR) services have supported the private, internal communications needs of public safety organizations, state and local governmental entities, large and small businesses, transportation providers, the medical community, and other diverse users of two-way radio systems.</w:t>
      </w:r>
      <w:r>
        <w:rPr>
          <w:rStyle w:val="FootnoteReference"/>
        </w:rPr>
        <w:footnoteReference w:id="3"/>
      </w:r>
      <w:r>
        <w:t xml:space="preserve">  Although communications technology has improved and demand for spectrum has increased, our rules and policies governing PLMR spectrum have often not kept pace with technological and other developments.  Many PLMR rules and licensing policies have remained unchanged since the 1990s or earlier, and some existing limitations on the use of PLMR spectrum do not accommodate new equipment and services.  </w:t>
      </w:r>
    </w:p>
    <w:p w:rsidR="004974BC" w:rsidP="004974BC">
      <w:pPr>
        <w:pStyle w:val="ParaNum"/>
        <w:widowControl/>
      </w:pPr>
      <w:r>
        <w:t xml:space="preserve">With this </w:t>
      </w:r>
      <w:r>
        <w:rPr>
          <w:i/>
        </w:rPr>
        <w:t>Report and Order and Order</w:t>
      </w:r>
      <w:r>
        <w:t xml:space="preserve">, we update our rules to provide new spectrum capacity and eliminate unnecessary restrictions in the PLMR bands, while reducing administrative burdens on applicants and licensees.  </w:t>
      </w:r>
      <w:r>
        <w:rPr>
          <w:szCs w:val="22"/>
        </w:rPr>
        <w:t xml:space="preserve">As a result, Industrial/Business (I/B) Pool users will have access to additional frequency pairs for use with very-narrowband equipment, and public safety organizations and other PLMR users will gain access to as many as 318 new “interstitial” channels in the 800 MHz band.  Additionally, current PLMR users will gain increased flexibility </w:t>
      </w:r>
      <w:r>
        <w:t>to intensify their use of the spectrum and incorporate new technological opportunities.</w:t>
      </w:r>
    </w:p>
    <w:p w:rsidR="004974BC" w:rsidP="004974BC">
      <w:pPr>
        <w:pStyle w:val="Heading1"/>
        <w:widowControl/>
      </w:pPr>
      <w:bookmarkStart w:id="16" w:name="_Toc519260231"/>
      <w:bookmarkStart w:id="17" w:name="_Toc499561022"/>
      <w:bookmarkStart w:id="18" w:name="_Toc499561147"/>
      <w:bookmarkStart w:id="19" w:name="_Toc499561284"/>
      <w:bookmarkStart w:id="20" w:name="_Toc499561441"/>
      <w:bookmarkStart w:id="21" w:name="_Toc499561687"/>
      <w:bookmarkStart w:id="22" w:name="_Toc499561857"/>
      <w:bookmarkStart w:id="23" w:name="_Toc499731387"/>
      <w:bookmarkStart w:id="24" w:name="_Toc499815969"/>
      <w:bookmarkStart w:id="25" w:name="_Toc500945679"/>
      <w:bookmarkStart w:id="26" w:name="_Toc501012141"/>
      <w:bookmarkStart w:id="27" w:name="_Toc498610356"/>
      <w:bookmarkStart w:id="28" w:name="_Toc498611062"/>
      <w:r>
        <w:t>background</w:t>
      </w:r>
    </w:p>
    <w:p w:rsidR="004974BC" w:rsidP="004974BC">
      <w:pPr>
        <w:pStyle w:val="ParaNum"/>
        <w:widowControl/>
      </w:pPr>
      <w:r>
        <w:t>Private radio communications systems are used by businesses, organizations, public safety agencies, and other entities to support their internal communications requirements under part 90 of the Commission’s rules.  Generally, particular sets of PLMR frequency assignments, or “pools,” are associated with certain categories of users.  In addition, w</w:t>
      </w:r>
      <w:r w:rsidRPr="00F3647F">
        <w:t>ith limited exceptions, frequency coordination</w:t>
      </w:r>
      <w:r>
        <w:t xml:space="preserve">—in which a Commission-certified frequency coordinator recommends frequencies that will most effectively meet the applicant’s needs while minimizing interference to existing licensees—is </w:t>
      </w:r>
      <w:r w:rsidRPr="00F3647F">
        <w:t xml:space="preserve">required before the Commission will grant a </w:t>
      </w:r>
      <w:r>
        <w:t xml:space="preserve">PLMR </w:t>
      </w:r>
      <w:r w:rsidRPr="00F3647F">
        <w:t>license.</w:t>
      </w:r>
      <w:r>
        <w:rPr>
          <w:rStyle w:val="FootnoteReference"/>
        </w:rPr>
        <w:footnoteReference w:id="4"/>
      </w:r>
    </w:p>
    <w:p w:rsidR="004974BC" w:rsidP="004974BC">
      <w:pPr>
        <w:pStyle w:val="ParaNum"/>
        <w:widowControl/>
      </w:pPr>
      <w:r>
        <w:t>The 150-174 MHz and 450-470 MHz PLMR bands, which are divided between the I/B Pool and the Public Safety Pool,</w:t>
      </w:r>
      <w:r>
        <w:rPr>
          <w:rStyle w:val="FootnoteReference"/>
        </w:rPr>
        <w:footnoteReference w:id="5"/>
      </w:r>
      <w:r>
        <w:t xml:space="preserve"> have been the primary PLMR bands since they were first allocated for PLMR use in the 1940s and 1950s and remain heavily used today.  Neither band is allocated exclusively for part 90 PLMR use.  Rather, they are divided into subbands, some designated for PLMR use and others designated for other services.  For example, the 450-470 MHz band also includes spectrum designated for part 22 Public Mobile Services, part 74 Broadcast Auxiliary Services (BAS), part 80 Maritime Radio Services, and part 95 Personal Radio Services.</w:t>
      </w:r>
      <w:r>
        <w:rPr>
          <w:rStyle w:val="FootnoteReference"/>
        </w:rPr>
        <w:footnoteReference w:id="6"/>
      </w:r>
      <w:r>
        <w:t xml:space="preserve">  </w:t>
      </w:r>
    </w:p>
    <w:p w:rsidR="004974BC" w:rsidP="004974BC">
      <w:pPr>
        <w:pStyle w:val="ParaNum"/>
        <w:widowControl/>
      </w:pPr>
      <w:r>
        <w:t xml:space="preserve">In the 1970s and 1980s, as the existing bands became increasingly congested, the Commission allocated additional spectrum for PLMR in higher bands, including the 470-512 MHz band (T-Band) in certain urban areas and the 806-824/851-869 MHz (800 MHz) and </w:t>
      </w:r>
      <w:r>
        <w:rPr>
          <w:szCs w:val="22"/>
        </w:rPr>
        <w:t>896-901/935-940 MHz (900 MHz)</w:t>
      </w:r>
      <w:r>
        <w:t xml:space="preserve"> bands nationwide</w:t>
      </w:r>
      <w:r w:rsidRPr="00AE0361">
        <w:rPr>
          <w:szCs w:val="22"/>
        </w:rPr>
        <w:t>.</w:t>
      </w:r>
      <w:r>
        <w:rPr>
          <w:szCs w:val="22"/>
        </w:rPr>
        <w:t xml:space="preserve">  T-Band channels are assignable to I/B and Public Safety eligibles.</w:t>
      </w:r>
      <w:r>
        <w:rPr>
          <w:rStyle w:val="FootnoteReference"/>
          <w:szCs w:val="22"/>
        </w:rPr>
        <w:footnoteReference w:id="7"/>
      </w:r>
      <w:r>
        <w:rPr>
          <w:szCs w:val="22"/>
        </w:rPr>
        <w:t xml:space="preserve">  The 800 MHz and 900 MHz bands are divided among four categories:  P</w:t>
      </w:r>
      <w:r w:rsidRPr="00A96110">
        <w:t xml:space="preserve">ublic </w:t>
      </w:r>
      <w:r>
        <w:t>S</w:t>
      </w:r>
      <w:r w:rsidRPr="00A96110">
        <w:t xml:space="preserve">afety, Business/Industrial </w:t>
      </w:r>
      <w:r w:rsidRPr="00A96110">
        <w:t>L</w:t>
      </w:r>
      <w:r>
        <w:t xml:space="preserve">and Transportation (B/ILT), </w:t>
      </w:r>
      <w:r w:rsidRPr="00A96110">
        <w:t xml:space="preserve">high-site </w:t>
      </w:r>
      <w:r>
        <w:t>Specialized Mobile Radio (</w:t>
      </w:r>
      <w:r w:rsidRPr="00A96110">
        <w:t>SMR</w:t>
      </w:r>
      <w:r>
        <w:t>), and General.</w:t>
      </w:r>
      <w:r>
        <w:rPr>
          <w:rStyle w:val="FootnoteReference"/>
        </w:rPr>
        <w:footnoteReference w:id="8"/>
      </w:r>
      <w:r>
        <w:t xml:space="preserve">   The </w:t>
      </w:r>
      <w:r>
        <w:rPr>
          <w:szCs w:val="22"/>
        </w:rPr>
        <w:t>769-775/799-805 MHz</w:t>
      </w:r>
      <w:r>
        <w:t xml:space="preserve"> (700) MHz narrowband, with service rules adopted in 1998, is exclusively for public safety licensees.</w:t>
      </w:r>
      <w:r>
        <w:rPr>
          <w:rStyle w:val="FootnoteReference"/>
        </w:rPr>
        <w:footnoteReference w:id="9"/>
      </w:r>
    </w:p>
    <w:p w:rsidR="004974BC" w:rsidP="004974BC">
      <w:pPr>
        <w:pStyle w:val="ParaNum"/>
        <w:widowControl/>
      </w:pPr>
      <w:r>
        <w:rPr>
          <w:szCs w:val="22"/>
        </w:rPr>
        <w:t xml:space="preserve">These higher bands, however, also present challenges to current and future users.  Congress designated </w:t>
      </w:r>
      <w:r>
        <w:t xml:space="preserve">T-Band spectrum currently used by public safety eligibles for reallocation and reassignment by competitive bidding in the </w:t>
      </w:r>
      <w:r w:rsidRPr="00353ECC">
        <w:t>Middle Class Tax Relief and Job Creation Act of 2012</w:t>
      </w:r>
      <w:r>
        <w:t xml:space="preserve"> (</w:t>
      </w:r>
      <w:r w:rsidRPr="000862EC">
        <w:t>Spectrum Act</w:t>
      </w:r>
      <w:r>
        <w:t>).</w:t>
      </w:r>
      <w:r>
        <w:rPr>
          <w:rStyle w:val="FootnoteReference"/>
        </w:rPr>
        <w:footnoteReference w:id="10"/>
      </w:r>
      <w:r>
        <w:t xml:space="preserve">  </w:t>
      </w:r>
      <w:r>
        <w:rPr>
          <w:szCs w:val="22"/>
        </w:rPr>
        <w:t xml:space="preserve">The 800 MHz band </w:t>
      </w:r>
      <w:r>
        <w:t xml:space="preserve">has become congested and difficult to access in many areas; since 2005, licensees in the band have been rebanding pursuant to the Commission’s order reconfiguring the band to protect </w:t>
      </w:r>
      <w:r w:rsidRPr="00AE0361">
        <w:t xml:space="preserve">public safety </w:t>
      </w:r>
      <w:r>
        <w:t>PLMR systems from harmful interference by adjacent commercial cellular systems, with new channels becoming available in each National Public Safety Planning Advisory Committee (NPSPAC) region only after the reconfiguration process is complete in that region.</w:t>
      </w:r>
      <w:r>
        <w:rPr>
          <w:rStyle w:val="FootnoteReference"/>
        </w:rPr>
        <w:footnoteReference w:id="11"/>
      </w:r>
      <w:r>
        <w:t xml:space="preserve">  The 900 MHz band is the subject of a pending Commission proceeding to consider possible rule changes, including realigning the band to create a broadband allotment.</w:t>
      </w:r>
      <w:r>
        <w:rPr>
          <w:rStyle w:val="FootnoteReference"/>
        </w:rPr>
        <w:footnoteReference w:id="12"/>
      </w:r>
      <w:r>
        <w:t xml:space="preserve">  The a</w:t>
      </w:r>
      <w:r w:rsidRPr="000862EC">
        <w:t xml:space="preserve">cceptance </w:t>
      </w:r>
      <w:r>
        <w:t xml:space="preserve">and processing </w:t>
      </w:r>
      <w:r w:rsidRPr="000862EC">
        <w:t xml:space="preserve">of applications for new or expanded </w:t>
      </w:r>
      <w:r>
        <w:t>T-Band</w:t>
      </w:r>
      <w:r>
        <w:rPr>
          <w:rStyle w:val="FootnoteReference"/>
        </w:rPr>
        <w:footnoteReference w:id="13"/>
      </w:r>
      <w:r>
        <w:t xml:space="preserve"> and 900 MHz</w:t>
      </w:r>
      <w:r>
        <w:rPr>
          <w:rStyle w:val="FootnoteReference"/>
        </w:rPr>
        <w:footnoteReference w:id="14"/>
      </w:r>
      <w:r>
        <w:t xml:space="preserve"> </w:t>
      </w:r>
      <w:r w:rsidRPr="000862EC">
        <w:t xml:space="preserve">operations </w:t>
      </w:r>
      <w:r>
        <w:t xml:space="preserve">has been suspended </w:t>
      </w:r>
      <w:r w:rsidRPr="000862EC">
        <w:t xml:space="preserve">to maintain a stable spectral landscape while the Commission determines how to </w:t>
      </w:r>
      <w:r>
        <w:t>proceed with respect to that spectrum.</w:t>
      </w:r>
      <w:r>
        <w:rPr>
          <w:rStyle w:val="FootnoteReference"/>
        </w:rPr>
        <w:footnoteReference w:id="15"/>
      </w:r>
    </w:p>
    <w:p w:rsidR="004974BC" w:rsidP="004974BC">
      <w:pPr>
        <w:pStyle w:val="ParaNum"/>
        <w:widowControl/>
      </w:pPr>
      <w:r>
        <w:t>Over the years, in response to congestion and advances in technology, the Commission has revised its PLMR rules to afford licensees greater flexibility and maximize efficient use of the spectrum.</w:t>
      </w:r>
      <w:r>
        <w:rPr>
          <w:rStyle w:val="FootnoteReference"/>
        </w:rPr>
        <w:footnoteReference w:id="16"/>
      </w:r>
      <w:r>
        <w:t xml:space="preserve">  However, some PLMR rules and licensing policies have not changed since the 1990s or </w:t>
      </w:r>
      <w:r>
        <w:t>earlier, and some existing limitations do not support the use of new and more efficient technologies.  The Commission has proposed several sets of rule changes to further increase efficiency and support current and new PLMR users.</w:t>
      </w:r>
    </w:p>
    <w:p w:rsidR="004974BC" w:rsidRPr="006D03BB" w:rsidP="004974BC">
      <w:pPr>
        <w:pStyle w:val="ParaNum"/>
        <w:widowControl/>
      </w:pPr>
      <w:r>
        <w:t>For example, in t</w:t>
      </w:r>
      <w:r w:rsidRPr="00675511">
        <w:t xml:space="preserve">he </w:t>
      </w:r>
      <w:r w:rsidRPr="00296478">
        <w:rPr>
          <w:i/>
        </w:rPr>
        <w:t>800 MHz Interstitial</w:t>
      </w:r>
      <w:r w:rsidRPr="00675511">
        <w:t xml:space="preserve"> </w:t>
      </w:r>
      <w:r w:rsidRPr="00296478">
        <w:rPr>
          <w:i/>
        </w:rPr>
        <w:t>NPRM</w:t>
      </w:r>
      <w:r w:rsidRPr="00CD6980">
        <w:t>,</w:t>
      </w:r>
      <w:r>
        <w:rPr>
          <w:rStyle w:val="FootnoteReference"/>
        </w:rPr>
        <w:footnoteReference w:id="17"/>
      </w:r>
      <w:r w:rsidRPr="00296478">
        <w:rPr>
          <w:i/>
        </w:rPr>
        <w:t xml:space="preserve"> </w:t>
      </w:r>
      <w:r>
        <w:t xml:space="preserve">the Commission sought comment on expanding use of the 800 MHz Mid-Band by creating “interstitial” channels in underutilized frequencies between existing channels.  </w:t>
      </w:r>
      <w:r w:rsidRPr="003B7F22">
        <w:t>The 800 MHz Mid-Band consists of the Interleaved Band (809-815/854-860 MHz, 240 channels), the Expansion Band (815-816/860-861 MHz, 40 channels), and the Guard Band (816-817/861-862 MHz, 40 channels).</w:t>
      </w:r>
      <w:r>
        <w:rPr>
          <w:vertAlign w:val="superscript"/>
        </w:rPr>
        <w:footnoteReference w:id="18"/>
      </w:r>
      <w:r w:rsidRPr="003B7F22">
        <w:t xml:space="preserve"> </w:t>
      </w:r>
      <w:r>
        <w:t xml:space="preserve"> The 800 MHz Mid-Band is licensed on an exclusive </w:t>
      </w:r>
      <w:r w:rsidRPr="006D03BB">
        <w:t>basis</w:t>
      </w:r>
      <w:r>
        <w:t>,</w:t>
      </w:r>
      <w:r w:rsidRPr="006D03BB">
        <w:t xml:space="preserve"> the four permitted service categories are interleaved in the band,</w:t>
      </w:r>
      <w:r>
        <w:rPr>
          <w:rStyle w:val="FootnoteReference"/>
          <w:szCs w:val="22"/>
        </w:rPr>
        <w:footnoteReference w:id="19"/>
      </w:r>
      <w:r w:rsidRPr="006D03BB">
        <w:t xml:space="preserve"> and licensees may operate on 25 kilohertz bandwidth channels with 25 kilohertz separation between channels.  The proposed interstitial channels would operate within these separations between existing channels.  The NPRM sought comment on the advisability of instituting interstitial channels, the interference criteria that should apply if </w:t>
      </w:r>
      <w:r>
        <w:t>an</w:t>
      </w:r>
      <w:r w:rsidRPr="006D03BB">
        <w:t xml:space="preserve"> Enterprise Wireless Alliance </w:t>
      </w:r>
      <w:r>
        <w:t xml:space="preserve">(EWA) </w:t>
      </w:r>
      <w:r w:rsidRPr="006D03BB">
        <w:t>proposal for such channels were adopted, eligibility and licensing criteria, and appropriate authorized bandwidth and emission mask for the interstitial channels.</w:t>
      </w:r>
      <w:r>
        <w:rPr>
          <w:rStyle w:val="FootnoteReference"/>
        </w:rPr>
        <w:footnoteReference w:id="20"/>
      </w:r>
    </w:p>
    <w:p w:rsidR="004974BC" w:rsidRPr="006D03BB" w:rsidP="004974BC">
      <w:pPr>
        <w:pStyle w:val="ParaNum"/>
        <w:widowControl/>
        <w:numPr>
          <w:ilvl w:val="0"/>
          <w:numId w:val="0"/>
        </w:num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pt;height:85.5pt;visibility:visible">
            <v:imagedata r:id="rId5" o:title=""/>
          </v:shape>
        </w:pict>
      </w:r>
    </w:p>
    <w:p w:rsidR="004974BC" w:rsidRPr="006D03BB" w:rsidP="004974BC">
      <w:pPr>
        <w:pStyle w:val="ParaNum"/>
        <w:widowControl/>
      </w:pPr>
      <w:r w:rsidRPr="006E6302">
        <w:t>In the</w:t>
      </w:r>
      <w:r w:rsidRPr="006D03BB">
        <w:rPr>
          <w:i/>
        </w:rPr>
        <w:t xml:space="preserve"> PLMR Access NPRM</w:t>
      </w:r>
      <w:r w:rsidRPr="006D03BB">
        <w:rPr>
          <w:szCs w:val="22"/>
        </w:rPr>
        <w:t>,</w:t>
      </w:r>
      <w:r w:rsidRPr="006D03BB">
        <w:t xml:space="preserve"> </w:t>
      </w:r>
      <w:r>
        <w:t>the Commission proposed to</w:t>
      </w:r>
      <w:r w:rsidRPr="006D03BB">
        <w:t xml:space="preserve"> </w:t>
      </w:r>
      <w:r w:rsidRPr="006D03BB">
        <w:rPr>
          <w:szCs w:val="22"/>
        </w:rPr>
        <w:t xml:space="preserve">make available for PLMR use frequencies located between </w:t>
      </w:r>
      <w:r>
        <w:rPr>
          <w:szCs w:val="22"/>
        </w:rPr>
        <w:t>certain PLMR spectrum and spectrum designed for other uses.</w:t>
      </w:r>
      <w:r>
        <w:rPr>
          <w:rStyle w:val="FootnoteReference"/>
          <w:spacing w:val="-2"/>
        </w:rPr>
        <w:footnoteReference w:id="21"/>
      </w:r>
      <w:r>
        <w:rPr>
          <w:spacing w:val="-2"/>
        </w:rPr>
        <w:t xml:space="preserve">  Such spectrum is currently not allocated for any use, but new very-narrowband equipment can make use of such band-edge frequencies without overlapping with any spectrum currently designed for an adjacent service.  In addition, we proposed to clarify certain part 90 rules and remove unnecessary restrictions that limit efficient use of PLMR spectrum. </w:t>
      </w:r>
    </w:p>
    <w:p w:rsidR="004974BC" w:rsidRPr="006D03BB" w:rsidP="004974BC">
      <w:pPr>
        <w:pStyle w:val="Heading1"/>
        <w:widowControl/>
      </w:pPr>
      <w:r w:rsidRPr="006D03BB">
        <w:t>discussion</w:t>
      </w:r>
      <w:bookmarkEnd w:id="16"/>
    </w:p>
    <w:p w:rsidR="004974BC" w:rsidP="004974BC">
      <w:pPr>
        <w:pStyle w:val="Heading2"/>
        <w:widowControl/>
      </w:pPr>
      <w:bookmarkStart w:id="30" w:name="_Toc519260232"/>
      <w:bookmarkEnd w:id="17"/>
      <w:bookmarkEnd w:id="18"/>
      <w:bookmarkEnd w:id="19"/>
      <w:bookmarkEnd w:id="20"/>
      <w:bookmarkEnd w:id="21"/>
      <w:bookmarkEnd w:id="22"/>
      <w:bookmarkEnd w:id="23"/>
      <w:bookmarkEnd w:id="24"/>
      <w:bookmarkEnd w:id="25"/>
      <w:bookmarkEnd w:id="26"/>
      <w:bookmarkEnd w:id="27"/>
      <w:bookmarkEnd w:id="28"/>
      <w:r>
        <w:t>Creating New Opportunities</w:t>
      </w:r>
      <w:bookmarkEnd w:id="30"/>
    </w:p>
    <w:p w:rsidR="004974BC" w:rsidRPr="00BF6E02" w:rsidP="004974BC">
      <w:pPr>
        <w:pStyle w:val="ParaNum"/>
      </w:pPr>
      <w:r>
        <w:t>We seek to open additional opportunities for licensees by allowing access to new spectrum and by facilitating new uses for existing frequencies.</w:t>
      </w:r>
      <w:r>
        <w:rPr>
          <w:rStyle w:val="FootnoteReference"/>
        </w:rPr>
        <w:footnoteReference w:id="22"/>
      </w:r>
      <w:r>
        <w:t xml:space="preserve">  </w:t>
      </w:r>
      <w:r>
        <w:rPr>
          <w:szCs w:val="22"/>
        </w:rPr>
        <w:t>Both</w:t>
      </w:r>
      <w:r w:rsidRPr="00BA5F8E">
        <w:rPr>
          <w:szCs w:val="22"/>
        </w:rPr>
        <w:t xml:space="preserve"> the </w:t>
      </w:r>
      <w:r w:rsidRPr="00BA5F8E">
        <w:rPr>
          <w:i/>
          <w:szCs w:val="22"/>
        </w:rPr>
        <w:t>PLMR Access NPRM</w:t>
      </w:r>
      <w:r>
        <w:rPr>
          <w:i/>
          <w:szCs w:val="22"/>
        </w:rPr>
        <w:t xml:space="preserve"> </w:t>
      </w:r>
      <w:r>
        <w:rPr>
          <w:szCs w:val="22"/>
        </w:rPr>
        <w:t xml:space="preserve">and the </w:t>
      </w:r>
      <w:r w:rsidRPr="0032196D">
        <w:rPr>
          <w:i/>
        </w:rPr>
        <w:t>800 MHz Interstitial NPRM</w:t>
      </w:r>
      <w:r w:rsidRPr="00BA5F8E">
        <w:rPr>
          <w:szCs w:val="22"/>
        </w:rPr>
        <w:t xml:space="preserve"> </w:t>
      </w:r>
      <w:r>
        <w:rPr>
          <w:szCs w:val="22"/>
        </w:rPr>
        <w:t>proposed to make available for PLMR use frequencies that were not allotted for use by any service and to expand the permissible uses of other frequencies.</w:t>
      </w:r>
      <w:r>
        <w:rPr>
          <w:rStyle w:val="FootnoteReference"/>
          <w:szCs w:val="22"/>
        </w:rPr>
        <w:footnoteReference w:id="23"/>
      </w:r>
      <w:r>
        <w:rPr>
          <w:szCs w:val="22"/>
        </w:rPr>
        <w:t xml:space="preserve">  In response to these NPRMs</w:t>
      </w:r>
      <w:r w:rsidRPr="0095627A">
        <w:rPr>
          <w:szCs w:val="22"/>
        </w:rPr>
        <w:t xml:space="preserve">, commenters </w:t>
      </w:r>
      <w:r>
        <w:rPr>
          <w:szCs w:val="22"/>
        </w:rPr>
        <w:t xml:space="preserve">were generally supportive of expanding PLMR use in portions of the </w:t>
      </w:r>
      <w:r>
        <w:t xml:space="preserve">450-470 MHz band currently unavailable for assignments, extending PLMR use to interstitial channels in the </w:t>
      </w:r>
      <w:r>
        <w:rPr>
          <w:szCs w:val="22"/>
        </w:rPr>
        <w:t>800 MHz band, assigning Expansion Band and Guard Band channels without limiting access for new licensees, and modifying rules related to railroad trackside signal boosters.</w:t>
      </w:r>
      <w:r w:rsidRPr="0095627A">
        <w:rPr>
          <w:szCs w:val="22"/>
        </w:rPr>
        <w:t xml:space="preserve">  We address each of these issues in turn.</w:t>
      </w:r>
    </w:p>
    <w:p w:rsidR="004974BC" w:rsidP="004974BC">
      <w:pPr>
        <w:pStyle w:val="Heading3"/>
        <w:widowControl/>
      </w:pPr>
      <w:r>
        <w:t>Additional Industrial/Business Pool Frequencies</w:t>
      </w:r>
    </w:p>
    <w:p w:rsidR="004974BC" w:rsidP="004974BC">
      <w:pPr>
        <w:pStyle w:val="ParaNum"/>
        <w:widowControl/>
        <w:rPr>
          <w:szCs w:val="22"/>
        </w:rPr>
      </w:pPr>
      <w:r>
        <w:rPr>
          <w:szCs w:val="22"/>
        </w:rPr>
        <w:t>S</w:t>
      </w:r>
      <w:r w:rsidRPr="00D8167E">
        <w:rPr>
          <w:szCs w:val="22"/>
        </w:rPr>
        <w:t xml:space="preserve">pectrum in the 450-470 MHz band is designated for use </w:t>
      </w:r>
      <w:r>
        <w:rPr>
          <w:szCs w:val="22"/>
        </w:rPr>
        <w:t xml:space="preserve">by various services, including part 74 </w:t>
      </w:r>
      <w:r w:rsidRPr="00185553">
        <w:rPr>
          <w:szCs w:val="22"/>
        </w:rPr>
        <w:t>BAS</w:t>
      </w:r>
      <w:r>
        <w:rPr>
          <w:szCs w:val="22"/>
        </w:rPr>
        <w:t>, p</w:t>
      </w:r>
      <w:r w:rsidRPr="00D8167E">
        <w:rPr>
          <w:szCs w:val="22"/>
        </w:rPr>
        <w:t xml:space="preserve">art 90 PLMR, and </w:t>
      </w:r>
      <w:r>
        <w:rPr>
          <w:szCs w:val="22"/>
        </w:rPr>
        <w:t>p</w:t>
      </w:r>
      <w:r w:rsidRPr="00D8167E">
        <w:rPr>
          <w:szCs w:val="22"/>
        </w:rPr>
        <w:t xml:space="preserve">art 95 </w:t>
      </w:r>
      <w:r w:rsidRPr="00185553">
        <w:rPr>
          <w:szCs w:val="22"/>
        </w:rPr>
        <w:t>General Mobile Radio Service (GMRS)</w:t>
      </w:r>
      <w:r w:rsidRPr="00D8167E">
        <w:rPr>
          <w:szCs w:val="22"/>
        </w:rPr>
        <w:t>.</w:t>
      </w:r>
      <w:r>
        <w:rPr>
          <w:rStyle w:val="FootnoteReference"/>
          <w:szCs w:val="22"/>
        </w:rPr>
        <w:footnoteReference w:id="24"/>
      </w:r>
      <w:r w:rsidRPr="00D8167E">
        <w:rPr>
          <w:szCs w:val="22"/>
        </w:rPr>
        <w:t xml:space="preserve">  Frequencies at or near the </w:t>
      </w:r>
      <w:r>
        <w:rPr>
          <w:szCs w:val="22"/>
        </w:rPr>
        <w:t>edges between p</w:t>
      </w:r>
      <w:r w:rsidRPr="00D8167E">
        <w:rPr>
          <w:szCs w:val="22"/>
        </w:rPr>
        <w:t xml:space="preserve">art 90 spectrum and spectrum designated for other services </w:t>
      </w:r>
      <w:r>
        <w:rPr>
          <w:szCs w:val="22"/>
        </w:rPr>
        <w:t xml:space="preserve">currently lie fallow and have not been </w:t>
      </w:r>
      <w:r w:rsidRPr="00D8167E">
        <w:rPr>
          <w:szCs w:val="22"/>
        </w:rPr>
        <w:t xml:space="preserve">designated for use by any service because they could not be </w:t>
      </w:r>
      <w:r>
        <w:rPr>
          <w:szCs w:val="22"/>
        </w:rPr>
        <w:t>us</w:t>
      </w:r>
      <w:r w:rsidRPr="00D8167E">
        <w:rPr>
          <w:szCs w:val="22"/>
        </w:rPr>
        <w:t xml:space="preserve">ed without overlapping spectrum designated for </w:t>
      </w:r>
      <w:r>
        <w:rPr>
          <w:szCs w:val="22"/>
        </w:rPr>
        <w:t>an</w:t>
      </w:r>
      <w:r w:rsidRPr="00D8167E">
        <w:rPr>
          <w:szCs w:val="22"/>
        </w:rPr>
        <w:t xml:space="preserve"> adjacent service. </w:t>
      </w:r>
      <w:r>
        <w:rPr>
          <w:szCs w:val="22"/>
        </w:rPr>
        <w:t xml:space="preserve"> </w:t>
      </w:r>
      <w:r w:rsidRPr="00D8167E">
        <w:rPr>
          <w:szCs w:val="22"/>
        </w:rPr>
        <w:t>When the</w:t>
      </w:r>
      <w:r>
        <w:rPr>
          <w:szCs w:val="22"/>
        </w:rPr>
        <w:t xml:space="preserve"> 450-470 MHz</w:t>
      </w:r>
      <w:r w:rsidRPr="00D8167E">
        <w:rPr>
          <w:szCs w:val="22"/>
        </w:rPr>
        <w:t xml:space="preserve"> frequency designations were adopted, PLMR stations operated in wideband (25 kilohertz) mode.  Since 2013, however, the Commission has required narrowbanding (maximum 12.5 kilohertz bandwidth or equivalent efficiency) by </w:t>
      </w:r>
      <w:r>
        <w:rPr>
          <w:szCs w:val="22"/>
        </w:rPr>
        <w:t xml:space="preserve">such </w:t>
      </w:r>
      <w:r w:rsidRPr="00D8167E">
        <w:rPr>
          <w:szCs w:val="22"/>
        </w:rPr>
        <w:t>PLMR licensees.</w:t>
      </w:r>
      <w:r>
        <w:rPr>
          <w:rStyle w:val="FootnoteReference"/>
          <w:szCs w:val="22"/>
        </w:rPr>
        <w:footnoteReference w:id="25"/>
      </w:r>
      <w:r w:rsidRPr="00D8167E">
        <w:rPr>
          <w:szCs w:val="22"/>
        </w:rPr>
        <w:t xml:space="preserve">  </w:t>
      </w:r>
      <w:r>
        <w:rPr>
          <w:szCs w:val="22"/>
        </w:rPr>
        <w:t>T</w:t>
      </w:r>
      <w:r w:rsidRPr="00D8167E">
        <w:rPr>
          <w:szCs w:val="22"/>
        </w:rPr>
        <w:t xml:space="preserve">he implementation of </w:t>
      </w:r>
      <w:r>
        <w:rPr>
          <w:szCs w:val="22"/>
        </w:rPr>
        <w:t xml:space="preserve">PLMR </w:t>
      </w:r>
      <w:r w:rsidRPr="00D8167E">
        <w:rPr>
          <w:szCs w:val="22"/>
        </w:rPr>
        <w:t xml:space="preserve">narrowbanding and the </w:t>
      </w:r>
      <w:r>
        <w:rPr>
          <w:szCs w:val="22"/>
        </w:rPr>
        <w:t xml:space="preserve">development of very-narrowband four </w:t>
      </w:r>
      <w:r w:rsidRPr="00D8167E">
        <w:rPr>
          <w:szCs w:val="22"/>
        </w:rPr>
        <w:t xml:space="preserve">kilohertz equipment </w:t>
      </w:r>
      <w:r>
        <w:rPr>
          <w:szCs w:val="22"/>
        </w:rPr>
        <w:t xml:space="preserve">now make it possible to use </w:t>
      </w:r>
      <w:r w:rsidRPr="00D8167E">
        <w:rPr>
          <w:szCs w:val="22"/>
        </w:rPr>
        <w:t xml:space="preserve">some frequencies near the band edges </w:t>
      </w:r>
      <w:r>
        <w:rPr>
          <w:szCs w:val="22"/>
        </w:rPr>
        <w:t xml:space="preserve">for PLMR systems </w:t>
      </w:r>
      <w:r w:rsidRPr="00D8167E">
        <w:rPr>
          <w:szCs w:val="22"/>
        </w:rPr>
        <w:t xml:space="preserve">without overlapping spectrum designated for other services.  </w:t>
      </w:r>
      <w:r>
        <w:rPr>
          <w:szCs w:val="22"/>
        </w:rPr>
        <w:t xml:space="preserve">In the </w:t>
      </w:r>
      <w:r>
        <w:rPr>
          <w:i/>
          <w:szCs w:val="22"/>
        </w:rPr>
        <w:t xml:space="preserve">PLMR Access </w:t>
      </w:r>
      <w:r w:rsidRPr="00367034">
        <w:rPr>
          <w:i/>
          <w:szCs w:val="22"/>
        </w:rPr>
        <w:t>NPRM</w:t>
      </w:r>
      <w:r w:rsidRPr="006E6302">
        <w:rPr>
          <w:szCs w:val="22"/>
        </w:rPr>
        <w:t>,</w:t>
      </w:r>
      <w:r>
        <w:rPr>
          <w:szCs w:val="22"/>
        </w:rPr>
        <w:t xml:space="preserve"> the Commission noted those developments and proposed to add certain frequencies near the band edges to the I/B Pool frequency table.  We now make available such frequencies where it would allow more efficient use of the spectrum without conflicting with other services.</w:t>
      </w:r>
    </w:p>
    <w:p w:rsidR="004974BC" w:rsidP="004974BC">
      <w:pPr>
        <w:pStyle w:val="ParaNum"/>
        <w:widowControl/>
      </w:pPr>
      <w:r w:rsidRPr="005B4629">
        <w:rPr>
          <w:i/>
          <w:szCs w:val="22"/>
        </w:rPr>
        <w:t>Frequencies between BAS spectrum and PLMR spectrum</w:t>
      </w:r>
      <w:r w:rsidRPr="005B4629">
        <w:rPr>
          <w:szCs w:val="22"/>
        </w:rPr>
        <w:t>.  Currently, the 450.000-451.000 MHz and 455.000-456.000 MHz blocks are designated for use by BAS low power auxiliary stations (LPAS).</w:t>
      </w:r>
      <w:r>
        <w:rPr>
          <w:rStyle w:val="FootnoteReference"/>
          <w:szCs w:val="22"/>
        </w:rPr>
        <w:footnoteReference w:id="26"/>
      </w:r>
      <w:r w:rsidRPr="005B4629">
        <w:rPr>
          <w:szCs w:val="22"/>
        </w:rPr>
        <w:t xml:space="preserve"> </w:t>
      </w:r>
      <w:r>
        <w:rPr>
          <w:szCs w:val="22"/>
        </w:rPr>
        <w:t xml:space="preserve"> The </w:t>
      </w:r>
      <w:r w:rsidRPr="005B4629">
        <w:rPr>
          <w:szCs w:val="22"/>
        </w:rPr>
        <w:t xml:space="preserve">first assignable 450-470 MHz band frequency pair in the I/B Pool frequency table </w:t>
      </w:r>
      <w:r w:rsidRPr="005B4629">
        <w:rPr>
          <w:szCs w:val="22"/>
        </w:rPr>
        <w:t>is 451/456.01875 MHz.</w:t>
      </w:r>
      <w:r>
        <w:rPr>
          <w:rStyle w:val="FootnoteReference"/>
          <w:szCs w:val="22"/>
        </w:rPr>
        <w:footnoteReference w:id="27"/>
      </w:r>
      <w:r>
        <w:rPr>
          <w:szCs w:val="22"/>
        </w:rPr>
        <w:t xml:space="preserve"> </w:t>
      </w:r>
      <w:r w:rsidRPr="005B4629">
        <w:rPr>
          <w:szCs w:val="22"/>
        </w:rPr>
        <w:t xml:space="preserve"> No frequencies between 451.000/456.000 MHz and 451/456.01875 MHz are designated for use on a primary basis by any service.</w:t>
      </w:r>
      <w:r>
        <w:rPr>
          <w:rStyle w:val="FootnoteReference"/>
          <w:szCs w:val="22"/>
        </w:rPr>
        <w:footnoteReference w:id="28"/>
      </w:r>
    </w:p>
    <w:p w:rsidR="004974BC" w:rsidP="004974BC">
      <w:pPr>
        <w:pStyle w:val="ParaNum"/>
        <w:widowControl/>
      </w:pPr>
      <w:r w:rsidRPr="00C8405D">
        <w:rPr>
          <w:szCs w:val="22"/>
        </w:rPr>
        <w:t xml:space="preserve">In the </w:t>
      </w:r>
      <w:r w:rsidRPr="00C8405D">
        <w:rPr>
          <w:i/>
          <w:szCs w:val="22"/>
        </w:rPr>
        <w:t>PLMR Access NPRM</w:t>
      </w:r>
      <w:r w:rsidRPr="00C8405D">
        <w:rPr>
          <w:szCs w:val="22"/>
        </w:rPr>
        <w:t>, the Commission proposed to amend the I/B Pool frequency table to add frequency pairs 451/456.00625 MHz and 451/456.0125</w:t>
      </w:r>
      <w:r>
        <w:rPr>
          <w:szCs w:val="22"/>
        </w:rPr>
        <w:t xml:space="preserve"> MHz</w:t>
      </w:r>
      <w:r w:rsidRPr="00C8405D">
        <w:rPr>
          <w:szCs w:val="22"/>
        </w:rPr>
        <w:t>, with the limitation that the authorized bandwidths not exceed six kilohertz (the widest bandwidth that would avoid overlap between the frequency pairs).</w:t>
      </w:r>
      <w:r>
        <w:rPr>
          <w:rStyle w:val="FootnoteReference"/>
          <w:szCs w:val="22"/>
        </w:rPr>
        <w:footnoteReference w:id="29"/>
      </w:r>
      <w:r w:rsidRPr="00C8405D">
        <w:rPr>
          <w:szCs w:val="22"/>
        </w:rPr>
        <w:t xml:space="preserve">  </w:t>
      </w:r>
      <w:r>
        <w:t>The Commission also sought comment on whether to add frequency pairs 451/456.000 MHz and 451/456.009375 MHz to the table, but it tentatively concluded this would not serve the public interest because (1) operation on 451/456.000 MHz would overlap BAS LPAS operations in the 450.000-451.000 MHz and 455.000-456.000 MHz bands;</w:t>
      </w:r>
      <w:r>
        <w:rPr>
          <w:rStyle w:val="FootnoteReference"/>
        </w:rPr>
        <w:footnoteReference w:id="30"/>
      </w:r>
      <w:r>
        <w:t xml:space="preserve"> and (2) operation on 451/456.009375 MHz would preclude use of </w:t>
      </w:r>
      <w:r w:rsidRPr="00C8405D">
        <w:rPr>
          <w:szCs w:val="22"/>
        </w:rPr>
        <w:t xml:space="preserve">frequency pairs 451/456.00625 MHz and 451/445.0125 </w:t>
      </w:r>
      <w:r>
        <w:rPr>
          <w:szCs w:val="22"/>
        </w:rPr>
        <w:t xml:space="preserve">MHz </w:t>
      </w:r>
      <w:r w:rsidRPr="00C8405D">
        <w:rPr>
          <w:szCs w:val="22"/>
        </w:rPr>
        <w:t>in the same area, resulting in the addition of only one new frequency pair instead of two.</w:t>
      </w:r>
      <w:r>
        <w:rPr>
          <w:rStyle w:val="FootnoteReference"/>
          <w:szCs w:val="22"/>
        </w:rPr>
        <w:footnoteReference w:id="31"/>
      </w:r>
    </w:p>
    <w:p w:rsidR="004974BC" w:rsidRPr="00C8405D" w:rsidP="004974BC">
      <w:pPr>
        <w:pStyle w:val="ParaNum"/>
        <w:widowControl/>
      </w:pPr>
      <w:r>
        <w:rPr>
          <w:szCs w:val="22"/>
        </w:rPr>
        <w:t>B</w:t>
      </w:r>
      <w:r w:rsidRPr="00C8405D">
        <w:rPr>
          <w:szCs w:val="22"/>
        </w:rPr>
        <w:t xml:space="preserve">ased on the record before us, </w:t>
      </w:r>
      <w:r>
        <w:rPr>
          <w:szCs w:val="22"/>
        </w:rPr>
        <w:t xml:space="preserve">we </w:t>
      </w:r>
      <w:r w:rsidRPr="00C8405D">
        <w:rPr>
          <w:szCs w:val="22"/>
        </w:rPr>
        <w:t xml:space="preserve">make available to PLMR applicants additional frequencies that can be </w:t>
      </w:r>
      <w:r>
        <w:rPr>
          <w:szCs w:val="22"/>
        </w:rPr>
        <w:t>us</w:t>
      </w:r>
      <w:r w:rsidRPr="00C8405D">
        <w:rPr>
          <w:szCs w:val="22"/>
        </w:rPr>
        <w:t>ed without overlapping currently assignable frequencies and without causing harmful interference.  Commenters support the proposal to add frequency pairs 451/456.00625 MHz and 451/456.0125 to the I/B Pool table.</w:t>
      </w:r>
      <w:r>
        <w:rPr>
          <w:rStyle w:val="FootnoteReference"/>
          <w:szCs w:val="22"/>
        </w:rPr>
        <w:footnoteReference w:id="32"/>
      </w:r>
      <w:r w:rsidRPr="00C8405D">
        <w:rPr>
          <w:szCs w:val="22"/>
        </w:rPr>
        <w:t xml:space="preserve">  </w:t>
      </w:r>
      <w:r>
        <w:rPr>
          <w:szCs w:val="22"/>
        </w:rPr>
        <w:t>Although</w:t>
      </w:r>
      <w:r w:rsidRPr="00C8405D">
        <w:rPr>
          <w:szCs w:val="22"/>
        </w:rPr>
        <w:t xml:space="preserve"> the National Association of Broadcasters (NAB) objects generally to authorizing frequencies between the BAS spectrum and PLMR spectrum</w:t>
      </w:r>
      <w:r>
        <w:rPr>
          <w:szCs w:val="22"/>
        </w:rPr>
        <w:t xml:space="preserve"> due to concerns about interference</w:t>
      </w:r>
      <w:r w:rsidRPr="00C8405D">
        <w:rPr>
          <w:szCs w:val="22"/>
        </w:rPr>
        <w:t>, it</w:t>
      </w:r>
      <w:r>
        <w:rPr>
          <w:szCs w:val="22"/>
        </w:rPr>
        <w:t xml:space="preserve"> directs its</w:t>
      </w:r>
      <w:r w:rsidRPr="00C8405D">
        <w:rPr>
          <w:szCs w:val="22"/>
        </w:rPr>
        <w:t xml:space="preserve"> comments to the use of frequency pair 451/456.000 MHz, </w:t>
      </w:r>
      <w:r>
        <w:rPr>
          <w:szCs w:val="22"/>
        </w:rPr>
        <w:t>which overlaps</w:t>
      </w:r>
      <w:r w:rsidRPr="00C8405D">
        <w:rPr>
          <w:szCs w:val="22"/>
        </w:rPr>
        <w:t xml:space="preserve"> the BAS band, rather than to </w:t>
      </w:r>
      <w:r>
        <w:rPr>
          <w:szCs w:val="22"/>
        </w:rPr>
        <w:t>channels spectrally separated from</w:t>
      </w:r>
      <w:r w:rsidRPr="00C8405D">
        <w:rPr>
          <w:szCs w:val="22"/>
        </w:rPr>
        <w:t xml:space="preserve"> the BAS band.</w:t>
      </w:r>
      <w:r>
        <w:rPr>
          <w:rStyle w:val="FootnoteReference"/>
          <w:szCs w:val="22"/>
        </w:rPr>
        <w:footnoteReference w:id="33"/>
      </w:r>
      <w:r>
        <w:rPr>
          <w:szCs w:val="22"/>
        </w:rPr>
        <w:t xml:space="preserve">  </w:t>
      </w:r>
      <w:r w:rsidRPr="00C8405D">
        <w:rPr>
          <w:szCs w:val="22"/>
        </w:rPr>
        <w:t xml:space="preserve">Consequently, we amend our rules to add to the I/B Pool frequency table frequency pairs 451/456.00625 MHz and 451/456.0125 MHz, with the </w:t>
      </w:r>
      <w:r w:rsidRPr="00C8405D">
        <w:rPr>
          <w:color w:val="000000"/>
          <w:szCs w:val="22"/>
        </w:rPr>
        <w:t>limitation that the authorized bandwidth not exceed six kilohertz</w:t>
      </w:r>
      <w:r w:rsidRPr="00C8405D">
        <w:rPr>
          <w:szCs w:val="22"/>
        </w:rPr>
        <w:t>.  The new channels fit within the existing band plan as follows:</w:t>
      </w:r>
    </w:p>
    <w:p w:rsidR="004974BC" w:rsidP="004974BC">
      <w:pPr>
        <w:pStyle w:val="ParaNum"/>
        <w:widowControl/>
        <w:numPr>
          <w:ilvl w:val="0"/>
          <w:numId w:val="0"/>
        </w:numPr>
        <w:rPr>
          <w:szCs w:val="22"/>
        </w:rPr>
      </w:pPr>
      <w:r>
        <w:rPr>
          <w:noProof/>
          <w:snapToGrid/>
          <w:szCs w:val="22"/>
        </w:rPr>
        <w:pict>
          <v:shape id="Picture 14" o:spid="_x0000_i1026" type="#_x0000_t75" style="width:468.75pt;height:198pt;visibility:visible">
            <v:imagedata r:id="rId6" o:title=""/>
          </v:shape>
        </w:pict>
      </w:r>
    </w:p>
    <w:p w:rsidR="004974BC" w:rsidRPr="002E6E8C" w:rsidP="004974BC">
      <w:pPr>
        <w:pStyle w:val="ParaNum"/>
        <w:widowControl/>
      </w:pPr>
      <w:r>
        <w:rPr>
          <w:szCs w:val="22"/>
        </w:rPr>
        <w:t>We decline</w:t>
      </w:r>
      <w:r w:rsidRPr="00472508">
        <w:rPr>
          <w:szCs w:val="22"/>
        </w:rPr>
        <w:t xml:space="preserve"> to add frequency pair 451/456.009375 MHz to the table, </w:t>
      </w:r>
      <w:r>
        <w:rPr>
          <w:szCs w:val="22"/>
        </w:rPr>
        <w:t xml:space="preserve">because </w:t>
      </w:r>
      <w:r w:rsidRPr="00472508">
        <w:rPr>
          <w:szCs w:val="22"/>
        </w:rPr>
        <w:t>use of this channel would conflict with frequency pairs 451/456.00625 MHz and 451/456.0125 MHz.</w:t>
      </w:r>
      <w:r>
        <w:rPr>
          <w:rStyle w:val="FootnoteReference"/>
          <w:szCs w:val="22"/>
        </w:rPr>
        <w:footnoteReference w:id="34"/>
      </w:r>
      <w:r w:rsidRPr="00472508">
        <w:rPr>
          <w:szCs w:val="22"/>
        </w:rPr>
        <w:t xml:space="preserve">  </w:t>
      </w:r>
      <w:r>
        <w:rPr>
          <w:szCs w:val="22"/>
        </w:rPr>
        <w:t>Mobile Relay Associates, LLC (</w:t>
      </w:r>
      <w:r w:rsidRPr="00690EEA">
        <w:rPr>
          <w:szCs w:val="22"/>
        </w:rPr>
        <w:t>MRA</w:t>
      </w:r>
      <w:r>
        <w:rPr>
          <w:szCs w:val="22"/>
        </w:rPr>
        <w:t xml:space="preserve">) </w:t>
      </w:r>
      <w:r>
        <w:t>agrees that adding two frequency pairs—4</w:t>
      </w:r>
      <w:r w:rsidRPr="00C8405D">
        <w:rPr>
          <w:szCs w:val="22"/>
        </w:rPr>
        <w:t>51/456.00625 MHz and 451/456.0125 MHz</w:t>
      </w:r>
      <w:r>
        <w:rPr>
          <w:szCs w:val="22"/>
        </w:rPr>
        <w:t xml:space="preserve">—is </w:t>
      </w:r>
      <w:r>
        <w:t>more spectrally efficient than adding only one pair.</w:t>
      </w:r>
      <w:r>
        <w:rPr>
          <w:rStyle w:val="FootnoteReference"/>
        </w:rPr>
        <w:footnoteReference w:id="35"/>
      </w:r>
      <w:r>
        <w:t xml:space="preserve">  Although some commenters argue that the decision whether to add two six-kilohertz channels or one eight-kilohertz channel in an area should be addressed in the frequency coordination process,</w:t>
      </w:r>
      <w:r>
        <w:rPr>
          <w:rStyle w:val="FootnoteReference"/>
        </w:rPr>
        <w:footnoteReference w:id="36"/>
      </w:r>
      <w:r>
        <w:t xml:space="preserve"> we continue to believe that our goal—enhancing access to PLMR spectrum—is better served by adding two channels</w:t>
      </w:r>
      <w:r w:rsidRPr="00472508">
        <w:rPr>
          <w:szCs w:val="22"/>
        </w:rPr>
        <w:t>.</w:t>
      </w:r>
      <w:r>
        <w:rPr>
          <w:szCs w:val="22"/>
        </w:rPr>
        <w:t xml:space="preserve">  This not only accommodates more users but encourages use of more efficient equipment.</w:t>
      </w:r>
    </w:p>
    <w:p w:rsidR="004974BC" w:rsidP="004974BC">
      <w:pPr>
        <w:pStyle w:val="ParaNum"/>
        <w:widowControl/>
        <w:rPr>
          <w:szCs w:val="22"/>
        </w:rPr>
      </w:pPr>
      <w:r w:rsidRPr="007A33D4">
        <w:rPr>
          <w:szCs w:val="22"/>
        </w:rPr>
        <w:t>We als</w:t>
      </w:r>
      <w:r>
        <w:rPr>
          <w:szCs w:val="22"/>
        </w:rPr>
        <w:t>o decline to add frequency pair</w:t>
      </w:r>
      <w:r w:rsidRPr="007A33D4">
        <w:rPr>
          <w:szCs w:val="22"/>
        </w:rPr>
        <w:t xml:space="preserve"> 451/456.000 MHz to the table.  </w:t>
      </w:r>
      <w:r>
        <w:rPr>
          <w:szCs w:val="22"/>
        </w:rPr>
        <w:t xml:space="preserve">This channel would overlap with BAS LPAS spectrum.  </w:t>
      </w:r>
      <w:r w:rsidRPr="007A33D4">
        <w:rPr>
          <w:szCs w:val="22"/>
        </w:rPr>
        <w:t>NAB concurs that it would not serve the public interest to designate for PLMR use a channel that overlaps BAS LPAS spectrum.</w:t>
      </w:r>
      <w:r>
        <w:rPr>
          <w:rStyle w:val="FootnoteReference"/>
          <w:szCs w:val="22"/>
        </w:rPr>
        <w:footnoteReference w:id="37"/>
      </w:r>
      <w:r w:rsidRPr="007A33D4">
        <w:rPr>
          <w:szCs w:val="22"/>
        </w:rPr>
        <w:t xml:space="preserve">  It argues that spectrum overlap would result in interference to BAS LPAS operations in the </w:t>
      </w:r>
      <w:r>
        <w:t>450.000-451.000 MHz and 455.000-456.000 MHz bands.  According to NAB, this spectrum will be used increasingly by broadcasters because the broadcast incentive auction reduced the amount of spectrum available for BAS use in the 470-698 MHz band.</w:t>
      </w:r>
      <w:r>
        <w:rPr>
          <w:rStyle w:val="FootnoteReference"/>
        </w:rPr>
        <w:footnoteReference w:id="38"/>
      </w:r>
      <w:r>
        <w:t xml:space="preserve">  MRA argues that PLMR operation on </w:t>
      </w:r>
      <w:r w:rsidRPr="007A33D4">
        <w:rPr>
          <w:szCs w:val="22"/>
        </w:rPr>
        <w:t>frequency pair 451/456.000 MHz with a four</w:t>
      </w:r>
      <w:r>
        <w:rPr>
          <w:szCs w:val="22"/>
        </w:rPr>
        <w:t xml:space="preserve"> </w:t>
      </w:r>
      <w:r w:rsidRPr="007A33D4">
        <w:rPr>
          <w:szCs w:val="22"/>
        </w:rPr>
        <w:t xml:space="preserve">kilohertz bandwidth would not cause interference because of the small amount of spectral overlap into the </w:t>
      </w:r>
      <w:r>
        <w:t>450.000-451.000 MHz and 455.000-456.000 MHz bands.</w:t>
      </w:r>
      <w:r>
        <w:rPr>
          <w:rStyle w:val="FootnoteReference"/>
        </w:rPr>
        <w:footnoteReference w:id="39"/>
      </w:r>
      <w:r>
        <w:t xml:space="preserve">  </w:t>
      </w:r>
      <w:r w:rsidRPr="007A33D4">
        <w:rPr>
          <w:color w:val="010101"/>
        </w:rPr>
        <w:t xml:space="preserve">Given the low power </w:t>
      </w:r>
      <w:r>
        <w:rPr>
          <w:color w:val="010101"/>
        </w:rPr>
        <w:t>at</w:t>
      </w:r>
      <w:r w:rsidRPr="007A33D4">
        <w:rPr>
          <w:color w:val="010101"/>
        </w:rPr>
        <w:t xml:space="preserve"> which BAS LPAS devices operate</w:t>
      </w:r>
      <w:r>
        <w:rPr>
          <w:rStyle w:val="FootnoteReference"/>
        </w:rPr>
        <w:footnoteReference w:id="40"/>
      </w:r>
      <w:r w:rsidRPr="007A33D4">
        <w:rPr>
          <w:color w:val="010101"/>
        </w:rPr>
        <w:t xml:space="preserve"> and the difficulty in coordinatin</w:t>
      </w:r>
      <w:r>
        <w:rPr>
          <w:color w:val="010101"/>
        </w:rPr>
        <w:t>g with itinerant BAS use (both geographically and spectrally)</w:t>
      </w:r>
      <w:r w:rsidRPr="007A33D4">
        <w:rPr>
          <w:color w:val="010101"/>
        </w:rPr>
        <w:t xml:space="preserve">, we conclude that authorizing PLMR operations that overlap BAS spectrum poses an unacceptable risk of harmful interference to BAS operations.  </w:t>
      </w:r>
    </w:p>
    <w:p w:rsidR="004974BC" w:rsidRPr="00C8405D" w:rsidP="004974BC">
      <w:pPr>
        <w:pStyle w:val="ParaNum"/>
        <w:widowControl/>
        <w:rPr>
          <w:szCs w:val="22"/>
        </w:rPr>
      </w:pPr>
      <w:r w:rsidRPr="00C8405D">
        <w:rPr>
          <w:i/>
          <w:szCs w:val="22"/>
        </w:rPr>
        <w:t>Frequencies between PLMR spectrum and GMRS spectrum</w:t>
      </w:r>
      <w:r w:rsidRPr="00C8405D">
        <w:rPr>
          <w:szCs w:val="22"/>
        </w:rPr>
        <w:t>.  Currently, the last assignable I/B Pool frequency pair below 462/467.5375 MHz is 462/467.53125 MHz.</w:t>
      </w:r>
      <w:r>
        <w:rPr>
          <w:rStyle w:val="FootnoteReference"/>
          <w:szCs w:val="22"/>
        </w:rPr>
        <w:footnoteReference w:id="41"/>
      </w:r>
      <w:r w:rsidRPr="00C8405D">
        <w:rPr>
          <w:szCs w:val="22"/>
        </w:rPr>
        <w:t xml:space="preserve">  GMRS frequencies </w:t>
      </w:r>
      <w:r>
        <w:rPr>
          <w:szCs w:val="22"/>
        </w:rPr>
        <w:t xml:space="preserve">begin with </w:t>
      </w:r>
      <w:r w:rsidRPr="00C8405D">
        <w:rPr>
          <w:szCs w:val="22"/>
        </w:rPr>
        <w:t xml:space="preserve">462/467.550 MHz </w:t>
      </w:r>
      <w:r>
        <w:rPr>
          <w:szCs w:val="22"/>
        </w:rPr>
        <w:t>and end with</w:t>
      </w:r>
      <w:r w:rsidRPr="00C8405D">
        <w:rPr>
          <w:szCs w:val="22"/>
        </w:rPr>
        <w:t xml:space="preserve"> 462/467.725 MHz.</w:t>
      </w:r>
      <w:r>
        <w:rPr>
          <w:rStyle w:val="FootnoteReference"/>
          <w:szCs w:val="22"/>
        </w:rPr>
        <w:footnoteReference w:id="42"/>
      </w:r>
      <w:r w:rsidRPr="00C8405D">
        <w:rPr>
          <w:szCs w:val="22"/>
        </w:rPr>
        <w:t xml:space="preserve">  The first currently assignable I/B Pool frequencies after the GMRS blocks are 467.74375 MHz and 462/467.750 MHz.</w:t>
      </w:r>
      <w:r>
        <w:rPr>
          <w:rStyle w:val="FootnoteReference"/>
          <w:szCs w:val="22"/>
        </w:rPr>
        <w:footnoteReference w:id="43"/>
      </w:r>
      <w:r w:rsidRPr="00C8405D">
        <w:rPr>
          <w:szCs w:val="22"/>
        </w:rPr>
        <w:t xml:space="preserve">  </w:t>
      </w:r>
      <w:r>
        <w:rPr>
          <w:szCs w:val="22"/>
        </w:rPr>
        <w:t>F</w:t>
      </w:r>
      <w:r w:rsidRPr="00C8405D">
        <w:rPr>
          <w:szCs w:val="22"/>
        </w:rPr>
        <w:t xml:space="preserve">requencies between these I/B Pool frequencies and the GMRS channels are </w:t>
      </w:r>
      <w:r>
        <w:rPr>
          <w:szCs w:val="22"/>
        </w:rPr>
        <w:t xml:space="preserve">not </w:t>
      </w:r>
      <w:r w:rsidRPr="00C8405D">
        <w:rPr>
          <w:szCs w:val="22"/>
        </w:rPr>
        <w:t>designated for use by any service.</w:t>
      </w:r>
    </w:p>
    <w:p w:rsidR="004974BC" w:rsidP="004974BC">
      <w:pPr>
        <w:pStyle w:val="ParaNum"/>
        <w:widowControl/>
      </w:pPr>
      <w:r w:rsidRPr="00ED5500">
        <w:rPr>
          <w:szCs w:val="22"/>
        </w:rPr>
        <w:t xml:space="preserve">In the </w:t>
      </w:r>
      <w:r>
        <w:rPr>
          <w:i/>
          <w:szCs w:val="22"/>
        </w:rPr>
        <w:t xml:space="preserve">PLMR Access </w:t>
      </w:r>
      <w:r w:rsidRPr="00ED5500">
        <w:rPr>
          <w:i/>
          <w:szCs w:val="22"/>
        </w:rPr>
        <w:t>NPRM</w:t>
      </w:r>
      <w:r w:rsidRPr="00ED5500">
        <w:rPr>
          <w:szCs w:val="22"/>
        </w:rPr>
        <w:t xml:space="preserve">, the Commission proposed to amend the I/B Pool frequency table to add frequency pairs 462/467.5375 MHz and 462/467.7375 MHz, with the limitation that the authorized bandwidth not exceed </w:t>
      </w:r>
      <w:r>
        <w:rPr>
          <w:szCs w:val="22"/>
        </w:rPr>
        <w:t>four</w:t>
      </w:r>
      <w:r w:rsidRPr="00ED5500">
        <w:rPr>
          <w:szCs w:val="22"/>
        </w:rPr>
        <w:t xml:space="preserve"> kilohertz (the </w:t>
      </w:r>
      <w:r w:rsidRPr="00F7695A">
        <w:rPr>
          <w:szCs w:val="22"/>
        </w:rPr>
        <w:t>widest</w:t>
      </w:r>
      <w:r w:rsidRPr="00ED5500">
        <w:rPr>
          <w:szCs w:val="22"/>
        </w:rPr>
        <w:t xml:space="preserve"> bandwidth that would avoid overlapping any GMRS frequencies).</w:t>
      </w:r>
      <w:r>
        <w:rPr>
          <w:rStyle w:val="FootnoteReference"/>
          <w:szCs w:val="22"/>
        </w:rPr>
        <w:footnoteReference w:id="44"/>
      </w:r>
      <w:r w:rsidRPr="00ED5500">
        <w:rPr>
          <w:szCs w:val="22"/>
        </w:rPr>
        <w:t xml:space="preserve"> </w:t>
      </w:r>
      <w:r>
        <w:rPr>
          <w:szCs w:val="22"/>
        </w:rPr>
        <w:t xml:space="preserve"> </w:t>
      </w:r>
      <w:r w:rsidRPr="00C8405D">
        <w:rPr>
          <w:szCs w:val="22"/>
        </w:rPr>
        <w:t xml:space="preserve">We conclude, based on the record before us, that it is in the public interest to make available to PLMR applicants additional frequencies that can be </w:t>
      </w:r>
      <w:r>
        <w:rPr>
          <w:szCs w:val="22"/>
        </w:rPr>
        <w:t>us</w:t>
      </w:r>
      <w:r w:rsidRPr="00C8405D">
        <w:rPr>
          <w:szCs w:val="22"/>
        </w:rPr>
        <w:t xml:space="preserve">ed without overlapping the occupied bandwidth of currently assignable frequencies and without causing harmful interference.  </w:t>
      </w:r>
      <w:r>
        <w:t>C</w:t>
      </w:r>
      <w:r w:rsidRPr="007131E5">
        <w:t xml:space="preserve">ommenters </w:t>
      </w:r>
      <w:r>
        <w:t xml:space="preserve">addressing </w:t>
      </w:r>
      <w:r w:rsidRPr="007131E5">
        <w:t>th</w:t>
      </w:r>
      <w:r>
        <w:t>is</w:t>
      </w:r>
      <w:r w:rsidRPr="007131E5">
        <w:t xml:space="preserve"> proposal</w:t>
      </w:r>
      <w:r>
        <w:t xml:space="preserve"> support it</w:t>
      </w:r>
      <w:r w:rsidRPr="007131E5">
        <w:t>.</w:t>
      </w:r>
      <w:r>
        <w:rPr>
          <w:rStyle w:val="FootnoteReference"/>
          <w:szCs w:val="22"/>
        </w:rPr>
        <w:footnoteReference w:id="45"/>
      </w:r>
      <w:r w:rsidRPr="007131E5">
        <w:t xml:space="preserve">  </w:t>
      </w:r>
      <w:r>
        <w:t xml:space="preserve">We note, with respect to the concern of </w:t>
      </w:r>
      <w:r w:rsidRPr="007131E5">
        <w:t>Moto</w:t>
      </w:r>
      <w:r>
        <w:t xml:space="preserve">rola Solutions, Inc. (Motorola) </w:t>
      </w:r>
      <w:r w:rsidRPr="007131E5">
        <w:t>that operation on the proposed frequency pairs not cause interference to GMRS operators</w:t>
      </w:r>
      <w:r>
        <w:t>,</w:t>
      </w:r>
      <w:r>
        <w:rPr>
          <w:rStyle w:val="FootnoteReference"/>
          <w:szCs w:val="22"/>
        </w:rPr>
        <w:footnoteReference w:id="46"/>
      </w:r>
      <w:r>
        <w:t xml:space="preserve"> </w:t>
      </w:r>
      <w:r w:rsidRPr="007131E5">
        <w:t>that the proposed channels do not overlap GMRS spectrum</w:t>
      </w:r>
      <w:r>
        <w:rPr>
          <w:rStyle w:val="FootnoteReference"/>
          <w:szCs w:val="22"/>
        </w:rPr>
        <w:footnoteReference w:id="47"/>
      </w:r>
      <w:r w:rsidRPr="007131E5">
        <w:t xml:space="preserve"> and that neither Motorola nor any other commenter has </w:t>
      </w:r>
      <w:r>
        <w:t xml:space="preserve">established </w:t>
      </w:r>
      <w:r w:rsidRPr="007131E5">
        <w:t>that PLMR operations on frequency pairs 462/467.5375 MHz and 462/467.7375 MHz will interfere with GMRS operations.</w:t>
      </w:r>
      <w:r>
        <w:rPr>
          <w:rStyle w:val="FootnoteReference"/>
          <w:szCs w:val="22"/>
        </w:rPr>
        <w:footnoteReference w:id="48"/>
      </w:r>
      <w:r w:rsidRPr="007131E5">
        <w:t xml:space="preserve">  </w:t>
      </w:r>
      <w:r>
        <w:t>The new channels fit within the existing band plan as follows:</w:t>
      </w:r>
    </w:p>
    <w:p w:rsidR="004974BC" w:rsidP="004974BC">
      <w:pPr>
        <w:pStyle w:val="ParaNum"/>
        <w:widowControl/>
        <w:numPr>
          <w:ilvl w:val="0"/>
          <w:numId w:val="0"/>
        </w:numPr>
        <w:rPr>
          <w:szCs w:val="22"/>
        </w:rPr>
      </w:pPr>
      <w:r>
        <w:rPr>
          <w:noProof/>
          <w:snapToGrid/>
          <w:szCs w:val="22"/>
        </w:rPr>
        <w:pict>
          <v:shape id="Picture 13" o:spid="_x0000_i1027" type="#_x0000_t75" style="width:479.25pt;height:204pt;visibility:visible">
            <v:imagedata r:id="rId7" o:title=""/>
          </v:shape>
        </w:pict>
      </w:r>
    </w:p>
    <w:p w:rsidR="004974BC" w:rsidP="004974BC">
      <w:pPr>
        <w:pStyle w:val="ParaNum"/>
        <w:widowControl/>
      </w:pPr>
      <w:r w:rsidRPr="000C177D">
        <w:rPr>
          <w:i/>
        </w:rPr>
        <w:t>Other undesignated 450-470 MHz frequencies</w:t>
      </w:r>
      <w:r>
        <w:t xml:space="preserve">.  We decline to add any other currently undesignated </w:t>
      </w:r>
      <w:r w:rsidRPr="00112057">
        <w:t xml:space="preserve">450-470 MHz </w:t>
      </w:r>
      <w:r>
        <w:t>frequency pairs to the I/B Pool frequency table.</w:t>
      </w:r>
      <w:r>
        <w:rPr>
          <w:rStyle w:val="FootnoteReference"/>
          <w:szCs w:val="22"/>
        </w:rPr>
        <w:footnoteReference w:id="49"/>
      </w:r>
      <w:r>
        <w:t xml:space="preserve">  All of the frequency pairs added above are adjacent to an assignable I/B Pool channel on one side and to spectrum designated for another service on the other side, so these actions simply expand existing I/B Pool blocks to include unused adjacent spectrum.  </w:t>
      </w:r>
    </w:p>
    <w:p w:rsidR="004974BC" w:rsidRPr="00780596" w:rsidP="004974BC">
      <w:pPr>
        <w:pStyle w:val="ParaNum"/>
        <w:widowControl/>
      </w:pPr>
      <w:r>
        <w:t>We reject MRA’s proposal to designate for general I/B Pool use certain 454/459 MHz frequency pairs that are surrounded on both sides by spectrum designated for other uses.</w:t>
      </w:r>
      <w:r>
        <w:rPr>
          <w:rStyle w:val="FootnoteReference"/>
          <w:szCs w:val="22"/>
        </w:rPr>
        <w:footnoteReference w:id="50"/>
      </w:r>
      <w:r>
        <w:t xml:space="preserve">  In each case, the proposed frequency pair would be inserted between part 22 spectrum on one side, and channels designated for something other than general I/B Pool use on the other side.</w:t>
      </w:r>
      <w:r>
        <w:rPr>
          <w:rStyle w:val="FootnoteReference"/>
        </w:rPr>
        <w:footnoteReference w:id="51"/>
      </w:r>
      <w:r>
        <w:t xml:space="preserve">  Unlike the 451/456 MHz and 462/467 MHz frequency pairs discussed above, none of these 454/459 MHz frequency pairs is adjacent on </w:t>
      </w:r>
      <w:r w:rsidRPr="006D1460">
        <w:t>either</w:t>
      </w:r>
      <w:r>
        <w:t xml:space="preserve"> side to unrestricted I/B </w:t>
      </w:r>
      <w:r w:rsidRPr="00F7695A">
        <w:t xml:space="preserve">Pool </w:t>
      </w:r>
      <w:r>
        <w:t>frequencies.  MRA has not explained why designating these frequency pairs as PLMR channels is more efficient than allotting them for the same uses as any of the adjacent channels.</w:t>
      </w:r>
      <w:r>
        <w:rPr>
          <w:rStyle w:val="FootnoteReference"/>
        </w:rPr>
        <w:footnoteReference w:id="52"/>
      </w:r>
      <w:r>
        <w:t xml:space="preserve">  Determining the best use for these frequency pairs requires a broader review than we have in the record before us.  Commission staff is examining potential rule changes to promote efficient use of narrowband part 22 spectrum by increasing service, technical, and operational flexibility.</w:t>
      </w:r>
      <w:r>
        <w:rPr>
          <w:rStyle w:val="FootnoteReference"/>
        </w:rPr>
        <w:footnoteReference w:id="53"/>
      </w:r>
      <w:r>
        <w:t xml:space="preserve">  We conclude that the disposition of the part 22-adjacent frequency pairs suggested by MRA is better addressed in a future rulemaking proceeding.</w:t>
      </w:r>
      <w:r w:rsidRPr="007B352D">
        <w:t xml:space="preserve"> </w:t>
      </w:r>
      <w:bookmarkStart w:id="33" w:name="_Hlk522029678"/>
    </w:p>
    <w:p w:rsidR="004974BC" w:rsidP="004974BC">
      <w:pPr>
        <w:pStyle w:val="Heading3"/>
        <w:widowControl/>
      </w:pPr>
      <w:r>
        <w:t>Interstitial Channels in the 800 MHz Band</w:t>
      </w:r>
    </w:p>
    <w:p w:rsidR="004974BC" w:rsidP="004974BC">
      <w:pPr>
        <w:pStyle w:val="ParaNum"/>
        <w:widowControl/>
      </w:pPr>
      <w:r w:rsidRPr="002678B9">
        <w:t xml:space="preserve">We also create new opportunities for licensees by adding channel capacity in </w:t>
      </w:r>
      <w:r>
        <w:t xml:space="preserve">the </w:t>
      </w:r>
      <w:r w:rsidRPr="002678B9">
        <w:t>heavily used 800 MHz Mid-Band</w:t>
      </w:r>
      <w:r>
        <w:t>,</w:t>
      </w:r>
      <w:r w:rsidRPr="002678B9">
        <w:t xml:space="preserve"> subject to certain protections designed to safeguard adjacent-channel incumbents from interference.  The addition of these interstitial channels will enable licensees to take advantage of the increased availability of equipment that uses narrower bandwidth than the 25 kilohertz bandwidth channels historically used in the 800 MHz band</w:t>
      </w:r>
      <w:r w:rsidRPr="00D02608">
        <w:t xml:space="preserve">, such as equipment used in the PLMR bands </w:t>
      </w:r>
      <w:r w:rsidRPr="00D02608">
        <w:t xml:space="preserve">below 470 MHz and the 700 MHz public safety band.  Thus, the Commission’s narrowbanding proceeding required all </w:t>
      </w:r>
      <w:r>
        <w:t>150-174 MHz and 450-470 MHz band PLMR</w:t>
      </w:r>
      <w:r w:rsidRPr="00D02608">
        <w:t xml:space="preserve"> licensees to narrowband their facilities to operate within a 12.5 kilohertz channel</w:t>
      </w:r>
      <w:r>
        <w:t xml:space="preserve"> or with equivalent efficiency</w:t>
      </w:r>
      <w:r w:rsidRPr="00D02608">
        <w:t>,</w:t>
      </w:r>
      <w:r>
        <w:rPr>
          <w:rStyle w:val="FootnoteReference"/>
        </w:rPr>
        <w:footnoteReference w:id="54"/>
      </w:r>
      <w:r w:rsidRPr="00D02608">
        <w:t xml:space="preserve"> and </w:t>
      </w:r>
      <w:r w:rsidRPr="00207F68">
        <w:t xml:space="preserve">the </w:t>
      </w:r>
      <w:r w:rsidRPr="00D02608">
        <w:t>700 MHz narrowband allocation requires a spectrum efficiency of at least one voice path per 12.5 kilohertz of spectrum bandwidth.</w:t>
      </w:r>
      <w:r>
        <w:rPr>
          <w:rStyle w:val="FootnoteReference"/>
        </w:rPr>
        <w:footnoteReference w:id="55"/>
      </w:r>
      <w:r>
        <w:t xml:space="preserve">  </w:t>
      </w:r>
    </w:p>
    <w:p w:rsidR="004974BC" w:rsidP="004974BC">
      <w:pPr>
        <w:pStyle w:val="ParaNum"/>
        <w:widowControl/>
      </w:pPr>
      <w:r>
        <w:t xml:space="preserve">In 2015, the Commission </w:t>
      </w:r>
      <w:r w:rsidRPr="00CD6980">
        <w:rPr>
          <w:spacing w:val="-2"/>
        </w:rPr>
        <w:t xml:space="preserve">proposed </w:t>
      </w:r>
      <w:r>
        <w:t>to increase channel capacity in the 800 MHz Mid-Band by adding interstitial 12.5 kilohertz offset frequencies, or channels, between the existing 25 kilohertz channels in the band.</w:t>
      </w:r>
      <w:r>
        <w:rPr>
          <w:rStyle w:val="FootnoteReference"/>
          <w:spacing w:val="-2"/>
        </w:rPr>
        <w:footnoteReference w:id="56"/>
      </w:r>
      <w:r w:rsidRPr="001757B0">
        <w:t xml:space="preserve"> </w:t>
      </w:r>
      <w:r>
        <w:t xml:space="preserve"> T</w:t>
      </w:r>
      <w:r w:rsidRPr="00E50870">
        <w:t>he Commission requested comment on whether the introduction of interstitial channels would promote more effective use of the 800 MHz Mid-Band</w:t>
      </w:r>
      <w:r>
        <w:t xml:space="preserve"> and asked what </w:t>
      </w:r>
      <w:r w:rsidRPr="00E13500">
        <w:t xml:space="preserve">interference protection criteria </w:t>
      </w:r>
      <w:r>
        <w:t xml:space="preserve">should apply if </w:t>
      </w:r>
      <w:r w:rsidRPr="00E13500">
        <w:t xml:space="preserve">interstitial channels </w:t>
      </w:r>
      <w:r>
        <w:t>were added to the Mid-Band.</w:t>
      </w:r>
      <w:r>
        <w:rPr>
          <w:rStyle w:val="FootnoteReference"/>
        </w:rPr>
        <w:footnoteReference w:id="57"/>
      </w:r>
      <w:r>
        <w:t xml:space="preserve">  The Commission also requested comment on eligibility and licensing requirements and on authorized bandwidth and appropriate emission masks.</w:t>
      </w:r>
      <w:r>
        <w:rPr>
          <w:rStyle w:val="FootnoteReference"/>
        </w:rPr>
        <w:footnoteReference w:id="58"/>
      </w:r>
      <w:r>
        <w:t xml:space="preserve">  In addition, the Commission sought comment on how the introduction of </w:t>
      </w:r>
      <w:r w:rsidRPr="001960FB">
        <w:t>Terrestrial Trunked Radio</w:t>
      </w:r>
      <w:r>
        <w:t xml:space="preserve"> (TETRA) technology in to the Mid-Band could impact the establishment of interstitial channels.</w:t>
      </w:r>
      <w:r>
        <w:rPr>
          <w:rStyle w:val="FootnoteReference"/>
        </w:rPr>
        <w:footnoteReference w:id="59"/>
      </w:r>
      <w:r>
        <w:t xml:space="preserve">  The Commission also proposed to make interstitial channels available for licensing in any NPSPAC region </w:t>
      </w:r>
      <w:r w:rsidRPr="00CD6980">
        <w:rPr>
          <w:color w:val="000000"/>
        </w:rPr>
        <w:t>only after 800 MHz rebanding is completed in that region and to announce by public notice when licensing of interstitial channels may begin in each NPSPAC region</w:t>
      </w:r>
      <w:r w:rsidRPr="00A96110">
        <w:t>.</w:t>
      </w:r>
      <w:r>
        <w:rPr>
          <w:rStyle w:val="FootnoteReference"/>
          <w:szCs w:val="22"/>
        </w:rPr>
        <w:footnoteReference w:id="60"/>
      </w:r>
    </w:p>
    <w:p w:rsidR="004974BC" w:rsidRPr="002A3961" w:rsidP="004974BC">
      <w:pPr>
        <w:pStyle w:val="ParaNum"/>
        <w:widowControl/>
      </w:pPr>
      <w:r>
        <w:t>Most commenters support the addition of interstitial channels to the band, although commenters differed on how best to protect incumbents on adjacent channels from interference.</w:t>
      </w:r>
      <w:r>
        <w:rPr>
          <w:rStyle w:val="FootnoteReference"/>
        </w:rPr>
        <w:footnoteReference w:id="61"/>
      </w:r>
      <w:r>
        <w:t xml:space="preserve">  In an </w:t>
      </w:r>
      <w:r>
        <w:t xml:space="preserve">attempt to develop a consensus to move forward, the </w:t>
      </w:r>
      <w:r w:rsidRPr="00185553">
        <w:t>Land Mobile Communications Council (LMCC)</w:t>
      </w:r>
      <w:r>
        <w:t xml:space="preserve">, </w:t>
      </w:r>
      <w:r>
        <w:rPr>
          <w:szCs w:val="22"/>
        </w:rPr>
        <w:t>which</w:t>
      </w:r>
      <w:r w:rsidRPr="003911C5">
        <w:rPr>
          <w:szCs w:val="22"/>
        </w:rPr>
        <w:t xml:space="preserve"> includes all of the part 90 frequency coordinators</w:t>
      </w:r>
      <w:r>
        <w:t>, proposed in its reply to comments to protect Mid-Band incumbents from adjacent-channel interference by using contour analysis in the frequency coordination process.</w:t>
      </w:r>
      <w:r>
        <w:rPr>
          <w:rStyle w:val="FootnoteReference"/>
        </w:rPr>
        <w:footnoteReference w:id="62"/>
      </w:r>
      <w:r>
        <w:t xml:space="preserve">  Because LMCC filed its proposal during the reply comment phase of the proceeding, the Public Safety and Homeland Security Bureau and Wireless Telecommunications Bureau (WTB) </w:t>
      </w:r>
      <w:r w:rsidRPr="00E50870">
        <w:t>(collectively</w:t>
      </w:r>
      <w:r>
        <w:t>,</w:t>
      </w:r>
      <w:r w:rsidRPr="00E50870">
        <w:t xml:space="preserve"> the Bureaus)</w:t>
      </w:r>
      <w:r>
        <w:t xml:space="preserve"> sought comment on the LMCC proposal in a public notice.</w:t>
      </w:r>
      <w:r>
        <w:rPr>
          <w:rStyle w:val="FootnoteReference"/>
        </w:rPr>
        <w:footnoteReference w:id="63"/>
      </w:r>
      <w:r>
        <w:t xml:space="preserve">  Parties commenting in response to that public notice generally support the LMCC proposal.  MRA, however, </w:t>
      </w:r>
      <w:r w:rsidRPr="005B20B5">
        <w:t xml:space="preserve">suggests </w:t>
      </w:r>
      <w:r>
        <w:t xml:space="preserve">certain modifications.  </w:t>
      </w:r>
    </w:p>
    <w:p w:rsidR="004974BC" w:rsidP="004974BC">
      <w:pPr>
        <w:pStyle w:val="ParaNum"/>
        <w:widowControl/>
      </w:pPr>
      <w:r w:rsidRPr="006E6302">
        <w:rPr>
          <w:i/>
        </w:rPr>
        <w:t>Availability of interstitial channels.</w:t>
      </w:r>
      <w:r>
        <w:t xml:space="preserve">  We conclude that the </w:t>
      </w:r>
      <w:r w:rsidRPr="00FD1F35">
        <w:t>introduction of 12.5 kilohertz</w:t>
      </w:r>
      <w:r>
        <w:t xml:space="preserve"> offset </w:t>
      </w:r>
      <w:r w:rsidRPr="00FD1F35">
        <w:t xml:space="preserve">interstitial channels to the 800 MHz Mid-Band will promote more efficient use of </w:t>
      </w:r>
      <w:r>
        <w:t xml:space="preserve">this portion of the </w:t>
      </w:r>
      <w:r w:rsidRPr="00FD1F35">
        <w:t xml:space="preserve">800 MHz spectrum. </w:t>
      </w:r>
      <w:r>
        <w:t xml:space="preserve"> </w:t>
      </w:r>
      <w:r w:rsidRPr="00FD1F35">
        <w:t>These channels will be made available for licensing by NPSPAC region</w:t>
      </w:r>
      <w:r>
        <w:t>.</w:t>
      </w:r>
      <w:r w:rsidRPr="00FD1F35">
        <w:t xml:space="preserve"> </w:t>
      </w:r>
      <w:r>
        <w:t xml:space="preserve"> </w:t>
      </w:r>
      <w:r w:rsidRPr="00FD1F35">
        <w:t xml:space="preserve">We direct the </w:t>
      </w:r>
      <w:r>
        <w:t xml:space="preserve">Bureaus </w:t>
      </w:r>
      <w:r w:rsidRPr="00FD1F35">
        <w:t>to announce by public notice the date upon which applicants in each NPSPAC region may apply for interstitial channels.</w:t>
      </w:r>
    </w:p>
    <w:p w:rsidR="004974BC" w:rsidP="004974BC">
      <w:pPr>
        <w:pStyle w:val="ParaNum"/>
        <w:widowControl/>
      </w:pPr>
      <w:r>
        <w:t>W</w:t>
      </w:r>
      <w:r w:rsidRPr="00FD1F35">
        <w:t xml:space="preserve">e </w:t>
      </w:r>
      <w:r>
        <w:t>are persuaded by</w:t>
      </w:r>
      <w:r w:rsidRPr="00FD1F35">
        <w:t xml:space="preserve"> parties </w:t>
      </w:r>
      <w:r>
        <w:t xml:space="preserve">arguing </w:t>
      </w:r>
      <w:r w:rsidRPr="00FD1F35">
        <w:t xml:space="preserve">that the new interstitial channels will </w:t>
      </w:r>
      <w:r>
        <w:t xml:space="preserve">leverage newer, more efficient narrowband technology to </w:t>
      </w:r>
      <w:r w:rsidRPr="00FD1F35">
        <w:t>alleviate channel congestion and allow licensees in the 800 MHz Mid-Band to increase capacity</w:t>
      </w:r>
      <w:r>
        <w:t>.  Data in the Commission’s Universal Licensing System</w:t>
      </w:r>
      <w:r w:rsidRPr="00264BA1">
        <w:t xml:space="preserve"> confirm that the Mid-Band is heavily used and that no standard channels are available in some major metropolitan areas</w:t>
      </w:r>
      <w:r>
        <w:t>.</w:t>
      </w:r>
      <w:r w:rsidRPr="00264BA1">
        <w:t xml:space="preserve"> </w:t>
      </w:r>
      <w:r>
        <w:t xml:space="preserve"> For example, there are no 800 Mid-Band channels available</w:t>
      </w:r>
      <w:r w:rsidRPr="007C2EFC">
        <w:t xml:space="preserve"> for application</w:t>
      </w:r>
      <w:r>
        <w:t xml:space="preserve"> </w:t>
      </w:r>
      <w:r w:rsidRPr="007C2EFC">
        <w:t>in the Interleaved Band</w:t>
      </w:r>
      <w:r>
        <w:t>,</w:t>
      </w:r>
      <w:r w:rsidRPr="007C2EFC">
        <w:t xml:space="preserve"> </w:t>
      </w:r>
      <w:r>
        <w:t>other than channels vacated by Sprint Corporation (Sprint), in New York City, Chicago, Los Angeles, or Houston.  The Sprint-vacated channels are reserved for public safety for three years following completion of rebanding, however, and for public safety and critical infrastructure applicants for the subsequent two years.</w:t>
      </w:r>
      <w:r>
        <w:rPr>
          <w:rStyle w:val="FootnoteReference"/>
        </w:rPr>
        <w:footnoteReference w:id="64"/>
      </w:r>
    </w:p>
    <w:p w:rsidR="004974BC" w:rsidP="004974BC">
      <w:pPr>
        <w:pStyle w:val="ParaNum"/>
        <w:widowControl/>
      </w:pPr>
      <w:r>
        <w:t xml:space="preserve">Providing additional channels in the 800 MHz band is consistent with </w:t>
      </w:r>
      <w:r w:rsidRPr="00B9149B">
        <w:t>the Commission’s view that “[t]he 800 MHz spectrum is essential to the future expansion of private land mobile systems.”</w:t>
      </w:r>
      <w:r>
        <w:rPr>
          <w:rStyle w:val="FootnoteReference"/>
        </w:rPr>
        <w:footnoteReference w:id="65"/>
      </w:r>
      <w:r w:rsidRPr="00B9149B">
        <w:t xml:space="preserve">  </w:t>
      </w:r>
      <w:r>
        <w:t xml:space="preserve">In many areas of the country, potential applicants have few, if any, options for initiating new service.  In those areas, both the 800 MHz “standard” 25 kHz channels and channels in the VHF and UHF bands already are licensed to other parties.  Cellular service is not a viable option because it lacks the “one-to-many” message capability inherent in PLMR systems, </w:t>
      </w:r>
      <w:r w:rsidRPr="00513221">
        <w:rPr>
          <w:i/>
        </w:rPr>
        <w:t>i.e</w:t>
      </w:r>
      <w:r>
        <w:t>., the ability of a dispatcher to transmit the same voice message simultaneously to multiple radios.  The availability of 800 MHz interstitial channels thus benefits those entities with critical communications needs that they are unable to satisfy using already occupied 800 MHz standard channels or channels in other bands.  For public safety entities, this is a particularly important benefit because the ability to communicate reliably with first responders is critical to the health, safety, and welfare of the public at large.</w:t>
      </w:r>
    </w:p>
    <w:p w:rsidR="004974BC" w:rsidP="004974BC">
      <w:pPr>
        <w:pStyle w:val="ParaNum"/>
        <w:widowControl/>
      </w:pPr>
      <w:r w:rsidRPr="00957CD8">
        <w:t>W</w:t>
      </w:r>
      <w:bookmarkStart w:id="37" w:name="_Hlk515955478"/>
      <w:r w:rsidRPr="00957CD8">
        <w:t xml:space="preserve">e agree with commenters </w:t>
      </w:r>
      <w:r>
        <w:t>that</w:t>
      </w:r>
      <w:r w:rsidRPr="00957CD8">
        <w:t xml:space="preserve"> suggest that </w:t>
      </w:r>
      <w:r>
        <w:t>potential applicants</w:t>
      </w:r>
      <w:r w:rsidRPr="00957CD8">
        <w:t xml:space="preserve"> should not have to wait until the Commission announces the completion of band reconfiguration before interstitial channels </w:t>
      </w:r>
      <w:r w:rsidRPr="00957CD8">
        <w:t>become available for licensing in that region.</w:t>
      </w:r>
      <w:r>
        <w:rPr>
          <w:rStyle w:val="FootnoteReference"/>
        </w:rPr>
        <w:footnoteReference w:id="66"/>
      </w:r>
      <w:r w:rsidRPr="00957CD8">
        <w:t xml:space="preserve">  </w:t>
      </w:r>
      <w:r w:rsidRPr="00136948">
        <w:t>Instead we will use the termination of the application freeze in a NPSPAC region as the trigger for the Bureaus to announce the availability of interstitial channels in a region.</w:t>
      </w:r>
      <w:r>
        <w:t xml:space="preserve">  That means interstitial channels will be available in all regions except the five bordering Mexico.</w:t>
      </w:r>
      <w:r>
        <w:rPr>
          <w:rStyle w:val="FootnoteReference"/>
        </w:rPr>
        <w:footnoteReference w:id="67"/>
      </w:r>
      <w:r w:rsidRPr="00136948">
        <w:t xml:space="preserve"> </w:t>
      </w:r>
      <w:bookmarkEnd w:id="37"/>
      <w:r>
        <w:t xml:space="preserve"> </w:t>
      </w:r>
      <w:r w:rsidRPr="00957CD8">
        <w:t xml:space="preserve">This will reduce the time required to make interstitial channels available because the Commission lifts the application freeze in a NPSPAC region once all licensees have re-tuned to their replacement channels rather than waiting for </w:t>
      </w:r>
      <w:r>
        <w:t xml:space="preserve">a </w:t>
      </w:r>
      <w:r w:rsidRPr="00957CD8">
        <w:t>formal declaration of rebanding completion.</w:t>
      </w:r>
    </w:p>
    <w:p w:rsidR="004974BC" w:rsidP="004974BC">
      <w:pPr>
        <w:pStyle w:val="ParaNum"/>
        <w:widowControl/>
      </w:pPr>
      <w:r>
        <w:t xml:space="preserve">We find the likely costs of implementing this approach to be modest.  First, any increase in capacity, whether using 25 kilohertz standard channels or the new 12.5 kilohertz interstitial channels would require the deployment of new equipment.  The record does not suggest that narrowband capability will add to the cost of equipment.  </w:t>
      </w:r>
      <w:r w:rsidRPr="005F4BD9">
        <w:t xml:space="preserve">Some base station transmitters and individual subscriber units (user radios) are </w:t>
      </w:r>
      <w:r>
        <w:t xml:space="preserve">already </w:t>
      </w:r>
      <w:r w:rsidRPr="005F4BD9">
        <w:t>capable of operating on the interstitial channels without the</w:t>
      </w:r>
      <w:r>
        <w:t xml:space="preserve"> need for new eq</w:t>
      </w:r>
      <w:r w:rsidRPr="005F4BD9">
        <w:t>uipment authorizations from the Commission.  Others, only certified for the 25 kilohertz standard channels, will have to obtain new certifications.  The certificatio</w:t>
      </w:r>
      <w:r>
        <w:t>ns are based on tests conducted</w:t>
      </w:r>
      <w:r w:rsidRPr="005F4BD9">
        <w:t xml:space="preserve"> by Commission-approved Telecommunications Certification Bodies.  Whether to obtain a new certification and enter the market for 12.5</w:t>
      </w:r>
      <w:r>
        <w:t xml:space="preserve"> kilohertz interstitial channel-</w:t>
      </w:r>
      <w:r w:rsidRPr="005F4BD9">
        <w:t>capable equipment is a business decision to be made by the equipment manufacturer.  Given the well-established use of 12.5 kHz technology in the VHF, UHF</w:t>
      </w:r>
      <w:r>
        <w:t>,</w:t>
      </w:r>
      <w:r w:rsidRPr="005F4BD9">
        <w:t xml:space="preserve"> and </w:t>
      </w:r>
      <w:r>
        <w:rPr>
          <w:szCs w:val="22"/>
        </w:rPr>
        <w:t>700 MHz</w:t>
      </w:r>
      <w:r w:rsidRPr="005F4BD9">
        <w:t xml:space="preserve"> PLMR bands and emission masks and authorized bandwidth limits, we believe that manufacturers would have strong financial incentive to update their equipment authorizations to take advantage of an expanded 800 MHz PLMR market.</w:t>
      </w:r>
    </w:p>
    <w:p w:rsidR="004974BC" w:rsidP="004974BC">
      <w:pPr>
        <w:pStyle w:val="ParaNum"/>
        <w:widowControl/>
      </w:pPr>
      <w:r w:rsidRPr="00D35AAB">
        <w:t xml:space="preserve">We </w:t>
      </w:r>
      <w:r>
        <w:t>reject the</w:t>
      </w:r>
      <w:r w:rsidRPr="00D35AAB">
        <w:t xml:space="preserve"> argu</w:t>
      </w:r>
      <w:r>
        <w:t>m</w:t>
      </w:r>
      <w:r w:rsidRPr="00D35AAB">
        <w:t>e</w:t>
      </w:r>
      <w:r>
        <w:t>nt</w:t>
      </w:r>
      <w:r w:rsidRPr="00D35AAB">
        <w:t xml:space="preserve"> that interstitial channels </w:t>
      </w:r>
      <w:r>
        <w:t xml:space="preserve">should not be introduced because it </w:t>
      </w:r>
      <w:r w:rsidRPr="00D35AAB">
        <w:t>will make it more difficult for 800 MHz Mid-Band licensees to increase capacity by implementing wideband technology.</w:t>
      </w:r>
      <w:r>
        <w:rPr>
          <w:rStyle w:val="FootnoteReference"/>
        </w:rPr>
        <w:footnoteReference w:id="68"/>
      </w:r>
      <w:r w:rsidRPr="00D35AAB">
        <w:t xml:space="preserve"> </w:t>
      </w:r>
      <w:r>
        <w:t xml:space="preserve"> The Commission’s current rules permit 800 MHz Mid-Band licensees seeking to deploy wideband technology </w:t>
      </w:r>
      <w:r w:rsidRPr="004D6EBA">
        <w:t xml:space="preserve">to aggregate up to five contiguous </w:t>
      </w:r>
      <w:r>
        <w:t>standard channels based on a showing that single channel bandwidth is inadequate.</w:t>
      </w:r>
      <w:r>
        <w:rPr>
          <w:rStyle w:val="FootnoteReference"/>
        </w:rPr>
        <w:footnoteReference w:id="69"/>
      </w:r>
      <w:r>
        <w:t xml:space="preserve">  Given the high level of 800 MHz usage, however, we believe that there will be far fewer opportunities going forward to aggregate standard channels than there will be to use interstitial channels, particularly in the busiest markets.</w:t>
      </w:r>
      <w:r>
        <w:rPr>
          <w:rStyle w:val="FootnoteReference"/>
        </w:rPr>
        <w:footnoteReference w:id="70"/>
      </w:r>
      <w:r>
        <w:t xml:space="preserve">  Consequently, we conclude that spectrum efficiency is better served by introducing interstitial channels.  Moreover, to the extent that channel aggregation continues to be feasible, the rules we adopt today do not limit licensees’ ability to aggregate channels.</w:t>
      </w:r>
    </w:p>
    <w:p w:rsidR="004974BC" w:rsidP="004974BC">
      <w:pPr>
        <w:pStyle w:val="ParaNum"/>
        <w:widowControl/>
      </w:pPr>
      <w:r>
        <w:t>We also reject the suggestion from the State of Florida that interstitial channels should be 25 kilohertz rather than 12.5 kilohertz as proposed.</w:t>
      </w:r>
      <w:r>
        <w:rPr>
          <w:rStyle w:val="FootnoteReference"/>
        </w:rPr>
        <w:footnoteReference w:id="71"/>
      </w:r>
      <w:r w:rsidRPr="008F63AE">
        <w:t xml:space="preserve"> </w:t>
      </w:r>
      <w:r>
        <w:t xml:space="preserve"> </w:t>
      </w:r>
      <w:r w:rsidRPr="00822CC6">
        <w:t xml:space="preserve">Florida supplied no study or technical data on the effects of using 25 kilohertz interstitial channels vs. 12.5 kilohertz interstitial channels.  </w:t>
      </w:r>
      <w:r>
        <w:t>Florida’s</w:t>
      </w:r>
      <w:r w:rsidRPr="00822CC6">
        <w:t xml:space="preserve"> proposal would result in considerably greater spectral overlap between adjacent channels, thus requiring greater geographical spacing between interstitial and regular channels, with a consequent reduction in spectrum efficiency.  </w:t>
      </w:r>
      <w:r>
        <w:t xml:space="preserve">Specifying 12.5 kilohertz interstitial channels rather than 25 kilohertz interstitial </w:t>
      </w:r>
      <w:r>
        <w:t>channels is more spectrum-efficient because</w:t>
      </w:r>
      <w:r w:rsidRPr="00822CC6">
        <w:t xml:space="preserve"> most modern digital technologies do not require 25 kilohertz channels for satisfactory operation</w:t>
      </w:r>
      <w:r>
        <w:t>.</w:t>
      </w:r>
    </w:p>
    <w:p w:rsidR="004974BC" w:rsidP="004974BC">
      <w:pPr>
        <w:pStyle w:val="ParaNum"/>
        <w:widowControl/>
      </w:pPr>
      <w:r>
        <w:rPr>
          <w:i/>
        </w:rPr>
        <w:t xml:space="preserve">Potential interference costs imposed by interstitial channel implementation. </w:t>
      </w:r>
      <w:r>
        <w:t xml:space="preserve"> P</w:t>
      </w:r>
      <w:r w:rsidRPr="007E7B36">
        <w:t xml:space="preserve">arties </w:t>
      </w:r>
      <w:r>
        <w:t>endorsing</w:t>
      </w:r>
      <w:r w:rsidRPr="007E7B36">
        <w:t xml:space="preserve"> the </w:t>
      </w:r>
      <w:r>
        <w:t xml:space="preserve">adoption of interstitial channels contend </w:t>
      </w:r>
      <w:r w:rsidRPr="007E7B36">
        <w:t xml:space="preserve">that appropriate interference safeguards are essential to ensure that the new interstitial channels </w:t>
      </w:r>
      <w:r>
        <w:t xml:space="preserve">not interfere </w:t>
      </w:r>
      <w:r w:rsidRPr="007E7B36">
        <w:t>with 25 kilohertz channel</w:t>
      </w:r>
      <w:r>
        <w:t xml:space="preserve"> operation</w:t>
      </w:r>
      <w:r w:rsidRPr="007E7B36">
        <w:t>s</w:t>
      </w:r>
      <w:r>
        <w:t>.</w:t>
      </w:r>
      <w:r>
        <w:rPr>
          <w:rStyle w:val="FootnoteReference"/>
        </w:rPr>
        <w:footnoteReference w:id="72"/>
      </w:r>
      <w:r>
        <w:t xml:space="preserve">  We agree.  The contour protection standards we adopt in this </w:t>
      </w:r>
      <w:r>
        <w:rPr>
          <w:i/>
        </w:rPr>
        <w:t>Report</w:t>
      </w:r>
      <w:r w:rsidRPr="006E6302">
        <w:rPr>
          <w:i/>
        </w:rPr>
        <w:t xml:space="preserve"> and Order</w:t>
      </w:r>
      <w:r>
        <w:t>—similar to those suggested by LMCC</w:t>
      </w:r>
      <w:r>
        <w:rPr>
          <w:rStyle w:val="FootnoteReference"/>
        </w:rPr>
        <w:footnoteReference w:id="73"/>
      </w:r>
      <w:r>
        <w:t>—are conservative but not so restrictive that they would make implementation of interstitial channels infeasible.  Thus, in the interest of interference avoidance, we decline to adopt the less stringent contour protection values recommended by MRA.</w:t>
      </w:r>
      <w:r>
        <w:rPr>
          <w:rStyle w:val="FootnoteReference"/>
        </w:rPr>
        <w:footnoteReference w:id="74"/>
      </w:r>
      <w:r>
        <w:t xml:space="preserve">  </w:t>
      </w:r>
      <w:r w:rsidRPr="0011491E">
        <w:t xml:space="preserve">  </w:t>
      </w:r>
    </w:p>
    <w:p w:rsidR="004974BC" w:rsidP="004974BC">
      <w:pPr>
        <w:pStyle w:val="ParaNum"/>
        <w:widowControl/>
      </w:pPr>
      <w:r>
        <w:t>We disagree with parties that claim interstitial channels would cause interference, especially to adjacent-channel operations.</w:t>
      </w:r>
      <w:r>
        <w:rPr>
          <w:rStyle w:val="FootnoteReference"/>
        </w:rPr>
        <w:footnoteReference w:id="75"/>
      </w:r>
      <w:r>
        <w:t xml:space="preserve">  In particular, we reject Boeing’s claim that the proposed channels could cause interference to its wideband Class B signal boosters</w:t>
      </w:r>
      <w:r>
        <w:rPr>
          <w:rStyle w:val="FootnoteReference"/>
        </w:rPr>
        <w:footnoteReference w:id="76"/>
      </w:r>
      <w:r>
        <w:t xml:space="preserve"> because </w:t>
      </w:r>
      <w:r w:rsidRPr="00822CC6">
        <w:t>such boosters operate on a secondary basis and thus are not protected against interference.</w:t>
      </w:r>
      <w:r>
        <w:rPr>
          <w:rStyle w:val="FootnoteReference"/>
        </w:rPr>
        <w:footnoteReference w:id="77"/>
      </w:r>
      <w:r>
        <w:t xml:space="preserve">  Any new </w:t>
      </w:r>
      <w:r w:rsidRPr="00822CC6">
        <w:t>interference to a Class B booster that Boeing might receive could be remedied by replacing the Class B booster with a more selective Class A booster</w:t>
      </w:r>
      <w:r>
        <w:t>—</w:t>
      </w:r>
      <w:r w:rsidRPr="00822CC6">
        <w:t>a more spectrum-efficient alternative than not allowing interstitial channels in the 800 MHz Mid-Band</w:t>
      </w:r>
      <w:r>
        <w:t xml:space="preserve"> because of potential interference to secondary operations</w:t>
      </w:r>
      <w:r w:rsidRPr="00822CC6">
        <w:t xml:space="preserve">.  </w:t>
      </w:r>
      <w:r>
        <w:t>Similarly, we see no cause to expect interstitial channels coordinated in accordance with the contour protection matrix we adopt today to be any less compatible with adjacent TETRA channels than with standard channels using other emission types.</w:t>
      </w:r>
    </w:p>
    <w:p w:rsidR="004974BC" w:rsidP="004974BC">
      <w:pPr>
        <w:pStyle w:val="ParaNum"/>
        <w:widowControl/>
      </w:pPr>
      <w:r w:rsidRPr="00650674">
        <w:t xml:space="preserve">In response to SouthernLINC’s concern about the potential impact of interstitial channels on its </w:t>
      </w:r>
      <w:r>
        <w:t>Enhanced SMR (</w:t>
      </w:r>
      <w:r w:rsidRPr="00650674">
        <w:t>ESMR</w:t>
      </w:r>
      <w:r>
        <w:t>)</w:t>
      </w:r>
      <w:r w:rsidRPr="00650674">
        <w:t xml:space="preserve"> operations, we clarify that interstitial channels will only be available for licensing below the dividing line between the 800 MHz Mid-Band and ESMR segments of the band</w:t>
      </w:r>
      <w:r>
        <w:t xml:space="preserve">, including in regions of the United </w:t>
      </w:r>
      <w:r w:rsidRPr="00650674">
        <w:t>S</w:t>
      </w:r>
      <w:r>
        <w:t>tates</w:t>
      </w:r>
      <w:r w:rsidRPr="00650674">
        <w:t xml:space="preserve"> where the Commission adopted alternate channel plans with extended ESMR segments and reduced Mid-Bands</w:t>
      </w:r>
      <w:r>
        <w:t>.</w:t>
      </w:r>
      <w:r w:rsidRPr="00650674">
        <w:t xml:space="preserve"> </w:t>
      </w:r>
      <w:r>
        <w:t xml:space="preserve"> </w:t>
      </w:r>
      <w:r w:rsidRPr="00650674">
        <w:t xml:space="preserve">This is reflected in administrative clarifications to the headings of several tables in our rules, as suggested by SouthernLINC, to define more accurately the frequency range of the Mid-Band in portions of the </w:t>
      </w:r>
      <w:r>
        <w:t>country</w:t>
      </w:r>
      <w:r w:rsidRPr="00650674">
        <w:t xml:space="preserve"> with extended ESMR segments</w:t>
      </w:r>
      <w:r>
        <w:t>.</w:t>
      </w:r>
      <w:r>
        <w:rPr>
          <w:rStyle w:val="FootnoteReference"/>
        </w:rPr>
        <w:footnoteReference w:id="78"/>
      </w:r>
    </w:p>
    <w:p w:rsidR="004974BC" w:rsidP="004974BC">
      <w:pPr>
        <w:pStyle w:val="ParaNum"/>
        <w:widowControl/>
      </w:pPr>
      <w:r>
        <w:rPr>
          <w:i/>
        </w:rPr>
        <w:t xml:space="preserve">Interference protection.  </w:t>
      </w:r>
      <w:r>
        <w:t>We agree that the new interstitial channels will benefit licensees in the 800 MHz Mid-Band only if appropriate interference safeguards are adopted.</w:t>
      </w:r>
      <w:r>
        <w:rPr>
          <w:rStyle w:val="FootnoteReference"/>
        </w:rPr>
        <w:footnoteReference w:id="79"/>
      </w:r>
      <w:r>
        <w:t xml:space="preserve">  </w:t>
      </w:r>
      <w:r w:rsidRPr="00624AC9">
        <w:t xml:space="preserve">These adjacent channel interference avoidance rules apply to applicants for either 12.5 kilohertz or 25 kilohertz bandwidth channels in the 800 MHz Mid-Band.  Adjacent-channel interference analysis is necessary to </w:t>
      </w:r>
      <w:r w:rsidRPr="00624AC9">
        <w:t>protect incumbents because the addition of interstitial channels to the 800 MHz Mid-Band will create greater spectral overlap between adjacent channels.</w:t>
      </w:r>
    </w:p>
    <w:p w:rsidR="004974BC" w:rsidP="004974BC">
      <w:pPr>
        <w:pStyle w:val="ParaNum"/>
        <w:tabs>
          <w:tab w:val="num" w:pos="1080"/>
          <w:tab w:val="clear" w:pos="1440"/>
        </w:tabs>
      </w:pPr>
      <w:bookmarkStart w:id="39" w:name="_Ref527653663"/>
      <w:r>
        <w:t>Most parties, including LMCC, submit that contour protection is the optimum methodology for avoiding mutual interference between interstitial channels and standard 25 kilohertz-spaced facilities.  However, to lessen the burden on applicants, we have specified that contour analysis need not be applied to applications that meet or exceed the distances specified in the Commission’s co-channel spacing rules.  Those rules furnish adequate interference protection independent of the technology used by the applicant and the incumbent licensee.  We agree with LMCC that a matrix is the clearest way of displaying the contour protection values appropriate to different technologies.</w:t>
      </w:r>
      <w:bookmarkEnd w:id="39"/>
      <w:r>
        <w:t xml:space="preserve"> </w:t>
      </w:r>
    </w:p>
    <w:p w:rsidR="004974BC" w:rsidP="004974BC">
      <w:pPr>
        <w:pStyle w:val="ParaNum"/>
        <w:widowControl/>
      </w:pPr>
      <w:r>
        <w:t>We also are persuaded by parties’ arguments that contour overlap analysis generally has worked well as a method for assessing interference and that licensees are familiar with it.</w:t>
      </w:r>
      <w:r>
        <w:rPr>
          <w:rStyle w:val="FootnoteReference"/>
        </w:rPr>
        <w:footnoteReference w:id="80"/>
      </w:r>
      <w:r>
        <w:t xml:space="preserve">  Moreover, b</w:t>
      </w:r>
      <w:r w:rsidRPr="00373E67">
        <w:t xml:space="preserve">ecause results are easily understandable and easily replicated, we believe that contour overlap analysis will minimize the potential for disputes over whether an applicant is </w:t>
      </w:r>
      <w:r>
        <w:t xml:space="preserve">likely to </w:t>
      </w:r>
      <w:r w:rsidRPr="00373E67">
        <w:t>cause interference to an incumbent operator under our revised channel plan</w:t>
      </w:r>
      <w:r>
        <w:t xml:space="preserve">.  Furthermore, no commenting party has proposed a viable alternative to contour overlap analysis for determining potential adjacent-channel interference.  </w:t>
      </w:r>
    </w:p>
    <w:p w:rsidR="004974BC" w:rsidP="004974BC">
      <w:pPr>
        <w:pStyle w:val="ParaNum"/>
        <w:widowControl/>
      </w:pPr>
      <w:r>
        <w:t>LMCC suggests that we adopt a contour values matrix but not incorporate it into the Commission’s rules, which LMCC believes would allow the matrix to be modified without the need for rulemaking.</w:t>
      </w:r>
      <w:r>
        <w:rPr>
          <w:vertAlign w:val="superscript"/>
        </w:rPr>
        <w:footnoteReference w:id="81"/>
      </w:r>
      <w:r>
        <w:t xml:space="preserve">  We set forth below the contour matrix values that we adopt, and do not incorporate them into part 90.  We note, however, that the Administrative Procedure Act still compels us to adopt any such modifications only after public notice and comment.</w:t>
      </w:r>
      <w:r>
        <w:rPr>
          <w:rStyle w:val="FootnoteReference"/>
        </w:rPr>
        <w:footnoteReference w:id="82"/>
      </w:r>
      <w:r>
        <w:t xml:space="preserve">  Should there be a need to modify the values shown below, </w:t>
      </w:r>
      <w:r w:rsidRPr="008172A8">
        <w:rPr>
          <w:i/>
        </w:rPr>
        <w:t>e.g.</w:t>
      </w:r>
      <w:r>
        <w:t>, to take newly developed technology into account, we will do so with dispatch in an expedited notice and comment proceeding.</w:t>
      </w:r>
    </w:p>
    <w:p w:rsidR="004974BC" w:rsidP="004974BC">
      <w:pPr>
        <w:pStyle w:val="ParaNum"/>
        <w:widowControl/>
      </w:pPr>
      <w:r>
        <w:t>LMCC proposes using the Commission’s F(50,50) curves to assess both coverage and interference contours.  Its rationale for deviating from the accepted procedure of using the F(50,50) curves for prediction of coverage and the F(50,10) curves for prediction of interference is not persuasive and is inconsistent with the Commission’s rules respecting the calculation of interference to co-channel systems.</w:t>
      </w:r>
      <w:r>
        <w:rPr>
          <w:rStyle w:val="FootnoteReference"/>
        </w:rPr>
        <w:footnoteReference w:id="83"/>
      </w:r>
      <w:r w:rsidRPr="00DF0ADB">
        <w:t xml:space="preserve"> </w:t>
      </w:r>
      <w:r>
        <w:t xml:space="preserve"> Thus, the matrix we adopt retains the accepted approach for definition of coverage and interference.</w:t>
      </w:r>
    </w:p>
    <w:p w:rsidR="004974BC" w:rsidP="004974BC">
      <w:pPr>
        <w:pStyle w:val="ParaNum"/>
        <w:widowControl/>
      </w:pPr>
      <w:r>
        <w:t>We agree with MRA that</w:t>
      </w:r>
      <w:r w:rsidRPr="00704981">
        <w:rPr>
          <w:vertAlign w:val="superscript"/>
        </w:rPr>
        <w:t xml:space="preserve"> </w:t>
      </w:r>
      <w:r w:rsidRPr="00624AC9">
        <w:t xml:space="preserve">a contour overlap analysis </w:t>
      </w:r>
      <w:r>
        <w:t xml:space="preserve">is unnecessary where </w:t>
      </w:r>
      <w:r w:rsidRPr="00624AC9">
        <w:t xml:space="preserve">four kilohertz, or less, technology </w:t>
      </w:r>
      <w:r>
        <w:t xml:space="preserve">is employed </w:t>
      </w:r>
      <w:r w:rsidRPr="00624AC9">
        <w:t>if there is no spectral overlap between the applicant’s facilities and an incumbent’s facilities operating on an adjacent channel</w:t>
      </w:r>
      <w:r>
        <w:t>, as this is consistent with our practice in other bands.</w:t>
      </w:r>
      <w:r>
        <w:rPr>
          <w:vertAlign w:val="superscript"/>
        </w:rPr>
        <w:footnoteReference w:id="84"/>
      </w:r>
      <w:r>
        <w:t xml:space="preserve">  We reject, however, MRA’s proposal to use a 60 dBu interference contour for analysis of a four kilohertz narrowband applicant to an adjacent-channel 25 kilohertz TETRA incumbent system and to use a 40 dBu interference contour for analysis of a 25 kilohertz TETRA applicant to an adjacent-channel four kilohertz narrowband incumbent system.</w:t>
      </w:r>
      <w:r>
        <w:rPr>
          <w:vertAlign w:val="superscript"/>
        </w:rPr>
        <w:footnoteReference w:id="85"/>
      </w:r>
      <w:r w:rsidRPr="00DF0ADB">
        <w:t xml:space="preserve">  </w:t>
      </w:r>
      <w:r>
        <w:t>MRA has neither explained nor justified its proposed adjustments.</w:t>
      </w:r>
    </w:p>
    <w:p w:rsidR="004974BC" w:rsidP="004974BC">
      <w:pPr>
        <w:pStyle w:val="ParaNum"/>
        <w:widowControl/>
      </w:pPr>
      <w:r>
        <w:t xml:space="preserve">The </w:t>
      </w:r>
      <w:r w:rsidRPr="00A66F55">
        <w:t>Commission’s 800 MHz rules currently require frequency coordinators to consider only co-channel spacing when recommending the most appropriate frequency for an applicant</w:t>
      </w:r>
      <w:r>
        <w:t>.</w:t>
      </w:r>
      <w:r>
        <w:rPr>
          <w:rStyle w:val="FootnoteReference"/>
        </w:rPr>
        <w:footnoteReference w:id="86"/>
      </w:r>
      <w:r>
        <w:t xml:space="preserve">  W</w:t>
      </w:r>
      <w:r w:rsidRPr="00A66F55">
        <w:t>e modify this requirement because of our addition of interstitial channels to the 800 MHz Mid-Band</w:t>
      </w:r>
      <w:r>
        <w:t xml:space="preserve">.  </w:t>
      </w:r>
      <w:r w:rsidRPr="00A66F55">
        <w:t xml:space="preserve">Once interstitial channels become available for licensing in each NPSPAC region, frequency coordinators must verify compliance with the contour overlap </w:t>
      </w:r>
      <w:r>
        <w:t>protections</w:t>
      </w:r>
      <w:r w:rsidRPr="00A66F55">
        <w:t xml:space="preserve"> when determining the most appropriate frequency for an applicant in that region.</w:t>
      </w:r>
      <w:r>
        <w:rPr>
          <w:rStyle w:val="FootnoteReference"/>
        </w:rPr>
        <w:footnoteReference w:id="87"/>
      </w:r>
      <w:r w:rsidRPr="009160F0">
        <w:t xml:space="preserve"> </w:t>
      </w:r>
      <w:r>
        <w:t xml:space="preserve"> </w:t>
      </w:r>
      <w:r w:rsidRPr="00A66F55">
        <w:t>Frequency coordinators must also perform contour analysis to protect licensees outside the NPSPAC region that are sufficiently close to be affected by the new application.  Potentially affected incumbents are those operating on an adjacent-channel at distances closer than those specified under the minimum co-channel spacing requirements.</w:t>
      </w:r>
      <w:r>
        <w:rPr>
          <w:rStyle w:val="FootnoteReference"/>
        </w:rPr>
        <w:footnoteReference w:id="88"/>
      </w:r>
    </w:p>
    <w:p w:rsidR="004974BC" w:rsidP="004974BC">
      <w:pPr>
        <w:pStyle w:val="ParaNum"/>
        <w:widowControl/>
      </w:pPr>
      <w:r w:rsidRPr="00D02608">
        <w:t>LMCC suggested that 800 MHz Mid-Band applicants pass both a forward and a reciprocal contour analysis.</w:t>
      </w:r>
      <w:r>
        <w:rPr>
          <w:vertAlign w:val="superscript"/>
        </w:rPr>
        <w:footnoteReference w:id="89"/>
      </w:r>
      <w:r w:rsidRPr="00D02608">
        <w:t xml:space="preserve">  We agree, because requiring reciprocal contour analysis will discourage applicants from filing applications that are of limited practical use but which block an incumbent on an adjacent channel from expanding its service contour once the new application is granted.</w:t>
      </w:r>
      <w:r>
        <w:rPr>
          <w:rStyle w:val="FootnoteReference"/>
        </w:rPr>
        <w:footnoteReference w:id="90"/>
      </w:r>
      <w:r>
        <w:t xml:space="preserve">  Applicants may, however, file applications that cause contour overlap to an incumbent if each incumbent licensee that receives contour overlap provides its written consent.  </w:t>
      </w:r>
      <w:r w:rsidRPr="002759A2">
        <w:t>In its consent letter, the incumbent operator must agree to accept any interference that occurs as a result of the contour overlap</w:t>
      </w:r>
      <w:r>
        <w:t>, including the contour overlap that occurs as a result of the incumbent’s interference contour overlapping the applicant’s coverage contour</w:t>
      </w:r>
      <w:r w:rsidRPr="002759A2">
        <w:t>.  By allowing incumbents to accept contour overlap, we provide applicants the opportunity to present more granular studies to the incumbent licensee if an applicant believes that interference would not occur in practice despite the contour overlap</w:t>
      </w:r>
      <w:r>
        <w:t>.  Applicants and incumbents have similar flexibility under our existing co-channel spacing rules.</w:t>
      </w:r>
      <w:r>
        <w:rPr>
          <w:rStyle w:val="FootnoteReference"/>
        </w:rPr>
        <w:footnoteReference w:id="91"/>
      </w:r>
      <w:r w:rsidRPr="00A66F55">
        <w:t xml:space="preserve"> </w:t>
      </w:r>
    </w:p>
    <w:p w:rsidR="004974BC" w:rsidRPr="00F06ECE" w:rsidP="004974BC">
      <w:pPr>
        <w:pStyle w:val="ParaNum"/>
        <w:widowControl/>
      </w:pPr>
      <w:bookmarkStart w:id="42" w:name="_Ref527653701"/>
      <w:r>
        <w:t>Although APCO observes that the contour protection values advanced in this proceeding are untested and recommends that manufacturers of 800 MHz radios validate these values,</w:t>
      </w:r>
      <w:r>
        <w:rPr>
          <w:rStyle w:val="FootnoteReference"/>
        </w:rPr>
        <w:footnoteReference w:id="92"/>
      </w:r>
      <w:r>
        <w:t xml:space="preserve"> it does not propose specific tests.  Moreover, manufacturers have declined the invitation to validate the values.  We find it significant that the values endorsed by LMCC and others arose from a consensus of frequency coordinators well versed in making coverage versus interference assessments.  We note that previously, in similar contexts, we have accepted industry-recommended interference protection recommendations that have later been validated in the field.</w:t>
      </w:r>
      <w:r>
        <w:rPr>
          <w:rStyle w:val="FootnoteReference"/>
        </w:rPr>
        <w:footnoteReference w:id="93"/>
      </w:r>
      <w:r>
        <w:t xml:space="preserve">  </w:t>
      </w:r>
      <w:r w:rsidRPr="00F34838">
        <w:t xml:space="preserve">In particular, the Commission has for years used contour overlap analysis to provide interference protection between geographically proximate PLMR systems in various </w:t>
      </w:r>
      <w:r>
        <w:t>frequency bands licensed under p</w:t>
      </w:r>
      <w:r w:rsidRPr="00F34838">
        <w:t>art 90 of the rules.</w:t>
      </w:r>
      <w:r>
        <w:rPr>
          <w:rStyle w:val="FootnoteReference"/>
        </w:rPr>
        <w:footnoteReference w:id="94"/>
      </w:r>
      <w:r w:rsidRPr="00F34838">
        <w:t xml:space="preserve"> </w:t>
      </w:r>
      <w:r>
        <w:t xml:space="preserve"> Accordingly, we believe that the contour protection values we adopt below will suffice to satisfy APCO’s concerns but will revisit that determination if field experience shows otherwise.  </w:t>
      </w:r>
      <w:bookmarkEnd w:id="42"/>
    </w:p>
    <w:p w:rsidR="004974BC" w:rsidRPr="00F06ECE" w:rsidP="004974BC">
      <w:pPr>
        <w:pStyle w:val="ParaNum"/>
        <w:widowControl/>
      </w:pPr>
      <w:bookmarkStart w:id="43" w:name="_Ref527654111"/>
      <w:r w:rsidRPr="00F06ECE">
        <w:rPr>
          <w:i/>
        </w:rPr>
        <w:t>Contour Matrix</w:t>
      </w:r>
      <w:r w:rsidRPr="00F06ECE">
        <w:t>.  Interference contour levels are determined using Table 1 or Table 2 below.  Table 1 is used to determine the interference contour level of a fixed station operating on a 12.5 kilohertz bandwidth channel while Table 2 is used to determine the interference contour level of a fixed station operating on a 25 kilohertz bandwidth channel.  The dBu level of the interference contour is determined by cross-referencing the modulation type of the station operating on the 25 kilohertz bandwidth channel with the modulation type of the station operating on the 12.5 kilohertz bandwidth channel.  The interference contour should be plotted using the F(50,10) R-6602 curves.</w:t>
      </w:r>
      <w:bookmarkEnd w:id="43"/>
      <w:r w:rsidRPr="00F06ECE">
        <w:t xml:space="preserve">  </w:t>
      </w:r>
    </w:p>
    <w:p w:rsidR="004974BC" w:rsidRPr="00F06ECE" w:rsidP="004974BC">
      <w:pPr>
        <w:widowControl/>
        <w:autoSpaceDE w:val="0"/>
        <w:autoSpaceDN w:val="0"/>
        <w:adjustRightInd w:val="0"/>
        <w:ind w:firstLine="720"/>
        <w:jc w:val="center"/>
      </w:pPr>
      <w:r w:rsidRPr="00F06ECE">
        <w:t>Table 1 – Interference Contour Level for Fixed Station Operating on 12.5 kilohertz Bandwidth Channel</w:t>
      </w:r>
    </w:p>
    <w:p w:rsidR="004974BC" w:rsidRPr="00F06ECE" w:rsidP="004974BC">
      <w:pPr>
        <w:widowControl/>
        <w:autoSpaceDE w:val="0"/>
        <w:autoSpaceDN w:val="0"/>
        <w:adjustRightInd w:val="0"/>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065"/>
        <w:gridCol w:w="1243"/>
        <w:gridCol w:w="68"/>
        <w:gridCol w:w="1175"/>
        <w:gridCol w:w="1243"/>
        <w:gridCol w:w="1243"/>
        <w:gridCol w:w="1244"/>
      </w:tblGrid>
      <w:tr w:rsidTr="009334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2"/>
        </w:trPr>
        <w:tc>
          <w:tcPr>
            <w:tcW w:w="3360" w:type="dxa"/>
            <w:gridSpan w:val="2"/>
            <w:vMerge w:val="restart"/>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 xml:space="preserve">Interference Contour </w:t>
            </w:r>
          </w:p>
          <w:p w:rsidR="004974BC" w:rsidRPr="00F06ECE" w:rsidP="00933418">
            <w:pPr>
              <w:widowControl/>
              <w:autoSpaceDE w:val="0"/>
              <w:autoSpaceDN w:val="0"/>
              <w:adjustRightInd w:val="0"/>
              <w:jc w:val="center"/>
              <w:rPr>
                <w:rFonts w:eastAsia="Calibri"/>
              </w:rPr>
            </w:pPr>
            <w:r w:rsidRPr="00F06ECE">
              <w:rPr>
                <w:rFonts w:eastAsia="Calibri"/>
              </w:rPr>
              <w:t xml:space="preserve">(12.5 kilohertz into 25 kilohertz channel) </w:t>
            </w:r>
          </w:p>
          <w:p w:rsidR="004974BC" w:rsidRPr="00F06ECE" w:rsidP="00933418">
            <w:pPr>
              <w:widowControl/>
              <w:autoSpaceDE w:val="0"/>
              <w:autoSpaceDN w:val="0"/>
              <w:adjustRightInd w:val="0"/>
              <w:jc w:val="center"/>
              <w:rPr>
                <w:rFonts w:eastAsia="Calibri"/>
              </w:rPr>
            </w:pPr>
            <w:r w:rsidRPr="00F06ECE">
              <w:rPr>
                <w:rFonts w:eastAsia="Calibri"/>
              </w:rPr>
              <w:t xml:space="preserve"> </w:t>
            </w: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 xml:space="preserve">12.5 kilohertz Bandwidth Technology of 12.5 kilohertz Bandwidth Channel </w:t>
            </w:r>
          </w:p>
        </w:tc>
      </w:tr>
      <w:tr w:rsidTr="00933418">
        <w:tblPrEx>
          <w:tblW w:w="0" w:type="auto"/>
          <w:tblLook w:val="04A0"/>
        </w:tblPrEx>
        <w:trPr>
          <w:trHeight w:val="173"/>
        </w:trPr>
        <w:tc>
          <w:tcPr>
            <w:tcW w:w="3360" w:type="dxa"/>
            <w:gridSpan w:val="2"/>
            <w:vMerge/>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r>
      <w:tr w:rsidTr="00933418">
        <w:tblPrEx>
          <w:tblW w:w="0" w:type="auto"/>
          <w:tblLook w:val="04A0"/>
        </w:tblPrEx>
        <w:trPr>
          <w:trHeight w:val="509"/>
        </w:trPr>
        <w:tc>
          <w:tcPr>
            <w:tcW w:w="3360" w:type="dxa"/>
            <w:gridSpan w:val="2"/>
            <w:vMerge/>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1243" w:type="dxa"/>
            <w:vMerge w:val="restart"/>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11K3F3E or less</w:t>
            </w:r>
          </w:p>
        </w:tc>
        <w:tc>
          <w:tcPr>
            <w:tcW w:w="1243" w:type="dxa"/>
            <w:gridSpan w:val="2"/>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8K10F1E</w:t>
            </w:r>
          </w:p>
          <w:p w:rsidR="004974BC" w:rsidRPr="00F06ECE" w:rsidP="00933418">
            <w:pPr>
              <w:widowControl/>
              <w:autoSpaceDE w:val="0"/>
              <w:autoSpaceDN w:val="0"/>
              <w:adjustRightInd w:val="0"/>
              <w:jc w:val="center"/>
              <w:rPr>
                <w:rFonts w:eastAsia="Calibri"/>
              </w:rPr>
            </w:pPr>
            <w:r w:rsidRPr="00F06ECE">
              <w:rPr>
                <w:rFonts w:eastAsia="Calibri"/>
              </w:rPr>
              <w:t>8K10F1D</w:t>
            </w:r>
          </w:p>
          <w:p w:rsidR="004974BC" w:rsidRPr="00F06ECE" w:rsidP="00933418">
            <w:pPr>
              <w:widowControl/>
              <w:autoSpaceDE w:val="0"/>
              <w:autoSpaceDN w:val="0"/>
              <w:adjustRightInd w:val="0"/>
              <w:jc w:val="center"/>
              <w:rPr>
                <w:rFonts w:eastAsia="Calibri"/>
              </w:rPr>
            </w:pPr>
            <w:r w:rsidRPr="00F06ECE">
              <w:rPr>
                <w:rFonts w:eastAsia="Calibri"/>
              </w:rPr>
              <w:t>8K70D1W</w:t>
            </w:r>
          </w:p>
          <w:p w:rsidR="004974BC" w:rsidRPr="00F06ECE" w:rsidP="00933418">
            <w:pPr>
              <w:widowControl/>
              <w:autoSpaceDE w:val="0"/>
              <w:autoSpaceDN w:val="0"/>
              <w:adjustRightInd w:val="0"/>
              <w:jc w:val="center"/>
              <w:rPr>
                <w:rFonts w:eastAsia="Calibri"/>
              </w:rPr>
            </w:pPr>
            <w:r w:rsidRPr="00F06ECE">
              <w:rPr>
                <w:rFonts w:eastAsia="Calibri"/>
              </w:rPr>
              <w:t>9K80D7W</w:t>
            </w:r>
          </w:p>
        </w:tc>
        <w:tc>
          <w:tcPr>
            <w:tcW w:w="1243" w:type="dxa"/>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7K60FXE 7K60FXD</w:t>
            </w:r>
          </w:p>
          <w:p w:rsidR="004974BC" w:rsidRPr="00F06ECE" w:rsidP="00933418">
            <w:pPr>
              <w:widowControl/>
              <w:autoSpaceDE w:val="0"/>
              <w:autoSpaceDN w:val="0"/>
              <w:adjustRightInd w:val="0"/>
              <w:jc w:val="center"/>
              <w:rPr>
                <w:rFonts w:eastAsia="Calibri"/>
              </w:rPr>
            </w:pPr>
            <w:r w:rsidRPr="00F06ECE">
              <w:rPr>
                <w:rFonts w:eastAsia="Calibri"/>
              </w:rPr>
              <w:t>7K60F7E</w:t>
            </w:r>
          </w:p>
          <w:p w:rsidR="004974BC" w:rsidRPr="00F06ECE" w:rsidP="00933418">
            <w:pPr>
              <w:widowControl/>
              <w:autoSpaceDE w:val="0"/>
              <w:autoSpaceDN w:val="0"/>
              <w:adjustRightInd w:val="0"/>
              <w:jc w:val="center"/>
              <w:rPr>
                <w:rFonts w:eastAsia="Calibri"/>
              </w:rPr>
            </w:pPr>
            <w:r w:rsidRPr="00F06ECE">
              <w:rPr>
                <w:rFonts w:eastAsia="Calibri"/>
              </w:rPr>
              <w:t>7K60F7D</w:t>
            </w:r>
          </w:p>
          <w:p w:rsidR="004974BC" w:rsidRPr="00F06ECE" w:rsidP="00933418">
            <w:pPr>
              <w:widowControl/>
              <w:autoSpaceDE w:val="0"/>
              <w:autoSpaceDN w:val="0"/>
              <w:adjustRightInd w:val="0"/>
              <w:jc w:val="center"/>
              <w:rPr>
                <w:rFonts w:eastAsia="Calibri"/>
              </w:rPr>
            </w:pPr>
            <w:r w:rsidRPr="00F06ECE">
              <w:rPr>
                <w:rFonts w:eastAsia="Calibri"/>
              </w:rPr>
              <w:t>7K60F7W</w:t>
            </w:r>
          </w:p>
          <w:p w:rsidR="004974BC" w:rsidRPr="00F06ECE" w:rsidP="00933418">
            <w:pPr>
              <w:widowControl/>
              <w:autoSpaceDE w:val="0"/>
              <w:autoSpaceDN w:val="0"/>
              <w:adjustRightInd w:val="0"/>
              <w:jc w:val="center"/>
              <w:rPr>
                <w:rFonts w:eastAsia="Calibri"/>
              </w:rPr>
            </w:pPr>
            <w:r w:rsidRPr="00F06ECE">
              <w:rPr>
                <w:rFonts w:eastAsia="Calibri"/>
              </w:rPr>
              <w:t>8K30F1E</w:t>
            </w:r>
          </w:p>
          <w:p w:rsidR="004974BC" w:rsidRPr="00F06ECE" w:rsidP="00933418">
            <w:pPr>
              <w:widowControl/>
              <w:autoSpaceDE w:val="0"/>
              <w:autoSpaceDN w:val="0"/>
              <w:adjustRightInd w:val="0"/>
              <w:jc w:val="center"/>
              <w:rPr>
                <w:rFonts w:eastAsia="Calibri"/>
              </w:rPr>
            </w:pPr>
            <w:r w:rsidRPr="00F06ECE">
              <w:rPr>
                <w:rFonts w:eastAsia="Calibri"/>
              </w:rPr>
              <w:t>8K30F1D</w:t>
            </w:r>
          </w:p>
        </w:tc>
        <w:tc>
          <w:tcPr>
            <w:tcW w:w="1243" w:type="dxa"/>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4K00F1E</w:t>
            </w:r>
          </w:p>
          <w:p w:rsidR="004974BC" w:rsidRPr="00F06ECE" w:rsidP="00933418">
            <w:pPr>
              <w:widowControl/>
              <w:autoSpaceDE w:val="0"/>
              <w:autoSpaceDN w:val="0"/>
              <w:adjustRightInd w:val="0"/>
              <w:jc w:val="center"/>
              <w:rPr>
                <w:rFonts w:eastAsia="Calibri"/>
              </w:rPr>
            </w:pPr>
            <w:r w:rsidRPr="00F06ECE">
              <w:rPr>
                <w:rFonts w:eastAsia="Calibri"/>
              </w:rPr>
              <w:t>4K00F1D</w:t>
            </w:r>
          </w:p>
        </w:tc>
        <w:tc>
          <w:tcPr>
            <w:tcW w:w="1244" w:type="dxa"/>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11K0F7E</w:t>
            </w:r>
          </w:p>
          <w:p w:rsidR="004974BC" w:rsidRPr="00F06ECE" w:rsidP="00933418">
            <w:pPr>
              <w:widowControl/>
              <w:autoSpaceDE w:val="0"/>
              <w:autoSpaceDN w:val="0"/>
              <w:adjustRightInd w:val="0"/>
              <w:jc w:val="center"/>
              <w:rPr>
                <w:rFonts w:eastAsia="Calibri"/>
              </w:rPr>
            </w:pPr>
            <w:r w:rsidRPr="00F06ECE">
              <w:rPr>
                <w:rFonts w:eastAsia="Calibri"/>
              </w:rPr>
              <w:t>11K0F7D</w:t>
            </w:r>
          </w:p>
          <w:p w:rsidR="004974BC" w:rsidRPr="00F06ECE" w:rsidP="00933418">
            <w:pPr>
              <w:widowControl/>
              <w:autoSpaceDE w:val="0"/>
              <w:autoSpaceDN w:val="0"/>
              <w:adjustRightInd w:val="0"/>
              <w:jc w:val="center"/>
              <w:rPr>
                <w:rFonts w:eastAsia="Calibri"/>
              </w:rPr>
            </w:pPr>
            <w:r w:rsidRPr="00F06ECE">
              <w:rPr>
                <w:rFonts w:eastAsia="Calibri"/>
              </w:rPr>
              <w:t>11K0F7</w:t>
            </w:r>
            <w:r>
              <w:rPr>
                <w:rFonts w:eastAsia="Calibri"/>
              </w:rPr>
              <w:t>W</w:t>
            </w:r>
          </w:p>
          <w:p w:rsidR="004974BC" w:rsidRPr="00F06ECE" w:rsidP="00933418">
            <w:pPr>
              <w:widowControl/>
              <w:autoSpaceDE w:val="0"/>
              <w:autoSpaceDN w:val="0"/>
              <w:adjustRightInd w:val="0"/>
              <w:jc w:val="center"/>
              <w:rPr>
                <w:rFonts w:eastAsia="Calibri"/>
              </w:rPr>
            </w:pPr>
          </w:p>
        </w:tc>
      </w:tr>
      <w:tr w:rsidTr="00933418">
        <w:tblPrEx>
          <w:tblW w:w="0" w:type="auto"/>
          <w:tblLook w:val="04A0"/>
        </w:tblPrEx>
        <w:trPr>
          <w:trHeight w:val="376"/>
        </w:trPr>
        <w:tc>
          <w:tcPr>
            <w:tcW w:w="3360" w:type="dxa"/>
            <w:gridSpan w:val="2"/>
            <w:tcBorders>
              <w:bottom w:val="nil"/>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r w:rsidRPr="00F06ECE">
              <w:rPr>
                <w:rFonts w:eastAsia="Calibri"/>
              </w:rPr>
              <w:t xml:space="preserve">25 kilohertz Technology on </w:t>
            </w:r>
          </w:p>
          <w:p w:rsidR="004974BC" w:rsidRPr="00F06ECE" w:rsidP="00933418">
            <w:pPr>
              <w:widowControl/>
              <w:autoSpaceDE w:val="0"/>
              <w:autoSpaceDN w:val="0"/>
              <w:adjustRightInd w:val="0"/>
              <w:jc w:val="center"/>
              <w:rPr>
                <w:rFonts w:eastAsia="Calibri"/>
              </w:rPr>
            </w:pPr>
            <w:r w:rsidRPr="00F06ECE">
              <w:rPr>
                <w:rFonts w:eastAsia="Calibri"/>
              </w:rPr>
              <w:t xml:space="preserve">25 kilohertz Bandwidth Channel </w:t>
            </w:r>
          </w:p>
          <w:p w:rsidR="004974BC" w:rsidRPr="00F06ECE" w:rsidP="00933418">
            <w:pPr>
              <w:widowControl/>
              <w:autoSpaceDE w:val="0"/>
              <w:autoSpaceDN w:val="0"/>
              <w:adjustRightInd w:val="0"/>
              <w:jc w:val="center"/>
              <w:rPr>
                <w:rFonts w:eastAsia="Calibri"/>
              </w:rPr>
            </w:pPr>
          </w:p>
        </w:tc>
        <w:tc>
          <w:tcPr>
            <w:tcW w:w="1243" w:type="dxa"/>
            <w:vMerge/>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1243" w:type="dxa"/>
            <w:gridSpan w:val="2"/>
            <w:vMerge/>
            <w:shd w:val="clear" w:color="auto" w:fill="auto"/>
          </w:tcPr>
          <w:p w:rsidR="004974BC" w:rsidRPr="00F06ECE" w:rsidP="00933418">
            <w:pPr>
              <w:widowControl/>
              <w:autoSpaceDE w:val="0"/>
              <w:autoSpaceDN w:val="0"/>
              <w:adjustRightInd w:val="0"/>
              <w:jc w:val="center"/>
              <w:rPr>
                <w:rFonts w:eastAsia="Calibri"/>
              </w:rPr>
            </w:pPr>
          </w:p>
        </w:tc>
        <w:tc>
          <w:tcPr>
            <w:tcW w:w="1243" w:type="dxa"/>
            <w:vMerge/>
            <w:shd w:val="clear" w:color="auto" w:fill="auto"/>
          </w:tcPr>
          <w:p w:rsidR="004974BC" w:rsidRPr="00F06ECE" w:rsidP="00933418">
            <w:pPr>
              <w:widowControl/>
              <w:autoSpaceDE w:val="0"/>
              <w:autoSpaceDN w:val="0"/>
              <w:adjustRightInd w:val="0"/>
              <w:jc w:val="center"/>
              <w:rPr>
                <w:rFonts w:eastAsia="Calibri"/>
              </w:rPr>
            </w:pPr>
          </w:p>
        </w:tc>
        <w:tc>
          <w:tcPr>
            <w:tcW w:w="1243" w:type="dxa"/>
            <w:vMerge/>
            <w:shd w:val="clear" w:color="auto" w:fill="auto"/>
          </w:tcPr>
          <w:p w:rsidR="004974BC" w:rsidRPr="00F06ECE" w:rsidP="00933418">
            <w:pPr>
              <w:widowControl/>
              <w:autoSpaceDE w:val="0"/>
              <w:autoSpaceDN w:val="0"/>
              <w:adjustRightInd w:val="0"/>
              <w:jc w:val="center"/>
              <w:rPr>
                <w:rFonts w:eastAsia="Calibri"/>
              </w:rPr>
            </w:pPr>
          </w:p>
        </w:tc>
        <w:tc>
          <w:tcPr>
            <w:tcW w:w="1244" w:type="dxa"/>
            <w:vMerge/>
            <w:shd w:val="clear" w:color="auto" w:fill="auto"/>
          </w:tcPr>
          <w:p w:rsidR="004974BC" w:rsidRPr="00F06ECE" w:rsidP="00933418">
            <w:pPr>
              <w:widowControl/>
              <w:autoSpaceDE w:val="0"/>
              <w:autoSpaceDN w:val="0"/>
              <w:adjustRightInd w:val="0"/>
              <w:jc w:val="center"/>
              <w:rPr>
                <w:rFonts w:eastAsia="Calibri"/>
              </w:rPr>
            </w:pPr>
          </w:p>
        </w:tc>
      </w:tr>
      <w:tr w:rsidTr="00933418">
        <w:tblPrEx>
          <w:tblW w:w="0" w:type="auto"/>
          <w:tblLook w:val="04A0"/>
        </w:tblPrEx>
        <w:trPr>
          <w:trHeight w:val="376"/>
        </w:trPr>
        <w:tc>
          <w:tcPr>
            <w:tcW w:w="3360" w:type="dxa"/>
            <w:gridSpan w:val="2"/>
            <w:tcBorders>
              <w:top w:val="nil"/>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1243" w:type="dxa"/>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gridSpan w:val="2"/>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4"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r>
      <w:tr w:rsidTr="00933418">
        <w:tblPrEx>
          <w:tblW w:w="0" w:type="auto"/>
          <w:tblLook w:val="04A0"/>
        </w:tblPrEx>
        <w:tc>
          <w:tcPr>
            <w:tcW w:w="2295" w:type="dxa"/>
            <w:tcBorders>
              <w:right w:val="sing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c>
          <w:tcPr>
            <w:tcW w:w="1065" w:type="dxa"/>
            <w:tcBorders>
              <w:left w:val="single" w:sz="4" w:space="0" w:color="auto"/>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Interference Contour [dBu F(50,10)]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16K0F3E or 20K0F3E</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15</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10K0F1E or 10K0F1D</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12K5F9W</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16K0F1E or 16K0F1D</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Pr>
                <w:rFonts w:eastAsia="Calibri"/>
              </w:rPr>
              <w:t>NA</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18K3D7W OR 17K7D7D</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10</w:t>
            </w:r>
          </w:p>
        </w:tc>
      </w:tr>
      <w:tr w:rsidTr="00933418">
        <w:tblPrEx>
          <w:tblW w:w="0" w:type="auto"/>
          <w:tblLook w:val="04A0"/>
        </w:tblPrEx>
        <w:tc>
          <w:tcPr>
            <w:tcW w:w="3360" w:type="dxa"/>
            <w:gridSpan w:val="2"/>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r w:rsidRPr="00F06ECE">
              <w:rPr>
                <w:rFonts w:eastAsia="Calibri"/>
              </w:rPr>
              <w:t>12.5 kilohertz Bandwidth Technology on 25 kilohertz Bandwidth Channel</w:t>
            </w:r>
          </w:p>
          <w:p w:rsidR="004974BC" w:rsidRPr="00F06ECE" w:rsidP="00933418">
            <w:pPr>
              <w:widowControl/>
              <w:autoSpaceDE w:val="0"/>
              <w:autoSpaceDN w:val="0"/>
              <w:adjustRightInd w:val="0"/>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Interference Contour [dBu F(50,10)]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11K3F3E or less</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8K10F1E, 8K10F1D, 8K70D1W, 9K80D7W, 9K80D1E or 9K80D1D</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Pr>
                <w:rFonts w:eastAsia="Calibri"/>
              </w:rPr>
              <w:t>NA</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7K60FXE, 7K60FXD, 7K60F7E, 7K60F7D, 7K60F7W, 8K30F1E or 8K30F1D</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4K00F1E or 4K00F1D</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11K0F7E, 11K0F7D or 11K0F7W</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r>
      <w:tr w:rsidTr="00933418">
        <w:tblPrEx>
          <w:tblW w:w="0" w:type="auto"/>
          <w:tblLook w:val="04A0"/>
        </w:tblPrEx>
        <w:tc>
          <w:tcPr>
            <w:tcW w:w="3360" w:type="dxa"/>
            <w:gridSpan w:val="2"/>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r w:rsidRPr="00F06ECE">
              <w:rPr>
                <w:rFonts w:eastAsia="Calibri"/>
              </w:rPr>
              <w:t>Section 90.221 Technology on     25 kilohertz Bandwidth Channels</w:t>
            </w:r>
          </w:p>
          <w:p w:rsidR="004974BC" w:rsidRPr="00F06ECE" w:rsidP="00933418">
            <w:pPr>
              <w:widowControl/>
              <w:autoSpaceDE w:val="0"/>
              <w:autoSpaceDN w:val="0"/>
              <w:adjustRightInd w:val="0"/>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Interference Contour [dBu F(50,10)]</w:t>
            </w:r>
          </w:p>
        </w:tc>
      </w:tr>
      <w:tr w:rsidTr="00933418">
        <w:tblPrEx>
          <w:tblW w:w="0" w:type="auto"/>
          <w:tblLook w:val="04A0"/>
        </w:tblPrEx>
        <w:trPr>
          <w:trHeight w:val="763"/>
        </w:trPr>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22K0D7E, 22K0D7D, 22K0D7W, 22K0DXW or 22K0G1W</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311" w:type="dxa"/>
            <w:gridSpan w:val="2"/>
            <w:tcBorders>
              <w:left w:val="double" w:sz="4" w:space="0" w:color="auto"/>
              <w:righ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175" w:type="dxa"/>
            <w:tcBorders>
              <w:lef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45</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10</w:t>
            </w:r>
          </w:p>
        </w:tc>
      </w:tr>
      <w:tr w:rsidTr="00933418">
        <w:tblPrEx>
          <w:tblW w:w="0" w:type="auto"/>
          <w:tblLook w:val="04A0"/>
        </w:tblPrEx>
        <w:trPr>
          <w:trHeight w:val="485"/>
        </w:trPr>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 xml:space="preserve">21K0D1E, 21K0D1D or 21K0D1W </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311" w:type="dxa"/>
            <w:gridSpan w:val="2"/>
            <w:tcBorders>
              <w:left w:val="double" w:sz="4" w:space="0" w:color="auto"/>
              <w:righ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175" w:type="dxa"/>
            <w:tcBorders>
              <w:lef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21K7D7E, 21K7D7D or 21K0D1W</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311" w:type="dxa"/>
            <w:gridSpan w:val="2"/>
            <w:tcBorders>
              <w:left w:val="double" w:sz="4" w:space="0" w:color="auto"/>
              <w:righ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175" w:type="dxa"/>
            <w:tcBorders>
              <w:lef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10</w:t>
            </w:r>
          </w:p>
        </w:tc>
      </w:tr>
    </w:tbl>
    <w:p w:rsidR="004974BC" w:rsidRPr="00F06ECE" w:rsidP="004974BC">
      <w:pPr>
        <w:widowControl/>
        <w:autoSpaceDE w:val="0"/>
        <w:autoSpaceDN w:val="0"/>
        <w:adjustRightInd w:val="0"/>
        <w:ind w:firstLine="720"/>
        <w:jc w:val="center"/>
        <w:rPr>
          <w:szCs w:val="22"/>
        </w:rPr>
      </w:pPr>
      <w:r w:rsidRPr="00F06ECE">
        <w:rPr>
          <w:szCs w:val="22"/>
        </w:rPr>
        <w:tab/>
      </w:r>
    </w:p>
    <w:p w:rsidR="004974BC" w:rsidP="004974BC">
      <w:pPr>
        <w:widowControl/>
        <w:rPr>
          <w:szCs w:val="22"/>
        </w:rPr>
      </w:pPr>
      <w:r>
        <w:rPr>
          <w:szCs w:val="22"/>
        </w:rPr>
        <w:br w:type="page"/>
      </w:r>
    </w:p>
    <w:p w:rsidR="004974BC" w:rsidRPr="00F06ECE" w:rsidP="004974BC">
      <w:pPr>
        <w:widowControl/>
        <w:autoSpaceDE w:val="0"/>
        <w:autoSpaceDN w:val="0"/>
        <w:adjustRightInd w:val="0"/>
        <w:ind w:firstLine="720"/>
        <w:jc w:val="center"/>
        <w:rPr>
          <w:szCs w:val="22"/>
        </w:rPr>
      </w:pPr>
      <w:r w:rsidRPr="00F06ECE">
        <w:rPr>
          <w:szCs w:val="22"/>
        </w:rPr>
        <w:t>Table 2 – Interference Contour Level for Fixed Station Operating on 25 kilohertz Bandwidth Channel</w:t>
      </w:r>
    </w:p>
    <w:p w:rsidR="004974BC" w:rsidRPr="00F06ECE" w:rsidP="004974BC">
      <w:pPr>
        <w:widowControl/>
        <w:tabs>
          <w:tab w:val="left" w:pos="5663"/>
        </w:tabs>
        <w:ind w:lef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1243"/>
        <w:gridCol w:w="1224"/>
        <w:gridCol w:w="67"/>
        <w:gridCol w:w="1169"/>
        <w:gridCol w:w="1232"/>
        <w:gridCol w:w="1227"/>
        <w:gridCol w:w="1233"/>
      </w:tblGrid>
      <w:tr w:rsidTr="009334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2"/>
        </w:trPr>
        <w:tc>
          <w:tcPr>
            <w:tcW w:w="3360" w:type="dxa"/>
            <w:gridSpan w:val="2"/>
            <w:vMerge w:val="restart"/>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 xml:space="preserve">Interference Contour </w:t>
            </w:r>
          </w:p>
          <w:p w:rsidR="004974BC" w:rsidRPr="00F06ECE" w:rsidP="00933418">
            <w:pPr>
              <w:widowControl/>
              <w:autoSpaceDE w:val="0"/>
              <w:autoSpaceDN w:val="0"/>
              <w:adjustRightInd w:val="0"/>
              <w:jc w:val="center"/>
              <w:rPr>
                <w:rFonts w:eastAsia="Calibri"/>
              </w:rPr>
            </w:pPr>
            <w:r w:rsidRPr="00F06ECE">
              <w:rPr>
                <w:rFonts w:eastAsia="Calibri"/>
              </w:rPr>
              <w:t>(25 kilohertz into 12.5 kilohertz channel)</w:t>
            </w:r>
          </w:p>
          <w:p w:rsidR="004974BC" w:rsidRPr="00F06ECE" w:rsidP="00933418">
            <w:pPr>
              <w:widowControl/>
              <w:autoSpaceDE w:val="0"/>
              <w:autoSpaceDN w:val="0"/>
              <w:adjustRightInd w:val="0"/>
              <w:jc w:val="center"/>
              <w:rPr>
                <w:rFonts w:eastAsia="Calibri"/>
              </w:rPr>
            </w:pPr>
            <w:r w:rsidRPr="00F06ECE">
              <w:rPr>
                <w:rFonts w:eastAsia="Calibri"/>
              </w:rPr>
              <w:t xml:space="preserve"> </w:t>
            </w: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 xml:space="preserve">12.5 kilohertz Bandwidth Technology of 12.5 kilohertz Bandwidth Channel </w:t>
            </w:r>
          </w:p>
        </w:tc>
      </w:tr>
      <w:tr w:rsidTr="00933418">
        <w:tblPrEx>
          <w:tblW w:w="0" w:type="auto"/>
          <w:tblLook w:val="04A0"/>
        </w:tblPrEx>
        <w:trPr>
          <w:trHeight w:val="173"/>
        </w:trPr>
        <w:tc>
          <w:tcPr>
            <w:tcW w:w="3360" w:type="dxa"/>
            <w:gridSpan w:val="2"/>
            <w:vMerge/>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r>
      <w:tr w:rsidTr="00933418">
        <w:tblPrEx>
          <w:tblW w:w="0" w:type="auto"/>
          <w:tblLook w:val="04A0"/>
        </w:tblPrEx>
        <w:trPr>
          <w:trHeight w:val="509"/>
        </w:trPr>
        <w:tc>
          <w:tcPr>
            <w:tcW w:w="3360" w:type="dxa"/>
            <w:gridSpan w:val="2"/>
            <w:vMerge/>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1243" w:type="dxa"/>
            <w:vMerge w:val="restart"/>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11K3F3E or less</w:t>
            </w:r>
          </w:p>
        </w:tc>
        <w:tc>
          <w:tcPr>
            <w:tcW w:w="1243" w:type="dxa"/>
            <w:gridSpan w:val="2"/>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8K10F1E</w:t>
            </w:r>
          </w:p>
          <w:p w:rsidR="004974BC" w:rsidRPr="00F06ECE" w:rsidP="00933418">
            <w:pPr>
              <w:widowControl/>
              <w:autoSpaceDE w:val="0"/>
              <w:autoSpaceDN w:val="0"/>
              <w:adjustRightInd w:val="0"/>
              <w:jc w:val="center"/>
              <w:rPr>
                <w:rFonts w:eastAsia="Calibri"/>
              </w:rPr>
            </w:pPr>
            <w:r w:rsidRPr="00F06ECE">
              <w:rPr>
                <w:rFonts w:eastAsia="Calibri"/>
              </w:rPr>
              <w:t>8K10F1D</w:t>
            </w:r>
          </w:p>
          <w:p w:rsidR="004974BC" w:rsidRPr="00F06ECE" w:rsidP="00933418">
            <w:pPr>
              <w:widowControl/>
              <w:autoSpaceDE w:val="0"/>
              <w:autoSpaceDN w:val="0"/>
              <w:adjustRightInd w:val="0"/>
              <w:jc w:val="center"/>
              <w:rPr>
                <w:rFonts w:eastAsia="Calibri"/>
              </w:rPr>
            </w:pPr>
            <w:r w:rsidRPr="00F06ECE">
              <w:rPr>
                <w:rFonts w:eastAsia="Calibri"/>
              </w:rPr>
              <w:t>8K70D1W</w:t>
            </w:r>
          </w:p>
          <w:p w:rsidR="004974BC" w:rsidRPr="00F06ECE" w:rsidP="00933418">
            <w:pPr>
              <w:widowControl/>
              <w:autoSpaceDE w:val="0"/>
              <w:autoSpaceDN w:val="0"/>
              <w:adjustRightInd w:val="0"/>
              <w:jc w:val="center"/>
              <w:rPr>
                <w:rFonts w:eastAsia="Calibri"/>
              </w:rPr>
            </w:pPr>
            <w:r w:rsidRPr="00F06ECE">
              <w:rPr>
                <w:rFonts w:eastAsia="Calibri"/>
              </w:rPr>
              <w:t>9K80D7W</w:t>
            </w:r>
          </w:p>
        </w:tc>
        <w:tc>
          <w:tcPr>
            <w:tcW w:w="1243" w:type="dxa"/>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7K60FXE 7K60FXD</w:t>
            </w:r>
          </w:p>
          <w:p w:rsidR="004974BC" w:rsidRPr="00F06ECE" w:rsidP="00933418">
            <w:pPr>
              <w:widowControl/>
              <w:autoSpaceDE w:val="0"/>
              <w:autoSpaceDN w:val="0"/>
              <w:adjustRightInd w:val="0"/>
              <w:jc w:val="center"/>
              <w:rPr>
                <w:rFonts w:eastAsia="Calibri"/>
              </w:rPr>
            </w:pPr>
            <w:r w:rsidRPr="00F06ECE">
              <w:rPr>
                <w:rFonts w:eastAsia="Calibri"/>
              </w:rPr>
              <w:t>7K60F7E</w:t>
            </w:r>
          </w:p>
          <w:p w:rsidR="004974BC" w:rsidRPr="00F06ECE" w:rsidP="00933418">
            <w:pPr>
              <w:widowControl/>
              <w:autoSpaceDE w:val="0"/>
              <w:autoSpaceDN w:val="0"/>
              <w:adjustRightInd w:val="0"/>
              <w:jc w:val="center"/>
              <w:rPr>
                <w:rFonts w:eastAsia="Calibri"/>
              </w:rPr>
            </w:pPr>
            <w:r w:rsidRPr="00F06ECE">
              <w:rPr>
                <w:rFonts w:eastAsia="Calibri"/>
              </w:rPr>
              <w:t>7K60F7D</w:t>
            </w:r>
          </w:p>
          <w:p w:rsidR="004974BC" w:rsidRPr="00F06ECE" w:rsidP="00933418">
            <w:pPr>
              <w:widowControl/>
              <w:autoSpaceDE w:val="0"/>
              <w:autoSpaceDN w:val="0"/>
              <w:adjustRightInd w:val="0"/>
              <w:jc w:val="center"/>
              <w:rPr>
                <w:rFonts w:eastAsia="Calibri"/>
              </w:rPr>
            </w:pPr>
            <w:r w:rsidRPr="00F06ECE">
              <w:rPr>
                <w:rFonts w:eastAsia="Calibri"/>
              </w:rPr>
              <w:t>7K60F7W</w:t>
            </w:r>
          </w:p>
          <w:p w:rsidR="004974BC" w:rsidRPr="00F06ECE" w:rsidP="00933418">
            <w:pPr>
              <w:widowControl/>
              <w:autoSpaceDE w:val="0"/>
              <w:autoSpaceDN w:val="0"/>
              <w:adjustRightInd w:val="0"/>
              <w:jc w:val="center"/>
              <w:rPr>
                <w:rFonts w:eastAsia="Calibri"/>
              </w:rPr>
            </w:pPr>
            <w:r w:rsidRPr="00F06ECE">
              <w:rPr>
                <w:rFonts w:eastAsia="Calibri"/>
              </w:rPr>
              <w:t>8K30F1E</w:t>
            </w:r>
          </w:p>
          <w:p w:rsidR="004974BC" w:rsidRPr="00F06ECE" w:rsidP="00933418">
            <w:pPr>
              <w:widowControl/>
              <w:autoSpaceDE w:val="0"/>
              <w:autoSpaceDN w:val="0"/>
              <w:adjustRightInd w:val="0"/>
              <w:jc w:val="center"/>
              <w:rPr>
                <w:rFonts w:eastAsia="Calibri"/>
              </w:rPr>
            </w:pPr>
            <w:r w:rsidRPr="00F06ECE">
              <w:rPr>
                <w:rFonts w:eastAsia="Calibri"/>
              </w:rPr>
              <w:t>8K30F1D</w:t>
            </w:r>
          </w:p>
        </w:tc>
        <w:tc>
          <w:tcPr>
            <w:tcW w:w="1243" w:type="dxa"/>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4K00F1E</w:t>
            </w:r>
          </w:p>
          <w:p w:rsidR="004974BC" w:rsidRPr="00F06ECE" w:rsidP="00933418">
            <w:pPr>
              <w:widowControl/>
              <w:autoSpaceDE w:val="0"/>
              <w:autoSpaceDN w:val="0"/>
              <w:adjustRightInd w:val="0"/>
              <w:jc w:val="center"/>
              <w:rPr>
                <w:rFonts w:eastAsia="Calibri"/>
              </w:rPr>
            </w:pPr>
            <w:r w:rsidRPr="00F06ECE">
              <w:rPr>
                <w:rFonts w:eastAsia="Calibri"/>
              </w:rPr>
              <w:t>4K00F1D</w:t>
            </w:r>
          </w:p>
        </w:tc>
        <w:tc>
          <w:tcPr>
            <w:tcW w:w="1244" w:type="dxa"/>
            <w:vMerge w:val="restart"/>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11K0F7E</w:t>
            </w:r>
          </w:p>
          <w:p w:rsidR="004974BC" w:rsidRPr="00F06ECE" w:rsidP="00933418">
            <w:pPr>
              <w:widowControl/>
              <w:autoSpaceDE w:val="0"/>
              <w:autoSpaceDN w:val="0"/>
              <w:adjustRightInd w:val="0"/>
              <w:jc w:val="center"/>
              <w:rPr>
                <w:rFonts w:eastAsia="Calibri"/>
              </w:rPr>
            </w:pPr>
            <w:r w:rsidRPr="00F06ECE">
              <w:rPr>
                <w:rFonts w:eastAsia="Calibri"/>
              </w:rPr>
              <w:t>11K0F7D</w:t>
            </w:r>
          </w:p>
          <w:p w:rsidR="004974BC" w:rsidRPr="00F06ECE" w:rsidP="00933418">
            <w:pPr>
              <w:widowControl/>
              <w:autoSpaceDE w:val="0"/>
              <w:autoSpaceDN w:val="0"/>
              <w:adjustRightInd w:val="0"/>
              <w:jc w:val="center"/>
              <w:rPr>
                <w:rFonts w:eastAsia="Calibri"/>
              </w:rPr>
            </w:pPr>
            <w:r w:rsidRPr="00F06ECE">
              <w:rPr>
                <w:rFonts w:eastAsia="Calibri"/>
              </w:rPr>
              <w:t>11K0F7</w:t>
            </w:r>
            <w:r>
              <w:rPr>
                <w:rFonts w:eastAsia="Calibri"/>
              </w:rPr>
              <w:t>W</w:t>
            </w:r>
          </w:p>
          <w:p w:rsidR="004974BC" w:rsidRPr="00F06ECE" w:rsidP="00933418">
            <w:pPr>
              <w:widowControl/>
              <w:autoSpaceDE w:val="0"/>
              <w:autoSpaceDN w:val="0"/>
              <w:adjustRightInd w:val="0"/>
              <w:jc w:val="center"/>
              <w:rPr>
                <w:rFonts w:eastAsia="Calibri"/>
              </w:rPr>
            </w:pPr>
          </w:p>
        </w:tc>
      </w:tr>
      <w:tr w:rsidTr="00933418">
        <w:tblPrEx>
          <w:tblW w:w="0" w:type="auto"/>
          <w:tblLook w:val="04A0"/>
        </w:tblPrEx>
        <w:trPr>
          <w:trHeight w:val="376"/>
        </w:trPr>
        <w:tc>
          <w:tcPr>
            <w:tcW w:w="3360" w:type="dxa"/>
            <w:gridSpan w:val="2"/>
            <w:tcBorders>
              <w:bottom w:val="nil"/>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r w:rsidRPr="00F06ECE">
              <w:rPr>
                <w:rFonts w:eastAsia="Calibri"/>
              </w:rPr>
              <w:t xml:space="preserve">25 kilohertz Technology on </w:t>
            </w:r>
          </w:p>
          <w:p w:rsidR="004974BC" w:rsidRPr="00F06ECE" w:rsidP="00933418">
            <w:pPr>
              <w:widowControl/>
              <w:autoSpaceDE w:val="0"/>
              <w:autoSpaceDN w:val="0"/>
              <w:adjustRightInd w:val="0"/>
              <w:jc w:val="center"/>
              <w:rPr>
                <w:rFonts w:eastAsia="Calibri"/>
              </w:rPr>
            </w:pPr>
            <w:r w:rsidRPr="00F06ECE">
              <w:rPr>
                <w:rFonts w:eastAsia="Calibri"/>
              </w:rPr>
              <w:t xml:space="preserve">25 kilohertz Bandwidth Channel </w:t>
            </w:r>
          </w:p>
        </w:tc>
        <w:tc>
          <w:tcPr>
            <w:tcW w:w="1243" w:type="dxa"/>
            <w:vMerge/>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1243" w:type="dxa"/>
            <w:gridSpan w:val="2"/>
            <w:vMerge/>
            <w:shd w:val="clear" w:color="auto" w:fill="auto"/>
          </w:tcPr>
          <w:p w:rsidR="004974BC" w:rsidRPr="00F06ECE" w:rsidP="00933418">
            <w:pPr>
              <w:widowControl/>
              <w:autoSpaceDE w:val="0"/>
              <w:autoSpaceDN w:val="0"/>
              <w:adjustRightInd w:val="0"/>
              <w:jc w:val="center"/>
              <w:rPr>
                <w:rFonts w:eastAsia="Calibri"/>
              </w:rPr>
            </w:pPr>
          </w:p>
        </w:tc>
        <w:tc>
          <w:tcPr>
            <w:tcW w:w="1243" w:type="dxa"/>
            <w:vMerge/>
            <w:shd w:val="clear" w:color="auto" w:fill="auto"/>
          </w:tcPr>
          <w:p w:rsidR="004974BC" w:rsidRPr="00F06ECE" w:rsidP="00933418">
            <w:pPr>
              <w:widowControl/>
              <w:autoSpaceDE w:val="0"/>
              <w:autoSpaceDN w:val="0"/>
              <w:adjustRightInd w:val="0"/>
              <w:jc w:val="center"/>
              <w:rPr>
                <w:rFonts w:eastAsia="Calibri"/>
              </w:rPr>
            </w:pPr>
          </w:p>
        </w:tc>
        <w:tc>
          <w:tcPr>
            <w:tcW w:w="1243" w:type="dxa"/>
            <w:vMerge/>
            <w:shd w:val="clear" w:color="auto" w:fill="auto"/>
          </w:tcPr>
          <w:p w:rsidR="004974BC" w:rsidRPr="00F06ECE" w:rsidP="00933418">
            <w:pPr>
              <w:widowControl/>
              <w:autoSpaceDE w:val="0"/>
              <w:autoSpaceDN w:val="0"/>
              <w:adjustRightInd w:val="0"/>
              <w:jc w:val="center"/>
              <w:rPr>
                <w:rFonts w:eastAsia="Calibri"/>
              </w:rPr>
            </w:pPr>
          </w:p>
        </w:tc>
        <w:tc>
          <w:tcPr>
            <w:tcW w:w="1244" w:type="dxa"/>
            <w:vMerge/>
            <w:shd w:val="clear" w:color="auto" w:fill="auto"/>
          </w:tcPr>
          <w:p w:rsidR="004974BC" w:rsidRPr="00F06ECE" w:rsidP="00933418">
            <w:pPr>
              <w:widowControl/>
              <w:autoSpaceDE w:val="0"/>
              <w:autoSpaceDN w:val="0"/>
              <w:adjustRightInd w:val="0"/>
              <w:jc w:val="center"/>
              <w:rPr>
                <w:rFonts w:eastAsia="Calibri"/>
              </w:rPr>
            </w:pPr>
          </w:p>
        </w:tc>
      </w:tr>
      <w:tr w:rsidTr="00933418">
        <w:tblPrEx>
          <w:tblW w:w="0" w:type="auto"/>
          <w:tblLook w:val="04A0"/>
        </w:tblPrEx>
        <w:trPr>
          <w:trHeight w:val="376"/>
        </w:trPr>
        <w:tc>
          <w:tcPr>
            <w:tcW w:w="3360" w:type="dxa"/>
            <w:gridSpan w:val="2"/>
            <w:tcBorders>
              <w:top w:val="nil"/>
              <w:right w:val="double" w:sz="4" w:space="0" w:color="auto"/>
            </w:tcBorders>
            <w:shd w:val="clear" w:color="auto" w:fill="auto"/>
          </w:tcPr>
          <w:p w:rsidR="004974BC" w:rsidRPr="00F06ECE" w:rsidP="00933418">
            <w:pPr>
              <w:widowControl/>
              <w:autoSpaceDE w:val="0"/>
              <w:autoSpaceDN w:val="0"/>
              <w:adjustRightInd w:val="0"/>
              <w:rPr>
                <w:rFonts w:eastAsia="Calibri"/>
              </w:rPr>
            </w:pPr>
          </w:p>
        </w:tc>
        <w:tc>
          <w:tcPr>
            <w:tcW w:w="1243" w:type="dxa"/>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gridSpan w:val="2"/>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3"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c>
          <w:tcPr>
            <w:tcW w:w="1244"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Receiver</w:t>
            </w:r>
          </w:p>
        </w:tc>
      </w:tr>
      <w:tr w:rsidTr="00933418">
        <w:tblPrEx>
          <w:tblW w:w="0" w:type="auto"/>
          <w:tblLook w:val="04A0"/>
        </w:tblPrEx>
        <w:tc>
          <w:tcPr>
            <w:tcW w:w="2295" w:type="dxa"/>
            <w:tcBorders>
              <w:right w:val="sing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c>
          <w:tcPr>
            <w:tcW w:w="1065" w:type="dxa"/>
            <w:tcBorders>
              <w:left w:val="single" w:sz="4" w:space="0" w:color="auto"/>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Interference Contour [dBu F(50,</w:t>
            </w:r>
            <w:r w:rsidRPr="00F06ECE">
              <w:rPr>
                <w:rFonts w:eastAsia="Calibri"/>
              </w:rPr>
              <w:t xml:space="preserve"> </w:t>
            </w:r>
            <w:r w:rsidRPr="00F06ECE">
              <w:rPr>
                <w:rFonts w:eastAsia="Calibri"/>
              </w:rPr>
              <w:t>10)]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16K0F3E or 20K0F3E</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35</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10K0F1E or 10K0F1D</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12K5F9W</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35</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16K0F1E or 16K0F1D</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35</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35</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18K3D7W OR 17K7D7D</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45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15</w:t>
            </w:r>
          </w:p>
        </w:tc>
      </w:tr>
      <w:tr w:rsidTr="00933418">
        <w:tblPrEx>
          <w:tblW w:w="0" w:type="auto"/>
          <w:tblLook w:val="04A0"/>
        </w:tblPrEx>
        <w:tc>
          <w:tcPr>
            <w:tcW w:w="3360" w:type="dxa"/>
            <w:gridSpan w:val="2"/>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r w:rsidRPr="00F06ECE">
              <w:rPr>
                <w:rFonts w:eastAsia="Calibri"/>
              </w:rPr>
              <w:t>12.5 kilohertz Bandwidth Technology on 25 kilohertz Bandwidth Channel</w:t>
            </w:r>
          </w:p>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Interference Contour [dBu F(50,10)]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11K3F3E or less</w:t>
            </w:r>
          </w:p>
        </w:tc>
        <w:tc>
          <w:tcPr>
            <w:tcW w:w="1065" w:type="dxa"/>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8K10F1E, 8K10F1D, 8K70D1W, 9K80D7W, 9K80D1E or 9K80D1D</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55</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7K60FXE, 7K60FXD, 7K60F7E, 7K60F7D, 7K60F7W, 8K30F1E or 8K30F1D</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65</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60</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4K00F1E or 4K00F1D</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11K0F7E, 11K0F7D or 11K0F7W</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243" w:type="dxa"/>
            <w:tcBorders>
              <w:lef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70</w:t>
            </w:r>
          </w:p>
        </w:tc>
        <w:tc>
          <w:tcPr>
            <w:tcW w:w="1243" w:type="dxa"/>
            <w:gridSpan w:val="2"/>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r>
      <w:tr w:rsidTr="00933418">
        <w:tblPrEx>
          <w:tblW w:w="0" w:type="auto"/>
          <w:tblLook w:val="04A0"/>
        </w:tblPrEx>
        <w:tc>
          <w:tcPr>
            <w:tcW w:w="3360" w:type="dxa"/>
            <w:gridSpan w:val="2"/>
            <w:tcBorders>
              <w:right w:val="double" w:sz="4" w:space="0" w:color="auto"/>
            </w:tcBorders>
            <w:shd w:val="clear" w:color="auto" w:fill="auto"/>
          </w:tcPr>
          <w:p w:rsidR="004974BC" w:rsidRPr="00F06ECE" w:rsidP="00933418">
            <w:pPr>
              <w:widowControl/>
              <w:autoSpaceDE w:val="0"/>
              <w:autoSpaceDN w:val="0"/>
              <w:adjustRightInd w:val="0"/>
              <w:jc w:val="center"/>
              <w:rPr>
                <w:rFonts w:eastAsia="Calibri"/>
              </w:rPr>
            </w:pPr>
          </w:p>
          <w:p w:rsidR="004974BC" w:rsidRPr="00F06ECE" w:rsidP="00933418">
            <w:pPr>
              <w:widowControl/>
              <w:autoSpaceDE w:val="0"/>
              <w:autoSpaceDN w:val="0"/>
              <w:adjustRightInd w:val="0"/>
              <w:jc w:val="center"/>
              <w:rPr>
                <w:rFonts w:eastAsia="Calibri"/>
              </w:rPr>
            </w:pPr>
            <w:r w:rsidRPr="00F06ECE">
              <w:rPr>
                <w:rFonts w:eastAsia="Calibri"/>
              </w:rPr>
              <w:t xml:space="preserve">Section 90.221 Technology on </w:t>
            </w:r>
          </w:p>
          <w:p w:rsidR="004974BC" w:rsidRPr="00F06ECE" w:rsidP="00933418">
            <w:pPr>
              <w:widowControl/>
              <w:autoSpaceDE w:val="0"/>
              <w:autoSpaceDN w:val="0"/>
              <w:adjustRightInd w:val="0"/>
              <w:jc w:val="center"/>
              <w:rPr>
                <w:rFonts w:eastAsia="Calibri"/>
              </w:rPr>
            </w:pPr>
            <w:r w:rsidRPr="00F06ECE">
              <w:rPr>
                <w:rFonts w:eastAsia="Calibri"/>
              </w:rPr>
              <w:t>25 kilohertz Bandwidth Channels</w:t>
            </w:r>
          </w:p>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Transmitter Emission</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p>
        </w:tc>
        <w:tc>
          <w:tcPr>
            <w:tcW w:w="6216" w:type="dxa"/>
            <w:gridSpan w:val="6"/>
            <w:tcBorders>
              <w:left w:val="double" w:sz="4" w:space="0" w:color="auto"/>
            </w:tcBorders>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Interference Contour [dBu F(50,10)]</w:t>
            </w:r>
          </w:p>
        </w:tc>
      </w:tr>
      <w:tr w:rsidTr="00933418">
        <w:tblPrEx>
          <w:tblW w:w="0" w:type="auto"/>
          <w:tblLook w:val="04A0"/>
        </w:tblPrEx>
        <w:trPr>
          <w:trHeight w:val="763"/>
        </w:trPr>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22K0D7E, 2K0D7D, 22K0D7W, 22K0DXW or 22K0G1W</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311" w:type="dxa"/>
            <w:gridSpan w:val="2"/>
            <w:tcBorders>
              <w:left w:val="double" w:sz="4" w:space="0" w:color="auto"/>
              <w:righ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175" w:type="dxa"/>
            <w:tcBorders>
              <w:lef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30</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15</w:t>
            </w:r>
          </w:p>
        </w:tc>
      </w:tr>
      <w:tr w:rsidTr="00933418">
        <w:tblPrEx>
          <w:tblW w:w="0" w:type="auto"/>
          <w:tblLook w:val="04A0"/>
        </w:tblPrEx>
        <w:trPr>
          <w:trHeight w:val="485"/>
        </w:trPr>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 xml:space="preserve">21K0D1E, 21K0D1D or 21K0D1W </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311" w:type="dxa"/>
            <w:gridSpan w:val="2"/>
            <w:tcBorders>
              <w:left w:val="double" w:sz="4" w:space="0" w:color="auto"/>
              <w:righ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175" w:type="dxa"/>
            <w:tcBorders>
              <w:lef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15</w:t>
            </w:r>
          </w:p>
        </w:tc>
      </w:tr>
      <w:tr w:rsidTr="00933418">
        <w:tblPrEx>
          <w:tblW w:w="0" w:type="auto"/>
          <w:tblLook w:val="04A0"/>
        </w:tblPrEx>
        <w:tc>
          <w:tcPr>
            <w:tcW w:w="2295" w:type="dxa"/>
            <w:shd w:val="clear" w:color="auto" w:fill="auto"/>
          </w:tcPr>
          <w:p w:rsidR="004974BC" w:rsidRPr="00F06ECE" w:rsidP="00933418">
            <w:pPr>
              <w:widowControl/>
              <w:autoSpaceDE w:val="0"/>
              <w:autoSpaceDN w:val="0"/>
              <w:adjustRightInd w:val="0"/>
              <w:jc w:val="center"/>
              <w:rPr>
                <w:rFonts w:eastAsia="Calibri"/>
              </w:rPr>
            </w:pPr>
            <w:r w:rsidRPr="00F06ECE">
              <w:rPr>
                <w:rFonts w:eastAsia="Calibri"/>
              </w:rPr>
              <w:t>21K7D7E, 21K7D7D or 21K0D1W</w:t>
            </w:r>
          </w:p>
        </w:tc>
        <w:tc>
          <w:tcPr>
            <w:tcW w:w="1065" w:type="dxa"/>
            <w:tcBorders>
              <w:right w:val="doub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Transmitter</w:t>
            </w:r>
          </w:p>
        </w:tc>
        <w:tc>
          <w:tcPr>
            <w:tcW w:w="1311" w:type="dxa"/>
            <w:gridSpan w:val="2"/>
            <w:tcBorders>
              <w:left w:val="double" w:sz="4" w:space="0" w:color="auto"/>
              <w:righ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15</w:t>
            </w:r>
          </w:p>
        </w:tc>
        <w:tc>
          <w:tcPr>
            <w:tcW w:w="1175" w:type="dxa"/>
            <w:tcBorders>
              <w:left w:val="single" w:sz="4" w:space="0" w:color="auto"/>
            </w:tcBorders>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20</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15</w:t>
            </w:r>
          </w:p>
        </w:tc>
        <w:tc>
          <w:tcPr>
            <w:tcW w:w="1243"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NA</w:t>
            </w:r>
          </w:p>
        </w:tc>
        <w:tc>
          <w:tcPr>
            <w:tcW w:w="1244" w:type="dxa"/>
            <w:shd w:val="clear" w:color="auto" w:fill="auto"/>
            <w:vAlign w:val="center"/>
          </w:tcPr>
          <w:p w:rsidR="004974BC" w:rsidRPr="00F06ECE" w:rsidP="00933418">
            <w:pPr>
              <w:widowControl/>
              <w:autoSpaceDE w:val="0"/>
              <w:autoSpaceDN w:val="0"/>
              <w:adjustRightInd w:val="0"/>
              <w:jc w:val="center"/>
              <w:rPr>
                <w:rFonts w:eastAsia="Calibri"/>
              </w:rPr>
            </w:pPr>
            <w:r w:rsidRPr="00F06ECE">
              <w:rPr>
                <w:rFonts w:eastAsia="Calibri"/>
              </w:rPr>
              <w:t>10</w:t>
            </w:r>
          </w:p>
        </w:tc>
      </w:tr>
    </w:tbl>
    <w:p w:rsidR="004974BC" w:rsidP="004974BC">
      <w:pPr>
        <w:pStyle w:val="ParaNum"/>
        <w:widowControl/>
        <w:numPr>
          <w:ilvl w:val="0"/>
          <w:numId w:val="0"/>
        </w:numPr>
      </w:pPr>
    </w:p>
    <w:p w:rsidR="004974BC" w:rsidP="004974BC">
      <w:pPr>
        <w:pStyle w:val="ParaNum"/>
        <w:widowControl/>
      </w:pPr>
      <w:r>
        <w:t>Although no commenters specifically address the costs and benefits of adopting the protected contour approach, the record demonstrates that the costs of the Commission’s requirements will be minimal.  For example, the cost of frequency coordination may increase because the new interference criteria are more complex to apply than the previous criteria.  Currently, frequency coordination fees are in the range of $300 per channel.</w:t>
      </w:r>
      <w:r>
        <w:rPr>
          <w:vertAlign w:val="superscript"/>
        </w:rPr>
        <w:footnoteReference w:id="95"/>
      </w:r>
      <w:r>
        <w:t xml:space="preserve">  Even if these fees were to increase substantially to accommodate the new interference criteria, they still would be nominal when viewed against the cost of equipment, which may cost thousands or tens of thousands of dollars.</w:t>
      </w:r>
      <w:r>
        <w:rPr>
          <w:rStyle w:val="FootnoteReference"/>
        </w:rPr>
        <w:footnoteReference w:id="96"/>
      </w:r>
    </w:p>
    <w:p w:rsidR="004974BC" w:rsidP="004974BC">
      <w:pPr>
        <w:pStyle w:val="ParaNum"/>
        <w:widowControl/>
      </w:pPr>
      <w:r>
        <w:t>The Commission sought comment on the bandwidth and emission mask limits applicable to the interstitial channels.</w:t>
      </w:r>
      <w:r>
        <w:rPr>
          <w:vertAlign w:val="superscript"/>
        </w:rPr>
        <w:footnoteReference w:id="97"/>
      </w:r>
      <w:r>
        <w:t xml:space="preserve">  We adopt a maximum authorized bandwidth of 11.25 kilohertz and apply the limits of emission mask D</w:t>
      </w:r>
      <w:r>
        <w:rPr>
          <w:rStyle w:val="FootnoteReference"/>
        </w:rPr>
        <w:footnoteReference w:id="98"/>
      </w:r>
      <w:r>
        <w:t xml:space="preserve"> to transmitters operating on the new interstitial 12.5 kilohertz offset channels in the 800 MHz Mid-Band, as proposed.  </w:t>
      </w:r>
      <w:r w:rsidRPr="00AD6443">
        <w:t>These parameters have worked well to limit interference in</w:t>
      </w:r>
      <w:r>
        <w:t xml:space="preserve"> other PLMR bands</w:t>
      </w:r>
      <w:r w:rsidRPr="00AD6443">
        <w:t>, and commenting parties agree these limits are appropriate for licensees operating on interstitial channels in the 800 MHz Mid-Band</w:t>
      </w:r>
      <w:r>
        <w:t>.</w:t>
      </w:r>
      <w:r>
        <w:rPr>
          <w:rStyle w:val="FootnoteReference"/>
        </w:rPr>
        <w:footnoteReference w:id="99"/>
      </w:r>
      <w:r>
        <w:t xml:space="preserve">  We update sections 90.209 (bandwidth limitations) and 90.210 (emission masks) of the Commission’s rules accordingly.</w:t>
      </w:r>
      <w:r>
        <w:rPr>
          <w:rStyle w:val="FootnoteReference"/>
        </w:rPr>
        <w:footnoteReference w:id="100"/>
      </w:r>
    </w:p>
    <w:p w:rsidR="004974BC" w:rsidRPr="00B071C6" w:rsidP="004974BC">
      <w:pPr>
        <w:pStyle w:val="ParaNum"/>
        <w:widowControl/>
      </w:pPr>
      <w:r>
        <w:t>We do not</w:t>
      </w:r>
      <w:r w:rsidRPr="00BD3147">
        <w:t xml:space="preserve">, however, </w:t>
      </w:r>
      <w:r>
        <w:t xml:space="preserve">change </w:t>
      </w:r>
      <w:r w:rsidRPr="00BD3147">
        <w:t>the technical specifications for transmitters designed to operate solely on the standard 25 kilohertz bandwidth channels in the 800 MHz Mid-Band.</w:t>
      </w:r>
      <w:r>
        <w:rPr>
          <w:rStyle w:val="FootnoteReference"/>
        </w:rPr>
        <w:footnoteReference w:id="101"/>
      </w:r>
      <w:r w:rsidRPr="003F6188">
        <w:t xml:space="preserve"> </w:t>
      </w:r>
      <w:r>
        <w:t xml:space="preserve"> </w:t>
      </w:r>
      <w:r w:rsidRPr="003F6188">
        <w:t xml:space="preserve">As of the effective date of this </w:t>
      </w:r>
      <w:r w:rsidRPr="003F6188">
        <w:rPr>
          <w:i/>
        </w:rPr>
        <w:t xml:space="preserve">Report and </w:t>
      </w:r>
      <w:r>
        <w:rPr>
          <w:i/>
        </w:rPr>
        <w:t xml:space="preserve">Order and </w:t>
      </w:r>
      <w:r w:rsidRPr="003F6188">
        <w:rPr>
          <w:i/>
        </w:rPr>
        <w:t>Order</w:t>
      </w:r>
      <w:r w:rsidRPr="003F6188">
        <w:t xml:space="preserve">, recognized </w:t>
      </w:r>
      <w:r w:rsidRPr="005F4BD9">
        <w:t>Telecommunications Certification Bodies</w:t>
      </w:r>
      <w:r w:rsidRPr="003F6188">
        <w:t xml:space="preserve"> </w:t>
      </w:r>
      <w:r w:rsidRPr="003F6188">
        <w:t xml:space="preserve">may accept applications for certification of transmitters designed to operate on the interstitial 12.5 </w:t>
      </w:r>
      <w:r w:rsidRPr="003F6188">
        <w:t xml:space="preserve">kilohertz bandwidth channels in the 800 MHz Mid-Band.  </w:t>
      </w:r>
      <w:r w:rsidRPr="005F4BD9">
        <w:t>Telecommunications Certification Bodies</w:t>
      </w:r>
      <w:r w:rsidRPr="003F6188">
        <w:t xml:space="preserve"> </w:t>
      </w:r>
      <w:r w:rsidRPr="003F6188">
        <w:t>may certify a transmitter for operation on the interstitial channels only if that transmitter meets the authorized bandwidth and emission mask limits we adopt h</w:t>
      </w:r>
      <w:r>
        <w:t>ere as well as other pertinent p</w:t>
      </w:r>
      <w:r w:rsidRPr="003F6188">
        <w:t>art 90 technical specifications.</w:t>
      </w:r>
    </w:p>
    <w:p w:rsidR="004974BC" w:rsidP="004974BC">
      <w:pPr>
        <w:pStyle w:val="ParaNum"/>
        <w:widowControl/>
      </w:pPr>
      <w:r>
        <w:rPr>
          <w:i/>
        </w:rPr>
        <w:t xml:space="preserve">Eligibility issues.  </w:t>
      </w:r>
      <w:r>
        <w:t>The Commission sought comment on eligibility criteria for the interstitial channels.</w:t>
      </w:r>
      <w:r>
        <w:rPr>
          <w:rStyle w:val="FootnoteReference"/>
        </w:rPr>
        <w:footnoteReference w:id="102"/>
      </w:r>
      <w:r>
        <w:t xml:space="preserve">  As noted above, channels in the 800 MHz Mid-Band currently fall into </w:t>
      </w:r>
      <w:r w:rsidRPr="00AD36BB">
        <w:t>four eligibility pools or categories</w:t>
      </w:r>
      <w:r>
        <w:t xml:space="preserve">:  </w:t>
      </w:r>
      <w:r w:rsidRPr="00AD36BB">
        <w:t>General Category, Public Safety, B/ILT, and high-site SMR</w:t>
      </w:r>
      <w:r>
        <w:t>.</w:t>
      </w:r>
      <w:r>
        <w:rPr>
          <w:rStyle w:val="FootnoteReference"/>
        </w:rPr>
        <w:footnoteReference w:id="103"/>
      </w:r>
      <w:r>
        <w:t xml:space="preserve">  Each category is subject to </w:t>
      </w:r>
      <w:r w:rsidRPr="00AD36BB">
        <w:t>specific eligibility</w:t>
      </w:r>
      <w:r>
        <w:t xml:space="preserve"> criteria.</w:t>
      </w:r>
      <w:r>
        <w:rPr>
          <w:rStyle w:val="FootnoteReference"/>
        </w:rPr>
        <w:footnoteReference w:id="104"/>
      </w:r>
      <w:r>
        <w:t xml:space="preserve">  </w:t>
      </w:r>
      <w:r w:rsidRPr="00EF153A">
        <w:t>The Commission requested comment on whether to assign eligibility for each interstitial channel based on the category of the lower-adjacent standard channel.</w:t>
      </w:r>
      <w:r>
        <w:rPr>
          <w:rStyle w:val="FootnoteReference"/>
        </w:rPr>
        <w:footnoteReference w:id="105"/>
      </w:r>
      <w:r w:rsidRPr="00EF153A">
        <w:t xml:space="preserve"> </w:t>
      </w:r>
      <w:r>
        <w:t xml:space="preserve"> The Commission also sought comment on whether public safety eligible entities should receive preferential or exclusive access to public safety category interstitial channels, particularly in markets where public safety licensees are </w:t>
      </w:r>
      <w:r w:rsidRPr="00532C9C">
        <w:rPr>
          <w:szCs w:val="22"/>
        </w:rPr>
        <w:t xml:space="preserve">required </w:t>
      </w:r>
      <w:r>
        <w:rPr>
          <w:szCs w:val="22"/>
        </w:rPr>
        <w:t>by the Spectrum Act</w:t>
      </w:r>
      <w:r>
        <w:rPr>
          <w:rStyle w:val="FootnoteReference"/>
        </w:rPr>
        <w:footnoteReference w:id="106"/>
      </w:r>
      <w:r>
        <w:t xml:space="preserve"> </w:t>
      </w:r>
      <w:r w:rsidRPr="00532C9C">
        <w:rPr>
          <w:szCs w:val="22"/>
        </w:rPr>
        <w:t xml:space="preserve">to vacate the </w:t>
      </w:r>
      <w:r>
        <w:rPr>
          <w:szCs w:val="22"/>
        </w:rPr>
        <w:t>T-Band</w:t>
      </w:r>
      <w:r w:rsidRPr="00532C9C">
        <w:rPr>
          <w:szCs w:val="22"/>
        </w:rPr>
        <w:t>.</w:t>
      </w:r>
      <w:r>
        <w:rPr>
          <w:rStyle w:val="FootnoteReference"/>
        </w:rPr>
        <w:footnoteReference w:id="107"/>
      </w:r>
      <w:r>
        <w:rPr>
          <w:szCs w:val="22"/>
        </w:rPr>
        <w:t xml:space="preserve">  The Utilities Telecom Council (UTC) </w:t>
      </w:r>
      <w:r w:rsidRPr="00EF153A">
        <w:rPr>
          <w:szCs w:val="22"/>
        </w:rPr>
        <w:t>suggest</w:t>
      </w:r>
      <w:r>
        <w:rPr>
          <w:szCs w:val="22"/>
        </w:rPr>
        <w:t>s</w:t>
      </w:r>
      <w:r w:rsidRPr="00EF153A">
        <w:rPr>
          <w:szCs w:val="22"/>
        </w:rPr>
        <w:t xml:space="preserve"> that we provide a “preference for utilities to access the int</w:t>
      </w:r>
      <w:r>
        <w:rPr>
          <w:szCs w:val="22"/>
        </w:rPr>
        <w:t xml:space="preserve">erstitial channels” and </w:t>
      </w:r>
      <w:r>
        <w:t xml:space="preserve">the </w:t>
      </w:r>
      <w:r w:rsidRPr="0007422F">
        <w:t>Michigan Public Safety Frequency Advisory Committee</w:t>
      </w:r>
      <w:r>
        <w:rPr>
          <w:szCs w:val="22"/>
        </w:rPr>
        <w:t xml:space="preserve"> (MPSFAC)</w:t>
      </w:r>
      <w:r w:rsidRPr="00EF153A">
        <w:rPr>
          <w:szCs w:val="22"/>
        </w:rPr>
        <w:t xml:space="preserve"> recommend</w:t>
      </w:r>
      <w:r>
        <w:rPr>
          <w:szCs w:val="22"/>
        </w:rPr>
        <w:t xml:space="preserve">s </w:t>
      </w:r>
      <w:r w:rsidRPr="00EF153A">
        <w:rPr>
          <w:szCs w:val="22"/>
        </w:rPr>
        <w:t>that we “grant public safety exclusive access” to the interstitial channels for “a period of at least five years.”</w:t>
      </w:r>
      <w:r>
        <w:rPr>
          <w:szCs w:val="22"/>
          <w:vertAlign w:val="superscript"/>
        </w:rPr>
        <w:footnoteReference w:id="108"/>
      </w:r>
      <w:r w:rsidRPr="00EF153A">
        <w:rPr>
          <w:szCs w:val="22"/>
        </w:rPr>
        <w:t xml:space="preserve">  </w:t>
      </w:r>
    </w:p>
    <w:p w:rsidR="004974BC" w:rsidP="004974BC">
      <w:pPr>
        <w:pStyle w:val="ParaNum"/>
        <w:widowControl/>
      </w:pPr>
      <w:r w:rsidRPr="00B007EF">
        <w:t xml:space="preserve">The Commission has already </w:t>
      </w:r>
      <w:r>
        <w:t xml:space="preserve">established standard channel allocations in the 800 MHz Mid-Band for </w:t>
      </w:r>
      <w:r w:rsidRPr="00B007EF">
        <w:t>General Category, Public Safety, B/ILT, and high-site SMR</w:t>
      </w:r>
      <w:r>
        <w:t>.</w:t>
      </w:r>
      <w:r>
        <w:rPr>
          <w:rStyle w:val="FootnoteReference"/>
        </w:rPr>
        <w:footnoteReference w:id="109"/>
      </w:r>
      <w:r>
        <w:t xml:space="preserve">  N</w:t>
      </w:r>
      <w:r w:rsidRPr="00EF153A">
        <w:t>o</w:t>
      </w:r>
      <w:r w:rsidRPr="00000A5D">
        <w:t xml:space="preserve"> party has </w:t>
      </w:r>
      <w:r>
        <w:t xml:space="preserve">presented </w:t>
      </w:r>
      <w:r w:rsidRPr="00000A5D">
        <w:t xml:space="preserve">a compelling </w:t>
      </w:r>
      <w:r>
        <w:t xml:space="preserve">case for abandoning </w:t>
      </w:r>
      <w:r w:rsidRPr="00000A5D">
        <w:t>the current allocation of 800 MHz Mid-Band spectrum among the four usage categories</w:t>
      </w:r>
      <w:r>
        <w:t xml:space="preserve">.  </w:t>
      </w:r>
      <w:r w:rsidRPr="00C82E23">
        <w:t xml:space="preserve">Although UTC and MPSFAC urge </w:t>
      </w:r>
      <w:r>
        <w:t xml:space="preserve">preferences that </w:t>
      </w:r>
      <w:r w:rsidRPr="00C82E23">
        <w:t>would benefit their constituencies, they have failed to show how the public interest would be advanced by so upsetting the allocation structure of the Mid-Band.</w:t>
      </w:r>
      <w:r>
        <w:t xml:space="preserve">  By contrast, w</w:t>
      </w:r>
      <w:r w:rsidRPr="003C4092">
        <w:t xml:space="preserve">e agree with commenting parties </w:t>
      </w:r>
      <w:r>
        <w:t>that</w:t>
      </w:r>
      <w:r w:rsidRPr="003C4092">
        <w:t xml:space="preserve"> support linking eligibility for </w:t>
      </w:r>
      <w:r>
        <w:t xml:space="preserve">each </w:t>
      </w:r>
      <w:r w:rsidRPr="003C4092">
        <w:t xml:space="preserve">interstitial channel to </w:t>
      </w:r>
      <w:r>
        <w:t xml:space="preserve">eligibility for </w:t>
      </w:r>
      <w:r w:rsidRPr="003C4092">
        <w:t>the lower-adjacent standard 25 kilohertz bandwidth channel</w:t>
      </w:r>
      <w:r>
        <w:t>.</w:t>
      </w:r>
      <w:r>
        <w:rPr>
          <w:rStyle w:val="FootnoteReference"/>
        </w:rPr>
        <w:footnoteReference w:id="110"/>
      </w:r>
      <w:r>
        <w:t xml:space="preserve">  This </w:t>
      </w:r>
      <w:r w:rsidRPr="003C4092">
        <w:t xml:space="preserve">reserves a set of interstitial channels for each </w:t>
      </w:r>
      <w:r>
        <w:t xml:space="preserve">of the four user </w:t>
      </w:r>
      <w:r w:rsidRPr="003C4092">
        <w:t>categor</w:t>
      </w:r>
      <w:r>
        <w:t>ies</w:t>
      </w:r>
      <w:r w:rsidRPr="003C4092">
        <w:t xml:space="preserve"> in the 800 MHz Mid-Band.</w:t>
      </w:r>
      <w:r w:rsidRPr="00000A5D">
        <w:t xml:space="preserve">  We retain that allocation </w:t>
      </w:r>
      <w:r>
        <w:t>and</w:t>
      </w:r>
      <w:r w:rsidRPr="00000A5D">
        <w:t xml:space="preserve"> assign</w:t>
      </w:r>
      <w:r>
        <w:t xml:space="preserve"> </w:t>
      </w:r>
      <w:r w:rsidRPr="003C4092">
        <w:t xml:space="preserve">eligibility for each interstitial channel based on the category of the lower-adjacent standard channel as proposed in the </w:t>
      </w:r>
      <w:r>
        <w:rPr>
          <w:i/>
        </w:rPr>
        <w:t xml:space="preserve">800 MHz Interstitial </w:t>
      </w:r>
      <w:r w:rsidRPr="006B6D89">
        <w:rPr>
          <w:i/>
        </w:rPr>
        <w:t>NPRM.</w:t>
      </w:r>
      <w:r>
        <w:rPr>
          <w:rStyle w:val="FootnoteReference"/>
        </w:rPr>
        <w:footnoteReference w:id="111"/>
      </w:r>
      <w:r w:rsidRPr="003C4092">
        <w:t xml:space="preserve"> </w:t>
      </w:r>
      <w:r>
        <w:t xml:space="preserve"> W</w:t>
      </w:r>
      <w:r w:rsidRPr="003C4092">
        <w:t xml:space="preserve">e </w:t>
      </w:r>
      <w:r w:rsidRPr="003C4092">
        <w:t>update our rules to reflect the addition of Mid-Band interstitial channels to each category or pool.</w:t>
      </w:r>
      <w:r>
        <w:rPr>
          <w:rStyle w:val="FootnoteReference"/>
        </w:rPr>
        <w:footnoteReference w:id="112"/>
      </w:r>
      <w:r>
        <w:t xml:space="preserve">  A</w:t>
      </w:r>
      <w:r w:rsidRPr="00C82E23">
        <w:t>s suggested by SouthernLINC</w:t>
      </w:r>
      <w:r>
        <w:t>, we also</w:t>
      </w:r>
      <w:r w:rsidRPr="00C82E23">
        <w:t xml:space="preserve"> correct the headers to several tables in our rules listing pool channels.  These updated headers more accurately reflect the frequency range of the Mid-Band in portions of the United States where t</w:t>
      </w:r>
      <w:r>
        <w:t>here are extended ESMR segments.</w:t>
      </w:r>
      <w:r>
        <w:rPr>
          <w:rStyle w:val="FootnoteReference"/>
        </w:rPr>
        <w:footnoteReference w:id="113"/>
      </w:r>
    </w:p>
    <w:p w:rsidR="004974BC" w:rsidP="004974BC">
      <w:pPr>
        <w:pStyle w:val="ParaNum"/>
        <w:widowControl/>
      </w:pPr>
      <w:bookmarkStart w:id="45" w:name="_Ref498589139"/>
      <w:r>
        <w:t xml:space="preserve">In sum, we find that the existing reservation of channels as between the General Category, Public Safety, high-site SMR, and B/ILT classifications has proven equitable over time, and no party presents convincing evidence that it should be changed merely because interstitial channels are being introduced into the 800 MHz band.  </w:t>
      </w:r>
    </w:p>
    <w:p w:rsidR="004974BC" w:rsidRPr="003B0775" w:rsidP="004974BC">
      <w:pPr>
        <w:pStyle w:val="ParaNum"/>
        <w:widowControl/>
      </w:pPr>
      <w:r w:rsidRPr="003B0775">
        <w:t xml:space="preserve">For a three-year period, </w:t>
      </w:r>
      <w:r w:rsidRPr="00980393">
        <w:t xml:space="preserve">however, we afford priority access to 800 MHz Mid-Band interstitial channels to T-Band incumbents in the urban areas specified in section </w:t>
      </w:r>
      <w:r w:rsidRPr="00EC64F4">
        <w:t>90.303 of the Commission’s rules.</w:t>
      </w:r>
      <w:r>
        <w:rPr>
          <w:rStyle w:val="FootnoteReference"/>
        </w:rPr>
        <w:footnoteReference w:id="114"/>
      </w:r>
      <w:r w:rsidRPr="003B0775">
        <w:t xml:space="preserve">  In this context,</w:t>
      </w:r>
      <w:r w:rsidRPr="00980393">
        <w:t xml:space="preserve"> priority access means that if a T-Band licensee and another—non-T-Band</w:t>
      </w:r>
      <w:r w:rsidRPr="00EC64F4">
        <w:t xml:space="preserve">—applicant timely file for the same frequency, and the frequency conflict cannot be resolved by the Commission-certified frequency coordinator, the frequency coordinator shall recommend the T-Band licensee’s application to the Commission.  To be eligible for priority, the T-Band incumbent licensee must commit to surrendering an equal amount of T-Band spectrum.  Channels from the 470-512 MHz band will be counted on a one-for-one basis for 12.5 kilohertz bandwidth interstitial channels from the 800 MHz Mid-Band.  Our action is similar to the Commission giving </w:t>
      </w:r>
      <w:r w:rsidRPr="00935433">
        <w:t xml:space="preserve">public safety </w:t>
      </w:r>
      <w:r w:rsidRPr="003B0775">
        <w:t>T-Band incumbents priority access to the former Reserve Channels in the 700 MHz band.</w:t>
      </w:r>
      <w:r>
        <w:rPr>
          <w:vertAlign w:val="superscript"/>
        </w:rPr>
        <w:footnoteReference w:id="115"/>
      </w:r>
      <w:r w:rsidRPr="003B0775">
        <w:t xml:space="preserve"> </w:t>
      </w:r>
      <w:bookmarkEnd w:id="45"/>
      <w:r w:rsidRPr="003B0775">
        <w:t xml:space="preserve"> </w:t>
      </w:r>
    </w:p>
    <w:p w:rsidR="004974BC" w:rsidP="004974BC">
      <w:pPr>
        <w:pStyle w:val="ParaNum"/>
        <w:widowControl/>
      </w:pPr>
      <w:r>
        <w:t>Although the National Public Safety Telecommunications Council claims that interstitial channels will not provide “</w:t>
      </w:r>
      <w:r w:rsidRPr="009F4111">
        <w:t>significant opportunities for relocation of T-Band operations in most T-Band areas</w:t>
      </w:r>
      <w:r>
        <w:t>” because applicants seeking to license interstitial channels must maintain geographic separation from incumbents operating on the standard 25 kilohertz bandwidth channels,”</w:t>
      </w:r>
      <w:r>
        <w:rPr>
          <w:rStyle w:val="FootnoteReference"/>
        </w:rPr>
        <w:footnoteReference w:id="116"/>
      </w:r>
      <w:r>
        <w:t xml:space="preserve"> we agree with APCO that, even if </w:t>
      </w:r>
      <w:r w:rsidRPr="00A3656A">
        <w:t>the number of new interstitial channels in spectrum-congested markets will be “relatively small</w:t>
      </w:r>
      <w:r>
        <w:t>,</w:t>
      </w:r>
      <w:r w:rsidRPr="00A3656A">
        <w:t>” a limited preference can “</w:t>
      </w:r>
      <w:bookmarkStart w:id="46" w:name="MJW"/>
      <w:r w:rsidRPr="00A3656A">
        <w:t xml:space="preserve">provide partial relief for public safety licensees </w:t>
      </w:r>
      <w:bookmarkEnd w:id="46"/>
      <w:r w:rsidRPr="00A3656A">
        <w:t>required to relinquish their T-Band spectrum.”</w:t>
      </w:r>
      <w:r>
        <w:rPr>
          <w:rStyle w:val="FootnoteReference"/>
        </w:rPr>
        <w:footnoteReference w:id="117"/>
      </w:r>
      <w:r w:rsidRPr="00A3656A">
        <w:t xml:space="preserve"> </w:t>
      </w:r>
      <w:r w:rsidRPr="003C4092">
        <w:t xml:space="preserve"> </w:t>
      </w:r>
    </w:p>
    <w:p w:rsidR="004974BC" w:rsidRPr="00B071C6" w:rsidP="004974BC">
      <w:pPr>
        <w:pStyle w:val="ParaNum"/>
        <w:widowControl/>
      </w:pPr>
      <w:r>
        <w:t>Finally, we find speculative EWA’s warning of a “land rush” by what it considers “unqualified, entirely speculative applicants,”</w:t>
      </w:r>
      <w:r>
        <w:rPr>
          <w:rStyle w:val="FootnoteReference"/>
        </w:rPr>
        <w:footnoteReference w:id="118"/>
      </w:r>
      <w:r>
        <w:t xml:space="preserve"> and reject its suggestion that the Commission “convene </w:t>
      </w:r>
      <w:r>
        <w:t>an industry meeting to address this matter” before any interstitial channels are made available.</w:t>
      </w:r>
      <w:r>
        <w:rPr>
          <w:rStyle w:val="FootnoteReference"/>
        </w:rPr>
        <w:footnoteReference w:id="119"/>
      </w:r>
      <w:r>
        <w:t xml:space="preserve">  Bureau staff routinely reviews applications to verify qualifications.  Should EWA or other parties identify specific instances of unqualified applicants, we will not hesitate to investigate, and, if warranted, deny their applications.</w:t>
      </w:r>
    </w:p>
    <w:p w:rsidR="004974BC" w:rsidP="004974BC">
      <w:pPr>
        <w:pStyle w:val="Heading3"/>
        <w:widowControl/>
      </w:pPr>
      <w:bookmarkEnd w:id="33"/>
      <w:r>
        <w:t>Licensing Additional 800 MHz Channels</w:t>
      </w:r>
    </w:p>
    <w:p w:rsidR="004974BC" w:rsidRPr="00BC22F8" w:rsidP="004974BC">
      <w:pPr>
        <w:pStyle w:val="ParaNum"/>
        <w:widowControl/>
        <w:rPr>
          <w:szCs w:val="22"/>
        </w:rPr>
      </w:pPr>
      <w:r>
        <w:t xml:space="preserve">In this section, we take actions to clear the way for licensing of 800 MHz channels in additional NPSPAC regions.  First, we address a petition filed by LMCC that </w:t>
      </w:r>
      <w:r w:rsidRPr="00BC22F8">
        <w:rPr>
          <w:szCs w:val="22"/>
        </w:rPr>
        <w:t xml:space="preserve">proposes filing priority for incumbent licensees to apply for 800 MHz </w:t>
      </w:r>
      <w:r>
        <w:rPr>
          <w:szCs w:val="22"/>
        </w:rPr>
        <w:t>Expansion Band (</w:t>
      </w:r>
      <w:r w:rsidRPr="00BC22F8">
        <w:rPr>
          <w:szCs w:val="22"/>
        </w:rPr>
        <w:t>EB</w:t>
      </w:r>
      <w:r>
        <w:rPr>
          <w:szCs w:val="22"/>
        </w:rPr>
        <w:t>)</w:t>
      </w:r>
      <w:r w:rsidRPr="00BC22F8">
        <w:rPr>
          <w:szCs w:val="22"/>
        </w:rPr>
        <w:t xml:space="preserve"> and </w:t>
      </w:r>
      <w:r>
        <w:rPr>
          <w:szCs w:val="22"/>
        </w:rPr>
        <w:t>Guard Band (</w:t>
      </w:r>
      <w:r w:rsidRPr="00BC22F8">
        <w:rPr>
          <w:szCs w:val="22"/>
        </w:rPr>
        <w:t>GB</w:t>
      </w:r>
      <w:r>
        <w:rPr>
          <w:szCs w:val="22"/>
        </w:rPr>
        <w:t>)</w:t>
      </w:r>
      <w:r w:rsidRPr="00BC22F8">
        <w:rPr>
          <w:szCs w:val="22"/>
        </w:rPr>
        <w:t xml:space="preserve"> frequencies before the frequencies are made available to new applicants.  As explained below, we deny the request.  </w:t>
      </w:r>
      <w:r>
        <w:rPr>
          <w:szCs w:val="22"/>
        </w:rPr>
        <w:t>This action permits the release of EB/GB channels in regions where licensing was deferred pending resolution of the petition.  We also announce the completion of rebanding in additional NPSPAC regions, which will allow us to commence licensing those 800 MHz channels.</w:t>
      </w:r>
    </w:p>
    <w:p w:rsidR="004974BC" w:rsidP="004974BC">
      <w:pPr>
        <w:pStyle w:val="ParaNum"/>
        <w:widowControl/>
        <w:rPr>
          <w:szCs w:val="22"/>
        </w:rPr>
      </w:pPr>
      <w:r>
        <w:rPr>
          <w:i/>
          <w:szCs w:val="22"/>
        </w:rPr>
        <w:t xml:space="preserve">800 MHz band incumbent priority.  </w:t>
      </w:r>
      <w:r w:rsidRPr="00C8405D">
        <w:rPr>
          <w:szCs w:val="22"/>
        </w:rPr>
        <w:t xml:space="preserve">As part of </w:t>
      </w:r>
      <w:r>
        <w:rPr>
          <w:szCs w:val="22"/>
        </w:rPr>
        <w:t xml:space="preserve">800 MHz rebanding, </w:t>
      </w:r>
      <w:r w:rsidRPr="00C8405D">
        <w:rPr>
          <w:szCs w:val="22"/>
        </w:rPr>
        <w:t xml:space="preserve">the Commission created the Expansion (815-816/860-861 MHz) and Guard (816-817/861-862 MHz) Bands </w:t>
      </w:r>
      <w:r>
        <w:rPr>
          <w:szCs w:val="22"/>
        </w:rPr>
        <w:t xml:space="preserve">as “buffers” </w:t>
      </w:r>
      <w:r w:rsidRPr="00C8405D">
        <w:rPr>
          <w:szCs w:val="22"/>
        </w:rPr>
        <w:t>to provide spectral separation between</w:t>
      </w:r>
      <w:r>
        <w:rPr>
          <w:szCs w:val="22"/>
        </w:rPr>
        <w:t xml:space="preserve"> low-site</w:t>
      </w:r>
      <w:r>
        <w:rPr>
          <w:rStyle w:val="FootnoteReference"/>
          <w:szCs w:val="22"/>
        </w:rPr>
        <w:footnoteReference w:id="120"/>
      </w:r>
      <w:r w:rsidRPr="00C8405D">
        <w:rPr>
          <w:szCs w:val="22"/>
        </w:rPr>
        <w:t xml:space="preserve"> commercial licensees operating </w:t>
      </w:r>
      <w:r>
        <w:rPr>
          <w:szCs w:val="22"/>
        </w:rPr>
        <w:t>cellular architecture</w:t>
      </w:r>
      <w:r w:rsidRPr="00C8405D">
        <w:rPr>
          <w:szCs w:val="22"/>
        </w:rPr>
        <w:t xml:space="preserve"> systems above 817/862 MHz and </w:t>
      </w:r>
      <w:r>
        <w:rPr>
          <w:szCs w:val="22"/>
        </w:rPr>
        <w:t>high-site</w:t>
      </w:r>
      <w:r w:rsidRPr="00C8405D">
        <w:rPr>
          <w:szCs w:val="22"/>
        </w:rPr>
        <w:t xml:space="preserve"> licensees</w:t>
      </w:r>
      <w:r>
        <w:rPr>
          <w:rStyle w:val="FootnoteReference"/>
          <w:szCs w:val="22"/>
        </w:rPr>
        <w:footnoteReference w:id="121"/>
      </w:r>
      <w:r w:rsidRPr="00C8405D">
        <w:rPr>
          <w:szCs w:val="22"/>
        </w:rPr>
        <w:t xml:space="preserve"> operating below 815/860 MHz.</w:t>
      </w:r>
      <w:r>
        <w:rPr>
          <w:rStyle w:val="FootnoteReference"/>
          <w:szCs w:val="22"/>
        </w:rPr>
        <w:footnoteReference w:id="122"/>
      </w:r>
      <w:r w:rsidRPr="00C8405D">
        <w:rPr>
          <w:szCs w:val="22"/>
        </w:rPr>
        <w:t xml:space="preserve">  Of the 40 EB channels, 28 are designated for </w:t>
      </w:r>
      <w:r>
        <w:t>SMR</w:t>
      </w:r>
      <w:r w:rsidRPr="006E67A9">
        <w:rPr>
          <w:szCs w:val="22"/>
        </w:rPr>
        <w:t xml:space="preserve"> </w:t>
      </w:r>
      <w:r w:rsidRPr="00C8405D">
        <w:rPr>
          <w:szCs w:val="22"/>
        </w:rPr>
        <w:t>stations</w:t>
      </w:r>
      <w:r>
        <w:rPr>
          <w:szCs w:val="22"/>
        </w:rPr>
        <w:t>,</w:t>
      </w:r>
      <w:r w:rsidRPr="00C8405D">
        <w:rPr>
          <w:szCs w:val="22"/>
        </w:rPr>
        <w:t xml:space="preserve"> and the remainder are designated for </w:t>
      </w:r>
      <w:r w:rsidRPr="00AD36BB">
        <w:t>B/ILT</w:t>
      </w:r>
      <w:r>
        <w:t xml:space="preserve"> </w:t>
      </w:r>
      <w:r w:rsidRPr="00C8405D">
        <w:rPr>
          <w:szCs w:val="22"/>
        </w:rPr>
        <w:t>Pool eligibles.</w:t>
      </w:r>
      <w:r>
        <w:rPr>
          <w:rStyle w:val="FootnoteReference"/>
          <w:szCs w:val="22"/>
        </w:rPr>
        <w:footnoteReference w:id="123"/>
      </w:r>
      <w:r w:rsidRPr="00C8405D">
        <w:rPr>
          <w:szCs w:val="22"/>
        </w:rPr>
        <w:t xml:space="preserve">  </w:t>
      </w:r>
      <w:r>
        <w:t xml:space="preserve">The 40 </w:t>
      </w:r>
      <w:r w:rsidRPr="00C8405D">
        <w:rPr>
          <w:szCs w:val="22"/>
        </w:rPr>
        <w:t>GB channels are in the General Pool and thus are available for Public Safety, B/ILT, and SMR operations.</w:t>
      </w:r>
      <w:r>
        <w:rPr>
          <w:rStyle w:val="FootnoteReference"/>
          <w:szCs w:val="22"/>
        </w:rPr>
        <w:footnoteReference w:id="124"/>
      </w:r>
      <w:r w:rsidRPr="00C8405D">
        <w:rPr>
          <w:szCs w:val="22"/>
        </w:rPr>
        <w:t xml:space="preserve">  </w:t>
      </w:r>
    </w:p>
    <w:p w:rsidR="004974BC" w:rsidP="004974BC">
      <w:pPr>
        <w:pStyle w:val="ParaNum"/>
        <w:widowControl/>
        <w:rPr>
          <w:szCs w:val="22"/>
        </w:rPr>
      </w:pPr>
      <w:r>
        <w:rPr>
          <w:szCs w:val="22"/>
        </w:rPr>
        <w:t xml:space="preserve">In 2014, </w:t>
      </w:r>
      <w:r w:rsidRPr="00C8405D">
        <w:rPr>
          <w:szCs w:val="22"/>
        </w:rPr>
        <w:t>LMCC petitioned the Commission to provide a six-month window for incumbent 800 MHz licensees in a market to acquire EB/GB channels to expand existing systems before accepting applications from new entrants.</w:t>
      </w:r>
      <w:r>
        <w:rPr>
          <w:rStyle w:val="FootnoteReference"/>
          <w:szCs w:val="22"/>
        </w:rPr>
        <w:footnoteReference w:id="125"/>
      </w:r>
      <w:r w:rsidRPr="00C8405D">
        <w:rPr>
          <w:szCs w:val="22"/>
        </w:rPr>
        <w:t xml:space="preserve">  In the </w:t>
      </w:r>
      <w:r w:rsidRPr="00C8405D">
        <w:rPr>
          <w:i/>
          <w:szCs w:val="22"/>
        </w:rPr>
        <w:t>PLMR Access NPRM</w:t>
      </w:r>
      <w:r w:rsidRPr="00C8405D">
        <w:rPr>
          <w:szCs w:val="22"/>
        </w:rPr>
        <w:t>, the Commission proposed to adopt LMCC’s suggestion in part</w:t>
      </w:r>
      <w:r>
        <w:rPr>
          <w:szCs w:val="22"/>
        </w:rPr>
        <w:t xml:space="preserve">:  It </w:t>
      </w:r>
      <w:r w:rsidRPr="00C8405D">
        <w:rPr>
          <w:szCs w:val="22"/>
        </w:rPr>
        <w:t xml:space="preserve">proposed to provide a window for incumbent 800 MHz licensees in a market to acquire or expand coverage on </w:t>
      </w:r>
      <w:r>
        <w:rPr>
          <w:szCs w:val="22"/>
        </w:rPr>
        <w:t xml:space="preserve">the 12 </w:t>
      </w:r>
      <w:r w:rsidRPr="00C8405D">
        <w:rPr>
          <w:szCs w:val="22"/>
        </w:rPr>
        <w:t>EB B/ILT channels before accepting applications from new entrants.</w:t>
      </w:r>
      <w:r>
        <w:rPr>
          <w:rStyle w:val="FootnoteReference"/>
          <w:szCs w:val="22"/>
        </w:rPr>
        <w:footnoteReference w:id="126"/>
      </w:r>
      <w:r w:rsidRPr="00C8405D">
        <w:rPr>
          <w:szCs w:val="22"/>
        </w:rPr>
        <w:t xml:space="preserve">  </w:t>
      </w:r>
      <w:r>
        <w:rPr>
          <w:szCs w:val="22"/>
        </w:rPr>
        <w:t xml:space="preserve">The Commission expected </w:t>
      </w:r>
      <w:r w:rsidRPr="00C8405D">
        <w:rPr>
          <w:szCs w:val="22"/>
        </w:rPr>
        <w:t xml:space="preserve">that these incumbent licensees </w:t>
      </w:r>
      <w:r>
        <w:rPr>
          <w:szCs w:val="22"/>
        </w:rPr>
        <w:t>were</w:t>
      </w:r>
      <w:r w:rsidRPr="00C8405D">
        <w:rPr>
          <w:szCs w:val="22"/>
        </w:rPr>
        <w:t xml:space="preserve"> unlikely to acquire </w:t>
      </w:r>
      <w:r w:rsidRPr="00C8405D">
        <w:rPr>
          <w:szCs w:val="22"/>
        </w:rPr>
        <w:t xml:space="preserve">spectrum for other than operational purposes and </w:t>
      </w:r>
      <w:r>
        <w:rPr>
          <w:szCs w:val="22"/>
        </w:rPr>
        <w:t xml:space="preserve">would </w:t>
      </w:r>
      <w:r w:rsidRPr="00C8405D">
        <w:rPr>
          <w:szCs w:val="22"/>
        </w:rPr>
        <w:t>put additional channels into service promptly to meet existing needs.</w:t>
      </w:r>
      <w:r>
        <w:rPr>
          <w:rStyle w:val="FootnoteReference"/>
          <w:szCs w:val="22"/>
        </w:rPr>
        <w:footnoteReference w:id="127"/>
      </w:r>
      <w:r w:rsidRPr="00C8405D">
        <w:rPr>
          <w:szCs w:val="22"/>
        </w:rPr>
        <w:t xml:space="preserve">  The Commission declined, however, to propose to afford </w:t>
      </w:r>
      <w:r>
        <w:rPr>
          <w:szCs w:val="22"/>
        </w:rPr>
        <w:t xml:space="preserve">incumbent </w:t>
      </w:r>
      <w:r w:rsidRPr="00C8405D">
        <w:rPr>
          <w:szCs w:val="22"/>
        </w:rPr>
        <w:t xml:space="preserve">priority for </w:t>
      </w:r>
      <w:r>
        <w:rPr>
          <w:szCs w:val="22"/>
        </w:rPr>
        <w:t xml:space="preserve">the 28 </w:t>
      </w:r>
      <w:r w:rsidRPr="00C8405D">
        <w:rPr>
          <w:szCs w:val="22"/>
        </w:rPr>
        <w:t>EB SMR channels.</w:t>
      </w:r>
      <w:r>
        <w:rPr>
          <w:rStyle w:val="FootnoteReference"/>
          <w:szCs w:val="22"/>
        </w:rPr>
        <w:footnoteReference w:id="128"/>
      </w:r>
      <w:r w:rsidRPr="00C8405D">
        <w:rPr>
          <w:szCs w:val="22"/>
        </w:rPr>
        <w:t xml:space="preserve"> </w:t>
      </w:r>
    </w:p>
    <w:p w:rsidR="004974BC" w:rsidP="004974BC">
      <w:pPr>
        <w:pStyle w:val="ParaNum"/>
        <w:widowControl/>
        <w:rPr>
          <w:szCs w:val="22"/>
        </w:rPr>
      </w:pPr>
      <w:r>
        <w:t>EWA argues that SMR incumbents need channels to expand existing systems to meet customer demand,</w:t>
      </w:r>
      <w:r>
        <w:rPr>
          <w:rStyle w:val="FootnoteReference"/>
        </w:rPr>
        <w:footnoteReference w:id="129"/>
      </w:r>
      <w:r>
        <w:t xml:space="preserve"> but m</w:t>
      </w:r>
      <w:r w:rsidRPr="0088347F">
        <w:t>ost commenters agree with the Commission</w:t>
      </w:r>
      <w:r>
        <w:t xml:space="preserve"> </w:t>
      </w:r>
      <w:r w:rsidRPr="0088347F">
        <w:t>that</w:t>
      </w:r>
      <w:r>
        <w:t xml:space="preserve"> </w:t>
      </w:r>
      <w:r w:rsidRPr="0088347F">
        <w:t xml:space="preserve">SMR incumbents and new licensees have the same economic </w:t>
      </w:r>
      <w:r>
        <w:t>incentives</w:t>
      </w:r>
      <w:r w:rsidRPr="0088347F">
        <w:t xml:space="preserve"> to u</w:t>
      </w:r>
      <w:r>
        <w:t>se</w:t>
      </w:r>
      <w:r w:rsidRPr="0088347F">
        <w:t xml:space="preserve"> the spectrum in a timely manner</w:t>
      </w:r>
      <w:r>
        <w:t xml:space="preserve">, so they </w:t>
      </w:r>
      <w:r w:rsidRPr="0088347F">
        <w:t xml:space="preserve">should be treated similarly </w:t>
      </w:r>
      <w:r>
        <w:t>and</w:t>
      </w:r>
      <w:r w:rsidRPr="0088347F">
        <w:t xml:space="preserve"> 800 MHz </w:t>
      </w:r>
      <w:r>
        <w:t xml:space="preserve">SMR </w:t>
      </w:r>
      <w:r w:rsidRPr="0088347F">
        <w:t>incumbents should not be afforded priority for EB SMR channels.</w:t>
      </w:r>
      <w:r>
        <w:rPr>
          <w:rStyle w:val="FootnoteReference"/>
          <w:szCs w:val="22"/>
        </w:rPr>
        <w:footnoteReference w:id="130"/>
      </w:r>
      <w:r w:rsidRPr="0088347F">
        <w:t xml:space="preserve">  </w:t>
      </w:r>
      <w:r>
        <w:t>We conclude that the success or failure of commercial services should be determined in the marketplace without affording certain competitors an undue regulatory advantage.</w:t>
      </w:r>
      <w:r>
        <w:rPr>
          <w:rStyle w:val="FootnoteReference"/>
        </w:rPr>
        <w:footnoteReference w:id="131"/>
      </w:r>
      <w:r>
        <w:t xml:space="preserve">   Therefore, w</w:t>
      </w:r>
      <w:r w:rsidRPr="005E282C">
        <w:t>e</w:t>
      </w:r>
      <w:r>
        <w:t xml:space="preserve"> decline to afford incumbent priority for EB SMR channels.  </w:t>
      </w:r>
      <w:r>
        <w:rPr>
          <w:szCs w:val="22"/>
        </w:rPr>
        <w:t xml:space="preserve">In addition, we </w:t>
      </w:r>
      <w:r w:rsidRPr="00C8405D">
        <w:rPr>
          <w:szCs w:val="22"/>
        </w:rPr>
        <w:t xml:space="preserve">agree with the majority of commenters </w:t>
      </w:r>
      <w:r>
        <w:rPr>
          <w:szCs w:val="22"/>
        </w:rPr>
        <w:t xml:space="preserve">that </w:t>
      </w:r>
      <w:r w:rsidRPr="00C8405D">
        <w:rPr>
          <w:szCs w:val="22"/>
        </w:rPr>
        <w:t>filing priority also is not justified for 800 MHz incumbents seeking GB channels, because it will hamper or even bar new competitors and services in areas of high spectrum demand.</w:t>
      </w:r>
      <w:r>
        <w:rPr>
          <w:rStyle w:val="FootnoteReference"/>
          <w:szCs w:val="22"/>
        </w:rPr>
        <w:footnoteReference w:id="132"/>
      </w:r>
    </w:p>
    <w:p w:rsidR="004974BC" w:rsidRPr="0033124E" w:rsidP="004974BC">
      <w:pPr>
        <w:pStyle w:val="ParaNum"/>
        <w:widowControl/>
        <w:rPr>
          <w:szCs w:val="22"/>
        </w:rPr>
      </w:pPr>
      <w:r>
        <w:t xml:space="preserve">In addition, we decline to adopt </w:t>
      </w:r>
      <w:r w:rsidRPr="00C8405D">
        <w:rPr>
          <w:szCs w:val="22"/>
        </w:rPr>
        <w:t xml:space="preserve">the proposal to afford priority to 800 MHz incumbents for EB B/ILT channels.  </w:t>
      </w:r>
      <w:r>
        <w:rPr>
          <w:szCs w:val="22"/>
        </w:rPr>
        <w:t>Commenters opposing the proposal argue</w:t>
      </w:r>
      <w:r w:rsidRPr="00C8405D">
        <w:t xml:space="preserve"> that</w:t>
      </w:r>
      <w:r>
        <w:t xml:space="preserve"> incumbent priority</w:t>
      </w:r>
      <w:r w:rsidRPr="00C8405D">
        <w:t xml:space="preserve"> is not supported by any distinction between PLMR and </w:t>
      </w:r>
      <w:r>
        <w:t xml:space="preserve">commercial </w:t>
      </w:r>
      <w:r w:rsidRPr="00C8405D">
        <w:t xml:space="preserve">licensees </w:t>
      </w:r>
      <w:r>
        <w:t>(</w:t>
      </w:r>
      <w:r w:rsidRPr="00C8405D">
        <w:t xml:space="preserve">because all businesses compete </w:t>
      </w:r>
      <w:r w:rsidRPr="00C8405D">
        <w:t>for customers, and</w:t>
      </w:r>
      <w:r>
        <w:t xml:space="preserve"> therefore all have an economic incentive to use spectrum effectively and efficiently), and</w:t>
      </w:r>
      <w:r w:rsidRPr="00C8405D">
        <w:t xml:space="preserve"> that a preference for incumbents would contravene the Commission’s</w:t>
      </w:r>
      <w:r>
        <w:t xml:space="preserve"> general</w:t>
      </w:r>
      <w:r w:rsidRPr="00C8405D">
        <w:t xml:space="preserve"> </w:t>
      </w:r>
      <w:r>
        <w:t>policy of assigning spectrum through mechanisms that do not favor some applicants over others</w:t>
      </w:r>
      <w:r w:rsidRPr="00C8405D">
        <w:t>.</w:t>
      </w:r>
      <w:r>
        <w:rPr>
          <w:rStyle w:val="FootnoteReference"/>
          <w:szCs w:val="22"/>
        </w:rPr>
        <w:footnoteReference w:id="133"/>
      </w:r>
      <w:r w:rsidRPr="00C8405D">
        <w:t xml:space="preserve">  Even</w:t>
      </w:r>
      <w:r>
        <w:t xml:space="preserve"> some commenters that support the proposal recognize</w:t>
      </w:r>
      <w:r w:rsidRPr="0088347F">
        <w:t xml:space="preserve"> that there is </w:t>
      </w:r>
      <w:r>
        <w:t>no more</w:t>
      </w:r>
      <w:r w:rsidRPr="0088347F">
        <w:t xml:space="preserve"> </w:t>
      </w:r>
      <w:r>
        <w:t xml:space="preserve">public </w:t>
      </w:r>
      <w:r w:rsidRPr="0088347F">
        <w:t xml:space="preserve">interest in </w:t>
      </w:r>
      <w:r>
        <w:t xml:space="preserve">favoring incumbent </w:t>
      </w:r>
      <w:r w:rsidRPr="0088347F">
        <w:t xml:space="preserve">B/ILT systems and services </w:t>
      </w:r>
      <w:r>
        <w:t>than in favoring incumbent</w:t>
      </w:r>
      <w:r w:rsidRPr="0088347F">
        <w:t xml:space="preserve"> SMR systems and services.</w:t>
      </w:r>
      <w:r>
        <w:rPr>
          <w:rStyle w:val="FootnoteReference"/>
          <w:szCs w:val="22"/>
        </w:rPr>
        <w:footnoteReference w:id="134"/>
      </w:r>
      <w:r w:rsidRPr="0088347F">
        <w:t xml:space="preserve">  </w:t>
      </w:r>
      <w:r>
        <w:t>We therefore conclude that we should treat incumbent priority for B/ILT and SMR systems equally and not provide for priority in either case.</w:t>
      </w:r>
      <w:r>
        <w:rPr>
          <w:rStyle w:val="FootnoteReference"/>
        </w:rPr>
        <w:t xml:space="preserve"> </w:t>
      </w:r>
      <w:r>
        <w:t xml:space="preserve">  Because </w:t>
      </w:r>
      <w:r w:rsidRPr="005608C8">
        <w:t xml:space="preserve">the 12 EB B/ILT channels constitute only 15% of the EB/GB channels and are already scarce in some areas, we agree with PLMR frequency coordinators that priority access for just this small portion of the spectrum would not provide </w:t>
      </w:r>
      <w:r>
        <w:t xml:space="preserve">sufficient </w:t>
      </w:r>
      <w:r w:rsidRPr="005608C8">
        <w:t>relief for B/ILT incumbents to merit further complicating the already-complex 800 MHz licensing regime.</w:t>
      </w:r>
      <w:r>
        <w:rPr>
          <w:rStyle w:val="FootnoteReference"/>
        </w:rPr>
        <w:footnoteReference w:id="135"/>
      </w:r>
      <w:r>
        <w:t xml:space="preserve">  </w:t>
      </w:r>
    </w:p>
    <w:p w:rsidR="004974BC" w:rsidP="004974BC">
      <w:pPr>
        <w:pStyle w:val="ParaNum"/>
        <w:widowControl/>
      </w:pPr>
      <w:r w:rsidRPr="00B071C6">
        <w:t>Finally, we are not persuaded by EWA’s suggestion that we impose additional conditions on EB/GB licensees to deter warehousing and encourage spectral efficiency</w:t>
      </w:r>
      <w:r>
        <w:t>.  T</w:t>
      </w:r>
      <w:r w:rsidRPr="0016305D">
        <w:t xml:space="preserve">o the extent that EWA’s proposal applies to licensees that obtain EB/GB channels outside the six-month window proposed in the </w:t>
      </w:r>
      <w:r w:rsidRPr="0016305D">
        <w:rPr>
          <w:i/>
        </w:rPr>
        <w:t>PLMR Access NPRM</w:t>
      </w:r>
      <w:r w:rsidRPr="0016305D">
        <w:t>, EWA’s proposal is beyond the scope of this proceeding, as is its suggestion that we amend section 90.617(g) of the rules to eliminate public safety applicants’ priority for Sprint-vacated channels in the Interleaved Band.</w:t>
      </w:r>
      <w:r>
        <w:rPr>
          <w:vertAlign w:val="superscript"/>
        </w:rPr>
        <w:footnoteReference w:id="136"/>
      </w:r>
      <w:r w:rsidRPr="0016305D">
        <w:t xml:space="preserve"> </w:t>
      </w:r>
      <w:r>
        <w:t xml:space="preserve"> Moreover, as to future EB/GB applications, the Commission will enforce its construction deadline rules in the same manner as it enforces them in other parts of the spectrum. </w:t>
      </w:r>
    </w:p>
    <w:p w:rsidR="004974BC" w:rsidP="004974BC">
      <w:pPr>
        <w:pStyle w:val="ParaNum"/>
        <w:widowControl/>
      </w:pPr>
      <w:r>
        <w:rPr>
          <w:i/>
          <w:szCs w:val="22"/>
        </w:rPr>
        <w:t>Completion of 800 MHz band reconfiguration in certain NPSPAC regions</w:t>
      </w:r>
      <w:r>
        <w:rPr>
          <w:szCs w:val="22"/>
        </w:rPr>
        <w:t xml:space="preserve">.  </w:t>
      </w:r>
      <w:r>
        <w:t xml:space="preserve">The Bureaus </w:t>
      </w:r>
      <w:r w:rsidRPr="00307469">
        <w:t>declare a NPSPAC region com</w:t>
      </w:r>
      <w:r>
        <w:t>plete with 800 MHz band reconfiguration</w:t>
      </w:r>
      <w:r w:rsidRPr="00307469">
        <w:t xml:space="preserve"> </w:t>
      </w:r>
      <w:r>
        <w:t>after</w:t>
      </w:r>
      <w:r w:rsidRPr="00307469">
        <w:t xml:space="preserve"> </w:t>
      </w:r>
      <w:r>
        <w:t xml:space="preserve">(a) all licensees in the region have retuned their facilities to new frequencies assigned by the 800 MHz Transition Administrator, (b) </w:t>
      </w:r>
      <w:r w:rsidRPr="00307469">
        <w:t xml:space="preserve">all licensees in that region </w:t>
      </w:r>
      <w:r>
        <w:t>have ceased operating on their former frequencies, and (c) the incumbents’ licenses have been modified to authorize operation on their new operating channels.  Upon the completion of rebanding, the Bureaus (a) alert relevant stakeholders of the expiration of the interim interference criteria and full implementation of the interference abatement rules in sections 22.970(a) and 90.672(a) of our rules,</w:t>
      </w:r>
      <w:r>
        <w:rPr>
          <w:rStyle w:val="FootnoteReference"/>
        </w:rPr>
        <w:footnoteReference w:id="137"/>
      </w:r>
      <w:r>
        <w:t xml:space="preserve"> and (b) announce when they will begin to accept applications for EB and GB channels and for any remaining channels in the interleaved segment of the band vacated by Sprint.  The Transition Administrator has certified that band reconfiguration is complete and all licensees are now operating on their post-rebanding channels in 44 NPSPAC regions, the most recent being Regions 9 (Florida), 33 (Ohio</w:t>
      </w:r>
      <w:r w:rsidRPr="00AC7764">
        <w:t>)</w:t>
      </w:r>
      <w:r>
        <w:t>,</w:t>
      </w:r>
      <w:r w:rsidRPr="00AC7764">
        <w:t xml:space="preserve"> </w:t>
      </w:r>
      <w:r w:rsidRPr="003C2721">
        <w:t>and 43</w:t>
      </w:r>
      <w:r w:rsidRPr="00AC7764">
        <w:t xml:space="preserve"> (Washington State)</w:t>
      </w:r>
      <w:r w:rsidRPr="006C497E">
        <w:t>.</w:t>
      </w:r>
      <w:r>
        <w:rPr>
          <w:rStyle w:val="FootnoteReference"/>
        </w:rPr>
        <w:footnoteReference w:id="138"/>
      </w:r>
      <w:r w:rsidRPr="00AC7764">
        <w:t xml:space="preserve">  The</w:t>
      </w:r>
      <w:r>
        <w:t xml:space="preserve">refore, the temporary waiver of the interference criteria in those </w:t>
      </w:r>
      <w:r>
        <w:t xml:space="preserve">regions has expired, and the minimum threshold levels specified in sections 22.970(a) and 90.672(a) are now in effect in those 44 regions.  </w:t>
      </w:r>
    </w:p>
    <w:p w:rsidR="004974BC" w:rsidP="004974BC">
      <w:pPr>
        <w:pStyle w:val="ParaNum"/>
        <w:widowControl/>
      </w:pPr>
      <w:r>
        <w:t xml:space="preserve">We </w:t>
      </w:r>
      <w:r w:rsidRPr="00FD1F35">
        <w:t xml:space="preserve">direct the </w:t>
      </w:r>
      <w:r>
        <w:t xml:space="preserve">Bureaus </w:t>
      </w:r>
      <w:r w:rsidRPr="00FD1F35">
        <w:t>to announce by public notice</w:t>
      </w:r>
      <w:r>
        <w:t xml:space="preserve"> the dates and procedures for submitting applications for EB/GB and vacated interleaved channels in those regions where rebanding is complete, and for EB/GB channels in those regions where EB/GB licensing was deferred pending the resolution of the LMCC request for incumbent priority.</w:t>
      </w:r>
      <w:r>
        <w:rPr>
          <w:rStyle w:val="FootnoteReference"/>
        </w:rPr>
        <w:footnoteReference w:id="139"/>
      </w:r>
      <w:r w:rsidRPr="007B352D">
        <w:t xml:space="preserve"> </w:t>
      </w:r>
    </w:p>
    <w:p w:rsidR="004974BC" w:rsidP="004974BC">
      <w:pPr>
        <w:pStyle w:val="Heading3"/>
        <w:widowControl/>
      </w:pPr>
      <w:r>
        <w:t>Trackside Signal Boosters</w:t>
      </w:r>
    </w:p>
    <w:p w:rsidR="004974BC" w:rsidRPr="007E003C" w:rsidP="004974BC">
      <w:pPr>
        <w:pStyle w:val="ParaNum"/>
        <w:widowControl/>
        <w:rPr>
          <w:szCs w:val="22"/>
        </w:rPr>
      </w:pPr>
      <w:r w:rsidRPr="007E003C">
        <w:rPr>
          <w:szCs w:val="22"/>
        </w:rPr>
        <w:t xml:space="preserve">As proposed in the </w:t>
      </w:r>
      <w:r w:rsidRPr="007E003C">
        <w:rPr>
          <w:i/>
          <w:szCs w:val="22"/>
        </w:rPr>
        <w:t>PLMR Access NPRM</w:t>
      </w:r>
      <w:r w:rsidRPr="007E003C">
        <w:rPr>
          <w:szCs w:val="22"/>
        </w:rPr>
        <w:t>, we modify our rules to permit railroads to use fixed trackside single-channel Class A signal boosters under certain conditions to increase rail safety by facilitating communication between the front and rear of trains.  A signal booster is a device at a fixed location that automatically receives, amplifies, and retransmits</w:t>
      </w:r>
      <w:r>
        <w:rPr>
          <w:szCs w:val="22"/>
        </w:rPr>
        <w:t>,</w:t>
      </w:r>
      <w:r w:rsidRPr="007E003C">
        <w:rPr>
          <w:szCs w:val="22"/>
        </w:rPr>
        <w:t xml:space="preserve"> on a one-way or two-way basis</w:t>
      </w:r>
      <w:r>
        <w:rPr>
          <w:szCs w:val="22"/>
        </w:rPr>
        <w:t>,</w:t>
      </w:r>
      <w:r w:rsidRPr="007E003C">
        <w:rPr>
          <w:szCs w:val="22"/>
        </w:rPr>
        <w:t xml:space="preserve"> the signals received from base, fixed, mobile, and portable stations, with no change in frequency or authorized bandwidth</w:t>
      </w:r>
      <w:r>
        <w:rPr>
          <w:szCs w:val="22"/>
        </w:rPr>
        <w:t>.</w:t>
      </w:r>
      <w:r>
        <w:rPr>
          <w:rStyle w:val="FootnoteReference"/>
          <w:szCs w:val="22"/>
        </w:rPr>
        <w:footnoteReference w:id="140"/>
      </w:r>
      <w:r w:rsidRPr="007E003C">
        <w:rPr>
          <w:szCs w:val="22"/>
        </w:rPr>
        <w:t xml:space="preserve"> </w:t>
      </w:r>
      <w:r>
        <w:rPr>
          <w:szCs w:val="22"/>
        </w:rPr>
        <w:t xml:space="preserve"> Section 90.219(d</w:t>
      </w:r>
      <w:r w:rsidRPr="007E003C">
        <w:rPr>
          <w:szCs w:val="22"/>
        </w:rPr>
        <w:t>)(3) of our rules limits each retransmitted channel to five watts effective radiated power (ERP)</w:t>
      </w:r>
      <w:r>
        <w:rPr>
          <w:szCs w:val="22"/>
        </w:rPr>
        <w:t xml:space="preserve"> </w:t>
      </w:r>
      <w:r w:rsidRPr="007E003C">
        <w:rPr>
          <w:szCs w:val="22"/>
        </w:rPr>
        <w:t>to reduce the potential for interference to other users.</w:t>
      </w:r>
      <w:r>
        <w:rPr>
          <w:rStyle w:val="FootnoteReference"/>
          <w:szCs w:val="22"/>
        </w:rPr>
        <w:footnoteReference w:id="141"/>
      </w:r>
      <w:r>
        <w:rPr>
          <w:szCs w:val="22"/>
        </w:rPr>
        <w:t xml:space="preserve">  </w:t>
      </w:r>
      <w:r w:rsidRPr="007E003C">
        <w:rPr>
          <w:szCs w:val="22"/>
        </w:rPr>
        <w:t xml:space="preserve">Fixed use of frequencies in the 450-470 MHz band generally is </w:t>
      </w:r>
      <w:r w:rsidRPr="006E67A9">
        <w:t>permitted</w:t>
      </w:r>
      <w:r w:rsidRPr="007E003C">
        <w:rPr>
          <w:szCs w:val="22"/>
        </w:rPr>
        <w:t xml:space="preserve"> on a secondary basis to land mobile operations, but section 90.261(f) of the Commission’s rules excludes certain frequencies in order to reserve them for other specialized uses, including railroad frequencies at 452/457.925 MHz to 452/457.96875 MHz.</w:t>
      </w:r>
      <w:r>
        <w:rPr>
          <w:rStyle w:val="FootnoteReference"/>
          <w:szCs w:val="22"/>
        </w:rPr>
        <w:footnoteReference w:id="142"/>
      </w:r>
      <w:r w:rsidRPr="007E003C">
        <w:rPr>
          <w:szCs w:val="22"/>
        </w:rPr>
        <w:t xml:space="preserve">  </w:t>
      </w:r>
    </w:p>
    <w:p w:rsidR="004974BC" w:rsidP="004974BC">
      <w:pPr>
        <w:pStyle w:val="ParaNum"/>
        <w:widowControl/>
        <w:rPr>
          <w:szCs w:val="22"/>
        </w:rPr>
      </w:pPr>
      <w:r w:rsidRPr="006E67A9">
        <w:rPr>
          <w:szCs w:val="22"/>
        </w:rPr>
        <w:t xml:space="preserve">In the </w:t>
      </w:r>
      <w:r>
        <w:rPr>
          <w:i/>
          <w:szCs w:val="22"/>
        </w:rPr>
        <w:t xml:space="preserve">PLMR Access </w:t>
      </w:r>
      <w:r w:rsidRPr="006E67A9">
        <w:rPr>
          <w:i/>
          <w:szCs w:val="22"/>
        </w:rPr>
        <w:t>NPRM</w:t>
      </w:r>
      <w:r w:rsidRPr="006E67A9">
        <w:rPr>
          <w:szCs w:val="22"/>
        </w:rPr>
        <w:t>, the Commission proposed to amend sections 90.219(d)(3) and 90.261(f) to permit railroads to use fixed trackside single-channel Class A signal boosters with up to 30 watts ERP on frequencies 452/457.90625 to 452/457.9625 MHz in areas where coverage is unsatisfactory due to distance or intervening terrain barriers.</w:t>
      </w:r>
      <w:r>
        <w:rPr>
          <w:rStyle w:val="FootnoteReference"/>
          <w:szCs w:val="22"/>
        </w:rPr>
        <w:footnoteReference w:id="143"/>
      </w:r>
      <w:r w:rsidRPr="006E67A9">
        <w:rPr>
          <w:szCs w:val="22"/>
        </w:rPr>
        <w:t xml:space="preserve">  It sought comment on whether it also should permit such operations on the channel pairs at the edge of the frequencies coordinated by the Association of American Railroads—452/457.9000 MHz and 452/457.96875 MHz.</w:t>
      </w:r>
      <w:r>
        <w:rPr>
          <w:rStyle w:val="FootnoteReference"/>
          <w:szCs w:val="22"/>
        </w:rPr>
        <w:footnoteReference w:id="144"/>
      </w:r>
      <w:r w:rsidRPr="006E67A9">
        <w:rPr>
          <w:szCs w:val="22"/>
        </w:rPr>
        <w:t xml:space="preserve"> </w:t>
      </w:r>
    </w:p>
    <w:p w:rsidR="004974BC" w:rsidRPr="00E66166" w:rsidP="004974BC">
      <w:pPr>
        <w:pStyle w:val="ParaNum"/>
        <w:widowControl/>
      </w:pPr>
      <w:r w:rsidRPr="006E67A9">
        <w:rPr>
          <w:szCs w:val="22"/>
        </w:rPr>
        <w:t>Most commenters support the proposal.</w:t>
      </w:r>
      <w:r>
        <w:rPr>
          <w:rStyle w:val="FootnoteReference"/>
          <w:szCs w:val="22"/>
        </w:rPr>
        <w:footnoteReference w:id="145"/>
      </w:r>
      <w:r w:rsidRPr="006E67A9">
        <w:rPr>
          <w:szCs w:val="22"/>
        </w:rPr>
        <w:t xml:space="preserve">  </w:t>
      </w:r>
      <w:r>
        <w:rPr>
          <w:szCs w:val="22"/>
        </w:rPr>
        <w:t xml:space="preserve">In addition, the </w:t>
      </w:r>
      <w:r w:rsidRPr="006E67A9">
        <w:rPr>
          <w:szCs w:val="22"/>
        </w:rPr>
        <w:t>Association of American Railroads</w:t>
      </w:r>
      <w:r w:rsidRPr="006E67A9">
        <w:rPr>
          <w:szCs w:val="22"/>
        </w:rPr>
        <w:t xml:space="preserve"> </w:t>
      </w:r>
      <w:r>
        <w:rPr>
          <w:szCs w:val="22"/>
        </w:rPr>
        <w:t>submits</w:t>
      </w:r>
      <w:r w:rsidRPr="006E67A9">
        <w:rPr>
          <w:szCs w:val="22"/>
        </w:rPr>
        <w:t xml:space="preserve"> that permitting such operations on frequencies 452/457.9000 MHz and 452/457.96875 MHz would increase the reliability of railroad safety and communications systems without causing interference to other users</w:t>
      </w:r>
      <w:r>
        <w:rPr>
          <w:szCs w:val="22"/>
        </w:rPr>
        <w:t>.</w:t>
      </w:r>
      <w:r>
        <w:rPr>
          <w:rStyle w:val="FootnoteReference"/>
          <w:szCs w:val="22"/>
        </w:rPr>
        <w:footnoteReference w:id="146"/>
      </w:r>
      <w:r w:rsidRPr="006E67A9">
        <w:rPr>
          <w:szCs w:val="22"/>
        </w:rPr>
        <w:t xml:space="preserve"> </w:t>
      </w:r>
      <w:r>
        <w:rPr>
          <w:szCs w:val="22"/>
        </w:rPr>
        <w:t xml:space="preserve"> The </w:t>
      </w:r>
      <w:r>
        <w:t xml:space="preserve">National Association of Manufacturers and MRFAC, Inc. (NAM/MRFAC), however, </w:t>
      </w:r>
      <w:r w:rsidRPr="006E67A9">
        <w:rPr>
          <w:szCs w:val="22"/>
        </w:rPr>
        <w:t>oppose use of higher power railroad signal boosters on these two channels, which overlap channels available to other users</w:t>
      </w:r>
      <w:r>
        <w:rPr>
          <w:szCs w:val="22"/>
        </w:rPr>
        <w:t>,</w:t>
      </w:r>
      <w:r w:rsidRPr="006E67A9">
        <w:rPr>
          <w:szCs w:val="22"/>
        </w:rPr>
        <w:t xml:space="preserve"> </w:t>
      </w:r>
      <w:r>
        <w:rPr>
          <w:szCs w:val="22"/>
        </w:rPr>
        <w:t xml:space="preserve">due to </w:t>
      </w:r>
      <w:r w:rsidRPr="006E67A9">
        <w:rPr>
          <w:szCs w:val="22"/>
        </w:rPr>
        <w:t>concerns</w:t>
      </w:r>
      <w:r>
        <w:rPr>
          <w:szCs w:val="22"/>
        </w:rPr>
        <w:t xml:space="preserve"> about interference</w:t>
      </w:r>
      <w:r w:rsidRPr="006E67A9">
        <w:rPr>
          <w:szCs w:val="22"/>
        </w:rPr>
        <w:t xml:space="preserve"> in railroad yards or terminal areas</w:t>
      </w:r>
      <w:r>
        <w:rPr>
          <w:szCs w:val="22"/>
        </w:rPr>
        <w:t xml:space="preserve"> near</w:t>
      </w:r>
      <w:r w:rsidRPr="006E67A9">
        <w:rPr>
          <w:szCs w:val="22"/>
        </w:rPr>
        <w:t xml:space="preserve"> manufacturing plants.</w:t>
      </w:r>
      <w:r>
        <w:rPr>
          <w:rStyle w:val="FootnoteReference"/>
          <w:szCs w:val="22"/>
        </w:rPr>
        <w:footnoteReference w:id="147"/>
      </w:r>
      <w:r>
        <w:rPr>
          <w:szCs w:val="22"/>
        </w:rPr>
        <w:t xml:space="preserve">  We conclude that NAM/MRFAC’s concerns are misplaced.  The proposed rule permits high-power trackside signal boosters only </w:t>
      </w:r>
      <w:r w:rsidRPr="006E67A9">
        <w:rPr>
          <w:szCs w:val="22"/>
        </w:rPr>
        <w:t xml:space="preserve">in areas where </w:t>
      </w:r>
      <w:r>
        <w:t>communication between the front and rear of trains</w:t>
      </w:r>
      <w:r w:rsidRPr="006E67A9">
        <w:rPr>
          <w:b/>
        </w:rPr>
        <w:t xml:space="preserve"> </w:t>
      </w:r>
      <w:r>
        <w:t xml:space="preserve">is </w:t>
      </w:r>
      <w:r w:rsidRPr="006E67A9">
        <w:rPr>
          <w:szCs w:val="22"/>
        </w:rPr>
        <w:t>unsatisfactory due to distance or intervening terrain barriers</w:t>
      </w:r>
      <w:r>
        <w:rPr>
          <w:szCs w:val="22"/>
        </w:rPr>
        <w:t>.  This is an exception to the general limits on signal booster power, and does not authorize such operations in most areas, such as typical urban or industrial settings.</w:t>
      </w:r>
    </w:p>
    <w:p w:rsidR="004974BC" w:rsidRPr="00F8447C" w:rsidP="004974BC">
      <w:pPr>
        <w:pStyle w:val="ParaNum"/>
        <w:widowControl/>
      </w:pPr>
      <w:r w:rsidRPr="00C76995">
        <w:rPr>
          <w:szCs w:val="22"/>
        </w:rPr>
        <w:t>We conclude that pe</w:t>
      </w:r>
      <w:r>
        <w:rPr>
          <w:szCs w:val="22"/>
        </w:rPr>
        <w:t xml:space="preserve">rmitting higher power railroad </w:t>
      </w:r>
      <w:r w:rsidRPr="00C76995">
        <w:rPr>
          <w:szCs w:val="22"/>
        </w:rPr>
        <w:t xml:space="preserve">signal boosters will serve the public interest.  </w:t>
      </w:r>
      <w:r>
        <w:rPr>
          <w:szCs w:val="22"/>
        </w:rPr>
        <w:t>O</w:t>
      </w:r>
      <w:r w:rsidRPr="00C76995">
        <w:rPr>
          <w:szCs w:val="22"/>
        </w:rPr>
        <w:t>n balance</w:t>
      </w:r>
      <w:r>
        <w:rPr>
          <w:szCs w:val="22"/>
        </w:rPr>
        <w:t>,</w:t>
      </w:r>
      <w:r w:rsidRPr="00C76995">
        <w:rPr>
          <w:szCs w:val="22"/>
        </w:rPr>
        <w:t xml:space="preserve"> the safety benefits of permitting the proposed signal boosters on the </w:t>
      </w:r>
      <w:r>
        <w:rPr>
          <w:szCs w:val="22"/>
        </w:rPr>
        <w:t xml:space="preserve">452/457 MHz </w:t>
      </w:r>
      <w:r w:rsidRPr="00C76995">
        <w:rPr>
          <w:szCs w:val="22"/>
        </w:rPr>
        <w:t xml:space="preserve">frequencies coordinated by </w:t>
      </w:r>
      <w:r w:rsidRPr="006E67A9">
        <w:rPr>
          <w:szCs w:val="22"/>
        </w:rPr>
        <w:t>Association of American Railroads</w:t>
      </w:r>
      <w:r w:rsidRPr="00C76995">
        <w:rPr>
          <w:szCs w:val="22"/>
        </w:rPr>
        <w:t xml:space="preserve"> </w:t>
      </w:r>
      <w:r w:rsidRPr="00C76995">
        <w:rPr>
          <w:szCs w:val="22"/>
        </w:rPr>
        <w:t xml:space="preserve">outweigh the concerns that have been raised.  Authorizing these operations </w:t>
      </w:r>
      <w:r>
        <w:rPr>
          <w:szCs w:val="22"/>
        </w:rPr>
        <w:t>may</w:t>
      </w:r>
      <w:r w:rsidRPr="00C76995">
        <w:rPr>
          <w:szCs w:val="22"/>
        </w:rPr>
        <w:t xml:space="preserve"> increase rail safety by </w:t>
      </w:r>
      <w:r>
        <w:rPr>
          <w:szCs w:val="22"/>
        </w:rPr>
        <w:t xml:space="preserve">helping </w:t>
      </w:r>
      <w:r w:rsidRPr="00C76995">
        <w:rPr>
          <w:szCs w:val="22"/>
        </w:rPr>
        <w:t>facilitat</w:t>
      </w:r>
      <w:r>
        <w:rPr>
          <w:szCs w:val="22"/>
        </w:rPr>
        <w:t>e</w:t>
      </w:r>
      <w:r w:rsidRPr="00C76995">
        <w:rPr>
          <w:szCs w:val="22"/>
        </w:rPr>
        <w:t xml:space="preserve"> communications between the front and rear end of trains.  We accordingly amend sections 90.219(d)(3) and 90.261(f) to permit railroad licensees to use single-channel Class A signal boosters with up to 30 watts ERP on frequencies 452/457.9000 MHz to 452/457.96875 MHz, but only in areas where </w:t>
      </w:r>
      <w:r>
        <w:t>communication between the front and rear of trains</w:t>
      </w:r>
      <w:r w:rsidRPr="00C76995">
        <w:rPr>
          <w:b/>
        </w:rPr>
        <w:t xml:space="preserve"> </w:t>
      </w:r>
      <w:r>
        <w:t xml:space="preserve">is </w:t>
      </w:r>
      <w:r w:rsidRPr="00C76995">
        <w:rPr>
          <w:szCs w:val="22"/>
        </w:rPr>
        <w:t xml:space="preserve">unsatisfactory due to distance or intervening terrain barriers, and not in </w:t>
      </w:r>
      <w:r>
        <w:rPr>
          <w:szCs w:val="22"/>
        </w:rPr>
        <w:t xml:space="preserve">typical </w:t>
      </w:r>
      <w:r w:rsidRPr="00C76995">
        <w:rPr>
          <w:szCs w:val="22"/>
        </w:rPr>
        <w:t>urban or industrial areas.</w:t>
      </w:r>
      <w:bookmarkStart w:id="48" w:name="question_this"/>
      <w:bookmarkStart w:id="49" w:name="_Toc498610357"/>
      <w:bookmarkStart w:id="50" w:name="_Toc498611063"/>
      <w:bookmarkStart w:id="51" w:name="_Toc499561023"/>
      <w:bookmarkStart w:id="52" w:name="_Toc499561148"/>
      <w:bookmarkStart w:id="53" w:name="_Toc499561285"/>
      <w:bookmarkStart w:id="54" w:name="_Toc499561442"/>
      <w:bookmarkStart w:id="55" w:name="_Toc499561688"/>
      <w:bookmarkStart w:id="56" w:name="_Toc499561858"/>
      <w:bookmarkStart w:id="57" w:name="_Toc499731388"/>
      <w:bookmarkStart w:id="58" w:name="_Toc499815970"/>
      <w:bookmarkStart w:id="59" w:name="_Toc500945680"/>
      <w:bookmarkStart w:id="60" w:name="_Toc501012142"/>
      <w:bookmarkEnd w:id="48"/>
    </w:p>
    <w:p w:rsidR="004974BC" w:rsidP="004974BC">
      <w:pPr>
        <w:pStyle w:val="Heading2"/>
        <w:widowControl/>
      </w:pPr>
      <w:bookmarkStart w:id="61" w:name="_Toc519260236"/>
      <w:bookmarkEnd w:id="49"/>
      <w:bookmarkEnd w:id="50"/>
      <w:bookmarkEnd w:id="51"/>
      <w:bookmarkEnd w:id="52"/>
      <w:bookmarkEnd w:id="53"/>
      <w:bookmarkEnd w:id="54"/>
      <w:bookmarkEnd w:id="55"/>
      <w:bookmarkEnd w:id="56"/>
      <w:bookmarkEnd w:id="57"/>
      <w:bookmarkEnd w:id="58"/>
      <w:bookmarkEnd w:id="59"/>
      <w:bookmarkEnd w:id="60"/>
      <w:r>
        <w:t>Removing Unnecessary Restrictions</w:t>
      </w:r>
      <w:bookmarkEnd w:id="61"/>
    </w:p>
    <w:p w:rsidR="004974BC" w:rsidP="004974BC">
      <w:pPr>
        <w:pStyle w:val="ParaNum"/>
        <w:widowControl/>
      </w:pPr>
      <w:r w:rsidRPr="00990861">
        <w:rPr>
          <w:szCs w:val="22"/>
        </w:rPr>
        <w:t xml:space="preserve">In the </w:t>
      </w:r>
      <w:r w:rsidRPr="00990861">
        <w:rPr>
          <w:i/>
          <w:szCs w:val="22"/>
        </w:rPr>
        <w:t>PLMR Access NPRM</w:t>
      </w:r>
      <w:r w:rsidRPr="006E6302">
        <w:rPr>
          <w:szCs w:val="22"/>
        </w:rPr>
        <w:t>,</w:t>
      </w:r>
      <w:r w:rsidRPr="007C3372">
        <w:rPr>
          <w:szCs w:val="22"/>
        </w:rPr>
        <w:t xml:space="preserve"> </w:t>
      </w:r>
      <w:r w:rsidRPr="00990861">
        <w:rPr>
          <w:szCs w:val="22"/>
        </w:rPr>
        <w:t xml:space="preserve">the Commission proposed rule changes to eliminate impediments to the efficient </w:t>
      </w:r>
      <w:r>
        <w:rPr>
          <w:szCs w:val="22"/>
        </w:rPr>
        <w:t>use</w:t>
      </w:r>
      <w:r w:rsidRPr="00990861">
        <w:rPr>
          <w:szCs w:val="22"/>
        </w:rPr>
        <w:t xml:space="preserve"> of PLMR spectrum.</w:t>
      </w:r>
      <w:r>
        <w:rPr>
          <w:rStyle w:val="FootnoteReference"/>
          <w:szCs w:val="22"/>
        </w:rPr>
        <w:footnoteReference w:id="148"/>
      </w:r>
      <w:r w:rsidRPr="00990861">
        <w:rPr>
          <w:szCs w:val="22"/>
        </w:rPr>
        <w:t xml:space="preserve">  </w:t>
      </w:r>
      <w:r>
        <w:t>We now take action to eliminate rules and policies that “unnecessarily reduce the ability of licensees to put this spectrum to its highest and best use”</w:t>
      </w:r>
      <w:r>
        <w:rPr>
          <w:rStyle w:val="FootnoteReference"/>
        </w:rPr>
        <w:footnoteReference w:id="149"/>
      </w:r>
      <w:r>
        <w:t xml:space="preserve"> and that </w:t>
      </w:r>
      <w:r w:rsidRPr="00990861">
        <w:rPr>
          <w:szCs w:val="22"/>
        </w:rPr>
        <w:t>no longer serve the public interest.</w:t>
      </w:r>
      <w:r w:rsidRPr="007B352D">
        <w:t xml:space="preserve"> </w:t>
      </w:r>
      <w:r>
        <w:t xml:space="preserve"> Specifically, we </w:t>
      </w:r>
      <w:r>
        <w:rPr>
          <w:szCs w:val="22"/>
        </w:rPr>
        <w:t xml:space="preserve">expand conditional licensing to specific bands above 470 MHz, lift </w:t>
      </w:r>
      <w:r w:rsidRPr="00C16502">
        <w:rPr>
          <w:szCs w:val="22"/>
        </w:rPr>
        <w:t>the long-standing freeze on inter-category sharing of 800 MHz channels</w:t>
      </w:r>
      <w:r>
        <w:rPr>
          <w:szCs w:val="22"/>
        </w:rPr>
        <w:t xml:space="preserve">, and expand the availability of certain channels currently reserved for </w:t>
      </w:r>
      <w:r w:rsidRPr="00185553">
        <w:rPr>
          <w:szCs w:val="22"/>
        </w:rPr>
        <w:t>c</w:t>
      </w:r>
      <w:r>
        <w:rPr>
          <w:szCs w:val="22"/>
        </w:rPr>
        <w:t>entral station alarm operations.</w:t>
      </w:r>
    </w:p>
    <w:p w:rsidR="004974BC" w:rsidP="004974BC">
      <w:pPr>
        <w:pStyle w:val="Heading3"/>
        <w:widowControl/>
      </w:pPr>
      <w:bookmarkStart w:id="62" w:name="_Toc519260234"/>
      <w:r>
        <w:t>Conditional Licensing Authority</w:t>
      </w:r>
      <w:bookmarkEnd w:id="62"/>
    </w:p>
    <w:p w:rsidR="004974BC" w:rsidP="004974BC">
      <w:pPr>
        <w:pStyle w:val="ParaNum"/>
        <w:widowControl/>
        <w:rPr>
          <w:szCs w:val="22"/>
        </w:rPr>
      </w:pPr>
      <w:r>
        <w:rPr>
          <w:szCs w:val="22"/>
        </w:rPr>
        <w:t>Pursuant to section 90.159(b) of the Commission’s rules, most applicants proposing to operate a new or modified PLMR station on frequencies below 470 MHz that require frequency coordination may begin operating the proposed station 10 days after the application is filed and may continue to operate it for up to 180 days while the application is pending.</w:t>
      </w:r>
      <w:r>
        <w:rPr>
          <w:rStyle w:val="FootnoteReference"/>
          <w:szCs w:val="22"/>
        </w:rPr>
        <w:footnoteReference w:id="150"/>
      </w:r>
      <w:r>
        <w:rPr>
          <w:szCs w:val="22"/>
        </w:rPr>
        <w:t xml:space="preserve">  This conditional authority is </w:t>
      </w:r>
      <w:r>
        <w:rPr>
          <w:szCs w:val="22"/>
        </w:rPr>
        <w:t>not available for applicants in the PLMR frequency bands above 470 MHz, where spectrum is available on an exclusive basis.  When the Commission adopted this rule in 1989, it stated that it was restricting conditional authority to bands where frequencies are shared in order to be conservative, but that it might consider extending the concept to bands above 470 MHz based on its experience with the shared bands.</w:t>
      </w:r>
      <w:r>
        <w:rPr>
          <w:rStyle w:val="FootnoteReference"/>
          <w:szCs w:val="22"/>
        </w:rPr>
        <w:footnoteReference w:id="151"/>
      </w:r>
      <w:r>
        <w:rPr>
          <w:szCs w:val="22"/>
        </w:rPr>
        <w:t xml:space="preserve">  To expedite deployment of communications facilities and reduce administrative burdens, we amend our rules to expand conditional authority to 700 MHz Public Safety narrowband and 800 MHz band PLMR applicants.</w:t>
      </w:r>
      <w:r>
        <w:rPr>
          <w:szCs w:val="22"/>
        </w:rPr>
        <w:t xml:space="preserve"> </w:t>
      </w:r>
    </w:p>
    <w:p w:rsidR="004974BC" w:rsidRPr="00690EEA" w:rsidP="004974BC">
      <w:pPr>
        <w:pStyle w:val="ParaNum"/>
        <w:widowControl/>
        <w:rPr>
          <w:szCs w:val="22"/>
        </w:rPr>
      </w:pPr>
      <w:r>
        <w:rPr>
          <w:szCs w:val="22"/>
        </w:rPr>
        <w:t xml:space="preserve">In its </w:t>
      </w:r>
      <w:r w:rsidRPr="00690EEA">
        <w:rPr>
          <w:szCs w:val="22"/>
        </w:rPr>
        <w:t>petition</w:t>
      </w:r>
      <w:r>
        <w:rPr>
          <w:szCs w:val="22"/>
        </w:rPr>
        <w:t xml:space="preserve"> asking</w:t>
      </w:r>
      <w:r w:rsidRPr="00690EEA">
        <w:rPr>
          <w:szCs w:val="22"/>
        </w:rPr>
        <w:t xml:space="preserve"> the Commission to expand conditional authority to T-Band, 800 MHz, and 900 MHz band PLMR applicants</w:t>
      </w:r>
      <w:r>
        <w:rPr>
          <w:szCs w:val="22"/>
        </w:rPr>
        <w:t>,</w:t>
      </w:r>
      <w:r w:rsidRPr="00690EEA">
        <w:rPr>
          <w:szCs w:val="22"/>
        </w:rPr>
        <w:t xml:space="preserve"> LMCC </w:t>
      </w:r>
      <w:r>
        <w:rPr>
          <w:szCs w:val="22"/>
        </w:rPr>
        <w:t>argued</w:t>
      </w:r>
      <w:r w:rsidRPr="00690EEA">
        <w:rPr>
          <w:szCs w:val="22"/>
        </w:rPr>
        <w:t xml:space="preserve"> that experience had demonstrated that expansion of conditional authority is now appropriate.</w:t>
      </w:r>
      <w:r>
        <w:rPr>
          <w:rStyle w:val="FootnoteReference"/>
          <w:szCs w:val="22"/>
        </w:rPr>
        <w:footnoteReference w:id="152"/>
      </w:r>
      <w:r w:rsidRPr="00690EEA">
        <w:rPr>
          <w:szCs w:val="22"/>
        </w:rPr>
        <w:t xml:space="preserve">  In the </w:t>
      </w:r>
      <w:r w:rsidRPr="00690EEA">
        <w:rPr>
          <w:i/>
        </w:rPr>
        <w:t xml:space="preserve">PLMR Access </w:t>
      </w:r>
      <w:r w:rsidRPr="00690EEA">
        <w:rPr>
          <w:i/>
          <w:szCs w:val="22"/>
        </w:rPr>
        <w:t>NPRM</w:t>
      </w:r>
      <w:r w:rsidRPr="00690EEA">
        <w:rPr>
          <w:szCs w:val="22"/>
        </w:rPr>
        <w:t>, the Commission agree</w:t>
      </w:r>
      <w:r>
        <w:rPr>
          <w:szCs w:val="22"/>
        </w:rPr>
        <w:t>d</w:t>
      </w:r>
      <w:r w:rsidRPr="00690EEA">
        <w:rPr>
          <w:szCs w:val="22"/>
        </w:rPr>
        <w:t xml:space="preserve"> with LMCC and others that expanding conditional authority would enable more applicants to meet pressing communications requirements without seeking special temporary authority (STA) and would provide greater flexibility and earlier deployment of spectrum without compromising quality of service.</w:t>
      </w:r>
      <w:r>
        <w:rPr>
          <w:rStyle w:val="FootnoteReference"/>
          <w:szCs w:val="22"/>
        </w:rPr>
        <w:footnoteReference w:id="153"/>
      </w:r>
      <w:r w:rsidRPr="00690EEA">
        <w:rPr>
          <w:szCs w:val="22"/>
        </w:rPr>
        <w:t xml:space="preserve">  </w:t>
      </w:r>
      <w:r>
        <w:rPr>
          <w:szCs w:val="22"/>
        </w:rPr>
        <w:t>Consequently, the Commission proposed to expand conditional authority to 800 and 900 MHz PLMR applicants and sought comment on whether to expand it to applicants for 700 MHz Public Safety narrowband frequencies.</w:t>
      </w:r>
      <w:r>
        <w:rPr>
          <w:rStyle w:val="FootnoteReference"/>
          <w:szCs w:val="22"/>
        </w:rPr>
        <w:footnoteReference w:id="154"/>
      </w:r>
      <w:r>
        <w:rPr>
          <w:szCs w:val="22"/>
        </w:rPr>
        <w:t xml:space="preserve">  In</w:t>
      </w:r>
      <w:r w:rsidRPr="00690EEA">
        <w:rPr>
          <w:szCs w:val="22"/>
        </w:rPr>
        <w:t xml:space="preserve"> response to comments from</w:t>
      </w:r>
      <w:r>
        <w:rPr>
          <w:szCs w:val="22"/>
        </w:rPr>
        <w:t xml:space="preserve"> MRA</w:t>
      </w:r>
      <w:r w:rsidRPr="00690EEA">
        <w:rPr>
          <w:szCs w:val="22"/>
        </w:rPr>
        <w:t xml:space="preserve">, the Commission </w:t>
      </w:r>
      <w:r>
        <w:rPr>
          <w:szCs w:val="22"/>
        </w:rPr>
        <w:t xml:space="preserve">also </w:t>
      </w:r>
      <w:r w:rsidRPr="00690EEA">
        <w:rPr>
          <w:szCs w:val="22"/>
        </w:rPr>
        <w:t>asked whether any limitations or additional conditions should be imposed on conditional authority.</w:t>
      </w:r>
      <w:r>
        <w:rPr>
          <w:rStyle w:val="FootnoteReference"/>
          <w:szCs w:val="22"/>
        </w:rPr>
        <w:footnoteReference w:id="155"/>
      </w:r>
    </w:p>
    <w:p w:rsidR="004974BC" w:rsidRPr="006E67A9" w:rsidP="004974BC">
      <w:pPr>
        <w:pStyle w:val="ParaNum"/>
        <w:widowControl/>
        <w:rPr>
          <w:szCs w:val="22"/>
        </w:rPr>
      </w:pPr>
      <w:r w:rsidRPr="006E67A9">
        <w:rPr>
          <w:szCs w:val="22"/>
        </w:rPr>
        <w:t>We agree with the commenters that</w:t>
      </w:r>
      <w:r>
        <w:rPr>
          <w:szCs w:val="22"/>
        </w:rPr>
        <w:t xml:space="preserve"> </w:t>
      </w:r>
      <w:r w:rsidRPr="006E67A9">
        <w:rPr>
          <w:szCs w:val="22"/>
        </w:rPr>
        <w:t>expanding conditional authority is in the public interest</w:t>
      </w:r>
      <w:r>
        <w:rPr>
          <w:szCs w:val="22"/>
        </w:rPr>
        <w:t xml:space="preserve"> and that</w:t>
      </w:r>
      <w:r w:rsidRPr="006E67A9">
        <w:rPr>
          <w:szCs w:val="22"/>
        </w:rPr>
        <w:t xml:space="preserve"> </w:t>
      </w:r>
      <w:r>
        <w:rPr>
          <w:szCs w:val="22"/>
        </w:rPr>
        <w:t>we should no longer restrict conditional authority to bands below 470 MHz.  We find that such authority</w:t>
      </w:r>
      <w:r w:rsidRPr="006E67A9">
        <w:rPr>
          <w:szCs w:val="22"/>
        </w:rPr>
        <w:t xml:space="preserve"> will expedite deployment of communications facilities and reduce administrative burdens on licensees and the Commission, without increasing the risk of harmful interference.</w:t>
      </w:r>
      <w:r>
        <w:rPr>
          <w:rStyle w:val="FootnoteReference"/>
        </w:rPr>
        <w:footnoteReference w:id="156"/>
      </w:r>
      <w:r w:rsidRPr="006E67A9">
        <w:rPr>
          <w:szCs w:val="22"/>
        </w:rPr>
        <w:t xml:space="preserve">  A</w:t>
      </w:r>
      <w:r>
        <w:rPr>
          <w:szCs w:val="22"/>
        </w:rPr>
        <w:t xml:space="preserve">ccordingly, </w:t>
      </w:r>
      <w:r w:rsidRPr="006E67A9">
        <w:rPr>
          <w:szCs w:val="22"/>
        </w:rPr>
        <w:t xml:space="preserve">we amend section 90.159 to expand conditional authority to 800 MHz </w:t>
      </w:r>
      <w:r>
        <w:rPr>
          <w:szCs w:val="22"/>
        </w:rPr>
        <w:t xml:space="preserve">band </w:t>
      </w:r>
      <w:r w:rsidRPr="006E67A9">
        <w:rPr>
          <w:szCs w:val="22"/>
        </w:rPr>
        <w:t xml:space="preserve">(including the 800 MHz NPSPAC band) PLMR applicants, </w:t>
      </w:r>
      <w:r>
        <w:rPr>
          <w:szCs w:val="22"/>
        </w:rPr>
        <w:t>and we amend</w:t>
      </w:r>
      <w:r w:rsidRPr="006E67A9">
        <w:rPr>
          <w:szCs w:val="22"/>
        </w:rPr>
        <w:t xml:space="preserve"> section 1.931</w:t>
      </w:r>
      <w:r>
        <w:rPr>
          <w:szCs w:val="22"/>
        </w:rPr>
        <w:t xml:space="preserve"> to provide an appropriate cross-reference</w:t>
      </w:r>
      <w:r w:rsidRPr="006E67A9">
        <w:rPr>
          <w:szCs w:val="22"/>
        </w:rPr>
        <w:t xml:space="preserve">.  </w:t>
      </w:r>
      <w:r>
        <w:t>We also agree with the commenters that conditional authority would not create any different interference risk for 700 MHz Public Safety narrowband frequencies, so there is no reason to exclude those applicants from the benefits of conditional licensing.</w:t>
      </w:r>
      <w:r>
        <w:rPr>
          <w:rStyle w:val="FootnoteReference"/>
        </w:rPr>
        <w:footnoteReference w:id="157"/>
      </w:r>
      <w:r>
        <w:t xml:space="preserve">  We amend the rules regarding 700 MHz Public Safety narrowband frequencies and 800 MHz band frequencies accordingly.</w:t>
      </w:r>
    </w:p>
    <w:p w:rsidR="004974BC" w:rsidP="004974BC">
      <w:pPr>
        <w:pStyle w:val="ParaNum"/>
        <w:widowControl/>
        <w:rPr>
          <w:szCs w:val="22"/>
        </w:rPr>
      </w:pPr>
      <w:r>
        <w:t xml:space="preserve">We do not expand conditional licensing to the T-Band band.  </w:t>
      </w:r>
      <w:bookmarkStart w:id="64" w:name="_Hlk521592739"/>
      <w:r>
        <w:t>A</w:t>
      </w:r>
      <w:r w:rsidRPr="000862EC">
        <w:t xml:space="preserve">cceptance of applications for new or expanded T-Band operations has been suspended in order to maintain a stable spectral landscape while the Commission determines how to </w:t>
      </w:r>
      <w:r>
        <w:t>proceed with respect to that spectrum, which Congress has designated for reallocation and reassignment.</w:t>
      </w:r>
      <w:r>
        <w:rPr>
          <w:rStyle w:val="FootnoteReference"/>
        </w:rPr>
        <w:footnoteReference w:id="158"/>
      </w:r>
      <w:r>
        <w:t xml:space="preserve">  </w:t>
      </w:r>
      <w:bookmarkEnd w:id="64"/>
      <w:r>
        <w:t xml:space="preserve">Commenters </w:t>
      </w:r>
      <w:r>
        <w:t>addressing the question</w:t>
      </w:r>
      <w:r>
        <w:rPr>
          <w:rStyle w:val="FootnoteReference"/>
        </w:rPr>
        <w:footnoteReference w:id="159"/>
      </w:r>
      <w:r>
        <w:t xml:space="preserve"> </w:t>
      </w:r>
      <w:r>
        <w:t>assert that conditional authority should be expanded to T-Band applicants notwithstanding the current application freeze.</w:t>
      </w:r>
      <w:r>
        <w:rPr>
          <w:rStyle w:val="FootnoteReference"/>
        </w:rPr>
        <w:footnoteReference w:id="160"/>
      </w:r>
      <w:r>
        <w:t xml:space="preserve">  </w:t>
      </w:r>
      <w:bookmarkStart w:id="65" w:name="_Hlk519591746"/>
      <w:r>
        <w:t>We conclude, however, that there is no reason to make any changes to the T-Band licensing rules as long as the freeze is in effect.</w:t>
      </w:r>
      <w:bookmarkEnd w:id="65"/>
      <w:r>
        <w:t xml:space="preserve">  For similar reasons, we decline to expand conditional licensing to the 900 MHz band at this time, in light of the licensing freeze recently adopted as the Commission explores whether any rule changes may be appropriate to improve spectrum efficiency or expand flexibility in the 900 MHz band in order to better serve PLMR users’ current and future communications needs</w:t>
      </w:r>
      <w:r w:rsidRPr="006C7607">
        <w:t>.</w:t>
      </w:r>
      <w:r>
        <w:rPr>
          <w:rStyle w:val="FootnoteReference"/>
        </w:rPr>
        <w:footnoteReference w:id="161"/>
      </w:r>
    </w:p>
    <w:p w:rsidR="004974BC" w:rsidP="004974BC">
      <w:pPr>
        <w:pStyle w:val="ParaNum"/>
        <w:widowControl/>
        <w:rPr>
          <w:szCs w:val="22"/>
        </w:rPr>
      </w:pPr>
      <w:r>
        <w:t xml:space="preserve">We deny LMCC’s request that we modify the </w:t>
      </w:r>
      <w:r>
        <w:rPr>
          <w:i/>
        </w:rPr>
        <w:t>PLMR Access NPRM</w:t>
      </w:r>
      <w:r>
        <w:t xml:space="preserve"> proposal to allow site-based SMR </w:t>
      </w:r>
      <w:r w:rsidRPr="006E67A9">
        <w:rPr>
          <w:szCs w:val="22"/>
        </w:rPr>
        <w:t>applicants</w:t>
      </w:r>
      <w:r>
        <w:t xml:space="preserve"> to operate while an application is pending.</w:t>
      </w:r>
      <w:r>
        <w:rPr>
          <w:rStyle w:val="FootnoteReference"/>
        </w:rPr>
        <w:footnoteReference w:id="162"/>
      </w:r>
      <w:r>
        <w:t xml:space="preserve">  Section 90.159 does not provide conditional authority for commercial mobile radio service applicants, and the </w:t>
      </w:r>
      <w:r>
        <w:rPr>
          <w:i/>
        </w:rPr>
        <w:t xml:space="preserve">PLMR Access </w:t>
      </w:r>
      <w:r w:rsidRPr="006E67A9">
        <w:rPr>
          <w:i/>
        </w:rPr>
        <w:t>NPRM</w:t>
      </w:r>
      <w:r>
        <w:t xml:space="preserve"> did not propose to remove that limitation.  When the Commission adopted that section, it specifically excluded SMR applicants because, unlike private mobile radio service applications, SMR applications require 30 days pre-grant public notice.</w:t>
      </w:r>
      <w:r>
        <w:rPr>
          <w:rStyle w:val="FootnoteReference"/>
        </w:rPr>
        <w:footnoteReference w:id="163"/>
      </w:r>
      <w:r>
        <w:t xml:space="preserve">  </w:t>
      </w:r>
    </w:p>
    <w:p w:rsidR="004974BC" w:rsidRPr="006E67A9" w:rsidP="004974BC">
      <w:pPr>
        <w:pStyle w:val="ParaNum"/>
        <w:widowControl/>
        <w:rPr>
          <w:szCs w:val="22"/>
        </w:rPr>
      </w:pPr>
      <w:r>
        <w:t>We also reject MRA’s argument that conditional licensing should be limited to unopposed applications and that operations under conditional authority should be secondary to incumbent licensee operations.</w:t>
      </w:r>
      <w:r>
        <w:rPr>
          <w:rStyle w:val="FootnoteReference"/>
        </w:rPr>
        <w:footnoteReference w:id="164"/>
      </w:r>
      <w:r>
        <w:t xml:space="preserve">  Other commenters, opposing MRA’s suggestions, note that the frequency coordination process provides a safeguard against incompatible operations.</w:t>
      </w:r>
      <w:r>
        <w:rPr>
          <w:rStyle w:val="FootnoteReference"/>
        </w:rPr>
        <w:footnoteReference w:id="165"/>
      </w:r>
      <w:r>
        <w:t xml:space="preserve">  As the Commission noted in the </w:t>
      </w:r>
      <w:r>
        <w:rPr>
          <w:i/>
        </w:rPr>
        <w:t xml:space="preserve">PLMR Access </w:t>
      </w:r>
      <w:r w:rsidRPr="006E67A9">
        <w:rPr>
          <w:i/>
        </w:rPr>
        <w:t>NPRM</w:t>
      </w:r>
      <w:r>
        <w:t>, our rules already permit modification or cancellation of conditional authority at any time without hearing if the need arises.</w:t>
      </w:r>
      <w:r>
        <w:rPr>
          <w:rStyle w:val="FootnoteReference"/>
        </w:rPr>
        <w:footnoteReference w:id="166"/>
      </w:r>
      <w:r>
        <w:t xml:space="preserve">  We conclude, based on the record before us, that MRA’s suggested changes to the conditional licensing rules are unnecessary and that individual incidents of interference can be addressed under our existing licensing and enforcement procedures.</w:t>
      </w:r>
      <w:r>
        <w:rPr>
          <w:rStyle w:val="FootnoteReference"/>
        </w:rPr>
        <w:footnoteReference w:id="167"/>
      </w:r>
      <w:r>
        <w:t xml:space="preserve">  </w:t>
      </w:r>
    </w:p>
    <w:p w:rsidR="004974BC" w:rsidRPr="00C017D0" w:rsidP="004974BC">
      <w:pPr>
        <w:pStyle w:val="ParaNum"/>
        <w:widowControl/>
      </w:pPr>
      <w:r>
        <w:t>We also decline the suggestion of the State of Florida to extend conditional authority beyond 180 days if the application remains pending.</w:t>
      </w:r>
      <w:r>
        <w:rPr>
          <w:rStyle w:val="FootnoteReference"/>
        </w:rPr>
        <w:footnoteReference w:id="168"/>
      </w:r>
      <w:r>
        <w:t xml:space="preserve">  LMCC opposes Florida’s proposal and encourages the Commission to enforce the 180-day limitation strictly.</w:t>
      </w:r>
      <w:r>
        <w:rPr>
          <w:rStyle w:val="FootnoteReference"/>
        </w:rPr>
        <w:footnoteReference w:id="169"/>
      </w:r>
      <w:r>
        <w:t xml:space="preserve">  The Commission concluded in 1989 that 180 days is a reasonable period for conditional authorization because it corresponds with the Communications Act’s 180-day limit on temporary authority.</w:t>
      </w:r>
      <w:r>
        <w:rPr>
          <w:rStyle w:val="FootnoteReference"/>
        </w:rPr>
        <w:footnoteReference w:id="170"/>
      </w:r>
      <w:r>
        <w:t xml:space="preserve">  Expanding conditional licensing beyond </w:t>
      </w:r>
      <w:r>
        <w:t>180 days would raise legal and policy issues that depart from Commission precedent and are not addressed in the current record.  An applicant whose application is pending longer than 180 days must request and, if warranted, be granted special temporary authority if it wishes to continue operating.</w:t>
      </w:r>
      <w:r>
        <w:rPr>
          <w:rStyle w:val="FootnoteReference"/>
        </w:rPr>
        <w:footnoteReference w:id="171"/>
      </w:r>
    </w:p>
    <w:p w:rsidR="004974BC" w:rsidP="004974BC">
      <w:pPr>
        <w:pStyle w:val="Heading3"/>
        <w:widowControl/>
      </w:pPr>
      <w:bookmarkStart w:id="66" w:name="_Toc519260235"/>
      <w:r>
        <w:t xml:space="preserve">Termination of the Freeze on Inter-Category Sharing in the 800 MHz </w:t>
      </w:r>
      <w:bookmarkEnd w:id="66"/>
      <w:r>
        <w:t>B</w:t>
      </w:r>
      <w:r w:rsidRPr="00C017D0">
        <w:t>and</w:t>
      </w:r>
    </w:p>
    <w:p w:rsidR="004974BC" w:rsidP="004974BC">
      <w:pPr>
        <w:pStyle w:val="ParaNum"/>
        <w:widowControl/>
      </w:pPr>
      <w:r>
        <w:rPr>
          <w:szCs w:val="22"/>
        </w:rPr>
        <w:t xml:space="preserve">We also terminate the freeze on inter-category sharing put into effect in 1995 by </w:t>
      </w:r>
      <w:r w:rsidRPr="001643AB">
        <w:rPr>
          <w:szCs w:val="22"/>
        </w:rPr>
        <w:t>WTB</w:t>
      </w:r>
      <w:r>
        <w:rPr>
          <w:szCs w:val="22"/>
        </w:rPr>
        <w:t>.</w:t>
      </w:r>
      <w:r>
        <w:rPr>
          <w:rStyle w:val="FootnoteReference"/>
          <w:szCs w:val="22"/>
        </w:rPr>
        <w:footnoteReference w:id="172"/>
      </w:r>
      <w:r>
        <w:rPr>
          <w:szCs w:val="22"/>
        </w:rPr>
        <w:t xml:space="preserve">  Because of the changing use of the spectrum, the fundamental rationale behind the freeze </w:t>
      </w:r>
      <w:r w:rsidRPr="00555851">
        <w:rPr>
          <w:szCs w:val="22"/>
        </w:rPr>
        <w:t>n</w:t>
      </w:r>
      <w:r>
        <w:rPr>
          <w:szCs w:val="22"/>
        </w:rPr>
        <w:t>o longer applies.  In addition, elimination of the freeze will relieve burdens on applicants, which currently must request waivers, and the Commission, which must process them.</w:t>
      </w:r>
    </w:p>
    <w:p w:rsidR="004974BC" w:rsidRPr="00F8447C" w:rsidP="004974BC">
      <w:pPr>
        <w:pStyle w:val="ParaNum"/>
        <w:widowControl/>
      </w:pPr>
      <w:r>
        <w:rPr>
          <w:snapToGrid/>
          <w:szCs w:val="22"/>
        </w:rPr>
        <w:t xml:space="preserve">Ordinarily, </w:t>
      </w:r>
      <w:r w:rsidRPr="005D6D73">
        <w:rPr>
          <w:snapToGrid/>
          <w:szCs w:val="22"/>
        </w:rPr>
        <w:t xml:space="preserve">an applicant is licensed on a frequency in the </w:t>
      </w:r>
      <w:r>
        <w:rPr>
          <w:snapToGrid/>
          <w:szCs w:val="22"/>
        </w:rPr>
        <w:t>pool (</w:t>
      </w:r>
      <w:r w:rsidRPr="00AD36BB">
        <w:t xml:space="preserve">General Category, Public Safety, </w:t>
      </w:r>
      <w:r>
        <w:t>B/ILT</w:t>
      </w:r>
      <w:r w:rsidRPr="00AD36BB">
        <w:t xml:space="preserve">, </w:t>
      </w:r>
      <w:r>
        <w:t>or</w:t>
      </w:r>
      <w:r w:rsidRPr="00AD36BB">
        <w:t xml:space="preserve"> high-site SMR</w:t>
      </w:r>
      <w:r>
        <w:rPr>
          <w:rStyle w:val="FootnoteReference"/>
        </w:rPr>
        <w:footnoteReference w:id="173"/>
      </w:r>
      <w:r>
        <w:t xml:space="preserve">) </w:t>
      </w:r>
      <w:r w:rsidRPr="005D6D73">
        <w:rPr>
          <w:snapToGrid/>
          <w:szCs w:val="22"/>
        </w:rPr>
        <w:t>for which it meets the eligibility criteria</w:t>
      </w:r>
      <w:r>
        <w:rPr>
          <w:snapToGrid/>
          <w:szCs w:val="22"/>
        </w:rPr>
        <w:t>.</w:t>
      </w:r>
      <w:r w:rsidRPr="005D6D73">
        <w:rPr>
          <w:snapToGrid/>
          <w:szCs w:val="22"/>
        </w:rPr>
        <w:t xml:space="preserve"> </w:t>
      </w:r>
      <w:r>
        <w:rPr>
          <w:snapToGrid/>
          <w:szCs w:val="22"/>
        </w:rPr>
        <w:t xml:space="preserve"> However, </w:t>
      </w:r>
      <w:r w:rsidRPr="005D6D73">
        <w:rPr>
          <w:snapToGrid/>
          <w:szCs w:val="22"/>
        </w:rPr>
        <w:t xml:space="preserve">the Commission’s </w:t>
      </w:r>
      <w:r>
        <w:rPr>
          <w:snapToGrid/>
          <w:szCs w:val="22"/>
        </w:rPr>
        <w:t>r</w:t>
      </w:r>
      <w:r w:rsidRPr="005D6D73">
        <w:rPr>
          <w:snapToGrid/>
          <w:szCs w:val="22"/>
        </w:rPr>
        <w:t xml:space="preserve">ules permit “inter-category sharing” </w:t>
      </w:r>
      <w:r>
        <w:rPr>
          <w:snapToGrid/>
          <w:szCs w:val="22"/>
        </w:rPr>
        <w:t xml:space="preserve">in certain circumstances.  </w:t>
      </w:r>
      <w:r w:rsidRPr="00D35F20">
        <w:t>An applicant eligible for licensing in the 800 MHz Public Safety Pool or B/ILT Pool may be licensed on channels outside of its pool if (a) a Commission-certified frequency coordinator certifies that no channels are available in the pool for which the applicant is eligible, and (b) the desired out-of-pool channel is available as certified by the out-of-pool channel coordinator</w:t>
      </w:r>
      <w:r>
        <w:t>.</w:t>
      </w:r>
      <w:r>
        <w:rPr>
          <w:rStyle w:val="FootnoteReference"/>
          <w:snapToGrid/>
          <w:szCs w:val="22"/>
        </w:rPr>
        <w:footnoteReference w:id="174"/>
      </w:r>
      <w:r w:rsidRPr="005D6D73">
        <w:rPr>
          <w:snapToGrid/>
          <w:szCs w:val="22"/>
        </w:rPr>
        <w:t xml:space="preserve"> </w:t>
      </w:r>
      <w:r>
        <w:rPr>
          <w:snapToGrid/>
          <w:szCs w:val="22"/>
        </w:rPr>
        <w:t xml:space="preserve"> </w:t>
      </w:r>
      <w:r>
        <w:rPr>
          <w:snapToGrid/>
          <w:kern w:val="0"/>
          <w:szCs w:val="22"/>
        </w:rPr>
        <w:t>Formerly, the rules also permitted entities eligible for the SMR Pool or General Category Pool to obtain out-of-pool channels through inter-category sharing.</w:t>
      </w:r>
      <w:r>
        <w:rPr>
          <w:rStyle w:val="FootnoteReference"/>
          <w:snapToGrid/>
          <w:kern w:val="0"/>
          <w:szCs w:val="22"/>
        </w:rPr>
        <w:footnoteReference w:id="175"/>
      </w:r>
    </w:p>
    <w:p w:rsidR="004974BC" w:rsidRPr="001B4865" w:rsidP="004974BC">
      <w:pPr>
        <w:pStyle w:val="ParaNum"/>
        <w:widowControl/>
        <w:rPr>
          <w:snapToGrid/>
          <w:kern w:val="0"/>
          <w:szCs w:val="22"/>
        </w:rPr>
      </w:pPr>
      <w:r w:rsidRPr="001B4865">
        <w:rPr>
          <w:snapToGrid/>
          <w:kern w:val="0"/>
          <w:szCs w:val="22"/>
        </w:rPr>
        <w:t>Because of a freeze on SMR applications on certain channels,</w:t>
      </w:r>
      <w:r>
        <w:rPr>
          <w:rStyle w:val="FootnoteReference"/>
          <w:snapToGrid/>
          <w:kern w:val="0"/>
          <w:szCs w:val="22"/>
        </w:rPr>
        <w:footnoteReference w:id="176"/>
      </w:r>
      <w:r w:rsidRPr="001B4865">
        <w:rPr>
          <w:snapToGrid/>
          <w:kern w:val="0"/>
          <w:szCs w:val="22"/>
        </w:rPr>
        <w:t xml:space="preserve"> by 1995, </w:t>
      </w:r>
      <w:r>
        <w:t>SMR applicants had obtained numerous inter-category sharing authorizations primarily for channels in the B/ILT Pool.  This led B/ILT entities to file inter-category sharing requests for public safety channels.  Concerned that this might lead to a shortage of public safety channels,</w:t>
      </w:r>
      <w:r>
        <w:rPr>
          <w:rStyle w:val="FootnoteReference"/>
        </w:rPr>
        <w:footnoteReference w:id="177"/>
      </w:r>
      <w:r>
        <w:t xml:space="preserve"> WTB issued its “freeze order” suspending acceptance of applications proposing inter-category sharing in the 800 MHz band.</w:t>
      </w:r>
      <w:r>
        <w:rPr>
          <w:rStyle w:val="FootnoteReference"/>
        </w:rPr>
        <w:footnoteReference w:id="178"/>
      </w:r>
    </w:p>
    <w:p w:rsidR="004974BC" w:rsidRPr="008A4C71" w:rsidP="004974BC">
      <w:pPr>
        <w:pStyle w:val="ParaNum"/>
        <w:widowControl/>
        <w:autoSpaceDE w:val="0"/>
        <w:autoSpaceDN w:val="0"/>
        <w:adjustRightInd w:val="0"/>
        <w:rPr>
          <w:snapToGrid/>
          <w:kern w:val="0"/>
          <w:szCs w:val="22"/>
        </w:rPr>
      </w:pPr>
      <w:r>
        <w:t xml:space="preserve">Over time, public safety began to use the 800 MHz band more intensely.  This led to a shortage of public safety channels in some areas.  </w:t>
      </w:r>
      <w:bookmarkStart w:id="67" w:name="_Hlk521324849"/>
      <w:r>
        <w:t>Public safety agencies, unable to identify vacant public safety channels, began seeking waivers of the inter-category freeze to obtain channels in other pools.</w:t>
      </w:r>
      <w:bookmarkEnd w:id="67"/>
      <w:r>
        <w:rPr>
          <w:rStyle w:val="FootnoteReference"/>
        </w:rPr>
        <w:footnoteReference w:id="179"/>
      </w:r>
      <w:r>
        <w:t xml:space="preserve">  Appropriate waiver requests were routinely approved.</w:t>
      </w:r>
      <w:r>
        <w:rPr>
          <w:rStyle w:val="FootnoteReference"/>
          <w:kern w:val="0"/>
          <w:szCs w:val="22"/>
        </w:rPr>
        <w:footnoteReference w:id="180"/>
      </w:r>
      <w:r>
        <w:t xml:space="preserve">   </w:t>
      </w:r>
    </w:p>
    <w:p w:rsidR="004974BC" w:rsidRPr="00340352" w:rsidP="004974BC">
      <w:pPr>
        <w:pStyle w:val="ParaNum"/>
        <w:widowControl/>
      </w:pPr>
      <w:r>
        <w:rPr>
          <w:i/>
        </w:rPr>
        <w:t>Discussion</w:t>
      </w:r>
      <w:r>
        <w:t xml:space="preserve">.  </w:t>
      </w:r>
      <w:r>
        <w:rPr>
          <w:snapToGrid/>
          <w:szCs w:val="22"/>
        </w:rPr>
        <w:t>We find the freeze on inter-category sharing is no longer necessary.  The channel environment in the 800 MHz band has evolved over the last 20 years.  The primary demand for channels is from public safety entities, many of which are constructing complex, multi-channel, statewide or county-wide systems.</w:t>
      </w:r>
      <w:r>
        <w:rPr>
          <w:rStyle w:val="FootnoteReference"/>
          <w:szCs w:val="22"/>
        </w:rPr>
        <w:footnoteReference w:id="181"/>
      </w:r>
      <w:r>
        <w:rPr>
          <w:snapToGrid/>
          <w:szCs w:val="22"/>
        </w:rPr>
        <w:t xml:space="preserve">  Public safety applicants’ requests for waiver of the inter-category sharing freeze have without exception been granted, provided they satisfied the requirements of the inter-category sharing rule.  </w:t>
      </w:r>
    </w:p>
    <w:p w:rsidR="004974BC" w:rsidRPr="00F8447C" w:rsidP="004974BC">
      <w:pPr>
        <w:pStyle w:val="ParaNum"/>
        <w:widowControl/>
      </w:pPr>
      <w:r>
        <w:rPr>
          <w:snapToGrid/>
          <w:szCs w:val="22"/>
        </w:rPr>
        <w:t>We envision no untoward effects from lifting the freeze.  Applicants still must meet the prerequisites for inter-category sharing, and parties are still free to oppose a given inter-category sharing application.</w:t>
      </w:r>
      <w:r>
        <w:rPr>
          <w:rStyle w:val="FootnoteReference"/>
          <w:szCs w:val="22"/>
        </w:rPr>
        <w:footnoteReference w:id="182"/>
      </w:r>
      <w:r>
        <w:rPr>
          <w:snapToGrid/>
          <w:szCs w:val="22"/>
        </w:rPr>
        <w:t xml:space="preserve"> </w:t>
      </w:r>
      <w:r>
        <w:rPr>
          <w:snapToGrid/>
          <w:szCs w:val="22"/>
        </w:rPr>
        <w:t xml:space="preserve"> </w:t>
      </w:r>
      <w:r>
        <w:rPr>
          <w:snapToGrid/>
          <w:szCs w:val="22"/>
        </w:rPr>
        <w:t xml:space="preserve">In the unlikely event that our action here results in difficulties similar to those that led to the institution of the 1995 freeze, we direct </w:t>
      </w:r>
      <w:r>
        <w:t xml:space="preserve">the Bureaus </w:t>
      </w:r>
      <w:r>
        <w:rPr>
          <w:snapToGrid/>
          <w:szCs w:val="22"/>
        </w:rPr>
        <w:t>to reinstitute the freeze as necessary.</w:t>
      </w:r>
    </w:p>
    <w:p w:rsidR="004974BC" w:rsidRPr="00B543F7" w:rsidP="004974BC">
      <w:pPr>
        <w:pStyle w:val="ParaNum"/>
        <w:widowControl/>
      </w:pPr>
      <w:r>
        <w:t>Termination of the freeze on inter-category sharing is procedural and therefore not subject to the notice and comment requirements of the Administrative Procedure Act.</w:t>
      </w:r>
      <w:r>
        <w:rPr>
          <w:rStyle w:val="FootnoteReference"/>
        </w:rPr>
        <w:footnoteReference w:id="183"/>
      </w:r>
    </w:p>
    <w:p w:rsidR="004974BC" w:rsidRPr="00640871" w:rsidP="004974BC">
      <w:pPr>
        <w:pStyle w:val="Heading3"/>
        <w:widowControl/>
      </w:pPr>
      <w:bookmarkStart w:id="68" w:name="_Toc519260233"/>
      <w:r>
        <w:t>Central Station Alarm Channels</w:t>
      </w:r>
      <w:bookmarkEnd w:id="68"/>
    </w:p>
    <w:p w:rsidR="004974BC" w:rsidP="004974BC">
      <w:pPr>
        <w:pStyle w:val="ParaNum"/>
        <w:widowControl/>
      </w:pPr>
      <w:r>
        <w:rPr>
          <w:szCs w:val="22"/>
        </w:rPr>
        <w:t xml:space="preserve">Section 90.35 of the Commission’s rules lists the frequencies that are available for assignment to </w:t>
      </w:r>
      <w:r w:rsidRPr="00185553">
        <w:rPr>
          <w:szCs w:val="22"/>
        </w:rPr>
        <w:t xml:space="preserve">I/B </w:t>
      </w:r>
      <w:r>
        <w:rPr>
          <w:szCs w:val="22"/>
        </w:rPr>
        <w:t>Pool stations and sets forth eligibility requirements and frequency-specific use limitations.</w:t>
      </w:r>
      <w:r>
        <w:rPr>
          <w:rStyle w:val="FootnoteReference"/>
          <w:szCs w:val="22"/>
        </w:rPr>
        <w:footnoteReference w:id="184"/>
      </w:r>
      <w:r>
        <w:rPr>
          <w:szCs w:val="22"/>
        </w:rPr>
        <w:t xml:space="preserve">  Certain frequencies are reserved </w:t>
      </w:r>
      <w:r w:rsidRPr="00DA2B08">
        <w:rPr>
          <w:szCs w:val="22"/>
        </w:rPr>
        <w:t>for the use of central station commercial protection services</w:t>
      </w:r>
      <w:r>
        <w:rPr>
          <w:szCs w:val="22"/>
        </w:rPr>
        <w:t xml:space="preserve"> </w:t>
      </w:r>
      <w:r w:rsidRPr="00DA2B08">
        <w:rPr>
          <w:szCs w:val="22"/>
        </w:rPr>
        <w:t>to maintain communications paths between alarm systems at customer premises and central station alarm monitoring centers.</w:t>
      </w:r>
      <w:r>
        <w:rPr>
          <w:szCs w:val="22"/>
          <w:vertAlign w:val="superscript"/>
        </w:rPr>
        <w:footnoteReference w:id="185"/>
      </w:r>
      <w:r w:rsidRPr="00DA2B08">
        <w:rPr>
          <w:szCs w:val="22"/>
        </w:rPr>
        <w:t xml:space="preserve">  </w:t>
      </w:r>
      <w:r w:rsidRPr="00C8405D">
        <w:rPr>
          <w:szCs w:val="22"/>
        </w:rPr>
        <w:t>Except for five “primary” frequency pairs, these frequencies are limited to two watts output power.</w:t>
      </w:r>
      <w:r>
        <w:rPr>
          <w:rStyle w:val="FootnoteReference"/>
          <w:szCs w:val="22"/>
        </w:rPr>
        <w:footnoteReference w:id="186"/>
      </w:r>
      <w:r>
        <w:rPr>
          <w:szCs w:val="22"/>
        </w:rPr>
        <w:t xml:space="preserve">  I</w:t>
      </w:r>
      <w:r w:rsidRPr="00BA5F8E">
        <w:rPr>
          <w:szCs w:val="22"/>
        </w:rPr>
        <w:t xml:space="preserve">n the </w:t>
      </w:r>
      <w:r w:rsidRPr="00BA5F8E">
        <w:rPr>
          <w:i/>
          <w:szCs w:val="22"/>
        </w:rPr>
        <w:t>PLMR Access NPRM</w:t>
      </w:r>
      <w:r>
        <w:rPr>
          <w:szCs w:val="22"/>
        </w:rPr>
        <w:t xml:space="preserve">, the Commission noted </w:t>
      </w:r>
      <w:r w:rsidRPr="00BA5F8E">
        <w:rPr>
          <w:szCs w:val="22"/>
        </w:rPr>
        <w:t>that th</w:t>
      </w:r>
      <w:r>
        <w:rPr>
          <w:szCs w:val="22"/>
        </w:rPr>
        <w:t>e</w:t>
      </w:r>
      <w:r w:rsidRPr="00BA5F8E">
        <w:rPr>
          <w:szCs w:val="22"/>
        </w:rPr>
        <w:t>s</w:t>
      </w:r>
      <w:r>
        <w:rPr>
          <w:szCs w:val="22"/>
        </w:rPr>
        <w:t>e</w:t>
      </w:r>
      <w:r w:rsidRPr="00BA5F8E">
        <w:rPr>
          <w:szCs w:val="22"/>
        </w:rPr>
        <w:t xml:space="preserve"> </w:t>
      </w:r>
      <w:r>
        <w:rPr>
          <w:szCs w:val="22"/>
        </w:rPr>
        <w:t>channel</w:t>
      </w:r>
      <w:r w:rsidRPr="00BA5F8E">
        <w:rPr>
          <w:szCs w:val="22"/>
        </w:rPr>
        <w:t>s</w:t>
      </w:r>
      <w:r>
        <w:rPr>
          <w:szCs w:val="22"/>
        </w:rPr>
        <w:t xml:space="preserve"> </w:t>
      </w:r>
      <w:r w:rsidRPr="00BA5F8E">
        <w:rPr>
          <w:szCs w:val="22"/>
        </w:rPr>
        <w:t>w</w:t>
      </w:r>
      <w:r>
        <w:rPr>
          <w:szCs w:val="22"/>
        </w:rPr>
        <w:t>ere</w:t>
      </w:r>
      <w:r w:rsidRPr="00BA5F8E">
        <w:rPr>
          <w:szCs w:val="22"/>
        </w:rPr>
        <w:t xml:space="preserve"> set aside for central station use 50 years ago,</w:t>
      </w:r>
      <w:r>
        <w:rPr>
          <w:rStyle w:val="FootnoteReference"/>
          <w:szCs w:val="22"/>
        </w:rPr>
        <w:footnoteReference w:id="187"/>
      </w:r>
      <w:r w:rsidRPr="00BA5F8E">
        <w:rPr>
          <w:szCs w:val="22"/>
        </w:rPr>
        <w:t xml:space="preserve"> </w:t>
      </w:r>
      <w:r>
        <w:rPr>
          <w:szCs w:val="22"/>
        </w:rPr>
        <w:t xml:space="preserve">and it observed </w:t>
      </w:r>
      <w:r w:rsidRPr="00BA5F8E">
        <w:rPr>
          <w:szCs w:val="22"/>
        </w:rPr>
        <w:t>that th</w:t>
      </w:r>
      <w:r>
        <w:rPr>
          <w:szCs w:val="22"/>
        </w:rPr>
        <w:t>is spectrum</w:t>
      </w:r>
      <w:r w:rsidRPr="00BA5F8E">
        <w:rPr>
          <w:szCs w:val="22"/>
        </w:rPr>
        <w:t xml:space="preserve"> </w:t>
      </w:r>
      <w:r>
        <w:rPr>
          <w:szCs w:val="22"/>
        </w:rPr>
        <w:t>appeared</w:t>
      </w:r>
      <w:r w:rsidRPr="00BA5F8E">
        <w:rPr>
          <w:szCs w:val="22"/>
        </w:rPr>
        <w:t xml:space="preserve"> </w:t>
      </w:r>
      <w:r w:rsidRPr="00BA5F8E">
        <w:rPr>
          <w:szCs w:val="22"/>
        </w:rPr>
        <w:t>to be under</w:t>
      </w:r>
      <w:r>
        <w:rPr>
          <w:szCs w:val="22"/>
        </w:rPr>
        <w:t>us</w:t>
      </w:r>
      <w:r w:rsidRPr="00BA5F8E">
        <w:rPr>
          <w:szCs w:val="22"/>
        </w:rPr>
        <w:t>ed.</w:t>
      </w:r>
      <w:r>
        <w:rPr>
          <w:rStyle w:val="FootnoteReference"/>
          <w:szCs w:val="22"/>
        </w:rPr>
        <w:footnoteReference w:id="188"/>
      </w:r>
      <w:r w:rsidRPr="00BA5F8E">
        <w:rPr>
          <w:szCs w:val="22"/>
        </w:rPr>
        <w:t xml:space="preserve">  </w:t>
      </w:r>
      <w:r>
        <w:rPr>
          <w:szCs w:val="22"/>
        </w:rPr>
        <w:t>The Commission</w:t>
      </w:r>
      <w:r w:rsidRPr="00BA5F8E">
        <w:rPr>
          <w:szCs w:val="22"/>
        </w:rPr>
        <w:t xml:space="preserve"> surmised that the need for these chann</w:t>
      </w:r>
      <w:r w:rsidRPr="00D0248A">
        <w:rPr>
          <w:szCs w:val="22"/>
        </w:rPr>
        <w:t xml:space="preserve">els had diminished due to advances in </w:t>
      </w:r>
      <w:r>
        <w:rPr>
          <w:szCs w:val="22"/>
        </w:rPr>
        <w:t xml:space="preserve">other </w:t>
      </w:r>
      <w:r w:rsidRPr="00D0248A">
        <w:rPr>
          <w:szCs w:val="22"/>
        </w:rPr>
        <w:t xml:space="preserve">services and technologies that can be used to complete the communications path </w:t>
      </w:r>
      <w:r>
        <w:rPr>
          <w:szCs w:val="22"/>
        </w:rPr>
        <w:t>to</w:t>
      </w:r>
      <w:r w:rsidRPr="00D0248A">
        <w:rPr>
          <w:szCs w:val="22"/>
        </w:rPr>
        <w:t xml:space="preserve"> the alarm service central office, such as cellular telephone, satellite communication services, and the Internet.</w:t>
      </w:r>
      <w:r>
        <w:rPr>
          <w:rStyle w:val="FootnoteReference"/>
          <w:szCs w:val="22"/>
        </w:rPr>
        <w:footnoteReference w:id="189"/>
      </w:r>
      <w:r>
        <w:rPr>
          <w:szCs w:val="22"/>
        </w:rPr>
        <w:t xml:space="preserve">  T</w:t>
      </w:r>
      <w:r w:rsidRPr="00DA2B08">
        <w:rPr>
          <w:szCs w:val="22"/>
        </w:rPr>
        <w:t>he Commission proposed to modify section 90.35</w:t>
      </w:r>
      <w:r w:rsidRPr="00561276">
        <w:rPr>
          <w:szCs w:val="22"/>
        </w:rPr>
        <w:t xml:space="preserve">(c) </w:t>
      </w:r>
      <w:r w:rsidRPr="00A07793">
        <w:rPr>
          <w:szCs w:val="22"/>
        </w:rPr>
        <w:t xml:space="preserve">to make frequencies </w:t>
      </w:r>
      <w:r>
        <w:rPr>
          <w:szCs w:val="22"/>
        </w:rPr>
        <w:t xml:space="preserve">that </w:t>
      </w:r>
      <w:r w:rsidRPr="00A07793">
        <w:rPr>
          <w:szCs w:val="22"/>
        </w:rPr>
        <w:t xml:space="preserve">currently </w:t>
      </w:r>
      <w:r>
        <w:rPr>
          <w:szCs w:val="22"/>
        </w:rPr>
        <w:t xml:space="preserve">are </w:t>
      </w:r>
      <w:r w:rsidRPr="00A07793">
        <w:rPr>
          <w:szCs w:val="22"/>
        </w:rPr>
        <w:t>limited to central station alarm operations available for other uses</w:t>
      </w:r>
      <w:r>
        <w:rPr>
          <w:szCs w:val="22"/>
        </w:rPr>
        <w:t>, including ways to provide expanded PLMR access, the costs and benefits of such approaches, and how interference to incumbents might be prevented</w:t>
      </w:r>
      <w:r w:rsidRPr="00A07793">
        <w:rPr>
          <w:szCs w:val="22"/>
        </w:rPr>
        <w:t>.</w:t>
      </w:r>
      <w:r>
        <w:rPr>
          <w:rStyle w:val="FootnoteReference"/>
          <w:szCs w:val="22"/>
        </w:rPr>
        <w:footnoteReference w:id="190"/>
      </w:r>
      <w:r w:rsidRPr="00DA2B08">
        <w:rPr>
          <w:szCs w:val="22"/>
        </w:rPr>
        <w:t xml:space="preserve">  </w:t>
      </w:r>
      <w:r>
        <w:t xml:space="preserve">We agree with the majority of </w:t>
      </w:r>
      <w:r w:rsidRPr="00561276">
        <w:t xml:space="preserve">commenters addressing the issue </w:t>
      </w:r>
      <w:r>
        <w:t>that</w:t>
      </w:r>
      <w:r w:rsidRPr="00561276">
        <w:t xml:space="preserve"> central station channels </w:t>
      </w:r>
      <w:r>
        <w:t xml:space="preserve">should be made </w:t>
      </w:r>
      <w:r w:rsidRPr="00561276">
        <w:t>available for other uses.</w:t>
      </w:r>
      <w:r>
        <w:rPr>
          <w:rStyle w:val="FootnoteReference"/>
          <w:szCs w:val="22"/>
        </w:rPr>
        <w:footnoteReference w:id="191"/>
      </w:r>
    </w:p>
    <w:p w:rsidR="004974BC" w:rsidRPr="00561276" w:rsidP="004974BC">
      <w:pPr>
        <w:pStyle w:val="ParaNum"/>
        <w:widowControl/>
      </w:pPr>
      <w:r w:rsidRPr="00561276">
        <w:t xml:space="preserve">Only The Monitoring Association (formerly the Central Station Alarm Association) argues generally that the use restriction </w:t>
      </w:r>
      <w:r>
        <w:t xml:space="preserve">on these channels </w:t>
      </w:r>
      <w:r w:rsidRPr="00561276">
        <w:t xml:space="preserve">should be retained.  It </w:t>
      </w:r>
      <w:r>
        <w:t xml:space="preserve">asserts </w:t>
      </w:r>
      <w:r w:rsidRPr="00561276">
        <w:t xml:space="preserve">that </w:t>
      </w:r>
      <w:r>
        <w:t>the restriction should not be removed at this time because an increasing</w:t>
      </w:r>
      <w:r w:rsidRPr="00561276">
        <w:t xml:space="preserve"> percentage of alarm systems </w:t>
      </w:r>
      <w:r>
        <w:t xml:space="preserve">will </w:t>
      </w:r>
      <w:r w:rsidRPr="00561276">
        <w:t>use wireless devices to relay signals to the central station, and millions of existing users are expected to transition to central station channels in response to the sunset of 2G cellular service and decommissioning of telephone land lines.</w:t>
      </w:r>
      <w:r>
        <w:rPr>
          <w:rStyle w:val="FootnoteReference"/>
          <w:szCs w:val="22"/>
        </w:rPr>
        <w:footnoteReference w:id="192"/>
      </w:r>
      <w:r w:rsidRPr="00561276">
        <w:t xml:space="preserve">  </w:t>
      </w:r>
      <w:r>
        <w:t xml:space="preserve">We believe that </w:t>
      </w:r>
      <w:r w:rsidRPr="00561276">
        <w:t>access to additional frequencies to help relieve congestion affecting PLMR users can be provided while still meeting the needs of the alarm industry.</w:t>
      </w:r>
      <w:r>
        <w:rPr>
          <w:rStyle w:val="FootnoteReference"/>
          <w:szCs w:val="22"/>
        </w:rPr>
        <w:footnoteReference w:id="193"/>
      </w:r>
      <w:r w:rsidRPr="00561276">
        <w:t xml:space="preserve">  </w:t>
      </w:r>
    </w:p>
    <w:p w:rsidR="004974BC" w:rsidP="004974BC">
      <w:pPr>
        <w:pStyle w:val="ParaNum"/>
        <w:widowControl/>
      </w:pPr>
      <w:r>
        <w:t>The reservation of these channels for central station commercial protection services reflected the Commission’s approach to PLMR spectrum</w:t>
      </w:r>
      <w:r w:rsidRPr="00BC4B00">
        <w:t xml:space="preserve"> </w:t>
      </w:r>
      <w:r>
        <w:t xml:space="preserve">at the time, when what is now the I/B Pool was divided into multiple industry-specific services.  The Commission subsequently consolidated the separate </w:t>
      </w:r>
      <w:r>
        <w:t>services into the I/B Pool to encourage more efficient use of the spectrum and to reduce administrative burdens.</w:t>
      </w:r>
      <w:r>
        <w:rPr>
          <w:rStyle w:val="FootnoteReference"/>
        </w:rPr>
        <w:footnoteReference w:id="194"/>
      </w:r>
      <w:r>
        <w:t xml:space="preserve">  It recognized, however, that “some types of radio users employ radio </w:t>
      </w:r>
      <w:r w:rsidRPr="0096264B">
        <w:t xml:space="preserve">not just for day-to-day business needs but also to respond to emergencies that could be extremely </w:t>
      </w:r>
      <w:r>
        <w:t>dangerous to the general public.”</w:t>
      </w:r>
      <w:r>
        <w:rPr>
          <w:rStyle w:val="FootnoteReference"/>
        </w:rPr>
        <w:footnoteReference w:id="195"/>
      </w:r>
      <w:r>
        <w:t xml:space="preserve">  Rather than leave that spectrum designated for those industries’ exclusive use, the Commission required entities applying for frequencies formerly allocated solely to the Railroad, Power, Petroleum, or Automobile Emergency Radio Services to obtain coordination or concurrence from the certified frequency coordinator for that service.</w:t>
      </w:r>
      <w:r>
        <w:rPr>
          <w:rStyle w:val="FootnoteReference"/>
        </w:rPr>
        <w:footnoteReference w:id="196"/>
      </w:r>
      <w:r>
        <w:t xml:space="preserve">  That coordinator could deny coordination or concurrence where an application “would have a demonstrable, material, adverse effect on safety.”</w:t>
      </w:r>
      <w:r>
        <w:rPr>
          <w:rStyle w:val="FootnoteReference"/>
        </w:rPr>
        <w:footnoteReference w:id="197"/>
      </w:r>
      <w:r>
        <w:t xml:space="preserve">  We find that this approach has worked well to expand access to PLMR spectrum while protecting safety-related communications.  We further find that such a requirement would address </w:t>
      </w:r>
      <w:r w:rsidRPr="00561276">
        <w:t>The Monitoring Association</w:t>
      </w:r>
      <w:r>
        <w:t>’s concerns that unrestricted sharing with other I/B Pool eligibles will result in interference to central station alarm systems.</w:t>
      </w:r>
      <w:r>
        <w:rPr>
          <w:rStyle w:val="FootnoteReference"/>
        </w:rPr>
        <w:footnoteReference w:id="198"/>
      </w:r>
      <w:r>
        <w:t xml:space="preserve">  </w:t>
      </w:r>
    </w:p>
    <w:p w:rsidR="004974BC" w:rsidRPr="00561276" w:rsidP="004974BC">
      <w:pPr>
        <w:pStyle w:val="ParaNum"/>
        <w:widowControl/>
      </w:pPr>
      <w:r>
        <w:t>Consequently, we amend sections 90.35(c), 90.175(b), and 90.267(f) of the Commission’s rules to require entities other than central station commercial protection services to obtain the concurrence of the central station alarm channel frequency coordinator</w:t>
      </w:r>
      <w:r>
        <w:rPr>
          <w:rStyle w:val="FootnoteReference"/>
        </w:rPr>
        <w:footnoteReference w:id="199"/>
      </w:r>
      <w:r>
        <w:t xml:space="preserve"> before they are permitted to use these channels.</w:t>
      </w:r>
      <w:r>
        <w:rPr>
          <w:rStyle w:val="FootnoteReference"/>
        </w:rPr>
        <w:footnoteReference w:id="200"/>
      </w:r>
      <w:r>
        <w:t xml:space="preserve">  </w:t>
      </w:r>
      <w:r w:rsidRPr="00BC4BC0">
        <w:rPr>
          <w:szCs w:val="22"/>
        </w:rPr>
        <w:t>We conclude that th</w:t>
      </w:r>
      <w:r>
        <w:rPr>
          <w:szCs w:val="22"/>
        </w:rPr>
        <w:t>is</w:t>
      </w:r>
      <w:r w:rsidRPr="00BC4BC0">
        <w:rPr>
          <w:szCs w:val="22"/>
        </w:rPr>
        <w:t xml:space="preserve"> approach </w:t>
      </w:r>
      <w:r>
        <w:rPr>
          <w:szCs w:val="22"/>
        </w:rPr>
        <w:t xml:space="preserve">serves </w:t>
      </w:r>
      <w:r w:rsidRPr="00BC4BC0">
        <w:rPr>
          <w:szCs w:val="22"/>
        </w:rPr>
        <w:t>the public interest because it will make unused central station frequencies available for other PLMR operations while protecting central station operations.</w:t>
      </w:r>
      <w:r>
        <w:rPr>
          <w:rStyle w:val="FootnoteReference"/>
          <w:szCs w:val="22"/>
        </w:rPr>
        <w:footnoteReference w:id="201"/>
      </w:r>
      <w:r w:rsidRPr="00BC4BC0">
        <w:rPr>
          <w:szCs w:val="22"/>
        </w:rPr>
        <w:t xml:space="preserve">  </w:t>
      </w:r>
    </w:p>
    <w:p w:rsidR="004974BC" w:rsidRPr="00780596" w:rsidP="004974BC">
      <w:pPr>
        <w:pStyle w:val="ParaNum"/>
        <w:widowControl/>
      </w:pPr>
      <w:r>
        <w:t xml:space="preserve">Finally, </w:t>
      </w:r>
      <w:r w:rsidRPr="00561276">
        <w:t xml:space="preserve">The Monitoring Association </w:t>
      </w:r>
      <w:r>
        <w:t xml:space="preserve">and </w:t>
      </w:r>
      <w:r w:rsidRPr="00561276">
        <w:t xml:space="preserve">LMCC suggest that the Commission modify section 90.35(c)(64) of the Commission’s rules to ease limitations on central station use of primary </w:t>
      </w:r>
      <w:r w:rsidRPr="00561276">
        <w:t>channels for data signaling,</w:t>
      </w:r>
      <w:r>
        <w:rPr>
          <w:rStyle w:val="FootnoteReference"/>
          <w:szCs w:val="22"/>
        </w:rPr>
        <w:footnoteReference w:id="202"/>
      </w:r>
      <w:r w:rsidRPr="00561276">
        <w:t xml:space="preserve"> which The Monitoring Association argues will make the channels more useful for alarm services.</w:t>
      </w:r>
      <w:r>
        <w:rPr>
          <w:rStyle w:val="FootnoteReference"/>
          <w:szCs w:val="22"/>
        </w:rPr>
        <w:footnoteReference w:id="203"/>
      </w:r>
      <w:r>
        <w:t xml:space="preserve">  We </w:t>
      </w:r>
      <w:r w:rsidRPr="007B352D">
        <w:rPr>
          <w:szCs w:val="22"/>
        </w:rPr>
        <w:t>agree that the purpose of the rule permitting data signaling—to allow central station licensees to improve their systems’ operating efficiency and to facilitate immediate communication with police and fire departments in emergencies—is no longer served by the current technical restrictions, which are 40 years old.</w:t>
      </w:r>
      <w:r>
        <w:rPr>
          <w:rStyle w:val="FootnoteReference"/>
          <w:szCs w:val="22"/>
        </w:rPr>
        <w:footnoteReference w:id="204"/>
      </w:r>
      <w:r w:rsidRPr="007B352D">
        <w:rPr>
          <w:szCs w:val="22"/>
        </w:rPr>
        <w:t xml:space="preserve">  We amend section 90.35(c) to ease limitations on central station use of primary channels for data signaling.</w:t>
      </w:r>
      <w:bookmarkStart w:id="72" w:name="_Hlk515898561"/>
    </w:p>
    <w:p w:rsidR="004974BC" w:rsidP="004974BC">
      <w:pPr>
        <w:pStyle w:val="Heading2"/>
        <w:widowControl/>
      </w:pPr>
      <w:bookmarkStart w:id="73" w:name="_Toc519260252"/>
      <w:r>
        <w:t>Editorial Corrections and Updates</w:t>
      </w:r>
      <w:bookmarkEnd w:id="73"/>
    </w:p>
    <w:p w:rsidR="004974BC" w:rsidP="004974BC">
      <w:pPr>
        <w:pStyle w:val="ParaNum"/>
        <w:widowControl/>
      </w:pPr>
      <w:r w:rsidRPr="00841F92">
        <w:rPr>
          <w:rFonts w:eastAsia="Calibri"/>
          <w:snapToGrid/>
        </w:rPr>
        <w:t xml:space="preserve">In addition to the substantive proposals discussed above, the </w:t>
      </w:r>
      <w:r w:rsidRPr="00841F92">
        <w:rPr>
          <w:i/>
        </w:rPr>
        <w:t xml:space="preserve">PLMR Access </w:t>
      </w:r>
      <w:r w:rsidRPr="00841F92">
        <w:rPr>
          <w:rFonts w:eastAsia="Calibri"/>
          <w:i/>
          <w:snapToGrid/>
        </w:rPr>
        <w:t>NPRM</w:t>
      </w:r>
      <w:r w:rsidRPr="00841F92">
        <w:rPr>
          <w:rFonts w:eastAsia="Calibri"/>
          <w:snapToGrid/>
        </w:rPr>
        <w:t xml:space="preserve"> proposed to make certain corrections to section 90.35.</w:t>
      </w:r>
      <w:r>
        <w:rPr>
          <w:rStyle w:val="FootnoteReference"/>
          <w:rFonts w:eastAsia="Calibri"/>
          <w:kern w:val="0"/>
          <w:szCs w:val="22"/>
        </w:rPr>
        <w:footnoteReference w:id="205"/>
      </w:r>
      <w:r>
        <w:rPr>
          <w:rFonts w:eastAsia="Calibri"/>
          <w:snapToGrid/>
        </w:rPr>
        <w:t xml:space="preserve">  The Commission </w:t>
      </w:r>
      <w:r w:rsidRPr="00841F92">
        <w:rPr>
          <w:rFonts w:eastAsia="Calibri"/>
          <w:snapToGrid/>
        </w:rPr>
        <w:t>received no comments regarding these proposals.</w:t>
      </w:r>
      <w:r>
        <w:rPr>
          <w:rStyle w:val="FootnoteReference"/>
          <w:rFonts w:eastAsia="Calibri"/>
          <w:kern w:val="0"/>
          <w:szCs w:val="22"/>
        </w:rPr>
        <w:footnoteReference w:id="206"/>
      </w:r>
      <w:r w:rsidRPr="00841F92">
        <w:rPr>
          <w:rFonts w:eastAsia="Calibri"/>
          <w:snapToGrid/>
        </w:rPr>
        <w:t xml:space="preserve">  As proposed, we restore two airports (Kahului and Ke-Ahole) to the list of airports at or near which certain frequencies are reserved for commercial air transportation services.</w:t>
      </w:r>
      <w:r>
        <w:rPr>
          <w:rStyle w:val="FootnoteReference"/>
          <w:rFonts w:eastAsia="Calibri"/>
          <w:kern w:val="0"/>
          <w:szCs w:val="22"/>
        </w:rPr>
        <w:footnoteReference w:id="207"/>
      </w:r>
      <w:r w:rsidRPr="00841F92">
        <w:rPr>
          <w:rFonts w:eastAsia="Calibri"/>
          <w:snapToGrid/>
        </w:rPr>
        <w:t xml:space="preserve">  These two airports were inadvertently deleted when the list was last updated.</w:t>
      </w:r>
      <w:r>
        <w:rPr>
          <w:rFonts w:eastAsia="Calibri"/>
          <w:snapToGrid/>
          <w:vertAlign w:val="superscript"/>
        </w:rPr>
        <w:footnoteReference w:id="208"/>
      </w:r>
      <w:r w:rsidRPr="00841F92">
        <w:rPr>
          <w:rFonts w:eastAsia="Calibri"/>
          <w:snapToGrid/>
        </w:rPr>
        <w:t xml:space="preserve">  We also correct the coordinates for one airport (Boeing/King County International) that were listed incorrectly.  In addition, we correct the entries in the I/B Pool table for frequencies from 153.0425 MHz to 153.4025 MHz for which the notation indicating that the concurrence of the Petroleum Coordinator is required was inadvertently deleted.</w:t>
      </w:r>
      <w:r>
        <w:rPr>
          <w:rFonts w:eastAsia="Calibri"/>
          <w:snapToGrid/>
          <w:vertAlign w:val="superscript"/>
        </w:rPr>
        <w:footnoteReference w:id="209"/>
      </w:r>
    </w:p>
    <w:p w:rsidR="004974BC" w:rsidP="004974BC">
      <w:pPr>
        <w:pStyle w:val="Heading1"/>
        <w:widowControl/>
      </w:pPr>
      <w:bookmarkStart w:id="74" w:name="_Toc499815983"/>
      <w:bookmarkStart w:id="75" w:name="_Toc487811684"/>
      <w:bookmarkStart w:id="76" w:name="_Toc487812275"/>
      <w:bookmarkStart w:id="77" w:name="_Toc488043040"/>
      <w:bookmarkStart w:id="78" w:name="_Toc487811685"/>
      <w:bookmarkStart w:id="79" w:name="_Toc487812276"/>
      <w:bookmarkStart w:id="80" w:name="_Toc488043041"/>
      <w:bookmarkStart w:id="81" w:name="_Toc487811686"/>
      <w:bookmarkStart w:id="82" w:name="_Toc487812277"/>
      <w:bookmarkStart w:id="83" w:name="_Toc488043042"/>
      <w:bookmarkStart w:id="84" w:name="_Toc467505848"/>
      <w:bookmarkStart w:id="85" w:name="_Toc487811687"/>
      <w:bookmarkStart w:id="86" w:name="_Toc487812278"/>
      <w:bookmarkStart w:id="87" w:name="_Toc488043043"/>
      <w:bookmarkStart w:id="88" w:name="_Toc498610370"/>
      <w:bookmarkStart w:id="89" w:name="_Toc498611077"/>
      <w:bookmarkStart w:id="90" w:name="_Toc499561036"/>
      <w:bookmarkStart w:id="91" w:name="_Toc499561161"/>
      <w:bookmarkStart w:id="92" w:name="_Toc499561298"/>
      <w:bookmarkStart w:id="93" w:name="_Toc499561455"/>
      <w:bookmarkStart w:id="94" w:name="_Toc499561701"/>
      <w:bookmarkStart w:id="95" w:name="_Toc499561871"/>
      <w:bookmarkStart w:id="96" w:name="_Toc499731402"/>
      <w:bookmarkStart w:id="97" w:name="_Toc499815984"/>
      <w:bookmarkStart w:id="98" w:name="_Toc500945692"/>
      <w:bookmarkStart w:id="99" w:name="_Toc501012154"/>
      <w:bookmarkStart w:id="100" w:name="_Toc519260253"/>
      <w:bookmarkEnd w:id="74"/>
      <w:bookmarkEnd w:id="75"/>
      <w:bookmarkEnd w:id="76"/>
      <w:bookmarkEnd w:id="77"/>
      <w:bookmarkEnd w:id="78"/>
      <w:bookmarkEnd w:id="79"/>
      <w:bookmarkEnd w:id="80"/>
      <w:bookmarkEnd w:id="81"/>
      <w:bookmarkEnd w:id="82"/>
      <w:bookmarkEnd w:id="83"/>
      <w:r w:rsidRPr="00F13291">
        <w:t>PROCEDURAL MATTERS</w:t>
      </w:r>
      <w:bookmarkStart w:id="101" w:name="_Hlk51589774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4974BC" w:rsidRPr="00F13291" w:rsidP="004974BC">
      <w:pPr>
        <w:pStyle w:val="ParaNum"/>
        <w:widowControl/>
      </w:pPr>
      <w:bookmarkStart w:id="102" w:name="_Toc382916324"/>
      <w:bookmarkStart w:id="103" w:name="_Toc384977048"/>
      <w:bookmarkStart w:id="104" w:name="_Toc384977231"/>
      <w:bookmarkStart w:id="105" w:name="_Toc384983487"/>
      <w:bookmarkStart w:id="106" w:name="_Toc384983670"/>
      <w:bookmarkStart w:id="107" w:name="_Toc384983853"/>
      <w:bookmarkStart w:id="108" w:name="_Toc384984036"/>
      <w:bookmarkEnd w:id="72"/>
      <w:bookmarkEnd w:id="101"/>
      <w:r>
        <w:rPr>
          <w:i/>
        </w:rPr>
        <w:t>Final Regulatory Flexibility Analysis.—</w:t>
      </w:r>
      <w:r>
        <w:t xml:space="preserve">As required by the </w:t>
      </w:r>
      <w:r w:rsidRPr="009655B9">
        <w:t>Regulatory Flexibility Act</w:t>
      </w:r>
      <w:r>
        <w:t xml:space="preserve"> (RFA)</w:t>
      </w:r>
      <w:r w:rsidRPr="009655B9">
        <w:t xml:space="preserve"> of 1980,</w:t>
      </w:r>
      <w:r>
        <w:rPr>
          <w:vertAlign w:val="superscript"/>
        </w:rPr>
        <w:footnoteReference w:id="210"/>
      </w:r>
      <w:r w:rsidRPr="009655B9">
        <w:t xml:space="preserve"> as amended, </w:t>
      </w:r>
      <w:r>
        <w:t xml:space="preserve">an Initial Regulatory Flexibility Analysis (IRFA) was incorporated into the </w:t>
      </w:r>
      <w:r w:rsidRPr="00A26490">
        <w:rPr>
          <w:i/>
        </w:rPr>
        <w:t>NPRMs</w:t>
      </w:r>
      <w:r>
        <w:t>.</w:t>
      </w:r>
      <w:r>
        <w:rPr>
          <w:rStyle w:val="FootnoteReference"/>
        </w:rPr>
        <w:footnoteReference w:id="211"/>
      </w:r>
      <w:r>
        <w:t xml:space="preserve">  The Commission sought, but did not receive, written public </w:t>
      </w:r>
      <w:r w:rsidRPr="00A63739">
        <w:t>comment</w:t>
      </w:r>
      <w:r>
        <w:t xml:space="preserve"> on the possible significant economic impact on small entities regarding the proposals addressed in the </w:t>
      </w:r>
      <w:r w:rsidRPr="00A26490">
        <w:rPr>
          <w:i/>
        </w:rPr>
        <w:t>NPRMs</w:t>
      </w:r>
      <w:r>
        <w:t xml:space="preserve">, including comments on the IRFAs.  Pursuant to the RFA, </w:t>
      </w:r>
      <w:r w:rsidRPr="00CC6E82">
        <w:t>the</w:t>
      </w:r>
      <w:r w:rsidRPr="009655B9">
        <w:t xml:space="preserve"> Final </w:t>
      </w:r>
      <w:r w:rsidRPr="00A26490">
        <w:rPr>
          <w:color w:val="010101"/>
        </w:rPr>
        <w:t xml:space="preserve">Regulatory Flexibility </w:t>
      </w:r>
      <w:r w:rsidRPr="009655B9">
        <w:t>Analysis</w:t>
      </w:r>
      <w:r w:rsidRPr="00A26490">
        <w:rPr>
          <w:color w:val="010101"/>
        </w:rPr>
        <w:t xml:space="preserve"> in this </w:t>
      </w:r>
      <w:r w:rsidRPr="00A26490">
        <w:rPr>
          <w:i/>
          <w:color w:val="010101"/>
        </w:rPr>
        <w:t>Report and Order and Order</w:t>
      </w:r>
      <w:r w:rsidRPr="00A26490">
        <w:rPr>
          <w:color w:val="010101"/>
        </w:rPr>
        <w:t xml:space="preserve"> is attached as Appendix A.</w:t>
      </w:r>
      <w:bookmarkStart w:id="109" w:name="_Hlk515897791"/>
      <w:bookmarkEnd w:id="102"/>
      <w:bookmarkEnd w:id="103"/>
      <w:bookmarkEnd w:id="104"/>
      <w:bookmarkEnd w:id="105"/>
      <w:bookmarkEnd w:id="106"/>
      <w:bookmarkEnd w:id="107"/>
      <w:bookmarkEnd w:id="108"/>
      <w:r w:rsidRPr="00A26490">
        <w:rPr>
          <w:color w:val="010101"/>
        </w:rPr>
        <w:t xml:space="preserve">  </w:t>
      </w:r>
      <w:r w:rsidRPr="00182DC9">
        <w:t xml:space="preserve">The Commission’s Consumer and Governmental </w:t>
      </w:r>
      <w:r w:rsidRPr="00182DC9">
        <w:t xml:space="preserve">Affairs Bureau, Reference Information Center, will send a copy of the </w:t>
      </w:r>
      <w:r w:rsidRPr="00A26490">
        <w:rPr>
          <w:i/>
        </w:rPr>
        <w:t>Report and Order and Order</w:t>
      </w:r>
      <w:r w:rsidRPr="00182DC9">
        <w:t xml:space="preserve">, including the FRFA, to the Chief Counsel for Advocacy of the Small Business Administration.  In addition, the Commission will send a copy of the </w:t>
      </w:r>
      <w:r w:rsidRPr="00A26490">
        <w:rPr>
          <w:i/>
        </w:rPr>
        <w:t>Report and Order and Order</w:t>
      </w:r>
      <w:r w:rsidRPr="00182DC9">
        <w:t xml:space="preserve">, including the FRFA, in a report to Congress pursuant to the </w:t>
      </w:r>
      <w:r w:rsidRPr="00A26490">
        <w:rPr>
          <w:bCs/>
        </w:rPr>
        <w:t>Congressional Review Act</w:t>
      </w:r>
      <w:bookmarkStart w:id="110" w:name="SR;13657"/>
      <w:bookmarkEnd w:id="110"/>
      <w:r w:rsidRPr="00182DC9">
        <w:t>.</w:t>
      </w:r>
      <w:r>
        <w:rPr>
          <w:rStyle w:val="FootnoteReference"/>
        </w:rPr>
        <w:footnoteReference w:id="212"/>
      </w:r>
    </w:p>
    <w:p w:rsidR="004974BC" w:rsidP="004974BC">
      <w:pPr>
        <w:pStyle w:val="ParaNum"/>
        <w:widowControl/>
      </w:pPr>
      <w:bookmarkStart w:id="111" w:name="_Toc384977050"/>
      <w:bookmarkStart w:id="112" w:name="_Toc384977233"/>
      <w:bookmarkStart w:id="113" w:name="_Toc384983489"/>
      <w:bookmarkStart w:id="114" w:name="_Toc384983672"/>
      <w:bookmarkStart w:id="115" w:name="_Toc384983855"/>
      <w:bookmarkStart w:id="116" w:name="_Toc384984038"/>
      <w:r>
        <w:rPr>
          <w:i/>
        </w:rPr>
        <w:t>Paperwork Reduction Act Analysis.—</w:t>
      </w:r>
      <w:r>
        <w:t>The requirements</w:t>
      </w:r>
      <w:bookmarkEnd w:id="109"/>
      <w:r>
        <w:t xml:space="preserve"> in revised section 90.175(e) and new section 90.621(d)(4) constitute new </w:t>
      </w:r>
      <w:r w:rsidRPr="00DE1691">
        <w:t>information collection</w:t>
      </w:r>
      <w:r>
        <w:t>s</w:t>
      </w:r>
      <w:r w:rsidRPr="00DE1691">
        <w:t xml:space="preserve"> subject to the Paperwork Reduction </w:t>
      </w:r>
      <w:r w:rsidRPr="009914C4">
        <w:t>Act</w:t>
      </w:r>
      <w:r w:rsidRPr="00DE1691">
        <w:t xml:space="preserve"> of 1995 (PRA), Public Law 104-13</w:t>
      </w:r>
      <w:r>
        <w:t>, and the requirements in revised section 90.175(b) constitutes a modified information collection</w:t>
      </w:r>
      <w:r w:rsidRPr="00DE1691">
        <w:t xml:space="preserve">. </w:t>
      </w:r>
      <w:r>
        <w:t xml:space="preserve"> They</w:t>
      </w:r>
      <w:r w:rsidRPr="00DE1691">
        <w:t xml:space="preserve"> will be submitted to the Office of Management and</w:t>
      </w:r>
      <w:r>
        <w:t xml:space="preserve"> Budget (OMB) for review under s</w:t>
      </w:r>
      <w:r w:rsidRPr="00DE1691">
        <w:t>ection 3507(d) of the PRA.  OMB, the general public, and other Federal agencies are invited to comment on the new information collection requirements contained in this proceeding.</w:t>
      </w:r>
      <w:bookmarkEnd w:id="111"/>
      <w:bookmarkEnd w:id="112"/>
      <w:bookmarkEnd w:id="113"/>
      <w:bookmarkEnd w:id="114"/>
      <w:bookmarkEnd w:id="115"/>
      <w:bookmarkEnd w:id="116"/>
      <w:r>
        <w:t xml:space="preserve">  This document will be submitted to OMB for review under section 3507(d) of the PRA.  In addition, we note that, pursuant to the Small Business Paperwork Relief Act of 2002, we previously sought, but did not receive, specific comment on how the Commission might further reduce the information collection burden for small business concerns with fewer than 25 employees.  We describe impacts that might affect small businesses, which includes more businesses with fewer than 25 employees, in the Final Regulatory Flexibility Analysis in Appendix A.</w:t>
      </w:r>
    </w:p>
    <w:p w:rsidR="004974BC" w:rsidP="004974BC">
      <w:pPr>
        <w:pStyle w:val="ParaNum"/>
        <w:widowControl/>
      </w:pPr>
      <w:r w:rsidRPr="00A26490">
        <w:rPr>
          <w:i/>
        </w:rPr>
        <w:t>Congressional Review Act.—</w:t>
      </w:r>
      <w:r>
        <w:t xml:space="preserve">The </w:t>
      </w:r>
      <w:r w:rsidRPr="001960B0">
        <w:t>Commi</w:t>
      </w:r>
      <w:r>
        <w:t xml:space="preserve">ssion will send a copy of this </w:t>
      </w:r>
      <w:r w:rsidRPr="00A26490">
        <w:rPr>
          <w:i/>
        </w:rPr>
        <w:t>Report and Order and Order</w:t>
      </w:r>
      <w:r w:rsidRPr="001960B0">
        <w:t xml:space="preserve"> to Congress and the Government Accountability Office pursuant to the Congressional Review Act.</w:t>
      </w:r>
      <w:r>
        <w:rPr>
          <w:rStyle w:val="FootnoteReference"/>
        </w:rPr>
        <w:footnoteReference w:id="213"/>
      </w:r>
    </w:p>
    <w:p w:rsidR="004974BC" w:rsidP="004974BC">
      <w:pPr>
        <w:pStyle w:val="Heading1"/>
        <w:widowControl/>
      </w:pPr>
      <w:bookmarkStart w:id="117" w:name="_Toc467505852"/>
      <w:bookmarkStart w:id="118" w:name="_Toc487811691"/>
      <w:bookmarkStart w:id="119" w:name="_Toc487812282"/>
      <w:bookmarkStart w:id="120" w:name="_Toc488043047"/>
      <w:bookmarkStart w:id="121" w:name="_Toc498610374"/>
      <w:bookmarkStart w:id="122" w:name="_Toc498611081"/>
      <w:bookmarkStart w:id="123" w:name="_Toc499561040"/>
      <w:bookmarkStart w:id="124" w:name="_Toc499561165"/>
      <w:bookmarkStart w:id="125" w:name="_Toc499561302"/>
      <w:bookmarkStart w:id="126" w:name="_Toc499561459"/>
      <w:bookmarkStart w:id="127" w:name="_Toc499561705"/>
      <w:bookmarkStart w:id="128" w:name="_Toc499561875"/>
      <w:bookmarkStart w:id="129" w:name="_Toc499731406"/>
      <w:bookmarkStart w:id="130" w:name="_Toc499815988"/>
      <w:bookmarkStart w:id="131" w:name="_Toc500945696"/>
      <w:bookmarkStart w:id="132" w:name="_Toc501012158"/>
      <w:bookmarkStart w:id="133" w:name="_Toc519260257"/>
      <w:r w:rsidRPr="00A27F4F">
        <w:t>ORDERING CLAUSES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4974BC" w:rsidP="004974BC">
      <w:pPr>
        <w:pStyle w:val="ParaNum"/>
        <w:widowControl/>
      </w:pPr>
      <w:bookmarkStart w:id="134" w:name="_Ref208284227"/>
      <w:bookmarkStart w:id="135" w:name="_Toc382916328"/>
      <w:bookmarkStart w:id="136" w:name="_Toc384977052"/>
      <w:bookmarkStart w:id="137" w:name="_Toc384977235"/>
      <w:bookmarkStart w:id="138" w:name="_Toc384983491"/>
      <w:bookmarkStart w:id="139" w:name="_Toc384983674"/>
      <w:bookmarkStart w:id="140" w:name="_Toc384983857"/>
      <w:bookmarkStart w:id="141" w:name="_Toc384984040"/>
      <w:r w:rsidRPr="009655B9">
        <w:t>Accordingly, IT IS ORDERED that, pursuant to Sections 4(</w:t>
      </w:r>
      <w:r>
        <w:t>i</w:t>
      </w:r>
      <w:r w:rsidRPr="009655B9">
        <w:t>),</w:t>
      </w:r>
      <w:r>
        <w:t xml:space="preserve"> 201(b), </w:t>
      </w:r>
      <w:r w:rsidRPr="009655B9">
        <w:t>303,</w:t>
      </w:r>
      <w:r>
        <w:t xml:space="preserve"> 308,</w:t>
      </w:r>
      <w:r w:rsidRPr="009655B9">
        <w:t xml:space="preserve"> 316,</w:t>
      </w:r>
      <w:r>
        <w:t xml:space="preserve"> 324, </w:t>
      </w:r>
      <w:r w:rsidRPr="009655B9">
        <w:t>332</w:t>
      </w:r>
      <w:r>
        <w:t>,</w:t>
      </w:r>
      <w:r w:rsidRPr="009655B9">
        <w:t xml:space="preserve"> and 337 of the Communications Act of 1934, as amended, 47 U.S.C. §§ 154(i), </w:t>
      </w:r>
      <w:r>
        <w:t xml:space="preserve">201(b), </w:t>
      </w:r>
      <w:r w:rsidRPr="009655B9">
        <w:t>303,</w:t>
      </w:r>
      <w:r>
        <w:t xml:space="preserve"> 308,</w:t>
      </w:r>
      <w:r w:rsidRPr="009655B9">
        <w:t xml:space="preserve"> 316,</w:t>
      </w:r>
      <w:r>
        <w:t xml:space="preserve"> 324,</w:t>
      </w:r>
      <w:r w:rsidRPr="009655B9">
        <w:t xml:space="preserve"> 332</w:t>
      </w:r>
      <w:r>
        <w:t>,</w:t>
      </w:r>
      <w:r w:rsidRPr="009655B9">
        <w:t xml:space="preserve"> 337, this </w:t>
      </w:r>
      <w:r w:rsidRPr="009655B9">
        <w:rPr>
          <w:i/>
        </w:rPr>
        <w:t xml:space="preserve">Report and </w:t>
      </w:r>
      <w:r>
        <w:rPr>
          <w:i/>
        </w:rPr>
        <w:t xml:space="preserve">Order and </w:t>
      </w:r>
      <w:r w:rsidRPr="009655B9">
        <w:rPr>
          <w:i/>
        </w:rPr>
        <w:t xml:space="preserve">Order </w:t>
      </w:r>
      <w:r w:rsidRPr="009655B9">
        <w:t>IS HEREBY ADOPTED.</w:t>
      </w:r>
      <w:bookmarkEnd w:id="134"/>
      <w:bookmarkEnd w:id="135"/>
      <w:bookmarkEnd w:id="136"/>
      <w:bookmarkEnd w:id="137"/>
      <w:bookmarkEnd w:id="138"/>
      <w:bookmarkEnd w:id="139"/>
      <w:bookmarkEnd w:id="140"/>
      <w:bookmarkEnd w:id="141"/>
    </w:p>
    <w:p w:rsidR="004974BC" w:rsidP="004974BC">
      <w:pPr>
        <w:pStyle w:val="ParaNum"/>
        <w:widowControl/>
      </w:pPr>
      <w:bookmarkStart w:id="142" w:name="_Toc382916329"/>
      <w:bookmarkStart w:id="143" w:name="_Toc384977053"/>
      <w:bookmarkStart w:id="144" w:name="_Toc384977236"/>
      <w:bookmarkStart w:id="145" w:name="_Toc384983492"/>
      <w:bookmarkStart w:id="146" w:name="_Toc384983675"/>
      <w:bookmarkStart w:id="147" w:name="_Toc384983858"/>
      <w:bookmarkStart w:id="148" w:name="_Toc384984041"/>
      <w:r w:rsidRPr="009655B9">
        <w:t xml:space="preserve">IT IS FURTHER ORDERED that the </w:t>
      </w:r>
      <w:r>
        <w:t xml:space="preserve">amendments of the Commission’s rules as set forth in Appendix B ARE ADOPTED, effective </w:t>
      </w:r>
      <w:r w:rsidRPr="009655B9">
        <w:t>thirty days from the date of publication in the Federal Register</w:t>
      </w:r>
      <w:r>
        <w:t>.  S</w:t>
      </w:r>
      <w:r w:rsidRPr="00BD7367">
        <w:t>ection</w:t>
      </w:r>
      <w:r>
        <w:t>s</w:t>
      </w:r>
      <w:r w:rsidRPr="00BD7367">
        <w:t xml:space="preserve"> </w:t>
      </w:r>
      <w:r>
        <w:t xml:space="preserve">90.175(b) and (e) and section 90.621(d)(4) </w:t>
      </w:r>
      <w:r w:rsidRPr="00BD7367">
        <w:t>contain new or modified information collection requirements that require review by the OMB under the PRA</w:t>
      </w:r>
      <w:r>
        <w:t>.</w:t>
      </w:r>
      <w:r>
        <w:rPr>
          <w:rStyle w:val="FootnoteReference"/>
        </w:rPr>
        <w:footnoteReference w:id="214"/>
      </w:r>
      <w:r>
        <w:t xml:space="preserve">  The Commission directs the Bureaus to announce the effective date of those information collections in a document published </w:t>
      </w:r>
      <w:r w:rsidRPr="00BD7367">
        <w:t xml:space="preserve">in the Federal Register </w:t>
      </w:r>
      <w:r>
        <w:t>after the Commission receives OMB approval, and directs the Bureaus to cause sections 90.175(k) and 90.621(d)(5) to be revised accordingly</w:t>
      </w:r>
      <w:r w:rsidRPr="009655B9">
        <w:t>.</w:t>
      </w:r>
      <w:bookmarkEnd w:id="142"/>
      <w:bookmarkEnd w:id="143"/>
      <w:bookmarkEnd w:id="144"/>
      <w:bookmarkEnd w:id="145"/>
      <w:bookmarkEnd w:id="146"/>
      <w:bookmarkEnd w:id="147"/>
      <w:bookmarkEnd w:id="148"/>
    </w:p>
    <w:p w:rsidR="004974BC" w:rsidP="004974BC">
      <w:pPr>
        <w:pStyle w:val="ParaNum"/>
        <w:widowControl/>
      </w:pPr>
      <w:r>
        <w:t xml:space="preserve">IT IS FURTHER ORDERED that the Commission’s Consumer and Governmental Affairs Bureau, Reference Information Center, SHALL SEND a copy of this </w:t>
      </w:r>
      <w:r>
        <w:rPr>
          <w:i/>
        </w:rPr>
        <w:t>Report and Order and Order</w:t>
      </w:r>
      <w:r>
        <w:t>, including the Final Regulatory Flexibility Analysis, to the Chief Counsel for Advocacy of the Small Business Administration.</w:t>
      </w:r>
    </w:p>
    <w:p w:rsidR="004974BC" w:rsidP="004974BC">
      <w:pPr>
        <w:pStyle w:val="ParaNum"/>
        <w:widowControl/>
      </w:pPr>
      <w:r>
        <w:rPr>
          <w:szCs w:val="22"/>
        </w:rPr>
        <w:t>IT IS FURTHER ORDERED</w:t>
      </w:r>
      <w:r>
        <w:rPr>
          <w:i/>
          <w:szCs w:val="22"/>
        </w:rPr>
        <w:t xml:space="preserve"> </w:t>
      </w:r>
      <w:r>
        <w:rPr>
          <w:szCs w:val="22"/>
        </w:rPr>
        <w:t xml:space="preserve">that the </w:t>
      </w:r>
      <w:r>
        <w:t>Commission</w:t>
      </w:r>
      <w:r w:rsidRPr="00BF1CE2">
        <w:t xml:space="preserve"> </w:t>
      </w:r>
      <w:r>
        <w:t xml:space="preserve">SHALL SEND a copy of this </w:t>
      </w:r>
      <w:r w:rsidRPr="0048529A">
        <w:rPr>
          <w:i/>
        </w:rPr>
        <w:t xml:space="preserve">Report and </w:t>
      </w:r>
      <w:r>
        <w:rPr>
          <w:i/>
        </w:rPr>
        <w:t xml:space="preserve">Order and </w:t>
      </w:r>
      <w:r w:rsidRPr="0048529A">
        <w:rPr>
          <w:i/>
        </w:rPr>
        <w:t>Order</w:t>
      </w:r>
      <w:r>
        <w:t xml:space="preserve"> in a report to be sent to Congress and the Government Accountability Office pursuant to the Congressional Review Act, </w:t>
      </w:r>
      <w:r w:rsidRPr="00CF7ABA">
        <w:rPr>
          <w:i/>
        </w:rPr>
        <w:t>see</w:t>
      </w:r>
      <w:r>
        <w:t xml:space="preserve"> 5 U.S.C. § 801(a)(1)(A).</w:t>
      </w:r>
    </w:p>
    <w:p w:rsidR="004974BC" w:rsidRPr="00F8447C" w:rsidP="004974BC">
      <w:pPr>
        <w:pStyle w:val="ParaNum"/>
        <w:widowControl/>
        <w:rPr>
          <w:szCs w:val="22"/>
        </w:rPr>
      </w:pPr>
      <w:r w:rsidRPr="006D655F">
        <w:rPr>
          <w:szCs w:val="22"/>
        </w:rPr>
        <w:t xml:space="preserve">IT IS </w:t>
      </w:r>
      <w:r>
        <w:rPr>
          <w:szCs w:val="22"/>
        </w:rPr>
        <w:t xml:space="preserve">FURTHER </w:t>
      </w:r>
      <w:r w:rsidRPr="006D655F">
        <w:rPr>
          <w:szCs w:val="22"/>
        </w:rPr>
        <w:t xml:space="preserve">ORDERED pursuant to </w:t>
      </w:r>
      <w:r>
        <w:rPr>
          <w:szCs w:val="22"/>
        </w:rPr>
        <w:t>s</w:t>
      </w:r>
      <w:r w:rsidRPr="006D655F">
        <w:rPr>
          <w:szCs w:val="22"/>
        </w:rPr>
        <w:t>ections 4(i) and 5(c) of the Communications Act of 1934, as amended, </w:t>
      </w:r>
      <w:r w:rsidRPr="00C30D2B">
        <w:rPr>
          <w:szCs w:val="22"/>
        </w:rPr>
        <w:t>47 U.S.C. §§ 154(i)</w:t>
      </w:r>
      <w:r>
        <w:rPr>
          <w:szCs w:val="22"/>
        </w:rPr>
        <w:t>,</w:t>
      </w:r>
      <w:r w:rsidRPr="006D655F">
        <w:rPr>
          <w:szCs w:val="22"/>
        </w:rPr>
        <w:t> 155(c)</w:t>
      </w:r>
      <w:r>
        <w:rPr>
          <w:szCs w:val="22"/>
        </w:rPr>
        <w:t xml:space="preserve"> that the suspension of the acceptance of </w:t>
      </w:r>
      <w:r>
        <w:rPr>
          <w:szCs w:val="22"/>
        </w:rPr>
        <w:t xml:space="preserve">applications for inter-category sharing of frequencies allocated to the 800 MHz Public Safety and Business/Industrial Land Transportations Pools imposed April 5, 1995, is hereby TERMINATED.  </w:t>
      </w:r>
    </w:p>
    <w:p w:rsidR="004974BC" w:rsidP="004974BC">
      <w:pPr>
        <w:pStyle w:val="ParaNum"/>
        <w:widowControl/>
      </w:pPr>
      <w:r w:rsidRPr="00F8447C">
        <w:t>IT IS FURTHER ORDERED that, if no petitions for reconsideration or applications for review are timely filed, th</w:t>
      </w:r>
      <w:r>
        <w:t>e above-captioned</w:t>
      </w:r>
      <w:r w:rsidRPr="00F8447C">
        <w:t xml:space="preserve"> proceeding</w:t>
      </w:r>
      <w:r>
        <w:t>s</w:t>
      </w:r>
      <w:r w:rsidRPr="00F8447C">
        <w:t xml:space="preserve"> SHALL BE TERMINATED and the docket</w:t>
      </w:r>
      <w:r>
        <w:t>s</w:t>
      </w:r>
      <w:r w:rsidRPr="00F8447C">
        <w:t xml:space="preserve"> CLOSED.</w:t>
      </w:r>
    </w:p>
    <w:p w:rsidR="00933418" w:rsidP="00D25E3F">
      <w:pPr>
        <w:widowControl/>
      </w:pPr>
    </w:p>
    <w:p w:rsidR="004974BC" w:rsidRPr="009655B9" w:rsidP="004974BC">
      <w:pPr>
        <w:widowControl/>
        <w:ind w:left="4320"/>
      </w:pPr>
      <w:r w:rsidRPr="009655B9">
        <w:t>FEDERAL COMMUNICATIONS COMMISSION</w:t>
      </w:r>
    </w:p>
    <w:p w:rsidR="004974BC" w:rsidRPr="009655B9" w:rsidP="004974BC">
      <w:pPr>
        <w:widowControl/>
      </w:pPr>
    </w:p>
    <w:p w:rsidR="004974BC" w:rsidRPr="009655B9" w:rsidP="004974BC">
      <w:pPr>
        <w:widowControl/>
      </w:pPr>
    </w:p>
    <w:p w:rsidR="004974BC" w:rsidRPr="009655B9" w:rsidP="004974BC">
      <w:pPr>
        <w:widowControl/>
      </w:pPr>
    </w:p>
    <w:p w:rsidR="004974BC" w:rsidRPr="009655B9" w:rsidP="004974BC">
      <w:pPr>
        <w:widowControl/>
      </w:pPr>
    </w:p>
    <w:p w:rsidR="004974BC" w:rsidP="004974BC">
      <w:pPr>
        <w:widowControl/>
        <w:ind w:left="4320"/>
      </w:pPr>
      <w:r w:rsidRPr="009655B9">
        <w:t>Marlene H. Dortch</w:t>
      </w:r>
    </w:p>
    <w:p w:rsidR="004974BC" w:rsidP="00933418">
      <w:pPr>
        <w:widowControl/>
        <w:ind w:left="4320"/>
      </w:pPr>
      <w:r>
        <w:t>Secretary</w:t>
      </w:r>
    </w:p>
    <w:p w:rsidR="004974BC" w:rsidP="004974BC">
      <w:pPr>
        <w:widowControl/>
      </w:pPr>
    </w:p>
    <w:p w:rsidR="004974BC" w:rsidP="004974BC">
      <w:pPr>
        <w:widowControl/>
        <w:sectPr w:rsidSect="00933418">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pPr>
    </w:p>
    <w:p w:rsidR="004974BC" w:rsidRPr="00D25E3F" w:rsidP="004974BC">
      <w:pPr>
        <w:widowControl/>
        <w:jc w:val="center"/>
        <w:rPr>
          <w:rFonts w:ascii="Times New Roman Bold" w:hAnsi="Times New Roman Bold"/>
          <w:b/>
          <w:caps/>
        </w:rPr>
      </w:pPr>
      <w:r w:rsidRPr="00D25E3F">
        <w:rPr>
          <w:rFonts w:ascii="Times New Roman Bold" w:hAnsi="Times New Roman Bold"/>
          <w:b/>
          <w:caps/>
        </w:rPr>
        <w:t xml:space="preserve">Appendix A </w:t>
      </w:r>
    </w:p>
    <w:p w:rsidR="00933418" w:rsidP="004974BC">
      <w:pPr>
        <w:widowControl/>
        <w:jc w:val="center"/>
        <w:rPr>
          <w:b/>
        </w:rPr>
      </w:pPr>
    </w:p>
    <w:p w:rsidR="004974BC" w:rsidP="004974BC">
      <w:pPr>
        <w:widowControl/>
        <w:jc w:val="center"/>
      </w:pPr>
      <w:r w:rsidRPr="00742BBB">
        <w:rPr>
          <w:b/>
        </w:rPr>
        <w:t>Final Regulatory Flexibility Analysis</w:t>
      </w:r>
    </w:p>
    <w:p w:rsidR="004974BC" w:rsidP="004974BC">
      <w:pPr>
        <w:widowControl/>
      </w:pPr>
    </w:p>
    <w:p w:rsidR="004974BC" w:rsidP="004974BC">
      <w:pPr>
        <w:pStyle w:val="ParaNum"/>
        <w:widowControl/>
        <w:numPr>
          <w:ilvl w:val="0"/>
          <w:numId w:val="31"/>
        </w:numPr>
      </w:pPr>
      <w:bookmarkStart w:id="151" w:name="_Toc382916340"/>
      <w:bookmarkStart w:id="152" w:name="_Toc384977064"/>
      <w:bookmarkStart w:id="153" w:name="_Toc384977247"/>
      <w:bookmarkStart w:id="154" w:name="_Toc384983503"/>
      <w:bookmarkStart w:id="155" w:name="_Toc384983686"/>
      <w:bookmarkStart w:id="156" w:name="_Toc384983869"/>
      <w:bookmarkStart w:id="157" w:name="_Toc384984052"/>
      <w:r w:rsidRPr="009655B9">
        <w:t xml:space="preserve">As required by the Regulatory Flexibility Act </w:t>
      </w:r>
      <w:r>
        <w:t>of 1980, as amended</w:t>
      </w:r>
      <w:r w:rsidRPr="009655B9">
        <w:t xml:space="preserve"> (RFA),</w:t>
      </w:r>
      <w:r>
        <w:rPr>
          <w:rStyle w:val="FootnoteReference"/>
        </w:rPr>
        <w:footnoteReference w:id="215"/>
      </w:r>
      <w:r w:rsidRPr="009655B9">
        <w:t xml:space="preserve"> an Initial Regulatory Flexibility Analysis (IRFA) was incorporated in the </w:t>
      </w:r>
      <w:bookmarkStart w:id="158" w:name="SR;22697"/>
      <w:bookmarkEnd w:id="158"/>
      <w:r w:rsidRPr="000821C7">
        <w:rPr>
          <w:i/>
        </w:rPr>
        <w:t>Notices of Proposed Rulemaking</w:t>
      </w:r>
      <w:r w:rsidRPr="009655B9">
        <w:t xml:space="preserve"> </w:t>
      </w:r>
      <w:r>
        <w:t>(</w:t>
      </w:r>
      <w:r w:rsidRPr="000821C7">
        <w:rPr>
          <w:i/>
        </w:rPr>
        <w:t>Notices</w:t>
      </w:r>
      <w:r>
        <w:t xml:space="preserve">) released in </w:t>
      </w:r>
      <w:r w:rsidRPr="009655B9">
        <w:t>th</w:t>
      </w:r>
      <w:r>
        <w:t>e</w:t>
      </w:r>
      <w:r w:rsidRPr="009655B9">
        <w:t>s</w:t>
      </w:r>
      <w:r>
        <w:t>e</w:t>
      </w:r>
      <w:r w:rsidRPr="009655B9">
        <w:t xml:space="preserve"> proceeding</w:t>
      </w:r>
      <w:r>
        <w:t>s</w:t>
      </w:r>
      <w:r w:rsidRPr="009655B9">
        <w:t>.</w:t>
      </w:r>
      <w:r>
        <w:rPr>
          <w:rStyle w:val="FootnoteReference"/>
        </w:rPr>
        <w:footnoteReference w:id="216"/>
      </w:r>
      <w:r w:rsidRPr="009655B9">
        <w:t xml:space="preserve">  The Commission sought written public comment on the</w:t>
      </w:r>
      <w:r>
        <w:t xml:space="preserve"> proposals in the </w:t>
      </w:r>
      <w:r w:rsidRPr="000821C7">
        <w:rPr>
          <w:i/>
        </w:rPr>
        <w:t>Notices</w:t>
      </w:r>
      <w:r>
        <w:t>, including comment on the</w:t>
      </w:r>
      <w:r w:rsidRPr="009655B9">
        <w:t xml:space="preserve"> IRFA</w:t>
      </w:r>
      <w:r>
        <w:t>s</w:t>
      </w:r>
      <w:r w:rsidRPr="009655B9">
        <w:t>.</w:t>
      </w:r>
      <w:r>
        <w:t xml:space="preserve">  </w:t>
      </w:r>
      <w:r w:rsidRPr="00A323E4">
        <w:t>No comments were filed addressing the IRFA</w:t>
      </w:r>
      <w:r>
        <w:t>s.</w:t>
      </w:r>
      <w:r w:rsidRPr="00A323E4">
        <w:t xml:space="preserve"> </w:t>
      </w:r>
      <w:r>
        <w:t xml:space="preserve"> </w:t>
      </w:r>
      <w:r w:rsidRPr="009655B9">
        <w:t>Th</w:t>
      </w:r>
      <w:r>
        <w:t>is</w:t>
      </w:r>
      <w:r w:rsidRPr="009655B9">
        <w:t xml:space="preserve"> present Final Regulatory Flexibility Analysis (FRFA) conforms to the RFA.</w:t>
      </w:r>
    </w:p>
    <w:p w:rsidR="004974BC" w:rsidP="004974BC">
      <w:pPr>
        <w:pStyle w:val="Heading2"/>
        <w:widowControl/>
      </w:pPr>
      <w:bookmarkStart w:id="159" w:name="_Toc487811692"/>
      <w:bookmarkStart w:id="160" w:name="_Toc487812283"/>
      <w:bookmarkStart w:id="161" w:name="_Toc488043048"/>
      <w:bookmarkStart w:id="162" w:name="_Toc467505853"/>
      <w:bookmarkStart w:id="163" w:name="_Toc487811693"/>
      <w:bookmarkStart w:id="164" w:name="_Toc487812284"/>
      <w:bookmarkStart w:id="165" w:name="_Toc488043049"/>
      <w:bookmarkStart w:id="166" w:name="_Toc498610375"/>
      <w:bookmarkStart w:id="167" w:name="_Toc498611082"/>
      <w:bookmarkStart w:id="168" w:name="_Toc499561041"/>
      <w:bookmarkStart w:id="169" w:name="_Toc499561166"/>
      <w:bookmarkStart w:id="170" w:name="_Toc499561303"/>
      <w:bookmarkStart w:id="171" w:name="_Toc499561460"/>
      <w:bookmarkStart w:id="172" w:name="_Toc499561706"/>
      <w:bookmarkStart w:id="173" w:name="_Toc499561876"/>
      <w:bookmarkStart w:id="174" w:name="_Toc499731407"/>
      <w:bookmarkStart w:id="175" w:name="_Toc499815989"/>
      <w:bookmarkStart w:id="176" w:name="_Toc500945697"/>
      <w:bookmarkStart w:id="177" w:name="_Toc501012159"/>
      <w:bookmarkStart w:id="178" w:name="_Toc519260258"/>
      <w:bookmarkEnd w:id="151"/>
      <w:bookmarkEnd w:id="152"/>
      <w:bookmarkEnd w:id="153"/>
      <w:bookmarkEnd w:id="154"/>
      <w:bookmarkEnd w:id="155"/>
      <w:bookmarkEnd w:id="156"/>
      <w:bookmarkEnd w:id="157"/>
      <w:bookmarkEnd w:id="159"/>
      <w:bookmarkEnd w:id="160"/>
      <w:bookmarkEnd w:id="161"/>
      <w:r w:rsidRPr="00446CAE">
        <w:t xml:space="preserve">Need for, and Objectives of, </w:t>
      </w:r>
      <w:r w:rsidRPr="0087404E">
        <w:t>the R</w:t>
      </w:r>
      <w:r>
        <w:t>ules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4974BC" w:rsidP="004974BC">
      <w:pPr>
        <w:pStyle w:val="ParaNum"/>
        <w:widowControl/>
      </w:pPr>
      <w:r>
        <w:t xml:space="preserve">The </w:t>
      </w:r>
      <w:r w:rsidRPr="002546C2">
        <w:rPr>
          <w:i/>
        </w:rPr>
        <w:t>Report and Order</w:t>
      </w:r>
      <w:r>
        <w:rPr>
          <w:i/>
        </w:rPr>
        <w:t xml:space="preserve"> and Order</w:t>
      </w:r>
      <w:r>
        <w:t xml:space="preserve"> takes several actions to expand access to private land mobile radio (PLMR) spectrum.  </w:t>
      </w:r>
      <w:r w:rsidRPr="00B00FE9">
        <w:t>PLMR services provide for the private, internal communications needs of public safety organizations, state and local government entities, large and small businesses, transportation providers, the medical community, and other diverse users of two-way radio systems.   Demand for PLMR services has steadily increased and existing PLMR spectrum has become congested and difficult to access.</w:t>
      </w:r>
      <w:r>
        <w:t xml:space="preserve">  </w:t>
      </w:r>
      <w:r>
        <w:rPr>
          <w:szCs w:val="22"/>
        </w:rPr>
        <w:t xml:space="preserve">Specifically, </w:t>
      </w:r>
      <w:r>
        <w:t xml:space="preserve">we </w:t>
      </w:r>
      <w:r w:rsidRPr="00446CAE">
        <w:t xml:space="preserve">introduce new, full power, interstitial 12.5 </w:t>
      </w:r>
      <w:r>
        <w:t>kilohertz</w:t>
      </w:r>
      <w:r w:rsidRPr="00446CAE">
        <w:t xml:space="preserve"> </w:t>
      </w:r>
      <w:r>
        <w:t>bandwidth offset</w:t>
      </w:r>
      <w:r w:rsidRPr="00446CAE">
        <w:t xml:space="preserve"> channels to the 809-817/854-862 MHz band (800 MHz Mid-Band), subject to certain protections designed to </w:t>
      </w:r>
      <w:r>
        <w:t xml:space="preserve">minimize the possibility of interference between licensees operating on adjacent channels.  With the introduction of these new interstitial channels, licensees operating PLMR systems in the 800 MHz Mid-Band will have access to 318 additional voice-grade channels for use in the Public Safety, Business/Industrial/ Land Transportation (B/ILT) and high-site Specialized Mobile Radio (SMR) categories.  </w:t>
      </w:r>
    </w:p>
    <w:p w:rsidR="004974BC" w:rsidP="004974BC">
      <w:pPr>
        <w:pStyle w:val="ParaNum"/>
        <w:widowControl/>
      </w:pPr>
      <w:r>
        <w:t xml:space="preserve">We also </w:t>
      </w:r>
      <w:r>
        <w:rPr>
          <w:szCs w:val="22"/>
        </w:rPr>
        <w:t xml:space="preserve">amend section 90.35 of our rules to make available for PLMR use particular frequencies located between the Industrial/Business (I/B) Pool and either General Mobile Radio Service (GMRS) or Broadcast Auxiliary Service (BAS) spectrum, to allow wider use of some frequencies currently designated for central station alarm operations, and to make updates and corrections; amends section 90.159 of our rules to extend conditional licensing authority to applicants for site-based licenses in specific bands above 470 MHz; and amend sections 90.219(d)(3) and 90.261(f) of our rules to accommodate certain railroad operations.  In addition, </w:t>
      </w:r>
      <w:r w:rsidRPr="00B00FE9">
        <w:rPr>
          <w:szCs w:val="22"/>
        </w:rPr>
        <w:t>we announce the completion of 800 MHz band reconfiguration in certain National Public Safety Planning Advisory Committee (NPSPAC) regions, and terminate the freeze on inter-category sharing that was put into effect in 1995</w:t>
      </w:r>
      <w:r>
        <w:rPr>
          <w:szCs w:val="22"/>
        </w:rPr>
        <w:t xml:space="preserve">.  </w:t>
      </w:r>
      <w:r w:rsidRPr="00731F31">
        <w:rPr>
          <w:szCs w:val="22"/>
        </w:rPr>
        <w:t>By our actions today, we substantially expand access to PLMR spectrum and encourage its more efficient use.  At the same time, we reduce administrative burdens on small as well as other sized applicants and licensees.</w:t>
      </w:r>
    </w:p>
    <w:p w:rsidR="004974BC" w:rsidP="004974BC">
      <w:pPr>
        <w:pStyle w:val="Heading2"/>
        <w:widowControl/>
      </w:pPr>
      <w:bookmarkStart w:id="179" w:name="_Toc467505854"/>
      <w:bookmarkStart w:id="180" w:name="_Toc487811694"/>
      <w:bookmarkStart w:id="181" w:name="_Toc487812285"/>
      <w:bookmarkStart w:id="182" w:name="_Toc488043050"/>
      <w:bookmarkStart w:id="183" w:name="_Toc498610376"/>
      <w:bookmarkStart w:id="184" w:name="_Toc498611083"/>
      <w:bookmarkStart w:id="185" w:name="_Toc499561042"/>
      <w:bookmarkStart w:id="186" w:name="_Toc499561167"/>
      <w:bookmarkStart w:id="187" w:name="_Toc499561304"/>
      <w:bookmarkStart w:id="188" w:name="_Toc499561461"/>
      <w:bookmarkStart w:id="189" w:name="_Toc499561707"/>
      <w:bookmarkStart w:id="190" w:name="_Toc499561877"/>
      <w:bookmarkStart w:id="191" w:name="_Toc499731408"/>
      <w:bookmarkStart w:id="192" w:name="_Toc499815990"/>
      <w:bookmarkStart w:id="193" w:name="_Toc500945698"/>
      <w:bookmarkStart w:id="194" w:name="_Toc501012160"/>
      <w:bookmarkStart w:id="195" w:name="_Toc519260259"/>
      <w:r w:rsidRPr="001471DB">
        <w:t>Summary of Significant Issues Raised by Public Comments in Response to the IRFA</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4974BC" w:rsidP="004974BC">
      <w:pPr>
        <w:pStyle w:val="ParaNum"/>
        <w:widowControl/>
      </w:pPr>
      <w:r w:rsidRPr="009C6DDE">
        <w:t>There were no comments filed that specifically addressed the rules and policies proposed in the IRFA</w:t>
      </w:r>
      <w:r>
        <w:t>s</w:t>
      </w:r>
      <w:r w:rsidRPr="009C6DDE">
        <w:t>.</w:t>
      </w:r>
      <w:r>
        <w:t xml:space="preserve">  </w:t>
      </w:r>
    </w:p>
    <w:p w:rsidR="004974BC" w:rsidP="004974BC">
      <w:pPr>
        <w:pStyle w:val="Heading2"/>
        <w:widowControl/>
      </w:pPr>
      <w:bookmarkStart w:id="196" w:name="_Toc487811695"/>
      <w:bookmarkStart w:id="197" w:name="_Toc487812286"/>
      <w:bookmarkStart w:id="198" w:name="_Toc488043051"/>
      <w:bookmarkStart w:id="199" w:name="_Toc498610377"/>
      <w:bookmarkStart w:id="200" w:name="_Toc498611084"/>
      <w:bookmarkStart w:id="201" w:name="_Toc499561043"/>
      <w:bookmarkStart w:id="202" w:name="_Toc499561168"/>
      <w:bookmarkStart w:id="203" w:name="_Toc499561305"/>
      <w:bookmarkStart w:id="204" w:name="_Toc499561462"/>
      <w:bookmarkStart w:id="205" w:name="_Toc499561708"/>
      <w:bookmarkStart w:id="206" w:name="_Toc499561878"/>
      <w:bookmarkStart w:id="207" w:name="_Toc499731409"/>
      <w:bookmarkStart w:id="208" w:name="_Toc499815991"/>
      <w:bookmarkStart w:id="209" w:name="_Toc500945699"/>
      <w:bookmarkStart w:id="210" w:name="_Toc501012161"/>
      <w:bookmarkStart w:id="211" w:name="_Toc519260260"/>
      <w:bookmarkStart w:id="212" w:name="_Toc467505855"/>
      <w:r>
        <w:t>Response to Comments by the Chief Counsel for Advocacy of the Small Business Administration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4974BC" w:rsidP="004974BC">
      <w:pPr>
        <w:pStyle w:val="ParaNum"/>
        <w:widowControl/>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17"/>
      </w:r>
      <w:r>
        <w:t xml:space="preserve">  </w:t>
      </w:r>
    </w:p>
    <w:p w:rsidR="004974BC" w:rsidRPr="00CC6E82" w:rsidP="004974BC">
      <w:pPr>
        <w:pStyle w:val="ParaNum"/>
        <w:widowControl/>
      </w:pPr>
      <w:r>
        <w:t>The Chief Counsel of Advocacy of the SBA did not file any comments in response to the proposed rule changes in these proceedings.</w:t>
      </w:r>
    </w:p>
    <w:p w:rsidR="004974BC" w:rsidP="004974BC">
      <w:pPr>
        <w:pStyle w:val="Heading2"/>
        <w:widowControl/>
      </w:pPr>
      <w:bookmarkStart w:id="213" w:name="_Toc487811696"/>
      <w:bookmarkStart w:id="214" w:name="_Toc487812287"/>
      <w:bookmarkStart w:id="215" w:name="_Toc488043052"/>
      <w:bookmarkStart w:id="216" w:name="_Toc498610378"/>
      <w:bookmarkStart w:id="217" w:name="_Toc498611085"/>
      <w:bookmarkStart w:id="218" w:name="_Toc499561044"/>
      <w:bookmarkStart w:id="219" w:name="_Toc499561169"/>
      <w:bookmarkStart w:id="220" w:name="_Toc499561306"/>
      <w:bookmarkStart w:id="221" w:name="_Toc499561463"/>
      <w:bookmarkStart w:id="222" w:name="_Toc499561709"/>
      <w:bookmarkStart w:id="223" w:name="_Toc499561879"/>
      <w:bookmarkStart w:id="224" w:name="_Toc499731410"/>
      <w:bookmarkStart w:id="225" w:name="_Toc499815992"/>
      <w:bookmarkStart w:id="226" w:name="_Toc500945700"/>
      <w:bookmarkStart w:id="227" w:name="_Toc501012162"/>
      <w:bookmarkStart w:id="228" w:name="_Toc519260261"/>
      <w:r w:rsidRPr="00D15EFC">
        <w:t>Description and Estimate of the Number of Small Entities to Which the Rules Will Apply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D15EFC">
        <w:t xml:space="preserve"> </w:t>
      </w:r>
    </w:p>
    <w:p w:rsidR="004974BC" w:rsidP="004974BC">
      <w:pPr>
        <w:pStyle w:val="ParaNum"/>
        <w:widowControl/>
      </w:pPr>
      <w:r w:rsidRPr="006B2F00">
        <w:t>The RFA directs agencies to provide a description of and, where feasible, an estimate of the number of small entities that may be affected by the rules adopted</w:t>
      </w:r>
      <w:r>
        <w:t xml:space="preserve"> herein</w:t>
      </w:r>
      <w:r w:rsidRPr="006B2F00">
        <w:t>.</w:t>
      </w:r>
      <w:r>
        <w:rPr>
          <w:rStyle w:val="FootnoteReference"/>
        </w:rPr>
        <w:footnoteReference w:id="218"/>
      </w:r>
      <w:r w:rsidRPr="006B2F00">
        <w:t xml:space="preserve">  The RFA generally defines the term “small entity” as having the same meaning as the terms “small business,” “small organization,” and “small governmental jurisdiction.”</w:t>
      </w:r>
      <w:r>
        <w:rPr>
          <w:rStyle w:val="FootnoteReference"/>
        </w:rPr>
        <w:footnoteReference w:id="219"/>
      </w:r>
      <w:r w:rsidRPr="006B2F00">
        <w:t xml:space="preserve"> In addition, the term “small business” has the same meaning as the term “small business concern” under the Small Business Act.</w:t>
      </w:r>
      <w:r>
        <w:rPr>
          <w:rStyle w:val="FootnoteReference"/>
        </w:rPr>
        <w:footnoteReference w:id="220"/>
      </w:r>
      <w:r w:rsidRPr="006B2F00">
        <w:t xml:space="preserve">  A </w:t>
      </w:r>
      <w:r>
        <w:t>“</w:t>
      </w:r>
      <w:r w:rsidRPr="006B2F00">
        <w:t>small business concern</w:t>
      </w:r>
      <w:r>
        <w:t>”</w:t>
      </w:r>
      <w:r w:rsidRPr="006B2F00">
        <w:t xml:space="preserve"> is one which: (1) is independently owned and operated; (2) is not dominant in its field of operation; and (3) satisfies any additional criteria established by the SBA.</w:t>
      </w:r>
      <w:r>
        <w:rPr>
          <w:rStyle w:val="FootnoteReference"/>
        </w:rPr>
        <w:footnoteReference w:id="221"/>
      </w:r>
      <w:r w:rsidRPr="006B2F00">
        <w:t xml:space="preserve">  </w:t>
      </w:r>
    </w:p>
    <w:p w:rsidR="004974BC" w:rsidP="004974BC">
      <w:pPr>
        <w:pStyle w:val="ParaNum"/>
        <w:widowControl/>
      </w:pPr>
      <w:r w:rsidRPr="00F06F87">
        <w:rPr>
          <w:i/>
        </w:rPr>
        <w:t>Small Businesses, Small Organizations, Small Governmental Jurisdictions</w:t>
      </w:r>
      <w:r>
        <w:rPr>
          <w:i/>
        </w:rPr>
        <w:t>.</w:t>
      </w:r>
      <w:r w:rsidRPr="00644BFC">
        <w:t xml:space="preserve">  </w:t>
      </w:r>
      <w:r w:rsidRPr="006F3A15">
        <w:t xml:space="preserve">Our actions, over time, may affect small entities that are not easily categorized at present. </w:t>
      </w:r>
      <w:r>
        <w:t xml:space="preserve"> </w:t>
      </w:r>
      <w:r w:rsidRPr="006F3A15">
        <w:t xml:space="preserve">We therefore describe here, at the outset, three </w:t>
      </w:r>
      <w:r>
        <w:t xml:space="preserve">broad groups of </w:t>
      </w:r>
      <w:r w:rsidRPr="006F3A15">
        <w:t>small entit</w:t>
      </w:r>
      <w:r>
        <w:t xml:space="preserve">ies </w:t>
      </w:r>
      <w:r w:rsidRPr="006F3A15">
        <w:t>that could be directly affected herein.</w:t>
      </w:r>
      <w:r>
        <w:rPr>
          <w:rStyle w:val="FootnoteReference"/>
        </w:rPr>
        <w:footnoteReference w:id="222"/>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223"/>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224"/>
      </w:r>
      <w:r w:rsidRPr="00F06F87">
        <w:rPr>
          <w:bCs/>
        </w:rPr>
        <w:t xml:space="preserve">  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225"/>
      </w:r>
      <w:r w:rsidRPr="0066448F">
        <w:t xml:space="preserve">  Nationwide, as of </w:t>
      </w:r>
      <w:r w:rsidRPr="00835723">
        <w:t xml:space="preserve">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226"/>
      </w:r>
      <w:r w:rsidRPr="0066448F">
        <w:t xml:space="preserve"> </w:t>
      </w:r>
      <w:r>
        <w:t xml:space="preserve"> </w:t>
      </w:r>
    </w:p>
    <w:p w:rsidR="004974BC" w:rsidP="004974BC">
      <w:pPr>
        <w:pStyle w:val="ParaNum"/>
        <w:widowControl/>
      </w:pPr>
      <w:r>
        <w:t>Finally, t</w:t>
      </w:r>
      <w:r w:rsidRPr="0066448F">
        <w:t xml:space="preserve">he </w:t>
      </w:r>
      <w:r>
        <w:t xml:space="preserve">small entity described as a </w:t>
      </w:r>
      <w:r w:rsidRPr="0066448F">
        <w:t>“sma</w:t>
      </w:r>
      <w:r>
        <w:t xml:space="preserve">ll governmental jurisdiction” is </w:t>
      </w:r>
      <w:r w:rsidRPr="0066448F">
        <w:t>defined generally as “governments of cities,</w:t>
      </w:r>
      <w:r>
        <w:t xml:space="preserve"> counties</w:t>
      </w:r>
      <w:r w:rsidRPr="0066448F">
        <w:t xml:space="preserve"> towns, townships, villages, school districts, or special districts, with a population of less than fifty thousand.”</w:t>
      </w:r>
      <w:r>
        <w:rPr>
          <w:rStyle w:val="FootnoteReference"/>
        </w:rPr>
        <w:footnoteReference w:id="227"/>
      </w:r>
      <w:r w:rsidRPr="0066448F">
        <w:t xml:space="preserve">  </w:t>
      </w:r>
      <w:r w:rsidRPr="00D8403F">
        <w:t xml:space="preserve">U.S. Census Bureau data </w:t>
      </w:r>
      <w:r w:rsidRPr="00835723">
        <w:t>from the 2012 Census of Governments</w:t>
      </w:r>
      <w:r>
        <w:rPr>
          <w:rStyle w:val="FootnoteReference"/>
        </w:rPr>
        <w:footnoteReference w:id="228"/>
      </w:r>
      <w:r w:rsidRPr="00835723">
        <w:t xml:space="preserve"> indicates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229"/>
      </w:r>
      <w:r w:rsidRPr="0066448F">
        <w:t xml:space="preserve">  </w:t>
      </w:r>
      <w:r>
        <w:t>Of this number there wer</w:t>
      </w:r>
      <w:r w:rsidRPr="00835723">
        <w:t>e 37, 132 General purpose governments (county</w:t>
      </w:r>
      <w:r>
        <w:rPr>
          <w:rStyle w:val="FootnoteReference"/>
        </w:rPr>
        <w:footnoteReference w:id="230"/>
      </w:r>
      <w:r w:rsidRPr="00835723">
        <w:t>, municipal and town or township</w:t>
      </w:r>
      <w:r>
        <w:rPr>
          <w:rStyle w:val="FootnoteReference"/>
        </w:rPr>
        <w:footnoteReference w:id="231"/>
      </w:r>
      <w:r w:rsidRPr="00835723">
        <w:t>) with populations of less than 50,000 and 12,184 Special purpose governments (independent school districts</w:t>
      </w:r>
      <w:r>
        <w:rPr>
          <w:rStyle w:val="FootnoteReference"/>
        </w:rPr>
        <w:footnoteReference w:id="232"/>
      </w:r>
      <w:r w:rsidRPr="00835723">
        <w:t xml:space="preserve"> and special districts</w:t>
      </w:r>
      <w:r>
        <w:rPr>
          <w:rStyle w:val="FootnoteReference"/>
        </w:rPr>
        <w:footnoteReference w:id="233"/>
      </w:r>
      <w:r w:rsidRPr="00835723">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234"/>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235"/>
      </w:r>
    </w:p>
    <w:p w:rsidR="004974BC" w:rsidRPr="007B1B59" w:rsidP="004974BC">
      <w:pPr>
        <w:pStyle w:val="ParaNum"/>
        <w:widowControl/>
      </w:pPr>
      <w:r w:rsidRPr="00713A54">
        <w:rPr>
          <w:i/>
          <w:color w:val="000000"/>
          <w:szCs w:val="22"/>
        </w:rPr>
        <w:t>Private Land Mobile Radio Licensees</w:t>
      </w:r>
      <w:r w:rsidRPr="00713A54">
        <w:rPr>
          <w:color w:val="000000"/>
          <w:szCs w:val="22"/>
        </w:rPr>
        <w:t xml:space="preserve">.  Private land mobile radio (PLMR) systems serve an essential role in a vast range of industrial, business, land transportation, and public safety activities.  These radios are used by companies of all sizes operating in all U.S. business categories.  Because of the vast array of PLMR users, the Commission has not developed a small business size standard specifically applicable to PLMR users.  </w:t>
      </w:r>
      <w:r w:rsidRPr="001B3440">
        <w:rPr>
          <w:szCs w:val="22"/>
        </w:rPr>
        <w:t xml:space="preserve">The </w:t>
      </w:r>
      <w:r>
        <w:t xml:space="preserve">closest applicable </w:t>
      </w:r>
      <w:r w:rsidRPr="001B3440">
        <w:rPr>
          <w:szCs w:val="22"/>
        </w:rPr>
        <w:t>SBA</w:t>
      </w:r>
      <w:r>
        <w:rPr>
          <w:szCs w:val="22"/>
        </w:rPr>
        <w:t xml:space="preserve"> category is</w:t>
      </w:r>
      <w:r w:rsidRPr="001B3440">
        <w:rPr>
          <w:szCs w:val="22"/>
        </w:rPr>
        <w:t xml:space="preserve"> Wireless Telecommunications Carriers (except Satellite) which encompasses business entities </w:t>
      </w:r>
      <w:r w:rsidRPr="00A66BA9">
        <w:rPr>
          <w:i/>
          <w:szCs w:val="22"/>
        </w:rPr>
        <w:t>engag</w:t>
      </w:r>
      <w:r w:rsidRPr="001A3A98">
        <w:rPr>
          <w:rStyle w:val="StyleParaNumItalic1Char"/>
          <w:i w:val="0"/>
          <w:iCs/>
          <w:szCs w:val="22"/>
        </w:rPr>
        <w:t xml:space="preserve">ed in radiotelephone communications.  </w:t>
      </w:r>
      <w:r w:rsidRPr="00A479A2">
        <w:t xml:space="preserve">The appropriate size standard </w:t>
      </w:r>
      <w:r>
        <w:t xml:space="preserve">for this category </w:t>
      </w:r>
      <w:r w:rsidRPr="00A479A2">
        <w:t>under SBA rules</w:t>
      </w:r>
      <w:r>
        <w:t xml:space="preserve"> </w:t>
      </w:r>
      <w:r w:rsidRPr="00244737">
        <w:t>is that such a business is small if it has 1,500 or fewer employees</w:t>
      </w:r>
      <w:r w:rsidRPr="001B3440">
        <w:rPr>
          <w:i/>
          <w:szCs w:val="22"/>
        </w:rPr>
        <w:t>.</w:t>
      </w:r>
      <w:r>
        <w:rPr>
          <w:rStyle w:val="FootnoteReference"/>
          <w:szCs w:val="22"/>
        </w:rPr>
        <w:footnoteReference w:id="236"/>
      </w:r>
      <w:r w:rsidRPr="001B3440">
        <w:rPr>
          <w:i/>
          <w:szCs w:val="22"/>
        </w:rPr>
        <w:t xml:space="preserve">  </w:t>
      </w:r>
      <w:r w:rsidRPr="001B3440">
        <w:rPr>
          <w:szCs w:val="22"/>
        </w:rPr>
        <w:t xml:space="preserve">For this industry, U.S. Census </w:t>
      </w:r>
      <w:r>
        <w:rPr>
          <w:szCs w:val="22"/>
        </w:rPr>
        <w:t xml:space="preserve">Bureau </w:t>
      </w:r>
      <w:r w:rsidRPr="001B3440">
        <w:rPr>
          <w:szCs w:val="22"/>
        </w:rPr>
        <w:t>data for 2012 show</w:t>
      </w:r>
      <w:r>
        <w:rPr>
          <w:szCs w:val="22"/>
        </w:rPr>
        <w:t>s</w:t>
      </w:r>
      <w:r w:rsidRPr="001B3440">
        <w:rPr>
          <w:szCs w:val="22"/>
        </w:rPr>
        <w:t xml:space="preserve"> that there were 967 firms that operated for the entire year.</w:t>
      </w:r>
      <w:r>
        <w:rPr>
          <w:rStyle w:val="FootnoteReference"/>
          <w:szCs w:val="22"/>
        </w:rPr>
        <w:footnoteReference w:id="237"/>
      </w:r>
      <w:r w:rsidRPr="001B3440">
        <w:rPr>
          <w:szCs w:val="22"/>
        </w:rPr>
        <w:t xml:space="preserve">  Of this total, 955 firms had employment of 999 or fewer employees and 12 had employment of 1000 employees or more.</w:t>
      </w:r>
      <w:r>
        <w:rPr>
          <w:rStyle w:val="FootnoteReference"/>
          <w:szCs w:val="22"/>
        </w:rPr>
        <w:footnoteReference w:id="238"/>
      </w:r>
      <w:r w:rsidRPr="001B3440">
        <w:rPr>
          <w:szCs w:val="22"/>
        </w:rPr>
        <w:t xml:space="preserve">  Thus under this category and the associated size standard, the Commission estimates that the majority of </w:t>
      </w:r>
      <w:r>
        <w:rPr>
          <w:szCs w:val="22"/>
        </w:rPr>
        <w:t>PLMR Licensees</w:t>
      </w:r>
      <w:r w:rsidRPr="001B3440">
        <w:rPr>
          <w:szCs w:val="22"/>
        </w:rPr>
        <w:t xml:space="preserve"> are small entities</w:t>
      </w:r>
      <w:r>
        <w:rPr>
          <w:szCs w:val="22"/>
        </w:rPr>
        <w:t>.</w:t>
      </w:r>
    </w:p>
    <w:p w:rsidR="004974BC" w:rsidP="004974BC">
      <w:pPr>
        <w:pStyle w:val="ParaNum"/>
        <w:widowControl/>
      </w:pPr>
      <w:r w:rsidRPr="00AD75E8">
        <w:t>According to the Commission’s records, PLMR users</w:t>
      </w:r>
      <w:r>
        <w:t xml:space="preserve"> hold</w:t>
      </w:r>
      <w:r w:rsidRPr="00AD75E8">
        <w:t xml:space="preserve"> a total of approximately </w:t>
      </w:r>
      <w:r>
        <w:t>400,622</w:t>
      </w:r>
      <w:r w:rsidRPr="00AD75E8">
        <w:t xml:space="preserve"> licenses.</w:t>
      </w:r>
      <w:r>
        <w:rPr>
          <w:rStyle w:val="FootnoteReference"/>
          <w:szCs w:val="22"/>
        </w:rPr>
        <w:footnoteReference w:id="239"/>
      </w:r>
      <w:r>
        <w:t xml:space="preserve"> </w:t>
      </w:r>
      <w:r w:rsidRPr="00294E74">
        <w:t>Of this number there are a total of approximately 3,174 PLMR licenses in the 4.9 GHz band;</w:t>
      </w:r>
      <w:r>
        <w:rPr>
          <w:rStyle w:val="FootnoteReference"/>
          <w:szCs w:val="22"/>
        </w:rPr>
        <w:footnoteReference w:id="240"/>
      </w:r>
      <w:r w:rsidRPr="00294E74">
        <w:t xml:space="preserve">  29,187 PLMR licenses in the 800 MHz band;</w:t>
      </w:r>
      <w:r>
        <w:rPr>
          <w:rStyle w:val="FootnoteReference"/>
          <w:szCs w:val="22"/>
        </w:rPr>
        <w:footnoteReference w:id="241"/>
      </w:r>
      <w:r w:rsidRPr="00294E74">
        <w:t xml:space="preserve"> and </w:t>
      </w:r>
      <w:r w:rsidRPr="00294E74">
        <w:rPr>
          <w:snapToGrid/>
          <w:color w:val="000000"/>
        </w:rPr>
        <w:t>3,374 licenses in the frequencies range 173.225 MHz to 173.375 MHz.</w:t>
      </w:r>
      <w:r>
        <w:rPr>
          <w:snapToGrid/>
          <w:color w:val="000000"/>
          <w:vertAlign w:val="superscript"/>
        </w:rPr>
        <w:footnoteReference w:id="242"/>
      </w:r>
      <w:r w:rsidRPr="00A91654">
        <w:rPr>
          <w:snapToGrid/>
          <w:color w:val="000000"/>
        </w:rPr>
        <w:t xml:space="preserve">  </w:t>
      </w:r>
      <w:r w:rsidRPr="001B3440">
        <w:rPr>
          <w:szCs w:val="22"/>
        </w:rPr>
        <w:t xml:space="preserve">The Commission </w:t>
      </w:r>
      <w:r w:rsidRPr="00E83041">
        <w:t>does not require PLMR licensees to disclose informati</w:t>
      </w:r>
      <w:r>
        <w:t>on about number of employees, and does not have</w:t>
      </w:r>
      <w:r w:rsidRPr="00E83041">
        <w:t xml:space="preserve"> information that could be used to determine how many PLMR licensees constitute small entities under this definition.</w:t>
      </w:r>
      <w:r>
        <w:t xml:space="preserve"> The Commission however </w:t>
      </w:r>
      <w:r w:rsidRPr="001B3440">
        <w:rPr>
          <w:szCs w:val="22"/>
        </w:rPr>
        <w:t>believes that a substantial number of PLMR licensees may be small entities despite the lack of specific information</w:t>
      </w:r>
      <w:r>
        <w:rPr>
          <w:szCs w:val="22"/>
        </w:rPr>
        <w:t>.</w:t>
      </w:r>
    </w:p>
    <w:p w:rsidR="004974BC" w:rsidRPr="00713A54" w:rsidP="004974BC">
      <w:pPr>
        <w:pStyle w:val="ParaNum"/>
        <w:widowControl/>
      </w:pPr>
      <w:r w:rsidRPr="00713A54">
        <w:rPr>
          <w:rStyle w:val="StyleParaNumItalic1Char"/>
          <w:iCs/>
          <w:szCs w:val="22"/>
        </w:rPr>
        <w:t>Frequency Coordinators</w:t>
      </w:r>
      <w:r w:rsidRPr="00713A54">
        <w:rPr>
          <w:szCs w:val="22"/>
        </w:rPr>
        <w:t>.</w:t>
      </w:r>
      <w:r w:rsidRPr="00713A54">
        <w:rPr>
          <w:rStyle w:val="Heading1Char"/>
          <w:color w:val="000000"/>
          <w:szCs w:val="22"/>
        </w:rPr>
        <w:t xml:space="preserve">  </w:t>
      </w:r>
      <w:r w:rsidRPr="00713A54">
        <w:rPr>
          <w:szCs w:val="22"/>
        </w:rPr>
        <w:t>Neither the Commission nor the SBA has developed a small business size standard specifically applicable to spectrum frequency coordinators.  There are t</w:t>
      </w:r>
      <w:r>
        <w:rPr>
          <w:szCs w:val="22"/>
        </w:rPr>
        <w:t>hirteen</w:t>
      </w:r>
      <w:r w:rsidRPr="00713A54">
        <w:rPr>
          <w:szCs w:val="22"/>
        </w:rPr>
        <w:t xml:space="preserve"> </w:t>
      </w:r>
      <w:r w:rsidRPr="00713A54">
        <w:rPr>
          <w:szCs w:val="22"/>
        </w:rPr>
        <w:t>frequency coordinators certified by the Commission to coordinate PLMR frequencies.</w:t>
      </w:r>
      <w:r>
        <w:rPr>
          <w:rStyle w:val="FootnoteReference"/>
          <w:szCs w:val="22"/>
        </w:rPr>
        <w:footnoteReference w:id="243"/>
      </w:r>
      <w:r w:rsidRPr="00713A54">
        <w:rPr>
          <w:szCs w:val="22"/>
        </w:rPr>
        <w:t xml:space="preserve">  The SBA rules contain a definition for Wireless Telecommunications Carriers (except Satellite) which encompasses business entities engaged in radiotelephone communications employing no more than 1,500 persons.</w:t>
      </w:r>
      <w:r>
        <w:rPr>
          <w:szCs w:val="22"/>
          <w:vertAlign w:val="superscript"/>
        </w:rPr>
        <w:footnoteReference w:id="244"/>
      </w:r>
      <w:r w:rsidRPr="00713A54">
        <w:rPr>
          <w:szCs w:val="22"/>
        </w:rPr>
        <w:t xml:space="preserve">  </w:t>
      </w:r>
      <w:r w:rsidRPr="001B3440">
        <w:rPr>
          <w:szCs w:val="22"/>
        </w:rPr>
        <w:t xml:space="preserve">For this industry, U.S. Census </w:t>
      </w:r>
      <w:r>
        <w:rPr>
          <w:szCs w:val="22"/>
        </w:rPr>
        <w:t xml:space="preserve">Bureau </w:t>
      </w:r>
      <w:r w:rsidRPr="001B3440">
        <w:rPr>
          <w:szCs w:val="22"/>
        </w:rPr>
        <w:t>data for 2012 show</w:t>
      </w:r>
      <w:r>
        <w:rPr>
          <w:szCs w:val="22"/>
        </w:rPr>
        <w:t>s</w:t>
      </w:r>
      <w:r w:rsidRPr="001B3440">
        <w:rPr>
          <w:szCs w:val="22"/>
        </w:rPr>
        <w:t xml:space="preserve"> that there were 967 firms that operated for the entire year.</w:t>
      </w:r>
      <w:r>
        <w:rPr>
          <w:rStyle w:val="FootnoteReference"/>
          <w:szCs w:val="22"/>
        </w:rPr>
        <w:footnoteReference w:id="245"/>
      </w:r>
      <w:r w:rsidRPr="001B3440">
        <w:rPr>
          <w:szCs w:val="22"/>
        </w:rPr>
        <w:t xml:space="preserve">  Of this total, 955 firms had employment of 999 or fewer employees and 12 had employment of 1000 employees or more.</w:t>
      </w:r>
      <w:r>
        <w:rPr>
          <w:rStyle w:val="FootnoteReference"/>
          <w:szCs w:val="22"/>
        </w:rPr>
        <w:footnoteReference w:id="246"/>
      </w:r>
      <w:r w:rsidRPr="001B3440">
        <w:rPr>
          <w:szCs w:val="22"/>
        </w:rPr>
        <w:t xml:space="preserve">  Thus</w:t>
      </w:r>
      <w:r>
        <w:rPr>
          <w:szCs w:val="22"/>
        </w:rPr>
        <w:t>, u</w:t>
      </w:r>
      <w:r w:rsidRPr="00713A54">
        <w:rPr>
          <w:szCs w:val="22"/>
        </w:rPr>
        <w:t>nder this category and size standard, we estimate that a majority of frequency coordinators can be considered small.</w:t>
      </w:r>
    </w:p>
    <w:p w:rsidR="004974BC" w:rsidRPr="00C54E9E" w:rsidP="004974BC">
      <w:pPr>
        <w:pStyle w:val="ParaNum"/>
        <w:widowControl/>
      </w:pPr>
      <w:r>
        <w:rPr>
          <w:i/>
          <w:szCs w:val="22"/>
        </w:rPr>
        <w:t>Radio and Television Broadcasting and Wireless Communications Equipment Manufacturing.</w:t>
      </w:r>
      <w:r>
        <w:rPr>
          <w:szCs w:val="22"/>
        </w:rPr>
        <w:t xml:space="preserve">  </w:t>
      </w:r>
      <w:r w:rsidRPr="007A5CC2">
        <w:rPr>
          <w:snapToGrid/>
        </w:rPr>
        <w:t>This industry comprises establishments primarily engaged in manufacturing radio and television broadcast and wireless communications equipment.</w:t>
      </w:r>
      <w:r>
        <w:rPr>
          <w:rStyle w:val="FootnoteReference"/>
          <w:snapToGrid/>
        </w:rPr>
        <w:footnoteReference w:id="247"/>
      </w:r>
      <w:r w:rsidRPr="007A5CC2">
        <w:rPr>
          <w:snapToGrid/>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napToGrid/>
          <w:vertAlign w:val="superscript"/>
        </w:rPr>
        <w:footnoteReference w:id="248"/>
      </w:r>
      <w:r w:rsidRPr="007A5CC2">
        <w:rPr>
          <w:snapToGrid/>
        </w:rPr>
        <w:t xml:space="preserve">  The SBA has established a size standard for this industry of </w:t>
      </w:r>
      <w:r>
        <w:rPr>
          <w:snapToGrid/>
        </w:rPr>
        <w:t>1,2</w:t>
      </w:r>
      <w:r w:rsidRPr="007A5CC2">
        <w:rPr>
          <w:snapToGrid/>
        </w:rPr>
        <w:t>50 employees or less.</w:t>
      </w:r>
      <w:r>
        <w:rPr>
          <w:snapToGrid/>
          <w:vertAlign w:val="superscript"/>
        </w:rPr>
        <w:footnoteReference w:id="249"/>
      </w:r>
      <w:r w:rsidRPr="007A5CC2">
        <w:rPr>
          <w:snapToGrid/>
        </w:rPr>
        <w:t xml:space="preserve">  U.S. Census data for 2012 shows that 841 establishments operated in this industry in that year.</w:t>
      </w:r>
      <w:r>
        <w:rPr>
          <w:rStyle w:val="FootnoteReference"/>
          <w:snapToGrid/>
        </w:rPr>
        <w:footnoteReference w:id="250"/>
      </w:r>
      <w:r w:rsidRPr="007A5CC2">
        <w:rPr>
          <w:snapToGrid/>
        </w:rPr>
        <w:t xml:space="preserve">  Of that number, 828 establishments operated with fewer than 1,000 employees, 7 establishments operated with between 1,000 and 2,499 employees and 6 establishments operated with 2,500 or more employees.</w:t>
      </w:r>
      <w:r>
        <w:rPr>
          <w:snapToGrid/>
          <w:vertAlign w:val="superscript"/>
        </w:rPr>
        <w:footnoteReference w:id="251"/>
      </w:r>
      <w:r w:rsidRPr="007A5CC2">
        <w:rPr>
          <w:snapToGrid/>
        </w:rPr>
        <w:t xml:space="preserve">  Based on this data, we conclude that a majority of manufacturers in this industry </w:t>
      </w:r>
      <w:r>
        <w:rPr>
          <w:snapToGrid/>
        </w:rPr>
        <w:t>can be cons</w:t>
      </w:r>
      <w:r w:rsidRPr="007A5CC2">
        <w:rPr>
          <w:snapToGrid/>
        </w:rPr>
        <w:t>i</w:t>
      </w:r>
      <w:r>
        <w:rPr>
          <w:snapToGrid/>
        </w:rPr>
        <w:t>dered</w:t>
      </w:r>
      <w:r w:rsidRPr="007A5CC2">
        <w:rPr>
          <w:snapToGrid/>
        </w:rPr>
        <w:t xml:space="preserve"> small.</w:t>
      </w:r>
    </w:p>
    <w:p w:rsidR="004974BC" w:rsidP="004974BC">
      <w:pPr>
        <w:pStyle w:val="Heading2"/>
        <w:widowControl/>
      </w:pPr>
      <w:bookmarkStart w:id="229" w:name="_Toc467505856"/>
      <w:bookmarkStart w:id="230" w:name="_Toc487811697"/>
      <w:bookmarkStart w:id="231" w:name="_Toc487812288"/>
      <w:bookmarkStart w:id="232" w:name="_Toc488043053"/>
      <w:bookmarkStart w:id="233" w:name="_Toc498610379"/>
      <w:bookmarkStart w:id="234" w:name="_Toc498611086"/>
      <w:bookmarkStart w:id="235" w:name="_Toc499561045"/>
      <w:bookmarkStart w:id="236" w:name="_Toc499561170"/>
      <w:bookmarkStart w:id="237" w:name="_Toc499561307"/>
      <w:bookmarkStart w:id="238" w:name="_Toc499561464"/>
      <w:bookmarkStart w:id="239" w:name="_Toc499561710"/>
      <w:bookmarkStart w:id="240" w:name="_Toc499561880"/>
      <w:bookmarkStart w:id="241" w:name="_Toc499731411"/>
      <w:bookmarkStart w:id="242" w:name="_Toc499815993"/>
      <w:bookmarkStart w:id="243" w:name="_Toc500945701"/>
      <w:bookmarkStart w:id="244" w:name="_Toc501012163"/>
      <w:bookmarkStart w:id="245" w:name="_Toc519260262"/>
      <w:r w:rsidRPr="00483AC2">
        <w:t>Description of Projected Reporting, Recordkeeping, and Other Compliance Requirements</w:t>
      </w:r>
      <w:bookmarkEnd w:id="229"/>
      <w:r>
        <w:t xml:space="preserve"> for Small Entities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974BC" w:rsidP="004974BC">
      <w:pPr>
        <w:pStyle w:val="ParaNum"/>
        <w:widowControl/>
      </w:pPr>
      <w:r w:rsidRPr="008223D7">
        <w:t>PLMR entities seeking licenses are required to obtain coordination from certain frequenc</w:t>
      </w:r>
      <w:r>
        <w:t>y coordinators as specified in s</w:t>
      </w:r>
      <w:r w:rsidRPr="008223D7">
        <w:t>ection 90.</w:t>
      </w:r>
      <w:r>
        <w:t>175</w:t>
      </w:r>
      <w:r w:rsidRPr="008223D7">
        <w:t xml:space="preserve"> of the Commission’s rules, 47 CFR § 90.</w:t>
      </w:r>
      <w:r>
        <w:t xml:space="preserve">175.  </w:t>
      </w:r>
      <w:r w:rsidRPr="008223D7">
        <w:t xml:space="preserve">OMB has already approved the information collection requirements associated with Form 601, including </w:t>
      </w:r>
      <w:r>
        <w:t xml:space="preserve">the </w:t>
      </w:r>
      <w:r w:rsidRPr="008223D7">
        <w:t xml:space="preserve">frequency coordination requirement. </w:t>
      </w:r>
      <w:r>
        <w:t xml:space="preserve"> </w:t>
      </w:r>
      <w:r w:rsidRPr="008223D7">
        <w:t xml:space="preserve">See ICR Reference Number: 201311-3060-018, OMB Control No. </w:t>
      </w:r>
      <w:r w:rsidRPr="008223D7">
        <w:t xml:space="preserve">3060-0798. </w:t>
      </w:r>
      <w:r>
        <w:t xml:space="preserve"> </w:t>
      </w:r>
      <w:r w:rsidRPr="008223D7">
        <w:t xml:space="preserve">We do not </w:t>
      </w:r>
      <w:r>
        <w:t xml:space="preserve">make </w:t>
      </w:r>
      <w:r w:rsidRPr="008223D7">
        <w:t xml:space="preserve">any substantive or material changes to the wording of this existing information collection. </w:t>
      </w:r>
      <w:r>
        <w:t xml:space="preserve"> </w:t>
      </w:r>
      <w:r w:rsidRPr="008223D7">
        <w:t xml:space="preserve">Instead, </w:t>
      </w:r>
      <w:r>
        <w:t>by making 318 additional 12.5 kilohertz bandwidth offset channels available for licensing in the 800 MHz Mid-Band, we potentially increase</w:t>
      </w:r>
      <w:r w:rsidRPr="008223D7">
        <w:t xml:space="preserve"> the number of respondents subject to the existing information collections.</w:t>
      </w:r>
    </w:p>
    <w:p w:rsidR="004974BC" w:rsidP="004974BC">
      <w:pPr>
        <w:pStyle w:val="ParaNum"/>
        <w:widowControl/>
        <w:tabs>
          <w:tab w:val="num" w:pos="1170"/>
        </w:tabs>
        <w:ind w:left="90"/>
      </w:pPr>
      <w:r>
        <w:t>Furthermore, the Commission has certified a number of f</w:t>
      </w:r>
      <w:r w:rsidRPr="00AC247C">
        <w:t>requency coordinators to recommend the most appropriate frequencies fo</w:t>
      </w:r>
      <w:r>
        <w:t>r applicants in the designated p</w:t>
      </w:r>
      <w:r w:rsidRPr="00AC247C">
        <w:t>art 90 radio services</w:t>
      </w:r>
      <w:r>
        <w:t xml:space="preserve"> per s</w:t>
      </w:r>
      <w:r w:rsidRPr="00AC247C">
        <w:t>ection 90.175</w:t>
      </w:r>
      <w:r>
        <w:t xml:space="preserve"> of the Commission’s rules, </w:t>
      </w:r>
      <w:r w:rsidRPr="008223D7">
        <w:t>47 CFR § 90.</w:t>
      </w:r>
      <w:r>
        <w:t xml:space="preserve">175.  To date, frequency coordinators only needed to </w:t>
      </w:r>
      <w:r w:rsidRPr="00AC247C">
        <w:t xml:space="preserve">consider co-channel mileage separation requirements </w:t>
      </w:r>
      <w:r>
        <w:t xml:space="preserve">when coordinating applications for </w:t>
      </w:r>
      <w:r w:rsidRPr="00AC247C">
        <w:t>the 800 MHz band</w:t>
      </w:r>
      <w:r>
        <w:t xml:space="preserve">.  We are amending our rules, however, to require frequency coordinators to perform a contour overlap analysis when coordinating applications for the 800 MHz Mid-Band in order to minimize the potential for adjacent-channel interference.  For frequency bands </w:t>
      </w:r>
      <w:r w:rsidRPr="00AC247C">
        <w:t xml:space="preserve">below 512 MHz, frequency coordinators are required to analyze adjacent channel interference. </w:t>
      </w:r>
      <w:r>
        <w:t xml:space="preserve"> Thus,</w:t>
      </w:r>
      <w:r w:rsidRPr="00AC247C">
        <w:t xml:space="preserve"> </w:t>
      </w:r>
      <w:r>
        <w:t>w</w:t>
      </w:r>
      <w:r w:rsidRPr="00AC247C">
        <w:t>e anticipate the burden and cost levels would be comparable to the existing contour overlap analysis in the below 512 MHz band, which OMB approved.</w:t>
      </w:r>
      <w:r>
        <w:rPr>
          <w:rStyle w:val="FootnoteReference"/>
        </w:rPr>
        <w:footnoteReference w:id="252"/>
      </w:r>
      <w:r w:rsidRPr="00AC247C">
        <w:t xml:space="preserve"> </w:t>
      </w:r>
      <w:r>
        <w:t xml:space="preserve"> In that case, the Commission estimated it would it would take a frequency coordinator one hour to perform a contour overlap analysis and provide a concurrence letter to an applicant at an in-house rate of $40 per hour.</w:t>
      </w:r>
      <w:r>
        <w:rPr>
          <w:rStyle w:val="FootnoteReference"/>
        </w:rPr>
        <w:footnoteReference w:id="253"/>
      </w:r>
      <w:r>
        <w:t xml:space="preserve">  The Commission estimated that frequency coordinators would receive 2,500 requests for contour analysis per year for a total annual cost burden of $ 100,000.</w:t>
      </w:r>
      <w:r>
        <w:rPr>
          <w:rStyle w:val="FootnoteReference"/>
        </w:rPr>
        <w:footnoteReference w:id="254"/>
      </w:r>
    </w:p>
    <w:p w:rsidR="004974BC" w:rsidP="004974BC">
      <w:pPr>
        <w:pStyle w:val="ParaNum"/>
        <w:widowControl/>
      </w:pPr>
      <w:r>
        <w:t>Moreover, t</w:t>
      </w:r>
      <w:r w:rsidRPr="008223D7">
        <w:t xml:space="preserve">he rules </w:t>
      </w:r>
      <w:r>
        <w:t xml:space="preserve">we adopt in the </w:t>
      </w:r>
      <w:r w:rsidRPr="00984DEC">
        <w:rPr>
          <w:i/>
        </w:rPr>
        <w:t>Report and Order</w:t>
      </w:r>
      <w:r>
        <w:t xml:space="preserve"> </w:t>
      </w:r>
      <w:r w:rsidRPr="008223D7">
        <w:t>provide regulatory flexibility to all 800 MHz PLMR licensees, including small governmental jurisdictions and small businesses.</w:t>
      </w:r>
      <w:r>
        <w:t xml:space="preserve">  For instance, w</w:t>
      </w:r>
      <w:r w:rsidRPr="001236F2">
        <w:t xml:space="preserve">e permit applicants to file applications which cause contour overlap to an incumbent operator provided each incumbent operator who receives contour overlap provides its written consent.  By allowing incumbent operators to accept contour overlap, we provide </w:t>
      </w:r>
      <w:r>
        <w:t xml:space="preserve">PLMR </w:t>
      </w:r>
      <w:r w:rsidRPr="001236F2">
        <w:t xml:space="preserve">applicants with the opportunity to present more granular studies </w:t>
      </w:r>
      <w:r>
        <w:t xml:space="preserve">to an incumbent </w:t>
      </w:r>
      <w:r w:rsidRPr="001236F2">
        <w:t>if an applicant believes that interference would not be an issue in practice despite the contour overlap or for incumbent operators to accept interference in portions of its service area where such interference would present no detriment to its operations</w:t>
      </w:r>
      <w:r>
        <w:t xml:space="preserve">.  </w:t>
      </w:r>
      <w:r w:rsidRPr="001236F2">
        <w:t xml:space="preserve">Currently PLMR applicants may provide letters of concurrence indicating that the applicant and each </w:t>
      </w:r>
      <w:r>
        <w:t xml:space="preserve">short-spaced </w:t>
      </w:r>
      <w:r w:rsidRPr="001236F2">
        <w:t>co-channel licensee agree to accept any interference resulting from the reduced co-channel separation between systems (i.e. 47 CF</w:t>
      </w:r>
      <w:r>
        <w:t>R</w:t>
      </w:r>
      <w:r w:rsidRPr="001236F2">
        <w:t xml:space="preserve"> § 90.621(e)(5)). </w:t>
      </w:r>
      <w:r>
        <w:t xml:space="preserve"> </w:t>
      </w:r>
      <w:r w:rsidRPr="001236F2">
        <w:t>We envision that the estimated burden and cost levels would be comparable to the existing consensual short spacing rules.</w:t>
      </w:r>
      <w:r>
        <w:rPr>
          <w:rStyle w:val="FootnoteReference"/>
        </w:rPr>
        <w:footnoteReference w:id="255"/>
      </w:r>
      <w:r w:rsidRPr="001236F2">
        <w:t xml:space="preserve"> </w:t>
      </w:r>
      <w:r>
        <w:t xml:space="preserve"> In that case, the Commission estimated it would take an applicant 1.5 hours to collect the information it needs to request written consent from a short-spaced co-channel licensee and that there would be no in-house cost associated with collecting the information.</w:t>
      </w:r>
      <w:r>
        <w:rPr>
          <w:rStyle w:val="FootnoteReference"/>
        </w:rPr>
        <w:footnoteReference w:id="256"/>
      </w:r>
      <w:r>
        <w:t xml:space="preserve">  It estimated that applicants would need consent from short-spaced co-channel licensees thirty-six times annually for a total annual burden of 54 hours.</w:t>
      </w:r>
      <w:r>
        <w:rPr>
          <w:rStyle w:val="FootnoteReference"/>
        </w:rPr>
        <w:footnoteReference w:id="257"/>
      </w:r>
      <w:r>
        <w:t xml:space="preserve">   </w:t>
      </w:r>
    </w:p>
    <w:p w:rsidR="004974BC" w:rsidP="004974BC">
      <w:pPr>
        <w:pStyle w:val="ParaNum"/>
        <w:widowControl/>
      </w:pPr>
      <w:r>
        <w:t xml:space="preserve">In addition, </w:t>
      </w:r>
      <w:r w:rsidRPr="00360770">
        <w:t>we a</w:t>
      </w:r>
      <w:r>
        <w:t xml:space="preserve">dopt rules in the </w:t>
      </w:r>
      <w:r w:rsidRPr="008223D7">
        <w:rPr>
          <w:i/>
        </w:rPr>
        <w:t>Report and Order</w:t>
      </w:r>
      <w:r>
        <w:t xml:space="preserve"> which </w:t>
      </w:r>
      <w:r w:rsidRPr="00360770">
        <w:t xml:space="preserve">allow </w:t>
      </w:r>
      <w:r>
        <w:t xml:space="preserve">equipment </w:t>
      </w:r>
      <w:r w:rsidRPr="00360770">
        <w:t xml:space="preserve">manufacturers to </w:t>
      </w:r>
      <w:r>
        <w:t xml:space="preserve">manufacture transmitters capable of operating on the new </w:t>
      </w:r>
      <w:r w:rsidRPr="00446CAE">
        <w:t xml:space="preserve">interstitial 12.5 </w:t>
      </w:r>
      <w:r>
        <w:t>kilohertz</w:t>
      </w:r>
      <w:r w:rsidRPr="00446CAE">
        <w:t xml:space="preserve"> </w:t>
      </w:r>
      <w:r>
        <w:t>bandwidth offset</w:t>
      </w:r>
      <w:r w:rsidRPr="00446CAE">
        <w:t xml:space="preserve"> </w:t>
      </w:r>
      <w:r>
        <w:t xml:space="preserve">channels provided their equipment satisfies certain </w:t>
      </w:r>
      <w:r w:rsidRPr="00360770">
        <w:t xml:space="preserve">bandwidth and emission mask </w:t>
      </w:r>
      <w:r>
        <w:t>limitations.  These specifications are designed to limit</w:t>
      </w:r>
      <w:r w:rsidRPr="00360770">
        <w:t xml:space="preserve"> </w:t>
      </w:r>
      <w:r>
        <w:t xml:space="preserve">the </w:t>
      </w:r>
      <w:r w:rsidRPr="00360770">
        <w:t xml:space="preserve">amount of RF energy a transmitter operating on </w:t>
      </w:r>
      <w:r>
        <w:t xml:space="preserve">an offset channel can </w:t>
      </w:r>
      <w:r w:rsidRPr="00360770">
        <w:t xml:space="preserve">radiate onto an adjacent </w:t>
      </w:r>
      <w:r>
        <w:t xml:space="preserve">standard channel.  Equipment </w:t>
      </w:r>
      <w:r w:rsidRPr="00360770">
        <w:t xml:space="preserve">manufacturers </w:t>
      </w:r>
      <w:r>
        <w:t xml:space="preserve">will be </w:t>
      </w:r>
      <w:r w:rsidRPr="00360770">
        <w:t xml:space="preserve">required to </w:t>
      </w:r>
      <w:r w:rsidRPr="00DD3D8C">
        <w:t>obtain a new equipment authorization or modify an existing</w:t>
      </w:r>
      <w:r w:rsidRPr="00360770">
        <w:t xml:space="preserve"> equipment </w:t>
      </w:r>
      <w:r>
        <w:t xml:space="preserve">authorization when designing equipment intended to operate on the new offset channels.  </w:t>
      </w:r>
      <w:r w:rsidRPr="00360770">
        <w:t xml:space="preserve">OMB has already approved the information collection requirements associated with </w:t>
      </w:r>
      <w:r w:rsidRPr="00DD3D8C">
        <w:t xml:space="preserve">obtaining a new or modified </w:t>
      </w:r>
      <w:r w:rsidRPr="00360770">
        <w:t xml:space="preserve">equipment authorizations. </w:t>
      </w:r>
      <w:r>
        <w:t xml:space="preserve"> Specifically, an equipment manufacturer who seeks a new or modified equipment authorization needs to electronically file </w:t>
      </w:r>
      <w:r w:rsidRPr="00A03104">
        <w:t>FCC Form 731</w:t>
      </w:r>
      <w:r>
        <w:t xml:space="preserve"> which the Commission estimates takes an average of 35 hours per application to complete depending upon the </w:t>
      </w:r>
      <w:r w:rsidRPr="00DC6486">
        <w:t xml:space="preserve">range </w:t>
      </w:r>
      <w:r>
        <w:t xml:space="preserve">and </w:t>
      </w:r>
      <w:r w:rsidRPr="00DC6486">
        <w:t>complexity of the measurement test reports</w:t>
      </w:r>
      <w:r>
        <w:t xml:space="preserve"> which must be included with the application.</w:t>
      </w:r>
      <w:r>
        <w:rPr>
          <w:rStyle w:val="FootnoteReference"/>
        </w:rPr>
        <w:footnoteReference w:id="258"/>
      </w:r>
      <w:r>
        <w:t xml:space="preserve">  The Commission estimates that </w:t>
      </w:r>
      <w:r w:rsidRPr="000C2B73">
        <w:t>22,250</w:t>
      </w:r>
      <w:r>
        <w:t xml:space="preserve"> FCC Form 731 applications are filed annually at an in-house cost to the equipment manufacturer of $500 per application resulting in a total annual cost burden of $ </w:t>
      </w:r>
      <w:r w:rsidRPr="00CE44B6">
        <w:t>11,125,000</w:t>
      </w:r>
      <w:r>
        <w:t>.</w:t>
      </w:r>
      <w:r>
        <w:rPr>
          <w:rStyle w:val="FootnoteReference"/>
        </w:rPr>
        <w:footnoteReference w:id="259"/>
      </w:r>
      <w:r>
        <w:t xml:space="preserve"> </w:t>
      </w:r>
      <w:r w:rsidRPr="00360770">
        <w:t xml:space="preserve">  We do not propose any substantive or material changes to the wording of this existing information collection.  Instead, if </w:t>
      </w:r>
      <w:r>
        <w:t>equipment manufacturers chose to develop equipment capable of operating on the new 12.5 kilohertz bandwidth offset channels,</w:t>
      </w:r>
      <w:r w:rsidRPr="00360770">
        <w:t xml:space="preserve"> then the number of respondents subject to the existing information collections </w:t>
      </w:r>
      <w:r>
        <w:t xml:space="preserve">could </w:t>
      </w:r>
      <w:r w:rsidRPr="00360770">
        <w:t>increase.</w:t>
      </w:r>
    </w:p>
    <w:p w:rsidR="004974BC" w:rsidP="004974BC">
      <w:pPr>
        <w:pStyle w:val="ParaNum"/>
        <w:widowControl/>
      </w:pPr>
      <w:r>
        <w:t xml:space="preserve">The </w:t>
      </w:r>
      <w:r>
        <w:rPr>
          <w:i/>
        </w:rPr>
        <w:t xml:space="preserve">Report and Order </w:t>
      </w:r>
      <w:r>
        <w:t xml:space="preserve">also requires entities not engaged in central station alarm operations that seek licenses for frequencies formerly reserved exclusively for central station alarm operations to obtain the concurrence of the Commission-certified frequency coordinator for those frequencies.  It is estimated that no more than 1 hour of effort would be required to request and receive such concurrence.  The number of such applicants or licensees that may be required to request such concurrence depends on future events and this is difficult of estimation.  However, 200 such applicants or licensees may be affected. </w:t>
      </w:r>
    </w:p>
    <w:p w:rsidR="004974BC" w:rsidP="004974BC">
      <w:pPr>
        <w:pStyle w:val="ParaNum"/>
        <w:widowControl/>
      </w:pPr>
      <w:r>
        <w:t>Finally, w</w:t>
      </w:r>
      <w:r w:rsidRPr="00CD01EB">
        <w:t xml:space="preserve">ith the 800 MHz Transition Administrator's (TA's) certification that band reconfiguration is complete and all licensees are now operating on their post-rebanding channels in 44 NPSPAC regions, the temporary waiver of the interference criteria in those regions has expired and the minimum threshold levels specified in sections 22.970(a) and 90.672(a) are now in effect.  In the </w:t>
      </w:r>
      <w:r w:rsidRPr="00A66BA9">
        <w:rPr>
          <w:i/>
        </w:rPr>
        <w:t>Order</w:t>
      </w:r>
      <w:r w:rsidRPr="00CD01EB">
        <w:t>, we direct the Bureaus will announce by public notice the dates and procedures for submitting applications for Expansion Band, Guard Band, and vacated interleaved channels in those regions, as well as for Expansion Band and Guard Band channels in those regions where licensing was deferred pending the resolution of the LMCC request for incumbent priority.   Additionally</w:t>
      </w:r>
      <w:r>
        <w:t>,</w:t>
      </w:r>
      <w:r w:rsidRPr="00CD01EB">
        <w:t xml:space="preserve"> in the </w:t>
      </w:r>
      <w:r w:rsidRPr="00A66BA9">
        <w:rPr>
          <w:i/>
        </w:rPr>
        <w:t>Order</w:t>
      </w:r>
      <w:r w:rsidRPr="00CD01EB">
        <w:t xml:space="preserve"> we terminate the freeze on inter-category sharing that was put into effect on April 5, 1995 by WTB removing the obligation on small and other sized entities to file requests to waive the freeze.   We do so because the rationale of the freeze no longer is applicable. Termination of the freeze on inter-category sharing is procedural and therefore not subject to the notice and comment requirements of the Administrative Procedure Act.</w:t>
      </w:r>
    </w:p>
    <w:p w:rsidR="004974BC" w:rsidP="004974BC">
      <w:pPr>
        <w:pStyle w:val="ParaNum"/>
        <w:widowControl/>
      </w:pPr>
      <w:r w:rsidRPr="00A96110">
        <w:t xml:space="preserve">The Commission believes that applying the proposed information collections will promote spectrum efficiency, </w:t>
      </w:r>
      <w:r w:rsidRPr="00B001F4">
        <w:t xml:space="preserve">will reduce barriers to innovation and encourage investment in new technologies </w:t>
      </w:r>
      <w:r>
        <w:t xml:space="preserve">while </w:t>
      </w:r>
      <w:r w:rsidRPr="00A96110">
        <w:t>mitigat</w:t>
      </w:r>
      <w:r>
        <w:t xml:space="preserve">ing the potential for interference between licensees operating on </w:t>
      </w:r>
      <w:r w:rsidRPr="00A96110">
        <w:t>adjacent channel</w:t>
      </w:r>
      <w:r>
        <w:t>s</w:t>
      </w:r>
      <w:r w:rsidRPr="00A96110">
        <w:t xml:space="preserve">.  The Commission does not believe that the costs and/or administrative burdens associated with the rules </w:t>
      </w:r>
      <w:r>
        <w:t xml:space="preserve">we adopt in this </w:t>
      </w:r>
      <w:r w:rsidRPr="00B001F4">
        <w:rPr>
          <w:i/>
        </w:rPr>
        <w:t>Report and Order</w:t>
      </w:r>
      <w:r>
        <w:t xml:space="preserve"> </w:t>
      </w:r>
      <w:r w:rsidRPr="00A96110">
        <w:t xml:space="preserve">will unduly burden small entities. </w:t>
      </w:r>
      <w:r>
        <w:t xml:space="preserve"> Rather, t</w:t>
      </w:r>
      <w:r w:rsidRPr="00A96110">
        <w:t>he rule</w:t>
      </w:r>
      <w:r>
        <w:t xml:space="preserve">s we adopt </w:t>
      </w:r>
      <w:r w:rsidRPr="00A96110">
        <w:t>should benefit small governmental jurisdictions, small businesses, small equipment manufacturers and small business associations by giving them more flexibility, and more options for gaining access to PLMR spectrum.</w:t>
      </w:r>
    </w:p>
    <w:p w:rsidR="004974BC" w:rsidP="004974BC">
      <w:pPr>
        <w:pStyle w:val="Heading2"/>
        <w:widowControl/>
      </w:pPr>
      <w:bookmarkStart w:id="246" w:name="_Toc467505857"/>
      <w:bookmarkStart w:id="247" w:name="_Toc487811698"/>
      <w:bookmarkStart w:id="248" w:name="_Toc487812289"/>
      <w:bookmarkStart w:id="249" w:name="_Toc488043054"/>
      <w:bookmarkStart w:id="250" w:name="_Toc498610380"/>
      <w:bookmarkStart w:id="251" w:name="_Toc498611087"/>
      <w:bookmarkStart w:id="252" w:name="_Toc499561046"/>
      <w:bookmarkStart w:id="253" w:name="_Toc499561171"/>
      <w:bookmarkStart w:id="254" w:name="_Toc499561308"/>
      <w:bookmarkStart w:id="255" w:name="_Toc499561465"/>
      <w:bookmarkStart w:id="256" w:name="_Toc499561711"/>
      <w:bookmarkStart w:id="257" w:name="_Toc499561881"/>
      <w:bookmarkStart w:id="258" w:name="_Toc499731412"/>
      <w:bookmarkStart w:id="259" w:name="_Toc499815994"/>
      <w:bookmarkStart w:id="260" w:name="_Toc500945702"/>
      <w:bookmarkStart w:id="261" w:name="_Toc501012164"/>
      <w:bookmarkStart w:id="262" w:name="_Toc519260263"/>
      <w:bookmarkStart w:id="263" w:name="start_from_here"/>
      <w:r>
        <w:t>Steps Taken t</w:t>
      </w:r>
      <w:r w:rsidRPr="00A111A5">
        <w:t>o Minimize Significant Economic Impact on Small Entities, and Significant Alternatives Considered</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4974BC" w:rsidP="004974BC">
      <w:pPr>
        <w:pStyle w:val="ParaNum"/>
        <w:widowControl/>
      </w:pPr>
      <w:r w:rsidRPr="00A96110">
        <w:t xml:space="preserve">The RFA requires an agency to describe any significant, specifically small business, alternatives that it has considered in </w:t>
      </w:r>
      <w:r>
        <w:t>developing</w:t>
      </w:r>
      <w:r w:rsidRPr="00A96110">
        <w:t xml:space="preserve"> its approach, which may include the following four alternatives (among others): (1) the establishment of differing compliance or reporting requirements or </w:t>
      </w:r>
      <w:r w:rsidRPr="00A96110">
        <w:t>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rStyle w:val="FootnoteReference"/>
        </w:rPr>
        <w:footnoteReference w:id="260"/>
      </w:r>
    </w:p>
    <w:p w:rsidR="004974BC" w:rsidRPr="00C67201" w:rsidP="004974BC">
      <w:pPr>
        <w:pStyle w:val="ParaNum"/>
        <w:widowControl/>
      </w:pPr>
      <w:r>
        <w:rPr>
          <w:szCs w:val="22"/>
        </w:rPr>
        <w:t xml:space="preserve">We believe that the rule changes discussed in this </w:t>
      </w:r>
      <w:r>
        <w:rPr>
          <w:i/>
          <w:szCs w:val="22"/>
        </w:rPr>
        <w:t xml:space="preserve">Report and Order </w:t>
      </w:r>
      <w:r>
        <w:rPr>
          <w:szCs w:val="22"/>
        </w:rPr>
        <w:t>will promote flexibility and more efficient use of the spectrum, reduce administrative burdens on both the Commission and licensees, and allow licensees to better meet their communications needs.</w:t>
      </w:r>
    </w:p>
    <w:p w:rsidR="004974BC" w:rsidP="004974BC">
      <w:pPr>
        <w:pStyle w:val="ParaNum"/>
        <w:widowControl/>
      </w:pPr>
      <w:r>
        <w:t>In order to minimize the economic impact resulting from the rules we adopt today on small entities and other licensees in the 800 Mid-Band, we leave in place our existing licensing scheme and technical requirements for entities who seek to continue operating in the 800 MHz Mid-Band using 25 kilohertz bandwidth equipment.  Thus, eligible entities will be permitted to continue applying to license facilities on standard 25 kilohertz bandwidth channels in the 800 MHz Mid-Band without needing to make changes to the 25 kilohertz bandwidth equipment they use today.</w:t>
      </w:r>
    </w:p>
    <w:p w:rsidR="004974BC" w:rsidP="004974BC">
      <w:pPr>
        <w:pStyle w:val="ParaNum"/>
        <w:widowControl/>
      </w:pPr>
      <w:r>
        <w:t xml:space="preserve">Only entities who chose to operate on the newly established 12.5 kilohertz bandwidth offset channels in the 800 MHz Mid-Band will be required to employ equipment that conforms to the technical parameters we adopt in this </w:t>
      </w:r>
      <w:r w:rsidRPr="00A66BA9">
        <w:rPr>
          <w:i/>
        </w:rPr>
        <w:t>Report and Order</w:t>
      </w:r>
      <w:r>
        <w:t xml:space="preserve"> including bandwidth limitations and emission mask requirements</w:t>
      </w:r>
    </w:p>
    <w:p w:rsidR="004974BC" w:rsidP="004974BC">
      <w:pPr>
        <w:pStyle w:val="ParaNum"/>
        <w:widowControl/>
      </w:pPr>
      <w:r>
        <w:t>Furthermore, no manufacturer will be required to modify its equipment.  Only manufacturers who choose to design equipment capable of operating on the new 12.5 kilohertz bandwidth offset channels will be required to obtain updated or new equipment authorizations.  As noted above, w</w:t>
      </w:r>
      <w:r w:rsidRPr="005B16A9">
        <w:t xml:space="preserve">e make no changes to the technical specifications for transmitters designed to operate solely on the standard 25 </w:t>
      </w:r>
      <w:r>
        <w:t>kilohertz</w:t>
      </w:r>
      <w:r w:rsidRPr="005B16A9">
        <w:t xml:space="preserve"> bandwidth channels in the 800 MHz Mid-Band</w:t>
      </w:r>
      <w:r>
        <w:t>.</w:t>
      </w:r>
    </w:p>
    <w:p w:rsidR="004974BC" w:rsidP="004974BC">
      <w:pPr>
        <w:pStyle w:val="ParaNum"/>
        <w:widowControl/>
      </w:pPr>
      <w:r>
        <w:t xml:space="preserve">Finally, in the </w:t>
      </w:r>
      <w:r w:rsidRPr="007B1B59">
        <w:rPr>
          <w:i/>
        </w:rPr>
        <w:t>Report and Order</w:t>
      </w:r>
      <w:r>
        <w:t xml:space="preserve">, we require all applicants, </w:t>
      </w:r>
      <w:r w:rsidRPr="00DD3D8C">
        <w:t>whether employing 25 kilohertz or 12.5 kilohertz bandwidth equipment,</w:t>
      </w:r>
      <w:r>
        <w:t xml:space="preserve"> to comply with a </w:t>
      </w:r>
      <w:r w:rsidRPr="00C45238">
        <w:t xml:space="preserve">contour overlap </w:t>
      </w:r>
      <w:r>
        <w:t xml:space="preserve">analysis when seeking to license channels in the 800 MHz Mid-Band.  The contour overlap analysis is needed to </w:t>
      </w:r>
      <w:r w:rsidRPr="00C45238">
        <w:t xml:space="preserve">minimize the potential for </w:t>
      </w:r>
      <w:r>
        <w:t xml:space="preserve">interference between licensees operating on </w:t>
      </w:r>
      <w:r w:rsidRPr="00C45238">
        <w:t>adjacent</w:t>
      </w:r>
      <w:r>
        <w:t xml:space="preserve"> </w:t>
      </w:r>
      <w:r w:rsidRPr="00C45238">
        <w:t>channel</w:t>
      </w:r>
      <w:r>
        <w:t xml:space="preserve">s.  Nonetheless, we </w:t>
      </w:r>
      <w:r w:rsidRPr="008223D7">
        <w:t>provide regulatory flexibility</w:t>
      </w:r>
      <w:r>
        <w:t xml:space="preserve"> for this requirement by allowing applicants who cause contour overlap to obtain letters of consent from incumbent operators.  By allowing applicants to obtain consent for contour overlap</w:t>
      </w:r>
      <w:r w:rsidRPr="001236F2">
        <w:t xml:space="preserve">, we provide </w:t>
      </w:r>
      <w:r>
        <w:t xml:space="preserve">PLMR </w:t>
      </w:r>
      <w:r w:rsidRPr="001236F2">
        <w:t>applicants with the opportunity to present more granular studies</w:t>
      </w:r>
      <w:r>
        <w:t xml:space="preserve"> to incumbents</w:t>
      </w:r>
      <w:r w:rsidRPr="001236F2">
        <w:t xml:space="preserve"> if an applicant believes that interference would not be an issue in practice despite the contour overlap or for </w:t>
      </w:r>
      <w:r>
        <w:t xml:space="preserve">an </w:t>
      </w:r>
      <w:r w:rsidRPr="001236F2">
        <w:t xml:space="preserve">incumbent operator to accept interference </w:t>
      </w:r>
      <w:r>
        <w:t xml:space="preserve">to </w:t>
      </w:r>
      <w:r w:rsidRPr="001236F2">
        <w:t>portions of its service area where such interference would present no detriment to its operations</w:t>
      </w:r>
      <w:r>
        <w:t xml:space="preserve">.   </w:t>
      </w:r>
      <w:bookmarkStart w:id="264" w:name="_Toc487811699"/>
      <w:bookmarkStart w:id="265" w:name="_Toc487812290"/>
      <w:bookmarkStart w:id="266" w:name="_Toc488043055"/>
      <w:bookmarkStart w:id="267" w:name="_Toc498610381"/>
      <w:bookmarkStart w:id="268" w:name="_Toc498611088"/>
      <w:bookmarkStart w:id="269" w:name="_Toc499561047"/>
      <w:bookmarkStart w:id="270" w:name="_Toc499561172"/>
      <w:bookmarkStart w:id="271" w:name="_Toc499561309"/>
      <w:bookmarkStart w:id="272" w:name="_Toc499561466"/>
      <w:bookmarkStart w:id="273" w:name="_Toc499561712"/>
      <w:bookmarkStart w:id="274" w:name="_Toc499561882"/>
      <w:bookmarkStart w:id="275" w:name="_Toc499731413"/>
      <w:bookmarkStart w:id="276" w:name="_Toc499815995"/>
      <w:bookmarkStart w:id="277" w:name="_Toc500945703"/>
      <w:bookmarkStart w:id="278" w:name="_Toc501012165"/>
    </w:p>
    <w:p w:rsidR="004974BC" w:rsidRPr="007B1B59" w:rsidP="00D25E3F">
      <w:pPr>
        <w:pStyle w:val="Heading2"/>
        <w:widowControl/>
      </w:pPr>
      <w:r w:rsidRPr="007B1B59">
        <w:t>Report to Congress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4974BC" w:rsidRPr="002D711A" w:rsidP="004974BC">
      <w:pPr>
        <w:pStyle w:val="ParaNum"/>
        <w:widowControl/>
      </w:pPr>
      <w:r>
        <w:t xml:space="preserve">The Commission will send a copy of the </w:t>
      </w:r>
      <w:r>
        <w:rPr>
          <w:i/>
        </w:rPr>
        <w:t>Report and Order and Order</w:t>
      </w:r>
      <w:r>
        <w:t>, including this FRFA, in a report to Congress pursuant to the Congressional Review Act.</w:t>
      </w:r>
      <w:r>
        <w:rPr>
          <w:rStyle w:val="FootnoteReference"/>
        </w:rPr>
        <w:footnoteReference w:id="261"/>
      </w:r>
      <w:r>
        <w:t xml:space="preserve">  In addition, the Commission will send a copy of the </w:t>
      </w:r>
      <w:r>
        <w:rPr>
          <w:i/>
        </w:rPr>
        <w:t>Report and Order and Order</w:t>
      </w:r>
      <w:r>
        <w:t xml:space="preserve">, including this FRFA, to the Chief Counsel for Advocacy of the SBA.  A copy of the </w:t>
      </w:r>
      <w:r>
        <w:rPr>
          <w:i/>
        </w:rPr>
        <w:t>Report and Order and Order</w:t>
      </w:r>
      <w:r>
        <w:t xml:space="preserve"> and FRFA (or summaries thereof) will also be published in the Federal Register.</w:t>
      </w:r>
      <w:r>
        <w:rPr>
          <w:rStyle w:val="FootnoteReference"/>
        </w:rPr>
        <w:footnoteReference w:id="262"/>
      </w:r>
    </w:p>
    <w:p w:rsidR="004974BC" w:rsidP="004974BC">
      <w:pPr>
        <w:widowControl/>
        <w:sectPr w:rsidSect="00933418">
          <w:headerReference w:type="default" r:id="rId13"/>
          <w:footerReference w:type="default" r:id="rId14"/>
          <w:headerReference w:type="first" r:id="rId15"/>
          <w:footerReference w:type="first" r:id="rId16"/>
          <w:footnotePr>
            <w:numRestart w:val="eachSect"/>
          </w:footnotePr>
          <w:pgSz w:w="12240" w:h="15840"/>
          <w:pgMar w:top="1440" w:right="1440" w:bottom="720" w:left="1440" w:header="720" w:footer="720" w:gutter="0"/>
          <w:cols w:space="720"/>
          <w:noEndnote/>
          <w:titlePg/>
        </w:sectPr>
      </w:pPr>
    </w:p>
    <w:p w:rsidR="004974BC" w:rsidRPr="00933418" w:rsidP="004974BC">
      <w:pPr>
        <w:pStyle w:val="Heading1"/>
        <w:widowControl/>
        <w:numPr>
          <w:ilvl w:val="0"/>
          <w:numId w:val="0"/>
        </w:numPr>
        <w:spacing w:after="0"/>
        <w:jc w:val="center"/>
      </w:pPr>
      <w:bookmarkStart w:id="279" w:name="_Toc312311900"/>
      <w:bookmarkStart w:id="280" w:name="_Toc315359423"/>
      <w:bookmarkStart w:id="281" w:name="_Toc467505859"/>
      <w:bookmarkStart w:id="282" w:name="_Toc487811700"/>
      <w:bookmarkStart w:id="283" w:name="_Toc487812291"/>
      <w:bookmarkStart w:id="284" w:name="_Toc488043056"/>
      <w:bookmarkStart w:id="285" w:name="_Toc498610382"/>
      <w:bookmarkStart w:id="286" w:name="_Toc498611089"/>
      <w:bookmarkStart w:id="287" w:name="_Toc499561048"/>
      <w:bookmarkStart w:id="288" w:name="_Toc499561173"/>
      <w:bookmarkStart w:id="289" w:name="_Toc499561310"/>
      <w:bookmarkStart w:id="290" w:name="_Toc499561467"/>
      <w:bookmarkStart w:id="291" w:name="_Toc499561713"/>
      <w:bookmarkStart w:id="292" w:name="_Toc499561883"/>
      <w:bookmarkStart w:id="293" w:name="_Toc499731414"/>
      <w:bookmarkStart w:id="294" w:name="_Toc499815996"/>
      <w:bookmarkStart w:id="295" w:name="_Toc500945704"/>
      <w:bookmarkStart w:id="296" w:name="_Toc501012166"/>
      <w:bookmarkStart w:id="297" w:name="_Toc519260264"/>
      <w:r w:rsidRPr="00D25E3F">
        <w:t>Appendix</w:t>
      </w:r>
      <w:r w:rsidRPr="00933418">
        <w:t xml:space="preserve"> </w:t>
      </w:r>
      <w:bookmarkEnd w:id="279"/>
      <w:bookmarkEnd w:id="280"/>
      <w:r w:rsidRPr="00933418">
        <w:t>B</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933418" w:rsidP="004974BC">
      <w:pPr>
        <w:widowControl/>
        <w:jc w:val="center"/>
        <w:rPr>
          <w:b/>
        </w:rPr>
      </w:pPr>
    </w:p>
    <w:p w:rsidR="004974BC" w:rsidRPr="00C6580C" w:rsidP="004974BC">
      <w:pPr>
        <w:widowControl/>
        <w:jc w:val="center"/>
        <w:rPr>
          <w:b/>
        </w:rPr>
      </w:pPr>
      <w:r>
        <w:rPr>
          <w:b/>
        </w:rPr>
        <w:t xml:space="preserve">Final </w:t>
      </w:r>
      <w:r w:rsidRPr="00C6580C">
        <w:rPr>
          <w:b/>
        </w:rPr>
        <w:t>Rules</w:t>
      </w:r>
    </w:p>
    <w:p w:rsidR="004974BC" w:rsidRPr="00C6580C" w:rsidP="004974BC">
      <w:pPr>
        <w:widowControl/>
        <w:jc w:val="center"/>
        <w:rPr>
          <w:b/>
        </w:rPr>
      </w:pPr>
    </w:p>
    <w:p w:rsidR="004974BC" w:rsidRPr="00C6580C" w:rsidP="004974BC">
      <w:pPr>
        <w:widowControl/>
      </w:pPr>
      <w:r w:rsidRPr="00C6580C">
        <w:t>Part</w:t>
      </w:r>
      <w:r>
        <w:t>s 1 and</w:t>
      </w:r>
      <w:r w:rsidRPr="00C6580C">
        <w:t xml:space="preserve"> 90 of Title 47 of the Code of Federal Regulations (CFR) </w:t>
      </w:r>
      <w:r>
        <w:t xml:space="preserve">are amended </w:t>
      </w:r>
      <w:r w:rsidRPr="00C6580C">
        <w:t xml:space="preserve">as </w:t>
      </w:r>
      <w:r>
        <w:t>follows</w:t>
      </w:r>
      <w:r w:rsidRPr="00C6580C">
        <w:t>:</w:t>
      </w:r>
    </w:p>
    <w:p w:rsidR="004974BC" w:rsidRPr="00C6580C" w:rsidP="004974BC">
      <w:pPr>
        <w:widowControl/>
      </w:pPr>
    </w:p>
    <w:p w:rsidR="004974BC" w:rsidRPr="0092168E" w:rsidP="004974BC">
      <w:pPr>
        <w:widowControl/>
        <w:spacing w:after="120"/>
      </w:pPr>
      <w:r w:rsidRPr="0092168E">
        <w:rPr>
          <w:b/>
        </w:rPr>
        <w:t>P</w:t>
      </w:r>
      <w:r w:rsidR="00933418">
        <w:rPr>
          <w:b/>
        </w:rPr>
        <w:t>ART</w:t>
      </w:r>
      <w:r w:rsidRPr="0092168E">
        <w:rPr>
          <w:b/>
        </w:rPr>
        <w:t xml:space="preserve"> 1 – PRACTICE AND PROCEDURE</w:t>
      </w:r>
    </w:p>
    <w:p w:rsidR="004974BC" w:rsidRPr="0092168E" w:rsidP="004974BC">
      <w:pPr>
        <w:widowControl/>
        <w:spacing w:after="120"/>
      </w:pPr>
      <w:r w:rsidRPr="0092168E">
        <w:t>1.  The authority citation for Part 1 continues to read as follows:</w:t>
      </w:r>
    </w:p>
    <w:p w:rsidR="004974BC" w:rsidRPr="0092168E" w:rsidP="004974BC">
      <w:pPr>
        <w:widowControl/>
        <w:spacing w:after="120"/>
      </w:pPr>
      <w:r w:rsidRPr="005C3C34">
        <w:t>[INSERT CURRENT AUTHORITY CITATION]</w:t>
      </w:r>
    </w:p>
    <w:p w:rsidR="004974BC" w:rsidRPr="0092168E" w:rsidP="004974BC">
      <w:pPr>
        <w:widowControl/>
        <w:spacing w:after="120"/>
      </w:pPr>
      <w:r w:rsidRPr="0092168E">
        <w:t>2.  Section 1.931 is amended by revising paragraph (b)(11) to read as follows:</w:t>
      </w:r>
    </w:p>
    <w:p w:rsidR="004974BC" w:rsidRPr="0092168E" w:rsidP="004974BC">
      <w:pPr>
        <w:widowControl/>
        <w:spacing w:after="120"/>
      </w:pPr>
      <w:r w:rsidRPr="0092168E">
        <w:rPr>
          <w:b/>
        </w:rPr>
        <w:t>§ 1.931 Application for special temporary authority.</w:t>
      </w:r>
    </w:p>
    <w:p w:rsidR="004974BC" w:rsidRPr="0092168E" w:rsidP="004974BC">
      <w:pPr>
        <w:widowControl/>
        <w:spacing w:after="120"/>
      </w:pPr>
      <w:r w:rsidRPr="0092168E">
        <w:t>* * * * *</w:t>
      </w:r>
    </w:p>
    <w:p w:rsidR="004974BC" w:rsidRPr="0092168E" w:rsidP="004974BC">
      <w:pPr>
        <w:widowControl/>
        <w:spacing w:after="120"/>
      </w:pPr>
      <w:r w:rsidRPr="0092168E">
        <w:t xml:space="preserve">(b) </w:t>
      </w:r>
      <w:r w:rsidRPr="0092168E">
        <w:rPr>
          <w:i/>
        </w:rPr>
        <w:t>Private Wireless Services</w:t>
      </w:r>
      <w:r w:rsidRPr="0092168E">
        <w:t>.</w:t>
      </w:r>
    </w:p>
    <w:p w:rsidR="004974BC" w:rsidRPr="0092168E" w:rsidP="004974BC">
      <w:pPr>
        <w:widowControl/>
        <w:spacing w:after="120"/>
      </w:pPr>
      <w:r w:rsidRPr="0092168E">
        <w:t>* * *</w:t>
      </w:r>
    </w:p>
    <w:p w:rsidR="004974BC" w:rsidRPr="0092168E" w:rsidP="004974BC">
      <w:pPr>
        <w:widowControl/>
        <w:spacing w:after="120"/>
        <w:rPr>
          <w:szCs w:val="22"/>
        </w:rPr>
      </w:pPr>
      <w:r w:rsidRPr="0092168E">
        <w:t xml:space="preserve">(11) An applicant for an itinerant station license, an applicant for a new private land mobile radio station license in the frequency bands </w:t>
      </w:r>
      <w:r w:rsidRPr="0092168E">
        <w:rPr>
          <w:szCs w:val="22"/>
        </w:rPr>
        <w:t xml:space="preserve">below 470 MHz or in the 769-775/799-805 MHz, the 806-824/851-866 MHz band, or the one-way paging 929-930 MHz band (other than a commercial </w:t>
      </w:r>
      <w:r>
        <w:rPr>
          <w:szCs w:val="22"/>
        </w:rPr>
        <w:t xml:space="preserve">mobile </w:t>
      </w:r>
      <w:r w:rsidRPr="0092168E">
        <w:rPr>
          <w:szCs w:val="22"/>
        </w:rPr>
        <w:t>radio service applicant or licensee on these bands) or an applicant seeking to modify or acquire through assignment or transfer an existing station below 470 MHz or in the 769-775/799-805 MHz , the 806-824/851-866 MHz band, or the one-way paging 929-930 MHz band may operate the proposed station during the pendency of its application for a period of up to 180 days under a conditional permit.  Conditional operations may commence upon the filing of a properly completed application that complies with § 90.127 if the application, when frequency coordination is required, is accompanied by evidence of frequency coordination in accordance with § 90.175 of this chapter.  Operation under such a permit is evidenced by the properly executed Form 601 with certifications that satisfy the requirements of § 90.159(b).</w:t>
      </w:r>
    </w:p>
    <w:p w:rsidR="004974BC" w:rsidRPr="0092168E" w:rsidP="004974BC">
      <w:pPr>
        <w:pStyle w:val="ParaNum"/>
        <w:widowControl/>
        <w:numPr>
          <w:ilvl w:val="0"/>
          <w:numId w:val="0"/>
        </w:numPr>
      </w:pPr>
      <w:r w:rsidRPr="0092168E">
        <w:rPr>
          <w:szCs w:val="22"/>
        </w:rPr>
        <w:t>* * * * *</w:t>
      </w:r>
      <w:r w:rsidRPr="0092168E">
        <w:t xml:space="preserve"> </w:t>
      </w:r>
    </w:p>
    <w:p w:rsidR="004974BC" w:rsidRPr="0092168E" w:rsidP="004974BC">
      <w:pPr>
        <w:widowControl/>
        <w:spacing w:after="120"/>
        <w:rPr>
          <w:b/>
        </w:rPr>
      </w:pPr>
      <w:r w:rsidRPr="0092168E">
        <w:rPr>
          <w:b/>
        </w:rPr>
        <w:t>PART 90 – PRIVATE LAND MOBILE RADIO SERVICES</w:t>
      </w:r>
    </w:p>
    <w:p w:rsidR="004974BC" w:rsidRPr="0092168E" w:rsidP="004974BC">
      <w:pPr>
        <w:widowControl/>
        <w:spacing w:after="120"/>
      </w:pPr>
      <w:r w:rsidRPr="0092168E">
        <w:t>3.  The authority citation for Part 90 continues to read as follows:</w:t>
      </w:r>
    </w:p>
    <w:p w:rsidR="004974BC" w:rsidRPr="00BA3E62" w:rsidP="004974BC">
      <w:pPr>
        <w:widowControl/>
        <w:spacing w:after="120"/>
      </w:pPr>
      <w:r w:rsidRPr="00207F68">
        <w:t>[INSERT CURRENT AUTHORITY CITATION]</w:t>
      </w:r>
    </w:p>
    <w:p w:rsidR="004974BC" w:rsidRPr="0092168E" w:rsidP="004974BC">
      <w:pPr>
        <w:widowControl/>
        <w:spacing w:after="120"/>
      </w:pPr>
      <w:r w:rsidRPr="0092168E">
        <w:t>4.  Section 90.35 is amended by removing paragraphs (c)(64)(i)-(vi), (ix), and (xi); renumbering paragraphs (c)(64)(vii), (viii), and (x) as (i), (ii), and (iii), respectively; and revising paragraphs (b)(3), (c)(2</w:t>
      </w:r>
      <w:r>
        <w:t>), (c)(61)(iv), (c)(63), (c)(64), and (c)(66)</w:t>
      </w:r>
      <w:r w:rsidRPr="0092168E">
        <w:t xml:space="preserve"> to read as follows:</w:t>
      </w:r>
    </w:p>
    <w:p w:rsidR="004974BC" w:rsidRPr="0092168E" w:rsidP="004974BC">
      <w:pPr>
        <w:widowControl/>
        <w:tabs>
          <w:tab w:val="center" w:pos="4680"/>
          <w:tab w:val="right" w:pos="9360"/>
        </w:tabs>
        <w:rPr>
          <w:b/>
        </w:rPr>
      </w:pPr>
      <w:r w:rsidRPr="0092168E">
        <w:rPr>
          <w:b/>
        </w:rPr>
        <w:t>§ 90.35 Industrial/Business Pool.</w:t>
      </w:r>
    </w:p>
    <w:p w:rsidR="004974BC" w:rsidRPr="0092168E" w:rsidP="004974BC">
      <w:pPr>
        <w:widowControl/>
        <w:tabs>
          <w:tab w:val="center" w:pos="4680"/>
          <w:tab w:val="right" w:pos="9360"/>
        </w:tabs>
        <w:rPr>
          <w:b/>
        </w:rPr>
      </w:pPr>
    </w:p>
    <w:p w:rsidR="004974BC" w:rsidRPr="0092168E" w:rsidP="004974BC">
      <w:pPr>
        <w:widowControl/>
        <w:spacing w:after="120"/>
      </w:pPr>
      <w:r w:rsidRPr="0092168E">
        <w:t>* * * * *</w:t>
      </w:r>
    </w:p>
    <w:p w:rsidR="004974BC" w:rsidRPr="0092168E" w:rsidP="004974BC">
      <w:pPr>
        <w:widowControl/>
        <w:autoSpaceDE w:val="0"/>
        <w:autoSpaceDN w:val="0"/>
        <w:adjustRightInd w:val="0"/>
        <w:rPr>
          <w:color w:val="000000"/>
        </w:rPr>
      </w:pPr>
      <w:r w:rsidRPr="0092168E">
        <w:rPr>
          <w:color w:val="000000"/>
        </w:rPr>
        <w:t>(b) * * *</w:t>
      </w:r>
    </w:p>
    <w:p w:rsidR="004974BC" w:rsidRPr="0092168E" w:rsidP="004974BC">
      <w:pPr>
        <w:widowControl/>
        <w:autoSpaceDE w:val="0"/>
        <w:autoSpaceDN w:val="0"/>
        <w:adjustRightInd w:val="0"/>
        <w:jc w:val="center"/>
        <w:rPr>
          <w:color w:val="000000"/>
        </w:rPr>
      </w:pPr>
    </w:p>
    <w:p w:rsidR="004974BC" w:rsidP="004974BC">
      <w:pPr>
        <w:widowControl/>
        <w:autoSpaceDE w:val="0"/>
        <w:autoSpaceDN w:val="0"/>
        <w:adjustRightInd w:val="0"/>
      </w:pPr>
      <w:r w:rsidRPr="0092168E">
        <w:rPr>
          <w:color w:val="000000"/>
        </w:rPr>
        <w:t xml:space="preserve">(3) </w:t>
      </w:r>
      <w:r w:rsidRPr="0092168E">
        <w:rPr>
          <w:i/>
          <w:color w:val="000000"/>
        </w:rPr>
        <w:t>Frequencies</w:t>
      </w:r>
      <w:r w:rsidRPr="0092168E">
        <w:rPr>
          <w:color w:val="000000"/>
        </w:rPr>
        <w:t>.</w:t>
      </w:r>
      <w:r w:rsidRPr="0092168E">
        <w:t xml:space="preserve"> </w:t>
      </w:r>
    </w:p>
    <w:p w:rsidR="004974BC" w:rsidP="004974BC">
      <w:pPr>
        <w:widowControl/>
      </w:pPr>
    </w:p>
    <w:p w:rsidR="004974BC" w:rsidP="004974BC">
      <w:pPr>
        <w:widowControl/>
      </w:pPr>
      <w:r>
        <w:rPr>
          <w:b/>
        </w:rPr>
        <w:tab/>
      </w:r>
      <w:r>
        <w:rPr>
          <w:b/>
        </w:rPr>
        <w:tab/>
      </w:r>
      <w:r>
        <w:t>INDUSTRIAL/BUSINESS POOL FREQUENCY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4"/>
        <w:gridCol w:w="2394"/>
        <w:gridCol w:w="2394"/>
        <w:gridCol w:w="2394"/>
      </w:tblGrid>
      <w:tr w:rsidTr="009334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394" w:type="dxa"/>
            <w:shd w:val="clear" w:color="auto" w:fill="auto"/>
          </w:tcPr>
          <w:p w:rsidR="004974BC" w:rsidP="00933418">
            <w:pPr>
              <w:widowControl/>
              <w:jc w:val="center"/>
            </w:pPr>
            <w:r>
              <w:t>Frequency or band</w:t>
            </w:r>
          </w:p>
        </w:tc>
        <w:tc>
          <w:tcPr>
            <w:tcW w:w="2394" w:type="dxa"/>
            <w:shd w:val="clear" w:color="auto" w:fill="auto"/>
          </w:tcPr>
          <w:p w:rsidR="004974BC" w:rsidP="00933418">
            <w:pPr>
              <w:widowControl/>
              <w:jc w:val="center"/>
            </w:pPr>
            <w:r>
              <w:t>Class of station(s)</w:t>
            </w:r>
          </w:p>
        </w:tc>
        <w:tc>
          <w:tcPr>
            <w:tcW w:w="2394" w:type="dxa"/>
            <w:shd w:val="clear" w:color="auto" w:fill="auto"/>
          </w:tcPr>
          <w:p w:rsidR="004974BC" w:rsidP="00933418">
            <w:pPr>
              <w:widowControl/>
              <w:jc w:val="center"/>
            </w:pPr>
            <w:r>
              <w:t>Limitations</w:t>
            </w:r>
          </w:p>
        </w:tc>
        <w:tc>
          <w:tcPr>
            <w:tcW w:w="2394" w:type="dxa"/>
            <w:shd w:val="clear" w:color="auto" w:fill="auto"/>
          </w:tcPr>
          <w:p w:rsidR="004974BC" w:rsidP="00933418">
            <w:pPr>
              <w:widowControl/>
              <w:jc w:val="center"/>
            </w:pPr>
            <w:r>
              <w:t>Coordinator</w:t>
            </w:r>
          </w:p>
        </w:tc>
      </w:tr>
      <w:tr w:rsidTr="00933418">
        <w:tblPrEx>
          <w:tblW w:w="0" w:type="auto"/>
          <w:tblLayout w:type="fixed"/>
          <w:tblLook w:val="04A0"/>
        </w:tblPrEx>
        <w:tc>
          <w:tcPr>
            <w:tcW w:w="2394" w:type="dxa"/>
            <w:shd w:val="clear" w:color="auto" w:fill="auto"/>
          </w:tcPr>
          <w:p w:rsidR="004974BC" w:rsidP="00933418">
            <w:pPr>
              <w:widowControl/>
              <w:ind w:left="720"/>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r>
      <w:tr w:rsidTr="00933418">
        <w:tblPrEx>
          <w:tblW w:w="0" w:type="auto"/>
          <w:tblLayout w:type="fixed"/>
          <w:tblLook w:val="04A0"/>
        </w:tblPrEx>
        <w:tc>
          <w:tcPr>
            <w:tcW w:w="2394" w:type="dxa"/>
            <w:shd w:val="clear" w:color="auto" w:fill="auto"/>
          </w:tcPr>
          <w:p w:rsidR="004974BC" w:rsidP="00933418">
            <w:pPr>
              <w:widowControl/>
            </w:pPr>
            <w:r>
              <w:t>153.035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153.0425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153.050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153.0575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153.065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153.0725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153.080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153.0875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153.095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153.1025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30, 80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153.110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153.1175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153.1325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153.140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153.1475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153.155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153.1625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153.170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153.1775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153.185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153.1925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153.200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153.2075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153.215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153.2225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153.230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153.2375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153.245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153.2525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153.260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153.2675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153.2825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153.290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153.2975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153.305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153.3125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153.320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153.3275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153.335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153.3425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153.350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153.3575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4, 7, 30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153.365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153.3725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153.380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153.3875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153.395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153.4025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30</w:t>
            </w:r>
          </w:p>
        </w:tc>
        <w:tc>
          <w:tcPr>
            <w:tcW w:w="2394" w:type="dxa"/>
            <w:shd w:val="clear" w:color="auto" w:fill="auto"/>
          </w:tcPr>
          <w:p w:rsidR="004974BC" w:rsidP="00933418">
            <w:pPr>
              <w:widowControl/>
              <w:jc w:val="center"/>
            </w:pPr>
            <w:r>
              <w:t>IP</w:t>
            </w:r>
          </w:p>
        </w:tc>
      </w:tr>
      <w:tr w:rsidTr="00933418">
        <w:tblPrEx>
          <w:tblW w:w="0" w:type="auto"/>
          <w:tblLayout w:type="fixed"/>
          <w:tblLook w:val="04A0"/>
        </w:tblPrEx>
        <w:tc>
          <w:tcPr>
            <w:tcW w:w="2394" w:type="dxa"/>
            <w:shd w:val="clear" w:color="auto" w:fill="auto"/>
          </w:tcPr>
          <w:p w:rsidR="004974BC" w:rsidP="00933418">
            <w:pPr>
              <w:widowControl/>
            </w:pPr>
            <w:r>
              <w:t>153.410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w:t>
            </w:r>
          </w:p>
        </w:tc>
        <w:tc>
          <w:tcPr>
            <w:tcW w:w="2394" w:type="dxa"/>
            <w:shd w:val="clear" w:color="auto" w:fill="auto"/>
          </w:tcPr>
          <w:p w:rsidR="004974BC" w:rsidP="00933418">
            <w:pPr>
              <w:widowControl/>
              <w:jc w:val="center"/>
            </w:pPr>
            <w:r>
              <w:t>IW</w:t>
            </w:r>
          </w:p>
        </w:tc>
      </w:tr>
      <w:tr w:rsidTr="00933418">
        <w:tblPrEx>
          <w:tblW w:w="0" w:type="auto"/>
          <w:tblLayout w:type="fixed"/>
          <w:tblLook w:val="04A0"/>
        </w:tblPrEx>
        <w:tc>
          <w:tcPr>
            <w:tcW w:w="2394" w:type="dxa"/>
            <w:shd w:val="clear" w:color="auto" w:fill="auto"/>
          </w:tcPr>
          <w:p w:rsidR="004974BC" w:rsidP="00933418">
            <w:pPr>
              <w:widowControl/>
              <w:ind w:left="720"/>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r>
      <w:tr w:rsidTr="00933418">
        <w:tblPrEx>
          <w:tblW w:w="0" w:type="auto"/>
          <w:tblLayout w:type="fixed"/>
          <w:tblLook w:val="04A0"/>
        </w:tblPrEx>
        <w:tc>
          <w:tcPr>
            <w:tcW w:w="2394" w:type="dxa"/>
            <w:shd w:val="clear" w:color="auto" w:fill="auto"/>
          </w:tcPr>
          <w:p w:rsidR="004974BC" w:rsidP="00933418">
            <w:pPr>
              <w:widowControl/>
            </w:pPr>
            <w:r>
              <w:t>450 to 470 …………….</w:t>
            </w:r>
          </w:p>
        </w:tc>
        <w:tc>
          <w:tcPr>
            <w:tcW w:w="2394" w:type="dxa"/>
            <w:shd w:val="clear" w:color="auto" w:fill="auto"/>
          </w:tcPr>
          <w:p w:rsidR="004974BC" w:rsidP="00933418">
            <w:pPr>
              <w:widowControl/>
            </w:pPr>
            <w:r>
              <w:t>Fixed, base, or mobile</w:t>
            </w:r>
          </w:p>
        </w:tc>
        <w:tc>
          <w:tcPr>
            <w:tcW w:w="2394" w:type="dxa"/>
            <w:shd w:val="clear" w:color="auto" w:fill="auto"/>
          </w:tcPr>
          <w:p w:rsidR="004974BC" w:rsidP="00933418">
            <w:pPr>
              <w:widowControl/>
            </w:pPr>
            <w:r>
              <w:t>27, 57.</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451.00625 …………….</w:t>
            </w:r>
          </w:p>
        </w:tc>
        <w:tc>
          <w:tcPr>
            <w:tcW w:w="2394" w:type="dxa"/>
            <w:shd w:val="clear" w:color="auto" w:fill="auto"/>
          </w:tcPr>
          <w:p w:rsidR="004974BC" w:rsidP="00933418">
            <w:pPr>
              <w:widowControl/>
            </w:pPr>
            <w:r>
              <w:t>Base or mobile</w:t>
            </w:r>
          </w:p>
        </w:tc>
        <w:tc>
          <w:tcPr>
            <w:tcW w:w="2394" w:type="dxa"/>
            <w:shd w:val="clear" w:color="auto" w:fill="auto"/>
          </w:tcPr>
          <w:p w:rsidR="004974BC" w:rsidP="00933418">
            <w:pPr>
              <w:widowControl/>
            </w:pPr>
            <w:r>
              <w:t>33  …………</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451.0125………………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  …………</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451.01875…………….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  …………</w:t>
            </w:r>
          </w:p>
        </w:tc>
        <w:tc>
          <w:tcPr>
            <w:tcW w:w="2394" w:type="dxa"/>
            <w:shd w:val="clear" w:color="auto" w:fill="auto"/>
          </w:tcPr>
          <w:p w:rsidR="004974BC" w:rsidP="00933418">
            <w:pPr>
              <w:widowControl/>
            </w:pPr>
            <w:r>
              <w:t>IW</w:t>
            </w:r>
          </w:p>
        </w:tc>
      </w:tr>
      <w:tr w:rsidTr="00933418">
        <w:tblPrEx>
          <w:tblW w:w="0" w:type="auto"/>
          <w:tblLayout w:type="fixed"/>
          <w:tblLook w:val="04A0"/>
        </w:tblPrEx>
        <w:tc>
          <w:tcPr>
            <w:tcW w:w="2394" w:type="dxa"/>
            <w:shd w:val="clear" w:color="auto" w:fill="auto"/>
          </w:tcPr>
          <w:p w:rsidR="004974BC" w:rsidP="00933418">
            <w:pPr>
              <w:widowControl/>
              <w:ind w:left="720"/>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r>
      <w:tr w:rsidTr="00933418">
        <w:tblPrEx>
          <w:tblW w:w="0" w:type="auto"/>
          <w:tblLayout w:type="fixed"/>
          <w:tblLook w:val="04A0"/>
        </w:tblPrEx>
        <w:tc>
          <w:tcPr>
            <w:tcW w:w="2394" w:type="dxa"/>
            <w:shd w:val="clear" w:color="auto" w:fill="auto"/>
          </w:tcPr>
          <w:p w:rsidR="004974BC" w:rsidP="00933418">
            <w:pPr>
              <w:widowControl/>
            </w:pPr>
            <w:r>
              <w:t>454.000……………….</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8</w:t>
            </w:r>
          </w:p>
        </w:tc>
        <w:tc>
          <w:tcPr>
            <w:tcW w:w="2394" w:type="dxa"/>
            <w:shd w:val="clear" w:color="auto" w:fill="auto"/>
          </w:tcPr>
          <w:p w:rsidR="004974BC" w:rsidP="00933418">
            <w:pPr>
              <w:widowControl/>
            </w:pPr>
            <w:r>
              <w:t>IP</w:t>
            </w:r>
          </w:p>
        </w:tc>
      </w:tr>
      <w:tr w:rsidTr="00933418">
        <w:tblPrEx>
          <w:tblW w:w="0" w:type="auto"/>
          <w:tblLayout w:type="fixed"/>
          <w:tblLook w:val="04A0"/>
        </w:tblPrEx>
        <w:tc>
          <w:tcPr>
            <w:tcW w:w="2394" w:type="dxa"/>
            <w:shd w:val="clear" w:color="auto" w:fill="auto"/>
          </w:tcPr>
          <w:p w:rsidR="004974BC" w:rsidP="00933418">
            <w:pPr>
              <w:widowControl/>
            </w:pPr>
            <w:r>
              <w:t>456.00625…………….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  …………</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456.0125……………..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  …………</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456.01875……………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  …………</w:t>
            </w:r>
          </w:p>
        </w:tc>
        <w:tc>
          <w:tcPr>
            <w:tcW w:w="2394" w:type="dxa"/>
            <w:shd w:val="clear" w:color="auto" w:fill="auto"/>
          </w:tcPr>
          <w:p w:rsidR="004974BC" w:rsidP="00933418">
            <w:pPr>
              <w:widowControl/>
            </w:pPr>
            <w:r>
              <w:t>IW</w:t>
            </w:r>
          </w:p>
        </w:tc>
      </w:tr>
      <w:tr w:rsidTr="00933418">
        <w:tblPrEx>
          <w:tblW w:w="0" w:type="auto"/>
          <w:tblLayout w:type="fixed"/>
          <w:tblLook w:val="04A0"/>
        </w:tblPrEx>
        <w:tc>
          <w:tcPr>
            <w:tcW w:w="2394" w:type="dxa"/>
            <w:shd w:val="clear" w:color="auto" w:fill="auto"/>
          </w:tcPr>
          <w:p w:rsidR="004974BC" w:rsidP="00933418">
            <w:pPr>
              <w:widowControl/>
              <w:ind w:left="720"/>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r>
      <w:tr w:rsidTr="00933418">
        <w:tblPrEx>
          <w:tblW w:w="0" w:type="auto"/>
          <w:tblLayout w:type="fixed"/>
          <w:tblLook w:val="04A0"/>
        </w:tblPrEx>
        <w:tc>
          <w:tcPr>
            <w:tcW w:w="2394" w:type="dxa"/>
            <w:shd w:val="clear" w:color="auto" w:fill="auto"/>
          </w:tcPr>
          <w:p w:rsidR="004974BC" w:rsidP="00933418">
            <w:pPr>
              <w:widowControl/>
            </w:pPr>
            <w:r>
              <w:t>462.53125……………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w:t>
            </w:r>
          </w:p>
        </w:tc>
        <w:tc>
          <w:tcPr>
            <w:tcW w:w="2394" w:type="dxa"/>
            <w:shd w:val="clear" w:color="auto" w:fill="auto"/>
          </w:tcPr>
          <w:p w:rsidR="004974BC" w:rsidP="00933418">
            <w:pPr>
              <w:widowControl/>
              <w:jc w:val="center"/>
            </w:pPr>
          </w:p>
        </w:tc>
      </w:tr>
      <w:tr w:rsidTr="00933418">
        <w:tblPrEx>
          <w:tblW w:w="0" w:type="auto"/>
          <w:tblLayout w:type="fixed"/>
          <w:tblLook w:val="04A0"/>
        </w:tblPrEx>
        <w:tc>
          <w:tcPr>
            <w:tcW w:w="2394" w:type="dxa"/>
            <w:shd w:val="clear" w:color="auto" w:fill="auto"/>
          </w:tcPr>
          <w:p w:rsidR="004974BC" w:rsidP="00933418">
            <w:pPr>
              <w:widowControl/>
            </w:pPr>
            <w:r>
              <w:t>462.5375……………..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2.</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462.7375……………..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2.</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462.750……………….</w:t>
            </w:r>
          </w:p>
        </w:tc>
        <w:tc>
          <w:tcPr>
            <w:tcW w:w="2394" w:type="dxa"/>
            <w:shd w:val="clear" w:color="auto" w:fill="auto"/>
          </w:tcPr>
          <w:p w:rsidR="004974BC" w:rsidP="00933418">
            <w:pPr>
              <w:widowControl/>
            </w:pPr>
            <w:r>
              <w:t>Base</w:t>
            </w:r>
          </w:p>
        </w:tc>
        <w:tc>
          <w:tcPr>
            <w:tcW w:w="2394" w:type="dxa"/>
            <w:shd w:val="clear" w:color="auto" w:fill="auto"/>
          </w:tcPr>
          <w:p w:rsidR="004974BC" w:rsidP="00933418">
            <w:pPr>
              <w:widowControl/>
            </w:pPr>
            <w:r>
              <w:t>29, 36.</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ind w:left="720"/>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r>
      <w:tr w:rsidTr="00933418">
        <w:tblPrEx>
          <w:tblW w:w="0" w:type="auto"/>
          <w:tblLayout w:type="fixed"/>
          <w:tblLook w:val="04A0"/>
        </w:tblPrEx>
        <w:tc>
          <w:tcPr>
            <w:tcW w:w="2394" w:type="dxa"/>
            <w:shd w:val="clear" w:color="auto" w:fill="auto"/>
          </w:tcPr>
          <w:p w:rsidR="004974BC" w:rsidP="00933418">
            <w:pPr>
              <w:widowControl/>
            </w:pPr>
            <w:r>
              <w:t>467.53125…………….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467.5375………………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2.</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467.7375………………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2.</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pPr>
            <w:r>
              <w:t>467.74375……………..</w:t>
            </w:r>
          </w:p>
        </w:tc>
        <w:tc>
          <w:tcPr>
            <w:tcW w:w="2394" w:type="dxa"/>
            <w:shd w:val="clear" w:color="auto" w:fill="auto"/>
          </w:tcPr>
          <w:p w:rsidR="004974BC" w:rsidP="00933418">
            <w:pPr>
              <w:widowControl/>
            </w:pPr>
            <w:r>
              <w:t>…..do  …..</w:t>
            </w:r>
          </w:p>
        </w:tc>
        <w:tc>
          <w:tcPr>
            <w:tcW w:w="2394" w:type="dxa"/>
            <w:shd w:val="clear" w:color="auto" w:fill="auto"/>
          </w:tcPr>
          <w:p w:rsidR="004974BC" w:rsidP="00933418">
            <w:pPr>
              <w:widowControl/>
            </w:pPr>
            <w:r>
              <w:t>33, 62.</w:t>
            </w:r>
          </w:p>
        </w:tc>
        <w:tc>
          <w:tcPr>
            <w:tcW w:w="2394" w:type="dxa"/>
            <w:shd w:val="clear" w:color="auto" w:fill="auto"/>
          </w:tcPr>
          <w:p w:rsidR="004974BC" w:rsidP="00933418">
            <w:pPr>
              <w:widowControl/>
            </w:pPr>
          </w:p>
        </w:tc>
      </w:tr>
      <w:tr w:rsidTr="00933418">
        <w:tblPrEx>
          <w:tblW w:w="0" w:type="auto"/>
          <w:tblLayout w:type="fixed"/>
          <w:tblLook w:val="04A0"/>
        </w:tblPrEx>
        <w:tc>
          <w:tcPr>
            <w:tcW w:w="2394" w:type="dxa"/>
            <w:shd w:val="clear" w:color="auto" w:fill="auto"/>
          </w:tcPr>
          <w:p w:rsidR="004974BC" w:rsidP="00933418">
            <w:pPr>
              <w:widowControl/>
              <w:ind w:left="720"/>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c>
          <w:tcPr>
            <w:tcW w:w="2394" w:type="dxa"/>
            <w:shd w:val="clear" w:color="auto" w:fill="auto"/>
          </w:tcPr>
          <w:p w:rsidR="004974BC" w:rsidP="00933418">
            <w:pPr>
              <w:widowControl/>
              <w:jc w:val="center"/>
            </w:pPr>
            <w:r>
              <w:t>* * *</w:t>
            </w:r>
          </w:p>
        </w:tc>
      </w:tr>
    </w:tbl>
    <w:p w:rsidR="004974BC" w:rsidP="004974BC">
      <w:pPr>
        <w:widowControl/>
      </w:pPr>
    </w:p>
    <w:p w:rsidR="004974BC" w:rsidP="004974BC">
      <w:pPr>
        <w:widowControl/>
      </w:pPr>
      <w:r>
        <w:t>(c) Explanation of assignment limitations appearing in the frequency table of paragraph (b)(3) of this section:</w:t>
      </w:r>
    </w:p>
    <w:p w:rsidR="004974BC" w:rsidP="004974BC">
      <w:pPr>
        <w:widowControl/>
      </w:pPr>
    </w:p>
    <w:p w:rsidR="004974BC" w:rsidP="004974BC">
      <w:pPr>
        <w:widowControl/>
      </w:pPr>
      <w:r>
        <w:t>* * *</w:t>
      </w:r>
    </w:p>
    <w:p w:rsidR="004974BC" w:rsidP="004974BC">
      <w:pPr>
        <w:widowControl/>
      </w:pPr>
    </w:p>
    <w:p w:rsidR="004974BC" w:rsidP="004974BC">
      <w:pPr>
        <w:widowControl/>
      </w:pPr>
      <w:r>
        <w:t xml:space="preserve">(2) This frequency will be assigned with an authorized bandwidth not to exceed 4 kHz. </w:t>
      </w:r>
    </w:p>
    <w:p w:rsidR="004974BC" w:rsidP="004974BC">
      <w:pPr>
        <w:widowControl/>
      </w:pPr>
    </w:p>
    <w:p w:rsidR="004974BC" w:rsidP="004974BC">
      <w:pPr>
        <w:widowControl/>
      </w:pPr>
      <w:r>
        <w:t>* * *</w:t>
      </w:r>
    </w:p>
    <w:p w:rsidR="004974BC" w:rsidP="004974BC">
      <w:pPr>
        <w:widowControl/>
        <w:rPr>
          <w:rFonts w:eastAsia="Calibri"/>
          <w:snapToGrid/>
          <w:kern w:val="0"/>
          <w:szCs w:val="22"/>
        </w:rPr>
      </w:pPr>
    </w:p>
    <w:p w:rsidR="004974BC" w:rsidP="004974BC">
      <w:pPr>
        <w:widowControl/>
        <w:spacing w:after="200" w:line="276" w:lineRule="auto"/>
        <w:rPr>
          <w:rFonts w:eastAsia="Calibri"/>
          <w:snapToGrid/>
          <w:kern w:val="0"/>
          <w:szCs w:val="22"/>
        </w:rPr>
      </w:pPr>
      <w:r>
        <w:rPr>
          <w:rFonts w:eastAsia="Calibri"/>
          <w:snapToGrid/>
          <w:kern w:val="0"/>
          <w:szCs w:val="22"/>
        </w:rPr>
        <w:t>(61) * * *</w:t>
      </w:r>
    </w:p>
    <w:p w:rsidR="004974BC" w:rsidP="004974BC">
      <w:pPr>
        <w:widowControl/>
        <w:rPr>
          <w:rFonts w:eastAsia="Calibri"/>
          <w:snapToGrid/>
          <w:kern w:val="0"/>
          <w:szCs w:val="22"/>
        </w:rPr>
      </w:pPr>
      <w:r>
        <w:rPr>
          <w:rFonts w:eastAsia="Calibri"/>
          <w:snapToGrid/>
          <w:kern w:val="0"/>
          <w:szCs w:val="22"/>
        </w:rPr>
        <w:t xml:space="preserve">(iv) The airports and their respective reference coordinates are (coordinates are referenced to North American Datum 1983 (NAD83)):  </w:t>
      </w:r>
    </w:p>
    <w:p w:rsidR="004974BC" w:rsidP="004974BC">
      <w:pPr>
        <w:widowControl/>
        <w:rPr>
          <w:rFonts w:eastAsia="Calibri"/>
          <w:snapToGrid/>
          <w:kern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5"/>
        <w:gridCol w:w="1620"/>
        <w:gridCol w:w="1705"/>
      </w:tblGrid>
      <w:tr w:rsidTr="009334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25" w:type="dxa"/>
            <w:vMerge w:val="restart"/>
            <w:shd w:val="clear" w:color="auto" w:fill="auto"/>
          </w:tcPr>
          <w:p w:rsidR="004974BC" w:rsidP="00933418">
            <w:pPr>
              <w:widowControl/>
              <w:jc w:val="center"/>
              <w:rPr>
                <w:rFonts w:eastAsia="Calibri"/>
                <w:snapToGrid/>
                <w:kern w:val="0"/>
                <w:szCs w:val="22"/>
              </w:rPr>
            </w:pPr>
            <w:r>
              <w:rPr>
                <w:rFonts w:eastAsia="Calibri"/>
                <w:snapToGrid/>
                <w:kern w:val="0"/>
                <w:szCs w:val="22"/>
              </w:rPr>
              <w:t>City and airport</w:t>
            </w:r>
          </w:p>
        </w:tc>
        <w:tc>
          <w:tcPr>
            <w:tcW w:w="3325" w:type="dxa"/>
            <w:gridSpan w:val="2"/>
            <w:shd w:val="clear" w:color="auto" w:fill="auto"/>
          </w:tcPr>
          <w:p w:rsidR="004974BC" w:rsidP="00933418">
            <w:pPr>
              <w:widowControl/>
              <w:jc w:val="center"/>
              <w:rPr>
                <w:rFonts w:eastAsia="Calibri"/>
                <w:snapToGrid/>
                <w:kern w:val="0"/>
                <w:szCs w:val="22"/>
              </w:rPr>
            </w:pPr>
            <w:r>
              <w:rPr>
                <w:rFonts w:eastAsia="Calibri"/>
                <w:snapToGrid/>
                <w:kern w:val="0"/>
                <w:szCs w:val="22"/>
              </w:rPr>
              <w:t>Reference coordinates</w:t>
            </w:r>
          </w:p>
        </w:tc>
      </w:tr>
      <w:tr w:rsidTr="00933418">
        <w:tblPrEx>
          <w:tblW w:w="0" w:type="auto"/>
          <w:tblLook w:val="04A0"/>
        </w:tblPrEx>
        <w:tc>
          <w:tcPr>
            <w:tcW w:w="6025" w:type="dxa"/>
            <w:vMerge/>
            <w:shd w:val="clear" w:color="auto" w:fill="auto"/>
          </w:tcPr>
          <w:p w:rsidR="004974BC" w:rsidP="00933418">
            <w:pPr>
              <w:widowControl/>
              <w:rPr>
                <w:rFonts w:eastAsia="Calibri"/>
                <w:snapToGrid/>
                <w:kern w:val="0"/>
                <w:szCs w:val="22"/>
              </w:rPr>
            </w:pPr>
          </w:p>
        </w:tc>
        <w:tc>
          <w:tcPr>
            <w:tcW w:w="1620" w:type="dxa"/>
            <w:shd w:val="clear" w:color="auto" w:fill="auto"/>
          </w:tcPr>
          <w:p w:rsidR="004974BC" w:rsidP="00933418">
            <w:pPr>
              <w:widowControl/>
              <w:jc w:val="center"/>
              <w:rPr>
                <w:rFonts w:eastAsia="Calibri"/>
                <w:snapToGrid/>
                <w:kern w:val="0"/>
                <w:szCs w:val="22"/>
              </w:rPr>
            </w:pPr>
            <w:r>
              <w:rPr>
                <w:rFonts w:eastAsia="Calibri"/>
                <w:snapToGrid/>
                <w:kern w:val="0"/>
                <w:szCs w:val="22"/>
              </w:rPr>
              <w:t>N. Latitude</w:t>
            </w:r>
          </w:p>
        </w:tc>
        <w:tc>
          <w:tcPr>
            <w:tcW w:w="1705" w:type="dxa"/>
            <w:shd w:val="clear" w:color="auto" w:fill="auto"/>
          </w:tcPr>
          <w:p w:rsidR="004974BC" w:rsidP="00933418">
            <w:pPr>
              <w:widowControl/>
              <w:jc w:val="center"/>
              <w:rPr>
                <w:rFonts w:eastAsia="Calibri"/>
                <w:snapToGrid/>
                <w:kern w:val="0"/>
                <w:szCs w:val="22"/>
              </w:rPr>
            </w:pPr>
            <w:r>
              <w:rPr>
                <w:rFonts w:eastAsia="Calibri"/>
                <w:snapToGrid/>
                <w:kern w:val="0"/>
                <w:szCs w:val="22"/>
              </w:rPr>
              <w:t>W. Longitude</w:t>
            </w:r>
          </w:p>
        </w:tc>
      </w:tr>
      <w:tr w:rsidTr="00933418">
        <w:tblPrEx>
          <w:tblW w:w="0" w:type="auto"/>
          <w:tblLook w:val="04A0"/>
        </w:tblPrEx>
        <w:tc>
          <w:tcPr>
            <w:tcW w:w="6025" w:type="dxa"/>
            <w:shd w:val="clear" w:color="auto" w:fill="auto"/>
          </w:tcPr>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Appleton, WI:  Appleton Int’l (ATW)…………………..………..</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Atlanta, GA:</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 xml:space="preserve">     Fulton County/Brown Field (FTY)……………………………</w:t>
            </w:r>
          </w:p>
          <w:p w:rsidR="004974BC" w:rsidRPr="00CA6EAF"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Baltimore, MD:  Baltimore-Washington International Thurgood Marshall (BWI)………………………………..…………………</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Birmingham, AL:  Birmingham-Shuttlesworth Int’l (BHM)…….</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Boise, ID:  Boise Air Terminal/Gowen Field (BOI)……………..</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Bozeman, MT:  Bozeman Yellowstone Int’l (BZN)……………...</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Chicago, IL:</w:t>
            </w:r>
          </w:p>
          <w:p w:rsidR="004974BC" w:rsidP="00933418">
            <w:pPr>
              <w:widowControl/>
              <w:rPr>
                <w:rFonts w:eastAsia="Calibri"/>
                <w:snapToGrid/>
                <w:kern w:val="0"/>
                <w:szCs w:val="22"/>
              </w:rPr>
            </w:pPr>
            <w:r>
              <w:rPr>
                <w:rFonts w:eastAsia="Calibri"/>
                <w:snapToGrid/>
                <w:kern w:val="0"/>
                <w:szCs w:val="22"/>
              </w:rPr>
              <w:t xml:space="preserve">     Chicago Executive (PWK)…………………………………..</w:t>
            </w:r>
          </w:p>
          <w:p w:rsidR="004974BC" w:rsidP="00933418">
            <w:pPr>
              <w:widowControl/>
              <w:rPr>
                <w:rFonts w:eastAsia="Calibri"/>
                <w:snapToGrid/>
                <w:kern w:val="0"/>
                <w:szCs w:val="22"/>
              </w:rPr>
            </w:pPr>
            <w:r>
              <w:rPr>
                <w:rFonts w:eastAsia="Calibri"/>
                <w:snapToGrid/>
                <w:kern w:val="0"/>
                <w:szCs w:val="22"/>
              </w:rPr>
              <w:t xml:space="preserve">     South Bend Int’l (SBN)………………………………………</w:t>
            </w:r>
          </w:p>
          <w:p w:rsidR="004974BC" w:rsidRPr="008D5798" w:rsidP="00933418">
            <w:pPr>
              <w:widowControl/>
              <w:rPr>
                <w:rFonts w:eastAsia="Calibri"/>
                <w:snapToGrid/>
                <w:kern w:val="0"/>
                <w:szCs w:val="22"/>
              </w:rPr>
            </w:pPr>
            <w:r>
              <w:rPr>
                <w:rFonts w:eastAsia="Calibri"/>
                <w:snapToGrid/>
                <w:kern w:val="0"/>
                <w:szCs w:val="22"/>
              </w:rPr>
              <w:t xml:space="preserve">     </w:t>
            </w:r>
            <w:r w:rsidRPr="008D5798">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 xml:space="preserve">     DuPage (DPA)……………………………………………….</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Cincinnati, OH:  Cincinnati Municipal/Lunken Field (LUN)…….</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Columbus, GA:  Columbus (CSG)……………………………….</w:t>
            </w:r>
          </w:p>
          <w:p w:rsidR="004974BC" w:rsidP="00933418">
            <w:pPr>
              <w:widowControl/>
              <w:rPr>
                <w:rFonts w:eastAsia="Calibri"/>
                <w:snapToGrid/>
                <w:kern w:val="0"/>
                <w:szCs w:val="22"/>
              </w:rPr>
            </w:pPr>
            <w:r>
              <w:rPr>
                <w:rFonts w:eastAsia="Calibri"/>
                <w:snapToGrid/>
                <w:kern w:val="0"/>
                <w:szCs w:val="22"/>
              </w:rPr>
              <w:t>Columbus, OH:</w:t>
            </w:r>
          </w:p>
          <w:p w:rsidR="004974BC" w:rsidP="00933418">
            <w:pPr>
              <w:widowControl/>
              <w:rPr>
                <w:rFonts w:eastAsia="Calibri"/>
                <w:snapToGrid/>
                <w:kern w:val="0"/>
                <w:szCs w:val="22"/>
              </w:rPr>
            </w:pPr>
            <w:r>
              <w:rPr>
                <w:rFonts w:eastAsia="Calibri"/>
                <w:snapToGrid/>
                <w:kern w:val="0"/>
                <w:szCs w:val="22"/>
              </w:rPr>
              <w:t xml:space="preserve">     John Glenn Columbus Int’l (CMH)…………………………..</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Dallas, TX:</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 xml:space="preserve">     Dallas Executive (RBD)………………………………………</w:t>
            </w:r>
          </w:p>
          <w:p w:rsidR="004974BC" w:rsidP="00933418">
            <w:pPr>
              <w:widowControl/>
              <w:rPr>
                <w:rFonts w:eastAsia="Calibri"/>
                <w:snapToGrid/>
                <w:kern w:val="0"/>
                <w:szCs w:val="22"/>
              </w:rPr>
            </w:pPr>
            <w:r>
              <w:rPr>
                <w:rFonts w:eastAsia="Calibri"/>
                <w:snapToGrid/>
                <w:kern w:val="0"/>
                <w:szCs w:val="22"/>
              </w:rPr>
              <w:t>Davenport, IA:</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 xml:space="preserve">     Quad City Int’l (MLI)…………………………………………</w:t>
            </w:r>
          </w:p>
          <w:p w:rsidR="004974BC" w:rsidP="00933418">
            <w:pPr>
              <w:widowControl/>
              <w:rPr>
                <w:rFonts w:eastAsia="Calibri"/>
                <w:snapToGrid/>
                <w:kern w:val="0"/>
                <w:szCs w:val="22"/>
              </w:rPr>
            </w:pPr>
            <w:r>
              <w:rPr>
                <w:rFonts w:eastAsia="Calibri"/>
                <w:snapToGrid/>
                <w:kern w:val="0"/>
                <w:szCs w:val="22"/>
              </w:rPr>
              <w:t>Dayton, OH:  James M. Cox Int’l (DAY)………………………</w:t>
            </w:r>
          </w:p>
          <w:p w:rsidR="004974BC" w:rsidP="00933418">
            <w:pPr>
              <w:widowControl/>
              <w:rPr>
                <w:rFonts w:eastAsia="Calibri"/>
                <w:snapToGrid/>
                <w:kern w:val="0"/>
                <w:szCs w:val="22"/>
              </w:rPr>
            </w:pPr>
            <w:r>
              <w:rPr>
                <w:rFonts w:eastAsia="Calibri"/>
                <w:snapToGrid/>
                <w:kern w:val="0"/>
                <w:szCs w:val="22"/>
              </w:rPr>
              <w:t>Denver, CO:</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 xml:space="preserve">     Rocky Mountain Metropolitan (BJC)………………………….</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Detroit, MI:</w:t>
            </w:r>
          </w:p>
          <w:p w:rsidR="004974BC" w:rsidP="00933418">
            <w:pPr>
              <w:widowControl/>
              <w:rPr>
                <w:rFonts w:eastAsia="Calibri"/>
                <w:snapToGrid/>
                <w:kern w:val="0"/>
                <w:szCs w:val="22"/>
              </w:rPr>
            </w:pPr>
            <w:r>
              <w:rPr>
                <w:rFonts w:eastAsia="Calibri"/>
                <w:snapToGrid/>
                <w:kern w:val="0"/>
                <w:szCs w:val="22"/>
              </w:rPr>
              <w:t xml:space="preserve">     Coleman A. Young Municipal (DET)……………………….</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 xml:space="preserve">     Oakland County Int’l (PTK)…………………………………</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Eureka, CA:  Samoa Field (O33)………………………………..</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Flint, MI:  Bishop Int’l (FNT)……………………………………</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Fort Myers, FL:</w:t>
            </w:r>
          </w:p>
          <w:p w:rsidR="004974BC" w:rsidP="00933418">
            <w:pPr>
              <w:widowControl/>
              <w:rPr>
                <w:rFonts w:eastAsia="Calibri"/>
                <w:snapToGrid/>
                <w:kern w:val="0"/>
                <w:szCs w:val="22"/>
              </w:rPr>
            </w:pPr>
            <w:r>
              <w:rPr>
                <w:rFonts w:eastAsia="Calibri"/>
                <w:snapToGrid/>
                <w:kern w:val="0"/>
                <w:szCs w:val="22"/>
              </w:rPr>
              <w:t xml:space="preserve">     Page Field (FMY)……………………………………………..</w:t>
            </w:r>
          </w:p>
          <w:p w:rsidR="004974BC" w:rsidP="00933418">
            <w:pPr>
              <w:widowControl/>
              <w:rPr>
                <w:rFonts w:eastAsia="Calibri"/>
                <w:snapToGrid/>
                <w:kern w:val="0"/>
                <w:szCs w:val="22"/>
              </w:rPr>
            </w:pPr>
            <w:r>
              <w:rPr>
                <w:rFonts w:eastAsia="Calibri"/>
                <w:snapToGrid/>
                <w:kern w:val="0"/>
                <w:szCs w:val="22"/>
              </w:rPr>
              <w:t xml:space="preserve">     Southwest Florida Int’l (RSW)……………………………….</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Fort Worth, TX:</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 xml:space="preserve">     Meacham Int’l (FTW)……………………………………….</w:t>
            </w:r>
          </w:p>
          <w:p w:rsidR="004974BC" w:rsidP="00933418">
            <w:pPr>
              <w:widowControl/>
              <w:rPr>
                <w:rFonts w:eastAsia="Calibri"/>
                <w:snapToGrid/>
                <w:kern w:val="0"/>
                <w:szCs w:val="22"/>
              </w:rPr>
            </w:pPr>
            <w:r>
              <w:rPr>
                <w:rFonts w:eastAsia="Calibri"/>
                <w:snapToGrid/>
                <w:kern w:val="0"/>
                <w:szCs w:val="22"/>
              </w:rPr>
              <w:t>Fresno, CA:</w:t>
            </w:r>
          </w:p>
          <w:p w:rsidR="004974BC" w:rsidP="00933418">
            <w:pPr>
              <w:widowControl/>
              <w:rPr>
                <w:rFonts w:eastAsia="Calibri"/>
                <w:snapToGrid/>
                <w:kern w:val="0"/>
                <w:szCs w:val="22"/>
              </w:rPr>
            </w:pPr>
            <w:r>
              <w:rPr>
                <w:rFonts w:eastAsia="Calibri"/>
                <w:snapToGrid/>
                <w:kern w:val="0"/>
                <w:szCs w:val="22"/>
              </w:rPr>
              <w:t xml:space="preserve">     Fresno Chandler Executive (FCH)…………………………..</w:t>
            </w:r>
          </w:p>
          <w:p w:rsidR="004974BC" w:rsidP="00933418">
            <w:pPr>
              <w:widowControl/>
              <w:rPr>
                <w:rFonts w:eastAsia="Calibri"/>
                <w:snapToGrid/>
                <w:kern w:val="0"/>
                <w:szCs w:val="22"/>
              </w:rPr>
            </w:pPr>
            <w:r>
              <w:rPr>
                <w:rFonts w:eastAsia="Calibri"/>
                <w:snapToGrid/>
                <w:kern w:val="0"/>
                <w:szCs w:val="22"/>
              </w:rPr>
              <w:t xml:space="preserve">     </w:t>
            </w: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Gunnison, CO:  Gunnison-Crested Butte Regional (GUC)……..</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Honolulu, HI:  Daniel K. Inouye Int’l (HNL)…………………….</w:t>
            </w:r>
          </w:p>
          <w:p w:rsidR="004974BC" w:rsidP="00933418">
            <w:pPr>
              <w:widowControl/>
              <w:rPr>
                <w:rFonts w:eastAsia="Calibri"/>
                <w:snapToGrid/>
                <w:kern w:val="0"/>
                <w:szCs w:val="22"/>
              </w:rPr>
            </w:pPr>
            <w:r w:rsidRPr="00CA6EAF">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Jacksonville, FL:</w:t>
            </w:r>
          </w:p>
          <w:p w:rsidR="004974BC" w:rsidP="00933418">
            <w:pPr>
              <w:widowControl/>
              <w:rPr>
                <w:rFonts w:eastAsia="Calibri"/>
                <w:snapToGrid/>
                <w:kern w:val="0"/>
                <w:szCs w:val="22"/>
              </w:rPr>
            </w:pPr>
            <w:r>
              <w:rPr>
                <w:rFonts w:eastAsia="Calibri"/>
                <w:snapToGrid/>
                <w:kern w:val="0"/>
                <w:szCs w:val="22"/>
              </w:rPr>
              <w:t xml:space="preserve">     Jacksonville Executive at Craig (CRG) …………………..…</w:t>
            </w:r>
          </w:p>
          <w:p w:rsidR="004974BC" w:rsidP="00933418">
            <w:pPr>
              <w:widowControl/>
              <w:rPr>
                <w:rFonts w:eastAsia="Calibri"/>
                <w:snapToGrid/>
                <w:kern w:val="0"/>
                <w:szCs w:val="22"/>
              </w:rPr>
            </w:pPr>
            <w:r>
              <w:rPr>
                <w:rFonts w:eastAsia="Calibri"/>
                <w:snapToGrid/>
                <w:kern w:val="0"/>
                <w:szCs w:val="22"/>
              </w:rPr>
              <w:t xml:space="preserve">     Jacksonville Int’l (JAX) ……………………………………</w:t>
            </w:r>
          </w:p>
          <w:p w:rsidR="004974BC" w:rsidP="00933418">
            <w:pPr>
              <w:widowControl/>
              <w:rPr>
                <w:rFonts w:eastAsia="Calibri"/>
                <w:snapToGrid/>
                <w:kern w:val="0"/>
                <w:szCs w:val="22"/>
              </w:rPr>
            </w:pPr>
            <w:r>
              <w:rPr>
                <w:rFonts w:eastAsia="Calibri"/>
                <w:snapToGrid/>
                <w:kern w:val="0"/>
                <w:szCs w:val="22"/>
              </w:rPr>
              <w:t>Kahului, HI:  Kahului (OGG).…………………………………..</w:t>
            </w:r>
          </w:p>
          <w:p w:rsidR="004974BC" w:rsidP="00933418">
            <w:pPr>
              <w:widowControl/>
              <w:rPr>
                <w:rFonts w:eastAsia="Calibri"/>
                <w:snapToGrid/>
                <w:kern w:val="0"/>
                <w:szCs w:val="22"/>
              </w:rPr>
            </w:pPr>
            <w:r>
              <w:rPr>
                <w:rFonts w:eastAsia="Calibri"/>
                <w:snapToGrid/>
                <w:kern w:val="0"/>
                <w:szCs w:val="22"/>
              </w:rPr>
              <w:t>Kailula-Kona, HI:  Kona Int’l at Ke-Ahole (KOA)…………….</w:t>
            </w:r>
          </w:p>
          <w:p w:rsidR="004974BC" w:rsidP="00933418">
            <w:pPr>
              <w:widowControl/>
              <w:rPr>
                <w:rFonts w:eastAsia="Calibri"/>
                <w:snapToGrid/>
                <w:kern w:val="0"/>
                <w:szCs w:val="22"/>
              </w:rPr>
            </w:pPr>
            <w:r>
              <w:rPr>
                <w:rFonts w:eastAsia="Calibri"/>
                <w:snapToGrid/>
                <w:kern w:val="0"/>
                <w:szCs w:val="22"/>
              </w:rPr>
              <w:t>Kalamazoo, MI:  Kalamazoo/Battle Creek International (AZO)..   * * *</w:t>
            </w:r>
          </w:p>
          <w:p w:rsidR="004974BC" w:rsidP="00933418">
            <w:pPr>
              <w:widowControl/>
              <w:rPr>
                <w:rFonts w:eastAsia="Calibri"/>
                <w:snapToGrid/>
                <w:kern w:val="0"/>
                <w:szCs w:val="22"/>
              </w:rPr>
            </w:pPr>
            <w:r>
              <w:rPr>
                <w:rFonts w:eastAsia="Calibri"/>
                <w:snapToGrid/>
                <w:kern w:val="0"/>
                <w:szCs w:val="22"/>
              </w:rPr>
              <w:t>Kansas City, MO-KS:</w:t>
            </w:r>
          </w:p>
          <w:p w:rsidR="004974BC" w:rsidP="00933418">
            <w:pPr>
              <w:widowControl/>
              <w:rPr>
                <w:rFonts w:eastAsia="Calibri"/>
                <w:snapToGrid/>
                <w:kern w:val="0"/>
                <w:szCs w:val="22"/>
              </w:rPr>
            </w:pPr>
            <w:r>
              <w:rPr>
                <w:rFonts w:eastAsia="Calibri"/>
                <w:snapToGrid/>
                <w:kern w:val="0"/>
                <w:szCs w:val="22"/>
              </w:rPr>
              <w:t xml:space="preserve">     * * *</w:t>
            </w:r>
          </w:p>
          <w:p w:rsidR="004974BC" w:rsidP="00933418">
            <w:pPr>
              <w:widowControl/>
              <w:rPr>
                <w:rFonts w:eastAsia="Calibri"/>
                <w:snapToGrid/>
                <w:kern w:val="0"/>
                <w:szCs w:val="22"/>
              </w:rPr>
            </w:pPr>
            <w:r>
              <w:rPr>
                <w:rFonts w:eastAsia="Calibri"/>
                <w:snapToGrid/>
                <w:kern w:val="0"/>
                <w:szCs w:val="22"/>
              </w:rPr>
              <w:t xml:space="preserve">     Charles B. Wheeler Downtown (MKC)………………………</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LaCrosse, WI:  LaCrosse Regional (LSE)……………………….</w:t>
            </w:r>
          </w:p>
          <w:p w:rsidR="004974BC" w:rsidP="00933418">
            <w:pPr>
              <w:widowControl/>
              <w:rPr>
                <w:rFonts w:eastAsia="Calibri"/>
                <w:snapToGrid/>
                <w:kern w:val="0"/>
                <w:szCs w:val="22"/>
              </w:rPr>
            </w:pPr>
            <w:r>
              <w:rPr>
                <w:rFonts w:eastAsia="Calibri"/>
                <w:snapToGrid/>
                <w:kern w:val="0"/>
                <w:szCs w:val="22"/>
              </w:rPr>
              <w:t>Lansing, MI:  Capital Region Int’l (LAN)……………………….</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Lincoln, NE:  Lincoln (LNK)…………………………………….</w:t>
            </w:r>
          </w:p>
          <w:p w:rsidR="004974BC" w:rsidP="00933418">
            <w:pPr>
              <w:widowControl/>
              <w:rPr>
                <w:rFonts w:eastAsia="Calibri"/>
                <w:snapToGrid/>
                <w:kern w:val="0"/>
                <w:szCs w:val="22"/>
              </w:rPr>
            </w:pPr>
            <w:r>
              <w:rPr>
                <w:rFonts w:eastAsia="Calibri"/>
                <w:snapToGrid/>
                <w:kern w:val="0"/>
                <w:szCs w:val="22"/>
              </w:rPr>
              <w:t>Little Rock, AR:  Bill and Hillary Clinton National/Adams Field (LIT)……………………………………………………………..</w:t>
            </w:r>
          </w:p>
          <w:p w:rsidR="004974BC" w:rsidRPr="004C323A" w:rsidP="00933418">
            <w:pPr>
              <w:widowControl/>
              <w:rPr>
                <w:rFonts w:eastAsia="Calibri"/>
                <w:snapToGrid/>
                <w:kern w:val="0"/>
                <w:szCs w:val="22"/>
              </w:rPr>
            </w:pPr>
            <w:r w:rsidRPr="004C323A">
              <w:rPr>
                <w:rFonts w:eastAsia="Calibri"/>
                <w:snapToGrid/>
                <w:kern w:val="0"/>
                <w:szCs w:val="22"/>
              </w:rPr>
              <w:t>Los Angeles, CA:</w:t>
            </w:r>
          </w:p>
          <w:p w:rsidR="004974BC" w:rsidRPr="004C323A" w:rsidP="00933418">
            <w:pPr>
              <w:widowControl/>
              <w:rPr>
                <w:rFonts w:eastAsia="Calibri"/>
                <w:snapToGrid/>
                <w:kern w:val="0"/>
                <w:szCs w:val="22"/>
              </w:rPr>
            </w:pPr>
            <w:r w:rsidRPr="004C323A">
              <w:rPr>
                <w:rFonts w:eastAsia="Calibri"/>
                <w:snapToGrid/>
                <w:kern w:val="0"/>
                <w:szCs w:val="22"/>
              </w:rPr>
              <w:t xml:space="preserve">     Bob Hope (BUR)……………………………………………..</w:t>
            </w:r>
          </w:p>
          <w:p w:rsidR="004974BC" w:rsidRPr="005B20B5" w:rsidP="00933418">
            <w:pPr>
              <w:widowControl/>
              <w:rPr>
                <w:rFonts w:eastAsia="Calibri"/>
                <w:snapToGrid/>
                <w:kern w:val="0"/>
                <w:szCs w:val="22"/>
              </w:rPr>
            </w:pPr>
            <w:r w:rsidRPr="004C323A">
              <w:rPr>
                <w:rFonts w:eastAsia="Calibri"/>
                <w:snapToGrid/>
                <w:kern w:val="0"/>
                <w:szCs w:val="22"/>
              </w:rPr>
              <w:t xml:space="preserve">     </w:t>
            </w:r>
            <w:r w:rsidRPr="005B20B5">
              <w:rPr>
                <w:rFonts w:eastAsia="Calibri"/>
                <w:snapToGrid/>
                <w:kern w:val="0"/>
                <w:szCs w:val="22"/>
              </w:rPr>
              <w:t>* * *</w:t>
            </w:r>
          </w:p>
          <w:p w:rsidR="004974BC" w:rsidP="00933418">
            <w:pPr>
              <w:widowControl/>
              <w:rPr>
                <w:rFonts w:eastAsia="Calibri"/>
                <w:snapToGrid/>
                <w:kern w:val="0"/>
                <w:szCs w:val="22"/>
              </w:rPr>
            </w:pPr>
            <w:r w:rsidRPr="005B20B5">
              <w:rPr>
                <w:rFonts w:eastAsia="Calibri"/>
                <w:snapToGrid/>
                <w:kern w:val="0"/>
                <w:szCs w:val="22"/>
              </w:rPr>
              <w:t xml:space="preserve">     </w:t>
            </w:r>
            <w:r>
              <w:rPr>
                <w:rFonts w:eastAsia="Calibri"/>
                <w:snapToGrid/>
                <w:kern w:val="0"/>
                <w:szCs w:val="22"/>
              </w:rPr>
              <w:t>John Wayne-Orange County (SNA)…………………………..</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Lubbock, TX:  Lubbock Preston Smith Int’l (LBB)……………</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Miami, FL:</w:t>
            </w:r>
          </w:p>
          <w:p w:rsidR="004974BC" w:rsidP="00933418">
            <w:pPr>
              <w:widowControl/>
              <w:rPr>
                <w:rFonts w:eastAsia="Calibri"/>
                <w:snapToGrid/>
                <w:kern w:val="0"/>
                <w:szCs w:val="22"/>
              </w:rPr>
            </w:pPr>
            <w:r>
              <w:rPr>
                <w:rFonts w:eastAsia="Calibri"/>
                <w:snapToGrid/>
                <w:kern w:val="0"/>
                <w:szCs w:val="22"/>
              </w:rPr>
              <w:t xml:space="preserve">     * * *</w:t>
            </w:r>
          </w:p>
          <w:p w:rsidR="004974BC" w:rsidP="00933418">
            <w:pPr>
              <w:widowControl/>
              <w:rPr>
                <w:rFonts w:eastAsia="Calibri"/>
                <w:snapToGrid/>
                <w:kern w:val="0"/>
                <w:szCs w:val="22"/>
              </w:rPr>
            </w:pPr>
            <w:r>
              <w:rPr>
                <w:rFonts w:eastAsia="Calibri"/>
                <w:snapToGrid/>
                <w:kern w:val="0"/>
                <w:szCs w:val="22"/>
              </w:rPr>
              <w:t xml:space="preserve">     Opa-Locka Executive (OPF)………………………………….</w:t>
            </w:r>
          </w:p>
          <w:p w:rsidR="004974BC" w:rsidP="00933418">
            <w:pPr>
              <w:widowControl/>
              <w:rPr>
                <w:rFonts w:eastAsia="Calibri"/>
                <w:snapToGrid/>
                <w:kern w:val="0"/>
                <w:szCs w:val="22"/>
              </w:rPr>
            </w:pPr>
            <w:r>
              <w:rPr>
                <w:rFonts w:eastAsia="Calibri"/>
                <w:snapToGrid/>
                <w:kern w:val="0"/>
                <w:szCs w:val="22"/>
              </w:rPr>
              <w:t xml:space="preserve">     Miami Executive (TMB)………………………………………</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Monterey, CA:  Monterey Regional (MRY)……………………..</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New Haven, CT:  Tweed-New Haven (HVN)……………………</w:t>
            </w:r>
          </w:p>
          <w:p w:rsidR="004974BC" w:rsidP="00933418">
            <w:pPr>
              <w:widowControl/>
              <w:rPr>
                <w:rFonts w:eastAsia="Calibri"/>
                <w:snapToGrid/>
                <w:kern w:val="0"/>
                <w:szCs w:val="22"/>
              </w:rPr>
            </w:pPr>
            <w:r>
              <w:rPr>
                <w:rFonts w:eastAsia="Calibri"/>
                <w:snapToGrid/>
                <w:kern w:val="0"/>
                <w:szCs w:val="22"/>
              </w:rPr>
              <w:t>New Orleans, LA:</w:t>
            </w:r>
          </w:p>
          <w:p w:rsidR="004974BC" w:rsidP="00933418">
            <w:pPr>
              <w:widowControl/>
              <w:rPr>
                <w:rFonts w:eastAsia="Calibri"/>
                <w:snapToGrid/>
                <w:kern w:val="0"/>
                <w:szCs w:val="22"/>
              </w:rPr>
            </w:pPr>
            <w:r>
              <w:rPr>
                <w:rFonts w:eastAsia="Calibri"/>
                <w:snapToGrid/>
                <w:kern w:val="0"/>
                <w:szCs w:val="22"/>
              </w:rPr>
              <w:t xml:space="preserve">     * * *</w:t>
            </w:r>
          </w:p>
          <w:p w:rsidR="004974BC" w:rsidP="00933418">
            <w:pPr>
              <w:widowControl/>
              <w:rPr>
                <w:rFonts w:eastAsia="Calibri"/>
                <w:snapToGrid/>
                <w:kern w:val="0"/>
                <w:szCs w:val="22"/>
              </w:rPr>
            </w:pPr>
            <w:r>
              <w:rPr>
                <w:rFonts w:eastAsia="Calibri"/>
                <w:snapToGrid/>
                <w:kern w:val="0"/>
                <w:szCs w:val="22"/>
              </w:rPr>
              <w:t xml:space="preserve">     Louis Armstrong New Orleans Int’l (MSY)………………….</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New York-Northeast NJ:</w:t>
            </w:r>
          </w:p>
          <w:p w:rsidR="004974BC" w:rsidP="00933418">
            <w:pPr>
              <w:widowControl/>
              <w:rPr>
                <w:rFonts w:eastAsia="Calibri"/>
                <w:snapToGrid/>
                <w:kern w:val="0"/>
                <w:szCs w:val="22"/>
              </w:rPr>
            </w:pPr>
            <w:r>
              <w:rPr>
                <w:rFonts w:eastAsia="Calibri"/>
                <w:snapToGrid/>
                <w:kern w:val="0"/>
                <w:szCs w:val="22"/>
              </w:rPr>
              <w:t xml:space="preserve">     * * *</w:t>
            </w:r>
          </w:p>
          <w:p w:rsidR="004974BC" w:rsidP="00933418">
            <w:pPr>
              <w:widowControl/>
              <w:rPr>
                <w:rFonts w:eastAsia="Calibri"/>
                <w:snapToGrid/>
                <w:kern w:val="0"/>
                <w:szCs w:val="22"/>
              </w:rPr>
            </w:pPr>
            <w:r>
              <w:rPr>
                <w:rFonts w:eastAsia="Calibri"/>
                <w:snapToGrid/>
                <w:kern w:val="0"/>
                <w:szCs w:val="22"/>
              </w:rPr>
              <w:t xml:space="preserve">     Newark Int’l (EWR)………………………………………….</w:t>
            </w:r>
          </w:p>
          <w:p w:rsidR="004974BC" w:rsidP="00933418">
            <w:pPr>
              <w:widowControl/>
              <w:rPr>
                <w:rFonts w:eastAsia="Calibri"/>
                <w:snapToGrid/>
                <w:kern w:val="0"/>
                <w:szCs w:val="22"/>
              </w:rPr>
            </w:pPr>
            <w:r>
              <w:rPr>
                <w:rFonts w:eastAsia="Calibri"/>
                <w:snapToGrid/>
                <w:kern w:val="0"/>
                <w:szCs w:val="22"/>
              </w:rPr>
              <w:t xml:space="preserve">     * * *</w:t>
            </w:r>
          </w:p>
          <w:p w:rsidR="004974BC" w:rsidP="00933418">
            <w:pPr>
              <w:widowControl/>
              <w:rPr>
                <w:rFonts w:eastAsia="Calibri"/>
                <w:snapToGrid/>
                <w:kern w:val="0"/>
                <w:szCs w:val="22"/>
              </w:rPr>
            </w:pPr>
            <w:r>
              <w:rPr>
                <w:rFonts w:eastAsia="Calibri"/>
                <w:snapToGrid/>
                <w:kern w:val="0"/>
                <w:szCs w:val="22"/>
              </w:rPr>
              <w:t>Peoria, IL:  General Wayne A. Downing Peoria Int’l (PIA)…….</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Roanoke, VA:  Roanoke-Blacksburg Regional/Woodrum Field (ROA)…………………………………………………………….</w:t>
            </w:r>
          </w:p>
          <w:p w:rsidR="004974BC" w:rsidRPr="004C323A" w:rsidP="00933418">
            <w:pPr>
              <w:widowControl/>
              <w:rPr>
                <w:rFonts w:eastAsia="Calibri"/>
                <w:snapToGrid/>
                <w:kern w:val="0"/>
                <w:szCs w:val="22"/>
              </w:rPr>
            </w:pPr>
            <w:r w:rsidRPr="004C323A">
              <w:rPr>
                <w:rFonts w:eastAsia="Calibri"/>
                <w:snapToGrid/>
                <w:kern w:val="0"/>
                <w:szCs w:val="22"/>
              </w:rPr>
              <w:t>* * *</w:t>
            </w:r>
          </w:p>
          <w:p w:rsidR="004974BC" w:rsidRPr="004C323A" w:rsidP="00933418">
            <w:pPr>
              <w:widowControl/>
              <w:rPr>
                <w:rFonts w:eastAsia="Calibri"/>
                <w:snapToGrid/>
                <w:kern w:val="0"/>
                <w:szCs w:val="22"/>
              </w:rPr>
            </w:pPr>
            <w:r w:rsidRPr="004C323A">
              <w:rPr>
                <w:rFonts w:eastAsia="Calibri"/>
                <w:snapToGrid/>
                <w:kern w:val="0"/>
                <w:szCs w:val="22"/>
              </w:rPr>
              <w:t>Saipan Isl,. CQ:  Francisco C. Ada/Saipan Int’l (GSN)………….</w:t>
            </w:r>
          </w:p>
          <w:p w:rsidR="004974BC" w:rsidP="00933418">
            <w:pPr>
              <w:widowControl/>
              <w:rPr>
                <w:rFonts w:eastAsia="Calibri"/>
                <w:snapToGrid/>
                <w:kern w:val="0"/>
                <w:szCs w:val="22"/>
              </w:rPr>
            </w:pPr>
            <w:r>
              <w:rPr>
                <w:rFonts w:eastAsia="Calibri"/>
                <w:snapToGrid/>
                <w:kern w:val="0"/>
                <w:szCs w:val="22"/>
              </w:rPr>
              <w:t>St. Louis, MO:</w:t>
            </w:r>
          </w:p>
          <w:p w:rsidR="004974BC" w:rsidP="00933418">
            <w:pPr>
              <w:widowControl/>
              <w:rPr>
                <w:rFonts w:eastAsia="Calibri"/>
                <w:snapToGrid/>
                <w:kern w:val="0"/>
                <w:szCs w:val="22"/>
              </w:rPr>
            </w:pPr>
            <w:r>
              <w:rPr>
                <w:rFonts w:eastAsia="Calibri"/>
                <w:snapToGrid/>
                <w:kern w:val="0"/>
                <w:szCs w:val="22"/>
              </w:rPr>
              <w:t xml:space="preserve">     * * *</w:t>
            </w:r>
          </w:p>
          <w:p w:rsidR="004974BC" w:rsidRPr="004C323A" w:rsidP="00933418">
            <w:pPr>
              <w:widowControl/>
              <w:rPr>
                <w:rFonts w:eastAsia="Calibri"/>
                <w:snapToGrid/>
                <w:kern w:val="0"/>
                <w:szCs w:val="22"/>
              </w:rPr>
            </w:pPr>
            <w:r>
              <w:rPr>
                <w:rFonts w:eastAsia="Calibri"/>
                <w:snapToGrid/>
                <w:kern w:val="0"/>
                <w:szCs w:val="22"/>
              </w:rPr>
              <w:t xml:space="preserve">     Lambert-St. </w:t>
            </w:r>
            <w:r w:rsidRPr="004C323A">
              <w:rPr>
                <w:rFonts w:eastAsia="Calibri"/>
                <w:snapToGrid/>
                <w:kern w:val="0"/>
                <w:szCs w:val="22"/>
              </w:rPr>
              <w:t>Louis Int’l (STL)…………………………………</w:t>
            </w:r>
          </w:p>
          <w:p w:rsidR="004974BC" w:rsidRPr="004C323A" w:rsidP="00933418">
            <w:pPr>
              <w:widowControl/>
              <w:rPr>
                <w:rFonts w:eastAsia="Calibri"/>
                <w:snapToGrid/>
                <w:kern w:val="0"/>
                <w:szCs w:val="22"/>
              </w:rPr>
            </w:pPr>
            <w:r w:rsidRPr="004C323A">
              <w:rPr>
                <w:rFonts w:eastAsia="Calibri"/>
                <w:snapToGrid/>
                <w:kern w:val="0"/>
                <w:szCs w:val="22"/>
              </w:rPr>
              <w:t>* * *</w:t>
            </w:r>
          </w:p>
          <w:p w:rsidR="004974BC" w:rsidRPr="004C323A" w:rsidP="00933418">
            <w:pPr>
              <w:widowControl/>
              <w:rPr>
                <w:rFonts w:eastAsia="Calibri"/>
                <w:snapToGrid/>
                <w:kern w:val="0"/>
                <w:szCs w:val="22"/>
              </w:rPr>
            </w:pPr>
            <w:r w:rsidRPr="004C323A">
              <w:rPr>
                <w:rFonts w:eastAsia="Calibri"/>
                <w:snapToGrid/>
                <w:kern w:val="0"/>
                <w:szCs w:val="22"/>
              </w:rPr>
              <w:t>San Diego, CA:  San Diego Int’l (SAN)………………………….</w:t>
            </w:r>
          </w:p>
          <w:p w:rsidR="004974BC" w:rsidRPr="004C323A" w:rsidP="00933418">
            <w:pPr>
              <w:widowControl/>
              <w:rPr>
                <w:rFonts w:eastAsia="Calibri"/>
                <w:snapToGrid/>
                <w:kern w:val="0"/>
                <w:szCs w:val="22"/>
              </w:rPr>
            </w:pPr>
            <w:r w:rsidRPr="004C323A">
              <w:rPr>
                <w:rFonts w:eastAsia="Calibri"/>
                <w:snapToGrid/>
                <w:kern w:val="0"/>
                <w:szCs w:val="22"/>
              </w:rPr>
              <w:t>* * *</w:t>
            </w:r>
          </w:p>
          <w:p w:rsidR="004974BC" w:rsidRPr="004C323A" w:rsidP="00933418">
            <w:pPr>
              <w:widowControl/>
              <w:rPr>
                <w:rFonts w:eastAsia="Calibri"/>
                <w:snapToGrid/>
                <w:kern w:val="0"/>
                <w:szCs w:val="22"/>
              </w:rPr>
            </w:pPr>
            <w:r w:rsidRPr="004C323A">
              <w:rPr>
                <w:rFonts w:eastAsia="Calibri"/>
                <w:snapToGrid/>
                <w:kern w:val="0"/>
                <w:szCs w:val="22"/>
              </w:rPr>
              <w:t>San Jose, CA:  Norman Y. Mineta San Jose Int’l (SJC)………….</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Savanna, GA:  Savanah/Hilton Head Int’l (SAV)………………..</w:t>
            </w:r>
          </w:p>
          <w:p w:rsidR="004974BC" w:rsidRPr="004C323A" w:rsidP="00933418">
            <w:pPr>
              <w:widowControl/>
              <w:rPr>
                <w:rFonts w:eastAsia="Calibri"/>
                <w:snapToGrid/>
                <w:kern w:val="0"/>
                <w:szCs w:val="22"/>
                <w:lang w:val="fr-FR"/>
              </w:rPr>
            </w:pPr>
            <w:r w:rsidRPr="004C323A">
              <w:rPr>
                <w:rFonts w:eastAsia="Calibri"/>
                <w:snapToGrid/>
                <w:kern w:val="0"/>
                <w:szCs w:val="22"/>
                <w:lang w:val="fr-FR"/>
              </w:rPr>
              <w:t>Scranton, PA:  Wilkes Barre/Scranton Int’l (AVP)………………</w:t>
            </w:r>
          </w:p>
          <w:p w:rsidR="004974BC" w:rsidP="00933418">
            <w:pPr>
              <w:widowControl/>
              <w:rPr>
                <w:rFonts w:eastAsia="Calibri"/>
                <w:snapToGrid/>
                <w:kern w:val="0"/>
                <w:szCs w:val="22"/>
              </w:rPr>
            </w:pPr>
            <w:r>
              <w:rPr>
                <w:rFonts w:eastAsia="Calibri"/>
                <w:snapToGrid/>
                <w:kern w:val="0"/>
                <w:szCs w:val="22"/>
              </w:rPr>
              <w:t>Seattle, WA:</w:t>
            </w:r>
          </w:p>
          <w:p w:rsidR="004974BC" w:rsidP="00933418">
            <w:pPr>
              <w:widowControl/>
              <w:rPr>
                <w:rFonts w:eastAsia="Calibri"/>
                <w:snapToGrid/>
                <w:kern w:val="0"/>
                <w:szCs w:val="22"/>
              </w:rPr>
            </w:pPr>
            <w:r>
              <w:rPr>
                <w:rFonts w:eastAsia="Calibri"/>
                <w:snapToGrid/>
                <w:kern w:val="0"/>
                <w:szCs w:val="22"/>
              </w:rPr>
              <w:t xml:space="preserve">     Boeing/King County Int’l (BFI) ……………………………</w:t>
            </w:r>
          </w:p>
          <w:p w:rsidR="004974BC" w:rsidP="00933418">
            <w:pPr>
              <w:widowControl/>
              <w:rPr>
                <w:rFonts w:eastAsia="Calibri"/>
                <w:snapToGrid/>
                <w:kern w:val="0"/>
                <w:szCs w:val="22"/>
              </w:rPr>
            </w:pPr>
            <w:r>
              <w:rPr>
                <w:rFonts w:eastAsia="Calibri"/>
                <w:snapToGrid/>
                <w:kern w:val="0"/>
                <w:szCs w:val="22"/>
              </w:rPr>
              <w:t xml:space="preserve">     Seattle-Tacoma Int’l (SEA) ………………………………...</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Sioux City, IA:  Sioux Gateway/Colonel Bud Day Field (SUX)…</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Springfield, MA:</w:t>
            </w:r>
          </w:p>
          <w:p w:rsidR="004974BC" w:rsidP="00933418">
            <w:pPr>
              <w:widowControl/>
              <w:rPr>
                <w:rFonts w:eastAsia="Calibri"/>
                <w:snapToGrid/>
                <w:kern w:val="0"/>
                <w:szCs w:val="22"/>
              </w:rPr>
            </w:pPr>
            <w:r>
              <w:rPr>
                <w:rFonts w:eastAsia="Calibri"/>
                <w:snapToGrid/>
                <w:kern w:val="0"/>
                <w:szCs w:val="22"/>
              </w:rPr>
              <w:t xml:space="preserve">     Westfield-Barnes Regional (BAF)……………………………</w:t>
            </w:r>
          </w:p>
          <w:p w:rsidR="004974BC" w:rsidP="00933418">
            <w:pPr>
              <w:widowControl/>
              <w:rPr>
                <w:rFonts w:eastAsia="Calibri"/>
                <w:snapToGrid/>
                <w:kern w:val="0"/>
                <w:szCs w:val="22"/>
              </w:rPr>
            </w:pPr>
            <w:r>
              <w:rPr>
                <w:rFonts w:eastAsia="Calibri"/>
                <w:snapToGrid/>
                <w:kern w:val="0"/>
                <w:szCs w:val="22"/>
              </w:rPr>
              <w:t xml:space="preserve">     * * *</w:t>
            </w:r>
          </w:p>
          <w:p w:rsidR="004974BC" w:rsidP="00933418">
            <w:pPr>
              <w:widowControl/>
              <w:rPr>
                <w:rFonts w:eastAsia="Calibri"/>
                <w:snapToGrid/>
                <w:kern w:val="0"/>
                <w:szCs w:val="22"/>
              </w:rPr>
            </w:pPr>
            <w:r>
              <w:rPr>
                <w:rFonts w:eastAsia="Calibri"/>
                <w:snapToGrid/>
                <w:kern w:val="0"/>
                <w:szCs w:val="22"/>
              </w:rPr>
              <w:t>Springfield, MO:  Springfield-Branson National (SGF)………….</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Tallahasee, FL:  Tallahasee Int’l (TLH)…………………………..</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Waterloo, IA:  Waterloo Regional (ALO)………………………</w:t>
            </w:r>
          </w:p>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Wichita, KS:  Wichita Dwight D. Eisenhower National (ICT)…...</w:t>
            </w:r>
          </w:p>
          <w:p w:rsidR="004974BC" w:rsidP="00933418">
            <w:pPr>
              <w:widowControl/>
              <w:rPr>
                <w:rFonts w:eastAsia="Calibri"/>
                <w:snapToGrid/>
                <w:kern w:val="0"/>
                <w:szCs w:val="22"/>
              </w:rPr>
            </w:pPr>
            <w:r>
              <w:rPr>
                <w:rFonts w:eastAsia="Calibri"/>
                <w:snapToGrid/>
                <w:kern w:val="0"/>
                <w:szCs w:val="22"/>
              </w:rPr>
              <w:t>Wilmington, DE:  New Castle (ILG)…………………………….</w:t>
            </w:r>
          </w:p>
          <w:p w:rsidR="004974BC" w:rsidP="00933418">
            <w:pPr>
              <w:widowControl/>
              <w:rPr>
                <w:rFonts w:eastAsia="Calibri"/>
                <w:snapToGrid/>
                <w:kern w:val="0"/>
                <w:szCs w:val="22"/>
              </w:rPr>
            </w:pPr>
            <w:r>
              <w:rPr>
                <w:rFonts w:eastAsia="Calibri"/>
                <w:snapToGrid/>
                <w:kern w:val="0"/>
                <w:szCs w:val="22"/>
              </w:rPr>
              <w:t>* * *</w:t>
            </w:r>
          </w:p>
        </w:tc>
        <w:tc>
          <w:tcPr>
            <w:tcW w:w="1620" w:type="dxa"/>
            <w:shd w:val="clear" w:color="auto" w:fill="auto"/>
          </w:tcPr>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44º15'26.7"</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33º46'44.9"</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39º10'31.5"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33º33'46.6"</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43º33'52.0"</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45º46'36.8"</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42º06'51.1"</w:t>
            </w:r>
          </w:p>
          <w:p w:rsidR="004974BC" w:rsidP="00933418">
            <w:pPr>
              <w:widowControl/>
              <w:rPr>
                <w:rFonts w:eastAsia="Calibri"/>
                <w:snapToGrid/>
                <w:kern w:val="0"/>
                <w:szCs w:val="22"/>
              </w:rPr>
            </w:pPr>
            <w:r>
              <w:rPr>
                <w:rFonts w:eastAsia="Calibri"/>
                <w:snapToGrid/>
                <w:kern w:val="0"/>
                <w:szCs w:val="22"/>
              </w:rPr>
              <w:t>41º42'32.2"</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41º54'24.8"</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39º06'12.0"</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32º30'58.8"</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39º59'52.8"</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32º40'51.1"</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41º26'54.7"</w:t>
            </w:r>
          </w:p>
          <w:p w:rsidR="004974BC" w:rsidP="00933418">
            <w:pPr>
              <w:widowControl/>
              <w:rPr>
                <w:rFonts w:eastAsia="Calibri"/>
                <w:snapToGrid/>
                <w:kern w:val="0"/>
                <w:szCs w:val="22"/>
              </w:rPr>
            </w:pPr>
            <w:r>
              <w:rPr>
                <w:rFonts w:eastAsia="Calibri"/>
                <w:snapToGrid/>
                <w:kern w:val="0"/>
                <w:szCs w:val="22"/>
              </w:rPr>
              <w:t>39º54'08.6"</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39º54'31.6"</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42º24'33.1"</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42º39'54.7"</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40º46'51.4"</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42º57'55.8"</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26º35'11.8"</w:t>
            </w:r>
          </w:p>
          <w:p w:rsidR="004974BC" w:rsidP="00933418">
            <w:pPr>
              <w:widowControl/>
              <w:rPr>
                <w:rFonts w:eastAsia="Calibri"/>
                <w:snapToGrid/>
                <w:kern w:val="0"/>
                <w:szCs w:val="22"/>
              </w:rPr>
            </w:pPr>
            <w:r>
              <w:rPr>
                <w:rFonts w:eastAsia="Calibri"/>
                <w:snapToGrid/>
                <w:kern w:val="0"/>
                <w:szCs w:val="22"/>
              </w:rPr>
              <w:t>26º32'10.2"</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32º49'11.2"</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36º43'56.5"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38º32'02.2"</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21º19'07.3"</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30º20'10.8"</w:t>
            </w:r>
          </w:p>
          <w:p w:rsidR="004974BC" w:rsidP="00933418">
            <w:pPr>
              <w:widowControl/>
              <w:rPr>
                <w:rFonts w:eastAsia="Calibri"/>
                <w:snapToGrid/>
                <w:kern w:val="0"/>
                <w:szCs w:val="22"/>
              </w:rPr>
            </w:pPr>
            <w:r>
              <w:rPr>
                <w:rFonts w:eastAsia="Calibri"/>
                <w:snapToGrid/>
                <w:kern w:val="0"/>
                <w:szCs w:val="22"/>
              </w:rPr>
              <w:t>30º29'38.6"</w:t>
            </w:r>
          </w:p>
          <w:p w:rsidR="004974BC" w:rsidP="00933418">
            <w:pPr>
              <w:widowControl/>
              <w:rPr>
                <w:rFonts w:eastAsia="Calibri"/>
                <w:snapToGrid/>
                <w:kern w:val="0"/>
                <w:szCs w:val="22"/>
              </w:rPr>
            </w:pPr>
            <w:r>
              <w:rPr>
                <w:rFonts w:eastAsia="Calibri"/>
                <w:snapToGrid/>
                <w:kern w:val="0"/>
                <w:szCs w:val="22"/>
              </w:rPr>
              <w:t>20º53'55.4"</w:t>
            </w:r>
          </w:p>
          <w:p w:rsidR="004974BC" w:rsidP="00933418">
            <w:pPr>
              <w:widowControl/>
              <w:rPr>
                <w:rFonts w:eastAsia="Calibri"/>
                <w:snapToGrid/>
                <w:kern w:val="0"/>
                <w:szCs w:val="22"/>
              </w:rPr>
            </w:pPr>
            <w:r>
              <w:rPr>
                <w:rFonts w:eastAsia="Calibri"/>
                <w:snapToGrid/>
                <w:kern w:val="0"/>
                <w:szCs w:val="22"/>
              </w:rPr>
              <w:t>19º44'19.7"</w:t>
            </w:r>
          </w:p>
          <w:p w:rsidR="004974BC" w:rsidP="00933418">
            <w:pPr>
              <w:widowControl/>
              <w:rPr>
                <w:rFonts w:eastAsia="Calibri"/>
                <w:snapToGrid/>
                <w:kern w:val="0"/>
                <w:szCs w:val="22"/>
              </w:rPr>
            </w:pPr>
            <w:r>
              <w:rPr>
                <w:rFonts w:eastAsia="Calibri"/>
                <w:snapToGrid/>
                <w:kern w:val="0"/>
                <w:szCs w:val="22"/>
              </w:rPr>
              <w:t>42º14'05.5"</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39º07'23.7"</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43º52'46.5"</w:t>
            </w:r>
          </w:p>
          <w:p w:rsidR="004974BC" w:rsidP="00933418">
            <w:pPr>
              <w:widowControl/>
              <w:rPr>
                <w:rFonts w:eastAsia="Calibri"/>
                <w:snapToGrid/>
                <w:kern w:val="0"/>
                <w:szCs w:val="22"/>
              </w:rPr>
            </w:pPr>
            <w:r>
              <w:rPr>
                <w:rFonts w:eastAsia="Calibri"/>
                <w:snapToGrid/>
                <w:kern w:val="0"/>
                <w:szCs w:val="22"/>
              </w:rPr>
              <w:t>42º46'43.3"</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40º51'03.5"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34º43'48.8"</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34º12'02.2"</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33º40'32.4"</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33º39'49.1"</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25º54'25.2"</w:t>
            </w:r>
          </w:p>
          <w:p w:rsidR="004974BC" w:rsidP="00933418">
            <w:pPr>
              <w:widowControl/>
              <w:rPr>
                <w:rFonts w:eastAsia="Calibri"/>
                <w:snapToGrid/>
                <w:kern w:val="0"/>
                <w:szCs w:val="22"/>
              </w:rPr>
            </w:pPr>
            <w:r>
              <w:rPr>
                <w:rFonts w:eastAsia="Calibri"/>
                <w:snapToGrid/>
                <w:kern w:val="0"/>
                <w:szCs w:val="22"/>
              </w:rPr>
              <w:t>25º38'52.4"</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36º35'13.1"</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41º15'50.0"</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29º59'36.2"</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40º41'32.9"</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40º39'51.3"</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37º19'31.7"</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15º07'08.4"</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38º44'51.7"</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32º44'00.8"</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37º21'42.7"</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32º07'39.3"</w:t>
            </w:r>
          </w:p>
          <w:p w:rsidR="004974BC" w:rsidP="00933418">
            <w:pPr>
              <w:widowControl/>
              <w:rPr>
                <w:rFonts w:eastAsia="Calibri"/>
                <w:snapToGrid/>
                <w:kern w:val="0"/>
                <w:szCs w:val="22"/>
              </w:rPr>
            </w:pPr>
            <w:r>
              <w:rPr>
                <w:rFonts w:eastAsia="Calibri"/>
                <w:snapToGrid/>
                <w:kern w:val="0"/>
                <w:szCs w:val="22"/>
              </w:rPr>
              <w:t>41º20'17.3"</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47º31'48.4''</w:t>
            </w:r>
          </w:p>
          <w:p w:rsidR="004974BC" w:rsidP="00933418">
            <w:pPr>
              <w:widowControl/>
              <w:rPr>
                <w:rFonts w:eastAsia="Calibri"/>
                <w:snapToGrid/>
                <w:kern w:val="0"/>
                <w:szCs w:val="22"/>
              </w:rPr>
            </w:pPr>
            <w:r>
              <w:rPr>
                <w:rFonts w:eastAsia="Calibri"/>
                <w:snapToGrid/>
                <w:kern w:val="0"/>
                <w:szCs w:val="22"/>
              </w:rPr>
              <w:t>47º26'56.3''</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42º24'09.4"</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42º09'27.8"</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37º14'39.6"</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30º23'47.5"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42º33'25.5"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37º38'59.9"</w:t>
            </w:r>
          </w:p>
          <w:p w:rsidR="004974BC" w:rsidP="00933418">
            <w:pPr>
              <w:widowControl/>
              <w:rPr>
                <w:rFonts w:eastAsia="Calibri"/>
                <w:snapToGrid/>
                <w:kern w:val="0"/>
                <w:szCs w:val="22"/>
              </w:rPr>
            </w:pPr>
            <w:r>
              <w:rPr>
                <w:rFonts w:eastAsia="Calibri"/>
                <w:snapToGrid/>
                <w:kern w:val="0"/>
                <w:szCs w:val="22"/>
              </w:rPr>
              <w:t>39º40'43.4"</w:t>
            </w:r>
          </w:p>
        </w:tc>
        <w:tc>
          <w:tcPr>
            <w:tcW w:w="1705" w:type="dxa"/>
            <w:shd w:val="clear" w:color="auto" w:fill="auto"/>
          </w:tcPr>
          <w:p w:rsidR="004974BC" w:rsidP="00933418">
            <w:pPr>
              <w:widowControl/>
              <w:rPr>
                <w:rFonts w:eastAsia="Calibri"/>
                <w:snapToGrid/>
                <w:kern w:val="0"/>
                <w:szCs w:val="22"/>
              </w:rPr>
            </w:pPr>
            <w:r>
              <w:rPr>
                <w:rFonts w:eastAsia="Calibri"/>
                <w:snapToGrid/>
                <w:kern w:val="0"/>
                <w:szCs w:val="22"/>
              </w:rPr>
              <w:t>* * *</w:t>
            </w:r>
          </w:p>
          <w:p w:rsidR="004974BC" w:rsidP="00933418">
            <w:pPr>
              <w:widowControl/>
              <w:rPr>
                <w:rFonts w:eastAsia="Calibri"/>
                <w:snapToGrid/>
                <w:kern w:val="0"/>
                <w:szCs w:val="22"/>
              </w:rPr>
            </w:pPr>
            <w:r>
              <w:rPr>
                <w:rFonts w:eastAsia="Calibri"/>
                <w:snapToGrid/>
                <w:kern w:val="0"/>
                <w:szCs w:val="22"/>
              </w:rPr>
              <w:t>88º31'10.1"</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84º31'16.9"</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74º40'05.5"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86º45'12.8"</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116º13'22.0"</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111º09'10.8"</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87º54'05.3"</w:t>
            </w:r>
          </w:p>
          <w:p w:rsidR="004974BC" w:rsidP="00933418">
            <w:pPr>
              <w:widowControl/>
              <w:rPr>
                <w:rFonts w:eastAsia="Calibri"/>
                <w:snapToGrid/>
                <w:kern w:val="0"/>
                <w:szCs w:val="22"/>
              </w:rPr>
            </w:pPr>
            <w:r>
              <w:rPr>
                <w:rFonts w:eastAsia="Calibri"/>
                <w:snapToGrid/>
                <w:kern w:val="0"/>
                <w:szCs w:val="22"/>
              </w:rPr>
              <w:t>86º19'06.5"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88º14'54.3"</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84º25'07.0"</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84º56'19.9"</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82º53'30.8"</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96º52'05.5"</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90º30'27.1"</w:t>
            </w:r>
          </w:p>
          <w:p w:rsidR="004974BC" w:rsidP="00933418">
            <w:pPr>
              <w:widowControl/>
              <w:rPr>
                <w:rFonts w:eastAsia="Calibri"/>
                <w:snapToGrid/>
                <w:kern w:val="0"/>
                <w:szCs w:val="22"/>
              </w:rPr>
            </w:pPr>
            <w:r>
              <w:rPr>
                <w:rFonts w:eastAsia="Calibri"/>
                <w:snapToGrid/>
                <w:kern w:val="0"/>
                <w:szCs w:val="22"/>
              </w:rPr>
              <w:t>84º13'09.8"</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105º07'01.9"</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83º00'35.5"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83º25'07.4"</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124º12'44.2"</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83º44'36.4"</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81º51'47.7"</w:t>
            </w:r>
          </w:p>
          <w:p w:rsidR="004974BC" w:rsidP="00933418">
            <w:pPr>
              <w:widowControl/>
              <w:rPr>
                <w:rFonts w:eastAsia="Calibri"/>
                <w:snapToGrid/>
                <w:kern w:val="0"/>
                <w:szCs w:val="22"/>
              </w:rPr>
            </w:pPr>
            <w:r>
              <w:rPr>
                <w:rFonts w:eastAsia="Calibri"/>
                <w:snapToGrid/>
                <w:kern w:val="0"/>
                <w:szCs w:val="22"/>
              </w:rPr>
              <w:t>81º45'18.6"</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97º21'44.8"</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119º49'11.6"</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106º55'58.9"</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157º55'20.7"</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81º30'52.0"</w:t>
            </w:r>
          </w:p>
          <w:p w:rsidR="004974BC" w:rsidP="00933418">
            <w:pPr>
              <w:widowControl/>
              <w:rPr>
                <w:rFonts w:eastAsia="Calibri"/>
                <w:snapToGrid/>
                <w:kern w:val="0"/>
                <w:szCs w:val="22"/>
              </w:rPr>
            </w:pPr>
            <w:r>
              <w:rPr>
                <w:rFonts w:eastAsia="Calibri"/>
                <w:snapToGrid/>
                <w:kern w:val="0"/>
                <w:szCs w:val="22"/>
              </w:rPr>
              <w:t>81º41'16.3"</w:t>
            </w:r>
          </w:p>
          <w:p w:rsidR="004974BC" w:rsidP="00933418">
            <w:pPr>
              <w:widowControl/>
              <w:rPr>
                <w:rFonts w:eastAsia="Calibri"/>
                <w:snapToGrid/>
                <w:kern w:val="0"/>
                <w:szCs w:val="22"/>
              </w:rPr>
            </w:pPr>
            <w:r>
              <w:rPr>
                <w:rFonts w:eastAsia="Calibri"/>
                <w:snapToGrid/>
                <w:kern w:val="0"/>
                <w:szCs w:val="22"/>
              </w:rPr>
              <w:t>156º25'48.9"</w:t>
            </w:r>
          </w:p>
          <w:p w:rsidR="004974BC" w:rsidP="00933418">
            <w:pPr>
              <w:widowControl/>
              <w:rPr>
                <w:rFonts w:eastAsia="Calibri"/>
                <w:snapToGrid/>
                <w:kern w:val="0"/>
                <w:szCs w:val="22"/>
              </w:rPr>
            </w:pPr>
            <w:r>
              <w:rPr>
                <w:rFonts w:eastAsia="Calibri"/>
                <w:snapToGrid/>
                <w:kern w:val="0"/>
                <w:szCs w:val="22"/>
              </w:rPr>
              <w:t>156º02'44.2"</w:t>
            </w:r>
          </w:p>
          <w:p w:rsidR="004974BC" w:rsidP="00933418">
            <w:pPr>
              <w:widowControl/>
              <w:rPr>
                <w:rFonts w:eastAsia="Calibri"/>
                <w:snapToGrid/>
                <w:kern w:val="0"/>
                <w:szCs w:val="22"/>
              </w:rPr>
            </w:pPr>
            <w:r>
              <w:rPr>
                <w:rFonts w:eastAsia="Calibri"/>
                <w:snapToGrid/>
                <w:kern w:val="0"/>
                <w:szCs w:val="22"/>
              </w:rPr>
              <w:t>85º33'07.4"</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94º35'33.9"</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91º15'24.6"</w:t>
            </w:r>
          </w:p>
          <w:p w:rsidR="004974BC" w:rsidP="00933418">
            <w:pPr>
              <w:widowControl/>
              <w:rPr>
                <w:rFonts w:eastAsia="Calibri"/>
                <w:snapToGrid/>
                <w:kern w:val="0"/>
                <w:szCs w:val="22"/>
              </w:rPr>
            </w:pPr>
            <w:r>
              <w:rPr>
                <w:rFonts w:eastAsia="Calibri"/>
                <w:snapToGrid/>
                <w:kern w:val="0"/>
                <w:szCs w:val="22"/>
              </w:rPr>
              <w:t>84º35'14.5"</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96º45'33.3"</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92º13'27.3"</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118º21'30.6"</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117º52'05.6"</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101º49'22.0"</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80º16'42.2"</w:t>
            </w:r>
          </w:p>
          <w:p w:rsidR="004974BC" w:rsidP="00933418">
            <w:pPr>
              <w:widowControl/>
              <w:rPr>
                <w:rFonts w:eastAsia="Calibri"/>
                <w:snapToGrid/>
                <w:kern w:val="0"/>
                <w:szCs w:val="22"/>
              </w:rPr>
            </w:pPr>
            <w:r>
              <w:rPr>
                <w:rFonts w:eastAsia="Calibri"/>
                <w:snapToGrid/>
                <w:kern w:val="0"/>
                <w:szCs w:val="22"/>
              </w:rPr>
              <w:t>80º25'58.0"</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121º50'34.6"</w:t>
            </w: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72º53'13.6"</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90º15'28.9"</w:t>
            </w: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74º10'07.2"</w:t>
            </w:r>
          </w:p>
          <w:p w:rsidR="004974BC"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89º41'35.9"</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79º58'31.5"</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145º43'45.7" E</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90º21'35.9"</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117º11'22.8"</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121º55'44.4"</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81º12'7.7"</w:t>
            </w:r>
          </w:p>
          <w:p w:rsidR="004974BC" w:rsidRPr="004C323A" w:rsidP="00933418">
            <w:pPr>
              <w:widowControl/>
              <w:rPr>
                <w:rFonts w:eastAsia="Calibri"/>
                <w:snapToGrid/>
                <w:kern w:val="0"/>
                <w:szCs w:val="22"/>
              </w:rPr>
            </w:pPr>
            <w:r w:rsidRPr="004C323A">
              <w:rPr>
                <w:rFonts w:eastAsia="Calibri"/>
                <w:snapToGrid/>
                <w:kern w:val="0"/>
                <w:szCs w:val="22"/>
              </w:rPr>
              <w:t>75º43'27.4"</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122º18'07.4''</w:t>
            </w:r>
          </w:p>
          <w:p w:rsidR="004974BC" w:rsidRPr="004C323A" w:rsidP="00933418">
            <w:pPr>
              <w:widowControl/>
              <w:rPr>
                <w:rFonts w:eastAsia="Calibri"/>
                <w:snapToGrid/>
                <w:kern w:val="0"/>
                <w:szCs w:val="22"/>
              </w:rPr>
            </w:pPr>
            <w:r w:rsidRPr="004C323A">
              <w:rPr>
                <w:rFonts w:eastAsia="Calibri"/>
                <w:snapToGrid/>
                <w:kern w:val="0"/>
                <w:szCs w:val="22"/>
              </w:rPr>
              <w:t>122º18'33.5''</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96º23'03.7"</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72º42'56.2"</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93º23'12.7"</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84º21'01.2"</w:t>
            </w:r>
          </w:p>
          <w:p w:rsidR="004974BC" w:rsidRPr="004C323A" w:rsidP="00933418">
            <w:pPr>
              <w:widowControl/>
              <w:rPr>
                <w:rFonts w:eastAsia="Calibri"/>
                <w:snapToGrid/>
                <w:kern w:val="0"/>
                <w:szCs w:val="22"/>
              </w:rPr>
            </w:pPr>
          </w:p>
          <w:p w:rsidR="004974BC" w:rsidRPr="004C323A" w:rsidP="00933418">
            <w:pPr>
              <w:widowControl/>
              <w:rPr>
                <w:rFonts w:eastAsia="Calibri"/>
                <w:snapToGrid/>
                <w:kern w:val="0"/>
                <w:szCs w:val="22"/>
              </w:rPr>
            </w:pPr>
            <w:r w:rsidRPr="004C323A">
              <w:rPr>
                <w:rFonts w:eastAsia="Calibri"/>
                <w:snapToGrid/>
                <w:kern w:val="0"/>
                <w:szCs w:val="22"/>
              </w:rPr>
              <w:t>92º24'01.2"</w:t>
            </w:r>
          </w:p>
          <w:p w:rsidR="004974BC" w:rsidRPr="004C323A" w:rsidP="00933418">
            <w:pPr>
              <w:widowControl/>
              <w:rPr>
                <w:rFonts w:eastAsia="Calibri"/>
                <w:snapToGrid/>
                <w:kern w:val="0"/>
                <w:szCs w:val="22"/>
              </w:rPr>
            </w:pPr>
          </w:p>
          <w:p w:rsidR="004974BC" w:rsidP="00933418">
            <w:pPr>
              <w:widowControl/>
              <w:rPr>
                <w:rFonts w:eastAsia="Calibri"/>
                <w:snapToGrid/>
                <w:kern w:val="0"/>
                <w:szCs w:val="22"/>
              </w:rPr>
            </w:pPr>
            <w:r>
              <w:rPr>
                <w:rFonts w:eastAsia="Calibri"/>
                <w:snapToGrid/>
                <w:kern w:val="0"/>
                <w:szCs w:val="22"/>
              </w:rPr>
              <w:t>97º25'58.9"</w:t>
            </w:r>
          </w:p>
          <w:p w:rsidR="004974BC" w:rsidP="00933418">
            <w:pPr>
              <w:widowControl/>
              <w:rPr>
                <w:rFonts w:eastAsia="Calibri"/>
                <w:snapToGrid/>
                <w:kern w:val="0"/>
                <w:szCs w:val="22"/>
              </w:rPr>
            </w:pPr>
            <w:r>
              <w:rPr>
                <w:rFonts w:eastAsia="Calibri"/>
                <w:snapToGrid/>
                <w:kern w:val="0"/>
                <w:szCs w:val="22"/>
              </w:rPr>
              <w:t>75º36'23.5"</w:t>
            </w:r>
          </w:p>
        </w:tc>
      </w:tr>
    </w:tbl>
    <w:p w:rsidR="004974BC" w:rsidP="004974BC">
      <w:pPr>
        <w:widowControl/>
        <w:spacing w:after="200" w:line="276" w:lineRule="auto"/>
        <w:rPr>
          <w:rFonts w:eastAsia="Calibri"/>
          <w:snapToGrid/>
          <w:kern w:val="0"/>
          <w:szCs w:val="22"/>
        </w:rPr>
      </w:pPr>
    </w:p>
    <w:p w:rsidR="004974BC" w:rsidP="004974BC">
      <w:pPr>
        <w:widowControl/>
        <w:spacing w:after="200" w:line="276" w:lineRule="auto"/>
        <w:rPr>
          <w:rFonts w:eastAsia="Calibri"/>
          <w:snapToGrid/>
          <w:kern w:val="0"/>
          <w:szCs w:val="22"/>
        </w:rPr>
      </w:pPr>
      <w:r>
        <w:rPr>
          <w:rFonts w:eastAsia="Calibri"/>
          <w:snapToGrid/>
          <w:kern w:val="0"/>
          <w:szCs w:val="22"/>
        </w:rPr>
        <w:t>* * *</w:t>
      </w:r>
    </w:p>
    <w:p w:rsidR="004974BC" w:rsidP="004974BC">
      <w:pPr>
        <w:widowControl/>
        <w:rPr>
          <w:szCs w:val="22"/>
        </w:rPr>
      </w:pPr>
      <w:r>
        <w:rPr>
          <w:szCs w:val="22"/>
        </w:rPr>
        <w:t xml:space="preserve">(63) Unless concurrence is obtained in accordance with section 90.175(b) of this chapter from the Commission-certified frequency coordinator for frequencies designated for central station alarm operations (central station alarm frequency coordinator), this frequency may be used within the boundaries of urbanized areas of 200,000 or more population, defined in the United States Census of Population, 1960, vol. 1, table 23, page 1-50, only by persons rendering a central station commercial protection service within the service area of the radio station using the frequency and may be used only for communications pertaining to safety of life and property, and for maintenance or testing of the protection facilities.  Central station commercial protection service is defined as an electrical protection and supervisory service rendered to the public from and by a central station accepted and certified by one or more of the recognized rating agencies, or the Underwriters Laboratories’ (UL), or Factory Mutual System.  Other stations in the Industrial/Business Pool may be licensed on this frequency without the central station alarm frequency coordinator’s concurrence only when all base, mobile relay and control stations are located at least 120 km (75 miles) from the city center or centers of the specified urban areas of 200,000 or more population.  With respect to combination urbanized areas containing more than one city, 120 km (75 mile) separation shall be maintained from each city center which is included in the urbanized area.  The locations of centers of cities are determined from appendix, page 226, of the U.S. Commerce publication “Air Line Distance Between Cities in the United States.”  </w:t>
      </w:r>
    </w:p>
    <w:p w:rsidR="004974BC" w:rsidP="004974BC">
      <w:pPr>
        <w:widowControl/>
        <w:rPr>
          <w:szCs w:val="22"/>
        </w:rPr>
      </w:pPr>
    </w:p>
    <w:p w:rsidR="004974BC" w:rsidP="004974BC">
      <w:pPr>
        <w:widowControl/>
        <w:rPr>
          <w:szCs w:val="22"/>
        </w:rPr>
      </w:pPr>
      <w:r>
        <w:rPr>
          <w:szCs w:val="22"/>
        </w:rPr>
        <w:t xml:space="preserve">(64) Persons who render a central station commercial protection service are authorized to operate fixed stations on this frequency for the transmission of tone or impulse signals on a co-primary basis to base/mobile operations.  Fixed stations may be licensed as mobiles.  Fixed stations used for central station alarm operations may use antennas mounted not more than 6.1 meters (20 feet) above a man-made supporting structure, including antenna structure. </w:t>
      </w:r>
    </w:p>
    <w:p w:rsidR="004974BC" w:rsidP="004974BC">
      <w:pPr>
        <w:widowControl/>
        <w:rPr>
          <w:szCs w:val="22"/>
        </w:rPr>
      </w:pPr>
    </w:p>
    <w:p w:rsidR="004974BC" w:rsidP="004974BC">
      <w:pPr>
        <w:widowControl/>
        <w:spacing w:after="200" w:line="276" w:lineRule="auto"/>
        <w:rPr>
          <w:rFonts w:eastAsia="Calibri"/>
          <w:snapToGrid/>
          <w:kern w:val="0"/>
          <w:szCs w:val="22"/>
        </w:rPr>
      </w:pPr>
      <w:r w:rsidRPr="004C323A">
        <w:rPr>
          <w:rFonts w:eastAsia="Calibri"/>
          <w:kern w:val="0"/>
        </w:rPr>
        <w:t>* * *</w:t>
      </w:r>
    </w:p>
    <w:p w:rsidR="004974BC" w:rsidP="004974BC">
      <w:pPr>
        <w:widowControl/>
        <w:rPr>
          <w:szCs w:val="22"/>
        </w:rPr>
      </w:pPr>
      <w:r>
        <w:rPr>
          <w:szCs w:val="22"/>
        </w:rPr>
        <w:t xml:space="preserve">(66) </w:t>
      </w:r>
      <w:bookmarkStart w:id="298" w:name="_Hlk516826851"/>
      <w:r>
        <w:rPr>
          <w:szCs w:val="22"/>
        </w:rPr>
        <w:t xml:space="preserve">Unless concurrence is obtained in accordance with section 90.175(b) of this chapter from the Commission-certified frequency coordinator for frequencies designated for central station alarm operations, </w:t>
      </w:r>
      <w:bookmarkEnd w:id="298"/>
      <w:r>
        <w:rPr>
          <w:szCs w:val="22"/>
        </w:rPr>
        <w:t>this frequency may be assigned only to persons rendering a central station commercial protection service, which is defined in paragraph (c)(63) of this section, within the service area of the radio station using the frequency.</w:t>
      </w:r>
    </w:p>
    <w:p w:rsidR="004974BC" w:rsidP="004974BC">
      <w:pPr>
        <w:widowControl/>
        <w:rPr>
          <w:szCs w:val="22"/>
        </w:rPr>
      </w:pPr>
    </w:p>
    <w:p w:rsidR="004974BC" w:rsidP="004974BC">
      <w:pPr>
        <w:widowControl/>
      </w:pPr>
      <w:r>
        <w:t xml:space="preserve">* * * * * </w:t>
      </w:r>
    </w:p>
    <w:p w:rsidR="004974BC" w:rsidP="004974BC">
      <w:pPr>
        <w:widowControl/>
      </w:pPr>
    </w:p>
    <w:p w:rsidR="004974BC" w:rsidRPr="0092168E" w:rsidP="004974BC">
      <w:pPr>
        <w:widowControl/>
        <w:spacing w:after="120"/>
      </w:pPr>
      <w:r w:rsidRPr="0092168E">
        <w:t>5.  Section 90.159 is amended by revising paragraphs (b), (b)(1), and (c) to read as follows:</w:t>
      </w:r>
    </w:p>
    <w:p w:rsidR="004974BC" w:rsidRPr="0092168E" w:rsidP="004974BC">
      <w:pPr>
        <w:widowControl/>
        <w:tabs>
          <w:tab w:val="center" w:pos="4680"/>
          <w:tab w:val="right" w:pos="9360"/>
        </w:tabs>
        <w:rPr>
          <w:b/>
        </w:rPr>
      </w:pPr>
      <w:r w:rsidRPr="0092168E">
        <w:rPr>
          <w:b/>
        </w:rPr>
        <w:t>§ 90.159 Temporary and conditional permits.</w:t>
      </w:r>
    </w:p>
    <w:p w:rsidR="004974BC" w:rsidRPr="0092168E" w:rsidP="004974BC">
      <w:pPr>
        <w:widowControl/>
        <w:tabs>
          <w:tab w:val="center" w:pos="4680"/>
          <w:tab w:val="right" w:pos="9360"/>
        </w:tabs>
        <w:rPr>
          <w:b/>
        </w:rPr>
      </w:pPr>
    </w:p>
    <w:p w:rsidR="004974BC" w:rsidRPr="001C13BA" w:rsidP="004974BC">
      <w:pPr>
        <w:widowControl/>
        <w:tabs>
          <w:tab w:val="center" w:pos="4680"/>
          <w:tab w:val="right" w:pos="9360"/>
        </w:tabs>
      </w:pPr>
      <w:r w:rsidRPr="001C13BA">
        <w:t>* * * * *</w:t>
      </w:r>
    </w:p>
    <w:p w:rsidR="004974BC" w:rsidRPr="0092168E" w:rsidP="004974BC">
      <w:pPr>
        <w:widowControl/>
        <w:tabs>
          <w:tab w:val="center" w:pos="4680"/>
          <w:tab w:val="right" w:pos="9360"/>
        </w:tabs>
        <w:rPr>
          <w:b/>
        </w:rPr>
      </w:pPr>
    </w:p>
    <w:p w:rsidR="004974BC" w:rsidRPr="0092168E" w:rsidP="004974BC">
      <w:pPr>
        <w:widowControl/>
        <w:tabs>
          <w:tab w:val="center" w:pos="4680"/>
          <w:tab w:val="right" w:pos="9360"/>
        </w:tabs>
      </w:pPr>
      <w:r w:rsidRPr="0092168E">
        <w:t xml:space="preserve">(b) An applicant proposing to operate a new land mobile radio station or modify an existing station below 470 MHz or in the </w:t>
      </w:r>
      <w:r w:rsidRPr="0092168E">
        <w:rPr>
          <w:szCs w:val="22"/>
        </w:rPr>
        <w:t>769-775/799-805 MHz band,</w:t>
      </w:r>
      <w:r w:rsidRPr="0092168E">
        <w:rPr>
          <w:b/>
          <w:szCs w:val="22"/>
        </w:rPr>
        <w:t xml:space="preserve"> </w:t>
      </w:r>
      <w:r w:rsidRPr="0092168E">
        <w:t xml:space="preserve">806-824/851-866 MHz band, or the one-way paging 929-930 MHz band (other than a commercial </w:t>
      </w:r>
      <w:r>
        <w:t xml:space="preserve">mobile </w:t>
      </w:r>
      <w:r w:rsidRPr="0092168E">
        <w:t>radio service applicant or licensee on these bands) that is required to submit a frequency coordination recommendation pursuant to paragraphs (b) through (h) of § 90.175 of this part may operate the proposed station during the pendency of its application for a period of up to one hundred eighty (180) days upon the filing of a properly completed formal Form 601 application that complies with § 90.127 of this part if the application is accompanied by evidence of frequency coordination in accordance with § 90.175 of this part and provided that the following conditions are satisfied:</w:t>
      </w:r>
    </w:p>
    <w:p w:rsidR="004974BC" w:rsidRPr="0092168E" w:rsidP="004974BC">
      <w:pPr>
        <w:widowControl/>
      </w:pPr>
    </w:p>
    <w:p w:rsidR="004974BC" w:rsidRPr="0092168E" w:rsidP="004974BC">
      <w:pPr>
        <w:widowControl/>
      </w:pPr>
      <w:r w:rsidRPr="0092168E">
        <w:t xml:space="preserve">(1) The proposed station location is west of Line C as defined in § 90.7, and (for applicants proposing to operate below 470 MHz or in the </w:t>
      </w:r>
      <w:r w:rsidRPr="0092168E">
        <w:rPr>
          <w:szCs w:val="22"/>
        </w:rPr>
        <w:t>769-775/799-805 MHz band</w:t>
      </w:r>
      <w:r>
        <w:rPr>
          <w:szCs w:val="22"/>
        </w:rPr>
        <w:t xml:space="preserve"> or</w:t>
      </w:r>
      <w:r w:rsidRPr="0092168E">
        <w:rPr>
          <w:szCs w:val="22"/>
        </w:rPr>
        <w:t xml:space="preserve"> the </w:t>
      </w:r>
      <w:r>
        <w:t>806-824/851-866 MHz band</w:t>
      </w:r>
      <w:r w:rsidRPr="0092168E">
        <w:t>) south of Line A as defined in § 90.7.</w:t>
      </w:r>
      <w:bookmarkStart w:id="299" w:name="_Hlk516825719"/>
    </w:p>
    <w:p w:rsidR="004974BC" w:rsidRPr="0092168E" w:rsidP="004974BC">
      <w:pPr>
        <w:widowControl/>
      </w:pPr>
    </w:p>
    <w:p w:rsidR="004974BC" w:rsidRPr="0092168E" w:rsidP="004974BC">
      <w:pPr>
        <w:widowControl/>
      </w:pPr>
      <w:r w:rsidRPr="0092168E">
        <w:t>* * *</w:t>
      </w:r>
    </w:p>
    <w:p w:rsidR="004974BC" w:rsidRPr="0092168E" w:rsidP="004974BC">
      <w:pPr>
        <w:widowControl/>
        <w:spacing w:before="120" w:after="120"/>
        <w:rPr>
          <w:bCs/>
          <w:szCs w:val="22"/>
        </w:rPr>
      </w:pPr>
      <w:bookmarkEnd w:id="299"/>
      <w:r w:rsidRPr="0092168E">
        <w:rPr>
          <w:bCs/>
          <w:szCs w:val="22"/>
        </w:rPr>
        <w:t xml:space="preserve">(c) An applicant proposing to operate an itinerant station or an applicant seeking the assignment of authorization or transfer of control for an existing station below 470 MHz or in the 769-775/799-805 MHz, the 806-824/851-866 MHz band, or the one-way paging 929-930 MHz band (other than a commercial </w:t>
      </w:r>
      <w:r>
        <w:rPr>
          <w:bCs/>
          <w:szCs w:val="22"/>
        </w:rPr>
        <w:t xml:space="preserve">mobile </w:t>
      </w:r>
      <w:r w:rsidRPr="0092168E">
        <w:rPr>
          <w:bCs/>
          <w:szCs w:val="22"/>
        </w:rPr>
        <w:t>radio service applicant or licensee on these bands) may operate the proposed station during the pendency of its application for a period of up to one hundred eighty (180) days upon the filing of a properly completed formal Form 601 application that complies with § 90.127 of this part.  Conditional authority ceases immediately if the application is dismissed by the Commission.  All other categories of applications listed in § 90.175 of this part that do not require evidence of frequency coordination are excluded from the provisions of this section.</w:t>
      </w:r>
    </w:p>
    <w:p w:rsidR="004974BC" w:rsidRPr="0092168E" w:rsidP="004974BC">
      <w:pPr>
        <w:widowControl/>
        <w:rPr>
          <w:b/>
        </w:rPr>
      </w:pPr>
      <w:r w:rsidRPr="0092168E">
        <w:t>* * * * *</w:t>
      </w:r>
    </w:p>
    <w:p w:rsidR="004974BC" w:rsidRPr="0092168E" w:rsidP="004974BC">
      <w:pPr>
        <w:widowControl/>
        <w:rPr>
          <w:b/>
        </w:rPr>
      </w:pPr>
    </w:p>
    <w:p w:rsidR="004974BC" w:rsidRPr="0092168E" w:rsidP="004974BC">
      <w:pPr>
        <w:widowControl/>
        <w:spacing w:after="120"/>
        <w:rPr>
          <w:szCs w:val="22"/>
        </w:rPr>
      </w:pPr>
      <w:r w:rsidRPr="0092168E">
        <w:rPr>
          <w:szCs w:val="22"/>
        </w:rPr>
        <w:t xml:space="preserve">6.  Section 90.175 </w:t>
      </w:r>
      <w:r>
        <w:rPr>
          <w:szCs w:val="22"/>
        </w:rPr>
        <w:t>is</w:t>
      </w:r>
      <w:r w:rsidRPr="0092168E">
        <w:rPr>
          <w:szCs w:val="22"/>
        </w:rPr>
        <w:t xml:space="preserve"> amended </w:t>
      </w:r>
      <w:r>
        <w:rPr>
          <w:szCs w:val="22"/>
        </w:rPr>
        <w:t>by revising p</w:t>
      </w:r>
      <w:r w:rsidRPr="0092168E">
        <w:rPr>
          <w:szCs w:val="22"/>
        </w:rPr>
        <w:t>aragraph</w:t>
      </w:r>
      <w:r>
        <w:rPr>
          <w:szCs w:val="22"/>
        </w:rPr>
        <w:t>s</w:t>
      </w:r>
      <w:r w:rsidRPr="0092168E">
        <w:rPr>
          <w:szCs w:val="22"/>
        </w:rPr>
        <w:t xml:space="preserve"> </w:t>
      </w:r>
      <w:r>
        <w:rPr>
          <w:szCs w:val="22"/>
        </w:rPr>
        <w:t xml:space="preserve">(b)(1), (b)(2), and </w:t>
      </w:r>
      <w:r w:rsidRPr="0092168E">
        <w:rPr>
          <w:szCs w:val="22"/>
        </w:rPr>
        <w:t xml:space="preserve">(e) </w:t>
      </w:r>
      <w:r>
        <w:rPr>
          <w:szCs w:val="22"/>
        </w:rPr>
        <w:t xml:space="preserve">and adding paragraph (k) </w:t>
      </w:r>
      <w:r w:rsidRPr="0092168E">
        <w:rPr>
          <w:szCs w:val="22"/>
        </w:rPr>
        <w:t>to read as follows:</w:t>
      </w:r>
    </w:p>
    <w:p w:rsidR="004974BC" w:rsidRPr="0092168E" w:rsidP="004974BC">
      <w:pPr>
        <w:widowControl/>
        <w:spacing w:after="120"/>
        <w:rPr>
          <w:szCs w:val="22"/>
        </w:rPr>
      </w:pPr>
      <w:r w:rsidRPr="0092168E">
        <w:rPr>
          <w:b/>
          <w:szCs w:val="22"/>
        </w:rPr>
        <w:t>§ 90.175   Frequency coordinator requirements.</w:t>
      </w:r>
    </w:p>
    <w:p w:rsidR="004974BC" w:rsidP="004974BC">
      <w:pPr>
        <w:widowControl/>
        <w:tabs>
          <w:tab w:val="left" w:pos="720"/>
        </w:tabs>
        <w:rPr>
          <w:szCs w:val="22"/>
        </w:rPr>
      </w:pPr>
    </w:p>
    <w:p w:rsidR="004974BC" w:rsidP="004974BC">
      <w:pPr>
        <w:widowControl/>
        <w:tabs>
          <w:tab w:val="left" w:pos="720"/>
        </w:tabs>
      </w:pPr>
      <w:r w:rsidRPr="0092168E">
        <w:t>* * * * *</w:t>
      </w:r>
    </w:p>
    <w:p w:rsidR="004974BC" w:rsidP="004974BC">
      <w:pPr>
        <w:widowControl/>
        <w:tabs>
          <w:tab w:val="left" w:pos="720"/>
        </w:tabs>
        <w:ind w:left="720"/>
      </w:pPr>
    </w:p>
    <w:p w:rsidR="004974BC" w:rsidP="004974BC">
      <w:pPr>
        <w:widowControl/>
      </w:pPr>
      <w:r>
        <w:t xml:space="preserve">(b) </w:t>
      </w:r>
      <w:r w:rsidRPr="0092168E">
        <w:t>* * *</w:t>
      </w:r>
      <w:r>
        <w:t xml:space="preserve">  (1) </w:t>
      </w:r>
      <w:r w:rsidRPr="007F2675">
        <w:t xml:space="preserve">A statement is required from the applicable frequency coordinator as specified in </w:t>
      </w:r>
      <w:bookmarkStart w:id="300" w:name="_Hlk516825909"/>
      <w:r w:rsidRPr="007F2675">
        <w:t xml:space="preserve">§§ 90.20(c)(2) and 90.35(b) </w:t>
      </w:r>
      <w:bookmarkEnd w:id="300"/>
      <w:r w:rsidRPr="007F2675">
        <w:t xml:space="preserve">recommending the most appropriate frequency. </w:t>
      </w:r>
      <w:r>
        <w:t xml:space="preserve"> In addition, for frequencies to which §</w:t>
      </w:r>
      <w:r w:rsidRPr="007F2675">
        <w:t xml:space="preserve"> 90.</w:t>
      </w:r>
      <w:r>
        <w:t>35</w:t>
      </w:r>
      <w:r w:rsidRPr="007F2675">
        <w:t>(c)(</w:t>
      </w:r>
      <w:r>
        <w:t>63</w:t>
      </w:r>
      <w:r w:rsidRPr="007F2675">
        <w:t xml:space="preserve">) </w:t>
      </w:r>
      <w:r>
        <w:t xml:space="preserve">or </w:t>
      </w:r>
      <w:r w:rsidRPr="007F2675">
        <w:t>(</w:t>
      </w:r>
      <w:r>
        <w:t>66</w:t>
      </w:r>
      <w:r w:rsidRPr="007F2675">
        <w:t>)</w:t>
      </w:r>
      <w:r>
        <w:t xml:space="preserve"> is applicable, </w:t>
      </w:r>
      <w:r w:rsidRPr="007F2675">
        <w:t xml:space="preserve">the written concurrence of the </w:t>
      </w:r>
      <w:r>
        <w:rPr>
          <w:szCs w:val="22"/>
        </w:rPr>
        <w:t xml:space="preserve">Commission-certified frequency coordinator for frequencies designated for central station alarm operations must be obtained.  </w:t>
      </w:r>
      <w:r w:rsidRPr="007F2675">
        <w:t xml:space="preserve">In addition, for frequencies above 150 MHz, if the interference contour of a proposed station would overlap the service contour of a station on a frequency formerly shared prior to radio service consolidation by licensees in the Manufacturers Radio Service, the Forest Products Radio Service, the Power Radio Service, the Petroleum Radio Service, the Motor Carrier Radio Service, the Railroad Radio Service, the Telephone Maintenance Radio Service or the Automobile Emergency Radio Service, the written concurrence of the coordinator for the industry-specific service, or the written concurrence of the licensee itself, must be obtained. </w:t>
      </w:r>
      <w:r>
        <w:t xml:space="preserve"> </w:t>
      </w:r>
      <w:r w:rsidRPr="007F2675">
        <w:t xml:space="preserve">Requests for concurrence must be responded to within 20 days of receipt of the request. The written request for concurrence shall advise the receiving party of the maximum 20 day response period. </w:t>
      </w:r>
      <w:r>
        <w:t xml:space="preserve"> </w:t>
      </w:r>
      <w:r w:rsidRPr="007F2675">
        <w:t xml:space="preserve">The coordinator's recommendation may include comments on technical factors such as </w:t>
      </w:r>
      <w:r w:rsidRPr="007F2675">
        <w:t>power, antenna height and gain, terrain and other factors which may serve to minimize potential interference. In addition:</w:t>
      </w:r>
    </w:p>
    <w:p w:rsidR="004974BC" w:rsidP="004974BC">
      <w:pPr>
        <w:widowControl/>
      </w:pPr>
    </w:p>
    <w:p w:rsidR="004974BC" w:rsidRPr="0092168E" w:rsidP="004974BC">
      <w:pPr>
        <w:widowControl/>
      </w:pPr>
      <w:r>
        <w:t xml:space="preserve">(2) </w:t>
      </w:r>
      <w:r w:rsidRPr="007F2675">
        <w:t xml:space="preserve">On frequencies designated for coordination or concurrence by a specific frequency coordinator as specified in §§ 90.20(c)(3) and 90.35(b), </w:t>
      </w:r>
      <w:r>
        <w:t>and on frequencies designated for concurrence as specified in §</w:t>
      </w:r>
      <w:r w:rsidRPr="007F2675">
        <w:t xml:space="preserve"> 90.</w:t>
      </w:r>
      <w:r>
        <w:t>35</w:t>
      </w:r>
      <w:r w:rsidRPr="007F2675">
        <w:t>(c)(</w:t>
      </w:r>
      <w:r>
        <w:t>63</w:t>
      </w:r>
      <w:r w:rsidRPr="007F2675">
        <w:t xml:space="preserve">) </w:t>
      </w:r>
      <w:r>
        <w:t xml:space="preserve">or </w:t>
      </w:r>
      <w:r w:rsidRPr="007F2675">
        <w:t>(</w:t>
      </w:r>
      <w:r>
        <w:t>66</w:t>
      </w:r>
      <w:r w:rsidRPr="007F2675">
        <w:t>)</w:t>
      </w:r>
      <w:r>
        <w:t xml:space="preserve">, </w:t>
      </w:r>
      <w:r w:rsidRPr="007F2675">
        <w:t xml:space="preserve">the applicable frequency coordinator shall provide a written supporting statement in instances in which coordination or concurrence is denied. </w:t>
      </w:r>
      <w:r>
        <w:t xml:space="preserve"> </w:t>
      </w:r>
      <w:r w:rsidRPr="007F2675">
        <w:t xml:space="preserve">The supporting statement shall contain sufficient detail to permit discernment of the technical basis for the denial of concurrence. </w:t>
      </w:r>
      <w:r>
        <w:t xml:space="preserve"> </w:t>
      </w:r>
      <w:r w:rsidRPr="007F2675">
        <w:t>Concurrence may be denied only when a grant of the underlying application would have a demonstrable, material, adverse effect on safety.</w:t>
      </w:r>
    </w:p>
    <w:p w:rsidR="004974BC" w:rsidRPr="0092168E" w:rsidP="004974BC">
      <w:pPr>
        <w:widowControl/>
      </w:pPr>
    </w:p>
    <w:p w:rsidR="004974BC" w:rsidRPr="0092168E" w:rsidP="004974BC">
      <w:pPr>
        <w:widowControl/>
      </w:pPr>
      <w:r w:rsidRPr="0092168E">
        <w:t>* * *</w:t>
      </w:r>
    </w:p>
    <w:p w:rsidR="004974BC" w:rsidRPr="0092168E" w:rsidP="004974BC">
      <w:pPr>
        <w:widowControl/>
        <w:autoSpaceDE w:val="0"/>
        <w:autoSpaceDN w:val="0"/>
        <w:adjustRightInd w:val="0"/>
        <w:rPr>
          <w:szCs w:val="22"/>
        </w:rPr>
      </w:pPr>
    </w:p>
    <w:p w:rsidR="004974BC" w:rsidP="004974BC">
      <w:pPr>
        <w:widowControl/>
        <w:autoSpaceDE w:val="0"/>
        <w:autoSpaceDN w:val="0"/>
        <w:adjustRightInd w:val="0"/>
        <w:rPr>
          <w:bCs/>
          <w:szCs w:val="22"/>
        </w:rPr>
      </w:pPr>
      <w:r w:rsidRPr="0092168E">
        <w:rPr>
          <w:szCs w:val="22"/>
        </w:rPr>
        <w:t xml:space="preserve">(e) For frequencies between </w:t>
      </w:r>
      <w:r w:rsidRPr="0092168E">
        <w:rPr>
          <w:i/>
          <w:szCs w:val="22"/>
        </w:rPr>
        <w:t>470-512 MHz, 769-775/799-805 MHz, 806-824/851-869 MHz and 896-901/935-940 MHz</w:t>
      </w:r>
      <w:r w:rsidRPr="0092168E">
        <w:rPr>
          <w:szCs w:val="22"/>
        </w:rPr>
        <w:t xml:space="preserve">: A recommendation of the specific frequencies that are available for assignment in accordance with the loading standards and mileage separations applicable to the specific radio service, frequency pool, or category of user involved is required from an applicable frequency coordinator.  In addition, a frequency coordinator must perform the contour overlap analysis detailed in § 90.621(d) when coordinating applications for channels in the </w:t>
      </w:r>
      <w:r w:rsidRPr="0092168E">
        <w:t xml:space="preserve">809-817 MHz / 854-862 MHz band segment once interstitial 12.5 kHz bandwidth channels become available for licensing in a </w:t>
      </w:r>
      <w:r w:rsidRPr="0092168E">
        <w:rPr>
          <w:bCs/>
          <w:szCs w:val="22"/>
        </w:rPr>
        <w:t>National Public Safety Planning Advisory Committee region.</w:t>
      </w:r>
    </w:p>
    <w:p w:rsidR="004974BC" w:rsidP="004974BC">
      <w:pPr>
        <w:widowControl/>
        <w:autoSpaceDE w:val="0"/>
        <w:autoSpaceDN w:val="0"/>
        <w:adjustRightInd w:val="0"/>
        <w:rPr>
          <w:bCs/>
          <w:szCs w:val="22"/>
        </w:rPr>
      </w:pPr>
    </w:p>
    <w:p w:rsidR="004974BC" w:rsidP="004974BC">
      <w:pPr>
        <w:widowControl/>
        <w:autoSpaceDE w:val="0"/>
        <w:autoSpaceDN w:val="0"/>
        <w:adjustRightInd w:val="0"/>
        <w:rPr>
          <w:bCs/>
          <w:szCs w:val="22"/>
        </w:rPr>
      </w:pPr>
      <w:r w:rsidRPr="000C4622">
        <w:rPr>
          <w:bCs/>
          <w:szCs w:val="22"/>
        </w:rPr>
        <w:t>* * *</w:t>
      </w:r>
    </w:p>
    <w:p w:rsidR="004974BC" w:rsidP="004974BC">
      <w:pPr>
        <w:widowControl/>
        <w:autoSpaceDE w:val="0"/>
        <w:autoSpaceDN w:val="0"/>
        <w:adjustRightInd w:val="0"/>
        <w:rPr>
          <w:bCs/>
          <w:szCs w:val="22"/>
        </w:rPr>
      </w:pPr>
    </w:p>
    <w:p w:rsidR="004974BC" w:rsidRPr="000C4622" w:rsidP="004974BC">
      <w:pPr>
        <w:widowControl/>
        <w:autoSpaceDE w:val="0"/>
        <w:autoSpaceDN w:val="0"/>
        <w:adjustRightInd w:val="0"/>
        <w:rPr>
          <w:bCs/>
          <w:szCs w:val="22"/>
        </w:rPr>
      </w:pPr>
      <w:r>
        <w:rPr>
          <w:bCs/>
          <w:szCs w:val="22"/>
        </w:rPr>
        <w:t xml:space="preserve">(k) </w:t>
      </w:r>
      <w:r>
        <w:rPr>
          <w:bCs/>
          <w:i/>
          <w:szCs w:val="22"/>
        </w:rPr>
        <w:t>Compliance date</w:t>
      </w:r>
      <w:r>
        <w:rPr>
          <w:bCs/>
          <w:szCs w:val="22"/>
        </w:rPr>
        <w:t xml:space="preserve">.  Paragraphs (b) and (e) of this section contain information-collection and recordkeeping requirements.  Compliance will not be required until after approval by the Office of Management and Budget.  The Commission will publish a document in the </w:t>
      </w:r>
      <w:r>
        <w:rPr>
          <w:bCs/>
          <w:i/>
          <w:szCs w:val="22"/>
        </w:rPr>
        <w:t>Federal Register</w:t>
      </w:r>
      <w:r>
        <w:rPr>
          <w:bCs/>
          <w:szCs w:val="22"/>
        </w:rPr>
        <w:t xml:space="preserve"> announcing that compliance date and revising this paragraph accordingly.</w:t>
      </w:r>
    </w:p>
    <w:p w:rsidR="004974BC" w:rsidRPr="0092168E" w:rsidP="004974BC">
      <w:pPr>
        <w:widowControl/>
        <w:autoSpaceDE w:val="0"/>
        <w:autoSpaceDN w:val="0"/>
        <w:adjustRightInd w:val="0"/>
        <w:ind w:firstLine="720"/>
        <w:rPr>
          <w:bCs/>
          <w:szCs w:val="22"/>
        </w:rPr>
      </w:pPr>
    </w:p>
    <w:p w:rsidR="004974BC" w:rsidRPr="0092168E" w:rsidP="004974BC">
      <w:pPr>
        <w:widowControl/>
        <w:autoSpaceDE w:val="0"/>
        <w:autoSpaceDN w:val="0"/>
        <w:adjustRightInd w:val="0"/>
      </w:pPr>
      <w:r w:rsidRPr="0092168E">
        <w:t>* * * * *</w:t>
      </w:r>
    </w:p>
    <w:p w:rsidR="004974BC" w:rsidRPr="0092168E" w:rsidP="004974BC">
      <w:pPr>
        <w:widowControl/>
        <w:ind w:left="360"/>
        <w:contextualSpacing/>
        <w:rPr>
          <w:szCs w:val="22"/>
        </w:rPr>
      </w:pPr>
    </w:p>
    <w:p w:rsidR="004974BC" w:rsidRPr="0092168E" w:rsidP="004974BC">
      <w:pPr>
        <w:widowControl/>
        <w:spacing w:after="120"/>
        <w:rPr>
          <w:szCs w:val="22"/>
        </w:rPr>
      </w:pPr>
      <w:r w:rsidRPr="0092168E">
        <w:rPr>
          <w:szCs w:val="22"/>
        </w:rPr>
        <w:t>7.  Section 90.209 is amended by amending the table in paragraph (b)(5), amending footnote 6 to the table in paragraph (b)(5) and adding a new paragraph (b)(8) as follows:</w:t>
      </w:r>
    </w:p>
    <w:p w:rsidR="004974BC" w:rsidRPr="0092168E" w:rsidP="004974BC">
      <w:pPr>
        <w:widowControl/>
        <w:tabs>
          <w:tab w:val="left" w:pos="720"/>
        </w:tabs>
        <w:rPr>
          <w:b/>
        </w:rPr>
      </w:pPr>
      <w:r w:rsidRPr="0092168E">
        <w:rPr>
          <w:b/>
        </w:rPr>
        <w:t>§ 90.209 Bandwidth limitations.</w:t>
      </w:r>
    </w:p>
    <w:p w:rsidR="004974BC" w:rsidRPr="0092168E" w:rsidP="004974BC">
      <w:pPr>
        <w:widowControl/>
        <w:tabs>
          <w:tab w:val="left" w:pos="720"/>
        </w:tabs>
        <w:ind w:left="720"/>
      </w:pPr>
      <w:r w:rsidRPr="0092168E">
        <w:tab/>
      </w:r>
    </w:p>
    <w:p w:rsidR="004974BC" w:rsidRPr="0092168E" w:rsidP="004974BC">
      <w:pPr>
        <w:widowControl/>
        <w:tabs>
          <w:tab w:val="left" w:pos="720"/>
        </w:tabs>
      </w:pPr>
      <w:r w:rsidRPr="0092168E">
        <w:t>* * * * *</w:t>
      </w:r>
    </w:p>
    <w:p w:rsidR="004974BC" w:rsidRPr="0092168E" w:rsidP="004974BC">
      <w:pPr>
        <w:widowControl/>
        <w:tabs>
          <w:tab w:val="left" w:pos="720"/>
        </w:tabs>
        <w:ind w:left="720"/>
      </w:pPr>
      <w:r w:rsidRPr="0092168E">
        <w:tab/>
        <w:t xml:space="preserve"> (5) * * *</w:t>
      </w:r>
    </w:p>
    <w:p w:rsidR="004974BC" w:rsidRPr="00935433" w:rsidP="004974BC">
      <w:pPr>
        <w:rPr>
          <w:rFonts w:eastAsia="Calibri"/>
          <w:snapToGrid/>
          <w:kern w:val="0"/>
          <w:szCs w:val="22"/>
        </w:rPr>
      </w:pPr>
      <w:r w:rsidRPr="008F1BBA">
        <w:rPr>
          <w:bCs/>
          <w:szCs w:val="22"/>
        </w:rPr>
        <w:t>STANDARD CHANNEL SPACING/BANDWIDTH</w:t>
      </w:r>
      <w:r w:rsidRPr="00935433">
        <w:rPr>
          <w:rFonts w:eastAsia="Calibri"/>
          <w:snapToGrid/>
          <w:kern w:val="0"/>
          <w:szCs w:val="22"/>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4"/>
        <w:gridCol w:w="3074"/>
        <w:gridCol w:w="3712"/>
      </w:tblGrid>
      <w:tr w:rsidTr="00933418">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0" w:type="auto"/>
            <w:tcBorders>
              <w:top w:val="single" w:sz="8" w:space="0" w:color="000000"/>
              <w:left w:val="single" w:sz="8" w:space="0" w:color="000000"/>
              <w:bottom w:val="single" w:sz="8" w:space="0" w:color="000000"/>
              <w:right w:val="single" w:sz="8" w:space="0" w:color="000000"/>
            </w:tcBorders>
            <w:tcMar>
              <w:top w:w="120" w:type="dxa"/>
              <w:left w:w="15" w:type="dxa"/>
              <w:bottom w:w="15" w:type="dxa"/>
              <w:right w:w="15" w:type="dxa"/>
            </w:tcMar>
            <w:vAlign w:val="bottom"/>
            <w:hideMark/>
          </w:tcPr>
          <w:p w:rsidR="004974BC" w:rsidRPr="00935433" w:rsidP="00933418">
            <w:pPr>
              <w:widowControl/>
              <w:rPr>
                <w:rFonts w:eastAsia="Calibri"/>
                <w:snapToGrid/>
                <w:kern w:val="0"/>
                <w:szCs w:val="22"/>
              </w:rPr>
            </w:pPr>
            <w:r w:rsidRPr="00935433">
              <w:rPr>
                <w:rFonts w:eastAsia="Calibri"/>
                <w:snapToGrid/>
                <w:kern w:val="0"/>
                <w:szCs w:val="22"/>
              </w:rPr>
              <w:t>Frequency band (MHz)</w:t>
            </w:r>
          </w:p>
        </w:tc>
        <w:tc>
          <w:tcPr>
            <w:tcW w:w="0" w:type="auto"/>
            <w:tcBorders>
              <w:top w:val="single" w:sz="8" w:space="0" w:color="000000"/>
              <w:left w:val="nil"/>
              <w:bottom w:val="single" w:sz="8" w:space="0" w:color="000000"/>
              <w:right w:val="single" w:sz="8" w:space="0" w:color="000000"/>
            </w:tcBorders>
            <w:tcMar>
              <w:top w:w="120" w:type="dxa"/>
              <w:left w:w="15" w:type="dxa"/>
              <w:bottom w:w="15" w:type="dxa"/>
              <w:right w:w="15" w:type="dxa"/>
            </w:tcMar>
            <w:vAlign w:val="bottom"/>
            <w:hideMark/>
          </w:tcPr>
          <w:p w:rsidR="004974BC" w:rsidRPr="00935433" w:rsidP="00933418">
            <w:pPr>
              <w:widowControl/>
              <w:rPr>
                <w:rFonts w:eastAsia="Calibri"/>
                <w:snapToGrid/>
                <w:kern w:val="0"/>
                <w:szCs w:val="22"/>
              </w:rPr>
            </w:pPr>
            <w:r w:rsidRPr="00935433">
              <w:rPr>
                <w:rFonts w:eastAsia="Calibri"/>
                <w:snapToGrid/>
                <w:kern w:val="0"/>
                <w:szCs w:val="22"/>
              </w:rPr>
              <w:t>Channel spacing (kilohertz)</w:t>
            </w:r>
          </w:p>
        </w:tc>
        <w:tc>
          <w:tcPr>
            <w:tcW w:w="0" w:type="auto"/>
            <w:tcBorders>
              <w:top w:val="single" w:sz="8" w:space="0" w:color="000000"/>
              <w:left w:val="nil"/>
              <w:bottom w:val="single" w:sz="8" w:space="0" w:color="000000"/>
              <w:right w:val="single" w:sz="8" w:space="0" w:color="000000"/>
            </w:tcBorders>
            <w:tcMar>
              <w:top w:w="120" w:type="dxa"/>
              <w:left w:w="15" w:type="dxa"/>
              <w:bottom w:w="15" w:type="dxa"/>
              <w:right w:w="15" w:type="dxa"/>
            </w:tcMar>
            <w:vAlign w:val="bottom"/>
            <w:hideMark/>
          </w:tcPr>
          <w:p w:rsidR="004974BC" w:rsidRPr="00935433" w:rsidP="00933418">
            <w:pPr>
              <w:widowControl/>
              <w:rPr>
                <w:rFonts w:eastAsia="Calibri"/>
                <w:snapToGrid/>
                <w:kern w:val="0"/>
                <w:szCs w:val="22"/>
              </w:rPr>
            </w:pPr>
            <w:r w:rsidRPr="00935433">
              <w:rPr>
                <w:rFonts w:eastAsia="Calibri"/>
                <w:snapToGrid/>
                <w:kern w:val="0"/>
                <w:szCs w:val="22"/>
              </w:rPr>
              <w:t>Authorized bandwidth (kilohertz)</w:t>
            </w:r>
          </w:p>
        </w:tc>
      </w:tr>
      <w:tr w:rsidTr="00933418">
        <w:tblPrEx>
          <w:tblW w:w="5000" w:type="pct"/>
          <w:tblCellMar>
            <w:left w:w="0" w:type="dxa"/>
            <w:right w:w="0" w:type="dxa"/>
          </w:tblCellMar>
          <w:tblLook w:val="04A0"/>
        </w:tblPrEx>
        <w:tc>
          <w:tcPr>
            <w:tcW w:w="0" w:type="auto"/>
            <w:tcBorders>
              <w:top w:val="nil"/>
              <w:left w:val="single" w:sz="8" w:space="0" w:color="000000"/>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 * *</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 * *</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 * *</w:t>
            </w:r>
          </w:p>
        </w:tc>
      </w:tr>
      <w:tr w:rsidTr="00933418">
        <w:tblPrEx>
          <w:tblW w:w="5000" w:type="pct"/>
          <w:tblCellMar>
            <w:left w:w="0" w:type="dxa"/>
            <w:right w:w="0" w:type="dxa"/>
          </w:tblCellMar>
          <w:tblLook w:val="04A0"/>
        </w:tblPrEx>
        <w:tc>
          <w:tcPr>
            <w:tcW w:w="0" w:type="auto"/>
            <w:tcBorders>
              <w:top w:val="nil"/>
              <w:left w:val="single" w:sz="8" w:space="0" w:color="000000"/>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809–817/854–862</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12.5</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vertAlign w:val="superscript"/>
              </w:rPr>
              <w:t>6</w:t>
            </w:r>
            <w:r w:rsidRPr="00935433">
              <w:rPr>
                <w:rFonts w:eastAsia="Calibri"/>
                <w:snapToGrid/>
                <w:kern w:val="0"/>
                <w:szCs w:val="22"/>
              </w:rPr>
              <w:t>20/11.25</w:t>
            </w:r>
          </w:p>
        </w:tc>
      </w:tr>
      <w:tr w:rsidTr="00933418">
        <w:tblPrEx>
          <w:tblW w:w="5000" w:type="pct"/>
          <w:tblCellMar>
            <w:left w:w="0" w:type="dxa"/>
            <w:right w:w="0" w:type="dxa"/>
          </w:tblCellMar>
          <w:tblLook w:val="04A0"/>
        </w:tblPrEx>
        <w:tc>
          <w:tcPr>
            <w:tcW w:w="0" w:type="auto"/>
            <w:tcBorders>
              <w:top w:val="nil"/>
              <w:left w:val="single" w:sz="8" w:space="0" w:color="000000"/>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817–824/862–869</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25</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20</w:t>
            </w:r>
          </w:p>
        </w:tc>
      </w:tr>
      <w:tr w:rsidTr="00933418">
        <w:tblPrEx>
          <w:tblW w:w="5000" w:type="pct"/>
          <w:tblCellMar>
            <w:left w:w="0" w:type="dxa"/>
            <w:right w:w="0" w:type="dxa"/>
          </w:tblCellMar>
          <w:tblLook w:val="04A0"/>
        </w:tblPrEx>
        <w:tc>
          <w:tcPr>
            <w:tcW w:w="0" w:type="auto"/>
            <w:tcBorders>
              <w:top w:val="nil"/>
              <w:left w:val="single" w:sz="8" w:space="0" w:color="000000"/>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 * *</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 * *</w:t>
            </w:r>
          </w:p>
        </w:tc>
        <w:tc>
          <w:tcPr>
            <w:tcW w:w="0" w:type="auto"/>
            <w:tcBorders>
              <w:top w:val="nil"/>
              <w:left w:val="nil"/>
              <w:bottom w:val="single" w:sz="8" w:space="0" w:color="000000"/>
              <w:right w:val="single" w:sz="8" w:space="0" w:color="000000"/>
            </w:tcBorders>
            <w:tcMar>
              <w:top w:w="120" w:type="dxa"/>
              <w:left w:w="15" w:type="dxa"/>
              <w:bottom w:w="15" w:type="dxa"/>
              <w:right w:w="15" w:type="dxa"/>
            </w:tcMar>
            <w:hideMark/>
          </w:tcPr>
          <w:p w:rsidR="004974BC" w:rsidRPr="00935433" w:rsidP="00933418">
            <w:pPr>
              <w:widowControl/>
              <w:rPr>
                <w:rFonts w:eastAsia="Calibri"/>
                <w:snapToGrid/>
                <w:kern w:val="0"/>
                <w:szCs w:val="22"/>
              </w:rPr>
            </w:pPr>
            <w:r w:rsidRPr="00935433">
              <w:rPr>
                <w:rFonts w:eastAsia="Calibri"/>
                <w:snapToGrid/>
                <w:kern w:val="0"/>
                <w:szCs w:val="22"/>
              </w:rPr>
              <w:t>* * *</w:t>
            </w:r>
          </w:p>
        </w:tc>
      </w:tr>
    </w:tbl>
    <w:p w:rsidR="004974BC" w:rsidRPr="00935433" w:rsidP="004974BC">
      <w:pPr>
        <w:widowControl/>
        <w:rPr>
          <w:rFonts w:eastAsia="Calibri"/>
          <w:snapToGrid/>
          <w:kern w:val="0"/>
          <w:szCs w:val="22"/>
        </w:rPr>
      </w:pPr>
      <w:r w:rsidRPr="00935433">
        <w:rPr>
          <w:rFonts w:eastAsia="Calibri"/>
          <w:snapToGrid/>
          <w:kern w:val="0"/>
          <w:szCs w:val="22"/>
        </w:rPr>
        <w:t> </w:t>
      </w:r>
    </w:p>
    <w:p w:rsidR="004974BC" w:rsidRPr="00D25E3F" w:rsidP="00D25E3F">
      <w:pPr>
        <w:widowControl/>
        <w:autoSpaceDE w:val="0"/>
        <w:autoSpaceDN w:val="0"/>
        <w:adjustRightInd w:val="0"/>
      </w:pPr>
      <w:r w:rsidRPr="0092168E">
        <w:t>* * * * *</w:t>
      </w:r>
    </w:p>
    <w:p w:rsidR="004974BC" w:rsidRPr="00D25E3F" w:rsidP="00D25E3F">
      <w:pPr>
        <w:widowControl/>
        <w:autoSpaceDE w:val="0"/>
        <w:autoSpaceDN w:val="0"/>
        <w:adjustRightInd w:val="0"/>
      </w:pPr>
    </w:p>
    <w:p w:rsidR="004974BC" w:rsidRPr="0092168E" w:rsidP="004974BC">
      <w:pPr>
        <w:widowControl/>
        <w:autoSpaceDE w:val="0"/>
        <w:autoSpaceDN w:val="0"/>
        <w:adjustRightInd w:val="0"/>
        <w:ind w:firstLine="720"/>
      </w:pPr>
      <w:r w:rsidRPr="0092168E">
        <w:rPr>
          <w:vertAlign w:val="superscript"/>
        </w:rPr>
        <w:t>6</w:t>
      </w:r>
      <w:r w:rsidRPr="0092168E">
        <w:t xml:space="preserve"> </w:t>
      </w:r>
      <w:r w:rsidRPr="0092168E">
        <w:rPr>
          <w:color w:val="010101"/>
        </w:rPr>
        <w:t xml:space="preserve">Operations using equipment designed to operate with a 25 kilohertz channel bandwidth may be authorized up to a 20 kilohertz bandwidth unless the equipment meets the Adjacent Channel Power limits of § 90.221 in which case operations may be authorized up to a 22 kilohertz bandwidth.  </w:t>
      </w:r>
      <w:r w:rsidRPr="0092168E">
        <w:t xml:space="preserve">Operations using </w:t>
      </w:r>
      <w:r w:rsidRPr="0092168E">
        <w:t>equipment designed to operate with a 12.5 kilohertz channel bandwidth may be authorized up to an 11.25 kilohertz bandwidth.</w:t>
      </w:r>
    </w:p>
    <w:p w:rsidR="004974BC" w:rsidRPr="0092168E" w:rsidP="004974BC">
      <w:pPr>
        <w:widowControl/>
        <w:autoSpaceDE w:val="0"/>
        <w:autoSpaceDN w:val="0"/>
        <w:adjustRightInd w:val="0"/>
        <w:rPr>
          <w:color w:val="010101"/>
        </w:rPr>
      </w:pPr>
    </w:p>
    <w:p w:rsidR="004974BC" w:rsidRPr="0092168E" w:rsidP="004974BC">
      <w:pPr>
        <w:widowControl/>
        <w:autoSpaceDE w:val="0"/>
        <w:autoSpaceDN w:val="0"/>
        <w:adjustRightInd w:val="0"/>
        <w:ind w:firstLine="720"/>
      </w:pPr>
      <w:r w:rsidRPr="0092168E">
        <w:t>* * * * *</w:t>
      </w:r>
    </w:p>
    <w:p w:rsidR="004974BC" w:rsidRPr="0092168E" w:rsidP="004974BC">
      <w:pPr>
        <w:widowControl/>
        <w:autoSpaceDE w:val="0"/>
        <w:autoSpaceDN w:val="0"/>
        <w:adjustRightInd w:val="0"/>
      </w:pPr>
    </w:p>
    <w:p w:rsidR="004974BC" w:rsidRPr="0092168E" w:rsidP="004974BC">
      <w:pPr>
        <w:widowControl/>
        <w:autoSpaceDE w:val="0"/>
        <w:autoSpaceDN w:val="0"/>
        <w:adjustRightInd w:val="0"/>
      </w:pPr>
      <w:r w:rsidRPr="0092168E">
        <w:t>(8)  Applicants may begin to license 12.5 kilohertz bandwidth channels in the 809-817/854-862 MHz band segment only after the Wireless Telecommunications Bureau and the Public Safety and Homeland Security Bureau jointly release a public notice announcing the availability of those channels for licensing in a National Public Safety Planning Advisory Committee region.</w:t>
      </w:r>
    </w:p>
    <w:p w:rsidR="004974BC" w:rsidRPr="0092168E" w:rsidP="004974BC">
      <w:pPr>
        <w:widowControl/>
        <w:ind w:firstLine="720"/>
      </w:pPr>
    </w:p>
    <w:p w:rsidR="004974BC" w:rsidRPr="0092168E" w:rsidP="004974BC">
      <w:pPr>
        <w:widowControl/>
      </w:pPr>
      <w:r w:rsidRPr="0092168E">
        <w:t>8.  Section 90.210 is revised by amending the table and revising footnote 5 to the table as follows:</w:t>
      </w:r>
    </w:p>
    <w:p w:rsidR="004974BC" w:rsidRPr="0092168E" w:rsidP="004974BC">
      <w:pPr>
        <w:widowControl/>
        <w:tabs>
          <w:tab w:val="left" w:pos="0"/>
          <w:tab w:val="left" w:pos="270"/>
          <w:tab w:val="left" w:pos="2160"/>
          <w:tab w:val="left" w:pos="4320"/>
        </w:tabs>
        <w:suppressAutoHyphens/>
        <w:rPr>
          <w:spacing w:val="-3"/>
        </w:rPr>
      </w:pPr>
    </w:p>
    <w:p w:rsidR="004974BC" w:rsidRPr="0092168E" w:rsidP="004974BC">
      <w:pPr>
        <w:widowControl/>
        <w:tabs>
          <w:tab w:val="left" w:pos="0"/>
          <w:tab w:val="left" w:pos="770"/>
          <w:tab w:val="left" w:pos="2160"/>
          <w:tab w:val="left" w:pos="4320"/>
        </w:tabs>
        <w:suppressAutoHyphens/>
        <w:rPr>
          <w:rFonts w:ascii="Times" w:hAnsi="Times"/>
          <w:b/>
          <w:spacing w:val="-3"/>
        </w:rPr>
      </w:pPr>
      <w:r w:rsidRPr="0092168E">
        <w:rPr>
          <w:rFonts w:ascii="Times" w:hAnsi="Times"/>
          <w:b/>
          <w:spacing w:val="-3"/>
        </w:rPr>
        <w:t>§ 90.210 Emission masks.</w:t>
      </w:r>
    </w:p>
    <w:p w:rsidR="004974BC" w:rsidRPr="0092168E" w:rsidP="004974BC">
      <w:pPr>
        <w:widowControl/>
        <w:ind w:firstLine="720"/>
      </w:pPr>
    </w:p>
    <w:p w:rsidR="004974BC" w:rsidRPr="0092168E" w:rsidP="004974BC">
      <w:pPr>
        <w:widowControl/>
        <w:ind w:firstLine="720"/>
      </w:pPr>
      <w:r w:rsidRPr="0092168E">
        <w:t>* * * * *</w:t>
      </w:r>
    </w:p>
    <w:p w:rsidR="004974BC" w:rsidRPr="0092168E" w:rsidP="004974BC">
      <w:pPr>
        <w:widowControl/>
        <w:jc w:val="center"/>
        <w:rPr>
          <w:rFonts w:cs="Arial"/>
        </w:rPr>
      </w:pPr>
      <w:r w:rsidRPr="0092168E">
        <w:rPr>
          <w:rFonts w:cs="Arial"/>
        </w:rPr>
        <w:t>APPLICABLE EMISSION MASKS</w:t>
      </w:r>
    </w:p>
    <w:tbl>
      <w:tblPr>
        <w:tblW w:w="4723"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3164"/>
        <w:gridCol w:w="2791"/>
        <w:gridCol w:w="2915"/>
      </w:tblGrid>
      <w:tr w:rsidTr="00933418">
        <w:tblPrEx>
          <w:tblW w:w="4723"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1784" w:type="pct"/>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Frequency band (MHz)</w:t>
            </w:r>
          </w:p>
        </w:tc>
        <w:tc>
          <w:tcPr>
            <w:tcW w:w="1573" w:type="pct"/>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Mask for equip-</w:t>
            </w:r>
          </w:p>
          <w:p w:rsidR="004974BC" w:rsidRPr="004C323A" w:rsidP="00933418">
            <w:pPr>
              <w:widowControl/>
              <w:jc w:val="center"/>
              <w:rPr>
                <w:rFonts w:eastAsia="Calibri"/>
              </w:rPr>
            </w:pPr>
            <w:r w:rsidRPr="004C323A">
              <w:rPr>
                <w:rFonts w:eastAsia="Calibri"/>
              </w:rPr>
              <w:t>ment with Audio</w:t>
            </w:r>
          </w:p>
          <w:p w:rsidR="004974BC" w:rsidRPr="004C323A" w:rsidP="00933418">
            <w:pPr>
              <w:widowControl/>
              <w:jc w:val="center"/>
              <w:rPr>
                <w:rFonts w:eastAsia="Calibri"/>
              </w:rPr>
            </w:pPr>
            <w:r w:rsidRPr="004C323A">
              <w:rPr>
                <w:rFonts w:eastAsia="Calibri"/>
              </w:rPr>
              <w:t xml:space="preserve"> low pass</w:t>
            </w:r>
            <w:r w:rsidRPr="004C323A">
              <w:rPr>
                <w:rFonts w:eastAsia="Calibri"/>
              </w:rPr>
              <w:br/>
              <w:t>filter</w:t>
            </w:r>
          </w:p>
        </w:tc>
        <w:tc>
          <w:tcPr>
            <w:tcW w:w="1643" w:type="pct"/>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Mask for equip-</w:t>
            </w:r>
          </w:p>
          <w:p w:rsidR="004974BC" w:rsidRPr="004C323A" w:rsidP="00933418">
            <w:pPr>
              <w:widowControl/>
              <w:jc w:val="center"/>
              <w:rPr>
                <w:rFonts w:eastAsia="Calibri"/>
              </w:rPr>
            </w:pPr>
            <w:r w:rsidRPr="004C323A">
              <w:rPr>
                <w:rFonts w:eastAsia="Calibri"/>
              </w:rPr>
              <w:t>ment without audio</w:t>
            </w:r>
          </w:p>
          <w:p w:rsidR="004974BC" w:rsidRPr="004C323A" w:rsidP="00933418">
            <w:pPr>
              <w:widowControl/>
              <w:jc w:val="center"/>
              <w:rPr>
                <w:rFonts w:eastAsia="Calibri"/>
              </w:rPr>
            </w:pPr>
            <w:r w:rsidRPr="004C323A">
              <w:rPr>
                <w:rFonts w:eastAsia="Calibri"/>
              </w:rPr>
              <w:t xml:space="preserve"> low pass</w:t>
            </w:r>
          </w:p>
          <w:p w:rsidR="004974BC" w:rsidRPr="004C323A" w:rsidP="00933418">
            <w:pPr>
              <w:widowControl/>
              <w:jc w:val="center"/>
              <w:rPr>
                <w:rFonts w:eastAsia="Calibri"/>
              </w:rPr>
            </w:pPr>
            <w:r w:rsidRPr="004C323A">
              <w:rPr>
                <w:rFonts w:eastAsia="Calibri"/>
              </w:rPr>
              <w:t xml:space="preserve"> filter</w:t>
            </w:r>
          </w:p>
        </w:tc>
      </w:tr>
      <w:tr w:rsidTr="00933418">
        <w:tblPrEx>
          <w:tblW w:w="4723" w:type="pct"/>
          <w:tblCellMar>
            <w:top w:w="120" w:type="dxa"/>
            <w:left w:w="15" w:type="dxa"/>
            <w:bottom w:w="15" w:type="dxa"/>
            <w:right w:w="15" w:type="dxa"/>
          </w:tblCellMar>
          <w:tblLook w:val="0000"/>
        </w:tblPrEx>
        <w:tc>
          <w:tcPr>
            <w:tcW w:w="1784"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 * *</w:t>
            </w:r>
          </w:p>
        </w:tc>
        <w:tc>
          <w:tcPr>
            <w:tcW w:w="1573"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 * *</w:t>
            </w:r>
          </w:p>
        </w:tc>
        <w:tc>
          <w:tcPr>
            <w:tcW w:w="1643"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 * *</w:t>
            </w:r>
          </w:p>
        </w:tc>
      </w:tr>
      <w:tr w:rsidTr="00933418">
        <w:tblPrEx>
          <w:tblW w:w="4723" w:type="pct"/>
          <w:tblCellMar>
            <w:top w:w="120" w:type="dxa"/>
            <w:left w:w="15" w:type="dxa"/>
            <w:bottom w:w="15" w:type="dxa"/>
            <w:right w:w="15" w:type="dxa"/>
          </w:tblCellMar>
          <w:tblLook w:val="0000"/>
        </w:tblPrEx>
        <w:tc>
          <w:tcPr>
            <w:tcW w:w="1784"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809-824/854-869</w:t>
            </w:r>
            <w:r w:rsidRPr="0092168E">
              <w:rPr>
                <w:rFonts w:eastAsia="Calibri"/>
                <w:vertAlign w:val="superscript"/>
              </w:rPr>
              <w:t>3, 5</w:t>
            </w:r>
          </w:p>
        </w:tc>
        <w:tc>
          <w:tcPr>
            <w:tcW w:w="1573"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B, D</w:t>
            </w:r>
          </w:p>
        </w:tc>
        <w:tc>
          <w:tcPr>
            <w:tcW w:w="1643"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D, G</w:t>
            </w:r>
          </w:p>
        </w:tc>
      </w:tr>
      <w:tr w:rsidTr="00933418">
        <w:tblPrEx>
          <w:tblW w:w="4723" w:type="pct"/>
          <w:tblCellMar>
            <w:top w:w="120" w:type="dxa"/>
            <w:left w:w="15" w:type="dxa"/>
            <w:bottom w:w="15" w:type="dxa"/>
            <w:right w:w="15" w:type="dxa"/>
          </w:tblCellMar>
          <w:tblLook w:val="0000"/>
        </w:tblPrEx>
        <w:tc>
          <w:tcPr>
            <w:tcW w:w="1784"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 * *</w:t>
            </w:r>
          </w:p>
        </w:tc>
        <w:tc>
          <w:tcPr>
            <w:tcW w:w="1573"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 * *</w:t>
            </w:r>
          </w:p>
        </w:tc>
        <w:tc>
          <w:tcPr>
            <w:tcW w:w="1643" w:type="pct"/>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center"/>
              <w:rPr>
                <w:rFonts w:eastAsia="Calibri"/>
              </w:rPr>
            </w:pPr>
            <w:r w:rsidRPr="0092168E">
              <w:rPr>
                <w:rFonts w:eastAsia="Calibri"/>
              </w:rPr>
              <w:t>* * *</w:t>
            </w:r>
          </w:p>
        </w:tc>
      </w:tr>
    </w:tbl>
    <w:p w:rsidR="004974BC" w:rsidRPr="0092168E" w:rsidP="004974BC">
      <w:pPr>
        <w:widowControl/>
        <w:ind w:firstLine="720"/>
        <w:rPr>
          <w:szCs w:val="22"/>
        </w:rPr>
      </w:pPr>
    </w:p>
    <w:p w:rsidR="004974BC" w:rsidRPr="0092168E" w:rsidP="004974BC">
      <w:pPr>
        <w:widowControl/>
        <w:autoSpaceDE w:val="0"/>
        <w:autoSpaceDN w:val="0"/>
        <w:adjustRightInd w:val="0"/>
        <w:ind w:firstLine="720"/>
        <w:rPr>
          <w:vertAlign w:val="superscript"/>
        </w:rPr>
      </w:pPr>
      <w:r w:rsidRPr="0092168E">
        <w:t>* * * * *</w:t>
      </w:r>
    </w:p>
    <w:p w:rsidR="004974BC" w:rsidRPr="0092168E" w:rsidP="004974BC">
      <w:pPr>
        <w:widowControl/>
        <w:ind w:firstLine="720"/>
      </w:pPr>
    </w:p>
    <w:p w:rsidR="004974BC" w:rsidRPr="0092168E" w:rsidP="004974BC">
      <w:pPr>
        <w:widowControl/>
        <w:autoSpaceDE w:val="0"/>
        <w:autoSpaceDN w:val="0"/>
        <w:adjustRightInd w:val="0"/>
        <w:ind w:firstLine="720"/>
        <w:rPr>
          <w:color w:val="010101"/>
        </w:rPr>
      </w:pPr>
      <w:r w:rsidRPr="0092168E">
        <w:rPr>
          <w:vertAlign w:val="superscript"/>
        </w:rPr>
        <w:t xml:space="preserve">5 </w:t>
      </w:r>
      <w:r w:rsidRPr="0092168E">
        <w:t xml:space="preserve">Equipment designed to operate on 25 kilohertz bandwidth channels must meet the requirements of either Emission Mask B or G, whichever is applicable, while equipment designed to operate on 12.5 kilohertz bandwidth channels must meet the requirements of Emission Mask D. </w:t>
      </w:r>
      <w:r w:rsidRPr="0092168E">
        <w:rPr>
          <w:color w:val="010101"/>
        </w:rPr>
        <w:t xml:space="preserve"> Equipment designed to operate on 25 kilohertz bandwidth channels may alternatively meet the Adjacent Channel Power limits of § 90.221.</w:t>
      </w:r>
    </w:p>
    <w:p w:rsidR="004974BC" w:rsidRPr="0092168E" w:rsidP="004974BC">
      <w:pPr>
        <w:widowControl/>
        <w:autoSpaceDE w:val="0"/>
        <w:autoSpaceDN w:val="0"/>
        <w:adjustRightInd w:val="0"/>
        <w:ind w:firstLine="720"/>
      </w:pPr>
    </w:p>
    <w:p w:rsidR="004974BC" w:rsidRPr="000D375A" w:rsidP="004974BC">
      <w:pPr>
        <w:widowControl/>
        <w:autoSpaceDE w:val="0"/>
        <w:autoSpaceDN w:val="0"/>
        <w:adjustRightInd w:val="0"/>
      </w:pPr>
      <w:r w:rsidRPr="0092168E">
        <w:t>* * * * *</w:t>
      </w:r>
    </w:p>
    <w:p w:rsidR="004974BC" w:rsidP="004974BC">
      <w:pPr>
        <w:widowControl/>
        <w:rPr>
          <w:b/>
        </w:rPr>
      </w:pPr>
    </w:p>
    <w:p w:rsidR="004974BC" w:rsidP="004974BC">
      <w:pPr>
        <w:widowControl/>
      </w:pPr>
      <w:r>
        <w:t>9.  Section 90.219 is amended by revising paragraph (d)(3) to read as follows:</w:t>
      </w:r>
    </w:p>
    <w:p w:rsidR="004974BC" w:rsidP="004974BC">
      <w:pPr>
        <w:widowControl/>
      </w:pPr>
    </w:p>
    <w:p w:rsidR="004974BC" w:rsidRPr="00CE5177" w:rsidP="00CD6ECA">
      <w:pPr>
        <w:pStyle w:val="Header"/>
      </w:pPr>
      <w:r w:rsidRPr="00CE5177">
        <w:t>§ 90.219  Use of signal boosters.</w:t>
      </w:r>
    </w:p>
    <w:p w:rsidR="004974BC">
      <w:pPr>
        <w:pStyle w:val="Header"/>
      </w:pPr>
    </w:p>
    <w:p w:rsidR="004974BC" w:rsidRPr="00CE5177">
      <w:pPr>
        <w:pStyle w:val="Header"/>
      </w:pPr>
      <w:r w:rsidRPr="00CE5177">
        <w:t xml:space="preserve">* * * * * </w:t>
      </w:r>
    </w:p>
    <w:p w:rsidR="004974BC" w:rsidRPr="00CE5177">
      <w:pPr>
        <w:pStyle w:val="Header"/>
      </w:pPr>
    </w:p>
    <w:p w:rsidR="004974BC" w:rsidRPr="00CE5177">
      <w:pPr>
        <w:pStyle w:val="Header"/>
      </w:pPr>
      <w:r w:rsidRPr="00CE5177">
        <w:t>(d)  Deployment rules.  * * *</w:t>
      </w:r>
    </w:p>
    <w:p w:rsidR="004974BC" w:rsidRPr="00CE5177">
      <w:pPr>
        <w:pStyle w:val="Header"/>
      </w:pPr>
    </w:p>
    <w:p w:rsidR="004974BC" w:rsidRPr="00CE5177">
      <w:pPr>
        <w:pStyle w:val="Header"/>
      </w:pPr>
      <w:r w:rsidRPr="00CE5177">
        <w:t>(3)(i)  Except as set forth in paragraph (d)(3)(ii) of this section, signal boosters must be deployed such that the radiated power of each retransmitted channel, on the forward link and on the reverse link, does not exceed 5 Watts effective radiated power (ERP).</w:t>
      </w:r>
    </w:p>
    <w:p w:rsidR="004974BC">
      <w:pPr>
        <w:pStyle w:val="Header"/>
      </w:pPr>
    </w:p>
    <w:p w:rsidR="004974BC" w:rsidRPr="004C323A" w:rsidP="004974BC">
      <w:pPr>
        <w:widowControl/>
        <w:autoSpaceDE w:val="0"/>
        <w:autoSpaceDN w:val="0"/>
        <w:adjustRightInd w:val="0"/>
        <w:rPr>
          <w:color w:val="010101"/>
        </w:rPr>
      </w:pPr>
      <w:r>
        <w:t xml:space="preserve">(ii)  Railroad licensees may operate Class A signal boosters transmitting on a single channel with up to 30 Watts ERP on frequencies 452/457.9000 to 452/457.96875 MHz in areas where communication between the front and rear of trains is unsatisfactory due to distance or intervening terrain barriers. </w:t>
      </w:r>
    </w:p>
    <w:p w:rsidR="004974BC" w:rsidRPr="004C323A" w:rsidP="004974BC">
      <w:pPr>
        <w:widowControl/>
        <w:autoSpaceDE w:val="0"/>
        <w:autoSpaceDN w:val="0"/>
        <w:adjustRightInd w:val="0"/>
        <w:ind w:firstLine="720"/>
      </w:pPr>
    </w:p>
    <w:p w:rsidR="004974BC" w:rsidRPr="00CE5177" w:rsidP="004974BC">
      <w:pPr>
        <w:widowControl/>
        <w:autoSpaceDE w:val="0"/>
        <w:autoSpaceDN w:val="0"/>
        <w:adjustRightInd w:val="0"/>
      </w:pPr>
      <w:r w:rsidRPr="004C323A">
        <w:t>* * * * *</w:t>
      </w:r>
    </w:p>
    <w:p w:rsidR="004974BC" w:rsidRPr="00CE5177" w:rsidP="00CD6ECA">
      <w:pPr>
        <w:pStyle w:val="Header"/>
        <w:rPr>
          <w:rStyle w:val="Heading1Char"/>
          <w:b/>
        </w:rPr>
      </w:pPr>
    </w:p>
    <w:p w:rsidR="004974BC" w:rsidRPr="00CE5177">
      <w:pPr>
        <w:pStyle w:val="Header"/>
      </w:pPr>
      <w:r w:rsidRPr="00CE5177">
        <w:t xml:space="preserve">10.  Section 90.261 is amended by revising paragraph (f) to read as follows: </w:t>
      </w:r>
    </w:p>
    <w:p w:rsidR="004974BC">
      <w:pPr>
        <w:pStyle w:val="Header"/>
      </w:pPr>
    </w:p>
    <w:p w:rsidR="004974BC" w:rsidRPr="00CE5177">
      <w:pPr>
        <w:pStyle w:val="Header"/>
      </w:pPr>
      <w:r w:rsidRPr="00CE5177">
        <w:t>§ 90.261  Assignment and use of the frequencies in the band 450-470 MHz for fixed operations.</w:t>
      </w:r>
    </w:p>
    <w:p w:rsidR="004974BC">
      <w:pPr>
        <w:pStyle w:val="Header"/>
      </w:pPr>
    </w:p>
    <w:p w:rsidR="004974BC" w:rsidRPr="00214659">
      <w:pPr>
        <w:pStyle w:val="Header"/>
      </w:pPr>
      <w:r w:rsidRPr="00214659">
        <w:t xml:space="preserve">* * * * * </w:t>
      </w:r>
    </w:p>
    <w:p w:rsidR="004974BC">
      <w:pPr>
        <w:pStyle w:val="Header"/>
      </w:pPr>
    </w:p>
    <w:p w:rsidR="004974BC" w:rsidRPr="00CE5177">
      <w:pPr>
        <w:pStyle w:val="Header"/>
      </w:pPr>
      <w:r w:rsidRPr="00CE5177">
        <w:t>(f)  Secondary fixed operations pursuant to paragraph (a) of this section will not be authorized on the following frequencies or on frequencies subject to § 90.267, except as provided in § 90.219(d)(3)(ii):</w:t>
      </w:r>
    </w:p>
    <w:p w:rsidR="004974BC" w:rsidRPr="00CE5177" w:rsidP="004974BC">
      <w:pPr>
        <w:widowControl/>
        <w:rPr>
          <w:rStyle w:val="Heading1Char"/>
          <w:b w:val="0"/>
        </w:rPr>
      </w:pPr>
    </w:p>
    <w:p w:rsidR="004974BC" w:rsidRPr="00CE5177" w:rsidP="00CD6ECA">
      <w:pPr>
        <w:pStyle w:val="Header"/>
      </w:pPr>
      <w:r w:rsidRPr="00CE5177">
        <w:t xml:space="preserve">* * * * * </w:t>
      </w:r>
    </w:p>
    <w:p w:rsidR="004974BC" w:rsidRPr="00CE5177" w:rsidP="004974BC">
      <w:pPr>
        <w:widowControl/>
        <w:rPr>
          <w:rStyle w:val="Heading1Char"/>
          <w:b w:val="0"/>
        </w:rPr>
      </w:pPr>
    </w:p>
    <w:p w:rsidR="004974BC" w:rsidRPr="00CE5177" w:rsidP="00CD6ECA">
      <w:pPr>
        <w:pStyle w:val="Header"/>
      </w:pPr>
      <w:r w:rsidRPr="00CE5177">
        <w:t xml:space="preserve">11.  Section 90.267 is amended by revising paragraphs (f), (f)(2), and (f)(3) to read as follows: </w:t>
      </w:r>
    </w:p>
    <w:p w:rsidR="004974BC">
      <w:pPr>
        <w:pStyle w:val="Header"/>
      </w:pPr>
    </w:p>
    <w:p w:rsidR="004974BC" w:rsidRPr="00CE5177">
      <w:pPr>
        <w:pStyle w:val="Header"/>
      </w:pPr>
      <w:r w:rsidRPr="00CE5177">
        <w:t xml:space="preserve">§ 90.267  Assignment and use of the frequencies in the band 450-470 MHz for low power use. </w:t>
      </w:r>
    </w:p>
    <w:p w:rsidR="004974BC">
      <w:pPr>
        <w:pStyle w:val="Header"/>
      </w:pPr>
    </w:p>
    <w:p w:rsidR="004974BC" w:rsidRPr="00214659">
      <w:pPr>
        <w:pStyle w:val="Header"/>
      </w:pPr>
      <w:r w:rsidRPr="00214659">
        <w:t xml:space="preserve">* * * * * </w:t>
      </w:r>
    </w:p>
    <w:p w:rsidR="004974BC">
      <w:pPr>
        <w:pStyle w:val="Header"/>
      </w:pPr>
    </w:p>
    <w:p w:rsidR="004974BC" w:rsidRPr="004C323A" w:rsidP="004974BC">
      <w:pPr>
        <w:widowControl/>
        <w:autoSpaceDE w:val="0"/>
        <w:autoSpaceDN w:val="0"/>
        <w:adjustRightInd w:val="0"/>
        <w:rPr>
          <w:color w:val="010101"/>
        </w:rPr>
      </w:pPr>
      <w:r>
        <w:t xml:space="preserve">(f) </w:t>
      </w:r>
      <w:r>
        <w:rPr>
          <w:i/>
        </w:rPr>
        <w:t>Group D Frequencies.</w:t>
      </w:r>
      <w:r>
        <w:t xml:space="preserve">  The Industrial/Business Pool frequencies in Group D are available </w:t>
      </w:r>
      <w:r w:rsidRPr="00214659">
        <w:t>on a coordinated basis, pursuant to §§</w:t>
      </w:r>
      <w:r>
        <w:t xml:space="preserve"> 90.35(b)(2) and 90.175(b).  Central station alarm signaling on these frequencies are co-primary with regard to co-channel or adjacent channel base, mobile or data operations.  </w:t>
      </w:r>
    </w:p>
    <w:p w:rsidR="004974BC" w:rsidRPr="0092168E" w:rsidP="004974BC">
      <w:pPr>
        <w:widowControl/>
        <w:autoSpaceDE w:val="0"/>
        <w:autoSpaceDN w:val="0"/>
        <w:adjustRightInd w:val="0"/>
        <w:ind w:firstLine="720"/>
      </w:pPr>
    </w:p>
    <w:p w:rsidR="004974BC" w:rsidP="004974BC">
      <w:pPr>
        <w:widowControl/>
        <w:autoSpaceDE w:val="0"/>
        <w:autoSpaceDN w:val="0"/>
        <w:adjustRightInd w:val="0"/>
      </w:pPr>
      <w:r>
        <w:t xml:space="preserve">* * * </w:t>
      </w:r>
    </w:p>
    <w:p w:rsidR="004974BC" w:rsidP="004974BC">
      <w:pPr>
        <w:widowControl/>
        <w:autoSpaceDE w:val="0"/>
        <w:autoSpaceDN w:val="0"/>
        <w:adjustRightInd w:val="0"/>
      </w:pPr>
    </w:p>
    <w:p w:rsidR="004974BC" w:rsidRPr="00CE5177" w:rsidP="00CD6ECA">
      <w:pPr>
        <w:pStyle w:val="Header"/>
      </w:pPr>
      <w:r w:rsidRPr="00CE5177">
        <w:t>(2) Unless concurrence is obtained in accordance with section 90.175(b) of this chapter from the Commission-certified frequency coordinator for frequencies designated for central station alarm operations, Group D frequencies subject to § 90.35(c)(63) are limited to central station alarm use within the urban areas described in § 90.35(c)(63).  Outside the urban areas described in § 90.35(c)(63), Group D frequencies subject to § 90.35(c)(63) are available for general Industrial/Business use on a coordinated basis, pursuant to § 90.35(b)(2) and § 90.175(b).</w:t>
      </w:r>
    </w:p>
    <w:p w:rsidR="004974BC" w:rsidRPr="00CE5177">
      <w:pPr>
        <w:pStyle w:val="Header"/>
      </w:pPr>
    </w:p>
    <w:p w:rsidR="004974BC" w:rsidRPr="00710DC4">
      <w:pPr>
        <w:pStyle w:val="Header"/>
      </w:pPr>
      <w:r w:rsidRPr="00CE5177">
        <w:t>(3) Unless concurrence is obtained in accordance with section 90.175(b) of this chapter from the Commission-certified frequency coordinator for frequencies designated for central station alarm operations, Group D frequencies subject to § 90.35(c)(66) are limited to central station alarm use nationwide.</w:t>
      </w:r>
    </w:p>
    <w:p w:rsidR="004974BC" w:rsidRPr="00214659">
      <w:pPr>
        <w:pStyle w:val="Header"/>
      </w:pPr>
    </w:p>
    <w:p w:rsidR="004974BC" w:rsidRPr="00CD6ECA">
      <w:pPr>
        <w:pStyle w:val="Header"/>
        <w:rPr>
          <w:rFonts w:ascii="Times New Roman Bold" w:hAnsi="Times New Roman Bold"/>
          <w:caps/>
        </w:rPr>
      </w:pPr>
      <w:r w:rsidRPr="00CD6ECA">
        <w:t>* * * * *</w:t>
      </w:r>
    </w:p>
    <w:p w:rsidR="004974BC" w:rsidRPr="0092168E" w:rsidP="004974BC">
      <w:pPr>
        <w:widowControl/>
        <w:rPr>
          <w:rFonts w:ascii="Times New Roman Bold" w:hAnsi="Times New Roman Bold"/>
          <w:b/>
          <w:caps/>
          <w:snapToGrid/>
        </w:rPr>
      </w:pPr>
    </w:p>
    <w:p w:rsidR="004974BC" w:rsidRPr="0092168E" w:rsidP="004974BC">
      <w:pPr>
        <w:widowControl/>
      </w:pPr>
      <w:r w:rsidRPr="0092168E">
        <w:t>12.  A new footnote is added to the first table in Section 90.613.  The table entries for channel number 231 to channel number 550 are revised to read as follows:</w:t>
      </w:r>
    </w:p>
    <w:p w:rsidR="004974BC" w:rsidRPr="0092168E" w:rsidP="004974BC">
      <w:pPr>
        <w:widowControl/>
        <w:tabs>
          <w:tab w:val="left" w:pos="0"/>
          <w:tab w:val="left" w:pos="270"/>
          <w:tab w:val="left" w:pos="2160"/>
          <w:tab w:val="left" w:pos="4320"/>
        </w:tabs>
        <w:suppressAutoHyphens/>
        <w:rPr>
          <w:spacing w:val="-3"/>
        </w:rPr>
      </w:pPr>
    </w:p>
    <w:p w:rsidR="004974BC" w:rsidRPr="0092168E" w:rsidP="004974BC">
      <w:pPr>
        <w:widowControl/>
        <w:tabs>
          <w:tab w:val="left" w:pos="0"/>
          <w:tab w:val="left" w:pos="770"/>
          <w:tab w:val="left" w:pos="2160"/>
          <w:tab w:val="left" w:pos="4320"/>
        </w:tabs>
        <w:suppressAutoHyphens/>
        <w:rPr>
          <w:rFonts w:ascii="Times" w:hAnsi="Times"/>
          <w:b/>
          <w:spacing w:val="-3"/>
        </w:rPr>
      </w:pPr>
      <w:r w:rsidRPr="0092168E">
        <w:rPr>
          <w:rFonts w:ascii="Times" w:hAnsi="Times"/>
          <w:b/>
          <w:spacing w:val="-3"/>
        </w:rPr>
        <w:t>§ 90.613 Frequencies available.</w:t>
      </w:r>
    </w:p>
    <w:p w:rsidR="004974BC" w:rsidRPr="0092168E" w:rsidP="004974BC">
      <w:pPr>
        <w:widowControl/>
        <w:autoSpaceDE w:val="0"/>
        <w:autoSpaceDN w:val="0"/>
        <w:adjustRightInd w:val="0"/>
        <w:ind w:firstLine="720"/>
      </w:pPr>
    </w:p>
    <w:p w:rsidR="004974BC" w:rsidRPr="0092168E" w:rsidP="004974BC">
      <w:pPr>
        <w:widowControl/>
        <w:autoSpaceDE w:val="0"/>
        <w:autoSpaceDN w:val="0"/>
        <w:adjustRightInd w:val="0"/>
      </w:pPr>
      <w:r w:rsidRPr="0092168E">
        <w:t>* * * * *</w:t>
      </w:r>
    </w:p>
    <w:p w:rsidR="004974BC" w:rsidRPr="0092168E" w:rsidP="004974BC">
      <w:pPr>
        <w:widowControl/>
        <w:jc w:val="center"/>
        <w:rPr>
          <w:bCs/>
          <w:szCs w:val="22"/>
        </w:rPr>
      </w:pPr>
    </w:p>
    <w:p w:rsidR="004974BC" w:rsidRPr="0092168E" w:rsidP="004974BC">
      <w:pPr>
        <w:widowControl/>
        <w:jc w:val="center"/>
        <w:rPr>
          <w:rFonts w:ascii="Times New Roman Bold" w:hAnsi="Times New Roman Bold"/>
          <w:bCs/>
          <w:szCs w:val="22"/>
          <w:vertAlign w:val="superscript"/>
        </w:rPr>
      </w:pPr>
      <w:r w:rsidRPr="0092168E">
        <w:rPr>
          <w:bCs/>
          <w:szCs w:val="22"/>
        </w:rPr>
        <w:t>TABLE OF 806–824/851–869 MHZ CHANNEL DESIGNATIONS</w:t>
      </w:r>
      <w:r w:rsidRPr="0092168E">
        <w:rPr>
          <w:rFonts w:ascii="Times New Roman Bold" w:hAnsi="Times New Roman Bold"/>
          <w:bCs/>
          <w:szCs w:val="22"/>
          <w:vertAlign w:val="superscript"/>
        </w:rPr>
        <w:t>1</w:t>
      </w:r>
    </w:p>
    <w:p w:rsidR="004974BC" w:rsidRPr="0092168E" w:rsidP="004974BC">
      <w:pPr>
        <w:widowControl/>
        <w:jc w:val="center"/>
        <w:rPr>
          <w:bCs/>
          <w:szCs w:val="22"/>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5228"/>
        <w:gridCol w:w="4162"/>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4C323A" w:rsidP="00933418">
            <w:pPr>
              <w:widowControl/>
              <w:rPr>
                <w:rFonts w:eastAsia="Calibri"/>
              </w:rPr>
            </w:pPr>
          </w:p>
          <w:p w:rsidR="004974BC" w:rsidRPr="000B4594" w:rsidP="00933418">
            <w:pPr>
              <w:widowControl/>
              <w:jc w:val="center"/>
              <w:rPr>
                <w:rFonts w:eastAsia="Calibri"/>
              </w:rPr>
            </w:pPr>
            <w:r w:rsidRPr="004C323A">
              <w:rPr>
                <w:rFonts w:eastAsia="Calibri"/>
              </w:rPr>
              <w:t>Channel No.</w:t>
            </w:r>
          </w:p>
        </w:tc>
        <w:tc>
          <w:tcPr>
            <w:tcW w:w="0" w:type="auto"/>
            <w:tcBorders>
              <w:top w:val="single" w:sz="4" w:space="0" w:color="000000"/>
              <w:left w:val="single" w:sz="4" w:space="0" w:color="000000"/>
              <w:bottom w:val="single" w:sz="4" w:space="0" w:color="000000"/>
              <w:right w:val="single" w:sz="4" w:space="0" w:color="000000"/>
            </w:tcBorders>
          </w:tcPr>
          <w:p w:rsidR="004974BC" w:rsidRPr="000B4594" w:rsidP="00933418">
            <w:pPr>
              <w:widowControl/>
              <w:jc w:val="center"/>
              <w:rPr>
                <w:rFonts w:eastAsia="Calibri"/>
              </w:rPr>
            </w:pPr>
            <w:r w:rsidRPr="004C323A">
              <w:rPr>
                <w:rFonts w:eastAsia="Calibri"/>
              </w:rPr>
              <w:t>Base</w:t>
            </w:r>
            <w:r w:rsidRPr="004C323A">
              <w:rPr>
                <w:rFonts w:eastAsia="Calibri"/>
              </w:rPr>
              <w:br/>
              <w:t>frequency</w:t>
            </w:r>
            <w:r w:rsidRPr="004C323A">
              <w:rPr>
                <w:rFonts w:eastAsia="Calibri"/>
              </w:rPr>
              <w:br/>
              <w:t>(MHz)</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 * *</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 * *</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854.0125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239a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249a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259a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 xml:space="preserve">262a </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269a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855.0000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279a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289a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299a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309a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856.0000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319a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329a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339a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349a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857.0000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359a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369a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379a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389a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858.0000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399a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409a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419a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429a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859.0000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439a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449a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459a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469a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860.0125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479a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489a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499a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509a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861.0000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.0875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w:t>
            </w:r>
            <w:r>
              <w:rPr>
                <w:rFonts w:eastAsia="Calibri"/>
              </w:rPr>
              <w:t>37</w:t>
            </w:r>
            <w:r w:rsidRPr="0092168E">
              <w:rPr>
                <w:rFonts w:eastAsia="Calibri"/>
              </w:rPr>
              <w:t>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.1875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519a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.2875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.3875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529a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.4875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.5875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535</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.6875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539a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540a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541</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541a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542</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.7875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542a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543</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543a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544</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544a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 xml:space="preserve">545 </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545a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546</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.8875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546a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.9000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547</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.9125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547a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.9250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548</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.9375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548a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.9500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549</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.9625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549a</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.9750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550</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.9875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rPr>
                <w:rFonts w:eastAsia="Calibri"/>
              </w:rPr>
            </w:pPr>
            <w:r w:rsidRPr="0092168E">
              <w:rPr>
                <w:rFonts w:eastAsia="Calibri"/>
              </w:rPr>
              <w:t>* * *</w:t>
            </w:r>
          </w:p>
        </w:tc>
        <w:tc>
          <w:tcPr>
            <w:tcW w:w="0" w:type="auto"/>
            <w:tcBorders>
              <w:top w:val="single" w:sz="4" w:space="0" w:color="000000"/>
              <w:left w:val="single" w:sz="4" w:space="0" w:color="000000"/>
              <w:bottom w:val="single" w:sz="4" w:space="0" w:color="000000"/>
              <w:right w:val="single" w:sz="4" w:space="0" w:color="000000"/>
            </w:tcBorders>
          </w:tcPr>
          <w:p w:rsidR="004974BC" w:rsidRPr="0092168E" w:rsidP="00933418">
            <w:pPr>
              <w:widowControl/>
              <w:jc w:val="right"/>
              <w:rPr>
                <w:rFonts w:eastAsia="Calibri"/>
              </w:rPr>
            </w:pPr>
            <w:r w:rsidRPr="0092168E">
              <w:rPr>
                <w:rFonts w:eastAsia="Calibri"/>
              </w:rPr>
              <w:t>* * *</w:t>
            </w:r>
          </w:p>
        </w:tc>
      </w:tr>
    </w:tbl>
    <w:p w:rsidR="004974BC" w:rsidRPr="0092168E" w:rsidP="004974BC">
      <w:pPr>
        <w:widowControl/>
        <w:tabs>
          <w:tab w:val="left" w:pos="720"/>
        </w:tabs>
        <w:ind w:left="720"/>
      </w:pPr>
    </w:p>
    <w:p w:rsidR="004974BC" w:rsidRPr="0092168E" w:rsidP="004974BC">
      <w:pPr>
        <w:widowControl/>
        <w:autoSpaceDE w:val="0"/>
        <w:autoSpaceDN w:val="0"/>
        <w:adjustRightInd w:val="0"/>
        <w:ind w:firstLine="720"/>
      </w:pPr>
      <w:r w:rsidRPr="0092168E">
        <w:rPr>
          <w:vertAlign w:val="superscript"/>
        </w:rPr>
        <w:t>1</w:t>
      </w:r>
      <w:r w:rsidRPr="0092168E">
        <w:t xml:space="preserve"> The channel bandwidth for interstitial channel pairs (denoted with an “a” after the channel number) is 12.5 kilohertz.  All other channel pairs have a channel bandwidth of 25 kilohertz.   </w:t>
      </w:r>
    </w:p>
    <w:p w:rsidR="004974BC" w:rsidRPr="0092168E" w:rsidP="004974BC">
      <w:pPr>
        <w:widowControl/>
        <w:tabs>
          <w:tab w:val="left" w:pos="720"/>
        </w:tabs>
        <w:ind w:left="720"/>
      </w:pPr>
    </w:p>
    <w:p w:rsidR="004974BC" w:rsidRPr="0092168E" w:rsidP="004974BC">
      <w:pPr>
        <w:widowControl/>
        <w:autoSpaceDE w:val="0"/>
        <w:autoSpaceDN w:val="0"/>
        <w:adjustRightInd w:val="0"/>
        <w:ind w:firstLine="720"/>
      </w:pPr>
      <w:r w:rsidRPr="0092168E">
        <w:t>* * * * *</w:t>
      </w:r>
    </w:p>
    <w:p w:rsidR="004974BC" w:rsidRPr="0092168E" w:rsidP="004974BC">
      <w:pPr>
        <w:widowControl/>
        <w:autoSpaceDE w:val="0"/>
        <w:autoSpaceDN w:val="0"/>
        <w:adjustRightInd w:val="0"/>
        <w:ind w:firstLine="720"/>
      </w:pPr>
    </w:p>
    <w:p w:rsidR="004974BC" w:rsidRPr="0092168E" w:rsidP="004974BC">
      <w:pPr>
        <w:widowControl/>
        <w:spacing w:after="120"/>
        <w:rPr>
          <w:szCs w:val="22"/>
        </w:rPr>
      </w:pPr>
      <w:r w:rsidRPr="0092168E">
        <w:rPr>
          <w:szCs w:val="22"/>
        </w:rPr>
        <w:t>13.  Section 90.615 is revised by amending the introductory text and adding new paragraph (d) to read as follows:</w:t>
      </w:r>
    </w:p>
    <w:p w:rsidR="004974BC" w:rsidRPr="0092168E" w:rsidP="004974BC">
      <w:pPr>
        <w:widowControl/>
        <w:ind w:left="720"/>
      </w:pPr>
    </w:p>
    <w:p w:rsidR="004974BC" w:rsidRPr="0092168E" w:rsidP="004974BC">
      <w:pPr>
        <w:widowControl/>
        <w:autoSpaceDE w:val="0"/>
        <w:autoSpaceDN w:val="0"/>
        <w:adjustRightInd w:val="0"/>
        <w:rPr>
          <w:b/>
        </w:rPr>
      </w:pPr>
      <w:r w:rsidRPr="0092168E">
        <w:rPr>
          <w:b/>
        </w:rPr>
        <w:t>§ 90.615   Individual channels available in the General Category in 806–824/851–869 MHz band.</w:t>
      </w:r>
    </w:p>
    <w:p w:rsidR="004974BC" w:rsidRPr="0092168E" w:rsidP="004974BC">
      <w:pPr>
        <w:widowControl/>
        <w:autoSpaceDE w:val="0"/>
        <w:autoSpaceDN w:val="0"/>
        <w:adjustRightInd w:val="0"/>
        <w:ind w:firstLine="720"/>
      </w:pPr>
    </w:p>
    <w:p w:rsidR="004974BC" w:rsidRPr="0092168E" w:rsidP="004974BC">
      <w:pPr>
        <w:widowControl/>
        <w:autoSpaceDE w:val="0"/>
        <w:autoSpaceDN w:val="0"/>
        <w:adjustRightInd w:val="0"/>
      </w:pPr>
      <w:r w:rsidRPr="0092168E">
        <w:t>The General Category will consist of channels 231–260a and 511–550 at locations farther than 110 km (68.4 miles) from the U.S./Mexico border and 140 km (87 miles) from the U.S./Canadian border.  All entities will be eligible for licensing on these channels except as described in paragraphs (a) and (b) of this section.</w:t>
      </w:r>
    </w:p>
    <w:p w:rsidR="004974BC" w:rsidRPr="0092168E" w:rsidP="004974BC">
      <w:pPr>
        <w:widowControl/>
        <w:autoSpaceDE w:val="0"/>
        <w:autoSpaceDN w:val="0"/>
        <w:adjustRightInd w:val="0"/>
        <w:ind w:firstLine="720"/>
      </w:pPr>
    </w:p>
    <w:p w:rsidR="004974BC" w:rsidRPr="0092168E" w:rsidP="004974BC">
      <w:pPr>
        <w:widowControl/>
        <w:autoSpaceDE w:val="0"/>
        <w:autoSpaceDN w:val="0"/>
        <w:adjustRightInd w:val="0"/>
        <w:ind w:firstLine="720"/>
      </w:pPr>
      <w:r w:rsidRPr="0092168E">
        <w:t>* * * * *</w:t>
      </w:r>
    </w:p>
    <w:p w:rsidR="004974BC" w:rsidRPr="0092168E" w:rsidP="004974BC">
      <w:pPr>
        <w:widowControl/>
        <w:autoSpaceDE w:val="0"/>
        <w:autoSpaceDN w:val="0"/>
        <w:adjustRightInd w:val="0"/>
      </w:pPr>
    </w:p>
    <w:p w:rsidR="004974BC" w:rsidRPr="00F06ECE" w:rsidP="004974BC">
      <w:pPr>
        <w:pStyle w:val="NormalWeb"/>
        <w:widowControl/>
        <w:spacing w:before="0" w:beforeAutospacing="0" w:after="0" w:afterAutospacing="0"/>
        <w:rPr>
          <w:bCs/>
          <w:szCs w:val="22"/>
        </w:rPr>
      </w:pPr>
      <w:r w:rsidRPr="0092168E">
        <w:rPr>
          <w:bCs/>
          <w:szCs w:val="22"/>
        </w:rPr>
        <w:t>(d) Interstitial Channels.  Applicants may begin to license interstitial channels (denoted with an “a” after the channel number) only after the Wireless Telecommunications Bureau and the Public Safety and Homeland Security Bureau jointly release a public notice announcing the availability of those channels for licensing in a National Public Safety Planning Advisory Committee region.</w:t>
      </w:r>
      <w:r w:rsidRPr="00F06ECE">
        <w:rPr>
          <w:bCs/>
          <w:szCs w:val="22"/>
        </w:rPr>
        <w:t xml:space="preserve"> </w:t>
      </w:r>
    </w:p>
    <w:p w:rsidR="004974BC" w:rsidRPr="00F06ECE" w:rsidP="004974BC">
      <w:pPr>
        <w:widowControl/>
        <w:ind w:firstLine="720"/>
        <w:rPr>
          <w:bCs/>
          <w:sz w:val="24"/>
          <w:szCs w:val="22"/>
        </w:rPr>
      </w:pPr>
    </w:p>
    <w:p w:rsidR="004974BC" w:rsidRPr="00F06ECE" w:rsidP="004974BC">
      <w:pPr>
        <w:widowControl/>
        <w:spacing w:after="120"/>
        <w:rPr>
          <w:szCs w:val="22"/>
        </w:rPr>
      </w:pPr>
      <w:r w:rsidRPr="00F06ECE">
        <w:rPr>
          <w:szCs w:val="22"/>
        </w:rPr>
        <w:t>14.  Section 90.617 is revised by amending Table 1, Table 1A and Table 1B in paragraph (a); Table 2, Table 2A and Table 2B in paragraph (b); Table 4B, Table 4C and Table 4D in paragraph (d)  and adding new paragraphs (l) and (m) to the table to read as follows:</w:t>
      </w:r>
    </w:p>
    <w:p w:rsidR="004974BC" w:rsidRPr="00F06ECE" w:rsidP="004974BC">
      <w:pPr>
        <w:widowControl/>
        <w:tabs>
          <w:tab w:val="left" w:pos="0"/>
          <w:tab w:val="left" w:pos="270"/>
          <w:tab w:val="left" w:pos="2160"/>
          <w:tab w:val="left" w:pos="4320"/>
        </w:tabs>
        <w:suppressAutoHyphens/>
        <w:rPr>
          <w:spacing w:val="-3"/>
        </w:rPr>
      </w:pPr>
    </w:p>
    <w:p w:rsidR="004974BC" w:rsidRPr="00F06ECE" w:rsidP="004974BC">
      <w:pPr>
        <w:widowControl/>
        <w:autoSpaceDE w:val="0"/>
        <w:autoSpaceDN w:val="0"/>
        <w:adjustRightInd w:val="0"/>
        <w:rPr>
          <w:b/>
        </w:rPr>
      </w:pPr>
      <w:r w:rsidRPr="00F06ECE">
        <w:rPr>
          <w:b/>
        </w:rPr>
        <w:t>§ 90.617 Frequencies in the 809.750-824/854.750-869 MHz, and 896-901/935-940 MHz bands available for trunked, conventional or cellular system use in non-border areas.</w:t>
      </w:r>
    </w:p>
    <w:p w:rsidR="004974BC" w:rsidRPr="00F06ECE" w:rsidP="004974BC">
      <w:pPr>
        <w:widowControl/>
        <w:autoSpaceDE w:val="0"/>
        <w:autoSpaceDN w:val="0"/>
        <w:adjustRightInd w:val="0"/>
        <w:ind w:firstLine="720"/>
      </w:pPr>
    </w:p>
    <w:p w:rsidR="004974BC" w:rsidRPr="00F06ECE" w:rsidP="004974BC">
      <w:pPr>
        <w:widowControl/>
        <w:autoSpaceDE w:val="0"/>
        <w:autoSpaceDN w:val="0"/>
        <w:adjustRightInd w:val="0"/>
        <w:ind w:firstLine="720"/>
      </w:pPr>
      <w:r w:rsidRPr="00F06ECE">
        <w:t>* * * * *</w:t>
      </w:r>
    </w:p>
    <w:p w:rsidR="004974BC" w:rsidRPr="00F06ECE" w:rsidP="004974BC">
      <w:pPr>
        <w:widowControl/>
        <w:autoSpaceDE w:val="0"/>
        <w:autoSpaceDN w:val="0"/>
        <w:adjustRightInd w:val="0"/>
        <w:ind w:firstLine="720"/>
      </w:pPr>
    </w:p>
    <w:p w:rsidR="004974BC" w:rsidRPr="00F06ECE" w:rsidP="004974BC">
      <w:pPr>
        <w:widowControl/>
        <w:ind w:firstLine="720"/>
        <w:rPr>
          <w:szCs w:val="22"/>
        </w:rPr>
      </w:pPr>
      <w:r w:rsidRPr="00F06ECE">
        <w:rPr>
          <w:szCs w:val="22"/>
        </w:rPr>
        <w:t xml:space="preserve">(a) * * * </w:t>
      </w:r>
    </w:p>
    <w:p w:rsidR="004974BC" w:rsidRPr="00F06ECE" w:rsidP="004974BC">
      <w:pPr>
        <w:widowControl/>
        <w:jc w:val="center"/>
        <w:rPr>
          <w:bCs/>
        </w:rPr>
      </w:pPr>
      <w:r w:rsidRPr="00F06ECE">
        <w:rPr>
          <w:bCs/>
        </w:rPr>
        <w:t>Table 1—Public Safety Pool 806–816/851–861 MHz Band Channels</w:t>
      </w:r>
    </w:p>
    <w:p w:rsidR="004974BC" w:rsidRPr="00F06ECE" w:rsidP="004974BC">
      <w:pPr>
        <w:widowControl/>
        <w:jc w:val="center"/>
      </w:pPr>
      <w:r w:rsidRPr="00F06ECE">
        <w:t>[139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2213"/>
        <w:gridCol w:w="7177"/>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269–289–311–399–439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269a–289a–311a–399a–439a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270–290–312–400–440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270a–290a–312a–400a–440a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279–299–319–339–359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279a–299a–319a–339a–359a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280–300–320–340–360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280a–300a–320a–340a–360a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309–329–349–369–389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309a–329a–349a–369a–389a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310–330–350–370–390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310a–330a–350a–370a–390a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313</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szCs w:val="22"/>
              </w:rPr>
              <w:t>313–353–393–441–461</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313a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313a–353a–393a–441a–461a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314</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314–354–394–448–468</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314a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314a–354a–394a–448a–468a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321–341–361–381–419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321a–341a–361a–381a–419a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328–348–368–388–420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328a–348a–368a–388a–420a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351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351–379–409–429–449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351a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351a–379a–409a–429a–449a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352</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352–380–410–430–450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332a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352a–380a–410a–430a–450a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391, 392, 401, 408, 421, 428, 459, 460, 469, 470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391a, 392a, 401a, 408a, 421a, 428a, 459a, 460a, 469a</w:t>
            </w:r>
          </w:p>
        </w:tc>
      </w:tr>
    </w:tbl>
    <w:p w:rsidR="004974BC" w:rsidRPr="00F06ECE" w:rsidP="004974BC">
      <w:pPr>
        <w:widowControl/>
        <w:tabs>
          <w:tab w:val="left" w:pos="720"/>
        </w:tabs>
        <w:ind w:left="720"/>
      </w:pPr>
    </w:p>
    <w:p w:rsidR="004974BC" w:rsidRPr="00F06ECE" w:rsidP="004974BC">
      <w:pPr>
        <w:widowControl/>
        <w:autoSpaceDE w:val="0"/>
        <w:autoSpaceDN w:val="0"/>
        <w:adjustRightInd w:val="0"/>
        <w:ind w:firstLine="720"/>
      </w:pPr>
      <w:r w:rsidRPr="00F06ECE">
        <w:t>* * * * *</w:t>
      </w:r>
    </w:p>
    <w:p w:rsidR="004974BC" w:rsidRPr="00F06ECE" w:rsidP="004974BC">
      <w:pPr>
        <w:widowControl/>
        <w:tabs>
          <w:tab w:val="left" w:pos="720"/>
        </w:tabs>
        <w:ind w:left="720"/>
      </w:pPr>
    </w:p>
    <w:p w:rsidR="004974BC" w:rsidRPr="00F06ECE" w:rsidP="004974BC">
      <w:pPr>
        <w:widowControl/>
        <w:tabs>
          <w:tab w:val="left" w:pos="720"/>
        </w:tabs>
        <w:ind w:left="720"/>
      </w:pPr>
      <w:r w:rsidRPr="00F06ECE">
        <w:tab/>
        <w:t>(2) * * *</w:t>
      </w:r>
    </w:p>
    <w:p w:rsidR="004974BC" w:rsidRPr="00F06ECE" w:rsidP="004974BC">
      <w:pPr>
        <w:widowControl/>
        <w:tabs>
          <w:tab w:val="left" w:pos="720"/>
        </w:tabs>
        <w:ind w:left="720"/>
      </w:pPr>
    </w:p>
    <w:p w:rsidR="004974BC" w:rsidRPr="00F06ECE" w:rsidP="004974BC">
      <w:pPr>
        <w:widowControl/>
        <w:jc w:val="center"/>
        <w:rPr>
          <w:bCs/>
        </w:rPr>
      </w:pPr>
      <w:r w:rsidRPr="00F06ECE">
        <w:rPr>
          <w:bCs/>
        </w:rPr>
        <w:t>Table 1A—Public Safety Pool 806–813.5/851–858.5 MHz Band Channels for Counties in Southeastern U.S.</w:t>
      </w:r>
    </w:p>
    <w:p w:rsidR="004974BC" w:rsidRPr="00F06ECE" w:rsidP="004974BC">
      <w:pPr>
        <w:widowControl/>
        <w:jc w:val="center"/>
      </w:pPr>
      <w:r w:rsidRPr="00F06ECE">
        <w:t>[1</w:t>
      </w:r>
      <w:r>
        <w:t>39</w:t>
      </w:r>
      <w:r w:rsidRPr="00F06ECE">
        <w:t xml:space="preserve">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2037"/>
        <w:gridCol w:w="7353"/>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rPr>
          <w:trHeight w:val="365"/>
        </w:trPr>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261–313–324–335–353</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261a–313a–324a–335a–353a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262–314–325–336–354</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262a–314a–325a–336a–354a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265</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265–285–315–333–351</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265a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265a–285a–315a–333a–351a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266–286–316–334–352</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266a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266a–286a–316a–334a–352a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269–289–311–322–357</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269a–289a–311a–322a–357a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270–290–312–323–355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270a–290a–312a–323a–355a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271–328–348–358–368</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271a–328a–348a–358a–368a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279–299–317–339–359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279a–299a–317a–339a–359a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280–300–318–340–360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280a–300a–318a–340a–360a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309–319–329–349–369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309a–319a–329a–349a–369a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310–320–330–350–370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310a–320a–330a–350a–370a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321–331–341–361–372</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321a–331a–341a–361a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326, 327, 332, 337, 338, 342, 343, 344, 345, 356</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326a, 327a, 332a, 337a, 338a, 342a, 343a, 344a, 345a, 356a</w:t>
            </w:r>
          </w:p>
        </w:tc>
      </w:tr>
    </w:tbl>
    <w:p w:rsidR="004974BC" w:rsidRPr="00F06ECE" w:rsidP="004974BC">
      <w:pPr>
        <w:widowControl/>
        <w:tabs>
          <w:tab w:val="left" w:pos="720"/>
        </w:tabs>
        <w:ind w:left="720"/>
      </w:pPr>
    </w:p>
    <w:p w:rsidR="004974BC" w:rsidRPr="00F06ECE" w:rsidP="004974BC">
      <w:pPr>
        <w:widowControl/>
        <w:tabs>
          <w:tab w:val="left" w:pos="720"/>
        </w:tabs>
        <w:ind w:left="720"/>
      </w:pPr>
      <w:r w:rsidRPr="00F06ECE">
        <w:tab/>
        <w:t>(3) * * *</w:t>
      </w:r>
    </w:p>
    <w:p w:rsidR="004974BC" w:rsidRPr="00F06ECE" w:rsidP="004974BC">
      <w:pPr>
        <w:widowControl/>
        <w:jc w:val="center"/>
        <w:rPr>
          <w:bCs/>
        </w:rPr>
      </w:pPr>
    </w:p>
    <w:p w:rsidR="004974BC" w:rsidRPr="00F06ECE" w:rsidP="004974BC">
      <w:pPr>
        <w:widowControl/>
        <w:jc w:val="center"/>
        <w:rPr>
          <w:bCs/>
        </w:rPr>
      </w:pPr>
      <w:r w:rsidRPr="00F06ECE">
        <w:rPr>
          <w:bCs/>
        </w:rPr>
        <w:t>Table 1B—Public Safety Pool 806–813.5/851–858.5 MHz Band Channels for Atlanta, GA</w:t>
      </w:r>
    </w:p>
    <w:p w:rsidR="004974BC" w:rsidRPr="00F06ECE" w:rsidP="004974BC">
      <w:pPr>
        <w:widowControl/>
        <w:jc w:val="center"/>
      </w:pPr>
      <w:r w:rsidRPr="00F06ECE">
        <w:t>[1</w:t>
      </w:r>
      <w:r>
        <w:t>39</w:t>
      </w:r>
      <w:r w:rsidRPr="00F06ECE">
        <w:t xml:space="preserve">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2213"/>
        <w:gridCol w:w="7177"/>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261–313–324–335–353</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261a–313a–324a–335a–353a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262–314–325–336–354</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262a–314a–325a–336a–354a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269–289–311–322–357</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269a–289a–311a–322a–357a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270–290–312–323–355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270a–290a–312a–323a–355a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279–299–319–339–359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279a–299a–319a–339a–359a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280–300–320–340–360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280a–300a–320a–340a–360a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285</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285–315–333–351–379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285a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285a–315a–333a–351a–379a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286–316–334–352–380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286a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286a–316a–334a–352a–380a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309–329–349–369–389</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309a–329a–349a–369a–389a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310–330–350–370–390</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310a–330a–350a–370a–390a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321–331–341–361–381</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321a–331a–341a–361a–381a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328–348–358–368–388</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328a–348a–358a–368a–388a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317, 318, 326, 327, 332, 337, 338, 356, 371, 372</w:t>
            </w:r>
          </w:p>
          <w:p w:rsidR="004974BC" w:rsidRPr="00F06ECE" w:rsidP="00933418">
            <w:pPr>
              <w:widowControl/>
              <w:rPr>
                <w:rFonts w:eastAsia="Calibri"/>
              </w:rPr>
            </w:pPr>
            <w:r w:rsidRPr="00F06ECE">
              <w:rPr>
                <w:rFonts w:eastAsia="Calibri"/>
              </w:rPr>
              <w:t xml:space="preserve"> </w:t>
            </w:r>
          </w:p>
          <w:p w:rsidR="004974BC" w:rsidRPr="00F06ECE" w:rsidP="00933418">
            <w:pPr>
              <w:widowControl/>
              <w:rPr>
                <w:rFonts w:eastAsia="Calibri"/>
              </w:rPr>
            </w:pPr>
            <w:r w:rsidRPr="00F06ECE">
              <w:rPr>
                <w:rFonts w:eastAsia="Calibri"/>
              </w:rPr>
              <w:t>317a, 318a, 326a, 327a, 332a, 337a, 338a, 356a, 371a</w:t>
            </w:r>
          </w:p>
        </w:tc>
      </w:tr>
    </w:tbl>
    <w:p w:rsidR="004974BC" w:rsidRPr="00F06ECE" w:rsidP="004974BC">
      <w:pPr>
        <w:widowControl/>
        <w:tabs>
          <w:tab w:val="left" w:pos="720"/>
        </w:tabs>
        <w:ind w:left="720"/>
      </w:pPr>
    </w:p>
    <w:p w:rsidR="004974BC" w:rsidRPr="00F06ECE" w:rsidP="004974BC">
      <w:pPr>
        <w:pStyle w:val="ParaNum"/>
        <w:widowControl/>
        <w:numPr>
          <w:ilvl w:val="0"/>
          <w:numId w:val="0"/>
        </w:numPr>
        <w:tabs>
          <w:tab w:val="left" w:pos="720"/>
        </w:tabs>
        <w:spacing w:after="0"/>
        <w:ind w:left="720"/>
      </w:pPr>
      <w:r w:rsidRPr="00F06ECE">
        <w:tab/>
        <w:t>(b) * * *</w:t>
      </w:r>
    </w:p>
    <w:p w:rsidR="004974BC" w:rsidRPr="00F06ECE" w:rsidP="004974BC">
      <w:pPr>
        <w:widowControl/>
        <w:jc w:val="center"/>
        <w:rPr>
          <w:bCs/>
        </w:rPr>
      </w:pPr>
    </w:p>
    <w:p w:rsidR="004974BC" w:rsidRPr="00F06ECE" w:rsidP="004974BC">
      <w:pPr>
        <w:widowControl/>
        <w:jc w:val="center"/>
        <w:rPr>
          <w:bCs/>
        </w:rPr>
      </w:pPr>
      <w:r w:rsidRPr="00F06ECE">
        <w:rPr>
          <w:bCs/>
        </w:rPr>
        <w:t>Table 2—Business/Industrial/Land Transportation Pool 806–816/851–861 MHz Band Channels</w:t>
      </w:r>
    </w:p>
    <w:p w:rsidR="004974BC" w:rsidRPr="00F06ECE" w:rsidP="004974BC">
      <w:pPr>
        <w:widowControl/>
        <w:jc w:val="center"/>
      </w:pPr>
      <w:r w:rsidRPr="00F06ECE">
        <w:t>[200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75"/>
        <w:gridCol w:w="8315"/>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322</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322–362–402–442–482</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322a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322a–362a–402a–442a–482a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323</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323–363–403–443–483</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323a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323a–363a–403a–443a–483a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324</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324–364–404–444–484</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324a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324a–364a–404a–444a–484a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325</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325–365–405–445–485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325a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325a–365a–405a–445a–485a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326–366–406–446–486</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326a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326a–366a–406a–446a–486a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327</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327–367–407–447–487</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327a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327a–367a–407a–447a–487a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342</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342–382–422–462–502</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342a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342a–382a–422a–462a–502a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343</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343–383–423–463–503</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343a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343a–383a–423a–463a–503a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344</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344–384–424–464–504</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344a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344a–384a–424a–464a–504a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345</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345–385–425–465–505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345a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345a–385a–425a–465a–505a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346–386–426–466–506</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346a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346a–386a–426a–466a–506a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347</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347–387–427–467–507</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347a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347a–387a–427a–467a–507a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261, 271, 281, 291, 301, 262, 272, 282, 292, 302, 263, 273, 283, 293, 303, 264, 274,  284, 294, 304, 265, 275, 285, 295, 305, 266, 276, 286, 296, 306, 267, 277, 287, 297, 307, 268, 278, 288, 298, 308</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261a, 271a, 281a, 291a, 301a, 262a, 272a, 282a, 292a, 302a, 263a, 273a, 283a, 293a, 303a, 264a, 274a, 284a, 294a, 304a, 265a, 275a, 285a, 295a, 305a, 266a, 276a, 286a, 296a, 306a, 267a, 277a, 287a, 297a, 307a, 268a, 278a, 288a, 298a, 308a</w:t>
            </w:r>
          </w:p>
        </w:tc>
      </w:tr>
    </w:tbl>
    <w:p w:rsidR="004974BC" w:rsidRPr="00F06ECE" w:rsidP="004974BC">
      <w:pPr>
        <w:widowControl/>
        <w:tabs>
          <w:tab w:val="left" w:pos="720"/>
        </w:tabs>
        <w:ind w:left="720"/>
      </w:pPr>
    </w:p>
    <w:p w:rsidR="004974BC" w:rsidRPr="00F06ECE" w:rsidP="004974BC">
      <w:pPr>
        <w:widowControl/>
        <w:tabs>
          <w:tab w:val="left" w:pos="720"/>
        </w:tabs>
        <w:ind w:left="720"/>
      </w:pPr>
      <w:r w:rsidRPr="00F06ECE">
        <w:tab/>
        <w:t>(1) * * *</w:t>
      </w:r>
    </w:p>
    <w:p w:rsidR="004974BC" w:rsidRPr="00F06ECE" w:rsidP="004974BC">
      <w:pPr>
        <w:widowControl/>
        <w:jc w:val="center"/>
        <w:rPr>
          <w:bCs/>
        </w:rPr>
      </w:pPr>
    </w:p>
    <w:p w:rsidR="004974BC" w:rsidRPr="00F06ECE" w:rsidP="004974BC">
      <w:pPr>
        <w:widowControl/>
        <w:jc w:val="center"/>
        <w:rPr>
          <w:bCs/>
        </w:rPr>
      </w:pPr>
      <w:r w:rsidRPr="00F06ECE">
        <w:rPr>
          <w:bCs/>
        </w:rPr>
        <w:t>Table 2A—Business/Industrial/Land Transportation Pool 806–813.5/851–858.5 MHz Band for Channels in Southeastern U.S.</w:t>
      </w:r>
    </w:p>
    <w:p w:rsidR="004974BC" w:rsidRPr="00F06ECE" w:rsidP="004974BC">
      <w:pPr>
        <w:widowControl/>
        <w:jc w:val="center"/>
      </w:pPr>
      <w:r w:rsidRPr="00F06ECE">
        <w:t>[137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01"/>
        <w:gridCol w:w="8389"/>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F06ECE" w:rsidP="00933418">
            <w:pPr>
              <w:widowControl/>
              <w:jc w:val="center"/>
              <w:rPr>
                <w:rFonts w:ascii="Calibri" w:eastAsia="Calibri" w:hAnsi="Calibri"/>
                <w:b/>
                <w:bCs/>
              </w:rPr>
            </w:pPr>
            <w:r w:rsidRPr="00F06ECE">
              <w:rPr>
                <w:rFonts w:ascii="Calibri" w:eastAsia="Calibri" w:hAnsi="Calibri"/>
                <w:b/>
                <w:bCs/>
              </w:rPr>
              <w:t>  </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263, 264, 267, 268, 272, 273, 274, 275, 276, 277, 278, 281, 282, 283, 284, 287, 288, 291, 292, 293, 294, 295, 296, 297, 298, 301, 302, 303, 304, 305, 306, 307, 308, 346, 347, 362, 363, 364, 365, 366, 367, 379, 380, 381, 382, 383, 384, 385, 386, 387, 388, 389, 390, 391, 392, 393, 394, 399, 400, 401, 403, 403, 404, 405, 406, 407, 408, 409, 410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 xml:space="preserve">263a, 264a, 267a, 268a, 272a, 273a, 274a, 275a, 276a, 277a, 278a, 281a, 282a, 283a, 284a, 287a, 288a, 291a, 292a, 293a, 294a, 295a, 296a, 297a, 298a, 301a, 302a, 303a, 304a, 305a, 306a, 307a, 308a, 346a, 347a, 362a, 363a, 364a, 365a, 366a, 367a, 379a, 380a, 381a, 382a, 383a, 384a, 385a, 386a, 387a, 388a, 389a, 390a, 391a, 392a, 393a, 394a, 399a, 400a, 401a, 403a, 403a, 404a, 405a, 406a, 407a, 408a, 409a </w:t>
            </w:r>
          </w:p>
        </w:tc>
      </w:tr>
    </w:tbl>
    <w:p w:rsidR="004974BC" w:rsidRPr="00F06ECE" w:rsidP="004974BC">
      <w:pPr>
        <w:widowControl/>
        <w:tabs>
          <w:tab w:val="left" w:pos="720"/>
        </w:tabs>
        <w:ind w:left="720"/>
      </w:pPr>
    </w:p>
    <w:p w:rsidR="004974BC" w:rsidRPr="00F06ECE" w:rsidP="004974BC">
      <w:pPr>
        <w:widowControl/>
        <w:tabs>
          <w:tab w:val="left" w:pos="720"/>
        </w:tabs>
        <w:ind w:left="720"/>
      </w:pPr>
      <w:r w:rsidRPr="00F06ECE">
        <w:tab/>
        <w:t xml:space="preserve">(2) * * * </w:t>
      </w:r>
    </w:p>
    <w:p w:rsidR="004974BC" w:rsidRPr="00F06ECE" w:rsidP="004974BC">
      <w:pPr>
        <w:widowControl/>
        <w:jc w:val="center"/>
        <w:rPr>
          <w:bCs/>
        </w:rPr>
      </w:pPr>
    </w:p>
    <w:p w:rsidR="004974BC" w:rsidRPr="00F06ECE" w:rsidP="004974BC">
      <w:pPr>
        <w:widowControl/>
        <w:jc w:val="center"/>
        <w:rPr>
          <w:bCs/>
        </w:rPr>
      </w:pPr>
      <w:r w:rsidRPr="00F06ECE">
        <w:rPr>
          <w:bCs/>
        </w:rPr>
        <w:t>Table 2B—Business/Industrial/Land Transportation Pool 806–813.5/851–858.5 MHz Band for Channels in Atlanta, GA</w:t>
      </w:r>
    </w:p>
    <w:p w:rsidR="004974BC" w:rsidRPr="00F06ECE" w:rsidP="004974BC">
      <w:pPr>
        <w:widowControl/>
        <w:jc w:val="center"/>
      </w:pPr>
      <w:r w:rsidRPr="00F06ECE">
        <w:t>[137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01"/>
        <w:gridCol w:w="8389"/>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F06ECE" w:rsidP="00933418">
            <w:pPr>
              <w:widowControl/>
              <w:jc w:val="center"/>
              <w:rPr>
                <w:rFonts w:eastAsia="Calibri"/>
                <w:b/>
              </w:rPr>
            </w:pPr>
            <w:r w:rsidRPr="00F06ECE">
              <w:rPr>
                <w:rFonts w:eastAsia="Calibri"/>
                <w:b/>
              </w:rPr>
              <w:t>  </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263, 264, 265, 266, 267, 268, 271, 272, 273, 274, 275, 276, 277, 278, 281, 282, 283, 284, 287, 288, 291, 292, 293, 294, 295, 295, 297, 298, 301, 302, 303, 304, 305, 306, 307, 308, 342, 343, 344, 345, 346, 347, 362, 363, 364, 365, 366, 367, 382, 383, 384, 385, 386, 387, 391, 392, 393, 394, 399, 400, 401, 402, 403, 404, 405, 406, 407, 409, 410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263a, 264a, 265a, 266a, 267a, 268a, 271a, 272a, 273a, 274a, 275a, 276a, 277a, 278a, 281a, 282a, 283a, 284a, 287a, 288a, 291a, 292a, 293a, 294a, 295a, 295a, 297a, 298a, 301a, 302a, 303a, 304a, 305a, 306a, 307a, 308a, 342a, 343a, 344a, 345a, 346a, 347a, 362a, 363a, 364a, 365a, 366a, 367a, 382a, 383a, 384a, 385a, 386a, 387a, 391a, 392a, 393a, 394a, 399a, 400a, 401a, 402a, 403a, 404a, 405a, 406a, 407a, 409a</w:t>
            </w:r>
          </w:p>
        </w:tc>
      </w:tr>
    </w:tbl>
    <w:p w:rsidR="004974BC" w:rsidRPr="00F06ECE" w:rsidP="004974BC">
      <w:pPr>
        <w:widowControl/>
        <w:tabs>
          <w:tab w:val="left" w:pos="720"/>
        </w:tabs>
        <w:ind w:left="720"/>
      </w:pPr>
    </w:p>
    <w:p w:rsidR="004974BC" w:rsidRPr="00F06ECE" w:rsidP="004974BC">
      <w:pPr>
        <w:widowControl/>
        <w:autoSpaceDE w:val="0"/>
        <w:autoSpaceDN w:val="0"/>
        <w:adjustRightInd w:val="0"/>
        <w:ind w:firstLine="720"/>
      </w:pPr>
      <w:r w:rsidRPr="00F06ECE">
        <w:t>* * * * *</w:t>
      </w:r>
    </w:p>
    <w:p w:rsidR="004974BC" w:rsidRPr="00F06ECE" w:rsidP="004974BC">
      <w:pPr>
        <w:widowControl/>
        <w:ind w:firstLine="720"/>
        <w:rPr>
          <w:bCs/>
        </w:rPr>
      </w:pPr>
    </w:p>
    <w:p w:rsidR="004974BC" w:rsidRPr="00F06ECE" w:rsidP="004974BC">
      <w:pPr>
        <w:widowControl/>
        <w:ind w:firstLine="720"/>
        <w:rPr>
          <w:bCs/>
        </w:rPr>
      </w:pPr>
      <w:r w:rsidRPr="00F06ECE">
        <w:rPr>
          <w:bCs/>
        </w:rPr>
        <w:t xml:space="preserve"> (d) * * *</w:t>
      </w:r>
    </w:p>
    <w:p w:rsidR="004974BC" w:rsidRPr="00F06ECE" w:rsidP="004974BC">
      <w:pPr>
        <w:widowControl/>
        <w:jc w:val="center"/>
        <w:rPr>
          <w:bCs/>
        </w:rPr>
      </w:pPr>
    </w:p>
    <w:p w:rsidR="004974BC" w:rsidRPr="00F06ECE" w:rsidP="004974BC">
      <w:pPr>
        <w:widowControl/>
        <w:jc w:val="center"/>
        <w:rPr>
          <w:bCs/>
        </w:rPr>
      </w:pPr>
      <w:r w:rsidRPr="00F06ECE">
        <w:rPr>
          <w:bCs/>
        </w:rPr>
        <w:t>Table 4B—SMR Category 806–816/851–861 MHz Band Channels, Available After January 21, 2005, for Site-Based Licensing</w:t>
      </w:r>
    </w:p>
    <w:p w:rsidR="004974BC" w:rsidRPr="00F06ECE" w:rsidP="004974BC">
      <w:pPr>
        <w:widowControl/>
        <w:jc w:val="center"/>
      </w:pPr>
      <w:r w:rsidRPr="00F06ECE">
        <w:t>[160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306"/>
        <w:gridCol w:w="8084"/>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Group No.</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315</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315–355–395–435–475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315a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315a–355a–395a–435a–475a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316–356–396–436–476</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316a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316a–356a–396a–436a–476a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317</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317–357–397–437–477</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317a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317a–357a–397a–437a–477a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318</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318–358–398–438–478</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318a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318a–358a–398a–438a–478a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331</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331–371–411–451–491</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331a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331a–371a–411a–451a–491a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332</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332–372–412–452–492</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332a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332a–372a–412a–452a–492a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333</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333–373–413–453–493</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333a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333a–373a–413a–453a–493a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334</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334–374–414–454–494</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334a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334a–374a–414a–454a–494a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335</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335–375–415–455–495</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335a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335a–375a–415a–455a–495a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336–376–416–456–496</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336a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336a–376a–416a–456a–496a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337</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337–377–417–457–497</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337a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337a–377a–417a–457a–497a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338</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338–378–418–458–498</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338a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338a–378a–418a–458a–498a</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431, 432, 433, 434, 471, 472, 473, 474, 479, 480, 481, 488, 489, 490, 499, 500, 501, 508, 509, 510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431a, 432a, 433a, 434a, 471a, 472a, 473a, 474a, 479a, 480a, 481a, 488a, 489a, 490a, 499a, 500a, 501a, 508a, 509a, 510a</w:t>
            </w:r>
          </w:p>
        </w:tc>
      </w:tr>
    </w:tbl>
    <w:p w:rsidR="004974BC" w:rsidRPr="00F06ECE" w:rsidP="004974BC">
      <w:pPr>
        <w:widowControl/>
        <w:tabs>
          <w:tab w:val="left" w:pos="720"/>
        </w:tabs>
        <w:ind w:left="720"/>
      </w:pPr>
    </w:p>
    <w:p w:rsidR="004974BC" w:rsidRPr="00F06ECE" w:rsidP="004974BC">
      <w:pPr>
        <w:widowControl/>
        <w:tabs>
          <w:tab w:val="left" w:pos="0"/>
        </w:tabs>
        <w:ind w:left="720"/>
        <w:rPr>
          <w:b/>
        </w:rPr>
      </w:pPr>
      <w:r w:rsidRPr="00F06ECE">
        <w:t>(1) * * *</w:t>
      </w:r>
      <w:r w:rsidRPr="00F06ECE">
        <w:rPr>
          <w:b/>
        </w:rPr>
        <w:t xml:space="preserve"> </w:t>
      </w:r>
    </w:p>
    <w:p w:rsidR="004974BC" w:rsidRPr="00F06ECE" w:rsidP="004974BC">
      <w:pPr>
        <w:widowControl/>
        <w:jc w:val="center"/>
        <w:rPr>
          <w:bCs/>
        </w:rPr>
      </w:pPr>
    </w:p>
    <w:p w:rsidR="004974BC" w:rsidRPr="00F06ECE" w:rsidP="004974BC">
      <w:pPr>
        <w:widowControl/>
        <w:jc w:val="center"/>
        <w:rPr>
          <w:bCs/>
        </w:rPr>
      </w:pPr>
      <w:r w:rsidRPr="00F06ECE">
        <w:rPr>
          <w:bCs/>
        </w:rPr>
        <w:t>Table 4C—SMR Category 806–813.5/851–858.5 MHz Band Channels Available for Site-Based Licensing in Southeastern U.S. After January 21, 2005</w:t>
      </w:r>
    </w:p>
    <w:p w:rsidR="004974BC" w:rsidRPr="00F06ECE" w:rsidP="004974BC">
      <w:pPr>
        <w:widowControl/>
        <w:jc w:val="center"/>
      </w:pPr>
      <w:r w:rsidRPr="00F06ECE">
        <w:t>[22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872"/>
        <w:gridCol w:w="7518"/>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F06ECE" w:rsidP="00933418">
            <w:pPr>
              <w:widowControl/>
              <w:jc w:val="center"/>
              <w:rPr>
                <w:rFonts w:eastAsia="Calibri"/>
                <w:b/>
              </w:rPr>
            </w:pP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371, 373, 374, 375, 376, 377, 378, 395, 396, 397, 398</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 xml:space="preserve"> 371a, 373a, 374a, 375a, 376a, 377a, 378a, 395a, 396a, 397a, 398a</w:t>
            </w:r>
          </w:p>
        </w:tc>
      </w:tr>
    </w:tbl>
    <w:p w:rsidR="004974BC" w:rsidRPr="00F06ECE" w:rsidP="004974BC">
      <w:pPr>
        <w:widowControl/>
        <w:tabs>
          <w:tab w:val="left" w:pos="0"/>
        </w:tabs>
        <w:ind w:left="720"/>
        <w:rPr>
          <w:b/>
        </w:rPr>
      </w:pPr>
    </w:p>
    <w:p w:rsidR="004974BC" w:rsidRPr="00F06ECE" w:rsidP="004974BC">
      <w:pPr>
        <w:widowControl/>
        <w:tabs>
          <w:tab w:val="left" w:pos="0"/>
        </w:tabs>
        <w:ind w:left="720"/>
      </w:pPr>
      <w:r w:rsidRPr="00F06ECE">
        <w:t>(2) * * *</w:t>
      </w:r>
    </w:p>
    <w:p w:rsidR="004974BC" w:rsidRPr="00F06ECE" w:rsidP="004974BC">
      <w:pPr>
        <w:widowControl/>
        <w:jc w:val="center"/>
        <w:rPr>
          <w:bCs/>
        </w:rPr>
      </w:pPr>
    </w:p>
    <w:p w:rsidR="004974BC" w:rsidRPr="00F06ECE" w:rsidP="004974BC">
      <w:pPr>
        <w:widowControl/>
        <w:jc w:val="center"/>
        <w:rPr>
          <w:bCs/>
        </w:rPr>
      </w:pPr>
      <w:r w:rsidRPr="00F06ECE">
        <w:rPr>
          <w:bCs/>
        </w:rPr>
        <w:t>Table 4D—SMR Category 806–813.5/851–858.5 MHz Band Channels Available for Site-Based Licensing in Atlanta, GA after January 21, 2005</w:t>
      </w:r>
    </w:p>
    <w:p w:rsidR="004974BC" w:rsidRPr="00F06ECE" w:rsidP="004974BC">
      <w:pPr>
        <w:widowControl/>
        <w:jc w:val="center"/>
      </w:pPr>
      <w:r w:rsidRPr="00F06ECE">
        <w:t>[22 Channels]</w:t>
      </w:r>
    </w:p>
    <w:p w:rsidR="004974BC" w:rsidRPr="00F06ECE" w:rsidP="004974BC">
      <w:pPr>
        <w:widowControl/>
        <w:jc w:val="cente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886"/>
        <w:gridCol w:w="7504"/>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F06ECE" w:rsidP="00933418">
            <w:pPr>
              <w:widowControl/>
              <w:jc w:val="center"/>
              <w:rPr>
                <w:rFonts w:eastAsia="Calibri"/>
                <w:b/>
              </w:rPr>
            </w:pP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Single Channels</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autoSpaceDE w:val="0"/>
              <w:autoSpaceDN w:val="0"/>
              <w:adjustRightInd w:val="0"/>
              <w:rPr>
                <w:rFonts w:eastAsia="Calibri"/>
              </w:rPr>
            </w:pPr>
            <w:r w:rsidRPr="00F06ECE">
              <w:rPr>
                <w:rFonts w:eastAsia="Calibri"/>
              </w:rPr>
              <w:t>373, 374, 375, 376, 377, 378, 395, 396, 397, 398, 408</w:t>
            </w:r>
          </w:p>
          <w:p w:rsidR="004974BC" w:rsidRPr="00F06ECE" w:rsidP="00933418">
            <w:pPr>
              <w:widowControl/>
              <w:autoSpaceDE w:val="0"/>
              <w:autoSpaceDN w:val="0"/>
              <w:adjustRightInd w:val="0"/>
              <w:rPr>
                <w:rFonts w:eastAsia="Calibri"/>
              </w:rPr>
            </w:pPr>
          </w:p>
          <w:p w:rsidR="004974BC" w:rsidRPr="00F06ECE" w:rsidP="00933418">
            <w:pPr>
              <w:widowControl/>
              <w:rPr>
                <w:rFonts w:eastAsia="Calibri"/>
              </w:rPr>
            </w:pPr>
            <w:r w:rsidRPr="00F06ECE">
              <w:rPr>
                <w:rFonts w:eastAsia="Calibri"/>
              </w:rPr>
              <w:t>373a, 374a, 375a, 376a, 377a, 378a, 395a, 396a, 397a, 398a, 408a</w:t>
            </w:r>
          </w:p>
        </w:tc>
      </w:tr>
    </w:tbl>
    <w:p w:rsidR="004974BC" w:rsidRPr="00F06ECE" w:rsidP="004974BC">
      <w:pPr>
        <w:widowControl/>
        <w:tabs>
          <w:tab w:val="left" w:pos="0"/>
        </w:tabs>
        <w:ind w:left="720"/>
        <w:rPr>
          <w:b/>
        </w:rPr>
      </w:pPr>
    </w:p>
    <w:p w:rsidR="004974BC" w:rsidRPr="00F06ECE" w:rsidP="004974BC">
      <w:pPr>
        <w:widowControl/>
        <w:ind w:left="360" w:firstLine="360"/>
      </w:pPr>
      <w:r w:rsidRPr="00F06ECE">
        <w:rPr>
          <w:shd w:val="clear" w:color="auto" w:fill="FFFFFF"/>
        </w:rPr>
        <w:t>* * * * *</w:t>
      </w:r>
    </w:p>
    <w:p w:rsidR="004974BC" w:rsidRPr="00F06ECE" w:rsidP="004974BC">
      <w:pPr>
        <w:widowControl/>
        <w:ind w:firstLine="720"/>
        <w:rPr>
          <w:bCs/>
          <w:szCs w:val="22"/>
        </w:rPr>
      </w:pPr>
    </w:p>
    <w:p w:rsidR="004974BC" w:rsidRPr="00F06ECE" w:rsidP="004974BC">
      <w:pPr>
        <w:widowControl/>
        <w:rPr>
          <w:bCs/>
          <w:szCs w:val="22"/>
        </w:rPr>
      </w:pPr>
      <w:r w:rsidRPr="00F06ECE">
        <w:rPr>
          <w:bCs/>
          <w:szCs w:val="22"/>
        </w:rPr>
        <w:t>(l) Interstitial Channels.  Applicants may begin to license interstitial pool channels (denoted with an “a” after the channel number) listed above in paragraphs (a) through (d) only after the Wireless Telecommunications Bureau and the Public Safety and Homeland Security Bureau jointly release a public notice announcing the availability of those channels for licensing in a National Public Safety Planning Advisory Committee region.</w:t>
      </w:r>
    </w:p>
    <w:p w:rsidR="004974BC" w:rsidRPr="008F1BBA" w:rsidP="004974BC">
      <w:pPr>
        <w:widowControl/>
        <w:ind w:firstLine="720"/>
        <w:rPr>
          <w:bCs/>
          <w:szCs w:val="22"/>
        </w:rPr>
      </w:pPr>
    </w:p>
    <w:p w:rsidR="004974BC" w:rsidRPr="008F1BBA" w:rsidP="004974BC">
      <w:pPr>
        <w:pStyle w:val="NormalWeb"/>
        <w:widowControl/>
        <w:spacing w:before="0" w:beforeAutospacing="0" w:after="0" w:afterAutospacing="0"/>
        <w:rPr>
          <w:bCs/>
          <w:sz w:val="22"/>
          <w:szCs w:val="22"/>
        </w:rPr>
      </w:pPr>
      <w:r w:rsidRPr="00935433">
        <w:rPr>
          <w:bCs/>
          <w:sz w:val="22"/>
          <w:szCs w:val="22"/>
        </w:rPr>
        <w:t xml:space="preserve">(m)  T-Band Relocation.  Incumbent licensees in the 470-512 MHz band in the urban areas specified in § 90.303 of the Commission’s rules are given priority access </w:t>
      </w:r>
      <w:r>
        <w:rPr>
          <w:bCs/>
          <w:sz w:val="22"/>
          <w:szCs w:val="22"/>
        </w:rPr>
        <w:t xml:space="preserve">over mutually exclusive applicants </w:t>
      </w:r>
      <w:r w:rsidRPr="00935433">
        <w:rPr>
          <w:bCs/>
          <w:sz w:val="22"/>
          <w:szCs w:val="22"/>
        </w:rPr>
        <w:t xml:space="preserve">for a three-year period to all interstitial channel pairs </w:t>
      </w:r>
      <w:r w:rsidRPr="00072CFB">
        <w:rPr>
          <w:bCs/>
          <w:sz w:val="22"/>
          <w:szCs w:val="22"/>
        </w:rPr>
        <w:t xml:space="preserve">in the public safety pool or the business/industrial/land transportation pool listed above </w:t>
      </w:r>
      <w:r w:rsidRPr="00935433">
        <w:rPr>
          <w:bCs/>
          <w:sz w:val="22"/>
          <w:szCs w:val="22"/>
        </w:rPr>
        <w:t xml:space="preserve">for which they are eligible, provided that any relocating T-Band incumbent must commit to surrendering an equal amount of 470-512 MHz spectrum on a channel-for-channel basis.  The three-year period begins on the date these channel pairs become available for licensing in a National Public Safety Planning Advisory Committee region.  Priority access applies to any applicant seeking to license a base station within 80 kilometers (50 miles) or mobile units or control stations within 128 kilometers (80 miles) of the geographic center of the urbanized areas listed in § 90.303 of the Commission’s rules.  </w:t>
      </w:r>
    </w:p>
    <w:p w:rsidR="004974BC" w:rsidRPr="00F06ECE" w:rsidP="004974BC">
      <w:pPr>
        <w:widowControl/>
        <w:rPr>
          <w:shd w:val="clear" w:color="auto" w:fill="FFFFFF"/>
        </w:rPr>
      </w:pPr>
    </w:p>
    <w:p w:rsidR="004974BC" w:rsidRPr="00F06ECE" w:rsidP="004974BC">
      <w:pPr>
        <w:widowControl/>
        <w:spacing w:after="120"/>
      </w:pPr>
      <w:r w:rsidRPr="00F06ECE">
        <w:rPr>
          <w:szCs w:val="22"/>
        </w:rPr>
        <w:t>15.  Section</w:t>
      </w:r>
      <w:r w:rsidRPr="00F06ECE">
        <w:t xml:space="preserve"> 90.619 is revised by amending Table C6, Table C7, Table C8 and Table C9 to read as follows:</w:t>
      </w:r>
    </w:p>
    <w:p w:rsidR="004974BC" w:rsidRPr="00F06ECE" w:rsidP="004974BC">
      <w:pPr>
        <w:widowControl/>
        <w:tabs>
          <w:tab w:val="left" w:pos="0"/>
          <w:tab w:val="left" w:pos="270"/>
          <w:tab w:val="left" w:pos="2160"/>
          <w:tab w:val="left" w:pos="4320"/>
        </w:tabs>
        <w:suppressAutoHyphens/>
        <w:rPr>
          <w:spacing w:val="-3"/>
        </w:rPr>
      </w:pPr>
    </w:p>
    <w:p w:rsidR="004974BC" w:rsidRPr="00F06ECE" w:rsidP="004974BC">
      <w:pPr>
        <w:widowControl/>
        <w:tabs>
          <w:tab w:val="left" w:pos="0"/>
          <w:tab w:val="left" w:pos="770"/>
          <w:tab w:val="left" w:pos="2160"/>
          <w:tab w:val="left" w:pos="4320"/>
        </w:tabs>
        <w:suppressAutoHyphens/>
        <w:rPr>
          <w:rFonts w:ascii="Times" w:hAnsi="Times"/>
          <w:b/>
          <w:spacing w:val="-3"/>
        </w:rPr>
      </w:pPr>
      <w:r w:rsidRPr="00F06ECE">
        <w:rPr>
          <w:rFonts w:ascii="Times" w:hAnsi="Times"/>
          <w:b/>
          <w:spacing w:val="-3"/>
        </w:rPr>
        <w:t>§ 90.619 Operations within the U.S./Mexico and U.S./Canada border areas.</w:t>
      </w:r>
    </w:p>
    <w:p w:rsidR="004974BC" w:rsidRPr="00F06ECE" w:rsidP="004974BC">
      <w:pPr>
        <w:widowControl/>
        <w:tabs>
          <w:tab w:val="left" w:pos="0"/>
          <w:tab w:val="left" w:pos="770"/>
          <w:tab w:val="left" w:pos="2160"/>
          <w:tab w:val="left" w:pos="4320"/>
        </w:tabs>
        <w:suppressAutoHyphens/>
        <w:rPr>
          <w:rFonts w:ascii="Times" w:hAnsi="Times"/>
          <w:spacing w:val="-3"/>
        </w:rPr>
      </w:pPr>
    </w:p>
    <w:p w:rsidR="004974BC" w:rsidRPr="00F06ECE" w:rsidP="004974BC">
      <w:pPr>
        <w:widowControl/>
        <w:ind w:left="360" w:firstLine="360"/>
        <w:rPr>
          <w:shd w:val="clear" w:color="auto" w:fill="FFFFFF"/>
        </w:rPr>
      </w:pPr>
      <w:r w:rsidRPr="00F06ECE">
        <w:rPr>
          <w:shd w:val="clear" w:color="auto" w:fill="FFFFFF"/>
        </w:rPr>
        <w:t>* * * * *</w:t>
      </w:r>
    </w:p>
    <w:p w:rsidR="004974BC" w:rsidRPr="00F06ECE" w:rsidP="004974BC">
      <w:pPr>
        <w:widowControl/>
        <w:tabs>
          <w:tab w:val="left" w:pos="0"/>
          <w:tab w:val="left" w:pos="770"/>
          <w:tab w:val="left" w:pos="2160"/>
          <w:tab w:val="left" w:pos="4320"/>
        </w:tabs>
        <w:suppressAutoHyphens/>
        <w:rPr>
          <w:rFonts w:ascii="Times" w:hAnsi="Times"/>
          <w:spacing w:val="-3"/>
        </w:rPr>
      </w:pPr>
      <w:r w:rsidRPr="00F06ECE">
        <w:rPr>
          <w:rFonts w:ascii="Times" w:hAnsi="Times"/>
          <w:spacing w:val="-3"/>
        </w:rPr>
        <w:tab/>
      </w:r>
    </w:p>
    <w:p w:rsidR="004974BC" w:rsidRPr="00F06ECE" w:rsidP="004974BC">
      <w:pPr>
        <w:widowControl/>
        <w:tabs>
          <w:tab w:val="left" w:pos="0"/>
          <w:tab w:val="left" w:pos="770"/>
          <w:tab w:val="left" w:pos="2160"/>
          <w:tab w:val="left" w:pos="4320"/>
        </w:tabs>
        <w:suppressAutoHyphens/>
        <w:rPr>
          <w:spacing w:val="-3"/>
        </w:rPr>
      </w:pPr>
      <w:r w:rsidRPr="00F06ECE">
        <w:rPr>
          <w:rFonts w:ascii="Times" w:hAnsi="Times"/>
          <w:spacing w:val="-3"/>
        </w:rPr>
        <w:tab/>
        <w:t xml:space="preserve">(6) * * * </w:t>
      </w:r>
    </w:p>
    <w:p w:rsidR="004974BC" w:rsidRPr="00F06ECE" w:rsidP="004974BC">
      <w:pPr>
        <w:widowControl/>
        <w:jc w:val="center"/>
        <w:rPr>
          <w:bCs/>
        </w:rPr>
      </w:pPr>
    </w:p>
    <w:p w:rsidR="004974BC" w:rsidRPr="00F06ECE" w:rsidP="004974BC">
      <w:pPr>
        <w:widowControl/>
        <w:jc w:val="center"/>
        <w:rPr>
          <w:bCs/>
        </w:rPr>
      </w:pPr>
      <w:r w:rsidRPr="00F06ECE">
        <w:rPr>
          <w:bCs/>
        </w:rPr>
        <w:t>Table C6—Public Safety Pool 806–816/851–861 MHz Band Channels in the Canada Border Regions</w:t>
      </w:r>
    </w:p>
    <w:p w:rsidR="004974BC" w:rsidRPr="00F06ECE" w:rsidP="004974BC">
      <w:pPr>
        <w:widowControl/>
        <w:jc w:val="center"/>
        <w:rPr>
          <w:bCs/>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24"/>
        <w:gridCol w:w="7381"/>
        <w:gridCol w:w="985"/>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Canada Border Region</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Total</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Regions 1, 4, 5 and 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231–260a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60 Channels.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 2</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See paragraph (c)(6)(i) of this section</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 3</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231–320a, 501–508a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180 Channels.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Regions 7A and 8</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autoSpaceDE w:val="0"/>
              <w:autoSpaceDN w:val="0"/>
              <w:adjustRightInd w:val="0"/>
              <w:rPr>
                <w:rFonts w:eastAsia="Calibri"/>
              </w:rPr>
            </w:pPr>
            <w:r w:rsidRPr="00F06ECE">
              <w:rPr>
                <w:rFonts w:eastAsia="Calibri"/>
              </w:rPr>
              <w:t>269, 289, 311, 399, 439, 270, 290, 312, 400, 440, 279, 299, 319, 339, 359, 280, 300, 320, 340, 360, 309, 329, 349, 369, 389, 310, 330, 350, 370, 390, 313, 353, 393, 441, 461, 314, 354, 394, 448, 468, 321, 341, 361, 381, 419, 328, 348, 368, 388, 420, 351, 379, 409, 429, 449, 352, 380, 410, 430, 450, 391, 392, 401, 408, 421, 428, 459, 460, 469, 470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269a, 289a, 311a, 399a, 439a, 270a, 290a, 312a, 400a, 440a, 279a, 299a, 319a, 339a, 359a, 280a, 300a, 320a, 340a, 360a, 309a, 329a, 349a, 369a, 389a, 310a, 330a, 350a, 370a, 390a, 313a, 353a, 393a, 441a, 461a, 314a, 354a, 394a, 448a, 468a, 321a, 341a, 361a, 381a, 419a, 328a, 348a, 368a, 388a, 420a, 351a, 379a, 409a, 429a, 449a, 352a, 380a, 410a, 430a, 450a, 391a, 392a, 401a, 408a, 421a, 428a, 459a, 460a, 469a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139 Channels.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 7B</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autoSpaceDE w:val="0"/>
              <w:autoSpaceDN w:val="0"/>
              <w:adjustRightInd w:val="0"/>
              <w:rPr>
                <w:rFonts w:eastAsia="Calibri"/>
              </w:rPr>
            </w:pPr>
            <w:r w:rsidRPr="00F06ECE">
              <w:rPr>
                <w:rFonts w:eastAsia="Calibri"/>
              </w:rPr>
              <w:t>231–260, 269, 289, 311, 399, 439, 270, 290, 312, 400, 440, 279, 299, 319, 339, 359, 280, 300, 320, 340, 360, 309, 329, 349, 369, 389, 310, 330, 350, 370, 390, 313, 353, 393, 441, 461, 314, 354, 394, 448, 468, 315, 355, 395, 435, 475, 316, 356, 396, 436, 476, 317, 357, 397, 437, 477, 318, 358, 398, 438, 478, 321, 341, 361, 381, 419, 328, 348, 368, 388, 420, 331, 371, 411, 451, 491, 332, 372, 412, 452, 492, 333, 373, 413, 453, 493, 334, 374, 414, 454, 494, 335, 375, 415, 455, 495, 336, 376, 416, 456, 496, 337, 377, 417, 457, 497, 338, 378, 418, 458, 498, 351, 379, 409, 429, 449, 352, 380, 410, 430, 450, 391, 392, 401, 408, 421, 428, 459, 460, 469, 470, 431, 432, 433, 434, 471, 472, 473, 474, 479, 480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231a–260a, 269a, 289a, 311a, 399a, 439a, 270a, 290a, 312a, 400a, 440a, 279a, 299a, 319a, 339a, 359a, 280a, 300a, 320a, 340a, 360a, 309a, 329a, 349a, 369a, 389a, 310a, 330a, 350a, 370a, 390a, 313a, 353a, 393a, 441a, 461a, 314a, 354a, 394a, 448a, 468a, 315a, 355a, 395a, 435a, 475a, 316a, 356a, 396a, 436a, 476a, 317a, 357a, 397a, 437a, 477a, 318a, 358a, 398a, 438a, 478a, 321a, 341a, 361a, 381a, 419a, 328a, 348a, 368a, 388a, 420a, 331a, 371a, 411a, 451a, 491a, 332a, 372a, 412a, 452a, 492a, 333a, 373a, 413a, 453a, 493a, 334a, 374a, 414a, 454a, 494a, 335a, 375a, 415a, 455a, 495a, 336a, 376a, 416a, 456a, 496a, 337a, 377a, 417a, 457a, 497a, 338a, 378a, 418a, 458a, 498a, 351a, 379a, 409a, 429a, 449a, 352a, 380a, 410a, 430a, 450a, 391a, 392a, 401a, 408a, 421a, 428a, 459a, 460a, 469a, 431a, 432a, 433a, 434a, 471a, 472a, 473a, 474a, 479a, 480a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339 Channels.</w:t>
            </w:r>
          </w:p>
        </w:tc>
      </w:tr>
    </w:tbl>
    <w:p w:rsidR="004974BC" w:rsidRPr="00F06ECE" w:rsidP="004974BC">
      <w:pPr>
        <w:widowControl/>
        <w:tabs>
          <w:tab w:val="left" w:pos="0"/>
        </w:tabs>
        <w:ind w:left="720"/>
        <w:rPr>
          <w:szCs w:val="22"/>
        </w:rPr>
      </w:pPr>
    </w:p>
    <w:p w:rsidR="004974BC" w:rsidRPr="00F06ECE" w:rsidP="004974BC">
      <w:pPr>
        <w:widowControl/>
        <w:ind w:left="360" w:firstLine="360"/>
        <w:rPr>
          <w:szCs w:val="22"/>
          <w:shd w:val="clear" w:color="auto" w:fill="FFFFFF"/>
        </w:rPr>
      </w:pPr>
      <w:r w:rsidRPr="00F06ECE">
        <w:rPr>
          <w:szCs w:val="22"/>
          <w:shd w:val="clear" w:color="auto" w:fill="FFFFFF"/>
        </w:rPr>
        <w:t>* * * * *</w:t>
      </w:r>
    </w:p>
    <w:p w:rsidR="004974BC" w:rsidRPr="00F06ECE" w:rsidP="004974BC">
      <w:pPr>
        <w:widowControl/>
        <w:tabs>
          <w:tab w:val="left" w:pos="720"/>
        </w:tabs>
        <w:ind w:left="720"/>
        <w:rPr>
          <w:szCs w:val="22"/>
        </w:rPr>
      </w:pPr>
      <w:r w:rsidRPr="00F06ECE">
        <w:rPr>
          <w:szCs w:val="22"/>
        </w:rPr>
        <w:t xml:space="preserve"> </w:t>
      </w:r>
    </w:p>
    <w:p w:rsidR="004974BC" w:rsidRPr="00F06ECE" w:rsidP="004974BC">
      <w:pPr>
        <w:widowControl/>
        <w:tabs>
          <w:tab w:val="left" w:pos="720"/>
        </w:tabs>
        <w:ind w:left="720"/>
        <w:rPr>
          <w:szCs w:val="22"/>
        </w:rPr>
      </w:pPr>
      <w:r w:rsidRPr="00F06ECE">
        <w:rPr>
          <w:szCs w:val="22"/>
        </w:rPr>
        <w:t>(7) * * *</w:t>
      </w:r>
    </w:p>
    <w:p w:rsidR="004974BC" w:rsidRPr="00F06ECE" w:rsidP="004974BC">
      <w:pPr>
        <w:widowControl/>
        <w:jc w:val="center"/>
        <w:rPr>
          <w:b/>
          <w:bCs/>
          <w:szCs w:val="24"/>
        </w:rPr>
      </w:pPr>
      <w:r w:rsidRPr="00F06ECE">
        <w:rPr>
          <w:b/>
          <w:bCs/>
          <w:szCs w:val="24"/>
        </w:rPr>
        <w:tab/>
      </w:r>
    </w:p>
    <w:p w:rsidR="004974BC" w:rsidRPr="00F06ECE" w:rsidP="004974BC">
      <w:pPr>
        <w:widowControl/>
        <w:jc w:val="center"/>
        <w:rPr>
          <w:bCs/>
          <w:szCs w:val="22"/>
        </w:rPr>
      </w:pPr>
      <w:r w:rsidRPr="00F06ECE">
        <w:rPr>
          <w:bCs/>
          <w:szCs w:val="22"/>
        </w:rPr>
        <w:t>Table C7—General Category 806-821/851-866 MHz Band Channels in the Canada Border Regions</w:t>
      </w:r>
    </w:p>
    <w:p w:rsidR="004974BC" w:rsidRPr="00F06ECE" w:rsidP="004974BC">
      <w:pPr>
        <w:widowControl/>
        <w:jc w:val="center"/>
        <w:rPr>
          <w:bCs/>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tblCellMar>
        <w:tblLook w:val="04A0"/>
      </w:tblPr>
      <w:tblGrid>
        <w:gridCol w:w="1617"/>
        <w:gridCol w:w="3895"/>
        <w:gridCol w:w="3878"/>
      </w:tblGrid>
      <w:tr w:rsidTr="00933418">
        <w:tblPrEx>
          <w:tblW w:w="5000" w:type="pct"/>
          <w:jc w:val="center"/>
          <w:tblBorders>
            <w:top w:val="outset" w:sz="6" w:space="0" w:color="auto"/>
            <w:left w:val="outset" w:sz="6" w:space="0" w:color="auto"/>
            <w:bottom w:val="outset" w:sz="6" w:space="0" w:color="auto"/>
            <w:right w:val="outset" w:sz="6" w:space="0" w:color="auto"/>
          </w:tblBorders>
          <w:tblCellMar>
            <w:top w:w="120"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vAlign w:val="bottom"/>
            <w:hideMark/>
          </w:tcPr>
          <w:p w:rsidR="004974BC" w:rsidRPr="004C323A" w:rsidP="00933418">
            <w:pPr>
              <w:widowControl/>
              <w:snapToGrid w:val="0"/>
              <w:jc w:val="center"/>
              <w:rPr>
                <w:rFonts w:eastAsia="Calibri"/>
              </w:rPr>
            </w:pPr>
            <w:r w:rsidRPr="004C323A">
              <w:rPr>
                <w:rFonts w:eastAsia="Calibri"/>
              </w:rPr>
              <w:t>Canada border region</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vAlign w:val="bottom"/>
            <w:hideMark/>
          </w:tcPr>
          <w:p w:rsidR="004974BC" w:rsidRPr="004C323A" w:rsidP="00933418">
            <w:pPr>
              <w:widowControl/>
              <w:snapToGrid w:val="0"/>
              <w:jc w:val="center"/>
              <w:rPr>
                <w:rFonts w:eastAsia="Calibri"/>
              </w:rPr>
            </w:pPr>
            <w:r w:rsidRPr="004C323A">
              <w:rPr>
                <w:rFonts w:eastAsia="Calibri"/>
              </w:rPr>
              <w:t>General category channels where 800 MHz high density</w:t>
            </w:r>
            <w:r w:rsidRPr="004C323A">
              <w:rPr>
                <w:rFonts w:eastAsia="Calibri"/>
              </w:rPr>
              <w:br/>
              <w:t>cellular systems</w:t>
            </w:r>
            <w:r w:rsidRPr="004C323A">
              <w:rPr>
                <w:rFonts w:eastAsia="Calibri"/>
              </w:rPr>
              <w:br/>
              <w:t>are prohibited</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vAlign w:val="bottom"/>
            <w:hideMark/>
          </w:tcPr>
          <w:p w:rsidR="004974BC" w:rsidRPr="004C323A" w:rsidP="00933418">
            <w:pPr>
              <w:widowControl/>
              <w:snapToGrid w:val="0"/>
              <w:jc w:val="center"/>
              <w:rPr>
                <w:rFonts w:eastAsia="Calibri"/>
              </w:rPr>
            </w:pPr>
            <w:r w:rsidRPr="004C323A">
              <w:rPr>
                <w:rFonts w:eastAsia="Calibri"/>
              </w:rPr>
              <w:t>General category channels where 800 MHz high density</w:t>
            </w:r>
            <w:r w:rsidRPr="004C323A">
              <w:rPr>
                <w:rFonts w:eastAsia="Calibri"/>
              </w:rPr>
              <w:br/>
              <w:t>cellular systems</w:t>
            </w:r>
            <w:r w:rsidRPr="004C323A">
              <w:rPr>
                <w:rFonts w:eastAsia="Calibri"/>
              </w:rPr>
              <w:br/>
              <w:t xml:space="preserve">are permitted </w:t>
            </w:r>
          </w:p>
        </w:tc>
      </w:tr>
      <w:tr w:rsidTr="00933418">
        <w:tblPrEx>
          <w:tblW w:w="5000" w:type="pct"/>
          <w:jc w:val="center"/>
          <w:tblCellMar>
            <w:top w:w="120"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Regions 1, 4, 5 and 6</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jc w:val="right"/>
              <w:rPr>
                <w:rFonts w:eastAsia="Calibri"/>
              </w:rPr>
            </w:pPr>
            <w:r w:rsidRPr="00F06ECE">
              <w:rPr>
                <w:rFonts w:eastAsia="Calibri"/>
              </w:rPr>
              <w:t>261-560</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561-710</w:t>
            </w:r>
          </w:p>
        </w:tc>
      </w:tr>
      <w:tr w:rsidTr="00933418">
        <w:tblPrEx>
          <w:tblW w:w="5000" w:type="pct"/>
          <w:jc w:val="center"/>
          <w:tblCellMar>
            <w:top w:w="120"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Region 2</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jc w:val="right"/>
              <w:rPr>
                <w:rFonts w:eastAsia="Calibri"/>
              </w:rPr>
            </w:pPr>
            <w:r w:rsidRPr="00F06ECE">
              <w:rPr>
                <w:rFonts w:eastAsia="Calibri"/>
              </w:rPr>
              <w:t>231-620</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621-710</w:t>
            </w:r>
          </w:p>
        </w:tc>
      </w:tr>
      <w:tr w:rsidTr="00933418">
        <w:tblPrEx>
          <w:tblW w:w="5000" w:type="pct"/>
          <w:jc w:val="center"/>
          <w:tblCellMar>
            <w:top w:w="120"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Region 3</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jc w:val="right"/>
              <w:rPr>
                <w:rFonts w:eastAsia="Calibri"/>
              </w:rPr>
            </w:pPr>
            <w:r w:rsidRPr="00F06ECE">
              <w:rPr>
                <w:rFonts w:eastAsia="Calibri"/>
              </w:rPr>
              <w:t>321-500a</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509-710</w:t>
            </w:r>
          </w:p>
        </w:tc>
      </w:tr>
      <w:tr w:rsidTr="00933418">
        <w:tblPrEx>
          <w:tblW w:w="5000" w:type="pct"/>
          <w:jc w:val="center"/>
          <w:tblCellMar>
            <w:top w:w="120"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Regions 7A and 8</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jc w:val="right"/>
              <w:rPr>
                <w:rFonts w:eastAsia="Calibri"/>
              </w:rPr>
            </w:pPr>
            <w:r w:rsidRPr="00F06ECE">
              <w:rPr>
                <w:rFonts w:eastAsia="Calibri"/>
              </w:rPr>
              <w:t>231-260a, 511-550</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None</w:t>
            </w:r>
          </w:p>
        </w:tc>
      </w:tr>
      <w:tr w:rsidTr="00933418">
        <w:tblPrEx>
          <w:tblW w:w="5000" w:type="pct"/>
          <w:jc w:val="center"/>
          <w:tblCellMar>
            <w:top w:w="120"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Region 7B</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jc w:val="right"/>
              <w:rPr>
                <w:rFonts w:eastAsia="Calibri"/>
              </w:rPr>
            </w:pPr>
            <w:r w:rsidRPr="00F06ECE">
              <w:rPr>
                <w:rFonts w:eastAsia="Calibri"/>
              </w:rPr>
              <w:t>511-550</w:t>
            </w:r>
          </w:p>
        </w:tc>
        <w:tc>
          <w:tcPr>
            <w:tcW w:w="0" w:type="auto"/>
            <w:tcBorders>
              <w:top w:val="single" w:sz="6" w:space="0" w:color="000000"/>
              <w:left w:val="single" w:sz="6" w:space="0" w:color="000000"/>
              <w:bottom w:val="single" w:sz="6" w:space="0" w:color="000000"/>
              <w:right w:val="single" w:sz="6" w:space="0" w:color="000000"/>
            </w:tcBorders>
            <w:tcMar>
              <w:top w:w="120" w:type="dxa"/>
              <w:left w:w="15" w:type="dxa"/>
              <w:bottom w:w="15" w:type="dxa"/>
              <w:right w:w="15" w:type="dxa"/>
            </w:tcMar>
            <w:hideMark/>
          </w:tcPr>
          <w:p w:rsidR="004974BC" w:rsidRPr="00F06ECE" w:rsidP="00933418">
            <w:pPr>
              <w:widowControl/>
              <w:snapToGrid w:val="0"/>
              <w:rPr>
                <w:rFonts w:eastAsia="Calibri"/>
              </w:rPr>
            </w:pPr>
            <w:r w:rsidRPr="00F06ECE">
              <w:rPr>
                <w:rFonts w:eastAsia="Calibri"/>
              </w:rPr>
              <w:t>None</w:t>
            </w:r>
          </w:p>
        </w:tc>
      </w:tr>
    </w:tbl>
    <w:p w:rsidR="004974BC" w:rsidRPr="00F06ECE" w:rsidP="004974BC">
      <w:pPr>
        <w:widowControl/>
        <w:tabs>
          <w:tab w:val="left" w:pos="0"/>
        </w:tabs>
        <w:ind w:left="720"/>
        <w:rPr>
          <w:szCs w:val="22"/>
        </w:rPr>
      </w:pPr>
      <w:r w:rsidRPr="00F06ECE">
        <w:rPr>
          <w:szCs w:val="22"/>
        </w:rPr>
        <w:tab/>
      </w:r>
    </w:p>
    <w:p w:rsidR="004974BC" w:rsidRPr="00F06ECE" w:rsidP="004974BC">
      <w:pPr>
        <w:widowControl/>
        <w:tabs>
          <w:tab w:val="left" w:pos="0"/>
        </w:tabs>
        <w:ind w:left="720"/>
        <w:rPr>
          <w:szCs w:val="22"/>
        </w:rPr>
      </w:pPr>
      <w:r w:rsidRPr="00F06ECE">
        <w:rPr>
          <w:szCs w:val="22"/>
        </w:rPr>
        <w:t xml:space="preserve">(8) * * * </w:t>
      </w:r>
    </w:p>
    <w:p w:rsidR="004974BC" w:rsidRPr="00F06ECE" w:rsidP="004974BC">
      <w:pPr>
        <w:widowControl/>
        <w:jc w:val="center"/>
        <w:rPr>
          <w:bCs/>
          <w:szCs w:val="22"/>
        </w:rPr>
      </w:pPr>
    </w:p>
    <w:p w:rsidR="004974BC" w:rsidRPr="00F06ECE" w:rsidP="004974BC">
      <w:pPr>
        <w:widowControl/>
        <w:jc w:val="center"/>
        <w:rPr>
          <w:bCs/>
          <w:szCs w:val="22"/>
        </w:rPr>
      </w:pPr>
      <w:r w:rsidRPr="00F06ECE">
        <w:rPr>
          <w:bCs/>
          <w:szCs w:val="22"/>
        </w:rPr>
        <w:t>Table C8—Business/Industrial/Land Transportation Pool 806–816/851–861 MHz Band Channels in the Canada Border Regions</w:t>
      </w:r>
    </w:p>
    <w:p w:rsidR="004974BC" w:rsidRPr="00F06ECE" w:rsidP="004974BC">
      <w:pPr>
        <w:widowControl/>
        <w:jc w:val="center"/>
        <w:rPr>
          <w:bCs/>
          <w:szCs w:val="22"/>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90"/>
        <w:gridCol w:w="7369"/>
        <w:gridCol w:w="931"/>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Canada Border Region</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Total</w:t>
            </w:r>
          </w:p>
        </w:tc>
      </w:tr>
      <w:tr w:rsidTr="00933418">
        <w:tblPrEx>
          <w:tblW w:w="5000" w:type="pct"/>
          <w:tblCellMar>
            <w:top w:w="120" w:type="dxa"/>
            <w:left w:w="15" w:type="dxa"/>
            <w:bottom w:w="15" w:type="dxa"/>
            <w:right w:w="15" w:type="dxa"/>
          </w:tblCellMar>
          <w:tblLook w:val="0000"/>
        </w:tblPrEx>
        <w:trPr>
          <w:cantSplit/>
        </w:trPr>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Regions 1, 2, 3, 4, 5 and 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None</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0 Channels</w:t>
            </w:r>
          </w:p>
        </w:tc>
      </w:tr>
      <w:tr w:rsidTr="00933418">
        <w:tblPrEx>
          <w:tblW w:w="5000" w:type="pct"/>
          <w:tblCellMar>
            <w:top w:w="120" w:type="dxa"/>
            <w:left w:w="15" w:type="dxa"/>
            <w:bottom w:w="15" w:type="dxa"/>
            <w:right w:w="15" w:type="dxa"/>
          </w:tblCellMar>
          <w:tblLook w:val="0000"/>
        </w:tblPrEx>
        <w:trPr>
          <w:cantSplit/>
        </w:trPr>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Regions 7A, 7B and 8</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 xml:space="preserve">261, 271, 281, 291, 301, 262, 272, 282, 292, 302, 263, 273, 283, 293, 303, 264, 274, 284, 294, 304, 265, 275, 285, 295, 305, 266, 276, 286, 296, 306, 267, 277, 287, 297, 307, 268, 278, 288, 298, 308, 322, 362, 402, 442, 482, 323, 363, 403, 443, 483, 324, 364, 404, 444, 484, 325, 365, 405, 445, 485, 326, 366, 406, 446, 486, 327, 367, 407, 447, 487, 342, 382, 422, 462, 502, 343, 383, 423, 463, 503, 344, 384, 424, 464, 504, 345, 385, 425, 465, 505, 346, 386, 426, 466, 506, 347, 387, 427, 467, 507 </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261a, 271a, 281a, 291a, 301a, 262a, 272a, 282a, 292a, 302a, 263a, 273a, 283a, 293a, 303a, 264a, 274a, 284a, 294a, 304a, 265a, 275a, 285a, 295a, 305a, 266a, 276a, 286a, 296a, 306a, 267a, 277a, 287a, 297a, 307a, 268a, 278a, 288a, 298a, 308a, 322a, 362a, 402a, 442a, 482a, 323a, 363a, 403a, 443a, 483a, 324a, 364a, 404a, 444a, 484a, 325a, 365a, 405a, 445a, 485a, 326a, 366a, 406a, 446a, 486a, 327a, 367a, 407a, 447a, 487a, 342a, 382a, 422a, 462a, 502a, 343a, 383a, 423a, 463a, 503a, 344a, 384a, 424a, 464a, 504a, 345a, 385a, 425a, 465a, 505a, 346a, 386a, 426a, 466a, 506a, 347a, 387a, 427a, 467a, 507a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200 Channels</w:t>
            </w:r>
          </w:p>
        </w:tc>
      </w:tr>
    </w:tbl>
    <w:p w:rsidR="004974BC" w:rsidRPr="00F06ECE" w:rsidP="004974BC">
      <w:pPr>
        <w:widowControl/>
        <w:tabs>
          <w:tab w:val="left" w:pos="0"/>
        </w:tabs>
        <w:ind w:left="720"/>
        <w:rPr>
          <w:szCs w:val="22"/>
        </w:rPr>
      </w:pPr>
    </w:p>
    <w:p w:rsidR="004974BC" w:rsidRPr="00F06ECE" w:rsidP="004974BC">
      <w:pPr>
        <w:widowControl/>
        <w:tabs>
          <w:tab w:val="left" w:pos="0"/>
        </w:tabs>
        <w:ind w:left="720"/>
        <w:rPr>
          <w:szCs w:val="22"/>
        </w:rPr>
      </w:pPr>
      <w:r w:rsidRPr="00F06ECE">
        <w:rPr>
          <w:szCs w:val="22"/>
        </w:rPr>
        <w:t xml:space="preserve">(9) * * * </w:t>
      </w:r>
    </w:p>
    <w:p w:rsidR="004974BC" w:rsidRPr="00F06ECE" w:rsidP="004974BC">
      <w:pPr>
        <w:widowControl/>
        <w:jc w:val="center"/>
        <w:rPr>
          <w:bCs/>
          <w:szCs w:val="22"/>
        </w:rPr>
      </w:pPr>
    </w:p>
    <w:p w:rsidR="004974BC" w:rsidRPr="00F06ECE" w:rsidP="004974BC">
      <w:pPr>
        <w:widowControl/>
        <w:jc w:val="center"/>
        <w:rPr>
          <w:bCs/>
          <w:szCs w:val="22"/>
        </w:rPr>
      </w:pPr>
      <w:r w:rsidRPr="00F06ECE">
        <w:rPr>
          <w:bCs/>
          <w:szCs w:val="22"/>
        </w:rPr>
        <w:t>Table C9—SMR Category 806–816/851–861 MHz Channels Available for Site-Based Licensing in the Canada Border Regions</w:t>
      </w:r>
    </w:p>
    <w:p w:rsidR="004974BC" w:rsidRPr="00F06ECE" w:rsidP="004974BC">
      <w:pPr>
        <w:widowControl/>
        <w:jc w:val="center"/>
        <w:rPr>
          <w:bCs/>
          <w:szCs w:val="22"/>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
      <w:tblGrid>
        <w:gridCol w:w="1087"/>
        <w:gridCol w:w="7317"/>
        <w:gridCol w:w="986"/>
      </w:tblGrid>
      <w:tr w:rsidTr="00933418">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Canada Border Region</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Channel Nos.</w:t>
            </w:r>
          </w:p>
        </w:tc>
        <w:tc>
          <w:tcPr>
            <w:tcW w:w="0" w:type="auto"/>
            <w:tcBorders>
              <w:top w:val="single" w:sz="4" w:space="0" w:color="000000"/>
              <w:left w:val="single" w:sz="4" w:space="0" w:color="000000"/>
              <w:bottom w:val="single" w:sz="4" w:space="0" w:color="000000"/>
              <w:right w:val="single" w:sz="4" w:space="0" w:color="000000"/>
            </w:tcBorders>
            <w:vAlign w:val="bottom"/>
          </w:tcPr>
          <w:p w:rsidR="004974BC" w:rsidRPr="004C323A" w:rsidP="00933418">
            <w:pPr>
              <w:widowControl/>
              <w:jc w:val="center"/>
              <w:rPr>
                <w:rFonts w:eastAsia="Calibri"/>
              </w:rPr>
            </w:pPr>
            <w:r w:rsidRPr="004C323A">
              <w:rPr>
                <w:rFonts w:eastAsia="Calibri"/>
              </w:rPr>
              <w:t>Total</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Regions 1, 2, 3, 4, 5 and 6</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None</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0 Channels.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Regions 7A and 8</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315, 355, 395, 435, 475, 316, 356, 396, 436, 476, 317, 357, 397, 437, 477, 318, 358, 398, 438, 478, 331, 371, 411, 451, 491, 332, 372, 412, 452, 492, 333, 373, 413, 453, 493, 334, 374, 414, 454, 494, 335, 375, 415, 455, 495, 336, 376, 416, 456, 496, 337, 377, 417, 457, 497, 338, 378, 418, 458, 498, 431, 432, 433, 434, 471, 472, 473, 474, 479, 480, 481, 488, 489, 490, 499, 500, 501, 508, 509, 510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 xml:space="preserve">315a, 355a, 395a, 435a, 475a, 316a, 356a, 396a, 436a, 476a, 317a, 357a, 397a, 437a, 477a, 318a, 358a, 398a, 438a, 478a, 331a, 371a, 411a, 451a, 491a, 332a, 372a, 412a, 452a, 492a, 333a, 373a, 413a, 453a, 493a, 334a, 374a, 414a, 454a, 494a, 335a, 375a, 415a, 455a, 495a, 336a, 376a, 416a, 456a, 496a, 337a, 377a, 417a, 457a, 497a, 338a, 378a, 418a, 458a, 498a, 431a, 432a, 433a, 434a, 471a, 472a, 473a, 474a, 479a, 480a, 481a, 488a, 489a, 490a, 499a, 500a, 501a, 508a, </w:t>
            </w:r>
            <w:r w:rsidRPr="00F06ECE">
              <w:rPr>
                <w:rFonts w:eastAsia="Calibri"/>
              </w:rPr>
              <w:t>509a, 510a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160 Channels.</w:t>
            </w:r>
          </w:p>
        </w:tc>
      </w:tr>
      <w:tr w:rsidTr="00933418">
        <w:tblPrEx>
          <w:tblW w:w="5000" w:type="pct"/>
          <w:tblCellMar>
            <w:top w:w="120" w:type="dxa"/>
            <w:left w:w="15" w:type="dxa"/>
            <w:bottom w:w="15" w:type="dxa"/>
            <w:right w:w="15" w:type="dxa"/>
          </w:tblCellMar>
          <w:tblLook w:val="0000"/>
        </w:tblPrEx>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Region 7B</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481, 488, 489, 490, 499, 500, 501, 508, 509, 510</w:t>
            </w:r>
          </w:p>
          <w:p w:rsidR="004974BC" w:rsidRPr="00F06ECE" w:rsidP="00933418">
            <w:pPr>
              <w:widowControl/>
              <w:rPr>
                <w:rFonts w:eastAsia="Calibri"/>
              </w:rPr>
            </w:pPr>
          </w:p>
          <w:p w:rsidR="004974BC" w:rsidRPr="00F06ECE" w:rsidP="00933418">
            <w:pPr>
              <w:widowControl/>
              <w:rPr>
                <w:rFonts w:eastAsia="Calibri"/>
              </w:rPr>
            </w:pPr>
            <w:r w:rsidRPr="00F06ECE">
              <w:rPr>
                <w:rFonts w:eastAsia="Calibri"/>
              </w:rPr>
              <w:t>481a, 488a, 489a, 490a, 499a, 500a, 501a, 508a, 509a, 510a</w:t>
            </w:r>
          </w:p>
        </w:tc>
        <w:tc>
          <w:tcPr>
            <w:tcW w:w="0" w:type="auto"/>
            <w:tcBorders>
              <w:top w:val="single" w:sz="4" w:space="0" w:color="000000"/>
              <w:left w:val="single" w:sz="4" w:space="0" w:color="000000"/>
              <w:bottom w:val="single" w:sz="4" w:space="0" w:color="000000"/>
              <w:right w:val="single" w:sz="4" w:space="0" w:color="000000"/>
            </w:tcBorders>
          </w:tcPr>
          <w:p w:rsidR="004974BC" w:rsidRPr="00F06ECE" w:rsidP="00933418">
            <w:pPr>
              <w:widowControl/>
              <w:rPr>
                <w:rFonts w:eastAsia="Calibri"/>
              </w:rPr>
            </w:pPr>
            <w:r w:rsidRPr="00F06ECE">
              <w:rPr>
                <w:rFonts w:eastAsia="Calibri"/>
              </w:rPr>
              <w:t>20 Channels.</w:t>
            </w:r>
          </w:p>
        </w:tc>
      </w:tr>
    </w:tbl>
    <w:p w:rsidR="004974BC" w:rsidRPr="00F06ECE" w:rsidP="004974BC">
      <w:pPr>
        <w:widowControl/>
        <w:tabs>
          <w:tab w:val="left" w:pos="0"/>
        </w:tabs>
        <w:jc w:val="center"/>
        <w:rPr>
          <w:szCs w:val="22"/>
        </w:rPr>
      </w:pPr>
    </w:p>
    <w:p w:rsidR="004974BC" w:rsidRPr="00F06ECE" w:rsidP="004974BC">
      <w:pPr>
        <w:widowControl/>
        <w:ind w:left="360" w:firstLine="360"/>
        <w:rPr>
          <w:szCs w:val="22"/>
          <w:shd w:val="clear" w:color="auto" w:fill="FFFFFF"/>
        </w:rPr>
      </w:pPr>
      <w:r w:rsidRPr="00F06ECE">
        <w:rPr>
          <w:szCs w:val="22"/>
          <w:shd w:val="clear" w:color="auto" w:fill="FFFFFF"/>
        </w:rPr>
        <w:t>* * * * *</w:t>
      </w:r>
    </w:p>
    <w:p w:rsidR="004974BC" w:rsidRPr="00F06ECE" w:rsidP="004974BC">
      <w:pPr>
        <w:widowControl/>
        <w:rPr>
          <w:szCs w:val="22"/>
          <w:u w:val="single"/>
        </w:rPr>
      </w:pPr>
    </w:p>
    <w:p w:rsidR="004974BC" w:rsidRPr="00F06ECE" w:rsidP="004974BC">
      <w:pPr>
        <w:widowControl/>
        <w:rPr>
          <w:u w:val="single"/>
        </w:rPr>
      </w:pPr>
    </w:p>
    <w:p w:rsidR="004974BC" w:rsidRPr="00F06ECE" w:rsidP="004974BC">
      <w:pPr>
        <w:widowControl/>
        <w:spacing w:after="120"/>
        <w:rPr>
          <w:szCs w:val="22"/>
          <w:u w:val="single"/>
        </w:rPr>
      </w:pPr>
      <w:r w:rsidRPr="00F06ECE">
        <w:rPr>
          <w:szCs w:val="22"/>
        </w:rPr>
        <w:t xml:space="preserve">16.  Section 90.621 is revised by updating paragraphs (b) and (d), which was previously reserved, to read as follows: </w:t>
      </w:r>
    </w:p>
    <w:p w:rsidR="004974BC" w:rsidRPr="00F06ECE" w:rsidP="004974BC">
      <w:pPr>
        <w:widowControl/>
        <w:contextualSpacing/>
        <w:rPr>
          <w:szCs w:val="22"/>
        </w:rPr>
      </w:pPr>
    </w:p>
    <w:p w:rsidR="004974BC" w:rsidRPr="00F06ECE" w:rsidP="004974BC">
      <w:pPr>
        <w:widowControl/>
        <w:rPr>
          <w:szCs w:val="22"/>
        </w:rPr>
      </w:pPr>
      <w:r w:rsidRPr="00F06ECE">
        <w:rPr>
          <w:b/>
          <w:szCs w:val="22"/>
        </w:rPr>
        <w:t>§90.621   Selection and assignment of frequencies.</w:t>
      </w:r>
    </w:p>
    <w:p w:rsidR="004974BC" w:rsidRPr="00F06ECE" w:rsidP="004974BC">
      <w:pPr>
        <w:widowControl/>
        <w:contextualSpacing/>
        <w:rPr>
          <w:szCs w:val="22"/>
        </w:rPr>
      </w:pPr>
    </w:p>
    <w:p w:rsidR="004974BC" w:rsidRPr="00F06ECE" w:rsidP="004974BC">
      <w:pPr>
        <w:widowControl/>
        <w:ind w:firstLine="720"/>
        <w:contextualSpacing/>
        <w:rPr>
          <w:szCs w:val="22"/>
        </w:rPr>
      </w:pPr>
      <w:r w:rsidRPr="00F06ECE">
        <w:rPr>
          <w:szCs w:val="22"/>
        </w:rPr>
        <w:t>* * * * *</w:t>
      </w:r>
    </w:p>
    <w:p w:rsidR="004974BC" w:rsidRPr="00F06ECE" w:rsidP="004974BC">
      <w:pPr>
        <w:widowControl/>
        <w:autoSpaceDE w:val="0"/>
        <w:autoSpaceDN w:val="0"/>
        <w:adjustRightInd w:val="0"/>
        <w:ind w:firstLine="720"/>
      </w:pPr>
    </w:p>
    <w:p w:rsidR="004974BC" w:rsidRPr="00F06ECE" w:rsidP="004974BC">
      <w:pPr>
        <w:widowControl/>
        <w:autoSpaceDE w:val="0"/>
        <w:autoSpaceDN w:val="0"/>
        <w:adjustRightInd w:val="0"/>
      </w:pPr>
      <w:r w:rsidRPr="00F06ECE">
        <w:t xml:space="preserve">(b) Stations authorized on frequencies listed in this subpart, except for those stations authorized pursuant to paragraph (g) of this section and EA-based and MTA-based SMR systems, will be assigned co-channel frequencies solely on the basis of distance between fixed stations.  In addition, contour overlap as detailed in paragraph (d) of this section will be the basis for geographic separation between fixed stations operating on adjacent-channel frequencies in the 809-817 MHz / 854-862 MHz sub-band. The separation between co-channel systems will be a minimum of 113 km (70 mi) with one exception. For incumbent licensees in Channel Blocks F1 through V, that have received the consent of all affected parties or a certified frequency coordinator to </w:t>
      </w:r>
      <w:r>
        <w:t>us</w:t>
      </w:r>
      <w:r w:rsidRPr="00F06ECE">
        <w:t>e an 18 dBµV/m signal strength interference contour (see §90.693), the separation between co-channel systems will be a minimum of 173 km (107 mi). The following exceptions to these separations shall apply:</w:t>
      </w:r>
    </w:p>
    <w:p w:rsidR="004974BC" w:rsidRPr="00F06ECE" w:rsidP="004974BC">
      <w:pPr>
        <w:widowControl/>
        <w:autoSpaceDE w:val="0"/>
        <w:autoSpaceDN w:val="0"/>
        <w:adjustRightInd w:val="0"/>
      </w:pPr>
    </w:p>
    <w:p w:rsidR="004974BC" w:rsidRPr="00F06ECE" w:rsidP="004974BC">
      <w:pPr>
        <w:widowControl/>
        <w:ind w:left="360" w:firstLine="360"/>
        <w:contextualSpacing/>
      </w:pPr>
      <w:r w:rsidRPr="00F06ECE">
        <w:t>* * * * *</w:t>
      </w:r>
    </w:p>
    <w:p w:rsidR="004974BC" w:rsidRPr="00F06ECE" w:rsidP="004974BC">
      <w:pPr>
        <w:widowControl/>
        <w:autoSpaceDE w:val="0"/>
        <w:autoSpaceDN w:val="0"/>
        <w:adjustRightInd w:val="0"/>
      </w:pPr>
    </w:p>
    <w:p w:rsidR="004974BC" w:rsidRPr="00F06ECE" w:rsidP="004974BC">
      <w:pPr>
        <w:widowControl/>
        <w:autoSpaceDE w:val="0"/>
        <w:autoSpaceDN w:val="0"/>
        <w:adjustRightInd w:val="0"/>
      </w:pPr>
      <w:r w:rsidRPr="00F06ECE">
        <w:t xml:space="preserve">(d) Geographic separation between fixed stations operating on adjacent channels in the 809-817 MHz / 854-862 MHz band segment will be based on contour overlap as detailed below.  </w:t>
      </w:r>
    </w:p>
    <w:p w:rsidR="004974BC" w:rsidRPr="00F06ECE" w:rsidP="004974BC">
      <w:pPr>
        <w:widowControl/>
        <w:autoSpaceDE w:val="0"/>
        <w:autoSpaceDN w:val="0"/>
        <w:adjustRightInd w:val="0"/>
        <w:ind w:firstLine="720"/>
      </w:pPr>
    </w:p>
    <w:p w:rsidR="004974BC" w:rsidRPr="00187C6B" w:rsidP="004974BC">
      <w:pPr>
        <w:widowControl/>
        <w:tabs>
          <w:tab w:val="center" w:pos="4680"/>
        </w:tabs>
        <w:suppressAutoHyphens/>
        <w:rPr>
          <w:spacing w:val="-2"/>
        </w:rPr>
      </w:pPr>
      <w:r w:rsidRPr="00F06ECE">
        <w:t xml:space="preserve">(1) </w:t>
      </w:r>
      <w:r w:rsidRPr="00F06ECE">
        <w:rPr>
          <w:i/>
        </w:rPr>
        <w:t>Forward Contour Analysis</w:t>
      </w:r>
      <w:r w:rsidRPr="00F06ECE">
        <w:t xml:space="preserve">. An applicant seeking to license a fixed station on a channel in the 809-817 MHz / 854-862 MHz band segment will only be granted if the applicant’s proposed interference contour creates no overlap to the 40 dBu F(50,50) contour of an incumbent operating a fixed station on an upper- or lower-adjacent channel.  The applicant’s interference contour is determined using the dBu level listed in the appropriate table in paragraph </w:t>
      </w:r>
      <w:r>
        <w:fldChar w:fldCharType="begin"/>
      </w:r>
      <w:r>
        <w:instrText xml:space="preserve"> REF _Ref527654111 \r \h </w:instrText>
      </w:r>
      <w:r>
        <w:fldChar w:fldCharType="separate"/>
      </w:r>
      <w:r>
        <w:t>43</w:t>
      </w:r>
      <w:r>
        <w:fldChar w:fldCharType="end"/>
      </w:r>
      <w:r>
        <w:t xml:space="preserve"> of </w:t>
      </w:r>
      <w:r w:rsidRPr="00D1006A">
        <w:rPr>
          <w:i/>
          <w:spacing w:val="-2"/>
        </w:rPr>
        <w:t xml:space="preserve">Creation of Interstitial 12.5 Kilohertz Channels in the 800 MHz Band Between 809-817/854-862 </w:t>
      </w:r>
      <w:r>
        <w:rPr>
          <w:i/>
          <w:spacing w:val="-2"/>
        </w:rPr>
        <w:t xml:space="preserve">MHz, </w:t>
      </w:r>
      <w:r w:rsidRPr="00D1006A">
        <w:rPr>
          <w:i/>
          <w:spacing w:val="-2"/>
        </w:rPr>
        <w:t>et al</w:t>
      </w:r>
      <w:r>
        <w:rPr>
          <w:spacing w:val="-2"/>
        </w:rPr>
        <w:t>.</w:t>
      </w:r>
      <w:r>
        <w:rPr>
          <w:i/>
          <w:spacing w:val="-2"/>
        </w:rPr>
        <w:t xml:space="preserve"> </w:t>
      </w:r>
      <w:r>
        <w:rPr>
          <w:spacing w:val="-2"/>
        </w:rPr>
        <w:t xml:space="preserve">PS Docket No. 15-32 </w:t>
      </w:r>
      <w:r w:rsidRPr="00D1006A">
        <w:rPr>
          <w:i/>
          <w:spacing w:val="-2"/>
        </w:rPr>
        <w:t>et al</w:t>
      </w:r>
      <w:r>
        <w:rPr>
          <w:spacing w:val="-2"/>
        </w:rPr>
        <w:t xml:space="preserve">. Report and Order and Order, ___ FCC Rcd ____, ____ (2018), FCC 18-143 rel. Oct. 22, </w:t>
      </w:r>
      <w:r w:rsidRPr="003875D0">
        <w:rPr>
          <w:spacing w:val="-2"/>
        </w:rPr>
        <w:t>2018</w:t>
      </w:r>
      <w:r>
        <w:rPr>
          <w:spacing w:val="-2"/>
        </w:rPr>
        <w:t>. (PLMR Order)</w:t>
      </w:r>
    </w:p>
    <w:p w:rsidR="004974BC" w:rsidRPr="00D1006A" w:rsidP="004974BC">
      <w:pPr>
        <w:widowControl/>
        <w:autoSpaceDE w:val="0"/>
        <w:autoSpaceDN w:val="0"/>
        <w:adjustRightInd w:val="0"/>
        <w:rPr>
          <w:i/>
        </w:rPr>
      </w:pPr>
      <w:r w:rsidRPr="00F06ECE">
        <w:t xml:space="preserve"> </w:t>
      </w:r>
    </w:p>
    <w:p w:rsidR="004974BC" w:rsidRPr="00F06ECE" w:rsidP="004974BC">
      <w:pPr>
        <w:widowControl/>
        <w:autoSpaceDE w:val="0"/>
        <w:autoSpaceDN w:val="0"/>
        <w:adjustRightInd w:val="0"/>
        <w:ind w:firstLine="720"/>
      </w:pPr>
    </w:p>
    <w:p w:rsidR="004974BC" w:rsidRPr="00F06ECE" w:rsidP="004974BC">
      <w:pPr>
        <w:widowControl/>
        <w:autoSpaceDE w:val="0"/>
        <w:autoSpaceDN w:val="0"/>
        <w:adjustRightInd w:val="0"/>
      </w:pPr>
      <w:r w:rsidRPr="00F06ECE">
        <w:t xml:space="preserve">(2) </w:t>
      </w:r>
      <w:r w:rsidRPr="00F06ECE">
        <w:rPr>
          <w:i/>
        </w:rPr>
        <w:t>Reciprocal Contour Analysis</w:t>
      </w:r>
      <w:r w:rsidRPr="00F06ECE">
        <w:t xml:space="preserve">. In addition to the contour analysis described above, any applicant seeking to license a fixed station on a channel in the 809-817 MHz / 854-862 MHz band segment must also pass a reciprocal contour analysis.  Under the reciprocal analysis, the interference contour of an incumbent operating a fixed station on an upper- or lower-adjacent channel must create no contour overlap to the proposed 40 dBu F(50,50) contour of the applicant’s fixed station.  The incumbent’s interference contour is determined using the dBu level listed in the appropriate table in </w:t>
      </w:r>
      <w:r w:rsidRPr="00715B5A">
        <w:t>paragraph</w:t>
      </w:r>
      <w:r>
        <w:t xml:space="preserve"> </w:t>
      </w:r>
      <w:r>
        <w:fldChar w:fldCharType="begin"/>
      </w:r>
      <w:r>
        <w:instrText xml:space="preserve"> REF _Ref527654111 \r \h </w:instrText>
      </w:r>
      <w:r>
        <w:fldChar w:fldCharType="separate"/>
      </w:r>
      <w:r>
        <w:t>43</w:t>
      </w:r>
      <w:r>
        <w:fldChar w:fldCharType="end"/>
      </w:r>
      <w:r w:rsidRPr="00715B5A">
        <w:t xml:space="preserve"> of </w:t>
      </w:r>
      <w:r>
        <w:t xml:space="preserve">the </w:t>
      </w:r>
      <w:r w:rsidRPr="00D1006A">
        <w:rPr>
          <w:i/>
        </w:rPr>
        <w:t>PLMR Order</w:t>
      </w:r>
      <w:r>
        <w:t>, above.</w:t>
      </w:r>
      <w:r w:rsidRPr="00F06ECE">
        <w:t xml:space="preserve"> </w:t>
      </w:r>
    </w:p>
    <w:p w:rsidR="004974BC" w:rsidRPr="00F06ECE" w:rsidP="004974BC">
      <w:pPr>
        <w:widowControl/>
        <w:autoSpaceDE w:val="0"/>
        <w:autoSpaceDN w:val="0"/>
        <w:adjustRightInd w:val="0"/>
        <w:ind w:firstLine="720"/>
      </w:pPr>
    </w:p>
    <w:p w:rsidR="004974BC" w:rsidRPr="00F06ECE" w:rsidP="004974BC">
      <w:pPr>
        <w:widowControl/>
        <w:autoSpaceDE w:val="0"/>
        <w:autoSpaceDN w:val="0"/>
        <w:adjustRightInd w:val="0"/>
      </w:pPr>
      <w:r w:rsidRPr="00F06ECE">
        <w:t xml:space="preserve">(3) </w:t>
      </w:r>
      <w:r w:rsidRPr="00F06ECE">
        <w:rPr>
          <w:i/>
        </w:rPr>
        <w:t>Contour Matrix</w:t>
      </w:r>
      <w:r w:rsidRPr="00F06ECE">
        <w:t xml:space="preserve">.  Interference contour levels for the contour analysis described in paragraphs (1) and (2) are determined using Table 1 or Table 2 </w:t>
      </w:r>
      <w:r>
        <w:t xml:space="preserve">in paragraph </w:t>
      </w:r>
      <w:r>
        <w:fldChar w:fldCharType="begin"/>
      </w:r>
      <w:r>
        <w:instrText xml:space="preserve"> REF _Ref527654111 \r \h </w:instrText>
      </w:r>
      <w:r>
        <w:fldChar w:fldCharType="separate"/>
      </w:r>
      <w:r>
        <w:t>43</w:t>
      </w:r>
      <w:r>
        <w:fldChar w:fldCharType="end"/>
      </w:r>
      <w:r>
        <w:t xml:space="preserve"> of the </w:t>
      </w:r>
      <w:r w:rsidRPr="00D1006A">
        <w:rPr>
          <w:i/>
        </w:rPr>
        <w:t>PLMR Order</w:t>
      </w:r>
      <w:r w:rsidRPr="00F06ECE">
        <w:t xml:space="preserve">.  Table 1 is used to determine the interference contour level of a fixed station operating on a 12.5 kilohertz bandwidth </w:t>
      </w:r>
      <w:r w:rsidRPr="00F06ECE">
        <w:t xml:space="preserve">channel while Table 2 is used to determine the interference contour level of a fixed station operating on a 25 kilohertz bandwidth channel.  The dBu level of the interference contour is determined by cross-referencing the modulation type of the station operating on the 25 kilohertz bandwidth channel with the modulation type of the station operating on the 12.5 kilohertz bandwidth channel.  The interference contour should be plotted using the F(50,10) R-6602 curves.  </w:t>
      </w:r>
    </w:p>
    <w:p w:rsidR="004974BC" w:rsidRPr="00F06ECE" w:rsidP="004974BC">
      <w:pPr>
        <w:widowControl/>
      </w:pPr>
    </w:p>
    <w:p w:rsidR="004974BC" w:rsidRPr="00F06ECE" w:rsidP="004974BC">
      <w:pPr>
        <w:widowControl/>
        <w:rPr>
          <w:szCs w:val="22"/>
        </w:rPr>
      </w:pPr>
    </w:p>
    <w:p w:rsidR="004974BC" w:rsidP="004974BC">
      <w:pPr>
        <w:widowControl/>
        <w:autoSpaceDE w:val="0"/>
        <w:autoSpaceDN w:val="0"/>
        <w:adjustRightInd w:val="0"/>
        <w:rPr>
          <w:szCs w:val="22"/>
        </w:rPr>
      </w:pPr>
      <w:r w:rsidRPr="00F06ECE">
        <w:rPr>
          <w:szCs w:val="22"/>
        </w:rPr>
        <w:t xml:space="preserve">(4) </w:t>
      </w:r>
      <w:r w:rsidRPr="00F06ECE">
        <w:rPr>
          <w:i/>
          <w:szCs w:val="22"/>
        </w:rPr>
        <w:t>Letters of Concurrence</w:t>
      </w:r>
      <w:r w:rsidRPr="00F06ECE">
        <w:rPr>
          <w:szCs w:val="22"/>
        </w:rPr>
        <w:t>.  Applicants may submit applications which cause overlap under the forward contour analysis described above in paragraph (1) provided the applicant includes a letter of concurrence from each incumbent that receives contour overlap.  In the letter of concurrence, the incumbent operator must agree to accept any interference that occurs as a result of the contour overlap.</w:t>
      </w:r>
      <w:r>
        <w:rPr>
          <w:szCs w:val="22"/>
        </w:rPr>
        <w:t xml:space="preserve">  Applicants may also submit applications which receive contour overlap under the reciprocal analysis described above in paragraph (2) provided the applicant includes a letter of concurrence from each incumbent that causes contour overlap.  In this case, the incumbent operator must state in its letter of concurrence that it does not object to the applicant receiving contour overlap from the incumbent’s facility.</w:t>
      </w:r>
    </w:p>
    <w:p w:rsidR="004974BC" w:rsidP="004974BC">
      <w:pPr>
        <w:widowControl/>
        <w:autoSpaceDE w:val="0"/>
        <w:autoSpaceDN w:val="0"/>
        <w:adjustRightInd w:val="0"/>
        <w:rPr>
          <w:szCs w:val="22"/>
        </w:rPr>
      </w:pPr>
    </w:p>
    <w:p w:rsidR="004974BC" w:rsidRPr="000C4622" w:rsidP="004974BC">
      <w:pPr>
        <w:widowControl/>
        <w:autoSpaceDE w:val="0"/>
        <w:autoSpaceDN w:val="0"/>
        <w:adjustRightInd w:val="0"/>
        <w:rPr>
          <w:szCs w:val="22"/>
        </w:rPr>
      </w:pPr>
      <w:r>
        <w:rPr>
          <w:szCs w:val="22"/>
        </w:rPr>
        <w:t xml:space="preserve">(5) </w:t>
      </w:r>
      <w:r>
        <w:rPr>
          <w:i/>
          <w:szCs w:val="22"/>
        </w:rPr>
        <w:t>Compliance date.</w:t>
      </w:r>
      <w:r>
        <w:rPr>
          <w:szCs w:val="22"/>
        </w:rPr>
        <w:t xml:space="preserve">  Paragraph (d)(4) of this rule contains information-collection and recordkeeping requirements.  Compliance will not be required until after approval by the Office of Management and Budget.  The Commission will publish a document in the </w:t>
      </w:r>
      <w:r>
        <w:rPr>
          <w:i/>
          <w:szCs w:val="22"/>
        </w:rPr>
        <w:t xml:space="preserve">Federal Register </w:t>
      </w:r>
      <w:r>
        <w:rPr>
          <w:szCs w:val="22"/>
        </w:rPr>
        <w:t>announcing that compliance date and revising this paragraph accordingly.</w:t>
      </w:r>
    </w:p>
    <w:p w:rsidR="004974BC" w:rsidRPr="00F06ECE" w:rsidP="004974BC">
      <w:pPr>
        <w:widowControl/>
        <w:autoSpaceDE w:val="0"/>
        <w:autoSpaceDN w:val="0"/>
        <w:adjustRightInd w:val="0"/>
        <w:ind w:firstLine="720"/>
        <w:rPr>
          <w:szCs w:val="22"/>
        </w:rPr>
      </w:pPr>
    </w:p>
    <w:p w:rsidR="004974BC" w:rsidRPr="00F06ECE" w:rsidP="004974BC">
      <w:pPr>
        <w:widowControl/>
        <w:ind w:left="360" w:firstLine="360"/>
      </w:pPr>
      <w:r w:rsidRPr="00F06ECE">
        <w:t>* * * * *</w:t>
      </w:r>
    </w:p>
    <w:p w:rsidR="00CD6ECA" w:rsidP="004974BC">
      <w:pPr>
        <w:widowControl/>
        <w:jc w:val="center"/>
        <w:rPr>
          <w:szCs w:val="22"/>
        </w:rPr>
        <w:sectPr w:rsidSect="00933418">
          <w:headerReference w:type="default" r:id="rId17"/>
          <w:footerReference w:type="even" r:id="rId18"/>
          <w:footerReference w:type="default" r:id="rId19"/>
          <w:headerReference w:type="first" r:id="rId20"/>
          <w:footerReference w:type="first" r:id="rId21"/>
          <w:pgSz w:w="12240" w:h="15840"/>
          <w:pgMar w:top="1440" w:right="1440" w:bottom="720" w:left="1440" w:header="720" w:footer="720" w:gutter="0"/>
          <w:cols w:space="720"/>
          <w:noEndnote/>
          <w:titlePg/>
        </w:sectPr>
      </w:pPr>
    </w:p>
    <w:p w:rsidR="004974BC" w:rsidRPr="00D25E3F" w:rsidP="004974BC">
      <w:pPr>
        <w:widowControl/>
        <w:jc w:val="center"/>
        <w:rPr>
          <w:rFonts w:ascii="Times New Roman Bold" w:hAnsi="Times New Roman Bold"/>
          <w:b/>
          <w:caps/>
          <w:szCs w:val="22"/>
        </w:rPr>
      </w:pPr>
      <w:r w:rsidRPr="00D25E3F">
        <w:rPr>
          <w:rFonts w:ascii="Times New Roman Bold" w:hAnsi="Times New Roman Bold"/>
          <w:b/>
          <w:caps/>
          <w:szCs w:val="22"/>
        </w:rPr>
        <w:t>Appendix C</w:t>
      </w:r>
    </w:p>
    <w:p w:rsidR="00CD6ECA" w:rsidP="004974BC">
      <w:pPr>
        <w:widowControl/>
        <w:jc w:val="center"/>
        <w:rPr>
          <w:b/>
          <w:szCs w:val="22"/>
        </w:rPr>
      </w:pPr>
    </w:p>
    <w:p w:rsidR="004974BC" w:rsidRPr="001F5F94" w:rsidP="004974BC">
      <w:pPr>
        <w:widowControl/>
        <w:jc w:val="center"/>
        <w:rPr>
          <w:szCs w:val="22"/>
          <w:u w:val="single"/>
        </w:rPr>
      </w:pPr>
      <w:r>
        <w:rPr>
          <w:b/>
          <w:szCs w:val="22"/>
        </w:rPr>
        <w:t>List of Commenters</w:t>
      </w:r>
    </w:p>
    <w:p w:rsidR="004974BC" w:rsidRPr="00E42CB9" w:rsidP="004974BC">
      <w:pPr>
        <w:pStyle w:val="ParaNum"/>
        <w:widowControl/>
        <w:numPr>
          <w:ilvl w:val="0"/>
          <w:numId w:val="0"/>
        </w:numPr>
        <w:tabs>
          <w:tab w:val="left" w:pos="720"/>
        </w:tabs>
        <w:ind w:firstLine="720"/>
        <w:rPr>
          <w:szCs w:val="22"/>
        </w:rPr>
      </w:pPr>
    </w:p>
    <w:p w:rsidR="004974BC" w:rsidRPr="00F64297" w:rsidP="004974BC">
      <w:pPr>
        <w:widowControl/>
        <w:rPr>
          <w:szCs w:val="22"/>
        </w:rPr>
      </w:pPr>
      <w:r w:rsidRPr="00E42CB9">
        <w:rPr>
          <w:b/>
          <w:szCs w:val="22"/>
        </w:rPr>
        <w:t>I.</w:t>
      </w:r>
      <w:r w:rsidRPr="00C9250C">
        <w:rPr>
          <w:szCs w:val="22"/>
        </w:rPr>
        <w:tab/>
      </w:r>
      <w:r w:rsidRPr="00C9250C">
        <w:rPr>
          <w:b/>
          <w:szCs w:val="22"/>
        </w:rPr>
        <w:t>Comments</w:t>
      </w:r>
      <w:r>
        <w:rPr>
          <w:b/>
          <w:szCs w:val="22"/>
        </w:rPr>
        <w:t xml:space="preserve"> in WP Docket No. 15-32</w:t>
      </w:r>
    </w:p>
    <w:p w:rsidR="004974BC" w:rsidRPr="00C6580C" w:rsidP="004974BC">
      <w:pPr>
        <w:widowControl/>
        <w:rPr>
          <w:b/>
        </w:rPr>
      </w:pPr>
    </w:p>
    <w:p w:rsidR="004974BC" w:rsidP="004974BC">
      <w:pPr>
        <w:widowControl/>
        <w:ind w:firstLine="720"/>
      </w:pPr>
      <w:r w:rsidRPr="00E27040">
        <w:t>American Electric Power Service Corp.</w:t>
      </w:r>
    </w:p>
    <w:p w:rsidR="004974BC" w:rsidP="004974BC">
      <w:pPr>
        <w:widowControl/>
        <w:ind w:firstLine="720"/>
      </w:pPr>
      <w:r>
        <w:t xml:space="preserve">Association of </w:t>
      </w:r>
      <w:r w:rsidRPr="00C6580C">
        <w:t>Public-Safety Communications Officials-International, Inc</w:t>
      </w:r>
      <w:r>
        <w:t>. (APCO)</w:t>
      </w:r>
    </w:p>
    <w:p w:rsidR="004974BC" w:rsidP="004974BC">
      <w:pPr>
        <w:widowControl/>
        <w:ind w:firstLine="720"/>
      </w:pPr>
      <w:r w:rsidRPr="00E27040">
        <w:t>The Boeing Company</w:t>
      </w:r>
      <w:r w:rsidRPr="00BE577E">
        <w:t xml:space="preserve"> </w:t>
      </w:r>
    </w:p>
    <w:p w:rsidR="004974BC" w:rsidP="004974BC">
      <w:pPr>
        <w:widowControl/>
        <w:ind w:firstLine="720"/>
      </w:pPr>
      <w:r w:rsidRPr="00E27040">
        <w:t>Keith M. Bradshaw</w:t>
      </w:r>
    </w:p>
    <w:p w:rsidR="004974BC" w:rsidP="004974BC">
      <w:pPr>
        <w:widowControl/>
        <w:ind w:firstLine="720"/>
      </w:pPr>
      <w:r w:rsidRPr="00E27040">
        <w:t>Entergy Services, Inc.</w:t>
      </w:r>
    </w:p>
    <w:p w:rsidR="004974BC" w:rsidP="004974BC">
      <w:pPr>
        <w:widowControl/>
        <w:ind w:firstLine="720"/>
      </w:pPr>
      <w:r w:rsidRPr="00E27040">
        <w:t>Enterprise Wireless Alliance</w:t>
      </w:r>
      <w:r>
        <w:t xml:space="preserve"> (EWA)</w:t>
      </w:r>
    </w:p>
    <w:p w:rsidR="004974BC" w:rsidRPr="00E27040" w:rsidP="004974BC">
      <w:pPr>
        <w:widowControl/>
        <w:ind w:firstLine="720"/>
      </w:pPr>
      <w:r w:rsidRPr="00E27040">
        <w:t>Land Mobile Communications Council</w:t>
      </w:r>
      <w:r>
        <w:t xml:space="preserve"> (LMCC)</w:t>
      </w:r>
    </w:p>
    <w:p w:rsidR="004974BC" w:rsidRPr="00E27040" w:rsidP="004974BC">
      <w:pPr>
        <w:widowControl/>
        <w:ind w:firstLine="720"/>
      </w:pPr>
      <w:r w:rsidRPr="00E27040">
        <w:t>Motorola Solutions, Inc.</w:t>
      </w:r>
      <w:r>
        <w:t xml:space="preserve"> (Motorola)</w:t>
      </w:r>
    </w:p>
    <w:p w:rsidR="004974BC" w:rsidP="004974BC">
      <w:pPr>
        <w:widowControl/>
        <w:ind w:firstLine="720"/>
      </w:pPr>
      <w:r w:rsidRPr="00E27040">
        <w:t>National Public Safety Telecommunications Council</w:t>
      </w:r>
      <w:r>
        <w:t xml:space="preserve"> (NPSTC)</w:t>
      </w:r>
    </w:p>
    <w:p w:rsidR="004974BC" w:rsidRPr="00E27040" w:rsidP="004974BC">
      <w:pPr>
        <w:widowControl/>
        <w:ind w:firstLine="720"/>
      </w:pPr>
      <w:r w:rsidRPr="00E27040">
        <w:t>Peak Relay Inc.</w:t>
      </w:r>
    </w:p>
    <w:p w:rsidR="004974BC" w:rsidRPr="00E27040" w:rsidP="004974BC">
      <w:pPr>
        <w:widowControl/>
        <w:ind w:firstLine="720"/>
      </w:pPr>
      <w:r w:rsidRPr="00E27040">
        <w:t>SouthernLINC Wireless</w:t>
      </w:r>
    </w:p>
    <w:p w:rsidR="004974BC" w:rsidRPr="00E27040" w:rsidP="004974BC">
      <w:pPr>
        <w:widowControl/>
        <w:ind w:firstLine="720"/>
      </w:pPr>
    </w:p>
    <w:p w:rsidR="004974BC" w:rsidRPr="00C6580C" w:rsidP="004974BC">
      <w:pPr>
        <w:widowControl/>
        <w:rPr>
          <w:b/>
        </w:rPr>
      </w:pPr>
      <w:r w:rsidRPr="00C6580C">
        <w:rPr>
          <w:b/>
        </w:rPr>
        <w:t>II.</w:t>
      </w:r>
      <w:r w:rsidRPr="00C6580C">
        <w:rPr>
          <w:b/>
        </w:rPr>
        <w:tab/>
        <w:t>Reply Comments</w:t>
      </w:r>
      <w:r>
        <w:rPr>
          <w:b/>
        </w:rPr>
        <w:t xml:space="preserve"> </w:t>
      </w:r>
      <w:r>
        <w:rPr>
          <w:b/>
          <w:szCs w:val="22"/>
        </w:rPr>
        <w:t>in WP Docket No. 15-32</w:t>
      </w:r>
    </w:p>
    <w:p w:rsidR="004974BC" w:rsidRPr="00C6580C" w:rsidP="004974BC">
      <w:pPr>
        <w:widowControl/>
        <w:rPr>
          <w:b/>
        </w:rPr>
      </w:pPr>
    </w:p>
    <w:p w:rsidR="004974BC" w:rsidP="004974BC">
      <w:pPr>
        <w:widowControl/>
        <w:ind w:firstLine="720"/>
      </w:pPr>
      <w:r w:rsidRPr="00E45EF8">
        <w:t>American Petroleum Institute</w:t>
      </w:r>
    </w:p>
    <w:p w:rsidR="004974BC" w:rsidRPr="00E45EF8" w:rsidP="004974BC">
      <w:pPr>
        <w:widowControl/>
        <w:ind w:firstLine="720"/>
      </w:pPr>
      <w:r w:rsidRPr="00E45EF8">
        <w:t>Robert L. Burchett</w:t>
      </w:r>
      <w:r w:rsidRPr="00BE577E">
        <w:t xml:space="preserve"> </w:t>
      </w:r>
    </w:p>
    <w:p w:rsidR="004974BC" w:rsidRPr="00E45EF8" w:rsidP="004974BC">
      <w:pPr>
        <w:widowControl/>
        <w:ind w:firstLine="720"/>
      </w:pPr>
      <w:r w:rsidRPr="00E45EF8">
        <w:t>EWA</w:t>
      </w:r>
    </w:p>
    <w:p w:rsidR="004974BC" w:rsidRPr="00E45EF8" w:rsidP="004974BC">
      <w:pPr>
        <w:widowControl/>
        <w:ind w:firstLine="720"/>
      </w:pPr>
      <w:r w:rsidRPr="00E45EF8">
        <w:t>State of Florida</w:t>
      </w:r>
      <w:r>
        <w:t xml:space="preserve"> (Florida)</w:t>
      </w:r>
    </w:p>
    <w:p w:rsidR="004974BC" w:rsidRPr="004C323A" w:rsidP="004974BC">
      <w:pPr>
        <w:widowControl/>
        <w:ind w:firstLine="720"/>
        <w:rPr>
          <w:lang w:val="fr-FR"/>
        </w:rPr>
      </w:pPr>
      <w:r w:rsidRPr="004C323A">
        <w:rPr>
          <w:lang w:val="fr-FR"/>
        </w:rPr>
        <w:t>LMCC [LMCC Contour Matrix]</w:t>
      </w:r>
    </w:p>
    <w:p w:rsidR="004974BC" w:rsidRPr="004C323A" w:rsidP="004974BC">
      <w:pPr>
        <w:widowControl/>
        <w:ind w:firstLine="720"/>
        <w:rPr>
          <w:lang w:val="fr-FR"/>
        </w:rPr>
      </w:pPr>
      <w:r w:rsidRPr="004C323A">
        <w:rPr>
          <w:lang w:val="fr-FR"/>
        </w:rPr>
        <w:t>RadioSoft, Inc.</w:t>
      </w:r>
    </w:p>
    <w:p w:rsidR="004974BC" w:rsidRPr="004C323A" w:rsidP="004974BC">
      <w:pPr>
        <w:widowControl/>
        <w:ind w:firstLine="720"/>
        <w:rPr>
          <w:lang w:val="fr-FR"/>
        </w:rPr>
      </w:pPr>
      <w:r w:rsidRPr="004C323A">
        <w:rPr>
          <w:lang w:val="fr-FR"/>
        </w:rPr>
        <w:t>Utilities Technology Council (UTC)</w:t>
      </w:r>
    </w:p>
    <w:p w:rsidR="004974BC" w:rsidRPr="004C323A" w:rsidP="004974BC">
      <w:pPr>
        <w:widowControl/>
        <w:rPr>
          <w:lang w:val="fr-FR"/>
        </w:rPr>
      </w:pPr>
    </w:p>
    <w:p w:rsidR="004974BC" w:rsidRPr="004C323A" w:rsidP="004974BC">
      <w:pPr>
        <w:widowControl/>
        <w:rPr>
          <w:b/>
          <w:lang w:val="fr-FR"/>
        </w:rPr>
      </w:pPr>
      <w:r w:rsidRPr="004C323A">
        <w:rPr>
          <w:b/>
          <w:lang w:val="fr-FR"/>
        </w:rPr>
        <w:t>III.</w:t>
      </w:r>
      <w:r w:rsidRPr="004C323A">
        <w:rPr>
          <w:b/>
          <w:lang w:val="fr-FR"/>
        </w:rPr>
        <w:tab/>
        <w:t xml:space="preserve">Comments on LMCC Contour Matrix </w:t>
      </w:r>
      <w:r w:rsidRPr="004C323A">
        <w:rPr>
          <w:b/>
          <w:szCs w:val="22"/>
          <w:lang w:val="fr-FR"/>
        </w:rPr>
        <w:t>in WP Docket No. 15-32</w:t>
      </w:r>
    </w:p>
    <w:p w:rsidR="004974BC" w:rsidRPr="004C323A" w:rsidP="004974BC">
      <w:pPr>
        <w:widowControl/>
        <w:rPr>
          <w:b/>
          <w:lang w:val="fr-FR"/>
        </w:rPr>
      </w:pPr>
    </w:p>
    <w:p w:rsidR="004974BC" w:rsidRPr="004C323A" w:rsidP="004974BC">
      <w:pPr>
        <w:widowControl/>
        <w:ind w:firstLine="720"/>
        <w:rPr>
          <w:lang w:val="fr-FR"/>
        </w:rPr>
      </w:pPr>
      <w:r w:rsidRPr="004C323A">
        <w:rPr>
          <w:lang w:val="fr-FR"/>
        </w:rPr>
        <w:t xml:space="preserve">APCO </w:t>
      </w:r>
    </w:p>
    <w:p w:rsidR="004974BC" w:rsidRPr="004C323A" w:rsidP="004974BC">
      <w:pPr>
        <w:widowControl/>
        <w:ind w:firstLine="720"/>
        <w:rPr>
          <w:lang w:val="fr-FR"/>
        </w:rPr>
      </w:pPr>
      <w:r w:rsidRPr="004C323A">
        <w:rPr>
          <w:lang w:val="fr-FR"/>
        </w:rPr>
        <w:t>JVCKenwood USA Corporation (</w:t>
      </w:r>
      <w:r w:rsidRPr="004C323A">
        <w:rPr>
          <w:i/>
          <w:lang w:val="fr-FR"/>
        </w:rPr>
        <w:t>Ex Parte</w:t>
      </w:r>
      <w:r w:rsidRPr="004C323A">
        <w:rPr>
          <w:lang w:val="fr-FR"/>
        </w:rPr>
        <w:t>)</w:t>
      </w:r>
    </w:p>
    <w:p w:rsidR="004974BC" w:rsidRPr="00E45EF8" w:rsidP="004974BC">
      <w:pPr>
        <w:widowControl/>
        <w:ind w:firstLine="720"/>
      </w:pPr>
      <w:r w:rsidRPr="00E45EF8">
        <w:t>Mobile Relay Associates</w:t>
      </w:r>
      <w:r>
        <w:t>, LLC (MRA)</w:t>
      </w:r>
    </w:p>
    <w:p w:rsidR="004974BC" w:rsidRPr="00E27040" w:rsidP="004974BC">
      <w:pPr>
        <w:widowControl/>
        <w:ind w:firstLine="720"/>
      </w:pPr>
      <w:r>
        <w:t>NPSTC</w:t>
      </w:r>
    </w:p>
    <w:p w:rsidR="004974BC" w:rsidRPr="00C6580C" w:rsidP="004974BC">
      <w:pPr>
        <w:widowControl/>
      </w:pPr>
    </w:p>
    <w:p w:rsidR="004974BC" w:rsidRPr="00F64297" w:rsidP="004974BC">
      <w:pPr>
        <w:widowControl/>
        <w:rPr>
          <w:szCs w:val="22"/>
        </w:rPr>
      </w:pPr>
      <w:r w:rsidRPr="00C6580C">
        <w:rPr>
          <w:b/>
        </w:rPr>
        <w:t>I</w:t>
      </w:r>
      <w:r>
        <w:rPr>
          <w:b/>
        </w:rPr>
        <w:t>V</w:t>
      </w:r>
      <w:r w:rsidRPr="00C6580C">
        <w:rPr>
          <w:b/>
        </w:rPr>
        <w:t>.</w:t>
      </w:r>
      <w:r w:rsidRPr="00C6580C">
        <w:rPr>
          <w:b/>
        </w:rPr>
        <w:tab/>
        <w:t>Comments</w:t>
      </w:r>
      <w:r>
        <w:rPr>
          <w:b/>
        </w:rPr>
        <w:t xml:space="preserve"> </w:t>
      </w:r>
      <w:r>
        <w:rPr>
          <w:b/>
          <w:szCs w:val="22"/>
        </w:rPr>
        <w:t>in WP Docket No. 16-261</w:t>
      </w:r>
    </w:p>
    <w:p w:rsidR="004974BC" w:rsidP="004974BC">
      <w:pPr>
        <w:widowControl/>
        <w:rPr>
          <w:b/>
        </w:rPr>
      </w:pPr>
    </w:p>
    <w:p w:rsidR="004974BC" w:rsidP="004974BC">
      <w:pPr>
        <w:widowControl/>
      </w:pPr>
      <w:r>
        <w:rPr>
          <w:b/>
        </w:rPr>
        <w:tab/>
      </w:r>
      <w:r>
        <w:t>ABN Health</w:t>
      </w:r>
    </w:p>
    <w:p w:rsidR="004974BC" w:rsidP="004974BC">
      <w:pPr>
        <w:widowControl/>
        <w:ind w:firstLine="720"/>
      </w:pPr>
      <w:r>
        <w:t>Absalom Gonzales, Inc.</w:t>
      </w:r>
    </w:p>
    <w:p w:rsidR="004974BC" w:rsidP="004974BC">
      <w:pPr>
        <w:widowControl/>
        <w:ind w:firstLine="720"/>
      </w:pPr>
      <w:r>
        <w:t>APCO</w:t>
      </w:r>
      <w:r w:rsidRPr="00AD00AB">
        <w:t xml:space="preserve"> </w:t>
      </w:r>
    </w:p>
    <w:p w:rsidR="004974BC" w:rsidP="004974BC">
      <w:pPr>
        <w:widowControl/>
        <w:ind w:firstLine="720"/>
      </w:pPr>
      <w:r>
        <w:t>Association of American Railroads</w:t>
      </w:r>
    </w:p>
    <w:p w:rsidR="004974BC" w:rsidP="004974BC">
      <w:pPr>
        <w:widowControl/>
        <w:ind w:firstLine="720"/>
        <w:rPr>
          <w:b/>
        </w:rPr>
      </w:pPr>
      <w:r>
        <w:t>At Home Health Equipment</w:t>
      </w:r>
    </w:p>
    <w:p w:rsidR="004974BC" w:rsidP="004974BC">
      <w:pPr>
        <w:widowControl/>
        <w:ind w:firstLine="720"/>
      </w:pPr>
      <w:r>
        <w:t>The Athlete’s Business Network</w:t>
      </w:r>
    </w:p>
    <w:p w:rsidR="004974BC" w:rsidP="004974BC">
      <w:pPr>
        <w:widowControl/>
        <w:ind w:firstLine="720"/>
      </w:pPr>
      <w:r>
        <w:t>Caito Foods Service, Inc.</w:t>
      </w:r>
    </w:p>
    <w:p w:rsidR="004974BC" w:rsidP="004974BC">
      <w:pPr>
        <w:widowControl/>
        <w:ind w:firstLine="720"/>
        <w:rPr>
          <w:b/>
        </w:rPr>
      </w:pPr>
      <w:r>
        <w:t>Central Station Alarm Association (CSAA)</w:t>
      </w:r>
    </w:p>
    <w:p w:rsidR="004974BC" w:rsidP="004974BC">
      <w:pPr>
        <w:widowControl/>
        <w:ind w:firstLine="720"/>
      </w:pPr>
      <w:r>
        <w:t>EWA</w:t>
      </w:r>
    </w:p>
    <w:p w:rsidR="004974BC" w:rsidP="004974BC">
      <w:pPr>
        <w:widowControl/>
      </w:pPr>
      <w:r>
        <w:tab/>
        <w:t>Florida</w:t>
      </w:r>
    </w:p>
    <w:p w:rsidR="004974BC" w:rsidP="004974BC">
      <w:pPr>
        <w:widowControl/>
        <w:ind w:firstLine="720"/>
      </w:pPr>
      <w:r>
        <w:t>Ice Reality LLC</w:t>
      </w:r>
      <w:r w:rsidRPr="00AD00AB">
        <w:t xml:space="preserve"> </w:t>
      </w:r>
    </w:p>
    <w:p w:rsidR="004974BC" w:rsidP="004974BC">
      <w:pPr>
        <w:widowControl/>
        <w:ind w:firstLine="720"/>
      </w:pPr>
      <w:r>
        <w:t>Ionic Wireless LLC</w:t>
      </w:r>
    </w:p>
    <w:p w:rsidR="004974BC" w:rsidP="004974BC">
      <w:pPr>
        <w:widowControl/>
      </w:pPr>
      <w:r>
        <w:tab/>
        <w:t>James Babcock, Inc.</w:t>
      </w:r>
      <w:r w:rsidRPr="00AD00AB">
        <w:t xml:space="preserve"> </w:t>
      </w:r>
    </w:p>
    <w:p w:rsidR="004974BC" w:rsidP="004974BC">
      <w:pPr>
        <w:widowControl/>
      </w:pPr>
      <w:r>
        <w:tab/>
        <w:t>LMCC</w:t>
      </w:r>
    </w:p>
    <w:p w:rsidR="004974BC" w:rsidP="004974BC">
      <w:pPr>
        <w:widowControl/>
      </w:pPr>
      <w:r>
        <w:tab/>
        <w:t>MRA</w:t>
      </w:r>
    </w:p>
    <w:p w:rsidR="004974BC" w:rsidP="004974BC">
      <w:pPr>
        <w:widowControl/>
      </w:pPr>
      <w:r>
        <w:tab/>
        <w:t>Maetrics, LLC</w:t>
      </w:r>
    </w:p>
    <w:p w:rsidR="004974BC" w:rsidP="004974BC">
      <w:pPr>
        <w:widowControl/>
      </w:pPr>
      <w:r>
        <w:tab/>
        <w:t>Marion Utilities</w:t>
      </w:r>
    </w:p>
    <w:p w:rsidR="004974BC" w:rsidP="004974BC">
      <w:pPr>
        <w:widowControl/>
        <w:ind w:firstLine="720"/>
      </w:pPr>
      <w:r>
        <w:t>Motorola</w:t>
      </w:r>
    </w:p>
    <w:p w:rsidR="004974BC" w:rsidP="004974BC">
      <w:pPr>
        <w:widowControl/>
        <w:ind w:firstLine="720"/>
      </w:pPr>
      <w:r>
        <w:t>M2M Spectrum Networks, LLC (M2M)</w:t>
      </w:r>
    </w:p>
    <w:p w:rsidR="004974BC" w:rsidP="004974BC">
      <w:pPr>
        <w:widowControl/>
      </w:pPr>
      <w:r>
        <w:tab/>
        <w:t>National Association of Broadcasters</w:t>
      </w:r>
    </w:p>
    <w:p w:rsidR="004974BC" w:rsidP="004974BC">
      <w:pPr>
        <w:widowControl/>
      </w:pPr>
      <w:r>
        <w:tab/>
        <w:t>The National Association of Manufacturers and MRFAC, Inc.</w:t>
      </w:r>
    </w:p>
    <w:p w:rsidR="004974BC" w:rsidP="004974BC">
      <w:pPr>
        <w:widowControl/>
        <w:ind w:firstLine="720"/>
      </w:pPr>
      <w:r>
        <w:t>National Regional Planning Council</w:t>
      </w:r>
    </w:p>
    <w:p w:rsidR="004974BC" w:rsidRPr="00AD00AB" w:rsidP="004974BC">
      <w:pPr>
        <w:widowControl/>
        <w:ind w:firstLine="720"/>
      </w:pPr>
      <w:r>
        <w:t>NPSTC</w:t>
      </w:r>
    </w:p>
    <w:p w:rsidR="004974BC" w:rsidP="004974BC">
      <w:pPr>
        <w:widowControl/>
        <w:ind w:firstLine="720"/>
      </w:pPr>
      <w:r>
        <w:t>One World Design &amp; Manufacturing Group Ltd</w:t>
      </w:r>
    </w:p>
    <w:p w:rsidR="004974BC" w:rsidP="004974BC">
      <w:pPr>
        <w:widowControl/>
      </w:pPr>
      <w:r>
        <w:tab/>
        <w:t>Roadrunner Delivery, Inc.</w:t>
      </w:r>
    </w:p>
    <w:p w:rsidR="004974BC" w:rsidP="004974BC">
      <w:pPr>
        <w:widowControl/>
      </w:pPr>
      <w:r>
        <w:tab/>
        <w:t>Sanford Health</w:t>
      </w:r>
    </w:p>
    <w:p w:rsidR="004974BC" w:rsidP="004974BC">
      <w:pPr>
        <w:widowControl/>
      </w:pPr>
      <w:r>
        <w:tab/>
        <w:t>Ubicquia LLC</w:t>
      </w:r>
    </w:p>
    <w:p w:rsidR="004974BC" w:rsidRPr="00E27040" w:rsidP="004974BC">
      <w:pPr>
        <w:widowControl/>
        <w:ind w:firstLine="720"/>
      </w:pPr>
      <w:r>
        <w:t>UTC</w:t>
      </w:r>
    </w:p>
    <w:p w:rsidR="004974BC" w:rsidRPr="00C6580C" w:rsidP="004974BC">
      <w:pPr>
        <w:widowControl/>
      </w:pPr>
    </w:p>
    <w:p w:rsidR="004974BC" w:rsidRPr="00C6580C" w:rsidP="004974BC">
      <w:pPr>
        <w:widowControl/>
        <w:rPr>
          <w:b/>
        </w:rPr>
      </w:pPr>
      <w:r>
        <w:rPr>
          <w:b/>
        </w:rPr>
        <w:t>V</w:t>
      </w:r>
      <w:r w:rsidRPr="00C6580C">
        <w:rPr>
          <w:b/>
        </w:rPr>
        <w:t>.</w:t>
      </w:r>
      <w:r w:rsidRPr="00C6580C">
        <w:rPr>
          <w:b/>
        </w:rPr>
        <w:tab/>
        <w:t>Reply Comments</w:t>
      </w:r>
      <w:r>
        <w:rPr>
          <w:b/>
        </w:rPr>
        <w:t xml:space="preserve"> </w:t>
      </w:r>
      <w:r>
        <w:rPr>
          <w:b/>
          <w:szCs w:val="22"/>
        </w:rPr>
        <w:t>in WP Docket No. 16-261</w:t>
      </w:r>
    </w:p>
    <w:p w:rsidR="004974BC" w:rsidRPr="00C6580C" w:rsidP="004974BC">
      <w:pPr>
        <w:widowControl/>
        <w:rPr>
          <w:b/>
        </w:rPr>
      </w:pPr>
    </w:p>
    <w:p w:rsidR="004974BC" w:rsidP="004974BC">
      <w:pPr>
        <w:widowControl/>
        <w:ind w:firstLine="720"/>
      </w:pPr>
      <w:r>
        <w:t>American Association of State Highway Transportation Officials</w:t>
      </w:r>
    </w:p>
    <w:p w:rsidR="004974BC" w:rsidP="004974BC">
      <w:pPr>
        <w:widowControl/>
        <w:ind w:firstLine="720"/>
      </w:pPr>
      <w:r>
        <w:t>CSAA</w:t>
      </w:r>
    </w:p>
    <w:p w:rsidR="004974BC" w:rsidP="004974BC">
      <w:pPr>
        <w:widowControl/>
        <w:ind w:firstLine="720"/>
      </w:pPr>
      <w:r>
        <w:t>EWA</w:t>
      </w:r>
    </w:p>
    <w:p w:rsidR="004974BC" w:rsidP="004974BC">
      <w:pPr>
        <w:widowControl/>
        <w:ind w:firstLine="720"/>
      </w:pPr>
      <w:r>
        <w:t>Government Wireless Technology &amp; Communications Association</w:t>
      </w:r>
    </w:p>
    <w:p w:rsidR="004974BC" w:rsidRPr="004C323A" w:rsidP="004974BC">
      <w:pPr>
        <w:widowControl/>
        <w:ind w:firstLine="720"/>
      </w:pPr>
      <w:r w:rsidRPr="004C323A">
        <w:t>LMCC</w:t>
      </w:r>
    </w:p>
    <w:p w:rsidR="004974BC" w:rsidRPr="004C323A" w:rsidP="004974BC">
      <w:pPr>
        <w:widowControl/>
        <w:ind w:firstLine="720"/>
      </w:pPr>
      <w:r w:rsidRPr="004C323A">
        <w:t>Motorola</w:t>
      </w:r>
    </w:p>
    <w:p w:rsidR="004974BC" w:rsidRPr="004C323A" w:rsidP="004974BC">
      <w:pPr>
        <w:widowControl/>
        <w:ind w:firstLine="720"/>
      </w:pPr>
      <w:r w:rsidRPr="004C323A">
        <w:t xml:space="preserve">MRA </w:t>
      </w:r>
    </w:p>
    <w:p w:rsidR="004974BC" w:rsidRPr="004C323A" w:rsidP="004974BC">
      <w:pPr>
        <w:widowControl/>
        <w:ind w:firstLine="720"/>
      </w:pPr>
      <w:r w:rsidRPr="004C323A">
        <w:t>MRFAC, Inc.</w:t>
      </w:r>
    </w:p>
    <w:p w:rsidR="004974BC" w:rsidP="004974BC">
      <w:pPr>
        <w:widowControl/>
        <w:ind w:firstLine="720"/>
      </w:pPr>
      <w:r>
        <w:t>M2M</w:t>
      </w:r>
    </w:p>
    <w:p w:rsidR="004974BC" w:rsidP="004974BC">
      <w:pPr>
        <w:widowControl/>
        <w:ind w:firstLine="720"/>
      </w:pPr>
      <w:r>
        <w:t>New York Communications Company, Inc.</w:t>
      </w:r>
    </w:p>
    <w:p w:rsidR="004974BC" w:rsidP="004974BC">
      <w:pPr>
        <w:widowControl/>
        <w:ind w:firstLine="720"/>
      </w:pPr>
      <w:r>
        <w:t>UTC</w:t>
      </w:r>
    </w:p>
    <w:p w:rsidR="004974BC" w:rsidP="004974BC">
      <w:pPr>
        <w:widowControl/>
        <w:ind w:firstLine="720"/>
        <w:rPr>
          <w:rFonts w:ascii="Times New Roman Bold" w:hAnsi="Times New Roman Bold"/>
          <w:b/>
          <w:caps/>
        </w:rPr>
      </w:pPr>
      <w:r>
        <w:t>Wireless Infrastructure Association</w:t>
      </w:r>
    </w:p>
    <w:p w:rsidR="00412FC5" w:rsidRPr="004974BC" w:rsidP="004974BC"/>
    <w:sectPr w:rsidSect="00B94E29">
      <w:headerReference w:type="default" r:id="rId22"/>
      <w:footerReference w:type="default" r:id="rId23"/>
      <w:headerReference w:type="first" r:id="rId24"/>
      <w:footerReference w:type="first" r:id="rId25"/>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55614C">
    <w:pPr>
      <w:pStyle w:val="Footer"/>
      <w:framePr w:wrap="around" w:vAnchor="text" w:hAnchor="margin" w:xAlign="center" w:y="1"/>
    </w:pPr>
    <w:r>
      <w:fldChar w:fldCharType="begin"/>
    </w:r>
    <w:r>
      <w:instrText xml:space="preserve">PAGE  </w:instrText>
    </w:r>
    <w:r>
      <w:fldChar w:fldCharType="separate"/>
    </w:r>
    <w:r>
      <w:fldChar w:fldCharType="end"/>
    </w:r>
  </w:p>
  <w:p w:rsidR="0093341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ECA" w:rsidP="00D25E3F">
    <w:pPr>
      <w:pStyle w:val="Footer"/>
      <w:jc w:val="center"/>
    </w:pPr>
    <w:r>
      <w:fldChar w:fldCharType="begin"/>
    </w:r>
    <w:r>
      <w:instrText xml:space="preserve"> PAGE   \* MERGEFORMAT </w:instrText>
    </w:r>
    <w:r>
      <w:fldChar w:fldCharType="separate"/>
    </w:r>
    <w:r>
      <w:rPr>
        <w:noProof/>
      </w:rPr>
      <w:t>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D25E3F">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D25E3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D25E3F">
    <w:pPr>
      <w:pStyle w:val="Footer"/>
      <w:jc w:val="center"/>
    </w:pPr>
    <w:r>
      <w:fldChar w:fldCharType="begin"/>
    </w:r>
    <w:r>
      <w:instrText xml:space="preserve"> PAGE   \* MERGEFORMAT </w:instrText>
    </w:r>
    <w:r>
      <w:fldChar w:fldCharType="separate"/>
    </w:r>
    <w:r>
      <w:rPr>
        <w:noProof/>
      </w:rPr>
      <w:t>43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D25E3F">
    <w:pPr>
      <w:pStyle w:val="Footer"/>
      <w:jc w:val="center"/>
    </w:pPr>
    <w:r>
      <w:fldChar w:fldCharType="begin"/>
    </w:r>
    <w:r>
      <w:instrText xml:space="preserve"> PAGE   \* MERGEFORMAT </w:instrText>
    </w:r>
    <w:r>
      <w:fldChar w:fldCharType="separate"/>
    </w:r>
    <w:r>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55614C">
    <w:pPr>
      <w:pStyle w:val="Footer"/>
      <w:framePr w:wrap="around" w:vAnchor="text" w:hAnchor="margin" w:xAlign="center" w:y="1"/>
    </w:pPr>
    <w:r>
      <w:fldChar w:fldCharType="begin"/>
    </w:r>
    <w:r>
      <w:instrText xml:space="preserve">PAGE  </w:instrText>
    </w:r>
    <w:r>
      <w:fldChar w:fldCharType="separate"/>
    </w:r>
    <w:r>
      <w:fldChar w:fldCharType="end"/>
    </w:r>
  </w:p>
  <w:p w:rsidR="00933418">
    <w:pPr>
      <w:pStyle w:val="Footer"/>
    </w:pPr>
  </w:p>
  <w:p w:rsidR="0093341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D25E3F">
    <w:pPr>
      <w:pStyle w:val="Footer"/>
      <w:jc w:val="center"/>
    </w:pPr>
    <w:r>
      <w:fldChar w:fldCharType="begin"/>
    </w:r>
    <w:r>
      <w:instrText xml:space="preserve"> PAGE   \* MERGEFORMAT </w:instrText>
    </w:r>
    <w:r>
      <w:fldChar w:fldCharType="separate"/>
    </w:r>
    <w:r>
      <w:rPr>
        <w:noProof/>
      </w:rPr>
      <w:t>84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D25E3F">
    <w:pPr>
      <w:pStyle w:val="Footer"/>
      <w:jc w:val="center"/>
    </w:pPr>
    <w:r>
      <w:fldChar w:fldCharType="begin"/>
    </w:r>
    <w:r>
      <w:instrText xml:space="preserve"> PAGE   \* MERGEFORMAT </w:instrText>
    </w:r>
    <w:r>
      <w:fldChar w:fldCharType="separate"/>
    </w:r>
    <w:r>
      <w:rPr>
        <w:noProof/>
      </w:rPr>
      <w:t>44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ECA" w:rsidP="00D25E3F">
    <w:pPr>
      <w:pStyle w:val="Footer"/>
      <w:jc w:val="center"/>
    </w:pPr>
    <w:r>
      <w:fldChar w:fldCharType="begin"/>
    </w:r>
    <w:r>
      <w:instrText xml:space="preserve"> PAGE   \* MERGEFORMAT </w:instrText>
    </w:r>
    <w:r>
      <w:fldChar w:fldCharType="separate"/>
    </w:r>
    <w:r>
      <w:rPr>
        <w:noProof/>
      </w:rPr>
      <w:t>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7F10">
      <w:r>
        <w:separator/>
      </w:r>
    </w:p>
  </w:footnote>
  <w:footnote w:type="continuationSeparator" w:id="1">
    <w:p w:rsidR="00217F10" w:rsidP="00C721AC">
      <w:pPr>
        <w:spacing w:before="120"/>
        <w:rPr>
          <w:sz w:val="20"/>
        </w:rPr>
      </w:pPr>
      <w:r>
        <w:rPr>
          <w:sz w:val="20"/>
        </w:rPr>
        <w:t xml:space="preserve">(Continued from previous page)  </w:t>
      </w:r>
      <w:r>
        <w:rPr>
          <w:sz w:val="20"/>
        </w:rPr>
        <w:separator/>
      </w:r>
    </w:p>
  </w:footnote>
  <w:footnote w:type="continuationNotice" w:id="2">
    <w:p w:rsidR="00217F10" w:rsidP="00C721AC">
      <w:pPr>
        <w:jc w:val="right"/>
        <w:rPr>
          <w:sz w:val="20"/>
        </w:rPr>
      </w:pPr>
      <w:r>
        <w:rPr>
          <w:sz w:val="20"/>
        </w:rPr>
        <w:t>(continued….)</w:t>
      </w:r>
    </w:p>
  </w:footnote>
  <w:footnote w:id="3">
    <w:p w:rsidR="00933418" w:rsidRPr="001C13BA" w:rsidP="004974BC">
      <w:pPr>
        <w:pStyle w:val="FootnoteText"/>
        <w:rPr>
          <w:i/>
        </w:rPr>
      </w:pPr>
      <w:r>
        <w:rPr>
          <w:rStyle w:val="FootnoteReference"/>
        </w:rPr>
        <w:footnoteRef/>
      </w:r>
      <w:r>
        <w:t xml:space="preserve"> </w:t>
      </w:r>
      <w:r>
        <w:rPr>
          <w:i/>
        </w:rPr>
        <w:t>1998 Biennial Regulatory Review – 47 C.F.R. Part 90 – Private Land Mobile Radio Services; Replacement of Part 90 by Part 88 to Revise the Private Land Mobile Radio Services and Modify the Policies Governing Them and Examination of Exclusivity and Frequency Assignment Policies of the Private Land Mobile Services</w:t>
      </w:r>
      <w:r>
        <w:t>,</w:t>
      </w:r>
      <w:r>
        <w:rPr>
          <w:i/>
        </w:rPr>
        <w:t xml:space="preserve"> </w:t>
      </w:r>
      <w:r w:rsidRPr="001C13BA">
        <w:t xml:space="preserve">Report and Order and Further Notice of Proposed </w:t>
      </w:r>
      <w:r>
        <w:t>Rule Making, 15 FCC Rcd 16673, 16674, para. 3 (2000) (</w:t>
      </w:r>
      <w:r>
        <w:rPr>
          <w:i/>
        </w:rPr>
        <w:t>PLMR Biennial Review Report and Order</w:t>
      </w:r>
      <w:r>
        <w:t>).</w:t>
      </w:r>
    </w:p>
  </w:footnote>
  <w:footnote w:id="4">
    <w:p w:rsidR="00933418" w:rsidP="004974BC">
      <w:pPr>
        <w:pStyle w:val="FootnoteText"/>
      </w:pPr>
      <w:r>
        <w:rPr>
          <w:rStyle w:val="FootnoteReference"/>
        </w:rPr>
        <w:footnoteRef/>
      </w:r>
      <w:r>
        <w:t xml:space="preserve"> </w:t>
      </w:r>
      <w:r>
        <w:rPr>
          <w:i/>
        </w:rPr>
        <w:t xml:space="preserve">See </w:t>
      </w:r>
      <w:r>
        <w:t>47 CFR §§ 90.7 (defining frequency coordination), 90.175 (setting forth frequency coordination requirements).</w:t>
      </w:r>
    </w:p>
  </w:footnote>
  <w:footnote w:id="5">
    <w:p w:rsidR="00933418" w:rsidP="004974BC">
      <w:pPr>
        <w:pStyle w:val="FootnoteText"/>
      </w:pPr>
      <w:r>
        <w:rPr>
          <w:rStyle w:val="FootnoteReference"/>
        </w:rPr>
        <w:footnoteRef/>
      </w:r>
      <w:r>
        <w:t xml:space="preserve"> </w:t>
      </w:r>
      <w:r>
        <w:rPr>
          <w:i/>
        </w:rPr>
        <w:t xml:space="preserve">See </w:t>
      </w:r>
      <w:r>
        <w:t>47 CFR §§ 90.20, 90.35.</w:t>
      </w:r>
    </w:p>
  </w:footnote>
  <w:footnote w:id="6">
    <w:p w:rsidR="00933418" w:rsidRPr="007E62A9" w:rsidP="004974BC">
      <w:pPr>
        <w:pStyle w:val="FootnoteText"/>
      </w:pPr>
      <w:r>
        <w:rPr>
          <w:rStyle w:val="FootnoteReference"/>
        </w:rPr>
        <w:footnoteRef/>
      </w:r>
      <w:r>
        <w:t xml:space="preserve"> </w:t>
      </w:r>
      <w:bookmarkStart w:id="29" w:name="_Hlk522103218"/>
      <w:r>
        <w:rPr>
          <w:i/>
        </w:rPr>
        <w:t xml:space="preserve">See </w:t>
      </w:r>
      <w:r>
        <w:t xml:space="preserve">47 CFR § </w:t>
      </w:r>
      <w:bookmarkEnd w:id="29"/>
      <w:r>
        <w:t>2.106.</w:t>
      </w:r>
    </w:p>
  </w:footnote>
  <w:footnote w:id="7">
    <w:p w:rsidR="00933418" w:rsidP="004974BC">
      <w:pPr>
        <w:pStyle w:val="FootnoteText"/>
      </w:pPr>
      <w:r>
        <w:rPr>
          <w:rStyle w:val="FootnoteReference"/>
        </w:rPr>
        <w:footnoteRef/>
      </w:r>
      <w:r>
        <w:t xml:space="preserve"> 47 CFR § 90.311(a).</w:t>
      </w:r>
    </w:p>
  </w:footnote>
  <w:footnote w:id="8">
    <w:p w:rsidR="00933418" w:rsidP="004974BC">
      <w:pPr>
        <w:pStyle w:val="FootnoteText"/>
      </w:pPr>
      <w:r>
        <w:rPr>
          <w:rStyle w:val="FootnoteReference"/>
        </w:rPr>
        <w:footnoteRef/>
      </w:r>
      <w:r>
        <w:t xml:space="preserve"> </w:t>
      </w:r>
      <w:r>
        <w:rPr>
          <w:i/>
        </w:rPr>
        <w:t xml:space="preserve">See </w:t>
      </w:r>
      <w:r>
        <w:t>47 CFR §§ 90.615, 90.617.  The 900 MHz band does not include a Public Safety allocation.</w:t>
      </w:r>
    </w:p>
  </w:footnote>
  <w:footnote w:id="9">
    <w:p w:rsidR="00933418" w:rsidRPr="00162240" w:rsidP="004974BC">
      <w:pPr>
        <w:pStyle w:val="FootnoteText"/>
      </w:pPr>
      <w:r>
        <w:rPr>
          <w:rStyle w:val="FootnoteReference"/>
        </w:rPr>
        <w:footnoteRef/>
      </w:r>
      <w:r>
        <w:t xml:space="preserve"> </w:t>
      </w:r>
      <w:r w:rsidRPr="00093962">
        <w:rPr>
          <w:i/>
        </w:rPr>
        <w:t>Development of Operational, Technical and Spectrum Requirements for Meeting Federal, State and Local Public Safety Agency Communication Requirements Through the Year 2010</w:t>
      </w:r>
      <w:r w:rsidRPr="00162240">
        <w:t>,</w:t>
      </w:r>
      <w:r w:rsidRPr="00093962">
        <w:t xml:space="preserve"> First Report and Order and Third Notice of Proposed Rulemaking</w:t>
      </w:r>
      <w:r>
        <w:rPr>
          <w:i/>
        </w:rPr>
        <w:t>,</w:t>
      </w:r>
      <w:r w:rsidRPr="00093962">
        <w:rPr>
          <w:i/>
        </w:rPr>
        <w:t xml:space="preserve"> </w:t>
      </w:r>
      <w:r>
        <w:t xml:space="preserve">14 FCC Rcd 152 (1998), </w:t>
      </w:r>
      <w:r w:rsidRPr="00093962">
        <w:rPr>
          <w:i/>
        </w:rPr>
        <w:t>reconsideration granted in part</w:t>
      </w:r>
      <w:r>
        <w:t xml:space="preserve">, </w:t>
      </w:r>
      <w:r w:rsidRPr="00162240">
        <w:t>Memorandum Opinion and Order on Reconsideration</w:t>
      </w:r>
      <w:r>
        <w:t>, 14 FCC Rcd</w:t>
      </w:r>
      <w:r w:rsidRPr="00162240">
        <w:t xml:space="preserve"> 8059</w:t>
      </w:r>
      <w:r>
        <w:t xml:space="preserve"> (1999).</w:t>
      </w:r>
    </w:p>
  </w:footnote>
  <w:footnote w:id="10">
    <w:p w:rsidR="00933418" w:rsidP="004974BC">
      <w:pPr>
        <w:pStyle w:val="FootnoteText"/>
      </w:pPr>
      <w:r>
        <w:rPr>
          <w:rStyle w:val="FootnoteReference"/>
        </w:rPr>
        <w:footnoteRef/>
      </w:r>
      <w:r>
        <w:t xml:space="preserve"> </w:t>
      </w:r>
      <w:r>
        <w:rPr>
          <w:i/>
        </w:rPr>
        <w:t xml:space="preserve">See </w:t>
      </w:r>
      <w:r w:rsidRPr="00353ECC">
        <w:t>Middle Class Tax Relief and Job Creation Act of 2012</w:t>
      </w:r>
      <w:r>
        <w:t xml:space="preserve">, </w:t>
      </w:r>
      <w:r w:rsidRPr="00F7450B">
        <w:t>Pub. L. No. 112-96, 126 Stat. 156</w:t>
      </w:r>
      <w:r>
        <w:t xml:space="preserve"> (Spectrum Act)</w:t>
      </w:r>
      <w:r w:rsidRPr="00F7450B">
        <w:t>.</w:t>
      </w:r>
      <w:r>
        <w:t xml:space="preserve">  </w:t>
      </w:r>
      <w:r w:rsidRPr="00F7450B">
        <w:t>Section 6103 of the Spectrum Act provides that, not later than nine years after the date of enactment, the Commission shall “reallocate the spectrum in the 470-512 MHz band .</w:t>
      </w:r>
      <w:r>
        <w:t xml:space="preserve"> </w:t>
      </w:r>
      <w:r w:rsidRPr="00F7450B">
        <w:t>.</w:t>
      </w:r>
      <w:r>
        <w:t xml:space="preserve"> </w:t>
      </w:r>
      <w:r w:rsidRPr="00F7450B">
        <w:t>. currently used by public safety eligibles .</w:t>
      </w:r>
      <w:r>
        <w:t> </w:t>
      </w:r>
      <w:r w:rsidRPr="00F7450B">
        <w:t>.</w:t>
      </w:r>
      <w:r>
        <w:t> </w:t>
      </w:r>
      <w:r w:rsidRPr="00F7450B">
        <w:t>.</w:t>
      </w:r>
      <w:r>
        <w:t>,</w:t>
      </w:r>
      <w:r w:rsidRPr="00F7450B">
        <w:t>”</w:t>
      </w:r>
      <w:r>
        <w:t xml:space="preserve"> and </w:t>
      </w:r>
      <w:r w:rsidRPr="00F7450B">
        <w:t xml:space="preserve">“begin a system of competitive bidding </w:t>
      </w:r>
      <w:r>
        <w:t>. . .</w:t>
      </w:r>
      <w:r w:rsidRPr="00F7450B">
        <w:t xml:space="preserve"> to grant new initial licenses for the use of the spectrum.”</w:t>
      </w:r>
      <w:r>
        <w:t xml:space="preserve">  </w:t>
      </w:r>
      <w:r w:rsidRPr="00F7450B">
        <w:rPr>
          <w:i/>
          <w:iCs/>
        </w:rPr>
        <w:t>Id.</w:t>
      </w:r>
      <w:r>
        <w:t>, § </w:t>
      </w:r>
      <w:r w:rsidRPr="00F7450B">
        <w:t>6103(a).  It also provides that “relocation of public safety entities from the T-Band Spectrum” shall be completed not later than two years after completion of the system of competitive bidding.</w:t>
      </w:r>
      <w:r w:rsidRPr="00F7450B">
        <w:rPr>
          <w:i/>
          <w:iCs/>
        </w:rPr>
        <w:t>  Id.</w:t>
      </w:r>
      <w:r w:rsidRPr="00F7450B">
        <w:t>, § 6103(b), (c).</w:t>
      </w:r>
    </w:p>
  </w:footnote>
  <w:footnote w:id="11">
    <w:p w:rsidR="00933418" w:rsidP="004974BC">
      <w:pPr>
        <w:pStyle w:val="FootnoteText"/>
      </w:pPr>
      <w:r>
        <w:rPr>
          <w:rStyle w:val="FootnoteReference"/>
        </w:rPr>
        <w:footnoteRef/>
      </w:r>
      <w:r>
        <w:t xml:space="preserve"> </w:t>
      </w:r>
      <w:r w:rsidRPr="00357705">
        <w:rPr>
          <w:i/>
        </w:rPr>
        <w:t>Improving Public Safety Communications in the 800 MHz Band</w:t>
      </w:r>
      <w:r w:rsidRPr="00357705">
        <w:t xml:space="preserve">, </w:t>
      </w:r>
      <w:r w:rsidRPr="00357705">
        <w:rPr>
          <w:iCs/>
        </w:rPr>
        <w:t xml:space="preserve">Report and Order, Fifth Report and Order, Fourth Memorandum Opinion and Order, and Order, </w:t>
      </w:r>
      <w:r w:rsidRPr="00357705">
        <w:t>19 FCC Rcd 14969 (2004)</w:t>
      </w:r>
      <w:r w:rsidRPr="00357705">
        <w:rPr>
          <w:iCs/>
        </w:rPr>
        <w:t xml:space="preserve">, </w:t>
      </w:r>
      <w:r w:rsidRPr="00357705">
        <w:rPr>
          <w:i/>
          <w:iCs/>
        </w:rPr>
        <w:t xml:space="preserve">amended by </w:t>
      </w:r>
      <w:r w:rsidRPr="00357705">
        <w:rPr>
          <w:iCs/>
        </w:rPr>
        <w:t>Erratum, WT Docket 02-55 (Sep</w:t>
      </w:r>
      <w:r>
        <w:rPr>
          <w:iCs/>
        </w:rPr>
        <w:t>t</w:t>
      </w:r>
      <w:r w:rsidRPr="00357705">
        <w:rPr>
          <w:iCs/>
        </w:rPr>
        <w:t>. 10, 2004); Second Erratum, 19 FCC Rcd 19651 (2004); Third Erratum, 19 FCC Rcd 21818 (2004)</w:t>
      </w:r>
      <w:r w:rsidRPr="00357705">
        <w:t xml:space="preserve"> </w:t>
      </w:r>
      <w:r w:rsidRPr="00357705">
        <w:rPr>
          <w:iCs/>
        </w:rPr>
        <w:t>(</w:t>
      </w:r>
      <w:r w:rsidRPr="00357705">
        <w:rPr>
          <w:i/>
          <w:iCs/>
        </w:rPr>
        <w:t>800 MHz Report and Order</w:t>
      </w:r>
      <w:r w:rsidRPr="00357705">
        <w:rPr>
          <w:iCs/>
        </w:rPr>
        <w:t>).</w:t>
      </w:r>
    </w:p>
  </w:footnote>
  <w:footnote w:id="12">
    <w:p w:rsidR="00933418" w:rsidRPr="0089113D" w:rsidP="004974BC">
      <w:pPr>
        <w:pStyle w:val="FootnoteText"/>
      </w:pPr>
      <w:r>
        <w:rPr>
          <w:rStyle w:val="FootnoteReference"/>
        </w:rPr>
        <w:footnoteRef/>
      </w:r>
      <w:r>
        <w:t xml:space="preserve"> </w:t>
      </w:r>
      <w:r>
        <w:rPr>
          <w:i/>
        </w:rPr>
        <w:t>See Review of the Commission’s Rules Governing the 896-901/935-940 MHz Band; Realignment of the 896-901/935-940 MHz Band to Create a Private Enterprise Broadband Allocation; Amendment of the Commission’s Rules to Allow for Specialized Mobile Radio Services Over 900 MHz Business/Industrial Land Transportation Frequencies</w:t>
      </w:r>
      <w:r>
        <w:t>, Notice of Inquiry, 32 FCC Rcd 6421 (2017).</w:t>
      </w:r>
    </w:p>
  </w:footnote>
  <w:footnote w:id="13">
    <w:p w:rsidR="00933418" w:rsidRPr="00266882" w:rsidP="004974BC">
      <w:pPr>
        <w:pStyle w:val="FootnoteText"/>
        <w:rPr>
          <w:i/>
        </w:rPr>
      </w:pPr>
      <w:r>
        <w:rPr>
          <w:rStyle w:val="FootnoteReference"/>
        </w:rPr>
        <w:footnoteRef/>
      </w:r>
      <w:r>
        <w:t xml:space="preserve"> </w:t>
      </w:r>
      <w:r>
        <w:rPr>
          <w:i/>
        </w:rPr>
        <w:t xml:space="preserve">See </w:t>
      </w:r>
      <w:r w:rsidRPr="00E534C8">
        <w:rPr>
          <w:i/>
        </w:rPr>
        <w:t>Wireless Telecommunications Bureau and Public Safety and Homeland Security Bureau Suspend the Acceptance and Processing of Certain Part 22 and 90 Applications for 470-512 MHz (T-Band) Spectrum</w:t>
      </w:r>
      <w:r>
        <w:t xml:space="preserve">, </w:t>
      </w:r>
      <w:r w:rsidRPr="00E534C8">
        <w:t>Public Notice</w:t>
      </w:r>
      <w:r>
        <w:t xml:space="preserve">, 27 FCC Rcd 4218 (WTB/PSHSB 2012); </w:t>
      </w:r>
      <w:r w:rsidRPr="00E534C8">
        <w:rPr>
          <w:i/>
        </w:rPr>
        <w:t>Wireless Telecommunications Bureau and Public Safety and Homeland Security Bureau Clarify Suspension of the Acceptance and Processing of Certain Part 22 and 90 Applications for 470-512 MHz (T-Band) Spectrum</w:t>
      </w:r>
      <w:r>
        <w:t xml:space="preserve">, </w:t>
      </w:r>
      <w:r w:rsidRPr="00E534C8">
        <w:t>Public Notice</w:t>
      </w:r>
      <w:r>
        <w:t>, 27 FCC Rcd 6087 (WTB/PSHSB 2012).</w:t>
      </w:r>
    </w:p>
  </w:footnote>
  <w:footnote w:id="14">
    <w:p w:rsidR="00933418" w:rsidRPr="0089113D" w:rsidP="004974BC">
      <w:pPr>
        <w:pStyle w:val="FootnoteText"/>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Public Notice, WT Docket No. 17-200, DA 18-949 (WTB Sept. 13, 2018) (</w:t>
      </w:r>
      <w:r>
        <w:rPr>
          <w:i/>
        </w:rPr>
        <w:t>900 MHz Freeze Public Notice</w:t>
      </w:r>
      <w:r>
        <w:t>).</w:t>
      </w:r>
    </w:p>
  </w:footnote>
  <w:footnote w:id="15">
    <w:p w:rsidR="00933418" w:rsidP="004974BC">
      <w:pPr>
        <w:pStyle w:val="FootnoteText"/>
      </w:pPr>
      <w:r>
        <w:rPr>
          <w:rStyle w:val="FootnoteReference"/>
        </w:rPr>
        <w:footnoteRef/>
      </w:r>
      <w:r>
        <w:t xml:space="preserve"> This item does not change any rules, procedures, or policies applicable to T-Band or the 900 MHz band.</w:t>
      </w:r>
    </w:p>
  </w:footnote>
  <w:footnote w:id="16">
    <w:p w:rsidR="00933418" w:rsidRPr="00CE279B" w:rsidP="004974BC">
      <w:pPr>
        <w:pStyle w:val="FootnoteText"/>
      </w:pPr>
      <w:r>
        <w:rPr>
          <w:rStyle w:val="FootnoteReference"/>
        </w:rPr>
        <w:footnoteRef/>
      </w:r>
      <w:r>
        <w:t xml:space="preserve"> </w:t>
      </w:r>
      <w:r>
        <w:rPr>
          <w:i/>
        </w:rPr>
        <w:t>See</w:t>
      </w:r>
      <w:r>
        <w:t xml:space="preserve">, </w:t>
      </w:r>
      <w:r>
        <w:rPr>
          <w:i/>
        </w:rPr>
        <w:t>e.g.</w:t>
      </w:r>
      <w:r>
        <w:t xml:space="preserve">, </w:t>
      </w:r>
      <w:r w:rsidRPr="002E79CF">
        <w:rPr>
          <w:i/>
        </w:rPr>
        <w:t>Replacement of Part 90 by Part 88 to Revise the Private Land Mobile Radio Services and Modify the Policies Governing Them</w:t>
      </w:r>
      <w:r>
        <w:rPr>
          <w:i/>
        </w:rPr>
        <w:t>, and Examination of Exclusivity and Frequency Assignment Policies of the Private Land Mobile Radio Services</w:t>
      </w:r>
      <w:r w:rsidRPr="002E79CF">
        <w:rPr>
          <w:i/>
        </w:rPr>
        <w:t xml:space="preserve">, </w:t>
      </w:r>
      <w:r w:rsidRPr="002E79CF">
        <w:t>Report and Order, 1</w:t>
      </w:r>
      <w:r>
        <w:t>0</w:t>
      </w:r>
      <w:r w:rsidRPr="002E79CF">
        <w:t xml:space="preserve"> FCC Rcd 1</w:t>
      </w:r>
      <w:r>
        <w:t>0</w:t>
      </w:r>
      <w:r w:rsidRPr="002E79CF">
        <w:t>07</w:t>
      </w:r>
      <w:r>
        <w:t xml:space="preserve">6 </w:t>
      </w:r>
      <w:r w:rsidRPr="002E79CF">
        <w:t>(199</w:t>
      </w:r>
      <w:r>
        <w:t>5</w:t>
      </w:r>
      <w:r w:rsidRPr="002E79CF">
        <w:t>)</w:t>
      </w:r>
      <w:r>
        <w:t xml:space="preserve"> (establishing a narrowband channel plan, and consolidating services into an Industrial/Business Pool and a Public Safety Pool).</w:t>
      </w:r>
    </w:p>
  </w:footnote>
  <w:footnote w:id="17">
    <w:p w:rsidR="00933418" w:rsidP="004974BC">
      <w:pPr>
        <w:pStyle w:val="FootnoteText"/>
      </w:pPr>
      <w:r>
        <w:rPr>
          <w:rStyle w:val="FootnoteReference"/>
        </w:rPr>
        <w:footnoteRef/>
      </w:r>
      <w:r>
        <w:t xml:space="preserve"> </w:t>
      </w:r>
      <w:r w:rsidRPr="005342F7">
        <w:rPr>
          <w:i/>
        </w:rPr>
        <w:t>Creation of Interstitial 12.5 Kilohertz Channels in the 800 MHz Band Between 809-817/854-862 MHz</w:t>
      </w:r>
      <w:r w:rsidRPr="005342F7">
        <w:t>, Notice of Proposed Rulemaking, 30 FCC Rcd 1663 (2015) (</w:t>
      </w:r>
      <w:r>
        <w:rPr>
          <w:i/>
        </w:rPr>
        <w:t xml:space="preserve">800 MHz Interstitial </w:t>
      </w:r>
      <w:r w:rsidRPr="005342F7">
        <w:rPr>
          <w:i/>
        </w:rPr>
        <w:t>NPRM</w:t>
      </w:r>
      <w:r w:rsidRPr="005342F7">
        <w:t>)</w:t>
      </w:r>
      <w:r>
        <w:t>.</w:t>
      </w:r>
    </w:p>
  </w:footnote>
  <w:footnote w:id="18">
    <w:p w:rsidR="00933418" w:rsidP="004974BC">
      <w:pPr>
        <w:pStyle w:val="FootnoteText"/>
      </w:pPr>
      <w:r w:rsidRPr="00A96110">
        <w:rPr>
          <w:rStyle w:val="FootnoteReference"/>
        </w:rPr>
        <w:footnoteRef/>
      </w:r>
      <w:r w:rsidRPr="00C6580C">
        <w:t xml:space="preserve">  </w:t>
      </w:r>
      <w:r w:rsidRPr="00C6580C">
        <w:rPr>
          <w:i/>
        </w:rPr>
        <w:t>See</w:t>
      </w:r>
      <w:r w:rsidRPr="00C6580C">
        <w:t xml:space="preserve"> </w:t>
      </w:r>
      <w:r w:rsidRPr="00357705">
        <w:rPr>
          <w:i/>
          <w:iCs/>
        </w:rPr>
        <w:t>800 MHz Report and Order</w:t>
      </w:r>
      <w:r w:rsidRPr="00C6580C">
        <w:rPr>
          <w:color w:val="010101"/>
        </w:rPr>
        <w:t xml:space="preserve">, </w:t>
      </w:r>
      <w:r w:rsidRPr="00C6580C">
        <w:rPr>
          <w:iCs/>
        </w:rPr>
        <w:t xml:space="preserve">19 FCC Rcd </w:t>
      </w:r>
      <w:r>
        <w:rPr>
          <w:iCs/>
        </w:rPr>
        <w:t xml:space="preserve">at </w:t>
      </w:r>
      <w:r w:rsidRPr="00C6580C">
        <w:rPr>
          <w:iCs/>
        </w:rPr>
        <w:t>15058</w:t>
      </w:r>
      <w:r>
        <w:rPr>
          <w:iCs/>
        </w:rPr>
        <w:t>, para.</w:t>
      </w:r>
      <w:r w:rsidRPr="00C6580C">
        <w:rPr>
          <w:iCs/>
        </w:rPr>
        <w:t xml:space="preserve"> 166</w:t>
      </w:r>
      <w:r>
        <w:rPr>
          <w:iCs/>
        </w:rPr>
        <w:t>;</w:t>
      </w:r>
      <w:r w:rsidRPr="00C6580C">
        <w:rPr>
          <w:color w:val="010101"/>
        </w:rPr>
        <w:t xml:space="preserve"> </w:t>
      </w:r>
      <w:r>
        <w:rPr>
          <w:i/>
          <w:color w:val="010101"/>
        </w:rPr>
        <w:t>Improving Public Safety Communications in the 800 MHz Band; New 800 MHz Band Plan for Puerto Rico and the U.S. Virgin Islands</w:t>
      </w:r>
      <w:r>
        <w:rPr>
          <w:color w:val="010101"/>
        </w:rPr>
        <w:t xml:space="preserve">, </w:t>
      </w:r>
      <w:r w:rsidRPr="00944859">
        <w:rPr>
          <w:iCs/>
          <w:color w:val="010101"/>
        </w:rPr>
        <w:t>Third Report and Order and Third Further Notice of Proposed Rule Making</w:t>
      </w:r>
      <w:r w:rsidRPr="00C6580C">
        <w:rPr>
          <w:i/>
          <w:iCs/>
          <w:color w:val="010101"/>
        </w:rPr>
        <w:t xml:space="preserve">, </w:t>
      </w:r>
      <w:r w:rsidRPr="00C6580C">
        <w:rPr>
          <w:color w:val="010101"/>
        </w:rPr>
        <w:t xml:space="preserve">25 FCC Rcd 4443 (PSHSB 2010); </w:t>
      </w:r>
      <w:r>
        <w:rPr>
          <w:i/>
          <w:color w:val="010101"/>
        </w:rPr>
        <w:t>Improving Public Safety Communications in the 800 MHz Band; New 800 MHz Band Plan for Puerto Rico and the U.S. Virgin Islands</w:t>
      </w:r>
      <w:r>
        <w:rPr>
          <w:color w:val="010101"/>
        </w:rPr>
        <w:t xml:space="preserve">, </w:t>
      </w:r>
      <w:r w:rsidRPr="00484F93">
        <w:rPr>
          <w:color w:val="010101"/>
        </w:rPr>
        <w:t>Fourth Report and Order,</w:t>
      </w:r>
      <w:r w:rsidRPr="00C6580C">
        <w:rPr>
          <w:color w:val="010101"/>
        </w:rPr>
        <w:t xml:space="preserve"> </w:t>
      </w:r>
      <w:r w:rsidRPr="00C6580C">
        <w:t>26 FCC Rcd 1937</w:t>
      </w:r>
      <w:r w:rsidRPr="00C6580C">
        <w:rPr>
          <w:color w:val="010101"/>
        </w:rPr>
        <w:t xml:space="preserve"> (PSHSB 2010)</w:t>
      </w:r>
      <w:r>
        <w:rPr>
          <w:color w:val="010101"/>
        </w:rPr>
        <w:t>;</w:t>
      </w:r>
      <w:r w:rsidRPr="00C6580C">
        <w:rPr>
          <w:color w:val="010101"/>
        </w:rPr>
        <w:t xml:space="preserve"> </w:t>
      </w:r>
      <w:r>
        <w:rPr>
          <w:i/>
          <w:color w:val="010101"/>
        </w:rPr>
        <w:t>s</w:t>
      </w:r>
      <w:r w:rsidRPr="00C6580C">
        <w:rPr>
          <w:i/>
          <w:color w:val="010101"/>
        </w:rPr>
        <w:t>ee</w:t>
      </w:r>
      <w:r>
        <w:rPr>
          <w:i/>
          <w:color w:val="010101"/>
        </w:rPr>
        <w:t xml:space="preserve"> also </w:t>
      </w:r>
      <w:r w:rsidRPr="00484F93">
        <w:rPr>
          <w:i/>
          <w:color w:val="010101"/>
        </w:rPr>
        <w:t>Improving Public Safety Communications in the 800 MHz Band</w:t>
      </w:r>
      <w:r>
        <w:rPr>
          <w:i/>
          <w:color w:val="010101"/>
        </w:rPr>
        <w:t>; New 800 MHz Band Plan for U.S. – Canada Border Regions</w:t>
      </w:r>
      <w:r w:rsidRPr="00C6580C">
        <w:rPr>
          <w:color w:val="010101"/>
        </w:rPr>
        <w:t xml:space="preserve">, </w:t>
      </w:r>
      <w:r w:rsidRPr="00484F93">
        <w:rPr>
          <w:color w:val="010101"/>
        </w:rPr>
        <w:t>Second Report and Order</w:t>
      </w:r>
      <w:r w:rsidRPr="00C6580C">
        <w:rPr>
          <w:color w:val="010101"/>
        </w:rPr>
        <w:t xml:space="preserve">, 23 FCC Rcd 7605 (PSHSB 2008).  </w:t>
      </w:r>
    </w:p>
  </w:footnote>
  <w:footnote w:id="19">
    <w:p w:rsidR="00933418" w:rsidP="004974BC">
      <w:pPr>
        <w:pStyle w:val="FootnoteText"/>
      </w:pPr>
      <w:r w:rsidRPr="00A96110">
        <w:rPr>
          <w:rStyle w:val="FootnoteReference"/>
        </w:rPr>
        <w:footnoteRef/>
      </w:r>
      <w:r>
        <w:t xml:space="preserve"> </w:t>
      </w:r>
      <w:r w:rsidRPr="00C6580C">
        <w:rPr>
          <w:i/>
        </w:rPr>
        <w:t>See</w:t>
      </w:r>
      <w:r w:rsidRPr="00C6580C">
        <w:t xml:space="preserve"> </w:t>
      </w:r>
      <w:r>
        <w:t>47 CFR §§ 90.615, 90.617.</w:t>
      </w:r>
    </w:p>
  </w:footnote>
  <w:footnote w:id="20">
    <w:p w:rsidR="00933418" w:rsidRPr="004A3A24" w:rsidP="004974BC">
      <w:pPr>
        <w:pStyle w:val="FootnoteText"/>
      </w:pPr>
      <w:r>
        <w:rPr>
          <w:rStyle w:val="FootnoteReference"/>
        </w:rPr>
        <w:footnoteRef/>
      </w:r>
      <w:r>
        <w:t xml:space="preserve"> </w:t>
      </w:r>
      <w:r w:rsidRPr="00167299">
        <w:rPr>
          <w:i/>
        </w:rPr>
        <w:t xml:space="preserve">Creation of Interstitial 12.5 kHz Channels in the 800 MHz Band Between 809-817/854-862 </w:t>
      </w:r>
      <w:r>
        <w:rPr>
          <w:i/>
        </w:rPr>
        <w:t>MHz,</w:t>
      </w:r>
      <w:r>
        <w:t xml:space="preserve"> Notice of Proposed Rule Making, 30 FCC Rcd </w:t>
      </w:r>
      <w:r w:rsidRPr="004A3A24">
        <w:t>1663</w:t>
      </w:r>
      <w:r>
        <w:t xml:space="preserve"> (2015).</w:t>
      </w:r>
    </w:p>
  </w:footnote>
  <w:footnote w:id="21">
    <w:p w:rsidR="00933418" w:rsidP="004974BC">
      <w:pPr>
        <w:pStyle w:val="FootnoteText"/>
      </w:pPr>
      <w:r>
        <w:rPr>
          <w:rStyle w:val="FootnoteReference"/>
        </w:rPr>
        <w:footnoteRef/>
      </w:r>
      <w:r>
        <w:t xml:space="preserve"> </w:t>
      </w:r>
      <w:r>
        <w:rPr>
          <w:i/>
        </w:rPr>
        <w:t>Amendment of Part 90 of the Commission’s Rules to Improve Access to Private Land Mobile Radio Spectrum; Land Mobile Communications Council Petition for Rulemaking Regarding Interim Eligibility for 800 MHz Expansion Band and Guard Band Frequencies; Petition for Rulemaking Regarding Conditional Licensing Authority Above 470 MHz</w:t>
      </w:r>
      <w:r>
        <w:t>, Notice of Proposed Rulemaking, 31 FCC Rcd 9431 (2016) (</w:t>
      </w:r>
      <w:r>
        <w:rPr>
          <w:i/>
        </w:rPr>
        <w:t>PLMR Access NPRM</w:t>
      </w:r>
      <w:r>
        <w:t>)</w:t>
      </w:r>
      <w:r w:rsidRPr="005342F7">
        <w:t>.</w:t>
      </w:r>
    </w:p>
  </w:footnote>
  <w:footnote w:id="22">
    <w:p w:rsidR="00933418" w:rsidRPr="00B543F7" w:rsidP="004974BC">
      <w:pPr>
        <w:pStyle w:val="FootnoteText"/>
      </w:pPr>
      <w:r>
        <w:rPr>
          <w:rStyle w:val="FootnoteReference"/>
        </w:rPr>
        <w:footnoteRef/>
      </w:r>
      <w:r>
        <w:t xml:space="preserve"> </w:t>
      </w:r>
      <w:r>
        <w:rPr>
          <w:i/>
        </w:rPr>
        <w:t>See</w:t>
      </w:r>
      <w:r>
        <w:t xml:space="preserve">, </w:t>
      </w:r>
      <w:r>
        <w:rPr>
          <w:i/>
        </w:rPr>
        <w:t>e.g.</w:t>
      </w:r>
      <w:r>
        <w:t xml:space="preserve">, </w:t>
      </w:r>
      <w:r>
        <w:rPr>
          <w:i/>
        </w:rPr>
        <w:t>Expanding Flexible Use in Mid-Band Spectrum Between 3.7 and 24 GHz</w:t>
      </w:r>
      <w:r>
        <w:t>, Notice of Inquiry, 32 FCC Rcd 6373, 6375, para. 6 (2017) (“</w:t>
      </w:r>
      <w:r w:rsidRPr="009F32D2">
        <w:t>To meet projected future demand, it is prudent that we continue to evaluate spectrum bands in all ranges and ensure that there is no gap in our policies in terms of enabling new opportunities for flexible broadband use.</w:t>
      </w:r>
      <w:r>
        <w:t>”).</w:t>
      </w:r>
    </w:p>
  </w:footnote>
  <w:footnote w:id="23">
    <w:p w:rsidR="00933418" w:rsidP="004974BC">
      <w:pPr>
        <w:pStyle w:val="FootnoteText"/>
      </w:pPr>
      <w:r>
        <w:rPr>
          <w:rStyle w:val="FootnoteReference"/>
        </w:rPr>
        <w:footnoteRef/>
      </w:r>
      <w:r>
        <w:t xml:space="preserve"> While the two proceedings are both addressed in this </w:t>
      </w:r>
      <w:r>
        <w:rPr>
          <w:i/>
        </w:rPr>
        <w:t>Report and Order and Order</w:t>
      </w:r>
      <w:r>
        <w:t xml:space="preserve">, the two dockets remain separate for purposes of their underlying records.  Our citations to comments of parties that commented in both proceedings indicate the docket in which the cited comment was filed. </w:t>
      </w:r>
    </w:p>
  </w:footnote>
  <w:footnote w:id="24">
    <w:p w:rsidR="00933418" w:rsidP="004974BC">
      <w:pPr>
        <w:pStyle w:val="FootnoteText"/>
      </w:pPr>
      <w:r>
        <w:rPr>
          <w:rStyle w:val="FootnoteReference"/>
        </w:rPr>
        <w:footnoteRef/>
      </w:r>
      <w:r>
        <w:t xml:space="preserve"> </w:t>
      </w:r>
      <w:r>
        <w:rPr>
          <w:i/>
        </w:rPr>
        <w:t xml:space="preserve">See </w:t>
      </w:r>
      <w:r>
        <w:t>47 CFR § 2.106.</w:t>
      </w:r>
    </w:p>
  </w:footnote>
  <w:footnote w:id="25">
    <w:p w:rsidR="00933418" w:rsidP="004974BC">
      <w:pPr>
        <w:pStyle w:val="FootnoteText"/>
      </w:pPr>
      <w:r>
        <w:rPr>
          <w:rStyle w:val="FootnoteReference"/>
        </w:rPr>
        <w:footnoteRef/>
      </w:r>
      <w:r>
        <w:t xml:space="preserve"> </w:t>
      </w:r>
      <w:r>
        <w:rPr>
          <w:i/>
          <w:iCs/>
          <w:color w:val="242021"/>
        </w:rPr>
        <w:t xml:space="preserve">See </w:t>
      </w:r>
      <w:r w:rsidRPr="002F72E5">
        <w:rPr>
          <w:i/>
          <w:color w:val="242021"/>
        </w:rPr>
        <w:t>Implementation of Sections 309(j) and 337 of the Communications Act of 1934 as Amended</w:t>
      </w:r>
      <w:r>
        <w:rPr>
          <w:color w:val="242021"/>
        </w:rPr>
        <w:t xml:space="preserve">, </w:t>
      </w:r>
      <w:r w:rsidRPr="002F72E5">
        <w:rPr>
          <w:iCs/>
          <w:color w:val="242021"/>
        </w:rPr>
        <w:t>Second Report and Order and Second Further Notice of Proposed Rulemaking</w:t>
      </w:r>
      <w:r>
        <w:rPr>
          <w:i/>
          <w:iCs/>
          <w:color w:val="242021"/>
        </w:rPr>
        <w:t xml:space="preserve">, </w:t>
      </w:r>
      <w:r>
        <w:rPr>
          <w:color w:val="242021"/>
        </w:rPr>
        <w:t>18 FCC Rcd 3034</w:t>
      </w:r>
      <w:r>
        <w:rPr>
          <w:i/>
          <w:iCs/>
          <w:color w:val="242021"/>
        </w:rPr>
        <w:t xml:space="preserve"> </w:t>
      </w:r>
      <w:r>
        <w:rPr>
          <w:color w:val="242021"/>
        </w:rPr>
        <w:t xml:space="preserve">(2003); </w:t>
      </w:r>
      <w:r w:rsidRPr="00E534C8">
        <w:rPr>
          <w:i/>
          <w:color w:val="242021"/>
        </w:rPr>
        <w:t>Implementation of Sections 309(j) and 337 of the Communications Act of 1934 as Amended</w:t>
      </w:r>
      <w:r>
        <w:rPr>
          <w:color w:val="242021"/>
        </w:rPr>
        <w:t xml:space="preserve">, </w:t>
      </w:r>
      <w:r w:rsidRPr="00E534C8">
        <w:rPr>
          <w:iCs/>
          <w:color w:val="242021"/>
        </w:rPr>
        <w:t>Third</w:t>
      </w:r>
      <w:r>
        <w:rPr>
          <w:iCs/>
          <w:color w:val="242021"/>
        </w:rPr>
        <w:t xml:space="preserve"> </w:t>
      </w:r>
      <w:r w:rsidRPr="00E534C8">
        <w:rPr>
          <w:iCs/>
          <w:color w:val="242021"/>
        </w:rPr>
        <w:t xml:space="preserve">Memorandum Opinion and Order, Third Further </w:t>
      </w:r>
      <w:r w:rsidRPr="00C57D73">
        <w:rPr>
          <w:color w:val="010101"/>
        </w:rPr>
        <w:t>Notice</w:t>
      </w:r>
      <w:r w:rsidRPr="00E534C8">
        <w:rPr>
          <w:iCs/>
          <w:color w:val="242021"/>
        </w:rPr>
        <w:t xml:space="preserve"> of Proposed Rule Making and Order</w:t>
      </w:r>
      <w:r>
        <w:rPr>
          <w:i/>
          <w:iCs/>
          <w:color w:val="242021"/>
        </w:rPr>
        <w:t xml:space="preserve">, </w:t>
      </w:r>
      <w:r>
        <w:rPr>
          <w:color w:val="242021"/>
        </w:rPr>
        <w:t>19 FCC Rcd 25045 (2004) (</w:t>
      </w:r>
      <w:r>
        <w:rPr>
          <w:i/>
          <w:iCs/>
          <w:color w:val="242021"/>
        </w:rPr>
        <w:t>Narrowbanding Third MO&amp;O</w:t>
      </w:r>
      <w:r>
        <w:rPr>
          <w:color w:val="242021"/>
        </w:rPr>
        <w:t xml:space="preserve">); </w:t>
      </w:r>
      <w:r>
        <w:rPr>
          <w:i/>
          <w:iCs/>
          <w:color w:val="242021"/>
        </w:rPr>
        <w:t xml:space="preserve">see also </w:t>
      </w:r>
      <w:r>
        <w:rPr>
          <w:color w:val="242021"/>
        </w:rPr>
        <w:t xml:space="preserve">47 CFR §§ 90.203(j), </w:t>
      </w:r>
      <w:r w:rsidRPr="00E534C8">
        <w:rPr>
          <w:color w:val="242021"/>
        </w:rPr>
        <w:t>90.209(b).</w:t>
      </w:r>
    </w:p>
  </w:footnote>
  <w:footnote w:id="26">
    <w:p w:rsidR="00933418" w:rsidRPr="00237B5D" w:rsidP="004974BC">
      <w:pPr>
        <w:pStyle w:val="FootnoteText"/>
      </w:pPr>
      <w:r>
        <w:rPr>
          <w:rStyle w:val="FootnoteReference"/>
        </w:rPr>
        <w:footnoteRef/>
      </w:r>
      <w:r>
        <w:t xml:space="preserve"> </w:t>
      </w:r>
      <w:r>
        <w:rPr>
          <w:i/>
        </w:rPr>
        <w:t>See</w:t>
      </w:r>
      <w:r>
        <w:t xml:space="preserve"> 47 CFR § 74.802(a).  </w:t>
      </w:r>
      <w:r>
        <w:rPr>
          <w:color w:val="010101"/>
        </w:rPr>
        <w:t xml:space="preserve">Devices authorized as low power auxiliary stations are intended to transmit over distances of approximately one hundred meters for uses such as wireless microphones, cue and control communications, and synchronization of TV camera signals.  47 CFR § 74.801.  Remote pickup broadcast stations also operate in the </w:t>
      </w:r>
      <w:r w:rsidRPr="005B4629">
        <w:rPr>
          <w:szCs w:val="22"/>
        </w:rPr>
        <w:t>450.000-451.000 MHz and 455.000-456.000 MHz blocks</w:t>
      </w:r>
      <w:r>
        <w:rPr>
          <w:szCs w:val="22"/>
        </w:rPr>
        <w:t xml:space="preserve">.  </w:t>
      </w:r>
      <w:r>
        <w:rPr>
          <w:i/>
          <w:szCs w:val="22"/>
        </w:rPr>
        <w:t xml:space="preserve">See </w:t>
      </w:r>
      <w:r>
        <w:rPr>
          <w:szCs w:val="22"/>
        </w:rPr>
        <w:t>47 CFR § 74.402(a)(4).</w:t>
      </w:r>
    </w:p>
  </w:footnote>
  <w:footnote w:id="27">
    <w:p w:rsidR="00933418" w:rsidP="004974BC">
      <w:pPr>
        <w:pStyle w:val="FootnoteText"/>
      </w:pPr>
      <w:r>
        <w:rPr>
          <w:rStyle w:val="FootnoteReference"/>
        </w:rPr>
        <w:footnoteRef/>
      </w:r>
      <w:r>
        <w:t xml:space="preserve"> </w:t>
      </w:r>
      <w:r>
        <w:rPr>
          <w:i/>
        </w:rPr>
        <w:t>See</w:t>
      </w:r>
      <w:r>
        <w:t xml:space="preserve"> 47 CFR § 90.35(b)(3).  </w:t>
      </w:r>
    </w:p>
  </w:footnote>
  <w:footnote w:id="28">
    <w:p w:rsidR="00933418" w:rsidP="004974BC">
      <w:pPr>
        <w:pStyle w:val="FootnoteText"/>
      </w:pPr>
      <w:r>
        <w:rPr>
          <w:rStyle w:val="FootnoteReference"/>
        </w:rPr>
        <w:footnoteRef/>
      </w:r>
      <w:r>
        <w:t xml:space="preserve"> Medical Micropower Networks operate on a secondary basis in the 451-457 MHz band.  </w:t>
      </w:r>
      <w:r>
        <w:rPr>
          <w:i/>
        </w:rPr>
        <w:t xml:space="preserve">See </w:t>
      </w:r>
      <w:r>
        <w:t>47 CFR §§ 2.106 note US64, 95.2559(d).</w:t>
      </w:r>
    </w:p>
  </w:footnote>
  <w:footnote w:id="29">
    <w:p w:rsidR="00933418" w:rsidRPr="008D0190" w:rsidP="004974BC">
      <w:pPr>
        <w:pStyle w:val="FootnoteText"/>
      </w:pPr>
      <w:r>
        <w:rPr>
          <w:rStyle w:val="FootnoteReference"/>
        </w:rPr>
        <w:footnoteRef/>
      </w:r>
      <w:r>
        <w:t xml:space="preserve"> </w:t>
      </w:r>
      <w:r>
        <w:rPr>
          <w:i/>
        </w:rPr>
        <w:t xml:space="preserve">See </w:t>
      </w:r>
      <w:r>
        <w:rPr>
          <w:i/>
          <w:szCs w:val="22"/>
        </w:rPr>
        <w:t xml:space="preserve">PLMR Access </w:t>
      </w:r>
      <w:r>
        <w:rPr>
          <w:i/>
        </w:rPr>
        <w:t>NPRM</w:t>
      </w:r>
      <w:r>
        <w:t>, 31 FCC Rcd at 9433, para. 6.</w:t>
      </w:r>
    </w:p>
  </w:footnote>
  <w:footnote w:id="30">
    <w:p w:rsidR="00933418" w:rsidP="004974BC">
      <w:pPr>
        <w:pStyle w:val="FootnoteText"/>
      </w:pPr>
      <w:r>
        <w:rPr>
          <w:rStyle w:val="FootnoteReference"/>
        </w:rPr>
        <w:footnoteRef/>
      </w:r>
      <w:r>
        <w:t xml:space="preserve"> </w:t>
      </w:r>
      <w:r>
        <w:rPr>
          <w:i/>
        </w:rPr>
        <w:t>See id.</w:t>
      </w:r>
      <w:r>
        <w:t xml:space="preserve"> at 9434, para. 8.  LPAS devices are authorized to use the entire bands, so long as the emission bandwidth falls entirely within the bands.  </w:t>
      </w:r>
      <w:r>
        <w:rPr>
          <w:i/>
          <w:iCs/>
          <w:color w:val="010101"/>
        </w:rPr>
        <w:t xml:space="preserve">See </w:t>
      </w:r>
      <w:r>
        <w:rPr>
          <w:color w:val="010101"/>
        </w:rPr>
        <w:t>47 CFR § 74.861(c).</w:t>
      </w:r>
    </w:p>
  </w:footnote>
  <w:footnote w:id="31">
    <w:p w:rsidR="00933418" w:rsidP="004974BC">
      <w:pPr>
        <w:pStyle w:val="FootnoteText"/>
      </w:pPr>
      <w:r>
        <w:rPr>
          <w:rStyle w:val="FootnoteReference"/>
        </w:rPr>
        <w:footnoteRef/>
      </w:r>
      <w:r>
        <w:t xml:space="preserve"> </w:t>
      </w:r>
      <w:r>
        <w:rPr>
          <w:i/>
        </w:rPr>
        <w:t xml:space="preserve">See </w:t>
      </w:r>
      <w:r>
        <w:rPr>
          <w:i/>
          <w:szCs w:val="22"/>
        </w:rPr>
        <w:t xml:space="preserve">PLMR Access </w:t>
      </w:r>
      <w:r>
        <w:rPr>
          <w:i/>
        </w:rPr>
        <w:t>NPRM</w:t>
      </w:r>
      <w:r>
        <w:t>, 31 FCC Rcd at 9433, para. 7.</w:t>
      </w:r>
    </w:p>
  </w:footnote>
  <w:footnote w:id="32">
    <w:p w:rsidR="00933418" w:rsidRPr="008E59DB" w:rsidP="004974BC">
      <w:pPr>
        <w:pStyle w:val="FootnoteText"/>
      </w:pPr>
      <w:r>
        <w:rPr>
          <w:rStyle w:val="FootnoteReference"/>
        </w:rPr>
        <w:footnoteRef/>
      </w:r>
      <w:r>
        <w:t xml:space="preserve"> </w:t>
      </w:r>
      <w:r>
        <w:rPr>
          <w:i/>
        </w:rPr>
        <w:t>See</w:t>
      </w:r>
      <w:r>
        <w:t xml:space="preserve">, </w:t>
      </w:r>
      <w:r>
        <w:rPr>
          <w:i/>
        </w:rPr>
        <w:t>e.g.</w:t>
      </w:r>
      <w:r>
        <w:t>, National Association of Manufacturers and MRFAC Comments at 4 (Nov. 22, 2016) (NAM/MRFAC Comments) (stating that access to additional frequencies would help relieve spectrum congestion).</w:t>
      </w:r>
    </w:p>
  </w:footnote>
  <w:footnote w:id="33">
    <w:p w:rsidR="00933418" w:rsidP="004974BC">
      <w:pPr>
        <w:pStyle w:val="FootnoteText"/>
      </w:pPr>
      <w:r>
        <w:rPr>
          <w:rStyle w:val="FootnoteReference"/>
        </w:rPr>
        <w:footnoteRef/>
      </w:r>
      <w:r>
        <w:t xml:space="preserve"> </w:t>
      </w:r>
      <w:r>
        <w:rPr>
          <w:i/>
        </w:rPr>
        <w:t xml:space="preserve">See </w:t>
      </w:r>
      <w:r>
        <w:t>National Association of Broadcasters Comments at 2-3 (Nov. 21, 2016) (NAB Comments).</w:t>
      </w:r>
    </w:p>
  </w:footnote>
  <w:footnote w:id="34">
    <w:p w:rsidR="00933418" w:rsidP="004974BC">
      <w:pPr>
        <w:pStyle w:val="FootnoteText"/>
      </w:pPr>
      <w:r>
        <w:rPr>
          <w:rStyle w:val="FootnoteReference"/>
        </w:rPr>
        <w:footnoteRef/>
      </w:r>
      <w:r>
        <w:t xml:space="preserve"> In 2014, WTB’s Mobility Division (Division) granted a request for waiver to permit PLMR operation on frequency pair 451/456.009375 MHz</w:t>
      </w:r>
      <w:r>
        <w:rPr>
          <w:szCs w:val="22"/>
        </w:rPr>
        <w:t xml:space="preserve">, </w:t>
      </w:r>
      <w:r>
        <w:rPr>
          <w:i/>
          <w:szCs w:val="22"/>
        </w:rPr>
        <w:t>see Mobile Relay Associates</w:t>
      </w:r>
      <w:r>
        <w:rPr>
          <w:szCs w:val="22"/>
        </w:rPr>
        <w:t xml:space="preserve">, Order, 29 FCC Rcd 7292, 7294, para. 7 (WTB MD 2014), and it granted subsequent waiver requests for those channels prior to </w:t>
      </w:r>
      <w:r>
        <w:t xml:space="preserve">the </w:t>
      </w:r>
      <w:r>
        <w:rPr>
          <w:i/>
        </w:rPr>
        <w:t>PLMR Access NPRM</w:t>
      </w:r>
      <w:r>
        <w:t>’s tentative conclusion</w:t>
      </w:r>
      <w:r>
        <w:rPr>
          <w:i/>
        </w:rPr>
        <w:t xml:space="preserve"> </w:t>
      </w:r>
      <w:r>
        <w:t>not to add the channel to the I/B Pool table</w:t>
      </w:r>
      <w:r>
        <w:rPr>
          <w:szCs w:val="22"/>
        </w:rPr>
        <w:t xml:space="preserve">, </w:t>
      </w:r>
      <w:r>
        <w:rPr>
          <w:i/>
          <w:szCs w:val="22"/>
        </w:rPr>
        <w:t>see J-Comm Corp., et al.</w:t>
      </w:r>
      <w:r>
        <w:rPr>
          <w:szCs w:val="22"/>
        </w:rPr>
        <w:t xml:space="preserve">, Order, 31 FCC Rcd 9522, 9523, para. 6 (WTB MD 2016).  </w:t>
      </w:r>
      <w:r>
        <w:t xml:space="preserve">Stations already authorized to operate on </w:t>
      </w:r>
      <w:r>
        <w:rPr>
          <w:szCs w:val="22"/>
        </w:rPr>
        <w:t xml:space="preserve">frequency pair </w:t>
      </w:r>
      <w:r>
        <w:t>451/456.009375 MHz pursuant to waiver will be grandfathered indefinitely but will not be permitted to add locations or expand their contours.</w:t>
      </w:r>
    </w:p>
  </w:footnote>
  <w:footnote w:id="35">
    <w:p w:rsidR="00933418" w:rsidRPr="00094B28" w:rsidP="004974BC">
      <w:pPr>
        <w:pStyle w:val="FootnoteText"/>
      </w:pPr>
      <w:r>
        <w:rPr>
          <w:rStyle w:val="FootnoteReference"/>
        </w:rPr>
        <w:footnoteRef/>
      </w:r>
      <w:r>
        <w:t xml:space="preserve"> </w:t>
      </w:r>
      <w:r>
        <w:rPr>
          <w:i/>
        </w:rPr>
        <w:t>See</w:t>
      </w:r>
      <w:r w:rsidRPr="00E85C62">
        <w:t xml:space="preserve"> </w:t>
      </w:r>
      <w:r>
        <w:t>Mobile Relay Associates Comments at 5 n.3 (Nov. 22, 2016) (MRA 16-261 Comments).</w:t>
      </w:r>
    </w:p>
  </w:footnote>
  <w:footnote w:id="36">
    <w:p w:rsidR="00933418" w:rsidRPr="008B083C" w:rsidP="004974BC">
      <w:pPr>
        <w:pStyle w:val="FootnoteText"/>
      </w:pPr>
      <w:r>
        <w:rPr>
          <w:rStyle w:val="FootnoteReference"/>
        </w:rPr>
        <w:footnoteRef/>
      </w:r>
      <w:r>
        <w:t xml:space="preserve"> </w:t>
      </w:r>
      <w:r>
        <w:rPr>
          <w:i/>
        </w:rPr>
        <w:t>See</w:t>
      </w:r>
      <w:r w:rsidRPr="00E85C62">
        <w:t xml:space="preserve"> </w:t>
      </w:r>
      <w:r>
        <w:t xml:space="preserve">Land Mobile Communications Council (LMCC) Comments at 3-4 (Nov. 22, 2016) (LMCC 16-261 Comments); </w:t>
      </w:r>
      <w:r>
        <w:rPr>
          <w:i/>
        </w:rPr>
        <w:t xml:space="preserve">see also </w:t>
      </w:r>
      <w:r>
        <w:t>Enterprise Wireless Alliance Comments at 9 (Nov. 22, 2016) (</w:t>
      </w:r>
      <w:bookmarkStart w:id="31" w:name="_Hlk521679148"/>
      <w:r>
        <w:t>EWA 16-261 Comments</w:t>
      </w:r>
      <w:bookmarkEnd w:id="31"/>
      <w:r>
        <w:t>) (supporting LMCC Comments).</w:t>
      </w:r>
    </w:p>
  </w:footnote>
  <w:footnote w:id="37">
    <w:p w:rsidR="00933418" w:rsidRPr="00F15251" w:rsidP="004974BC">
      <w:pPr>
        <w:pStyle w:val="FootnoteText"/>
        <w:rPr>
          <w:i/>
        </w:rPr>
      </w:pPr>
      <w:r>
        <w:rPr>
          <w:rStyle w:val="FootnoteReference"/>
        </w:rPr>
        <w:footnoteRef/>
      </w:r>
      <w:r>
        <w:t xml:space="preserve"> </w:t>
      </w:r>
      <w:r>
        <w:rPr>
          <w:i/>
        </w:rPr>
        <w:t xml:space="preserve">See </w:t>
      </w:r>
      <w:r>
        <w:t>NAB Comments at 2-3</w:t>
      </w:r>
      <w:r>
        <w:rPr>
          <w:i/>
        </w:rPr>
        <w:t>.</w:t>
      </w:r>
    </w:p>
  </w:footnote>
  <w:footnote w:id="38">
    <w:p w:rsidR="00933418" w:rsidRPr="00456AA6" w:rsidP="004974BC">
      <w:pPr>
        <w:pStyle w:val="FootnoteText"/>
      </w:pPr>
      <w:r>
        <w:rPr>
          <w:rStyle w:val="FootnoteReference"/>
        </w:rPr>
        <w:footnoteRef/>
      </w:r>
      <w:r>
        <w:t xml:space="preserve"> </w:t>
      </w:r>
      <w:r>
        <w:rPr>
          <w:i/>
        </w:rPr>
        <w:t>Id.</w:t>
      </w:r>
      <w:r>
        <w:t xml:space="preserve"> at 4.</w:t>
      </w:r>
    </w:p>
  </w:footnote>
  <w:footnote w:id="39">
    <w:p w:rsidR="00933418" w:rsidP="004974BC">
      <w:pPr>
        <w:pStyle w:val="FootnoteText"/>
      </w:pPr>
      <w:r>
        <w:rPr>
          <w:rStyle w:val="FootnoteReference"/>
        </w:rPr>
        <w:footnoteRef/>
      </w:r>
      <w:r>
        <w:t xml:space="preserve"> </w:t>
      </w:r>
      <w:r>
        <w:rPr>
          <w:i/>
          <w:szCs w:val="22"/>
        </w:rPr>
        <w:t xml:space="preserve">See </w:t>
      </w:r>
      <w:r>
        <w:rPr>
          <w:szCs w:val="22"/>
        </w:rPr>
        <w:t xml:space="preserve">MRA 16-261 Comments at 3.  </w:t>
      </w:r>
      <w:r>
        <w:t xml:space="preserve">It also argues, based on its review of BAS licenses in the Commission’s Universal Licensing System, that BAS licensees do not use the entire bands, so there would be no overlap.  </w:t>
      </w:r>
      <w:r>
        <w:rPr>
          <w:i/>
        </w:rPr>
        <w:t>Id.</w:t>
      </w:r>
      <w:r>
        <w:t xml:space="preserve"> at 3-4.  Our review, however, found numerous licensees authorized to operate anywhere within the entire bands over wide areas.  Moreover, we note that </w:t>
      </w:r>
      <w:r>
        <w:rPr>
          <w:color w:val="010101"/>
        </w:rPr>
        <w:t xml:space="preserve">in addition to the low power auxiliary station licensees reflected in our licensing database, low power auxiliary stations may be operated on a short-term basis under the authority conveyed by a part 73 or BAS license without prior authorization, subject to certain conditions.  </w:t>
      </w:r>
      <w:r>
        <w:rPr>
          <w:i/>
          <w:iCs/>
          <w:color w:val="010101"/>
        </w:rPr>
        <w:t xml:space="preserve">See </w:t>
      </w:r>
      <w:r>
        <w:rPr>
          <w:color w:val="010101"/>
        </w:rPr>
        <w:t>47 CFR § 74.24.</w:t>
      </w:r>
    </w:p>
  </w:footnote>
  <w:footnote w:id="40">
    <w:p w:rsidR="00933418" w:rsidP="004974BC">
      <w:pPr>
        <w:pStyle w:val="FootnoteText"/>
      </w:pPr>
      <w:r>
        <w:rPr>
          <w:rStyle w:val="FootnoteReference"/>
        </w:rPr>
        <w:footnoteRef/>
      </w:r>
      <w:r>
        <w:t xml:space="preserve"> </w:t>
      </w:r>
      <w:r>
        <w:rPr>
          <w:color w:val="010101"/>
        </w:rPr>
        <w:t>The maximum transmitter power in the 450-451 MHz and 455-456 MHz bands is one watt.  47 CFR § 74.861(d)(1).</w:t>
      </w:r>
    </w:p>
  </w:footnote>
  <w:footnote w:id="41">
    <w:p w:rsidR="00933418" w:rsidP="004974BC">
      <w:pPr>
        <w:pStyle w:val="FootnoteText"/>
      </w:pPr>
      <w:r>
        <w:rPr>
          <w:rStyle w:val="FootnoteReference"/>
        </w:rPr>
        <w:footnoteRef/>
      </w:r>
      <w:r>
        <w:t xml:space="preserve"> </w:t>
      </w:r>
      <w:r>
        <w:rPr>
          <w:i/>
        </w:rPr>
        <w:t>See</w:t>
      </w:r>
      <w:r>
        <w:t xml:space="preserve"> 47 CFR § 90.35(b)(3).</w:t>
      </w:r>
    </w:p>
  </w:footnote>
  <w:footnote w:id="42">
    <w:p w:rsidR="00933418" w:rsidP="004974BC">
      <w:pPr>
        <w:pStyle w:val="FootnoteText"/>
      </w:pPr>
      <w:r>
        <w:rPr>
          <w:rStyle w:val="FootnoteReference"/>
        </w:rPr>
        <w:footnoteRef/>
      </w:r>
      <w:r>
        <w:t xml:space="preserve"> </w:t>
      </w:r>
      <w:r>
        <w:rPr>
          <w:i/>
          <w:iCs/>
          <w:color w:val="010101"/>
        </w:rPr>
        <w:t xml:space="preserve">See </w:t>
      </w:r>
      <w:r>
        <w:rPr>
          <w:color w:val="010101"/>
        </w:rPr>
        <w:t>47 CFR § 95.1763(a), (c).</w:t>
      </w:r>
    </w:p>
  </w:footnote>
  <w:footnote w:id="43">
    <w:p w:rsidR="00933418" w:rsidP="004974BC">
      <w:pPr>
        <w:pStyle w:val="FootnoteText"/>
      </w:pPr>
      <w:r>
        <w:rPr>
          <w:rStyle w:val="FootnoteReference"/>
        </w:rPr>
        <w:footnoteRef/>
      </w:r>
      <w:r>
        <w:t xml:space="preserve"> </w:t>
      </w:r>
      <w:r>
        <w:rPr>
          <w:i/>
        </w:rPr>
        <w:t>See</w:t>
      </w:r>
      <w:r>
        <w:t xml:space="preserve"> 47 CFR § 90.35(b)(3).</w:t>
      </w:r>
    </w:p>
  </w:footnote>
  <w:footnote w:id="44">
    <w:p w:rsidR="00933418" w:rsidP="004974BC">
      <w:pPr>
        <w:pStyle w:val="FootnoteText"/>
      </w:pPr>
      <w:r>
        <w:rPr>
          <w:rStyle w:val="FootnoteReference"/>
        </w:rPr>
        <w:footnoteRef/>
      </w:r>
      <w:r>
        <w:t xml:space="preserve"> </w:t>
      </w:r>
      <w:r>
        <w:rPr>
          <w:i/>
        </w:rPr>
        <w:t>See PLMR Access NPRM</w:t>
      </w:r>
      <w:r>
        <w:t>, 31 FCC Rcd at 9434, para. 10.</w:t>
      </w:r>
    </w:p>
  </w:footnote>
  <w:footnote w:id="45">
    <w:p w:rsidR="00933418" w:rsidRPr="008E59DB" w:rsidP="004974BC">
      <w:pPr>
        <w:pStyle w:val="FootnoteText"/>
      </w:pPr>
      <w:r>
        <w:rPr>
          <w:rStyle w:val="FootnoteReference"/>
        </w:rPr>
        <w:footnoteRef/>
      </w:r>
      <w:r>
        <w:t xml:space="preserve"> </w:t>
      </w:r>
      <w:r>
        <w:rPr>
          <w:i/>
        </w:rPr>
        <w:t>See</w:t>
      </w:r>
      <w:r>
        <w:t xml:space="preserve">, </w:t>
      </w:r>
      <w:r>
        <w:rPr>
          <w:i/>
        </w:rPr>
        <w:t>e.g.</w:t>
      </w:r>
      <w:r>
        <w:t xml:space="preserve">, LMCC 16-261 Comments at 3-4 (urging the Commission to make available the frequencies identified in the </w:t>
      </w:r>
      <w:r>
        <w:rPr>
          <w:i/>
        </w:rPr>
        <w:t>PLMR Access NPRM</w:t>
      </w:r>
      <w:r>
        <w:t>); NAM/MRFAC Comments at 4 (stating that access to additional frequencies would help relieve spectrum congestion).</w:t>
      </w:r>
    </w:p>
  </w:footnote>
  <w:footnote w:id="46">
    <w:p w:rsidR="00933418" w:rsidRPr="003F4C91" w:rsidP="004974BC">
      <w:pPr>
        <w:pStyle w:val="FootnoteText"/>
      </w:pPr>
      <w:r>
        <w:rPr>
          <w:rStyle w:val="FootnoteReference"/>
        </w:rPr>
        <w:footnoteRef/>
      </w:r>
      <w:r>
        <w:t xml:space="preserve"> </w:t>
      </w:r>
      <w:r>
        <w:rPr>
          <w:i/>
        </w:rPr>
        <w:t xml:space="preserve">See </w:t>
      </w:r>
      <w:r>
        <w:t>Motorola Solutions, Inc. Comments at 2-3 (Nov. 22, 2016) (Motorola 16-261 Comments).</w:t>
      </w:r>
    </w:p>
  </w:footnote>
  <w:footnote w:id="47">
    <w:p w:rsidR="00933418" w:rsidRPr="002D3838" w:rsidP="004974BC">
      <w:pPr>
        <w:pStyle w:val="FootnoteText"/>
      </w:pPr>
      <w:r>
        <w:rPr>
          <w:rStyle w:val="FootnoteReference"/>
        </w:rPr>
        <w:footnoteRef/>
      </w:r>
      <w:r>
        <w:t xml:space="preserve"> We reject the suggestion that we permit coordination of these frequencies with a bandwidth wider than four kilohertz, </w:t>
      </w:r>
      <w:r>
        <w:rPr>
          <w:i/>
        </w:rPr>
        <w:t xml:space="preserve">see </w:t>
      </w:r>
      <w:r>
        <w:t xml:space="preserve">Utilities Telecom Council Comments at 3 (Nov. 22, 2016) (UTC 16-261 Comments), as that would result in spectral overlap.  GMRS licenses authorize nationwide operation on any GMRS channel, so there is no means for coordinating overlapping PLMR operations to avoid current or future GMRS users.  </w:t>
      </w:r>
      <w:r>
        <w:rPr>
          <w:i/>
        </w:rPr>
        <w:t xml:space="preserve">See </w:t>
      </w:r>
      <w:r>
        <w:t xml:space="preserve">47 CFR § 95.307; </w:t>
      </w:r>
      <w:r>
        <w:rPr>
          <w:i/>
        </w:rPr>
        <w:t xml:space="preserve">see also </w:t>
      </w:r>
      <w:r>
        <w:t>Leikhim and Associates, LLC Comments, WT Docket No. 10-119, at 7-8 (May 8, 2017).</w:t>
      </w:r>
    </w:p>
  </w:footnote>
  <w:footnote w:id="48">
    <w:p w:rsidR="00933418" w:rsidRPr="0058420B" w:rsidP="004974BC">
      <w:pPr>
        <w:pStyle w:val="FootnoteText"/>
      </w:pPr>
      <w:r>
        <w:rPr>
          <w:rStyle w:val="FootnoteReference"/>
        </w:rPr>
        <w:footnoteRef/>
      </w:r>
      <w:r>
        <w:t xml:space="preserve"> In 2014, the Division granted a request for waiver to permit PLMR operation on frequency pairs </w:t>
      </w:r>
      <w:r w:rsidRPr="005A5927">
        <w:rPr>
          <w:szCs w:val="22"/>
        </w:rPr>
        <w:t>462/467.5375 MHz and 462/467.7375 MHz</w:t>
      </w:r>
      <w:r>
        <w:rPr>
          <w:szCs w:val="22"/>
        </w:rPr>
        <w:t xml:space="preserve">, </w:t>
      </w:r>
      <w:r>
        <w:rPr>
          <w:i/>
          <w:szCs w:val="22"/>
        </w:rPr>
        <w:t>see Mobile Relay Associates</w:t>
      </w:r>
      <w:r>
        <w:rPr>
          <w:szCs w:val="22"/>
        </w:rPr>
        <w:t xml:space="preserve">, Order, 29 FCC Rcd 660, 662, para. 9 (WTB MD 2014) (rejecting speculative arguments about potential interference to GMRS, due to the lack of spectral overlap), and has granted subsequent waiver requests for those channels.  We have received no interference complaints.  </w:t>
      </w:r>
      <w:r>
        <w:rPr>
          <w:i/>
          <w:szCs w:val="22"/>
        </w:rPr>
        <w:t xml:space="preserve">See </w:t>
      </w:r>
      <w:r>
        <w:rPr>
          <w:szCs w:val="22"/>
        </w:rPr>
        <w:t>MRA 16-261 Comments at 5-6 (stating that MRA has received no interference complaints arising from its operations pursuant to the waiver).</w:t>
      </w:r>
    </w:p>
  </w:footnote>
  <w:footnote w:id="49">
    <w:p w:rsidR="00933418" w:rsidRPr="007942BE" w:rsidP="004974BC">
      <w:pPr>
        <w:pStyle w:val="FootnoteText"/>
      </w:pPr>
      <w:r>
        <w:rPr>
          <w:rStyle w:val="FootnoteReference"/>
        </w:rPr>
        <w:footnoteRef/>
      </w:r>
      <w:r>
        <w:t xml:space="preserve"> </w:t>
      </w:r>
      <w:r>
        <w:rPr>
          <w:i/>
        </w:rPr>
        <w:t>See PLMR Access NPRM</w:t>
      </w:r>
      <w:r>
        <w:t>, 31 FCC Rcd at 9433, para. 7 (seeking comment on whether any other channels should be added to the I/B Pool frequency table).</w:t>
      </w:r>
    </w:p>
  </w:footnote>
  <w:footnote w:id="50">
    <w:p w:rsidR="00933418" w:rsidP="004974BC">
      <w:pPr>
        <w:pStyle w:val="FootnoteText"/>
      </w:pPr>
      <w:r>
        <w:rPr>
          <w:rStyle w:val="FootnoteReference"/>
        </w:rPr>
        <w:footnoteRef/>
      </w:r>
      <w:r>
        <w:t xml:space="preserve"> Specifically, 454/459.009375 MHz, 454/459.990625 MHz and 454/459.996875 MHz.  </w:t>
      </w:r>
      <w:r w:rsidRPr="00EF7F13">
        <w:rPr>
          <w:i/>
        </w:rPr>
        <w:t>See</w:t>
      </w:r>
      <w:r>
        <w:t xml:space="preserve"> </w:t>
      </w:r>
      <w:bookmarkStart w:id="32" w:name="_Hlk521937530"/>
      <w:r>
        <w:t>MRA 16-261 Comments</w:t>
      </w:r>
      <w:bookmarkEnd w:id="32"/>
      <w:r>
        <w:t xml:space="preserve"> at 6.     </w:t>
      </w:r>
    </w:p>
  </w:footnote>
  <w:footnote w:id="51">
    <w:p w:rsidR="00933418" w:rsidP="004974BC">
      <w:pPr>
        <w:pStyle w:val="FootnoteText"/>
      </w:pPr>
      <w:r>
        <w:rPr>
          <w:rStyle w:val="FootnoteReference"/>
        </w:rPr>
        <w:footnoteRef/>
      </w:r>
      <w:r>
        <w:t xml:space="preserve"> </w:t>
      </w:r>
      <w:r w:rsidRPr="000C177D">
        <w:t xml:space="preserve">Frequency pair </w:t>
      </w:r>
      <w:r w:rsidRPr="000C177D">
        <w:rPr>
          <w:szCs w:val="22"/>
        </w:rPr>
        <w:t xml:space="preserve">454/459.009375 MHz is between </w:t>
      </w:r>
      <w:r>
        <w:rPr>
          <w:szCs w:val="22"/>
        </w:rPr>
        <w:t xml:space="preserve">an </w:t>
      </w:r>
      <w:r w:rsidRPr="000C177D">
        <w:rPr>
          <w:szCs w:val="22"/>
        </w:rPr>
        <w:t xml:space="preserve">I/B </w:t>
      </w:r>
      <w:r>
        <w:rPr>
          <w:szCs w:val="22"/>
        </w:rPr>
        <w:t xml:space="preserve">oil spill containment and cleanup </w:t>
      </w:r>
      <w:r w:rsidRPr="000C177D">
        <w:rPr>
          <w:szCs w:val="22"/>
        </w:rPr>
        <w:t>frequenc</w:t>
      </w:r>
      <w:r>
        <w:rPr>
          <w:szCs w:val="22"/>
        </w:rPr>
        <w:t>y pair</w:t>
      </w:r>
      <w:r w:rsidRPr="000C177D">
        <w:rPr>
          <w:szCs w:val="22"/>
        </w:rPr>
        <w:t xml:space="preserve"> and </w:t>
      </w:r>
      <w:r>
        <w:rPr>
          <w:szCs w:val="22"/>
        </w:rPr>
        <w:t xml:space="preserve">a </w:t>
      </w:r>
      <w:r w:rsidRPr="000C177D">
        <w:rPr>
          <w:szCs w:val="22"/>
        </w:rPr>
        <w:t>part 22 Paging and Radiotelephone Service (PARS) and Rural Radiotelephone Service (RRS) frequenc</w:t>
      </w:r>
      <w:r>
        <w:rPr>
          <w:szCs w:val="22"/>
        </w:rPr>
        <w:t>y pa</w:t>
      </w:r>
      <w:r w:rsidRPr="000C177D">
        <w:rPr>
          <w:szCs w:val="22"/>
        </w:rPr>
        <w:t>i</w:t>
      </w:r>
      <w:r>
        <w:rPr>
          <w:szCs w:val="22"/>
        </w:rPr>
        <w:t>r</w:t>
      </w:r>
      <w:r w:rsidRPr="000C177D">
        <w:rPr>
          <w:szCs w:val="22"/>
        </w:rPr>
        <w:t>.</w:t>
      </w:r>
      <w:r>
        <w:rPr>
          <w:szCs w:val="22"/>
        </w:rPr>
        <w:t xml:space="preserve">  </w:t>
      </w:r>
      <w:r>
        <w:rPr>
          <w:i/>
        </w:rPr>
        <w:t xml:space="preserve">See </w:t>
      </w:r>
      <w:r>
        <w:t xml:space="preserve">47 CFR §§ 22.561 (designating assignable 454/459 PARS frequencies beginning with 454/459.025 MHz), 22.725 (designating assignable 454/459 RRS frequencies beginning with 454/459.025 MHz), 90.35(b)(3) (designating 454/459.000 MHz for oil spill containment and cleanup operations).  </w:t>
      </w:r>
      <w:r w:rsidRPr="000C177D">
        <w:t>Frequencies 454.990625 MHz and 454.996875 MHz are between part 22 General Aviation Air-ground Radiotelephone Service (GAARS) frequencies and part 74 BAS frequencies.</w:t>
      </w:r>
      <w:r>
        <w:t xml:space="preserve">  </w:t>
      </w:r>
      <w:r>
        <w:rPr>
          <w:i/>
        </w:rPr>
        <w:t>See</w:t>
      </w:r>
      <w:r>
        <w:t xml:space="preserve"> 47 CFR §</w:t>
      </w:r>
      <w:r w:rsidRPr="00D7561C">
        <w:t>§</w:t>
      </w:r>
      <w:r>
        <w:t xml:space="preserve"> 22.805 (designating assignable 454/459 MHz GAARS frequencies ending with 454/459.975 MHz), 74.402(a)(4) (designating assignable 455 MHz BAS frequencies beginning with 455.00625 MHz).  </w:t>
      </w:r>
      <w:r w:rsidRPr="000C177D">
        <w:t xml:space="preserve">Frequencies 459.990625 MHz and 459.996875 MHz </w:t>
      </w:r>
      <w:r>
        <w:t xml:space="preserve">are </w:t>
      </w:r>
      <w:r w:rsidRPr="000C177D">
        <w:t xml:space="preserve">between part 22 GAARS spectrum and part 90 Public Safety </w:t>
      </w:r>
      <w:r>
        <w:t xml:space="preserve">(PS) </w:t>
      </w:r>
      <w:r w:rsidRPr="000C177D">
        <w:t>Pool frequencies.</w:t>
      </w:r>
      <w:r>
        <w:t xml:space="preserve">  </w:t>
      </w:r>
      <w:r>
        <w:rPr>
          <w:i/>
        </w:rPr>
        <w:t>See</w:t>
      </w:r>
      <w:r>
        <w:t xml:space="preserve"> 47 CFR §</w:t>
      </w:r>
      <w:r w:rsidRPr="00D7561C">
        <w:t>§</w:t>
      </w:r>
      <w:r>
        <w:t xml:space="preserve"> 22.805 (designating assignable 454/459 MHz GAARS frequencies ending with 454/459.975 MHz), 90.20(c)(3) (designating assignable 460 MHz PS frequencies beginning with 460.0125 MHz)</w:t>
      </w:r>
      <w:r w:rsidRPr="00D7561C">
        <w:t>.</w:t>
      </w:r>
      <w:r>
        <w:t xml:space="preserve">  MRA argues that part 90 channels and part 22 channels are fungible and used similarly, so the fact that the suggested frequency pairs are adjacent to part 22 channels rather than adjacent to part 90 channels should not preclude adding them to the I/B Pool frequency table.  </w:t>
      </w:r>
      <w:r w:rsidRPr="00EF7F13">
        <w:rPr>
          <w:i/>
        </w:rPr>
        <w:t>See</w:t>
      </w:r>
      <w:r>
        <w:rPr>
          <w:i/>
        </w:rPr>
        <w:t xml:space="preserve"> </w:t>
      </w:r>
      <w:r>
        <w:t>MRA 16-261 Comments at 7.</w:t>
      </w:r>
    </w:p>
  </w:footnote>
  <w:footnote w:id="52">
    <w:p w:rsidR="00933418" w:rsidRPr="00B574EF" w:rsidP="004974BC">
      <w:pPr>
        <w:pStyle w:val="FootnoteText"/>
      </w:pPr>
      <w:r>
        <w:rPr>
          <w:rStyle w:val="FootnoteReference"/>
        </w:rPr>
        <w:footnoteRef/>
      </w:r>
      <w:r>
        <w:t xml:space="preserve"> That the entity making the suggestion is a part 90 PLMR licensee is not a sufficient reason.  </w:t>
      </w:r>
      <w:r>
        <w:rPr>
          <w:i/>
        </w:rPr>
        <w:t>Cf.</w:t>
      </w:r>
      <w:r>
        <w:t xml:space="preserve"> </w:t>
      </w:r>
      <w:r>
        <w:rPr>
          <w:i/>
        </w:rPr>
        <w:t>Amendment of the Commission’s Rules with Regard to Commercial Operations in the 3550-3650 MHz Band</w:t>
      </w:r>
      <w:r>
        <w:t>, Report and Order and Second Further Notice of Proposed Rulemaking, 30 FCC Rcd 3959, 4003-04, para. 138 (2015) (“We do not believe that using a ‘first come, first served giveaway’ as a licensing mechanism in this scenario would ensure the most efficient and intensive use of the spectrum”) (footnote omitted).</w:t>
      </w:r>
    </w:p>
  </w:footnote>
  <w:footnote w:id="53">
    <w:p w:rsidR="00933418" w:rsidP="004974BC">
      <w:pPr>
        <w:pStyle w:val="FootnoteText"/>
      </w:pPr>
      <w:r>
        <w:rPr>
          <w:rStyle w:val="FootnoteReference"/>
        </w:rPr>
        <w:footnoteRef/>
      </w:r>
      <w:r>
        <w:t xml:space="preserve"> </w:t>
      </w:r>
      <w:r w:rsidRPr="00EF7F13">
        <w:rPr>
          <w:i/>
        </w:rPr>
        <w:t>See</w:t>
      </w:r>
      <w:r>
        <w:t xml:space="preserve"> </w:t>
      </w:r>
      <w:r w:rsidRPr="000822C6">
        <w:rPr>
          <w:i/>
        </w:rPr>
        <w:t>Wireless Telecommunications Bureau Reminds Paging and Radiotelephone Service Licensees of Certain Technical Rules and Seeks Comment on the Need for Technical Flexibility</w:t>
      </w:r>
      <w:r w:rsidRPr="005859F5">
        <w:t>, Public Notice, 29 FCC Rcd 12673 (WTB 2014)</w:t>
      </w:r>
      <w:r>
        <w:t>.</w:t>
      </w:r>
    </w:p>
  </w:footnote>
  <w:footnote w:id="54">
    <w:p w:rsidR="00933418" w:rsidRPr="001E22FA" w:rsidP="004974BC">
      <w:pPr>
        <w:pStyle w:val="FootnoteText"/>
      </w:pPr>
      <w:r w:rsidRPr="00D02608">
        <w:rPr>
          <w:rStyle w:val="FootnoteReference"/>
        </w:rPr>
        <w:footnoteRef/>
      </w:r>
      <w:r w:rsidRPr="00D02608">
        <w:t xml:space="preserve"> </w:t>
      </w:r>
      <w:r>
        <w:t xml:space="preserve">The Commission’s action applied to the T-Band as well as the 150-174 MHz and 450-470 MHz PLMR bands.  </w:t>
      </w:r>
      <w:r w:rsidRPr="00D02608">
        <w:rPr>
          <w:i/>
          <w:iCs/>
        </w:rPr>
        <w:t>See</w:t>
      </w:r>
      <w:r w:rsidRPr="00D02608">
        <w:t> </w:t>
      </w:r>
      <w:r w:rsidRPr="00D02608">
        <w:rPr>
          <w:i/>
        </w:rPr>
        <w:t>Implementation of Sections 309(j) and 337 of the Communications Act of 1934 as Amended</w:t>
      </w:r>
      <w:r w:rsidRPr="00D02608">
        <w:t xml:space="preserve">, </w:t>
      </w:r>
      <w:r w:rsidRPr="00D02608">
        <w:rPr>
          <w:iCs/>
        </w:rPr>
        <w:t>Second Report and Order and Second Further Notice of Proposed Rulemakin</w:t>
      </w:r>
      <w:r w:rsidRPr="00D02608">
        <w:rPr>
          <w:i/>
          <w:iCs/>
        </w:rPr>
        <w:t>g,</w:t>
      </w:r>
      <w:r w:rsidRPr="00D02608">
        <w:t> </w:t>
      </w:r>
      <w:r w:rsidRPr="00BE5F8E">
        <w:t>18 FCC Rcd 3034 (2003)</w:t>
      </w:r>
      <w:r w:rsidRPr="00D02608">
        <w:t xml:space="preserve">; </w:t>
      </w:r>
      <w:r w:rsidRPr="00D02608">
        <w:rPr>
          <w:i/>
        </w:rPr>
        <w:t>Implementation of Sections 309(j) and 337 of the Communications Act of 1934 as Amended</w:t>
      </w:r>
      <w:r w:rsidRPr="00D02608">
        <w:t>, </w:t>
      </w:r>
      <w:r w:rsidRPr="00D02608">
        <w:rPr>
          <w:iCs/>
        </w:rPr>
        <w:t>Third Memorandum Opinion and Order, Third Further Notice of Proposed Rule Making and Order</w:t>
      </w:r>
      <w:r w:rsidRPr="00BE5F8E">
        <w:t>, 19 FCC Rcd 25045 (2004)</w:t>
      </w:r>
      <w:r w:rsidRPr="00D02608">
        <w:t>.</w:t>
      </w:r>
      <w:r w:rsidRPr="00FA4F8C">
        <w:t xml:space="preserve">  </w:t>
      </w:r>
      <w:r>
        <w:t xml:space="preserve">Subsequently, however, the Wireless Telecommunications Bureau and Public Safety and Homeland Security Bureau waived the narrowbanding deadline for T-Band frequencies to relieve T-Band licensees from the narrowbanding requirement before the Commission determined how to implement the Spectrum Act.  </w:t>
      </w:r>
      <w:r>
        <w:rPr>
          <w:i/>
        </w:rPr>
        <w:t>See Implementation of Sections 309(j) and 337 of the Communications Act as Amended</w:t>
      </w:r>
      <w:r>
        <w:t>, Order, 27 FCC Rcd 4213, 4215, para. 7 (WTB/PSHSB 2012).</w:t>
      </w:r>
    </w:p>
  </w:footnote>
  <w:footnote w:id="55">
    <w:p w:rsidR="00933418" w:rsidP="004974BC">
      <w:pPr>
        <w:pStyle w:val="FootnoteText"/>
      </w:pPr>
      <w:r>
        <w:rPr>
          <w:rStyle w:val="FootnoteReference"/>
        </w:rPr>
        <w:footnoteRef/>
      </w:r>
      <w:r>
        <w:t xml:space="preserve"> </w:t>
      </w:r>
      <w:r w:rsidRPr="00D02608">
        <w:t>47 CFR § 90.535.</w:t>
      </w:r>
    </w:p>
  </w:footnote>
  <w:footnote w:id="56">
    <w:p w:rsidR="00933418" w:rsidP="004974BC">
      <w:pPr>
        <w:pStyle w:val="FootnoteText"/>
      </w:pPr>
      <w:r>
        <w:rPr>
          <w:rStyle w:val="FootnoteReference"/>
        </w:rPr>
        <w:footnoteRef/>
      </w:r>
      <w:r>
        <w:t xml:space="preserve"> </w:t>
      </w:r>
      <w:r w:rsidRPr="00B40E81">
        <w:rPr>
          <w:i/>
        </w:rPr>
        <w:t>See</w:t>
      </w:r>
      <w:r>
        <w:t xml:space="preserve"> </w:t>
      </w:r>
      <w:r>
        <w:rPr>
          <w:i/>
        </w:rPr>
        <w:t xml:space="preserve">800 MHz </w:t>
      </w:r>
      <w:r w:rsidRPr="005342F7">
        <w:rPr>
          <w:i/>
        </w:rPr>
        <w:t xml:space="preserve">Interstitial </w:t>
      </w:r>
      <w:r>
        <w:rPr>
          <w:i/>
        </w:rPr>
        <w:t>NPRM</w:t>
      </w:r>
      <w:r w:rsidRPr="005342F7">
        <w:t xml:space="preserve">, 30 FCC Rcd </w:t>
      </w:r>
      <w:r>
        <w:t>at</w:t>
      </w:r>
      <w:r w:rsidRPr="005342F7">
        <w:t xml:space="preserve"> 1663-64, para. 1.</w:t>
      </w:r>
      <w:r>
        <w:t xml:space="preserve">  </w:t>
      </w:r>
      <w:r w:rsidRPr="00264BA1">
        <w:t xml:space="preserve">The </w:t>
      </w:r>
      <w:r w:rsidRPr="00264BA1">
        <w:rPr>
          <w:i/>
        </w:rPr>
        <w:t>800 MHz Interstitial</w:t>
      </w:r>
      <w:r w:rsidRPr="00264BA1">
        <w:t xml:space="preserve"> </w:t>
      </w:r>
      <w:r w:rsidRPr="00264BA1">
        <w:rPr>
          <w:i/>
        </w:rPr>
        <w:t>NPRM</w:t>
      </w:r>
      <w:r w:rsidRPr="00264BA1">
        <w:t xml:space="preserve"> was based on a petition filed by the Enterprise Wireless Alliance that proposed interstitial channels and received widespread support from commenters</w:t>
      </w:r>
      <w:r>
        <w:t xml:space="preserve">.  </w:t>
      </w:r>
      <w:r w:rsidRPr="00264BA1">
        <w:t xml:space="preserve">Petition of the Enterprise Wireless Alliance for Rulemaking, RM-11572, at 3-4 (filed Apr. 29, </w:t>
      </w:r>
      <w:r w:rsidRPr="00C52417">
        <w:t>2009</w:t>
      </w:r>
      <w:r w:rsidRPr="00264BA1">
        <w:t>) (EWA Petition for Rulemaking).</w:t>
      </w:r>
    </w:p>
  </w:footnote>
  <w:footnote w:id="57">
    <w:p w:rsidR="00933418" w:rsidRPr="00025663" w:rsidP="004974BC">
      <w:pPr>
        <w:pStyle w:val="FootnoteText"/>
      </w:pPr>
      <w:r>
        <w:rPr>
          <w:rStyle w:val="FootnoteReference"/>
        </w:rPr>
        <w:footnoteRef/>
      </w:r>
      <w:r>
        <w:t xml:space="preserve"> </w:t>
      </w:r>
      <w:r>
        <w:rPr>
          <w:i/>
        </w:rPr>
        <w:t xml:space="preserve">800 MHz </w:t>
      </w:r>
      <w:r w:rsidRPr="005342F7">
        <w:rPr>
          <w:i/>
        </w:rPr>
        <w:t xml:space="preserve">Interstitial </w:t>
      </w:r>
      <w:r>
        <w:rPr>
          <w:i/>
        </w:rPr>
        <w:t>NPRM</w:t>
      </w:r>
      <w:r>
        <w:t>, 30 FCC Rcd</w:t>
      </w:r>
      <w:r w:rsidRPr="0036089F">
        <w:rPr>
          <w:i/>
        </w:rPr>
        <w:t xml:space="preserve"> </w:t>
      </w:r>
      <w:r>
        <w:t>at 1673-75, paras. 22-27.</w:t>
      </w:r>
    </w:p>
  </w:footnote>
  <w:footnote w:id="58">
    <w:p w:rsidR="00933418" w:rsidRPr="00136948" w:rsidP="004974BC">
      <w:pPr>
        <w:pStyle w:val="FootnoteText"/>
        <w:rPr>
          <w:i/>
        </w:rPr>
      </w:pPr>
      <w:r>
        <w:rPr>
          <w:rStyle w:val="FootnoteReference"/>
        </w:rPr>
        <w:footnoteRef/>
      </w:r>
      <w:r>
        <w:t xml:space="preserve"> </w:t>
      </w:r>
      <w:r>
        <w:rPr>
          <w:i/>
        </w:rPr>
        <w:t>Id.</w:t>
      </w:r>
      <w:r>
        <w:t xml:space="preserve"> at 1675-78, paras. 28-35.</w:t>
      </w:r>
      <w:r>
        <w:rPr>
          <w:i/>
        </w:rPr>
        <w:t xml:space="preserve"> </w:t>
      </w:r>
    </w:p>
  </w:footnote>
  <w:footnote w:id="59">
    <w:p w:rsidR="00933418" w:rsidP="004974BC">
      <w:pPr>
        <w:pStyle w:val="FootnoteText"/>
      </w:pPr>
      <w:r>
        <w:rPr>
          <w:rStyle w:val="FootnoteReference"/>
        </w:rPr>
        <w:footnoteRef/>
      </w:r>
      <w:r>
        <w:t xml:space="preserve">  </w:t>
      </w:r>
      <w:bookmarkStart w:id="34" w:name="_Hlk522006599"/>
      <w:r>
        <w:rPr>
          <w:i/>
        </w:rPr>
        <w:t>Id.</w:t>
      </w:r>
      <w:r>
        <w:t xml:space="preserve"> at 1671, para. 17 </w:t>
      </w:r>
      <w:bookmarkEnd w:id="34"/>
      <w:r>
        <w:t>(citing</w:t>
      </w:r>
      <w:r w:rsidRPr="001B1A29">
        <w:rPr>
          <w:i/>
        </w:rPr>
        <w:t xml:space="preserve"> </w:t>
      </w:r>
      <w:r w:rsidRPr="00C16E6F">
        <w:rPr>
          <w:i/>
        </w:rPr>
        <w:t>Amendment of Part 90 of the Commission’s Rules to Permit Terrestrial Trunked Radio (TETRA) Technology</w:t>
      </w:r>
      <w:r w:rsidRPr="001B1A29">
        <w:t xml:space="preserve">, </w:t>
      </w:r>
      <w:r w:rsidRPr="00C16E6F">
        <w:t>Report and Order</w:t>
      </w:r>
      <w:r w:rsidRPr="001B1A29">
        <w:t>, 27 FCC Rcd 11569 (2012)</w:t>
      </w:r>
      <w:r>
        <w:t xml:space="preserve"> (</w:t>
      </w:r>
      <w:bookmarkStart w:id="35" w:name="_Hlk522016911"/>
      <w:r>
        <w:rPr>
          <w:i/>
        </w:rPr>
        <w:t>TETRA Report and Order</w:t>
      </w:r>
      <w:bookmarkEnd w:id="35"/>
      <w:r>
        <w:t>))</w:t>
      </w:r>
      <w:r w:rsidRPr="00C6580C">
        <w:t xml:space="preserve">. </w:t>
      </w:r>
      <w:r>
        <w:t xml:space="preserve"> </w:t>
      </w:r>
      <w:r w:rsidRPr="001960FB">
        <w:t>The Commission’s rules permit standard channel licensees in the 800 MHz Mid-Band to deploy TETRA, a spectrally efficient digital technology operating with an authorized bandwidth of up to 22 kilohertz</w:t>
      </w:r>
      <w:r>
        <w:t>.</w:t>
      </w:r>
      <w:r>
        <w:rPr>
          <w:i/>
        </w:rPr>
        <w:t xml:space="preserve">  See</w:t>
      </w:r>
      <w:r w:rsidRPr="00E5523F">
        <w:rPr>
          <w:i/>
        </w:rPr>
        <w:t xml:space="preserve"> </w:t>
      </w:r>
      <w:r>
        <w:rPr>
          <w:i/>
        </w:rPr>
        <w:t>TETRA Report and Order</w:t>
      </w:r>
      <w:r w:rsidRPr="00504FA2">
        <w:t xml:space="preserve">, 27 FCC Rcd </w:t>
      </w:r>
      <w:r>
        <w:t xml:space="preserve">at 11569, </w:t>
      </w:r>
      <w:r w:rsidRPr="00504FA2">
        <w:t>para. 1.</w:t>
      </w:r>
    </w:p>
  </w:footnote>
  <w:footnote w:id="60">
    <w:p w:rsidR="00933418" w:rsidP="004974BC">
      <w:pPr>
        <w:pStyle w:val="FootnoteText"/>
      </w:pPr>
      <w:r w:rsidRPr="00A96110">
        <w:rPr>
          <w:rStyle w:val="FootnoteReference"/>
        </w:rPr>
        <w:footnoteRef/>
      </w:r>
      <w:r w:rsidRPr="00C6580C">
        <w:t xml:space="preserve"> </w:t>
      </w:r>
      <w:r>
        <w:rPr>
          <w:i/>
        </w:rPr>
        <w:t xml:space="preserve">800 MHz </w:t>
      </w:r>
      <w:r w:rsidRPr="005342F7">
        <w:rPr>
          <w:i/>
        </w:rPr>
        <w:t xml:space="preserve">Interstitial </w:t>
      </w:r>
      <w:r>
        <w:rPr>
          <w:i/>
        </w:rPr>
        <w:t>NPRM</w:t>
      </w:r>
      <w:r>
        <w:t>, 30 FCC Rcd</w:t>
      </w:r>
      <w:r w:rsidRPr="0036089F">
        <w:rPr>
          <w:i/>
        </w:rPr>
        <w:t xml:space="preserve"> </w:t>
      </w:r>
      <w:r>
        <w:t xml:space="preserve">at 1671-72, para. 18.  </w:t>
      </w:r>
      <w:r w:rsidRPr="00C6580C">
        <w:t xml:space="preserve">   </w:t>
      </w:r>
    </w:p>
  </w:footnote>
  <w:footnote w:id="61">
    <w:p w:rsidR="00933418" w:rsidP="004974BC">
      <w:pPr>
        <w:pStyle w:val="FootnoteText"/>
      </w:pPr>
      <w:r>
        <w:rPr>
          <w:rStyle w:val="FootnoteReference"/>
        </w:rPr>
        <w:footnoteRef/>
      </w:r>
      <w:r>
        <w:t xml:space="preserve"> Association of </w:t>
      </w:r>
      <w:r w:rsidRPr="00C6580C">
        <w:t>Public-Safety Communications Officials-International, Inc.</w:t>
      </w:r>
      <w:r>
        <w:t xml:space="preserve"> Comments at 1-2 (May 11, 2015) (APCO 15-32 Comments); Enterprise Wireless Alliance Comments at 2 (May 11, 2015) (EWA 15-32 Comments); Keith Bradshaw </w:t>
      </w:r>
      <w:r w:rsidRPr="0007422F">
        <w:t>Comments</w:t>
      </w:r>
      <w:r>
        <w:t xml:space="preserve"> at 1 (May 11, 2015) (filing on behalf of the </w:t>
      </w:r>
      <w:r w:rsidRPr="0007422F">
        <w:t>Michigan Public Safety Frequency Advisory Committee</w:t>
      </w:r>
      <w:r>
        <w:t>)</w:t>
      </w:r>
      <w:r w:rsidRPr="0007422F">
        <w:t xml:space="preserve"> </w:t>
      </w:r>
      <w:r>
        <w:t xml:space="preserve">(MPSFAC Comments); Land Mobile Communications Council Comments at 3 (May 11, 2015) (LMCC 15-32 Comments); National Public Safety Telecommunications Council Comments at 4 (May 11, 2015) (NPSTC 15-32 Comments); American Petroleum Institute Reply Comments at 1 (May 26, 2015) (API Reply Comments); Enterprise Wireless Alliance Reply Comments at 1 (May 26, 2015) (EWA 15-32 Reply Comments); Robert Burchett Reply Comments at 1 (May 14, 2015) (filing on behalf of Enterprise Electronics) (Enterprise Electronics Reply Comments). </w:t>
      </w:r>
    </w:p>
  </w:footnote>
  <w:footnote w:id="62">
    <w:p w:rsidR="00933418" w:rsidP="004974BC">
      <w:pPr>
        <w:pStyle w:val="FootnoteText"/>
      </w:pPr>
      <w:r>
        <w:rPr>
          <w:rStyle w:val="FootnoteReference"/>
        </w:rPr>
        <w:footnoteRef/>
      </w:r>
      <w:r>
        <w:t xml:space="preserve"> Land Mobile Communications Council Reply Comments at 1 (May 26, 2015) (</w:t>
      </w:r>
      <w:bookmarkStart w:id="36" w:name="_Hlk523915352"/>
      <w:r>
        <w:t>LMCC 15-32 Reply Comments</w:t>
      </w:r>
      <w:bookmarkEnd w:id="36"/>
      <w:r>
        <w:t>).</w:t>
      </w:r>
    </w:p>
  </w:footnote>
  <w:footnote w:id="63">
    <w:p w:rsidR="00933418" w:rsidRPr="00B60C55" w:rsidP="004974BC">
      <w:pPr>
        <w:pStyle w:val="FootnoteText"/>
        <w:rPr>
          <w:b/>
        </w:rPr>
      </w:pPr>
      <w:r>
        <w:rPr>
          <w:rStyle w:val="FootnoteReference"/>
        </w:rPr>
        <w:footnoteRef/>
      </w:r>
      <w:r>
        <w:t xml:space="preserve"> </w:t>
      </w:r>
      <w:r w:rsidRPr="00735420">
        <w:rPr>
          <w:i/>
        </w:rPr>
        <w:t>Wireless Telecommunications Bureau and Public Safety and Homeland Security Bureau Seek Comment on Land Mobile Communications Council’s Proposed 800 MHz Interstitial Channel Interference Contours</w:t>
      </w:r>
      <w:r>
        <w:t xml:space="preserve">, Public Notice, </w:t>
      </w:r>
      <w:r w:rsidRPr="00735420">
        <w:t>30 FCC Rcd 7389</w:t>
      </w:r>
      <w:r>
        <w:t xml:space="preserve"> (WTB/PSHSB 2015); </w:t>
      </w:r>
      <w:r>
        <w:rPr>
          <w:i/>
        </w:rPr>
        <w:t xml:space="preserve">see also </w:t>
      </w:r>
      <w:r>
        <w:t xml:space="preserve">Federal Communications Commission, Creation of Interstitial 12.5 kHz Channels in the 800 MHz Band Between 809-817/854-862 MHz, 80 Fed. Reg. </w:t>
      </w:r>
      <w:r w:rsidRPr="009843B5">
        <w:t>46928</w:t>
      </w:r>
      <w:r>
        <w:t xml:space="preserve"> (Aug. 6, 2015) (establishing a comment date for the Public Notice).</w:t>
      </w:r>
      <w:r w:rsidRPr="00B60C55">
        <w:rPr>
          <w:b/>
        </w:rPr>
        <w:t xml:space="preserve"> </w:t>
      </w:r>
      <w:r w:rsidRPr="00B60C55">
        <w:rPr>
          <w:b/>
        </w:rPr>
        <w:t xml:space="preserve"> </w:t>
      </w:r>
    </w:p>
  </w:footnote>
  <w:footnote w:id="64">
    <w:p w:rsidR="00933418" w:rsidP="004974BC">
      <w:pPr>
        <w:pStyle w:val="FootnoteText"/>
      </w:pPr>
      <w:r>
        <w:rPr>
          <w:rStyle w:val="FootnoteReference"/>
        </w:rPr>
        <w:footnoteRef/>
      </w:r>
      <w:r>
        <w:t xml:space="preserve"> 47 CFR § 90.617(g).</w:t>
      </w:r>
    </w:p>
  </w:footnote>
  <w:footnote w:id="65">
    <w:p w:rsidR="00933418" w:rsidRPr="00B9149B" w:rsidP="004974BC">
      <w:pPr>
        <w:pStyle w:val="FootnoteText"/>
      </w:pPr>
      <w:r w:rsidRPr="00B9149B">
        <w:rPr>
          <w:rStyle w:val="FootnoteReference"/>
        </w:rPr>
        <w:footnoteRef/>
      </w:r>
      <w:r w:rsidRPr="00B9149B">
        <w:t xml:space="preserve"> </w:t>
      </w:r>
      <w:r w:rsidRPr="00B9149B">
        <w:rPr>
          <w:i/>
        </w:rPr>
        <w:t>See</w:t>
      </w:r>
      <w:r w:rsidRPr="00B9149B">
        <w:t xml:space="preserve"> </w:t>
      </w:r>
      <w:r w:rsidRPr="00B9149B">
        <w:rPr>
          <w:i/>
        </w:rPr>
        <w:t>Amendment of Part 90 of the Commission’s Rules to Release Spectrum in the 806-821/855-866 MHz Bands and to Adopt Rules Which Govern Their Use</w:t>
      </w:r>
      <w:r>
        <w:rPr>
          <w:i/>
        </w:rPr>
        <w:t>,</w:t>
      </w:r>
      <w:r w:rsidRPr="00B9149B">
        <w:rPr>
          <w:i/>
        </w:rPr>
        <w:t xml:space="preserve"> et al.</w:t>
      </w:r>
      <w:r w:rsidRPr="00B9149B">
        <w:t>, Second Report and Order, 90 F.C.C.</w:t>
      </w:r>
      <w:r>
        <w:t xml:space="preserve"> </w:t>
      </w:r>
      <w:r w:rsidRPr="00B9149B">
        <w:t>2d 1281</w:t>
      </w:r>
      <w:r>
        <w:t>, 1282,</w:t>
      </w:r>
      <w:r w:rsidRPr="00B9149B">
        <w:t xml:space="preserve"> para. 1 (1983).</w:t>
      </w:r>
    </w:p>
  </w:footnote>
  <w:footnote w:id="66">
    <w:p w:rsidR="00933418" w:rsidP="004974BC">
      <w:pPr>
        <w:pStyle w:val="FootnoteText"/>
      </w:pPr>
      <w:r>
        <w:rPr>
          <w:rStyle w:val="FootnoteReference"/>
        </w:rPr>
        <w:footnoteRef/>
      </w:r>
      <w:r>
        <w:t xml:space="preserve"> </w:t>
      </w:r>
      <w:r w:rsidRPr="00863A0F">
        <w:t>To date, the Com</w:t>
      </w:r>
      <w:r w:rsidRPr="00307469">
        <w:t xml:space="preserve">mission has declared band reconfiguration complete in </w:t>
      </w:r>
      <w:r>
        <w:t>41</w:t>
      </w:r>
      <w:r w:rsidRPr="00307469">
        <w:t xml:space="preserve"> of </w:t>
      </w:r>
      <w:r>
        <w:t>59</w:t>
      </w:r>
      <w:r w:rsidRPr="00307469">
        <w:t xml:space="preserve"> NPSPAC regions</w:t>
      </w:r>
      <w:r>
        <w:t>.</w:t>
      </w:r>
      <w:r w:rsidRPr="00C6580C">
        <w:t xml:space="preserve">  </w:t>
      </w:r>
    </w:p>
  </w:footnote>
  <w:footnote w:id="67">
    <w:p w:rsidR="00933418" w:rsidP="004974BC">
      <w:pPr>
        <w:pStyle w:val="FootnoteText"/>
      </w:pPr>
      <w:r>
        <w:rPr>
          <w:rStyle w:val="FootnoteReference"/>
        </w:rPr>
        <w:footnoteRef/>
      </w:r>
      <w:r>
        <w:t xml:space="preserve"> </w:t>
      </w:r>
      <w:r w:rsidRPr="00CD6980">
        <w:rPr>
          <w:i/>
        </w:rPr>
        <w:t>See</w:t>
      </w:r>
      <w:r>
        <w:t xml:space="preserve"> </w:t>
      </w:r>
      <w:r w:rsidRPr="00307469">
        <w:rPr>
          <w:i/>
        </w:rPr>
        <w:t>Public Safety and Homeland Security Bureau Extends 800 MHz Application Freeze Along Border with Mexico</w:t>
      </w:r>
      <w:r w:rsidRPr="00307469">
        <w:t>, Public Notice, 32 FCC Rcd 1817 (</w:t>
      </w:r>
      <w:r>
        <w:t xml:space="preserve">PSHSB </w:t>
      </w:r>
      <w:r w:rsidRPr="00307469">
        <w:t>2017)</w:t>
      </w:r>
      <w:r>
        <w:t xml:space="preserve">.  </w:t>
      </w:r>
    </w:p>
  </w:footnote>
  <w:footnote w:id="68">
    <w:p w:rsidR="00933418" w:rsidRPr="004F6B0D" w:rsidP="004974BC">
      <w:pPr>
        <w:pStyle w:val="FootnoteText"/>
      </w:pPr>
      <w:r>
        <w:rPr>
          <w:rStyle w:val="FootnoteReference"/>
        </w:rPr>
        <w:footnoteRef/>
      </w:r>
      <w:r>
        <w:t xml:space="preserve"> </w:t>
      </w:r>
      <w:r w:rsidRPr="00603A29">
        <w:rPr>
          <w:i/>
        </w:rPr>
        <w:t>See</w:t>
      </w:r>
      <w:r>
        <w:t xml:space="preserve">, </w:t>
      </w:r>
      <w:r w:rsidRPr="00C96FA4">
        <w:rPr>
          <w:i/>
        </w:rPr>
        <w:t>e.g</w:t>
      </w:r>
      <w:r>
        <w:t xml:space="preserve">., Peak Relay, Inc. (Peak Relay) Comments at 3, 15 (May 11, 2015) (Peak Relay Comments); UTC Reply Comments at 2 (May 12, 2015) (UTC 15-32 Reply Comments); </w:t>
      </w:r>
      <w:r>
        <w:rPr>
          <w:i/>
        </w:rPr>
        <w:t xml:space="preserve">see also </w:t>
      </w:r>
      <w:r w:rsidRPr="004F6B0D">
        <w:t xml:space="preserve">Motorola Solutions, Inc. Comments at 2-3 (May 11, 2015) </w:t>
      </w:r>
      <w:r>
        <w:t xml:space="preserve">(stating that </w:t>
      </w:r>
      <w:r w:rsidRPr="004F6B0D">
        <w:t>it is “premature” to inquire whether “further narrowbanding” in the 800 MHz Mid-Band would “better serve the private land mobile community as opposed to rules promoting broader bandwidth technologies”</w:t>
      </w:r>
      <w:r>
        <w:t xml:space="preserve">) </w:t>
      </w:r>
      <w:r w:rsidRPr="004F6B0D">
        <w:t xml:space="preserve">(Motorola </w:t>
      </w:r>
      <w:r>
        <w:t xml:space="preserve">15-32 </w:t>
      </w:r>
      <w:r w:rsidRPr="004F6B0D">
        <w:t>Comments).</w:t>
      </w:r>
      <w:r>
        <w:t xml:space="preserve">  </w:t>
      </w:r>
    </w:p>
  </w:footnote>
  <w:footnote w:id="69">
    <w:p w:rsidR="00933418" w:rsidP="004974BC">
      <w:pPr>
        <w:pStyle w:val="FootnoteText"/>
      </w:pPr>
      <w:r>
        <w:rPr>
          <w:rStyle w:val="FootnoteReference"/>
        </w:rPr>
        <w:footnoteRef/>
      </w:r>
      <w:r>
        <w:t xml:space="preserve"> 47 CFR § 90.645(g).</w:t>
      </w:r>
    </w:p>
  </w:footnote>
  <w:footnote w:id="70">
    <w:p w:rsidR="00933418" w:rsidRPr="004B19AA" w:rsidP="004974BC">
      <w:pPr>
        <w:pStyle w:val="FootnoteText"/>
      </w:pPr>
      <w:r>
        <w:rPr>
          <w:rStyle w:val="FootnoteReference"/>
        </w:rPr>
        <w:footnoteRef/>
      </w:r>
      <w:r>
        <w:t xml:space="preserve"> </w:t>
      </w:r>
      <w:r>
        <w:rPr>
          <w:i/>
        </w:rPr>
        <w:t xml:space="preserve">See </w:t>
      </w:r>
      <w:r>
        <w:t>API Reply Comments at 5 (“API believes that there are very few instances in which current licensees on standard channels hold sufficient adjacent channels that could be combined to form wider bandwidth operations.”).</w:t>
      </w:r>
    </w:p>
  </w:footnote>
  <w:footnote w:id="71">
    <w:p w:rsidR="00933418" w:rsidP="004974BC">
      <w:pPr>
        <w:pStyle w:val="FootnoteText"/>
      </w:pPr>
      <w:r>
        <w:rPr>
          <w:rStyle w:val="FootnoteReference"/>
        </w:rPr>
        <w:footnoteRef/>
      </w:r>
      <w:r>
        <w:t xml:space="preserve"> State of Florida Reply Comments at 1 (May 26, 2015)</w:t>
      </w:r>
      <w:r w:rsidRPr="004F6B0D">
        <w:t xml:space="preserve"> </w:t>
      </w:r>
      <w:r>
        <w:t>(</w:t>
      </w:r>
      <w:r w:rsidRPr="004F6B0D">
        <w:t xml:space="preserve">Florida </w:t>
      </w:r>
      <w:r>
        <w:t xml:space="preserve">15-32 </w:t>
      </w:r>
      <w:r w:rsidRPr="004F6B0D">
        <w:t>Reply Comments</w:t>
      </w:r>
      <w:r>
        <w:t>).</w:t>
      </w:r>
    </w:p>
  </w:footnote>
  <w:footnote w:id="72">
    <w:p w:rsidR="00933418" w:rsidP="004974BC">
      <w:pPr>
        <w:pStyle w:val="FootnoteText"/>
      </w:pPr>
      <w:r>
        <w:rPr>
          <w:rStyle w:val="FootnoteReference"/>
        </w:rPr>
        <w:footnoteRef/>
      </w:r>
      <w:r>
        <w:t xml:space="preserve"> </w:t>
      </w:r>
      <w:r w:rsidRPr="00977EF3">
        <w:t xml:space="preserve">National Public Safety Telecommunications Council </w:t>
      </w:r>
      <w:r w:rsidRPr="00977EF3">
        <w:rPr>
          <w:i/>
        </w:rPr>
        <w:t xml:space="preserve">ex parte </w:t>
      </w:r>
      <w:r w:rsidRPr="00977EF3">
        <w:t xml:space="preserve">filing at 4-5 (Sept. 9, 2015) (NPSTC Contour Matrix </w:t>
      </w:r>
      <w:r w:rsidRPr="00977EF3">
        <w:rPr>
          <w:i/>
        </w:rPr>
        <w:t>Ex Parte</w:t>
      </w:r>
      <w:r w:rsidRPr="00977EF3">
        <w:t xml:space="preserve">) </w:t>
      </w:r>
      <w:r>
        <w:t>(</w:t>
      </w:r>
      <w:r w:rsidRPr="00E81D90">
        <w:t xml:space="preserve">stating that </w:t>
      </w:r>
      <w:r>
        <w:t xml:space="preserve">the matrix </w:t>
      </w:r>
      <w:r w:rsidRPr="00E81D90">
        <w:t>will “serve public safety and the overall land mobile community well to protect systems on existing channels and allow implementation of new interstitial channels that provide more spectrum opportunities</w:t>
      </w:r>
      <w:r>
        <w:t>”).</w:t>
      </w:r>
      <w:r w:rsidRPr="005F297E">
        <w:t xml:space="preserve"> </w:t>
      </w:r>
    </w:p>
  </w:footnote>
  <w:footnote w:id="73">
    <w:p w:rsidR="00933418" w:rsidP="004974BC">
      <w:pPr>
        <w:pStyle w:val="FootnoteText"/>
      </w:pPr>
      <w:r>
        <w:rPr>
          <w:rStyle w:val="FootnoteReference"/>
        </w:rPr>
        <w:footnoteRef/>
      </w:r>
      <w:r>
        <w:t xml:space="preserve"> LMCC 15-32 Reply Comments at 3-4.</w:t>
      </w:r>
    </w:p>
  </w:footnote>
  <w:footnote w:id="74">
    <w:p w:rsidR="00933418" w:rsidP="004974BC">
      <w:pPr>
        <w:pStyle w:val="FootnoteText"/>
      </w:pPr>
      <w:r>
        <w:rPr>
          <w:rStyle w:val="FootnoteReference"/>
        </w:rPr>
        <w:footnoteRef/>
      </w:r>
      <w:r>
        <w:t xml:space="preserve"> </w:t>
      </w:r>
      <w:r w:rsidRPr="004C323A">
        <w:rPr>
          <w:lang w:val="fr-FR"/>
        </w:rPr>
        <w:t>Mobile Relay Associates Comments at 1 (Sept. 8, 2015) (MRA Contour Matrix Comments</w:t>
      </w:r>
      <w:r>
        <w:rPr>
          <w:lang w:val="fr-FR"/>
        </w:rPr>
        <w:t>).</w:t>
      </w:r>
    </w:p>
  </w:footnote>
  <w:footnote w:id="75">
    <w:p w:rsidR="00933418" w:rsidP="004974BC">
      <w:pPr>
        <w:pStyle w:val="FootnoteText"/>
      </w:pPr>
      <w:r>
        <w:rPr>
          <w:rStyle w:val="FootnoteReference"/>
        </w:rPr>
        <w:footnoteRef/>
      </w:r>
      <w:r>
        <w:t xml:space="preserve"> </w:t>
      </w:r>
      <w:r>
        <w:rPr>
          <w:i/>
        </w:rPr>
        <w:t>See</w:t>
      </w:r>
      <w:r>
        <w:t>,</w:t>
      </w:r>
      <w:r>
        <w:rPr>
          <w:i/>
        </w:rPr>
        <w:t xml:space="preserve"> e.g.</w:t>
      </w:r>
      <w:r>
        <w:t>,</w:t>
      </w:r>
      <w:r>
        <w:rPr>
          <w:i/>
        </w:rPr>
        <w:t xml:space="preserve"> </w:t>
      </w:r>
      <w:r w:rsidRPr="004F6B0D">
        <w:t xml:space="preserve">Motorola Solutions, Inc. Comments at 2-3 (May 11, 2015) (Motorola </w:t>
      </w:r>
      <w:r>
        <w:t xml:space="preserve">15-32 </w:t>
      </w:r>
      <w:r w:rsidRPr="004F6B0D">
        <w:t>Comments</w:t>
      </w:r>
      <w:r>
        <w:t xml:space="preserve">); </w:t>
      </w:r>
      <w:r w:rsidRPr="004F6B0D">
        <w:t>Boeing Company Comments at 1-2 (May 11, 2015) (Boeing Comments)</w:t>
      </w:r>
      <w:r>
        <w:t xml:space="preserve">; </w:t>
      </w:r>
      <w:r w:rsidRPr="00C515D0">
        <w:t>SouthernLINC Wireless Comments at 4 (May 11, 2015) (</w:t>
      </w:r>
      <w:bookmarkStart w:id="38" w:name="_Hlk522028750"/>
      <w:r w:rsidRPr="00C515D0">
        <w:t>SouthernLINC Comments</w:t>
      </w:r>
      <w:bookmarkEnd w:id="38"/>
      <w:r w:rsidRPr="00C515D0">
        <w:t>)</w:t>
      </w:r>
      <w:r>
        <w:t>.</w:t>
      </w:r>
    </w:p>
  </w:footnote>
  <w:footnote w:id="76">
    <w:p w:rsidR="00933418" w:rsidP="004974BC">
      <w:pPr>
        <w:pStyle w:val="FootnoteText"/>
      </w:pPr>
      <w:r>
        <w:rPr>
          <w:rStyle w:val="FootnoteReference"/>
        </w:rPr>
        <w:footnoteRef/>
      </w:r>
      <w:r>
        <w:t xml:space="preserve"> Boeing Comments at 2-3.  </w:t>
      </w:r>
      <w:r w:rsidRPr="006506A5">
        <w:t>Class A signal boosters amplify only the discrete frequency or frequencies intended to be retransmitted, while Class B signal boosters amplify all signals within the signal</w:t>
      </w:r>
      <w:r>
        <w:t xml:space="preserve"> booster’s passband.  47 CFR §§ </w:t>
      </w:r>
      <w:r w:rsidRPr="006506A5">
        <w:t>90.7, 90.219(a).</w:t>
      </w:r>
    </w:p>
  </w:footnote>
  <w:footnote w:id="77">
    <w:p w:rsidR="00933418" w:rsidP="004974BC">
      <w:pPr>
        <w:pStyle w:val="FootnoteText"/>
      </w:pPr>
      <w:r>
        <w:rPr>
          <w:rStyle w:val="FootnoteReference"/>
        </w:rPr>
        <w:footnoteRef/>
      </w:r>
      <w:r>
        <w:t xml:space="preserve"> 47 CFR §</w:t>
      </w:r>
      <w:r w:rsidRPr="006506A5">
        <w:t xml:space="preserve"> 90.219(</w:t>
      </w:r>
      <w:r>
        <w:t>b</w:t>
      </w:r>
      <w:r w:rsidRPr="006506A5">
        <w:t>)</w:t>
      </w:r>
      <w:r>
        <w:t>(1)(ii)</w:t>
      </w:r>
      <w:r w:rsidRPr="006506A5">
        <w:t>.</w:t>
      </w:r>
    </w:p>
  </w:footnote>
  <w:footnote w:id="78">
    <w:p w:rsidR="00933418" w:rsidP="004974BC">
      <w:pPr>
        <w:pStyle w:val="FootnoteText"/>
      </w:pPr>
      <w:r>
        <w:rPr>
          <w:rStyle w:val="FootnoteReference"/>
        </w:rPr>
        <w:footnoteRef/>
      </w:r>
      <w:r>
        <w:t xml:space="preserve"> </w:t>
      </w:r>
      <w:r>
        <w:rPr>
          <w:i/>
        </w:rPr>
        <w:t>See</w:t>
      </w:r>
      <w:r w:rsidRPr="00650674">
        <w:rPr>
          <w:snapToGrid w:val="0"/>
          <w:kern w:val="28"/>
          <w:sz w:val="22"/>
        </w:rPr>
        <w:t xml:space="preserve"> </w:t>
      </w:r>
      <w:r w:rsidRPr="00650674">
        <w:t xml:space="preserve">SouthernLINC Comments at 8.  </w:t>
      </w:r>
      <w:r w:rsidRPr="00650674">
        <w:rPr>
          <w:i/>
        </w:rPr>
        <w:t>See also</w:t>
      </w:r>
      <w:r w:rsidRPr="00650674">
        <w:t xml:space="preserve"> 47 CFR § 90.617 </w:t>
      </w:r>
      <w:r w:rsidRPr="00650674">
        <w:rPr>
          <w:i/>
        </w:rPr>
        <w:t xml:space="preserve">infra </w:t>
      </w:r>
      <w:r w:rsidRPr="00650674">
        <w:t>Appendix B</w:t>
      </w:r>
      <w:r>
        <w:t xml:space="preserve">.  </w:t>
      </w:r>
    </w:p>
  </w:footnote>
  <w:footnote w:id="79">
    <w:p w:rsidR="00933418" w:rsidP="004974BC">
      <w:pPr>
        <w:pStyle w:val="FootnoteText"/>
      </w:pPr>
      <w:r>
        <w:rPr>
          <w:rStyle w:val="FootnoteReference"/>
        </w:rPr>
        <w:footnoteRef/>
      </w:r>
      <w:r>
        <w:t xml:space="preserve"> MPSFAC Comments at 3; NPSTC 15-32 Comments at 4; LMCC 15-32 Comments at 3-4; EWA 15-32 Comments at 2; APCO Comments at 2; Boeing Comments at 1-2; American Electric Power Service Corp. Comments at 1 (May 11, 2015) (AEPSC Comments); </w:t>
      </w:r>
      <w:r w:rsidRPr="00BA44B1">
        <w:t>Enterprise Electronics Reply Comments</w:t>
      </w:r>
      <w:r>
        <w:t xml:space="preserve"> at 1; API Reply Comments at 1.</w:t>
      </w:r>
    </w:p>
  </w:footnote>
  <w:footnote w:id="80">
    <w:p w:rsidR="00933418" w:rsidRPr="001C2C0D" w:rsidP="004974BC">
      <w:pPr>
        <w:pStyle w:val="FootnoteText"/>
      </w:pPr>
      <w:r>
        <w:rPr>
          <w:rStyle w:val="FootnoteReference"/>
        </w:rPr>
        <w:footnoteRef/>
      </w:r>
      <w:r>
        <w:t xml:space="preserve"> EWA Petition for Rulemaking at 6; </w:t>
      </w:r>
      <w:r w:rsidRPr="001C2C0D">
        <w:t>MPSFAC Comments</w:t>
      </w:r>
      <w:r>
        <w:t xml:space="preserve"> at 4  </w:t>
      </w:r>
    </w:p>
  </w:footnote>
  <w:footnote w:id="81">
    <w:p w:rsidR="00933418" w:rsidP="004974BC">
      <w:pPr>
        <w:pStyle w:val="FootnoteText"/>
      </w:pPr>
      <w:r>
        <w:rPr>
          <w:rStyle w:val="FootnoteReference"/>
        </w:rPr>
        <w:footnoteRef/>
      </w:r>
      <w:r>
        <w:t xml:space="preserve"> </w:t>
      </w:r>
      <w:r w:rsidRPr="0062650C">
        <w:t>LMCC 15-32 Reply Comments</w:t>
      </w:r>
      <w:r w:rsidRPr="0062650C">
        <w:rPr>
          <w:lang w:val="fr-FR"/>
        </w:rPr>
        <w:t xml:space="preserve"> </w:t>
      </w:r>
      <w:r>
        <w:rPr>
          <w:lang w:val="fr-FR"/>
        </w:rPr>
        <w:t>at 4.</w:t>
      </w:r>
    </w:p>
  </w:footnote>
  <w:footnote w:id="82">
    <w:p w:rsidR="00933418" w:rsidP="004974BC">
      <w:pPr>
        <w:pStyle w:val="FootnoteText"/>
      </w:pPr>
      <w:r>
        <w:rPr>
          <w:rStyle w:val="FootnoteReference"/>
        </w:rPr>
        <w:footnoteRef/>
      </w:r>
      <w:r>
        <w:rPr>
          <w:i/>
        </w:rPr>
        <w:t xml:space="preserve"> See</w:t>
      </w:r>
      <w:r>
        <w:t xml:space="preserve"> 5 U.S.C. § 553 </w:t>
      </w:r>
      <w:r w:rsidRPr="004E212E">
        <w:rPr>
          <w:i/>
        </w:rPr>
        <w:t>et seq.</w:t>
      </w:r>
    </w:p>
  </w:footnote>
  <w:footnote w:id="83">
    <w:p w:rsidR="00933418" w:rsidP="004974BC">
      <w:pPr>
        <w:pStyle w:val="FootnoteText"/>
      </w:pPr>
      <w:r>
        <w:rPr>
          <w:rStyle w:val="FootnoteReference"/>
        </w:rPr>
        <w:footnoteRef/>
      </w:r>
      <w:r>
        <w:t xml:space="preserve"> LMCC </w:t>
      </w:r>
      <w:r>
        <w:rPr>
          <w:i/>
        </w:rPr>
        <w:t xml:space="preserve">Ex Parte </w:t>
      </w:r>
      <w:r>
        <w:t xml:space="preserve">filing at 1-2 (Oct. 6, 2014); </w:t>
      </w:r>
      <w:r>
        <w:rPr>
          <w:i/>
          <w:snapToGrid w:val="0"/>
          <w:kern w:val="28"/>
        </w:rPr>
        <w:t>s</w:t>
      </w:r>
      <w:r w:rsidRPr="00081E56">
        <w:rPr>
          <w:i/>
          <w:snapToGrid w:val="0"/>
          <w:kern w:val="28"/>
        </w:rPr>
        <w:t>ee</w:t>
      </w:r>
      <w:r w:rsidRPr="00081E56">
        <w:rPr>
          <w:snapToGrid w:val="0"/>
          <w:kern w:val="28"/>
        </w:rPr>
        <w:t xml:space="preserve"> 47 CFR § 90.621(b)(4)(ii)(C) at note 2 to the short-spacing table (explaining that the separation distances in the table are based upon non-overlap of a proposed station’s 22 dBu F(50,10) interference contour with the 40 dBu F(50,50) contour of an existing station).</w:t>
      </w:r>
      <w:r w:rsidRPr="002753E0">
        <w:rPr>
          <w:snapToGrid w:val="0"/>
          <w:kern w:val="28"/>
          <w:sz w:val="22"/>
        </w:rPr>
        <w:t xml:space="preserve">  </w:t>
      </w:r>
    </w:p>
  </w:footnote>
  <w:footnote w:id="84">
    <w:p w:rsidR="00933418" w:rsidP="004974BC">
      <w:pPr>
        <w:pStyle w:val="FootnoteText"/>
      </w:pPr>
      <w:r>
        <w:rPr>
          <w:rStyle w:val="FootnoteReference"/>
        </w:rPr>
        <w:footnoteRef/>
      </w:r>
      <w:r>
        <w:t xml:space="preserve"> </w:t>
      </w:r>
      <w:r w:rsidRPr="00D65313">
        <w:rPr>
          <w:i/>
        </w:rPr>
        <w:t>See</w:t>
      </w:r>
      <w:r>
        <w:t xml:space="preserve"> </w:t>
      </w:r>
      <w:bookmarkStart w:id="40" w:name="_Hlk522109721"/>
      <w:r>
        <w:t xml:space="preserve">MRA Contour Matrix Comments </w:t>
      </w:r>
      <w:bookmarkEnd w:id="40"/>
      <w:r>
        <w:t xml:space="preserve">at 1-2 (arguing that an interference analysis is unnecessary if there is “no spectral overlap between the incumbent station and the proposed station).  </w:t>
      </w:r>
      <w:r w:rsidRPr="00977EF3">
        <w:t xml:space="preserve">Other parties support MRA’s proposed modification.  </w:t>
      </w:r>
      <w:bookmarkStart w:id="41" w:name="_Hlk522108134"/>
      <w:r w:rsidRPr="00977EF3">
        <w:rPr>
          <w:i/>
        </w:rPr>
        <w:t xml:space="preserve">See </w:t>
      </w:r>
      <w:r w:rsidRPr="00977EF3">
        <w:t xml:space="preserve">NPSTC Contour Matrix </w:t>
      </w:r>
      <w:r w:rsidRPr="00977EF3">
        <w:rPr>
          <w:i/>
        </w:rPr>
        <w:t>Ex Parte</w:t>
      </w:r>
      <w:r w:rsidRPr="00977EF3">
        <w:t xml:space="preserve"> at 4-5</w:t>
      </w:r>
      <w:bookmarkEnd w:id="41"/>
      <w:r w:rsidRPr="00977EF3">
        <w:t xml:space="preserve">; JVCKenwood </w:t>
      </w:r>
      <w:r w:rsidRPr="00977EF3">
        <w:rPr>
          <w:i/>
        </w:rPr>
        <w:t>Ex Parte</w:t>
      </w:r>
      <w:r w:rsidRPr="00977EF3">
        <w:t xml:space="preserve"> </w:t>
      </w:r>
      <w:r>
        <w:t xml:space="preserve">filing </w:t>
      </w:r>
      <w:r w:rsidRPr="00977EF3">
        <w:t>at 2</w:t>
      </w:r>
      <w:r>
        <w:t xml:space="preserve"> (Nov. 12, 2015).</w:t>
      </w:r>
    </w:p>
  </w:footnote>
  <w:footnote w:id="85">
    <w:p w:rsidR="00933418" w:rsidRPr="00977EF3" w:rsidP="004974BC">
      <w:pPr>
        <w:pStyle w:val="FootnoteText"/>
      </w:pPr>
      <w:r>
        <w:rPr>
          <w:rStyle w:val="FootnoteReference"/>
        </w:rPr>
        <w:footnoteRef/>
      </w:r>
      <w:r w:rsidRPr="00977EF3">
        <w:t xml:space="preserve"> </w:t>
      </w:r>
      <w:r>
        <w:t>MRA Contour Matrix Comments</w:t>
      </w:r>
      <w:r w:rsidRPr="00977EF3">
        <w:t xml:space="preserve"> at 6.  </w:t>
      </w:r>
    </w:p>
  </w:footnote>
  <w:footnote w:id="86">
    <w:p w:rsidR="00933418" w:rsidRPr="00977EF3" w:rsidP="004974BC">
      <w:pPr>
        <w:pStyle w:val="FootnoteText"/>
        <w:rPr>
          <w:lang w:val="fr-FR"/>
        </w:rPr>
      </w:pPr>
      <w:r>
        <w:rPr>
          <w:rStyle w:val="FootnoteReference"/>
        </w:rPr>
        <w:footnoteRef/>
      </w:r>
      <w:r w:rsidRPr="00977EF3">
        <w:rPr>
          <w:lang w:val="fr-FR"/>
        </w:rPr>
        <w:t xml:space="preserve"> 47 CFR § 90.621(b).  </w:t>
      </w:r>
    </w:p>
  </w:footnote>
  <w:footnote w:id="87">
    <w:p w:rsidR="00933418" w:rsidRPr="00977EF3" w:rsidP="004974BC">
      <w:pPr>
        <w:pStyle w:val="FootnoteText"/>
        <w:rPr>
          <w:lang w:val="fr-FR"/>
        </w:rPr>
      </w:pPr>
      <w:r>
        <w:rPr>
          <w:rStyle w:val="FootnoteReference"/>
        </w:rPr>
        <w:footnoteRef/>
      </w:r>
      <w:r w:rsidRPr="00977EF3">
        <w:rPr>
          <w:lang w:val="fr-FR"/>
        </w:rPr>
        <w:t xml:space="preserve"> </w:t>
      </w:r>
      <w:r w:rsidRPr="00977EF3">
        <w:rPr>
          <w:i/>
          <w:lang w:val="fr-FR"/>
        </w:rPr>
        <w:t>Infra</w:t>
      </w:r>
      <w:r w:rsidRPr="00977EF3">
        <w:rPr>
          <w:lang w:val="fr-FR"/>
        </w:rPr>
        <w:t xml:space="preserve"> Appendix B.</w:t>
      </w:r>
      <w:r w:rsidRPr="00977EF3">
        <w:rPr>
          <w:vertAlign w:val="superscript"/>
          <w:lang w:val="fr-FR"/>
        </w:rPr>
        <w:t xml:space="preserve">   </w:t>
      </w:r>
    </w:p>
  </w:footnote>
  <w:footnote w:id="88">
    <w:p w:rsidR="00933418" w:rsidP="004974BC">
      <w:pPr>
        <w:pStyle w:val="FootnoteText"/>
      </w:pPr>
      <w:r>
        <w:rPr>
          <w:rStyle w:val="FootnoteReference"/>
        </w:rPr>
        <w:footnoteRef/>
      </w:r>
      <w:r>
        <w:t xml:space="preserve"> </w:t>
      </w:r>
      <w:r w:rsidRPr="00A66F55">
        <w:rPr>
          <w:i/>
        </w:rPr>
        <w:t>Id.</w:t>
      </w:r>
    </w:p>
  </w:footnote>
  <w:footnote w:id="89">
    <w:p w:rsidR="00933418" w:rsidRPr="0012747E" w:rsidP="004974BC">
      <w:pPr>
        <w:pStyle w:val="FootnoteText"/>
      </w:pPr>
      <w:r>
        <w:rPr>
          <w:rStyle w:val="FootnoteReference"/>
        </w:rPr>
        <w:footnoteRef/>
      </w:r>
      <w:r>
        <w:t xml:space="preserve">  </w:t>
      </w:r>
      <w:r w:rsidRPr="00660A03">
        <w:t xml:space="preserve">LMCC </w:t>
      </w:r>
      <w:r>
        <w:t xml:space="preserve">15-32 </w:t>
      </w:r>
      <w:r w:rsidRPr="00660A03">
        <w:t xml:space="preserve">Reply Comments at 3-4. </w:t>
      </w:r>
      <w:r>
        <w:t xml:space="preserve"> </w:t>
      </w:r>
      <w:r w:rsidRPr="00660A03">
        <w:t>The forward analysis determines whether the applicant’s interference contour overlaps a potentially affected incumbent’s service contour while the reciprocal analysis determines whether the potentially affected incumbent’s interference contour overlaps the applicant’s service contour.  Applicants would only pass the contour analysis if both the forward and reciprocal analysis indicate no overlap</w:t>
      </w:r>
      <w:r>
        <w:t xml:space="preserve">.  </w:t>
      </w:r>
    </w:p>
  </w:footnote>
  <w:footnote w:id="90">
    <w:p w:rsidR="00933418" w:rsidP="004974BC">
      <w:pPr>
        <w:pStyle w:val="FootnoteText"/>
      </w:pPr>
      <w:r>
        <w:rPr>
          <w:rStyle w:val="FootnoteReference"/>
        </w:rPr>
        <w:footnoteRef/>
      </w:r>
      <w:r>
        <w:t xml:space="preserve"> </w:t>
      </w:r>
      <w:r w:rsidRPr="00660A03">
        <w:t>We note that the Commission adopted a similar procedure for applicants in the Industrial/Business pool category seeking exclusive use of channels below 512 MHz.</w:t>
      </w:r>
      <w:r>
        <w:t xml:space="preserve">  </w:t>
      </w:r>
      <w:r>
        <w:rPr>
          <w:i/>
        </w:rPr>
        <w:t xml:space="preserve">See </w:t>
      </w:r>
      <w:r>
        <w:t xml:space="preserve">47 CFR § 90.187(d)(3) (requiring no overlap between the </w:t>
      </w:r>
      <w:r w:rsidRPr="0012747E">
        <w:t xml:space="preserve">service contour </w:t>
      </w:r>
      <w:r>
        <w:t xml:space="preserve">of an applicant’s </w:t>
      </w:r>
      <w:r w:rsidRPr="0012747E">
        <w:t xml:space="preserve">proposed centralized trunked station on </w:t>
      </w:r>
      <w:r>
        <w:t xml:space="preserve">an </w:t>
      </w:r>
      <w:r w:rsidRPr="0012747E">
        <w:t>I/B Pool frequenc</w:t>
      </w:r>
      <w:r>
        <w:t xml:space="preserve">y and the interference contour of an </w:t>
      </w:r>
      <w:r w:rsidRPr="0012747E">
        <w:t>incumbent licensee</w:t>
      </w:r>
      <w:r>
        <w:t>’</w:t>
      </w:r>
      <w:r w:rsidRPr="0012747E">
        <w:t xml:space="preserve">s </w:t>
      </w:r>
      <w:r>
        <w:t xml:space="preserve">station); </w:t>
      </w:r>
      <w:r>
        <w:rPr>
          <w:i/>
        </w:rPr>
        <w:t>Amendment of Part 90 of the Commission’s Rules</w:t>
      </w:r>
      <w:r>
        <w:t xml:space="preserve">, </w:t>
      </w:r>
      <w:r w:rsidRPr="004D6D20">
        <w:t>Fifth Report and Order</w:t>
      </w:r>
      <w:r w:rsidRPr="00660A03">
        <w:t xml:space="preserve">, 28 FCC Rcd </w:t>
      </w:r>
      <w:r>
        <w:t>5924,</w:t>
      </w:r>
      <w:r w:rsidRPr="00660A03">
        <w:t xml:space="preserve"> 5928, para. 11</w:t>
      </w:r>
      <w:r>
        <w:t xml:space="preserve"> (2013)</w:t>
      </w:r>
      <w:r w:rsidRPr="00660A03">
        <w:t>.</w:t>
      </w:r>
    </w:p>
  </w:footnote>
  <w:footnote w:id="91">
    <w:p w:rsidR="00933418" w:rsidRPr="001607B6" w:rsidP="004974BC">
      <w:pPr>
        <w:pStyle w:val="FootnoteText"/>
      </w:pPr>
      <w:r>
        <w:rPr>
          <w:rStyle w:val="FootnoteReference"/>
        </w:rPr>
        <w:footnoteRef/>
      </w:r>
      <w:r>
        <w:t xml:space="preserve"> </w:t>
      </w:r>
      <w:r>
        <w:rPr>
          <w:i/>
        </w:rPr>
        <w:t xml:space="preserve">See </w:t>
      </w:r>
      <w:r>
        <w:t>47 CFR § 90.621(b)(5).</w:t>
      </w:r>
    </w:p>
  </w:footnote>
  <w:footnote w:id="92">
    <w:p w:rsidR="00933418" w:rsidP="004974BC">
      <w:pPr>
        <w:pStyle w:val="FootnoteText"/>
      </w:pPr>
      <w:r>
        <w:rPr>
          <w:rStyle w:val="FootnoteReference"/>
        </w:rPr>
        <w:footnoteRef/>
      </w:r>
      <w:r>
        <w:t xml:space="preserve"> </w:t>
      </w:r>
      <w:r>
        <w:rPr>
          <w:i/>
        </w:rPr>
        <w:t xml:space="preserve">See </w:t>
      </w:r>
      <w:r w:rsidRPr="00756E64">
        <w:t>Association of Public-Safety Communications Officials-International, Inc. Comments at 2 (Sept. 8, 2015)</w:t>
      </w:r>
      <w:r>
        <w:t xml:space="preserve"> (APCO Contour Matrix Comments). </w:t>
      </w:r>
    </w:p>
  </w:footnote>
  <w:footnote w:id="93">
    <w:p w:rsidR="00933418" w:rsidP="004974BC">
      <w:pPr>
        <w:pStyle w:val="FootnoteText"/>
      </w:pPr>
      <w:r>
        <w:rPr>
          <w:rStyle w:val="FootnoteReference"/>
        </w:rPr>
        <w:footnoteRef/>
      </w:r>
      <w:r>
        <w:t xml:space="preserve"> </w:t>
      </w:r>
      <w:r>
        <w:rPr>
          <w:i/>
        </w:rPr>
        <w:t>See Filing Freeze to Be Lifted for Applications under Part 90 for 12.5 kHz</w:t>
      </w:r>
      <w:r w:rsidRPr="003F0D0F">
        <w:rPr>
          <w:i/>
        </w:rPr>
        <w:t xml:space="preserve"> Offset </w:t>
      </w:r>
      <w:r>
        <w:rPr>
          <w:i/>
        </w:rPr>
        <w:t>Channels in the 421-430 MHz and 470-512 MHz Bands</w:t>
      </w:r>
      <w:r>
        <w:t xml:space="preserve">, </w:t>
      </w:r>
      <w:r w:rsidRPr="004D6D20">
        <w:t>Public Notice</w:t>
      </w:r>
      <w:r w:rsidRPr="00026E4A">
        <w:rPr>
          <w:i/>
        </w:rPr>
        <w:t xml:space="preserve">, </w:t>
      </w:r>
      <w:r w:rsidRPr="00026E4A">
        <w:t xml:space="preserve">13 FCC Rcd </w:t>
      </w:r>
      <w:r>
        <w:t xml:space="preserve">5942, </w:t>
      </w:r>
      <w:r w:rsidRPr="00026E4A">
        <w:t>5942</w:t>
      </w:r>
      <w:r>
        <w:t xml:space="preserve"> (WTB 1997); </w:t>
      </w:r>
      <w:r>
        <w:rPr>
          <w:i/>
        </w:rPr>
        <w:t xml:space="preserve">see also </w:t>
      </w:r>
      <w:r w:rsidRPr="002E79CF">
        <w:rPr>
          <w:i/>
        </w:rPr>
        <w:t xml:space="preserve">Replacement of Part 90 by Part 88 to Revise the Private Land Mobile Radio Services and Modify the Policies Governing Them, </w:t>
      </w:r>
      <w:r w:rsidRPr="002E79CF">
        <w:t xml:space="preserve">Second Report and Order, 12 FCC Rcd 14307, </w:t>
      </w:r>
      <w:r>
        <w:t>14330-31,</w:t>
      </w:r>
      <w:r w:rsidRPr="002E79CF">
        <w:t xml:space="preserve"> para. 43 (1997)</w:t>
      </w:r>
      <w:r>
        <w:t xml:space="preserve"> (</w:t>
      </w:r>
      <w:r>
        <w:rPr>
          <w:i/>
        </w:rPr>
        <w:t>Refarming Second Report and Order</w:t>
      </w:r>
      <w:r>
        <w:t>)</w:t>
      </w:r>
      <w:r w:rsidRPr="002E79CF">
        <w:t>.</w:t>
      </w:r>
    </w:p>
  </w:footnote>
  <w:footnote w:id="94">
    <w:p w:rsidR="00933418" w:rsidP="004974BC">
      <w:pPr>
        <w:pStyle w:val="FootnoteText"/>
      </w:pPr>
      <w:r>
        <w:rPr>
          <w:rStyle w:val="FootnoteReference"/>
        </w:rPr>
        <w:footnoteRef/>
      </w:r>
      <w:r>
        <w:t xml:space="preserve"> </w:t>
      </w:r>
      <w:r w:rsidRPr="00081E56">
        <w:rPr>
          <w:i/>
          <w:snapToGrid w:val="0"/>
          <w:kern w:val="28"/>
        </w:rPr>
        <w:t>See</w:t>
      </w:r>
      <w:r w:rsidRPr="00081E56">
        <w:rPr>
          <w:snapToGrid w:val="0"/>
          <w:kern w:val="28"/>
        </w:rPr>
        <w:t xml:space="preserve"> 47 CFR § 90.</w:t>
      </w:r>
      <w:r>
        <w:rPr>
          <w:snapToGrid w:val="0"/>
          <w:kern w:val="28"/>
        </w:rPr>
        <w:t>187(d)(1)(ii).</w:t>
      </w:r>
    </w:p>
  </w:footnote>
  <w:footnote w:id="95">
    <w:p w:rsidR="00933418" w:rsidRPr="00B9149B" w:rsidP="004974BC">
      <w:pPr>
        <w:pStyle w:val="FootnoteText"/>
      </w:pPr>
      <w:r w:rsidRPr="00B9149B">
        <w:rPr>
          <w:rStyle w:val="FootnoteReference"/>
        </w:rPr>
        <w:footnoteRef/>
      </w:r>
      <w:r w:rsidRPr="00B9149B">
        <w:t xml:space="preserve"> The typical coordination fee per channel for regular 800 MHz applications is $300. </w:t>
      </w:r>
      <w:r>
        <w:t xml:space="preserve"> </w:t>
      </w:r>
      <w:r w:rsidRPr="00B9149B">
        <w:rPr>
          <w:i/>
        </w:rPr>
        <w:t>See</w:t>
      </w:r>
      <w:r w:rsidRPr="00B9149B">
        <w:t xml:space="preserve">, </w:t>
      </w:r>
      <w:r w:rsidRPr="00B9149B">
        <w:rPr>
          <w:i/>
        </w:rPr>
        <w:t xml:space="preserve">e.g., </w:t>
      </w:r>
      <w:r w:rsidRPr="00B9149B">
        <w:t xml:space="preserve">Enterprise Wireless Alliance, </w:t>
      </w:r>
      <w:r>
        <w:fldChar w:fldCharType="begin"/>
      </w:r>
      <w:r>
        <w:instrText xml:space="preserve"> HYPERLINK "https://www.enterprisewireless.org/resources/schedule_services" </w:instrText>
      </w:r>
      <w:r>
        <w:fldChar w:fldCharType="separate"/>
      </w:r>
      <w:r w:rsidRPr="00B9149B">
        <w:rPr>
          <w:rStyle w:val="Hyperlink"/>
        </w:rPr>
        <w:t>https://www.enterprisewireless.org/resources/schedule_services</w:t>
      </w:r>
      <w:r>
        <w:fldChar w:fldCharType="end"/>
      </w:r>
      <w:r w:rsidRPr="00B9149B">
        <w:t xml:space="preserve"> ($300); Utilities Telecommunications Council, </w:t>
      </w:r>
      <w:r>
        <w:fldChar w:fldCharType="begin"/>
      </w:r>
      <w:r>
        <w:instrText xml:space="preserve"> HYPERLINK "http://utc.org/wp-content/uploads/2016/05/UTC-Fee-Schedule-05-12-16-new-logo.pdf" </w:instrText>
      </w:r>
      <w:r>
        <w:fldChar w:fldCharType="separate"/>
      </w:r>
      <w:r w:rsidRPr="00B9149B">
        <w:rPr>
          <w:rStyle w:val="Hyperlink"/>
        </w:rPr>
        <w:t>http://utc.org/wp-content/uploads/2016/05/UTC-Fee-Schedule-05-12-16-new-logo.pdf</w:t>
      </w:r>
      <w:r>
        <w:fldChar w:fldCharType="end"/>
      </w:r>
      <w:r w:rsidRPr="00B9149B">
        <w:t xml:space="preserve"> ($300); MRFAC, Inc., </w:t>
      </w:r>
      <w:r>
        <w:fldChar w:fldCharType="begin"/>
      </w:r>
      <w:r>
        <w:instrText xml:space="preserve"> HYPERLINK "http://mrfac.net/ServiceFees.shtm" </w:instrText>
      </w:r>
      <w:r>
        <w:fldChar w:fldCharType="separate"/>
      </w:r>
      <w:r w:rsidRPr="00B9149B">
        <w:rPr>
          <w:rStyle w:val="Hyperlink"/>
        </w:rPr>
        <w:t>http://mrfac.net/ServiceFees.shtm</w:t>
      </w:r>
      <w:r>
        <w:fldChar w:fldCharType="end"/>
      </w:r>
      <w:r w:rsidRPr="00B9149B">
        <w:t xml:space="preserve"> ($300).</w:t>
      </w:r>
    </w:p>
  </w:footnote>
  <w:footnote w:id="96">
    <w:p w:rsidR="00933418" w:rsidP="004974BC">
      <w:pPr>
        <w:pStyle w:val="FootnoteText"/>
      </w:pPr>
      <w:r>
        <w:rPr>
          <w:rStyle w:val="FootnoteReference"/>
        </w:rPr>
        <w:footnoteRef/>
      </w:r>
      <w:r>
        <w:t xml:space="preserve"> </w:t>
      </w:r>
      <w:r w:rsidRPr="00D02608">
        <w:t>This includes base station transmitter and receiver, antenna, transmission line, tower, equipment housing, and subscriber units.  A frame of reference for the cost of a base station can be derived from the 800 MHz rebanding proceeding</w:t>
      </w:r>
      <w:r>
        <w:t>,</w:t>
      </w:r>
      <w:r w:rsidRPr="00D02608">
        <w:t xml:space="preserve"> in which the Commission found that the cost of just retuning – not purchasing or replacing – 11 base stations totaled $444,963</w:t>
      </w:r>
      <w:r>
        <w:t>,</w:t>
      </w:r>
      <w:r w:rsidRPr="00D02608">
        <w:t xml:space="preserve"> representing $40,451 per base station. </w:t>
      </w:r>
      <w:r>
        <w:t xml:space="preserve"> </w:t>
      </w:r>
      <w:r w:rsidRPr="00935433">
        <w:rPr>
          <w:i/>
        </w:rPr>
        <w:t>Charles County Maryland and Sprint Nextel Corp.</w:t>
      </w:r>
      <w:r w:rsidRPr="00D02608">
        <w:t>, Memorandum Opinion and Order, 24 FCC Rcd 12749, 12756 para. 25 (PSHSB 2009).</w:t>
      </w:r>
    </w:p>
  </w:footnote>
  <w:footnote w:id="97">
    <w:p w:rsidR="00933418" w:rsidP="004974BC">
      <w:pPr>
        <w:pStyle w:val="FootnoteText"/>
      </w:pPr>
      <w:r>
        <w:rPr>
          <w:rStyle w:val="FootnoteReference"/>
        </w:rPr>
        <w:footnoteRef/>
      </w:r>
      <w:r>
        <w:t xml:space="preserve"> </w:t>
      </w:r>
      <w:r>
        <w:rPr>
          <w:i/>
        </w:rPr>
        <w:t>800 MHz Interstitial NPRM</w:t>
      </w:r>
      <w:r>
        <w:t xml:space="preserve">, </w:t>
      </w:r>
      <w:r w:rsidRPr="007D3F3C">
        <w:t xml:space="preserve">30 FCC Rcd </w:t>
      </w:r>
      <w:r>
        <w:t>at 1677-78, paras. 32-33.  The authorized bandwidth is the frequency band specified in kilohertz and centered on the carrier frequency containing those frequencies in which a total of 99 percent of the radiated power appears.  47 CFR § 90.7.</w:t>
      </w:r>
    </w:p>
  </w:footnote>
  <w:footnote w:id="98">
    <w:p w:rsidR="00933418" w:rsidP="004974BC">
      <w:pPr>
        <w:pStyle w:val="FootnoteText"/>
      </w:pPr>
      <w:r>
        <w:rPr>
          <w:rStyle w:val="FootnoteReference"/>
        </w:rPr>
        <w:footnoteRef/>
      </w:r>
      <w:r>
        <w:t xml:space="preserve"> </w:t>
      </w:r>
      <w:r w:rsidRPr="00BD3147">
        <w:t xml:space="preserve">An emission mask is a technical parameter that limits emissions from a transmitter into adjacent channels. </w:t>
      </w:r>
      <w:r w:rsidRPr="00BD3147">
        <w:rPr>
          <w:i/>
        </w:rPr>
        <w:t xml:space="preserve"> </w:t>
      </w:r>
      <w:r w:rsidRPr="003F0D0F">
        <w:rPr>
          <w:i/>
        </w:rPr>
        <w:t>PLMR Biennial Review Report and Order</w:t>
      </w:r>
      <w:r w:rsidRPr="00BD3147">
        <w:t xml:space="preserve">, 15 FCC Rcd </w:t>
      </w:r>
      <w:r>
        <w:t>at</w:t>
      </w:r>
      <w:r w:rsidRPr="00BD3147">
        <w:t xml:space="preserve"> 16689, para. 33.</w:t>
      </w:r>
      <w:r>
        <w:t xml:space="preserve">  Emission mask D limits the amount of power a transmitter operating on a 12.5 kilohertz bandwidth channel may radiate into the upper- and lower-adjacent channels.  47 CFR § 90.210(d). </w:t>
      </w:r>
    </w:p>
  </w:footnote>
  <w:footnote w:id="99">
    <w:p w:rsidR="00933418" w:rsidP="004974BC">
      <w:pPr>
        <w:pStyle w:val="FootnoteText"/>
      </w:pPr>
      <w:r>
        <w:rPr>
          <w:rStyle w:val="FootnoteReference"/>
        </w:rPr>
        <w:footnoteRef/>
      </w:r>
      <w:r>
        <w:t xml:space="preserve"> </w:t>
      </w:r>
      <w:r w:rsidRPr="00AD6443">
        <w:rPr>
          <w:i/>
        </w:rPr>
        <w:t xml:space="preserve">See </w:t>
      </w:r>
      <w:r w:rsidRPr="00AD6443">
        <w:t>MPSFAC Comments at 4; EWA 15-32 Comments at 9-10; APCO 15-32 Comments at 3-4; EWA 15-32 Reply Comments at 8.</w:t>
      </w:r>
    </w:p>
  </w:footnote>
  <w:footnote w:id="100">
    <w:p w:rsidR="00933418" w:rsidRPr="000A4A49" w:rsidP="004974BC">
      <w:pPr>
        <w:pStyle w:val="FootnoteText"/>
      </w:pPr>
      <w:r>
        <w:rPr>
          <w:rStyle w:val="FootnoteReference"/>
        </w:rPr>
        <w:footnoteRef/>
      </w:r>
      <w:r>
        <w:t xml:space="preserve"> </w:t>
      </w:r>
      <w:r w:rsidRPr="00603A29">
        <w:rPr>
          <w:i/>
        </w:rPr>
        <w:t>I</w:t>
      </w:r>
      <w:r>
        <w:rPr>
          <w:i/>
        </w:rPr>
        <w:t>nfra</w:t>
      </w:r>
      <w:r>
        <w:t xml:space="preserve"> Appendix B.  </w:t>
      </w:r>
    </w:p>
  </w:footnote>
  <w:footnote w:id="101">
    <w:p w:rsidR="00933418" w:rsidP="004974BC">
      <w:pPr>
        <w:pStyle w:val="FootnoteText"/>
      </w:pPr>
      <w:r>
        <w:rPr>
          <w:rStyle w:val="FootnoteReference"/>
        </w:rPr>
        <w:footnoteRef/>
      </w:r>
      <w:r>
        <w:t xml:space="preserve"> </w:t>
      </w:r>
      <w:r w:rsidRPr="003F6188">
        <w:t>47 CFR §§ 90.201-90.221 (general technical requirements for transmitters designed to oper</w:t>
      </w:r>
      <w:r>
        <w:t>ate on frequencies governed by p</w:t>
      </w:r>
      <w:r w:rsidRPr="003F6188">
        <w:t xml:space="preserve">art 90 of the rules).  </w:t>
      </w:r>
    </w:p>
  </w:footnote>
  <w:footnote w:id="102">
    <w:p w:rsidR="00933418" w:rsidP="004974BC">
      <w:pPr>
        <w:pStyle w:val="FootnoteText"/>
      </w:pPr>
      <w:r>
        <w:rPr>
          <w:rStyle w:val="FootnoteReference"/>
        </w:rPr>
        <w:footnoteRef/>
      </w:r>
      <w:r>
        <w:t xml:space="preserve"> </w:t>
      </w:r>
      <w:r>
        <w:rPr>
          <w:i/>
        </w:rPr>
        <w:t>800 MHz Interstitial N</w:t>
      </w:r>
      <w:r w:rsidRPr="00CB4490">
        <w:rPr>
          <w:i/>
        </w:rPr>
        <w:t>PRM</w:t>
      </w:r>
      <w:r w:rsidRPr="00CB4490">
        <w:t>, 30 FCC Rcd</w:t>
      </w:r>
      <w:r w:rsidRPr="0036089F">
        <w:t xml:space="preserve"> </w:t>
      </w:r>
      <w:r w:rsidRPr="00CB4490">
        <w:t xml:space="preserve">at </w:t>
      </w:r>
      <w:r>
        <w:t>1676, para. 30.</w:t>
      </w:r>
    </w:p>
  </w:footnote>
  <w:footnote w:id="103">
    <w:p w:rsidR="00933418" w:rsidRPr="00A636F5" w:rsidP="004974BC">
      <w:pPr>
        <w:pStyle w:val="FootnoteText"/>
      </w:pPr>
      <w:r>
        <w:rPr>
          <w:rStyle w:val="FootnoteReference"/>
        </w:rPr>
        <w:footnoteRef/>
      </w:r>
      <w:r>
        <w:t xml:space="preserve"> </w:t>
      </w:r>
      <w:r>
        <w:rPr>
          <w:i/>
        </w:rPr>
        <w:t>Id.</w:t>
      </w:r>
      <w:r w:rsidRPr="00A636F5">
        <w:t xml:space="preserve"> </w:t>
      </w:r>
      <w:r>
        <w:t>at 1675-76, para. 28.</w:t>
      </w:r>
    </w:p>
  </w:footnote>
  <w:footnote w:id="104">
    <w:p w:rsidR="00933418" w:rsidP="004974BC">
      <w:pPr>
        <w:pStyle w:val="FootnoteText"/>
      </w:pPr>
      <w:r>
        <w:rPr>
          <w:rStyle w:val="FootnoteReference"/>
        </w:rPr>
        <w:footnoteRef/>
      </w:r>
      <w:r>
        <w:t xml:space="preserve"> </w:t>
      </w:r>
      <w:r>
        <w:rPr>
          <w:i/>
        </w:rPr>
        <w:t>Id.</w:t>
      </w:r>
      <w:r w:rsidRPr="00A636F5">
        <w:t xml:space="preserve"> </w:t>
      </w:r>
    </w:p>
  </w:footnote>
  <w:footnote w:id="105">
    <w:p w:rsidR="00933418" w:rsidP="004974BC">
      <w:pPr>
        <w:pStyle w:val="FootnoteText"/>
      </w:pPr>
      <w:r>
        <w:rPr>
          <w:rStyle w:val="FootnoteReference"/>
        </w:rPr>
        <w:footnoteRef/>
      </w:r>
      <w:r>
        <w:t xml:space="preserve"> </w:t>
      </w:r>
      <w:r>
        <w:rPr>
          <w:i/>
        </w:rPr>
        <w:t>Id.</w:t>
      </w:r>
      <w:r>
        <w:t xml:space="preserve"> at 1676, para. 30.  EWA, in its petition for rulemaking, urged dispensing with the discrete categories for the interstitial channels, making them all available to applicants from all four of the categories regardless of the eligibility requirements of the adjacent channels.  </w:t>
      </w:r>
      <w:r>
        <w:rPr>
          <w:i/>
        </w:rPr>
        <w:t>Id.</w:t>
      </w:r>
      <w:r w:rsidRPr="00A636F5">
        <w:t xml:space="preserve"> </w:t>
      </w:r>
      <w:r>
        <w:t>at 1676, para. 29 (citing EWA Petition for Rulemaking at 6).</w:t>
      </w:r>
    </w:p>
  </w:footnote>
  <w:footnote w:id="106">
    <w:p w:rsidR="00933418" w:rsidRPr="00353ECC" w:rsidP="004974BC">
      <w:pPr>
        <w:pStyle w:val="FootnoteText"/>
        <w:rPr>
          <w:i/>
        </w:rPr>
      </w:pPr>
      <w:r>
        <w:rPr>
          <w:rStyle w:val="FootnoteReference"/>
        </w:rPr>
        <w:footnoteRef/>
      </w:r>
      <w:r>
        <w:t xml:space="preserve"> </w:t>
      </w:r>
      <w:bookmarkStart w:id="44" w:name="_Hlk525555689"/>
      <w:r>
        <w:rPr>
          <w:i/>
        </w:rPr>
        <w:t xml:space="preserve">See </w:t>
      </w:r>
      <w:r>
        <w:t xml:space="preserve">note 8, </w:t>
      </w:r>
      <w:r>
        <w:rPr>
          <w:i/>
        </w:rPr>
        <w:t>supra.</w:t>
      </w:r>
      <w:bookmarkEnd w:id="44"/>
    </w:p>
  </w:footnote>
  <w:footnote w:id="107">
    <w:p w:rsidR="00933418" w:rsidP="004974BC">
      <w:pPr>
        <w:pStyle w:val="FootnoteText"/>
      </w:pPr>
      <w:r>
        <w:rPr>
          <w:rStyle w:val="FootnoteReference"/>
        </w:rPr>
        <w:footnoteRef/>
      </w:r>
      <w:r>
        <w:t xml:space="preserve"> </w:t>
      </w:r>
      <w:r>
        <w:rPr>
          <w:i/>
        </w:rPr>
        <w:t>800 MHz Interstitial N</w:t>
      </w:r>
      <w:r w:rsidRPr="00CB4490">
        <w:rPr>
          <w:i/>
        </w:rPr>
        <w:t>PRM</w:t>
      </w:r>
      <w:r w:rsidRPr="00CB4490">
        <w:t>, 30 FCC Rcd</w:t>
      </w:r>
      <w:r>
        <w:t xml:space="preserve"> at 1676, para. 31.</w:t>
      </w:r>
    </w:p>
  </w:footnote>
  <w:footnote w:id="108">
    <w:p w:rsidR="00933418" w:rsidP="004974BC">
      <w:pPr>
        <w:pStyle w:val="FootnoteText"/>
      </w:pPr>
      <w:r>
        <w:rPr>
          <w:rStyle w:val="FootnoteReference"/>
        </w:rPr>
        <w:footnoteRef/>
      </w:r>
      <w:r>
        <w:t xml:space="preserve"> UTC 15-32 Reply Comments at 4; MPSFAC Comments at 4.</w:t>
      </w:r>
    </w:p>
  </w:footnote>
  <w:footnote w:id="109">
    <w:p w:rsidR="00933418" w:rsidP="004974BC">
      <w:pPr>
        <w:pStyle w:val="FootnoteText"/>
      </w:pPr>
      <w:r>
        <w:rPr>
          <w:rStyle w:val="FootnoteReference"/>
        </w:rPr>
        <w:footnoteRef/>
      </w:r>
      <w:r>
        <w:t xml:space="preserve"> 47 CFR §§ 90.615, 90.617(b)-(c).  </w:t>
      </w:r>
    </w:p>
  </w:footnote>
  <w:footnote w:id="110">
    <w:p w:rsidR="00933418" w:rsidP="004974BC">
      <w:pPr>
        <w:pStyle w:val="FootnoteText"/>
      </w:pPr>
      <w:r>
        <w:rPr>
          <w:rStyle w:val="FootnoteReference"/>
        </w:rPr>
        <w:footnoteRef/>
      </w:r>
      <w:r>
        <w:t xml:space="preserve"> NPSTC 15-32 Comments at 7; APCO 15-32 Comments at 2; Florida 15-32 Reply Comments at 4.  </w:t>
      </w:r>
      <w:r w:rsidRPr="003F6188">
        <w:t>For instance, APCO notes that the Commission’s proposal will “preserve the ability of public safety entities (and others in each service pool) to have fair opportunities to obtain new channels.</w:t>
      </w:r>
      <w:r>
        <w:t>”</w:t>
      </w:r>
    </w:p>
  </w:footnote>
  <w:footnote w:id="111">
    <w:p w:rsidR="00933418" w:rsidP="004974BC">
      <w:pPr>
        <w:pStyle w:val="FootnoteText"/>
      </w:pPr>
      <w:r>
        <w:rPr>
          <w:rStyle w:val="FootnoteReference"/>
        </w:rPr>
        <w:footnoteRef/>
      </w:r>
      <w:r>
        <w:t xml:space="preserve"> We note that we do not make available for licensing an interstitial channel between standard channels 470 (814/859.9875 MHz) and 471 (815/860.0125 MHz) because an interstitial channel between these two standard channels would overlap the Expansion Band segment of the 800 MHz Mid-Band.  </w:t>
      </w:r>
      <w:r>
        <w:rPr>
          <w:i/>
          <w:iCs/>
        </w:rPr>
        <w:t xml:space="preserve">See </w:t>
      </w:r>
      <w:r>
        <w:t xml:space="preserve">47 CFR § 90.613.  If made available for licensing, the interstitial channel would be assigned to the Public Safety Pool because the lower-adjacent standard channel (Channel 470) is a Public Safety Pool channel.  The Commission established the Expansion Band to create spectral separation between public safety systems and high-density cellular architecture systems in the band.  </w:t>
      </w:r>
      <w:r>
        <w:rPr>
          <w:i/>
          <w:iCs/>
        </w:rPr>
        <w:t>800 MHz Report and Order</w:t>
      </w:r>
      <w:r>
        <w:t>, 19 FCC Rcd at 15053-54, paras. 154-156.  Thus, Public Safety Pool channels previously falling in the Expansion Band pre-rebanding were converted to SMR or B/ILT Pool channels so that all Public Safety Pool channels would stay below the Expansion Band.</w:t>
      </w:r>
      <w:r>
        <w:rPr>
          <w:vertAlign w:val="superscript"/>
        </w:rPr>
        <w:t xml:space="preserve"> </w:t>
      </w:r>
      <w:r>
        <w:t> </w:t>
      </w:r>
      <w:r>
        <w:rPr>
          <w:i/>
          <w:iCs/>
        </w:rPr>
        <w:t>Id.</w:t>
      </w:r>
      <w:r>
        <w:t xml:space="preserve"> at para. 155.  Therefore, a public safety interstitial channel between standard channels 470 and 471 would partially fall in the Expansion Band contrary to the Commission’s intent in the </w:t>
      </w:r>
      <w:r>
        <w:rPr>
          <w:i/>
          <w:iCs/>
        </w:rPr>
        <w:t>800 MHz Report and Order</w:t>
      </w:r>
      <w:r>
        <w:t xml:space="preserve"> to limit the Expansion Band to SMR and B/ILT use.  Similarly, we do not include interstitial channel 372a in the Table 1A of section 90.617(a)(2).  The inclusion of channel 372a to the Public Safety Pool channels listed in Table 1A would reduce te size of the Expansion Band in counties of the Southeast region which have a reduced Mid-Band and </w:t>
      </w:r>
      <w:r w:rsidRPr="003C3846">
        <w:t>extended ESMR segment</w:t>
      </w:r>
      <w:r>
        <w:t xml:space="preserve">.   </w:t>
      </w:r>
      <w:r w:rsidRPr="00D36C0E">
        <w:rPr>
          <w:i/>
        </w:rPr>
        <w:t>See</w:t>
      </w:r>
      <w:r>
        <w:t xml:space="preserve"> 47 CFR § 90.617(a)(2), Table 1A.</w:t>
      </w:r>
    </w:p>
  </w:footnote>
  <w:footnote w:id="112">
    <w:p w:rsidR="00933418" w:rsidRPr="00AB7CF2" w:rsidP="004974BC">
      <w:pPr>
        <w:pStyle w:val="FootnoteText"/>
      </w:pPr>
      <w:r>
        <w:rPr>
          <w:rStyle w:val="FootnoteReference"/>
        </w:rPr>
        <w:footnoteRef/>
      </w:r>
      <w:r>
        <w:t xml:space="preserve"> </w:t>
      </w:r>
      <w:r w:rsidRPr="00C82E23">
        <w:t>As shown in Appendix B hereto, rule section 90.613, the interstitial channels are denoted by an “a” after the channel number.</w:t>
      </w:r>
    </w:p>
  </w:footnote>
  <w:footnote w:id="113">
    <w:p w:rsidR="00933418" w:rsidP="004974BC">
      <w:pPr>
        <w:pStyle w:val="FootnoteText"/>
      </w:pPr>
      <w:r>
        <w:rPr>
          <w:rStyle w:val="FootnoteReference"/>
        </w:rPr>
        <w:footnoteRef/>
      </w:r>
      <w:r>
        <w:t xml:space="preserve"> </w:t>
      </w:r>
      <w:r w:rsidRPr="00C515D0">
        <w:t>SouthernLINC Comments</w:t>
      </w:r>
      <w:r>
        <w:t xml:space="preserve"> at 8.</w:t>
      </w:r>
    </w:p>
  </w:footnote>
  <w:footnote w:id="114">
    <w:p w:rsidR="00933418" w:rsidP="004974BC">
      <w:pPr>
        <w:pStyle w:val="FootnoteText"/>
      </w:pPr>
      <w:r>
        <w:rPr>
          <w:rStyle w:val="FootnoteReference"/>
        </w:rPr>
        <w:footnoteRef/>
      </w:r>
      <w:r>
        <w:t xml:space="preserve"> Priority will apply for licensees that relocate from the T-Band to interstitial channels in their license category, </w:t>
      </w:r>
      <w:r w:rsidRPr="00093962">
        <w:rPr>
          <w:i/>
        </w:rPr>
        <w:t>e.g</w:t>
      </w:r>
      <w:r>
        <w:t>., a public safety licensee may relocate only to a public safety category interstitial channel.  While we afford this priority to both public safety and non-public safety T-Band licensees, we note that the Commission has not yet determined how Spectrum Act implementation will affect non-public safety T-Band licensees.</w:t>
      </w:r>
    </w:p>
  </w:footnote>
  <w:footnote w:id="115">
    <w:p w:rsidR="00933418" w:rsidP="004974BC">
      <w:pPr>
        <w:pStyle w:val="FootnoteText"/>
      </w:pPr>
      <w:r>
        <w:rPr>
          <w:rStyle w:val="FootnoteReference"/>
        </w:rPr>
        <w:footnoteRef/>
      </w:r>
      <w:r>
        <w:t xml:space="preserve"> </w:t>
      </w:r>
      <w:r>
        <w:rPr>
          <w:i/>
        </w:rPr>
        <w:t xml:space="preserve">See </w:t>
      </w:r>
      <w:r w:rsidRPr="00970BFB">
        <w:rPr>
          <w:i/>
        </w:rPr>
        <w:t>Amendments to the Service Rules Governing Public Safety Narrowband Operations in the 769-775/799-805 MHz Band,</w:t>
      </w:r>
      <w:r w:rsidRPr="00970BFB">
        <w:t xml:space="preserve"> Report and Order, 29 FCC Rcd 13283, 13299</w:t>
      </w:r>
      <w:r>
        <w:t>,</w:t>
      </w:r>
      <w:r w:rsidRPr="00970BFB">
        <w:t xml:space="preserve"> paras. 43-44 (2014).</w:t>
      </w:r>
    </w:p>
  </w:footnote>
  <w:footnote w:id="116">
    <w:p w:rsidR="00933418" w:rsidP="004974BC">
      <w:pPr>
        <w:pStyle w:val="FootnoteText"/>
      </w:pPr>
      <w:r>
        <w:rPr>
          <w:rStyle w:val="FootnoteReference"/>
        </w:rPr>
        <w:footnoteRef/>
      </w:r>
      <w:r>
        <w:t xml:space="preserve"> NPSTC 15-32 Comments at 7.  </w:t>
      </w:r>
      <w:r w:rsidRPr="00C82E23">
        <w:t>NPSTC asserts that almost all the standard channels are “occupied within the 50 mile radius [of] T-Band areas.”</w:t>
      </w:r>
      <w:r>
        <w:t xml:space="preserve"> </w:t>
      </w:r>
      <w:r w:rsidRPr="00E50257">
        <w:rPr>
          <w:i/>
        </w:rPr>
        <w:t>Id</w:t>
      </w:r>
      <w:r w:rsidRPr="00E50257">
        <w:t>.</w:t>
      </w:r>
    </w:p>
  </w:footnote>
  <w:footnote w:id="117">
    <w:p w:rsidR="00933418" w:rsidP="004974BC">
      <w:pPr>
        <w:pStyle w:val="FootnoteText"/>
      </w:pPr>
      <w:r>
        <w:rPr>
          <w:rStyle w:val="FootnoteReference"/>
        </w:rPr>
        <w:footnoteRef/>
      </w:r>
      <w:r>
        <w:t xml:space="preserve"> APCO 15-32 Comments at 3.</w:t>
      </w:r>
    </w:p>
  </w:footnote>
  <w:footnote w:id="118">
    <w:p w:rsidR="00933418" w:rsidP="004974BC">
      <w:pPr>
        <w:pStyle w:val="FootnoteText"/>
      </w:pPr>
      <w:r>
        <w:rPr>
          <w:rStyle w:val="FootnoteReference"/>
        </w:rPr>
        <w:footnoteRef/>
      </w:r>
      <w:r>
        <w:t xml:space="preserve"> EWA 15-32 Comments at 6.</w:t>
      </w:r>
    </w:p>
  </w:footnote>
  <w:footnote w:id="119">
    <w:p w:rsidR="00933418" w:rsidRPr="004E24D1" w:rsidP="004974BC">
      <w:pPr>
        <w:pStyle w:val="FootnoteText"/>
      </w:pPr>
      <w:r>
        <w:rPr>
          <w:rStyle w:val="FootnoteReference"/>
        </w:rPr>
        <w:footnoteRef/>
      </w:r>
      <w:r>
        <w:t xml:space="preserve"> </w:t>
      </w:r>
      <w:r>
        <w:rPr>
          <w:i/>
        </w:rPr>
        <w:t>Id.</w:t>
      </w:r>
      <w:r>
        <w:t xml:space="preserve"> at 7.</w:t>
      </w:r>
    </w:p>
  </w:footnote>
  <w:footnote w:id="120">
    <w:p w:rsidR="00933418" w:rsidRPr="00643DC6" w:rsidP="004974BC">
      <w:pPr>
        <w:pStyle w:val="FootnoteText"/>
      </w:pPr>
      <w:r>
        <w:rPr>
          <w:rStyle w:val="FootnoteReference"/>
        </w:rPr>
        <w:footnoteRef/>
      </w:r>
      <w:r>
        <w:t xml:space="preserve"> Low-site systems are arranged in a cellular configuration with frequency reuse, and typically employ low antenna elevations and relatively high power.  They frequently have been a source of interference to the reception of signals from high-site systems.  </w:t>
      </w:r>
    </w:p>
  </w:footnote>
  <w:footnote w:id="121">
    <w:p w:rsidR="00933418" w:rsidP="004974BC">
      <w:pPr>
        <w:pStyle w:val="FootnoteText"/>
      </w:pPr>
      <w:r>
        <w:rPr>
          <w:rStyle w:val="FootnoteReference"/>
        </w:rPr>
        <w:footnoteRef/>
      </w:r>
      <w:r>
        <w:t xml:space="preserve"> High-site systems typically use high antenna elevations (towers, mountaintops, high buildings, etc.) to achieve wide-area coverage with one, or only a few, transmitter sites.  High-site licensees include Public Safety, B/ILT, and non-cellular SMR licensees.</w:t>
      </w:r>
    </w:p>
  </w:footnote>
  <w:footnote w:id="122">
    <w:p w:rsidR="00933418" w:rsidRPr="00C6540E" w:rsidP="004974BC">
      <w:pPr>
        <w:pStyle w:val="FootnoteText"/>
      </w:pPr>
      <w:r w:rsidRPr="00C6540E">
        <w:rPr>
          <w:rStyle w:val="FootnoteReference"/>
        </w:rPr>
        <w:footnoteRef/>
      </w:r>
      <w:r w:rsidRPr="00C6540E">
        <w:t xml:space="preserve"> </w:t>
      </w:r>
      <w:r w:rsidRPr="00C6540E">
        <w:rPr>
          <w:i/>
          <w:iCs/>
        </w:rPr>
        <w:t xml:space="preserve">See </w:t>
      </w:r>
      <w:r w:rsidRPr="00C6540E">
        <w:rPr>
          <w:i/>
        </w:rPr>
        <w:t>800 MHz Report and Order</w:t>
      </w:r>
      <w:r w:rsidRPr="00C6540E">
        <w:t xml:space="preserve">, 19 FCC Rcd </w:t>
      </w:r>
      <w:r>
        <w:t>at</w:t>
      </w:r>
      <w:r w:rsidRPr="00C6540E">
        <w:t xml:space="preserve"> 15053-55, para. 154-</w:t>
      </w:r>
      <w:r>
        <w:t>58 (2004)</w:t>
      </w:r>
      <w:r w:rsidRPr="00C6540E">
        <w:t xml:space="preserve">.  No Guard Band exists in the southeastern portion of the United States in counties served by both Sprint Corporation and SouthernLINC and in areas adjacent to the U.S.-Canada border.  Furthermore, the Expansion Band consists of the 812.5-813.5 MHz/857.5-858.5 MHz segment of the band in these counties served by both Sprint and SouthernLINC except for a 70-mile radius around Atlanta where the Expansion Band is reduced to one-half megahertz.  </w:t>
      </w:r>
      <w:r w:rsidRPr="00C6540E">
        <w:rPr>
          <w:i/>
        </w:rPr>
        <w:t>Id.</w:t>
      </w:r>
      <w:r w:rsidRPr="00C6540E">
        <w:t xml:space="preserve"> at 15058, para. 166.</w:t>
      </w:r>
    </w:p>
  </w:footnote>
  <w:footnote w:id="123">
    <w:p w:rsidR="00933418" w:rsidP="004974BC">
      <w:pPr>
        <w:pStyle w:val="FootnoteText"/>
      </w:pPr>
      <w:r>
        <w:rPr>
          <w:rStyle w:val="FootnoteReference"/>
        </w:rPr>
        <w:footnoteRef/>
      </w:r>
      <w:r>
        <w:t xml:space="preserve"> </w:t>
      </w:r>
      <w:r>
        <w:rPr>
          <w:i/>
        </w:rPr>
        <w:t xml:space="preserve">See </w:t>
      </w:r>
      <w:r>
        <w:t xml:space="preserve">47 CFR § 90.617(b), (d).  EB users also include Public Safety licensees that chose to remain on channels that are now designated for SMR stations.  </w:t>
      </w:r>
      <w:r>
        <w:rPr>
          <w:i/>
        </w:rPr>
        <w:t xml:space="preserve">See </w:t>
      </w:r>
      <w:r>
        <w:rPr>
          <w:i/>
          <w:color w:val="242021"/>
        </w:rPr>
        <w:t>800 MHz Report and Order</w:t>
      </w:r>
      <w:r>
        <w:t xml:space="preserve">, 19 FCC Rcd at 15053, n.417.  They are permitted to expand geographically on the EB channels they retained.  </w:t>
      </w:r>
      <w:r>
        <w:rPr>
          <w:i/>
        </w:rPr>
        <w:t xml:space="preserve">See </w:t>
      </w:r>
      <w:r w:rsidRPr="00346E22">
        <w:rPr>
          <w:i/>
        </w:rPr>
        <w:t>Public Safety and Homeland Security Bureau Clarifies the Rights of 800 MHz Public Safety Licensees Electing to Remain in the 800 MHz Expansion Band</w:t>
      </w:r>
      <w:r>
        <w:t xml:space="preserve">, </w:t>
      </w:r>
      <w:r w:rsidRPr="00346E22">
        <w:t>Public Notice</w:t>
      </w:r>
      <w:r>
        <w:t xml:space="preserve">, 22 FCC Rcd 6803, 6803-04 (PSHSB 2007); </w:t>
      </w:r>
      <w:r w:rsidRPr="00346E22">
        <w:rPr>
          <w:i/>
        </w:rPr>
        <w:t>Public Safety and Homeland Security Bureau Clarifies the Process for Accepting Applications from Public Safety Licensees that Elected to Remain in the 800 MHz Expansion Band</w:t>
      </w:r>
      <w:r>
        <w:t xml:space="preserve">, </w:t>
      </w:r>
      <w:r w:rsidRPr="00346E22">
        <w:t>Public Notice</w:t>
      </w:r>
      <w:r>
        <w:t>, 30 FCC Rcd 3021 (PSHSB 2015).</w:t>
      </w:r>
    </w:p>
  </w:footnote>
  <w:footnote w:id="124">
    <w:p w:rsidR="00933418" w:rsidP="004974BC">
      <w:pPr>
        <w:pStyle w:val="FootnoteText"/>
      </w:pPr>
      <w:r>
        <w:rPr>
          <w:rStyle w:val="FootnoteReference"/>
        </w:rPr>
        <w:footnoteRef/>
      </w:r>
      <w:r>
        <w:t xml:space="preserve"> </w:t>
      </w:r>
      <w:r>
        <w:rPr>
          <w:i/>
        </w:rPr>
        <w:t xml:space="preserve">See </w:t>
      </w:r>
      <w:r>
        <w:t xml:space="preserve">47 CFR § 90.615; </w:t>
      </w:r>
      <w:r>
        <w:rPr>
          <w:i/>
        </w:rPr>
        <w:t>800 MHz Interstitial NPRM</w:t>
      </w:r>
      <w:r>
        <w:t>, 30 FCC Rcd at 1675, n.95.</w:t>
      </w:r>
    </w:p>
  </w:footnote>
  <w:footnote w:id="125">
    <w:p w:rsidR="00933418" w:rsidP="004974BC">
      <w:pPr>
        <w:pStyle w:val="FootnoteText"/>
      </w:pPr>
      <w:r>
        <w:rPr>
          <w:rStyle w:val="FootnoteReference"/>
        </w:rPr>
        <w:footnoteRef/>
      </w:r>
      <w:r>
        <w:t xml:space="preserve"> </w:t>
      </w:r>
      <w:r>
        <w:rPr>
          <w:i/>
        </w:rPr>
        <w:t xml:space="preserve">See </w:t>
      </w:r>
      <w:r>
        <w:t>Petition of the Land Mobile Communications Council</w:t>
      </w:r>
      <w:r w:rsidRPr="00736CC5">
        <w:t xml:space="preserve"> </w:t>
      </w:r>
      <w:r>
        <w:t>for Rulemaking, RM-11719, at 3-6 (filed Mar. 27, 2014).</w:t>
      </w:r>
    </w:p>
  </w:footnote>
  <w:footnote w:id="126">
    <w:p w:rsidR="00933418" w:rsidRPr="00F544B8" w:rsidP="004974BC">
      <w:pPr>
        <w:pStyle w:val="FootnoteText"/>
      </w:pPr>
      <w:r>
        <w:rPr>
          <w:rStyle w:val="FootnoteReference"/>
        </w:rPr>
        <w:footnoteRef/>
      </w:r>
      <w:r>
        <w:t xml:space="preserve"> </w:t>
      </w:r>
      <w:r>
        <w:rPr>
          <w:i/>
        </w:rPr>
        <w:t xml:space="preserve">See </w:t>
      </w:r>
      <w:r>
        <w:rPr>
          <w:i/>
          <w:szCs w:val="22"/>
        </w:rPr>
        <w:t xml:space="preserve">PLMR Access </w:t>
      </w:r>
      <w:r>
        <w:rPr>
          <w:i/>
        </w:rPr>
        <w:t>NPRM</w:t>
      </w:r>
      <w:r>
        <w:t>, 31 FCC Rcd at 9442, para. 31.</w:t>
      </w:r>
    </w:p>
  </w:footnote>
  <w:footnote w:id="127">
    <w:p w:rsidR="00933418" w:rsidP="004974BC">
      <w:pPr>
        <w:pStyle w:val="FootnoteText"/>
      </w:pPr>
      <w:r>
        <w:rPr>
          <w:rStyle w:val="FootnoteReference"/>
        </w:rPr>
        <w:footnoteRef/>
      </w:r>
      <w:r>
        <w:t xml:space="preserve"> </w:t>
      </w:r>
      <w:r>
        <w:rPr>
          <w:i/>
        </w:rPr>
        <w:t xml:space="preserve">See id. </w:t>
      </w:r>
    </w:p>
  </w:footnote>
  <w:footnote w:id="128">
    <w:p w:rsidR="00933418" w:rsidRPr="005608C8" w:rsidP="004974BC">
      <w:pPr>
        <w:pStyle w:val="FootnoteText"/>
      </w:pPr>
      <w:r>
        <w:rPr>
          <w:rStyle w:val="FootnoteReference"/>
        </w:rPr>
        <w:footnoteRef/>
      </w:r>
      <w:r>
        <w:t xml:space="preserve"> </w:t>
      </w:r>
      <w:r>
        <w:rPr>
          <w:i/>
        </w:rPr>
        <w:t>See id.</w:t>
      </w:r>
      <w:r>
        <w:t xml:space="preserve"> at 9442, para. 33.  The Commission </w:t>
      </w:r>
      <w:r w:rsidRPr="005608C8">
        <w:t xml:space="preserve">explained that, because SMR licensees compete for customers in the commercial wireless marketplace, both incumbents and new licensees have similar economic motives to </w:t>
      </w:r>
      <w:r>
        <w:t>us</w:t>
      </w:r>
      <w:r w:rsidRPr="005608C8">
        <w:t>e the spectrum in a timely manner so there is no justification for incumbent priority</w:t>
      </w:r>
      <w:r>
        <w:t xml:space="preserve">.  </w:t>
      </w:r>
      <w:r w:rsidRPr="004E212E">
        <w:rPr>
          <w:i/>
        </w:rPr>
        <w:t>Id.</w:t>
      </w:r>
      <w:r>
        <w:rPr>
          <w:i/>
        </w:rPr>
        <w:t xml:space="preserve">  </w:t>
      </w:r>
      <w:r w:rsidRPr="005608C8">
        <w:t>The Commission also sought comment on whether to provide incumbent priority for 40 GB channels but questioned whether preferring 800 MHz SMR incumbents over potential competitors for this spectrum would further the public interest</w:t>
      </w:r>
      <w:r>
        <w:t xml:space="preserve">.  </w:t>
      </w:r>
      <w:r w:rsidRPr="005608C8">
        <w:rPr>
          <w:i/>
        </w:rPr>
        <w:t>See id.</w:t>
      </w:r>
      <w:r w:rsidRPr="005608C8">
        <w:t xml:space="preserve"> at 9443, para. 34.</w:t>
      </w:r>
    </w:p>
  </w:footnote>
  <w:footnote w:id="129">
    <w:p w:rsidR="00933418" w:rsidP="004974BC">
      <w:pPr>
        <w:pStyle w:val="FootnoteText"/>
      </w:pPr>
      <w:r>
        <w:rPr>
          <w:rStyle w:val="FootnoteReference"/>
        </w:rPr>
        <w:footnoteRef/>
      </w:r>
      <w:r>
        <w:t xml:space="preserve"> EWA 16-261 Comments at 5; </w:t>
      </w:r>
      <w:r>
        <w:rPr>
          <w:i/>
        </w:rPr>
        <w:t xml:space="preserve">see also </w:t>
      </w:r>
      <w:r>
        <w:t xml:space="preserve">New York Communications Company, Inc. Reply Comments at 1 (Dec. 22, 2016).  Other commenters support incumbent priority for all EB/GB channels, but do not articulate a specific justification for SMR incumbent priority.  </w:t>
      </w:r>
      <w:r>
        <w:rPr>
          <w:i/>
        </w:rPr>
        <w:t>See</w:t>
      </w:r>
      <w:r>
        <w:t xml:space="preserve">, </w:t>
      </w:r>
      <w:r>
        <w:rPr>
          <w:i/>
        </w:rPr>
        <w:t>e.g.</w:t>
      </w:r>
      <w:r>
        <w:t>, Motorola Reply Comments at 4 (Dec. 22, 2016); NAM/MRFAC Comments at 2-3; UTC 16-261 Comments at 5.</w:t>
      </w:r>
    </w:p>
  </w:footnote>
  <w:footnote w:id="130">
    <w:p w:rsidR="00933418" w:rsidP="004974BC">
      <w:pPr>
        <w:pStyle w:val="FootnoteText"/>
      </w:pPr>
      <w:r>
        <w:rPr>
          <w:rStyle w:val="FootnoteReference"/>
        </w:rPr>
        <w:footnoteRef/>
      </w:r>
      <w:r>
        <w:t xml:space="preserve"> </w:t>
      </w:r>
      <w:r>
        <w:rPr>
          <w:i/>
        </w:rPr>
        <w:t xml:space="preserve">See </w:t>
      </w:r>
      <w:r>
        <w:t>ABN Health Comments at 1 (Nov. 21, 2016); Athletes Business Network, LLC Comments at 1 (Nov. 21, 2016) (ABN LLC Comments); Absalom Gonzalez, Inc. Comments at 1 (Nov. 21, 2016) (Gonzalez Comments); APCO Comments at 3 (Nov. 22, 2016) (APCO 16-261 Comments); At Home Health Equipment Comments at 1 (Nov. 21, 2016) (AHHE Comments); Caito Foods, Inc. Comments at 1 (Nov. 21, 2016) (Caito Comments); Ice Realty LLC Comments at 1 (Nov. 21, 2016) (Ice Realty Comments); James Babcock, Inc. Comments at 1 (Nov. 21, 2016) (Babcock Comments); M2M Spectrum Networks, LLC Comments at 6 (Nov. 22, 2016) (M2M Comments); Maetrics, LLC Comments at 1 (Nov. 21, 2016) (Maetrics Comments); Marion Utilities Comments at 1; One World Design &amp; Manufacturing Group Ltd. Comments at 1 (Oct. 13, 2016) (One World Comments); Roadrunner Delivery, Inc. Comments at 1 (Oct. 19,2016) (Roadrunner Comments); Sanford Health Comments at 1;</w:t>
      </w:r>
      <w:r w:rsidRPr="0003294A">
        <w:t xml:space="preserve"> </w:t>
      </w:r>
      <w:r>
        <w:t>Ubicquia Comments at 1; Wireless Infrastructure Association Reply Comments at 3 (Dec. 22, 2016) (WIA Reply Comments).</w:t>
      </w:r>
    </w:p>
  </w:footnote>
  <w:footnote w:id="131">
    <w:p w:rsidR="00933418" w:rsidRPr="001B3F9D" w:rsidP="004974BC">
      <w:pPr>
        <w:pStyle w:val="FootnoteText"/>
        <w:rPr>
          <w:i/>
        </w:rPr>
      </w:pPr>
      <w:r>
        <w:rPr>
          <w:rStyle w:val="FootnoteReference"/>
        </w:rPr>
        <w:footnoteRef/>
      </w:r>
      <w:r>
        <w:t xml:space="preserve"> </w:t>
      </w:r>
      <w:r>
        <w:rPr>
          <w:i/>
        </w:rPr>
        <w:t xml:space="preserve">See Deployment of Wireline Services Offering Advanced Telecommunications </w:t>
      </w:r>
      <w:r w:rsidRPr="00B07C3E">
        <w:rPr>
          <w:i/>
        </w:rPr>
        <w:t>Capability</w:t>
      </w:r>
      <w:r>
        <w:t xml:space="preserve">, Fourth Report and Order, 16 FCC Rcd 15435, </w:t>
      </w:r>
      <w:r w:rsidRPr="00B07C3E">
        <w:t>15438</w:t>
      </w:r>
      <w:r>
        <w:t xml:space="preserve">, para. 7 (2001); </w:t>
      </w:r>
      <w:r>
        <w:rPr>
          <w:i/>
        </w:rPr>
        <w:t>MTS and WATS Market Structure</w:t>
      </w:r>
      <w:r>
        <w:t xml:space="preserve">, Memorandum Opinion and Order, 102 F.C.C. 2d 849, 860, para. 22 (1985).  We are not persuaded by MRA’s suggestion that competition-related arguments are inapposite because EB SMR licensees provide non-interconnected dispatch service to business fleets and are more akin to B/ILT licensees than they are to other commercial providers serving the public.  </w:t>
      </w:r>
      <w:r>
        <w:rPr>
          <w:i/>
        </w:rPr>
        <w:t xml:space="preserve">See </w:t>
      </w:r>
      <w:r>
        <w:t>MRA 16-261 Comments at 14-15.</w:t>
      </w:r>
    </w:p>
  </w:footnote>
  <w:footnote w:id="132">
    <w:p w:rsidR="00933418" w:rsidP="004974BC">
      <w:pPr>
        <w:pStyle w:val="FootnoteText"/>
      </w:pPr>
      <w:r>
        <w:rPr>
          <w:rStyle w:val="FootnoteReference"/>
        </w:rPr>
        <w:footnoteRef/>
      </w:r>
      <w:r>
        <w:t xml:space="preserve"> </w:t>
      </w:r>
      <w:r>
        <w:rPr>
          <w:i/>
        </w:rPr>
        <w:t xml:space="preserve">See </w:t>
      </w:r>
      <w:r>
        <w:t xml:space="preserve">ABN Health Comments at 1; ABN LLC Comments at 1; AHHE Comments at 1; Babcock Comments at 1; Caito Comments at 1; Gonzalez Comments at 1; Ice Realty Comments at 1; M2M Comments at 6-7; Maetrics Comments at 1; Marion Utilities Comments at 1; One World Comments at 1; Roadrunner Comments at 1; Sanford Health Comments at 1; Ubicquia Comments at 1.  </w:t>
      </w:r>
      <w:r>
        <w:rPr>
          <w:szCs w:val="22"/>
        </w:rPr>
        <w:t>Others support</w:t>
      </w:r>
      <w:r w:rsidRPr="00100C4D">
        <w:rPr>
          <w:szCs w:val="22"/>
        </w:rPr>
        <w:t xml:space="preserve"> </w:t>
      </w:r>
      <w:r>
        <w:rPr>
          <w:szCs w:val="22"/>
        </w:rPr>
        <w:t xml:space="preserve">incumbent priority for GB channels.  </w:t>
      </w:r>
      <w:r>
        <w:rPr>
          <w:i/>
        </w:rPr>
        <w:t xml:space="preserve">See </w:t>
      </w:r>
      <w:r>
        <w:t>Association of American Railroads Comments at 6-7 (Nov. 22, 2016) (</w:t>
      </w:r>
      <w:bookmarkStart w:id="47" w:name="_Hlk521681425"/>
      <w:r>
        <w:t>AAR Comments</w:t>
      </w:r>
      <w:bookmarkEnd w:id="47"/>
      <w:r>
        <w:t xml:space="preserve">); American Association of State Highway &amp; Transportation Officials Reply Comments at 3 (Nov. 22, 2016) (AASHTO Reply Comments); APCO 12-261 Comments at 3; MRA 16-261 Comments at 15; </w:t>
      </w:r>
      <w:r w:rsidRPr="00F7450B">
        <w:t xml:space="preserve">National Public Safety Telecommunications Council Comments at </w:t>
      </w:r>
      <w:r>
        <w:t>6</w:t>
      </w:r>
      <w:r w:rsidRPr="00F7450B">
        <w:t xml:space="preserve"> (Nov. 22, 2016) (NPSTC 16-261 Comments)</w:t>
      </w:r>
      <w:r>
        <w:t>.</w:t>
      </w:r>
    </w:p>
  </w:footnote>
  <w:footnote w:id="133">
    <w:p w:rsidR="00933418" w:rsidP="004974BC">
      <w:pPr>
        <w:pStyle w:val="FootnoteText"/>
      </w:pPr>
      <w:r>
        <w:rPr>
          <w:rStyle w:val="FootnoteReference"/>
        </w:rPr>
        <w:footnoteRef/>
      </w:r>
      <w:r>
        <w:t xml:space="preserve"> M2M Comments at 7 (“there are no compelling benefits to justify a discriminatory preference for incumbents that would cut against the grain of the Commission’s spectrum policy”); WIA Reply Comments at 2-4 (“As the Commission has long recognized, it should not be in a position of picking winners and losers.”) (citing </w:t>
      </w:r>
      <w:r>
        <w:rPr>
          <w:i/>
        </w:rPr>
        <w:t>Deployment of Wireline Services Offering Advanced Telecommunications Capability</w:t>
      </w:r>
      <w:r>
        <w:t>, Memorandum Opinion and Order and Notice of Proposed Rulemaking, 13 FCC Rcd 24012, 24014, para. 2 (1998)).</w:t>
      </w:r>
    </w:p>
  </w:footnote>
  <w:footnote w:id="134">
    <w:p w:rsidR="00933418" w:rsidRPr="00F54C2D" w:rsidP="004974BC">
      <w:pPr>
        <w:pStyle w:val="FootnoteText"/>
      </w:pPr>
      <w:r>
        <w:rPr>
          <w:rStyle w:val="FootnoteReference"/>
        </w:rPr>
        <w:footnoteRef/>
      </w:r>
      <w:r>
        <w:t xml:space="preserve"> </w:t>
      </w:r>
      <w:r>
        <w:rPr>
          <w:i/>
        </w:rPr>
        <w:t xml:space="preserve">See </w:t>
      </w:r>
      <w:r>
        <w:t>LMCC 16-261 Comments at 10 (“All businesses compete for customers in their respective marketplaces.  If FedEx is permitted to add capacity to an existing system . . . while UPS, a proposed entrant to a market, must wait until incumbent capacity requirements are satisfied, why does the same reasoning not apply to SMR operators?”); MRA 16-261 Comments at 14-15.</w:t>
      </w:r>
    </w:p>
  </w:footnote>
  <w:footnote w:id="135">
    <w:p w:rsidR="00933418" w:rsidP="004974BC">
      <w:pPr>
        <w:pStyle w:val="FootnoteText"/>
      </w:pPr>
      <w:r>
        <w:rPr>
          <w:rStyle w:val="FootnoteReference"/>
        </w:rPr>
        <w:footnoteRef/>
      </w:r>
      <w:r>
        <w:t xml:space="preserve"> </w:t>
      </w:r>
      <w:r w:rsidRPr="006A3918">
        <w:rPr>
          <w:i/>
        </w:rPr>
        <w:t xml:space="preserve">See </w:t>
      </w:r>
      <w:r w:rsidRPr="006A3918">
        <w:t>EWA 16-261 Comments at 4-5; LMCC 16-261 Comments at 9-10; NAM/MRFAC Comments at 2; UTC 16-261 Comments at 4-5.</w:t>
      </w:r>
    </w:p>
  </w:footnote>
  <w:footnote w:id="136">
    <w:p w:rsidR="00933418" w:rsidRPr="00E36EA9" w:rsidP="004974BC">
      <w:pPr>
        <w:pStyle w:val="FootnoteText"/>
      </w:pPr>
      <w:r>
        <w:rPr>
          <w:rStyle w:val="FootnoteReference"/>
        </w:rPr>
        <w:footnoteRef/>
      </w:r>
      <w:r>
        <w:t xml:space="preserve"> </w:t>
      </w:r>
      <w:r>
        <w:rPr>
          <w:i/>
        </w:rPr>
        <w:t xml:space="preserve">See </w:t>
      </w:r>
      <w:r>
        <w:t>EWA 16-261 Comments at 7; 47 CFR § 90.617(g).</w:t>
      </w:r>
    </w:p>
  </w:footnote>
  <w:footnote w:id="137">
    <w:p w:rsidR="00933418" w:rsidP="004974BC">
      <w:pPr>
        <w:pStyle w:val="FootnoteText"/>
      </w:pPr>
      <w:r>
        <w:rPr>
          <w:rStyle w:val="FootnoteReference"/>
        </w:rPr>
        <w:footnoteRef/>
      </w:r>
      <w:r>
        <w:t xml:space="preserve"> 47 CFR §§ 22.970(a), 90.672(a).</w:t>
      </w:r>
    </w:p>
  </w:footnote>
  <w:footnote w:id="138">
    <w:p w:rsidR="00933418" w:rsidP="004974BC">
      <w:pPr>
        <w:pStyle w:val="FootnoteText"/>
      </w:pPr>
      <w:r>
        <w:rPr>
          <w:rStyle w:val="FootnoteReference"/>
        </w:rPr>
        <w:footnoteRef/>
      </w:r>
      <w:r>
        <w:t xml:space="preserve"> In addition to the Florida, Ohio and Washington State regions, </w:t>
      </w:r>
      <w:r w:rsidRPr="00077C2F">
        <w:t>band reconfiguration is complete in Region</w:t>
      </w:r>
      <w:r>
        <w:t>s</w:t>
      </w:r>
      <w:r w:rsidRPr="00077C2F">
        <w:t xml:space="preserve"> 1 </w:t>
      </w:r>
      <w:r>
        <w:t>(</w:t>
      </w:r>
      <w:r w:rsidRPr="00077C2F">
        <w:t>Alabama</w:t>
      </w:r>
      <w:r>
        <w:t>)</w:t>
      </w:r>
      <w:r w:rsidRPr="00077C2F">
        <w:t xml:space="preserve">, 2 </w:t>
      </w:r>
      <w:r>
        <w:t>(</w:t>
      </w:r>
      <w:r w:rsidRPr="00077C2F">
        <w:t>Alaska</w:t>
      </w:r>
      <w:r>
        <w:t>)</w:t>
      </w:r>
      <w:r w:rsidRPr="00077C2F">
        <w:t xml:space="preserve">, 7 </w:t>
      </w:r>
      <w:r>
        <w:t>(</w:t>
      </w:r>
      <w:r w:rsidRPr="00077C2F">
        <w:t>Colorado</w:t>
      </w:r>
      <w:r>
        <w:t>)</w:t>
      </w:r>
      <w:r w:rsidRPr="00077C2F">
        <w:t xml:space="preserve">, 8 </w:t>
      </w:r>
      <w:r>
        <w:t>(</w:t>
      </w:r>
      <w:r w:rsidRPr="00077C2F">
        <w:t>New York – Metropolitan</w:t>
      </w:r>
      <w:r>
        <w:t>)</w:t>
      </w:r>
      <w:r w:rsidRPr="00077C2F">
        <w:t xml:space="preserve">, 10 </w:t>
      </w:r>
      <w:r>
        <w:t>(</w:t>
      </w:r>
      <w:r w:rsidRPr="00077C2F">
        <w:t>Georgia</w:t>
      </w:r>
      <w:r>
        <w:t>)</w:t>
      </w:r>
      <w:r w:rsidRPr="00077C2F">
        <w:t xml:space="preserve">, 11 </w:t>
      </w:r>
      <w:r>
        <w:t>(</w:t>
      </w:r>
      <w:r w:rsidRPr="00077C2F">
        <w:t>Hawaii</w:t>
      </w:r>
      <w:r>
        <w:t>)</w:t>
      </w:r>
      <w:r w:rsidRPr="00077C2F">
        <w:t xml:space="preserve">, 12 </w:t>
      </w:r>
      <w:r>
        <w:t>(</w:t>
      </w:r>
      <w:r w:rsidRPr="00077C2F">
        <w:t>Idaho</w:t>
      </w:r>
      <w:r>
        <w:t>)</w:t>
      </w:r>
      <w:r w:rsidRPr="00077C2F">
        <w:t xml:space="preserve">, 13 </w:t>
      </w:r>
      <w:r>
        <w:t>(</w:t>
      </w:r>
      <w:r w:rsidRPr="00077C2F">
        <w:t>Illinois</w:t>
      </w:r>
      <w:r>
        <w:t>)</w:t>
      </w:r>
      <w:r w:rsidRPr="00077C2F">
        <w:t xml:space="preserve">, 14 </w:t>
      </w:r>
      <w:r>
        <w:t>(</w:t>
      </w:r>
      <w:r w:rsidRPr="00077C2F">
        <w:t>Indiana</w:t>
      </w:r>
      <w:r>
        <w:t>)</w:t>
      </w:r>
      <w:r w:rsidRPr="00077C2F">
        <w:t xml:space="preserve">, 15 </w:t>
      </w:r>
      <w:r>
        <w:t>(</w:t>
      </w:r>
      <w:r w:rsidRPr="00077C2F">
        <w:t>Iowa</w:t>
      </w:r>
      <w:r>
        <w:t>)</w:t>
      </w:r>
      <w:r w:rsidRPr="00077C2F">
        <w:t xml:space="preserve">, 16 </w:t>
      </w:r>
      <w:r>
        <w:t>(</w:t>
      </w:r>
      <w:r w:rsidRPr="00077C2F">
        <w:t>Kansas</w:t>
      </w:r>
      <w:r>
        <w:t>)</w:t>
      </w:r>
      <w:r w:rsidRPr="00077C2F">
        <w:t xml:space="preserve">, 17 </w:t>
      </w:r>
      <w:r>
        <w:t>(</w:t>
      </w:r>
      <w:r w:rsidRPr="00077C2F">
        <w:t>Kentucky</w:t>
      </w:r>
      <w:r>
        <w:t>)</w:t>
      </w:r>
      <w:r w:rsidRPr="00077C2F">
        <w:t xml:space="preserve">, 18 </w:t>
      </w:r>
      <w:r>
        <w:t>(</w:t>
      </w:r>
      <w:r w:rsidRPr="00077C2F">
        <w:t>Louisiana</w:t>
      </w:r>
      <w:r>
        <w:t>)</w:t>
      </w:r>
      <w:r w:rsidRPr="00077C2F">
        <w:t xml:space="preserve">, 19 </w:t>
      </w:r>
      <w:r>
        <w:t>(</w:t>
      </w:r>
      <w:r w:rsidRPr="00077C2F">
        <w:t>New England</w:t>
      </w:r>
      <w:r>
        <w:t>)</w:t>
      </w:r>
      <w:r w:rsidRPr="00077C2F">
        <w:t xml:space="preserve">, </w:t>
      </w:r>
      <w:r>
        <w:t>20</w:t>
      </w:r>
      <w:r w:rsidRPr="00077C2F">
        <w:t xml:space="preserve"> </w:t>
      </w:r>
      <w:r>
        <w:t>(</w:t>
      </w:r>
      <w:r w:rsidRPr="00077C2F">
        <w:t>Maryland, Washington, DC, and Virginia – Northern</w:t>
      </w:r>
      <w:r>
        <w:t>)</w:t>
      </w:r>
      <w:r w:rsidRPr="00077C2F">
        <w:t xml:space="preserve">, 21 </w:t>
      </w:r>
      <w:r>
        <w:t>(</w:t>
      </w:r>
      <w:r w:rsidRPr="00077C2F">
        <w:t>Michigan</w:t>
      </w:r>
      <w:r>
        <w:t>)</w:t>
      </w:r>
      <w:r w:rsidRPr="00077C2F">
        <w:t xml:space="preserve">, 22 </w:t>
      </w:r>
      <w:r>
        <w:t>(</w:t>
      </w:r>
      <w:r w:rsidRPr="00077C2F">
        <w:t>Minnesota</w:t>
      </w:r>
      <w:r>
        <w:t>)</w:t>
      </w:r>
      <w:r w:rsidRPr="00077C2F">
        <w:t xml:space="preserve">, 23 </w:t>
      </w:r>
      <w:r>
        <w:t>(</w:t>
      </w:r>
      <w:r w:rsidRPr="00077C2F">
        <w:t>Mississippi</w:t>
      </w:r>
      <w:r>
        <w:t>)</w:t>
      </w:r>
      <w:r w:rsidRPr="00077C2F">
        <w:t xml:space="preserve">, 24 </w:t>
      </w:r>
      <w:r>
        <w:t>(</w:t>
      </w:r>
      <w:r w:rsidRPr="00077C2F">
        <w:t>Missouri</w:t>
      </w:r>
      <w:r>
        <w:t>)</w:t>
      </w:r>
      <w:r w:rsidRPr="00077C2F">
        <w:t xml:space="preserve">, 25 </w:t>
      </w:r>
      <w:r>
        <w:t>(</w:t>
      </w:r>
      <w:r w:rsidRPr="00077C2F">
        <w:t>Montana</w:t>
      </w:r>
      <w:r>
        <w:t>)</w:t>
      </w:r>
      <w:r w:rsidRPr="00077C2F">
        <w:t xml:space="preserve">, 26 </w:t>
      </w:r>
      <w:r>
        <w:t>(</w:t>
      </w:r>
      <w:r w:rsidRPr="00077C2F">
        <w:t>Nebraska</w:t>
      </w:r>
      <w:r>
        <w:t>)</w:t>
      </w:r>
      <w:r w:rsidRPr="00077C2F">
        <w:t xml:space="preserve">, 28 </w:t>
      </w:r>
      <w:r>
        <w:t>(</w:t>
      </w:r>
      <w:r w:rsidRPr="00077C2F">
        <w:t>New Jersey, Pennsylvania, and Delaware</w:t>
      </w:r>
      <w:r>
        <w:t>)</w:t>
      </w:r>
      <w:r w:rsidRPr="00077C2F">
        <w:t xml:space="preserve">, 30 </w:t>
      </w:r>
      <w:r>
        <w:t>(</w:t>
      </w:r>
      <w:r w:rsidRPr="00077C2F">
        <w:t>New York – Albany</w:t>
      </w:r>
      <w:r>
        <w:t>)</w:t>
      </w:r>
      <w:r w:rsidRPr="00077C2F">
        <w:t xml:space="preserve">, </w:t>
      </w:r>
      <w:r>
        <w:t>31</w:t>
      </w:r>
      <w:r w:rsidRPr="00077C2F">
        <w:t xml:space="preserve"> </w:t>
      </w:r>
      <w:r>
        <w:t>(</w:t>
      </w:r>
      <w:r w:rsidRPr="00077C2F">
        <w:t>North Carolina</w:t>
      </w:r>
      <w:r>
        <w:t>)</w:t>
      </w:r>
      <w:r w:rsidRPr="00077C2F">
        <w:t xml:space="preserve">, 32 </w:t>
      </w:r>
      <w:r>
        <w:t>(</w:t>
      </w:r>
      <w:r w:rsidRPr="00077C2F">
        <w:t>North Dakota</w:t>
      </w:r>
      <w:r>
        <w:t>)</w:t>
      </w:r>
      <w:r w:rsidRPr="00077C2F">
        <w:t xml:space="preserve">, 35 </w:t>
      </w:r>
      <w:r>
        <w:t>(</w:t>
      </w:r>
      <w:r w:rsidRPr="00077C2F">
        <w:t>Oregon</w:t>
      </w:r>
      <w:r>
        <w:t>)</w:t>
      </w:r>
      <w:r w:rsidRPr="00077C2F">
        <w:t xml:space="preserve">, 36 </w:t>
      </w:r>
      <w:r>
        <w:t>(</w:t>
      </w:r>
      <w:r w:rsidRPr="00077C2F">
        <w:t>Pennsylvania</w:t>
      </w:r>
      <w:r>
        <w:t>)</w:t>
      </w:r>
      <w:r w:rsidRPr="00077C2F">
        <w:t xml:space="preserve">, 37 </w:t>
      </w:r>
      <w:r>
        <w:t>(</w:t>
      </w:r>
      <w:r w:rsidRPr="00077C2F">
        <w:t>South Carolina</w:t>
      </w:r>
      <w:r>
        <w:t>)</w:t>
      </w:r>
      <w:r w:rsidRPr="00077C2F">
        <w:t xml:space="preserve">, 38 </w:t>
      </w:r>
      <w:r>
        <w:t>(</w:t>
      </w:r>
      <w:r w:rsidRPr="00077C2F">
        <w:t>South Dakota</w:t>
      </w:r>
      <w:r>
        <w:t>)</w:t>
      </w:r>
      <w:r w:rsidRPr="00077C2F">
        <w:t xml:space="preserve">, 39 </w:t>
      </w:r>
      <w:r>
        <w:t>(</w:t>
      </w:r>
      <w:r w:rsidRPr="00077C2F">
        <w:t>Tennessee</w:t>
      </w:r>
      <w:r>
        <w:t>)</w:t>
      </w:r>
      <w:r w:rsidRPr="00077C2F">
        <w:t xml:space="preserve">, 41 </w:t>
      </w:r>
      <w:r>
        <w:t>(</w:t>
      </w:r>
      <w:r w:rsidRPr="00077C2F">
        <w:t>Utah</w:t>
      </w:r>
      <w:r>
        <w:t>)</w:t>
      </w:r>
      <w:r w:rsidRPr="00077C2F">
        <w:t xml:space="preserve">, 42 </w:t>
      </w:r>
      <w:r>
        <w:t>(</w:t>
      </w:r>
      <w:r w:rsidRPr="00077C2F">
        <w:t>Virginia</w:t>
      </w:r>
      <w:r>
        <w:t>)</w:t>
      </w:r>
      <w:r w:rsidRPr="00077C2F">
        <w:t xml:space="preserve">, 44 </w:t>
      </w:r>
      <w:r>
        <w:t>(</w:t>
      </w:r>
      <w:r w:rsidRPr="00077C2F">
        <w:t>West Virginia</w:t>
      </w:r>
      <w:r>
        <w:t>)</w:t>
      </w:r>
      <w:r w:rsidRPr="00077C2F">
        <w:t xml:space="preserve">, 45 </w:t>
      </w:r>
      <w:r>
        <w:t>(</w:t>
      </w:r>
      <w:r w:rsidRPr="00077C2F">
        <w:t>Wisconsin</w:t>
      </w:r>
      <w:r>
        <w:t>)</w:t>
      </w:r>
      <w:r w:rsidRPr="00077C2F">
        <w:t xml:space="preserve">, 46 </w:t>
      </w:r>
      <w:r>
        <w:t>(</w:t>
      </w:r>
      <w:r w:rsidRPr="00077C2F">
        <w:t>Wyoming</w:t>
      </w:r>
      <w:r>
        <w:t>)</w:t>
      </w:r>
      <w:r w:rsidRPr="00077C2F">
        <w:t xml:space="preserve">, 47 </w:t>
      </w:r>
      <w:r>
        <w:t>(</w:t>
      </w:r>
      <w:r w:rsidRPr="00077C2F">
        <w:t>Puerto Rico</w:t>
      </w:r>
      <w:r>
        <w:t>)</w:t>
      </w:r>
      <w:r w:rsidRPr="00077C2F">
        <w:t xml:space="preserve">, 48 </w:t>
      </w:r>
      <w:r>
        <w:t>(</w:t>
      </w:r>
      <w:r w:rsidRPr="00077C2F">
        <w:t>U.S. Virgin Islands</w:t>
      </w:r>
      <w:r>
        <w:t>)</w:t>
      </w:r>
      <w:r w:rsidRPr="00077C2F">
        <w:t xml:space="preserve">, 51 </w:t>
      </w:r>
      <w:r>
        <w:t>(</w:t>
      </w:r>
      <w:r w:rsidRPr="00077C2F">
        <w:t>Texas – Houston</w:t>
      </w:r>
      <w:r>
        <w:t>)</w:t>
      </w:r>
      <w:r w:rsidRPr="00077C2F">
        <w:t xml:space="preserve">, 54 </w:t>
      </w:r>
      <w:r>
        <w:t>(</w:t>
      </w:r>
      <w:r w:rsidRPr="00077C2F">
        <w:t>Chicago – Metropolitan</w:t>
      </w:r>
      <w:r>
        <w:t>)</w:t>
      </w:r>
      <w:r w:rsidRPr="00077C2F">
        <w:t xml:space="preserve">, 55 </w:t>
      </w:r>
      <w:r>
        <w:t>(</w:t>
      </w:r>
      <w:r w:rsidRPr="00077C2F">
        <w:t>New York – Buffalo</w:t>
      </w:r>
      <w:r>
        <w:t>)</w:t>
      </w:r>
      <w:r w:rsidRPr="00077C2F">
        <w:t xml:space="preserve">, and </w:t>
      </w:r>
      <w:r>
        <w:t>64 (</w:t>
      </w:r>
      <w:r w:rsidRPr="00077C2F">
        <w:t>American Samoa</w:t>
      </w:r>
      <w:r>
        <w:t>)</w:t>
      </w:r>
      <w:r w:rsidRPr="00077C2F">
        <w:t xml:space="preserve">.  </w:t>
      </w:r>
    </w:p>
  </w:footnote>
  <w:footnote w:id="139">
    <w:p w:rsidR="00933418" w:rsidP="004974BC">
      <w:pPr>
        <w:pStyle w:val="FootnoteText"/>
      </w:pPr>
      <w:r>
        <w:rPr>
          <w:rStyle w:val="FootnoteReference"/>
        </w:rPr>
        <w:footnoteRef/>
      </w:r>
      <w:r>
        <w:t xml:space="preserve"> </w:t>
      </w:r>
      <w:r>
        <w:rPr>
          <w:color w:val="252222"/>
        </w:rPr>
        <w:t xml:space="preserve">To date, EB/GB channels have been made available for licensing in 20, generally less populated, NPSPAC regions.  </w:t>
      </w:r>
      <w:r>
        <w:rPr>
          <w:i/>
          <w:iCs/>
          <w:color w:val="242021"/>
        </w:rPr>
        <w:t xml:space="preserve">See </w:t>
      </w:r>
      <w:r w:rsidRPr="00346E22">
        <w:rPr>
          <w:i/>
          <w:color w:val="242021"/>
        </w:rPr>
        <w:t>Public Safety and Homeland Security Bureau and Wireless</w:t>
      </w:r>
      <w:r w:rsidRPr="00346E22">
        <w:rPr>
          <w:rFonts w:ascii="TimesNewRoman" w:hAnsi="TimesNewRoman" w:cs="TimesNewRoman"/>
          <w:i/>
          <w:color w:val="242021"/>
        </w:rPr>
        <w:t xml:space="preserve"> </w:t>
      </w:r>
      <w:r w:rsidRPr="00346E22">
        <w:rPr>
          <w:i/>
          <w:color w:val="242021"/>
        </w:rPr>
        <w:t>Telecommunications Bureau Announce the Completion of 800 MHz Band Reconfiguration in Certain NPSPAC</w:t>
      </w:r>
      <w:r>
        <w:rPr>
          <w:i/>
          <w:color w:val="242021"/>
        </w:rPr>
        <w:t xml:space="preserve"> </w:t>
      </w:r>
      <w:r w:rsidRPr="00346E22">
        <w:rPr>
          <w:i/>
          <w:color w:val="242021"/>
        </w:rPr>
        <w:t>Regions</w:t>
      </w:r>
      <w:r w:rsidRPr="00346E22">
        <w:rPr>
          <w:color w:val="242021"/>
        </w:rPr>
        <w:t xml:space="preserve">, </w:t>
      </w:r>
      <w:r w:rsidRPr="00346E22">
        <w:rPr>
          <w:iCs/>
          <w:color w:val="242021"/>
        </w:rPr>
        <w:t>Public Notice</w:t>
      </w:r>
      <w:r w:rsidRPr="00346E22">
        <w:rPr>
          <w:color w:val="242021"/>
        </w:rPr>
        <w:t xml:space="preserve">, 27 FCC Rcd 14775, 14780 (PSHSB/WTB 2012); </w:t>
      </w:r>
      <w:r w:rsidRPr="00346E22">
        <w:rPr>
          <w:i/>
          <w:color w:val="242021"/>
        </w:rPr>
        <w:t>Public Safety and Homeland Security Bureau and Wireless Telecommunications Bureau Announce the Completion of 800 MHz Band Reconfiguration in Certain NPSPAC Regions and the Availability of Additional Sprint Vacated Channels</w:t>
      </w:r>
      <w:r w:rsidRPr="00346E22">
        <w:rPr>
          <w:color w:val="242021"/>
        </w:rPr>
        <w:t>, Public Notice, 29 FCC Rcd 16290</w:t>
      </w:r>
      <w:r>
        <w:rPr>
          <w:color w:val="242021"/>
        </w:rPr>
        <w:t>, 16295</w:t>
      </w:r>
      <w:r w:rsidRPr="00346E22">
        <w:rPr>
          <w:color w:val="242021"/>
        </w:rPr>
        <w:t xml:space="preserve"> (PSHSB/WTB 2014).</w:t>
      </w:r>
      <w:r>
        <w:rPr>
          <w:color w:val="242021"/>
        </w:rPr>
        <w:t xml:space="preserve">  Licensing of EB/GB channels in another 21 NPSPAC regions where rebanding is complete has been deferred pending </w:t>
      </w:r>
      <w:r w:rsidRPr="0023019C">
        <w:t>the</w:t>
      </w:r>
      <w:r>
        <w:rPr>
          <w:color w:val="242021"/>
        </w:rPr>
        <w:t xml:space="preserve"> resolution of </w:t>
      </w:r>
      <w:r>
        <w:rPr>
          <w:i/>
          <w:color w:val="242021"/>
        </w:rPr>
        <w:t>PLMR Access</w:t>
      </w:r>
      <w:r>
        <w:rPr>
          <w:color w:val="242021"/>
        </w:rPr>
        <w:t xml:space="preserve"> proceeding.  </w:t>
      </w:r>
      <w:r>
        <w:rPr>
          <w:i/>
          <w:color w:val="242021"/>
        </w:rPr>
        <w:t xml:space="preserve">See Public Safety and Homeland Security Bureau and Wireless Telecommunications Bureau Announce the Completion of 800 MHz Band Reconfiguration in Certain NPSPAC Regions and the Availability of Additional Sprint Vacated Channels, </w:t>
      </w:r>
      <w:r w:rsidRPr="00207F68">
        <w:t>Public Notice</w:t>
      </w:r>
      <w:r w:rsidRPr="00346E22">
        <w:rPr>
          <w:color w:val="242021"/>
        </w:rPr>
        <w:t>,</w:t>
      </w:r>
      <w:r>
        <w:rPr>
          <w:color w:val="242021"/>
        </w:rPr>
        <w:t xml:space="preserve"> 31 FCC Rcd 12891, 12895-97 (PSHSB/WTB 2016).</w:t>
      </w:r>
    </w:p>
  </w:footnote>
  <w:footnote w:id="140">
    <w:p w:rsidR="00933418" w:rsidP="004974BC">
      <w:pPr>
        <w:pStyle w:val="FootnoteText"/>
      </w:pPr>
      <w:r>
        <w:rPr>
          <w:rStyle w:val="FootnoteReference"/>
        </w:rPr>
        <w:footnoteRef/>
      </w:r>
      <w:r>
        <w:t xml:space="preserve"> 47 CFR § 90.7.</w:t>
      </w:r>
    </w:p>
  </w:footnote>
  <w:footnote w:id="141">
    <w:p w:rsidR="00933418" w:rsidP="004974BC">
      <w:pPr>
        <w:pStyle w:val="FootnoteText"/>
      </w:pPr>
      <w:r>
        <w:rPr>
          <w:rStyle w:val="FootnoteReference"/>
        </w:rPr>
        <w:footnoteRef/>
      </w:r>
      <w:r>
        <w:t xml:space="preserve"> </w:t>
      </w:r>
      <w:r>
        <w:rPr>
          <w:i/>
        </w:rPr>
        <w:t xml:space="preserve">See </w:t>
      </w:r>
      <w:r>
        <w:t xml:space="preserve">47 CFR § 90.219(d)(3); </w:t>
      </w:r>
      <w:r>
        <w:rPr>
          <w:i/>
        </w:rPr>
        <w:t xml:space="preserve">see also </w:t>
      </w:r>
      <w:r w:rsidRPr="00205D76">
        <w:rPr>
          <w:i/>
        </w:rPr>
        <w:t>Amendment of Parts 1, 2, 22, 24, 27, 90 and 95 of the Commission’s Rules to Improve Wireless Coverage Through the Use of Signal Boosters</w:t>
      </w:r>
      <w:r>
        <w:t xml:space="preserve">, </w:t>
      </w:r>
      <w:r w:rsidRPr="00205D76">
        <w:t>Report and Order</w:t>
      </w:r>
      <w:r>
        <w:t>, 28 FCC Rcd 1663, 1718, para. 153 (2013).</w:t>
      </w:r>
    </w:p>
  </w:footnote>
  <w:footnote w:id="142">
    <w:p w:rsidR="00933418" w:rsidP="004974BC">
      <w:pPr>
        <w:pStyle w:val="FootnoteText"/>
      </w:pPr>
      <w:r>
        <w:rPr>
          <w:rStyle w:val="FootnoteReference"/>
        </w:rPr>
        <w:footnoteRef/>
      </w:r>
      <w:r>
        <w:t xml:space="preserve"> </w:t>
      </w:r>
      <w:r>
        <w:rPr>
          <w:i/>
        </w:rPr>
        <w:t xml:space="preserve">See </w:t>
      </w:r>
      <w:r>
        <w:t xml:space="preserve">47 CFR §§ 90.35(b)(3), 90.261(f); </w:t>
      </w:r>
      <w:r>
        <w:rPr>
          <w:i/>
        </w:rPr>
        <w:t xml:space="preserve">see also </w:t>
      </w:r>
      <w:r w:rsidRPr="00205D76">
        <w:rPr>
          <w:i/>
        </w:rPr>
        <w:t>Amendment of Part 90 Concerning Secondary Fixed Operations in the 450-470 MHz Band</w:t>
      </w:r>
      <w:r>
        <w:t xml:space="preserve">, </w:t>
      </w:r>
      <w:r w:rsidRPr="00205D76">
        <w:t>Notice of Proposed Rule Making</w:t>
      </w:r>
      <w:r>
        <w:t>, 6 FCC Rcd 1800, 1802, n.22 (1991).</w:t>
      </w:r>
    </w:p>
  </w:footnote>
  <w:footnote w:id="143">
    <w:p w:rsidR="00933418" w:rsidP="004974BC">
      <w:pPr>
        <w:pStyle w:val="FootnoteText"/>
      </w:pPr>
      <w:r>
        <w:rPr>
          <w:rStyle w:val="FootnoteReference"/>
        </w:rPr>
        <w:footnoteRef/>
      </w:r>
      <w:r>
        <w:t xml:space="preserve"> </w:t>
      </w:r>
      <w:r>
        <w:rPr>
          <w:i/>
        </w:rPr>
        <w:t xml:space="preserve">See </w:t>
      </w:r>
      <w:r>
        <w:rPr>
          <w:i/>
          <w:szCs w:val="22"/>
        </w:rPr>
        <w:t xml:space="preserve">PLMR Access </w:t>
      </w:r>
      <w:r>
        <w:rPr>
          <w:i/>
        </w:rPr>
        <w:t>NPRM</w:t>
      </w:r>
      <w:r>
        <w:t xml:space="preserve">, 31 FCC Rcd at 9440, para. 27.  </w:t>
      </w:r>
    </w:p>
  </w:footnote>
  <w:footnote w:id="144">
    <w:p w:rsidR="00933418" w:rsidP="004974BC">
      <w:pPr>
        <w:pStyle w:val="FootnoteText"/>
      </w:pPr>
      <w:r>
        <w:rPr>
          <w:rStyle w:val="FootnoteReference"/>
        </w:rPr>
        <w:footnoteRef/>
      </w:r>
      <w:r>
        <w:t xml:space="preserve"> </w:t>
      </w:r>
      <w:r>
        <w:rPr>
          <w:i/>
        </w:rPr>
        <w:t>See id</w:t>
      </w:r>
      <w:r>
        <w:t xml:space="preserve">.    </w:t>
      </w:r>
    </w:p>
  </w:footnote>
  <w:footnote w:id="145">
    <w:p w:rsidR="00933418" w:rsidP="004974BC">
      <w:pPr>
        <w:pStyle w:val="FootnoteText"/>
      </w:pPr>
      <w:r>
        <w:rPr>
          <w:rStyle w:val="FootnoteReference"/>
        </w:rPr>
        <w:footnoteRef/>
      </w:r>
      <w:r>
        <w:t xml:space="preserve"> </w:t>
      </w:r>
      <w:r w:rsidRPr="00103916">
        <w:rPr>
          <w:i/>
        </w:rPr>
        <w:t>See</w:t>
      </w:r>
      <w:r>
        <w:rPr>
          <w:i/>
        </w:rPr>
        <w:t xml:space="preserve"> </w:t>
      </w:r>
      <w:r w:rsidRPr="00780491">
        <w:t>AAR</w:t>
      </w:r>
      <w:r>
        <w:t xml:space="preserve"> Comments at 2-3; EWA 16-261 Comments at 10; LMCC 16-261 Comments at 7; NAM/MRFAC at 3-4; NPSTC 16-261 Comments at 10.</w:t>
      </w:r>
    </w:p>
  </w:footnote>
  <w:footnote w:id="146">
    <w:p w:rsidR="00933418" w:rsidRPr="00CB471B" w:rsidP="004974BC">
      <w:pPr>
        <w:pStyle w:val="FootnoteText"/>
      </w:pPr>
      <w:r>
        <w:rPr>
          <w:rStyle w:val="FootnoteReference"/>
        </w:rPr>
        <w:footnoteRef/>
      </w:r>
      <w:r>
        <w:t xml:space="preserve"> </w:t>
      </w:r>
      <w:r>
        <w:rPr>
          <w:i/>
        </w:rPr>
        <w:t>See</w:t>
      </w:r>
      <w:r>
        <w:t xml:space="preserve"> AAR Comments at 5-6.</w:t>
      </w:r>
    </w:p>
  </w:footnote>
  <w:footnote w:id="147">
    <w:p w:rsidR="00933418" w:rsidRPr="008A091F" w:rsidP="004974BC">
      <w:pPr>
        <w:pStyle w:val="FootnoteText"/>
        <w:rPr>
          <w:i/>
        </w:rPr>
      </w:pPr>
      <w:r>
        <w:rPr>
          <w:rStyle w:val="FootnoteReference"/>
        </w:rPr>
        <w:footnoteRef/>
      </w:r>
      <w:r w:rsidRPr="00543FB5">
        <w:t xml:space="preserve"> </w:t>
      </w:r>
      <w:r>
        <w:rPr>
          <w:i/>
        </w:rPr>
        <w:t xml:space="preserve">See </w:t>
      </w:r>
      <w:r>
        <w:t>NAM/MRFAC Comments at 3; NAM/MRFAC Reply Comments at 1-2.</w:t>
      </w:r>
    </w:p>
  </w:footnote>
  <w:footnote w:id="148">
    <w:p w:rsidR="00933418" w:rsidP="004974BC">
      <w:pPr>
        <w:pStyle w:val="FootnoteText"/>
      </w:pPr>
      <w:r>
        <w:rPr>
          <w:rStyle w:val="FootnoteReference"/>
        </w:rPr>
        <w:footnoteRef/>
      </w:r>
      <w:r>
        <w:t xml:space="preserve"> </w:t>
      </w:r>
      <w:r>
        <w:rPr>
          <w:i/>
        </w:rPr>
        <w:t xml:space="preserve">See </w:t>
      </w:r>
      <w:r>
        <w:rPr>
          <w:i/>
          <w:szCs w:val="22"/>
        </w:rPr>
        <w:t xml:space="preserve">PLMR Access </w:t>
      </w:r>
      <w:r>
        <w:rPr>
          <w:i/>
        </w:rPr>
        <w:t>NPRM</w:t>
      </w:r>
      <w:r>
        <w:t>, 31 FCC Rcd at 9443, para. 36.</w:t>
      </w:r>
    </w:p>
  </w:footnote>
  <w:footnote w:id="149">
    <w:p w:rsidR="00933418" w:rsidRPr="00B543F7" w:rsidP="004974BC">
      <w:pPr>
        <w:pStyle w:val="FootnoteText"/>
      </w:pPr>
      <w:r>
        <w:rPr>
          <w:rStyle w:val="FootnoteReference"/>
        </w:rPr>
        <w:footnoteRef/>
      </w:r>
      <w:r>
        <w:t xml:space="preserve"> </w:t>
      </w:r>
      <w:r>
        <w:rPr>
          <w:i/>
        </w:rPr>
        <w:t>See</w:t>
      </w:r>
      <w:r>
        <w:t xml:space="preserve">, </w:t>
      </w:r>
      <w:r>
        <w:rPr>
          <w:i/>
        </w:rPr>
        <w:t>e.g.</w:t>
      </w:r>
      <w:r>
        <w:t xml:space="preserve">, </w:t>
      </w:r>
      <w:r>
        <w:rPr>
          <w:i/>
        </w:rPr>
        <w:t>Amendment of Parts 1, 21, 73, 74 and 101 of the Commission’s Rules to Facilitate the Provision of Fixed and Mobile Broadband Access, Educational and Other Advanced Services in the 2150-2162 and 2500-2690 MHz Bands</w:t>
      </w:r>
      <w:r>
        <w:t>, Notice of Proposed Rulemaking, FCC 18-59, para. 23 (May 10, 2018).</w:t>
      </w:r>
    </w:p>
  </w:footnote>
  <w:footnote w:id="150">
    <w:p w:rsidR="00933418" w:rsidRPr="00C57D73" w:rsidP="004974BC">
      <w:pPr>
        <w:pStyle w:val="FootnoteText"/>
      </w:pPr>
      <w:r>
        <w:rPr>
          <w:rStyle w:val="FootnoteReference"/>
        </w:rPr>
        <w:footnoteRef/>
      </w:r>
      <w:r>
        <w:t xml:space="preserve"> </w:t>
      </w:r>
      <w:r>
        <w:rPr>
          <w:i/>
          <w:iCs/>
        </w:rPr>
        <w:t xml:space="preserve">See </w:t>
      </w:r>
      <w:r>
        <w:t xml:space="preserve">47 CFR § 90.159(b), (b)(6).  This conditional authority applies only to applications that meet the following requirements:  the proposed station location is south of Line A and west of Line C; the proposed antenna structure has previously been determined by the Federal Aviation Administration to pose no hazard to aviation safety, or the proposed structure height does not exceed 6.1 meters above ground level or above an existing man-made structure; grant of the application does not require a waiver of the Commission’s rules; the proposed facility will not have a significant environmental effect; and the proposed station is not in a quiet zone.  47 CFR § 90.159(b)(1)-(5).  </w:t>
      </w:r>
    </w:p>
  </w:footnote>
  <w:footnote w:id="151">
    <w:p w:rsidR="00933418" w:rsidP="004974BC">
      <w:pPr>
        <w:pStyle w:val="FootnoteText"/>
      </w:pPr>
      <w:r>
        <w:rPr>
          <w:rStyle w:val="FootnoteReference"/>
        </w:rPr>
        <w:footnoteRef/>
      </w:r>
      <w:r>
        <w:t xml:space="preserve"> </w:t>
      </w:r>
      <w:r w:rsidRPr="005E3191">
        <w:rPr>
          <w:i/>
        </w:rPr>
        <w:t>Amendment of Part 90 of the Commission</w:t>
      </w:r>
      <w:r>
        <w:rPr>
          <w:i/>
        </w:rPr>
        <w:t>’</w:t>
      </w:r>
      <w:r w:rsidRPr="005E3191">
        <w:rPr>
          <w:i/>
        </w:rPr>
        <w:t>s Rules to Implement a Conditional Authorization Procedure for Proposed Private Land Mobile Radio Service Stations</w:t>
      </w:r>
      <w:r w:rsidRPr="005E3191">
        <w:t xml:space="preserve">, </w:t>
      </w:r>
      <w:r w:rsidRPr="005E3191">
        <w:rPr>
          <w:iCs/>
        </w:rPr>
        <w:t xml:space="preserve">Report and Order, </w:t>
      </w:r>
      <w:r w:rsidRPr="005E3191">
        <w:t>4 FCC Rcd 8280, 828</w:t>
      </w:r>
      <w:r>
        <w:t>2-8</w:t>
      </w:r>
      <w:r w:rsidRPr="005E3191">
        <w:t>3, para. 25 (1989) (</w:t>
      </w:r>
      <w:r w:rsidRPr="005E3191">
        <w:rPr>
          <w:i/>
        </w:rPr>
        <w:t>Conditional Authorization Report and Order</w:t>
      </w:r>
      <w:r w:rsidRPr="005E3191">
        <w:t>)</w:t>
      </w:r>
      <w:r>
        <w:t>.</w:t>
      </w:r>
    </w:p>
  </w:footnote>
  <w:footnote w:id="152">
    <w:p w:rsidR="00933418" w:rsidRPr="00804575" w:rsidP="004974BC">
      <w:pPr>
        <w:pStyle w:val="FootnoteText"/>
      </w:pPr>
      <w:r>
        <w:rPr>
          <w:rStyle w:val="FootnoteReference"/>
        </w:rPr>
        <w:footnoteRef/>
      </w:r>
      <w:r>
        <w:t xml:space="preserve"> </w:t>
      </w:r>
      <w:r>
        <w:rPr>
          <w:i/>
        </w:rPr>
        <w:t xml:space="preserve">See </w:t>
      </w:r>
      <w:r>
        <w:t>Petition of the Land Mobile Communications Council</w:t>
      </w:r>
      <w:r w:rsidRPr="00736CC5">
        <w:t xml:space="preserve"> </w:t>
      </w:r>
      <w:r>
        <w:t>for Rulemaking, RM-11722, at 4-6 (filed May 15, 2014).</w:t>
      </w:r>
    </w:p>
  </w:footnote>
  <w:footnote w:id="153">
    <w:p w:rsidR="00933418" w:rsidRPr="00DB1E2D" w:rsidP="004974BC">
      <w:pPr>
        <w:pStyle w:val="FootnoteText"/>
        <w:rPr>
          <w:i/>
        </w:rPr>
      </w:pPr>
      <w:r>
        <w:rPr>
          <w:rStyle w:val="FootnoteReference"/>
        </w:rPr>
        <w:footnoteRef/>
      </w:r>
      <w:r>
        <w:t xml:space="preserve"> </w:t>
      </w:r>
      <w:r>
        <w:rPr>
          <w:i/>
        </w:rPr>
        <w:t>See PLMR Access NPRM</w:t>
      </w:r>
      <w:r>
        <w:t>, 31 FCC Rcd at 9438, para. 18</w:t>
      </w:r>
      <w:r>
        <w:rPr>
          <w:i/>
        </w:rPr>
        <w:t>.</w:t>
      </w:r>
    </w:p>
  </w:footnote>
  <w:footnote w:id="154">
    <w:p w:rsidR="00933418" w:rsidRPr="00CD1051" w:rsidP="004974BC">
      <w:pPr>
        <w:pStyle w:val="FootnoteText"/>
      </w:pPr>
      <w:r>
        <w:rPr>
          <w:rStyle w:val="FootnoteReference"/>
        </w:rPr>
        <w:footnoteRef/>
      </w:r>
      <w:r>
        <w:t xml:space="preserve"> </w:t>
      </w:r>
      <w:r>
        <w:rPr>
          <w:i/>
        </w:rPr>
        <w:t>See id.</w:t>
      </w:r>
      <w:r>
        <w:t xml:space="preserve"> at 9438, paras. 18-19.</w:t>
      </w:r>
    </w:p>
  </w:footnote>
  <w:footnote w:id="155">
    <w:p w:rsidR="00933418" w:rsidP="004974BC">
      <w:pPr>
        <w:pStyle w:val="FootnoteText"/>
      </w:pPr>
      <w:r>
        <w:rPr>
          <w:rStyle w:val="FootnoteReference"/>
        </w:rPr>
        <w:footnoteRef/>
      </w:r>
      <w:r>
        <w:t xml:space="preserve"> </w:t>
      </w:r>
      <w:r>
        <w:rPr>
          <w:i/>
        </w:rPr>
        <w:t>See id.</w:t>
      </w:r>
      <w:r>
        <w:t xml:space="preserve"> at 9438-39, paras. 21-23.</w:t>
      </w:r>
    </w:p>
  </w:footnote>
  <w:footnote w:id="156">
    <w:p w:rsidR="00933418" w:rsidRPr="006E5DB6" w:rsidP="004974BC">
      <w:pPr>
        <w:pStyle w:val="FootnoteText"/>
      </w:pPr>
      <w:r>
        <w:rPr>
          <w:rStyle w:val="FootnoteReference"/>
        </w:rPr>
        <w:footnoteRef/>
      </w:r>
      <w:r>
        <w:t xml:space="preserve"> </w:t>
      </w:r>
      <w:r w:rsidRPr="001F1009">
        <w:rPr>
          <w:i/>
        </w:rPr>
        <w:t>See</w:t>
      </w:r>
      <w:r>
        <w:t xml:space="preserve"> AAR Comments at 6; APCO 16-261 Comments at 2; EWA 16-261 Comments at 9-10; State of Florida Comments at 1 (Dec. 5, 2016) (Florida 16-261 Comments); LMCC 16-261 Comments at 5; Motorola 16-261 Comments at 2-4; MRA </w:t>
      </w:r>
      <w:bookmarkStart w:id="63" w:name="_Hlk515982398"/>
      <w:r>
        <w:t xml:space="preserve">16-261 </w:t>
      </w:r>
      <w:bookmarkEnd w:id="63"/>
      <w:r>
        <w:t>Comments at 10; NAM/MRFAC Comments at 4; NPSTC 16-261 Comments at 4-5; National Regional Planning Council Comments at 2 (NRPC Comments);</w:t>
      </w:r>
      <w:r w:rsidRPr="00FC6837">
        <w:t xml:space="preserve"> </w:t>
      </w:r>
      <w:r>
        <w:t>UTC 16-261 Comments at 3-4.</w:t>
      </w:r>
    </w:p>
  </w:footnote>
  <w:footnote w:id="157">
    <w:p w:rsidR="00933418" w:rsidP="004974BC">
      <w:pPr>
        <w:pStyle w:val="FootnoteText"/>
      </w:pPr>
      <w:r>
        <w:rPr>
          <w:rStyle w:val="FootnoteReference"/>
        </w:rPr>
        <w:footnoteRef/>
      </w:r>
      <w:r>
        <w:t xml:space="preserve"> </w:t>
      </w:r>
      <w:r>
        <w:rPr>
          <w:i/>
        </w:rPr>
        <w:t xml:space="preserve">See </w:t>
      </w:r>
      <w:r>
        <w:t>APCO 16-261 Comments at 2; Florida 16-261 Comments at 1; LMCC 16-261 Comments at 6-7; NPSTC 16-261 Comments at 5; NRPC Comments at 2-3;</w:t>
      </w:r>
      <w:r w:rsidRPr="00FC6837">
        <w:t xml:space="preserve"> </w:t>
      </w:r>
      <w:r>
        <w:t>UTC 16-261 Comments at 3.</w:t>
      </w:r>
    </w:p>
  </w:footnote>
  <w:footnote w:id="158">
    <w:p w:rsidR="00933418" w:rsidRPr="009B47EA" w:rsidP="004974BC">
      <w:pPr>
        <w:pStyle w:val="FootnoteText"/>
      </w:pPr>
      <w:r>
        <w:rPr>
          <w:rStyle w:val="FootnoteReference"/>
        </w:rPr>
        <w:footnoteRef/>
      </w:r>
      <w:r>
        <w:t xml:space="preserve"> </w:t>
      </w:r>
      <w:r>
        <w:rPr>
          <w:i/>
        </w:rPr>
        <w:t xml:space="preserve">See </w:t>
      </w:r>
      <w:r>
        <w:t xml:space="preserve">Spectrum Act, </w:t>
      </w:r>
      <w:r w:rsidRPr="00F7450B">
        <w:t>Pub. L. No. 112-96, 126 Stat. 156</w:t>
      </w:r>
      <w:r>
        <w:t>.</w:t>
      </w:r>
    </w:p>
  </w:footnote>
  <w:footnote w:id="159">
    <w:p w:rsidR="00933418" w:rsidP="004974BC">
      <w:pPr>
        <w:pStyle w:val="FootnoteText"/>
      </w:pPr>
      <w:r>
        <w:rPr>
          <w:rStyle w:val="FootnoteReference"/>
        </w:rPr>
        <w:footnoteRef/>
      </w:r>
      <w:r>
        <w:t xml:space="preserve"> </w:t>
      </w:r>
      <w:r>
        <w:rPr>
          <w:i/>
        </w:rPr>
        <w:t>PLMR Access NPRM</w:t>
      </w:r>
      <w:r>
        <w:t>, 31 FCC Rcd at 9437-38, paras. 17-18.</w:t>
      </w:r>
    </w:p>
  </w:footnote>
  <w:footnote w:id="160">
    <w:p w:rsidR="00933418" w:rsidRPr="00C65897" w:rsidP="004974BC">
      <w:pPr>
        <w:pStyle w:val="FootnoteText"/>
      </w:pPr>
      <w:r>
        <w:rPr>
          <w:rStyle w:val="FootnoteReference"/>
        </w:rPr>
        <w:footnoteRef/>
      </w:r>
      <w:r>
        <w:t xml:space="preserve"> </w:t>
      </w:r>
      <w:r>
        <w:rPr>
          <w:i/>
        </w:rPr>
        <w:t xml:space="preserve">See </w:t>
      </w:r>
      <w:r>
        <w:t>APCO 16-261 Comments at 2; EWA 16-261 Comments at 10; LMCC 16-261 Comments at 6; NPSTC 16-261 Comments at 6; NRPC Comments at 3;</w:t>
      </w:r>
      <w:r w:rsidRPr="00FC6837">
        <w:t xml:space="preserve"> </w:t>
      </w:r>
      <w:r>
        <w:t>UTC 16-261 Comments at 4.  The 900 MHz band freeze was implemented after the comments were filed.</w:t>
      </w:r>
    </w:p>
  </w:footnote>
  <w:footnote w:id="161">
    <w:p w:rsidR="00933418" w:rsidRPr="00DB4648" w:rsidP="004974BC">
      <w:pPr>
        <w:pStyle w:val="FootnoteText"/>
        <w:rPr>
          <w:i/>
        </w:rPr>
      </w:pPr>
      <w:r>
        <w:rPr>
          <w:rStyle w:val="FootnoteReference"/>
        </w:rPr>
        <w:footnoteRef/>
      </w:r>
      <w:r>
        <w:t xml:space="preserve"> </w:t>
      </w:r>
      <w:r>
        <w:rPr>
          <w:i/>
        </w:rPr>
        <w:t>See 900 MHz Freeze Public Notice</w:t>
      </w:r>
      <w:r>
        <w:t>, DA 18-949.</w:t>
      </w:r>
    </w:p>
  </w:footnote>
  <w:footnote w:id="162">
    <w:p w:rsidR="00933418" w:rsidRPr="00623D4E" w:rsidP="004974BC">
      <w:pPr>
        <w:pStyle w:val="FootnoteText"/>
      </w:pPr>
      <w:r>
        <w:rPr>
          <w:rStyle w:val="FootnoteReference"/>
        </w:rPr>
        <w:footnoteRef/>
      </w:r>
      <w:r>
        <w:t xml:space="preserve"> </w:t>
      </w:r>
      <w:r>
        <w:rPr>
          <w:i/>
        </w:rPr>
        <w:t>See</w:t>
      </w:r>
      <w:r>
        <w:t xml:space="preserve"> LMCC 16-261 Comments at 5-6; </w:t>
      </w:r>
      <w:r>
        <w:rPr>
          <w:i/>
        </w:rPr>
        <w:t>see also</w:t>
      </w:r>
      <w:r w:rsidRPr="007F71D5">
        <w:t xml:space="preserve"> </w:t>
      </w:r>
      <w:r>
        <w:t>EWA 16-261 Comments at 10.</w:t>
      </w:r>
    </w:p>
  </w:footnote>
  <w:footnote w:id="163">
    <w:p w:rsidR="00933418" w:rsidP="004974BC">
      <w:pPr>
        <w:pStyle w:val="FootnoteText"/>
      </w:pPr>
      <w:r>
        <w:rPr>
          <w:rStyle w:val="FootnoteReference"/>
        </w:rPr>
        <w:footnoteRef/>
      </w:r>
      <w:r>
        <w:t xml:space="preserve"> </w:t>
      </w:r>
      <w:r>
        <w:rPr>
          <w:i/>
        </w:rPr>
        <w:t xml:space="preserve">See </w:t>
      </w:r>
      <w:r w:rsidRPr="00E534C8">
        <w:rPr>
          <w:i/>
        </w:rPr>
        <w:t>Conditional Authorization</w:t>
      </w:r>
      <w:r>
        <w:rPr>
          <w:i/>
        </w:rPr>
        <w:t xml:space="preserve"> Report and Order</w:t>
      </w:r>
      <w:r>
        <w:t xml:space="preserve">, 4 FCC Rcd at 8283, paras. 25-29 (citing 47 U.S.C. § 309).  It subsequently reaffirmed that conclusion.  </w:t>
      </w:r>
      <w:r>
        <w:rPr>
          <w:i/>
        </w:rPr>
        <w:t>See Implementation of Sections 3(n) and 332 of the Communications Act – Regulatory Treatment of Mobile Services; Amendment of Part 90 of the Commission’s Rules to Facilitate Development of SMR Systems in the 800 MHz Frequency Band; Amendment of Parts 2 and 90 of the Commission’s Rules to Provide for the Use of 200 Channels Outside the Designated Filing Areas in the 896-901 MHz and 935-940 MHz Band Allotted to the Specialized Mobile Radio Pool</w:t>
      </w:r>
      <w:r>
        <w:t>, Third Report and Order, 9 FCC Rcd 7988, 8089, para. 384 (1994) (</w:t>
      </w:r>
      <w:r w:rsidRPr="00BE6B72">
        <w:rPr>
          <w:i/>
        </w:rPr>
        <w:t>SMR Third Report and Order</w:t>
      </w:r>
      <w:r>
        <w:t>).</w:t>
      </w:r>
    </w:p>
  </w:footnote>
  <w:footnote w:id="164">
    <w:p w:rsidR="00933418" w:rsidRPr="004A0AA4" w:rsidP="004974BC">
      <w:pPr>
        <w:pStyle w:val="FootnoteText"/>
        <w:rPr>
          <w:i/>
        </w:rPr>
      </w:pPr>
      <w:r>
        <w:rPr>
          <w:rStyle w:val="FootnoteReference"/>
        </w:rPr>
        <w:footnoteRef/>
      </w:r>
      <w:r>
        <w:t xml:space="preserve"> </w:t>
      </w:r>
      <w:r>
        <w:rPr>
          <w:i/>
        </w:rPr>
        <w:t xml:space="preserve">See </w:t>
      </w:r>
      <w:r>
        <w:t xml:space="preserve">MRA 16-261 Comments at 10-13.  </w:t>
      </w:r>
    </w:p>
  </w:footnote>
  <w:footnote w:id="165">
    <w:p w:rsidR="00933418" w:rsidRPr="00033DF4" w:rsidP="004974BC">
      <w:pPr>
        <w:pStyle w:val="FootnoteText"/>
      </w:pPr>
      <w:r>
        <w:rPr>
          <w:rStyle w:val="FootnoteReference"/>
        </w:rPr>
        <w:footnoteRef/>
      </w:r>
      <w:r>
        <w:t xml:space="preserve"> </w:t>
      </w:r>
      <w:r>
        <w:rPr>
          <w:i/>
        </w:rPr>
        <w:t xml:space="preserve">See </w:t>
      </w:r>
      <w:r>
        <w:t>Florida 16-261 Comments at 2; LMCC 16-261 Comments at 7; UTC Reply Comments at 3 (Dec. 22, 2016).</w:t>
      </w:r>
    </w:p>
  </w:footnote>
  <w:footnote w:id="166">
    <w:p w:rsidR="00933418" w:rsidP="004974BC">
      <w:pPr>
        <w:pStyle w:val="FootnoteText"/>
      </w:pPr>
      <w:r>
        <w:rPr>
          <w:rStyle w:val="FootnoteReference"/>
        </w:rPr>
        <w:footnoteRef/>
      </w:r>
      <w:r>
        <w:t xml:space="preserve"> </w:t>
      </w:r>
      <w:r>
        <w:rPr>
          <w:i/>
        </w:rPr>
        <w:t>See PLMR Access NPRM</w:t>
      </w:r>
      <w:r>
        <w:t xml:space="preserve">, 31 FCC Rcd at 9439, para. 22 (citing 47 CFR § 90.159(d)).  </w:t>
      </w:r>
    </w:p>
  </w:footnote>
  <w:footnote w:id="167">
    <w:p w:rsidR="00933418" w:rsidP="004974BC">
      <w:pPr>
        <w:pStyle w:val="FootnoteText"/>
      </w:pPr>
      <w:r>
        <w:rPr>
          <w:rStyle w:val="FootnoteReference"/>
        </w:rPr>
        <w:footnoteRef/>
      </w:r>
      <w:r>
        <w:t xml:space="preserve"> Indeed, MRA’s arguments that change is needed are premised primarily on the operations of one licensee, whose licenses subsequently were revoked.  </w:t>
      </w:r>
      <w:r>
        <w:rPr>
          <w:i/>
        </w:rPr>
        <w:t>See Acumen Communications</w:t>
      </w:r>
      <w:r>
        <w:t>, Order of Revocation, 33 FCC Rcd 4 (EB 2018).</w:t>
      </w:r>
    </w:p>
  </w:footnote>
  <w:footnote w:id="168">
    <w:p w:rsidR="00933418" w:rsidP="004974BC">
      <w:pPr>
        <w:pStyle w:val="FootnoteText"/>
      </w:pPr>
      <w:r>
        <w:rPr>
          <w:rStyle w:val="FootnoteReference"/>
        </w:rPr>
        <w:footnoteRef/>
      </w:r>
      <w:r>
        <w:t xml:space="preserve"> </w:t>
      </w:r>
      <w:r>
        <w:rPr>
          <w:i/>
        </w:rPr>
        <w:t xml:space="preserve">See </w:t>
      </w:r>
      <w:r>
        <w:t>Florida 16-261 Comments at 2.</w:t>
      </w:r>
    </w:p>
  </w:footnote>
  <w:footnote w:id="169">
    <w:p w:rsidR="00933418" w:rsidRPr="00982108" w:rsidP="004974BC">
      <w:pPr>
        <w:pStyle w:val="FootnoteText"/>
      </w:pPr>
      <w:r>
        <w:rPr>
          <w:rStyle w:val="FootnoteReference"/>
        </w:rPr>
        <w:footnoteRef/>
      </w:r>
      <w:r>
        <w:t xml:space="preserve"> </w:t>
      </w:r>
      <w:r>
        <w:rPr>
          <w:i/>
        </w:rPr>
        <w:t xml:space="preserve">See </w:t>
      </w:r>
      <w:r>
        <w:t>LMCC 16-261 Comments at 7.</w:t>
      </w:r>
    </w:p>
  </w:footnote>
  <w:footnote w:id="170">
    <w:p w:rsidR="00933418" w:rsidRPr="00ED7821" w:rsidP="004974BC">
      <w:pPr>
        <w:pStyle w:val="FootnoteText"/>
      </w:pPr>
      <w:r>
        <w:rPr>
          <w:rStyle w:val="FootnoteReference"/>
        </w:rPr>
        <w:footnoteRef/>
      </w:r>
      <w:r>
        <w:t xml:space="preserve"> </w:t>
      </w:r>
      <w:r>
        <w:rPr>
          <w:i/>
        </w:rPr>
        <w:t xml:space="preserve">See </w:t>
      </w:r>
      <w:r w:rsidRPr="00E534C8">
        <w:rPr>
          <w:i/>
        </w:rPr>
        <w:t>Conditional Authorization</w:t>
      </w:r>
      <w:r>
        <w:rPr>
          <w:i/>
        </w:rPr>
        <w:t xml:space="preserve"> Report and Order</w:t>
      </w:r>
      <w:r>
        <w:t>, 4 FCC Rcd at 8281, n.16 (citing 47 U.S.C. § 309(f)).</w:t>
      </w:r>
    </w:p>
  </w:footnote>
  <w:footnote w:id="171">
    <w:p w:rsidR="00933418" w:rsidRPr="00737741" w:rsidP="004974BC">
      <w:pPr>
        <w:pStyle w:val="FootnoteText"/>
      </w:pPr>
      <w:r>
        <w:rPr>
          <w:rStyle w:val="FootnoteReference"/>
        </w:rPr>
        <w:footnoteRef/>
      </w:r>
      <w:r>
        <w:t xml:space="preserve"> </w:t>
      </w:r>
      <w:r>
        <w:rPr>
          <w:i/>
        </w:rPr>
        <w:t xml:space="preserve">See </w:t>
      </w:r>
      <w:r>
        <w:t>47 CFR § 1.931(b)(2) (setting forth the circumstances in which STA will be granted in the Private Wireless Services).</w:t>
      </w:r>
    </w:p>
  </w:footnote>
  <w:footnote w:id="172">
    <w:p w:rsidR="00933418" w:rsidRPr="001C13BA" w:rsidP="004974BC">
      <w:pPr>
        <w:pStyle w:val="FootnoteText"/>
      </w:pPr>
      <w:r>
        <w:rPr>
          <w:rStyle w:val="FootnoteReference"/>
        </w:rPr>
        <w:footnoteRef/>
      </w:r>
      <w:r>
        <w:t xml:space="preserve"> </w:t>
      </w:r>
      <w:r>
        <w:rPr>
          <w:i/>
        </w:rPr>
        <w:t>Inter-Category Sharing of Private Mobile Radio Frequencies in the 806-821/851-855 MHz Bands</w:t>
      </w:r>
      <w:r>
        <w:t>, Order, 10 FCC Rcd 7350 (</w:t>
      </w:r>
      <w:r w:rsidRPr="00186AFC">
        <w:rPr>
          <w:i/>
          <w:iCs/>
        </w:rPr>
        <w:t>Inter-Category Sharing Order</w:t>
      </w:r>
      <w:r>
        <w:t xml:space="preserve">), </w:t>
      </w:r>
      <w:r w:rsidRPr="003D1E27">
        <w:rPr>
          <w:i/>
        </w:rPr>
        <w:t>aff'd</w:t>
      </w:r>
      <w:r w:rsidRPr="0072618E">
        <w:t xml:space="preserve">, Memorandum and Opinion and </w:t>
      </w:r>
      <w:r>
        <w:t xml:space="preserve">Order, 11 FCC Rcd 1452 (WTB 1995).  We take this action on our own motion, though we note that some comments in response to the </w:t>
      </w:r>
      <w:r>
        <w:rPr>
          <w:i/>
        </w:rPr>
        <w:t>PLMR Access NPRM</w:t>
      </w:r>
      <w:r>
        <w:t xml:space="preserve"> requested termination of the freeze.  </w:t>
      </w:r>
      <w:r>
        <w:rPr>
          <w:i/>
        </w:rPr>
        <w:t xml:space="preserve">See </w:t>
      </w:r>
      <w:r>
        <w:t>AASHTO Reply Comments at 3-4; APCO 16-261 Comments at 3; EWA 16-261 Comments at 5, 7; LMCC 16-261 Comments at 10.</w:t>
      </w:r>
    </w:p>
  </w:footnote>
  <w:footnote w:id="173">
    <w:p w:rsidR="00933418" w:rsidRPr="00A636F5" w:rsidP="004974BC">
      <w:pPr>
        <w:pStyle w:val="FootnoteText"/>
      </w:pPr>
      <w:r>
        <w:rPr>
          <w:rStyle w:val="FootnoteReference"/>
        </w:rPr>
        <w:footnoteRef/>
      </w:r>
      <w:r>
        <w:t xml:space="preserve"> </w:t>
      </w:r>
      <w:r>
        <w:rPr>
          <w:i/>
        </w:rPr>
        <w:t xml:space="preserve">See </w:t>
      </w:r>
      <w:r>
        <w:t>47 CFR §§ 90.615, 90.617.</w:t>
      </w:r>
    </w:p>
  </w:footnote>
  <w:footnote w:id="174">
    <w:p w:rsidR="00933418" w:rsidP="004974BC">
      <w:pPr>
        <w:pStyle w:val="FootnoteText"/>
      </w:pPr>
      <w:r>
        <w:rPr>
          <w:rStyle w:val="FootnoteReference"/>
        </w:rPr>
        <w:footnoteRef/>
      </w:r>
      <w:r>
        <w:t xml:space="preserve"> </w:t>
      </w:r>
      <w:r w:rsidRPr="004E212E">
        <w:rPr>
          <w:i/>
        </w:rPr>
        <w:t>See</w:t>
      </w:r>
      <w:r>
        <w:t xml:space="preserve"> </w:t>
      </w:r>
      <w:r w:rsidRPr="00186AFC">
        <w:t>47 CFR §</w:t>
      </w:r>
      <w:r>
        <w:t xml:space="preserve"> 90.621(e)(1), (5).</w:t>
      </w:r>
    </w:p>
  </w:footnote>
  <w:footnote w:id="175">
    <w:p w:rsidR="00933418" w:rsidRPr="00075850" w:rsidP="004974BC">
      <w:pPr>
        <w:pStyle w:val="FootnoteText"/>
      </w:pPr>
      <w:r>
        <w:rPr>
          <w:rStyle w:val="FootnoteReference"/>
        </w:rPr>
        <w:footnoteRef/>
      </w:r>
      <w:r>
        <w:t xml:space="preserve"> </w:t>
      </w:r>
      <w:r>
        <w:rPr>
          <w:i/>
        </w:rPr>
        <w:t xml:space="preserve">See </w:t>
      </w:r>
      <w:r w:rsidRPr="00186AFC">
        <w:t>47 CFR §</w:t>
      </w:r>
      <w:r>
        <w:t xml:space="preserve"> 90.621(e)(2)-(4) (1995).</w:t>
      </w:r>
    </w:p>
  </w:footnote>
  <w:footnote w:id="176">
    <w:p w:rsidR="00933418" w:rsidRPr="00C24BDC" w:rsidP="004974BC">
      <w:pPr>
        <w:pStyle w:val="FootnoteText"/>
      </w:pPr>
      <w:r>
        <w:rPr>
          <w:rStyle w:val="FootnoteReference"/>
        </w:rPr>
        <w:footnoteRef/>
      </w:r>
      <w:r>
        <w:t xml:space="preserve"> </w:t>
      </w:r>
      <w:r>
        <w:rPr>
          <w:i/>
        </w:rPr>
        <w:t xml:space="preserve">See </w:t>
      </w:r>
      <w:r w:rsidRPr="00BE6B72">
        <w:rPr>
          <w:i/>
        </w:rPr>
        <w:t>SMR Third Report and Order</w:t>
      </w:r>
      <w:r>
        <w:t>, 9 FCC Rcd at 8167, para. 108.</w:t>
      </w:r>
    </w:p>
  </w:footnote>
  <w:footnote w:id="177">
    <w:p w:rsidR="00933418" w:rsidP="004974BC">
      <w:pPr>
        <w:pStyle w:val="FootnoteText"/>
      </w:pPr>
      <w:r>
        <w:rPr>
          <w:rStyle w:val="FootnoteReference"/>
        </w:rPr>
        <w:footnoteRef/>
      </w:r>
      <w:r>
        <w:t xml:space="preserve"> WTB had noted “a dramatic increase in the number of Business and I/LT entities filing applications for inter-category sharing to use Public Safety channels . . . .”  </w:t>
      </w:r>
      <w:r w:rsidRPr="00AC7764">
        <w:rPr>
          <w:i/>
          <w:iCs/>
        </w:rPr>
        <w:t>Inter-Category Sharing Order</w:t>
      </w:r>
      <w:r>
        <w:rPr>
          <w:i/>
          <w:iCs/>
        </w:rPr>
        <w:t xml:space="preserve">, </w:t>
      </w:r>
      <w:r>
        <w:rPr>
          <w:iCs/>
        </w:rPr>
        <w:t>10 FCC Rcd at 7352, para. 5.</w:t>
      </w:r>
    </w:p>
  </w:footnote>
  <w:footnote w:id="178">
    <w:p w:rsidR="00933418" w:rsidP="004974BC">
      <w:pPr>
        <w:pStyle w:val="FootnoteText"/>
      </w:pPr>
      <w:r>
        <w:rPr>
          <w:rStyle w:val="FootnoteReference"/>
        </w:rPr>
        <w:footnoteRef/>
      </w:r>
      <w:r>
        <w:t xml:space="preserve"> </w:t>
      </w:r>
      <w:r w:rsidRPr="007816F2">
        <w:rPr>
          <w:i/>
        </w:rPr>
        <w:t>Id.</w:t>
      </w:r>
      <w:r>
        <w:t xml:space="preserve">  The freeze was imposed to “ensure that adequate frequencies are made available to public safety licensees,” and in recognition that “Congress also [was] concerned with the adequacy of spectrum to meet the communications needs of public service agencies.”  </w:t>
      </w:r>
      <w:r w:rsidRPr="008A4C71">
        <w:rPr>
          <w:i/>
        </w:rPr>
        <w:t>Id.</w:t>
      </w:r>
    </w:p>
  </w:footnote>
  <w:footnote w:id="179">
    <w:p w:rsidR="00933418" w:rsidP="004974BC">
      <w:pPr>
        <w:pStyle w:val="FootnoteText"/>
      </w:pPr>
      <w:r>
        <w:rPr>
          <w:rStyle w:val="FootnoteReference"/>
        </w:rPr>
        <w:footnoteRef/>
      </w:r>
      <w:r>
        <w:t xml:space="preserve"> There also were applications filed by B/ILT entities seeking inter-category sharing of public safety channels; these, however, were infrequent.</w:t>
      </w:r>
    </w:p>
  </w:footnote>
  <w:footnote w:id="180">
    <w:p w:rsidR="00933418" w:rsidRPr="00186AFC" w:rsidP="004974BC">
      <w:pPr>
        <w:pStyle w:val="FootnoteText"/>
      </w:pPr>
      <w:r w:rsidRPr="00186AFC">
        <w:rPr>
          <w:rStyle w:val="FootnoteReference"/>
        </w:rPr>
        <w:footnoteRef/>
      </w:r>
      <w:r w:rsidRPr="00186AFC">
        <w:t xml:space="preserve"> </w:t>
      </w:r>
      <w:r w:rsidRPr="00186AFC">
        <w:rPr>
          <w:i/>
          <w:iCs/>
        </w:rPr>
        <w:t>See, e.g.,</w:t>
      </w:r>
      <w:r w:rsidRPr="00186AFC">
        <w:t xml:space="preserve"> </w:t>
      </w:r>
      <w:r w:rsidRPr="00186AFC">
        <w:rPr>
          <w:i/>
        </w:rPr>
        <w:t>Fisher Ranch</w:t>
      </w:r>
      <w:r w:rsidRPr="00186AFC">
        <w:t xml:space="preserve">, </w:t>
      </w:r>
      <w:r w:rsidRPr="00186AFC">
        <w:rPr>
          <w:iCs/>
        </w:rPr>
        <w:t>Order</w:t>
      </w:r>
      <w:r w:rsidRPr="00186AFC">
        <w:t xml:space="preserve">, 17 FCC Rcd 602 (WTB </w:t>
      </w:r>
      <w:r>
        <w:t xml:space="preserve">PSPWD </w:t>
      </w:r>
      <w:r w:rsidRPr="00186AFC">
        <w:t xml:space="preserve">2002); </w:t>
      </w:r>
      <w:r w:rsidRPr="008A63D9">
        <w:rPr>
          <w:i/>
        </w:rPr>
        <w:t>Duke Energy Corp.</w:t>
      </w:r>
      <w:r w:rsidRPr="00186AFC">
        <w:t xml:space="preserve">, Order, </w:t>
      </w:r>
      <w:r>
        <w:t xml:space="preserve">18 </w:t>
      </w:r>
      <w:r w:rsidRPr="00186AFC">
        <w:t>FCC Rcd</w:t>
      </w:r>
      <w:r>
        <w:t xml:space="preserve"> 1245</w:t>
      </w:r>
      <w:r w:rsidRPr="00186AFC">
        <w:t xml:space="preserve"> (WTB </w:t>
      </w:r>
      <w:r>
        <w:t xml:space="preserve">PSPWD </w:t>
      </w:r>
      <w:r w:rsidRPr="00186AFC">
        <w:t>2003);</w:t>
      </w:r>
      <w:r w:rsidRPr="00186AFC">
        <w:rPr>
          <w:i/>
          <w:iCs/>
        </w:rPr>
        <w:t xml:space="preserve"> Delaware, State of</w:t>
      </w:r>
      <w:r>
        <w:rPr>
          <w:iCs/>
        </w:rPr>
        <w:t xml:space="preserve">, </w:t>
      </w:r>
      <w:r w:rsidRPr="00186AFC">
        <w:t xml:space="preserve">Order, 21 FCC Rcd 6332 (WTB </w:t>
      </w:r>
      <w:r>
        <w:t xml:space="preserve">PSCID </w:t>
      </w:r>
      <w:r w:rsidRPr="00186AFC">
        <w:t xml:space="preserve">2006); </w:t>
      </w:r>
      <w:r>
        <w:rPr>
          <w:i/>
          <w:iCs/>
        </w:rPr>
        <w:t>Cumberland, County of</w:t>
      </w:r>
      <w:r>
        <w:rPr>
          <w:iCs/>
        </w:rPr>
        <w:t xml:space="preserve">, </w:t>
      </w:r>
      <w:r w:rsidRPr="00186AFC">
        <w:t>Order,</w:t>
      </w:r>
      <w:r w:rsidRPr="00186AFC">
        <w:rPr>
          <w:i/>
          <w:iCs/>
        </w:rPr>
        <w:t xml:space="preserve"> </w:t>
      </w:r>
      <w:r w:rsidRPr="00186AFC">
        <w:t xml:space="preserve">21 FCC Rcd 9089 (WTB </w:t>
      </w:r>
      <w:r>
        <w:t xml:space="preserve">PSCID </w:t>
      </w:r>
      <w:r w:rsidRPr="00186AFC">
        <w:t xml:space="preserve">2006); </w:t>
      </w:r>
      <w:r>
        <w:rPr>
          <w:i/>
          <w:iCs/>
        </w:rPr>
        <w:t>Weld, County of</w:t>
      </w:r>
      <w:r>
        <w:rPr>
          <w:iCs/>
        </w:rPr>
        <w:t xml:space="preserve">, </w:t>
      </w:r>
      <w:r w:rsidRPr="00186AFC">
        <w:t>Order</w:t>
      </w:r>
      <w:r w:rsidRPr="00186AFC">
        <w:rPr>
          <w:i/>
          <w:iCs/>
        </w:rPr>
        <w:t xml:space="preserve">, </w:t>
      </w:r>
      <w:r w:rsidRPr="00186AFC">
        <w:t xml:space="preserve">28 FCC Rcd 4369 (PSHSB </w:t>
      </w:r>
      <w:r>
        <w:t xml:space="preserve">PLD </w:t>
      </w:r>
      <w:r w:rsidRPr="00186AFC">
        <w:t xml:space="preserve">2013); </w:t>
      </w:r>
      <w:r w:rsidRPr="00186AFC">
        <w:rPr>
          <w:i/>
          <w:iCs/>
        </w:rPr>
        <w:t>Weld, County of</w:t>
      </w:r>
      <w:r w:rsidRPr="00186AFC">
        <w:t xml:space="preserve">, Memorandum Opinion and Order, 29 FCC Rcd 5748 (PSHSB </w:t>
      </w:r>
      <w:r>
        <w:t xml:space="preserve">PLD </w:t>
      </w:r>
      <w:r w:rsidRPr="00186AFC">
        <w:t xml:space="preserve">2014); </w:t>
      </w:r>
      <w:r w:rsidRPr="00186AFC">
        <w:rPr>
          <w:i/>
          <w:iCs/>
        </w:rPr>
        <w:t>Denver, City and County of</w:t>
      </w:r>
      <w:r>
        <w:rPr>
          <w:iCs/>
        </w:rPr>
        <w:t xml:space="preserve">, </w:t>
      </w:r>
      <w:r w:rsidRPr="00186AFC">
        <w:t xml:space="preserve">Order, 30 FCC Rcd 10680 (PSHSB </w:t>
      </w:r>
      <w:r>
        <w:t xml:space="preserve">PLD </w:t>
      </w:r>
      <w:r w:rsidRPr="00186AFC">
        <w:t xml:space="preserve">2015); </w:t>
      </w:r>
      <w:r w:rsidRPr="00186AFC">
        <w:rPr>
          <w:i/>
          <w:iCs/>
        </w:rPr>
        <w:t>North Carolina State Highway Patrol</w:t>
      </w:r>
      <w:r w:rsidRPr="00186AFC">
        <w:t xml:space="preserve">, Order, 30 FCC Rcd 10969 (PSHSB </w:t>
      </w:r>
      <w:r>
        <w:t xml:space="preserve">PLD </w:t>
      </w:r>
      <w:r w:rsidRPr="00186AFC">
        <w:t>2015).</w:t>
      </w:r>
    </w:p>
  </w:footnote>
  <w:footnote w:id="181">
    <w:p w:rsidR="00933418" w:rsidP="004974BC">
      <w:pPr>
        <w:pStyle w:val="FootnoteText"/>
      </w:pPr>
      <w:r>
        <w:rPr>
          <w:rStyle w:val="FootnoteReference"/>
        </w:rPr>
        <w:footnoteRef/>
      </w:r>
      <w:r>
        <w:t xml:space="preserve"> </w:t>
      </w:r>
      <w:r w:rsidRPr="00A00DC7">
        <w:rPr>
          <w:i/>
        </w:rPr>
        <w:t>See</w:t>
      </w:r>
      <w:r w:rsidRPr="008A4C71">
        <w:rPr>
          <w:i/>
        </w:rPr>
        <w:t xml:space="preserve"> </w:t>
      </w:r>
      <w:r w:rsidRPr="00186AFC">
        <w:rPr>
          <w:i/>
          <w:iCs/>
        </w:rPr>
        <w:t>Inter-Category Sharing Order</w:t>
      </w:r>
      <w:r>
        <w:rPr>
          <w:i/>
          <w:iCs/>
        </w:rPr>
        <w:t xml:space="preserve">, </w:t>
      </w:r>
      <w:r>
        <w:rPr>
          <w:iCs/>
        </w:rPr>
        <w:t>10 FCC Rcd</w:t>
      </w:r>
      <w:r>
        <w:rPr>
          <w:i/>
          <w:iCs/>
        </w:rPr>
        <w:t xml:space="preserve"> </w:t>
      </w:r>
      <w:r>
        <w:rPr>
          <w:iCs/>
        </w:rPr>
        <w:t>at 7352, para. 5.</w:t>
      </w:r>
      <w:r w:rsidRPr="007F64CA">
        <w:rPr>
          <w:i/>
        </w:rPr>
        <w:t xml:space="preserve"> </w:t>
      </w:r>
    </w:p>
  </w:footnote>
  <w:footnote w:id="182">
    <w:p w:rsidR="00933418" w:rsidP="004974BC">
      <w:pPr>
        <w:pStyle w:val="FootnoteText"/>
      </w:pPr>
      <w:r>
        <w:rPr>
          <w:rStyle w:val="FootnoteReference"/>
        </w:rPr>
        <w:footnoteRef/>
      </w:r>
      <w:r>
        <w:t xml:space="preserve"> </w:t>
      </w:r>
      <w:r w:rsidRPr="006E6302">
        <w:rPr>
          <w:i/>
        </w:rPr>
        <w:t>See</w:t>
      </w:r>
      <w:r>
        <w:t xml:space="preserve"> 47 CFR § 1.41.</w:t>
      </w:r>
    </w:p>
  </w:footnote>
  <w:footnote w:id="183">
    <w:p w:rsidR="00933418" w:rsidP="004974BC">
      <w:pPr>
        <w:pStyle w:val="FootnoteText"/>
      </w:pPr>
      <w:r>
        <w:rPr>
          <w:rStyle w:val="FootnoteReference"/>
        </w:rPr>
        <w:footnoteRef/>
      </w:r>
      <w:r>
        <w:t xml:space="preserve"> </w:t>
      </w:r>
      <w:r w:rsidRPr="003D1E27">
        <w:rPr>
          <w:i/>
        </w:rPr>
        <w:t>See</w:t>
      </w:r>
      <w:r>
        <w:t xml:space="preserve">, </w:t>
      </w:r>
      <w:r w:rsidRPr="003D1E27">
        <w:rPr>
          <w:i/>
        </w:rPr>
        <w:t>e.g.</w:t>
      </w:r>
      <w:r>
        <w:t xml:space="preserve">, </w:t>
      </w:r>
      <w:r w:rsidRPr="003D1E27">
        <w:rPr>
          <w:i/>
        </w:rPr>
        <w:t>Ame</w:t>
      </w:r>
      <w:r>
        <w:rPr>
          <w:i/>
        </w:rPr>
        <w:t>ndment of Section 0.457, Rules and</w:t>
      </w:r>
      <w:r w:rsidRPr="003D1E27">
        <w:rPr>
          <w:i/>
        </w:rPr>
        <w:t xml:space="preserve"> Regulations</w:t>
      </w:r>
      <w:r>
        <w:t xml:space="preserve">, Order, 9 F.C.C. 2d 1, 1, para. 2 (1967) (revising the rules concerning the availability of investigatory files for inspection); </w:t>
      </w:r>
      <w:r>
        <w:rPr>
          <w:i/>
        </w:rPr>
        <w:t>s</w:t>
      </w:r>
      <w:r w:rsidRPr="003D1E27">
        <w:rPr>
          <w:i/>
        </w:rPr>
        <w:t>ee also</w:t>
      </w:r>
      <w:r w:rsidRPr="00A6515C">
        <w:rPr>
          <w:i/>
        </w:rPr>
        <w:t> Kessler v. FCC</w:t>
      </w:r>
      <w:r w:rsidRPr="00A6515C">
        <w:t>, 326 F.2d 673 (D.C.</w:t>
      </w:r>
      <w:r>
        <w:t xml:space="preserve"> </w:t>
      </w:r>
      <w:r w:rsidRPr="00A6515C">
        <w:t>Cir.</w:t>
      </w:r>
      <w:r>
        <w:t xml:space="preserve"> </w:t>
      </w:r>
      <w:r w:rsidRPr="00A6515C">
        <w:t>1963)</w:t>
      </w:r>
      <w:r>
        <w:t>.</w:t>
      </w:r>
    </w:p>
  </w:footnote>
  <w:footnote w:id="184">
    <w:p w:rsidR="00933418" w:rsidP="004974BC">
      <w:pPr>
        <w:pStyle w:val="FootnoteText"/>
      </w:pPr>
      <w:r>
        <w:rPr>
          <w:rStyle w:val="FootnoteReference"/>
        </w:rPr>
        <w:footnoteRef/>
      </w:r>
      <w:r>
        <w:t xml:space="preserve"> </w:t>
      </w:r>
      <w:r>
        <w:rPr>
          <w:i/>
        </w:rPr>
        <w:t xml:space="preserve">See </w:t>
      </w:r>
      <w:r>
        <w:t xml:space="preserve">47 CFR § 90.35. </w:t>
      </w:r>
    </w:p>
  </w:footnote>
  <w:footnote w:id="185">
    <w:p w:rsidR="00933418" w:rsidP="004974BC">
      <w:pPr>
        <w:pStyle w:val="FootnoteText"/>
      </w:pPr>
      <w:r>
        <w:rPr>
          <w:rStyle w:val="FootnoteReference"/>
        </w:rPr>
        <w:footnoteRef/>
      </w:r>
      <w:r>
        <w:t xml:space="preserve"> </w:t>
      </w:r>
      <w:r>
        <w:rPr>
          <w:i/>
        </w:rPr>
        <w:t xml:space="preserve">See </w:t>
      </w:r>
      <w:r>
        <w:t xml:space="preserve">47 CFR § 90.35(c)(63) (defining central station commercial protection service </w:t>
      </w:r>
      <w:r>
        <w:rPr>
          <w:szCs w:val="22"/>
        </w:rPr>
        <w:t>as “an electrical protection and supervisory service rendered to the public from and by a central station accepted and certified by one or more of the recognized rating agencies, or the Underwriters Laboratories (UL), or the Factory Mutual System”</w:t>
      </w:r>
      <w:r>
        <w:t xml:space="preserve">).  </w:t>
      </w:r>
      <w:r w:rsidRPr="00C8405D">
        <w:rPr>
          <w:szCs w:val="22"/>
        </w:rPr>
        <w:t>Specifically, six 12.5</w:t>
      </w:r>
      <w:r>
        <w:rPr>
          <w:szCs w:val="22"/>
        </w:rPr>
        <w:t xml:space="preserve"> </w:t>
      </w:r>
      <w:r w:rsidRPr="00C8405D">
        <w:rPr>
          <w:szCs w:val="22"/>
        </w:rPr>
        <w:t>kilohertz frequency pairs</w:t>
      </w:r>
      <w:r>
        <w:rPr>
          <w:szCs w:val="22"/>
        </w:rPr>
        <w:t xml:space="preserve"> (</w:t>
      </w:r>
      <w:r>
        <w:t>460/465.900 MHz, 460/465.9125 MHz, 460/465.925 MHz, 460/465.9375 MHz, 460/465.950 MHz, and 460/465.9625 MHz</w:t>
      </w:r>
      <w:r>
        <w:rPr>
          <w:szCs w:val="22"/>
        </w:rPr>
        <w:t xml:space="preserve">) </w:t>
      </w:r>
      <w:r w:rsidRPr="00C8405D">
        <w:rPr>
          <w:szCs w:val="22"/>
        </w:rPr>
        <w:t>and the upper-adjacent 6.25</w:t>
      </w:r>
      <w:r>
        <w:rPr>
          <w:szCs w:val="22"/>
        </w:rPr>
        <w:t xml:space="preserve"> </w:t>
      </w:r>
      <w:r w:rsidRPr="00C8405D">
        <w:rPr>
          <w:szCs w:val="22"/>
        </w:rPr>
        <w:t>kilohertz interstitial frequency pairs</w:t>
      </w:r>
      <w:r>
        <w:rPr>
          <w:szCs w:val="22"/>
        </w:rPr>
        <w:t xml:space="preserve"> (</w:t>
      </w:r>
      <w:r>
        <w:t>460/465.90625 MHz, 460/465.91875 MHz, 460/465.93125 MHz, 460/465.94375 MHz, 460/465.95625 MHz, and 460/465.96875 MHz</w:t>
      </w:r>
      <w:r>
        <w:rPr>
          <w:szCs w:val="22"/>
        </w:rPr>
        <w:t xml:space="preserve">) </w:t>
      </w:r>
      <w:r w:rsidRPr="00C8405D">
        <w:rPr>
          <w:szCs w:val="22"/>
        </w:rPr>
        <w:t>are set aside for central station protection service</w:t>
      </w:r>
      <w:r>
        <w:rPr>
          <w:szCs w:val="22"/>
        </w:rPr>
        <w:t xml:space="preserve"> use</w:t>
      </w:r>
      <w:r w:rsidRPr="00C8405D">
        <w:rPr>
          <w:szCs w:val="22"/>
        </w:rPr>
        <w:t xml:space="preserve"> in the 88 urbanized areas with a population over 200,000 in the 1960 Census</w:t>
      </w:r>
      <w:r>
        <w:rPr>
          <w:szCs w:val="22"/>
        </w:rPr>
        <w:t xml:space="preserve"> (urban frequencies), </w:t>
      </w:r>
      <w:r w:rsidRPr="00C8405D">
        <w:rPr>
          <w:szCs w:val="22"/>
        </w:rPr>
        <w:t>and four 12.5</w:t>
      </w:r>
      <w:r>
        <w:rPr>
          <w:szCs w:val="22"/>
        </w:rPr>
        <w:t xml:space="preserve"> </w:t>
      </w:r>
      <w:r w:rsidRPr="00C8405D">
        <w:rPr>
          <w:szCs w:val="22"/>
        </w:rPr>
        <w:t>kilohertz frequency pairs</w:t>
      </w:r>
      <w:r>
        <w:rPr>
          <w:szCs w:val="22"/>
        </w:rPr>
        <w:t xml:space="preserve"> (</w:t>
      </w:r>
      <w:r>
        <w:t>460/465.975 MHz, 460/465.9875 MHz, 461/466.000 MHz, and 461/466.0125 MHz</w:t>
      </w:r>
      <w:r>
        <w:rPr>
          <w:szCs w:val="22"/>
        </w:rPr>
        <w:t xml:space="preserve">) </w:t>
      </w:r>
      <w:r w:rsidRPr="00C8405D">
        <w:rPr>
          <w:szCs w:val="22"/>
        </w:rPr>
        <w:t>and the upper-adjacent 6.25</w:t>
      </w:r>
      <w:r>
        <w:rPr>
          <w:szCs w:val="22"/>
        </w:rPr>
        <w:t xml:space="preserve"> </w:t>
      </w:r>
      <w:r w:rsidRPr="00C8405D">
        <w:rPr>
          <w:szCs w:val="22"/>
        </w:rPr>
        <w:t>kilohertz interstitial frequency pairs</w:t>
      </w:r>
      <w:r>
        <w:rPr>
          <w:szCs w:val="22"/>
        </w:rPr>
        <w:t xml:space="preserve"> (</w:t>
      </w:r>
      <w:r>
        <w:t>460/465.98125 MHz, 460/465.99375 MHz, 461/466.00625 MHz, and 461/466.01875 MHz</w:t>
      </w:r>
      <w:r>
        <w:rPr>
          <w:szCs w:val="22"/>
        </w:rPr>
        <w:t xml:space="preserve">) </w:t>
      </w:r>
      <w:r w:rsidRPr="00C8405D">
        <w:rPr>
          <w:szCs w:val="22"/>
        </w:rPr>
        <w:t>are designated for central station protection service use nationwide</w:t>
      </w:r>
      <w:r>
        <w:rPr>
          <w:szCs w:val="22"/>
        </w:rPr>
        <w:t xml:space="preserve"> (nationwide frequencies).  </w:t>
      </w:r>
      <w:r>
        <w:rPr>
          <w:i/>
        </w:rPr>
        <w:t xml:space="preserve">See </w:t>
      </w:r>
      <w:r>
        <w:t xml:space="preserve">47 CFR § 90.35(c)(63), (66).      </w:t>
      </w:r>
    </w:p>
  </w:footnote>
  <w:footnote w:id="186">
    <w:p w:rsidR="00933418" w:rsidP="004974BC">
      <w:pPr>
        <w:pStyle w:val="FootnoteText"/>
      </w:pPr>
      <w:r>
        <w:rPr>
          <w:rStyle w:val="FootnoteReference"/>
        </w:rPr>
        <w:footnoteRef/>
      </w:r>
      <w:r>
        <w:t xml:space="preserve"> </w:t>
      </w:r>
      <w:r w:rsidRPr="00295CCE">
        <w:t>460/465.900 MHz, 460/465.925 MHz, 460/465.950 MHz, 460/465.975 MHz, and 461/466.000 MHz.  47 CFR §§</w:t>
      </w:r>
      <w:r>
        <w:t> </w:t>
      </w:r>
      <w:r w:rsidRPr="00295CCE">
        <w:t xml:space="preserve">90.35(c)(87), 90.267(f)(4).  </w:t>
      </w:r>
    </w:p>
  </w:footnote>
  <w:footnote w:id="187">
    <w:p w:rsidR="00933418" w:rsidRPr="000B21FE" w:rsidP="004974BC">
      <w:pPr>
        <w:pStyle w:val="FootnoteText"/>
        <w:rPr>
          <w:i/>
        </w:rPr>
      </w:pPr>
      <w:r>
        <w:rPr>
          <w:rStyle w:val="FootnoteReference"/>
        </w:rPr>
        <w:footnoteRef/>
      </w:r>
      <w:r>
        <w:t xml:space="preserve"> </w:t>
      </w:r>
      <w:r>
        <w:rPr>
          <w:i/>
        </w:rPr>
        <w:t xml:space="preserve">See </w:t>
      </w:r>
      <w:r w:rsidRPr="00E534C8">
        <w:rPr>
          <w:i/>
          <w:color w:val="000000"/>
        </w:rPr>
        <w:t xml:space="preserve">Amendment of Parts 89, 91, 93, and 95 (Formerly 10, 11, 16, and 19) of the Commission's Rules </w:t>
      </w:r>
      <w:r w:rsidRPr="00494DDF">
        <w:t>to</w:t>
      </w:r>
      <w:r w:rsidRPr="00E534C8">
        <w:rPr>
          <w:i/>
          <w:color w:val="000000"/>
        </w:rPr>
        <w:t xml:space="preserve"> Reduce the Separation Between the Assignable Frequencies in the 450-470 Mc/s Band</w:t>
      </w:r>
      <w:r>
        <w:rPr>
          <w:i/>
          <w:color w:val="000000"/>
        </w:rPr>
        <w:t>, et al.</w:t>
      </w:r>
      <w:r>
        <w:rPr>
          <w:color w:val="000000"/>
        </w:rPr>
        <w:t xml:space="preserve">, </w:t>
      </w:r>
      <w:r w:rsidRPr="00E534C8">
        <w:rPr>
          <w:color w:val="000000"/>
        </w:rPr>
        <w:t>Second Report and Order</w:t>
      </w:r>
      <w:r>
        <w:rPr>
          <w:color w:val="000000"/>
        </w:rPr>
        <w:t xml:space="preserve">, 11 F.C.C. 2d 648, 653, para. 14 </w:t>
      </w:r>
      <w:r>
        <w:t xml:space="preserve">(1968).  The Commission designated these channels for central station alarm use to “provide for reasonably reliable radio systems.”  </w:t>
      </w:r>
      <w:r>
        <w:rPr>
          <w:i/>
        </w:rPr>
        <w:t>Id.</w:t>
      </w:r>
    </w:p>
  </w:footnote>
  <w:footnote w:id="188">
    <w:p w:rsidR="00933418" w:rsidP="004974BC">
      <w:pPr>
        <w:pStyle w:val="FootnoteText"/>
      </w:pPr>
      <w:r>
        <w:rPr>
          <w:rStyle w:val="FootnoteReference"/>
        </w:rPr>
        <w:footnoteRef/>
      </w:r>
      <w:r>
        <w:t xml:space="preserve"> </w:t>
      </w:r>
      <w:bookmarkStart w:id="69" w:name="_Hlk519075771"/>
      <w:r>
        <w:rPr>
          <w:i/>
        </w:rPr>
        <w:t xml:space="preserve">See </w:t>
      </w:r>
      <w:r>
        <w:rPr>
          <w:i/>
          <w:szCs w:val="22"/>
        </w:rPr>
        <w:t xml:space="preserve">PLMR Access </w:t>
      </w:r>
      <w:r>
        <w:rPr>
          <w:i/>
        </w:rPr>
        <w:t>NPRM</w:t>
      </w:r>
      <w:r>
        <w:t xml:space="preserve">, 31 FCC Rcd at </w:t>
      </w:r>
      <w:bookmarkEnd w:id="69"/>
      <w:r>
        <w:t>9435-36, para. 12.</w:t>
      </w:r>
    </w:p>
  </w:footnote>
  <w:footnote w:id="189">
    <w:p w:rsidR="00933418" w:rsidP="004974BC">
      <w:pPr>
        <w:pStyle w:val="FootnoteText"/>
      </w:pPr>
      <w:r>
        <w:rPr>
          <w:rStyle w:val="FootnoteReference"/>
        </w:rPr>
        <w:footnoteRef/>
      </w:r>
      <w:r>
        <w:t xml:space="preserve"> </w:t>
      </w:r>
      <w:r>
        <w:rPr>
          <w:i/>
        </w:rPr>
        <w:t>See id.</w:t>
      </w:r>
      <w:r>
        <w:t xml:space="preserve"> at 9435-36, paras. 11-12 (citing </w:t>
      </w:r>
      <w:r>
        <w:rPr>
          <w:i/>
        </w:rPr>
        <w:t>Sunset of the Cellular Radiotelephone Service Analog Service Requirement and Related Matters</w:t>
      </w:r>
      <w:r>
        <w:t xml:space="preserve">, Memorandum Opinion and Order, 22 FCC Rcd 11243, 11247, para. 7 (2007)).  </w:t>
      </w:r>
    </w:p>
  </w:footnote>
  <w:footnote w:id="190">
    <w:p w:rsidR="00933418" w:rsidP="004974BC">
      <w:pPr>
        <w:pStyle w:val="FootnoteText"/>
      </w:pPr>
      <w:r>
        <w:rPr>
          <w:rStyle w:val="FootnoteReference"/>
        </w:rPr>
        <w:footnoteRef/>
      </w:r>
      <w:r>
        <w:t xml:space="preserve"> </w:t>
      </w:r>
      <w:r>
        <w:rPr>
          <w:i/>
        </w:rPr>
        <w:t>See id.</w:t>
      </w:r>
      <w:r>
        <w:t xml:space="preserve"> at 9436, paras. 13-14.</w:t>
      </w:r>
    </w:p>
  </w:footnote>
  <w:footnote w:id="191">
    <w:p w:rsidR="00933418" w:rsidRPr="00C40473" w:rsidP="004974BC">
      <w:pPr>
        <w:pStyle w:val="FootnoteText"/>
      </w:pPr>
      <w:r>
        <w:rPr>
          <w:rStyle w:val="FootnoteReference"/>
        </w:rPr>
        <w:footnoteRef/>
      </w:r>
      <w:r>
        <w:t xml:space="preserve"> </w:t>
      </w:r>
      <w:r>
        <w:rPr>
          <w:i/>
        </w:rPr>
        <w:t>See</w:t>
      </w:r>
      <w:r>
        <w:t xml:space="preserve">, </w:t>
      </w:r>
      <w:r>
        <w:rPr>
          <w:i/>
        </w:rPr>
        <w:t>e.g.</w:t>
      </w:r>
      <w:r>
        <w:t>, MRA 16-261 Comments at 9 (“The allocation of this spectrum to central station alarm service, over forty years ago, has been rendered completely obsolete by changes in technology.  Currently, this spectrum is lying fallow and completely underutilized.  The public interest is best served by re-allocating this spectrum to IB usage.”); NAM/MRFAC Comments at 4 (“NAM/MRFAC support the Notice’s proposal to . . . consider possible liberalization of eligibility rules for certain UHF central station alarm frequencies which are currently underutilized”).</w:t>
      </w:r>
    </w:p>
  </w:footnote>
  <w:footnote w:id="192">
    <w:p w:rsidR="00933418" w:rsidRPr="0024447D" w:rsidP="004974BC">
      <w:pPr>
        <w:pStyle w:val="FootnoteText"/>
      </w:pPr>
      <w:r>
        <w:rPr>
          <w:rStyle w:val="FootnoteReference"/>
        </w:rPr>
        <w:footnoteRef/>
      </w:r>
      <w:r>
        <w:t xml:space="preserve"> </w:t>
      </w:r>
      <w:r>
        <w:rPr>
          <w:i/>
        </w:rPr>
        <w:t xml:space="preserve">See </w:t>
      </w:r>
      <w:r>
        <w:t xml:space="preserve">Central Station Alarm Association Comments at 3-7 (Nov. 22, 2016) (CSAA Comments); </w:t>
      </w:r>
      <w:r>
        <w:rPr>
          <w:i/>
        </w:rPr>
        <w:t xml:space="preserve">see also </w:t>
      </w:r>
      <w:r>
        <w:t xml:space="preserve">Letter from John A. Prendegast to Marlene H. Dortch, Secretary, Federal Communications Commission, WP Docket No. 16-261, at 2-3 (filed Oct. 16, 2018).  After the comment cycle ended, </w:t>
      </w:r>
      <w:bookmarkStart w:id="70" w:name="_Hlk521677086"/>
      <w:r w:rsidRPr="00185553">
        <w:t>LMCC</w:t>
      </w:r>
      <w:r>
        <w:t xml:space="preserve"> </w:t>
      </w:r>
      <w:bookmarkEnd w:id="70"/>
      <w:r>
        <w:t xml:space="preserve">and </w:t>
      </w:r>
      <w:r w:rsidRPr="00561276">
        <w:t xml:space="preserve">The Monitoring Association </w:t>
      </w:r>
      <w:r>
        <w:t xml:space="preserve">submitted a joint plan whereby some central station alarm channels would be available to all I/B Pool applicants, while others would remain designated only for central station use but </w:t>
      </w:r>
      <w:r w:rsidRPr="00561276">
        <w:t xml:space="preserve">The Monitoring Association </w:t>
      </w:r>
      <w:r>
        <w:t xml:space="preserve">agreed that it would not object to requests for waivers under certain conditions.  </w:t>
      </w:r>
      <w:r>
        <w:rPr>
          <w:i/>
        </w:rPr>
        <w:t xml:space="preserve">See </w:t>
      </w:r>
      <w:r>
        <w:t xml:space="preserve">The Monitoring Association (formerly the Central Station Alarm Association) and LMCC </w:t>
      </w:r>
      <w:r>
        <w:rPr>
          <w:i/>
        </w:rPr>
        <w:t>ex parte</w:t>
      </w:r>
      <w:r>
        <w:t xml:space="preserve"> filing, Attach. at 2-4 (May 8, 2017) (TMA/LMCC </w:t>
      </w:r>
      <w:r>
        <w:rPr>
          <w:i/>
        </w:rPr>
        <w:t>Ex Parte</w:t>
      </w:r>
      <w:r>
        <w:t xml:space="preserve">); </w:t>
      </w:r>
      <w:r>
        <w:rPr>
          <w:i/>
        </w:rPr>
        <w:t xml:space="preserve">see also </w:t>
      </w:r>
      <w:r>
        <w:t xml:space="preserve">The Monitoring Association (formerly the Central Station Alarm Association) and LMCC </w:t>
      </w:r>
      <w:r>
        <w:rPr>
          <w:i/>
        </w:rPr>
        <w:t>ex parte</w:t>
      </w:r>
      <w:r>
        <w:t xml:space="preserve"> filing, Attach. at 2-4 (Apr. 20, 2018).  Specifically, </w:t>
      </w:r>
      <w:r>
        <w:rPr>
          <w:szCs w:val="22"/>
        </w:rPr>
        <w:t>urban primary channels would be available to all I/B Pool applicants proposing centralized trunked operations, provided that (1) the proposed interference contour does not overlap an incumbent central station licensee’s authorized service area without the incumbent’s consent, and (2) the applicant does not seek the last available primary frequency pair in that urbanized area.  Nationwide primary channels</w:t>
      </w:r>
      <w:r w:rsidRPr="00D71B52">
        <w:rPr>
          <w:szCs w:val="22"/>
        </w:rPr>
        <w:t xml:space="preserve"> </w:t>
      </w:r>
      <w:r>
        <w:rPr>
          <w:szCs w:val="22"/>
        </w:rPr>
        <w:t xml:space="preserve">would remain designated for central station use only, as would all non-primary channels (both urban and nationwide).  </w:t>
      </w:r>
      <w:r>
        <w:rPr>
          <w:snapToGrid w:val="0"/>
        </w:rPr>
        <w:t>As part of the proposed joint plan, The Monitoring Association represented that, as the frequency coordinator for the central station alarm channels, it would consider concurring with waiver requests for nationwide primary channels under the following conditions: (1) there are no exclusive use frequencies available in the applicant’s primary pool, and (2) the applicant does not seek all or part of the last available primary frequency pair in any of the 88 urbanized areas with a population over 200,000 in the 1960 Census.  For the reasons set forth above, however, we continue to believe that even this level of designated exclusive use of the subject channels is unnecessary, and we decline to adopt the proposed joint plan.</w:t>
      </w:r>
    </w:p>
  </w:footnote>
  <w:footnote w:id="193">
    <w:p w:rsidR="00933418" w:rsidP="004974BC">
      <w:pPr>
        <w:pStyle w:val="FootnoteText"/>
      </w:pPr>
      <w:r>
        <w:rPr>
          <w:rStyle w:val="FootnoteReference"/>
        </w:rPr>
        <w:footnoteRef/>
      </w:r>
      <w:r>
        <w:t xml:space="preserve"> </w:t>
      </w:r>
      <w:r>
        <w:rPr>
          <w:i/>
        </w:rPr>
        <w:t>See</w:t>
      </w:r>
      <w:r>
        <w:t xml:space="preserve">, </w:t>
      </w:r>
      <w:r>
        <w:rPr>
          <w:i/>
        </w:rPr>
        <w:t>e.g.</w:t>
      </w:r>
      <w:r>
        <w:t>, EWA 16-261 Comments at 9 (advocating “an approach that addresses the communications needs of that industry [</w:t>
      </w:r>
      <w:r>
        <w:rPr>
          <w:i/>
        </w:rPr>
        <w:t>i.e.</w:t>
      </w:r>
      <w:r>
        <w:t>, commercial central station protection services] and of other LMCC member constituencies”).</w:t>
      </w:r>
    </w:p>
  </w:footnote>
  <w:footnote w:id="194">
    <w:p w:rsidR="00933418" w:rsidP="004974BC">
      <w:pPr>
        <w:pStyle w:val="FootnoteText"/>
      </w:pPr>
      <w:r>
        <w:rPr>
          <w:rStyle w:val="FootnoteReference"/>
        </w:rPr>
        <w:footnoteRef/>
      </w:r>
      <w:r>
        <w:t xml:space="preserve"> </w:t>
      </w:r>
      <w:r>
        <w:rPr>
          <w:i/>
        </w:rPr>
        <w:t>Refarming Second Report and Order</w:t>
      </w:r>
      <w:r>
        <w:t xml:space="preserve">, 12 FCC Rcd at 14309, para. 3.  </w:t>
      </w:r>
    </w:p>
  </w:footnote>
  <w:footnote w:id="195">
    <w:p w:rsidR="00933418" w:rsidRPr="00F04582" w:rsidP="004974BC">
      <w:pPr>
        <w:pStyle w:val="FootnoteText"/>
      </w:pPr>
      <w:r>
        <w:rPr>
          <w:rStyle w:val="FootnoteReference"/>
        </w:rPr>
        <w:footnoteRef/>
      </w:r>
      <w:r>
        <w:t xml:space="preserve"> </w:t>
      </w:r>
      <w:r>
        <w:rPr>
          <w:i/>
        </w:rPr>
        <w:t xml:space="preserve">See id. </w:t>
      </w:r>
      <w:r>
        <w:t>at 14329, para. 41.</w:t>
      </w:r>
    </w:p>
  </w:footnote>
  <w:footnote w:id="196">
    <w:p w:rsidR="00933418" w:rsidP="004974BC">
      <w:pPr>
        <w:pStyle w:val="FootnoteText"/>
      </w:pPr>
      <w:r>
        <w:rPr>
          <w:rStyle w:val="FootnoteReference"/>
        </w:rPr>
        <w:footnoteRef/>
      </w:r>
      <w:r>
        <w:t xml:space="preserve"> </w:t>
      </w:r>
      <w:bookmarkStart w:id="71" w:name="_Hlk521324342"/>
      <w:r>
        <w:rPr>
          <w:i/>
        </w:rPr>
        <w:t>Replacement of Part 90 by Part 88 to Revise the Private Land Mobile Radio Services and Modify the Policies Governing Them; and Examination of Exclusivity and Frequency Assignment Policies of the Private Land Mobile Services</w:t>
      </w:r>
      <w:r>
        <w:t xml:space="preserve">, Second Memorandum Opinion and Order, </w:t>
      </w:r>
      <w:bookmarkEnd w:id="71"/>
      <w:r>
        <w:t xml:space="preserve">14 FCC Rcd 8642, 8647-48, 8650-51, paras. 9, 16 (1999); </w:t>
      </w:r>
      <w:r>
        <w:rPr>
          <w:i/>
        </w:rPr>
        <w:t>s</w:t>
      </w:r>
      <w:r w:rsidRPr="004B126D">
        <w:rPr>
          <w:i/>
        </w:rPr>
        <w:t>ee</w:t>
      </w:r>
      <w:r w:rsidRPr="004B126D">
        <w:t xml:space="preserve"> 47 CFR §</w:t>
      </w:r>
      <w:r>
        <w:t xml:space="preserve"> 90.175(b).</w:t>
      </w:r>
    </w:p>
  </w:footnote>
  <w:footnote w:id="197">
    <w:p w:rsidR="00933418" w:rsidRPr="00AA6432" w:rsidP="004974BC">
      <w:pPr>
        <w:pStyle w:val="FootnoteText"/>
      </w:pPr>
      <w:r>
        <w:rPr>
          <w:rStyle w:val="FootnoteReference"/>
        </w:rPr>
        <w:footnoteRef/>
      </w:r>
      <w:r>
        <w:t xml:space="preserve"> </w:t>
      </w:r>
      <w:r w:rsidRPr="004B126D">
        <w:rPr>
          <w:i/>
        </w:rPr>
        <w:t>See</w:t>
      </w:r>
      <w:r w:rsidRPr="004B126D">
        <w:t xml:space="preserve"> 47 CFR §</w:t>
      </w:r>
      <w:r>
        <w:t xml:space="preserve"> 90.175(b)(2).  The coordinator must provide a written supporting statement containing the technical basis for the denial of concurrence.  </w:t>
      </w:r>
      <w:r>
        <w:rPr>
          <w:i/>
        </w:rPr>
        <w:t>Id.</w:t>
      </w:r>
      <w:r>
        <w:t xml:space="preserve">  If that the relevant coordinators cannot cooperatively resolve their differences, the matter may be referred to WTB.  </w:t>
      </w:r>
      <w:r>
        <w:rPr>
          <w:i/>
        </w:rPr>
        <w:t>See Replacement of Part 90 by Part 88 to Revise the Private Land Mobile Radio Services and Modify the Policies Governing Them; and Examination of Exclusivity and Frequency Assignment Policies of the Private Land Mobile Services</w:t>
      </w:r>
      <w:r>
        <w:t>, Fifth Memorandum Opinion and Order, 16 FCC Rcd 416, 419, para. 8 (2000).</w:t>
      </w:r>
    </w:p>
  </w:footnote>
  <w:footnote w:id="198">
    <w:p w:rsidR="00933418" w:rsidRPr="00C5460F" w:rsidP="004974BC">
      <w:pPr>
        <w:pStyle w:val="FootnoteText"/>
      </w:pPr>
      <w:r>
        <w:rPr>
          <w:rStyle w:val="FootnoteReference"/>
        </w:rPr>
        <w:footnoteRef/>
      </w:r>
      <w:r>
        <w:t xml:space="preserve"> </w:t>
      </w:r>
      <w:r>
        <w:rPr>
          <w:i/>
        </w:rPr>
        <w:t xml:space="preserve">See </w:t>
      </w:r>
      <w:r>
        <w:t>CSAA Comments at 14-15.</w:t>
      </w:r>
    </w:p>
  </w:footnote>
  <w:footnote w:id="199">
    <w:p w:rsidR="00933418" w:rsidRPr="007A08A4" w:rsidP="004974BC">
      <w:pPr>
        <w:pStyle w:val="FootnoteText"/>
      </w:pPr>
      <w:r>
        <w:rPr>
          <w:rStyle w:val="FootnoteReference"/>
        </w:rPr>
        <w:footnoteRef/>
      </w:r>
      <w:r>
        <w:t xml:space="preserve"> The Commission certified the Central Station Electrical Protection Association (CSEPA) as the frequency coordinator for the central station alarm channels in 1986.  </w:t>
      </w:r>
      <w:r>
        <w:rPr>
          <w:i/>
        </w:rPr>
        <w:t>See Frequency Coordination in the Private Land Mobile Radio Services</w:t>
      </w:r>
      <w:r>
        <w:t xml:space="preserve">, Report and Order, 103 F.C.C. 2d 1093, 1138, para. 90 (1986).  CSEPA became the Central Station Alarm Association and is now known as </w:t>
      </w:r>
      <w:r w:rsidRPr="00561276">
        <w:t>The Monitoring Association</w:t>
      </w:r>
      <w:r>
        <w:t xml:space="preserve">.  </w:t>
      </w:r>
      <w:r>
        <w:rPr>
          <w:i/>
        </w:rPr>
        <w:t xml:space="preserve">See </w:t>
      </w:r>
      <w:r>
        <w:fldChar w:fldCharType="begin"/>
      </w:r>
      <w:r>
        <w:instrText xml:space="preserve"> HYPERLINK "http://tma.us/about-csaa/" </w:instrText>
      </w:r>
      <w:r>
        <w:fldChar w:fldCharType="separate"/>
      </w:r>
      <w:r w:rsidRPr="00567688">
        <w:rPr>
          <w:rStyle w:val="Hyperlink"/>
        </w:rPr>
        <w:t>http://tma.us/about-csaa/</w:t>
      </w:r>
      <w:r>
        <w:fldChar w:fldCharType="end"/>
      </w:r>
      <w:r>
        <w:t>.</w:t>
      </w:r>
    </w:p>
  </w:footnote>
  <w:footnote w:id="200">
    <w:p w:rsidR="00933418" w:rsidRPr="00DC6B41" w:rsidP="004974BC">
      <w:pPr>
        <w:pStyle w:val="FootnoteText"/>
      </w:pPr>
      <w:r>
        <w:rPr>
          <w:rStyle w:val="FootnoteReference"/>
        </w:rPr>
        <w:footnoteRef/>
      </w:r>
      <w:r>
        <w:t xml:space="preserve"> We extend this approach to both the primary and non-primary channels.  We expect relatively few requests for the non-primary channels, however, given that they already are heavily used for central station operations and there is no shortage of other low-power channels for which applicants will not need </w:t>
      </w:r>
      <w:r w:rsidRPr="00561276">
        <w:t>The Monitoring Association</w:t>
      </w:r>
      <w:r>
        <w:t xml:space="preserve">’s concurrence.  </w:t>
      </w:r>
      <w:r>
        <w:rPr>
          <w:i/>
        </w:rPr>
        <w:t xml:space="preserve">See </w:t>
      </w:r>
      <w:r>
        <w:t xml:space="preserve">CSAA Comments at 8-9. </w:t>
      </w:r>
    </w:p>
  </w:footnote>
  <w:footnote w:id="201">
    <w:p w:rsidR="00933418" w:rsidP="004974BC">
      <w:pPr>
        <w:pStyle w:val="FootnoteText"/>
      </w:pPr>
      <w:r>
        <w:rPr>
          <w:rStyle w:val="FootnoteReference"/>
        </w:rPr>
        <w:footnoteRef/>
      </w:r>
      <w:r>
        <w:t xml:space="preserve"> NPSTC suggests that public safety entities receive preferential or exclusive access to these channels in markets where public safety licensees are required by the Spectrum Act to vacate the T-Band.  </w:t>
      </w:r>
      <w:r w:rsidRPr="00F7450B">
        <w:rPr>
          <w:i/>
        </w:rPr>
        <w:t xml:space="preserve">See </w:t>
      </w:r>
      <w:r w:rsidRPr="00F7450B">
        <w:t xml:space="preserve">NPSTC 16-261 Comments </w:t>
      </w:r>
      <w:r>
        <w:t>at 9-10</w:t>
      </w:r>
      <w:r w:rsidRPr="00F7450B">
        <w:t>.</w:t>
      </w:r>
      <w:r>
        <w:t xml:space="preserve">  We decline NPSTC’s suggestion that we give public safety T-Band licensees priority for the channels formerly designated only for central station commercial protection services, because the central station frequencies are in the I/B Pool.  </w:t>
      </w:r>
      <w:r w:rsidRPr="00F7450B">
        <w:rPr>
          <w:i/>
        </w:rPr>
        <w:t xml:space="preserve">Cf. </w:t>
      </w:r>
      <w:r>
        <w:t xml:space="preserve">note 113, </w:t>
      </w:r>
      <w:r>
        <w:rPr>
          <w:i/>
        </w:rPr>
        <w:t xml:space="preserve">supra </w:t>
      </w:r>
      <w:r w:rsidRPr="00F7450B">
        <w:t>(providing priority access for public safety licensees in T-Band markets only on newly available 800 MHz Public Safety Pool frequencies, but not 800 MHz B/ILT Pool frequencies).</w:t>
      </w:r>
      <w:r>
        <w:t xml:space="preserve"> </w:t>
      </w:r>
      <w:r w:rsidRPr="004E212E">
        <w:rPr>
          <w:i/>
        </w:rPr>
        <w:t xml:space="preserve"> </w:t>
      </w:r>
    </w:p>
  </w:footnote>
  <w:footnote w:id="202">
    <w:p w:rsidR="00933418" w:rsidRPr="00AB7304" w:rsidP="004974BC">
      <w:pPr>
        <w:pStyle w:val="FootnoteText"/>
      </w:pPr>
      <w:r>
        <w:rPr>
          <w:rStyle w:val="FootnoteReference"/>
        </w:rPr>
        <w:footnoteRef/>
      </w:r>
      <w:r>
        <w:t xml:space="preserve"> </w:t>
      </w:r>
      <w:r>
        <w:rPr>
          <w:i/>
        </w:rPr>
        <w:t xml:space="preserve">See </w:t>
      </w:r>
      <w:r>
        <w:t xml:space="preserve">TMA/LMCC </w:t>
      </w:r>
      <w:r>
        <w:rPr>
          <w:i/>
        </w:rPr>
        <w:t>Ex Parte</w:t>
      </w:r>
      <w:r>
        <w:t>, Attach. at 4.</w:t>
      </w:r>
    </w:p>
  </w:footnote>
  <w:footnote w:id="203">
    <w:p w:rsidR="00933418" w:rsidRPr="00C2421F" w:rsidP="004974BC">
      <w:pPr>
        <w:pStyle w:val="FootnoteText"/>
      </w:pPr>
      <w:r>
        <w:rPr>
          <w:rStyle w:val="FootnoteReference"/>
        </w:rPr>
        <w:footnoteRef/>
      </w:r>
      <w:r>
        <w:t xml:space="preserve"> </w:t>
      </w:r>
      <w:r>
        <w:rPr>
          <w:i/>
        </w:rPr>
        <w:t xml:space="preserve">See </w:t>
      </w:r>
      <w:r>
        <w:t>CSAA Comments at 10-11.</w:t>
      </w:r>
    </w:p>
  </w:footnote>
  <w:footnote w:id="204">
    <w:p w:rsidR="00933418" w:rsidRPr="008F50A5" w:rsidP="004974BC">
      <w:pPr>
        <w:pStyle w:val="FootnoteText"/>
      </w:pPr>
      <w:r>
        <w:rPr>
          <w:rStyle w:val="FootnoteReference"/>
        </w:rPr>
        <w:footnoteRef/>
      </w:r>
      <w:r>
        <w:t xml:space="preserve"> </w:t>
      </w:r>
      <w:r>
        <w:rPr>
          <w:i/>
        </w:rPr>
        <w:t>See Amendment of Section 91.554 of the Commission’s Rules to prohibit the operation of base or control stations on the frequencies 460.900/465.900, 460.925/465.925, and 460.950/465.950 MHz by non-central station commercial protection entities within 75 miles of urbanized areas of 200,000 or more population (1960 Census), and to permit alarm signaling and other fixed point-to-point operations on a secondary basis for central station commercial protection entities on the frequencies 460.900/465.900, 460.925/465.925, 460.950/465.950, 460.975/465.975, and 461.000/466.000 MHz</w:t>
      </w:r>
      <w:r>
        <w:t>, Report and Order, 69 F.C.C. 2d 1169, 1170, para. 2 (1978).</w:t>
      </w:r>
    </w:p>
  </w:footnote>
  <w:footnote w:id="205">
    <w:p w:rsidR="00933418" w:rsidP="004974BC">
      <w:pPr>
        <w:pStyle w:val="FootnoteText"/>
      </w:pPr>
      <w:r>
        <w:rPr>
          <w:rStyle w:val="FootnoteReference"/>
        </w:rPr>
        <w:footnoteRef/>
      </w:r>
      <w:r>
        <w:t xml:space="preserve"> </w:t>
      </w:r>
      <w:r>
        <w:rPr>
          <w:i/>
        </w:rPr>
        <w:t>See PLMR Access NPRM</w:t>
      </w:r>
      <w:r>
        <w:t>, 31 FCC Rcd at 9436, para. 15.</w:t>
      </w:r>
    </w:p>
  </w:footnote>
  <w:footnote w:id="206">
    <w:p w:rsidR="00933418" w:rsidRPr="004265D2" w:rsidP="004974BC">
      <w:pPr>
        <w:pStyle w:val="FootnoteText"/>
      </w:pPr>
      <w:r>
        <w:rPr>
          <w:rStyle w:val="FootnoteReference"/>
        </w:rPr>
        <w:footnoteRef/>
      </w:r>
      <w:r>
        <w:t xml:space="preserve"> MRA requests that section 90.307(e), 47 CFR § 90.307(e), be revised to update the list of television stations that must be protected by part 90 T-Band stations.  </w:t>
      </w:r>
      <w:r>
        <w:rPr>
          <w:i/>
        </w:rPr>
        <w:t xml:space="preserve">See </w:t>
      </w:r>
      <w:r>
        <w:t xml:space="preserve">MRA 16-261 Comments at 9-10.  In addition to being beyond the scope of the </w:t>
      </w:r>
      <w:r>
        <w:rPr>
          <w:i/>
        </w:rPr>
        <w:t>PLMR Access NPRM</w:t>
      </w:r>
      <w:r>
        <w:t xml:space="preserve"> proposals, we note that updating the list would be premature while the post-incentive auction repacking process is still ongoing.  </w:t>
      </w:r>
      <w:r>
        <w:rPr>
          <w:i/>
        </w:rPr>
        <w:t>See</w:t>
      </w:r>
      <w:r>
        <w:t xml:space="preserve"> </w:t>
      </w:r>
      <w:r>
        <w:rPr>
          <w:i/>
        </w:rPr>
        <w:t>Incentive Auction Task Force and Media Bureau Announce the Opening of the Second Filing Window for Eligible Full Power and Class A Television Station—October 3 Through November 2, 2017</w:t>
      </w:r>
      <w:r>
        <w:t>, Public Notice, 32 FCC Rcd 6989 (MB 2017).</w:t>
      </w:r>
    </w:p>
  </w:footnote>
  <w:footnote w:id="207">
    <w:p w:rsidR="00933418" w:rsidRPr="008560C6" w:rsidP="004974BC">
      <w:pPr>
        <w:pStyle w:val="FootnoteText"/>
      </w:pPr>
      <w:r>
        <w:rPr>
          <w:rStyle w:val="FootnoteReference"/>
        </w:rPr>
        <w:footnoteRef/>
      </w:r>
      <w:r>
        <w:t xml:space="preserve"> 47 CFR § 90.35(c)(61)(iv).</w:t>
      </w:r>
    </w:p>
  </w:footnote>
  <w:footnote w:id="208">
    <w:p w:rsidR="00933418" w:rsidP="004974BC">
      <w:pPr>
        <w:pStyle w:val="FootnoteText"/>
      </w:pPr>
      <w:r>
        <w:rPr>
          <w:rStyle w:val="FootnoteReference"/>
        </w:rPr>
        <w:footnoteRef/>
      </w:r>
      <w:r>
        <w:t xml:space="preserve"> </w:t>
      </w:r>
      <w:r>
        <w:rPr>
          <w:i/>
        </w:rPr>
        <w:t xml:space="preserve">See </w:t>
      </w:r>
      <w:r w:rsidRPr="00E534C8">
        <w:rPr>
          <w:i/>
        </w:rPr>
        <w:t>1998 Biennial Regulatory Review – 47 C.F.R. Part 90 – Private Land Mobile Radio Services</w:t>
      </w:r>
      <w:r>
        <w:t xml:space="preserve">, </w:t>
      </w:r>
      <w:r w:rsidRPr="00E534C8">
        <w:t>Memorandum Opinion and Order and Second Report and Order</w:t>
      </w:r>
      <w:r>
        <w:t xml:space="preserve">, 17 FCC Rcd 9830, 9853, para. 49 (2002).  We also take this opportunity to update the list to reflect intervening airport closures and name changes.  </w:t>
      </w:r>
    </w:p>
  </w:footnote>
  <w:footnote w:id="209">
    <w:p w:rsidR="00933418" w:rsidP="004974BC">
      <w:pPr>
        <w:pStyle w:val="FootnoteText"/>
      </w:pPr>
      <w:r>
        <w:rPr>
          <w:rStyle w:val="FootnoteReference"/>
        </w:rPr>
        <w:footnoteRef/>
      </w:r>
      <w:r>
        <w:t xml:space="preserve"> </w:t>
      </w:r>
      <w:r>
        <w:rPr>
          <w:i/>
        </w:rPr>
        <w:t xml:space="preserve">See </w:t>
      </w:r>
      <w:r>
        <w:rPr>
          <w:i/>
          <w:iCs/>
          <w:color w:val="242021"/>
        </w:rPr>
        <w:t>Narrowbanding Third MO&amp;O</w:t>
      </w:r>
      <w:r>
        <w:t>, 19 FCC Rcd at 25090-91.</w:t>
      </w:r>
    </w:p>
  </w:footnote>
  <w:footnote w:id="210">
    <w:p w:rsidR="00933418" w:rsidP="004974BC">
      <w:pPr>
        <w:pStyle w:val="FootnoteText"/>
      </w:pPr>
      <w:r w:rsidRPr="00ED327C">
        <w:rPr>
          <w:rStyle w:val="FootnoteReference"/>
        </w:rPr>
        <w:footnoteRef/>
      </w:r>
      <w:r w:rsidRPr="007345F6">
        <w:t xml:space="preserve"> </w:t>
      </w:r>
      <w:r w:rsidRPr="007345F6">
        <w:rPr>
          <w:i/>
          <w:iCs/>
          <w:color w:val="010101"/>
        </w:rPr>
        <w:t xml:space="preserve"> </w:t>
      </w:r>
      <w:r>
        <w:rPr>
          <w:color w:val="010101"/>
        </w:rPr>
        <w:t>5 U.S.C. § 604.</w:t>
      </w:r>
    </w:p>
  </w:footnote>
  <w:footnote w:id="211">
    <w:p w:rsidR="00933418" w:rsidRPr="00CC6E82" w:rsidP="004974BC">
      <w:pPr>
        <w:pStyle w:val="FootnoteText"/>
      </w:pPr>
      <w:r>
        <w:rPr>
          <w:rStyle w:val="FootnoteReference"/>
        </w:rPr>
        <w:footnoteRef/>
      </w:r>
      <w:r>
        <w:t xml:space="preserve"> </w:t>
      </w:r>
      <w:r>
        <w:rPr>
          <w:i/>
        </w:rPr>
        <w:t>800 MHz Interstitial NPRM</w:t>
      </w:r>
      <w:r>
        <w:t xml:space="preserve">, 30 FCC Rcd 1663 at Appendix A; </w:t>
      </w:r>
      <w:r>
        <w:rPr>
          <w:i/>
        </w:rPr>
        <w:t>PLMR Access NPRM</w:t>
      </w:r>
      <w:r>
        <w:t>, 31 FCC Rcd 9431 at Appendix B.</w:t>
      </w:r>
    </w:p>
  </w:footnote>
  <w:footnote w:id="212">
    <w:p w:rsidR="00933418" w:rsidP="004974BC">
      <w:pPr>
        <w:pStyle w:val="FootnoteText"/>
      </w:pPr>
      <w:r>
        <w:rPr>
          <w:rStyle w:val="FootnoteReference"/>
        </w:rPr>
        <w:footnoteRef/>
      </w:r>
      <w:r>
        <w:t xml:space="preserve"> </w:t>
      </w:r>
      <w:r>
        <w:rPr>
          <w:i/>
        </w:rPr>
        <w:t>See</w:t>
      </w:r>
      <w:r>
        <w:t xml:space="preserve"> 5 U.S.C. § 801(a)(1)(A).</w:t>
      </w:r>
    </w:p>
  </w:footnote>
  <w:footnote w:id="213">
    <w:p w:rsidR="00933418" w:rsidP="004974BC">
      <w:pPr>
        <w:pStyle w:val="FootnoteText"/>
      </w:pPr>
      <w:r>
        <w:rPr>
          <w:rStyle w:val="FootnoteReference"/>
        </w:rPr>
        <w:footnoteRef/>
      </w:r>
      <w:r>
        <w:t xml:space="preserve"> </w:t>
      </w:r>
      <w:r w:rsidRPr="001960B0">
        <w:t xml:space="preserve"> 5 U.S.C. </w:t>
      </w:r>
      <w:r>
        <w:rPr>
          <w:color w:val="010101"/>
        </w:rPr>
        <w:t xml:space="preserve">§ </w:t>
      </w:r>
      <w:r w:rsidRPr="001960B0">
        <w:t>801(a)(1)(A)</w:t>
      </w:r>
      <w:r>
        <w:t>.</w:t>
      </w:r>
    </w:p>
  </w:footnote>
  <w:footnote w:id="214">
    <w:p w:rsidR="00933418" w:rsidP="004974BC">
      <w:pPr>
        <w:pStyle w:val="FootnoteText"/>
      </w:pPr>
      <w:r>
        <w:rPr>
          <w:rStyle w:val="FootnoteReference"/>
        </w:rPr>
        <w:footnoteRef/>
      </w:r>
      <w:r>
        <w:t xml:space="preserve"> We observe that sections </w:t>
      </w:r>
      <w:bookmarkStart w:id="149" w:name="_Hlk527437057"/>
      <w:r>
        <w:t xml:space="preserve">90.35(c)(63) and (c)(66) and 90.267(f) </w:t>
      </w:r>
      <w:bookmarkEnd w:id="149"/>
      <w:r>
        <w:t>cross-reference section 90.175(b) and (e).  The operation of licensees as described in sections 90.35(c)(63) and (c)(66) and 90.267(f) therefore may occur only after OMB approval and Bureau announcement of the effective date for the new or modified information collections contained in section 90.175(b).</w:t>
      </w:r>
    </w:p>
  </w:footnote>
  <w:footnote w:id="215">
    <w:p w:rsidR="00933418" w:rsidP="004974BC">
      <w:pPr>
        <w:pStyle w:val="FootnoteText"/>
      </w:pPr>
      <w:r>
        <w:rPr>
          <w:rStyle w:val="FootnoteReference"/>
        </w:rPr>
        <w:footnoteRef/>
      </w:r>
      <w:r>
        <w:t xml:space="preserve"> </w:t>
      </w:r>
      <w:r w:rsidRPr="00B87627">
        <w:t xml:space="preserve">5 U.S.C. § 603.  </w:t>
      </w:r>
      <w:r>
        <w:t xml:space="preserve">The RFA, 5 U.S.C. </w:t>
      </w:r>
      <w:r w:rsidRPr="0068065B">
        <w:t xml:space="preserve">§§ 601–612, was amended by the Small Business Regulatory Enforcement Fairness </w:t>
      </w:r>
      <w:r>
        <w:t xml:space="preserve">Act of 1996 </w:t>
      </w:r>
      <w:r w:rsidRPr="0068065B">
        <w:t>(SBREFA)</w:t>
      </w:r>
      <w:r>
        <w:t xml:space="preserve">, Pub. L. No. 104-121, 110 Stat. 857 (1996).  </w:t>
      </w:r>
    </w:p>
  </w:footnote>
  <w:footnote w:id="216">
    <w:p w:rsidR="00933418" w:rsidRPr="00CC6E82" w:rsidP="004974BC">
      <w:pPr>
        <w:pStyle w:val="FootnoteText"/>
      </w:pPr>
      <w:r>
        <w:rPr>
          <w:rStyle w:val="FootnoteReference"/>
        </w:rPr>
        <w:footnoteRef/>
      </w:r>
      <w:r>
        <w:t xml:space="preserve"> </w:t>
      </w:r>
      <w:r>
        <w:rPr>
          <w:i/>
        </w:rPr>
        <w:t>Creation of Interstitial 12.5 Kilohertz Channels in the 800 MHz Band Between 809-817/854-862 MHz</w:t>
      </w:r>
      <w:r>
        <w:t>, Notice of Proposed Rulemaking, 30 FCC Rcd 1663, 1682-87 (2015) (</w:t>
      </w:r>
      <w:r>
        <w:rPr>
          <w:i/>
        </w:rPr>
        <w:t xml:space="preserve">800 MHz Interstitial </w:t>
      </w:r>
      <w:r w:rsidRPr="001A0208">
        <w:rPr>
          <w:i/>
        </w:rPr>
        <w:t>NPRM</w:t>
      </w:r>
      <w:r>
        <w:t xml:space="preserve">); </w:t>
      </w:r>
      <w:r>
        <w:rPr>
          <w:i/>
        </w:rPr>
        <w:t>Amendment of Part 90 of the Commission’s Rules to Improve Access to Private Land Mobile Radio Spectrum; Land Mobile Communications Council Petition for Rulemaking Regarding Interim Eligibility for 800 MHz Expansion Band and Guard Band Frequencies; Petition for Rulemaking Regarding Conditional Licensing Authority Above 470 MHz</w:t>
      </w:r>
      <w:r>
        <w:t>, Notice of Proposed Rulemaking, 31 FCC Rcd 9431 (2016) (</w:t>
      </w:r>
      <w:r>
        <w:rPr>
          <w:i/>
        </w:rPr>
        <w:t>PLMR Access NPRM</w:t>
      </w:r>
      <w:r>
        <w:t>).</w:t>
      </w:r>
    </w:p>
  </w:footnote>
  <w:footnote w:id="217">
    <w:p w:rsidR="00933418" w:rsidP="004974BC">
      <w:pPr>
        <w:pStyle w:val="FootnoteText"/>
      </w:pPr>
      <w:r>
        <w:rPr>
          <w:rStyle w:val="FootnoteReference"/>
        </w:rPr>
        <w:footnoteRef/>
      </w:r>
      <w:r>
        <w:t xml:space="preserve"> 5 U.S.C. </w:t>
      </w:r>
      <w:r w:rsidRPr="00EE2565">
        <w:rPr>
          <w:spacing w:val="-2"/>
        </w:rPr>
        <w:t>§</w:t>
      </w:r>
      <w:r>
        <w:rPr>
          <w:spacing w:val="-2"/>
        </w:rPr>
        <w:t xml:space="preserve"> 604(a)(3). </w:t>
      </w:r>
    </w:p>
  </w:footnote>
  <w:footnote w:id="218">
    <w:p w:rsidR="00933418" w:rsidRPr="00EE2565" w:rsidP="004974BC">
      <w:pPr>
        <w:pStyle w:val="FootnoteText"/>
      </w:pPr>
      <w:r w:rsidRPr="00EE2565">
        <w:rPr>
          <w:rStyle w:val="FootnoteReference"/>
          <w:spacing w:val="-2"/>
        </w:rPr>
        <w:footnoteRef/>
      </w:r>
      <w:r w:rsidRPr="00EE2565">
        <w:rPr>
          <w:spacing w:val="-2"/>
        </w:rPr>
        <w:t xml:space="preserve"> 5 U.S.C. § 60</w:t>
      </w:r>
      <w:r>
        <w:rPr>
          <w:spacing w:val="-2"/>
        </w:rPr>
        <w:t>4</w:t>
      </w:r>
      <w:r w:rsidRPr="00EE2565">
        <w:rPr>
          <w:spacing w:val="-2"/>
        </w:rPr>
        <w:t>(</w:t>
      </w:r>
      <w:r>
        <w:rPr>
          <w:spacing w:val="-2"/>
        </w:rPr>
        <w:t>a</w:t>
      </w:r>
      <w:r w:rsidRPr="00EE2565">
        <w:rPr>
          <w:spacing w:val="-2"/>
        </w:rPr>
        <w:t>)(3)</w:t>
      </w:r>
    </w:p>
  </w:footnote>
  <w:footnote w:id="219">
    <w:p w:rsidR="00933418" w:rsidP="004974BC">
      <w:pPr>
        <w:pStyle w:val="FootnoteText"/>
      </w:pPr>
      <w:r>
        <w:rPr>
          <w:rStyle w:val="FootnoteReference"/>
        </w:rPr>
        <w:footnoteRef/>
      </w:r>
      <w:r>
        <w:t xml:space="preserve"> </w:t>
      </w:r>
      <w:r w:rsidRPr="00EE2565">
        <w:rPr>
          <w:spacing w:val="-2"/>
        </w:rPr>
        <w:t>5 U.S.C. § 601(6).</w:t>
      </w:r>
    </w:p>
  </w:footnote>
  <w:footnote w:id="220">
    <w:p w:rsidR="00933418" w:rsidRPr="00EE2565" w:rsidP="004974BC">
      <w:pPr>
        <w:pStyle w:val="FootnoteText"/>
      </w:pPr>
      <w:r w:rsidRPr="00EE2565">
        <w:rPr>
          <w:rStyle w:val="FootnoteReference"/>
          <w:spacing w:val="-2"/>
        </w:rPr>
        <w:footnoteRef/>
      </w:r>
      <w:r w:rsidRPr="00EE2565">
        <w:rPr>
          <w:spacing w:val="-2"/>
        </w:rPr>
        <w:t xml:space="preserve"> 5 U.S.C. § 601(3) (incorporating by reference the definition of “small business concern” in </w:t>
      </w:r>
      <w:r>
        <w:rPr>
          <w:spacing w:val="-2"/>
        </w:rPr>
        <w:t>the Small Business Act,</w:t>
      </w:r>
      <w:r w:rsidRPr="00EE2565">
        <w:rPr>
          <w:spacing w:val="-2"/>
        </w:rPr>
        <w:t xml:space="preserve">).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21">
    <w:p w:rsidR="00933418" w:rsidRPr="00EE2565" w:rsidP="004974BC">
      <w:pPr>
        <w:pStyle w:val="FootnoteText"/>
      </w:pPr>
      <w:r w:rsidRPr="00EE2565">
        <w:rPr>
          <w:rStyle w:val="FootnoteReference"/>
          <w:spacing w:val="-2"/>
        </w:rPr>
        <w:footnoteRef/>
      </w:r>
      <w:r w:rsidRPr="00EE2565">
        <w:rPr>
          <w:spacing w:val="-2"/>
        </w:rPr>
        <w:t xml:space="preserve"> 15 U.S.C. § 632</w:t>
      </w:r>
      <w:r>
        <w:rPr>
          <w:spacing w:val="-2"/>
        </w:rPr>
        <w:t>.</w:t>
      </w:r>
    </w:p>
  </w:footnote>
  <w:footnote w:id="222">
    <w:p w:rsidR="00933418" w:rsidP="004974BC">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223">
    <w:p w:rsidR="00933418" w:rsidP="004974BC">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224">
    <w:p w:rsidR="00933418" w:rsidP="004974BC">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225">
    <w:p w:rsidR="00933418" w:rsidRPr="006B076E" w:rsidP="004974BC">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226">
    <w:p w:rsidR="00933418" w:rsidRPr="006B076E" w:rsidP="004974BC">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fldChar w:fldCharType="begin"/>
      </w:r>
      <w:r>
        <w:instrText xml:space="preserve"> HYPERLINK "http://nccs.urban.org/sites/all/nccs-archive/html/tablewiz/tw.php" </w:instrText>
      </w:r>
      <w:r>
        <w:fldChar w:fldCharType="separate"/>
      </w:r>
      <w:r>
        <w:rPr>
          <w:rStyle w:val="Hyperlink"/>
        </w:rPr>
        <w:t>http://nccs.urban.org/sites/all/nccs-archive/html//tablewiz/tw.php</w:t>
      </w:r>
      <w:r>
        <w:fldChar w:fldCharType="end"/>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227">
    <w:p w:rsidR="00933418" w:rsidRPr="006B076E" w:rsidP="004974BC">
      <w:pPr>
        <w:pStyle w:val="FootnoteText"/>
      </w:pPr>
      <w:r w:rsidRPr="006B076E">
        <w:rPr>
          <w:rStyle w:val="FootnoteReference"/>
          <w:spacing w:val="-2"/>
        </w:rPr>
        <w:footnoteRef/>
      </w:r>
      <w:r w:rsidRPr="006B076E">
        <w:t xml:space="preserve"> 5 U.S.C. § 601(5).</w:t>
      </w:r>
    </w:p>
  </w:footnote>
  <w:footnote w:id="228">
    <w:p w:rsidR="00933418" w:rsidRPr="005E7451" w:rsidP="004974BC">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55A29">
        <w:rPr>
          <w:rStyle w:val="Hyperlink"/>
          <w:i/>
        </w:rPr>
        <w:t>https://factfinder.census.gov/faces/affhelp/jsf/pages/metadata.xhtml?lang=en&amp;type=program&amp;id=program.en.COG#</w:t>
      </w:r>
      <w:r>
        <w:fldChar w:fldCharType="end"/>
      </w:r>
      <w:r>
        <w:t>.</w:t>
      </w:r>
    </w:p>
  </w:footnote>
  <w:footnote w:id="229">
    <w:p w:rsidR="00933418" w:rsidRPr="006B076E" w:rsidP="004974BC">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fldChar w:fldCharType="begin"/>
      </w:r>
      <w:r>
        <w:instrText xml:space="preserve"> HYPERLINK "https://factfinder.census.gov/bkmk/table/1.0/en/COG/2012/ORG02.US01" </w:instrText>
      </w:r>
      <w:r>
        <w:fldChar w:fldCharType="separate"/>
      </w:r>
      <w:r w:rsidRPr="00333EB9">
        <w:rPr>
          <w:rStyle w:val="Hyperlink"/>
          <w:bCs/>
        </w:rPr>
        <w:t>https://factfinder.census.gov/bkmk/table/1.0/en/COG/2012/ORG02.US01</w:t>
      </w:r>
      <w:r>
        <w:fldChar w:fldCharType="end"/>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230">
    <w:p w:rsidR="00933418" w:rsidRPr="00835723" w:rsidP="004974BC">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 xml:space="preserve">2,114 county governments with populations less than 50,000. </w:t>
      </w:r>
    </w:p>
  </w:footnote>
  <w:footnote w:id="231">
    <w:p w:rsidR="00933418" w:rsidRPr="00835723" w:rsidP="004974B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Pr>
          <w:rStyle w:val="Hyperlink"/>
        </w:rPr>
        <w:t xml:space="preserve">. </w:t>
      </w:r>
      <w:r>
        <w:t>There were</w:t>
      </w:r>
      <w:r w:rsidRPr="00835723">
        <w:t xml:space="preserve"> 18,811 municipal and 16,207 town and township governments with populations less than 50,000. </w:t>
      </w:r>
    </w:p>
  </w:footnote>
  <w:footnote w:id="232">
    <w:p w:rsidR="00933418" w:rsidP="004974B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6B7181">
        <w:rPr>
          <w:rStyle w:val="Hyperlink"/>
          <w:bCs/>
        </w:rPr>
        <w:t>https://factfinder.census.gov/bkmk/table/1.0/en/COG/2012/ORG11.US01</w:t>
      </w:r>
      <w:r>
        <w:fldChar w:fldCharType="end"/>
      </w:r>
      <w:r w:rsidRPr="006B7181">
        <w:rPr>
          <w:bCs/>
          <w:color w:val="4E4B47"/>
        </w:rPr>
        <w:t xml:space="preserve">. </w:t>
      </w:r>
      <w:r w:rsidRPr="006B7181">
        <w:t xml:space="preserve">There were </w:t>
      </w:r>
      <w:r w:rsidRPr="00835723">
        <w:t>12,184 independent school districts with enrollment populations less than 50,000.</w:t>
      </w:r>
    </w:p>
    <w:p w:rsidR="00933418" w:rsidRPr="00BB4A0B" w:rsidP="004974BC">
      <w:pPr>
        <w:pStyle w:val="FootnoteText"/>
        <w:rPr>
          <w:sz w:val="10"/>
          <w:szCs w:val="10"/>
        </w:rPr>
      </w:pPr>
    </w:p>
  </w:footnote>
  <w:footnote w:id="233">
    <w:p w:rsidR="00933418" w:rsidP="004974BC">
      <w:pPr>
        <w:pStyle w:val="FootnoteText"/>
        <w:rPr>
          <w:rStyle w:val="Hyperlink"/>
          <w:bCs/>
        </w:rPr>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fldChar w:fldCharType="begin"/>
      </w:r>
      <w:r>
        <w:instrText xml:space="preserve"> HYPERLINK "https://factfinder.census.gov/bkmk/table/1.0/en/COG/2012/ORG09.US01" </w:instrText>
      </w:r>
      <w:r>
        <w:fldChar w:fldCharType="separate"/>
      </w:r>
      <w:r w:rsidRPr="00835723">
        <w:rPr>
          <w:rStyle w:val="Hyperlink"/>
          <w:bCs/>
        </w:rPr>
        <w:t>https://factfinder.census.gov/bkmk/table/1.0/en/COG/2012/ORG09.US01</w:t>
      </w:r>
      <w:r>
        <w:fldChar w:fldCharType="end"/>
      </w:r>
      <w:r w:rsidRPr="00DE6E25">
        <w:rPr>
          <w:rStyle w:val="Hyperlink"/>
          <w:bCs/>
        </w:rPr>
        <w:t xml:space="preserve">.  </w:t>
      </w:r>
      <w:r w:rsidRPr="00835723">
        <w:rPr>
          <w:rStyle w:val="Hyperlink"/>
          <w:bCs/>
        </w:rPr>
        <w:t>The U.S. Census Bureau data did not provide a population breakout for special district governments.</w:t>
      </w:r>
    </w:p>
    <w:p w:rsidR="00933418" w:rsidRPr="00BB4A0B" w:rsidP="004974BC">
      <w:pPr>
        <w:pStyle w:val="FootnoteText"/>
        <w:rPr>
          <w:sz w:val="10"/>
          <w:szCs w:val="10"/>
        </w:rPr>
      </w:pPr>
    </w:p>
  </w:footnote>
  <w:footnote w:id="234">
    <w:p w:rsidR="00933418" w:rsidRPr="005B5966" w:rsidP="004974B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7F3B6C">
        <w:rPr>
          <w:rStyle w:val="Hyperlink"/>
          <w:bCs/>
        </w:rPr>
        <w:t>.</w:t>
      </w:r>
      <w:r>
        <w:rPr>
          <w:rStyle w:val="Hyperlink"/>
          <w:bCs/>
        </w:rPr>
        <w:t xml:space="preserve"> </w:t>
      </w:r>
      <w:r w:rsidRPr="009D1CE0">
        <w:rPr>
          <w:rStyle w:val="Hyperlink"/>
        </w:rPr>
        <w:t>While U.S. Census Bureau data did not provide a population breakout for special district governments</w:t>
      </w:r>
      <w:r w:rsidRPr="00543FB5">
        <w:rPr>
          <w:rStyle w:val="Hyperlink"/>
        </w:rPr>
        <w:t>, if the population of less than 50,000 for this category of local government is consistent with the other types of local governments the majority of the 38, 266 special district governments have populations of less than 50,000.</w:t>
      </w:r>
    </w:p>
  </w:footnote>
  <w:footnote w:id="235">
    <w:p w:rsidR="00933418" w:rsidP="004974BC">
      <w:pPr>
        <w:pStyle w:val="FootnoteText"/>
      </w:pPr>
      <w:r>
        <w:rPr>
          <w:rStyle w:val="FootnoteReference"/>
        </w:rPr>
        <w:footnoteRef/>
      </w:r>
      <w:r>
        <w:t xml:space="preserve"> </w:t>
      </w:r>
      <w:r w:rsidRPr="00BE1BA4">
        <w:rPr>
          <w:i/>
        </w:rPr>
        <w:t>Id.</w:t>
      </w:r>
    </w:p>
  </w:footnote>
  <w:footnote w:id="236">
    <w:p w:rsidR="00933418" w:rsidP="004974BC">
      <w:pPr>
        <w:pStyle w:val="FootnoteText"/>
      </w:pPr>
      <w:r>
        <w:rPr>
          <w:rStyle w:val="FootnoteReference"/>
        </w:rPr>
        <w:footnoteRef/>
      </w:r>
      <w:r>
        <w:t xml:space="preserve"> </w:t>
      </w:r>
      <w:r>
        <w:rPr>
          <w:i/>
          <w:color w:val="000000"/>
        </w:rPr>
        <w:t>See</w:t>
      </w:r>
      <w:r>
        <w:rPr>
          <w:color w:val="000000"/>
        </w:rPr>
        <w:t xml:space="preserve"> 13 </w:t>
      </w:r>
      <w:r w:rsidRPr="006B076E">
        <w:t>CFR</w:t>
      </w:r>
      <w:r>
        <w:rPr>
          <w:color w:val="000000"/>
        </w:rPr>
        <w:t xml:space="preserve"> § 121.201, NAICS code 517210.</w:t>
      </w:r>
    </w:p>
  </w:footnote>
  <w:footnote w:id="237">
    <w:p w:rsidR="00933418" w:rsidRPr="006B076E" w:rsidP="004974BC">
      <w:pPr>
        <w:pStyle w:val="FootnoteText"/>
      </w:pPr>
      <w:r w:rsidRPr="006B076E">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r>
        <w:fldChar w:fldCharType="begin"/>
      </w:r>
      <w:r>
        <w:instrText xml:space="preserve"> HYPERLINK "https://factfinder.census.gov/bkmk/table/1.0/en/ECN/2012_US/51SSSZ5//naics~517210" </w:instrText>
      </w:r>
      <w:r>
        <w:fldChar w:fldCharType="separate"/>
      </w:r>
      <w:r w:rsidRPr="00C57312">
        <w:rPr>
          <w:rStyle w:val="Hyperlink"/>
        </w:rPr>
        <w:t>https://factfinder.census.gov/bkmk/table/1.0/en/ECN/2012_US/51SSSZ5//naics~517210</w:t>
      </w:r>
      <w:r>
        <w:fldChar w:fldCharType="end"/>
      </w:r>
      <w:r>
        <w:rPr>
          <w:rStyle w:val="Hyperlink"/>
        </w:rPr>
        <w:t>.</w:t>
      </w:r>
    </w:p>
  </w:footnote>
  <w:footnote w:id="238">
    <w:p w:rsidR="00933418" w:rsidRPr="006B076E" w:rsidP="004974BC">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239">
    <w:p w:rsidR="00933418" w:rsidP="004974BC">
      <w:pPr>
        <w:pStyle w:val="FootnoteText"/>
      </w:pPr>
      <w:r>
        <w:rPr>
          <w:rStyle w:val="FootnoteReference"/>
        </w:rPr>
        <w:footnoteRef/>
      </w:r>
      <w:r>
        <w:t xml:space="preserve"> </w:t>
      </w:r>
      <w:r w:rsidRPr="00590147">
        <w:t xml:space="preserve">This figure was derived from Commission licensing records as of </w:t>
      </w:r>
      <w:r>
        <w:t>September 19, 2016</w:t>
      </w:r>
      <w:r w:rsidRPr="00590147">
        <w:t xml:space="preserve">. </w:t>
      </w:r>
      <w:r>
        <w:t xml:space="preserve"> </w:t>
      </w:r>
      <w:r w:rsidRPr="00590147">
        <w:t xml:space="preserve">Licensing numbers change on a daily basis. </w:t>
      </w:r>
      <w:r>
        <w:t xml:space="preserve"> </w:t>
      </w:r>
      <w:r w:rsidRPr="00590147">
        <w:t xml:space="preserve">This does not indicate the number of licensees, as licensees may hold multiple licenses. There is no information currently available about the number of PLMR licensees that have </w:t>
      </w:r>
      <w:r>
        <w:t>fewer</w:t>
      </w:r>
      <w:r w:rsidRPr="00590147">
        <w:t xml:space="preserve"> than 1,500 employees.</w:t>
      </w:r>
    </w:p>
  </w:footnote>
  <w:footnote w:id="240">
    <w:p w:rsidR="00933418" w:rsidP="004974BC">
      <w:pPr>
        <w:pStyle w:val="FootnoteText"/>
      </w:pPr>
      <w:r w:rsidRPr="00DF4A1F">
        <w:rPr>
          <w:rStyle w:val="FootnoteReference"/>
        </w:rPr>
        <w:footnoteRef/>
      </w:r>
      <w:r w:rsidRPr="00DF4A1F">
        <w:t xml:space="preserve"> Based on an FCC Universal Licensing System search of</w:t>
      </w:r>
      <w:r>
        <w:t xml:space="preserve"> January 26, 2018</w:t>
      </w:r>
      <w:r w:rsidRPr="00DF4A1F">
        <w:t>.  Search parameters: Radio Service = P</w:t>
      </w:r>
      <w:r>
        <w:t>A – Public Safety 4940-4990 MHz Band</w:t>
      </w:r>
      <w:r w:rsidRPr="00DF4A1F">
        <w:t>; Authorization Type = Regular; Status = Active.</w:t>
      </w:r>
    </w:p>
  </w:footnote>
  <w:footnote w:id="241">
    <w:p w:rsidR="00933418" w:rsidP="004974BC">
      <w:pPr>
        <w:pStyle w:val="FootnoteText"/>
      </w:pPr>
      <w:r w:rsidRPr="00DF4A1F">
        <w:rPr>
          <w:rStyle w:val="FootnoteReference"/>
        </w:rPr>
        <w:footnoteRef/>
      </w:r>
      <w:r w:rsidRPr="00DF4A1F">
        <w:t xml:space="preserve"> Based on an FCC Universal Licensing System search of </w:t>
      </w:r>
      <w:r>
        <w:t xml:space="preserve">May 15, </w:t>
      </w:r>
      <w:r w:rsidRPr="001A0208">
        <w:t>2017</w:t>
      </w:r>
      <w:r w:rsidRPr="00DF4A1F">
        <w:t xml:space="preserve">.  Search parameters: Radio Service = </w:t>
      </w:r>
      <w:r w:rsidRPr="001D3C9C">
        <w:t>GB, GE, GF, GJ, GM, GO, GP, YB, YE, YF, YJ, YM, YO, YP, YX</w:t>
      </w:r>
      <w:r w:rsidRPr="00DF4A1F">
        <w:t>; Authorization Type = Regular; Status = Active.</w:t>
      </w:r>
    </w:p>
  </w:footnote>
  <w:footnote w:id="242">
    <w:p w:rsidR="00933418" w:rsidRPr="00A91654" w:rsidP="004974BC">
      <w:pPr>
        <w:pStyle w:val="FootnoteText"/>
      </w:pPr>
      <w:r w:rsidRPr="00A91654">
        <w:rPr>
          <w:rStyle w:val="FootnoteReference"/>
        </w:rPr>
        <w:footnoteRef/>
      </w:r>
      <w:r w:rsidRPr="00A91654">
        <w:t xml:space="preserve"> This figure was derived from Commission licensing records as of August 16, 2013.  Licensing numbers change daily.  We do not expect this number to be significantly smaller today.  This does not indicate the number of licensees, as licensees may hold multiple licenses.  There is no information currently available about the number of licensees that have fewer than 1,500 employees.</w:t>
      </w:r>
    </w:p>
  </w:footnote>
  <w:footnote w:id="243">
    <w:p w:rsidR="00933418" w:rsidP="004974BC">
      <w:pPr>
        <w:pStyle w:val="FootnoteText"/>
      </w:pPr>
      <w:r>
        <w:rPr>
          <w:rStyle w:val="FootnoteReference"/>
        </w:rPr>
        <w:footnoteRef/>
      </w:r>
      <w:r>
        <w:t xml:space="preserve"> </w:t>
      </w:r>
      <w:r w:rsidRPr="00EF7A00">
        <w:t xml:space="preserve">The Commission’s records indicate that there are currently 13 frequency coordinators that would be affected by this rulemaking. See </w:t>
      </w:r>
      <w:r>
        <w:fldChar w:fldCharType="begin"/>
      </w:r>
      <w:r>
        <w:instrText xml:space="preserve"> HYPERLINK "https://www.fcc.gov/wireless/wireless-services/industrial-business/industrial-business-licensing" \l "block-menu-block-4" </w:instrText>
      </w:r>
      <w:r>
        <w:fldChar w:fldCharType="separate"/>
      </w:r>
      <w:r w:rsidRPr="00EF7A00">
        <w:rPr>
          <w:rStyle w:val="Hyperlink"/>
        </w:rPr>
        <w:t>https://www.fcc.gov/wireless/wireless-services/industrial-business/industrial-business-licensing#block-menu-block-4</w:t>
      </w:r>
      <w:r>
        <w:fldChar w:fldCharType="end"/>
      </w:r>
      <w:r w:rsidRPr="00EF7A00">
        <w:rPr>
          <w:rStyle w:val="Hyperlink"/>
        </w:rPr>
        <w:t xml:space="preserve"> (last visited Jan. 26, 2018).</w:t>
      </w:r>
    </w:p>
  </w:footnote>
  <w:footnote w:id="244">
    <w:p w:rsidR="00933418" w:rsidP="004974BC">
      <w:pPr>
        <w:pStyle w:val="FootnoteText"/>
      </w:pPr>
      <w:r>
        <w:rPr>
          <w:rStyle w:val="FootnoteReference"/>
        </w:rPr>
        <w:footnoteRef/>
      </w:r>
      <w:r>
        <w:t xml:space="preserve"> </w:t>
      </w:r>
      <w:r>
        <w:rPr>
          <w:i/>
        </w:rPr>
        <w:t>See</w:t>
      </w:r>
      <w:r>
        <w:t xml:space="preserve"> 13 C.F.R. § 121.201, NAICS code 517210.</w:t>
      </w:r>
    </w:p>
  </w:footnote>
  <w:footnote w:id="245">
    <w:p w:rsidR="00933418" w:rsidRPr="006B076E" w:rsidP="004974BC">
      <w:pPr>
        <w:pStyle w:val="FootnoteText"/>
      </w:pPr>
      <w:r w:rsidRPr="006B076E">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r>
        <w:fldChar w:fldCharType="begin"/>
      </w:r>
      <w:r>
        <w:instrText xml:space="preserve"> HYPERLINK "https://factfinder.census.gov/bkmk/table/1.0/en/ECN/2012_US/51SSSZ5//naics~517210" </w:instrText>
      </w:r>
      <w:r>
        <w:fldChar w:fldCharType="separate"/>
      </w:r>
      <w:r w:rsidRPr="00C57312">
        <w:rPr>
          <w:rStyle w:val="Hyperlink"/>
        </w:rPr>
        <w:t>https://factfinder.census.gov/bkmk/table/1.0/en/ECN/2012_US/51SSSZ5//naics~517210</w:t>
      </w:r>
      <w:r>
        <w:fldChar w:fldCharType="end"/>
      </w:r>
      <w:r>
        <w:rPr>
          <w:rStyle w:val="Hyperlink"/>
        </w:rPr>
        <w:t>.</w:t>
      </w:r>
    </w:p>
  </w:footnote>
  <w:footnote w:id="246">
    <w:p w:rsidR="00933418" w:rsidRPr="006B076E" w:rsidP="004974BC">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247">
    <w:p w:rsidR="00933418" w:rsidP="004974BC">
      <w:pPr>
        <w:pStyle w:val="FootnoteText"/>
      </w:pPr>
      <w:r>
        <w:rPr>
          <w:rStyle w:val="FootnoteReference"/>
        </w:rPr>
        <w:footnoteRef/>
      </w:r>
      <w:r>
        <w:t xml:space="preserve"> </w:t>
      </w:r>
      <w:r w:rsidRPr="009655B9">
        <w:t>The NAICS Code for this service is 334220.</w:t>
      </w:r>
      <w:r>
        <w:t xml:space="preserve">  13 C.F.R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r>
        <w:fldChar w:fldCharType="begin"/>
      </w:r>
      <w:r>
        <w:instrText xml:space="preserve"> HYPERLINK "https://factfinder.census.gov/faces/affhelp/jsf/pages/metadata.xhtml?lang=en&amp;type=ib&amp;id=ib.en./ECN.NAICS2012.334220" </w:instrText>
      </w:r>
      <w:r>
        <w:fldChar w:fldCharType="separate"/>
      </w:r>
      <w:r w:rsidRPr="00C57312">
        <w:rPr>
          <w:rStyle w:val="Hyperlink"/>
          <w:i/>
        </w:rPr>
        <w:t>https://factfinder.census.gov/faces/affhelp/jsf/pages/metadata.xhtml?lang=en&amp;type=ib&amp;id=ib.en./ECN.NAICS2012.334220#</w:t>
      </w:r>
      <w:r>
        <w:fldChar w:fldCharType="end"/>
      </w:r>
      <w:r>
        <w:rPr>
          <w:i/>
        </w:rPr>
        <w:t>.</w:t>
      </w:r>
    </w:p>
  </w:footnote>
  <w:footnote w:id="248">
    <w:p w:rsidR="00933418" w:rsidP="004974BC">
      <w:pPr>
        <w:pStyle w:val="FootnoteText"/>
      </w:pPr>
      <w:r>
        <w:rPr>
          <w:rStyle w:val="FootnoteReference"/>
        </w:rPr>
        <w:footnoteRef/>
      </w:r>
      <w:r>
        <w:t xml:space="preserve"> </w:t>
      </w:r>
      <w:r w:rsidRPr="001A678D">
        <w:t xml:space="preserve"> </w:t>
      </w:r>
      <w:r w:rsidRPr="009655B9">
        <w:t>The NAICS Code for this service is 334220.</w:t>
      </w:r>
      <w:r>
        <w:t xml:space="preserve"> </w:t>
      </w:r>
      <w:r w:rsidRPr="009655B9">
        <w:t xml:space="preserve"> 13 CFR121</w:t>
      </w:r>
      <w:r>
        <w:t>.</w:t>
      </w:r>
      <w:r w:rsidRPr="009655B9">
        <w:t>201.</w:t>
      </w:r>
      <w:r>
        <w:t xml:space="preserve"> </w:t>
      </w:r>
      <w:r w:rsidRPr="009655B9">
        <w:rPr>
          <w:i/>
        </w:rPr>
        <w:t>See also</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r>
        <w:fldChar w:fldCharType="begin"/>
      </w:r>
      <w:r>
        <w:instrText xml:space="preserve"> HYPERLINK "https://factfinder.census.gov/faces/affhelp/jsf/pages/metadata.xhtml?lang=en&amp;type=ib&amp;id=ib.en./ECN.NAICS2012.334220" </w:instrText>
      </w:r>
      <w:r>
        <w:fldChar w:fldCharType="separate"/>
      </w:r>
      <w:r w:rsidRPr="00C57312">
        <w:rPr>
          <w:rStyle w:val="Hyperlink"/>
          <w:i/>
        </w:rPr>
        <w:t>https://factfinder.census.gov/faces/affhelp/jsf/pages/metadata.xhtml?lang=en&amp;type=ib&amp;id=ib.en./ECN.NAICS2012.334220#</w:t>
      </w:r>
      <w:r>
        <w:fldChar w:fldCharType="end"/>
      </w:r>
      <w:r>
        <w:rPr>
          <w:rStyle w:val="Hyperlink"/>
          <w:i/>
        </w:rPr>
        <w:t>.</w:t>
      </w:r>
      <w:r>
        <w:rPr>
          <w:rStyle w:val="Hyperlink"/>
        </w:rPr>
        <w:t>.</w:t>
      </w:r>
    </w:p>
  </w:footnote>
  <w:footnote w:id="249">
    <w:p w:rsidR="00933418" w:rsidRPr="00E5523F" w:rsidP="004974BC">
      <w:pPr>
        <w:pStyle w:val="FootnoteText"/>
      </w:pPr>
      <w:r>
        <w:rPr>
          <w:rStyle w:val="FootnoteReference"/>
        </w:rPr>
        <w:footnoteRef/>
      </w:r>
      <w:r w:rsidRPr="00E5523F">
        <w:t xml:space="preserve"> 13 CFR § 121.201, NAICS Code 334220.</w:t>
      </w:r>
    </w:p>
  </w:footnote>
  <w:footnote w:id="250">
    <w:p w:rsidR="00933418" w:rsidP="004974BC">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r>
        <w:fldChar w:fldCharType="begin"/>
      </w:r>
      <w:r>
        <w:instrText xml:space="preserve"> HYPERLINK "https://factfinder.census.gov/bkmk/table/1.0/en/ECN/2012_US/31SG2//naics~334220" </w:instrText>
      </w:r>
      <w:r>
        <w:fldChar w:fldCharType="separate"/>
      </w:r>
      <w:r w:rsidRPr="00C57312">
        <w:rPr>
          <w:rStyle w:val="Hyperlink"/>
        </w:rPr>
        <w:t>https://factfinder.census.gov/bkmk/table/1.0/en/ECN/2012_US/31SG2//naics~334220</w:t>
      </w:r>
      <w:r>
        <w:fldChar w:fldCharType="end"/>
      </w:r>
      <w:r>
        <w:rPr>
          <w:rStyle w:val="Hyperlink"/>
        </w:rPr>
        <w:t>.</w:t>
      </w:r>
    </w:p>
  </w:footnote>
  <w:footnote w:id="251">
    <w:p w:rsidR="00933418" w:rsidRPr="00E5523F" w:rsidP="004974BC">
      <w:pPr>
        <w:pStyle w:val="FootnoteText"/>
      </w:pPr>
      <w:r>
        <w:rPr>
          <w:rStyle w:val="FootnoteReference"/>
        </w:rPr>
        <w:footnoteRef/>
      </w:r>
      <w:r w:rsidRPr="00E5523F">
        <w:t xml:space="preserve"> </w:t>
      </w:r>
      <w:r>
        <w:fldChar w:fldCharType="begin"/>
      </w:r>
      <w:r>
        <w:instrText xml:space="preserve"> HYPERLINK "http://factfinder.census.gov/faces/tableservices/jsf/pages/productview.xhtml?pid=ECN_2012_US_31SG2&amp;prodType=table" </w:instrText>
      </w:r>
      <w:r>
        <w:fldChar w:fldCharType="separate"/>
      </w:r>
      <w:r w:rsidRPr="00E5523F">
        <w:rPr>
          <w:rStyle w:val="Hyperlink"/>
        </w:rPr>
        <w:t>http://factfinder.census.gov/faces/tableservices/jsf/pages/productview.xhtml?pid=ECN_2012_US_31SG2&amp;prodType=table</w:t>
      </w:r>
      <w:r>
        <w:fldChar w:fldCharType="end"/>
      </w:r>
      <w:r w:rsidRPr="00E5523F">
        <w:t>.</w:t>
      </w:r>
    </w:p>
  </w:footnote>
  <w:footnote w:id="252">
    <w:p w:rsidR="00933418" w:rsidP="004974BC">
      <w:pPr>
        <w:pStyle w:val="FootnoteText"/>
      </w:pPr>
      <w:r>
        <w:rPr>
          <w:rStyle w:val="FootnoteReference"/>
        </w:rPr>
        <w:footnoteRef/>
      </w:r>
      <w:r>
        <w:t xml:space="preserve"> </w:t>
      </w:r>
      <w:r w:rsidRPr="001A0208">
        <w:rPr>
          <w:i/>
        </w:rPr>
        <w:t>See</w:t>
      </w:r>
      <w:r w:rsidRPr="00984DEC">
        <w:t xml:space="preserve"> ICR Reference No: 201311-3060-015, OMB Control No: 3060-0984.</w:t>
      </w:r>
    </w:p>
  </w:footnote>
  <w:footnote w:id="253">
    <w:p w:rsidR="00933418" w:rsidRPr="002E3380" w:rsidP="004974BC">
      <w:pPr>
        <w:pStyle w:val="FootnoteText"/>
      </w:pPr>
      <w:r>
        <w:rPr>
          <w:rStyle w:val="FootnoteReference"/>
        </w:rPr>
        <w:footnoteRef/>
      </w:r>
      <w:r>
        <w:t xml:space="preserve"> </w:t>
      </w:r>
      <w:r>
        <w:rPr>
          <w:i/>
        </w:rPr>
        <w:t xml:space="preserve">See </w:t>
      </w:r>
      <w:r>
        <w:t xml:space="preserve">Supporting Statement for </w:t>
      </w:r>
      <w:r w:rsidRPr="00AC247C">
        <w:t>ICR Reference No: 201311-3060-015</w:t>
      </w:r>
      <w:r>
        <w:t xml:space="preserve">, </w:t>
      </w:r>
      <w:r w:rsidRPr="00AC247C">
        <w:t>OMB Control No: 3060-0984</w:t>
      </w:r>
      <w:r>
        <w:t xml:space="preserve"> at 2 (Sep 2106).</w:t>
      </w:r>
    </w:p>
  </w:footnote>
  <w:footnote w:id="254">
    <w:p w:rsidR="00933418" w:rsidRPr="001B2EFF" w:rsidP="004974BC">
      <w:pPr>
        <w:pStyle w:val="FootnoteText"/>
        <w:rPr>
          <w:i/>
        </w:rPr>
      </w:pPr>
      <w:r>
        <w:rPr>
          <w:rStyle w:val="FootnoteReference"/>
        </w:rPr>
        <w:footnoteRef/>
      </w:r>
      <w:r>
        <w:t xml:space="preserve"> </w:t>
      </w:r>
      <w:r>
        <w:rPr>
          <w:i/>
        </w:rPr>
        <w:t>Id.</w:t>
      </w:r>
    </w:p>
  </w:footnote>
  <w:footnote w:id="255">
    <w:p w:rsidR="00933418" w:rsidP="004974BC">
      <w:pPr>
        <w:pStyle w:val="FootnoteText"/>
      </w:pPr>
      <w:r>
        <w:rPr>
          <w:rStyle w:val="FootnoteReference"/>
        </w:rPr>
        <w:footnoteRef/>
      </w:r>
      <w:r>
        <w:t xml:space="preserve"> </w:t>
      </w:r>
      <w:r w:rsidRPr="001A0208">
        <w:rPr>
          <w:i/>
        </w:rPr>
        <w:t>See</w:t>
      </w:r>
      <w:r w:rsidRPr="00DD3D8C">
        <w:t xml:space="preserve"> ICR Reference No: 201205-3060-017, OMB Control No: 3060-0441</w:t>
      </w:r>
      <w:r>
        <w:t>.</w:t>
      </w:r>
    </w:p>
  </w:footnote>
  <w:footnote w:id="256">
    <w:p w:rsidR="00933418" w:rsidP="004974BC">
      <w:pPr>
        <w:pStyle w:val="FootnoteText"/>
      </w:pPr>
      <w:r>
        <w:rPr>
          <w:rStyle w:val="FootnoteReference"/>
        </w:rPr>
        <w:footnoteRef/>
      </w:r>
      <w:r>
        <w:t xml:space="preserve"> </w:t>
      </w:r>
      <w:r>
        <w:rPr>
          <w:i/>
        </w:rPr>
        <w:t xml:space="preserve">See </w:t>
      </w:r>
      <w:r>
        <w:t xml:space="preserve">Supporting Statement for </w:t>
      </w:r>
      <w:r w:rsidRPr="001236F2">
        <w:t>ICR Reference No: 201205-3060-017</w:t>
      </w:r>
      <w:r>
        <w:t xml:space="preserve">, </w:t>
      </w:r>
      <w:r w:rsidRPr="00AC247C">
        <w:t>OMB Control No:</w:t>
      </w:r>
      <w:r>
        <w:t xml:space="preserve"> </w:t>
      </w:r>
      <w:r w:rsidRPr="009C72E0">
        <w:t>3060-0441</w:t>
      </w:r>
      <w:r>
        <w:t xml:space="preserve"> at 4 (Jun 2015).</w:t>
      </w:r>
    </w:p>
  </w:footnote>
  <w:footnote w:id="257">
    <w:p w:rsidR="00933418" w:rsidP="004974BC">
      <w:pPr>
        <w:pStyle w:val="FootnoteText"/>
      </w:pPr>
      <w:r>
        <w:rPr>
          <w:rStyle w:val="FootnoteReference"/>
        </w:rPr>
        <w:footnoteRef/>
      </w:r>
      <w:r>
        <w:t xml:space="preserve"> </w:t>
      </w:r>
      <w:r>
        <w:rPr>
          <w:i/>
        </w:rPr>
        <w:t>Id.</w:t>
      </w:r>
    </w:p>
  </w:footnote>
  <w:footnote w:id="258">
    <w:p w:rsidR="00933418" w:rsidP="004974BC">
      <w:pPr>
        <w:pStyle w:val="FootnoteText"/>
      </w:pPr>
      <w:r>
        <w:rPr>
          <w:rStyle w:val="FootnoteReference"/>
        </w:rPr>
        <w:footnoteRef/>
      </w:r>
      <w:r>
        <w:t xml:space="preserve"> </w:t>
      </w:r>
      <w:r>
        <w:rPr>
          <w:i/>
        </w:rPr>
        <w:t xml:space="preserve">See </w:t>
      </w:r>
      <w:r>
        <w:t xml:space="preserve">Supporting Statement for </w:t>
      </w:r>
      <w:r w:rsidRPr="001236F2">
        <w:t>ICR</w:t>
      </w:r>
      <w:r>
        <w:t xml:space="preserve"> </w:t>
      </w:r>
      <w:r w:rsidRPr="00360770">
        <w:t>No: 201404-3060-029, OMB Control No. 3060-0057</w:t>
      </w:r>
      <w:r>
        <w:t xml:space="preserve"> at 7 (Apr 2017).</w:t>
      </w:r>
    </w:p>
  </w:footnote>
  <w:footnote w:id="259">
    <w:p w:rsidR="00933418" w:rsidP="004974BC">
      <w:pPr>
        <w:pStyle w:val="FootnoteText"/>
      </w:pPr>
      <w:r>
        <w:rPr>
          <w:rStyle w:val="FootnoteReference"/>
        </w:rPr>
        <w:footnoteRef/>
      </w:r>
      <w:r>
        <w:t xml:space="preserve"> </w:t>
      </w:r>
      <w:r>
        <w:rPr>
          <w:i/>
        </w:rPr>
        <w:t>Id.</w:t>
      </w:r>
      <w:r>
        <w:t xml:space="preserve"> at 8.  </w:t>
      </w:r>
    </w:p>
  </w:footnote>
  <w:footnote w:id="260">
    <w:p w:rsidR="00933418" w:rsidP="004974BC">
      <w:pPr>
        <w:pStyle w:val="FootnoteText"/>
      </w:pPr>
      <w:r w:rsidRPr="00A96110">
        <w:rPr>
          <w:rStyle w:val="FootnoteReference"/>
        </w:rPr>
        <w:footnoteRef/>
      </w:r>
      <w:r w:rsidRPr="00C6580C">
        <w:t xml:space="preserve"> 5 U.S.C. § 603(c)(1)-(4).</w:t>
      </w:r>
    </w:p>
  </w:footnote>
  <w:footnote w:id="261">
    <w:p w:rsidR="00933418" w:rsidP="004974BC">
      <w:pPr>
        <w:pStyle w:val="FootnoteText"/>
      </w:pPr>
      <w:r>
        <w:rPr>
          <w:rStyle w:val="FootnoteReference"/>
        </w:rPr>
        <w:footnoteRef/>
      </w:r>
      <w:r>
        <w:t xml:space="preserve"> </w:t>
      </w:r>
      <w:r>
        <w:rPr>
          <w:i/>
        </w:rPr>
        <w:t xml:space="preserve">See </w:t>
      </w:r>
      <w:r>
        <w:t xml:space="preserve">5 U.S.C. </w:t>
      </w:r>
      <w:r w:rsidRPr="00C6580C">
        <w:t>§</w:t>
      </w:r>
      <w:r>
        <w:t xml:space="preserve"> 801(a)(1)(A). </w:t>
      </w:r>
    </w:p>
  </w:footnote>
  <w:footnote w:id="262">
    <w:p w:rsidR="00933418" w:rsidRPr="00433A35" w:rsidP="004974BC">
      <w:pPr>
        <w:pStyle w:val="FootnoteText"/>
      </w:pPr>
      <w:r>
        <w:rPr>
          <w:rStyle w:val="FootnoteReference"/>
        </w:rPr>
        <w:footnoteRef/>
      </w:r>
      <w:r>
        <w:t xml:space="preserve"> </w:t>
      </w:r>
      <w:r>
        <w:rPr>
          <w:i/>
        </w:rPr>
        <w:t xml:space="preserve">See </w:t>
      </w:r>
      <w:r>
        <w:t xml:space="preserve">5 U.S.C. </w:t>
      </w:r>
      <w:r w:rsidRPr="00C6580C">
        <w:t>§</w:t>
      </w:r>
      <w:r>
        <w:t xml:space="preserve">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RPr="00543FB5" w:rsidP="00CD6ECA">
    <w:pPr>
      <w:pStyle w:val="Header"/>
    </w:pPr>
    <w:bookmarkStart w:id="150" w:name="_Hlk516155395"/>
    <w:r>
      <w:rPr>
        <w:noProof/>
      </w:rPr>
      <w:pict>
        <v:rect id="Rectangle 5" o:spid="_x0000_s2049"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18-143</w:t>
    </w:r>
  </w:p>
  <w:p w:rsidR="00933418" w:rsidRPr="00DF019F" w:rsidP="00CD6ECA">
    <w:pPr>
      <w:pStyle w:val="Header"/>
    </w:pPr>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RPr="00CD6ECA" w:rsidP="00CD6ECA">
    <w:pPr>
      <w:pStyle w:val="Header"/>
    </w:pPr>
    <w:r>
      <w:rPr>
        <w:noProof/>
      </w:rPr>
      <w:pict>
        <v:rect id="Rectangle 6" o:spid="_x0000_s2050" style="width:468pt;height:0.95pt;margin-top:12.65pt;margin-left:0.6pt;mso-position-horizontal-relative:margin;position:absolute;visibility:visible;z-index:-251656192" o:allowincell="f" fillcolor="black" stroked="f" strokeweight="0.05pt">
          <w10:wrap anchorx="margin"/>
        </v:rect>
      </w:pict>
    </w:r>
    <w:r w:rsidRPr="00CD6ECA">
      <w:tab/>
      <w:t>Federal Communications Commission</w:t>
    </w:r>
    <w:r w:rsidRPr="00CD6ECA">
      <w:tab/>
    </w:r>
    <w:r w:rsidRPr="00CD6ECA">
      <w:rPr>
        <w:spacing w:val="-2"/>
      </w:rPr>
      <w:t>FCC 18-143</w:t>
    </w:r>
  </w:p>
  <w:p w:rsidR="00933418" w:rsidRPr="00DF019F" w:rsidP="00CD6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RPr="00543FB5" w:rsidP="00CD6ECA">
    <w:pPr>
      <w:pStyle w:val="Header"/>
    </w:pPr>
    <w:r>
      <w:rPr>
        <w:noProof/>
      </w:rPr>
      <w:pict>
        <v:rect id="_x0000_s2051"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18-143</w:t>
    </w:r>
  </w:p>
  <w:p w:rsidR="00933418" w:rsidRPr="00DF01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RPr="00543FB5" w:rsidP="00CD6ECA">
    <w:pPr>
      <w:pStyle w:val="Header"/>
    </w:pPr>
    <w:r>
      <w:rPr>
        <w:noProof/>
      </w:rPr>
      <w:pict>
        <v:rect id="_x0000_s2052"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FCC 18-143</w:t>
    </w:r>
  </w:p>
  <w:p w:rsidR="00933418" w:rsidRPr="00DF01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CD6ECA">
    <w:pPr>
      <w:pStyle w:val="Header"/>
    </w:pPr>
    <w:r>
      <w:tab/>
      <w:t>Federal Communications Commission</w:t>
    </w:r>
    <w:r>
      <w:tab/>
      <w:t>FCC 18-143</w:t>
    </w:r>
  </w:p>
  <w:p w:rsidR="00933418">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93341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418" w:rsidP="00CD6ECA">
    <w:pPr>
      <w:pStyle w:val="Heade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FCC 18-143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ECA" w:rsidP="00CD6ECA">
    <w:pPr>
      <w:pStyle w:val="Header"/>
    </w:pPr>
    <w:r>
      <w:tab/>
      <w:t>Federal Communications Commission</w:t>
    </w:r>
    <w:r>
      <w:tab/>
      <w:t>FCC 18-143</w:t>
    </w:r>
  </w:p>
  <w:p w:rsidR="00CD6ECA">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1072" o:allowincell="f" fillcolor="black" stroked="f" strokeweight="0.05pt">
          <w10:wrap anchorx="margin"/>
        </v:rect>
      </w:pict>
    </w:r>
  </w:p>
  <w:p w:rsidR="00CD6EC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ECA" w:rsidP="00CD6ECA">
    <w:pPr>
      <w:pStyle w:val="Header"/>
    </w:pPr>
    <w:r>
      <w:rPr>
        <w:noProof/>
      </w:rPr>
      <w:pict>
        <v:rect id="_x0000_s2056"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t>FCC 18-143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41998"/>
    <w:multiLevelType w:val="hybridMultilevel"/>
    <w:tmpl w:val="2EF847D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9C3A7B"/>
    <w:multiLevelType w:val="hybridMultilevel"/>
    <w:tmpl w:val="A178243E"/>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3B4CA0"/>
    <w:multiLevelType w:val="hybridMultilevel"/>
    <w:tmpl w:val="F6665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C441A7"/>
    <w:multiLevelType w:val="hybridMultilevel"/>
    <w:tmpl w:val="72302DBA"/>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233FB5"/>
    <w:multiLevelType w:val="hybridMultilevel"/>
    <w:tmpl w:val="A17824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68D2153"/>
    <w:multiLevelType w:val="hybridMultilevel"/>
    <w:tmpl w:val="6166213A"/>
    <w:lvl w:ilvl="0">
      <w:start w:val="1"/>
      <w:numFmt w:val="upperLetter"/>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936FDE"/>
    <w:multiLevelType w:val="singleLevel"/>
    <w:tmpl w:val="47888604"/>
    <w:lvl w:ilvl="0">
      <w:start w:val="1"/>
      <w:numFmt w:val="decimal"/>
      <w:pStyle w:val="RuleNum"/>
      <w:lvlText w:val="%1."/>
      <w:lvlJc w:val="left"/>
      <w:pPr>
        <w:tabs>
          <w:tab w:val="num" w:pos="630"/>
        </w:tabs>
        <w:ind w:left="270"/>
      </w:pPr>
      <w:rPr>
        <w:rFonts w:cs="Times New Roman"/>
      </w:rPr>
    </w:lvl>
  </w:abstractNum>
  <w:abstractNum w:abstractNumId="12">
    <w:nsid w:val="31F119EA"/>
    <w:multiLevelType w:val="hybridMultilevel"/>
    <w:tmpl w:val="A38EF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0F1B3D"/>
    <w:multiLevelType w:val="singleLevel"/>
    <w:tmpl w:val="06D68F68"/>
    <w:lvl w:ilvl="0">
      <w:start w:val="1"/>
      <w:numFmt w:val="decimal"/>
      <w:pStyle w:val="ParaNumCharCharCharCharCharCharCharChar"/>
      <w:lvlText w:val="%1."/>
      <w:lvlJc w:val="left"/>
      <w:pPr>
        <w:tabs>
          <w:tab w:val="num" w:pos="1180"/>
        </w:tabs>
        <w:ind w:left="100" w:firstLine="780"/>
      </w:pPr>
      <w:rPr>
        <w:rFonts w:ascii="Times New Roman" w:hAnsi="Times New Roman" w:cs="Times New Roman" w:hint="default"/>
        <w:b w:val="0"/>
        <w:i w:val="0"/>
        <w:caps w:val="0"/>
        <w:strike w:val="0"/>
        <w:dstrike w:val="0"/>
        <w:vanish w:val="0"/>
        <w:color w:val="auto"/>
        <w:sz w:val="22"/>
        <w:szCs w:val="22"/>
        <w:u w:val="none"/>
        <w:vertAlign w:val="baseline"/>
      </w:rPr>
    </w:lvl>
  </w:abstractNum>
  <w:abstractNum w:abstractNumId="14">
    <w:nsid w:val="3F530B23"/>
    <w:multiLevelType w:val="hybridMultilevel"/>
    <w:tmpl w:val="F17A698C"/>
    <w:lvl w:ilvl="0">
      <w:start w:val="1"/>
      <w:numFmt w:val="bullet"/>
      <w:pStyle w:val="Style11ptJustifiedFirstline05After11p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6BE77BD"/>
    <w:multiLevelType w:val="hybridMultilevel"/>
    <w:tmpl w:val="2C38E98A"/>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7E406E7"/>
    <w:multiLevelType w:val="hybridMultilevel"/>
    <w:tmpl w:val="D5B04D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7E77058"/>
    <w:multiLevelType w:val="hybridMultilevel"/>
    <w:tmpl w:val="D0840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C5D33D6"/>
    <w:multiLevelType w:val="hybridMultilevel"/>
    <w:tmpl w:val="95FA2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7EB71C9"/>
    <w:multiLevelType w:val="hybridMultilevel"/>
    <w:tmpl w:val="DF7C4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0"/>
  </w:num>
  <w:num w:numId="4">
    <w:abstractNumId w:val="16"/>
  </w:num>
  <w:num w:numId="5">
    <w:abstractNumId w:val="8"/>
  </w:num>
  <w:num w:numId="6">
    <w:abstractNumId w:val="2"/>
  </w:num>
  <w:num w:numId="7">
    <w:abstractNumId w:val="21"/>
    <w:lvlOverride w:ilvl="0">
      <w:startOverride w:val="1"/>
    </w:lvlOverride>
  </w:num>
  <w:num w:numId="8">
    <w:abstractNumId w:val="13"/>
  </w:num>
  <w:num w:numId="9">
    <w:abstractNumId w:val="1"/>
  </w:num>
  <w:num w:numId="10">
    <w:abstractNumId w:val="14"/>
  </w:num>
  <w:num w:numId="11">
    <w:abstractNumId w:val="11"/>
  </w:num>
  <w:num w:numId="12">
    <w:abstractNumId w:val="5"/>
  </w:num>
  <w:num w:numId="13">
    <w:abstractNumId w:val="15"/>
  </w:num>
  <w:num w:numId="14">
    <w:abstractNumId w:val="0"/>
  </w:num>
  <w:num w:numId="15">
    <w:abstractNumId w:val="21"/>
    <w:lvlOverride w:ilvl="0">
      <w:startOverride w:val="1"/>
    </w:lvlOverride>
  </w:num>
  <w:num w:numId="16">
    <w:abstractNumId w:val="6"/>
  </w:num>
  <w:num w:numId="17">
    <w:abstractNumId w:val="21"/>
    <w:lvlOverride w:ilvl="0">
      <w:startOverride w:val="1"/>
    </w:lvlOverride>
  </w:num>
  <w:num w:numId="18">
    <w:abstractNumId w:val="21"/>
    <w:lvlOverride w:ilvl="0">
      <w:startOverride w:val="1"/>
    </w:lvlOverride>
  </w:num>
  <w:num w:numId="19">
    <w:abstractNumId w:val="3"/>
  </w:num>
  <w:num w:numId="20">
    <w:abstractNumId w:val="9"/>
  </w:num>
  <w:num w:numId="21">
    <w:abstractNumId w:val="19"/>
  </w:num>
  <w:num w:numId="22">
    <w:abstractNumId w:val="22"/>
  </w:num>
  <w:num w:numId="23">
    <w:abstractNumId w:val="20"/>
  </w:num>
  <w:num w:numId="24">
    <w:abstractNumId w:val="18"/>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4"/>
  </w:num>
  <w:num w:numId="29">
    <w:abstractNumId w:val="12"/>
  </w:num>
  <w:num w:numId="30">
    <w:abstractNumId w:val="21"/>
    <w:lvlOverride w:ilvl="0">
      <w:startOverride w:val="1"/>
    </w:lvlOverride>
  </w:num>
  <w:num w:numId="31">
    <w:abstractNumId w:val="21"/>
    <w:lvlOverride w:ilvl="0">
      <w:startOverride w:val="1"/>
    </w:lvlOverride>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99" w:unhideWhenUsed="1" w:qFormat="1"/>
    <w:lsdException w:name="annotation reference" w:uiPriority="99"/>
    <w:lsdException w:name="Title" w:uiPriority="99" w:qFormat="1"/>
    <w:lsdException w:name="Body Text" w:uiPriority="99"/>
    <w:lsdException w:name="Body Text Indent" w:uiPriority="99"/>
    <w:lsdException w:name="Subtitle" w:qFormat="1"/>
    <w:lsdException w:name="Body Text 3" w:uiPriority="99"/>
    <w:lsdException w:name="FollowedHyperlink" w:uiPriority="99"/>
    <w:lsdException w:name="Strong" w:uiPriority="99" w:qFormat="1"/>
    <w:lsdException w:name="Emphasis" w:uiPriority="99" w:qFormat="1"/>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4BC"/>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1,Footnote Text Char2,Footnote Text Char2 Char Char Char Char,f"/>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D6ECA"/>
    <w:pPr>
      <w:widowControl/>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4974BC"/>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4974BC"/>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
    <w:link w:val="Heading2"/>
    <w:locked/>
    <w:rsid w:val="004974BC"/>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locked/>
    <w:rsid w:val="004974BC"/>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locked/>
    <w:rsid w:val="004974BC"/>
    <w:rPr>
      <w:b/>
      <w:snapToGrid w:val="0"/>
      <w:kern w:val="28"/>
      <w:sz w:val="22"/>
    </w:rPr>
  </w:style>
  <w:style w:type="character" w:customStyle="1" w:styleId="Heading5Char">
    <w:name w:val="Heading 5 Char"/>
    <w:link w:val="Heading5"/>
    <w:locked/>
    <w:rsid w:val="004974BC"/>
    <w:rPr>
      <w:b/>
      <w:snapToGrid w:val="0"/>
      <w:kern w:val="28"/>
      <w:sz w:val="22"/>
    </w:rPr>
  </w:style>
  <w:style w:type="character" w:customStyle="1" w:styleId="Heading6Char">
    <w:name w:val="Heading 6 Char"/>
    <w:aliases w:val="h6 Char"/>
    <w:link w:val="Heading6"/>
    <w:locked/>
    <w:rsid w:val="004974BC"/>
    <w:rPr>
      <w:b/>
      <w:snapToGrid w:val="0"/>
      <w:kern w:val="28"/>
      <w:sz w:val="22"/>
    </w:rPr>
  </w:style>
  <w:style w:type="character" w:customStyle="1" w:styleId="Heading7Char">
    <w:name w:val="Heading 7 Char"/>
    <w:link w:val="Heading7"/>
    <w:locked/>
    <w:rsid w:val="004974BC"/>
    <w:rPr>
      <w:b/>
      <w:snapToGrid w:val="0"/>
      <w:kern w:val="28"/>
      <w:sz w:val="22"/>
    </w:rPr>
  </w:style>
  <w:style w:type="character" w:customStyle="1" w:styleId="Heading8Char">
    <w:name w:val="Heading 8 Char"/>
    <w:link w:val="Heading8"/>
    <w:locked/>
    <w:rsid w:val="004974BC"/>
    <w:rPr>
      <w:b/>
      <w:snapToGrid w:val="0"/>
      <w:kern w:val="28"/>
      <w:sz w:val="22"/>
    </w:rPr>
  </w:style>
  <w:style w:type="character" w:customStyle="1" w:styleId="Heading9Char">
    <w:name w:val="Heading 9 Char"/>
    <w:aliases w:val="9 Char,Heading 9.table Char,Titre 9 Char,Topic Char,t Char,table Char"/>
    <w:link w:val="Heading9"/>
    <w:locked/>
    <w:rsid w:val="004974BC"/>
    <w:rPr>
      <w:b/>
      <w:snapToGrid w:val="0"/>
      <w:kern w:val="28"/>
      <w:sz w:val="22"/>
    </w:rPr>
  </w:style>
  <w:style w:type="character" w:customStyle="1" w:styleId="EndnoteTextChar">
    <w:name w:val="Endnote Text Char"/>
    <w:link w:val="EndnoteText"/>
    <w:semiHidden/>
    <w:locked/>
    <w:rsid w:val="004974BC"/>
    <w:rPr>
      <w:snapToGrid w:val="0"/>
      <w:kern w:val="28"/>
    </w:rPr>
  </w:style>
  <w:style w:type="character" w:customStyle="1" w:styleId="FootnoteTextChar">
    <w:name w:val="Footnote Text Char"/>
    <w:aliases w:val="Footnote Text Char Char Char Char,Footnote Text Char Char Char Char Char Char Char,Footnote Text Char1 Char Char Char Char,Footnote Text Char1 Char1 Char,Footnote Text Char2 Char,Footnote Text Char2 Char Char Char Char Char,f Char"/>
    <w:link w:val="FootnoteText"/>
    <w:rsid w:val="004974BC"/>
  </w:style>
  <w:style w:type="character" w:customStyle="1" w:styleId="HeaderChar">
    <w:name w:val="Header Char"/>
    <w:link w:val="Header"/>
    <w:locked/>
    <w:rsid w:val="00CD6ECA"/>
    <w:rPr>
      <w:b/>
      <w:snapToGrid w:val="0"/>
      <w:kern w:val="28"/>
      <w:sz w:val="22"/>
    </w:rPr>
  </w:style>
  <w:style w:type="paragraph" w:styleId="Caption">
    <w:name w:val="caption"/>
    <w:basedOn w:val="Normal"/>
    <w:next w:val="Normal"/>
    <w:uiPriority w:val="99"/>
    <w:qFormat/>
    <w:rsid w:val="004974BC"/>
    <w:pPr>
      <w:spacing w:before="120" w:after="120"/>
    </w:pPr>
    <w:rPr>
      <w:b/>
    </w:rPr>
  </w:style>
  <w:style w:type="paragraph" w:styleId="BalloonText">
    <w:name w:val="Balloon Text"/>
    <w:basedOn w:val="Normal"/>
    <w:link w:val="BalloonTextChar"/>
    <w:uiPriority w:val="99"/>
    <w:rsid w:val="004974BC"/>
    <w:rPr>
      <w:rFonts w:ascii="Tahoma" w:hAnsi="Tahoma" w:cs="Tahoma"/>
      <w:sz w:val="16"/>
      <w:szCs w:val="16"/>
    </w:rPr>
  </w:style>
  <w:style w:type="character" w:customStyle="1" w:styleId="BalloonTextChar">
    <w:name w:val="Balloon Text Char"/>
    <w:link w:val="BalloonText"/>
    <w:uiPriority w:val="99"/>
    <w:rsid w:val="004974BC"/>
    <w:rPr>
      <w:rFonts w:ascii="Tahoma" w:hAnsi="Tahoma" w:cs="Tahoma"/>
      <w:snapToGrid w:val="0"/>
      <w:kern w:val="28"/>
      <w:sz w:val="16"/>
      <w:szCs w:val="16"/>
    </w:rPr>
  </w:style>
  <w:style w:type="character" w:customStyle="1" w:styleId="FootnoteTextChar2Char1">
    <w:name w:val="Footnote Text Char2 Char1"/>
    <w:aliases w:val="Footnote Text Char Char1 Char Char Char1,Footnote Text Char Char1 Char2,Footnote Text Char1 Char Char Char1 Char Char Char1,Footnote Text Char2 Char Char1 Char Char Char1,Footnote Text Char3 Char Char Char1,Footnote Text Char4"/>
    <w:uiPriority w:val="99"/>
    <w:locked/>
    <w:rsid w:val="004974BC"/>
  </w:style>
  <w:style w:type="character" w:customStyle="1" w:styleId="FootnoteTextChar6">
    <w:name w:val="Footnote Text Char6"/>
    <w:aliases w:val="Footnote Text Char Char Char Char Char Char Char3,Footnote Text Char Char Char Char3,Footnote Text Char1 Char Char Char Char3,Footnote Text Char1 Char1 Char3,Footnote Text Char2 Char Char Char Char Char3,Footnote Text Char2 Char3"/>
    <w:uiPriority w:val="99"/>
    <w:locked/>
    <w:rsid w:val="004974BC"/>
    <w:rPr>
      <w:kern w:val="28"/>
    </w:rPr>
  </w:style>
  <w:style w:type="paragraph" w:customStyle="1" w:styleId="ParaNumCharCharChar">
    <w:name w:val="ParaNum Char Char Char"/>
    <w:basedOn w:val="Normal"/>
    <w:link w:val="ParaNumCharCharCharChar"/>
    <w:uiPriority w:val="99"/>
    <w:rsid w:val="004974BC"/>
    <w:pPr>
      <w:tabs>
        <w:tab w:val="num" w:pos="1080"/>
      </w:tabs>
      <w:spacing w:after="120"/>
      <w:ind w:firstLine="720"/>
    </w:pPr>
  </w:style>
  <w:style w:type="character" w:customStyle="1" w:styleId="ParaNumCharCharCharChar">
    <w:name w:val="ParaNum Char Char Char Char"/>
    <w:link w:val="ParaNumCharCharChar"/>
    <w:uiPriority w:val="99"/>
    <w:locked/>
    <w:rsid w:val="004974BC"/>
    <w:rPr>
      <w:snapToGrid w:val="0"/>
      <w:kern w:val="28"/>
      <w:sz w:val="22"/>
    </w:rPr>
  </w:style>
  <w:style w:type="character" w:customStyle="1" w:styleId="FootnoteTextChar5">
    <w:name w:val="Footnote Text Char5"/>
    <w:aliases w:val="Footnote Text Char Char Char Char Char Char Char2,Footnote Text Char Char Char Char2,Footnote Text Char1 Char Char Char Char2,Footnote Text Char1 Char1 Char1,Footnote Text Char2 Char Char Char Char Char2,Footnote Text Char2 Char2"/>
    <w:uiPriority w:val="99"/>
    <w:rsid w:val="004974BC"/>
    <w:rPr>
      <w:lang w:val="en-US" w:eastAsia="en-US"/>
    </w:rPr>
  </w:style>
  <w:style w:type="paragraph" w:styleId="NormalWeb">
    <w:name w:val="Normal (Web)"/>
    <w:basedOn w:val="Normal"/>
    <w:uiPriority w:val="99"/>
    <w:rsid w:val="004974BC"/>
    <w:pPr>
      <w:spacing w:before="100" w:beforeAutospacing="1" w:after="100" w:afterAutospacing="1"/>
    </w:pPr>
    <w:rPr>
      <w:sz w:val="24"/>
      <w:szCs w:val="24"/>
    </w:rPr>
  </w:style>
  <w:style w:type="character" w:customStyle="1" w:styleId="documentbody">
    <w:name w:val="documentbody"/>
    <w:uiPriority w:val="99"/>
    <w:rsid w:val="004974BC"/>
  </w:style>
  <w:style w:type="character" w:customStyle="1" w:styleId="groupheading">
    <w:name w:val="groupheading"/>
    <w:uiPriority w:val="99"/>
    <w:rsid w:val="004974BC"/>
  </w:style>
  <w:style w:type="character" w:customStyle="1" w:styleId="resultsublistitem">
    <w:name w:val="resultsublistitem"/>
    <w:uiPriority w:val="99"/>
    <w:rsid w:val="004974BC"/>
  </w:style>
  <w:style w:type="character" w:customStyle="1" w:styleId="FootnoteTextChar1Char">
    <w:name w:val="Footnote Text Char1 Char"/>
    <w:aliases w:val="Footnote Text Char1 Char Char Char Char Char Char,Footnote Text Char1 Char Char Char1 Char,Footnote Text Char1 Char1 Char Char Char,Footnote Text Char2 Char Char Char,Footnote Text Char3,Footnote Text Char3 Char1 Char Char Char"/>
    <w:uiPriority w:val="99"/>
    <w:rsid w:val="004974BC"/>
    <w:rPr>
      <w:snapToGrid w:val="0"/>
      <w:kern w:val="28"/>
      <w:sz w:val="22"/>
      <w:lang w:val="en-US" w:eastAsia="en-US"/>
    </w:rPr>
  </w:style>
  <w:style w:type="character" w:customStyle="1" w:styleId="resultsublistitemfull">
    <w:name w:val="resultsublistitemfull"/>
    <w:uiPriority w:val="99"/>
    <w:rsid w:val="004974BC"/>
  </w:style>
  <w:style w:type="character" w:customStyle="1" w:styleId="searchterm">
    <w:name w:val="searchterm"/>
    <w:uiPriority w:val="99"/>
    <w:rsid w:val="004974BC"/>
  </w:style>
  <w:style w:type="character" w:customStyle="1" w:styleId="bestsection">
    <w:name w:val="bestsection"/>
    <w:uiPriority w:val="99"/>
    <w:rsid w:val="004974BC"/>
  </w:style>
  <w:style w:type="character" w:customStyle="1" w:styleId="FootnoteTextCharChar1">
    <w:name w:val="Footnote Text Char Char1"/>
    <w:aliases w:val="Footnote Text Char Char1 Char2 Char,Footnote Text Char1 Char1 Char Char,Footnote Text Char2 Char Char,Footnote Text Char2 Char Char Char Char Char Char,Footnote Text Char2 Char1 Char,Footnote Text Char3 Char Char Char1 Char"/>
    <w:uiPriority w:val="99"/>
    <w:rsid w:val="004974BC"/>
    <w:rPr>
      <w:lang w:val="en-US" w:eastAsia="en-US"/>
    </w:rPr>
  </w:style>
  <w:style w:type="paragraph" w:customStyle="1" w:styleId="Default">
    <w:name w:val="Default"/>
    <w:rsid w:val="004974BC"/>
    <w:pPr>
      <w:autoSpaceDE w:val="0"/>
      <w:autoSpaceDN w:val="0"/>
      <w:adjustRightInd w:val="0"/>
    </w:pPr>
    <w:rPr>
      <w:rFonts w:ascii="NIJMAB+TimesNewRoman" w:hAnsi="NIJMAB+TimesNewRoman" w:cs="NIJMAB+TimesNewRoman"/>
      <w:color w:val="000000"/>
      <w:sz w:val="24"/>
      <w:szCs w:val="24"/>
    </w:rPr>
  </w:style>
  <w:style w:type="character" w:styleId="Strong">
    <w:name w:val="Strong"/>
    <w:uiPriority w:val="99"/>
    <w:qFormat/>
    <w:rsid w:val="004974BC"/>
    <w:rPr>
      <w:rFonts w:cs="Times New Roman"/>
      <w:b/>
    </w:rPr>
  </w:style>
  <w:style w:type="character" w:customStyle="1" w:styleId="FootnoteTextChar3Char">
    <w:name w:val="Footnote Text Char3 Char"/>
    <w:aliases w:val="ALTS FOOTNOTE Char1 Char1 Char Char Char Char,Footnote Text Char Char Char Char Char,Footnote Text Char1 Char Char,Footnote Text Char1 Char Char Char Char Char,Footnote Text Char2 Char Char1,fn Char1 Char1 Char Char Char Char"/>
    <w:uiPriority w:val="99"/>
    <w:rsid w:val="004974BC"/>
    <w:rPr>
      <w:lang w:val="en-US" w:eastAsia="en-US"/>
    </w:rPr>
  </w:style>
  <w:style w:type="character" w:customStyle="1" w:styleId="FootnoteTextChar5Char">
    <w:name w:val="Footnote Text Char5 Char"/>
    <w:aliases w:val="Char1 Char,Footnote Text Char2 Char1 Char1 Char Char40 Char,Footnote Text Char2 Char4 Char,Footnote Text Char2 Char4 Char Char Char,Footnote Text Char3 Char1 Char2 Char Char,Footnote Text Char5 Char Char Char1"/>
    <w:uiPriority w:val="99"/>
    <w:rsid w:val="004974BC"/>
    <w:rPr>
      <w:rFonts w:ascii="Times New Roman" w:hAnsi="Times New Roman"/>
      <w:snapToGrid w:val="0"/>
      <w:sz w:val="20"/>
    </w:rPr>
  </w:style>
  <w:style w:type="character" w:customStyle="1" w:styleId="StyleFootnoteReference11pt">
    <w:name w:val="Style Footnote Reference + 11 pt"/>
    <w:uiPriority w:val="99"/>
    <w:rsid w:val="004974BC"/>
    <w:rPr>
      <w:rFonts w:ascii="Times New Roman" w:hAnsi="Times New Roman"/>
      <w:color w:val="auto"/>
      <w:kern w:val="28"/>
      <w:sz w:val="20"/>
      <w:vertAlign w:val="superscript"/>
      <w:lang w:val="en-US"/>
    </w:rPr>
  </w:style>
  <w:style w:type="character" w:customStyle="1" w:styleId="FootnoteTextCharCharChar1">
    <w:name w:val="Footnote Text Char Char Char1"/>
    <w:aliases w:val="Footnote Text Char2 Char Char Char1,Footnote Text Char2 Char1 Char1 Char Char Char1,Footnote Text Char3 Char1 Char Char Char Char Char1,Footnote Text Char3 Char1 Char Char Char1,fn Char Char"/>
    <w:uiPriority w:val="99"/>
    <w:rsid w:val="004974BC"/>
    <w:rPr>
      <w:lang w:val="en-US" w:eastAsia="en-US"/>
    </w:rPr>
  </w:style>
  <w:style w:type="character" w:styleId="CommentReference">
    <w:name w:val="annotation reference"/>
    <w:uiPriority w:val="99"/>
    <w:rsid w:val="004974BC"/>
    <w:rPr>
      <w:rFonts w:cs="Times New Roman"/>
      <w:sz w:val="16"/>
    </w:rPr>
  </w:style>
  <w:style w:type="paragraph" w:styleId="CommentText">
    <w:name w:val="annotation text"/>
    <w:basedOn w:val="Normal"/>
    <w:link w:val="CommentTextChar"/>
    <w:uiPriority w:val="99"/>
    <w:rsid w:val="004974BC"/>
    <w:rPr>
      <w:sz w:val="20"/>
    </w:rPr>
  </w:style>
  <w:style w:type="character" w:customStyle="1" w:styleId="CommentTextChar">
    <w:name w:val="Comment Text Char"/>
    <w:link w:val="CommentText"/>
    <w:uiPriority w:val="99"/>
    <w:rsid w:val="004974BC"/>
    <w:rPr>
      <w:snapToGrid w:val="0"/>
      <w:kern w:val="28"/>
    </w:rPr>
  </w:style>
  <w:style w:type="paragraph" w:customStyle="1" w:styleId="ParaNumCharCharCharCharCharCharCharChar">
    <w:name w:val="ParaNum Char Char Char Char Char Char Char Char"/>
    <w:basedOn w:val="Normal"/>
    <w:link w:val="ParaNumCharCharCharCharCharCharCharCharChar"/>
    <w:uiPriority w:val="99"/>
    <w:rsid w:val="004974BC"/>
    <w:pPr>
      <w:numPr>
        <w:numId w:val="8"/>
      </w:numPr>
      <w:tabs>
        <w:tab w:val="left" w:pos="1440"/>
      </w:tabs>
      <w:spacing w:after="220"/>
      <w:jc w:val="both"/>
    </w:pPr>
  </w:style>
  <w:style w:type="character" w:customStyle="1" w:styleId="ParaNumCharCharCharCharCharCharCharCharChar">
    <w:name w:val="ParaNum Char Char Char Char Char Char Char Char Char"/>
    <w:link w:val="ParaNumCharCharCharCharCharCharCharChar"/>
    <w:uiPriority w:val="99"/>
    <w:locked/>
    <w:rsid w:val="004974BC"/>
    <w:rPr>
      <w:snapToGrid w:val="0"/>
      <w:kern w:val="28"/>
      <w:sz w:val="22"/>
    </w:rPr>
  </w:style>
  <w:style w:type="paragraph" w:customStyle="1" w:styleId="ParaNumCharChar">
    <w:name w:val="ParaNum Char Char"/>
    <w:basedOn w:val="Normal"/>
    <w:uiPriority w:val="99"/>
    <w:rsid w:val="004974BC"/>
    <w:pPr>
      <w:numPr>
        <w:numId w:val="9"/>
      </w:numPr>
      <w:tabs>
        <w:tab w:val="left" w:pos="1260"/>
      </w:tabs>
      <w:spacing w:after="220"/>
    </w:p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4974BC"/>
    <w:pPr>
      <w:tabs>
        <w:tab w:val="num" w:pos="720"/>
        <w:tab w:val="left" w:pos="1080"/>
      </w:tabs>
      <w:spacing w:after="240"/>
      <w:ind w:firstLine="360"/>
    </w:p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4974BC"/>
    <w:rPr>
      <w:snapToGrid w:val="0"/>
      <w:kern w:val="28"/>
      <w:sz w:val="22"/>
    </w:rPr>
  </w:style>
  <w:style w:type="character" w:customStyle="1" w:styleId="ParaNumChar1">
    <w:name w:val="ParaNum Char1"/>
    <w:uiPriority w:val="99"/>
    <w:rsid w:val="004974BC"/>
    <w:rPr>
      <w:snapToGrid w:val="0"/>
      <w:kern w:val="28"/>
      <w:sz w:val="22"/>
      <w:lang w:val="en-US" w:eastAsia="en-US"/>
    </w:rPr>
  </w:style>
  <w:style w:type="paragraph" w:styleId="ListParagraph">
    <w:name w:val="List Paragraph"/>
    <w:basedOn w:val="Normal"/>
    <w:uiPriority w:val="99"/>
    <w:qFormat/>
    <w:rsid w:val="004974BC"/>
    <w:pPr>
      <w:ind w:left="720"/>
      <w:contextualSpacing/>
    </w:pPr>
    <w:rPr>
      <w:sz w:val="24"/>
      <w:szCs w:val="24"/>
    </w:rPr>
  </w:style>
  <w:style w:type="paragraph" w:styleId="BodyText">
    <w:name w:val="Body Text"/>
    <w:basedOn w:val="Normal"/>
    <w:link w:val="BodyTextChar"/>
    <w:uiPriority w:val="99"/>
    <w:rsid w:val="004974BC"/>
    <w:pPr>
      <w:spacing w:line="480" w:lineRule="auto"/>
      <w:jc w:val="both"/>
    </w:pPr>
    <w:rPr>
      <w:sz w:val="24"/>
    </w:rPr>
  </w:style>
  <w:style w:type="character" w:customStyle="1" w:styleId="BodyTextChar">
    <w:name w:val="Body Text Char"/>
    <w:link w:val="BodyText"/>
    <w:uiPriority w:val="99"/>
    <w:rsid w:val="004974BC"/>
    <w:rPr>
      <w:snapToGrid w:val="0"/>
      <w:kern w:val="28"/>
      <w:sz w:val="24"/>
    </w:rPr>
  </w:style>
  <w:style w:type="paragraph" w:customStyle="1" w:styleId="Style11ptJustifiedFirstline05After11pt">
    <w:name w:val="Style 11 pt Justified First line:  0.5&quot; After:  11 pt"/>
    <w:basedOn w:val="Normal"/>
    <w:uiPriority w:val="99"/>
    <w:rsid w:val="004974BC"/>
    <w:pPr>
      <w:numPr>
        <w:numId w:val="10"/>
      </w:numPr>
      <w:spacing w:after="220"/>
      <w:jc w:val="both"/>
    </w:pPr>
    <w:rPr>
      <w:rFonts w:eastAsia="Batang"/>
      <w:sz w:val="24"/>
      <w:lang w:eastAsia="ko-KR"/>
    </w:rPr>
  </w:style>
  <w:style w:type="paragraph" w:styleId="BodyTextIndent">
    <w:name w:val="Body Text Indent"/>
    <w:basedOn w:val="Normal"/>
    <w:link w:val="BodyTextIndentChar"/>
    <w:uiPriority w:val="99"/>
    <w:rsid w:val="004974BC"/>
    <w:pPr>
      <w:spacing w:after="240"/>
      <w:ind w:firstLine="576"/>
      <w:jc w:val="both"/>
    </w:pPr>
    <w:rPr>
      <w:sz w:val="24"/>
    </w:rPr>
  </w:style>
  <w:style w:type="character" w:customStyle="1" w:styleId="BodyTextIndentChar">
    <w:name w:val="Body Text Indent Char"/>
    <w:link w:val="BodyTextIndent"/>
    <w:uiPriority w:val="99"/>
    <w:rsid w:val="004974BC"/>
    <w:rPr>
      <w:snapToGrid w:val="0"/>
      <w:kern w:val="28"/>
      <w:sz w:val="24"/>
    </w:rPr>
  </w:style>
  <w:style w:type="paragraph" w:styleId="E-mailSignature">
    <w:name w:val="E-mail Signature"/>
    <w:basedOn w:val="Normal"/>
    <w:link w:val="E-mailSignatureChar"/>
    <w:uiPriority w:val="99"/>
    <w:rsid w:val="004974BC"/>
    <w:rPr>
      <w:sz w:val="24"/>
    </w:rPr>
  </w:style>
  <w:style w:type="character" w:customStyle="1" w:styleId="E-mailSignatureChar">
    <w:name w:val="E-mail Signature Char"/>
    <w:link w:val="E-mailSignature"/>
    <w:uiPriority w:val="99"/>
    <w:rsid w:val="004974BC"/>
    <w:rPr>
      <w:snapToGrid w:val="0"/>
      <w:kern w:val="28"/>
      <w:sz w:val="24"/>
    </w:rPr>
  </w:style>
  <w:style w:type="paragraph" w:styleId="BodyText3">
    <w:name w:val="Body Text 3"/>
    <w:basedOn w:val="Normal"/>
    <w:link w:val="BodyText3Char"/>
    <w:uiPriority w:val="99"/>
    <w:rsid w:val="004974B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sz w:val="24"/>
      <w:u w:val="single"/>
    </w:rPr>
  </w:style>
  <w:style w:type="character" w:customStyle="1" w:styleId="BodyText3Char">
    <w:name w:val="Body Text 3 Char"/>
    <w:link w:val="BodyText3"/>
    <w:uiPriority w:val="99"/>
    <w:rsid w:val="004974BC"/>
    <w:rPr>
      <w:b/>
      <w:snapToGrid w:val="0"/>
      <w:kern w:val="28"/>
      <w:sz w:val="24"/>
      <w:u w:val="single"/>
    </w:rPr>
  </w:style>
  <w:style w:type="paragraph" w:styleId="CommentSubject">
    <w:name w:val="annotation subject"/>
    <w:basedOn w:val="CommentText"/>
    <w:next w:val="CommentText"/>
    <w:link w:val="CommentSubjectChar"/>
    <w:uiPriority w:val="99"/>
    <w:rsid w:val="004974BC"/>
    <w:rPr>
      <w:b/>
      <w:bCs/>
    </w:rPr>
  </w:style>
  <w:style w:type="character" w:customStyle="1" w:styleId="CommentSubjectChar">
    <w:name w:val="Comment Subject Char"/>
    <w:link w:val="CommentSubject"/>
    <w:uiPriority w:val="99"/>
    <w:rsid w:val="004974BC"/>
    <w:rPr>
      <w:b/>
      <w:bCs/>
      <w:snapToGrid w:val="0"/>
      <w:kern w:val="28"/>
    </w:rPr>
  </w:style>
  <w:style w:type="paragraph" w:styleId="Title">
    <w:name w:val="Title"/>
    <w:basedOn w:val="Normal"/>
    <w:link w:val="TitleChar"/>
    <w:uiPriority w:val="99"/>
    <w:qFormat/>
    <w:rsid w:val="004974BC"/>
    <w:pPr>
      <w:jc w:val="center"/>
    </w:pPr>
    <w:rPr>
      <w:rFonts w:ascii="Cambria" w:hAnsi="Cambria"/>
      <w:b/>
      <w:bCs/>
      <w:sz w:val="32"/>
      <w:szCs w:val="32"/>
    </w:rPr>
  </w:style>
  <w:style w:type="character" w:customStyle="1" w:styleId="TitleChar">
    <w:name w:val="Title Char"/>
    <w:link w:val="Title"/>
    <w:uiPriority w:val="99"/>
    <w:rsid w:val="004974BC"/>
    <w:rPr>
      <w:rFonts w:ascii="Cambria" w:hAnsi="Cambria"/>
      <w:b/>
      <w:bCs/>
      <w:snapToGrid w:val="0"/>
      <w:kern w:val="28"/>
      <w:sz w:val="32"/>
      <w:szCs w:val="32"/>
    </w:rPr>
  </w:style>
  <w:style w:type="character" w:customStyle="1" w:styleId="pmterms21">
    <w:name w:val="pmterms21"/>
    <w:uiPriority w:val="99"/>
    <w:rsid w:val="004974BC"/>
    <w:rPr>
      <w:b/>
      <w:color w:val="000000"/>
    </w:rPr>
  </w:style>
  <w:style w:type="paragraph" w:styleId="Revision">
    <w:name w:val="Revision"/>
    <w:hidden/>
    <w:uiPriority w:val="99"/>
    <w:semiHidden/>
    <w:rsid w:val="004974BC"/>
    <w:rPr>
      <w:kern w:val="28"/>
      <w:sz w:val="22"/>
    </w:rPr>
  </w:style>
  <w:style w:type="character" w:customStyle="1" w:styleId="term1">
    <w:name w:val="term1"/>
    <w:uiPriority w:val="99"/>
    <w:rsid w:val="004974BC"/>
    <w:rPr>
      <w:b/>
    </w:rPr>
  </w:style>
  <w:style w:type="character" w:styleId="Emphasis">
    <w:name w:val="Emphasis"/>
    <w:uiPriority w:val="99"/>
    <w:qFormat/>
    <w:rsid w:val="004974BC"/>
    <w:rPr>
      <w:rFonts w:cs="Times New Roman"/>
      <w:i/>
    </w:rPr>
  </w:style>
  <w:style w:type="character" w:styleId="FollowedHyperlink">
    <w:name w:val="FollowedHyperlink"/>
    <w:uiPriority w:val="99"/>
    <w:rsid w:val="004974BC"/>
    <w:rPr>
      <w:rFonts w:cs="Times New Roman"/>
      <w:color w:val="800080"/>
      <w:u w:val="single"/>
    </w:rPr>
  </w:style>
  <w:style w:type="paragraph" w:customStyle="1" w:styleId="typelabel">
    <w:name w:val="typelabel"/>
    <w:basedOn w:val="Normal"/>
    <w:uiPriority w:val="99"/>
    <w:rsid w:val="004974BC"/>
    <w:pPr>
      <w:spacing w:before="100" w:beforeAutospacing="1" w:after="100" w:afterAutospacing="1"/>
    </w:pPr>
    <w:rPr>
      <w:sz w:val="24"/>
      <w:szCs w:val="24"/>
    </w:rPr>
  </w:style>
  <w:style w:type="paragraph" w:customStyle="1" w:styleId="paranum0">
    <w:name w:val="paranum"/>
    <w:basedOn w:val="Normal"/>
    <w:link w:val="paranumChar0"/>
    <w:uiPriority w:val="99"/>
    <w:rsid w:val="004974BC"/>
    <w:pPr>
      <w:tabs>
        <w:tab w:val="num" w:pos="1080"/>
      </w:tabs>
      <w:spacing w:after="120"/>
      <w:ind w:firstLine="720"/>
    </w:pPr>
  </w:style>
  <w:style w:type="character" w:customStyle="1" w:styleId="paranumChar0">
    <w:name w:val="paranum Char"/>
    <w:link w:val="paranum0"/>
    <w:uiPriority w:val="99"/>
    <w:locked/>
    <w:rsid w:val="004974BC"/>
    <w:rPr>
      <w:snapToGrid w:val="0"/>
      <w:kern w:val="28"/>
      <w:sz w:val="22"/>
    </w:rPr>
  </w:style>
  <w:style w:type="character" w:customStyle="1" w:styleId="pmterms11">
    <w:name w:val="pmterms11"/>
    <w:uiPriority w:val="99"/>
    <w:rsid w:val="004974BC"/>
    <w:rPr>
      <w:b/>
      <w:color w:val="000000"/>
    </w:rPr>
  </w:style>
  <w:style w:type="character" w:customStyle="1" w:styleId="Footnote">
    <w:name w:val="Footnote"/>
    <w:uiPriority w:val="99"/>
    <w:rsid w:val="004974BC"/>
  </w:style>
  <w:style w:type="character" w:customStyle="1" w:styleId="Heading2CharChar2">
    <w:name w:val="Heading 2 Char Char2"/>
    <w:uiPriority w:val="99"/>
    <w:rsid w:val="004974BC"/>
    <w:rPr>
      <w:b/>
      <w:snapToGrid w:val="0"/>
      <w:kern w:val="28"/>
      <w:sz w:val="24"/>
      <w:lang w:val="en-US" w:eastAsia="en-US"/>
    </w:rPr>
  </w:style>
  <w:style w:type="character" w:customStyle="1" w:styleId="FootnoteTextCharCharCharChar3CharCharChar1">
    <w:name w:val="Footnote Text Char Char Char Char3 Char Char Char1"/>
    <w:aliases w:val="Footnote Text Char Char Char Char3 Char,Footnote Text Char Char3 Char,Footnote Text Char1 Char Char3 Char"/>
    <w:uiPriority w:val="99"/>
    <w:rsid w:val="004974BC"/>
    <w:rPr>
      <w:lang w:val="en-US" w:eastAsia="en-US"/>
    </w:rPr>
  </w:style>
  <w:style w:type="paragraph" w:customStyle="1" w:styleId="StyleParaNum">
    <w:name w:val="Style ParaNum +"/>
    <w:basedOn w:val="ParaNum"/>
    <w:link w:val="StyleParaNumChar"/>
    <w:autoRedefine/>
    <w:uiPriority w:val="99"/>
    <w:rsid w:val="004974BC"/>
    <w:pPr>
      <w:numPr>
        <w:numId w:val="0"/>
      </w:numPr>
      <w:tabs>
        <w:tab w:val="num" w:pos="1440"/>
      </w:tabs>
      <w:ind w:firstLine="720"/>
    </w:pPr>
  </w:style>
  <w:style w:type="character" w:customStyle="1" w:styleId="StyleParaNumChar">
    <w:name w:val="Style ParaNum + Char"/>
    <w:link w:val="StyleParaNum"/>
    <w:uiPriority w:val="99"/>
    <w:locked/>
    <w:rsid w:val="004974BC"/>
    <w:rPr>
      <w:snapToGrid w:val="0"/>
      <w:kern w:val="28"/>
      <w:sz w:val="22"/>
    </w:rPr>
  </w:style>
  <w:style w:type="paragraph" w:customStyle="1" w:styleId="ParaNumAppndx">
    <w:name w:val="ParaNum Appndx"/>
    <w:basedOn w:val="ParaNum"/>
    <w:uiPriority w:val="99"/>
    <w:rsid w:val="004974BC"/>
    <w:pPr>
      <w:numPr>
        <w:numId w:val="0"/>
      </w:numPr>
      <w:tabs>
        <w:tab w:val="num" w:pos="1440"/>
      </w:tabs>
      <w:ind w:firstLine="720"/>
    </w:pPr>
  </w:style>
  <w:style w:type="paragraph" w:customStyle="1" w:styleId="ParaNumChar1Char">
    <w:name w:val="ParaNum Char1 Char"/>
    <w:basedOn w:val="Normal"/>
    <w:link w:val="ParaNumChar1CharChar"/>
    <w:uiPriority w:val="99"/>
    <w:rsid w:val="004974BC"/>
    <w:pPr>
      <w:tabs>
        <w:tab w:val="num" w:pos="1080"/>
        <w:tab w:val="left" w:pos="1440"/>
      </w:tabs>
      <w:spacing w:after="220"/>
      <w:ind w:firstLine="720"/>
    </w:pPr>
  </w:style>
  <w:style w:type="character" w:customStyle="1" w:styleId="ParaNumChar1CharChar">
    <w:name w:val="ParaNum Char1 Char Char"/>
    <w:link w:val="ParaNumChar1Char"/>
    <w:uiPriority w:val="99"/>
    <w:locked/>
    <w:rsid w:val="004974BC"/>
    <w:rPr>
      <w:snapToGrid w:val="0"/>
      <w:kern w:val="28"/>
      <w:sz w:val="22"/>
    </w:rPr>
  </w:style>
  <w:style w:type="character" w:customStyle="1" w:styleId="StyleFootnoteReferenceStyle13Style12NECGFootnoteReferenc">
    <w:name w:val="Style Footnote ReferenceStyle 13Style 12(NECG) Footnote Referenc..."/>
    <w:uiPriority w:val="99"/>
    <w:rsid w:val="004974BC"/>
    <w:rPr>
      <w:rFonts w:ascii="Times New Roman" w:hAnsi="Times New Roman"/>
      <w:color w:val="auto"/>
      <w:sz w:val="20"/>
      <w:vertAlign w:val="superscript"/>
    </w:rPr>
  </w:style>
  <w:style w:type="paragraph" w:styleId="PlainText">
    <w:name w:val="Plain Text"/>
    <w:basedOn w:val="Normal"/>
    <w:link w:val="PlainTextChar"/>
    <w:uiPriority w:val="99"/>
    <w:rsid w:val="004974BC"/>
    <w:rPr>
      <w:rFonts w:ascii="Courier New" w:hAnsi="Courier New"/>
      <w:sz w:val="20"/>
    </w:rPr>
  </w:style>
  <w:style w:type="character" w:customStyle="1" w:styleId="PlainTextChar">
    <w:name w:val="Plain Text Char"/>
    <w:link w:val="PlainText"/>
    <w:uiPriority w:val="99"/>
    <w:rsid w:val="004974BC"/>
    <w:rPr>
      <w:rFonts w:ascii="Courier New" w:hAnsi="Courier New"/>
      <w:snapToGrid w:val="0"/>
      <w:kern w:val="28"/>
    </w:rPr>
  </w:style>
  <w:style w:type="paragraph" w:customStyle="1" w:styleId="Title1">
    <w:name w:val="Title1"/>
    <w:basedOn w:val="Normal"/>
    <w:uiPriority w:val="99"/>
    <w:rsid w:val="004974BC"/>
    <w:pPr>
      <w:spacing w:before="100" w:beforeAutospacing="1" w:after="100" w:afterAutospacing="1"/>
    </w:pPr>
    <w:rPr>
      <w:rFonts w:ascii="Arial" w:hAnsi="Arial" w:cs="Arial"/>
      <w:b/>
      <w:bCs/>
      <w:sz w:val="20"/>
    </w:rPr>
  </w:style>
  <w:style w:type="character" w:customStyle="1" w:styleId="informationalsmall">
    <w:name w:val="informationalsmall"/>
    <w:uiPriority w:val="99"/>
    <w:rsid w:val="004974BC"/>
    <w:rPr>
      <w:rFonts w:cs="Times New Roman"/>
    </w:rPr>
  </w:style>
  <w:style w:type="paragraph" w:customStyle="1" w:styleId="StyleParaNumLeftAfter6pt">
    <w:name w:val="Style ParaNum + Left After:  6 pt"/>
    <w:basedOn w:val="ParaNum"/>
    <w:uiPriority w:val="99"/>
    <w:rsid w:val="004974BC"/>
    <w:pPr>
      <w:numPr>
        <w:numId w:val="0"/>
      </w:numPr>
      <w:tabs>
        <w:tab w:val="left" w:pos="1440"/>
      </w:tabs>
      <w:spacing w:after="220"/>
      <w:ind w:firstLine="720"/>
      <w:jc w:val="both"/>
    </w:pPr>
  </w:style>
  <w:style w:type="character" w:customStyle="1" w:styleId="CITE">
    <w:name w:val="CITE"/>
    <w:uiPriority w:val="99"/>
    <w:rsid w:val="004974BC"/>
    <w:rPr>
      <w:i/>
    </w:rPr>
  </w:style>
  <w:style w:type="paragraph" w:customStyle="1" w:styleId="RuleNum">
    <w:name w:val="Rule Num"/>
    <w:basedOn w:val="Normal"/>
    <w:uiPriority w:val="99"/>
    <w:rsid w:val="004974BC"/>
    <w:pPr>
      <w:numPr>
        <w:numId w:val="11"/>
      </w:numPr>
      <w:tabs>
        <w:tab w:val="left" w:pos="0"/>
        <w:tab w:val="left" w:pos="270"/>
        <w:tab w:val="left" w:pos="990"/>
        <w:tab w:val="left" w:pos="2160"/>
        <w:tab w:val="left" w:pos="4320"/>
      </w:tabs>
      <w:suppressAutoHyphens/>
      <w:jc w:val="both"/>
    </w:pPr>
    <w:rPr>
      <w:rFonts w:ascii="Times" w:hAnsi="Times"/>
      <w:spacing w:val="-3"/>
    </w:rPr>
  </w:style>
  <w:style w:type="paragraph" w:customStyle="1" w:styleId="gpotblnote">
    <w:name w:val="gpotbl_note"/>
    <w:basedOn w:val="Normal"/>
    <w:uiPriority w:val="99"/>
    <w:rsid w:val="004974BC"/>
    <w:pPr>
      <w:spacing w:before="100" w:beforeAutospacing="1" w:after="100" w:afterAutospacing="1"/>
    </w:pPr>
    <w:rPr>
      <w:sz w:val="24"/>
      <w:szCs w:val="24"/>
    </w:rPr>
  </w:style>
  <w:style w:type="paragraph" w:customStyle="1" w:styleId="gpotbltitle">
    <w:name w:val="gpotbl_title"/>
    <w:basedOn w:val="Normal"/>
    <w:rsid w:val="004974BC"/>
    <w:pPr>
      <w:spacing w:before="100" w:beforeAutospacing="1" w:after="100" w:afterAutospacing="1"/>
      <w:jc w:val="center"/>
    </w:pPr>
    <w:rPr>
      <w:b/>
      <w:bCs/>
      <w:sz w:val="24"/>
      <w:szCs w:val="24"/>
    </w:rPr>
  </w:style>
  <w:style w:type="paragraph" w:customStyle="1" w:styleId="gpotbldescription">
    <w:name w:val="gpotbl_description"/>
    <w:basedOn w:val="Normal"/>
    <w:uiPriority w:val="99"/>
    <w:rsid w:val="004974BC"/>
    <w:pPr>
      <w:spacing w:before="100" w:beforeAutospacing="1" w:after="100" w:afterAutospacing="1"/>
      <w:jc w:val="center"/>
    </w:pPr>
    <w:rPr>
      <w:sz w:val="24"/>
      <w:szCs w:val="24"/>
    </w:rPr>
  </w:style>
  <w:style w:type="paragraph" w:customStyle="1" w:styleId="date1">
    <w:name w:val="date1"/>
    <w:basedOn w:val="Normal"/>
    <w:uiPriority w:val="99"/>
    <w:rsid w:val="004974BC"/>
    <w:pPr>
      <w:spacing w:after="150"/>
      <w:ind w:left="300" w:right="300"/>
    </w:pPr>
    <w:rPr>
      <w:rFonts w:ascii="Verdana" w:hAnsi="Verdana"/>
      <w:color w:val="666666"/>
      <w:sz w:val="17"/>
      <w:szCs w:val="17"/>
    </w:rPr>
  </w:style>
  <w:style w:type="character" w:customStyle="1" w:styleId="ParaNumCharChar1">
    <w:name w:val="ParaNum Char Char1"/>
    <w:locked/>
    <w:rsid w:val="004974BC"/>
    <w:rPr>
      <w:kern w:val="28"/>
    </w:rPr>
  </w:style>
  <w:style w:type="paragraph" w:customStyle="1" w:styleId="StyleParaNumItalic1">
    <w:name w:val="Style ParaNum + Italic1"/>
    <w:basedOn w:val="ParaNum"/>
    <w:link w:val="StyleParaNumItalic1Char"/>
    <w:uiPriority w:val="99"/>
    <w:rsid w:val="004974BC"/>
    <w:pPr>
      <w:numPr>
        <w:numId w:val="13"/>
      </w:numPr>
      <w:tabs>
        <w:tab w:val="left" w:pos="1440"/>
      </w:tabs>
    </w:pPr>
    <w:rPr>
      <w:i/>
      <w:snapToGrid/>
      <w:sz w:val="20"/>
    </w:rPr>
  </w:style>
  <w:style w:type="character" w:customStyle="1" w:styleId="StyleParaNumItalic1Char">
    <w:name w:val="Style ParaNum + Italic1 Char"/>
    <w:link w:val="StyleParaNumItalic1"/>
    <w:uiPriority w:val="99"/>
    <w:locked/>
    <w:rsid w:val="004974BC"/>
    <w:rPr>
      <w:i/>
      <w:kern w:val="28"/>
    </w:rPr>
  </w:style>
  <w:style w:type="paragraph" w:styleId="DocumentMap">
    <w:name w:val="Document Map"/>
    <w:basedOn w:val="Normal"/>
    <w:link w:val="DocumentMapChar"/>
    <w:rsid w:val="004974BC"/>
    <w:pPr>
      <w:shd w:val="clear" w:color="auto" w:fill="000080"/>
    </w:pPr>
    <w:rPr>
      <w:rFonts w:ascii="Tahoma" w:hAnsi="Tahoma" w:cs="Tahoma"/>
    </w:rPr>
  </w:style>
  <w:style w:type="character" w:customStyle="1" w:styleId="DocumentMapChar">
    <w:name w:val="Document Map Char"/>
    <w:link w:val="DocumentMap"/>
    <w:rsid w:val="004974BC"/>
    <w:rPr>
      <w:rFonts w:ascii="Tahoma" w:hAnsi="Tahoma" w:cs="Tahoma"/>
      <w:snapToGrid w:val="0"/>
      <w:kern w:val="28"/>
      <w:sz w:val="22"/>
      <w:shd w:val="clear" w:color="auto" w:fill="000080"/>
    </w:rPr>
  </w:style>
  <w:style w:type="paragraph" w:styleId="Index1">
    <w:name w:val="index 1"/>
    <w:basedOn w:val="Normal"/>
    <w:next w:val="Normal"/>
    <w:autoRedefine/>
    <w:rsid w:val="004974BC"/>
    <w:pPr>
      <w:ind w:left="220" w:hanging="220"/>
    </w:pPr>
  </w:style>
  <w:style w:type="paragraph" w:styleId="Index2">
    <w:name w:val="index 2"/>
    <w:basedOn w:val="Normal"/>
    <w:next w:val="Normal"/>
    <w:autoRedefine/>
    <w:rsid w:val="004974BC"/>
    <w:pPr>
      <w:ind w:left="440" w:hanging="220"/>
    </w:pPr>
  </w:style>
  <w:style w:type="paragraph" w:styleId="Index3">
    <w:name w:val="index 3"/>
    <w:basedOn w:val="Normal"/>
    <w:next w:val="Normal"/>
    <w:autoRedefine/>
    <w:rsid w:val="004974BC"/>
    <w:pPr>
      <w:ind w:left="660" w:hanging="220"/>
    </w:pPr>
  </w:style>
  <w:style w:type="paragraph" w:styleId="Index4">
    <w:name w:val="index 4"/>
    <w:basedOn w:val="Normal"/>
    <w:next w:val="Normal"/>
    <w:autoRedefine/>
    <w:rsid w:val="004974BC"/>
    <w:pPr>
      <w:ind w:left="880" w:hanging="220"/>
    </w:pPr>
  </w:style>
  <w:style w:type="paragraph" w:styleId="Index5">
    <w:name w:val="index 5"/>
    <w:basedOn w:val="Normal"/>
    <w:next w:val="Normal"/>
    <w:autoRedefine/>
    <w:rsid w:val="004974BC"/>
    <w:pPr>
      <w:ind w:left="1100" w:hanging="220"/>
    </w:pPr>
  </w:style>
  <w:style w:type="paragraph" w:styleId="Index6">
    <w:name w:val="index 6"/>
    <w:basedOn w:val="Normal"/>
    <w:next w:val="Normal"/>
    <w:autoRedefine/>
    <w:rsid w:val="004974BC"/>
    <w:pPr>
      <w:ind w:left="1320" w:hanging="220"/>
    </w:pPr>
  </w:style>
  <w:style w:type="paragraph" w:styleId="Index7">
    <w:name w:val="index 7"/>
    <w:basedOn w:val="Normal"/>
    <w:next w:val="Normal"/>
    <w:autoRedefine/>
    <w:rsid w:val="004974BC"/>
    <w:pPr>
      <w:ind w:left="1540" w:hanging="220"/>
    </w:pPr>
  </w:style>
  <w:style w:type="paragraph" w:styleId="Index8">
    <w:name w:val="index 8"/>
    <w:basedOn w:val="Normal"/>
    <w:next w:val="Normal"/>
    <w:autoRedefine/>
    <w:rsid w:val="004974BC"/>
    <w:pPr>
      <w:ind w:left="1760" w:hanging="220"/>
    </w:pPr>
  </w:style>
  <w:style w:type="paragraph" w:styleId="Index9">
    <w:name w:val="index 9"/>
    <w:basedOn w:val="Normal"/>
    <w:next w:val="Normal"/>
    <w:autoRedefine/>
    <w:rsid w:val="004974BC"/>
    <w:pPr>
      <w:ind w:left="1980" w:hanging="220"/>
    </w:pPr>
  </w:style>
  <w:style w:type="paragraph" w:styleId="IndexHeading">
    <w:name w:val="index heading"/>
    <w:basedOn w:val="Normal"/>
    <w:next w:val="Index1"/>
    <w:rsid w:val="004974BC"/>
    <w:rPr>
      <w:rFonts w:ascii="Arial" w:hAnsi="Arial" w:cs="Arial"/>
      <w:b/>
      <w:bCs/>
    </w:rPr>
  </w:style>
  <w:style w:type="paragraph" w:styleId="Macro">
    <w:name w:val="macro"/>
    <w:link w:val="MacroTextChar"/>
    <w:rsid w:val="004974BC"/>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kern w:val="28"/>
    </w:rPr>
  </w:style>
  <w:style w:type="character" w:customStyle="1" w:styleId="MacroTextChar">
    <w:name w:val="Macro Text Char"/>
    <w:link w:val="Macro"/>
    <w:rsid w:val="004974BC"/>
    <w:rPr>
      <w:rFonts w:ascii="Courier New" w:hAnsi="Courier New" w:cs="Courier New"/>
      <w:snapToGrid w:val="0"/>
      <w:kern w:val="28"/>
    </w:rPr>
  </w:style>
  <w:style w:type="paragraph" w:styleId="TableofAuthorities">
    <w:name w:val="table of authorities"/>
    <w:basedOn w:val="Normal"/>
    <w:next w:val="Normal"/>
    <w:rsid w:val="004974BC"/>
    <w:pPr>
      <w:ind w:left="220" w:hanging="220"/>
    </w:pPr>
  </w:style>
  <w:style w:type="paragraph" w:styleId="TableofFigures">
    <w:name w:val="table of figures"/>
    <w:basedOn w:val="Normal"/>
    <w:next w:val="Normal"/>
    <w:rsid w:val="004974BC"/>
    <w:pPr>
      <w:ind w:left="440" w:hanging="440"/>
    </w:pPr>
  </w:style>
  <w:style w:type="paragraph" w:customStyle="1" w:styleId="StyleParaNumItalic">
    <w:name w:val="Style ParaNum + Italic"/>
    <w:basedOn w:val="ParaNum"/>
    <w:link w:val="StyleParaNumItalicChar"/>
    <w:uiPriority w:val="99"/>
    <w:rsid w:val="004974BC"/>
    <w:pPr>
      <w:widowControl/>
      <w:numPr>
        <w:numId w:val="0"/>
      </w:numPr>
      <w:tabs>
        <w:tab w:val="num" w:pos="720"/>
        <w:tab w:val="left" w:pos="1440"/>
      </w:tabs>
      <w:spacing w:after="240"/>
      <w:ind w:hanging="720"/>
    </w:pPr>
    <w:rPr>
      <w:i/>
      <w:iCs/>
      <w:snapToGrid/>
    </w:rPr>
  </w:style>
  <w:style w:type="character" w:customStyle="1" w:styleId="StyleParaNumItalicChar">
    <w:name w:val="Style ParaNum + Italic Char"/>
    <w:link w:val="StyleParaNumItalic"/>
    <w:uiPriority w:val="99"/>
    <w:locked/>
    <w:rsid w:val="004974BC"/>
    <w:rPr>
      <w:i/>
      <w:iCs/>
      <w:kern w:val="28"/>
      <w:sz w:val="22"/>
    </w:rPr>
  </w:style>
  <w:style w:type="paragraph" w:customStyle="1" w:styleId="FootnoteTex">
    <w:name w:val="Footnote Tex"/>
    <w:rsid w:val="004974BC"/>
    <w:pPr>
      <w:widowControl w:val="0"/>
    </w:pPr>
    <w:rPr>
      <w:snapToGrid w:val="0"/>
      <w:sz w:val="24"/>
    </w:rPr>
  </w:style>
  <w:style w:type="character" w:customStyle="1" w:styleId="UnresolvedMention1">
    <w:name w:val="Unresolved Mention1"/>
    <w:uiPriority w:val="99"/>
    <w:semiHidden/>
    <w:unhideWhenUsed/>
    <w:rsid w:val="004974BC"/>
    <w:rPr>
      <w:color w:val="808080"/>
      <w:shd w:val="clear" w:color="auto" w:fill="E6E6E6"/>
    </w:rPr>
  </w:style>
  <w:style w:type="character" w:customStyle="1" w:styleId="UnresolvedMention2">
    <w:name w:val="Unresolved Mention2"/>
    <w:uiPriority w:val="99"/>
    <w:semiHidden/>
    <w:unhideWhenUsed/>
    <w:rsid w:val="004974BC"/>
    <w:rPr>
      <w:color w:val="808080"/>
      <w:shd w:val="clear" w:color="auto" w:fill="E6E6E6"/>
    </w:rPr>
  </w:style>
  <w:style w:type="character" w:customStyle="1" w:styleId="UnresolvedMention3">
    <w:name w:val="Unresolved Mention3"/>
    <w:uiPriority w:val="99"/>
    <w:semiHidden/>
    <w:unhideWhenUsed/>
    <w:rsid w:val="004974BC"/>
    <w:rPr>
      <w:color w:val="808080"/>
      <w:shd w:val="clear" w:color="auto" w:fill="E6E6E6"/>
    </w:rPr>
  </w:style>
  <w:style w:type="character" w:customStyle="1" w:styleId="UnresolvedMention4">
    <w:name w:val="Unresolved Mention4"/>
    <w:uiPriority w:val="99"/>
    <w:semiHidden/>
    <w:unhideWhenUsed/>
    <w:rsid w:val="004974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8.xml" /><Relationship Id="rId22" Type="http://schemas.openxmlformats.org/officeDocument/2006/relationships/header" Target="header7.xml" /><Relationship Id="rId23" Type="http://schemas.openxmlformats.org/officeDocument/2006/relationships/footer" Target="footer9.xml" /><Relationship Id="rId24" Type="http://schemas.openxmlformats.org/officeDocument/2006/relationships/header" Target="header8.xml" /><Relationship Id="rId25" Type="http://schemas.openxmlformats.org/officeDocument/2006/relationships/footer" Target="footer10.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86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