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181C9A" w:rsidRPr="005577AD" w:rsidP="00181C9A">
      <w:pPr>
        <w:jc w:val="center"/>
        <w:rPr>
          <w:b/>
          <w:bCs/>
          <w:caps/>
          <w:szCs w:val="22"/>
        </w:rPr>
      </w:pPr>
      <w:bookmarkStart w:id="0" w:name="_Hlk528055693"/>
      <w:bookmarkStart w:id="1" w:name="_Hlk528062544"/>
      <w:bookmarkStart w:id="2" w:name="_GoBack"/>
      <w:bookmarkEnd w:id="2"/>
      <w:r w:rsidRPr="005577AD">
        <w:rPr>
          <w:b/>
          <w:bCs/>
          <w:caps/>
          <w:szCs w:val="22"/>
        </w:rPr>
        <w:t>Statement of</w:t>
      </w:r>
    </w:p>
    <w:p w:rsidR="00181C9A" w:rsidRPr="005577AD" w:rsidP="00181C9A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chairman ajit pai</w:t>
      </w:r>
    </w:p>
    <w:p w:rsidR="00181C9A" w:rsidRPr="005577AD" w:rsidP="00181C9A">
      <w:pPr>
        <w:jc w:val="center"/>
        <w:rPr>
          <w:b/>
          <w:bCs/>
          <w:caps/>
          <w:szCs w:val="22"/>
        </w:rPr>
      </w:pPr>
    </w:p>
    <w:p w:rsidR="00AE48F0" w:rsidP="00AE48F0">
      <w:pPr>
        <w:ind w:left="720" w:hanging="720"/>
        <w:rPr>
          <w:i/>
          <w:iCs/>
          <w:snapToGrid/>
          <w:szCs w:val="22"/>
        </w:rPr>
      </w:pPr>
      <w:bookmarkStart w:id="3" w:name="_Hlk528055554"/>
      <w:r>
        <w:rPr>
          <w:iCs/>
          <w:szCs w:val="22"/>
        </w:rPr>
        <w:t>Re:</w:t>
      </w:r>
      <w:r>
        <w:rPr>
          <w:szCs w:val="22"/>
        </w:rPr>
        <w:t xml:space="preserve">    </w:t>
      </w:r>
      <w:r>
        <w:rPr>
          <w:szCs w:val="22"/>
        </w:rPr>
        <w:tab/>
      </w:r>
      <w:r>
        <w:rPr>
          <w:i/>
        </w:rPr>
        <w:t>Amendment of Section 73.3613 of the Commission’s Rules Regarding Filing of Contracts</w:t>
      </w:r>
      <w:r>
        <w:t>, MB Docket No. 18-4;</w:t>
      </w:r>
      <w:r>
        <w:rPr>
          <w:i/>
        </w:rPr>
        <w:t xml:space="preserve"> Modernization of Media Regulation Initiative</w:t>
      </w:r>
      <w:r>
        <w:t>, MB Docket No. 17-105.</w:t>
      </w:r>
    </w:p>
    <w:p w:rsidR="00B45616" w:rsidP="00B45616">
      <w:pPr>
        <w:ind w:firstLine="720"/>
      </w:pPr>
      <w:bookmarkEnd w:id="3"/>
      <w:bookmarkEnd w:id="0"/>
    </w:p>
    <w:p w:rsidR="009F7D18" w:rsidRPr="00C2773A" w:rsidP="009F7D18">
      <w:pPr>
        <w:ind w:firstLine="720"/>
      </w:pPr>
      <w:r>
        <w:t xml:space="preserve">I’ll keep it simple.  </w:t>
      </w:r>
      <w:r w:rsidRPr="00C2773A">
        <w:t>1939</w:t>
      </w:r>
      <w:r>
        <w:t xml:space="preserve">: The FCC requires </w:t>
      </w:r>
      <w:r w:rsidRPr="00C2773A">
        <w:t xml:space="preserve">broadcasters </w:t>
      </w:r>
      <w:r>
        <w:t xml:space="preserve">to </w:t>
      </w:r>
      <w:r w:rsidRPr="00C2773A">
        <w:t xml:space="preserve">file paper copies of certain contracts with the Commission. </w:t>
      </w:r>
      <w:r>
        <w:t xml:space="preserve"> 2018: There’s this thing called the Internet.  Broadcasters now have the option of either posting these documents online in their </w:t>
      </w:r>
      <w:r w:rsidRPr="00C2773A">
        <w:t>public inspection file</w:t>
      </w:r>
      <w:r>
        <w:t xml:space="preserve"> or maintaining an up-to-date list in their online file and providing copies to any requesting party within seven days.  </w:t>
      </w:r>
      <w:r>
        <w:t>Therefore</w:t>
      </w:r>
      <w:r>
        <w:t xml:space="preserve"> anyone who cares to access these documents (and virtually nobody does) can easily do so.  This regulation is </w:t>
      </w:r>
      <w:r w:rsidRPr="00C2773A">
        <w:t>no longer necessary</w:t>
      </w:r>
      <w:r>
        <w:t>—in fact, it’s</w:t>
      </w:r>
      <w:r w:rsidRPr="00C2773A">
        <w:t xml:space="preserve"> burdensome</w:t>
      </w:r>
      <w:r>
        <w:t>—so we’re repealing it</w:t>
      </w:r>
      <w:r w:rsidRPr="00C2773A">
        <w:t xml:space="preserve">. </w:t>
      </w:r>
    </w:p>
    <w:p w:rsidR="009F7D18" w:rsidP="009F7D18"/>
    <w:p w:rsidR="009F7D18" w:rsidRPr="00C2773A" w:rsidP="009F7D18">
      <w:pPr>
        <w:ind w:firstLine="720"/>
      </w:pPr>
      <w:r w:rsidRPr="00C2773A">
        <w:t xml:space="preserve">I’d like to thank the staff who worked on this </w:t>
      </w:r>
      <w:r w:rsidRPr="00C2773A">
        <w:rPr>
          <w:i/>
        </w:rPr>
        <w:t>Order</w:t>
      </w:r>
      <w:r>
        <w:t>.  From the Media Bureau:</w:t>
      </w:r>
      <w:r w:rsidRPr="00C2773A">
        <w:t xml:space="preserve"> Ty Bream, Michelle Carey, Chris Clark, Martha Heller, Brendan Holland, Tom Horan, Varsha Mangal, Holly Saurer, and Sarah Whitesell</w:t>
      </w:r>
      <w:r>
        <w:t>.  A</w:t>
      </w:r>
      <w:r w:rsidRPr="00C2773A">
        <w:t xml:space="preserve">nd </w:t>
      </w:r>
      <w:r>
        <w:t>from the Office of General Counsel: Dave Konczal.</w:t>
      </w:r>
    </w:p>
    <w:p w:rsidR="002C00E8" w:rsidRPr="002C00E8" w:rsidP="00181C9A">
      <w:pPr>
        <w:pStyle w:val="Heading1"/>
        <w:numPr>
          <w:ilvl w:val="0"/>
          <w:numId w:val="0"/>
        </w:numPr>
        <w:ind w:left="720" w:hanging="720"/>
      </w:pPr>
      <w:bookmarkEnd w:id="1"/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181C9A">
      <w:rPr>
        <w:spacing w:val="-2"/>
      </w:rPr>
      <w:t>FCC 18-</w:t>
    </w:r>
    <w:r w:rsidR="009A60BD">
      <w:rPr>
        <w:spacing w:val="-2"/>
      </w:rPr>
      <w:t>1</w:t>
    </w:r>
    <w:r w:rsidR="00AE48F0">
      <w:rPr>
        <w:spacing w:val="-2"/>
      </w:rPr>
      <w:t>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63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78163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81636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78163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781636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781636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781636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781636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781636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781636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7816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1636"/>
  </w:style>
  <w:style w:type="paragraph" w:customStyle="1" w:styleId="ParaNum">
    <w:name w:val="ParaNum"/>
    <w:basedOn w:val="Normal"/>
    <w:rsid w:val="00781636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781636"/>
    <w:rPr>
      <w:sz w:val="20"/>
    </w:rPr>
  </w:style>
  <w:style w:type="character" w:styleId="EndnoteReference">
    <w:name w:val="endnote reference"/>
    <w:semiHidden/>
    <w:rsid w:val="00781636"/>
    <w:rPr>
      <w:vertAlign w:val="superscript"/>
    </w:rPr>
  </w:style>
  <w:style w:type="paragraph" w:styleId="FootnoteText">
    <w:name w:val="footnote text"/>
    <w:rsid w:val="00781636"/>
    <w:pPr>
      <w:spacing w:after="120"/>
    </w:pPr>
  </w:style>
  <w:style w:type="character" w:styleId="FootnoteReference">
    <w:name w:val="footnote reference"/>
    <w:rsid w:val="00781636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78163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78163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78163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78163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78163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78163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78163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78163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78163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78163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781636"/>
  </w:style>
  <w:style w:type="paragraph" w:styleId="Header">
    <w:name w:val="header"/>
    <w:basedOn w:val="Normal"/>
    <w:autoRedefine/>
    <w:rsid w:val="00781636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7816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636"/>
  </w:style>
  <w:style w:type="paragraph" w:styleId="BlockText">
    <w:name w:val="Block Text"/>
    <w:basedOn w:val="Normal"/>
    <w:rsid w:val="00781636"/>
    <w:pPr>
      <w:spacing w:after="240"/>
      <w:ind w:left="1440" w:right="1440"/>
    </w:pPr>
  </w:style>
  <w:style w:type="paragraph" w:customStyle="1" w:styleId="Paratitle">
    <w:name w:val="Para title"/>
    <w:basedOn w:val="Normal"/>
    <w:rsid w:val="00781636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781636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781636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78163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78163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78163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81636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&#65279;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microsoft.com/office/2006/relationships/keyMapCustomizations" Target="customization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