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C016B1" w:rsidRPr="00CA1AF9" w:rsidP="00C016B1">
      <w:pPr>
        <w:jc w:val="center"/>
        <w:rPr>
          <w:b/>
        </w:rPr>
      </w:pPr>
      <w:bookmarkStart w:id="0" w:name="_GoBack"/>
      <w:bookmarkEnd w:id="0"/>
      <w:r w:rsidRPr="00CA1AF9">
        <w:rPr>
          <w:b/>
        </w:rPr>
        <w:t>Before the</w:t>
      </w:r>
    </w:p>
    <w:p w:rsidR="00C016B1" w:rsidRPr="00CA1AF9" w:rsidP="00C016B1">
      <w:pPr>
        <w:pStyle w:val="StyleBoldCentered"/>
        <w:rPr>
          <w:rFonts w:ascii="Times New Roman" w:hAnsi="Times New Roman"/>
        </w:rPr>
      </w:pPr>
      <w:r w:rsidRPr="00CA1AF9">
        <w:rPr>
          <w:rFonts w:ascii="Times New Roman" w:hAnsi="Times New Roman"/>
        </w:rPr>
        <w:t>F</w:t>
      </w:r>
      <w:r w:rsidRPr="00CA1AF9">
        <w:rPr>
          <w:rFonts w:ascii="Times New Roman" w:hAnsi="Times New Roman"/>
          <w:caps w:val="0"/>
        </w:rPr>
        <w:t>ederal Communications Commission</w:t>
      </w:r>
    </w:p>
    <w:p w:rsidR="00C016B1" w:rsidRPr="00CA1AF9" w:rsidP="00C016B1">
      <w:pPr>
        <w:pStyle w:val="StyleBoldCentered"/>
        <w:rPr>
          <w:rFonts w:ascii="Times New Roman" w:hAnsi="Times New Roman"/>
        </w:rPr>
      </w:pPr>
      <w:r w:rsidRPr="00CA1AF9">
        <w:rPr>
          <w:rFonts w:ascii="Times New Roman" w:hAnsi="Times New Roman"/>
          <w:caps w:val="0"/>
        </w:rPr>
        <w:t>Washington, D.C. 20554</w:t>
      </w:r>
    </w:p>
    <w:p w:rsidR="00C016B1" w:rsidRPr="00CA1AF9" w:rsidP="00C016B1"/>
    <w:p w:rsidR="00C016B1" w:rsidRPr="00CA1AF9" w:rsidP="00C016B1"/>
    <w:tbl>
      <w:tblPr>
        <w:tblW w:w="14454" w:type="dxa"/>
        <w:tblLayout w:type="fixed"/>
        <w:tblLook w:val="0000"/>
      </w:tblPr>
      <w:tblGrid>
        <w:gridCol w:w="4698"/>
        <w:gridCol w:w="630"/>
        <w:gridCol w:w="630"/>
        <w:gridCol w:w="4248"/>
        <w:gridCol w:w="4248"/>
      </w:tblGrid>
      <w:tr w:rsidTr="00A74117">
        <w:tblPrEx>
          <w:tblW w:w="14454" w:type="dxa"/>
          <w:tblLayout w:type="fixed"/>
          <w:tblLook w:val="0000"/>
        </w:tblPrEx>
        <w:tc>
          <w:tcPr>
            <w:tcW w:w="4698" w:type="dxa"/>
          </w:tcPr>
          <w:p w:rsidR="00C016B1" w:rsidRPr="00CA1AF9" w:rsidP="00A74117">
            <w:pPr>
              <w:tabs>
                <w:tab w:val="center" w:pos="4680"/>
              </w:tabs>
              <w:suppressAutoHyphens/>
              <w:rPr>
                <w:spacing w:val="-2"/>
              </w:rPr>
            </w:pPr>
            <w:r w:rsidRPr="00CA1AF9">
              <w:rPr>
                <w:spacing w:val="-2"/>
              </w:rPr>
              <w:t>In the Matter of</w:t>
            </w:r>
          </w:p>
          <w:p w:rsidR="00C016B1" w:rsidRPr="00CA1AF9" w:rsidP="00A74117">
            <w:pPr>
              <w:tabs>
                <w:tab w:val="center" w:pos="4680"/>
              </w:tabs>
              <w:suppressAutoHyphens/>
              <w:rPr>
                <w:spacing w:val="-2"/>
              </w:rPr>
            </w:pPr>
          </w:p>
          <w:p w:rsidR="00C016B1" w:rsidRPr="00CA1AF9" w:rsidP="00A74117">
            <w:pPr>
              <w:ind w:right="-18"/>
            </w:pPr>
            <w:r>
              <w:t>M</w:t>
            </w:r>
            <w:r w:rsidRPr="00CA1AF9">
              <w:t xml:space="preserve">aritime </w:t>
            </w:r>
            <w:r>
              <w:t>C</w:t>
            </w:r>
            <w:r w:rsidRPr="00CA1AF9">
              <w:t>ommunications/</w:t>
            </w:r>
            <w:r>
              <w:t>L</w:t>
            </w:r>
            <w:r w:rsidRPr="00CA1AF9">
              <w:t xml:space="preserve">and </w:t>
            </w:r>
            <w:r>
              <w:t>M</w:t>
            </w:r>
            <w:r w:rsidRPr="00CA1AF9">
              <w:t xml:space="preserve">obile, </w:t>
            </w:r>
            <w:r>
              <w:t>LLC</w:t>
            </w:r>
          </w:p>
          <w:p w:rsidR="00C016B1" w:rsidRPr="00CA1AF9" w:rsidP="00A74117">
            <w:pPr>
              <w:ind w:right="-18"/>
            </w:pPr>
          </w:p>
          <w:p w:rsidR="00C016B1" w:rsidRPr="00CA1AF9" w:rsidP="00A74117">
            <w:pPr>
              <w:ind w:right="-18"/>
            </w:pPr>
            <w:r w:rsidRPr="00CA1AF9">
              <w:t>Participant in Auction No. 61 and Licensee of</w:t>
            </w:r>
          </w:p>
          <w:p w:rsidR="00C016B1" w:rsidRPr="00CA1AF9" w:rsidP="00A74117">
            <w:pPr>
              <w:ind w:right="-18"/>
            </w:pPr>
            <w:r w:rsidRPr="00CA1AF9">
              <w:t>Various Authorizations in the Wireless Radio</w:t>
            </w:r>
          </w:p>
          <w:p w:rsidR="00C016B1" w:rsidRPr="00CA1AF9" w:rsidP="00A74117">
            <w:pPr>
              <w:ind w:right="-18"/>
            </w:pPr>
            <w:r w:rsidRPr="00CA1AF9">
              <w:t>Services</w:t>
            </w:r>
            <w:r w:rsidRPr="00CA1AF9">
              <w:tab/>
            </w:r>
          </w:p>
          <w:p w:rsidR="00C016B1" w:rsidRPr="00CA1AF9" w:rsidP="00A74117">
            <w:pPr>
              <w:ind w:right="-18"/>
            </w:pPr>
          </w:p>
          <w:p w:rsidR="00C016B1" w:rsidRPr="00CA1AF9" w:rsidP="00A74117">
            <w:pPr>
              <w:ind w:right="-18"/>
            </w:pPr>
            <w:r w:rsidRPr="00CA1AF9">
              <w:t>Applicant for Modification of Various</w:t>
            </w:r>
          </w:p>
          <w:p w:rsidR="00C016B1" w:rsidRPr="00CA1AF9" w:rsidP="00A74117">
            <w:pPr>
              <w:ind w:right="-18"/>
            </w:pPr>
            <w:r w:rsidRPr="00CA1AF9">
              <w:t>Authorizations in the Wireless Radio Services</w:t>
            </w:r>
          </w:p>
          <w:p w:rsidR="00C016B1" w:rsidRPr="00CA1AF9" w:rsidP="00A74117">
            <w:pPr>
              <w:ind w:right="-18"/>
            </w:pPr>
          </w:p>
          <w:p w:rsidR="00C016B1" w:rsidRPr="00CA1AF9" w:rsidP="00A74117">
            <w:pPr>
              <w:ind w:right="-18"/>
            </w:pPr>
            <w:r w:rsidRPr="00CA1AF9">
              <w:t xml:space="preserve">Applicant with </w:t>
            </w:r>
            <w:r>
              <w:t>E</w:t>
            </w:r>
            <w:r w:rsidRPr="00CA1AF9">
              <w:t xml:space="preserve">ncana </w:t>
            </w:r>
            <w:r>
              <w:t>O</w:t>
            </w:r>
            <w:r w:rsidRPr="00CA1AF9">
              <w:t xml:space="preserve">il and </w:t>
            </w:r>
            <w:r>
              <w:t>G</w:t>
            </w:r>
            <w:r w:rsidRPr="00CA1AF9">
              <w:t>as (</w:t>
            </w:r>
            <w:r>
              <w:t>USA</w:t>
            </w:r>
            <w:r w:rsidRPr="00CA1AF9">
              <w:t xml:space="preserve">), </w:t>
            </w:r>
            <w:r>
              <w:t>I</w:t>
            </w:r>
            <w:r w:rsidRPr="00CA1AF9">
              <w:t xml:space="preserve">nc.; </w:t>
            </w:r>
            <w:r>
              <w:t>D</w:t>
            </w:r>
            <w:r w:rsidRPr="00CA1AF9">
              <w:t xml:space="preserve">uquesne </w:t>
            </w:r>
            <w:r>
              <w:t>Li</w:t>
            </w:r>
            <w:r w:rsidRPr="00CA1AF9">
              <w:t xml:space="preserve">ght </w:t>
            </w:r>
            <w:r>
              <w:t>C</w:t>
            </w:r>
            <w:r w:rsidRPr="00CA1AF9">
              <w:t xml:space="preserve">ompany, </w:t>
            </w:r>
            <w:r>
              <w:t>DCP; M</w:t>
            </w:r>
            <w:r w:rsidRPr="00CA1AF9">
              <w:t xml:space="preserve">idstream, </w:t>
            </w:r>
            <w:r>
              <w:t>LP</w:t>
            </w:r>
            <w:r w:rsidRPr="00CA1AF9">
              <w:t xml:space="preserve">; </w:t>
            </w:r>
            <w:r>
              <w:t>J</w:t>
            </w:r>
            <w:r w:rsidRPr="00CA1AF9">
              <w:t xml:space="preserve">ackson </w:t>
            </w:r>
            <w:r>
              <w:t>C</w:t>
            </w:r>
            <w:r w:rsidRPr="00CA1AF9">
              <w:t>ounty</w:t>
            </w:r>
            <w:r>
              <w:t xml:space="preserve"> R</w:t>
            </w:r>
            <w:r w:rsidRPr="00CA1AF9">
              <w:t xml:space="preserve">ural </w:t>
            </w:r>
            <w:r>
              <w:t>M</w:t>
            </w:r>
            <w:r w:rsidRPr="00CA1AF9">
              <w:t xml:space="preserve">embership </w:t>
            </w:r>
            <w:r>
              <w:t>E</w:t>
            </w:r>
            <w:r w:rsidRPr="00CA1AF9">
              <w:t>lectric</w:t>
            </w:r>
          </w:p>
          <w:p w:rsidR="00C016B1" w:rsidRPr="00CA1AF9" w:rsidP="00A74117">
            <w:pPr>
              <w:ind w:right="-18"/>
            </w:pPr>
            <w:r>
              <w:t>C</w:t>
            </w:r>
            <w:r w:rsidRPr="00CA1AF9">
              <w:t xml:space="preserve">ooperative; </w:t>
            </w:r>
            <w:r>
              <w:t>P</w:t>
            </w:r>
            <w:r w:rsidRPr="00CA1AF9">
              <w:t xml:space="preserve">uget </w:t>
            </w:r>
            <w:r>
              <w:t>S</w:t>
            </w:r>
            <w:r w:rsidRPr="00CA1AF9">
              <w:t xml:space="preserve">ound </w:t>
            </w:r>
            <w:r>
              <w:t>E</w:t>
            </w:r>
            <w:r w:rsidRPr="00CA1AF9">
              <w:t>nergy,</w:t>
            </w:r>
            <w:r>
              <w:t xml:space="preserve"> I</w:t>
            </w:r>
            <w:r w:rsidRPr="00CA1AF9">
              <w:t xml:space="preserve">nc.; </w:t>
            </w:r>
            <w:r>
              <w:t>E</w:t>
            </w:r>
            <w:r w:rsidRPr="00CA1AF9">
              <w:t xml:space="preserve">nbridge </w:t>
            </w:r>
            <w:r>
              <w:t>E</w:t>
            </w:r>
            <w:r w:rsidRPr="00CA1AF9">
              <w:t xml:space="preserve">nergy </w:t>
            </w:r>
            <w:r>
              <w:t>C</w:t>
            </w:r>
            <w:r w:rsidRPr="00CA1AF9">
              <w:t xml:space="preserve">ompany </w:t>
            </w:r>
            <w:r>
              <w:t>I</w:t>
            </w:r>
            <w:r w:rsidRPr="00CA1AF9">
              <w:t xml:space="preserve">nc.; </w:t>
            </w:r>
            <w:r>
              <w:t>I</w:t>
            </w:r>
            <w:r w:rsidRPr="00CA1AF9">
              <w:t xml:space="preserve">nterstate </w:t>
            </w:r>
            <w:r>
              <w:t>P</w:t>
            </w:r>
            <w:r w:rsidRPr="00CA1AF9">
              <w:t xml:space="preserve">ower and </w:t>
            </w:r>
            <w:r>
              <w:t>L</w:t>
            </w:r>
            <w:r w:rsidRPr="00CA1AF9">
              <w:t>ight</w:t>
            </w:r>
          </w:p>
          <w:p w:rsidR="00C016B1" w:rsidRPr="00CA1AF9" w:rsidP="00A74117">
            <w:pPr>
              <w:ind w:right="-18"/>
            </w:pPr>
            <w:r>
              <w:t>C</w:t>
            </w:r>
            <w:r w:rsidRPr="00CA1AF9">
              <w:t xml:space="preserve">ompany; </w:t>
            </w:r>
            <w:r>
              <w:t>W</w:t>
            </w:r>
            <w:r w:rsidRPr="00CA1AF9">
              <w:t xml:space="preserve">isconsin </w:t>
            </w:r>
            <w:r>
              <w:t>P</w:t>
            </w:r>
            <w:r w:rsidRPr="00CA1AF9">
              <w:t xml:space="preserve">ower and </w:t>
            </w:r>
            <w:r>
              <w:t>L</w:t>
            </w:r>
            <w:r w:rsidRPr="00CA1AF9">
              <w:t xml:space="preserve">ight </w:t>
            </w:r>
            <w:r>
              <w:t>C</w:t>
            </w:r>
            <w:r w:rsidRPr="00CA1AF9">
              <w:t xml:space="preserve">ompany; </w:t>
            </w:r>
            <w:r>
              <w:t>D</w:t>
            </w:r>
            <w:r w:rsidRPr="00CA1AF9">
              <w:t xml:space="preserve">ixie </w:t>
            </w:r>
            <w:r>
              <w:t>E</w:t>
            </w:r>
            <w:r w:rsidRPr="00CA1AF9">
              <w:t>lectric</w:t>
            </w:r>
            <w:r>
              <w:t xml:space="preserve"> M</w:t>
            </w:r>
            <w:r w:rsidRPr="00CA1AF9">
              <w:t xml:space="preserve">embership </w:t>
            </w:r>
            <w:r>
              <w:t>C</w:t>
            </w:r>
            <w:r w:rsidRPr="00CA1AF9">
              <w:t xml:space="preserve">orporation, </w:t>
            </w:r>
            <w:r>
              <w:t>I</w:t>
            </w:r>
            <w:r w:rsidRPr="00CA1AF9">
              <w:t>nc.;</w:t>
            </w:r>
          </w:p>
          <w:p w:rsidR="00C016B1" w:rsidRPr="00CA1AF9" w:rsidP="00A74117">
            <w:pPr>
              <w:ind w:right="-18"/>
            </w:pPr>
            <w:r>
              <w:t>A</w:t>
            </w:r>
            <w:r w:rsidRPr="00CA1AF9">
              <w:t xml:space="preserve">tlas </w:t>
            </w:r>
            <w:r>
              <w:t>P</w:t>
            </w:r>
            <w:r w:rsidRPr="00CA1AF9">
              <w:t>ipeline-</w:t>
            </w:r>
            <w:r>
              <w:t>M</w:t>
            </w:r>
            <w:r w:rsidRPr="00CA1AF9">
              <w:t xml:space="preserve">id </w:t>
            </w:r>
            <w:r>
              <w:t>C</w:t>
            </w:r>
            <w:r w:rsidRPr="00CA1AF9">
              <w:t xml:space="preserve">ontinent, </w:t>
            </w:r>
            <w:r>
              <w:t>LLC</w:t>
            </w:r>
            <w:r w:rsidRPr="00CA1AF9">
              <w:t>;</w:t>
            </w:r>
            <w:r>
              <w:t xml:space="preserve"> </w:t>
            </w:r>
            <w:r w:rsidRPr="00CA1AF9">
              <w:t xml:space="preserve">and </w:t>
            </w:r>
            <w:r>
              <w:t>S</w:t>
            </w:r>
            <w:r w:rsidRPr="00CA1AF9">
              <w:t xml:space="preserve">outhern; </w:t>
            </w:r>
            <w:r>
              <w:t>C</w:t>
            </w:r>
            <w:r w:rsidRPr="00CA1AF9">
              <w:t xml:space="preserve">alifornia </w:t>
            </w:r>
            <w:r>
              <w:t>R</w:t>
            </w:r>
            <w:r w:rsidRPr="00CA1AF9">
              <w:t xml:space="preserve">egional </w:t>
            </w:r>
            <w:r>
              <w:t>R</w:t>
            </w:r>
            <w:r w:rsidRPr="00CA1AF9">
              <w:t xml:space="preserve">ail </w:t>
            </w:r>
            <w:r>
              <w:t>A</w:t>
            </w:r>
            <w:r w:rsidRPr="00CA1AF9">
              <w:t>uthority</w:t>
            </w:r>
          </w:p>
          <w:p w:rsidR="00C016B1" w:rsidRPr="00CA1AF9" w:rsidP="00A74117">
            <w:pPr>
              <w:ind w:right="-18"/>
            </w:pPr>
          </w:p>
          <w:p w:rsidR="00C016B1" w:rsidRPr="00CA1AF9" w:rsidP="00A74117">
            <w:pPr>
              <w:ind w:right="-18"/>
            </w:pPr>
            <w:r w:rsidRPr="00CA1AF9">
              <w:t>For Commission Consent to the Assignment of</w:t>
            </w:r>
          </w:p>
          <w:p w:rsidR="00C016B1" w:rsidRPr="00CA1AF9" w:rsidP="00A74117">
            <w:pPr>
              <w:ind w:right="-18"/>
            </w:pPr>
            <w:r w:rsidRPr="00CA1AF9">
              <w:t>Various Authorizations in the Wireless Radio</w:t>
            </w:r>
          </w:p>
          <w:p w:rsidR="00C016B1" w:rsidRPr="00CA1AF9" w:rsidP="00A74117">
            <w:pPr>
              <w:ind w:right="-18"/>
            </w:pPr>
            <w:r w:rsidRPr="00CA1AF9">
              <w:t>Service</w:t>
            </w:r>
          </w:p>
          <w:p w:rsidR="00C016B1" w:rsidRPr="00CA1AF9" w:rsidP="00A74117">
            <w:pPr>
              <w:tabs>
                <w:tab w:val="center" w:pos="4680"/>
              </w:tabs>
              <w:suppressAutoHyphens/>
              <w:rPr>
                <w:spacing w:val="-2"/>
              </w:rPr>
            </w:pPr>
          </w:p>
        </w:tc>
        <w:tc>
          <w:tcPr>
            <w:tcW w:w="630" w:type="dxa"/>
          </w:tcPr>
          <w:p w:rsidR="00C016B1" w:rsidRPr="00CA1AF9" w:rsidP="00A74117">
            <w:pPr>
              <w:rPr>
                <w:b/>
              </w:rPr>
            </w:pPr>
            <w:r w:rsidRPr="00CA1AF9">
              <w:rPr>
                <w:b/>
              </w:rPr>
              <w:t>)</w:t>
            </w:r>
          </w:p>
          <w:p w:rsidR="00C016B1" w:rsidRPr="00CA1AF9" w:rsidP="00A74117">
            <w:pPr>
              <w:rPr>
                <w:b/>
              </w:rPr>
            </w:pPr>
            <w:r w:rsidRPr="00CA1AF9">
              <w:rPr>
                <w:b/>
              </w:rPr>
              <w:t>)</w:t>
            </w:r>
          </w:p>
          <w:p w:rsidR="00C016B1" w:rsidRPr="00CA1AF9" w:rsidP="00A74117">
            <w:pPr>
              <w:rPr>
                <w:b/>
              </w:rPr>
            </w:pPr>
            <w:r w:rsidRPr="00CA1AF9">
              <w:rPr>
                <w:b/>
              </w:rPr>
              <w:t>)</w:t>
            </w:r>
          </w:p>
          <w:p w:rsidR="00C016B1" w:rsidRPr="00CA1AF9" w:rsidP="00A74117">
            <w:pPr>
              <w:rPr>
                <w:b/>
              </w:rPr>
            </w:pPr>
            <w:r w:rsidRPr="00CA1AF9">
              <w:rPr>
                <w:b/>
              </w:rPr>
              <w:t>)</w:t>
            </w:r>
          </w:p>
          <w:p w:rsidR="00C016B1" w:rsidRPr="00CA1AF9" w:rsidP="00A74117">
            <w:pPr>
              <w:rPr>
                <w:b/>
              </w:rPr>
            </w:pPr>
            <w:r w:rsidRPr="00CA1AF9">
              <w:rPr>
                <w:b/>
              </w:rPr>
              <w:t>)</w:t>
            </w:r>
          </w:p>
          <w:p w:rsidR="00C016B1" w:rsidRPr="00CA1AF9" w:rsidP="00A74117">
            <w:pPr>
              <w:rPr>
                <w:b/>
              </w:rPr>
            </w:pPr>
            <w:r w:rsidRPr="00CA1AF9">
              <w:rPr>
                <w:b/>
              </w:rPr>
              <w:t>)</w:t>
            </w:r>
          </w:p>
          <w:p w:rsidR="00C016B1" w:rsidRPr="00CA1AF9" w:rsidP="00A74117">
            <w:pPr>
              <w:rPr>
                <w:b/>
              </w:rPr>
            </w:pPr>
            <w:r w:rsidRPr="00CA1AF9">
              <w:rPr>
                <w:b/>
              </w:rPr>
              <w:t>)</w:t>
            </w:r>
          </w:p>
          <w:p w:rsidR="00C016B1" w:rsidRPr="00CA1AF9" w:rsidP="00A74117">
            <w:pPr>
              <w:rPr>
                <w:b/>
              </w:rPr>
            </w:pPr>
            <w:r w:rsidRPr="00CA1AF9">
              <w:rPr>
                <w:b/>
              </w:rPr>
              <w:t>)</w:t>
            </w:r>
          </w:p>
          <w:p w:rsidR="00C016B1" w:rsidRPr="00CA1AF9" w:rsidP="00A74117">
            <w:pPr>
              <w:rPr>
                <w:b/>
              </w:rPr>
            </w:pPr>
            <w:r w:rsidRPr="00CA1AF9">
              <w:rPr>
                <w:b/>
              </w:rPr>
              <w:t>)</w:t>
            </w:r>
          </w:p>
          <w:p w:rsidR="00C016B1" w:rsidRPr="00CA1AF9" w:rsidP="00A74117">
            <w:pPr>
              <w:rPr>
                <w:b/>
              </w:rPr>
            </w:pPr>
            <w:r w:rsidRPr="00CA1AF9">
              <w:rPr>
                <w:b/>
              </w:rPr>
              <w:t>)</w:t>
            </w:r>
          </w:p>
          <w:p w:rsidR="00C016B1" w:rsidRPr="00CA1AF9" w:rsidP="00A74117">
            <w:pPr>
              <w:rPr>
                <w:b/>
              </w:rPr>
            </w:pPr>
            <w:r w:rsidRPr="00CA1AF9">
              <w:rPr>
                <w:b/>
              </w:rPr>
              <w:t>)</w:t>
            </w:r>
          </w:p>
          <w:p w:rsidR="00C016B1" w:rsidRPr="00CA1AF9" w:rsidP="00A74117">
            <w:pPr>
              <w:rPr>
                <w:b/>
              </w:rPr>
            </w:pPr>
            <w:r w:rsidRPr="00CA1AF9">
              <w:rPr>
                <w:b/>
              </w:rPr>
              <w:t>)</w:t>
            </w:r>
          </w:p>
          <w:p w:rsidR="00C016B1" w:rsidRPr="00CA1AF9" w:rsidP="00A74117">
            <w:pPr>
              <w:rPr>
                <w:b/>
              </w:rPr>
            </w:pPr>
            <w:r w:rsidRPr="00CA1AF9">
              <w:rPr>
                <w:b/>
              </w:rPr>
              <w:t>)</w:t>
            </w:r>
          </w:p>
          <w:p w:rsidR="00C016B1" w:rsidRPr="00CA1AF9" w:rsidP="00A74117">
            <w:pPr>
              <w:rPr>
                <w:b/>
              </w:rPr>
            </w:pPr>
            <w:r w:rsidRPr="00CA1AF9">
              <w:rPr>
                <w:b/>
              </w:rPr>
              <w:t>)</w:t>
            </w:r>
          </w:p>
          <w:p w:rsidR="00C016B1" w:rsidRPr="00CA1AF9" w:rsidP="00A74117">
            <w:pPr>
              <w:rPr>
                <w:b/>
              </w:rPr>
            </w:pPr>
            <w:r w:rsidRPr="00CA1AF9">
              <w:rPr>
                <w:b/>
              </w:rPr>
              <w:t>)</w:t>
            </w:r>
          </w:p>
          <w:p w:rsidR="00C016B1" w:rsidRPr="00CA1AF9" w:rsidP="00A74117">
            <w:pPr>
              <w:rPr>
                <w:b/>
              </w:rPr>
            </w:pPr>
            <w:r w:rsidRPr="00CA1AF9">
              <w:rPr>
                <w:b/>
              </w:rPr>
              <w:t>)</w:t>
            </w:r>
          </w:p>
          <w:p w:rsidR="00C016B1" w:rsidRPr="00CA1AF9" w:rsidP="00A74117">
            <w:pPr>
              <w:rPr>
                <w:b/>
              </w:rPr>
            </w:pPr>
            <w:r w:rsidRPr="00CA1AF9">
              <w:rPr>
                <w:b/>
              </w:rPr>
              <w:t>)</w:t>
            </w:r>
          </w:p>
          <w:p w:rsidR="00C016B1" w:rsidRPr="00CA1AF9" w:rsidP="00A74117">
            <w:pPr>
              <w:rPr>
                <w:b/>
              </w:rPr>
            </w:pPr>
            <w:r w:rsidRPr="00CA1AF9">
              <w:rPr>
                <w:b/>
              </w:rPr>
              <w:t>)</w:t>
            </w:r>
          </w:p>
          <w:p w:rsidR="00C016B1" w:rsidRPr="00CA1AF9" w:rsidP="00A74117">
            <w:pPr>
              <w:rPr>
                <w:b/>
              </w:rPr>
            </w:pPr>
            <w:r w:rsidRPr="00CA1AF9">
              <w:rPr>
                <w:b/>
              </w:rPr>
              <w:t>)</w:t>
            </w:r>
          </w:p>
          <w:p w:rsidR="00C016B1" w:rsidRPr="00CA1AF9" w:rsidP="00A74117">
            <w:pPr>
              <w:rPr>
                <w:b/>
              </w:rPr>
            </w:pPr>
            <w:r w:rsidRPr="00CA1AF9">
              <w:rPr>
                <w:b/>
              </w:rPr>
              <w:t>)</w:t>
            </w:r>
          </w:p>
          <w:p w:rsidR="00C016B1" w:rsidRPr="00CA1AF9" w:rsidP="00A74117">
            <w:pPr>
              <w:rPr>
                <w:b/>
              </w:rPr>
            </w:pPr>
            <w:r w:rsidRPr="00CA1AF9">
              <w:rPr>
                <w:b/>
              </w:rPr>
              <w:t>)</w:t>
            </w:r>
          </w:p>
          <w:p w:rsidR="00C016B1" w:rsidRPr="00CA1AF9" w:rsidP="00A74117">
            <w:pPr>
              <w:rPr>
                <w:b/>
              </w:rPr>
            </w:pPr>
            <w:r w:rsidRPr="00CA1AF9">
              <w:rPr>
                <w:b/>
              </w:rPr>
              <w:t>)</w:t>
            </w:r>
          </w:p>
          <w:p w:rsidR="00C016B1" w:rsidRPr="00CA1AF9" w:rsidP="00A74117">
            <w:pPr>
              <w:rPr>
                <w:b/>
              </w:rPr>
            </w:pPr>
            <w:r w:rsidRPr="00CA1AF9">
              <w:rPr>
                <w:b/>
              </w:rPr>
              <w:t>)</w:t>
            </w:r>
          </w:p>
          <w:p w:rsidR="00C016B1" w:rsidRPr="00CA1AF9" w:rsidP="00A74117">
            <w:pPr>
              <w:rPr>
                <w:b/>
              </w:rPr>
            </w:pPr>
            <w:r w:rsidRPr="00CA1AF9">
              <w:rPr>
                <w:b/>
              </w:rPr>
              <w:t>)</w:t>
            </w:r>
          </w:p>
          <w:p w:rsidR="00C016B1" w:rsidRPr="00CA1AF9" w:rsidP="00A74117">
            <w:pPr>
              <w:rPr>
                <w:b/>
              </w:rPr>
            </w:pPr>
          </w:p>
        </w:tc>
        <w:tc>
          <w:tcPr>
            <w:tcW w:w="630" w:type="dxa"/>
          </w:tcPr>
          <w:p w:rsidR="00C016B1" w:rsidRPr="00CA1AF9" w:rsidP="00A74117">
            <w:pPr>
              <w:tabs>
                <w:tab w:val="center" w:pos="4680"/>
              </w:tabs>
              <w:suppressAutoHyphens/>
              <w:rPr>
                <w:spacing w:val="-2"/>
              </w:rPr>
            </w:pPr>
          </w:p>
        </w:tc>
        <w:tc>
          <w:tcPr>
            <w:tcW w:w="4248" w:type="dxa"/>
          </w:tcPr>
          <w:p w:rsidR="00C016B1" w:rsidRPr="00CA1AF9" w:rsidP="00A74117"/>
          <w:p w:rsidR="00C016B1" w:rsidRPr="00CA1AF9" w:rsidP="00A74117"/>
          <w:p w:rsidR="00C016B1" w:rsidRPr="00CA1AF9" w:rsidP="00A74117">
            <w:r w:rsidRPr="00CA1AF9">
              <w:t>EB Docket No. 11-71</w:t>
            </w:r>
          </w:p>
          <w:p w:rsidR="00C016B1" w:rsidRPr="00CA1AF9" w:rsidP="00A74117">
            <w:r w:rsidRPr="00CA1AF9">
              <w:t>File No. EB-09-IH-1751</w:t>
            </w:r>
          </w:p>
          <w:p w:rsidR="00C016B1" w:rsidRPr="00CA1AF9" w:rsidP="00A74117">
            <w:r w:rsidRPr="00CA1AF9">
              <w:t>FRN:  0013587779</w:t>
            </w:r>
          </w:p>
          <w:p w:rsidR="00C016B1" w:rsidRPr="00CA1AF9" w:rsidP="00A74117"/>
          <w:p w:rsidR="00C016B1" w:rsidRPr="00CA1AF9" w:rsidP="00A74117"/>
          <w:p w:rsidR="00C016B1" w:rsidRPr="00CA1AF9" w:rsidP="00A74117">
            <w:r w:rsidRPr="00CA1AF9">
              <w:t>Application File Nos.</w:t>
            </w:r>
          </w:p>
          <w:p w:rsidR="00C016B1" w:rsidRPr="00CA1AF9" w:rsidP="00A74117">
            <w:r w:rsidRPr="00CA1AF9">
              <w:t>0004030479, 0004144435</w:t>
            </w:r>
            <w:r>
              <w:t>,</w:t>
            </w:r>
          </w:p>
          <w:p w:rsidR="00C016B1" w:rsidRPr="00CA1AF9" w:rsidP="00A74117">
            <w:r w:rsidRPr="00CA1AF9">
              <w:t>0004193028, 0004193328</w:t>
            </w:r>
            <w:r>
              <w:t>,</w:t>
            </w:r>
          </w:p>
          <w:p w:rsidR="00C016B1" w:rsidRPr="00CA1AF9" w:rsidP="00A74117">
            <w:r w:rsidRPr="00CA1AF9">
              <w:t>0004354053, 0004309872,</w:t>
            </w:r>
          </w:p>
          <w:p w:rsidR="00C016B1" w:rsidRPr="00CA1AF9" w:rsidP="00A74117">
            <w:r w:rsidRPr="00CA1AF9">
              <w:t>0004310060, 0004314903,</w:t>
            </w:r>
          </w:p>
          <w:p w:rsidR="00C016B1" w:rsidRPr="00CA1AF9" w:rsidP="00A74117">
            <w:r w:rsidRPr="00CA1AF9">
              <w:t xml:space="preserve">0004315013, 0004430505, </w:t>
            </w:r>
          </w:p>
          <w:p w:rsidR="00C016B1" w:rsidRPr="00CA1AF9" w:rsidP="00A74117">
            <w:r w:rsidRPr="00CA1AF9">
              <w:t>0004417199, 0004419431</w:t>
            </w:r>
            <w:r>
              <w:t>,</w:t>
            </w:r>
            <w:r w:rsidRPr="00CA1AF9">
              <w:t xml:space="preserve">  </w:t>
            </w:r>
          </w:p>
          <w:p w:rsidR="00C016B1" w:rsidRPr="00CA1AF9" w:rsidP="00A74117">
            <w:r w:rsidRPr="00CA1AF9">
              <w:t>0004422320, 0004422329,</w:t>
            </w:r>
          </w:p>
          <w:p w:rsidR="00C016B1" w:rsidRPr="00CA1AF9" w:rsidP="00A74117">
            <w:r w:rsidRPr="00CA1AF9">
              <w:t xml:space="preserve">0004507921, 0004153701,  </w:t>
            </w:r>
          </w:p>
          <w:p w:rsidR="00C016B1" w:rsidRPr="00CA1AF9" w:rsidP="00A74117">
            <w:r w:rsidRPr="00CA1AF9">
              <w:t>0004526264, and 0004604962</w:t>
            </w:r>
          </w:p>
        </w:tc>
        <w:tc>
          <w:tcPr>
            <w:tcW w:w="4248" w:type="dxa"/>
          </w:tcPr>
          <w:p w:rsidR="00C016B1" w:rsidRPr="00CA1AF9" w:rsidP="00A74117">
            <w:pPr>
              <w:tabs>
                <w:tab w:val="center" w:pos="4680"/>
              </w:tabs>
              <w:suppressAutoHyphens/>
              <w:rPr>
                <w:spacing w:val="-2"/>
              </w:rPr>
            </w:pPr>
          </w:p>
          <w:p w:rsidR="00C016B1" w:rsidRPr="00937817" w:rsidP="00A74117">
            <w:pPr>
              <w:pStyle w:val="TOAHeading"/>
              <w:tabs>
                <w:tab w:val="center" w:pos="4680"/>
                <w:tab w:val="clear" w:pos="9360"/>
              </w:tabs>
              <w:rPr>
                <w:spacing w:val="-2"/>
                <w:szCs w:val="22"/>
              </w:rPr>
            </w:pPr>
          </w:p>
          <w:p w:rsidR="00C016B1" w:rsidRPr="00CA1AF9" w:rsidP="00A74117">
            <w:pPr>
              <w:tabs>
                <w:tab w:val="center" w:pos="4680"/>
              </w:tabs>
              <w:suppressAutoHyphens/>
              <w:rPr>
                <w:spacing w:val="-2"/>
              </w:rPr>
            </w:pPr>
          </w:p>
        </w:tc>
      </w:tr>
    </w:tbl>
    <w:p w:rsidR="00C016B1" w:rsidRPr="00CA1AF9" w:rsidP="00C016B1"/>
    <w:p w:rsidR="00C016B1" w:rsidRPr="00CA1AF9" w:rsidP="00C016B1">
      <w:pPr>
        <w:pStyle w:val="StyleBoldCentered"/>
        <w:rPr>
          <w:rFonts w:ascii="Times New Roman" w:hAnsi="Times New Roman"/>
        </w:rPr>
      </w:pPr>
      <w:r w:rsidRPr="00CA1AF9">
        <w:rPr>
          <w:rFonts w:ascii="Times New Roman" w:hAnsi="Times New Roman"/>
        </w:rPr>
        <w:t>MEMORANDUM OPINION AND ORDER</w:t>
      </w:r>
    </w:p>
    <w:p w:rsidR="00C016B1" w:rsidRPr="00CA1AF9" w:rsidP="00C016B1">
      <w:pPr>
        <w:tabs>
          <w:tab w:val="left" w:pos="-720"/>
        </w:tabs>
        <w:suppressAutoHyphens/>
        <w:rPr>
          <w:spacing w:val="-2"/>
        </w:rPr>
      </w:pPr>
    </w:p>
    <w:p w:rsidR="00C016B1" w:rsidRPr="00CA1AF9" w:rsidP="00C016B1">
      <w:pPr>
        <w:tabs>
          <w:tab w:val="left" w:pos="720"/>
          <w:tab w:val="right" w:pos="9360"/>
        </w:tabs>
        <w:suppressAutoHyphens/>
        <w:rPr>
          <w:spacing w:val="-2"/>
        </w:rPr>
      </w:pPr>
      <w:r w:rsidRPr="00CA1AF9">
        <w:rPr>
          <w:b/>
          <w:spacing w:val="-2"/>
        </w:rPr>
        <w:t xml:space="preserve">Adopted:  </w:t>
      </w:r>
      <w:r w:rsidR="0068702F">
        <w:rPr>
          <w:b/>
          <w:spacing w:val="-2"/>
        </w:rPr>
        <w:t xml:space="preserve">November 28, </w:t>
      </w:r>
      <w:r w:rsidRPr="00CA1AF9">
        <w:rPr>
          <w:b/>
          <w:spacing w:val="-2"/>
        </w:rPr>
        <w:t>201</w:t>
      </w:r>
      <w:r>
        <w:rPr>
          <w:b/>
          <w:spacing w:val="-2"/>
        </w:rPr>
        <w:t>8</w:t>
      </w:r>
      <w:r w:rsidRPr="00CA1AF9">
        <w:rPr>
          <w:b/>
          <w:spacing w:val="-2"/>
        </w:rPr>
        <w:tab/>
        <w:t xml:space="preserve">Released:  </w:t>
      </w:r>
      <w:r w:rsidR="0068702F">
        <w:rPr>
          <w:b/>
          <w:spacing w:val="-2"/>
        </w:rPr>
        <w:t>November 2</w:t>
      </w:r>
      <w:r w:rsidR="0028568A">
        <w:rPr>
          <w:b/>
          <w:spacing w:val="-2"/>
        </w:rPr>
        <w:t>9</w:t>
      </w:r>
      <w:r w:rsidR="0068702F">
        <w:rPr>
          <w:b/>
          <w:spacing w:val="-2"/>
        </w:rPr>
        <w:t xml:space="preserve">, </w:t>
      </w:r>
      <w:r w:rsidRPr="00CA1AF9">
        <w:rPr>
          <w:b/>
          <w:spacing w:val="-2"/>
        </w:rPr>
        <w:t>201</w:t>
      </w:r>
      <w:r>
        <w:rPr>
          <w:b/>
          <w:spacing w:val="-2"/>
        </w:rPr>
        <w:t>8</w:t>
      </w:r>
    </w:p>
    <w:p w:rsidR="00C016B1" w:rsidRPr="00CA1AF9" w:rsidP="00C016B1"/>
    <w:p w:rsidR="00C016B1" w:rsidRPr="00CA1AF9" w:rsidP="00C016B1">
      <w:pPr>
        <w:rPr>
          <w:spacing w:val="-2"/>
        </w:rPr>
      </w:pPr>
      <w:r w:rsidRPr="00CA1AF9">
        <w:t xml:space="preserve">By the </w:t>
      </w:r>
      <w:r w:rsidRPr="00CA1AF9">
        <w:rPr>
          <w:spacing w:val="-2"/>
        </w:rPr>
        <w:t>Commission:</w:t>
      </w:r>
    </w:p>
    <w:p w:rsidR="00C016B1" w:rsidRPr="00CA1AF9" w:rsidP="00C016B1">
      <w:pPr>
        <w:rPr>
          <w:spacing w:val="-2"/>
        </w:rPr>
      </w:pPr>
    </w:p>
    <w:p w:rsidR="00C016B1" w:rsidRPr="00CA1AF9" w:rsidP="00C016B1">
      <w:pPr>
        <w:pStyle w:val="Heading1"/>
        <w:rPr>
          <w:rFonts w:ascii="Times New Roman" w:hAnsi="Times New Roman"/>
          <w:szCs w:val="22"/>
        </w:rPr>
      </w:pPr>
      <w:r w:rsidRPr="00CA1AF9">
        <w:rPr>
          <w:rFonts w:ascii="Times New Roman" w:hAnsi="Times New Roman"/>
          <w:szCs w:val="22"/>
        </w:rPr>
        <w:t>INTRODUCTION</w:t>
      </w:r>
    </w:p>
    <w:p w:rsidR="00C016B1" w:rsidRPr="00CA1AF9" w:rsidP="00C016B1">
      <w:pPr>
        <w:pStyle w:val="ParaNum"/>
        <w:rPr>
          <w:szCs w:val="22"/>
        </w:rPr>
      </w:pPr>
      <w:r w:rsidRPr="00937817">
        <w:rPr>
          <w:szCs w:val="22"/>
        </w:rPr>
        <w:t xml:space="preserve">By this memorandum opinion and order, we deny the </w:t>
      </w:r>
      <w:r w:rsidRPr="00CA1AF9">
        <w:rPr>
          <w:szCs w:val="22"/>
        </w:rPr>
        <w:t>E</w:t>
      </w:r>
      <w:r>
        <w:rPr>
          <w:szCs w:val="22"/>
        </w:rPr>
        <w:t xml:space="preserve">nvironmentel LLC (Environmentel) and </w:t>
      </w:r>
      <w:r w:rsidRPr="00CA1AF9">
        <w:rPr>
          <w:szCs w:val="22"/>
        </w:rPr>
        <w:t>Verde Systems</w:t>
      </w:r>
      <w:r>
        <w:rPr>
          <w:szCs w:val="22"/>
        </w:rPr>
        <w:t xml:space="preserve"> </w:t>
      </w:r>
      <w:r w:rsidRPr="00CA1AF9">
        <w:rPr>
          <w:szCs w:val="22"/>
        </w:rPr>
        <w:t>LLC (</w:t>
      </w:r>
      <w:r>
        <w:rPr>
          <w:szCs w:val="22"/>
        </w:rPr>
        <w:t>Verde Systems</w:t>
      </w:r>
      <w:r w:rsidRPr="00CA1AF9">
        <w:rPr>
          <w:szCs w:val="22"/>
        </w:rPr>
        <w:t>) Interlocutory Appeal as of Right, filed April 29, 2015, and dismiss the Interlocutory Appeal, filed April 29, 2015 (as corrected April 30, 2015), by Warren Havens (Havens).</w:t>
      </w:r>
      <w:r>
        <w:rPr>
          <w:rStyle w:val="FootnoteReference"/>
          <w:sz w:val="22"/>
          <w:szCs w:val="22"/>
        </w:rPr>
        <w:footnoteReference w:id="3"/>
      </w:r>
      <w:r w:rsidRPr="00937817">
        <w:rPr>
          <w:szCs w:val="22"/>
        </w:rPr>
        <w:t xml:space="preserve">  </w:t>
      </w:r>
      <w:r w:rsidRPr="00CA1AF9">
        <w:rPr>
          <w:szCs w:val="22"/>
        </w:rPr>
        <w:t xml:space="preserve">These pleadings seek review of a memorandum opinion and order by Chief </w:t>
      </w:r>
      <w:r w:rsidRPr="00CA1AF9">
        <w:rPr>
          <w:szCs w:val="22"/>
        </w:rPr>
        <w:t xml:space="preserve">Administrative Law </w:t>
      </w:r>
      <w:r>
        <w:rPr>
          <w:szCs w:val="22"/>
        </w:rPr>
        <w:t>Judge</w:t>
      </w:r>
      <w:r w:rsidRPr="00CA1AF9">
        <w:rPr>
          <w:szCs w:val="22"/>
        </w:rPr>
        <w:t xml:space="preserve"> Richard L. Sippel (</w:t>
      </w:r>
      <w:r>
        <w:rPr>
          <w:szCs w:val="22"/>
        </w:rPr>
        <w:t>the Judge)</w:t>
      </w:r>
      <w:r w:rsidRPr="00CA1AF9">
        <w:rPr>
          <w:szCs w:val="22"/>
        </w:rPr>
        <w:t xml:space="preserve"> that excluded Havens and six affiliated entities</w:t>
      </w:r>
      <w:r w:rsidRPr="00937817">
        <w:rPr>
          <w:szCs w:val="22"/>
        </w:rPr>
        <w:t xml:space="preserve"> from further participation in this hearing proceeding</w:t>
      </w:r>
      <w:r w:rsidRPr="00CA1AF9">
        <w:rPr>
          <w:szCs w:val="22"/>
        </w:rPr>
        <w:t>, and took other related actions.</w:t>
      </w:r>
      <w:r>
        <w:rPr>
          <w:rStyle w:val="FootnoteReference"/>
          <w:sz w:val="22"/>
          <w:szCs w:val="22"/>
        </w:rPr>
        <w:footnoteReference w:id="4"/>
      </w:r>
      <w:r w:rsidRPr="00937817">
        <w:rPr>
          <w:szCs w:val="22"/>
        </w:rPr>
        <w:t xml:space="preserve">  </w:t>
      </w:r>
      <w:r w:rsidRPr="00CA1AF9">
        <w:rPr>
          <w:szCs w:val="22"/>
        </w:rPr>
        <w:t xml:space="preserve">We find that the record amply supports the </w:t>
      </w:r>
      <w:r>
        <w:rPr>
          <w:szCs w:val="22"/>
        </w:rPr>
        <w:t xml:space="preserve">Judge’s </w:t>
      </w:r>
      <w:r w:rsidRPr="00CA1AF9">
        <w:rPr>
          <w:szCs w:val="22"/>
        </w:rPr>
        <w:t xml:space="preserve">exercise of his discretion in excluding Havens and his companies based on findings that Havens’s conduct in this proceeding has been disruptive and that he has </w:t>
      </w:r>
      <w:r>
        <w:rPr>
          <w:szCs w:val="22"/>
        </w:rPr>
        <w:t>consistently flouted or ignored the Judge’s rulings and directives.</w:t>
      </w:r>
      <w:r w:rsidRPr="00CA1AF9">
        <w:rPr>
          <w:szCs w:val="22"/>
        </w:rPr>
        <w:t xml:space="preserve">  In light of this conclusion, we dismiss as moot several procedural requests that are also pending before us.</w:t>
      </w:r>
    </w:p>
    <w:p w:rsidR="00C016B1" w:rsidRPr="00CA1AF9" w:rsidP="00C016B1">
      <w:pPr>
        <w:pStyle w:val="Heading1"/>
        <w:rPr>
          <w:rFonts w:ascii="Times New Roman" w:hAnsi="Times New Roman"/>
          <w:szCs w:val="22"/>
        </w:rPr>
      </w:pPr>
      <w:r w:rsidRPr="00CA1AF9">
        <w:rPr>
          <w:rFonts w:ascii="Times New Roman" w:hAnsi="Times New Roman"/>
          <w:szCs w:val="22"/>
        </w:rPr>
        <w:t>BACKGROUND</w:t>
      </w:r>
    </w:p>
    <w:p w:rsidR="00C016B1" w:rsidRPr="00CA1AF9" w:rsidP="00C016B1">
      <w:pPr>
        <w:pStyle w:val="ParaNum"/>
        <w:rPr>
          <w:szCs w:val="22"/>
        </w:rPr>
      </w:pPr>
      <w:r w:rsidRPr="00937817">
        <w:rPr>
          <w:szCs w:val="22"/>
        </w:rPr>
        <w:t>To</w:t>
      </w:r>
      <w:r w:rsidRPr="00CA1AF9">
        <w:rPr>
          <w:szCs w:val="22"/>
        </w:rPr>
        <w:t xml:space="preserve"> place these matters in context, we must examine the complicated history of this proceeding.  Our examination indicates that, although Havens and his companies are not the subject of the issues designated for hearing, a substantial amount of time and effort have been devoted in this proceeding to questions about Havens’s conduct.  In particular</w:t>
      </w:r>
      <w:r>
        <w:rPr>
          <w:szCs w:val="22"/>
        </w:rPr>
        <w:t xml:space="preserve">, </w:t>
      </w:r>
      <w:r w:rsidRPr="00CA1AF9">
        <w:rPr>
          <w:szCs w:val="22"/>
        </w:rPr>
        <w:t xml:space="preserve">more than once, questions concerning Havens’s conduct have previously come to the full Commission for review.  Given the complexity of the matters referred to in the </w:t>
      </w:r>
      <w:r w:rsidRPr="0098210F">
        <w:rPr>
          <w:i/>
          <w:szCs w:val="22"/>
        </w:rPr>
        <w:t>Dismissal Order</w:t>
      </w:r>
      <w:r w:rsidRPr="00CA1AF9">
        <w:rPr>
          <w:szCs w:val="22"/>
        </w:rPr>
        <w:t xml:space="preserve">, which is </w:t>
      </w:r>
      <w:r>
        <w:rPr>
          <w:szCs w:val="22"/>
        </w:rPr>
        <w:t xml:space="preserve">the </w:t>
      </w:r>
      <w:r w:rsidRPr="00CA1AF9">
        <w:rPr>
          <w:szCs w:val="22"/>
        </w:rPr>
        <w:t xml:space="preserve">subject of this appeal, we will describe these circumstances in detail.    </w:t>
      </w:r>
    </w:p>
    <w:p w:rsidR="00C016B1" w:rsidP="00C016B1">
      <w:pPr>
        <w:pStyle w:val="ParaNum"/>
      </w:pPr>
      <w:r>
        <w:rPr>
          <w:b/>
        </w:rPr>
        <w:t>Initiation and early phases of t</w:t>
      </w:r>
      <w:r w:rsidRPr="005B265D">
        <w:rPr>
          <w:b/>
        </w:rPr>
        <w:t>he proceeding</w:t>
      </w:r>
      <w:r>
        <w:rPr>
          <w:b/>
        </w:rPr>
        <w:t xml:space="preserve"> (April 19, 2011 to March 31, 2013)</w:t>
      </w:r>
      <w:r w:rsidRPr="005B265D">
        <w:rPr>
          <w:b/>
        </w:rPr>
        <w:t xml:space="preserve">. </w:t>
      </w:r>
      <w:r w:rsidRPr="005B265D">
        <w:t xml:space="preserve"> </w:t>
      </w:r>
      <w:r>
        <w:t xml:space="preserve">On April 19, 2011, the Commission initiated </w:t>
      </w:r>
      <w:r w:rsidRPr="005B265D">
        <w:t>EB Docket No. 11-71 (Maritime Proceeding)</w:t>
      </w:r>
      <w:r>
        <w:t xml:space="preserve"> by adopting an order that </w:t>
      </w:r>
      <w:r w:rsidRPr="005B265D">
        <w:t xml:space="preserve">designated for hearing </w:t>
      </w:r>
      <w:r>
        <w:t xml:space="preserve">before an administrative law judge </w:t>
      </w:r>
      <w:r w:rsidRPr="005B265D">
        <w:t>whether wireless radio licenses held by Maritime Communications/Land Mobile, LLC (Maritime) should be revoked and its related wireless radio applications should be denied.</w:t>
      </w:r>
      <w:r>
        <w:rPr>
          <w:rStyle w:val="FootnoteReference"/>
          <w:sz w:val="22"/>
          <w:szCs w:val="22"/>
        </w:rPr>
        <w:footnoteReference w:id="5"/>
      </w:r>
      <w:r w:rsidRPr="005B265D">
        <w:t xml:space="preserve">  The Commission </w:t>
      </w:r>
      <w:r>
        <w:t>designated as parties Havens and six affiliated entities, including Environmentel and Verde Systems,</w:t>
      </w:r>
      <w:r>
        <w:rPr>
          <w:rStyle w:val="FootnoteReference"/>
          <w:szCs w:val="22"/>
        </w:rPr>
        <w:footnoteReference w:id="6"/>
      </w:r>
      <w:r>
        <w:t xml:space="preserve"> because they had previously </w:t>
      </w:r>
      <w:r w:rsidRPr="005B265D">
        <w:t xml:space="preserve">filed petitions to deny certain Maritime applications, based on Maritime’s alleged misconduct.  </w:t>
      </w:r>
      <w:r>
        <w:t xml:space="preserve">Havens, although at various times represented by his own counsel or by himself, was the manager and controlling principal of the six entities, and thus was the point of contact for these entities and was directing their counsel.  </w:t>
      </w:r>
      <w:r w:rsidRPr="00CA1AF9">
        <w:t xml:space="preserve">  </w:t>
      </w:r>
    </w:p>
    <w:p w:rsidR="00C016B1" w:rsidRPr="00937817" w:rsidP="00C016B1">
      <w:pPr>
        <w:pStyle w:val="ParaNum"/>
      </w:pPr>
      <w:r>
        <w:t>On November 15, 2012,</w:t>
      </w:r>
      <w:r w:rsidRPr="00CA1AF9">
        <w:t xml:space="preserve"> </w:t>
      </w:r>
      <w:r>
        <w:t>in response to controversies that arose early in the proceeding and the relationship between Havens and the six entities, t</w:t>
      </w:r>
      <w:r w:rsidRPr="00CA1AF9">
        <w:t xml:space="preserve">he </w:t>
      </w:r>
      <w:r>
        <w:rPr>
          <w:szCs w:val="22"/>
        </w:rPr>
        <w:t>Judge</w:t>
      </w:r>
      <w:r>
        <w:t xml:space="preserve"> </w:t>
      </w:r>
      <w:r w:rsidRPr="00CA1AF9">
        <w:t>required Havens and counsel for the companies to</w:t>
      </w:r>
      <w:r>
        <w:t xml:space="preserve"> coordinate their participation.  T</w:t>
      </w:r>
      <w:r w:rsidRPr="00CA1AF9">
        <w:t>o the extent they took identical positions, they were required to file joint pleadings.  To the extent Havens and his companies took different positions, they could file separate pleadings, provided they explained why they could not agree</w:t>
      </w:r>
      <w:r>
        <w:t xml:space="preserve"> (since it was not apparent how Havens and companies he owned and controlled could have different interests)</w:t>
      </w:r>
      <w:r w:rsidRPr="00CA1AF9">
        <w:t>.</w:t>
      </w:r>
      <w:r>
        <w:rPr>
          <w:rStyle w:val="FootnoteReference"/>
          <w:sz w:val="22"/>
          <w:szCs w:val="22"/>
        </w:rPr>
        <w:footnoteReference w:id="7"/>
      </w:r>
    </w:p>
    <w:p w:rsidR="00C016B1" w:rsidRPr="00937817" w:rsidP="00C016B1">
      <w:pPr>
        <w:pStyle w:val="ParaNum"/>
      </w:pPr>
      <w:r>
        <w:rPr>
          <w:szCs w:val="22"/>
        </w:rPr>
        <w:t xml:space="preserve">On March 31, 2013, the Judge stayed the Maritime Proceeding, </w:t>
      </w:r>
      <w:r w:rsidRPr="00CA1AF9">
        <w:rPr>
          <w:szCs w:val="22"/>
        </w:rPr>
        <w:t>w</w:t>
      </w:r>
      <w:r>
        <w:rPr>
          <w:szCs w:val="22"/>
        </w:rPr>
        <w:t>ith the exception of one issue.</w:t>
      </w:r>
      <w:r>
        <w:rPr>
          <w:rStyle w:val="FootnoteReference"/>
          <w:sz w:val="22"/>
          <w:szCs w:val="22"/>
        </w:rPr>
        <w:footnoteReference w:id="8"/>
      </w:r>
      <w:r>
        <w:rPr>
          <w:szCs w:val="22"/>
        </w:rPr>
        <w:t xml:space="preserve">  The Judge issued the stay after Maritime declared bankruptcy, and the bankruptcy court approved a reorganization plan calling for Maritime to assign its authorizations to an entity consisting of Maritime’s creditors.</w:t>
      </w:r>
      <w:r>
        <w:rPr>
          <w:rStyle w:val="FootnoteReference"/>
          <w:szCs w:val="22"/>
        </w:rPr>
        <w:footnoteReference w:id="9"/>
      </w:r>
      <w:r>
        <w:rPr>
          <w:szCs w:val="22"/>
        </w:rPr>
        <w:t xml:space="preserve">  The one issue still in hearing, Issue (g), concerned </w:t>
      </w:r>
      <w:r w:rsidRPr="00CA1AF9">
        <w:rPr>
          <w:szCs w:val="22"/>
        </w:rPr>
        <w:t xml:space="preserve">whether </w:t>
      </w:r>
      <w:r>
        <w:rPr>
          <w:szCs w:val="22"/>
        </w:rPr>
        <w:t xml:space="preserve">some of Maritime’s licenses had automatically cancelled.  </w:t>
      </w:r>
    </w:p>
    <w:p w:rsidR="00C016B1" w:rsidRPr="00937817" w:rsidP="00C016B1">
      <w:pPr>
        <w:pStyle w:val="ParaNum"/>
        <w:rPr>
          <w:szCs w:val="22"/>
        </w:rPr>
      </w:pPr>
      <w:r>
        <w:rPr>
          <w:b/>
          <w:szCs w:val="22"/>
        </w:rPr>
        <w:t xml:space="preserve">Questions regarding Havens’s legal representation (May 14, 2013 to June 17, 2014).  </w:t>
      </w:r>
      <w:r>
        <w:rPr>
          <w:szCs w:val="22"/>
        </w:rPr>
        <w:t>O</w:t>
      </w:r>
      <w:r w:rsidRPr="00CA1AF9">
        <w:rPr>
          <w:szCs w:val="22"/>
        </w:rPr>
        <w:t xml:space="preserve">n May 14, 2013, the </w:t>
      </w:r>
      <w:r>
        <w:rPr>
          <w:szCs w:val="22"/>
        </w:rPr>
        <w:t>Judge</w:t>
      </w:r>
      <w:r w:rsidRPr="00CA1AF9">
        <w:rPr>
          <w:szCs w:val="22"/>
        </w:rPr>
        <w:t xml:space="preserve"> issued an order that placed </w:t>
      </w:r>
      <w:r>
        <w:rPr>
          <w:szCs w:val="22"/>
        </w:rPr>
        <w:t xml:space="preserve">further </w:t>
      </w:r>
      <w:r w:rsidRPr="00CA1AF9">
        <w:rPr>
          <w:szCs w:val="22"/>
        </w:rPr>
        <w:t xml:space="preserve">conditions on the legal representation of </w:t>
      </w:r>
      <w:r w:rsidRPr="00CA1AF9">
        <w:rPr>
          <w:szCs w:val="22"/>
        </w:rPr>
        <w:t>Havens and his companies in the Maritime Proceeding.</w:t>
      </w:r>
      <w:r>
        <w:rPr>
          <w:rStyle w:val="FootnoteReference"/>
          <w:sz w:val="22"/>
          <w:szCs w:val="22"/>
        </w:rPr>
        <w:footnoteReference w:id="10"/>
      </w:r>
      <w:r w:rsidRPr="00937817">
        <w:rPr>
          <w:szCs w:val="22"/>
        </w:rPr>
        <w:t xml:space="preserve">  </w:t>
      </w:r>
      <w:r>
        <w:rPr>
          <w:szCs w:val="22"/>
        </w:rPr>
        <w:t>In particular, t</w:t>
      </w:r>
      <w:r w:rsidRPr="00937817">
        <w:rPr>
          <w:szCs w:val="22"/>
        </w:rPr>
        <w:t xml:space="preserve">he </w:t>
      </w:r>
      <w:r>
        <w:rPr>
          <w:szCs w:val="22"/>
        </w:rPr>
        <w:t>Judge</w:t>
      </w:r>
      <w:r w:rsidRPr="00CA1AF9">
        <w:rPr>
          <w:szCs w:val="22"/>
        </w:rPr>
        <w:t xml:space="preserve"> found that “changes and bifurcations” in the representation of Havens and his companies had caused confusion and delay in the proceeding.</w:t>
      </w:r>
      <w:r>
        <w:rPr>
          <w:rStyle w:val="FootnoteReference"/>
          <w:sz w:val="22"/>
          <w:szCs w:val="22"/>
        </w:rPr>
        <w:footnoteReference w:id="11"/>
      </w:r>
      <w:r w:rsidRPr="00937817">
        <w:rPr>
          <w:szCs w:val="22"/>
        </w:rPr>
        <w:t xml:space="preserve"> </w:t>
      </w:r>
      <w:r w:rsidRPr="00CA1AF9">
        <w:rPr>
          <w:szCs w:val="22"/>
        </w:rPr>
        <w:t xml:space="preserve"> The </w:t>
      </w:r>
      <w:r>
        <w:rPr>
          <w:szCs w:val="22"/>
        </w:rPr>
        <w:t>Judge</w:t>
      </w:r>
      <w:r w:rsidRPr="00CA1AF9">
        <w:rPr>
          <w:szCs w:val="22"/>
        </w:rPr>
        <w:t xml:space="preserve"> found that the original notice of appearance filed in the Maritime Proceeding had indicated that Havens and his companies were represented by the same attorney</w:t>
      </w:r>
      <w:r>
        <w:rPr>
          <w:szCs w:val="22"/>
        </w:rPr>
        <w:t xml:space="preserve"> but that s</w:t>
      </w:r>
      <w:r w:rsidRPr="00CA1AF9">
        <w:rPr>
          <w:szCs w:val="22"/>
        </w:rPr>
        <w:t xml:space="preserve">ubsequently Havens had attempted to: (1) represent himself, (2) speak for some of his companies (with an attorney speaking for the others), and (3) speak for all of his companies.  Additionally, the </w:t>
      </w:r>
      <w:r>
        <w:rPr>
          <w:szCs w:val="22"/>
        </w:rPr>
        <w:t>Judge</w:t>
      </w:r>
      <w:r w:rsidRPr="00CA1AF9">
        <w:rPr>
          <w:szCs w:val="22"/>
        </w:rPr>
        <w:t xml:space="preserve"> found that, on occasion, counsel for Havens’s companies had attempted to speak for Havens personally.  The</w:t>
      </w:r>
      <w:r w:rsidRPr="004B1356">
        <w:rPr>
          <w:szCs w:val="22"/>
        </w:rPr>
        <w:t xml:space="preserve"> </w:t>
      </w:r>
      <w:r>
        <w:rPr>
          <w:szCs w:val="22"/>
        </w:rPr>
        <w:t>Judge</w:t>
      </w:r>
      <w:r w:rsidRPr="00CA1AF9">
        <w:rPr>
          <w:szCs w:val="22"/>
        </w:rPr>
        <w:t xml:space="preserve"> further found that the situation was aggravated by Havens’s questionable insistence that he and his companies, which he managed and controlled, had distinct interests.</w:t>
      </w:r>
      <w:r>
        <w:rPr>
          <w:rStyle w:val="FootnoteReference"/>
          <w:sz w:val="22"/>
          <w:szCs w:val="22"/>
        </w:rPr>
        <w:footnoteReference w:id="12"/>
      </w:r>
    </w:p>
    <w:p w:rsidR="00C016B1" w:rsidP="00C016B1">
      <w:pPr>
        <w:pStyle w:val="ParaNum"/>
        <w:rPr>
          <w:szCs w:val="22"/>
        </w:rPr>
      </w:pPr>
      <w:r w:rsidRPr="00C5438E">
        <w:rPr>
          <w:szCs w:val="22"/>
        </w:rPr>
        <w:t xml:space="preserve">In response to these concerns, the </w:t>
      </w:r>
      <w:r>
        <w:rPr>
          <w:szCs w:val="22"/>
        </w:rPr>
        <w:t>Judge</w:t>
      </w:r>
      <w:r w:rsidRPr="00C5438E">
        <w:rPr>
          <w:szCs w:val="22"/>
        </w:rPr>
        <w:t xml:space="preserve"> placed </w:t>
      </w:r>
      <w:r>
        <w:rPr>
          <w:szCs w:val="22"/>
        </w:rPr>
        <w:t xml:space="preserve">further </w:t>
      </w:r>
      <w:r w:rsidRPr="00C5438E">
        <w:rPr>
          <w:szCs w:val="22"/>
        </w:rPr>
        <w:t>conditions on the representation of Havens and his companies</w:t>
      </w:r>
      <w:r w:rsidRPr="000D4309">
        <w:rPr>
          <w:szCs w:val="22"/>
        </w:rPr>
        <w:t xml:space="preserve"> in the Maritime Proceeding, including litigation over Issue (g).  He held that Havens could participate </w:t>
      </w:r>
      <w:r w:rsidRPr="000D4309">
        <w:rPr>
          <w:i/>
          <w:szCs w:val="22"/>
        </w:rPr>
        <w:t xml:space="preserve">pro se </w:t>
      </w:r>
      <w:r w:rsidRPr="000D4309">
        <w:rPr>
          <w:szCs w:val="22"/>
        </w:rPr>
        <w:t xml:space="preserve">provided that he filed a notice of appearance making it clear that he was representing himself.  In order to allow Havens and his companies to speak with separate voices if they chose, but to avoid inconsistent pleadings and confusion, the </w:t>
      </w:r>
      <w:r>
        <w:rPr>
          <w:szCs w:val="22"/>
        </w:rPr>
        <w:t>Judge</w:t>
      </w:r>
      <w:r w:rsidRPr="000D4309">
        <w:rPr>
          <w:szCs w:val="22"/>
        </w:rPr>
        <w:t xml:space="preserve"> required Havens’s companies to obtain representation by an attorney and prohibited Havens (who is not an attorney and claimed to have interests distinct from his companies) from representing them.  </w:t>
      </w:r>
      <w:r w:rsidRPr="00C5438E">
        <w:rPr>
          <w:szCs w:val="22"/>
        </w:rPr>
        <w:t xml:space="preserve">Havens filed an interlocutory appeal of the </w:t>
      </w:r>
      <w:r>
        <w:rPr>
          <w:szCs w:val="22"/>
        </w:rPr>
        <w:t>Judge</w:t>
      </w:r>
      <w:r w:rsidRPr="00C5438E">
        <w:rPr>
          <w:szCs w:val="22"/>
        </w:rPr>
        <w:t>’s order.</w:t>
      </w:r>
      <w:r>
        <w:rPr>
          <w:rStyle w:val="FootnoteReference"/>
          <w:sz w:val="22"/>
          <w:szCs w:val="22"/>
        </w:rPr>
        <w:footnoteReference w:id="13"/>
      </w:r>
      <w:r w:rsidRPr="00C5438E">
        <w:rPr>
          <w:szCs w:val="22"/>
        </w:rPr>
        <w:t xml:space="preserve"> </w:t>
      </w:r>
    </w:p>
    <w:p w:rsidR="00C016B1" w:rsidRPr="000D4309" w:rsidP="00C016B1">
      <w:pPr>
        <w:pStyle w:val="ParaNum"/>
        <w:rPr>
          <w:szCs w:val="22"/>
        </w:rPr>
      </w:pPr>
      <w:r w:rsidRPr="00C5438E">
        <w:rPr>
          <w:szCs w:val="22"/>
        </w:rPr>
        <w:t xml:space="preserve">The Commission </w:t>
      </w:r>
      <w:r w:rsidRPr="000D4309">
        <w:rPr>
          <w:szCs w:val="22"/>
        </w:rPr>
        <w:t xml:space="preserve">upheld the </w:t>
      </w:r>
      <w:r>
        <w:rPr>
          <w:szCs w:val="22"/>
        </w:rPr>
        <w:t>Judge</w:t>
      </w:r>
      <w:r w:rsidRPr="000D4309">
        <w:rPr>
          <w:szCs w:val="22"/>
        </w:rPr>
        <w:t xml:space="preserve">’s order and found that the record amply supported the </w:t>
      </w:r>
      <w:r>
        <w:rPr>
          <w:szCs w:val="22"/>
        </w:rPr>
        <w:t>Judge</w:t>
      </w:r>
      <w:r w:rsidRPr="000D4309">
        <w:rPr>
          <w:szCs w:val="22"/>
        </w:rPr>
        <w:t>’s exercise of his discretion to prevent “confusion and delay on questions having nothing to do with the merits of this complex litigation.”</w:t>
      </w:r>
      <w:r w:rsidRPr="000D4309">
        <w:rPr>
          <w:rStyle w:val="FootnoteReference"/>
          <w:szCs w:val="22"/>
        </w:rPr>
        <w:t xml:space="preserve"> </w:t>
      </w:r>
      <w:r>
        <w:rPr>
          <w:rStyle w:val="FootnoteReference"/>
          <w:szCs w:val="22"/>
        </w:rPr>
        <w:footnoteReference w:id="14"/>
      </w:r>
      <w:r w:rsidRPr="00C5438E">
        <w:rPr>
          <w:szCs w:val="22"/>
        </w:rPr>
        <w:t xml:space="preserve"> </w:t>
      </w:r>
      <w:r>
        <w:rPr>
          <w:szCs w:val="22"/>
        </w:rPr>
        <w:t xml:space="preserve"> </w:t>
      </w:r>
      <w:r w:rsidRPr="00C5438E">
        <w:rPr>
          <w:szCs w:val="22"/>
        </w:rPr>
        <w:t xml:space="preserve">The Commission further found that “the </w:t>
      </w:r>
      <w:r>
        <w:rPr>
          <w:szCs w:val="22"/>
        </w:rPr>
        <w:t>Judge</w:t>
      </w:r>
      <w:r w:rsidRPr="000D4309">
        <w:rPr>
          <w:szCs w:val="22"/>
        </w:rPr>
        <w:t xml:space="preserve"> acted reasonably in concluding that the parties should not have to spend time and effort puzzling over who did or should represent [Havens’s companies] and that “action was necessary to resolve the situation.”</w:t>
      </w:r>
      <w:r>
        <w:rPr>
          <w:rStyle w:val="FootnoteReference"/>
          <w:szCs w:val="22"/>
        </w:rPr>
        <w:footnoteReference w:id="15"/>
      </w:r>
      <w:r w:rsidRPr="00C5438E">
        <w:rPr>
          <w:szCs w:val="22"/>
        </w:rPr>
        <w:t xml:space="preserve">  The Commission </w:t>
      </w:r>
      <w:r w:rsidRPr="000D4309">
        <w:rPr>
          <w:szCs w:val="22"/>
        </w:rPr>
        <w:t>found Havens’s arguments on appeal to be without merit.</w:t>
      </w:r>
    </w:p>
    <w:p w:rsidR="00C016B1" w:rsidRPr="00CA1AF9" w:rsidP="00C016B1">
      <w:pPr>
        <w:pStyle w:val="ParaNum"/>
        <w:rPr>
          <w:szCs w:val="22"/>
        </w:rPr>
      </w:pPr>
      <w:r w:rsidRPr="00CA1AF9">
        <w:rPr>
          <w:szCs w:val="22"/>
        </w:rPr>
        <w:t xml:space="preserve">The conditions imposed by the </w:t>
      </w:r>
      <w:r>
        <w:rPr>
          <w:szCs w:val="22"/>
        </w:rPr>
        <w:t>Judge</w:t>
      </w:r>
      <w:r w:rsidRPr="00CA1AF9">
        <w:rPr>
          <w:szCs w:val="22"/>
        </w:rPr>
        <w:t xml:space="preserve"> and affirmed by the Commission did not, however, prevent further </w:t>
      </w:r>
      <w:r>
        <w:rPr>
          <w:szCs w:val="22"/>
        </w:rPr>
        <w:t xml:space="preserve">issues relating to </w:t>
      </w:r>
      <w:r w:rsidRPr="00CA1AF9">
        <w:rPr>
          <w:szCs w:val="22"/>
        </w:rPr>
        <w:t>Havens’s legal representation in the Maritime Proceeding from coming before the full Commission.  Th</w:t>
      </w:r>
      <w:r>
        <w:rPr>
          <w:szCs w:val="22"/>
        </w:rPr>
        <w:t>e</w:t>
      </w:r>
      <w:r w:rsidRPr="00CA1AF9">
        <w:rPr>
          <w:szCs w:val="22"/>
        </w:rPr>
        <w:t xml:space="preserve"> controversy</w:t>
      </w:r>
      <w:r>
        <w:rPr>
          <w:szCs w:val="22"/>
        </w:rPr>
        <w:t xml:space="preserve"> addressed in this order </w:t>
      </w:r>
      <w:r w:rsidRPr="00CA1AF9">
        <w:rPr>
          <w:szCs w:val="22"/>
        </w:rPr>
        <w:t xml:space="preserve">arose from Maritime’s attempts to obtain summary decision on Issue (g) and Havens’s opposition to these </w:t>
      </w:r>
      <w:r>
        <w:rPr>
          <w:szCs w:val="22"/>
        </w:rPr>
        <w:t>efforts</w:t>
      </w:r>
      <w:r w:rsidRPr="00CA1AF9">
        <w:rPr>
          <w:szCs w:val="22"/>
        </w:rPr>
        <w:t xml:space="preserve">.  On August 14, 2013, the </w:t>
      </w:r>
      <w:r>
        <w:rPr>
          <w:szCs w:val="22"/>
        </w:rPr>
        <w:t>Judge</w:t>
      </w:r>
      <w:r w:rsidRPr="00CA1AF9">
        <w:rPr>
          <w:szCs w:val="22"/>
        </w:rPr>
        <w:t xml:space="preserve"> granted in part and denied in part Maritime’s May 8, 2013 Motion for Summary Decision on Issue (g).</w:t>
      </w:r>
      <w:r>
        <w:rPr>
          <w:rStyle w:val="FootnoteReference"/>
          <w:sz w:val="22"/>
          <w:szCs w:val="22"/>
        </w:rPr>
        <w:footnoteReference w:id="16"/>
      </w:r>
      <w:r w:rsidRPr="00937817">
        <w:rPr>
          <w:szCs w:val="22"/>
        </w:rPr>
        <w:t xml:space="preserve">  </w:t>
      </w:r>
      <w:r w:rsidRPr="00CA1AF9">
        <w:rPr>
          <w:szCs w:val="22"/>
        </w:rPr>
        <w:t xml:space="preserve">In partially denying the motion, the </w:t>
      </w:r>
      <w:r>
        <w:rPr>
          <w:szCs w:val="22"/>
        </w:rPr>
        <w:t>Judge</w:t>
      </w:r>
      <w:r w:rsidRPr="00CA1AF9">
        <w:rPr>
          <w:szCs w:val="22"/>
        </w:rPr>
        <w:t xml:space="preserve"> noted that Havens was appearing </w:t>
      </w:r>
      <w:r w:rsidRPr="00CA1AF9">
        <w:rPr>
          <w:i/>
          <w:szCs w:val="22"/>
        </w:rPr>
        <w:t>pro se</w:t>
      </w:r>
      <w:r w:rsidRPr="00CA1AF9">
        <w:rPr>
          <w:szCs w:val="22"/>
        </w:rPr>
        <w:t xml:space="preserve">, and that, generally, pursuant to Commission policy, summary decision should not in fairness be used against </w:t>
      </w:r>
      <w:r w:rsidRPr="00CA1AF9">
        <w:rPr>
          <w:szCs w:val="22"/>
        </w:rPr>
        <w:t xml:space="preserve">parties who appear </w:t>
      </w:r>
      <w:r w:rsidRPr="00CA1AF9">
        <w:rPr>
          <w:i/>
          <w:szCs w:val="22"/>
        </w:rPr>
        <w:t>pro se.</w:t>
      </w:r>
      <w:r>
        <w:rPr>
          <w:rStyle w:val="FootnoteReference"/>
          <w:sz w:val="22"/>
          <w:szCs w:val="22"/>
        </w:rPr>
        <w:footnoteReference w:id="17"/>
      </w:r>
      <w:r w:rsidRPr="00937817">
        <w:rPr>
          <w:szCs w:val="22"/>
        </w:rPr>
        <w:t xml:space="preserve"> </w:t>
      </w:r>
      <w:r w:rsidRPr="00CA1AF9">
        <w:rPr>
          <w:i/>
          <w:szCs w:val="22"/>
        </w:rPr>
        <w:t xml:space="preserve"> </w:t>
      </w:r>
      <w:r w:rsidRPr="00CA1AF9">
        <w:rPr>
          <w:szCs w:val="22"/>
        </w:rPr>
        <w:t xml:space="preserve">(Havens’s companies had no attorney of record and did not participate in this phase of the proceeding.)  In response to Maritime’s continuing efforts to seek summary disposition, Havens subsequently, on December 2, 2013, filed a motion asking the </w:t>
      </w:r>
      <w:r>
        <w:rPr>
          <w:szCs w:val="22"/>
        </w:rPr>
        <w:t>Judge</w:t>
      </w:r>
      <w:r w:rsidRPr="00CA1AF9">
        <w:rPr>
          <w:szCs w:val="22"/>
        </w:rPr>
        <w:t xml:space="preserve"> to reject further summary disposition of Issue (g).  In that motion, Havens indicated that </w:t>
      </w:r>
      <w:r>
        <w:rPr>
          <w:szCs w:val="22"/>
        </w:rPr>
        <w:t xml:space="preserve">his </w:t>
      </w:r>
      <w:r w:rsidRPr="00CA1AF9">
        <w:rPr>
          <w:szCs w:val="22"/>
        </w:rPr>
        <w:t>“actions in this hearing on a pro se basis have been informed by assisting counsel as to procedure and substance.”</w:t>
      </w:r>
      <w:r>
        <w:rPr>
          <w:rStyle w:val="FootnoteReference"/>
          <w:sz w:val="22"/>
          <w:szCs w:val="22"/>
        </w:rPr>
        <w:footnoteReference w:id="18"/>
      </w:r>
      <w:r w:rsidRPr="00937817">
        <w:rPr>
          <w:szCs w:val="22"/>
        </w:rPr>
        <w:t xml:space="preserve">  On th</w:t>
      </w:r>
      <w:r>
        <w:rPr>
          <w:szCs w:val="22"/>
        </w:rPr>
        <w:t>e</w:t>
      </w:r>
      <w:r w:rsidRPr="00937817">
        <w:rPr>
          <w:szCs w:val="22"/>
        </w:rPr>
        <w:t xml:space="preserve"> same da</w:t>
      </w:r>
      <w:r>
        <w:rPr>
          <w:szCs w:val="22"/>
        </w:rPr>
        <w:t>y</w:t>
      </w:r>
      <w:r w:rsidRPr="00937817">
        <w:rPr>
          <w:szCs w:val="22"/>
        </w:rPr>
        <w:t>, Maritime filed a further motion for summary disposition, in which the FCC’s Enforcement Bureau joined.</w:t>
      </w:r>
      <w:r>
        <w:rPr>
          <w:rStyle w:val="FootnoteReference"/>
          <w:sz w:val="22"/>
          <w:szCs w:val="22"/>
        </w:rPr>
        <w:footnoteReference w:id="19"/>
      </w:r>
      <w:r w:rsidRPr="00937817">
        <w:rPr>
          <w:szCs w:val="22"/>
        </w:rPr>
        <w:t xml:space="preserve">  On December 16, 2013, responding to</w:t>
      </w:r>
      <w:r w:rsidRPr="00CA1AF9">
        <w:rPr>
          <w:szCs w:val="22"/>
        </w:rPr>
        <w:t xml:space="preserve"> that joint motion, Havens (despite his earlier representations about “assisting counsel”) renewed his argument that summary decision should not be used against him because he was participating in the proceeding </w:t>
      </w:r>
      <w:r w:rsidRPr="00CA1AF9">
        <w:rPr>
          <w:i/>
          <w:szCs w:val="22"/>
        </w:rPr>
        <w:t>pro se.</w:t>
      </w:r>
      <w:r>
        <w:rPr>
          <w:rStyle w:val="FootnoteReference"/>
          <w:sz w:val="22"/>
          <w:szCs w:val="22"/>
        </w:rPr>
        <w:footnoteReference w:id="20"/>
      </w:r>
    </w:p>
    <w:p w:rsidR="00C016B1" w:rsidRPr="00CA1AF9" w:rsidP="00C016B1">
      <w:pPr>
        <w:pStyle w:val="ParaNum"/>
        <w:rPr>
          <w:szCs w:val="22"/>
        </w:rPr>
      </w:pPr>
      <w:r w:rsidRPr="00CA1AF9">
        <w:rPr>
          <w:szCs w:val="22"/>
        </w:rPr>
        <w:t xml:space="preserve">In response to Havens’s December 16 filing, the </w:t>
      </w:r>
      <w:r>
        <w:rPr>
          <w:szCs w:val="22"/>
        </w:rPr>
        <w:t>Judge</w:t>
      </w:r>
      <w:r w:rsidRPr="00CA1AF9">
        <w:rPr>
          <w:szCs w:val="22"/>
        </w:rPr>
        <w:t xml:space="preserve"> took several actions to inquire into whether and to what extent Havens’s pleadings reflected the assistance of counsel.  The </w:t>
      </w:r>
      <w:r>
        <w:rPr>
          <w:szCs w:val="22"/>
        </w:rPr>
        <w:t>Judge</w:t>
      </w:r>
      <w:r w:rsidRPr="00CA1AF9">
        <w:rPr>
          <w:szCs w:val="22"/>
        </w:rPr>
        <w:t xml:space="preserve"> first required all counsel who had provided assistance to Havens to file notices of appearance.</w:t>
      </w:r>
      <w:r>
        <w:rPr>
          <w:rStyle w:val="FootnoteReference"/>
          <w:sz w:val="22"/>
          <w:szCs w:val="22"/>
        </w:rPr>
        <w:footnoteReference w:id="21"/>
      </w:r>
      <w:r w:rsidRPr="00937817">
        <w:rPr>
          <w:szCs w:val="22"/>
        </w:rPr>
        <w:t xml:space="preserve">  This resu</w:t>
      </w:r>
      <w:r w:rsidRPr="00CA1AF9">
        <w:rPr>
          <w:szCs w:val="22"/>
        </w:rPr>
        <w:t>lted in filings by members of two firms, Copeland, Cook, Taylor &amp; Bush, P.A.</w:t>
      </w:r>
      <w:r>
        <w:rPr>
          <w:szCs w:val="22"/>
        </w:rPr>
        <w:t>,</w:t>
      </w:r>
      <w:r w:rsidRPr="00CA1AF9">
        <w:rPr>
          <w:szCs w:val="22"/>
        </w:rPr>
        <w:t xml:space="preserve"> and Technology Law Group, LLC, a</w:t>
      </w:r>
      <w:r>
        <w:rPr>
          <w:szCs w:val="22"/>
        </w:rPr>
        <w:t xml:space="preserve">s well as </w:t>
      </w:r>
      <w:r w:rsidRPr="00CA1AF9">
        <w:rPr>
          <w:szCs w:val="22"/>
        </w:rPr>
        <w:t>individual attorney James Ming Chen.</w:t>
      </w:r>
      <w:r>
        <w:rPr>
          <w:rStyle w:val="FootnoteReference"/>
          <w:sz w:val="22"/>
          <w:szCs w:val="22"/>
        </w:rPr>
        <w:footnoteReference w:id="22"/>
      </w:r>
      <w:r w:rsidRPr="00937817">
        <w:rPr>
          <w:szCs w:val="22"/>
        </w:rPr>
        <w:t xml:space="preserve">  The filings indicated that one or more of these attorneys assisted Havens at the time the </w:t>
      </w:r>
      <w:r>
        <w:rPr>
          <w:szCs w:val="22"/>
        </w:rPr>
        <w:t>Judge</w:t>
      </w:r>
      <w:r w:rsidRPr="00937817">
        <w:rPr>
          <w:szCs w:val="22"/>
        </w:rPr>
        <w:t xml:space="preserve"> partially d</w:t>
      </w:r>
      <w:r w:rsidRPr="00CA1AF9">
        <w:rPr>
          <w:szCs w:val="22"/>
        </w:rPr>
        <w:t xml:space="preserve">enied Maritime’s motion for summary decision (noting that Havens was a </w:t>
      </w:r>
      <w:r w:rsidRPr="00CA1AF9">
        <w:rPr>
          <w:i/>
          <w:szCs w:val="22"/>
        </w:rPr>
        <w:t xml:space="preserve">pro se </w:t>
      </w:r>
      <w:r w:rsidRPr="00CA1AF9">
        <w:rPr>
          <w:szCs w:val="22"/>
        </w:rPr>
        <w:t xml:space="preserve">litigant), and at the time of the December 16 filing in which Havens claimed special treatment as a </w:t>
      </w:r>
      <w:r w:rsidRPr="00CA1AF9">
        <w:rPr>
          <w:i/>
          <w:szCs w:val="22"/>
        </w:rPr>
        <w:t xml:space="preserve">pro se </w:t>
      </w:r>
      <w:r w:rsidRPr="00CA1AF9">
        <w:rPr>
          <w:szCs w:val="22"/>
        </w:rPr>
        <w:t>litigant.</w:t>
      </w:r>
    </w:p>
    <w:p w:rsidR="00C016B1" w:rsidRPr="00937817" w:rsidP="00C016B1">
      <w:pPr>
        <w:pStyle w:val="ParaNum"/>
        <w:rPr>
          <w:szCs w:val="22"/>
        </w:rPr>
      </w:pPr>
      <w:r w:rsidRPr="00CA1AF9">
        <w:rPr>
          <w:szCs w:val="22"/>
        </w:rPr>
        <w:t xml:space="preserve">The </w:t>
      </w:r>
      <w:r>
        <w:rPr>
          <w:szCs w:val="22"/>
        </w:rPr>
        <w:t>Judge</w:t>
      </w:r>
      <w:r w:rsidRPr="00CA1AF9">
        <w:rPr>
          <w:szCs w:val="22"/>
        </w:rPr>
        <w:t xml:space="preserve"> then scheduled a prehearing conference on January 17, 2014, to examine Havens’s assisting counsel regarding the nature and scope of the services they ha</w:t>
      </w:r>
      <w:r>
        <w:rPr>
          <w:szCs w:val="22"/>
        </w:rPr>
        <w:t>d</w:t>
      </w:r>
      <w:r w:rsidRPr="00CA1AF9">
        <w:rPr>
          <w:szCs w:val="22"/>
        </w:rPr>
        <w:t xml:space="preserve"> provided Havens, in particular</w:t>
      </w:r>
      <w:r>
        <w:rPr>
          <w:szCs w:val="22"/>
        </w:rPr>
        <w:t>,</w:t>
      </w:r>
      <w:r w:rsidRPr="00CA1AF9">
        <w:rPr>
          <w:szCs w:val="22"/>
        </w:rPr>
        <w:t xml:space="preserve"> whether they had participated in drafting pleadings that Havens submitted </w:t>
      </w:r>
      <w:r w:rsidRPr="00CA1AF9">
        <w:rPr>
          <w:i/>
          <w:szCs w:val="22"/>
        </w:rPr>
        <w:t>pro se</w:t>
      </w:r>
      <w:r w:rsidRPr="00CA1AF9">
        <w:rPr>
          <w:szCs w:val="22"/>
        </w:rPr>
        <w:t>.</w:t>
      </w:r>
      <w:r>
        <w:rPr>
          <w:rStyle w:val="FootnoteReference"/>
          <w:sz w:val="22"/>
          <w:szCs w:val="22"/>
        </w:rPr>
        <w:footnoteReference w:id="23"/>
      </w:r>
      <w:r w:rsidRPr="00937817">
        <w:rPr>
          <w:szCs w:val="22"/>
        </w:rPr>
        <w:t xml:space="preserve">  </w:t>
      </w:r>
      <w:r w:rsidRPr="00CA1AF9">
        <w:rPr>
          <w:szCs w:val="22"/>
        </w:rPr>
        <w:t xml:space="preserve">In advance of the prehearing conference, Havens objected to any possible examination of assisting counsel, asserting that the </w:t>
      </w:r>
      <w:r>
        <w:rPr>
          <w:szCs w:val="22"/>
        </w:rPr>
        <w:t>Judge</w:t>
      </w:r>
      <w:r w:rsidRPr="00CA1AF9">
        <w:rPr>
          <w:szCs w:val="22"/>
        </w:rPr>
        <w:t>’s proposal to question them as to their services was barred because that topic is privileged.</w:t>
      </w:r>
      <w:r>
        <w:rPr>
          <w:rStyle w:val="FootnoteReference"/>
          <w:sz w:val="22"/>
          <w:szCs w:val="22"/>
        </w:rPr>
        <w:footnoteReference w:id="24"/>
      </w:r>
      <w:r w:rsidRPr="00937817">
        <w:rPr>
          <w:szCs w:val="22"/>
        </w:rPr>
        <w:t xml:space="preserve"> </w:t>
      </w:r>
      <w:r w:rsidRPr="00CA1AF9">
        <w:rPr>
          <w:szCs w:val="22"/>
        </w:rPr>
        <w:t xml:space="preserve"> At Havens’s direction, assisting counsel declined at the hearing to answer any of the </w:t>
      </w:r>
      <w:r>
        <w:rPr>
          <w:szCs w:val="22"/>
        </w:rPr>
        <w:t>Judge</w:t>
      </w:r>
      <w:r w:rsidRPr="00CA1AF9">
        <w:rPr>
          <w:szCs w:val="22"/>
        </w:rPr>
        <w:t>’s questions.</w:t>
      </w:r>
      <w:r>
        <w:rPr>
          <w:rStyle w:val="FootnoteReference"/>
          <w:sz w:val="22"/>
          <w:szCs w:val="22"/>
        </w:rPr>
        <w:footnoteReference w:id="25"/>
      </w:r>
      <w:r w:rsidRPr="00937817">
        <w:rPr>
          <w:szCs w:val="22"/>
        </w:rPr>
        <w:t xml:space="preserve">  </w:t>
      </w:r>
      <w:r w:rsidRPr="00CA1AF9">
        <w:rPr>
          <w:szCs w:val="22"/>
        </w:rPr>
        <w:t xml:space="preserve">In an oral ruling at the prehearing conference and in a subsequent written ruling, the </w:t>
      </w:r>
      <w:r>
        <w:rPr>
          <w:szCs w:val="22"/>
        </w:rPr>
        <w:t>Judge</w:t>
      </w:r>
      <w:r w:rsidRPr="00CA1AF9">
        <w:rPr>
          <w:szCs w:val="22"/>
        </w:rPr>
        <w:t xml:space="preserve"> rejected Havens’s claim of attorney-client privilege.</w:t>
      </w:r>
      <w:r>
        <w:rPr>
          <w:rStyle w:val="FootnoteReference"/>
          <w:sz w:val="22"/>
          <w:szCs w:val="22"/>
        </w:rPr>
        <w:footnoteReference w:id="26"/>
      </w:r>
    </w:p>
    <w:p w:rsidR="00C016B1" w:rsidRPr="00CA1AF9" w:rsidP="005137F4">
      <w:pPr>
        <w:pStyle w:val="ParaNum"/>
        <w:widowControl/>
        <w:rPr>
          <w:szCs w:val="22"/>
        </w:rPr>
      </w:pPr>
      <w:r w:rsidRPr="00CA1AF9">
        <w:rPr>
          <w:szCs w:val="22"/>
        </w:rPr>
        <w:t xml:space="preserve">Havens responded to the </w:t>
      </w:r>
      <w:r>
        <w:rPr>
          <w:szCs w:val="22"/>
        </w:rPr>
        <w:t>Judge</w:t>
      </w:r>
      <w:r w:rsidRPr="00CA1AF9">
        <w:rPr>
          <w:szCs w:val="22"/>
        </w:rPr>
        <w:t xml:space="preserve">’s actions by filing five interlocutory appeals.  In addition to appealing the </w:t>
      </w:r>
      <w:r>
        <w:rPr>
          <w:szCs w:val="22"/>
        </w:rPr>
        <w:t>Judge</w:t>
      </w:r>
      <w:r w:rsidRPr="00CA1AF9">
        <w:rPr>
          <w:szCs w:val="22"/>
        </w:rPr>
        <w:t xml:space="preserve">’s ultimate denial of attorney-client privilege, Havens appealed the order requiring assisting counsel to file notices of appearance and the order scheduling the prehearing conference.  He </w:t>
      </w:r>
      <w:r w:rsidRPr="00CA1AF9">
        <w:rPr>
          <w:szCs w:val="22"/>
        </w:rPr>
        <w:t xml:space="preserve">also appealed the </w:t>
      </w:r>
      <w:r>
        <w:rPr>
          <w:szCs w:val="22"/>
        </w:rPr>
        <w:t>Judge</w:t>
      </w:r>
      <w:r w:rsidRPr="00CA1AF9">
        <w:rPr>
          <w:szCs w:val="22"/>
        </w:rPr>
        <w:t xml:space="preserve">’s orders denying Havens’s requests to the </w:t>
      </w:r>
      <w:r>
        <w:rPr>
          <w:szCs w:val="22"/>
        </w:rPr>
        <w:t>Judge</w:t>
      </w:r>
      <w:r w:rsidRPr="00CA1AF9">
        <w:rPr>
          <w:szCs w:val="22"/>
        </w:rPr>
        <w:t xml:space="preserve"> for leave to file discretionary appeals of those same two orders.   </w:t>
      </w:r>
    </w:p>
    <w:p w:rsidR="00C016B1" w:rsidRPr="00937817" w:rsidP="00C016B1">
      <w:pPr>
        <w:pStyle w:val="ParaNum"/>
        <w:rPr>
          <w:szCs w:val="22"/>
        </w:rPr>
      </w:pPr>
      <w:r w:rsidRPr="00CA1AF9">
        <w:rPr>
          <w:szCs w:val="22"/>
        </w:rPr>
        <w:t xml:space="preserve">The Commission </w:t>
      </w:r>
      <w:r>
        <w:rPr>
          <w:szCs w:val="22"/>
        </w:rPr>
        <w:t xml:space="preserve">never reached </w:t>
      </w:r>
      <w:r w:rsidRPr="00CA1AF9">
        <w:rPr>
          <w:szCs w:val="22"/>
        </w:rPr>
        <w:t xml:space="preserve">the merits of any of these appeals.  During the pendency of the appeals, in a decision released June 17, 2014, the </w:t>
      </w:r>
      <w:r>
        <w:rPr>
          <w:szCs w:val="22"/>
        </w:rPr>
        <w:t>Judge</w:t>
      </w:r>
      <w:r w:rsidRPr="00CA1AF9">
        <w:rPr>
          <w:szCs w:val="22"/>
        </w:rPr>
        <w:t xml:space="preserve"> granted in part and denied in part Maritime and </w:t>
      </w:r>
      <w:r>
        <w:rPr>
          <w:szCs w:val="22"/>
        </w:rPr>
        <w:t xml:space="preserve">the Enforcement Bureau’s </w:t>
      </w:r>
      <w:r w:rsidRPr="00CA1AF9">
        <w:rPr>
          <w:szCs w:val="22"/>
        </w:rPr>
        <w:t>joint motion for summary decision.</w:t>
      </w:r>
      <w:r>
        <w:rPr>
          <w:rStyle w:val="FootnoteReference"/>
          <w:sz w:val="22"/>
          <w:szCs w:val="22"/>
        </w:rPr>
        <w:footnoteReference w:id="27"/>
      </w:r>
      <w:r w:rsidRPr="00937817">
        <w:rPr>
          <w:szCs w:val="22"/>
        </w:rPr>
        <w:t xml:space="preserve">  In so doing, the </w:t>
      </w:r>
      <w:r>
        <w:rPr>
          <w:szCs w:val="22"/>
        </w:rPr>
        <w:t>Judge</w:t>
      </w:r>
      <w:r w:rsidRPr="00937817">
        <w:rPr>
          <w:szCs w:val="22"/>
        </w:rPr>
        <w:t xml:space="preserve"> rejected the argument of Havens’</w:t>
      </w:r>
      <w:r w:rsidRPr="00CA1AF9">
        <w:rPr>
          <w:szCs w:val="22"/>
        </w:rPr>
        <w:t xml:space="preserve">s December 16 opposition that Havens is entitled to lenient treatment as a </w:t>
      </w:r>
      <w:r w:rsidRPr="00CA1AF9">
        <w:rPr>
          <w:i/>
          <w:szCs w:val="22"/>
        </w:rPr>
        <w:t xml:space="preserve">pro se </w:t>
      </w:r>
      <w:r w:rsidRPr="00CA1AF9">
        <w:rPr>
          <w:szCs w:val="22"/>
        </w:rPr>
        <w:t xml:space="preserve">litigant.  The </w:t>
      </w:r>
      <w:r>
        <w:rPr>
          <w:szCs w:val="22"/>
        </w:rPr>
        <w:t>Judge</w:t>
      </w:r>
      <w:r w:rsidRPr="00CA1AF9">
        <w:rPr>
          <w:szCs w:val="22"/>
        </w:rPr>
        <w:t xml:space="preserve"> reached that decision without the benefit of responses to the questions that Havens’s assisting counsel refused to answer at the prehearing conference concerning the nature of their assistance to Havens.  The Commission therefore</w:t>
      </w:r>
      <w:r>
        <w:rPr>
          <w:szCs w:val="22"/>
        </w:rPr>
        <w:t xml:space="preserve"> </w:t>
      </w:r>
      <w:r w:rsidRPr="00CA1AF9">
        <w:rPr>
          <w:szCs w:val="22"/>
        </w:rPr>
        <w:t xml:space="preserve">dismissed as moot Havens’s appeal of the denial of attorney-client privilege, because the </w:t>
      </w:r>
      <w:r>
        <w:rPr>
          <w:szCs w:val="22"/>
        </w:rPr>
        <w:t>Judge</w:t>
      </w:r>
      <w:r w:rsidRPr="00CA1AF9">
        <w:rPr>
          <w:szCs w:val="22"/>
        </w:rPr>
        <w:t xml:space="preserve"> no longer needed to inquire into the nature of Havens’s legal assistance to rule on the joint motion for summary decision.</w:t>
      </w:r>
      <w:r>
        <w:rPr>
          <w:rStyle w:val="FootnoteReference"/>
          <w:sz w:val="22"/>
          <w:szCs w:val="22"/>
        </w:rPr>
        <w:footnoteReference w:id="28"/>
      </w:r>
      <w:r w:rsidRPr="00937817">
        <w:rPr>
          <w:szCs w:val="22"/>
        </w:rPr>
        <w:t xml:space="preserve">  The Commission </w:t>
      </w:r>
      <w:r>
        <w:rPr>
          <w:szCs w:val="22"/>
        </w:rPr>
        <w:t xml:space="preserve">also </w:t>
      </w:r>
      <w:r w:rsidRPr="00937817">
        <w:rPr>
          <w:szCs w:val="22"/>
        </w:rPr>
        <w:t>di</w:t>
      </w:r>
      <w:r w:rsidRPr="00CA1AF9">
        <w:rPr>
          <w:szCs w:val="22"/>
        </w:rPr>
        <w:t>smissed the other four interlocutory appeals as not within the scope of rulings that may be appealed as of right.</w:t>
      </w:r>
      <w:r>
        <w:rPr>
          <w:rStyle w:val="FootnoteReference"/>
          <w:sz w:val="22"/>
          <w:szCs w:val="22"/>
        </w:rPr>
        <w:footnoteReference w:id="29"/>
      </w:r>
      <w:r>
        <w:rPr>
          <w:szCs w:val="22"/>
        </w:rPr>
        <w:t xml:space="preserve">  </w:t>
      </w:r>
      <w:r w:rsidRPr="00937817">
        <w:rPr>
          <w:szCs w:val="22"/>
        </w:rPr>
        <w:t xml:space="preserve">  </w:t>
      </w:r>
    </w:p>
    <w:p w:rsidR="00C016B1" w:rsidRPr="00CA1AF9" w:rsidP="00C016B1">
      <w:pPr>
        <w:pStyle w:val="ParaNum"/>
        <w:rPr>
          <w:szCs w:val="22"/>
        </w:rPr>
      </w:pPr>
      <w:r w:rsidRPr="00CA1AF9">
        <w:rPr>
          <w:b/>
          <w:szCs w:val="22"/>
        </w:rPr>
        <w:t xml:space="preserve">Havens’s conduct </w:t>
      </w:r>
      <w:r>
        <w:rPr>
          <w:b/>
          <w:szCs w:val="22"/>
        </w:rPr>
        <w:t>in the period immediately before the evidentiary hearing on Issue (g) (July 15, 2014 to December 3, 2014)</w:t>
      </w:r>
      <w:r w:rsidRPr="00CA1AF9">
        <w:rPr>
          <w:b/>
          <w:szCs w:val="22"/>
        </w:rPr>
        <w:t>.</w:t>
      </w:r>
      <w:r w:rsidRPr="00CA1AF9">
        <w:rPr>
          <w:szCs w:val="22"/>
        </w:rPr>
        <w:t xml:space="preserve">  On July 15, 2014, the </w:t>
      </w:r>
      <w:r>
        <w:rPr>
          <w:szCs w:val="22"/>
        </w:rPr>
        <w:t>Judge</w:t>
      </w:r>
      <w:r w:rsidRPr="00CA1AF9">
        <w:rPr>
          <w:szCs w:val="22"/>
        </w:rPr>
        <w:t xml:space="preserve"> rejected Havens’s request for authorization to file an interlocutory appeal of several aspects of the </w:t>
      </w:r>
      <w:r>
        <w:rPr>
          <w:szCs w:val="22"/>
        </w:rPr>
        <w:t>Judge</w:t>
      </w:r>
      <w:r w:rsidRPr="00CA1AF9">
        <w:rPr>
          <w:szCs w:val="22"/>
        </w:rPr>
        <w:t>’s ruling that denied in part the joint motion for summary decision.</w:t>
      </w:r>
      <w:r>
        <w:rPr>
          <w:rStyle w:val="FootnoteReference"/>
          <w:sz w:val="22"/>
          <w:szCs w:val="22"/>
        </w:rPr>
        <w:footnoteReference w:id="30"/>
      </w:r>
      <w:r w:rsidRPr="00937817">
        <w:rPr>
          <w:szCs w:val="22"/>
        </w:rPr>
        <w:t xml:space="preserve">  </w:t>
      </w:r>
      <w:r w:rsidRPr="00CA1AF9">
        <w:rPr>
          <w:szCs w:val="22"/>
        </w:rPr>
        <w:t xml:space="preserve">The </w:t>
      </w:r>
      <w:r>
        <w:rPr>
          <w:szCs w:val="22"/>
        </w:rPr>
        <w:t>Judge</w:t>
      </w:r>
      <w:r w:rsidRPr="00CA1AF9">
        <w:rPr>
          <w:szCs w:val="22"/>
        </w:rPr>
        <w:t xml:space="preserve"> held that none of the issues that Havens raised constituted the type of new or novel questions that would warrant discretionary review by the full Commission.</w:t>
      </w:r>
    </w:p>
    <w:p w:rsidR="00C016B1" w:rsidRPr="00937817" w:rsidP="00C016B1">
      <w:pPr>
        <w:pStyle w:val="ParaNum"/>
        <w:rPr>
          <w:szCs w:val="22"/>
        </w:rPr>
      </w:pPr>
      <w:r w:rsidRPr="00CA1AF9">
        <w:rPr>
          <w:szCs w:val="22"/>
        </w:rPr>
        <w:t xml:space="preserve">Turning to procedure, the </w:t>
      </w:r>
      <w:r>
        <w:rPr>
          <w:szCs w:val="22"/>
        </w:rPr>
        <w:t>Judge</w:t>
      </w:r>
      <w:r w:rsidRPr="00CA1AF9">
        <w:rPr>
          <w:szCs w:val="22"/>
        </w:rPr>
        <w:t xml:space="preserve"> ruled in a companion order that he would entertain no further motions for summary decision, inasmuch as efficiency would not be served by a further motion.</w:t>
      </w:r>
      <w:r>
        <w:rPr>
          <w:rStyle w:val="FootnoteReference"/>
          <w:sz w:val="22"/>
          <w:szCs w:val="22"/>
        </w:rPr>
        <w:footnoteReference w:id="31"/>
      </w:r>
      <w:r w:rsidRPr="00937817">
        <w:rPr>
          <w:szCs w:val="22"/>
        </w:rPr>
        <w:t xml:space="preserve">  He did, however, indicate that he would consider “well-crafted” stipulations </w:t>
      </w:r>
      <w:r w:rsidRPr="00CA1AF9">
        <w:rPr>
          <w:szCs w:val="22"/>
        </w:rPr>
        <w:t>that would obviate the need to examine particular factual matters at hearing, but only if those stipulations were joined by all of the parties.  He directed the parties to submit a proposed calendar of prehearing procedural dates and an estimate</w:t>
      </w:r>
      <w:r>
        <w:rPr>
          <w:szCs w:val="22"/>
        </w:rPr>
        <w:t>d</w:t>
      </w:r>
      <w:r w:rsidRPr="00CA1AF9">
        <w:rPr>
          <w:szCs w:val="22"/>
        </w:rPr>
        <w:t xml:space="preserve"> hearing time.  Specifically, with respect to Havens, the </w:t>
      </w:r>
      <w:r>
        <w:rPr>
          <w:szCs w:val="22"/>
        </w:rPr>
        <w:t>Judge</w:t>
      </w:r>
      <w:r w:rsidRPr="00CA1AF9">
        <w:rPr>
          <w:szCs w:val="22"/>
        </w:rPr>
        <w:t xml:space="preserve"> held “by July 30, 2014, counsel representing Mr. Havens shall have filed and served a Notice of Appearance.”</w:t>
      </w:r>
      <w:r>
        <w:rPr>
          <w:rStyle w:val="FootnoteReference"/>
          <w:sz w:val="22"/>
          <w:szCs w:val="22"/>
        </w:rPr>
        <w:footnoteReference w:id="32"/>
      </w:r>
    </w:p>
    <w:p w:rsidR="00C016B1" w:rsidRPr="00937817" w:rsidP="00C016B1">
      <w:pPr>
        <w:pStyle w:val="ParaNum"/>
        <w:rPr>
          <w:szCs w:val="22"/>
        </w:rPr>
      </w:pPr>
      <w:r w:rsidRPr="00CA1AF9">
        <w:rPr>
          <w:szCs w:val="22"/>
        </w:rPr>
        <w:t xml:space="preserve">Havens filed an interlocutory appeal of this last requirement.  Although the </w:t>
      </w:r>
      <w:r>
        <w:rPr>
          <w:szCs w:val="22"/>
        </w:rPr>
        <w:t>Judge</w:t>
      </w:r>
      <w:r w:rsidRPr="00CA1AF9">
        <w:rPr>
          <w:szCs w:val="22"/>
        </w:rPr>
        <w:t xml:space="preserve"> had previously ruled that Havens could represent himself, Havens interpreted the requirement that his counsel file a Notice of Appearance as prohibiting him from proceeding </w:t>
      </w:r>
      <w:r w:rsidRPr="00CA1AF9">
        <w:rPr>
          <w:i/>
          <w:szCs w:val="22"/>
        </w:rPr>
        <w:t xml:space="preserve">pro se.  </w:t>
      </w:r>
      <w:r>
        <w:rPr>
          <w:szCs w:val="22"/>
        </w:rPr>
        <w:t>In a subsequent order, t</w:t>
      </w:r>
      <w:r w:rsidRPr="00CA1AF9">
        <w:rPr>
          <w:szCs w:val="22"/>
        </w:rPr>
        <w:t>he Commission disagreed with this interpretation and dismissed the appeal as beyond the scope of rulings appealable as of right.</w:t>
      </w:r>
      <w:r>
        <w:rPr>
          <w:rStyle w:val="FootnoteReference"/>
          <w:sz w:val="22"/>
          <w:szCs w:val="22"/>
        </w:rPr>
        <w:footnoteReference w:id="33"/>
      </w:r>
      <w:r w:rsidRPr="00937817">
        <w:rPr>
          <w:szCs w:val="22"/>
        </w:rPr>
        <w:t xml:space="preserve">  In so doing, the Commission noted that by July 3</w:t>
      </w:r>
      <w:r w:rsidRPr="00CA1AF9">
        <w:rPr>
          <w:szCs w:val="22"/>
        </w:rPr>
        <w:t xml:space="preserve">0, 2014, no attorney had filed a notice of appearance on behalf of Havens but that attorney James A. Stenger (Stenger) of the firm Chadbourne &amp; Parke, LLP, had filed a notice of appearance on behalf of </w:t>
      </w:r>
      <w:r>
        <w:rPr>
          <w:szCs w:val="22"/>
        </w:rPr>
        <w:t>Environmentel and Verde Systems</w:t>
      </w:r>
      <w:r w:rsidRPr="00CA1AF9">
        <w:rPr>
          <w:szCs w:val="22"/>
        </w:rPr>
        <w:t xml:space="preserve">.  The Commission also noted that Havens had joined in filings by </w:t>
      </w:r>
      <w:r>
        <w:rPr>
          <w:szCs w:val="22"/>
        </w:rPr>
        <w:t>Environmentel and Verde Systems</w:t>
      </w:r>
      <w:r w:rsidRPr="00CA1AF9">
        <w:rPr>
          <w:szCs w:val="22"/>
        </w:rPr>
        <w:t>.</w:t>
      </w:r>
      <w:r>
        <w:rPr>
          <w:rStyle w:val="FootnoteReference"/>
          <w:sz w:val="22"/>
          <w:szCs w:val="22"/>
        </w:rPr>
        <w:footnoteReference w:id="34"/>
      </w:r>
      <w:r w:rsidRPr="00937817">
        <w:rPr>
          <w:szCs w:val="22"/>
        </w:rPr>
        <w:t xml:space="preserve"> </w:t>
      </w:r>
    </w:p>
    <w:p w:rsidR="00C016B1" w:rsidRPr="00937817" w:rsidP="005137F4">
      <w:pPr>
        <w:pStyle w:val="ParaNum"/>
        <w:widowControl/>
        <w:rPr>
          <w:szCs w:val="22"/>
        </w:rPr>
      </w:pPr>
      <w:r w:rsidRPr="00CA1AF9">
        <w:rPr>
          <w:szCs w:val="22"/>
        </w:rPr>
        <w:t xml:space="preserve">On August 11, 2014, the </w:t>
      </w:r>
      <w:r>
        <w:rPr>
          <w:szCs w:val="22"/>
        </w:rPr>
        <w:t>Judge</w:t>
      </w:r>
      <w:r w:rsidRPr="00CA1AF9">
        <w:rPr>
          <w:szCs w:val="22"/>
        </w:rPr>
        <w:t xml:space="preserve"> rejected </w:t>
      </w:r>
      <w:r>
        <w:rPr>
          <w:szCs w:val="22"/>
        </w:rPr>
        <w:t>Environmentel, Verde Systems, and Havens’s</w:t>
      </w:r>
      <w:r w:rsidRPr="00CA1AF9">
        <w:rPr>
          <w:szCs w:val="22"/>
        </w:rPr>
        <w:t xml:space="preserve"> proposed procedural schedule because it “fails to set any firm dates for the hearing or any essential prehearing activities, but instead [creates] an intricate schedule of extrapolated deadlines.”</w:t>
      </w:r>
      <w:r>
        <w:rPr>
          <w:rStyle w:val="FootnoteReference"/>
          <w:sz w:val="22"/>
          <w:szCs w:val="22"/>
        </w:rPr>
        <w:footnoteReference w:id="35"/>
      </w:r>
      <w:r w:rsidRPr="00937817">
        <w:rPr>
          <w:szCs w:val="22"/>
        </w:rPr>
        <w:t xml:space="preserve">  He termed the proposal “a mess of convoluted and confusing deadlines, unnecessary motions, and proposed delays with no timely filed justification.”</w:t>
      </w:r>
      <w:r>
        <w:rPr>
          <w:rStyle w:val="FootnoteReference"/>
          <w:sz w:val="22"/>
          <w:szCs w:val="22"/>
        </w:rPr>
        <w:footnoteReference w:id="36"/>
      </w:r>
      <w:r w:rsidRPr="00937817">
        <w:rPr>
          <w:szCs w:val="22"/>
        </w:rPr>
        <w:t xml:space="preserve">  In the same order, the </w:t>
      </w:r>
      <w:r>
        <w:rPr>
          <w:szCs w:val="22"/>
        </w:rPr>
        <w:t>Judge</w:t>
      </w:r>
      <w:r w:rsidRPr="00937817">
        <w:rPr>
          <w:szCs w:val="22"/>
        </w:rPr>
        <w:t xml:space="preserve"> expressed co</w:t>
      </w:r>
      <w:r w:rsidRPr="00CA1AF9">
        <w:rPr>
          <w:szCs w:val="22"/>
        </w:rPr>
        <w:t xml:space="preserve">ncerns about Havens’s continued intention to represent himself, despite his association with Stenger.  Citing his earlier directives, the </w:t>
      </w:r>
      <w:r>
        <w:rPr>
          <w:szCs w:val="22"/>
        </w:rPr>
        <w:t>Judge</w:t>
      </w:r>
      <w:r w:rsidRPr="00CA1AF9">
        <w:rPr>
          <w:szCs w:val="22"/>
        </w:rPr>
        <w:t xml:space="preserve"> held that Havens and Stenger were required to submit prehearing submissions jointly.  He also ruled that “(1) ‘double teaming’ of witnesses will not be permitted; (2) objections made at hearing must be coordinated to avoid duplication and/or confusion, especially for the court reporter; and (3) additional management of Mr. Havens’ </w:t>
      </w:r>
      <w:r w:rsidRPr="00CA1AF9">
        <w:rPr>
          <w:i/>
          <w:szCs w:val="22"/>
        </w:rPr>
        <w:t xml:space="preserve">pro se </w:t>
      </w:r>
      <w:r w:rsidRPr="00CA1AF9">
        <w:rPr>
          <w:szCs w:val="22"/>
        </w:rPr>
        <w:t>participation may be necessary if the integrity and decorum of the hearing require it.”</w:t>
      </w:r>
      <w:r>
        <w:rPr>
          <w:rStyle w:val="FootnoteReference"/>
          <w:sz w:val="22"/>
          <w:szCs w:val="22"/>
        </w:rPr>
        <w:footnoteReference w:id="37"/>
      </w:r>
    </w:p>
    <w:p w:rsidR="00C016B1" w:rsidRPr="00937817" w:rsidP="00C016B1">
      <w:pPr>
        <w:pStyle w:val="ParaNum"/>
        <w:rPr>
          <w:szCs w:val="22"/>
        </w:rPr>
      </w:pPr>
      <w:r w:rsidRPr="00CA1AF9">
        <w:rPr>
          <w:szCs w:val="22"/>
        </w:rPr>
        <w:t>Havens filed an interlocutory appeal of these requirements, arguing that they effectively denied his ri</w:t>
      </w:r>
      <w:r>
        <w:rPr>
          <w:szCs w:val="22"/>
        </w:rPr>
        <w:t xml:space="preserve">ght to participate as a party.  </w:t>
      </w:r>
      <w:r w:rsidRPr="00CA1AF9">
        <w:rPr>
          <w:szCs w:val="22"/>
        </w:rPr>
        <w:t>The Commission disagreed that the requirements had that effect and dismissed the appeal as beyond the scope of matters that may be appealed as of right.</w:t>
      </w:r>
      <w:r>
        <w:rPr>
          <w:rStyle w:val="FootnoteReference"/>
          <w:sz w:val="22"/>
          <w:szCs w:val="22"/>
        </w:rPr>
        <w:footnoteReference w:id="38"/>
      </w:r>
    </w:p>
    <w:p w:rsidR="00C016B1" w:rsidRPr="00CA1AF9" w:rsidP="00C016B1">
      <w:pPr>
        <w:pStyle w:val="ParaNum"/>
        <w:rPr>
          <w:szCs w:val="22"/>
        </w:rPr>
      </w:pPr>
      <w:r w:rsidRPr="00CA1AF9">
        <w:rPr>
          <w:szCs w:val="22"/>
        </w:rPr>
        <w:t xml:space="preserve">Despite this apparent discord, in an order issued on August 21, 2014, the </w:t>
      </w:r>
      <w:r>
        <w:rPr>
          <w:szCs w:val="22"/>
        </w:rPr>
        <w:t>Judge</w:t>
      </w:r>
      <w:r w:rsidRPr="00CA1AF9">
        <w:rPr>
          <w:szCs w:val="22"/>
        </w:rPr>
        <w:t xml:space="preserve"> expressed satisfaction that </w:t>
      </w:r>
      <w:r>
        <w:rPr>
          <w:szCs w:val="22"/>
        </w:rPr>
        <w:t>the Enforcement Bureau</w:t>
      </w:r>
      <w:r w:rsidRPr="00CA1AF9">
        <w:rPr>
          <w:szCs w:val="22"/>
        </w:rPr>
        <w:t xml:space="preserve">, Maritime, </w:t>
      </w:r>
      <w:r>
        <w:rPr>
          <w:szCs w:val="22"/>
        </w:rPr>
        <w:t xml:space="preserve">Environmentel, Verde Systems, and Havens </w:t>
      </w:r>
      <w:r w:rsidRPr="00CA1AF9">
        <w:rPr>
          <w:szCs w:val="22"/>
        </w:rPr>
        <w:t>now seemed to be working together to propose similar procedural schedules and narrow the scope of the issues.</w:t>
      </w:r>
      <w:r>
        <w:rPr>
          <w:rStyle w:val="FootnoteReference"/>
          <w:sz w:val="22"/>
          <w:szCs w:val="22"/>
        </w:rPr>
        <w:footnoteReference w:id="39"/>
      </w:r>
      <w:r w:rsidRPr="00937817">
        <w:rPr>
          <w:szCs w:val="22"/>
        </w:rPr>
        <w:t xml:space="preserve">  He noted that,</w:t>
      </w:r>
      <w:r w:rsidRPr="00CA1AF9">
        <w:rPr>
          <w:szCs w:val="22"/>
        </w:rPr>
        <w:t xml:space="preserve"> while he adhered to his previous ruling that no further motions for summary decision would be considered, he was encouraged that the parties were “coalescing” on litigating only 16 of the 89 authorizations subject to Issue (g), while treating the other 73 authorizations as cancelled without hearing.  He </w:t>
      </w:r>
      <w:r>
        <w:rPr>
          <w:szCs w:val="22"/>
        </w:rPr>
        <w:t>reiterat</w:t>
      </w:r>
      <w:r w:rsidRPr="00CA1AF9">
        <w:rPr>
          <w:szCs w:val="22"/>
        </w:rPr>
        <w:t>ed that he would consider “well-crafted” stipulations joined in by all of the parties that would obviate the need to examine factual matters.</w:t>
      </w:r>
    </w:p>
    <w:p w:rsidR="00C016B1" w:rsidP="00C016B1">
      <w:pPr>
        <w:pStyle w:val="ParaNum"/>
        <w:rPr>
          <w:szCs w:val="22"/>
        </w:rPr>
      </w:pPr>
      <w:r w:rsidRPr="00CA1AF9">
        <w:rPr>
          <w:szCs w:val="22"/>
        </w:rPr>
        <w:t xml:space="preserve">Anticipating, however, that the hearing would go forward, the </w:t>
      </w:r>
      <w:r>
        <w:rPr>
          <w:szCs w:val="22"/>
        </w:rPr>
        <w:t>Judge</w:t>
      </w:r>
      <w:r w:rsidRPr="00CA1AF9">
        <w:rPr>
          <w:szCs w:val="22"/>
        </w:rPr>
        <w:t xml:space="preserve"> adopted a procedural schedule.</w:t>
      </w:r>
      <w:r>
        <w:rPr>
          <w:rStyle w:val="FootnoteReference"/>
          <w:sz w:val="22"/>
          <w:szCs w:val="22"/>
        </w:rPr>
        <w:footnoteReference w:id="40"/>
      </w:r>
      <w:r w:rsidRPr="00937817">
        <w:rPr>
          <w:szCs w:val="22"/>
        </w:rPr>
        <w:t xml:space="preserve">  Among other dates, the </w:t>
      </w:r>
      <w:r>
        <w:rPr>
          <w:szCs w:val="22"/>
        </w:rPr>
        <w:t>Judge</w:t>
      </w:r>
      <w:r w:rsidRPr="00937817">
        <w:rPr>
          <w:szCs w:val="22"/>
        </w:rPr>
        <w:t xml:space="preserve"> set September 16, 2014</w:t>
      </w:r>
      <w:r>
        <w:rPr>
          <w:szCs w:val="22"/>
        </w:rPr>
        <w:t>,</w:t>
      </w:r>
      <w:r w:rsidRPr="00937817">
        <w:rPr>
          <w:szCs w:val="22"/>
        </w:rPr>
        <w:t xml:space="preserve"> as the date for exchanging direct cases</w:t>
      </w:r>
      <w:r w:rsidRPr="00CA1AF9">
        <w:rPr>
          <w:szCs w:val="22"/>
        </w:rPr>
        <w:t xml:space="preserve"> and September 30, 2014</w:t>
      </w:r>
      <w:r>
        <w:rPr>
          <w:szCs w:val="22"/>
        </w:rPr>
        <w:t>,</w:t>
      </w:r>
      <w:r w:rsidRPr="00CA1AF9">
        <w:rPr>
          <w:szCs w:val="22"/>
        </w:rPr>
        <w:t xml:space="preserve"> as the date for exchanging witness notifications.  He also scheduled an evidence admission session for November 4, 2014.</w:t>
      </w:r>
    </w:p>
    <w:p w:rsidR="00C016B1" w:rsidRPr="00543C0E" w:rsidP="00C016B1">
      <w:pPr>
        <w:pStyle w:val="ParaNum"/>
        <w:rPr>
          <w:szCs w:val="22"/>
        </w:rPr>
      </w:pPr>
      <w:r w:rsidRPr="00CA1AF9">
        <w:t xml:space="preserve">On September 16, 2014, </w:t>
      </w:r>
      <w:r>
        <w:t>Environmentel, Verde Systems, and Havens</w:t>
      </w:r>
      <w:r w:rsidRPr="00CA1AF9">
        <w:t xml:space="preserve"> exchanged </w:t>
      </w:r>
      <w:r>
        <w:t>their</w:t>
      </w:r>
      <w:r w:rsidRPr="00CA1AF9">
        <w:t xml:space="preserve"> direct case, including 444 exhibits and three witnesses.</w:t>
      </w:r>
      <w:r>
        <w:rPr>
          <w:rStyle w:val="FootnoteReference"/>
          <w:sz w:val="22"/>
          <w:szCs w:val="22"/>
        </w:rPr>
        <w:footnoteReference w:id="41"/>
      </w:r>
      <w:r w:rsidRPr="00937817">
        <w:t xml:space="preserve">  Subsequently, on September 30, 2014, </w:t>
      </w:r>
      <w:r>
        <w:t>Environmentel, Verde Systems, and Havens</w:t>
      </w:r>
      <w:r w:rsidRPr="00937817">
        <w:t xml:space="preserve"> filed </w:t>
      </w:r>
      <w:r>
        <w:t>their</w:t>
      </w:r>
      <w:r w:rsidRPr="00937817">
        <w:t xml:space="preserve"> witness notification, which,</w:t>
      </w:r>
      <w:r w:rsidRPr="00CA1AF9">
        <w:t xml:space="preserve"> in addition to listing the three witnesses previously disclosed, requested the </w:t>
      </w:r>
      <w:r>
        <w:t>Judge</w:t>
      </w:r>
      <w:r w:rsidRPr="00CA1AF9">
        <w:t xml:space="preserve"> to direct Maritime and </w:t>
      </w:r>
      <w:r>
        <w:t>the Enforcement Bureau</w:t>
      </w:r>
      <w:r w:rsidRPr="00CA1AF9">
        <w:t xml:space="preserve"> to make 30 additional witnesses available for examination.</w:t>
      </w:r>
      <w:r>
        <w:rPr>
          <w:rStyle w:val="FootnoteReference"/>
          <w:sz w:val="22"/>
          <w:szCs w:val="22"/>
        </w:rPr>
        <w:footnoteReference w:id="42"/>
      </w:r>
    </w:p>
    <w:p w:rsidR="00C016B1" w:rsidRPr="00CA1AF9" w:rsidP="00C016B1">
      <w:pPr>
        <w:pStyle w:val="ParaNum"/>
        <w:rPr>
          <w:szCs w:val="22"/>
        </w:rPr>
      </w:pPr>
      <w:r w:rsidRPr="00CA1AF9">
        <w:rPr>
          <w:szCs w:val="22"/>
        </w:rPr>
        <w:t xml:space="preserve">The parties, however, were not able to agree on a stipulation concerning the 73 authorizations.  The </w:t>
      </w:r>
      <w:r>
        <w:rPr>
          <w:szCs w:val="22"/>
        </w:rPr>
        <w:t>Judge</w:t>
      </w:r>
      <w:r w:rsidRPr="00CA1AF9">
        <w:rPr>
          <w:szCs w:val="22"/>
        </w:rPr>
        <w:t xml:space="preserve"> found on October 9, 2014, that </w:t>
      </w:r>
      <w:r>
        <w:rPr>
          <w:szCs w:val="22"/>
        </w:rPr>
        <w:t>the Enforcement Bureau</w:t>
      </w:r>
      <w:r w:rsidRPr="00CA1AF9">
        <w:rPr>
          <w:szCs w:val="22"/>
        </w:rPr>
        <w:t xml:space="preserve">, Maritime, and </w:t>
      </w:r>
      <w:r>
        <w:rPr>
          <w:szCs w:val="22"/>
        </w:rPr>
        <w:t>Environmentel, Verde Systems, and Havens</w:t>
      </w:r>
      <w:r w:rsidRPr="00CA1AF9">
        <w:rPr>
          <w:szCs w:val="22"/>
        </w:rPr>
        <w:t xml:space="preserve"> all agreed to the cancellation of 73 of the 89 authorizations, but that </w:t>
      </w:r>
      <w:r>
        <w:rPr>
          <w:szCs w:val="22"/>
        </w:rPr>
        <w:t>Environmentel, Verde Systems, and Havens</w:t>
      </w:r>
      <w:r w:rsidRPr="00CA1AF9">
        <w:rPr>
          <w:szCs w:val="22"/>
        </w:rPr>
        <w:t xml:space="preserve"> disagreed with the joint stipulation of facts proposed by </w:t>
      </w:r>
      <w:r>
        <w:rPr>
          <w:szCs w:val="22"/>
        </w:rPr>
        <w:t xml:space="preserve">the Enforcement Bureau </w:t>
      </w:r>
      <w:r w:rsidRPr="00CA1AF9">
        <w:rPr>
          <w:szCs w:val="22"/>
        </w:rPr>
        <w:t>and Maritime.</w:t>
      </w:r>
      <w:r>
        <w:rPr>
          <w:rStyle w:val="FootnoteReference"/>
          <w:sz w:val="22"/>
          <w:szCs w:val="22"/>
        </w:rPr>
        <w:footnoteReference w:id="43"/>
      </w:r>
      <w:r w:rsidRPr="00937817">
        <w:rPr>
          <w:szCs w:val="22"/>
        </w:rPr>
        <w:t xml:space="preserve">  The </w:t>
      </w:r>
      <w:r>
        <w:rPr>
          <w:szCs w:val="22"/>
        </w:rPr>
        <w:t>Judge</w:t>
      </w:r>
      <w:r w:rsidRPr="00937817">
        <w:rPr>
          <w:szCs w:val="22"/>
        </w:rPr>
        <w:t xml:space="preserve"> noted that Maritime admitted that the 7</w:t>
      </w:r>
      <w:r w:rsidRPr="00CA1AF9">
        <w:rPr>
          <w:szCs w:val="22"/>
        </w:rPr>
        <w:t xml:space="preserve">3 facilities were not operational and that if </w:t>
      </w:r>
      <w:r>
        <w:rPr>
          <w:szCs w:val="22"/>
        </w:rPr>
        <w:t>Environmentel, Verde Systems, and Havens</w:t>
      </w:r>
      <w:r w:rsidRPr="00CA1AF9">
        <w:rPr>
          <w:szCs w:val="22"/>
        </w:rPr>
        <w:t xml:space="preserve"> “will not accept even self-evident factual concessions by Maritime . . . requiring any further negotiating of the facts would be fruitless.”</w:t>
      </w:r>
      <w:r>
        <w:rPr>
          <w:rStyle w:val="FootnoteReference"/>
          <w:sz w:val="22"/>
          <w:szCs w:val="22"/>
        </w:rPr>
        <w:footnoteReference w:id="44"/>
      </w:r>
      <w:r w:rsidRPr="00937817">
        <w:rPr>
          <w:szCs w:val="22"/>
        </w:rPr>
        <w:t xml:space="preserve">  To avoid further delay and uncertainty without prejudicing </w:t>
      </w:r>
      <w:r>
        <w:rPr>
          <w:szCs w:val="22"/>
        </w:rPr>
        <w:t>Environmentel, Verde Systems, and Havens</w:t>
      </w:r>
      <w:r w:rsidRPr="00937817">
        <w:rPr>
          <w:szCs w:val="22"/>
        </w:rPr>
        <w:t xml:space="preserve">, </w:t>
      </w:r>
      <w:r w:rsidRPr="00CA1AF9">
        <w:rPr>
          <w:szCs w:val="22"/>
        </w:rPr>
        <w:t xml:space="preserve">the </w:t>
      </w:r>
      <w:r>
        <w:rPr>
          <w:szCs w:val="22"/>
        </w:rPr>
        <w:t>Judge</w:t>
      </w:r>
      <w:r w:rsidRPr="00CA1AF9">
        <w:rPr>
          <w:szCs w:val="22"/>
        </w:rPr>
        <w:t xml:space="preserve"> accepted the facts presented in the proposed joint stipulation, but only with respect to the 73 authorizations that would be deemed cancelled, so that the hearing would proceed with respect to the remaining 16 authorizations.  </w:t>
      </w:r>
    </w:p>
    <w:p w:rsidR="00C016B1" w:rsidRPr="00CA1AF9" w:rsidP="00C016B1">
      <w:pPr>
        <w:pStyle w:val="ParaNum"/>
        <w:rPr>
          <w:szCs w:val="22"/>
        </w:rPr>
      </w:pPr>
      <w:r w:rsidRPr="00CA1AF9">
        <w:rPr>
          <w:szCs w:val="22"/>
        </w:rPr>
        <w:t xml:space="preserve">On October 27, 2014, despite the parties’ previous difficulties in agreeing about the facts and notwithstanding the exchange of the parties’ direct cases, </w:t>
      </w:r>
      <w:r>
        <w:rPr>
          <w:szCs w:val="22"/>
        </w:rPr>
        <w:t>Environmentel, Verde Systems, and Havens</w:t>
      </w:r>
      <w:r w:rsidRPr="00CA1AF9">
        <w:rPr>
          <w:szCs w:val="22"/>
        </w:rPr>
        <w:t xml:space="preserve"> submitted a motion for summary decision </w:t>
      </w:r>
      <w:r>
        <w:rPr>
          <w:szCs w:val="22"/>
        </w:rPr>
        <w:t>(October 27 Motion).</w:t>
      </w:r>
      <w:r>
        <w:rPr>
          <w:rStyle w:val="FootnoteReference"/>
          <w:sz w:val="22"/>
          <w:szCs w:val="22"/>
        </w:rPr>
        <w:footnoteReference w:id="45"/>
      </w:r>
      <w:r w:rsidRPr="00937817">
        <w:rPr>
          <w:szCs w:val="22"/>
        </w:rPr>
        <w:t xml:space="preserve"> </w:t>
      </w:r>
      <w:r>
        <w:rPr>
          <w:szCs w:val="22"/>
        </w:rPr>
        <w:t xml:space="preserve">  The motion </w:t>
      </w:r>
      <w:r w:rsidRPr="00CA1AF9">
        <w:rPr>
          <w:szCs w:val="22"/>
        </w:rPr>
        <w:t>propos</w:t>
      </w:r>
      <w:r>
        <w:rPr>
          <w:szCs w:val="22"/>
        </w:rPr>
        <w:t>ed</w:t>
      </w:r>
      <w:r w:rsidRPr="00CA1AF9">
        <w:rPr>
          <w:szCs w:val="22"/>
        </w:rPr>
        <w:t xml:space="preserve"> that the remaining 16 authorizations could be found to have cancelled, without hearing.</w:t>
      </w:r>
      <w:r w:rsidRPr="00937817">
        <w:rPr>
          <w:szCs w:val="22"/>
        </w:rPr>
        <w:t xml:space="preserve">   </w:t>
      </w:r>
    </w:p>
    <w:p w:rsidR="00C016B1" w:rsidRPr="00CA1AF9" w:rsidP="00C016B1">
      <w:pPr>
        <w:pStyle w:val="ParaNum"/>
        <w:rPr>
          <w:szCs w:val="22"/>
        </w:rPr>
      </w:pPr>
      <w:r w:rsidRPr="00CA1AF9">
        <w:rPr>
          <w:szCs w:val="22"/>
        </w:rPr>
        <w:t xml:space="preserve">The </w:t>
      </w:r>
      <w:r>
        <w:rPr>
          <w:szCs w:val="22"/>
        </w:rPr>
        <w:t>Judge</w:t>
      </w:r>
      <w:r w:rsidRPr="00CA1AF9">
        <w:rPr>
          <w:szCs w:val="22"/>
        </w:rPr>
        <w:t xml:space="preserve"> and the parties discussed the situation on November 4, 2014, at the prehearing conference that had previously been scheduled as an evidence admission session.  Stenger attended the conference.  The </w:t>
      </w:r>
      <w:r>
        <w:rPr>
          <w:szCs w:val="22"/>
        </w:rPr>
        <w:t>Judge</w:t>
      </w:r>
      <w:r w:rsidRPr="00CA1AF9">
        <w:rPr>
          <w:szCs w:val="22"/>
        </w:rPr>
        <w:t xml:space="preserve"> denied Havens’s request to participate by speakerphone because the 2012 procedural order required Havens, as a </w:t>
      </w:r>
      <w:r w:rsidRPr="00CA1AF9">
        <w:rPr>
          <w:i/>
          <w:szCs w:val="22"/>
        </w:rPr>
        <w:t xml:space="preserve">pro se </w:t>
      </w:r>
      <w:r w:rsidRPr="00CA1AF9">
        <w:rPr>
          <w:szCs w:val="22"/>
        </w:rPr>
        <w:t>litigant, to attend conferences in person, and because the issues to be discussed were too complex to permit participation by phone.</w:t>
      </w:r>
      <w:r>
        <w:rPr>
          <w:rStyle w:val="FootnoteReference"/>
          <w:sz w:val="22"/>
          <w:szCs w:val="22"/>
        </w:rPr>
        <w:footnoteReference w:id="46"/>
      </w:r>
      <w:r w:rsidRPr="00937817">
        <w:rPr>
          <w:szCs w:val="22"/>
        </w:rPr>
        <w:t xml:space="preserve">  Havens did not participate in the conference</w:t>
      </w:r>
      <w:r w:rsidRPr="00CA1AF9">
        <w:rPr>
          <w:szCs w:val="22"/>
        </w:rPr>
        <w:t>.</w:t>
      </w:r>
    </w:p>
    <w:p w:rsidR="00C016B1" w:rsidRPr="00937817" w:rsidP="00C016B1">
      <w:pPr>
        <w:pStyle w:val="ParaNum"/>
        <w:rPr>
          <w:szCs w:val="22"/>
        </w:rPr>
      </w:pPr>
      <w:r w:rsidRPr="00CA1AF9">
        <w:rPr>
          <w:szCs w:val="22"/>
        </w:rPr>
        <w:t xml:space="preserve">At the conference the </w:t>
      </w:r>
      <w:r>
        <w:rPr>
          <w:szCs w:val="22"/>
        </w:rPr>
        <w:t>Judge</w:t>
      </w:r>
      <w:r w:rsidRPr="00CA1AF9">
        <w:rPr>
          <w:szCs w:val="22"/>
        </w:rPr>
        <w:t xml:space="preserve"> reiterated his intention not to consider further motions for summary decision.</w:t>
      </w:r>
      <w:r>
        <w:rPr>
          <w:rStyle w:val="FootnoteReference"/>
          <w:sz w:val="22"/>
          <w:szCs w:val="22"/>
        </w:rPr>
        <w:footnoteReference w:id="47"/>
      </w:r>
      <w:r w:rsidRPr="00937817">
        <w:rPr>
          <w:szCs w:val="22"/>
        </w:rPr>
        <w:t xml:space="preserve">  He noted, however, indications by the parties that Issue (g) might be ful</w:t>
      </w:r>
      <w:r w:rsidRPr="00CA1AF9">
        <w:rPr>
          <w:szCs w:val="22"/>
        </w:rPr>
        <w:t>ly resolved by motion</w:t>
      </w:r>
      <w:r>
        <w:rPr>
          <w:szCs w:val="22"/>
        </w:rPr>
        <w:t>s</w:t>
      </w:r>
      <w:r w:rsidRPr="00CA1AF9">
        <w:rPr>
          <w:szCs w:val="22"/>
        </w:rPr>
        <w:t xml:space="preserve"> practice.</w:t>
      </w:r>
      <w:r>
        <w:rPr>
          <w:rStyle w:val="FootnoteReference"/>
          <w:sz w:val="22"/>
          <w:szCs w:val="22"/>
        </w:rPr>
        <w:footnoteReference w:id="48"/>
      </w:r>
      <w:r w:rsidRPr="00937817">
        <w:rPr>
          <w:szCs w:val="22"/>
        </w:rPr>
        <w:t xml:space="preserve">  He directed the parties to file a joint submission as to whether they agreed</w:t>
      </w:r>
      <w:r w:rsidRPr="00CA1AF9">
        <w:rPr>
          <w:szCs w:val="22"/>
        </w:rPr>
        <w:t xml:space="preserve"> to suspend the hearing schedule and proceed by motion.</w:t>
      </w:r>
      <w:r>
        <w:rPr>
          <w:rStyle w:val="FootnoteReference"/>
          <w:sz w:val="22"/>
          <w:szCs w:val="22"/>
        </w:rPr>
        <w:footnoteReference w:id="49"/>
      </w:r>
      <w:r w:rsidRPr="00937817">
        <w:rPr>
          <w:szCs w:val="22"/>
        </w:rPr>
        <w:t xml:space="preserve"> </w:t>
      </w:r>
    </w:p>
    <w:p w:rsidR="00C016B1" w:rsidRPr="00937817" w:rsidP="00C016B1">
      <w:pPr>
        <w:pStyle w:val="ParaNum"/>
        <w:rPr>
          <w:szCs w:val="22"/>
        </w:rPr>
      </w:pPr>
      <w:r w:rsidRPr="00CA1AF9">
        <w:rPr>
          <w:szCs w:val="22"/>
        </w:rPr>
        <w:t xml:space="preserve">That evening, Havens sent an e-mail to the </w:t>
      </w:r>
      <w:r>
        <w:rPr>
          <w:szCs w:val="22"/>
        </w:rPr>
        <w:t>Judge</w:t>
      </w:r>
      <w:r w:rsidRPr="00CA1AF9">
        <w:rPr>
          <w:szCs w:val="22"/>
        </w:rPr>
        <w:t>’s office stating “[s]</w:t>
      </w:r>
      <w:r w:rsidRPr="00CA1AF9">
        <w:rPr>
          <w:szCs w:val="22"/>
        </w:rPr>
        <w:t>ince</w:t>
      </w:r>
      <w:r w:rsidRPr="00CA1AF9">
        <w:rPr>
          <w:szCs w:val="22"/>
        </w:rPr>
        <w:t xml:space="preserve"> I was not permitted to attend the conference yesterday by phone, I would appreciate it if the </w:t>
      </w:r>
      <w:r>
        <w:rPr>
          <w:szCs w:val="22"/>
        </w:rPr>
        <w:t>Judge</w:t>
      </w:r>
      <w:r w:rsidRPr="00CA1AF9">
        <w:rPr>
          <w:szCs w:val="22"/>
        </w:rPr>
        <w:t xml:space="preserve"> issues an order (and circulates that by email) or puts instructions in an email, as soon as possible (since there is not much time) making it clear what must be reported to him. . . .”</w:t>
      </w:r>
      <w:r>
        <w:rPr>
          <w:rStyle w:val="FootnoteReference"/>
          <w:sz w:val="22"/>
          <w:szCs w:val="22"/>
        </w:rPr>
        <w:footnoteReference w:id="50"/>
      </w:r>
      <w:r w:rsidRPr="00937817">
        <w:rPr>
          <w:szCs w:val="22"/>
        </w:rPr>
        <w:t xml:space="preserve">  In subsequent e-mail correspondence</w:t>
      </w:r>
      <w:r w:rsidRPr="00CA1AF9">
        <w:rPr>
          <w:szCs w:val="22"/>
        </w:rPr>
        <w:t xml:space="preserve"> over the next day, Havens rejected the </w:t>
      </w:r>
      <w:r>
        <w:rPr>
          <w:szCs w:val="22"/>
        </w:rPr>
        <w:t>Judge</w:t>
      </w:r>
      <w:r w:rsidRPr="00CA1AF9">
        <w:rPr>
          <w:szCs w:val="22"/>
        </w:rPr>
        <w:t>’s suggestion that he obtain the information he sought from Stenger.</w:t>
      </w:r>
      <w:r>
        <w:rPr>
          <w:rStyle w:val="FootnoteReference"/>
          <w:sz w:val="22"/>
          <w:szCs w:val="22"/>
        </w:rPr>
        <w:footnoteReference w:id="51"/>
      </w:r>
      <w:r w:rsidRPr="00937817">
        <w:rPr>
          <w:szCs w:val="22"/>
        </w:rPr>
        <w:t xml:space="preserve">  On November 7, </w:t>
      </w:r>
      <w:r w:rsidRPr="00CA1AF9">
        <w:rPr>
          <w:szCs w:val="22"/>
        </w:rPr>
        <w:t xml:space="preserve">2014, Havens filed a pleading stating his intention to file an interlocutory appeal of the denial of his request to participate by speakerphone and the </w:t>
      </w:r>
      <w:r>
        <w:rPr>
          <w:szCs w:val="22"/>
        </w:rPr>
        <w:t>Judge</w:t>
      </w:r>
      <w:r w:rsidRPr="00CA1AF9">
        <w:rPr>
          <w:szCs w:val="22"/>
        </w:rPr>
        <w:t>’s refusal to issue the requested written order.</w:t>
      </w:r>
      <w:r>
        <w:rPr>
          <w:rStyle w:val="FootnoteReference"/>
          <w:sz w:val="22"/>
          <w:szCs w:val="22"/>
        </w:rPr>
        <w:footnoteReference w:id="52"/>
      </w:r>
      <w:r w:rsidRPr="00937817">
        <w:rPr>
          <w:szCs w:val="22"/>
        </w:rPr>
        <w:t xml:space="preserve">  Havens stated</w:t>
      </w:r>
      <w:r>
        <w:rPr>
          <w:szCs w:val="22"/>
        </w:rPr>
        <w:t>,</w:t>
      </w:r>
      <w:r w:rsidRPr="00937817">
        <w:rPr>
          <w:szCs w:val="22"/>
        </w:rPr>
        <w:t xml:space="preserve"> “I may be entitled to compensation, including potentially under the Equal Access </w:t>
      </w:r>
      <w:r w:rsidRPr="00937817">
        <w:rPr>
          <w:szCs w:val="22"/>
        </w:rPr>
        <w:t>to Justice Act, Federal Tort Claims Act, and Bivens-Action law.”</w:t>
      </w:r>
      <w:r>
        <w:rPr>
          <w:rStyle w:val="FootnoteReference"/>
          <w:sz w:val="22"/>
          <w:szCs w:val="22"/>
        </w:rPr>
        <w:footnoteReference w:id="53"/>
      </w:r>
      <w:r w:rsidRPr="00937817">
        <w:rPr>
          <w:szCs w:val="22"/>
        </w:rPr>
        <w:t xml:space="preserve">  On November 13, 2014, Havens filed an interlocutory appeal</w:t>
      </w:r>
      <w:r w:rsidRPr="00CA1AF9">
        <w:rPr>
          <w:szCs w:val="22"/>
        </w:rPr>
        <w:t>.</w:t>
      </w:r>
      <w:r>
        <w:rPr>
          <w:rStyle w:val="FootnoteReference"/>
          <w:sz w:val="22"/>
          <w:szCs w:val="22"/>
        </w:rPr>
        <w:footnoteReference w:id="54"/>
      </w:r>
    </w:p>
    <w:p w:rsidR="00C016B1" w:rsidRPr="00937817" w:rsidP="00C016B1">
      <w:pPr>
        <w:pStyle w:val="ParaNum"/>
        <w:rPr>
          <w:szCs w:val="22"/>
        </w:rPr>
      </w:pPr>
      <w:r>
        <w:rPr>
          <w:szCs w:val="22"/>
        </w:rPr>
        <w:t>At the same time, the Enforcement Bureau</w:t>
      </w:r>
      <w:r w:rsidRPr="00CA1AF9">
        <w:rPr>
          <w:szCs w:val="22"/>
        </w:rPr>
        <w:t xml:space="preserve"> and Maritime, and </w:t>
      </w:r>
      <w:r>
        <w:rPr>
          <w:szCs w:val="22"/>
        </w:rPr>
        <w:t>Environmentel and Verde Systems</w:t>
      </w:r>
      <w:r w:rsidRPr="00CA1AF9">
        <w:rPr>
          <w:szCs w:val="22"/>
        </w:rPr>
        <w:t xml:space="preserve"> (not joined by Havens) filed separate responses to the </w:t>
      </w:r>
      <w:r>
        <w:rPr>
          <w:szCs w:val="22"/>
        </w:rPr>
        <w:t>Judge</w:t>
      </w:r>
      <w:r w:rsidRPr="00CA1AF9">
        <w:rPr>
          <w:szCs w:val="22"/>
        </w:rPr>
        <w:t>’s directive regarding the possibility of resolving the issue by motion</w:t>
      </w:r>
      <w:r>
        <w:rPr>
          <w:szCs w:val="22"/>
        </w:rPr>
        <w:t>s</w:t>
      </w:r>
      <w:r w:rsidRPr="00CA1AF9">
        <w:rPr>
          <w:szCs w:val="22"/>
        </w:rPr>
        <w:t xml:space="preserve"> practice.</w:t>
      </w:r>
      <w:r>
        <w:rPr>
          <w:rStyle w:val="FootnoteReference"/>
          <w:sz w:val="22"/>
          <w:szCs w:val="22"/>
        </w:rPr>
        <w:footnoteReference w:id="55"/>
      </w:r>
      <w:r w:rsidRPr="00937817">
        <w:rPr>
          <w:szCs w:val="22"/>
        </w:rPr>
        <w:t xml:space="preserve">  </w:t>
      </w:r>
      <w:r>
        <w:rPr>
          <w:szCs w:val="22"/>
        </w:rPr>
        <w:t>The Enforcement Bureau</w:t>
      </w:r>
      <w:r w:rsidRPr="00937817">
        <w:rPr>
          <w:szCs w:val="22"/>
        </w:rPr>
        <w:t xml:space="preserve"> and Maritime proposed to suspend the November 25, 201</w:t>
      </w:r>
      <w:r w:rsidRPr="00CA1AF9">
        <w:rPr>
          <w:szCs w:val="22"/>
        </w:rPr>
        <w:t>4 deadline for filing trial briefs and the December 9 date for commencing the hearing.  They further proposed a schedule for responding to</w:t>
      </w:r>
      <w:r>
        <w:rPr>
          <w:szCs w:val="22"/>
        </w:rPr>
        <w:t xml:space="preserve"> Environmentel, Verde Systems, and Havens’s</w:t>
      </w:r>
      <w:r w:rsidRPr="00CA1AF9">
        <w:rPr>
          <w:szCs w:val="22"/>
        </w:rPr>
        <w:t xml:space="preserve"> motion for summary decision and for any reply pleadings.  They indicated, however, that they had been unable to reach agreement with </w:t>
      </w:r>
      <w:r>
        <w:rPr>
          <w:szCs w:val="22"/>
        </w:rPr>
        <w:t>Environmentel, Verde Systems, and Havens</w:t>
      </w:r>
      <w:r w:rsidRPr="00CA1AF9">
        <w:rPr>
          <w:szCs w:val="22"/>
        </w:rPr>
        <w:t xml:space="preserve">.  </w:t>
      </w:r>
      <w:r>
        <w:rPr>
          <w:szCs w:val="22"/>
        </w:rPr>
        <w:t>Environmentel and Verde Systems</w:t>
      </w:r>
      <w:r w:rsidRPr="00CA1AF9">
        <w:rPr>
          <w:szCs w:val="22"/>
        </w:rPr>
        <w:t>, by contrast, argued that the hearing dates should not be suspended and that</w:t>
      </w:r>
      <w:r>
        <w:rPr>
          <w:szCs w:val="22"/>
        </w:rPr>
        <w:t xml:space="preserve"> the Enforcement Bureau</w:t>
      </w:r>
      <w:r w:rsidRPr="00CA1AF9">
        <w:rPr>
          <w:szCs w:val="22"/>
        </w:rPr>
        <w:t xml:space="preserve"> and Maritime should not be permitted to file further motions.  In view of the foregoing conflict, the </w:t>
      </w:r>
      <w:r>
        <w:rPr>
          <w:szCs w:val="22"/>
        </w:rPr>
        <w:t>Judge</w:t>
      </w:r>
      <w:r w:rsidRPr="00CA1AF9">
        <w:rPr>
          <w:szCs w:val="22"/>
        </w:rPr>
        <w:t xml:space="preserve"> abandoned the idea that motion</w:t>
      </w:r>
      <w:r>
        <w:rPr>
          <w:szCs w:val="22"/>
        </w:rPr>
        <w:t>s</w:t>
      </w:r>
      <w:r w:rsidRPr="00CA1AF9">
        <w:rPr>
          <w:szCs w:val="22"/>
        </w:rPr>
        <w:t xml:space="preserve"> practice might be used and ruled, on November 24, 2014, that he would defer ruling on </w:t>
      </w:r>
      <w:r>
        <w:rPr>
          <w:szCs w:val="22"/>
        </w:rPr>
        <w:t>Environmentel, Verde Systems, and Havens’s</w:t>
      </w:r>
      <w:r w:rsidRPr="00CA1AF9">
        <w:rPr>
          <w:szCs w:val="22"/>
        </w:rPr>
        <w:t xml:space="preserve"> motion for summary decision until after the hearing.</w:t>
      </w:r>
      <w:r>
        <w:rPr>
          <w:rStyle w:val="FootnoteReference"/>
          <w:sz w:val="22"/>
          <w:szCs w:val="22"/>
        </w:rPr>
        <w:footnoteReference w:id="56"/>
      </w:r>
    </w:p>
    <w:p w:rsidR="00C016B1" w:rsidRPr="00937817" w:rsidP="00C016B1">
      <w:pPr>
        <w:pStyle w:val="ParaNum"/>
        <w:rPr>
          <w:szCs w:val="22"/>
        </w:rPr>
      </w:pPr>
      <w:r w:rsidRPr="00CA1AF9">
        <w:rPr>
          <w:szCs w:val="22"/>
        </w:rPr>
        <w:t xml:space="preserve">Shortly before the hearing, on December 3, 2014, Havens filed a pleading in which he argued that the </w:t>
      </w:r>
      <w:r>
        <w:rPr>
          <w:szCs w:val="22"/>
        </w:rPr>
        <w:t>Judge</w:t>
      </w:r>
      <w:r w:rsidRPr="00CA1AF9">
        <w:rPr>
          <w:szCs w:val="22"/>
        </w:rPr>
        <w:t xml:space="preserve"> should strike the direct cases of both Maritime and </w:t>
      </w:r>
      <w:r>
        <w:rPr>
          <w:szCs w:val="22"/>
        </w:rPr>
        <w:t>the Enforcement Bureau</w:t>
      </w:r>
      <w:r w:rsidRPr="00CA1AF9">
        <w:rPr>
          <w:szCs w:val="22"/>
        </w:rPr>
        <w:t xml:space="preserve"> in their entirety.  The next day, the </w:t>
      </w:r>
      <w:r>
        <w:rPr>
          <w:szCs w:val="22"/>
        </w:rPr>
        <w:t>Judge</w:t>
      </w:r>
      <w:r w:rsidRPr="00CA1AF9">
        <w:rPr>
          <w:szCs w:val="22"/>
        </w:rPr>
        <w:t xml:space="preserve"> denied the pleading as “frivolous,” noting in part that the pleading was effectively another motion for summary decision.”</w:t>
      </w:r>
      <w:r>
        <w:rPr>
          <w:rStyle w:val="FootnoteReference"/>
          <w:sz w:val="22"/>
          <w:szCs w:val="22"/>
        </w:rPr>
        <w:footnoteReference w:id="57"/>
      </w:r>
      <w:r w:rsidRPr="00937817">
        <w:rPr>
          <w:szCs w:val="22"/>
        </w:rPr>
        <w:t xml:space="preserve">  The </w:t>
      </w:r>
      <w:r>
        <w:rPr>
          <w:szCs w:val="22"/>
        </w:rPr>
        <w:t>Judge</w:t>
      </w:r>
      <w:r w:rsidRPr="00937817">
        <w:rPr>
          <w:szCs w:val="22"/>
        </w:rPr>
        <w:t xml:space="preserve"> also requested </w:t>
      </w:r>
      <w:r>
        <w:rPr>
          <w:szCs w:val="22"/>
        </w:rPr>
        <w:t xml:space="preserve">that </w:t>
      </w:r>
      <w:r w:rsidRPr="00937817">
        <w:rPr>
          <w:szCs w:val="22"/>
        </w:rPr>
        <w:t>Havens</w:t>
      </w:r>
      <w:r>
        <w:rPr>
          <w:szCs w:val="22"/>
        </w:rPr>
        <w:t xml:space="preserve">, Environmentel, Verde Systems, and their </w:t>
      </w:r>
      <w:r w:rsidRPr="00CA1AF9">
        <w:rPr>
          <w:szCs w:val="22"/>
        </w:rPr>
        <w:t>counsel stop e-mailing him about procedural and other matters and stop arguing about the procedures to be followed in deleting the cancelled Maritime authorizations from the Commission database.</w:t>
      </w:r>
      <w:r>
        <w:rPr>
          <w:rStyle w:val="FootnoteReference"/>
          <w:sz w:val="22"/>
          <w:szCs w:val="22"/>
        </w:rPr>
        <w:footnoteReference w:id="58"/>
      </w:r>
    </w:p>
    <w:p w:rsidR="00C016B1" w:rsidRPr="00CA1AF9" w:rsidP="00C016B1">
      <w:pPr>
        <w:pStyle w:val="ParaNum"/>
        <w:rPr>
          <w:szCs w:val="22"/>
        </w:rPr>
      </w:pPr>
      <w:r>
        <w:rPr>
          <w:b/>
          <w:szCs w:val="22"/>
        </w:rPr>
        <w:t xml:space="preserve">Questions regarding Havens’s conduct at the evidentiary </w:t>
      </w:r>
      <w:r w:rsidRPr="00CA1AF9">
        <w:rPr>
          <w:b/>
          <w:szCs w:val="22"/>
        </w:rPr>
        <w:t>hearing</w:t>
      </w:r>
      <w:r>
        <w:rPr>
          <w:b/>
          <w:szCs w:val="22"/>
        </w:rPr>
        <w:t xml:space="preserve"> on Issue (g) (December 9, 2014 to January 14, 2015).</w:t>
      </w:r>
      <w:r w:rsidRPr="00CA1AF9">
        <w:rPr>
          <w:b/>
          <w:szCs w:val="22"/>
        </w:rPr>
        <w:t xml:space="preserve">  </w:t>
      </w:r>
      <w:r w:rsidRPr="00CA1AF9">
        <w:rPr>
          <w:szCs w:val="22"/>
        </w:rPr>
        <w:t xml:space="preserve">The hearing began on December 9, 2014, as scheduled.  At the hearing session on December 10, Stenger represented that </w:t>
      </w:r>
      <w:r>
        <w:rPr>
          <w:szCs w:val="22"/>
        </w:rPr>
        <w:t>the sole witness for his clients Environmentel and Verde Systems</w:t>
      </w:r>
      <w:r w:rsidRPr="00CA1AF9">
        <w:rPr>
          <w:szCs w:val="22"/>
        </w:rPr>
        <w:t>, Steve Calabrese, was not present at the hearing because a Maritime witness named John Reardon had caused police to issue an arrest warrant against him.</w:t>
      </w:r>
      <w:r>
        <w:rPr>
          <w:rStyle w:val="FootnoteReference"/>
          <w:sz w:val="22"/>
          <w:szCs w:val="22"/>
        </w:rPr>
        <w:footnoteReference w:id="59"/>
      </w:r>
      <w:r w:rsidRPr="00937817">
        <w:rPr>
          <w:szCs w:val="22"/>
        </w:rPr>
        <w:t xml:space="preserve">  Counsel for </w:t>
      </w:r>
      <w:r>
        <w:rPr>
          <w:szCs w:val="22"/>
        </w:rPr>
        <w:t>the Enforcement Bureau</w:t>
      </w:r>
      <w:r w:rsidRPr="00937817">
        <w:rPr>
          <w:szCs w:val="22"/>
        </w:rPr>
        <w:t xml:space="preserve"> stated that he had information that </w:t>
      </w:r>
      <w:r w:rsidRPr="00CA1AF9">
        <w:rPr>
          <w:szCs w:val="22"/>
        </w:rPr>
        <w:t>Calabrese had threatened Reardon and two other witnesses and that Maritime’s counsel had a copy of the relevant police report.</w:t>
      </w:r>
      <w:r>
        <w:rPr>
          <w:rStyle w:val="FootnoteReference"/>
          <w:sz w:val="22"/>
          <w:szCs w:val="22"/>
        </w:rPr>
        <w:footnoteReference w:id="60"/>
      </w:r>
      <w:r w:rsidRPr="00937817">
        <w:rPr>
          <w:szCs w:val="22"/>
        </w:rPr>
        <w:t xml:space="preserve">  Calabrese did not testify.</w:t>
      </w:r>
    </w:p>
    <w:p w:rsidR="00C016B1" w:rsidRPr="00937817" w:rsidP="005137F4">
      <w:pPr>
        <w:pStyle w:val="ParaNum"/>
        <w:widowControl/>
        <w:rPr>
          <w:szCs w:val="22"/>
        </w:rPr>
      </w:pPr>
      <w:r w:rsidRPr="00CA1AF9">
        <w:rPr>
          <w:szCs w:val="22"/>
        </w:rPr>
        <w:t xml:space="preserve">That night, Havens sent an e-mail to </w:t>
      </w:r>
      <w:r>
        <w:rPr>
          <w:szCs w:val="22"/>
        </w:rPr>
        <w:t>Enforcement Bureau</w:t>
      </w:r>
      <w:r w:rsidRPr="00CA1AF9">
        <w:rPr>
          <w:szCs w:val="22"/>
        </w:rPr>
        <w:t xml:space="preserve"> counsel stating: “You two . . . represented at the hearing today that you have factual records of some kind that your client or supported party in this case, Mr. Reardon, has filed a police report and has arranged for some sort of arrest authority over Mr. [Calabrese]. </w:t>
      </w:r>
      <w:r>
        <w:rPr>
          <w:szCs w:val="22"/>
        </w:rPr>
        <w:t xml:space="preserve"> </w:t>
      </w:r>
      <w:r w:rsidRPr="00CA1AF9">
        <w:rPr>
          <w:szCs w:val="22"/>
        </w:rPr>
        <w:t xml:space="preserve">However, you failed to provide any details or copies of the documentation.  You obviously had this on hand to assert at the hearing, but you kept it hidden until Mr. [Calabrese] raised </w:t>
      </w:r>
      <w:r w:rsidRPr="00CA1AF9">
        <w:rPr>
          <w:szCs w:val="22"/>
        </w:rPr>
        <w:t xml:space="preserve">this. . . . I have no reasonable choice but to: </w:t>
      </w:r>
      <w:r w:rsidRPr="00CA1AF9">
        <w:rPr>
          <w:b/>
          <w:szCs w:val="22"/>
        </w:rPr>
        <w:t>Demand that you send me immediately all documents and non-written information you have to support your representation indicated above.</w:t>
      </w:r>
      <w:r w:rsidRPr="00CA1AF9">
        <w:rPr>
          <w:szCs w:val="22"/>
        </w:rPr>
        <w:t>”</w:t>
      </w:r>
      <w:r>
        <w:rPr>
          <w:rStyle w:val="FootnoteReference"/>
          <w:sz w:val="22"/>
          <w:szCs w:val="22"/>
        </w:rPr>
        <w:footnoteReference w:id="61"/>
      </w:r>
    </w:p>
    <w:p w:rsidR="00C016B1" w:rsidRPr="00937817" w:rsidP="00C016B1">
      <w:pPr>
        <w:pStyle w:val="ParaNum"/>
        <w:rPr>
          <w:szCs w:val="22"/>
        </w:rPr>
      </w:pPr>
      <w:r w:rsidRPr="00CA1AF9">
        <w:rPr>
          <w:szCs w:val="22"/>
        </w:rPr>
        <w:t xml:space="preserve">At the next hearing session, </w:t>
      </w:r>
      <w:r>
        <w:rPr>
          <w:szCs w:val="22"/>
        </w:rPr>
        <w:t>Enforcement Bureau</w:t>
      </w:r>
      <w:r w:rsidRPr="00CA1AF9">
        <w:rPr>
          <w:szCs w:val="22"/>
        </w:rPr>
        <w:t xml:space="preserve"> counsel explained that his information had come from other counsel and that he had no first-hand evidence about the matter.</w:t>
      </w:r>
      <w:r>
        <w:rPr>
          <w:rStyle w:val="FootnoteReference"/>
          <w:sz w:val="22"/>
          <w:szCs w:val="22"/>
        </w:rPr>
        <w:footnoteReference w:id="62"/>
      </w:r>
      <w:r w:rsidRPr="00937817">
        <w:rPr>
          <w:szCs w:val="22"/>
        </w:rPr>
        <w:t xml:space="preserve">  Later,</w:t>
      </w:r>
      <w:r w:rsidRPr="00CA1AF9">
        <w:rPr>
          <w:szCs w:val="22"/>
        </w:rPr>
        <w:t xml:space="preserve"> in response to a Freedom of Information Act (FOIA) Request from Havens, </w:t>
      </w:r>
      <w:r>
        <w:rPr>
          <w:szCs w:val="22"/>
        </w:rPr>
        <w:t>the Enforcement Bureau</w:t>
      </w:r>
      <w:r w:rsidRPr="00CA1AF9">
        <w:rPr>
          <w:szCs w:val="22"/>
        </w:rPr>
        <w:t xml:space="preserve"> disclosed documents it had obtained from other counsel.</w:t>
      </w:r>
      <w:r>
        <w:rPr>
          <w:rStyle w:val="FootnoteReference"/>
          <w:sz w:val="22"/>
          <w:szCs w:val="22"/>
        </w:rPr>
        <w:footnoteReference w:id="63"/>
      </w:r>
      <w:r w:rsidRPr="00937817">
        <w:rPr>
          <w:szCs w:val="22"/>
        </w:rPr>
        <w:t xml:space="preserve">  </w:t>
      </w:r>
    </w:p>
    <w:p w:rsidR="00C016B1" w:rsidRPr="00937817" w:rsidP="00C016B1">
      <w:pPr>
        <w:pStyle w:val="ParaNum"/>
        <w:rPr>
          <w:szCs w:val="22"/>
        </w:rPr>
      </w:pPr>
      <w:r w:rsidRPr="00CA1AF9">
        <w:rPr>
          <w:szCs w:val="22"/>
        </w:rPr>
        <w:t>At the close of the hearing</w:t>
      </w:r>
      <w:r>
        <w:rPr>
          <w:szCs w:val="22"/>
        </w:rPr>
        <w:t>,</w:t>
      </w:r>
      <w:r>
        <w:rPr>
          <w:rStyle w:val="FootnoteReference"/>
          <w:sz w:val="22"/>
          <w:szCs w:val="22"/>
        </w:rPr>
        <w:footnoteReference w:id="64"/>
      </w:r>
      <w:r w:rsidRPr="00937817">
        <w:rPr>
          <w:szCs w:val="22"/>
        </w:rPr>
        <w:t xml:space="preserve"> Stenger executed a declaration that allowed him access </w:t>
      </w:r>
      <w:r w:rsidRPr="00CA1AF9">
        <w:rPr>
          <w:szCs w:val="22"/>
        </w:rPr>
        <w:t xml:space="preserve">to confidential information submitted by Maritime and related parties pursuant to the protective order adopted by the </w:t>
      </w:r>
      <w:r>
        <w:rPr>
          <w:szCs w:val="22"/>
        </w:rPr>
        <w:t>Judge</w:t>
      </w:r>
      <w:r w:rsidRPr="00CA1AF9">
        <w:rPr>
          <w:szCs w:val="22"/>
        </w:rPr>
        <w:t xml:space="preserve"> in this proceeding, for the purpose of preparing proposed findings.</w:t>
      </w:r>
      <w:r>
        <w:rPr>
          <w:rStyle w:val="FootnoteReference"/>
          <w:sz w:val="22"/>
          <w:szCs w:val="22"/>
        </w:rPr>
        <w:footnoteReference w:id="65"/>
      </w:r>
      <w:r w:rsidRPr="00937817">
        <w:rPr>
          <w:szCs w:val="22"/>
        </w:rPr>
        <w:t xml:space="preserve">  The same day, Havens filed a pleading asking the </w:t>
      </w:r>
      <w:r>
        <w:rPr>
          <w:szCs w:val="22"/>
        </w:rPr>
        <w:t>Judge</w:t>
      </w:r>
      <w:r w:rsidRPr="00937817">
        <w:rPr>
          <w:szCs w:val="22"/>
        </w:rPr>
        <w:t xml:space="preserve"> to find that three confidential exhibits should be deemed to be in the public domain.</w:t>
      </w:r>
      <w:r>
        <w:rPr>
          <w:rStyle w:val="FootnoteReference"/>
          <w:sz w:val="22"/>
          <w:szCs w:val="22"/>
        </w:rPr>
        <w:footnoteReference w:id="66"/>
      </w:r>
      <w:r w:rsidRPr="00937817">
        <w:rPr>
          <w:szCs w:val="22"/>
        </w:rPr>
        <w:t xml:space="preserve">  </w:t>
      </w:r>
      <w:r w:rsidRPr="00CA1AF9">
        <w:rPr>
          <w:szCs w:val="22"/>
        </w:rPr>
        <w:t>Under the terms of the protective order Havens’s counsel, but not Havens himself, could obtain access to confidential material by executing a non-disclosure declaration.</w:t>
      </w:r>
      <w:r>
        <w:rPr>
          <w:rStyle w:val="FootnoteReference"/>
          <w:sz w:val="22"/>
          <w:szCs w:val="22"/>
        </w:rPr>
        <w:footnoteReference w:id="67"/>
      </w:r>
      <w:r w:rsidRPr="00937817">
        <w:rPr>
          <w:szCs w:val="22"/>
        </w:rPr>
        <w:t xml:space="preserve">  The protective order did, however, permit Havens to ask the </w:t>
      </w:r>
      <w:r>
        <w:rPr>
          <w:szCs w:val="22"/>
        </w:rPr>
        <w:t>Judge</w:t>
      </w:r>
      <w:r w:rsidRPr="00937817">
        <w:rPr>
          <w:szCs w:val="22"/>
        </w:rPr>
        <w:t xml:space="preserve"> to </w:t>
      </w:r>
      <w:r>
        <w:rPr>
          <w:szCs w:val="22"/>
        </w:rPr>
        <w:t>consider</w:t>
      </w:r>
      <w:r w:rsidRPr="00CA1AF9">
        <w:rPr>
          <w:szCs w:val="22"/>
        </w:rPr>
        <w:t xml:space="preserve"> whether documents should be </w:t>
      </w:r>
      <w:r>
        <w:rPr>
          <w:szCs w:val="22"/>
        </w:rPr>
        <w:t>deemed</w:t>
      </w:r>
      <w:r w:rsidRPr="00CA1AF9">
        <w:rPr>
          <w:szCs w:val="22"/>
        </w:rPr>
        <w:t xml:space="preserve"> confidential.</w:t>
      </w:r>
      <w:r>
        <w:rPr>
          <w:rStyle w:val="FootnoteReference"/>
          <w:sz w:val="22"/>
          <w:szCs w:val="22"/>
        </w:rPr>
        <w:footnoteReference w:id="68"/>
      </w:r>
      <w:r w:rsidRPr="00937817">
        <w:rPr>
          <w:szCs w:val="22"/>
        </w:rPr>
        <w:t xml:space="preserve">  </w:t>
      </w:r>
    </w:p>
    <w:p w:rsidR="00C016B1" w:rsidRPr="00937817" w:rsidP="00C016B1">
      <w:pPr>
        <w:pStyle w:val="ParaNum"/>
        <w:rPr>
          <w:szCs w:val="22"/>
        </w:rPr>
      </w:pPr>
      <w:r w:rsidRPr="00CA1AF9">
        <w:rPr>
          <w:szCs w:val="22"/>
        </w:rPr>
        <w:t xml:space="preserve">The next day, Stenger asked the </w:t>
      </w:r>
      <w:r>
        <w:rPr>
          <w:szCs w:val="22"/>
        </w:rPr>
        <w:t>Judge</w:t>
      </w:r>
      <w:r w:rsidRPr="00CA1AF9">
        <w:rPr>
          <w:szCs w:val="22"/>
        </w:rPr>
        <w:t xml:space="preserve"> for guidance as to whether Havens would be required to file separate proposed findings because Stenger would have access to confidential material withheld from Havens.  The </w:t>
      </w:r>
      <w:r>
        <w:rPr>
          <w:szCs w:val="22"/>
        </w:rPr>
        <w:t>Judge</w:t>
      </w:r>
      <w:r w:rsidRPr="00CA1AF9">
        <w:rPr>
          <w:szCs w:val="22"/>
        </w:rPr>
        <w:t xml:space="preserve"> indicated that, consistent with earlier rulings, Havens would not be permitted to file proposed findings separate from those of </w:t>
      </w:r>
      <w:r>
        <w:rPr>
          <w:szCs w:val="22"/>
        </w:rPr>
        <w:t>Environmentel and Verde Systems</w:t>
      </w:r>
      <w:r w:rsidRPr="00CA1AF9">
        <w:rPr>
          <w:szCs w:val="22"/>
        </w:rPr>
        <w:t xml:space="preserve">.  The </w:t>
      </w:r>
      <w:r>
        <w:rPr>
          <w:szCs w:val="22"/>
        </w:rPr>
        <w:t>Judge</w:t>
      </w:r>
      <w:r w:rsidRPr="00CA1AF9">
        <w:rPr>
          <w:szCs w:val="22"/>
        </w:rPr>
        <w:t xml:space="preserve">, however, went a step further and held that Stenger was, in effect, Havens’s counsel and that Havens would therefore not be permitted to proceed </w:t>
      </w:r>
      <w:r w:rsidRPr="00CA1AF9">
        <w:rPr>
          <w:i/>
          <w:szCs w:val="22"/>
        </w:rPr>
        <w:t>pro se</w:t>
      </w:r>
      <w:r w:rsidRPr="00CA1AF9">
        <w:rPr>
          <w:szCs w:val="22"/>
        </w:rPr>
        <w:t>.</w:t>
      </w:r>
      <w:r>
        <w:rPr>
          <w:rStyle w:val="FootnoteReference"/>
          <w:sz w:val="22"/>
          <w:szCs w:val="22"/>
        </w:rPr>
        <w:footnoteReference w:id="69"/>
      </w:r>
      <w:r w:rsidRPr="00937817">
        <w:rPr>
          <w:szCs w:val="22"/>
        </w:rPr>
        <w:t xml:space="preserve">  </w:t>
      </w:r>
      <w:r w:rsidRPr="00CA1AF9">
        <w:rPr>
          <w:szCs w:val="22"/>
        </w:rPr>
        <w:t>Havens’s interlocutory appeal of that ruling is pending before the Commission.</w:t>
      </w:r>
      <w:r>
        <w:rPr>
          <w:rStyle w:val="FootnoteReference"/>
          <w:sz w:val="22"/>
          <w:szCs w:val="22"/>
        </w:rPr>
        <w:footnoteReference w:id="70"/>
      </w:r>
      <w:r w:rsidRPr="00937817">
        <w:rPr>
          <w:szCs w:val="22"/>
        </w:rPr>
        <w:t xml:space="preserve">  </w:t>
      </w:r>
      <w:r w:rsidRPr="00CA1AF9">
        <w:rPr>
          <w:szCs w:val="22"/>
        </w:rPr>
        <w:t xml:space="preserve">Further, the </w:t>
      </w:r>
      <w:r>
        <w:rPr>
          <w:szCs w:val="22"/>
        </w:rPr>
        <w:t>Judge</w:t>
      </w:r>
      <w:r w:rsidRPr="00CA1AF9">
        <w:rPr>
          <w:szCs w:val="22"/>
        </w:rPr>
        <w:t xml:space="preserve"> held that Havens’s request for review of the confidential exhibits was moot, because his counsel (Stenger) had access to the confidential material, and also untimely, because Havens, throughout the proceeding, had failed to exercise his rights under the protective order and had instead filed a series of FOIA requests for confidential information.</w:t>
      </w:r>
      <w:r>
        <w:rPr>
          <w:rStyle w:val="FootnoteReference"/>
          <w:sz w:val="22"/>
          <w:szCs w:val="22"/>
        </w:rPr>
        <w:footnoteReference w:id="71"/>
      </w:r>
      <w:r w:rsidRPr="00937817">
        <w:rPr>
          <w:szCs w:val="22"/>
        </w:rPr>
        <w:t xml:space="preserve">  On January 14, 2015</w:t>
      </w:r>
      <w:r w:rsidRPr="00CA1AF9">
        <w:rPr>
          <w:szCs w:val="22"/>
        </w:rPr>
        <w:t xml:space="preserve"> (more than a month after the close of the hearing), </w:t>
      </w:r>
      <w:r>
        <w:rPr>
          <w:szCs w:val="22"/>
        </w:rPr>
        <w:t>Environmentel and Verde Systems</w:t>
      </w:r>
      <w:r w:rsidRPr="00CA1AF9">
        <w:rPr>
          <w:szCs w:val="22"/>
        </w:rPr>
        <w:t xml:space="preserve"> </w:t>
      </w:r>
      <w:r w:rsidRPr="00CA1AF9">
        <w:rPr>
          <w:szCs w:val="22"/>
        </w:rPr>
        <w:t>filed a request for a status conference to determine whether confidential material should be made publicly available.</w:t>
      </w:r>
      <w:r>
        <w:rPr>
          <w:rStyle w:val="FootnoteReference"/>
          <w:sz w:val="22"/>
          <w:szCs w:val="22"/>
        </w:rPr>
        <w:footnoteReference w:id="72"/>
      </w:r>
      <w:r w:rsidRPr="00937817">
        <w:rPr>
          <w:szCs w:val="22"/>
        </w:rPr>
        <w:t xml:space="preserve"> </w:t>
      </w:r>
    </w:p>
    <w:p w:rsidR="00C016B1" w:rsidRPr="00937817" w:rsidP="00C016B1">
      <w:pPr>
        <w:pStyle w:val="ParaNum"/>
        <w:rPr>
          <w:szCs w:val="22"/>
        </w:rPr>
      </w:pPr>
      <w:r>
        <w:rPr>
          <w:b/>
          <w:szCs w:val="22"/>
        </w:rPr>
        <w:t xml:space="preserve">Issuance of the Judge’s </w:t>
      </w:r>
      <w:r w:rsidRPr="00F92957">
        <w:rPr>
          <w:b/>
          <w:i/>
          <w:szCs w:val="22"/>
        </w:rPr>
        <w:t>Dismissal Order</w:t>
      </w:r>
      <w:r>
        <w:rPr>
          <w:szCs w:val="22"/>
        </w:rPr>
        <w:t xml:space="preserve"> </w:t>
      </w:r>
      <w:r w:rsidRPr="004737CD">
        <w:rPr>
          <w:szCs w:val="22"/>
        </w:rPr>
        <w:t>i</w:t>
      </w:r>
      <w:r>
        <w:rPr>
          <w:b/>
          <w:szCs w:val="22"/>
        </w:rPr>
        <w:t>n response to Havens’s conduct (April 22, 2015).</w:t>
      </w:r>
      <w:r w:rsidRPr="00CA1AF9">
        <w:rPr>
          <w:szCs w:val="22"/>
        </w:rPr>
        <w:t xml:space="preserve">  On April 22, 2015, the </w:t>
      </w:r>
      <w:r>
        <w:rPr>
          <w:szCs w:val="22"/>
        </w:rPr>
        <w:t>Judge</w:t>
      </w:r>
      <w:r w:rsidRPr="00CA1AF9">
        <w:rPr>
          <w:szCs w:val="22"/>
        </w:rPr>
        <w:t xml:space="preserve"> issued a memorandum opinion and order striking </w:t>
      </w:r>
      <w:r>
        <w:rPr>
          <w:szCs w:val="22"/>
        </w:rPr>
        <w:t xml:space="preserve">the </w:t>
      </w:r>
      <w:r w:rsidRPr="00CA1AF9">
        <w:rPr>
          <w:szCs w:val="22"/>
        </w:rPr>
        <w:t>October 27</w:t>
      </w:r>
      <w:r>
        <w:rPr>
          <w:szCs w:val="22"/>
        </w:rPr>
        <w:t xml:space="preserve"> Motion</w:t>
      </w:r>
      <w:r w:rsidRPr="00CA1AF9">
        <w:rPr>
          <w:szCs w:val="22"/>
        </w:rPr>
        <w:t xml:space="preserve">, finding it to have been filed in bad faith and in violation of the </w:t>
      </w:r>
      <w:r>
        <w:rPr>
          <w:szCs w:val="22"/>
        </w:rPr>
        <w:t>Judge</w:t>
      </w:r>
      <w:r w:rsidRPr="00CA1AF9">
        <w:rPr>
          <w:szCs w:val="22"/>
        </w:rPr>
        <w:t>’s prior ruling barring further motions for summary decision.</w:t>
      </w:r>
      <w:r>
        <w:rPr>
          <w:rStyle w:val="FootnoteReference"/>
          <w:sz w:val="22"/>
          <w:szCs w:val="22"/>
        </w:rPr>
        <w:footnoteReference w:id="73"/>
      </w:r>
      <w:r w:rsidRPr="00937817">
        <w:rPr>
          <w:szCs w:val="22"/>
        </w:rPr>
        <w:t xml:space="preserve">  </w:t>
      </w:r>
      <w:r>
        <w:rPr>
          <w:szCs w:val="22"/>
        </w:rPr>
        <w:t>In addition</w:t>
      </w:r>
      <w:r w:rsidRPr="00937817">
        <w:rPr>
          <w:szCs w:val="22"/>
        </w:rPr>
        <w:t>, citing “the contemptuous and disruptive conduct”</w:t>
      </w:r>
      <w:r w:rsidRPr="00CA1AF9">
        <w:rPr>
          <w:szCs w:val="22"/>
        </w:rPr>
        <w:t xml:space="preserve"> of Havens and his companies in the proceeding, the </w:t>
      </w:r>
      <w:r>
        <w:rPr>
          <w:szCs w:val="22"/>
        </w:rPr>
        <w:t>Judge</w:t>
      </w:r>
      <w:r w:rsidRPr="00CA1AF9">
        <w:rPr>
          <w:szCs w:val="22"/>
        </w:rPr>
        <w:t xml:space="preserve"> barred them from future participation in the Maritime Proceeding.</w:t>
      </w:r>
      <w:r>
        <w:rPr>
          <w:rStyle w:val="FootnoteReference"/>
          <w:sz w:val="22"/>
          <w:szCs w:val="22"/>
        </w:rPr>
        <w:footnoteReference w:id="74"/>
      </w:r>
    </w:p>
    <w:p w:rsidR="00C016B1" w:rsidRPr="00937817" w:rsidP="00C016B1">
      <w:pPr>
        <w:pStyle w:val="ParaNum"/>
        <w:rPr>
          <w:szCs w:val="22"/>
        </w:rPr>
      </w:pPr>
      <w:r w:rsidRPr="00CA1AF9">
        <w:rPr>
          <w:szCs w:val="22"/>
        </w:rPr>
        <w:t xml:space="preserve">In striking </w:t>
      </w:r>
      <w:r>
        <w:rPr>
          <w:szCs w:val="22"/>
        </w:rPr>
        <w:t xml:space="preserve">the </w:t>
      </w:r>
      <w:r w:rsidRPr="00CA1AF9">
        <w:rPr>
          <w:szCs w:val="22"/>
        </w:rPr>
        <w:t xml:space="preserve">October 27 </w:t>
      </w:r>
      <w:r>
        <w:rPr>
          <w:szCs w:val="22"/>
        </w:rPr>
        <w:t>M</w:t>
      </w:r>
      <w:r w:rsidRPr="00CA1AF9">
        <w:rPr>
          <w:szCs w:val="22"/>
        </w:rPr>
        <w:t>otion</w:t>
      </w:r>
      <w:r>
        <w:rPr>
          <w:szCs w:val="22"/>
        </w:rPr>
        <w:t xml:space="preserve"> for the reasons above</w:t>
      </w:r>
      <w:r w:rsidRPr="00CA1AF9">
        <w:rPr>
          <w:szCs w:val="22"/>
        </w:rPr>
        <w:t xml:space="preserve">, the </w:t>
      </w:r>
      <w:r>
        <w:rPr>
          <w:szCs w:val="22"/>
        </w:rPr>
        <w:t>Judge</w:t>
      </w:r>
      <w:r w:rsidRPr="00CA1AF9">
        <w:rPr>
          <w:szCs w:val="22"/>
        </w:rPr>
        <w:t xml:space="preserve"> </w:t>
      </w:r>
      <w:r>
        <w:rPr>
          <w:szCs w:val="22"/>
        </w:rPr>
        <w:t xml:space="preserve">also </w:t>
      </w:r>
      <w:r w:rsidRPr="00937817">
        <w:rPr>
          <w:szCs w:val="22"/>
        </w:rPr>
        <w:t>found that</w:t>
      </w:r>
      <w:r>
        <w:rPr>
          <w:szCs w:val="22"/>
        </w:rPr>
        <w:t xml:space="preserve"> </w:t>
      </w:r>
      <w:r w:rsidRPr="00937817">
        <w:rPr>
          <w:szCs w:val="22"/>
        </w:rPr>
        <w:t xml:space="preserve">Havens and his companies </w:t>
      </w:r>
      <w:r>
        <w:rPr>
          <w:szCs w:val="22"/>
        </w:rPr>
        <w:t xml:space="preserve">had </w:t>
      </w:r>
      <w:r w:rsidRPr="00937817">
        <w:rPr>
          <w:szCs w:val="22"/>
        </w:rPr>
        <w:t>presented inconsistent and contradictory arguments.</w:t>
      </w:r>
      <w:r>
        <w:rPr>
          <w:rStyle w:val="FootnoteReference"/>
          <w:sz w:val="22"/>
          <w:szCs w:val="22"/>
        </w:rPr>
        <w:footnoteReference w:id="75"/>
      </w:r>
      <w:r w:rsidRPr="00937817">
        <w:rPr>
          <w:szCs w:val="22"/>
        </w:rPr>
        <w:t xml:space="preserve">  The </w:t>
      </w:r>
      <w:r>
        <w:rPr>
          <w:szCs w:val="22"/>
        </w:rPr>
        <w:t>Judge</w:t>
      </w:r>
      <w:r w:rsidRPr="00937817">
        <w:rPr>
          <w:szCs w:val="22"/>
        </w:rPr>
        <w:t xml:space="preserve"> further expressed his concern that</w:t>
      </w:r>
      <w:r w:rsidRPr="00CA1AF9">
        <w:rPr>
          <w:szCs w:val="22"/>
        </w:rPr>
        <w:t xml:space="preserve"> </w:t>
      </w:r>
      <w:r>
        <w:rPr>
          <w:szCs w:val="22"/>
        </w:rPr>
        <w:t>Environmentel and Verde Systems</w:t>
      </w:r>
      <w:r w:rsidRPr="00CA1AF9">
        <w:rPr>
          <w:szCs w:val="22"/>
        </w:rPr>
        <w:t xml:space="preserve"> had mischaracterized an </w:t>
      </w:r>
      <w:r>
        <w:rPr>
          <w:szCs w:val="22"/>
        </w:rPr>
        <w:t>Enforcement Bureau</w:t>
      </w:r>
      <w:r w:rsidRPr="00CA1AF9">
        <w:rPr>
          <w:szCs w:val="22"/>
        </w:rPr>
        <w:t xml:space="preserve"> pleading in an attempt to misinform the </w:t>
      </w:r>
      <w:r>
        <w:rPr>
          <w:szCs w:val="22"/>
        </w:rPr>
        <w:t>Judge</w:t>
      </w:r>
      <w:r w:rsidRPr="00CA1AF9">
        <w:rPr>
          <w:szCs w:val="22"/>
        </w:rPr>
        <w:t xml:space="preserve">. </w:t>
      </w:r>
      <w:r>
        <w:rPr>
          <w:szCs w:val="22"/>
        </w:rPr>
        <w:t xml:space="preserve"> Environmentel and Verde Systems</w:t>
      </w:r>
      <w:r w:rsidRPr="00CA1AF9">
        <w:rPr>
          <w:szCs w:val="22"/>
        </w:rPr>
        <w:t xml:space="preserve"> had stated that </w:t>
      </w:r>
      <w:r>
        <w:rPr>
          <w:szCs w:val="22"/>
        </w:rPr>
        <w:t>the Enforcement Bureau</w:t>
      </w:r>
      <w:r w:rsidRPr="00CA1AF9">
        <w:rPr>
          <w:szCs w:val="22"/>
        </w:rPr>
        <w:t xml:space="preserve"> planned to file a motion identical to an earlier </w:t>
      </w:r>
      <w:r>
        <w:rPr>
          <w:szCs w:val="22"/>
        </w:rPr>
        <w:t>Enforcement Bureau</w:t>
      </w:r>
      <w:r w:rsidRPr="00CA1AF9">
        <w:rPr>
          <w:szCs w:val="22"/>
        </w:rPr>
        <w:t xml:space="preserve"> motion.</w:t>
      </w:r>
      <w:r>
        <w:rPr>
          <w:rStyle w:val="FootnoteReference"/>
          <w:sz w:val="22"/>
          <w:szCs w:val="22"/>
        </w:rPr>
        <w:footnoteReference w:id="76"/>
      </w:r>
      <w:r w:rsidRPr="00937817">
        <w:rPr>
          <w:szCs w:val="22"/>
        </w:rPr>
        <w:t xml:space="preserve">  </w:t>
      </w:r>
      <w:r>
        <w:rPr>
          <w:szCs w:val="22"/>
        </w:rPr>
        <w:t>The Enforcement Bureau</w:t>
      </w:r>
      <w:r w:rsidRPr="00937817">
        <w:rPr>
          <w:szCs w:val="22"/>
        </w:rPr>
        <w:t xml:space="preserve"> disputed this characterization, asserting that the second motion would merely argue for the same legal conclusions.</w:t>
      </w:r>
      <w:r>
        <w:rPr>
          <w:rStyle w:val="FootnoteReference"/>
          <w:sz w:val="22"/>
          <w:szCs w:val="22"/>
        </w:rPr>
        <w:footnoteReference w:id="77"/>
      </w:r>
      <w:r w:rsidRPr="00937817">
        <w:rPr>
          <w:szCs w:val="22"/>
        </w:rPr>
        <w:t xml:space="preserve">  </w:t>
      </w:r>
      <w:r w:rsidRPr="00CA1AF9">
        <w:rPr>
          <w:szCs w:val="22"/>
        </w:rPr>
        <w:t xml:space="preserve">The </w:t>
      </w:r>
      <w:r>
        <w:rPr>
          <w:szCs w:val="22"/>
        </w:rPr>
        <w:t>Judge</w:t>
      </w:r>
      <w:r w:rsidRPr="00CA1AF9">
        <w:rPr>
          <w:szCs w:val="22"/>
        </w:rPr>
        <w:t xml:space="preserve"> concluded that </w:t>
      </w:r>
      <w:r>
        <w:rPr>
          <w:szCs w:val="22"/>
        </w:rPr>
        <w:t>Environmentel and Verde Systems</w:t>
      </w:r>
      <w:r w:rsidRPr="00CA1AF9">
        <w:rPr>
          <w:szCs w:val="22"/>
        </w:rPr>
        <w:t xml:space="preserve"> had not fairly characterized </w:t>
      </w:r>
      <w:r>
        <w:rPr>
          <w:szCs w:val="22"/>
        </w:rPr>
        <w:t>the Enforcement Bureau’s</w:t>
      </w:r>
      <w:r w:rsidRPr="00CA1AF9">
        <w:rPr>
          <w:szCs w:val="22"/>
        </w:rPr>
        <w:t xml:space="preserve"> second motion. </w:t>
      </w:r>
      <w:r>
        <w:rPr>
          <w:szCs w:val="22"/>
        </w:rPr>
        <w:t xml:space="preserve"> </w:t>
      </w:r>
      <w:r w:rsidRPr="00CA1AF9">
        <w:rPr>
          <w:szCs w:val="22"/>
        </w:rPr>
        <w:t xml:space="preserve">The </w:t>
      </w:r>
      <w:r>
        <w:rPr>
          <w:szCs w:val="22"/>
        </w:rPr>
        <w:t>Judge</w:t>
      </w:r>
      <w:r w:rsidRPr="00CA1AF9">
        <w:rPr>
          <w:szCs w:val="22"/>
        </w:rPr>
        <w:t xml:space="preserve"> noted that two motions can be filed at different times and argue for the same legal outcome but not be identical, especially in these circumstances, where new evidence had come to light since the first motion was filed.</w:t>
      </w:r>
      <w:r>
        <w:rPr>
          <w:rStyle w:val="FootnoteReference"/>
          <w:sz w:val="22"/>
          <w:szCs w:val="22"/>
        </w:rPr>
        <w:footnoteReference w:id="78"/>
      </w:r>
      <w:r w:rsidRPr="00937817">
        <w:rPr>
          <w:szCs w:val="22"/>
        </w:rPr>
        <w:t xml:space="preserve">  In light of</w:t>
      </w:r>
      <w:r w:rsidRPr="00CA1AF9">
        <w:rPr>
          <w:szCs w:val="22"/>
        </w:rPr>
        <w:t xml:space="preserve"> these findings, the </w:t>
      </w:r>
      <w:r>
        <w:rPr>
          <w:szCs w:val="22"/>
        </w:rPr>
        <w:t>Judge</w:t>
      </w:r>
      <w:r w:rsidRPr="00CA1AF9">
        <w:rPr>
          <w:szCs w:val="22"/>
        </w:rPr>
        <w:t xml:space="preserve"> concluded that the October 27 </w:t>
      </w:r>
      <w:r>
        <w:rPr>
          <w:szCs w:val="22"/>
        </w:rPr>
        <w:t>M</w:t>
      </w:r>
      <w:r w:rsidRPr="00CA1AF9">
        <w:rPr>
          <w:szCs w:val="22"/>
        </w:rPr>
        <w:t>otion for summary decision was made in violation of section 1.52 of the Commission rules, which states that by signing a pleading, counsel represents “that he has read the document; that to the best of his knowledge, information, and belief there is good ground to support it; and that it is not interposed for delay.”</w:t>
      </w:r>
      <w:r>
        <w:rPr>
          <w:rStyle w:val="FootnoteReference"/>
          <w:sz w:val="22"/>
          <w:szCs w:val="22"/>
        </w:rPr>
        <w:footnoteReference w:id="79"/>
      </w:r>
      <w:r w:rsidRPr="00937817">
        <w:rPr>
          <w:szCs w:val="22"/>
        </w:rPr>
        <w:t xml:space="preserve">  The </w:t>
      </w:r>
      <w:r>
        <w:rPr>
          <w:szCs w:val="22"/>
        </w:rPr>
        <w:t>Judge</w:t>
      </w:r>
      <w:r w:rsidRPr="00CA1AF9">
        <w:rPr>
          <w:szCs w:val="22"/>
        </w:rPr>
        <w:t xml:space="preserve"> determined that, given his prior order prohibiting further motions for summary decision and the mischaracterization of </w:t>
      </w:r>
      <w:r>
        <w:rPr>
          <w:szCs w:val="22"/>
        </w:rPr>
        <w:t>the Enforcement Bureau’s</w:t>
      </w:r>
      <w:r w:rsidRPr="00CA1AF9">
        <w:rPr>
          <w:szCs w:val="22"/>
        </w:rPr>
        <w:t xml:space="preserve"> pleading, the parties could not have reasonably believed there was good ground to support the filing.</w:t>
      </w:r>
      <w:r>
        <w:rPr>
          <w:rStyle w:val="FootnoteReference"/>
          <w:sz w:val="22"/>
          <w:szCs w:val="22"/>
        </w:rPr>
        <w:footnoteReference w:id="80"/>
      </w:r>
      <w:r w:rsidRPr="00937817">
        <w:rPr>
          <w:szCs w:val="22"/>
        </w:rPr>
        <w:t xml:space="preserve">  </w:t>
      </w:r>
      <w:r>
        <w:rPr>
          <w:szCs w:val="22"/>
        </w:rPr>
        <w:t>For all of these reasons, t</w:t>
      </w:r>
      <w:r w:rsidRPr="00937817">
        <w:rPr>
          <w:szCs w:val="22"/>
        </w:rPr>
        <w:t xml:space="preserve">he </w:t>
      </w:r>
      <w:r>
        <w:rPr>
          <w:szCs w:val="22"/>
        </w:rPr>
        <w:t>Judge</w:t>
      </w:r>
      <w:r w:rsidRPr="00937817">
        <w:rPr>
          <w:szCs w:val="22"/>
        </w:rPr>
        <w:t xml:space="preserve"> struck the October 27 </w:t>
      </w:r>
      <w:r>
        <w:rPr>
          <w:szCs w:val="22"/>
        </w:rPr>
        <w:t>M</w:t>
      </w:r>
      <w:r w:rsidRPr="00937817">
        <w:rPr>
          <w:szCs w:val="22"/>
        </w:rPr>
        <w:t>otion as frivolous and submitted in bad faith.</w:t>
      </w:r>
      <w:r>
        <w:rPr>
          <w:rStyle w:val="FootnoteReference"/>
          <w:sz w:val="22"/>
          <w:szCs w:val="22"/>
        </w:rPr>
        <w:footnoteReference w:id="81"/>
      </w:r>
    </w:p>
    <w:p w:rsidR="00C016B1" w:rsidRPr="00937817" w:rsidP="00C016B1">
      <w:pPr>
        <w:pStyle w:val="ParaNum"/>
        <w:rPr>
          <w:szCs w:val="22"/>
        </w:rPr>
      </w:pPr>
      <w:r w:rsidRPr="00CA1AF9">
        <w:rPr>
          <w:szCs w:val="22"/>
        </w:rPr>
        <w:t xml:space="preserve">In addition to the issues related to the October 27 </w:t>
      </w:r>
      <w:r>
        <w:rPr>
          <w:szCs w:val="22"/>
        </w:rPr>
        <w:t>M</w:t>
      </w:r>
      <w:r w:rsidRPr="00CA1AF9">
        <w:rPr>
          <w:szCs w:val="22"/>
        </w:rPr>
        <w:t xml:space="preserve">otion, the </w:t>
      </w:r>
      <w:r>
        <w:rPr>
          <w:szCs w:val="22"/>
        </w:rPr>
        <w:t>Judge</w:t>
      </w:r>
      <w:r w:rsidRPr="00CA1AF9">
        <w:rPr>
          <w:szCs w:val="22"/>
        </w:rPr>
        <w:t xml:space="preserve"> noted a number of occasions on which the conduct of Havens and his companies had delayed, disrupted, or disrespected the Maritime Proceeding or the </w:t>
      </w:r>
      <w:r>
        <w:rPr>
          <w:szCs w:val="22"/>
        </w:rPr>
        <w:t>Judge</w:t>
      </w:r>
      <w:r w:rsidRPr="00CA1AF9">
        <w:rPr>
          <w:szCs w:val="22"/>
        </w:rPr>
        <w:t xml:space="preserve">.  The </w:t>
      </w:r>
      <w:r>
        <w:rPr>
          <w:szCs w:val="22"/>
        </w:rPr>
        <w:t>Judge</w:t>
      </w:r>
      <w:r w:rsidRPr="00CA1AF9">
        <w:rPr>
          <w:szCs w:val="22"/>
        </w:rPr>
        <w:t xml:space="preserve"> cited a pattern of harassing e-mails;</w:t>
      </w:r>
      <w:r>
        <w:rPr>
          <w:rStyle w:val="FootnoteReference"/>
          <w:sz w:val="22"/>
          <w:szCs w:val="22"/>
        </w:rPr>
        <w:footnoteReference w:id="82"/>
      </w:r>
      <w:r w:rsidRPr="00937817">
        <w:rPr>
          <w:szCs w:val="22"/>
        </w:rPr>
        <w:t xml:space="preserve"> unfounded, </w:t>
      </w:r>
      <w:r w:rsidRPr="00CA1AF9">
        <w:rPr>
          <w:szCs w:val="22"/>
        </w:rPr>
        <w:t>conflicting, or repetitious filings and arguments;</w:t>
      </w:r>
      <w:r>
        <w:rPr>
          <w:rStyle w:val="FootnoteReference"/>
          <w:sz w:val="22"/>
          <w:szCs w:val="22"/>
        </w:rPr>
        <w:footnoteReference w:id="83"/>
      </w:r>
      <w:r w:rsidRPr="00937817">
        <w:rPr>
          <w:szCs w:val="22"/>
        </w:rPr>
        <w:t xml:space="preserve"> and unnecessarily burdensome discovery and evidentiary production</w:t>
      </w:r>
      <w:r w:rsidRPr="00CA1AF9">
        <w:rPr>
          <w:szCs w:val="22"/>
        </w:rPr>
        <w:t>.</w:t>
      </w:r>
      <w:r>
        <w:rPr>
          <w:rStyle w:val="FootnoteReference"/>
          <w:sz w:val="22"/>
          <w:szCs w:val="22"/>
        </w:rPr>
        <w:footnoteReference w:id="84"/>
      </w:r>
      <w:r w:rsidRPr="00937817">
        <w:rPr>
          <w:szCs w:val="22"/>
        </w:rPr>
        <w:t xml:space="preserve">  Furthermore, the </w:t>
      </w:r>
      <w:r>
        <w:rPr>
          <w:szCs w:val="22"/>
        </w:rPr>
        <w:t>Judge</w:t>
      </w:r>
      <w:r w:rsidRPr="00937817">
        <w:rPr>
          <w:szCs w:val="22"/>
        </w:rPr>
        <w:t xml:space="preserve"> </w:t>
      </w:r>
      <w:r>
        <w:rPr>
          <w:szCs w:val="22"/>
        </w:rPr>
        <w:t>found</w:t>
      </w:r>
      <w:r w:rsidRPr="00937817">
        <w:rPr>
          <w:szCs w:val="22"/>
        </w:rPr>
        <w:t xml:space="preserve"> that </w:t>
      </w:r>
      <w:r w:rsidRPr="00CA1AF9">
        <w:rPr>
          <w:szCs w:val="22"/>
        </w:rPr>
        <w:t xml:space="preserve">these issues were compounded by ongoing uncertainties regarding Havens’s </w:t>
      </w:r>
      <w:r w:rsidRPr="00CA1AF9">
        <w:rPr>
          <w:i/>
          <w:szCs w:val="22"/>
        </w:rPr>
        <w:t>pro se</w:t>
      </w:r>
      <w:r w:rsidRPr="00CA1AF9">
        <w:rPr>
          <w:szCs w:val="22"/>
        </w:rPr>
        <w:t xml:space="preserve"> status</w:t>
      </w:r>
      <w:r>
        <w:rPr>
          <w:rStyle w:val="FootnoteReference"/>
          <w:sz w:val="22"/>
          <w:szCs w:val="22"/>
        </w:rPr>
        <w:footnoteReference w:id="85"/>
      </w:r>
      <w:r w:rsidRPr="00937817">
        <w:rPr>
          <w:szCs w:val="22"/>
        </w:rPr>
        <w:t xml:space="preserve"> and the “murky relationship” between Havens and his companies.</w:t>
      </w:r>
      <w:r>
        <w:rPr>
          <w:rStyle w:val="FootnoteReference"/>
          <w:sz w:val="22"/>
          <w:szCs w:val="22"/>
        </w:rPr>
        <w:footnoteReference w:id="86"/>
      </w:r>
    </w:p>
    <w:p w:rsidR="00C016B1" w:rsidRPr="00937817" w:rsidP="00C016B1">
      <w:pPr>
        <w:pStyle w:val="ParaNum"/>
        <w:rPr>
          <w:szCs w:val="22"/>
        </w:rPr>
      </w:pPr>
      <w:r w:rsidRPr="00CA1AF9">
        <w:rPr>
          <w:szCs w:val="22"/>
        </w:rPr>
        <w:t xml:space="preserve">The </w:t>
      </w:r>
      <w:r>
        <w:rPr>
          <w:szCs w:val="22"/>
        </w:rPr>
        <w:t>Judge</w:t>
      </w:r>
      <w:r w:rsidRPr="00CA1AF9">
        <w:rPr>
          <w:szCs w:val="22"/>
        </w:rPr>
        <w:t xml:space="preserve"> observed that due to the conduct of Havens and his companies, Issue (g), a relatively minor portion of a complex proceeding, had taken over a year to litigate.</w:t>
      </w:r>
      <w:r>
        <w:rPr>
          <w:rStyle w:val="FootnoteReference"/>
          <w:sz w:val="22"/>
          <w:szCs w:val="22"/>
        </w:rPr>
        <w:footnoteReference w:id="87"/>
      </w:r>
      <w:r w:rsidRPr="00937817">
        <w:rPr>
          <w:szCs w:val="22"/>
        </w:rPr>
        <w:t xml:space="preserve">  The </w:t>
      </w:r>
      <w:r>
        <w:rPr>
          <w:szCs w:val="22"/>
        </w:rPr>
        <w:t>Judge</w:t>
      </w:r>
      <w:r w:rsidRPr="00937817">
        <w:rPr>
          <w:szCs w:val="22"/>
        </w:rPr>
        <w:t xml:space="preserve"> was concerned </w:t>
      </w:r>
      <w:r w:rsidRPr="00CA1AF9">
        <w:rPr>
          <w:szCs w:val="22"/>
        </w:rPr>
        <w:t>that allowing Havens and his companies to continue to participate in the proceeding would lead to further delay and disruption.</w:t>
      </w:r>
      <w:r>
        <w:rPr>
          <w:rStyle w:val="FootnoteReference"/>
          <w:sz w:val="22"/>
          <w:szCs w:val="22"/>
        </w:rPr>
        <w:footnoteReference w:id="88"/>
      </w:r>
      <w:r w:rsidRPr="00937817">
        <w:rPr>
          <w:szCs w:val="22"/>
        </w:rPr>
        <w:t xml:space="preserve">  T</w:t>
      </w:r>
      <w:r w:rsidRPr="00CA1AF9">
        <w:rPr>
          <w:szCs w:val="22"/>
        </w:rPr>
        <w:t xml:space="preserve">he unauthorized filing of the October 27 </w:t>
      </w:r>
      <w:r>
        <w:rPr>
          <w:szCs w:val="22"/>
        </w:rPr>
        <w:t>M</w:t>
      </w:r>
      <w:r w:rsidRPr="00CA1AF9">
        <w:rPr>
          <w:szCs w:val="22"/>
        </w:rPr>
        <w:t xml:space="preserve">otion, along with the ongoing pattern of disruptive conduct, led the </w:t>
      </w:r>
      <w:r>
        <w:rPr>
          <w:szCs w:val="22"/>
        </w:rPr>
        <w:t>Judge</w:t>
      </w:r>
      <w:r w:rsidRPr="00CA1AF9">
        <w:rPr>
          <w:szCs w:val="22"/>
        </w:rPr>
        <w:t xml:space="preserve"> to conclude that Havens and his companies should be removed from the Maritime Proceeding.</w:t>
      </w:r>
      <w:r>
        <w:rPr>
          <w:rStyle w:val="FootnoteReference"/>
          <w:sz w:val="22"/>
          <w:szCs w:val="22"/>
        </w:rPr>
        <w:footnoteReference w:id="89"/>
      </w:r>
      <w:r w:rsidRPr="00937817">
        <w:rPr>
          <w:szCs w:val="22"/>
        </w:rPr>
        <w:t xml:space="preserve"> </w:t>
      </w:r>
    </w:p>
    <w:p w:rsidR="00C016B1" w:rsidRPr="00937817" w:rsidP="00C016B1">
      <w:pPr>
        <w:pStyle w:val="ParaNum"/>
        <w:rPr>
          <w:szCs w:val="22"/>
        </w:rPr>
      </w:pPr>
      <w:r w:rsidRPr="00CA1AF9">
        <w:rPr>
          <w:szCs w:val="22"/>
        </w:rPr>
        <w:t xml:space="preserve">In addition to excluding Havens and his companies from further participation in the hearing, the </w:t>
      </w:r>
      <w:r>
        <w:rPr>
          <w:szCs w:val="22"/>
        </w:rPr>
        <w:t>Judge</w:t>
      </w:r>
      <w:r w:rsidRPr="00CA1AF9">
        <w:rPr>
          <w:szCs w:val="22"/>
        </w:rPr>
        <w:t xml:space="preserve"> certified questions to the Commission as to whether a separate proceeding should be initiated to determine the qualifications of Havens and his companies to be Commission licensees.</w:t>
      </w:r>
      <w:r>
        <w:rPr>
          <w:rStyle w:val="FootnoteReference"/>
          <w:sz w:val="22"/>
          <w:szCs w:val="22"/>
        </w:rPr>
        <w:footnoteReference w:id="90"/>
      </w:r>
      <w:r w:rsidRPr="00937817">
        <w:rPr>
          <w:szCs w:val="22"/>
        </w:rPr>
        <w:t xml:space="preserve">  </w:t>
      </w:r>
      <w:r w:rsidRPr="00CA1AF9">
        <w:rPr>
          <w:szCs w:val="22"/>
        </w:rPr>
        <w:t xml:space="preserve">The </w:t>
      </w:r>
      <w:r>
        <w:rPr>
          <w:szCs w:val="22"/>
        </w:rPr>
        <w:t>Judge</w:t>
      </w:r>
      <w:r w:rsidRPr="00CA1AF9">
        <w:rPr>
          <w:szCs w:val="22"/>
        </w:rPr>
        <w:t xml:space="preserve"> found that </w:t>
      </w:r>
      <w:r>
        <w:rPr>
          <w:szCs w:val="22"/>
        </w:rPr>
        <w:t>Commission rule</w:t>
      </w:r>
      <w:r w:rsidRPr="00CA1AF9">
        <w:rPr>
          <w:szCs w:val="22"/>
        </w:rPr>
        <w:t xml:space="preserve"> 1.251(f)(3) authorizes certification of character issues upon a finding that a motion for summary decision was filed in bad faith, and that the Commission should also consider that Havens and his companies had “engaged in patterns of egregious behavior.”</w:t>
      </w:r>
      <w:r>
        <w:rPr>
          <w:rStyle w:val="FootnoteReference"/>
          <w:sz w:val="22"/>
          <w:szCs w:val="22"/>
        </w:rPr>
        <w:footnoteReference w:id="91"/>
      </w:r>
    </w:p>
    <w:p w:rsidR="00C016B1" w:rsidRPr="00937817" w:rsidP="00C016B1">
      <w:pPr>
        <w:pStyle w:val="ParaNum"/>
        <w:rPr>
          <w:szCs w:val="22"/>
        </w:rPr>
      </w:pPr>
      <w:r>
        <w:rPr>
          <w:b/>
          <w:szCs w:val="22"/>
        </w:rPr>
        <w:t xml:space="preserve">The pleadings before us appealing the Judge’s </w:t>
      </w:r>
      <w:r>
        <w:rPr>
          <w:b/>
          <w:i/>
          <w:szCs w:val="22"/>
        </w:rPr>
        <w:t xml:space="preserve">Dismissal Order – </w:t>
      </w:r>
      <w:r>
        <w:rPr>
          <w:b/>
          <w:szCs w:val="22"/>
        </w:rPr>
        <w:t>Environmentel</w:t>
      </w:r>
      <w:r>
        <w:rPr>
          <w:b/>
          <w:szCs w:val="22"/>
        </w:rPr>
        <w:t xml:space="preserve"> and Verde </w:t>
      </w:r>
      <w:r>
        <w:rPr>
          <w:b/>
          <w:szCs w:val="22"/>
        </w:rPr>
        <w:t>Systems’s</w:t>
      </w:r>
      <w:r w:rsidRPr="00CA1AF9">
        <w:rPr>
          <w:b/>
          <w:szCs w:val="22"/>
        </w:rPr>
        <w:t xml:space="preserve"> interlocutory appeal</w:t>
      </w:r>
      <w:r>
        <w:rPr>
          <w:b/>
          <w:szCs w:val="22"/>
        </w:rPr>
        <w:t xml:space="preserve"> (</w:t>
      </w:r>
      <w:r>
        <w:rPr>
          <w:b/>
          <w:szCs w:val="22"/>
        </w:rPr>
        <w:t>Environmentel</w:t>
      </w:r>
      <w:r>
        <w:rPr>
          <w:b/>
          <w:szCs w:val="22"/>
        </w:rPr>
        <w:t xml:space="preserve"> and Verde Systems Appeal) (April 29, 2015)</w:t>
      </w:r>
      <w:r w:rsidRPr="00CA1AF9">
        <w:rPr>
          <w:b/>
          <w:szCs w:val="22"/>
        </w:rPr>
        <w:t xml:space="preserve">.  </w:t>
      </w:r>
      <w:r>
        <w:rPr>
          <w:szCs w:val="22"/>
        </w:rPr>
        <w:t>Environmentel and Verde Systems</w:t>
      </w:r>
      <w:r w:rsidRPr="00CA1AF9">
        <w:rPr>
          <w:szCs w:val="22"/>
        </w:rPr>
        <w:t xml:space="preserve"> filed an interlocutory appeal as of right of the </w:t>
      </w:r>
      <w:r w:rsidRPr="004067F1">
        <w:rPr>
          <w:i/>
          <w:szCs w:val="22"/>
        </w:rPr>
        <w:t>Dismissal Order</w:t>
      </w:r>
      <w:r w:rsidRPr="00CA1AF9">
        <w:rPr>
          <w:szCs w:val="22"/>
        </w:rPr>
        <w:t xml:space="preserve"> pursuant to 47 C</w:t>
      </w:r>
      <w:r>
        <w:rPr>
          <w:szCs w:val="22"/>
        </w:rPr>
        <w:t>FR</w:t>
      </w:r>
      <w:r w:rsidRPr="00CA1AF9">
        <w:rPr>
          <w:szCs w:val="22"/>
        </w:rPr>
        <w:t xml:space="preserve"> § 1.301(a)(1).</w:t>
      </w:r>
      <w:r>
        <w:rPr>
          <w:rStyle w:val="FootnoteReference"/>
          <w:sz w:val="22"/>
          <w:szCs w:val="22"/>
        </w:rPr>
        <w:footnoteReference w:id="92"/>
      </w:r>
      <w:r w:rsidRPr="00937817">
        <w:rPr>
          <w:szCs w:val="22"/>
        </w:rPr>
        <w:t xml:space="preserve">  </w:t>
      </w:r>
      <w:r>
        <w:rPr>
          <w:szCs w:val="22"/>
        </w:rPr>
        <w:t>Environmentel and Verde Systems</w:t>
      </w:r>
      <w:r w:rsidRPr="00937817">
        <w:rPr>
          <w:szCs w:val="22"/>
        </w:rPr>
        <w:t xml:space="preserve"> argue that without Havens and his companies acting as whistleblowers in this matter and bringing Maritime’s all</w:t>
      </w:r>
      <w:r w:rsidRPr="00CA1AF9">
        <w:rPr>
          <w:szCs w:val="22"/>
        </w:rPr>
        <w:t>eged violations to light, the Maritime Proceeding would never have taken place.</w:t>
      </w:r>
      <w:r>
        <w:rPr>
          <w:rStyle w:val="FootnoteReference"/>
          <w:sz w:val="22"/>
          <w:szCs w:val="22"/>
        </w:rPr>
        <w:footnoteReference w:id="93"/>
      </w:r>
      <w:r w:rsidRPr="00937817">
        <w:rPr>
          <w:szCs w:val="22"/>
        </w:rPr>
        <w:t xml:space="preserve">  They further argue that the </w:t>
      </w:r>
      <w:r>
        <w:rPr>
          <w:szCs w:val="22"/>
        </w:rPr>
        <w:t>Judge</w:t>
      </w:r>
      <w:r w:rsidRPr="00937817">
        <w:rPr>
          <w:szCs w:val="22"/>
        </w:rPr>
        <w:t xml:space="preserve">’s </w:t>
      </w:r>
      <w:r w:rsidRPr="00571ABD">
        <w:rPr>
          <w:i/>
          <w:szCs w:val="22"/>
        </w:rPr>
        <w:t>Dismissal Order</w:t>
      </w:r>
      <w:r w:rsidRPr="00937817">
        <w:rPr>
          <w:szCs w:val="22"/>
        </w:rPr>
        <w:t xml:space="preserve"> is arbitrary and capricious, as well as an abuse of discretion.  </w:t>
      </w:r>
      <w:r>
        <w:rPr>
          <w:szCs w:val="22"/>
        </w:rPr>
        <w:t>Environmentel and Verde Systems</w:t>
      </w:r>
      <w:r w:rsidRPr="00937817">
        <w:rPr>
          <w:szCs w:val="22"/>
        </w:rPr>
        <w:t xml:space="preserve"> contend that </w:t>
      </w:r>
      <w:r w:rsidRPr="00CA1AF9">
        <w:rPr>
          <w:szCs w:val="22"/>
        </w:rPr>
        <w:t xml:space="preserve">they did not mischaracterize </w:t>
      </w:r>
      <w:r>
        <w:rPr>
          <w:szCs w:val="22"/>
        </w:rPr>
        <w:t>the Enforcement Bureau’s</w:t>
      </w:r>
      <w:r w:rsidRPr="00CA1AF9">
        <w:rPr>
          <w:szCs w:val="22"/>
        </w:rPr>
        <w:t xml:space="preserve"> second motion when noting that the motion was “identical” to an earlier motion; </w:t>
      </w:r>
      <w:r>
        <w:rPr>
          <w:szCs w:val="22"/>
        </w:rPr>
        <w:t>Environmentel and Verde Systems</w:t>
      </w:r>
      <w:r w:rsidRPr="00CA1AF9">
        <w:rPr>
          <w:szCs w:val="22"/>
        </w:rPr>
        <w:t xml:space="preserve"> argue that, while “identical” can mean “being the same,” it can also mean “having the same cause or origin.”</w:t>
      </w:r>
      <w:r>
        <w:rPr>
          <w:rStyle w:val="FootnoteReference"/>
          <w:sz w:val="22"/>
          <w:szCs w:val="22"/>
        </w:rPr>
        <w:footnoteReference w:id="94"/>
      </w:r>
      <w:r w:rsidRPr="00937817">
        <w:rPr>
          <w:szCs w:val="22"/>
        </w:rPr>
        <w:t xml:space="preserve">  </w:t>
      </w:r>
      <w:r>
        <w:rPr>
          <w:szCs w:val="22"/>
        </w:rPr>
        <w:t>Environmentel and Verde Systems</w:t>
      </w:r>
      <w:r w:rsidRPr="00937817">
        <w:rPr>
          <w:szCs w:val="22"/>
        </w:rPr>
        <w:t xml:space="preserve"> contend that </w:t>
      </w:r>
      <w:r>
        <w:rPr>
          <w:szCs w:val="22"/>
        </w:rPr>
        <w:t>it</w:t>
      </w:r>
      <w:r w:rsidRPr="00937817">
        <w:rPr>
          <w:szCs w:val="22"/>
        </w:rPr>
        <w:t xml:space="preserve"> used the word in the latter sense when they termed the two </w:t>
      </w:r>
      <w:r>
        <w:rPr>
          <w:szCs w:val="22"/>
        </w:rPr>
        <w:t>Enforcement Bureau</w:t>
      </w:r>
      <w:r w:rsidRPr="00937817">
        <w:rPr>
          <w:szCs w:val="22"/>
        </w:rPr>
        <w:t xml:space="preserve"> motions “identical.”</w:t>
      </w:r>
      <w:r>
        <w:rPr>
          <w:rStyle w:val="FootnoteReference"/>
          <w:sz w:val="22"/>
          <w:szCs w:val="22"/>
        </w:rPr>
        <w:footnoteReference w:id="95"/>
      </w:r>
      <w:r w:rsidRPr="00937817">
        <w:rPr>
          <w:szCs w:val="22"/>
        </w:rPr>
        <w:t xml:space="preserve">  </w:t>
      </w:r>
      <w:r>
        <w:rPr>
          <w:szCs w:val="22"/>
        </w:rPr>
        <w:t xml:space="preserve">Environmentel and Verde Systems </w:t>
      </w:r>
      <w:r w:rsidRPr="00937817">
        <w:rPr>
          <w:szCs w:val="22"/>
        </w:rPr>
        <w:t xml:space="preserve">also argue that the </w:t>
      </w:r>
      <w:r>
        <w:rPr>
          <w:szCs w:val="22"/>
        </w:rPr>
        <w:t>Judge</w:t>
      </w:r>
      <w:r w:rsidRPr="00937817">
        <w:rPr>
          <w:szCs w:val="22"/>
        </w:rPr>
        <w:t xml:space="preserve"> could not have relied on this mischaracterization to his detriment, as </w:t>
      </w:r>
      <w:r>
        <w:rPr>
          <w:szCs w:val="22"/>
        </w:rPr>
        <w:t>the Enforcement Bureau</w:t>
      </w:r>
      <w:r w:rsidRPr="00937817">
        <w:rPr>
          <w:szCs w:val="22"/>
        </w:rPr>
        <w:t xml:space="preserve"> challenged </w:t>
      </w:r>
      <w:r>
        <w:rPr>
          <w:szCs w:val="22"/>
        </w:rPr>
        <w:t>Environmentel</w:t>
      </w:r>
      <w:r>
        <w:rPr>
          <w:szCs w:val="22"/>
        </w:rPr>
        <w:t xml:space="preserve"> and Verde </w:t>
      </w:r>
      <w:r>
        <w:rPr>
          <w:szCs w:val="22"/>
        </w:rPr>
        <w:t>Systems’s</w:t>
      </w:r>
      <w:r w:rsidRPr="00937817">
        <w:rPr>
          <w:szCs w:val="22"/>
        </w:rPr>
        <w:t xml:space="preserve"> characterization of the motion, thereby eliminating any risk the </w:t>
      </w:r>
      <w:r>
        <w:rPr>
          <w:szCs w:val="22"/>
        </w:rPr>
        <w:t>Judge</w:t>
      </w:r>
      <w:r w:rsidRPr="00937817">
        <w:rPr>
          <w:szCs w:val="22"/>
        </w:rPr>
        <w:t xml:space="preserve"> would be misled.</w:t>
      </w:r>
      <w:r>
        <w:rPr>
          <w:rStyle w:val="FootnoteReference"/>
          <w:sz w:val="22"/>
          <w:szCs w:val="22"/>
        </w:rPr>
        <w:footnoteReference w:id="96"/>
      </w:r>
      <w:r w:rsidRPr="00937817">
        <w:rPr>
          <w:szCs w:val="22"/>
        </w:rPr>
        <w:t xml:space="preserve"> </w:t>
      </w:r>
    </w:p>
    <w:p w:rsidR="00C016B1" w:rsidRPr="00937817" w:rsidP="00C016B1">
      <w:pPr>
        <w:pStyle w:val="ParaNum"/>
        <w:rPr>
          <w:szCs w:val="22"/>
        </w:rPr>
      </w:pPr>
      <w:r>
        <w:rPr>
          <w:szCs w:val="22"/>
        </w:rPr>
        <w:t>Environmentel and Verde Systems</w:t>
      </w:r>
      <w:r w:rsidRPr="00CA1AF9">
        <w:rPr>
          <w:szCs w:val="22"/>
        </w:rPr>
        <w:t xml:space="preserve"> also claim that</w:t>
      </w:r>
      <w:r>
        <w:rPr>
          <w:szCs w:val="22"/>
        </w:rPr>
        <w:t xml:space="preserve"> the</w:t>
      </w:r>
      <w:r w:rsidRPr="00CA1AF9">
        <w:rPr>
          <w:szCs w:val="22"/>
        </w:rPr>
        <w:t xml:space="preserve"> October 27 </w:t>
      </w:r>
      <w:r>
        <w:rPr>
          <w:szCs w:val="22"/>
        </w:rPr>
        <w:t>M</w:t>
      </w:r>
      <w:r w:rsidRPr="00CA1AF9">
        <w:rPr>
          <w:szCs w:val="22"/>
        </w:rPr>
        <w:t xml:space="preserve">otion was legitimately filed.  </w:t>
      </w:r>
      <w:r>
        <w:rPr>
          <w:szCs w:val="22"/>
        </w:rPr>
        <w:t>Environmentel and Verde Systems</w:t>
      </w:r>
      <w:r w:rsidRPr="00CA1AF9">
        <w:rPr>
          <w:szCs w:val="22"/>
        </w:rPr>
        <w:t xml:space="preserve"> argue that the </w:t>
      </w:r>
      <w:r>
        <w:rPr>
          <w:szCs w:val="22"/>
        </w:rPr>
        <w:t>Judge’</w:t>
      </w:r>
      <w:r w:rsidRPr="00CA1AF9">
        <w:rPr>
          <w:szCs w:val="22"/>
        </w:rPr>
        <w:t xml:space="preserve">s order prohibiting the filing of additional motions for summary decision was directed at </w:t>
      </w:r>
      <w:r>
        <w:rPr>
          <w:szCs w:val="22"/>
        </w:rPr>
        <w:t>the Enforcement Bureau</w:t>
      </w:r>
      <w:r w:rsidRPr="00CA1AF9">
        <w:rPr>
          <w:szCs w:val="22"/>
        </w:rPr>
        <w:t xml:space="preserve"> and Maritime (which had filed three unsuccessful motions for summary decision) and did not apply to E</w:t>
      </w:r>
      <w:r>
        <w:rPr>
          <w:szCs w:val="22"/>
        </w:rPr>
        <w:t>nvironmentel and Verde Systems</w:t>
      </w:r>
      <w:r w:rsidRPr="00CA1AF9">
        <w:rPr>
          <w:szCs w:val="22"/>
        </w:rPr>
        <w:t xml:space="preserve"> (which had only filed one previous motion).</w:t>
      </w:r>
      <w:r>
        <w:rPr>
          <w:rStyle w:val="FootnoteReference"/>
          <w:sz w:val="22"/>
          <w:szCs w:val="22"/>
        </w:rPr>
        <w:footnoteReference w:id="97"/>
      </w:r>
      <w:r w:rsidRPr="00937817">
        <w:rPr>
          <w:szCs w:val="22"/>
        </w:rPr>
        <w:t xml:space="preserve">  Even if </w:t>
      </w:r>
      <w:r>
        <w:rPr>
          <w:szCs w:val="22"/>
        </w:rPr>
        <w:t>Environmentel and Verde Systems</w:t>
      </w:r>
      <w:r w:rsidRPr="00937817">
        <w:rPr>
          <w:szCs w:val="22"/>
        </w:rPr>
        <w:t xml:space="preserve"> misinterpreted the </w:t>
      </w:r>
      <w:r>
        <w:rPr>
          <w:szCs w:val="22"/>
        </w:rPr>
        <w:t>Judge</w:t>
      </w:r>
      <w:r w:rsidRPr="00937817">
        <w:rPr>
          <w:szCs w:val="22"/>
        </w:rPr>
        <w:t xml:space="preserve">’s order, </w:t>
      </w:r>
      <w:r>
        <w:rPr>
          <w:szCs w:val="22"/>
        </w:rPr>
        <w:t>Environmentel and Verde Systems</w:t>
      </w:r>
      <w:r w:rsidRPr="00937817">
        <w:rPr>
          <w:szCs w:val="22"/>
        </w:rPr>
        <w:t xml:space="preserve"> contend that their motion cannot be viewed as disruptive</w:t>
      </w:r>
      <w:r>
        <w:rPr>
          <w:szCs w:val="22"/>
        </w:rPr>
        <w:t>,</w:t>
      </w:r>
      <w:r w:rsidRPr="00937817">
        <w:rPr>
          <w:szCs w:val="22"/>
        </w:rPr>
        <w:t xml:space="preserve"> as the </w:t>
      </w:r>
      <w:r>
        <w:rPr>
          <w:szCs w:val="22"/>
        </w:rPr>
        <w:t>Judge</w:t>
      </w:r>
      <w:r w:rsidRPr="00CA1AF9">
        <w:rPr>
          <w:szCs w:val="22"/>
        </w:rPr>
        <w:t xml:space="preserve"> later directed the parties to try and resolve the case by motion</w:t>
      </w:r>
      <w:r>
        <w:rPr>
          <w:szCs w:val="22"/>
        </w:rPr>
        <w:t>s</w:t>
      </w:r>
      <w:r w:rsidRPr="00CA1AF9">
        <w:rPr>
          <w:szCs w:val="22"/>
        </w:rPr>
        <w:t xml:space="preserve"> practice</w:t>
      </w:r>
      <w:r>
        <w:rPr>
          <w:szCs w:val="22"/>
        </w:rPr>
        <w:t>,</w:t>
      </w:r>
      <w:r w:rsidRPr="00CA1AF9">
        <w:rPr>
          <w:szCs w:val="22"/>
        </w:rPr>
        <w:t xml:space="preserve"> as suggested by the October 27 </w:t>
      </w:r>
      <w:r>
        <w:rPr>
          <w:szCs w:val="22"/>
        </w:rPr>
        <w:t>M</w:t>
      </w:r>
      <w:r w:rsidRPr="00CA1AF9">
        <w:rPr>
          <w:szCs w:val="22"/>
        </w:rPr>
        <w:t>otion.</w:t>
      </w:r>
      <w:r>
        <w:rPr>
          <w:rStyle w:val="FootnoteReference"/>
          <w:sz w:val="22"/>
          <w:szCs w:val="22"/>
        </w:rPr>
        <w:footnoteReference w:id="98"/>
      </w:r>
    </w:p>
    <w:p w:rsidR="00C016B1" w:rsidRPr="00937817" w:rsidP="00C016B1">
      <w:pPr>
        <w:pStyle w:val="ParaNum"/>
        <w:rPr>
          <w:szCs w:val="22"/>
        </w:rPr>
      </w:pPr>
      <w:r w:rsidRPr="00CA1AF9">
        <w:rPr>
          <w:szCs w:val="22"/>
        </w:rPr>
        <w:t xml:space="preserve">Lastly, </w:t>
      </w:r>
      <w:r>
        <w:rPr>
          <w:szCs w:val="22"/>
        </w:rPr>
        <w:t>Environmentel and Verde Systems</w:t>
      </w:r>
      <w:r w:rsidRPr="00CA1AF9">
        <w:rPr>
          <w:szCs w:val="22"/>
        </w:rPr>
        <w:t xml:space="preserve"> contend that the list of alleged incidents of disruptive conduct by Havens and his companies does not merit dismissal.  According to </w:t>
      </w:r>
      <w:r>
        <w:rPr>
          <w:szCs w:val="22"/>
        </w:rPr>
        <w:t>Environmentel and Verde Systems</w:t>
      </w:r>
      <w:r w:rsidRPr="00CA1AF9">
        <w:rPr>
          <w:szCs w:val="22"/>
        </w:rPr>
        <w:t xml:space="preserve">, because the </w:t>
      </w:r>
      <w:r>
        <w:rPr>
          <w:szCs w:val="22"/>
        </w:rPr>
        <w:t>Judge</w:t>
      </w:r>
      <w:r w:rsidRPr="00CA1AF9">
        <w:rPr>
          <w:szCs w:val="22"/>
        </w:rPr>
        <w:t xml:space="preserve"> allowed Havens to engage in extensive </w:t>
      </w:r>
      <w:r w:rsidRPr="00CA1AF9">
        <w:rPr>
          <w:i/>
          <w:szCs w:val="22"/>
        </w:rPr>
        <w:t xml:space="preserve">pro se </w:t>
      </w:r>
      <w:r w:rsidRPr="00CA1AF9">
        <w:rPr>
          <w:szCs w:val="22"/>
        </w:rPr>
        <w:t xml:space="preserve">actions, the </w:t>
      </w:r>
      <w:r>
        <w:rPr>
          <w:szCs w:val="22"/>
        </w:rPr>
        <w:t>Judge</w:t>
      </w:r>
      <w:r w:rsidRPr="00CA1AF9">
        <w:rPr>
          <w:szCs w:val="22"/>
        </w:rPr>
        <w:t xml:space="preserve"> is prohibited from barring Havens from the proceeding for engaging in “conduct typical of . . .  </w:t>
      </w:r>
      <w:r w:rsidRPr="00CA1AF9">
        <w:rPr>
          <w:i/>
          <w:szCs w:val="22"/>
        </w:rPr>
        <w:t xml:space="preserve">pro se </w:t>
      </w:r>
      <w:r w:rsidRPr="00CA1AF9">
        <w:rPr>
          <w:szCs w:val="22"/>
        </w:rPr>
        <w:t>litigants that are not attorneys.”</w:t>
      </w:r>
      <w:r>
        <w:rPr>
          <w:rStyle w:val="FootnoteReference"/>
          <w:sz w:val="22"/>
          <w:szCs w:val="22"/>
        </w:rPr>
        <w:footnoteReference w:id="99"/>
      </w:r>
      <w:r w:rsidRPr="00937817">
        <w:rPr>
          <w:szCs w:val="22"/>
        </w:rPr>
        <w:t xml:space="preserve">  Even if the conduct</w:t>
      </w:r>
      <w:r w:rsidRPr="00CA1AF9">
        <w:rPr>
          <w:szCs w:val="22"/>
        </w:rPr>
        <w:t xml:space="preserve"> was disruptive, </w:t>
      </w:r>
      <w:r>
        <w:rPr>
          <w:szCs w:val="22"/>
        </w:rPr>
        <w:t>Environmentel and Verde Systems</w:t>
      </w:r>
      <w:r w:rsidRPr="00CA1AF9">
        <w:rPr>
          <w:szCs w:val="22"/>
        </w:rPr>
        <w:t xml:space="preserve"> argue</w:t>
      </w:r>
      <w:r>
        <w:rPr>
          <w:szCs w:val="22"/>
        </w:rPr>
        <w:t xml:space="preserve"> that</w:t>
      </w:r>
      <w:r w:rsidRPr="00CA1AF9">
        <w:rPr>
          <w:szCs w:val="22"/>
        </w:rPr>
        <w:t xml:space="preserve"> the </w:t>
      </w:r>
      <w:r>
        <w:rPr>
          <w:szCs w:val="22"/>
        </w:rPr>
        <w:t>Judge</w:t>
      </w:r>
      <w:r w:rsidRPr="00CA1AF9">
        <w:rPr>
          <w:szCs w:val="22"/>
        </w:rPr>
        <w:t xml:space="preserve"> had ample opportunities to admonish or sanction </w:t>
      </w:r>
      <w:r>
        <w:rPr>
          <w:szCs w:val="22"/>
        </w:rPr>
        <w:t>Environmentel and Verde Systems</w:t>
      </w:r>
      <w:r w:rsidRPr="00CA1AF9">
        <w:rPr>
          <w:szCs w:val="22"/>
        </w:rPr>
        <w:t xml:space="preserve"> and/or Havens during the course of the proceedings and “[</w:t>
      </w:r>
      <w:r w:rsidRPr="00CA1AF9">
        <w:rPr>
          <w:szCs w:val="22"/>
        </w:rPr>
        <w:t>i</w:t>
      </w:r>
      <w:r w:rsidRPr="00CA1AF9">
        <w:rPr>
          <w:szCs w:val="22"/>
        </w:rPr>
        <w:t xml:space="preserve">]t is unreasonable now, after [the </w:t>
      </w:r>
      <w:r>
        <w:rPr>
          <w:szCs w:val="22"/>
        </w:rPr>
        <w:t>Judge</w:t>
      </w:r>
      <w:r w:rsidRPr="00CA1AF9">
        <w:rPr>
          <w:szCs w:val="22"/>
        </w:rPr>
        <w:t>] has allowed these allegedly disruptive or contemptuous acts to occur over months and years, to punish [Havens and his companies]” by removing them from the Maritime Proceeding.</w:t>
      </w:r>
      <w:r>
        <w:rPr>
          <w:rStyle w:val="FootnoteReference"/>
          <w:sz w:val="22"/>
          <w:szCs w:val="22"/>
        </w:rPr>
        <w:footnoteReference w:id="100"/>
      </w:r>
    </w:p>
    <w:p w:rsidR="00C016B1" w:rsidRPr="00937817" w:rsidP="00C016B1">
      <w:pPr>
        <w:pStyle w:val="ParaNum"/>
        <w:rPr>
          <w:szCs w:val="22"/>
        </w:rPr>
      </w:pPr>
      <w:r w:rsidRPr="00CA1AF9">
        <w:rPr>
          <w:b/>
          <w:szCs w:val="22"/>
        </w:rPr>
        <w:t xml:space="preserve">Havens’s </w:t>
      </w:r>
      <w:r>
        <w:rPr>
          <w:b/>
          <w:szCs w:val="22"/>
        </w:rPr>
        <w:t xml:space="preserve">separate </w:t>
      </w:r>
      <w:r w:rsidRPr="00CA1AF9">
        <w:rPr>
          <w:b/>
          <w:szCs w:val="22"/>
        </w:rPr>
        <w:t>interlocutory appeal</w:t>
      </w:r>
      <w:r>
        <w:rPr>
          <w:b/>
          <w:szCs w:val="22"/>
        </w:rPr>
        <w:t xml:space="preserve"> (Havens Appeal) (April 29, 2015)</w:t>
      </w:r>
      <w:r w:rsidRPr="00CA1AF9">
        <w:rPr>
          <w:b/>
          <w:szCs w:val="22"/>
        </w:rPr>
        <w:t>.</w:t>
      </w:r>
      <w:r w:rsidRPr="00CA1AF9">
        <w:rPr>
          <w:szCs w:val="22"/>
        </w:rPr>
        <w:t xml:space="preserve">  Havens also filed an interlocutory appeal, separate from the appeal of his companies, </w:t>
      </w:r>
      <w:r>
        <w:rPr>
          <w:szCs w:val="22"/>
        </w:rPr>
        <w:t>Environmentel and Verde Systems</w:t>
      </w:r>
      <w:r w:rsidRPr="00CA1AF9">
        <w:rPr>
          <w:szCs w:val="22"/>
        </w:rPr>
        <w:t>.</w:t>
      </w:r>
      <w:r>
        <w:rPr>
          <w:rStyle w:val="FootnoteReference"/>
          <w:sz w:val="22"/>
          <w:szCs w:val="22"/>
        </w:rPr>
        <w:footnoteReference w:id="101"/>
      </w:r>
      <w:r w:rsidRPr="00937817">
        <w:rPr>
          <w:szCs w:val="22"/>
        </w:rPr>
        <w:t xml:space="preserve">  Havens argue</w:t>
      </w:r>
      <w:r w:rsidRPr="00CA1AF9">
        <w:rPr>
          <w:szCs w:val="22"/>
        </w:rPr>
        <w:t xml:space="preserve">s that the </w:t>
      </w:r>
      <w:r w:rsidRPr="00571ABD">
        <w:rPr>
          <w:i/>
          <w:szCs w:val="22"/>
        </w:rPr>
        <w:t>Dismissal Order</w:t>
      </w:r>
      <w:r w:rsidRPr="00CA1AF9">
        <w:rPr>
          <w:szCs w:val="22"/>
        </w:rPr>
        <w:t xml:space="preserve"> is improper and untimely, as many of the alleged acts of misconduct occurred months or years ago.</w:t>
      </w:r>
      <w:r>
        <w:rPr>
          <w:rStyle w:val="FootnoteReference"/>
          <w:sz w:val="22"/>
          <w:szCs w:val="22"/>
        </w:rPr>
        <w:footnoteReference w:id="102"/>
      </w:r>
      <w:r w:rsidRPr="00937817">
        <w:rPr>
          <w:szCs w:val="22"/>
        </w:rPr>
        <w:t xml:space="preserve">  Havens further points out that the </w:t>
      </w:r>
      <w:r w:rsidRPr="00571ABD">
        <w:rPr>
          <w:i/>
          <w:szCs w:val="22"/>
        </w:rPr>
        <w:t>Dismissal Order</w:t>
      </w:r>
      <w:r w:rsidRPr="00937817">
        <w:rPr>
          <w:szCs w:val="22"/>
        </w:rPr>
        <w:t xml:space="preserve"> in no way addresses alleged misconduct by Maritime, which was only brought to the attention of the Commission through the efforts of Havens and </w:t>
      </w:r>
      <w:r>
        <w:rPr>
          <w:szCs w:val="22"/>
        </w:rPr>
        <w:t>Environmentel and Verde Systems</w:t>
      </w:r>
      <w:r w:rsidRPr="00937817">
        <w:rPr>
          <w:szCs w:val="22"/>
        </w:rPr>
        <w:t>.</w:t>
      </w:r>
      <w:r>
        <w:rPr>
          <w:rStyle w:val="FootnoteReference"/>
          <w:sz w:val="22"/>
          <w:szCs w:val="22"/>
        </w:rPr>
        <w:footnoteReference w:id="103"/>
      </w:r>
      <w:r w:rsidRPr="00937817">
        <w:rPr>
          <w:szCs w:val="22"/>
        </w:rPr>
        <w:t xml:space="preserve"> </w:t>
      </w:r>
    </w:p>
    <w:p w:rsidR="00C016B1" w:rsidRPr="00937817" w:rsidP="00C016B1">
      <w:pPr>
        <w:pStyle w:val="ParaNum"/>
        <w:rPr>
          <w:szCs w:val="22"/>
        </w:rPr>
      </w:pPr>
      <w:r w:rsidRPr="00CA1AF9">
        <w:rPr>
          <w:b/>
          <w:szCs w:val="22"/>
        </w:rPr>
        <w:t>Maritime opposition and motion to strike</w:t>
      </w:r>
      <w:r>
        <w:rPr>
          <w:b/>
          <w:szCs w:val="22"/>
        </w:rPr>
        <w:t xml:space="preserve"> the appeals (May 6, 2015)</w:t>
      </w:r>
      <w:r w:rsidRPr="00CA1AF9">
        <w:rPr>
          <w:b/>
          <w:szCs w:val="22"/>
        </w:rPr>
        <w:t xml:space="preserve">.  </w:t>
      </w:r>
      <w:r w:rsidRPr="00CA1AF9">
        <w:rPr>
          <w:szCs w:val="22"/>
        </w:rPr>
        <w:t xml:space="preserve">Maritime filed an opposition to the </w:t>
      </w:r>
      <w:r>
        <w:rPr>
          <w:szCs w:val="22"/>
        </w:rPr>
        <w:t>Environmentel, Verde Systems,</w:t>
      </w:r>
      <w:r w:rsidRPr="00CA1AF9">
        <w:rPr>
          <w:szCs w:val="22"/>
        </w:rPr>
        <w:t xml:space="preserve"> and Havens appeals.</w:t>
      </w:r>
      <w:r>
        <w:rPr>
          <w:rStyle w:val="FootnoteReference"/>
          <w:sz w:val="22"/>
          <w:szCs w:val="22"/>
        </w:rPr>
        <w:footnoteReference w:id="104"/>
      </w:r>
      <w:r w:rsidRPr="00937817">
        <w:rPr>
          <w:szCs w:val="22"/>
        </w:rPr>
        <w:t xml:space="preserve">  Maritime contends that </w:t>
      </w:r>
      <w:r>
        <w:rPr>
          <w:szCs w:val="22"/>
        </w:rPr>
        <w:t>Environmentel</w:t>
      </w:r>
      <w:r>
        <w:rPr>
          <w:szCs w:val="22"/>
        </w:rPr>
        <w:t xml:space="preserve"> and Verde </w:t>
      </w:r>
      <w:r>
        <w:rPr>
          <w:szCs w:val="22"/>
        </w:rPr>
        <w:t>Systems’s</w:t>
      </w:r>
      <w:r>
        <w:rPr>
          <w:szCs w:val="22"/>
        </w:rPr>
        <w:t xml:space="preserve"> </w:t>
      </w:r>
      <w:r w:rsidRPr="00937817">
        <w:rPr>
          <w:szCs w:val="22"/>
        </w:rPr>
        <w:t xml:space="preserve">argument regarding the definition of “identical” is </w:t>
      </w:r>
      <w:r>
        <w:rPr>
          <w:szCs w:val="22"/>
        </w:rPr>
        <w:t>meritless</w:t>
      </w:r>
      <w:r w:rsidRPr="00937817">
        <w:rPr>
          <w:szCs w:val="22"/>
        </w:rPr>
        <w:t xml:space="preserve">.  Supporting the </w:t>
      </w:r>
      <w:r>
        <w:rPr>
          <w:szCs w:val="22"/>
        </w:rPr>
        <w:t>Judge</w:t>
      </w:r>
      <w:r w:rsidRPr="00937817">
        <w:rPr>
          <w:szCs w:val="22"/>
        </w:rPr>
        <w:t xml:space="preserve">’s argument that </w:t>
      </w:r>
      <w:r w:rsidRPr="00CA1AF9">
        <w:rPr>
          <w:szCs w:val="22"/>
        </w:rPr>
        <w:t xml:space="preserve">two motions can have the same legal conclusion but rely on different facts, Maritime notes that the actions of </w:t>
      </w:r>
      <w:r>
        <w:rPr>
          <w:szCs w:val="22"/>
        </w:rPr>
        <w:t>the Enforcement Bureau</w:t>
      </w:r>
      <w:r w:rsidRPr="00CA1AF9">
        <w:rPr>
          <w:szCs w:val="22"/>
        </w:rPr>
        <w:t xml:space="preserve"> made clear that </w:t>
      </w:r>
      <w:r>
        <w:rPr>
          <w:szCs w:val="22"/>
        </w:rPr>
        <w:t>the Enforcement Bureau</w:t>
      </w:r>
      <w:r w:rsidRPr="00CA1AF9">
        <w:rPr>
          <w:szCs w:val="22"/>
        </w:rPr>
        <w:t xml:space="preserve"> intended to rely upon new facts in making its arguments, and thus the motions were not “identical.”</w:t>
      </w:r>
      <w:r>
        <w:rPr>
          <w:rStyle w:val="FootnoteReference"/>
          <w:sz w:val="22"/>
          <w:szCs w:val="22"/>
        </w:rPr>
        <w:footnoteReference w:id="105"/>
      </w:r>
      <w:r w:rsidRPr="00937817">
        <w:rPr>
          <w:szCs w:val="22"/>
        </w:rPr>
        <w:t xml:space="preserve">  Maritime also responds to some of the allegations Havens made regarding Maritime’s conduct and </w:t>
      </w:r>
      <w:r w:rsidRPr="00CA1AF9">
        <w:rPr>
          <w:szCs w:val="22"/>
        </w:rPr>
        <w:t>urges that the appeals are procedurally defective and should be stricken.</w:t>
      </w:r>
      <w:r>
        <w:rPr>
          <w:szCs w:val="22"/>
        </w:rPr>
        <w:t xml:space="preserve">  </w:t>
      </w:r>
      <w:r>
        <w:t>Specifically, Maritime argues that the appeals exceed the allotted five-page limit.  Maritime highlights that the Environmentel and Verde Systems appeal is five pages and has a one page “Exhibit 1,” which, if counted would raise the total page count up to six pages, in excess of what is allowed under section 1.301(c)(5) of the Commission’s rules.</w:t>
      </w:r>
      <w:r>
        <w:rPr>
          <w:rStyle w:val="FootnoteReference"/>
        </w:rPr>
        <w:footnoteReference w:id="106"/>
      </w:r>
      <w:r>
        <w:t xml:space="preserve">  Additionally, Maritime argues that, for purposes of filing an appeal, Environmentel and Verde Systems is effectively just an alter ego of Havens, and “[t]he submission of two separate appeals challenging the same ruling on the same grounds has the practical effect, if not the intentional design, of exceeding the page limit.”</w:t>
      </w:r>
      <w:r>
        <w:rPr>
          <w:rStyle w:val="FootnoteReference"/>
        </w:rPr>
        <w:footnoteReference w:id="107"/>
      </w:r>
      <w:r>
        <w:t xml:space="preserve">  In addition to issues with the page limit, Maritime contends that Havens violated the Judge’s order prohibiting Havens from acting </w:t>
      </w:r>
      <w:r>
        <w:rPr>
          <w:i/>
        </w:rPr>
        <w:t xml:space="preserve">pro se </w:t>
      </w:r>
      <w:r>
        <w:t xml:space="preserve">on behalf of his companies, as the Havens Opposition is filed not just by Havens, but also by four of his companies (Intelligent Transportation &amp; Monitoring Wireless LLC, </w:t>
      </w:r>
      <w:r>
        <w:t>Telesaurus</w:t>
      </w:r>
      <w:r>
        <w:t xml:space="preserve"> Holdings GB LLC, V2G LLC, and Skybridge Spectrum Foundation).</w:t>
      </w:r>
      <w:r>
        <w:rPr>
          <w:rStyle w:val="FootnoteReference"/>
        </w:rPr>
        <w:footnoteReference w:id="108"/>
      </w:r>
    </w:p>
    <w:p w:rsidR="00C016B1" w:rsidRPr="00937817" w:rsidP="00C016B1">
      <w:pPr>
        <w:pStyle w:val="ParaNum"/>
        <w:rPr>
          <w:szCs w:val="22"/>
        </w:rPr>
      </w:pPr>
      <w:r w:rsidRPr="00CA1AF9">
        <w:rPr>
          <w:szCs w:val="22"/>
        </w:rPr>
        <w:t>In its opposition, Maritime points out that this is just the latest in “a long-standing pattern of such abuse by the appellants,” and notes that the Commission has warned or sanctioned Havens for repetitious or frivolous filings in other proceedings.</w:t>
      </w:r>
      <w:r>
        <w:rPr>
          <w:rStyle w:val="FootnoteReference"/>
          <w:sz w:val="22"/>
          <w:szCs w:val="22"/>
        </w:rPr>
        <w:footnoteReference w:id="109"/>
      </w:r>
      <w:r w:rsidRPr="00937817">
        <w:rPr>
          <w:szCs w:val="22"/>
        </w:rPr>
        <w:t xml:space="preserve">  Maritime argues that these previous acts demonstrate a pattern of disruptive behavior that Havens has no intention of changing; the only appropriate remedy in this proceeding is removal.  </w:t>
      </w:r>
      <w:r w:rsidRPr="00CA1AF9">
        <w:rPr>
          <w:szCs w:val="22"/>
        </w:rPr>
        <w:t xml:space="preserve">Maritime therefore contends that the </w:t>
      </w:r>
      <w:r>
        <w:rPr>
          <w:szCs w:val="22"/>
        </w:rPr>
        <w:t>Environmentel and Verde Systems</w:t>
      </w:r>
      <w:r w:rsidRPr="00CA1AF9">
        <w:rPr>
          <w:szCs w:val="22"/>
        </w:rPr>
        <w:t xml:space="preserve"> Appeal and the Havens Appeal should be denied.</w:t>
      </w:r>
      <w:r>
        <w:rPr>
          <w:rStyle w:val="FootnoteReference"/>
          <w:sz w:val="22"/>
          <w:szCs w:val="22"/>
        </w:rPr>
        <w:footnoteReference w:id="110"/>
      </w:r>
    </w:p>
    <w:p w:rsidR="00C016B1" w:rsidRPr="00937817" w:rsidP="00C016B1">
      <w:pPr>
        <w:pStyle w:val="ParaNum"/>
        <w:rPr>
          <w:szCs w:val="22"/>
        </w:rPr>
      </w:pPr>
      <w:r>
        <w:rPr>
          <w:b/>
          <w:szCs w:val="22"/>
        </w:rPr>
        <w:t>Enforcement Bureau</w:t>
      </w:r>
      <w:r w:rsidRPr="00CA1AF9">
        <w:rPr>
          <w:b/>
          <w:szCs w:val="22"/>
        </w:rPr>
        <w:t xml:space="preserve"> opposition</w:t>
      </w:r>
      <w:r>
        <w:rPr>
          <w:b/>
          <w:szCs w:val="22"/>
        </w:rPr>
        <w:t xml:space="preserve"> to the appeals (May 6, 2015)</w:t>
      </w:r>
      <w:r w:rsidRPr="00CA1AF9">
        <w:rPr>
          <w:b/>
          <w:szCs w:val="22"/>
        </w:rPr>
        <w:t xml:space="preserve">.  </w:t>
      </w:r>
      <w:r>
        <w:rPr>
          <w:szCs w:val="22"/>
        </w:rPr>
        <w:t>The Enforcement Bureau</w:t>
      </w:r>
      <w:r w:rsidRPr="00CA1AF9">
        <w:rPr>
          <w:szCs w:val="22"/>
        </w:rPr>
        <w:t xml:space="preserve"> has also filed an opposition to the appeals of </w:t>
      </w:r>
      <w:r>
        <w:rPr>
          <w:szCs w:val="22"/>
        </w:rPr>
        <w:t>Environmentel, Verde Systems,</w:t>
      </w:r>
      <w:r w:rsidRPr="00CA1AF9">
        <w:rPr>
          <w:szCs w:val="22"/>
        </w:rPr>
        <w:t xml:space="preserve"> and Havens.</w:t>
      </w:r>
      <w:r>
        <w:rPr>
          <w:rStyle w:val="FootnoteReference"/>
          <w:sz w:val="22"/>
          <w:szCs w:val="22"/>
        </w:rPr>
        <w:footnoteReference w:id="111"/>
      </w:r>
      <w:r w:rsidRPr="00937817">
        <w:rPr>
          <w:szCs w:val="22"/>
        </w:rPr>
        <w:t xml:space="preserve">  </w:t>
      </w:r>
      <w:r>
        <w:rPr>
          <w:szCs w:val="22"/>
        </w:rPr>
        <w:t>The Enforcement Bureau</w:t>
      </w:r>
      <w:r w:rsidRPr="00937817">
        <w:rPr>
          <w:szCs w:val="22"/>
        </w:rPr>
        <w:t xml:space="preserve"> supports the </w:t>
      </w:r>
      <w:r>
        <w:rPr>
          <w:szCs w:val="22"/>
        </w:rPr>
        <w:t>Judge</w:t>
      </w:r>
      <w:r w:rsidRPr="00937817">
        <w:rPr>
          <w:szCs w:val="22"/>
        </w:rPr>
        <w:t xml:space="preserve">’s contentions that Havens and </w:t>
      </w:r>
      <w:r>
        <w:rPr>
          <w:szCs w:val="22"/>
        </w:rPr>
        <w:t>Environmentel and Verde Systems</w:t>
      </w:r>
      <w:r w:rsidRPr="00937817">
        <w:rPr>
          <w:szCs w:val="22"/>
        </w:rPr>
        <w:t xml:space="preserve"> have delayed and disrupted the proceeding</w:t>
      </w:r>
      <w:r w:rsidRPr="00CA1AF9">
        <w:rPr>
          <w:szCs w:val="22"/>
        </w:rPr>
        <w:t xml:space="preserve">, and argues that the </w:t>
      </w:r>
      <w:r>
        <w:rPr>
          <w:szCs w:val="22"/>
        </w:rPr>
        <w:t>Judge</w:t>
      </w:r>
      <w:r w:rsidRPr="00CA1AF9">
        <w:rPr>
          <w:szCs w:val="22"/>
        </w:rPr>
        <w:t xml:space="preserve"> “plainly has the discretion to manage the proceedings before him in a manner that serves the interests of efficiency and expediency.”</w:t>
      </w:r>
      <w:r>
        <w:rPr>
          <w:rStyle w:val="FootnoteReference"/>
          <w:sz w:val="22"/>
          <w:szCs w:val="22"/>
        </w:rPr>
        <w:footnoteReference w:id="112"/>
      </w:r>
      <w:r w:rsidRPr="00937817">
        <w:rPr>
          <w:szCs w:val="22"/>
        </w:rPr>
        <w:t xml:space="preserve">  </w:t>
      </w:r>
      <w:r>
        <w:rPr>
          <w:szCs w:val="22"/>
        </w:rPr>
        <w:t>The Enforcement Bureau</w:t>
      </w:r>
      <w:r w:rsidRPr="00937817">
        <w:rPr>
          <w:szCs w:val="22"/>
        </w:rPr>
        <w:t xml:space="preserve"> also notes procedural flaws with the filings of </w:t>
      </w:r>
      <w:r>
        <w:rPr>
          <w:szCs w:val="22"/>
        </w:rPr>
        <w:t xml:space="preserve">Environmentel, Verde Systems, </w:t>
      </w:r>
      <w:r w:rsidRPr="00937817">
        <w:rPr>
          <w:szCs w:val="22"/>
        </w:rPr>
        <w:t>and Havens.</w:t>
      </w:r>
      <w:r>
        <w:rPr>
          <w:szCs w:val="22"/>
        </w:rPr>
        <w:t xml:space="preserve">  </w:t>
      </w:r>
      <w:r>
        <w:t>Like the Maritime Opposition, the Bureau notes that the Environmentel and Verde Systems Appeal contains a one-page exhibit that, the Bureau contends, should count against the five-page limit, which would make the Environmentel and Verde Systems Appeal exceed the allowed number of pages.  The Bureau also raises the fact that the Havens Appeal is unsigned and contains no proof of service.</w:t>
      </w:r>
      <w:r w:rsidRPr="00937817">
        <w:rPr>
          <w:szCs w:val="22"/>
        </w:rPr>
        <w:t xml:space="preserve">  For these reasons, </w:t>
      </w:r>
      <w:r>
        <w:rPr>
          <w:szCs w:val="22"/>
        </w:rPr>
        <w:t>the Enforcement Bureau</w:t>
      </w:r>
      <w:r w:rsidRPr="00937817">
        <w:rPr>
          <w:szCs w:val="22"/>
        </w:rPr>
        <w:t xml:space="preserve"> argues that the appeals of </w:t>
      </w:r>
      <w:r>
        <w:rPr>
          <w:szCs w:val="22"/>
        </w:rPr>
        <w:t>Environmentel, Verde Systems,</w:t>
      </w:r>
      <w:r w:rsidRPr="00937817">
        <w:rPr>
          <w:szCs w:val="22"/>
        </w:rPr>
        <w:t xml:space="preserve"> and</w:t>
      </w:r>
      <w:r>
        <w:rPr>
          <w:szCs w:val="22"/>
        </w:rPr>
        <w:t xml:space="preserve"> </w:t>
      </w:r>
      <w:r w:rsidRPr="00937817">
        <w:rPr>
          <w:szCs w:val="22"/>
        </w:rPr>
        <w:t>Havens should be denied.</w:t>
      </w:r>
      <w:r>
        <w:rPr>
          <w:rStyle w:val="FootnoteReference"/>
          <w:sz w:val="22"/>
          <w:szCs w:val="22"/>
        </w:rPr>
        <w:footnoteReference w:id="113"/>
      </w:r>
    </w:p>
    <w:p w:rsidR="00C016B1" w:rsidRPr="00937817" w:rsidP="00C016B1">
      <w:pPr>
        <w:pStyle w:val="ParaNum"/>
        <w:rPr>
          <w:szCs w:val="22"/>
        </w:rPr>
      </w:pPr>
      <w:r>
        <w:rPr>
          <w:b/>
          <w:szCs w:val="22"/>
        </w:rPr>
        <w:t>Environmentel</w:t>
      </w:r>
      <w:r>
        <w:rPr>
          <w:b/>
          <w:szCs w:val="22"/>
        </w:rPr>
        <w:t xml:space="preserve"> and Verde </w:t>
      </w:r>
      <w:r>
        <w:rPr>
          <w:b/>
          <w:szCs w:val="22"/>
        </w:rPr>
        <w:t>Systems’s</w:t>
      </w:r>
      <w:r>
        <w:rPr>
          <w:b/>
          <w:szCs w:val="22"/>
        </w:rPr>
        <w:t xml:space="preserve"> and </w:t>
      </w:r>
      <w:r>
        <w:rPr>
          <w:b/>
          <w:szCs w:val="22"/>
        </w:rPr>
        <w:t>Havens’s</w:t>
      </w:r>
      <w:r w:rsidRPr="00CA1AF9">
        <w:rPr>
          <w:b/>
          <w:szCs w:val="22"/>
        </w:rPr>
        <w:t xml:space="preserve"> joint supplement</w:t>
      </w:r>
      <w:r>
        <w:rPr>
          <w:b/>
          <w:szCs w:val="22"/>
        </w:rPr>
        <w:t xml:space="preserve"> to their appeals (September 11, 2015)</w:t>
      </w:r>
      <w:r w:rsidRPr="00CA1AF9">
        <w:rPr>
          <w:b/>
          <w:szCs w:val="22"/>
        </w:rPr>
        <w:t>.</w:t>
      </w:r>
      <w:r w:rsidRPr="00CA1AF9">
        <w:rPr>
          <w:szCs w:val="22"/>
        </w:rPr>
        <w:t xml:space="preserve">  In their initial appeals, </w:t>
      </w:r>
      <w:r>
        <w:rPr>
          <w:szCs w:val="22"/>
        </w:rPr>
        <w:t>Environmentel, Verde Systems,</w:t>
      </w:r>
      <w:r w:rsidRPr="00CA1AF9">
        <w:rPr>
          <w:szCs w:val="22"/>
        </w:rPr>
        <w:t xml:space="preserve"> and Havens requested the opportunity to supplement their filings, noting that they could not respond to all</w:t>
      </w:r>
      <w:r>
        <w:rPr>
          <w:szCs w:val="22"/>
        </w:rPr>
        <w:t xml:space="preserve"> of</w:t>
      </w:r>
      <w:r w:rsidRPr="00CA1AF9">
        <w:rPr>
          <w:szCs w:val="22"/>
        </w:rPr>
        <w:t xml:space="preserve"> the </w:t>
      </w:r>
      <w:r w:rsidRPr="00DC7647">
        <w:rPr>
          <w:i/>
          <w:szCs w:val="22"/>
        </w:rPr>
        <w:t>Dismissal Order’s</w:t>
      </w:r>
      <w:r w:rsidRPr="00CA1AF9">
        <w:rPr>
          <w:szCs w:val="22"/>
        </w:rPr>
        <w:t xml:space="preserve"> allegations in the provided page limit.</w:t>
      </w:r>
      <w:r>
        <w:rPr>
          <w:rStyle w:val="FootnoteReference"/>
          <w:sz w:val="22"/>
          <w:szCs w:val="22"/>
        </w:rPr>
        <w:footnoteReference w:id="114"/>
      </w:r>
      <w:r w:rsidRPr="00937817">
        <w:rPr>
          <w:szCs w:val="22"/>
        </w:rPr>
        <w:t xml:space="preserve">  The Office of General Counsel permitted </w:t>
      </w:r>
      <w:r>
        <w:rPr>
          <w:szCs w:val="22"/>
        </w:rPr>
        <w:t>Environmentel, Verde Systems,</w:t>
      </w:r>
      <w:r w:rsidRPr="00937817">
        <w:rPr>
          <w:szCs w:val="22"/>
        </w:rPr>
        <w:t xml:space="preserve"> and Havens to file a single joint supplement.</w:t>
      </w:r>
      <w:r>
        <w:rPr>
          <w:rStyle w:val="FootnoteReference"/>
          <w:sz w:val="22"/>
          <w:szCs w:val="22"/>
        </w:rPr>
        <w:footnoteReference w:id="115"/>
      </w:r>
    </w:p>
    <w:p w:rsidR="00C016B1" w:rsidRPr="00937817" w:rsidP="00C016B1">
      <w:pPr>
        <w:pStyle w:val="ParaNum"/>
        <w:rPr>
          <w:szCs w:val="22"/>
        </w:rPr>
      </w:pPr>
      <w:r w:rsidRPr="00CA1AF9">
        <w:rPr>
          <w:szCs w:val="22"/>
        </w:rPr>
        <w:t xml:space="preserve">In the Joint Supplement, </w:t>
      </w:r>
      <w:r>
        <w:rPr>
          <w:szCs w:val="22"/>
        </w:rPr>
        <w:t>Environmentel, Verde Systems, and Havens</w:t>
      </w:r>
      <w:r w:rsidRPr="00CA1AF9">
        <w:rPr>
          <w:szCs w:val="22"/>
        </w:rPr>
        <w:t xml:space="preserve"> argue that the October 27 </w:t>
      </w:r>
      <w:r>
        <w:rPr>
          <w:szCs w:val="22"/>
        </w:rPr>
        <w:t>M</w:t>
      </w:r>
      <w:r w:rsidRPr="00CA1AF9">
        <w:rPr>
          <w:szCs w:val="22"/>
        </w:rPr>
        <w:t>otion was properly filed.</w:t>
      </w:r>
      <w:r>
        <w:rPr>
          <w:rStyle w:val="FootnoteReference"/>
          <w:sz w:val="22"/>
          <w:szCs w:val="22"/>
        </w:rPr>
        <w:footnoteReference w:id="116"/>
      </w:r>
      <w:r w:rsidRPr="00937817">
        <w:rPr>
          <w:szCs w:val="22"/>
        </w:rPr>
        <w:t xml:space="preserve">  Specifically, </w:t>
      </w:r>
      <w:r>
        <w:rPr>
          <w:szCs w:val="22"/>
        </w:rPr>
        <w:t>Environmentel, Verde Systems, and Havens</w:t>
      </w:r>
      <w:r w:rsidRPr="00937817">
        <w:rPr>
          <w:szCs w:val="22"/>
        </w:rPr>
        <w:t xml:space="preserve"> </w:t>
      </w:r>
      <w:r w:rsidRPr="00CA1AF9">
        <w:rPr>
          <w:szCs w:val="22"/>
        </w:rPr>
        <w:t xml:space="preserve">contend that the filing of the October 27 </w:t>
      </w:r>
      <w:r>
        <w:rPr>
          <w:szCs w:val="22"/>
        </w:rPr>
        <w:t>M</w:t>
      </w:r>
      <w:r w:rsidRPr="00CA1AF9">
        <w:rPr>
          <w:szCs w:val="22"/>
        </w:rPr>
        <w:t xml:space="preserve">otion was explicitly authorized by the </w:t>
      </w:r>
      <w:r>
        <w:rPr>
          <w:szCs w:val="22"/>
        </w:rPr>
        <w:t>Judge</w:t>
      </w:r>
      <w:r w:rsidRPr="00CA1AF9">
        <w:rPr>
          <w:szCs w:val="22"/>
        </w:rPr>
        <w:t xml:space="preserve"> in a prehearing conference.</w:t>
      </w:r>
      <w:r>
        <w:rPr>
          <w:rStyle w:val="FootnoteReference"/>
          <w:sz w:val="22"/>
          <w:szCs w:val="22"/>
        </w:rPr>
        <w:footnoteReference w:id="117"/>
      </w:r>
      <w:r w:rsidRPr="00937817">
        <w:rPr>
          <w:szCs w:val="22"/>
        </w:rPr>
        <w:t xml:space="preserve"> </w:t>
      </w:r>
      <w:r>
        <w:rPr>
          <w:szCs w:val="22"/>
        </w:rPr>
        <w:t xml:space="preserve"> They</w:t>
      </w:r>
      <w:r w:rsidRPr="00CA1AF9">
        <w:rPr>
          <w:szCs w:val="22"/>
        </w:rPr>
        <w:t xml:space="preserve"> point to an exchange in which counsel for </w:t>
      </w:r>
      <w:r>
        <w:rPr>
          <w:szCs w:val="22"/>
        </w:rPr>
        <w:t>Environmentel and Verde Systems</w:t>
      </w:r>
      <w:r w:rsidRPr="00CA1AF9">
        <w:rPr>
          <w:szCs w:val="22"/>
        </w:rPr>
        <w:t xml:space="preserve"> stated, “I really think on October 28 I may have to file a motion to strike the Government’s entire case,” and the </w:t>
      </w:r>
      <w:r>
        <w:rPr>
          <w:szCs w:val="22"/>
        </w:rPr>
        <w:t>Judge</w:t>
      </w:r>
      <w:r w:rsidRPr="00CA1AF9">
        <w:rPr>
          <w:szCs w:val="22"/>
        </w:rPr>
        <w:t xml:space="preserve"> responded</w:t>
      </w:r>
      <w:r>
        <w:rPr>
          <w:szCs w:val="22"/>
        </w:rPr>
        <w:t>,</w:t>
      </w:r>
      <w:r w:rsidRPr="00CA1AF9">
        <w:rPr>
          <w:szCs w:val="22"/>
        </w:rPr>
        <w:t xml:space="preserve"> “Well, you’re free to file any motion you care to, as long as you do it in a professional manner.”</w:t>
      </w:r>
      <w:r>
        <w:rPr>
          <w:rStyle w:val="FootnoteReference"/>
          <w:sz w:val="22"/>
          <w:szCs w:val="22"/>
        </w:rPr>
        <w:footnoteReference w:id="118"/>
      </w:r>
      <w:r w:rsidRPr="00937817">
        <w:rPr>
          <w:szCs w:val="22"/>
        </w:rPr>
        <w:t xml:space="preserve">  </w:t>
      </w:r>
      <w:r>
        <w:rPr>
          <w:szCs w:val="22"/>
        </w:rPr>
        <w:t>Environmentel, Verde Systems, and Havens</w:t>
      </w:r>
      <w:r w:rsidRPr="00937817">
        <w:rPr>
          <w:szCs w:val="22"/>
        </w:rPr>
        <w:t xml:space="preserve"> </w:t>
      </w:r>
      <w:r w:rsidRPr="00CA1AF9">
        <w:rPr>
          <w:szCs w:val="22"/>
        </w:rPr>
        <w:t xml:space="preserve">propose that by stating that </w:t>
      </w:r>
      <w:r>
        <w:rPr>
          <w:szCs w:val="22"/>
        </w:rPr>
        <w:t>Environmentel and Verde Systems</w:t>
      </w:r>
      <w:r w:rsidRPr="00CA1AF9">
        <w:rPr>
          <w:szCs w:val="22"/>
        </w:rPr>
        <w:t xml:space="preserve"> </w:t>
      </w:r>
      <w:r>
        <w:rPr>
          <w:szCs w:val="22"/>
        </w:rPr>
        <w:t>were</w:t>
      </w:r>
      <w:r w:rsidRPr="00CA1AF9">
        <w:rPr>
          <w:szCs w:val="22"/>
        </w:rPr>
        <w:t xml:space="preserve"> “free to file any motion </w:t>
      </w:r>
      <w:r>
        <w:rPr>
          <w:szCs w:val="22"/>
        </w:rPr>
        <w:t>they</w:t>
      </w:r>
      <w:r w:rsidRPr="00CA1AF9">
        <w:rPr>
          <w:szCs w:val="22"/>
        </w:rPr>
        <w:t xml:space="preserve"> care[d] to,” the </w:t>
      </w:r>
      <w:r>
        <w:rPr>
          <w:szCs w:val="22"/>
        </w:rPr>
        <w:t>Judge</w:t>
      </w:r>
      <w:r w:rsidRPr="00CA1AF9">
        <w:rPr>
          <w:szCs w:val="22"/>
        </w:rPr>
        <w:t xml:space="preserve"> was acknowledging that the prior ban on summary decision motions did not apply to </w:t>
      </w:r>
      <w:r>
        <w:rPr>
          <w:szCs w:val="22"/>
        </w:rPr>
        <w:t>Environmentel, Verde Systems,</w:t>
      </w:r>
      <w:r w:rsidRPr="00CA1AF9">
        <w:rPr>
          <w:szCs w:val="22"/>
        </w:rPr>
        <w:t xml:space="preserve"> or Havens.</w:t>
      </w:r>
      <w:r>
        <w:rPr>
          <w:rStyle w:val="FootnoteReference"/>
          <w:sz w:val="22"/>
          <w:szCs w:val="22"/>
        </w:rPr>
        <w:footnoteReference w:id="119"/>
      </w:r>
    </w:p>
    <w:p w:rsidR="00C016B1" w:rsidRPr="00937817" w:rsidP="00C016B1">
      <w:pPr>
        <w:pStyle w:val="ParaNum"/>
        <w:rPr>
          <w:szCs w:val="22"/>
        </w:rPr>
      </w:pPr>
      <w:r>
        <w:rPr>
          <w:szCs w:val="22"/>
        </w:rPr>
        <w:t>Environmentel, Verde Systems, and Havens</w:t>
      </w:r>
      <w:r w:rsidRPr="00CA1AF9">
        <w:rPr>
          <w:szCs w:val="22"/>
        </w:rPr>
        <w:t xml:space="preserve"> also state that the </w:t>
      </w:r>
      <w:r>
        <w:rPr>
          <w:szCs w:val="22"/>
        </w:rPr>
        <w:t>Judge</w:t>
      </w:r>
      <w:r w:rsidRPr="00CA1AF9">
        <w:rPr>
          <w:szCs w:val="22"/>
        </w:rPr>
        <w:t xml:space="preserve"> acted arbitrarily and capriciously by certifying to the Commission a question regarding the qualifications of Havens and his companies to hold Commission licenses.  </w:t>
      </w:r>
      <w:r>
        <w:rPr>
          <w:szCs w:val="22"/>
        </w:rPr>
        <w:t>They contend</w:t>
      </w:r>
      <w:r w:rsidRPr="00CA1AF9">
        <w:rPr>
          <w:szCs w:val="22"/>
        </w:rPr>
        <w:t xml:space="preserve"> that </w:t>
      </w:r>
      <w:r>
        <w:rPr>
          <w:szCs w:val="22"/>
        </w:rPr>
        <w:t xml:space="preserve">their </w:t>
      </w:r>
      <w:r w:rsidRPr="00CA1AF9">
        <w:rPr>
          <w:szCs w:val="22"/>
        </w:rPr>
        <w:t xml:space="preserve">earlier arguments demonstrate there was no filing in bad faith related to the October 27 </w:t>
      </w:r>
      <w:r>
        <w:rPr>
          <w:szCs w:val="22"/>
        </w:rPr>
        <w:t>M</w:t>
      </w:r>
      <w:r w:rsidRPr="00CA1AF9">
        <w:rPr>
          <w:szCs w:val="22"/>
        </w:rPr>
        <w:t>otion.</w:t>
      </w:r>
      <w:r>
        <w:rPr>
          <w:rStyle w:val="FootnoteReference"/>
          <w:sz w:val="22"/>
          <w:szCs w:val="22"/>
        </w:rPr>
        <w:footnoteReference w:id="120"/>
      </w:r>
      <w:r w:rsidRPr="00937817">
        <w:rPr>
          <w:szCs w:val="22"/>
        </w:rPr>
        <w:t xml:space="preserve">  To the extent that the </w:t>
      </w:r>
      <w:r>
        <w:rPr>
          <w:szCs w:val="22"/>
        </w:rPr>
        <w:t>Judge</w:t>
      </w:r>
      <w:r w:rsidRPr="00937817">
        <w:rPr>
          <w:szCs w:val="22"/>
        </w:rPr>
        <w:t xml:space="preserve"> certified the question based on the allegation that Havens and his companies “engaged in p</w:t>
      </w:r>
      <w:r w:rsidRPr="00CA1AF9">
        <w:rPr>
          <w:szCs w:val="22"/>
        </w:rPr>
        <w:t xml:space="preserve">atterns of egregious behavior,” the parties contend that such conduct is not a valid reason to certify a question to the Commission under </w:t>
      </w:r>
      <w:r>
        <w:rPr>
          <w:szCs w:val="22"/>
        </w:rPr>
        <w:t xml:space="preserve">Commission rule </w:t>
      </w:r>
      <w:r w:rsidRPr="00CA1AF9">
        <w:rPr>
          <w:szCs w:val="22"/>
        </w:rPr>
        <w:t>1.251(f)(3), which only provides for certification of a question based on “a finding of bad faith on the part of a party to the proceeding.”</w:t>
      </w:r>
      <w:r>
        <w:rPr>
          <w:rStyle w:val="FootnoteReference"/>
          <w:sz w:val="22"/>
          <w:szCs w:val="22"/>
        </w:rPr>
        <w:footnoteReference w:id="121"/>
      </w:r>
    </w:p>
    <w:p w:rsidR="00C016B1" w:rsidRPr="00937817" w:rsidP="00C016B1">
      <w:pPr>
        <w:pStyle w:val="ParaNum"/>
        <w:rPr>
          <w:szCs w:val="22"/>
        </w:rPr>
      </w:pPr>
      <w:r>
        <w:rPr>
          <w:szCs w:val="22"/>
        </w:rPr>
        <w:t>Environmentel, Verde Systems, and Havens</w:t>
      </w:r>
      <w:r w:rsidRPr="00CA1AF9">
        <w:rPr>
          <w:szCs w:val="22"/>
        </w:rPr>
        <w:t xml:space="preserve"> also address the allegations regarding the conduct of Havens and his companies in the proceeding.  Several of these arguments either restate or build upon contentions raised </w:t>
      </w:r>
      <w:r>
        <w:rPr>
          <w:szCs w:val="22"/>
        </w:rPr>
        <w:t xml:space="preserve">either </w:t>
      </w:r>
      <w:r w:rsidRPr="00CA1AF9">
        <w:rPr>
          <w:szCs w:val="22"/>
        </w:rPr>
        <w:t xml:space="preserve">in the initial </w:t>
      </w:r>
      <w:r>
        <w:rPr>
          <w:szCs w:val="22"/>
        </w:rPr>
        <w:t>Environmentel and Verde Systems</w:t>
      </w:r>
      <w:r w:rsidRPr="00CA1AF9">
        <w:rPr>
          <w:szCs w:val="22"/>
        </w:rPr>
        <w:t xml:space="preserve"> Appeal or </w:t>
      </w:r>
      <w:r>
        <w:rPr>
          <w:szCs w:val="22"/>
        </w:rPr>
        <w:t xml:space="preserve">the </w:t>
      </w:r>
      <w:r w:rsidRPr="00CA1AF9">
        <w:rPr>
          <w:szCs w:val="22"/>
        </w:rPr>
        <w:t>Havens Appeal.</w:t>
      </w:r>
      <w:r>
        <w:rPr>
          <w:rStyle w:val="FootnoteReference"/>
          <w:sz w:val="22"/>
          <w:szCs w:val="22"/>
        </w:rPr>
        <w:footnoteReference w:id="122"/>
      </w:r>
      <w:r w:rsidRPr="00937817">
        <w:rPr>
          <w:szCs w:val="22"/>
        </w:rPr>
        <w:t xml:space="preserve">  </w:t>
      </w:r>
      <w:r>
        <w:rPr>
          <w:szCs w:val="22"/>
        </w:rPr>
        <w:t>They</w:t>
      </w:r>
      <w:r w:rsidRPr="00937817">
        <w:rPr>
          <w:szCs w:val="22"/>
        </w:rPr>
        <w:t xml:space="preserve"> </w:t>
      </w:r>
      <w:r w:rsidRPr="00CA1AF9">
        <w:rPr>
          <w:szCs w:val="22"/>
        </w:rPr>
        <w:t xml:space="preserve">contend that in addition to the latitude granted to </w:t>
      </w:r>
      <w:r w:rsidRPr="00CA1AF9">
        <w:rPr>
          <w:i/>
          <w:szCs w:val="22"/>
        </w:rPr>
        <w:t>pro se</w:t>
      </w:r>
      <w:r w:rsidRPr="00CA1AF9">
        <w:rPr>
          <w:szCs w:val="22"/>
        </w:rPr>
        <w:t xml:space="preserve"> litigants, the conduct of Havens and his companies is understandable because</w:t>
      </w:r>
      <w:r>
        <w:rPr>
          <w:szCs w:val="22"/>
        </w:rPr>
        <w:t xml:space="preserve"> the Enforcement Bureau </w:t>
      </w:r>
      <w:r w:rsidRPr="00CA1AF9">
        <w:rPr>
          <w:szCs w:val="22"/>
        </w:rPr>
        <w:t>“switched sides” during the proceeding, “moving from enforcing against Maritime to defending it.”</w:t>
      </w:r>
      <w:r>
        <w:rPr>
          <w:rStyle w:val="FootnoteReference"/>
          <w:sz w:val="22"/>
          <w:szCs w:val="22"/>
        </w:rPr>
        <w:footnoteReference w:id="123"/>
      </w:r>
      <w:r w:rsidRPr="00937817">
        <w:rPr>
          <w:szCs w:val="22"/>
        </w:rPr>
        <w:t xml:space="preserve">  Additionally</w:t>
      </w:r>
      <w:r w:rsidRPr="00CA1AF9">
        <w:rPr>
          <w:szCs w:val="22"/>
        </w:rPr>
        <w:t xml:space="preserve">, in response to allegations about burdensome evidentiary filings, </w:t>
      </w:r>
      <w:r>
        <w:rPr>
          <w:szCs w:val="22"/>
        </w:rPr>
        <w:t>Environmentel, Verde Systems, and Havens</w:t>
      </w:r>
      <w:r w:rsidRPr="00CA1AF9">
        <w:rPr>
          <w:szCs w:val="22"/>
        </w:rPr>
        <w:t xml:space="preserve"> state that while </w:t>
      </w:r>
      <w:r>
        <w:rPr>
          <w:szCs w:val="22"/>
        </w:rPr>
        <w:t>Environmentel and Verde Systems</w:t>
      </w:r>
      <w:r w:rsidRPr="00CA1AF9">
        <w:rPr>
          <w:szCs w:val="22"/>
        </w:rPr>
        <w:t xml:space="preserve"> did in fact file 400 exhibits, the </w:t>
      </w:r>
      <w:r>
        <w:rPr>
          <w:szCs w:val="22"/>
        </w:rPr>
        <w:t>Judge</w:t>
      </w:r>
      <w:r w:rsidRPr="00CA1AF9">
        <w:rPr>
          <w:szCs w:val="22"/>
        </w:rPr>
        <w:t xml:space="preserve"> found that only six of the exhibits were duplicative and admitted at least 50 of the exhibits.</w:t>
      </w:r>
      <w:r>
        <w:rPr>
          <w:rStyle w:val="FootnoteReference"/>
          <w:sz w:val="22"/>
          <w:szCs w:val="22"/>
        </w:rPr>
        <w:footnoteReference w:id="124"/>
      </w:r>
      <w:r w:rsidRPr="00937817">
        <w:rPr>
          <w:szCs w:val="22"/>
        </w:rPr>
        <w:t xml:space="preserve">  </w:t>
      </w:r>
      <w:r>
        <w:rPr>
          <w:szCs w:val="22"/>
        </w:rPr>
        <w:t>Environmentel, Verde Systems, and Havens</w:t>
      </w:r>
      <w:r w:rsidRPr="00937817">
        <w:rPr>
          <w:szCs w:val="22"/>
        </w:rPr>
        <w:t xml:space="preserve"> </w:t>
      </w:r>
      <w:r w:rsidRPr="00CA1AF9">
        <w:rPr>
          <w:szCs w:val="22"/>
        </w:rPr>
        <w:t xml:space="preserve">contend that, given these facts, there is no factual or legal basis for certifying a character question to the Commission. </w:t>
      </w:r>
      <w:r>
        <w:rPr>
          <w:szCs w:val="22"/>
        </w:rPr>
        <w:t xml:space="preserve"> They</w:t>
      </w:r>
      <w:r w:rsidRPr="00CA1AF9">
        <w:rPr>
          <w:szCs w:val="22"/>
        </w:rPr>
        <w:t xml:space="preserve"> </w:t>
      </w:r>
      <w:r>
        <w:rPr>
          <w:szCs w:val="22"/>
        </w:rPr>
        <w:t xml:space="preserve">further </w:t>
      </w:r>
      <w:r w:rsidRPr="00CA1AF9">
        <w:rPr>
          <w:szCs w:val="22"/>
        </w:rPr>
        <w:t>argue that excluding Havens and his companies from the hearing unfairly punishes them for zealously pursuing this matter.</w:t>
      </w:r>
      <w:r>
        <w:rPr>
          <w:rStyle w:val="FootnoteReference"/>
          <w:sz w:val="22"/>
          <w:szCs w:val="22"/>
        </w:rPr>
        <w:footnoteReference w:id="125"/>
      </w:r>
    </w:p>
    <w:p w:rsidR="00C016B1" w:rsidRPr="00937817" w:rsidP="00C016B1">
      <w:pPr>
        <w:pStyle w:val="ParaNum"/>
        <w:rPr>
          <w:szCs w:val="22"/>
        </w:rPr>
      </w:pPr>
      <w:r w:rsidRPr="00CA1AF9">
        <w:rPr>
          <w:b/>
          <w:szCs w:val="22"/>
        </w:rPr>
        <w:t xml:space="preserve">Maritime opposition to </w:t>
      </w:r>
      <w:r>
        <w:rPr>
          <w:b/>
          <w:szCs w:val="22"/>
        </w:rPr>
        <w:t>the supplement from Environmentel, Verde Systems, and Havens (September 30, 2015)</w:t>
      </w:r>
      <w:r w:rsidRPr="00CA1AF9">
        <w:rPr>
          <w:b/>
          <w:szCs w:val="22"/>
        </w:rPr>
        <w:t xml:space="preserve">.  </w:t>
      </w:r>
      <w:r w:rsidRPr="00CA1AF9">
        <w:rPr>
          <w:szCs w:val="22"/>
        </w:rPr>
        <w:t>Maritime filed an opposition to the Joint Supplement.</w:t>
      </w:r>
      <w:r>
        <w:rPr>
          <w:rStyle w:val="FootnoteReference"/>
          <w:sz w:val="22"/>
          <w:szCs w:val="22"/>
        </w:rPr>
        <w:footnoteReference w:id="126"/>
      </w:r>
      <w:r w:rsidRPr="00937817">
        <w:rPr>
          <w:szCs w:val="22"/>
        </w:rPr>
        <w:t xml:space="preserve">  Maritime responds to the Joint Supplement’s claim that the </w:t>
      </w:r>
      <w:r>
        <w:rPr>
          <w:szCs w:val="22"/>
        </w:rPr>
        <w:t>Judge</w:t>
      </w:r>
      <w:r w:rsidRPr="00937817">
        <w:rPr>
          <w:szCs w:val="22"/>
        </w:rPr>
        <w:t xml:space="preserve"> authorized the filing of the October 27 </w:t>
      </w:r>
      <w:r>
        <w:rPr>
          <w:szCs w:val="22"/>
        </w:rPr>
        <w:t>M</w:t>
      </w:r>
      <w:r w:rsidRPr="00937817">
        <w:rPr>
          <w:szCs w:val="22"/>
        </w:rPr>
        <w:t xml:space="preserve">otion, stating that </w:t>
      </w:r>
      <w:r>
        <w:rPr>
          <w:szCs w:val="22"/>
        </w:rPr>
        <w:t>Environmentel, Verde Systems, and Havens</w:t>
      </w:r>
      <w:r w:rsidRPr="00CA1AF9">
        <w:rPr>
          <w:szCs w:val="22"/>
        </w:rPr>
        <w:t xml:space="preserve"> </w:t>
      </w:r>
      <w:r>
        <w:rPr>
          <w:szCs w:val="22"/>
        </w:rPr>
        <w:t xml:space="preserve">are not credible; if they </w:t>
      </w:r>
      <w:r w:rsidRPr="00CA1AF9">
        <w:rPr>
          <w:szCs w:val="22"/>
        </w:rPr>
        <w:t xml:space="preserve">truly believed that the </w:t>
      </w:r>
      <w:r>
        <w:rPr>
          <w:szCs w:val="22"/>
        </w:rPr>
        <w:t>Judge</w:t>
      </w:r>
      <w:r w:rsidRPr="00CA1AF9">
        <w:rPr>
          <w:szCs w:val="22"/>
        </w:rPr>
        <w:t xml:space="preserve">’s statement had explicitly authorized the filing, the conversation would have been cited to in the October 27 </w:t>
      </w:r>
      <w:r>
        <w:rPr>
          <w:szCs w:val="22"/>
        </w:rPr>
        <w:t>M</w:t>
      </w:r>
      <w:r w:rsidRPr="00CA1AF9">
        <w:rPr>
          <w:szCs w:val="22"/>
        </w:rPr>
        <w:t>otion or other later filings.  Given that the argument only appears at this late stage, Maritime contends that it is nothing more than “a post-hoc rationalization.”</w:t>
      </w:r>
      <w:r>
        <w:rPr>
          <w:rStyle w:val="FootnoteReference"/>
          <w:sz w:val="22"/>
          <w:szCs w:val="22"/>
        </w:rPr>
        <w:footnoteReference w:id="127"/>
      </w:r>
    </w:p>
    <w:p w:rsidR="00C016B1" w:rsidRPr="00937817" w:rsidP="00C016B1">
      <w:pPr>
        <w:pStyle w:val="ParaNum"/>
        <w:rPr>
          <w:szCs w:val="22"/>
        </w:rPr>
      </w:pPr>
      <w:r w:rsidRPr="00937817">
        <w:rPr>
          <w:szCs w:val="22"/>
        </w:rPr>
        <w:t xml:space="preserve">Maritime also argues that </w:t>
      </w:r>
      <w:r>
        <w:rPr>
          <w:szCs w:val="22"/>
        </w:rPr>
        <w:t xml:space="preserve">the Enforcement Bureau </w:t>
      </w:r>
      <w:r w:rsidRPr="00937817">
        <w:rPr>
          <w:szCs w:val="22"/>
        </w:rPr>
        <w:t>did not “switch sides,” but rather acted properly upon review of the evidence uncovered in the course of the hearing.</w:t>
      </w:r>
      <w:r>
        <w:rPr>
          <w:rStyle w:val="FootnoteReference"/>
          <w:sz w:val="22"/>
          <w:szCs w:val="22"/>
        </w:rPr>
        <w:footnoteReference w:id="128"/>
      </w:r>
      <w:r w:rsidRPr="00937817">
        <w:rPr>
          <w:szCs w:val="22"/>
        </w:rPr>
        <w:t xml:space="preserve">  Even if </w:t>
      </w:r>
      <w:r>
        <w:rPr>
          <w:szCs w:val="22"/>
        </w:rPr>
        <w:t>the Enforcement Bureau</w:t>
      </w:r>
      <w:r w:rsidRPr="00937817">
        <w:rPr>
          <w:szCs w:val="22"/>
        </w:rPr>
        <w:t xml:space="preserve"> had “switched sides,” Mar</w:t>
      </w:r>
      <w:r w:rsidRPr="00CA1AF9">
        <w:rPr>
          <w:szCs w:val="22"/>
        </w:rPr>
        <w:t>itime contends such circumstances would not justify the conduct of Havens or his companies in the proceeding.</w:t>
      </w:r>
      <w:r>
        <w:rPr>
          <w:rStyle w:val="FootnoteReference"/>
          <w:sz w:val="22"/>
          <w:szCs w:val="22"/>
        </w:rPr>
        <w:footnoteReference w:id="129"/>
      </w:r>
    </w:p>
    <w:p w:rsidR="00C016B1" w:rsidRPr="00937817" w:rsidP="00C016B1">
      <w:pPr>
        <w:pStyle w:val="ParaNum"/>
        <w:rPr>
          <w:szCs w:val="22"/>
        </w:rPr>
      </w:pPr>
      <w:r w:rsidRPr="00CA1AF9">
        <w:rPr>
          <w:szCs w:val="22"/>
        </w:rPr>
        <w:t xml:space="preserve">Maritime also addresses the </w:t>
      </w:r>
      <w:r>
        <w:rPr>
          <w:szCs w:val="22"/>
        </w:rPr>
        <w:t>argument by Environmentel, Verde Systems, and Havens</w:t>
      </w:r>
      <w:r w:rsidRPr="00CA1AF9">
        <w:rPr>
          <w:szCs w:val="22"/>
        </w:rPr>
        <w:t xml:space="preserve"> that </w:t>
      </w:r>
      <w:r>
        <w:rPr>
          <w:szCs w:val="22"/>
        </w:rPr>
        <w:t>Commission rule</w:t>
      </w:r>
      <w:r w:rsidRPr="00CA1AF9">
        <w:rPr>
          <w:szCs w:val="22"/>
        </w:rPr>
        <w:t xml:space="preserve"> 1.251(f)(3) only applies to matters of bad faith and cannot apply to other issues of unacceptable conduct.  Maritime argues that this reading of the regulation is too narrow, but that, even if the </w:t>
      </w:r>
      <w:r>
        <w:rPr>
          <w:szCs w:val="22"/>
        </w:rPr>
        <w:t>alternative</w:t>
      </w:r>
      <w:r w:rsidRPr="00CA1AF9">
        <w:rPr>
          <w:szCs w:val="22"/>
        </w:rPr>
        <w:t xml:space="preserve"> reading </w:t>
      </w:r>
      <w:r>
        <w:rPr>
          <w:szCs w:val="22"/>
        </w:rPr>
        <w:t>were</w:t>
      </w:r>
      <w:r w:rsidRPr="00CA1AF9">
        <w:rPr>
          <w:szCs w:val="22"/>
        </w:rPr>
        <w:t xml:space="preserve"> accepted, the regulation does not preclude the </w:t>
      </w:r>
      <w:r>
        <w:rPr>
          <w:szCs w:val="22"/>
        </w:rPr>
        <w:t>Judge</w:t>
      </w:r>
      <w:r w:rsidRPr="00CA1AF9">
        <w:rPr>
          <w:szCs w:val="22"/>
        </w:rPr>
        <w:t xml:space="preserve"> from referring other questions to the Commission, even if those questions are not explicitly referenced in section 1.251.</w:t>
      </w:r>
      <w:r>
        <w:rPr>
          <w:rStyle w:val="FootnoteReference"/>
          <w:sz w:val="22"/>
          <w:szCs w:val="22"/>
        </w:rPr>
        <w:footnoteReference w:id="130"/>
      </w:r>
      <w:r w:rsidRPr="00937817">
        <w:rPr>
          <w:szCs w:val="22"/>
        </w:rPr>
        <w:t xml:space="preserve"> </w:t>
      </w:r>
    </w:p>
    <w:p w:rsidR="00C016B1" w:rsidRPr="00937817" w:rsidP="00C016B1">
      <w:pPr>
        <w:pStyle w:val="ParaNum"/>
        <w:rPr>
          <w:szCs w:val="22"/>
        </w:rPr>
      </w:pPr>
      <w:r w:rsidRPr="00CA1AF9">
        <w:rPr>
          <w:szCs w:val="22"/>
        </w:rPr>
        <w:t xml:space="preserve">In response to </w:t>
      </w:r>
      <w:r>
        <w:rPr>
          <w:szCs w:val="22"/>
        </w:rPr>
        <w:t>the contention by Environmentel, Verde Systems, and Havens</w:t>
      </w:r>
      <w:r w:rsidRPr="00CA1AF9">
        <w:rPr>
          <w:szCs w:val="22"/>
        </w:rPr>
        <w:t xml:space="preserve"> that </w:t>
      </w:r>
      <w:r>
        <w:rPr>
          <w:szCs w:val="22"/>
        </w:rPr>
        <w:t>they</w:t>
      </w:r>
      <w:r w:rsidRPr="00CA1AF9">
        <w:rPr>
          <w:szCs w:val="22"/>
        </w:rPr>
        <w:t xml:space="preserve"> had not engaged in abusive litigation practice</w:t>
      </w:r>
      <w:r>
        <w:rPr>
          <w:szCs w:val="22"/>
        </w:rPr>
        <w:t xml:space="preserve"> because </w:t>
      </w:r>
      <w:r w:rsidRPr="00CA1AF9">
        <w:rPr>
          <w:szCs w:val="22"/>
        </w:rPr>
        <w:t xml:space="preserve">at least 50 of </w:t>
      </w:r>
      <w:r>
        <w:rPr>
          <w:szCs w:val="22"/>
        </w:rPr>
        <w:t>their</w:t>
      </w:r>
      <w:r w:rsidRPr="00CA1AF9">
        <w:rPr>
          <w:szCs w:val="22"/>
        </w:rPr>
        <w:t xml:space="preserve"> exhibits were accepted into evidence, Maritime points out that this means approximately 90</w:t>
      </w:r>
      <w:r>
        <w:rPr>
          <w:szCs w:val="22"/>
        </w:rPr>
        <w:t>%</w:t>
      </w:r>
      <w:r w:rsidRPr="00CA1AF9">
        <w:rPr>
          <w:szCs w:val="22"/>
        </w:rPr>
        <w:t xml:space="preserve"> of </w:t>
      </w:r>
      <w:r>
        <w:rPr>
          <w:szCs w:val="22"/>
        </w:rPr>
        <w:t xml:space="preserve">their </w:t>
      </w:r>
      <w:r w:rsidRPr="00CA1AF9">
        <w:rPr>
          <w:szCs w:val="22"/>
        </w:rPr>
        <w:t>exhibits were rejected.</w:t>
      </w:r>
      <w:r>
        <w:rPr>
          <w:rStyle w:val="FootnoteReference"/>
          <w:sz w:val="22"/>
          <w:szCs w:val="22"/>
        </w:rPr>
        <w:footnoteReference w:id="131"/>
      </w:r>
      <w:r w:rsidRPr="00937817">
        <w:rPr>
          <w:szCs w:val="22"/>
        </w:rPr>
        <w:t xml:space="preserve">  Maritime adds that, </w:t>
      </w:r>
      <w:r w:rsidRPr="00CA1AF9">
        <w:rPr>
          <w:szCs w:val="22"/>
        </w:rPr>
        <w:t xml:space="preserve">in terms of page count, only 461 out of 17,000 pages of exhibits offered by </w:t>
      </w:r>
      <w:r>
        <w:rPr>
          <w:szCs w:val="22"/>
        </w:rPr>
        <w:t>Environmentel, Verde Systems, and Havens</w:t>
      </w:r>
      <w:r w:rsidRPr="00CA1AF9">
        <w:rPr>
          <w:szCs w:val="22"/>
        </w:rPr>
        <w:t xml:space="preserve"> were</w:t>
      </w:r>
      <w:r>
        <w:rPr>
          <w:szCs w:val="22"/>
        </w:rPr>
        <w:t xml:space="preserve"> admitted into evidence—</w:t>
      </w:r>
      <w:r w:rsidRPr="00CA1AF9">
        <w:rPr>
          <w:szCs w:val="22"/>
        </w:rPr>
        <w:t xml:space="preserve">a yield of less than </w:t>
      </w:r>
      <w:r>
        <w:rPr>
          <w:szCs w:val="22"/>
        </w:rPr>
        <w:t>3%</w:t>
      </w:r>
      <w:r w:rsidRPr="00CA1AF9">
        <w:rPr>
          <w:szCs w:val="22"/>
        </w:rPr>
        <w:t>.</w:t>
      </w:r>
      <w:r>
        <w:rPr>
          <w:rStyle w:val="FootnoteReference"/>
          <w:sz w:val="22"/>
          <w:szCs w:val="22"/>
        </w:rPr>
        <w:footnoteReference w:id="132"/>
      </w:r>
    </w:p>
    <w:p w:rsidR="00C016B1" w:rsidRPr="00937817" w:rsidP="00C016B1">
      <w:pPr>
        <w:pStyle w:val="ParaNum"/>
        <w:rPr>
          <w:szCs w:val="22"/>
        </w:rPr>
      </w:pPr>
      <w:r w:rsidRPr="00CA1AF9">
        <w:rPr>
          <w:szCs w:val="22"/>
        </w:rPr>
        <w:t xml:space="preserve">Maritime also raises </w:t>
      </w:r>
      <w:r>
        <w:rPr>
          <w:szCs w:val="22"/>
        </w:rPr>
        <w:t>arguments</w:t>
      </w:r>
      <w:r w:rsidRPr="00CA1AF9">
        <w:rPr>
          <w:szCs w:val="22"/>
        </w:rPr>
        <w:t xml:space="preserve"> related to Havens’s </w:t>
      </w:r>
      <w:r w:rsidRPr="00CA1AF9">
        <w:rPr>
          <w:i/>
          <w:szCs w:val="22"/>
        </w:rPr>
        <w:t xml:space="preserve">pro se </w:t>
      </w:r>
      <w:r w:rsidRPr="00CA1AF9">
        <w:rPr>
          <w:szCs w:val="22"/>
        </w:rPr>
        <w:t xml:space="preserve">status.  In addition to issues discussed in its earlier filing and the </w:t>
      </w:r>
      <w:r w:rsidRPr="001C4D8E">
        <w:rPr>
          <w:i/>
          <w:szCs w:val="22"/>
        </w:rPr>
        <w:t>Dismissal Order</w:t>
      </w:r>
      <w:r w:rsidRPr="00CA1AF9">
        <w:rPr>
          <w:szCs w:val="22"/>
        </w:rPr>
        <w:t>,</w:t>
      </w:r>
      <w:r>
        <w:rPr>
          <w:rStyle w:val="FootnoteReference"/>
          <w:sz w:val="22"/>
          <w:szCs w:val="22"/>
        </w:rPr>
        <w:footnoteReference w:id="133"/>
      </w:r>
      <w:r w:rsidRPr="00937817">
        <w:rPr>
          <w:szCs w:val="22"/>
        </w:rPr>
        <w:t xml:space="preserve"> Maritime argues that </w:t>
      </w:r>
      <w:r w:rsidRPr="00937817">
        <w:rPr>
          <w:i/>
          <w:szCs w:val="22"/>
        </w:rPr>
        <w:t>pro se</w:t>
      </w:r>
      <w:r w:rsidRPr="00CA1AF9">
        <w:rPr>
          <w:szCs w:val="22"/>
        </w:rPr>
        <w:t xml:space="preserve"> status in formal hearing proceedings is not a right, but rather is available at the discretion of the </w:t>
      </w:r>
      <w:r>
        <w:rPr>
          <w:szCs w:val="22"/>
        </w:rPr>
        <w:t>Judge</w:t>
      </w:r>
      <w:r w:rsidRPr="00CA1AF9">
        <w:rPr>
          <w:szCs w:val="22"/>
        </w:rPr>
        <w:t xml:space="preserve">, based on whether the </w:t>
      </w:r>
      <w:r w:rsidRPr="00CA1AF9">
        <w:rPr>
          <w:i/>
          <w:szCs w:val="22"/>
        </w:rPr>
        <w:t xml:space="preserve">pro se </w:t>
      </w:r>
      <w:r w:rsidRPr="00CA1AF9">
        <w:rPr>
          <w:szCs w:val="22"/>
        </w:rPr>
        <w:t>litigant has separate and independent interests from those of the other parties in the proceeding.</w:t>
      </w:r>
      <w:r>
        <w:rPr>
          <w:rStyle w:val="FootnoteReference"/>
          <w:sz w:val="22"/>
          <w:szCs w:val="22"/>
        </w:rPr>
        <w:footnoteReference w:id="134"/>
      </w:r>
      <w:r w:rsidRPr="00937817">
        <w:rPr>
          <w:szCs w:val="22"/>
        </w:rPr>
        <w:t xml:space="preserve">  Maritime argues that </w:t>
      </w:r>
      <w:r w:rsidRPr="00CA1AF9">
        <w:rPr>
          <w:szCs w:val="22"/>
        </w:rPr>
        <w:t xml:space="preserve">Havens has failed to demonstrate any interests separate and independent from those of his companies that would justify </w:t>
      </w:r>
      <w:r w:rsidRPr="00CA1AF9">
        <w:rPr>
          <w:i/>
          <w:szCs w:val="22"/>
        </w:rPr>
        <w:t xml:space="preserve">pro se </w:t>
      </w:r>
      <w:r w:rsidRPr="00CA1AF9">
        <w:rPr>
          <w:szCs w:val="22"/>
        </w:rPr>
        <w:t>status and its accompanying latitude.</w:t>
      </w:r>
      <w:r>
        <w:rPr>
          <w:rStyle w:val="FootnoteReference"/>
          <w:sz w:val="22"/>
          <w:szCs w:val="22"/>
        </w:rPr>
        <w:footnoteReference w:id="135"/>
      </w:r>
      <w:r w:rsidRPr="00937817">
        <w:rPr>
          <w:szCs w:val="22"/>
        </w:rPr>
        <w:t xml:space="preserve">  To the extent </w:t>
      </w:r>
      <w:r>
        <w:rPr>
          <w:szCs w:val="22"/>
        </w:rPr>
        <w:t>Environmentel, Verde Systems, a</w:t>
      </w:r>
      <w:r w:rsidRPr="00937817">
        <w:rPr>
          <w:szCs w:val="22"/>
        </w:rPr>
        <w:t xml:space="preserve">nd </w:t>
      </w:r>
      <w:r w:rsidRPr="00CA1AF9">
        <w:rPr>
          <w:szCs w:val="22"/>
        </w:rPr>
        <w:t xml:space="preserve">Havens argue that the </w:t>
      </w:r>
      <w:r>
        <w:rPr>
          <w:szCs w:val="22"/>
        </w:rPr>
        <w:t>Judge</w:t>
      </w:r>
      <w:r w:rsidRPr="00CA1AF9">
        <w:rPr>
          <w:szCs w:val="22"/>
        </w:rPr>
        <w:t xml:space="preserve"> should have resorted to a less extreme sanction than expulsion from the proceeding, Maritime highlights that the </w:t>
      </w:r>
      <w:r>
        <w:rPr>
          <w:szCs w:val="22"/>
        </w:rPr>
        <w:t>Judge</w:t>
      </w:r>
      <w:r w:rsidRPr="00CA1AF9">
        <w:rPr>
          <w:szCs w:val="22"/>
        </w:rPr>
        <w:t xml:space="preserve"> has </w:t>
      </w:r>
      <w:r>
        <w:rPr>
          <w:szCs w:val="22"/>
        </w:rPr>
        <w:t xml:space="preserve">previously </w:t>
      </w:r>
      <w:r w:rsidRPr="00CA1AF9">
        <w:rPr>
          <w:szCs w:val="22"/>
        </w:rPr>
        <w:t>attempted such lesser measures, including directing Havens to retain legal counsel.</w:t>
      </w:r>
      <w:r>
        <w:rPr>
          <w:rStyle w:val="FootnoteReference"/>
          <w:sz w:val="22"/>
          <w:szCs w:val="22"/>
        </w:rPr>
        <w:footnoteReference w:id="136"/>
      </w:r>
    </w:p>
    <w:p w:rsidR="00C016B1" w:rsidRPr="00937817" w:rsidP="00C016B1">
      <w:pPr>
        <w:pStyle w:val="ParaNum"/>
        <w:rPr>
          <w:szCs w:val="22"/>
        </w:rPr>
      </w:pPr>
      <w:r>
        <w:rPr>
          <w:b/>
          <w:szCs w:val="22"/>
        </w:rPr>
        <w:t>Reply of Environmentel, Verde Systems, and Havens</w:t>
      </w:r>
      <w:r w:rsidRPr="00CA1AF9">
        <w:rPr>
          <w:b/>
          <w:szCs w:val="22"/>
        </w:rPr>
        <w:t xml:space="preserve"> to Maritime’s opposition</w:t>
      </w:r>
      <w:r>
        <w:rPr>
          <w:b/>
          <w:szCs w:val="22"/>
        </w:rPr>
        <w:t xml:space="preserve"> to the supplement (October 8, 2015).</w:t>
      </w:r>
      <w:r w:rsidRPr="00CA1AF9">
        <w:rPr>
          <w:b/>
          <w:szCs w:val="22"/>
        </w:rPr>
        <w:t xml:space="preserve">  </w:t>
      </w:r>
      <w:r>
        <w:rPr>
          <w:szCs w:val="22"/>
        </w:rPr>
        <w:t>Environmentel, Verde Systems, and Havens</w:t>
      </w:r>
      <w:r w:rsidRPr="00CA1AF9">
        <w:rPr>
          <w:szCs w:val="22"/>
        </w:rPr>
        <w:t xml:space="preserve"> filed a joint reply to the Maritime Supplement.</w:t>
      </w:r>
      <w:r>
        <w:rPr>
          <w:rStyle w:val="FootnoteReference"/>
          <w:sz w:val="22"/>
          <w:szCs w:val="22"/>
        </w:rPr>
        <w:footnoteReference w:id="137"/>
      </w:r>
      <w:r w:rsidRPr="00937817">
        <w:rPr>
          <w:szCs w:val="22"/>
        </w:rPr>
        <w:t xml:space="preserve">  In the Joint Reply, </w:t>
      </w:r>
      <w:r>
        <w:rPr>
          <w:szCs w:val="22"/>
        </w:rPr>
        <w:t>Havens</w:t>
      </w:r>
      <w:r w:rsidRPr="00937817">
        <w:rPr>
          <w:szCs w:val="22"/>
        </w:rPr>
        <w:t xml:space="preserve"> </w:t>
      </w:r>
      <w:r>
        <w:rPr>
          <w:szCs w:val="22"/>
        </w:rPr>
        <w:t xml:space="preserve">and his companies </w:t>
      </w:r>
      <w:r w:rsidRPr="00CA1AF9">
        <w:rPr>
          <w:szCs w:val="22"/>
        </w:rPr>
        <w:t xml:space="preserve">further argue that the </w:t>
      </w:r>
      <w:r>
        <w:rPr>
          <w:szCs w:val="22"/>
        </w:rPr>
        <w:t>Judge</w:t>
      </w:r>
      <w:r w:rsidRPr="00CA1AF9">
        <w:rPr>
          <w:szCs w:val="22"/>
        </w:rPr>
        <w:t xml:space="preserve">’s ban on further motions for summary judgment did not apply to the October 27 </w:t>
      </w:r>
      <w:r>
        <w:rPr>
          <w:szCs w:val="22"/>
        </w:rPr>
        <w:t>M</w:t>
      </w:r>
      <w:r w:rsidRPr="00CA1AF9">
        <w:rPr>
          <w:szCs w:val="22"/>
        </w:rPr>
        <w:t xml:space="preserve">otion, as the prohibition was directed only at Maritime and </w:t>
      </w:r>
      <w:r>
        <w:rPr>
          <w:szCs w:val="22"/>
        </w:rPr>
        <w:t>the Enforcement Bureau</w:t>
      </w:r>
      <w:r w:rsidRPr="00CA1AF9">
        <w:rPr>
          <w:szCs w:val="22"/>
        </w:rPr>
        <w:t>.</w:t>
      </w:r>
      <w:r>
        <w:rPr>
          <w:rStyle w:val="FootnoteReference"/>
          <w:sz w:val="22"/>
          <w:szCs w:val="22"/>
        </w:rPr>
        <w:footnoteReference w:id="138"/>
      </w:r>
      <w:r w:rsidRPr="00937817">
        <w:rPr>
          <w:szCs w:val="22"/>
        </w:rPr>
        <w:t xml:space="preserve">  </w:t>
      </w:r>
      <w:r>
        <w:rPr>
          <w:szCs w:val="22"/>
        </w:rPr>
        <w:t>They</w:t>
      </w:r>
      <w:r w:rsidRPr="00937817">
        <w:rPr>
          <w:szCs w:val="22"/>
        </w:rPr>
        <w:t xml:space="preserve"> </w:t>
      </w:r>
      <w:r w:rsidRPr="00CA1AF9">
        <w:rPr>
          <w:szCs w:val="22"/>
        </w:rPr>
        <w:t xml:space="preserve">also continue to press </w:t>
      </w:r>
      <w:r>
        <w:rPr>
          <w:szCs w:val="22"/>
        </w:rPr>
        <w:t>their</w:t>
      </w:r>
      <w:r w:rsidRPr="00CA1AF9">
        <w:rPr>
          <w:szCs w:val="22"/>
        </w:rPr>
        <w:t xml:space="preserve"> contention that </w:t>
      </w:r>
      <w:r>
        <w:rPr>
          <w:szCs w:val="22"/>
        </w:rPr>
        <w:t xml:space="preserve">the </w:t>
      </w:r>
      <w:r w:rsidRPr="00CA1AF9">
        <w:rPr>
          <w:szCs w:val="22"/>
        </w:rPr>
        <w:t xml:space="preserve">complained-of conduct </w:t>
      </w:r>
      <w:r>
        <w:rPr>
          <w:szCs w:val="22"/>
        </w:rPr>
        <w:t xml:space="preserve">by </w:t>
      </w:r>
      <w:r w:rsidRPr="00CA1AF9">
        <w:rPr>
          <w:szCs w:val="22"/>
        </w:rPr>
        <w:t xml:space="preserve">Havens and his companies was justified by </w:t>
      </w:r>
      <w:r>
        <w:rPr>
          <w:szCs w:val="22"/>
        </w:rPr>
        <w:t xml:space="preserve">the Enforcement Bureau’s </w:t>
      </w:r>
      <w:r w:rsidRPr="00CA1AF9">
        <w:rPr>
          <w:szCs w:val="22"/>
        </w:rPr>
        <w:t>“switching sides” during the course of the proceeding.</w:t>
      </w:r>
      <w:r>
        <w:rPr>
          <w:rStyle w:val="FootnoteReference"/>
          <w:sz w:val="22"/>
          <w:szCs w:val="22"/>
        </w:rPr>
        <w:footnoteReference w:id="139"/>
      </w:r>
      <w:r w:rsidRPr="00937817">
        <w:rPr>
          <w:szCs w:val="22"/>
        </w:rPr>
        <w:t xml:space="preserve">  Lastly, </w:t>
      </w:r>
      <w:r>
        <w:rPr>
          <w:szCs w:val="22"/>
        </w:rPr>
        <w:t>Havens</w:t>
      </w:r>
      <w:r w:rsidRPr="00937817">
        <w:rPr>
          <w:szCs w:val="22"/>
        </w:rPr>
        <w:t xml:space="preserve"> </w:t>
      </w:r>
      <w:r>
        <w:rPr>
          <w:szCs w:val="22"/>
        </w:rPr>
        <w:t xml:space="preserve">and his companies </w:t>
      </w:r>
      <w:r w:rsidRPr="00CA1AF9">
        <w:rPr>
          <w:szCs w:val="22"/>
        </w:rPr>
        <w:t xml:space="preserve">reiterate </w:t>
      </w:r>
      <w:r>
        <w:rPr>
          <w:szCs w:val="22"/>
        </w:rPr>
        <w:t>their</w:t>
      </w:r>
      <w:r w:rsidRPr="00CA1AF9">
        <w:rPr>
          <w:szCs w:val="22"/>
        </w:rPr>
        <w:t xml:space="preserve"> position that Haven’s conduct was within the expectations for a </w:t>
      </w:r>
      <w:r w:rsidRPr="00CA1AF9">
        <w:rPr>
          <w:i/>
          <w:szCs w:val="22"/>
        </w:rPr>
        <w:t xml:space="preserve">pro se </w:t>
      </w:r>
      <w:r w:rsidRPr="00CA1AF9">
        <w:rPr>
          <w:szCs w:val="22"/>
        </w:rPr>
        <w:t>litigant and does not serve as grounds for exclusion from the hearing or referral to the Commission.</w:t>
      </w:r>
      <w:r>
        <w:rPr>
          <w:rStyle w:val="FootnoteReference"/>
          <w:sz w:val="22"/>
          <w:szCs w:val="22"/>
        </w:rPr>
        <w:footnoteReference w:id="140"/>
      </w:r>
    </w:p>
    <w:p w:rsidR="00C016B1" w:rsidRPr="00CA1AF9" w:rsidP="00C016B1">
      <w:pPr>
        <w:pStyle w:val="Heading1"/>
        <w:rPr>
          <w:rFonts w:ascii="Times New Roman" w:hAnsi="Times New Roman"/>
          <w:szCs w:val="22"/>
        </w:rPr>
      </w:pPr>
      <w:r w:rsidRPr="00CA1AF9">
        <w:rPr>
          <w:rFonts w:ascii="Times New Roman" w:hAnsi="Times New Roman"/>
          <w:szCs w:val="22"/>
        </w:rPr>
        <w:t>Discussion</w:t>
      </w:r>
    </w:p>
    <w:p w:rsidR="00C016B1" w:rsidRPr="005B2C5D" w:rsidP="00C016B1">
      <w:pPr>
        <w:pStyle w:val="ParaNum"/>
        <w:rPr>
          <w:szCs w:val="22"/>
        </w:rPr>
      </w:pPr>
      <w:r w:rsidRPr="00F27B91">
        <w:rPr>
          <w:szCs w:val="22"/>
        </w:rPr>
        <w:t xml:space="preserve">We uphold the </w:t>
      </w:r>
      <w:r>
        <w:rPr>
          <w:szCs w:val="22"/>
        </w:rPr>
        <w:t>Judge</w:t>
      </w:r>
      <w:r w:rsidRPr="00F27B91">
        <w:rPr>
          <w:szCs w:val="22"/>
        </w:rPr>
        <w:t xml:space="preserve">’s removal of Havens and his companies as parties to this proceeding.  We first find that Havens’s separate appeal of the </w:t>
      </w:r>
      <w:r>
        <w:rPr>
          <w:szCs w:val="22"/>
        </w:rPr>
        <w:t>Judge</w:t>
      </w:r>
      <w:r w:rsidRPr="00F27B91">
        <w:rPr>
          <w:szCs w:val="22"/>
        </w:rPr>
        <w:t xml:space="preserve">’s </w:t>
      </w:r>
      <w:r w:rsidRPr="00F27B91">
        <w:rPr>
          <w:i/>
          <w:szCs w:val="22"/>
        </w:rPr>
        <w:t xml:space="preserve">Dismissal Order </w:t>
      </w:r>
      <w:r w:rsidRPr="00F27B91">
        <w:rPr>
          <w:szCs w:val="22"/>
        </w:rPr>
        <w:t xml:space="preserve">is procedurally defective and therefore subject to dismissal.  We next find that the applicable legal standard warrants upholding the </w:t>
      </w:r>
      <w:r>
        <w:rPr>
          <w:szCs w:val="22"/>
        </w:rPr>
        <w:t>Judge</w:t>
      </w:r>
      <w:r w:rsidRPr="00F27B91">
        <w:rPr>
          <w:szCs w:val="22"/>
        </w:rPr>
        <w:t xml:space="preserve">’s ruling if he reasonably exercised his discretion in concluding that removal is justified by conduct that was contemptuous or otherwise disruptive.  In this regard, we agree that the record supports such a conclusion here.  We find three matters of particular significance: (1) the circumstances surrounding the filing of a motion for summary decision by </w:t>
      </w:r>
      <w:r>
        <w:rPr>
          <w:szCs w:val="22"/>
        </w:rPr>
        <w:t>Havens and his companies</w:t>
      </w:r>
      <w:r w:rsidRPr="00F27B91">
        <w:rPr>
          <w:szCs w:val="22"/>
        </w:rPr>
        <w:t xml:space="preserve"> on October 27, 2014</w:t>
      </w:r>
      <w:r>
        <w:rPr>
          <w:szCs w:val="22"/>
        </w:rPr>
        <w:t>,</w:t>
      </w:r>
      <w:r w:rsidRPr="00F27B91">
        <w:rPr>
          <w:szCs w:val="22"/>
        </w:rPr>
        <w:t xml:space="preserve"> contrary to the </w:t>
      </w:r>
      <w:r>
        <w:rPr>
          <w:szCs w:val="22"/>
        </w:rPr>
        <w:t>Judge</w:t>
      </w:r>
      <w:r w:rsidRPr="00F27B91">
        <w:rPr>
          <w:szCs w:val="22"/>
        </w:rPr>
        <w:t>’s instructions</w:t>
      </w:r>
      <w:r>
        <w:rPr>
          <w:szCs w:val="22"/>
        </w:rPr>
        <w:t>;</w:t>
      </w:r>
      <w:r w:rsidRPr="00F27B91">
        <w:rPr>
          <w:szCs w:val="22"/>
        </w:rPr>
        <w:t xml:space="preserve"> (2) Havens’s assertion of attorney-client privilege to block inquiry into his legal assistance in preparing p</w:t>
      </w:r>
      <w:r>
        <w:rPr>
          <w:szCs w:val="22"/>
        </w:rPr>
        <w:t>leadings;</w:t>
      </w:r>
      <w:r w:rsidRPr="00F27B91">
        <w:rPr>
          <w:szCs w:val="22"/>
        </w:rPr>
        <w:t xml:space="preserve"> and (3) Haven</w:t>
      </w:r>
      <w:r>
        <w:rPr>
          <w:szCs w:val="22"/>
        </w:rPr>
        <w:t>s</w:t>
      </w:r>
      <w:r w:rsidRPr="00F27B91">
        <w:rPr>
          <w:szCs w:val="22"/>
        </w:rPr>
        <w:t xml:space="preserve">’s filing of Freedom of Information Act requests for material he </w:t>
      </w:r>
      <w:r>
        <w:rPr>
          <w:szCs w:val="22"/>
        </w:rPr>
        <w:t>w</w:t>
      </w:r>
      <w:r w:rsidRPr="00F27B91">
        <w:rPr>
          <w:szCs w:val="22"/>
        </w:rPr>
        <w:t xml:space="preserve">as prohibited from examining by a protective order in this proceeding. </w:t>
      </w:r>
      <w:r>
        <w:rPr>
          <w:szCs w:val="22"/>
        </w:rPr>
        <w:t xml:space="preserve"> </w:t>
      </w:r>
      <w:r w:rsidRPr="00F27B91">
        <w:rPr>
          <w:szCs w:val="22"/>
        </w:rPr>
        <w:t>We find that Havens’s misconduct in earlier Commission and judicial proceedings is relevant to the appropriatene</w:t>
      </w:r>
      <w:r>
        <w:rPr>
          <w:szCs w:val="22"/>
        </w:rPr>
        <w:t xml:space="preserve">ss of sanctions here.  Finally, </w:t>
      </w:r>
      <w:r w:rsidRPr="00F27B91">
        <w:rPr>
          <w:szCs w:val="22"/>
        </w:rPr>
        <w:t xml:space="preserve">we refer to the </w:t>
      </w:r>
      <w:r w:rsidR="002737E7">
        <w:rPr>
          <w:szCs w:val="22"/>
        </w:rPr>
        <w:t>Enforcement Bureau</w:t>
      </w:r>
      <w:r>
        <w:rPr>
          <w:szCs w:val="22"/>
        </w:rPr>
        <w:t xml:space="preserve"> </w:t>
      </w:r>
      <w:r w:rsidRPr="00F27B91">
        <w:rPr>
          <w:szCs w:val="22"/>
        </w:rPr>
        <w:t>questions concerning Havens’s basic character qualifications.  We address these matters in turn.</w:t>
      </w:r>
    </w:p>
    <w:p w:rsidR="00C016B1" w:rsidRPr="00937817" w:rsidP="00C016B1">
      <w:pPr>
        <w:pStyle w:val="ParaNum"/>
        <w:rPr>
          <w:szCs w:val="22"/>
        </w:rPr>
      </w:pPr>
      <w:r w:rsidRPr="00937817">
        <w:rPr>
          <w:b/>
          <w:szCs w:val="22"/>
        </w:rPr>
        <w:t xml:space="preserve">Procedural matters.  </w:t>
      </w:r>
      <w:r w:rsidRPr="00937817">
        <w:rPr>
          <w:szCs w:val="22"/>
        </w:rPr>
        <w:t>Init</w:t>
      </w:r>
      <w:r w:rsidRPr="00CA1AF9">
        <w:rPr>
          <w:szCs w:val="22"/>
        </w:rPr>
        <w:t xml:space="preserve">ially, we examine the allegations of Maritime and </w:t>
      </w:r>
      <w:r>
        <w:rPr>
          <w:szCs w:val="22"/>
        </w:rPr>
        <w:t>the Enforcement Bureau</w:t>
      </w:r>
      <w:r w:rsidRPr="00CA1AF9">
        <w:rPr>
          <w:szCs w:val="22"/>
        </w:rPr>
        <w:t xml:space="preserve"> that the Havens Appeal and the </w:t>
      </w:r>
      <w:r>
        <w:rPr>
          <w:szCs w:val="22"/>
        </w:rPr>
        <w:t>Environmentel and Verde Systems</w:t>
      </w:r>
      <w:r w:rsidRPr="00CA1AF9">
        <w:rPr>
          <w:szCs w:val="22"/>
        </w:rPr>
        <w:t xml:space="preserve"> Appeal should be stricken as procedurally defective.  The Havens Appeal states that: “[p]</w:t>
      </w:r>
      <w:r w:rsidRPr="00CA1AF9">
        <w:rPr>
          <w:szCs w:val="22"/>
        </w:rPr>
        <w:t>etitioners</w:t>
      </w:r>
      <w:r w:rsidRPr="00CA1AF9">
        <w:rPr>
          <w:szCs w:val="22"/>
        </w:rPr>
        <w:t xml:space="preserve"> agree with the interlocutory appeal filed by </w:t>
      </w:r>
      <w:r>
        <w:rPr>
          <w:szCs w:val="22"/>
        </w:rPr>
        <w:t>[Environmentel and Verde Systems]</w:t>
      </w:r>
      <w:r w:rsidRPr="00CA1AF9">
        <w:rPr>
          <w:szCs w:val="22"/>
        </w:rPr>
        <w:t xml:space="preserve"> . . . and state the following in addition to the matters addressed in the [</w:t>
      </w:r>
      <w:r>
        <w:rPr>
          <w:szCs w:val="22"/>
        </w:rPr>
        <w:t>Environmentel and Verde Systems</w:t>
      </w:r>
      <w:r w:rsidRPr="00CA1AF9">
        <w:rPr>
          <w:szCs w:val="22"/>
        </w:rPr>
        <w:t xml:space="preserve"> Appeal].”</w:t>
      </w:r>
      <w:r>
        <w:rPr>
          <w:rStyle w:val="FootnoteReference"/>
          <w:sz w:val="22"/>
          <w:szCs w:val="22"/>
        </w:rPr>
        <w:footnoteReference w:id="141"/>
      </w:r>
      <w:r w:rsidRPr="00937817">
        <w:rPr>
          <w:szCs w:val="22"/>
        </w:rPr>
        <w:t xml:space="preserve">  </w:t>
      </w:r>
      <w:r w:rsidRPr="00CA1AF9">
        <w:rPr>
          <w:szCs w:val="22"/>
        </w:rPr>
        <w:t xml:space="preserve">The Havens Appeal also indicates that it was filed on behalf of “Warren Havens (‘Havens’) </w:t>
      </w:r>
      <w:r w:rsidRPr="00CA1AF9">
        <w:rPr>
          <w:i/>
          <w:szCs w:val="22"/>
        </w:rPr>
        <w:t xml:space="preserve">Pro Se </w:t>
      </w:r>
      <w:r w:rsidRPr="00CA1AF9">
        <w:rPr>
          <w:szCs w:val="22"/>
        </w:rPr>
        <w:t>and for the Havens-managed entity parties on the signature page. . . .”</w:t>
      </w:r>
      <w:r>
        <w:rPr>
          <w:rStyle w:val="FootnoteReference"/>
          <w:sz w:val="22"/>
          <w:szCs w:val="22"/>
        </w:rPr>
        <w:footnoteReference w:id="142"/>
      </w:r>
      <w:r w:rsidRPr="00937817">
        <w:rPr>
          <w:szCs w:val="22"/>
        </w:rPr>
        <w:t xml:space="preserve">  In both respects, the Havens Appeal violates the </w:t>
      </w:r>
      <w:r>
        <w:rPr>
          <w:szCs w:val="22"/>
        </w:rPr>
        <w:t>Judge</w:t>
      </w:r>
      <w:r w:rsidRPr="00937817">
        <w:rPr>
          <w:szCs w:val="22"/>
        </w:rPr>
        <w:t>’s ruling</w:t>
      </w:r>
      <w:r w:rsidRPr="00CA1AF9">
        <w:rPr>
          <w:szCs w:val="22"/>
        </w:rPr>
        <w:t>s placing conditions on Havens’s representation that were approved by the Commission’s 2013 Procedural Order.</w:t>
      </w:r>
      <w:r>
        <w:rPr>
          <w:rStyle w:val="FootnoteReference"/>
          <w:sz w:val="22"/>
          <w:szCs w:val="22"/>
        </w:rPr>
        <w:footnoteReference w:id="143"/>
      </w:r>
      <w:r w:rsidRPr="00937817">
        <w:rPr>
          <w:szCs w:val="22"/>
        </w:rPr>
        <w:t xml:space="preserve">  The </w:t>
      </w:r>
      <w:r w:rsidRPr="00CA1AF9">
        <w:rPr>
          <w:szCs w:val="22"/>
        </w:rPr>
        <w:t xml:space="preserve">rulings required Havens to file joint pleadings with his companies to the extent they took identical positions or to give reasons why they could not agree, and prohibited Havens from representing his companies.  The Havens Appeal violates the first condition in that </w:t>
      </w:r>
      <w:r>
        <w:rPr>
          <w:szCs w:val="22"/>
        </w:rPr>
        <w:t xml:space="preserve">Havens and Environmentel and Verde Systems filed separate appeals without explaining why they could not agree on a single pleading </w:t>
      </w:r>
      <w:r w:rsidRPr="00CA1AF9">
        <w:rPr>
          <w:szCs w:val="22"/>
        </w:rPr>
        <w:t>and violates the second condition by purporting to represent the four companies not represented by counsel.  It is therefore stricken.</w:t>
      </w:r>
      <w:r>
        <w:rPr>
          <w:rStyle w:val="FootnoteReference"/>
          <w:sz w:val="22"/>
          <w:szCs w:val="22"/>
        </w:rPr>
        <w:footnoteReference w:id="144"/>
      </w:r>
    </w:p>
    <w:p w:rsidR="00C016B1" w:rsidRPr="00937817" w:rsidP="00C016B1">
      <w:pPr>
        <w:pStyle w:val="ParaNum"/>
        <w:rPr>
          <w:szCs w:val="22"/>
        </w:rPr>
      </w:pPr>
      <w:r w:rsidRPr="00CA1AF9">
        <w:rPr>
          <w:szCs w:val="22"/>
        </w:rPr>
        <w:t xml:space="preserve">On the other hand, we see no reason to strike the </w:t>
      </w:r>
      <w:r>
        <w:rPr>
          <w:szCs w:val="22"/>
        </w:rPr>
        <w:t>Environmentel and Verde Systems</w:t>
      </w:r>
      <w:r w:rsidRPr="00CA1AF9">
        <w:rPr>
          <w:szCs w:val="22"/>
        </w:rPr>
        <w:t xml:space="preserve"> Appeal.  The one-page Exhibit 1, appended to the appeal, contains the text of quotations relied on by the appeal.  It can fairly be described as factual material supporting the appeal, which does not count in computing whether the appeal conforms to the applicable page limitation.</w:t>
      </w:r>
      <w:r>
        <w:rPr>
          <w:rStyle w:val="FootnoteReference"/>
          <w:sz w:val="22"/>
          <w:szCs w:val="22"/>
        </w:rPr>
        <w:footnoteReference w:id="145"/>
      </w:r>
    </w:p>
    <w:p w:rsidR="00C016B1" w:rsidRPr="00CA1AF9" w:rsidP="00C016B1">
      <w:pPr>
        <w:pStyle w:val="ParaNum"/>
        <w:rPr>
          <w:szCs w:val="22"/>
        </w:rPr>
      </w:pPr>
      <w:r w:rsidRPr="00CA1AF9">
        <w:rPr>
          <w:b/>
          <w:szCs w:val="22"/>
        </w:rPr>
        <w:t>Legal standards.</w:t>
      </w:r>
      <w:r w:rsidRPr="00CA1AF9">
        <w:rPr>
          <w:szCs w:val="22"/>
        </w:rPr>
        <w:t xml:space="preserve">  As discussed below, an administrative law </w:t>
      </w:r>
      <w:r>
        <w:rPr>
          <w:szCs w:val="22"/>
        </w:rPr>
        <w:t>judge</w:t>
      </w:r>
      <w:r w:rsidRPr="00CA1AF9">
        <w:rPr>
          <w:szCs w:val="22"/>
        </w:rPr>
        <w:t xml:space="preserve"> may remove a party from a hearing and exclude that party from future participation for contemptuous conduct or for otherwise disrupting the proceeding.  Such a decision may be appealed to the Commission, and we review such action to determine whether the administrative law </w:t>
      </w:r>
      <w:r>
        <w:rPr>
          <w:szCs w:val="22"/>
        </w:rPr>
        <w:t>judge</w:t>
      </w:r>
      <w:r w:rsidRPr="00CA1AF9">
        <w:rPr>
          <w:szCs w:val="22"/>
        </w:rPr>
        <w:t xml:space="preserve"> abused his discretion in removing the party.  </w:t>
      </w:r>
    </w:p>
    <w:p w:rsidR="00C016B1" w:rsidRPr="00BF0A1E" w:rsidP="00C016B1">
      <w:pPr>
        <w:pStyle w:val="ParaNum"/>
        <w:rPr>
          <w:szCs w:val="22"/>
        </w:rPr>
      </w:pPr>
      <w:r>
        <w:rPr>
          <w:szCs w:val="22"/>
        </w:rPr>
        <w:t>It is well established that a</w:t>
      </w:r>
      <w:r w:rsidRPr="00D647E3">
        <w:rPr>
          <w:szCs w:val="22"/>
        </w:rPr>
        <w:t xml:space="preserve">n administrative law </w:t>
      </w:r>
      <w:r>
        <w:rPr>
          <w:szCs w:val="22"/>
        </w:rPr>
        <w:t>judge</w:t>
      </w:r>
      <w:r w:rsidRPr="00D647E3">
        <w:rPr>
          <w:szCs w:val="22"/>
        </w:rPr>
        <w:t xml:space="preserve"> has authority to </w:t>
      </w:r>
      <w:r>
        <w:rPr>
          <w:szCs w:val="22"/>
        </w:rPr>
        <w:t>regulate</w:t>
      </w:r>
      <w:r w:rsidRPr="00D647E3">
        <w:rPr>
          <w:szCs w:val="22"/>
        </w:rPr>
        <w:t xml:space="preserve"> the course of a hearing.  </w:t>
      </w:r>
      <w:r w:rsidRPr="007928D1">
        <w:rPr>
          <w:szCs w:val="22"/>
        </w:rPr>
        <w:t>This authority is expressly set forth in both the Administrative Procedure Act and the Commission’s rules</w:t>
      </w:r>
      <w:r>
        <w:rPr>
          <w:rStyle w:val="FootnoteReference"/>
          <w:sz w:val="22"/>
          <w:szCs w:val="22"/>
        </w:rPr>
        <w:footnoteReference w:id="146"/>
      </w:r>
      <w:r>
        <w:rPr>
          <w:szCs w:val="22"/>
        </w:rPr>
        <w:t xml:space="preserve"> and </w:t>
      </w:r>
      <w:r w:rsidRPr="00D647E3">
        <w:rPr>
          <w:szCs w:val="22"/>
        </w:rPr>
        <w:t xml:space="preserve">is “functionally comparable” to that of a trial </w:t>
      </w:r>
      <w:r>
        <w:rPr>
          <w:szCs w:val="22"/>
        </w:rPr>
        <w:t xml:space="preserve">judge’s inherent authority to manage trials and </w:t>
      </w:r>
      <w:r w:rsidRPr="00D647E3">
        <w:rPr>
          <w:szCs w:val="22"/>
        </w:rPr>
        <w:t>maintain the decorum of the courtroom.</w:t>
      </w:r>
      <w:r>
        <w:rPr>
          <w:rStyle w:val="FootnoteReference"/>
          <w:sz w:val="22"/>
          <w:szCs w:val="22"/>
        </w:rPr>
        <w:footnoteReference w:id="147"/>
      </w:r>
      <w:r w:rsidRPr="00D647E3">
        <w:rPr>
          <w:szCs w:val="22"/>
        </w:rPr>
        <w:t xml:space="preserve">  </w:t>
      </w:r>
      <w:r>
        <w:rPr>
          <w:szCs w:val="22"/>
        </w:rPr>
        <w:t>Indeed, j</w:t>
      </w:r>
      <w:r w:rsidRPr="00D647E3">
        <w:rPr>
          <w:szCs w:val="22"/>
        </w:rPr>
        <w:t xml:space="preserve">ust as a trial </w:t>
      </w:r>
      <w:r>
        <w:rPr>
          <w:szCs w:val="22"/>
        </w:rPr>
        <w:t>judge has i</w:t>
      </w:r>
      <w:r w:rsidRPr="00D647E3">
        <w:rPr>
          <w:szCs w:val="22"/>
        </w:rPr>
        <w:t>nherent authority</w:t>
      </w:r>
      <w:r>
        <w:rPr>
          <w:szCs w:val="22"/>
        </w:rPr>
        <w:t xml:space="preserve"> </w:t>
      </w:r>
      <w:r w:rsidRPr="00D647E3">
        <w:rPr>
          <w:szCs w:val="22"/>
        </w:rPr>
        <w:t xml:space="preserve">to remove a party or dismiss a suit due to </w:t>
      </w:r>
      <w:r>
        <w:rPr>
          <w:szCs w:val="22"/>
        </w:rPr>
        <w:t>a litigant’s mis</w:t>
      </w:r>
      <w:r w:rsidRPr="00D647E3">
        <w:rPr>
          <w:szCs w:val="22"/>
        </w:rPr>
        <w:t xml:space="preserve">conduct, the administrative law </w:t>
      </w:r>
      <w:r>
        <w:rPr>
          <w:szCs w:val="22"/>
        </w:rPr>
        <w:t xml:space="preserve">judge has </w:t>
      </w:r>
      <w:r w:rsidRPr="00D647E3">
        <w:rPr>
          <w:szCs w:val="22"/>
        </w:rPr>
        <w:t>authority to remove a party for disruptive or dilatory conduct</w:t>
      </w:r>
      <w:r>
        <w:rPr>
          <w:szCs w:val="22"/>
        </w:rPr>
        <w:t xml:space="preserve"> in administrative proceedings</w:t>
      </w:r>
      <w:r w:rsidRPr="00D647E3">
        <w:rPr>
          <w:szCs w:val="22"/>
        </w:rPr>
        <w:t>.</w:t>
      </w:r>
      <w:r>
        <w:rPr>
          <w:rStyle w:val="FootnoteReference"/>
          <w:sz w:val="22"/>
          <w:szCs w:val="22"/>
        </w:rPr>
        <w:footnoteReference w:id="148"/>
      </w:r>
      <w:r w:rsidRPr="00D647E3">
        <w:rPr>
          <w:szCs w:val="22"/>
        </w:rPr>
        <w:t xml:space="preserve">  </w:t>
      </w:r>
      <w:r w:rsidRPr="00BF0A1E">
        <w:rPr>
          <w:szCs w:val="22"/>
        </w:rPr>
        <w:t xml:space="preserve">In particular, </w:t>
      </w:r>
      <w:r>
        <w:rPr>
          <w:szCs w:val="22"/>
        </w:rPr>
        <w:t>Commission rule</w:t>
      </w:r>
      <w:r w:rsidRPr="00BF0A1E">
        <w:rPr>
          <w:szCs w:val="22"/>
        </w:rPr>
        <w:t xml:space="preserve"> 1.243(f) authorizes the presiding </w:t>
      </w:r>
      <w:r>
        <w:rPr>
          <w:szCs w:val="22"/>
        </w:rPr>
        <w:t>judge</w:t>
      </w:r>
      <w:r w:rsidRPr="00BF0A1E">
        <w:rPr>
          <w:szCs w:val="22"/>
        </w:rPr>
        <w:t xml:space="preserve"> to exclude from the hearing </w:t>
      </w:r>
      <w:r w:rsidRPr="00C153C2">
        <w:rPr>
          <w:szCs w:val="22"/>
        </w:rPr>
        <w:t xml:space="preserve">a </w:t>
      </w:r>
      <w:r w:rsidRPr="00BF0A1E">
        <w:rPr>
          <w:szCs w:val="22"/>
        </w:rPr>
        <w:t>party “engaging in contemptuous conduct or otherwise disrupting the proceeding.”</w:t>
      </w:r>
      <w:r>
        <w:rPr>
          <w:rStyle w:val="FootnoteReference"/>
          <w:sz w:val="22"/>
          <w:szCs w:val="22"/>
        </w:rPr>
        <w:footnoteReference w:id="149"/>
      </w:r>
      <w:r w:rsidRPr="00BF0A1E">
        <w:rPr>
          <w:szCs w:val="22"/>
        </w:rPr>
        <w:t xml:space="preserve">  </w:t>
      </w:r>
      <w:r>
        <w:rPr>
          <w:szCs w:val="22"/>
        </w:rPr>
        <w:t>Court and FCC precedent confirm that f</w:t>
      </w:r>
      <w:r w:rsidRPr="00BF0A1E">
        <w:rPr>
          <w:szCs w:val="22"/>
        </w:rPr>
        <w:t xml:space="preserve">ailure to comply with an administrative law </w:t>
      </w:r>
      <w:r>
        <w:rPr>
          <w:szCs w:val="22"/>
        </w:rPr>
        <w:t>judge</w:t>
      </w:r>
      <w:r w:rsidRPr="00BF0A1E">
        <w:rPr>
          <w:szCs w:val="22"/>
        </w:rPr>
        <w:t>’s order and dilatory conduct are sufficient grounds to find contempt meriting exclusion from a proceeding.</w:t>
      </w:r>
      <w:r>
        <w:rPr>
          <w:rStyle w:val="FootnoteReference"/>
          <w:sz w:val="22"/>
          <w:szCs w:val="22"/>
        </w:rPr>
        <w:footnoteReference w:id="150"/>
      </w:r>
      <w:r w:rsidRPr="00BF0A1E">
        <w:rPr>
          <w:szCs w:val="22"/>
        </w:rPr>
        <w:t xml:space="preserve">  </w:t>
      </w:r>
    </w:p>
    <w:p w:rsidR="00C016B1" w:rsidRPr="00937817" w:rsidP="00C016B1">
      <w:pPr>
        <w:pStyle w:val="ParaNum"/>
        <w:rPr>
          <w:szCs w:val="22"/>
        </w:rPr>
      </w:pPr>
      <w:r w:rsidRPr="00CA1AF9">
        <w:rPr>
          <w:szCs w:val="22"/>
        </w:rPr>
        <w:t xml:space="preserve">In reviewing the </w:t>
      </w:r>
      <w:r>
        <w:rPr>
          <w:szCs w:val="22"/>
        </w:rPr>
        <w:t>Judge’s</w:t>
      </w:r>
      <w:r w:rsidRPr="00CA1AF9">
        <w:rPr>
          <w:szCs w:val="22"/>
        </w:rPr>
        <w:t xml:space="preserve"> exclusion of Havens</w:t>
      </w:r>
      <w:r>
        <w:rPr>
          <w:szCs w:val="22"/>
        </w:rPr>
        <w:t xml:space="preserve"> from this proceeding</w:t>
      </w:r>
      <w:r w:rsidRPr="00CA1AF9">
        <w:rPr>
          <w:szCs w:val="22"/>
        </w:rPr>
        <w:t xml:space="preserve">, we examine whether the </w:t>
      </w:r>
      <w:r>
        <w:rPr>
          <w:szCs w:val="22"/>
        </w:rPr>
        <w:t>Judge</w:t>
      </w:r>
      <w:r w:rsidRPr="00CA1AF9">
        <w:rPr>
          <w:szCs w:val="22"/>
        </w:rPr>
        <w:t xml:space="preserve"> abused his discretion in determining that </w:t>
      </w:r>
      <w:r>
        <w:rPr>
          <w:szCs w:val="22"/>
        </w:rPr>
        <w:t>Havens</w:t>
      </w:r>
      <w:r w:rsidRPr="00CA1AF9">
        <w:rPr>
          <w:szCs w:val="22"/>
        </w:rPr>
        <w:t xml:space="preserve"> should be removed for engaging in contemptuous or otherwise disruptive conduct.  </w:t>
      </w:r>
      <w:r>
        <w:rPr>
          <w:szCs w:val="22"/>
        </w:rPr>
        <w:t>An administrative law judge’s</w:t>
      </w:r>
      <w:r w:rsidRPr="00CA1AF9">
        <w:rPr>
          <w:szCs w:val="22"/>
        </w:rPr>
        <w:t xml:space="preserve"> </w:t>
      </w:r>
      <w:r>
        <w:rPr>
          <w:szCs w:val="22"/>
        </w:rPr>
        <w:t xml:space="preserve">exercise of discretion is reviewed only for abuse </w:t>
      </w:r>
      <w:r w:rsidRPr="00CA1AF9">
        <w:rPr>
          <w:szCs w:val="22"/>
        </w:rPr>
        <w:t xml:space="preserve">to permit </w:t>
      </w:r>
      <w:r>
        <w:rPr>
          <w:szCs w:val="22"/>
        </w:rPr>
        <w:t>him or her</w:t>
      </w:r>
      <w:r w:rsidRPr="00CA1AF9">
        <w:rPr>
          <w:szCs w:val="22"/>
        </w:rPr>
        <w:t xml:space="preserve"> the latitude required to regulate the course of administrative proceedings and carry out the Commission’s business.</w:t>
      </w:r>
      <w:r>
        <w:rPr>
          <w:rStyle w:val="FootnoteReference"/>
          <w:sz w:val="22"/>
          <w:szCs w:val="22"/>
        </w:rPr>
        <w:footnoteReference w:id="151"/>
      </w:r>
    </w:p>
    <w:p w:rsidR="00C016B1" w:rsidRPr="00CA1AF9" w:rsidP="00C016B1">
      <w:pPr>
        <w:pStyle w:val="ParaNum"/>
        <w:rPr>
          <w:szCs w:val="22"/>
        </w:rPr>
      </w:pPr>
      <w:r w:rsidRPr="00CA1AF9">
        <w:rPr>
          <w:b/>
          <w:szCs w:val="22"/>
        </w:rPr>
        <w:t xml:space="preserve">Motion for Summary Decision. </w:t>
      </w:r>
      <w:r w:rsidRPr="00CA1AF9">
        <w:rPr>
          <w:szCs w:val="22"/>
        </w:rPr>
        <w:t xml:space="preserve"> In excluding Havens and his companies from the Maritime Proceeding, the </w:t>
      </w:r>
      <w:r>
        <w:rPr>
          <w:szCs w:val="22"/>
        </w:rPr>
        <w:t>Judge</w:t>
      </w:r>
      <w:r w:rsidRPr="00CA1AF9">
        <w:rPr>
          <w:szCs w:val="22"/>
        </w:rPr>
        <w:t xml:space="preserve"> placed principal emphasis on </w:t>
      </w:r>
      <w:r>
        <w:rPr>
          <w:szCs w:val="22"/>
        </w:rPr>
        <w:t xml:space="preserve">the </w:t>
      </w:r>
      <w:r w:rsidRPr="00CA1AF9">
        <w:rPr>
          <w:szCs w:val="22"/>
        </w:rPr>
        <w:t>October 27</w:t>
      </w:r>
      <w:r>
        <w:rPr>
          <w:szCs w:val="22"/>
        </w:rPr>
        <w:t xml:space="preserve"> </w:t>
      </w:r>
      <w:r w:rsidRPr="00CA1AF9">
        <w:rPr>
          <w:szCs w:val="22"/>
        </w:rPr>
        <w:t>Motion.</w:t>
      </w:r>
      <w:r>
        <w:rPr>
          <w:rStyle w:val="FootnoteReference"/>
          <w:sz w:val="22"/>
          <w:szCs w:val="22"/>
        </w:rPr>
        <w:footnoteReference w:id="152"/>
      </w:r>
      <w:r w:rsidRPr="00937817">
        <w:rPr>
          <w:szCs w:val="22"/>
        </w:rPr>
        <w:t xml:space="preserve">  The </w:t>
      </w:r>
      <w:r>
        <w:rPr>
          <w:szCs w:val="22"/>
        </w:rPr>
        <w:t>Judge</w:t>
      </w:r>
      <w:r w:rsidRPr="00937817">
        <w:rPr>
          <w:szCs w:val="22"/>
        </w:rPr>
        <w:t xml:space="preserve"> found that </w:t>
      </w:r>
      <w:r>
        <w:rPr>
          <w:szCs w:val="22"/>
        </w:rPr>
        <w:t xml:space="preserve">Havens and his companies </w:t>
      </w:r>
      <w:r w:rsidRPr="00937817">
        <w:rPr>
          <w:szCs w:val="22"/>
        </w:rPr>
        <w:t xml:space="preserve">had filed this pleading “defiantly,” </w:t>
      </w:r>
      <w:r w:rsidRPr="00CA1AF9">
        <w:rPr>
          <w:szCs w:val="22"/>
        </w:rPr>
        <w:t xml:space="preserve">in contravention of the </w:t>
      </w:r>
      <w:r>
        <w:rPr>
          <w:szCs w:val="22"/>
        </w:rPr>
        <w:t>Judge</w:t>
      </w:r>
      <w:r w:rsidRPr="00CA1AF9">
        <w:rPr>
          <w:szCs w:val="22"/>
        </w:rPr>
        <w:t>’s order prohibiting the filing of additional motions for summary decision, and that the motion was filed in bad faith.</w:t>
      </w:r>
      <w:r>
        <w:rPr>
          <w:rStyle w:val="FootnoteReference"/>
          <w:sz w:val="22"/>
          <w:szCs w:val="22"/>
        </w:rPr>
        <w:footnoteReference w:id="153"/>
      </w:r>
      <w:r w:rsidRPr="00937817">
        <w:rPr>
          <w:szCs w:val="22"/>
        </w:rPr>
        <w:t xml:space="preserve">  We have examined the circumstances </w:t>
      </w:r>
      <w:r w:rsidRPr="00CA1AF9">
        <w:rPr>
          <w:szCs w:val="22"/>
        </w:rPr>
        <w:t xml:space="preserve">surrounding the filing of this pleading and agree with the </w:t>
      </w:r>
      <w:r>
        <w:rPr>
          <w:szCs w:val="22"/>
        </w:rPr>
        <w:t>Judge</w:t>
      </w:r>
      <w:r w:rsidRPr="00CA1AF9">
        <w:rPr>
          <w:szCs w:val="22"/>
        </w:rPr>
        <w:t xml:space="preserve"> that these circumstances reveal the kind of contemptuous and disruptive conduct that constitutes a reasonable basis for exclud</w:t>
      </w:r>
      <w:r>
        <w:rPr>
          <w:szCs w:val="22"/>
        </w:rPr>
        <w:t>ing</w:t>
      </w:r>
      <w:r w:rsidRPr="00CA1AF9">
        <w:rPr>
          <w:szCs w:val="22"/>
        </w:rPr>
        <w:t xml:space="preserve"> a party from a hearing proceeding.</w:t>
      </w:r>
    </w:p>
    <w:p w:rsidR="00C016B1" w:rsidRPr="00CA1AF9" w:rsidP="00C016B1">
      <w:pPr>
        <w:pStyle w:val="ParaNum"/>
        <w:rPr>
          <w:szCs w:val="22"/>
        </w:rPr>
      </w:pPr>
      <w:r w:rsidRPr="00CA1AF9">
        <w:rPr>
          <w:szCs w:val="22"/>
        </w:rPr>
        <w:t xml:space="preserve">Following his partial denial of the joint motion for summary decision by Maritime and </w:t>
      </w:r>
      <w:r>
        <w:rPr>
          <w:szCs w:val="22"/>
        </w:rPr>
        <w:t>the Enforcement Bureau</w:t>
      </w:r>
      <w:r w:rsidRPr="00CA1AF9">
        <w:rPr>
          <w:szCs w:val="22"/>
        </w:rPr>
        <w:t xml:space="preserve"> on June 17, 2014, the </w:t>
      </w:r>
      <w:r>
        <w:rPr>
          <w:szCs w:val="22"/>
        </w:rPr>
        <w:t>Judge</w:t>
      </w:r>
      <w:r w:rsidRPr="00CA1AF9">
        <w:rPr>
          <w:szCs w:val="22"/>
        </w:rPr>
        <w:t xml:space="preserve"> gave the following directive to the parties: </w:t>
      </w:r>
    </w:p>
    <w:p w:rsidR="00C016B1" w:rsidRPr="00937817" w:rsidP="00C016B1">
      <w:pPr>
        <w:pStyle w:val="ParaNum"/>
        <w:numPr>
          <w:ilvl w:val="0"/>
          <w:numId w:val="0"/>
        </w:numPr>
        <w:ind w:left="720"/>
        <w:rPr>
          <w:szCs w:val="22"/>
        </w:rPr>
      </w:pPr>
      <w:r w:rsidRPr="00CA1AF9">
        <w:rPr>
          <w:szCs w:val="22"/>
        </w:rPr>
        <w:t xml:space="preserve">The parties are cautioned that the Presiding </w:t>
      </w:r>
      <w:r>
        <w:rPr>
          <w:szCs w:val="22"/>
        </w:rPr>
        <w:t>Judge</w:t>
      </w:r>
      <w:r w:rsidRPr="00CA1AF9">
        <w:rPr>
          <w:szCs w:val="22"/>
        </w:rPr>
        <w:t xml:space="preserve"> will not entertain a further motion for summary decision.  As three summary decision motions have been filed and considered in this proceeding and substantial issues of fact still remain to be heard, the Presiding </w:t>
      </w:r>
      <w:r>
        <w:rPr>
          <w:szCs w:val="22"/>
        </w:rPr>
        <w:t>Judge</w:t>
      </w:r>
      <w:r w:rsidRPr="00CA1AF9">
        <w:rPr>
          <w:szCs w:val="22"/>
        </w:rPr>
        <w:t xml:space="preserve"> does not see how efficiency could be served by a fourth motion.</w:t>
      </w:r>
      <w:r>
        <w:rPr>
          <w:rStyle w:val="FootnoteReference"/>
          <w:sz w:val="22"/>
          <w:szCs w:val="22"/>
        </w:rPr>
        <w:footnoteReference w:id="154"/>
      </w:r>
    </w:p>
    <w:p w:rsidR="00C016B1" w:rsidRPr="00CA1AF9" w:rsidP="006C514A">
      <w:pPr>
        <w:pStyle w:val="ParaNum"/>
        <w:numPr>
          <w:ilvl w:val="0"/>
          <w:numId w:val="0"/>
        </w:numPr>
      </w:pPr>
      <w:r w:rsidRPr="00CA1AF9">
        <w:t xml:space="preserve">The </w:t>
      </w:r>
      <w:r>
        <w:t>Judge</w:t>
      </w:r>
      <w:r w:rsidRPr="00CA1AF9">
        <w:t xml:space="preserve"> added: “[t]he Presiding </w:t>
      </w:r>
      <w:r>
        <w:t>Judge</w:t>
      </w:r>
      <w:r w:rsidRPr="00CA1AF9">
        <w:t xml:space="preserve"> . . . may rule in advance of a motion that the proceeding is not appropriate for summary decision, and may take such other measures as are necessary to prevent any unwarranted delay.”</w:t>
      </w:r>
      <w:r>
        <w:rPr>
          <w:rStyle w:val="FootnoteReference"/>
          <w:sz w:val="22"/>
        </w:rPr>
        <w:footnoteReference w:id="155"/>
      </w:r>
      <w:r w:rsidRPr="00CA1AF9">
        <w:t xml:space="preserve">  While, given the circumstances, the </w:t>
      </w:r>
      <w:r>
        <w:t>Judge</w:t>
      </w:r>
      <w:r w:rsidRPr="00CA1AF9">
        <w:t xml:space="preserve"> may well have had a fourth motion by Maritime primarily in mind, his language gives no indication that he would be more receptive to a motion by other parties, having decided that the proceeding was not appropriate for summary decision.</w:t>
      </w:r>
    </w:p>
    <w:p w:rsidR="00C016B1" w:rsidRPr="00CA1AF9" w:rsidP="00C016B1">
      <w:pPr>
        <w:pStyle w:val="ParaNum"/>
        <w:rPr>
          <w:szCs w:val="22"/>
        </w:rPr>
      </w:pPr>
      <w:r>
        <w:rPr>
          <w:szCs w:val="22"/>
        </w:rPr>
        <w:t>The October 27 M</w:t>
      </w:r>
      <w:r w:rsidRPr="00937817">
        <w:rPr>
          <w:szCs w:val="22"/>
        </w:rPr>
        <w:t xml:space="preserve">otion did not acknowledge the </w:t>
      </w:r>
      <w:r>
        <w:rPr>
          <w:szCs w:val="22"/>
        </w:rPr>
        <w:t>Judge</w:t>
      </w:r>
      <w:r w:rsidRPr="00937817">
        <w:rPr>
          <w:szCs w:val="22"/>
        </w:rPr>
        <w:t>’s directive</w:t>
      </w:r>
      <w:r>
        <w:rPr>
          <w:szCs w:val="22"/>
        </w:rPr>
        <w:t xml:space="preserve">, which is consistent with the Judge’s finding in the </w:t>
      </w:r>
      <w:r w:rsidRPr="004067F1">
        <w:rPr>
          <w:i/>
          <w:szCs w:val="22"/>
        </w:rPr>
        <w:t>Dismissal Order</w:t>
      </w:r>
      <w:r>
        <w:rPr>
          <w:szCs w:val="22"/>
        </w:rPr>
        <w:t xml:space="preserve"> that the October 27 Motion was filed in defiance of the directive</w:t>
      </w:r>
      <w:r w:rsidRPr="00937817">
        <w:rPr>
          <w:szCs w:val="22"/>
        </w:rPr>
        <w:t xml:space="preserve">.  </w:t>
      </w:r>
      <w:r>
        <w:rPr>
          <w:szCs w:val="22"/>
        </w:rPr>
        <w:t>The motion</w:t>
      </w:r>
      <w:r w:rsidRPr="00937817">
        <w:rPr>
          <w:szCs w:val="22"/>
        </w:rPr>
        <w:t xml:space="preserve"> </w:t>
      </w:r>
      <w:r w:rsidRPr="00CA1AF9">
        <w:rPr>
          <w:szCs w:val="22"/>
        </w:rPr>
        <w:t>did, however, offer a justification for its filing</w:t>
      </w:r>
      <w:r>
        <w:rPr>
          <w:szCs w:val="22"/>
        </w:rPr>
        <w:t>, which, if sincere, might arguably be seen as an attempt to rebut the inference that the filing simply ignored the Judge’s instructions</w:t>
      </w:r>
      <w:r w:rsidRPr="00CA1AF9">
        <w:rPr>
          <w:szCs w:val="22"/>
        </w:rPr>
        <w:t>.  The motion states: “this motion is based on new information and could not have been filed earlier, namely the direct case filed by [</w:t>
      </w:r>
      <w:r>
        <w:rPr>
          <w:szCs w:val="22"/>
        </w:rPr>
        <w:t>the Enforcement Bureau</w:t>
      </w:r>
      <w:r w:rsidRPr="00CA1AF9">
        <w:rPr>
          <w:szCs w:val="22"/>
        </w:rPr>
        <w:t>] and [Maritime].”</w:t>
      </w:r>
      <w:r>
        <w:rPr>
          <w:rStyle w:val="FootnoteReference"/>
          <w:sz w:val="22"/>
          <w:szCs w:val="22"/>
        </w:rPr>
        <w:footnoteReference w:id="156"/>
      </w:r>
      <w:r w:rsidRPr="00937817">
        <w:rPr>
          <w:szCs w:val="22"/>
        </w:rPr>
        <w:t xml:space="preserve">  If </w:t>
      </w:r>
      <w:r>
        <w:rPr>
          <w:szCs w:val="22"/>
        </w:rPr>
        <w:t>Environmentel, Verde Systems, and Havens</w:t>
      </w:r>
      <w:r w:rsidRPr="00937817">
        <w:rPr>
          <w:szCs w:val="22"/>
        </w:rPr>
        <w:t xml:space="preserve"> had prosecuted </w:t>
      </w:r>
      <w:r>
        <w:rPr>
          <w:szCs w:val="22"/>
        </w:rPr>
        <w:t xml:space="preserve">their </w:t>
      </w:r>
      <w:r w:rsidRPr="00937817">
        <w:rPr>
          <w:szCs w:val="22"/>
        </w:rPr>
        <w:t xml:space="preserve">motion on this </w:t>
      </w:r>
      <w:r w:rsidRPr="00CA1AF9">
        <w:rPr>
          <w:szCs w:val="22"/>
        </w:rPr>
        <w:t xml:space="preserve">theory in a consistent and straightforward manner, this might have </w:t>
      </w:r>
      <w:r>
        <w:rPr>
          <w:szCs w:val="22"/>
        </w:rPr>
        <w:t xml:space="preserve">shown that they were proceeding in good faith and not in defiance of the Judge’s directive.  The parties’ </w:t>
      </w:r>
      <w:r w:rsidRPr="00CA1AF9">
        <w:rPr>
          <w:szCs w:val="22"/>
        </w:rPr>
        <w:t>actual conduct, however, was anything but consistent and straightforward</w:t>
      </w:r>
      <w:r>
        <w:rPr>
          <w:szCs w:val="22"/>
        </w:rPr>
        <w:t xml:space="preserve">.  As discussed below, the parties’ subsequent conduct attempting to justify the filing </w:t>
      </w:r>
      <w:r w:rsidRPr="00CA1AF9">
        <w:rPr>
          <w:szCs w:val="22"/>
        </w:rPr>
        <w:t>support</w:t>
      </w:r>
      <w:r>
        <w:rPr>
          <w:szCs w:val="22"/>
        </w:rPr>
        <w:t>s</w:t>
      </w:r>
      <w:r w:rsidRPr="00CA1AF9">
        <w:rPr>
          <w:szCs w:val="22"/>
        </w:rPr>
        <w:t xml:space="preserve"> the </w:t>
      </w:r>
      <w:r>
        <w:rPr>
          <w:szCs w:val="22"/>
        </w:rPr>
        <w:t>Judge</w:t>
      </w:r>
      <w:r w:rsidRPr="00CA1AF9">
        <w:rPr>
          <w:szCs w:val="22"/>
        </w:rPr>
        <w:t xml:space="preserve">’s conclusion that the motion was filed </w:t>
      </w:r>
      <w:r>
        <w:rPr>
          <w:szCs w:val="22"/>
        </w:rPr>
        <w:t>in disregard of his directive and that it was made in bad faith.</w:t>
      </w:r>
      <w:r>
        <w:rPr>
          <w:rStyle w:val="FootnoteReference"/>
          <w:szCs w:val="22"/>
        </w:rPr>
        <w:footnoteReference w:id="157"/>
      </w:r>
      <w:r w:rsidRPr="00CA1AF9">
        <w:rPr>
          <w:szCs w:val="22"/>
        </w:rPr>
        <w:t xml:space="preserve">   </w:t>
      </w:r>
      <w:r>
        <w:rPr>
          <w:szCs w:val="22"/>
        </w:rPr>
        <w:t xml:space="preserve">As explained below, we conclude that the Judge acted reasonably in finding that such conduct by the </w:t>
      </w:r>
      <w:r w:rsidRPr="00277532">
        <w:rPr>
          <w:szCs w:val="22"/>
        </w:rPr>
        <w:t>part</w:t>
      </w:r>
      <w:r w:rsidRPr="004F1E30">
        <w:rPr>
          <w:szCs w:val="22"/>
        </w:rPr>
        <w:t xml:space="preserve">ies </w:t>
      </w:r>
      <w:r w:rsidRPr="004067F1">
        <w:rPr>
          <w:szCs w:val="22"/>
        </w:rPr>
        <w:t>showed contempt for the Judge and disrupted the orderly litigation of the proceeding</w:t>
      </w:r>
      <w:r w:rsidRPr="00277532">
        <w:rPr>
          <w:szCs w:val="22"/>
        </w:rPr>
        <w:t>,</w:t>
      </w:r>
      <w:r w:rsidRPr="004F1E30">
        <w:rPr>
          <w:szCs w:val="22"/>
        </w:rPr>
        <w:t xml:space="preserve"> both </w:t>
      </w:r>
      <w:r w:rsidRPr="004067F1">
        <w:rPr>
          <w:szCs w:val="22"/>
        </w:rPr>
        <w:t>in making the</w:t>
      </w:r>
      <w:r>
        <w:rPr>
          <w:szCs w:val="22"/>
        </w:rPr>
        <w:t xml:space="preserve"> October 27 Motion and in the parties’ subsequent conduct with respect to that motion</w:t>
      </w:r>
      <w:r w:rsidRPr="00B64664">
        <w:rPr>
          <w:szCs w:val="22"/>
        </w:rPr>
        <w:t>.</w:t>
      </w:r>
      <w:r>
        <w:rPr>
          <w:szCs w:val="22"/>
        </w:rPr>
        <w:t xml:space="preserve">   </w:t>
      </w:r>
    </w:p>
    <w:p w:rsidR="00C016B1" w:rsidRPr="00CA1AF9" w:rsidP="00C016B1">
      <w:pPr>
        <w:pStyle w:val="ParaNum"/>
        <w:rPr>
          <w:szCs w:val="22"/>
        </w:rPr>
      </w:pPr>
      <w:r w:rsidRPr="00CA1AF9">
        <w:rPr>
          <w:szCs w:val="22"/>
        </w:rPr>
        <w:t xml:space="preserve"> </w:t>
      </w:r>
      <w:r>
        <w:rPr>
          <w:szCs w:val="22"/>
        </w:rPr>
        <w:t>Specifically, a</w:t>
      </w:r>
      <w:r w:rsidRPr="00CA1AF9">
        <w:rPr>
          <w:szCs w:val="22"/>
        </w:rPr>
        <w:t>t the prehearing conference on November 4, which was attended by Stenger</w:t>
      </w:r>
      <w:r>
        <w:rPr>
          <w:szCs w:val="22"/>
        </w:rPr>
        <w:t>,</w:t>
      </w:r>
      <w:r w:rsidRPr="00CA1AF9">
        <w:rPr>
          <w:szCs w:val="22"/>
        </w:rPr>
        <w:t xml:space="preserve"> but not Havens, Stenger seemed to develop the theory stated in the October 27 </w:t>
      </w:r>
      <w:r>
        <w:rPr>
          <w:szCs w:val="22"/>
        </w:rPr>
        <w:t>M</w:t>
      </w:r>
      <w:r w:rsidRPr="00CA1AF9">
        <w:rPr>
          <w:szCs w:val="22"/>
        </w:rPr>
        <w:t xml:space="preserve">otion.  He said: </w:t>
      </w:r>
    </w:p>
    <w:p w:rsidR="00C016B1" w:rsidRPr="00937817" w:rsidP="00C016B1">
      <w:pPr>
        <w:pStyle w:val="ParaNum"/>
        <w:numPr>
          <w:ilvl w:val="0"/>
          <w:numId w:val="0"/>
        </w:numPr>
        <w:ind w:left="720"/>
        <w:rPr>
          <w:szCs w:val="22"/>
        </w:rPr>
      </w:pPr>
      <w:r w:rsidRPr="00CA1AF9">
        <w:rPr>
          <w:szCs w:val="22"/>
        </w:rPr>
        <w:t>I filed [the motion for summary decision] after I saw their direct case.  And what I believe we can agree on is the facts.  We may disagree as to what the law is, but I think we can agree on the facts.</w:t>
      </w:r>
      <w:r>
        <w:rPr>
          <w:rStyle w:val="FootnoteReference"/>
          <w:sz w:val="22"/>
          <w:szCs w:val="22"/>
        </w:rPr>
        <w:footnoteReference w:id="158"/>
      </w:r>
    </w:p>
    <w:p w:rsidR="00C016B1" w:rsidRPr="00CA1AF9" w:rsidP="00C016B1">
      <w:pPr>
        <w:pStyle w:val="ParaNum"/>
        <w:numPr>
          <w:ilvl w:val="0"/>
          <w:numId w:val="0"/>
        </w:numPr>
        <w:ind w:left="720"/>
        <w:rPr>
          <w:szCs w:val="22"/>
        </w:rPr>
      </w:pPr>
      <w:r w:rsidRPr="00CA1AF9">
        <w:rPr>
          <w:szCs w:val="22"/>
        </w:rPr>
        <w:t xml:space="preserve">. . . . </w:t>
      </w:r>
    </w:p>
    <w:p w:rsidR="00C016B1" w:rsidRPr="00937817" w:rsidP="00C016B1">
      <w:pPr>
        <w:pStyle w:val="ParaNum"/>
        <w:numPr>
          <w:ilvl w:val="0"/>
          <w:numId w:val="0"/>
        </w:numPr>
        <w:ind w:left="720"/>
        <w:rPr>
          <w:szCs w:val="22"/>
        </w:rPr>
      </w:pPr>
      <w:r w:rsidRPr="00CA1AF9">
        <w:rPr>
          <w:szCs w:val="22"/>
        </w:rPr>
        <w:t xml:space="preserve">And what I was suggesting about the motion for summary decision, not that we can all agree on the facts, but that cross motions for summary decision should be a fairly simple matter for your honor to rule upon and to go forward with because my motion for summary decision assumes as true and correct everything that they’ve put in their direct case.  So if they were to file a motion on those </w:t>
      </w:r>
      <w:r>
        <w:rPr>
          <w:rStyle w:val="FootnoteReference"/>
          <w:sz w:val="22"/>
          <w:szCs w:val="22"/>
        </w:rPr>
        <w:footnoteReference w:id="159"/>
      </w:r>
    </w:p>
    <w:p w:rsidR="00C016B1" w:rsidRPr="00CA1AF9" w:rsidP="00C016B1">
      <w:pPr>
        <w:pStyle w:val="ParaNum"/>
        <w:numPr>
          <w:ilvl w:val="0"/>
          <w:numId w:val="0"/>
        </w:numPr>
        <w:ind w:left="720"/>
        <w:rPr>
          <w:szCs w:val="22"/>
        </w:rPr>
      </w:pPr>
      <w:r w:rsidRPr="00CA1AF9">
        <w:rPr>
          <w:szCs w:val="22"/>
        </w:rPr>
        <w:t xml:space="preserve">. . . . </w:t>
      </w:r>
    </w:p>
    <w:p w:rsidR="00C016B1" w:rsidRPr="00937817" w:rsidP="00C016B1">
      <w:pPr>
        <w:pStyle w:val="ParaNum"/>
        <w:numPr>
          <w:ilvl w:val="0"/>
          <w:numId w:val="0"/>
        </w:numPr>
        <w:ind w:left="720"/>
        <w:rPr>
          <w:szCs w:val="22"/>
        </w:rPr>
      </w:pPr>
      <w:r w:rsidRPr="00CA1AF9">
        <w:rPr>
          <w:szCs w:val="22"/>
        </w:rPr>
        <w:t>I would propose that Your Honor modify your order banning summary decision motions and say that you will entertain summary decision motion from any party as long as they’re filed, you know, by such and such a day. . . . You know, if they wanted to file a cross, they could file a cross.</w:t>
      </w:r>
      <w:r>
        <w:rPr>
          <w:rStyle w:val="FootnoteReference"/>
          <w:sz w:val="22"/>
          <w:szCs w:val="22"/>
        </w:rPr>
        <w:footnoteReference w:id="160"/>
      </w:r>
    </w:p>
    <w:p w:rsidR="00C016B1" w:rsidRPr="00CA1AF9" w:rsidP="00C016B1">
      <w:pPr>
        <w:pStyle w:val="ParaNum"/>
        <w:rPr>
          <w:szCs w:val="22"/>
        </w:rPr>
      </w:pPr>
      <w:r w:rsidRPr="00CA1AF9">
        <w:rPr>
          <w:szCs w:val="22"/>
        </w:rPr>
        <w:t xml:space="preserve">Later in the prehearing conference, the </w:t>
      </w:r>
      <w:r>
        <w:rPr>
          <w:szCs w:val="22"/>
        </w:rPr>
        <w:t>Judge</w:t>
      </w:r>
      <w:r w:rsidRPr="00CA1AF9">
        <w:rPr>
          <w:szCs w:val="22"/>
        </w:rPr>
        <w:t xml:space="preserve"> gave the parties the opportunity to formally state whether they had agreed to proceed by an exchange of motions.  </w:t>
      </w:r>
      <w:r>
        <w:rPr>
          <w:szCs w:val="22"/>
        </w:rPr>
        <w:t>Environmentel, Verde Systems,</w:t>
      </w:r>
      <w:r w:rsidRPr="00CA1AF9">
        <w:rPr>
          <w:szCs w:val="22"/>
        </w:rPr>
        <w:t xml:space="preserve"> and Havens subsequently responded as if Stenger had never made the foregoing representations at the November 4 prehearing conference.  First came Havens’s e-mail correspondence with the </w:t>
      </w:r>
      <w:r>
        <w:rPr>
          <w:szCs w:val="22"/>
        </w:rPr>
        <w:t>Judge</w:t>
      </w:r>
      <w:r w:rsidRPr="00CA1AF9">
        <w:rPr>
          <w:szCs w:val="22"/>
        </w:rPr>
        <w:t>’s office, beginning the evening of the prehearing conference, in which Havens not only seemed to deny awareness of what counsel for his companies had said at the prehearing conference but insisted that he could not</w:t>
      </w:r>
      <w:r>
        <w:t>—</w:t>
      </w:r>
      <w:r w:rsidRPr="00CA1AF9">
        <w:rPr>
          <w:szCs w:val="22"/>
        </w:rPr>
        <w:t>or would not</w:t>
      </w:r>
      <w:r>
        <w:t>—</w:t>
      </w:r>
      <w:r w:rsidRPr="00CA1AF9">
        <w:rPr>
          <w:szCs w:val="22"/>
        </w:rPr>
        <w:t>learn the facts from counsel for his companies.</w:t>
      </w:r>
      <w:r>
        <w:rPr>
          <w:rStyle w:val="FootnoteReference"/>
          <w:sz w:val="22"/>
          <w:szCs w:val="22"/>
        </w:rPr>
        <w:footnoteReference w:id="161"/>
      </w:r>
      <w:r w:rsidRPr="00937817">
        <w:rPr>
          <w:szCs w:val="22"/>
        </w:rPr>
        <w:t xml:space="preserve">  Then, </w:t>
      </w:r>
      <w:r>
        <w:rPr>
          <w:szCs w:val="22"/>
        </w:rPr>
        <w:t>Environmentel and Verde Systems</w:t>
      </w:r>
      <w:r w:rsidRPr="00CA1AF9">
        <w:rPr>
          <w:szCs w:val="22"/>
        </w:rPr>
        <w:t xml:space="preserve"> filed a submission on November 7 that was strikingly inconsistent with the position that its own counsel expressed at the November 4 prehearing conference.  In this pleading, </w:t>
      </w:r>
      <w:r>
        <w:rPr>
          <w:szCs w:val="22"/>
        </w:rPr>
        <w:t>Environmentel and Verde Systems</w:t>
      </w:r>
      <w:r w:rsidRPr="00CA1AF9">
        <w:rPr>
          <w:szCs w:val="22"/>
        </w:rPr>
        <w:t xml:space="preserve"> argued that the </w:t>
      </w:r>
      <w:r>
        <w:rPr>
          <w:szCs w:val="22"/>
        </w:rPr>
        <w:t>Judge</w:t>
      </w:r>
      <w:r w:rsidRPr="00CA1AF9">
        <w:rPr>
          <w:szCs w:val="22"/>
        </w:rPr>
        <w:t xml:space="preserve"> should not suspend the hearing dates while ruling on the motion for summary decision,</w:t>
      </w:r>
      <w:r>
        <w:rPr>
          <w:rStyle w:val="FootnoteReference"/>
          <w:sz w:val="22"/>
          <w:szCs w:val="22"/>
        </w:rPr>
        <w:footnoteReference w:id="162"/>
      </w:r>
      <w:r w:rsidRPr="00937817">
        <w:rPr>
          <w:szCs w:val="22"/>
        </w:rPr>
        <w:t xml:space="preserve"> contradicting not only the </w:t>
      </w:r>
      <w:r>
        <w:rPr>
          <w:szCs w:val="22"/>
        </w:rPr>
        <w:t>Judge</w:t>
      </w:r>
      <w:r w:rsidRPr="00937817">
        <w:rPr>
          <w:szCs w:val="22"/>
        </w:rPr>
        <w:t xml:space="preserve">’s clearly stated view at the </w:t>
      </w:r>
      <w:r w:rsidRPr="00CA1AF9">
        <w:rPr>
          <w:szCs w:val="22"/>
        </w:rPr>
        <w:t>November 4 prehearing conference that he would not consider further motions without staying the hearing,</w:t>
      </w:r>
      <w:r>
        <w:rPr>
          <w:rStyle w:val="FootnoteReference"/>
          <w:sz w:val="22"/>
          <w:szCs w:val="22"/>
        </w:rPr>
        <w:footnoteReference w:id="163"/>
      </w:r>
      <w:r w:rsidRPr="00937817">
        <w:rPr>
          <w:szCs w:val="22"/>
        </w:rPr>
        <w:t xml:space="preserve"> but </w:t>
      </w:r>
      <w:r>
        <w:rPr>
          <w:szCs w:val="22"/>
        </w:rPr>
        <w:t>Environmentel</w:t>
      </w:r>
      <w:r>
        <w:rPr>
          <w:szCs w:val="22"/>
        </w:rPr>
        <w:t xml:space="preserve"> and Verde </w:t>
      </w:r>
      <w:r>
        <w:rPr>
          <w:szCs w:val="22"/>
        </w:rPr>
        <w:t>Systems’s</w:t>
      </w:r>
      <w:r w:rsidRPr="00937817">
        <w:rPr>
          <w:szCs w:val="22"/>
        </w:rPr>
        <w:t xml:space="preserve"> counsel’s </w:t>
      </w:r>
      <w:r w:rsidRPr="00CA1AF9">
        <w:rPr>
          <w:szCs w:val="22"/>
        </w:rPr>
        <w:t xml:space="preserve">own assertion that no hearing was necessary.  </w:t>
      </w:r>
      <w:r>
        <w:rPr>
          <w:szCs w:val="22"/>
        </w:rPr>
        <w:t>Environmentel and Verde Systems</w:t>
      </w:r>
      <w:r w:rsidRPr="00CA1AF9">
        <w:rPr>
          <w:szCs w:val="22"/>
        </w:rPr>
        <w:t xml:space="preserve"> also specifically argued, contrary to the position stated by Mr. Stenger at the November 4 prehearing conference, that </w:t>
      </w:r>
      <w:r>
        <w:rPr>
          <w:szCs w:val="22"/>
        </w:rPr>
        <w:t>the Enforcement Bureau</w:t>
      </w:r>
      <w:r w:rsidRPr="00CA1AF9">
        <w:rPr>
          <w:szCs w:val="22"/>
        </w:rPr>
        <w:t xml:space="preserve"> and Maritime should not be permitted to file cross motions, stating that doing so would pointlessly duplicate their earlier joint motion and because responding to a cross motion would place an undue burden on </w:t>
      </w:r>
      <w:r>
        <w:rPr>
          <w:szCs w:val="22"/>
        </w:rPr>
        <w:t>Environmentel and Verde Systems</w:t>
      </w:r>
      <w:r w:rsidRPr="00CA1AF9">
        <w:rPr>
          <w:szCs w:val="22"/>
        </w:rPr>
        <w:t>.</w:t>
      </w:r>
      <w:r>
        <w:rPr>
          <w:rStyle w:val="FootnoteReference"/>
          <w:sz w:val="22"/>
          <w:szCs w:val="22"/>
        </w:rPr>
        <w:footnoteReference w:id="164"/>
      </w:r>
      <w:r w:rsidRPr="00937817">
        <w:rPr>
          <w:szCs w:val="22"/>
        </w:rPr>
        <w:t xml:space="preserve">  </w:t>
      </w:r>
      <w:r w:rsidRPr="00CA1AF9">
        <w:rPr>
          <w:szCs w:val="22"/>
        </w:rPr>
        <w:t xml:space="preserve">These contentions are irreconcilable with Stenger’s representation that “cross motions for summary decision should be a fairly simple matter for your honor to rule upon and to go forward with.”  </w:t>
      </w:r>
      <w:r>
        <w:rPr>
          <w:szCs w:val="22"/>
        </w:rPr>
        <w:t>T</w:t>
      </w:r>
      <w:r w:rsidRPr="00CA1AF9">
        <w:rPr>
          <w:szCs w:val="22"/>
        </w:rPr>
        <w:t>hese inconsistencies</w:t>
      </w:r>
      <w:r>
        <w:rPr>
          <w:szCs w:val="22"/>
        </w:rPr>
        <w:t xml:space="preserve"> negate any assertion that the parties’ justification for filing was sincere.  I</w:t>
      </w:r>
      <w:r w:rsidRPr="00CA1AF9">
        <w:rPr>
          <w:szCs w:val="22"/>
        </w:rPr>
        <w:t xml:space="preserve">t was </w:t>
      </w:r>
      <w:r>
        <w:rPr>
          <w:szCs w:val="22"/>
        </w:rPr>
        <w:t xml:space="preserve">therefore </w:t>
      </w:r>
      <w:r w:rsidRPr="00CA1AF9">
        <w:rPr>
          <w:szCs w:val="22"/>
        </w:rPr>
        <w:t xml:space="preserve">reasonable for the </w:t>
      </w:r>
      <w:r>
        <w:rPr>
          <w:szCs w:val="22"/>
        </w:rPr>
        <w:t>Judge</w:t>
      </w:r>
      <w:r w:rsidRPr="00CA1AF9">
        <w:rPr>
          <w:szCs w:val="22"/>
        </w:rPr>
        <w:t xml:space="preserve"> </w:t>
      </w:r>
      <w:r>
        <w:rPr>
          <w:szCs w:val="22"/>
        </w:rPr>
        <w:t xml:space="preserve">to </w:t>
      </w:r>
      <w:r w:rsidRPr="00CA1AF9">
        <w:rPr>
          <w:szCs w:val="22"/>
        </w:rPr>
        <w:t>find that the motion was filed in bad faith</w:t>
      </w:r>
      <w:r>
        <w:rPr>
          <w:szCs w:val="22"/>
        </w:rPr>
        <w:t xml:space="preserve"> and represented contemptuous and disruptive conduct, both in the making of the filing and afterwards.</w:t>
      </w:r>
      <w:r w:rsidRPr="00CA1AF9">
        <w:rPr>
          <w:szCs w:val="22"/>
        </w:rPr>
        <w:t xml:space="preserve">   </w:t>
      </w:r>
    </w:p>
    <w:p w:rsidR="00C016B1" w:rsidRPr="00937817" w:rsidP="00C016B1">
      <w:pPr>
        <w:pStyle w:val="ParaNum"/>
        <w:rPr>
          <w:szCs w:val="22"/>
        </w:rPr>
      </w:pPr>
      <w:r w:rsidRPr="00CA1AF9">
        <w:rPr>
          <w:szCs w:val="22"/>
        </w:rPr>
        <w:t xml:space="preserve">In its more recent pleadings, </w:t>
      </w:r>
      <w:r>
        <w:rPr>
          <w:szCs w:val="22"/>
        </w:rPr>
        <w:t xml:space="preserve">Environmentel, Verde Systems, and Havens </w:t>
      </w:r>
      <w:r w:rsidRPr="00CA1AF9">
        <w:rPr>
          <w:szCs w:val="22"/>
        </w:rPr>
        <w:t>ha</w:t>
      </w:r>
      <w:r>
        <w:rPr>
          <w:szCs w:val="22"/>
        </w:rPr>
        <w:t>ve</w:t>
      </w:r>
      <w:r w:rsidRPr="00CA1AF9">
        <w:rPr>
          <w:szCs w:val="22"/>
        </w:rPr>
        <w:t xml:space="preserve"> offered an alternative justification for filing the motion for summary decision, namely, that it was explicitly authorized by the </w:t>
      </w:r>
      <w:r>
        <w:rPr>
          <w:szCs w:val="22"/>
        </w:rPr>
        <w:t>Judge</w:t>
      </w:r>
      <w:r w:rsidRPr="00CA1AF9">
        <w:rPr>
          <w:szCs w:val="22"/>
        </w:rPr>
        <w:t>.</w:t>
      </w:r>
      <w:r>
        <w:rPr>
          <w:rStyle w:val="FootnoteReference"/>
          <w:sz w:val="22"/>
          <w:szCs w:val="22"/>
        </w:rPr>
        <w:footnoteReference w:id="165"/>
      </w:r>
      <w:r w:rsidRPr="00937817">
        <w:rPr>
          <w:szCs w:val="22"/>
        </w:rPr>
        <w:t xml:space="preserve">  </w:t>
      </w:r>
      <w:r>
        <w:rPr>
          <w:szCs w:val="22"/>
        </w:rPr>
        <w:t>Environmentel, Verde Systems, and Havens</w:t>
      </w:r>
      <w:r w:rsidRPr="00937817">
        <w:rPr>
          <w:szCs w:val="22"/>
        </w:rPr>
        <w:t xml:space="preserve"> rel</w:t>
      </w:r>
      <w:r>
        <w:rPr>
          <w:szCs w:val="22"/>
        </w:rPr>
        <w:t>y</w:t>
      </w:r>
      <w:r w:rsidRPr="00937817">
        <w:rPr>
          <w:szCs w:val="22"/>
        </w:rPr>
        <w:t xml:space="preserve"> on a statement by the </w:t>
      </w:r>
      <w:r>
        <w:rPr>
          <w:szCs w:val="22"/>
        </w:rPr>
        <w:t>Judge</w:t>
      </w:r>
      <w:r w:rsidRPr="00937817">
        <w:rPr>
          <w:szCs w:val="22"/>
        </w:rPr>
        <w:t xml:space="preserve"> at the October 1, 201</w:t>
      </w:r>
      <w:r w:rsidRPr="00CA1AF9">
        <w:rPr>
          <w:szCs w:val="22"/>
        </w:rPr>
        <w:t>4 prehearing conference that “[w]ell, you’re free to file any motion you care to, as long as you do it in a professional manner.”</w:t>
      </w:r>
      <w:r>
        <w:rPr>
          <w:rStyle w:val="FootnoteReference"/>
          <w:sz w:val="22"/>
          <w:szCs w:val="22"/>
        </w:rPr>
        <w:footnoteReference w:id="166"/>
      </w:r>
      <w:r w:rsidRPr="00937817">
        <w:rPr>
          <w:szCs w:val="22"/>
        </w:rPr>
        <w:t xml:space="preserve">  </w:t>
      </w:r>
      <w:r>
        <w:rPr>
          <w:szCs w:val="22"/>
        </w:rPr>
        <w:t>Environmentel, Verde Systems, and Havens</w:t>
      </w:r>
      <w:r w:rsidRPr="00937817">
        <w:rPr>
          <w:szCs w:val="22"/>
        </w:rPr>
        <w:t xml:space="preserve"> argue that the </w:t>
      </w:r>
      <w:r>
        <w:rPr>
          <w:szCs w:val="22"/>
        </w:rPr>
        <w:t>Judge</w:t>
      </w:r>
      <w:r w:rsidRPr="00937817">
        <w:rPr>
          <w:szCs w:val="22"/>
        </w:rPr>
        <w:t xml:space="preserve"> “thus explicitly </w:t>
      </w:r>
      <w:r w:rsidRPr="00937817">
        <w:rPr>
          <w:szCs w:val="22"/>
        </w:rPr>
        <w:t>authori</w:t>
      </w:r>
      <w:r w:rsidRPr="00CA1AF9">
        <w:rPr>
          <w:szCs w:val="22"/>
        </w:rPr>
        <w:t>z</w:t>
      </w:r>
      <w:r>
        <w:rPr>
          <w:szCs w:val="22"/>
        </w:rPr>
        <w:t>[</w:t>
      </w:r>
      <w:r>
        <w:rPr>
          <w:szCs w:val="22"/>
        </w:rPr>
        <w:t>ed</w:t>
      </w:r>
      <w:r>
        <w:rPr>
          <w:szCs w:val="22"/>
        </w:rPr>
        <w:t>] counsel for [</w:t>
      </w:r>
      <w:r>
        <w:rPr>
          <w:szCs w:val="22"/>
        </w:rPr>
        <w:t>Environmentel</w:t>
      </w:r>
      <w:r>
        <w:rPr>
          <w:szCs w:val="22"/>
        </w:rPr>
        <w:t xml:space="preserve"> and Verde Systems]</w:t>
      </w:r>
      <w:r w:rsidRPr="00CA1AF9">
        <w:rPr>
          <w:szCs w:val="22"/>
        </w:rPr>
        <w:t xml:space="preserve"> to file any motion counsel chose to file, including a motion for summary decision .</w:t>
      </w:r>
      <w:r>
        <w:rPr>
          <w:szCs w:val="22"/>
        </w:rPr>
        <w:t xml:space="preserve"> . . .</w:t>
      </w:r>
      <w:r w:rsidRPr="00CA1AF9">
        <w:rPr>
          <w:szCs w:val="22"/>
        </w:rPr>
        <w:t>”</w:t>
      </w:r>
      <w:r>
        <w:rPr>
          <w:rStyle w:val="FootnoteReference"/>
          <w:sz w:val="22"/>
          <w:szCs w:val="22"/>
        </w:rPr>
        <w:footnoteReference w:id="167"/>
      </w:r>
    </w:p>
    <w:p w:rsidR="00C016B1" w:rsidRPr="00937817" w:rsidP="005137F4">
      <w:pPr>
        <w:pStyle w:val="ParaNum"/>
        <w:widowControl/>
        <w:rPr>
          <w:szCs w:val="22"/>
        </w:rPr>
      </w:pPr>
      <w:r w:rsidRPr="00CA1AF9">
        <w:rPr>
          <w:szCs w:val="22"/>
        </w:rPr>
        <w:t xml:space="preserve">An examination of the transcript, however, suggests nothing of the kind.  The </w:t>
      </w:r>
      <w:r>
        <w:rPr>
          <w:szCs w:val="22"/>
        </w:rPr>
        <w:t>Judge</w:t>
      </w:r>
      <w:r w:rsidRPr="00CA1AF9">
        <w:rPr>
          <w:szCs w:val="22"/>
        </w:rPr>
        <w:t xml:space="preserve"> made the cited comment in response to the statement by </w:t>
      </w:r>
      <w:r>
        <w:rPr>
          <w:szCs w:val="22"/>
        </w:rPr>
        <w:t>Environmentel</w:t>
      </w:r>
      <w:r>
        <w:rPr>
          <w:szCs w:val="22"/>
        </w:rPr>
        <w:t xml:space="preserve"> and Verde </w:t>
      </w:r>
      <w:r>
        <w:rPr>
          <w:szCs w:val="22"/>
        </w:rPr>
        <w:t>Systems’s</w:t>
      </w:r>
      <w:r w:rsidRPr="00CA1AF9">
        <w:rPr>
          <w:szCs w:val="22"/>
        </w:rPr>
        <w:t xml:space="preserve"> counsel that “I really think that on October 28 [the date set for responding to the parties</w:t>
      </w:r>
      <w:r>
        <w:rPr>
          <w:szCs w:val="22"/>
        </w:rPr>
        <w:t>’</w:t>
      </w:r>
      <w:r w:rsidRPr="00CA1AF9">
        <w:rPr>
          <w:szCs w:val="22"/>
        </w:rPr>
        <w:t xml:space="preserve"> direct case exhibits and testimony], I may have to file a motion to strike the Government’s entire case.”</w:t>
      </w:r>
      <w:r>
        <w:rPr>
          <w:rStyle w:val="FootnoteReference"/>
          <w:sz w:val="22"/>
          <w:szCs w:val="22"/>
        </w:rPr>
        <w:footnoteReference w:id="168"/>
      </w:r>
      <w:r w:rsidRPr="00937817">
        <w:rPr>
          <w:szCs w:val="22"/>
        </w:rPr>
        <w:t xml:space="preserve">  The </w:t>
      </w:r>
      <w:r>
        <w:rPr>
          <w:szCs w:val="22"/>
        </w:rPr>
        <w:t>Judge</w:t>
      </w:r>
      <w:r w:rsidRPr="00937817">
        <w:rPr>
          <w:szCs w:val="22"/>
        </w:rPr>
        <w:t xml:space="preserve"> was clearly referring to the possibility of filing </w:t>
      </w:r>
      <w:r>
        <w:rPr>
          <w:szCs w:val="22"/>
        </w:rPr>
        <w:t>a motion to strike—</w:t>
      </w:r>
      <w:r w:rsidRPr="00937817">
        <w:rPr>
          <w:szCs w:val="22"/>
        </w:rPr>
        <w:t xml:space="preserve">an entirely different motion.  </w:t>
      </w:r>
      <w:r w:rsidRPr="00CA1AF9">
        <w:rPr>
          <w:szCs w:val="22"/>
        </w:rPr>
        <w:t xml:space="preserve">We find that </w:t>
      </w:r>
      <w:r>
        <w:rPr>
          <w:szCs w:val="22"/>
        </w:rPr>
        <w:t>Environmentel, Verde Systems, and Havens’s</w:t>
      </w:r>
      <w:r w:rsidRPr="00CA1AF9">
        <w:rPr>
          <w:szCs w:val="22"/>
        </w:rPr>
        <w:t xml:space="preserve"> reliance on the </w:t>
      </w:r>
      <w:r>
        <w:rPr>
          <w:szCs w:val="22"/>
        </w:rPr>
        <w:t>Judge</w:t>
      </w:r>
      <w:r w:rsidRPr="00CA1AF9">
        <w:rPr>
          <w:szCs w:val="22"/>
        </w:rPr>
        <w:t xml:space="preserve">’s remark as explicit authorization for filing the motion for summary decision is untenable and further </w:t>
      </w:r>
      <w:r>
        <w:rPr>
          <w:szCs w:val="22"/>
        </w:rPr>
        <w:t>supports the Judge’s conclusion that Environmentel, Verde Systems, and Havens</w:t>
      </w:r>
      <w:r w:rsidRPr="00CA1AF9">
        <w:rPr>
          <w:szCs w:val="22"/>
        </w:rPr>
        <w:t xml:space="preserve"> </w:t>
      </w:r>
      <w:r>
        <w:rPr>
          <w:szCs w:val="22"/>
        </w:rPr>
        <w:t>filed the motion in bad faith and proceeded in bad faith subsequent to the filing</w:t>
      </w:r>
      <w:r w:rsidRPr="00CA1AF9">
        <w:rPr>
          <w:szCs w:val="22"/>
        </w:rPr>
        <w:t>.  We find that bad faith</w:t>
      </w:r>
      <w:r>
        <w:rPr>
          <w:szCs w:val="22"/>
        </w:rPr>
        <w:t xml:space="preserve">, and the related contemptuous and disruptive conduct, </w:t>
      </w:r>
      <w:r w:rsidRPr="00CA1AF9">
        <w:rPr>
          <w:szCs w:val="22"/>
        </w:rPr>
        <w:t xml:space="preserve">sufficient, in itself, to justify </w:t>
      </w:r>
      <w:r>
        <w:rPr>
          <w:szCs w:val="22"/>
        </w:rPr>
        <w:t>the removal from this proceeding of Havens and the companies that he owns and controls, including Environmentel and Verde Systems with which he jointly filed the motion for summary decision</w:t>
      </w:r>
      <w:r w:rsidRPr="00CA1AF9">
        <w:rPr>
          <w:szCs w:val="22"/>
        </w:rPr>
        <w:t>.</w:t>
      </w:r>
      <w:r>
        <w:rPr>
          <w:rStyle w:val="FootnoteReference"/>
          <w:sz w:val="22"/>
          <w:szCs w:val="22"/>
        </w:rPr>
        <w:footnoteReference w:id="169"/>
      </w:r>
      <w:r w:rsidRPr="00937817">
        <w:rPr>
          <w:szCs w:val="22"/>
        </w:rPr>
        <w:t xml:space="preserve">  </w:t>
      </w:r>
    </w:p>
    <w:p w:rsidR="00C016B1" w:rsidRPr="00CA1AF9" w:rsidP="00C016B1">
      <w:pPr>
        <w:pStyle w:val="ParaNum"/>
        <w:rPr>
          <w:szCs w:val="22"/>
        </w:rPr>
      </w:pPr>
      <w:r w:rsidRPr="00CA1AF9">
        <w:rPr>
          <w:b/>
          <w:szCs w:val="22"/>
        </w:rPr>
        <w:t xml:space="preserve">Additional conduct.  </w:t>
      </w:r>
      <w:r w:rsidRPr="00CA1AF9">
        <w:rPr>
          <w:szCs w:val="22"/>
        </w:rPr>
        <w:t xml:space="preserve">The </w:t>
      </w:r>
      <w:r>
        <w:rPr>
          <w:szCs w:val="22"/>
        </w:rPr>
        <w:t>Judge</w:t>
      </w:r>
      <w:r w:rsidRPr="00CA1AF9">
        <w:rPr>
          <w:szCs w:val="22"/>
        </w:rPr>
        <w:t xml:space="preserve"> treated this incident as one of many that are characteristic of Havens and related parties in this proceeding.  We need not review the entire litany of conduct that the </w:t>
      </w:r>
      <w:r>
        <w:rPr>
          <w:szCs w:val="22"/>
        </w:rPr>
        <w:t>Judge</w:t>
      </w:r>
      <w:r w:rsidRPr="00CA1AF9">
        <w:rPr>
          <w:szCs w:val="22"/>
        </w:rPr>
        <w:t xml:space="preserve"> describes in his order.  The record, as reflected in the background section above, confirms that much contention has resulted from Havens’s conduct.  We will focus on two matters that have already required rulings by the full Commission: Havens’s assertion of attorney-client privilege and his FOIA requests.  By themselves, these matters amply demonstrate that the behavior displayed in connection with the motion for summary decision is not an aberration but is typical.  These matters demonstrate Havens’s persistent inability, or unwillingness, throughout this proceeding to work with counsel in the customary manner and comply with the reasonable norms that govern conduct of administrative proceedings.  Each provides a reasonable basis for the </w:t>
      </w:r>
      <w:r>
        <w:rPr>
          <w:szCs w:val="22"/>
        </w:rPr>
        <w:t>Judge</w:t>
      </w:r>
      <w:r w:rsidRPr="00CA1AF9">
        <w:rPr>
          <w:szCs w:val="22"/>
        </w:rPr>
        <w:t xml:space="preserve"> to have exercised his discretion to exclude Havens from the proceeding.    </w:t>
      </w:r>
    </w:p>
    <w:p w:rsidR="00C016B1" w:rsidRPr="00CA1AF9" w:rsidP="005137F4">
      <w:pPr>
        <w:pStyle w:val="ParaNum"/>
        <w:widowControl/>
        <w:rPr>
          <w:szCs w:val="22"/>
        </w:rPr>
      </w:pPr>
      <w:r w:rsidRPr="00CA1AF9">
        <w:rPr>
          <w:b/>
          <w:szCs w:val="22"/>
        </w:rPr>
        <w:t xml:space="preserve">Attorney-client privilege.  </w:t>
      </w:r>
      <w:r w:rsidRPr="00CA1AF9">
        <w:rPr>
          <w:szCs w:val="22"/>
        </w:rPr>
        <w:t xml:space="preserve">The first issue involves Havens’s assertion of attorney-client privilege in response to the </w:t>
      </w:r>
      <w:r>
        <w:rPr>
          <w:szCs w:val="22"/>
        </w:rPr>
        <w:t>Judge</w:t>
      </w:r>
      <w:r w:rsidRPr="00CA1AF9">
        <w:rPr>
          <w:szCs w:val="22"/>
        </w:rPr>
        <w:t xml:space="preserve">’s inquiry into the nature of Havens’s legal representation at a time when Havens was ostensibly proceeding </w:t>
      </w:r>
      <w:r w:rsidRPr="00CA1AF9">
        <w:rPr>
          <w:i/>
          <w:szCs w:val="22"/>
        </w:rPr>
        <w:t>pro se</w:t>
      </w:r>
      <w:r w:rsidRPr="00CA1AF9">
        <w:rPr>
          <w:szCs w:val="22"/>
        </w:rPr>
        <w:t>.</w:t>
      </w:r>
      <w:r>
        <w:rPr>
          <w:rStyle w:val="FootnoteReference"/>
          <w:sz w:val="22"/>
          <w:szCs w:val="22"/>
        </w:rPr>
        <w:footnoteReference w:id="170"/>
      </w:r>
      <w:r w:rsidRPr="00937817">
        <w:rPr>
          <w:szCs w:val="22"/>
        </w:rPr>
        <w:t xml:space="preserve"> </w:t>
      </w:r>
      <w:r>
        <w:rPr>
          <w:szCs w:val="22"/>
        </w:rPr>
        <w:t xml:space="preserve"> </w:t>
      </w:r>
      <w:r w:rsidRPr="00937817">
        <w:rPr>
          <w:szCs w:val="22"/>
        </w:rPr>
        <w:t>As discuss</w:t>
      </w:r>
      <w:r w:rsidRPr="00CA1AF9">
        <w:rPr>
          <w:szCs w:val="22"/>
        </w:rPr>
        <w:t xml:space="preserve">ed above, the problems posed by Havens’s legal representation initially came to the Commission’s attention when the </w:t>
      </w:r>
      <w:r>
        <w:rPr>
          <w:szCs w:val="22"/>
        </w:rPr>
        <w:t>Judge</w:t>
      </w:r>
      <w:r w:rsidRPr="00CA1AF9">
        <w:rPr>
          <w:szCs w:val="22"/>
        </w:rPr>
        <w:t xml:space="preserve"> found it necessary, with the Commission’s concurrence, to place conditions on Havens’s representation to prevent confusion and delay.</w:t>
      </w:r>
      <w:r>
        <w:rPr>
          <w:rStyle w:val="FootnoteReference"/>
          <w:sz w:val="22"/>
          <w:szCs w:val="22"/>
        </w:rPr>
        <w:footnoteReference w:id="171"/>
      </w:r>
      <w:r w:rsidRPr="00937817">
        <w:rPr>
          <w:szCs w:val="22"/>
        </w:rPr>
        <w:t xml:space="preserve">  Rather than resolving the problem, however, </w:t>
      </w:r>
      <w:r w:rsidRPr="00CA1AF9">
        <w:rPr>
          <w:szCs w:val="22"/>
        </w:rPr>
        <w:t xml:space="preserve">Havens’s response to these conditions merely led to troubling questions about whether Havens was a bona fide </w:t>
      </w:r>
      <w:r w:rsidRPr="00CA1AF9">
        <w:rPr>
          <w:i/>
          <w:szCs w:val="22"/>
        </w:rPr>
        <w:t xml:space="preserve">pro se </w:t>
      </w:r>
      <w:r w:rsidRPr="00CA1AF9">
        <w:rPr>
          <w:szCs w:val="22"/>
        </w:rPr>
        <w:t>litigant.</w:t>
      </w:r>
      <w:r>
        <w:rPr>
          <w:rStyle w:val="FootnoteReference"/>
          <w:sz w:val="22"/>
          <w:szCs w:val="22"/>
        </w:rPr>
        <w:footnoteReference w:id="172"/>
      </w:r>
      <w:r w:rsidRPr="00937817">
        <w:rPr>
          <w:szCs w:val="22"/>
        </w:rPr>
        <w:t xml:space="preserve">  We find that the facts before the </w:t>
      </w:r>
      <w:r>
        <w:rPr>
          <w:szCs w:val="22"/>
        </w:rPr>
        <w:t>Judge</w:t>
      </w:r>
      <w:r w:rsidRPr="00937817">
        <w:rPr>
          <w:szCs w:val="22"/>
        </w:rPr>
        <w:t xml:space="preserve"> raised a serious question of whether</w:t>
      </w:r>
      <w:r w:rsidRPr="00CA1AF9">
        <w:rPr>
          <w:szCs w:val="22"/>
        </w:rPr>
        <w:t xml:space="preserve">, by representing himself as a </w:t>
      </w:r>
      <w:r w:rsidRPr="00CA1AF9">
        <w:rPr>
          <w:i/>
          <w:szCs w:val="22"/>
        </w:rPr>
        <w:t xml:space="preserve">pro se </w:t>
      </w:r>
      <w:r w:rsidRPr="00CA1AF9">
        <w:rPr>
          <w:szCs w:val="22"/>
        </w:rPr>
        <w:t xml:space="preserve">litigant, Havens induced the </w:t>
      </w:r>
      <w:r>
        <w:rPr>
          <w:szCs w:val="22"/>
        </w:rPr>
        <w:t>Judge</w:t>
      </w:r>
      <w:r w:rsidRPr="00CA1AF9">
        <w:rPr>
          <w:szCs w:val="22"/>
        </w:rPr>
        <w:t xml:space="preserve"> to give him undeserved preferential treatment</w:t>
      </w:r>
      <w:r>
        <w:rPr>
          <w:szCs w:val="22"/>
        </w:rPr>
        <w:t>—</w:t>
      </w:r>
      <w:r w:rsidRPr="00CA1AF9">
        <w:rPr>
          <w:szCs w:val="22"/>
        </w:rPr>
        <w:t>and later affirmatively claimed entitlement to such treatment</w:t>
      </w:r>
      <w:r>
        <w:rPr>
          <w:szCs w:val="22"/>
        </w:rPr>
        <w:t xml:space="preserve">—when </w:t>
      </w:r>
      <w:r w:rsidRPr="00CA1AF9">
        <w:rPr>
          <w:szCs w:val="22"/>
        </w:rPr>
        <w:t xml:space="preserve">his pleadings may have been drafted with the assistance of counsel.  We further find that Havens had no justification for interfering with the </w:t>
      </w:r>
      <w:r>
        <w:rPr>
          <w:szCs w:val="22"/>
        </w:rPr>
        <w:t>Judge</w:t>
      </w:r>
      <w:r w:rsidRPr="00CA1AF9">
        <w:rPr>
          <w:szCs w:val="22"/>
        </w:rPr>
        <w:t xml:space="preserve">’s legitimate inquiry into these serious questions by asserting attorney-client privilege.  As explained below, and in these circumstances, Havens cannot seek the benefits that our rules provide to </w:t>
      </w:r>
      <w:r w:rsidRPr="00CA1AF9">
        <w:rPr>
          <w:i/>
          <w:szCs w:val="22"/>
        </w:rPr>
        <w:t xml:space="preserve">pro se </w:t>
      </w:r>
      <w:r w:rsidRPr="00CA1AF9">
        <w:rPr>
          <w:szCs w:val="22"/>
        </w:rPr>
        <w:t xml:space="preserve">litigants and then, when serious questions have been raised about his </w:t>
      </w:r>
      <w:r w:rsidRPr="00CA1AF9">
        <w:rPr>
          <w:i/>
          <w:szCs w:val="22"/>
        </w:rPr>
        <w:t>pro se</w:t>
      </w:r>
      <w:r w:rsidRPr="00CA1AF9">
        <w:rPr>
          <w:szCs w:val="22"/>
        </w:rPr>
        <w:t xml:space="preserve"> status, assert the attorney-client privilege to both preserve the benefits of his claimed </w:t>
      </w:r>
      <w:r w:rsidRPr="00CA1AF9">
        <w:rPr>
          <w:i/>
          <w:szCs w:val="22"/>
        </w:rPr>
        <w:t>pro se</w:t>
      </w:r>
      <w:r w:rsidRPr="00CA1AF9">
        <w:rPr>
          <w:szCs w:val="22"/>
        </w:rPr>
        <w:t xml:space="preserve"> status and inhibit the reasonable inquiry into his status.</w:t>
      </w:r>
      <w:r>
        <w:rPr>
          <w:szCs w:val="22"/>
        </w:rPr>
        <w:t xml:space="preserve">  Indeed, the assertion of attorney-client privilege itself tends to raise questions about the </w:t>
      </w:r>
      <w:r>
        <w:rPr>
          <w:i/>
          <w:szCs w:val="22"/>
        </w:rPr>
        <w:t xml:space="preserve">bona fides </w:t>
      </w:r>
      <w:r>
        <w:rPr>
          <w:szCs w:val="22"/>
        </w:rPr>
        <w:t xml:space="preserve">of Havens’s claim of </w:t>
      </w:r>
      <w:r>
        <w:rPr>
          <w:i/>
          <w:szCs w:val="22"/>
        </w:rPr>
        <w:t xml:space="preserve">pro se </w:t>
      </w:r>
      <w:r>
        <w:rPr>
          <w:szCs w:val="22"/>
        </w:rPr>
        <w:t>status.</w:t>
      </w:r>
    </w:p>
    <w:p w:rsidR="00C016B1" w:rsidRPr="00CA1AF9" w:rsidP="00C016B1">
      <w:pPr>
        <w:pStyle w:val="ParaNum"/>
        <w:rPr>
          <w:szCs w:val="22"/>
        </w:rPr>
      </w:pPr>
      <w:r w:rsidRPr="00CA1AF9">
        <w:rPr>
          <w:szCs w:val="22"/>
        </w:rPr>
        <w:t xml:space="preserve">The </w:t>
      </w:r>
      <w:r>
        <w:rPr>
          <w:szCs w:val="22"/>
        </w:rPr>
        <w:t>Judge</w:t>
      </w:r>
      <w:r w:rsidRPr="00CA1AF9">
        <w:rPr>
          <w:szCs w:val="22"/>
        </w:rPr>
        <w:t xml:space="preserve"> correctly recognized that a party asserting the attorney-client privilege bears the burden of establishing (1) the existence of an attorney-client relationship, (2) the existence of communications from the client to his or her attorney, (3) that the communication is legally related, and (4) that there is an expectation of confidentiality.</w:t>
      </w:r>
      <w:r>
        <w:rPr>
          <w:rStyle w:val="FootnoteReference"/>
          <w:sz w:val="22"/>
          <w:szCs w:val="22"/>
        </w:rPr>
        <w:footnoteReference w:id="173"/>
      </w:r>
      <w:r w:rsidRPr="00937817">
        <w:rPr>
          <w:szCs w:val="22"/>
        </w:rPr>
        <w:t xml:space="preserve">  In addition, a party generally </w:t>
      </w:r>
      <w:r w:rsidRPr="00CA1AF9">
        <w:rPr>
          <w:szCs w:val="22"/>
        </w:rPr>
        <w:t>must assert the privilege on a question-by-question basis.</w:t>
      </w:r>
      <w:r>
        <w:rPr>
          <w:rStyle w:val="FootnoteReference"/>
          <w:sz w:val="22"/>
          <w:szCs w:val="22"/>
        </w:rPr>
        <w:footnoteReference w:id="174"/>
      </w:r>
      <w:r w:rsidRPr="00937817">
        <w:rPr>
          <w:szCs w:val="22"/>
        </w:rPr>
        <w:t xml:space="preserve">  Here, as the </w:t>
      </w:r>
      <w:r>
        <w:rPr>
          <w:szCs w:val="22"/>
        </w:rPr>
        <w:t>Judge</w:t>
      </w:r>
      <w:r w:rsidRPr="00937817">
        <w:rPr>
          <w:szCs w:val="22"/>
        </w:rPr>
        <w:t xml:space="preserve"> found, Havens did not assert the privilege on a</w:t>
      </w:r>
      <w:r w:rsidRPr="00CA1AF9">
        <w:rPr>
          <w:szCs w:val="22"/>
        </w:rPr>
        <w:t xml:space="preserve"> question-by-question basis.  Rather, at the prehearing conference, he either relied on a blanket claim of privilege or refused to say whether he was invoking the privilege at all (claiming that he could not address the question because he was not represented by counsel at the prehearing conference).</w:t>
      </w:r>
      <w:r>
        <w:rPr>
          <w:rStyle w:val="FootnoteReference"/>
          <w:sz w:val="22"/>
          <w:szCs w:val="22"/>
        </w:rPr>
        <w:footnoteReference w:id="175"/>
      </w:r>
      <w:r w:rsidRPr="00937817">
        <w:rPr>
          <w:szCs w:val="22"/>
        </w:rPr>
        <w:t xml:space="preserve">  Accordingly, we agree with the </w:t>
      </w:r>
      <w:r>
        <w:rPr>
          <w:szCs w:val="22"/>
        </w:rPr>
        <w:t>Judge</w:t>
      </w:r>
      <w:r w:rsidRPr="00937817">
        <w:rPr>
          <w:szCs w:val="22"/>
        </w:rPr>
        <w:t xml:space="preserve">’s finding that Havens did not provide the necessary information to satisfy his burden of establishing the elements of the attorney-client privilege, and we affirm the </w:t>
      </w:r>
      <w:r>
        <w:rPr>
          <w:szCs w:val="22"/>
        </w:rPr>
        <w:t>Judge</w:t>
      </w:r>
      <w:r w:rsidRPr="00937817">
        <w:rPr>
          <w:szCs w:val="22"/>
        </w:rPr>
        <w:t xml:space="preserve">’s </w:t>
      </w:r>
      <w:r w:rsidRPr="00CA1AF9">
        <w:rPr>
          <w:szCs w:val="22"/>
        </w:rPr>
        <w:t xml:space="preserve">decision to overrule Havens’s assertion of the privilege.   </w:t>
      </w:r>
    </w:p>
    <w:p w:rsidR="00C016B1" w:rsidRPr="00CA1AF9" w:rsidP="00C016B1">
      <w:pPr>
        <w:pStyle w:val="ParaNum"/>
        <w:rPr>
          <w:szCs w:val="22"/>
        </w:rPr>
      </w:pPr>
      <w:r w:rsidRPr="00CA1AF9">
        <w:rPr>
          <w:szCs w:val="22"/>
        </w:rPr>
        <w:t xml:space="preserve">Moreover, to the extent the </w:t>
      </w:r>
      <w:r>
        <w:rPr>
          <w:szCs w:val="22"/>
        </w:rPr>
        <w:t>Judge</w:t>
      </w:r>
      <w:r w:rsidRPr="00CA1AF9">
        <w:rPr>
          <w:szCs w:val="22"/>
        </w:rPr>
        <w:t>’s questions concerned the factual circumstances surrounding Havens’s relationships and communications with counsel, and the nature and scope of the legal services he received, we note that questions of that kind do not implicate the attorney-client privilege.  As set forth in factors (2), (3), and (4) above, only the communication itself, made in confidence between the attorney and the client, is privileged; the underlying facts, as well as the factual circumstances surrounding the attorney-client relationship, are not.</w:t>
      </w:r>
      <w:r>
        <w:rPr>
          <w:rStyle w:val="FootnoteReference"/>
          <w:sz w:val="22"/>
          <w:szCs w:val="22"/>
        </w:rPr>
        <w:footnoteReference w:id="176"/>
      </w:r>
      <w:r w:rsidRPr="00937817">
        <w:rPr>
          <w:szCs w:val="22"/>
        </w:rPr>
        <w:t xml:space="preserve">  Courts have held that inquiries into the general nature of the services performed </w:t>
      </w:r>
      <w:r w:rsidRPr="00CA1AF9">
        <w:rPr>
          <w:szCs w:val="22"/>
        </w:rPr>
        <w:t>by the attorney, or the subject matter or purpose of the attorney-client communications, are not protected.</w:t>
      </w:r>
      <w:r>
        <w:rPr>
          <w:rStyle w:val="FootnoteReference"/>
          <w:sz w:val="22"/>
          <w:szCs w:val="22"/>
        </w:rPr>
        <w:footnoteReference w:id="177"/>
      </w:r>
      <w:r w:rsidRPr="00937817">
        <w:rPr>
          <w:szCs w:val="22"/>
        </w:rPr>
        <w:t xml:space="preserve">  Indeed, some exploration of the attorney-client relationship is necessary to determine whether </w:t>
      </w:r>
      <w:r w:rsidRPr="00CA1AF9">
        <w:rPr>
          <w:szCs w:val="22"/>
        </w:rPr>
        <w:t>there is even a factual basis for applying the attorney-client privilege.</w:t>
      </w:r>
      <w:r>
        <w:rPr>
          <w:rStyle w:val="FootnoteReference"/>
          <w:sz w:val="22"/>
          <w:szCs w:val="22"/>
        </w:rPr>
        <w:footnoteReference w:id="178"/>
      </w:r>
      <w:r w:rsidRPr="00937817">
        <w:rPr>
          <w:szCs w:val="22"/>
        </w:rPr>
        <w:t xml:space="preserve">  On facts similar to the case before us, the federal district court in </w:t>
      </w:r>
      <w:r w:rsidRPr="00CA1AF9">
        <w:rPr>
          <w:i/>
          <w:szCs w:val="22"/>
        </w:rPr>
        <w:t>Monsky</w:t>
      </w:r>
      <w:r w:rsidRPr="00CA1AF9">
        <w:rPr>
          <w:i/>
          <w:szCs w:val="22"/>
        </w:rPr>
        <w:t xml:space="preserve"> v. </w:t>
      </w:r>
      <w:r w:rsidRPr="00CA1AF9">
        <w:rPr>
          <w:i/>
          <w:szCs w:val="22"/>
        </w:rPr>
        <w:t>Moraghan</w:t>
      </w:r>
      <w:r>
        <w:rPr>
          <w:rStyle w:val="FootnoteReference"/>
          <w:sz w:val="22"/>
          <w:szCs w:val="22"/>
        </w:rPr>
        <w:footnoteReference w:id="179"/>
      </w:r>
      <w:r w:rsidRPr="00937817">
        <w:rPr>
          <w:i/>
          <w:szCs w:val="22"/>
        </w:rPr>
        <w:t xml:space="preserve"> </w:t>
      </w:r>
      <w:r w:rsidRPr="00CA1AF9">
        <w:rPr>
          <w:szCs w:val="22"/>
        </w:rPr>
        <w:t xml:space="preserve">rejected objections by a </w:t>
      </w:r>
      <w:r w:rsidRPr="00CA1AF9">
        <w:rPr>
          <w:i/>
          <w:szCs w:val="22"/>
        </w:rPr>
        <w:t xml:space="preserve">pro se </w:t>
      </w:r>
      <w:r w:rsidRPr="00CA1AF9">
        <w:rPr>
          <w:szCs w:val="22"/>
        </w:rPr>
        <w:t xml:space="preserve">litigant that mere inquiry into whether an attorney had participated in drafting a “professionally drawn” petition for </w:t>
      </w:r>
      <w:r w:rsidRPr="00CA1AF9">
        <w:rPr>
          <w:i/>
          <w:szCs w:val="22"/>
        </w:rPr>
        <w:t xml:space="preserve">certiorari </w:t>
      </w:r>
      <w:r w:rsidRPr="00CA1AF9">
        <w:rPr>
          <w:szCs w:val="22"/>
        </w:rPr>
        <w:t>violated attorney-client privilege.</w:t>
      </w:r>
      <w:r>
        <w:rPr>
          <w:rStyle w:val="FootnoteReference"/>
          <w:sz w:val="22"/>
          <w:szCs w:val="22"/>
        </w:rPr>
        <w:footnoteReference w:id="180"/>
      </w:r>
      <w:r w:rsidRPr="00937817">
        <w:rPr>
          <w:szCs w:val="22"/>
        </w:rPr>
        <w:t xml:space="preserve">  Similarly, w</w:t>
      </w:r>
      <w:r w:rsidRPr="00CA1AF9">
        <w:rPr>
          <w:szCs w:val="22"/>
        </w:rPr>
        <w:t xml:space="preserve">e find that Havens had no reasonable basis for relying on attorney-client privilege as grounds for interfering with the </w:t>
      </w:r>
      <w:r>
        <w:rPr>
          <w:szCs w:val="22"/>
        </w:rPr>
        <w:t>Judge</w:t>
      </w:r>
      <w:r w:rsidRPr="00CA1AF9">
        <w:rPr>
          <w:szCs w:val="22"/>
        </w:rPr>
        <w:t xml:space="preserve">’s inquiry into the factual circumstances of his relationships with counsel, and that his attempts to do so were disruptive and displayed </w:t>
      </w:r>
      <w:r>
        <w:t>a profound disregard for the Judge’s authority to manage the proceedings</w:t>
      </w:r>
      <w:r w:rsidRPr="00CA1AF9">
        <w:rPr>
          <w:szCs w:val="22"/>
        </w:rPr>
        <w:t>.</w:t>
      </w:r>
    </w:p>
    <w:p w:rsidR="00C016B1" w:rsidRPr="00937817" w:rsidP="00C016B1">
      <w:pPr>
        <w:pStyle w:val="ParaNum"/>
        <w:rPr>
          <w:szCs w:val="22"/>
        </w:rPr>
      </w:pPr>
      <w:r w:rsidRPr="00CA1AF9">
        <w:rPr>
          <w:b/>
          <w:szCs w:val="22"/>
        </w:rPr>
        <w:t xml:space="preserve">Freedom of Information Act </w:t>
      </w:r>
      <w:r>
        <w:rPr>
          <w:b/>
          <w:szCs w:val="22"/>
        </w:rPr>
        <w:t>r</w:t>
      </w:r>
      <w:r w:rsidRPr="00CA1AF9">
        <w:rPr>
          <w:b/>
          <w:szCs w:val="22"/>
        </w:rPr>
        <w:t xml:space="preserve">equests.  </w:t>
      </w:r>
      <w:r w:rsidRPr="00CA1AF9">
        <w:rPr>
          <w:szCs w:val="22"/>
        </w:rPr>
        <w:t xml:space="preserve">Another matter that the </w:t>
      </w:r>
      <w:r>
        <w:rPr>
          <w:szCs w:val="22"/>
        </w:rPr>
        <w:t>Judge</w:t>
      </w:r>
      <w:r w:rsidRPr="00CA1AF9">
        <w:rPr>
          <w:szCs w:val="22"/>
        </w:rPr>
        <w:t xml:space="preserve"> found to be indicative of the disruptive and disrespectful nature of Havens’s conduct is his continued efforts to circumvent the protective order adopted in this proceeding by filing FOIA requests for confidential information.  In this regard, the </w:t>
      </w:r>
      <w:r>
        <w:rPr>
          <w:szCs w:val="22"/>
        </w:rPr>
        <w:t>Judge</w:t>
      </w:r>
      <w:r w:rsidRPr="00CA1AF9">
        <w:rPr>
          <w:szCs w:val="22"/>
        </w:rPr>
        <w:t xml:space="preserve"> found that: “[t]</w:t>
      </w:r>
      <w:r w:rsidRPr="00CA1AF9">
        <w:rPr>
          <w:szCs w:val="22"/>
        </w:rPr>
        <w:t>hroughout</w:t>
      </w:r>
      <w:r w:rsidRPr="00CA1AF9">
        <w:rPr>
          <w:szCs w:val="22"/>
        </w:rPr>
        <w:t xml:space="preserve"> these prehearing activities, the Presiding </w:t>
      </w:r>
      <w:r>
        <w:rPr>
          <w:szCs w:val="22"/>
        </w:rPr>
        <w:t>Judge</w:t>
      </w:r>
      <w:r w:rsidRPr="00CA1AF9">
        <w:rPr>
          <w:szCs w:val="22"/>
        </w:rPr>
        <w:t xml:space="preserve"> expected that Mr. Havens would move [pursuant to the Protective Order] for review of the confidentiality designations, but that motion never arrived.  Instead, Mr. Havens opted to search for a solution outside of this proceeding by serially filing requests under the Freedom of Information Act.</w:t>
      </w:r>
      <w:r>
        <w:rPr>
          <w:szCs w:val="22"/>
        </w:rPr>
        <w:t> </w:t>
      </w:r>
      <w:r w:rsidRPr="00CA1AF9">
        <w:rPr>
          <w:szCs w:val="22"/>
        </w:rPr>
        <w:t>.</w:t>
      </w:r>
      <w:r>
        <w:rPr>
          <w:szCs w:val="22"/>
        </w:rPr>
        <w:t> </w:t>
      </w:r>
      <w:r w:rsidRPr="00CA1AF9">
        <w:rPr>
          <w:szCs w:val="22"/>
        </w:rPr>
        <w:t>.</w:t>
      </w:r>
      <w:r>
        <w:rPr>
          <w:szCs w:val="22"/>
        </w:rPr>
        <w:t> </w:t>
      </w:r>
      <w:r w:rsidRPr="00CA1AF9">
        <w:rPr>
          <w:szCs w:val="22"/>
        </w:rPr>
        <w:t>.”</w:t>
      </w:r>
      <w:r>
        <w:rPr>
          <w:rStyle w:val="FootnoteReference"/>
          <w:sz w:val="22"/>
          <w:szCs w:val="22"/>
        </w:rPr>
        <w:footnoteReference w:id="181"/>
      </w:r>
    </w:p>
    <w:p w:rsidR="00C016B1" w:rsidRPr="00CA1AF9" w:rsidP="00C016B1">
      <w:pPr>
        <w:pStyle w:val="ParaNum"/>
        <w:rPr>
          <w:szCs w:val="22"/>
        </w:rPr>
      </w:pPr>
      <w:r w:rsidRPr="00CA1AF9">
        <w:rPr>
          <w:szCs w:val="22"/>
        </w:rPr>
        <w:t xml:space="preserve">Whether or not these requests were permissibly filed under the FOIA, which gives rights to all members of the public, the requests </w:t>
      </w:r>
      <w:r>
        <w:rPr>
          <w:szCs w:val="22"/>
        </w:rPr>
        <w:t>reflect</w:t>
      </w:r>
      <w:r w:rsidRPr="00CA1AF9">
        <w:rPr>
          <w:szCs w:val="22"/>
        </w:rPr>
        <w:t xml:space="preserve"> Havens’s tendency, as a party to the Maritime Proceeding, to disregard the </w:t>
      </w:r>
      <w:r>
        <w:rPr>
          <w:szCs w:val="22"/>
        </w:rPr>
        <w:t>Judge</w:t>
      </w:r>
      <w:r w:rsidRPr="00CA1AF9">
        <w:rPr>
          <w:szCs w:val="22"/>
        </w:rPr>
        <w:t xml:space="preserve">’s authority to regulate discovery though the issuance of protective orders.  In this regard, the protective order represents a judgment that the interest of efficiency and fairness are best served by giving Havens’s counsel, but not Havens himself, free access to confidential material, while giving Havens the opportunity to challenge the confidentiality of specific documents before the </w:t>
      </w:r>
      <w:r>
        <w:rPr>
          <w:szCs w:val="22"/>
        </w:rPr>
        <w:t>Judge</w:t>
      </w:r>
      <w:r w:rsidRPr="00CA1AF9">
        <w:rPr>
          <w:szCs w:val="22"/>
        </w:rPr>
        <w:t xml:space="preserve">.  </w:t>
      </w:r>
    </w:p>
    <w:p w:rsidR="00C016B1" w:rsidRPr="00CA1AF9" w:rsidP="00C016B1">
      <w:pPr>
        <w:pStyle w:val="ParaNum"/>
        <w:rPr>
          <w:szCs w:val="22"/>
        </w:rPr>
      </w:pPr>
      <w:r w:rsidRPr="00CA1AF9">
        <w:rPr>
          <w:szCs w:val="22"/>
        </w:rPr>
        <w:t xml:space="preserve">Most notably, we take official notice that on two occasions Havens filed FOIA requests for </w:t>
      </w:r>
      <w:r w:rsidRPr="00CA1AF9">
        <w:rPr>
          <w:i/>
          <w:szCs w:val="22"/>
        </w:rPr>
        <w:t xml:space="preserve">all </w:t>
      </w:r>
      <w:r w:rsidRPr="00CA1AF9">
        <w:rPr>
          <w:szCs w:val="22"/>
        </w:rPr>
        <w:t>documents designated as confidential and highly confidential under the protective order.</w:t>
      </w:r>
      <w:r>
        <w:rPr>
          <w:rStyle w:val="FootnoteReference"/>
          <w:sz w:val="22"/>
          <w:szCs w:val="22"/>
        </w:rPr>
        <w:footnoteReference w:id="182"/>
      </w:r>
      <w:r w:rsidRPr="00937817">
        <w:rPr>
          <w:szCs w:val="22"/>
        </w:rPr>
        <w:t xml:space="preserve">  The</w:t>
      </w:r>
      <w:r w:rsidRPr="00CA1AF9">
        <w:rPr>
          <w:szCs w:val="22"/>
        </w:rPr>
        <w:t xml:space="preserve"> Commission denied these blanket requests based on a finding that granting them would interfere with the </w:t>
      </w:r>
      <w:r>
        <w:rPr>
          <w:szCs w:val="22"/>
        </w:rPr>
        <w:t>h</w:t>
      </w:r>
      <w:r w:rsidRPr="00CA1AF9">
        <w:rPr>
          <w:szCs w:val="22"/>
        </w:rPr>
        <w:t>earing proceeding within the meaning of FOIA Exemption 7(A).</w:t>
      </w:r>
      <w:r>
        <w:rPr>
          <w:szCs w:val="22"/>
          <w:vertAlign w:val="superscript"/>
        </w:rPr>
        <w:footnoteReference w:id="183"/>
      </w:r>
      <w:r w:rsidRPr="00937817">
        <w:rPr>
          <w:szCs w:val="22"/>
        </w:rPr>
        <w:t xml:space="preserve">  In rejecting these requests, we </w:t>
      </w:r>
      <w:r w:rsidRPr="00CA1AF9">
        <w:rPr>
          <w:szCs w:val="22"/>
        </w:rPr>
        <w:t xml:space="preserve">found that such wholesale requests for documents subject to the protective order are especially disruptive and especially undermine the </w:t>
      </w:r>
      <w:r>
        <w:rPr>
          <w:szCs w:val="22"/>
        </w:rPr>
        <w:t>Judge</w:t>
      </w:r>
      <w:r w:rsidRPr="00CA1AF9">
        <w:rPr>
          <w:szCs w:val="22"/>
        </w:rPr>
        <w:t xml:space="preserve">’s authority. </w:t>
      </w:r>
      <w:r>
        <w:rPr>
          <w:szCs w:val="22"/>
        </w:rPr>
        <w:t xml:space="preserve"> </w:t>
      </w:r>
      <w:r w:rsidRPr="00CA1AF9">
        <w:rPr>
          <w:szCs w:val="22"/>
        </w:rPr>
        <w:t xml:space="preserve">As we explained:  </w:t>
      </w:r>
    </w:p>
    <w:p w:rsidR="00C016B1" w:rsidRPr="00937817" w:rsidP="00C016B1">
      <w:pPr>
        <w:pStyle w:val="ParaNum"/>
        <w:numPr>
          <w:ilvl w:val="0"/>
          <w:numId w:val="0"/>
        </w:numPr>
        <w:ind w:left="720"/>
        <w:rPr>
          <w:szCs w:val="22"/>
        </w:rPr>
      </w:pPr>
      <w:r w:rsidRPr="00CA1AF9">
        <w:rPr>
          <w:szCs w:val="22"/>
        </w:rPr>
        <w:t xml:space="preserve">The Protective Order represents a calibrated balancing, approved by the ALJ and agreed to by the parties, designed to facilitate the submission of, access to, and use of confidential information in order to permit the parties, including EB, to prepare their cases for the hearing without the distraction of having to litigate </w:t>
      </w:r>
      <w:r w:rsidRPr="00CA1AF9">
        <w:rPr>
          <w:i/>
          <w:szCs w:val="22"/>
        </w:rPr>
        <w:t xml:space="preserve">ad hoc </w:t>
      </w:r>
      <w:r w:rsidRPr="00CA1AF9">
        <w:rPr>
          <w:szCs w:val="22"/>
        </w:rPr>
        <w:t>objections to claims of confidentiality.  Granting the FOIA requests would bring about a profound alteration of the long-established process for agency ALJs to determine the manner in which parties would have access to discovery materials in enforcement hearings.  It potentially undercuts the ALJ’s control of the discovery process, discourages the cooperation of the parties, and would occasion time-consuming separate litigation of the FOIA requests that would delay and disrupt the proceeding, thereby interfering with the fair and efficient resolution of the proceeding.  While the hearing on Issue (g) has been completed, Issue (g) has not been resolved and grant of the FOIA request might well lead to disruptive attempts to reopen the record.  Moreover, regardless of the status of this case, grant of the FOIA request would tend to chill the behavior of parties and the ALJ in future enforcement hearings, because they could not rely on the integrity of protective orders.  Entertaining such FOIA requests could force parties to litigate objections to the confidential nature of discovery documents, even by non-parties, and require the wholesale reexamination of all confidential material filed in such proceedings, contrary to the authority of an ALJ to regulate the course of discovery in enforcement hearings.</w:t>
      </w:r>
      <w:r w:rsidRPr="00CA1AF9">
        <w:rPr>
          <w:rStyle w:val="FootnoteReference"/>
          <w:sz w:val="22"/>
          <w:szCs w:val="22"/>
        </w:rPr>
        <w:t xml:space="preserve"> </w:t>
      </w:r>
      <w:r>
        <w:rPr>
          <w:rStyle w:val="FootnoteReference"/>
          <w:sz w:val="22"/>
          <w:szCs w:val="22"/>
        </w:rPr>
        <w:footnoteReference w:id="184"/>
      </w:r>
      <w:r w:rsidRPr="00937817">
        <w:rPr>
          <w:szCs w:val="22"/>
        </w:rPr>
        <w:t xml:space="preserve">  </w:t>
      </w:r>
    </w:p>
    <w:p w:rsidR="00C016B1" w:rsidRPr="00CA1AF9" w:rsidP="00C016B1">
      <w:pPr>
        <w:pStyle w:val="ParaNum"/>
        <w:rPr>
          <w:szCs w:val="22"/>
        </w:rPr>
      </w:pPr>
      <w:r w:rsidRPr="00CA1AF9">
        <w:rPr>
          <w:b/>
          <w:szCs w:val="22"/>
        </w:rPr>
        <w:t xml:space="preserve">Summary.  </w:t>
      </w:r>
      <w:r w:rsidRPr="00CA1AF9">
        <w:rPr>
          <w:szCs w:val="22"/>
        </w:rPr>
        <w:t xml:space="preserve">We find that the behavior of Havens and his companies, as described above, constitutes contemptuous and disruptive conduct and that, based on this misconduct, the </w:t>
      </w:r>
      <w:r>
        <w:rPr>
          <w:szCs w:val="22"/>
        </w:rPr>
        <w:t>Judge</w:t>
      </w:r>
      <w:r w:rsidRPr="00CA1AF9">
        <w:rPr>
          <w:szCs w:val="22"/>
        </w:rPr>
        <w:t xml:space="preserve"> did not abuse his discretion in excluding them from the proceeding.  Indeed, the circumstances surrounding </w:t>
      </w:r>
      <w:r>
        <w:rPr>
          <w:szCs w:val="22"/>
        </w:rPr>
        <w:t xml:space="preserve">his </w:t>
      </w:r>
      <w:r w:rsidRPr="00CA1AF9">
        <w:rPr>
          <w:szCs w:val="22"/>
        </w:rPr>
        <w:t>filing of the October 27</w:t>
      </w:r>
      <w:r>
        <w:rPr>
          <w:szCs w:val="22"/>
        </w:rPr>
        <w:t xml:space="preserve"> M</w:t>
      </w:r>
      <w:r w:rsidRPr="00CA1AF9">
        <w:rPr>
          <w:szCs w:val="22"/>
        </w:rPr>
        <w:t xml:space="preserve">otion alone provide a basis for the </w:t>
      </w:r>
      <w:r>
        <w:rPr>
          <w:szCs w:val="22"/>
        </w:rPr>
        <w:t>Judge</w:t>
      </w:r>
      <w:r w:rsidRPr="00CA1AF9">
        <w:rPr>
          <w:szCs w:val="22"/>
        </w:rPr>
        <w:t xml:space="preserve"> to take action</w:t>
      </w:r>
      <w:r>
        <w:rPr>
          <w:szCs w:val="22"/>
        </w:rPr>
        <w:t xml:space="preserve"> against Havens and entities he owned and controlled.</w:t>
      </w:r>
      <w:r w:rsidRPr="00CA1AF9">
        <w:rPr>
          <w:szCs w:val="22"/>
        </w:rPr>
        <w:t xml:space="preserve">  We disagree with </w:t>
      </w:r>
      <w:r>
        <w:rPr>
          <w:szCs w:val="22"/>
        </w:rPr>
        <w:t>Environmentel, Verde Systems, and Havens’s</w:t>
      </w:r>
      <w:r w:rsidRPr="00CA1AF9">
        <w:rPr>
          <w:szCs w:val="22"/>
        </w:rPr>
        <w:t xml:space="preserve"> various attempts to justify this conduct.  We do not deny that Havens played an important role in bringing questions about Maritime’s conduct to our attention.  But this does not excuse Havens and his companies from observing appropriate decorum </w:t>
      </w:r>
      <w:r>
        <w:rPr>
          <w:szCs w:val="22"/>
        </w:rPr>
        <w:t xml:space="preserve">and complying with the Judge’s orders and directives </w:t>
      </w:r>
      <w:r w:rsidRPr="00CA1AF9">
        <w:rPr>
          <w:szCs w:val="22"/>
        </w:rPr>
        <w:t xml:space="preserve">in the resulting hearing proceeding.    </w:t>
      </w:r>
    </w:p>
    <w:p w:rsidR="00C016B1" w:rsidRPr="00CA1AF9" w:rsidP="00C016B1">
      <w:pPr>
        <w:pStyle w:val="ParaNum"/>
        <w:rPr>
          <w:szCs w:val="22"/>
        </w:rPr>
      </w:pPr>
      <w:r w:rsidRPr="00CA1AF9">
        <w:rPr>
          <w:szCs w:val="22"/>
        </w:rPr>
        <w:t xml:space="preserve">In particular, we find no merit to </w:t>
      </w:r>
      <w:r>
        <w:rPr>
          <w:szCs w:val="22"/>
        </w:rPr>
        <w:t xml:space="preserve">the contention by Environmentel, Verde Systems, and Havens </w:t>
      </w:r>
      <w:r w:rsidRPr="00CA1AF9">
        <w:rPr>
          <w:szCs w:val="22"/>
        </w:rPr>
        <w:t xml:space="preserve">that Havens’s conduct falls within the acceptable bounds of </w:t>
      </w:r>
      <w:r w:rsidRPr="00CA1AF9">
        <w:rPr>
          <w:i/>
          <w:szCs w:val="22"/>
        </w:rPr>
        <w:t xml:space="preserve">pro se </w:t>
      </w:r>
      <w:r w:rsidRPr="00CA1AF9">
        <w:rPr>
          <w:szCs w:val="22"/>
        </w:rPr>
        <w:t xml:space="preserve">advocacy.  The lenient treatment due a </w:t>
      </w:r>
      <w:r w:rsidRPr="00CA1AF9">
        <w:rPr>
          <w:i/>
          <w:szCs w:val="22"/>
        </w:rPr>
        <w:t xml:space="preserve">pro se </w:t>
      </w:r>
      <w:r w:rsidRPr="00CA1AF9">
        <w:rPr>
          <w:szCs w:val="22"/>
        </w:rPr>
        <w:t xml:space="preserve">party does not include condoning contemptuous or disruptive conduct.  Moreover, despite his </w:t>
      </w:r>
      <w:r w:rsidRPr="00CA1AF9">
        <w:rPr>
          <w:i/>
          <w:szCs w:val="22"/>
        </w:rPr>
        <w:t xml:space="preserve">pro se </w:t>
      </w:r>
      <w:r w:rsidRPr="00CA1AF9">
        <w:rPr>
          <w:szCs w:val="22"/>
        </w:rPr>
        <w:t xml:space="preserve">status, Havens always has had counsel available to him and has, in relevant respects, participated jointly with counsel for his companies in objectionable conduct.    </w:t>
      </w:r>
    </w:p>
    <w:p w:rsidR="00C016B1" w:rsidRPr="00FD024F" w:rsidP="00C016B1">
      <w:pPr>
        <w:pStyle w:val="ParaNum"/>
        <w:rPr>
          <w:szCs w:val="22"/>
        </w:rPr>
      </w:pPr>
      <w:r w:rsidRPr="00FD024F">
        <w:rPr>
          <w:b/>
          <w:szCs w:val="22"/>
        </w:rPr>
        <w:t xml:space="preserve">Previous sanctions.  </w:t>
      </w:r>
      <w:r w:rsidRPr="00FD024F">
        <w:rPr>
          <w:szCs w:val="22"/>
        </w:rPr>
        <w:t>As the preceding discussion indicates, the record before us alone</w:t>
      </w:r>
      <w:r>
        <w:rPr>
          <w:szCs w:val="22"/>
        </w:rPr>
        <w:t xml:space="preserve"> confirms that </w:t>
      </w:r>
      <w:r w:rsidRPr="00FD024F">
        <w:rPr>
          <w:szCs w:val="22"/>
        </w:rPr>
        <w:t xml:space="preserve">the </w:t>
      </w:r>
      <w:r>
        <w:rPr>
          <w:szCs w:val="22"/>
        </w:rPr>
        <w:t>Judge</w:t>
      </w:r>
      <w:r w:rsidRPr="00FD024F">
        <w:rPr>
          <w:szCs w:val="22"/>
        </w:rPr>
        <w:t xml:space="preserve"> had ample grounds to exercise his discretion to exclude Havens from the hearing proceeding.  We note, however, that we </w:t>
      </w:r>
      <w:r>
        <w:rPr>
          <w:szCs w:val="22"/>
        </w:rPr>
        <w:t xml:space="preserve">also </w:t>
      </w:r>
      <w:r w:rsidRPr="00FD024F">
        <w:rPr>
          <w:szCs w:val="22"/>
        </w:rPr>
        <w:t>observe a pattern of conduct on Havens’s part</w:t>
      </w:r>
      <w:r>
        <w:rPr>
          <w:szCs w:val="22"/>
        </w:rPr>
        <w:t xml:space="preserve"> in other proceedings </w:t>
      </w:r>
      <w:r w:rsidRPr="00FD024F">
        <w:rPr>
          <w:szCs w:val="22"/>
        </w:rPr>
        <w:t xml:space="preserve">that reinforces our conclusion that the </w:t>
      </w:r>
      <w:r>
        <w:rPr>
          <w:szCs w:val="22"/>
        </w:rPr>
        <w:t xml:space="preserve">Judge was fully justified here in exercising his discretion to impose sanctions against Havens and his companies.  </w:t>
      </w:r>
      <w:r w:rsidRPr="00FD024F">
        <w:rPr>
          <w:szCs w:val="22"/>
        </w:rPr>
        <w:t>This is not, by any means, the first instance in which Havens has engaged in conduct that resulted in him facing or being threatened with sanctions.  Rather, this is just the most recent instance in which the Commission and its staff, as well as courts, have had to consider action against Havens for abusing administrative and judicial processes.  We take official notice of these actions.</w:t>
      </w:r>
      <w:r>
        <w:rPr>
          <w:rStyle w:val="FootnoteReference"/>
          <w:sz w:val="22"/>
          <w:szCs w:val="22"/>
        </w:rPr>
        <w:footnoteReference w:id="185"/>
      </w:r>
    </w:p>
    <w:p w:rsidR="00C016B1" w:rsidRPr="00937817" w:rsidP="00C016B1">
      <w:pPr>
        <w:pStyle w:val="ParaNum"/>
        <w:rPr>
          <w:szCs w:val="22"/>
        </w:rPr>
      </w:pPr>
      <w:r w:rsidRPr="00CA1AF9">
        <w:rPr>
          <w:i/>
          <w:szCs w:val="22"/>
        </w:rPr>
        <w:t>AMTS Licensing Matter</w:t>
      </w:r>
      <w:r w:rsidRPr="00CA1AF9">
        <w:rPr>
          <w:szCs w:val="22"/>
        </w:rPr>
        <w:t>.</w:t>
      </w:r>
      <w:r w:rsidRPr="00CA1AF9">
        <w:rPr>
          <w:i/>
          <w:szCs w:val="22"/>
        </w:rPr>
        <w:t xml:space="preserve">  </w:t>
      </w:r>
      <w:r w:rsidRPr="00CA1AF9">
        <w:rPr>
          <w:szCs w:val="22"/>
        </w:rPr>
        <w:t>In 2000 and 2001, staff dismissed two AMTS license applications filed by Havens because the license applications did not meet the regulatory standards in place at the time.</w:t>
      </w:r>
      <w:r>
        <w:rPr>
          <w:rStyle w:val="FootnoteReference"/>
          <w:sz w:val="22"/>
          <w:szCs w:val="22"/>
        </w:rPr>
        <w:footnoteReference w:id="186"/>
      </w:r>
      <w:r w:rsidRPr="00937817">
        <w:rPr>
          <w:szCs w:val="22"/>
        </w:rPr>
        <w:t xml:space="preserve">  These denials spawned 12 years of appeals by Havens and resulted in no </w:t>
      </w:r>
      <w:r>
        <w:rPr>
          <w:szCs w:val="22"/>
        </w:rPr>
        <w:t xml:space="preserve">fewer than 15 Commission and Wireless </w:t>
      </w:r>
      <w:r w:rsidR="00CB3702">
        <w:rPr>
          <w:szCs w:val="22"/>
        </w:rPr>
        <w:t xml:space="preserve">Telecommunications </w:t>
      </w:r>
      <w:r>
        <w:rPr>
          <w:szCs w:val="22"/>
        </w:rPr>
        <w:t>Bureau</w:t>
      </w:r>
      <w:r w:rsidR="00CB3702">
        <w:rPr>
          <w:szCs w:val="22"/>
        </w:rPr>
        <w:t xml:space="preserve"> (Wireless Bureau)</w:t>
      </w:r>
      <w:r>
        <w:rPr>
          <w:szCs w:val="22"/>
        </w:rPr>
        <w:t xml:space="preserve"> </w:t>
      </w:r>
      <w:r w:rsidRPr="00937817">
        <w:rPr>
          <w:szCs w:val="22"/>
        </w:rPr>
        <w:t>orders, nearly half of which stemmed from a single Bureau decision dismissing a petition for reconsideration as late filed.</w:t>
      </w:r>
      <w:r>
        <w:rPr>
          <w:rStyle w:val="FootnoteReference"/>
          <w:sz w:val="22"/>
          <w:szCs w:val="22"/>
        </w:rPr>
        <w:footnoteReference w:id="187"/>
      </w:r>
      <w:r w:rsidRPr="00937817">
        <w:rPr>
          <w:szCs w:val="22"/>
        </w:rPr>
        <w:t xml:space="preserve">  During these proceedings, the Commission described Haven’s repeated filings as “beyond the point of abuse.”</w:t>
      </w:r>
      <w:r>
        <w:rPr>
          <w:rStyle w:val="FootnoteReference"/>
          <w:sz w:val="22"/>
          <w:szCs w:val="22"/>
        </w:rPr>
        <w:footnoteReference w:id="188"/>
      </w:r>
      <w:r w:rsidRPr="00937817">
        <w:rPr>
          <w:szCs w:val="22"/>
        </w:rPr>
        <w:t xml:space="preserve">  These repetitious filings ultimately led the Commission to ban Havens from making further filings in the proceeding without prior approval from </w:t>
      </w:r>
      <w:r>
        <w:rPr>
          <w:szCs w:val="22"/>
        </w:rPr>
        <w:t>the Wireless Bureau</w:t>
      </w:r>
      <w:r w:rsidRPr="00937817">
        <w:rPr>
          <w:szCs w:val="22"/>
        </w:rPr>
        <w:t>.</w:t>
      </w:r>
      <w:r>
        <w:rPr>
          <w:rStyle w:val="FootnoteReference"/>
          <w:sz w:val="22"/>
          <w:szCs w:val="22"/>
        </w:rPr>
        <w:footnoteReference w:id="189"/>
      </w:r>
      <w:r w:rsidRPr="00937817">
        <w:rPr>
          <w:szCs w:val="22"/>
        </w:rPr>
        <w:t xml:space="preserve">  </w:t>
      </w:r>
    </w:p>
    <w:p w:rsidR="00C016B1" w:rsidRPr="00937817" w:rsidP="00C016B1">
      <w:pPr>
        <w:pStyle w:val="ParaNum"/>
        <w:rPr>
          <w:szCs w:val="22"/>
        </w:rPr>
      </w:pPr>
      <w:r w:rsidRPr="00CA1AF9">
        <w:rPr>
          <w:i/>
          <w:szCs w:val="22"/>
        </w:rPr>
        <w:t>Auction 87 Proceeding.</w:t>
      </w:r>
      <w:r w:rsidRPr="00CA1AF9">
        <w:rPr>
          <w:szCs w:val="22"/>
        </w:rPr>
        <w:t xml:space="preserve">  In 2010, the Commission held an auction for certain paging band licenses.  As part of that auction, two bidders were permitted to amend incomplete applications, and the Commission later allowed those bidders to participate in the auction.</w:t>
      </w:r>
      <w:r>
        <w:rPr>
          <w:rStyle w:val="FootnoteReference"/>
          <w:sz w:val="22"/>
          <w:szCs w:val="22"/>
        </w:rPr>
        <w:footnoteReference w:id="190"/>
      </w:r>
      <w:r w:rsidRPr="00937817">
        <w:rPr>
          <w:szCs w:val="22"/>
        </w:rPr>
        <w:t xml:space="preserve">  Havens opposed the Commission allowing the two bidders to participate in the auction, filing a petition for review and emergency motion to stay with the U.S. Court of Appeals for the Ninth Circuit.</w:t>
      </w:r>
      <w:r>
        <w:rPr>
          <w:rStyle w:val="FootnoteReference"/>
          <w:sz w:val="22"/>
          <w:szCs w:val="22"/>
        </w:rPr>
        <w:footnoteReference w:id="191"/>
      </w:r>
      <w:r w:rsidRPr="00937817">
        <w:rPr>
          <w:szCs w:val="22"/>
        </w:rPr>
        <w:t xml:space="preserve">  The court dismissed the case for lack of standing.</w:t>
      </w:r>
      <w:r>
        <w:rPr>
          <w:rStyle w:val="FootnoteReference"/>
          <w:sz w:val="22"/>
          <w:szCs w:val="22"/>
        </w:rPr>
        <w:footnoteReference w:id="192"/>
      </w:r>
      <w:r w:rsidRPr="00937817">
        <w:rPr>
          <w:szCs w:val="22"/>
        </w:rPr>
        <w:t xml:space="preserve">  Seven of Havens’s entities (including four that did not participate in Auction 87) then filed petitions for reconsideration of the public notice allowing the two bidders to participate and filed petitions for denial against the two bidders’ long form application</w:t>
      </w:r>
      <w:r w:rsidRPr="00CA1AF9">
        <w:rPr>
          <w:szCs w:val="22"/>
        </w:rPr>
        <w:t xml:space="preserve">s.  These petitions were denied by </w:t>
      </w:r>
      <w:r>
        <w:rPr>
          <w:szCs w:val="22"/>
        </w:rPr>
        <w:t>the Wireless Bureau</w:t>
      </w:r>
      <w:r w:rsidRPr="00CA1AF9">
        <w:rPr>
          <w:szCs w:val="22"/>
        </w:rPr>
        <w:t>, and</w:t>
      </w:r>
      <w:r>
        <w:rPr>
          <w:szCs w:val="22"/>
        </w:rPr>
        <w:t xml:space="preserve"> the Wireless Bureau </w:t>
      </w:r>
      <w:r w:rsidRPr="00CA1AF9">
        <w:rPr>
          <w:szCs w:val="22"/>
        </w:rPr>
        <w:t>admonished Havens for misuse of process, concluding that he was attempting to use the Auction 87 proceeding to circumvent the Commission’s ban on further filings in the AMTS licensing matter.</w:t>
      </w:r>
      <w:r>
        <w:rPr>
          <w:rStyle w:val="FootnoteReference"/>
          <w:sz w:val="22"/>
          <w:szCs w:val="22"/>
        </w:rPr>
        <w:footnoteReference w:id="193"/>
      </w:r>
      <w:r w:rsidRPr="00937817">
        <w:rPr>
          <w:szCs w:val="22"/>
        </w:rPr>
        <w:t xml:space="preserve">  </w:t>
      </w:r>
      <w:r>
        <w:rPr>
          <w:szCs w:val="22"/>
        </w:rPr>
        <w:t>The Wireless Bureau</w:t>
      </w:r>
      <w:r w:rsidRPr="00937817">
        <w:rPr>
          <w:szCs w:val="22"/>
        </w:rPr>
        <w:t xml:space="preserve"> noted that “[s]</w:t>
      </w:r>
      <w:r w:rsidRPr="00937817">
        <w:rPr>
          <w:szCs w:val="22"/>
        </w:rPr>
        <w:t>uch</w:t>
      </w:r>
      <w:r w:rsidRPr="00937817">
        <w:rPr>
          <w:szCs w:val="22"/>
        </w:rPr>
        <w:t xml:space="preserve"> action could be characterized as a misuse of process and takes away from limited Commission resources,” warning that further filings could result in sanctions.</w:t>
      </w:r>
      <w:r>
        <w:rPr>
          <w:rStyle w:val="FootnoteReference"/>
          <w:sz w:val="22"/>
          <w:szCs w:val="22"/>
        </w:rPr>
        <w:footnoteReference w:id="194"/>
      </w:r>
    </w:p>
    <w:p w:rsidR="00C016B1" w:rsidRPr="00937817" w:rsidP="00C016B1">
      <w:pPr>
        <w:pStyle w:val="ParaNum"/>
        <w:rPr>
          <w:szCs w:val="22"/>
        </w:rPr>
      </w:pPr>
      <w:r w:rsidRPr="00937817">
        <w:rPr>
          <w:i/>
          <w:szCs w:val="22"/>
        </w:rPr>
        <w:t>MariTEL</w:t>
      </w:r>
      <w:r w:rsidRPr="00937817">
        <w:rPr>
          <w:i/>
          <w:szCs w:val="22"/>
        </w:rPr>
        <w:t>, Inc.</w:t>
      </w:r>
      <w:r w:rsidRPr="00CA1AF9">
        <w:rPr>
          <w:szCs w:val="22"/>
        </w:rPr>
        <w:t xml:space="preserve"> </w:t>
      </w:r>
      <w:r w:rsidRPr="00CA1AF9">
        <w:rPr>
          <w:i/>
          <w:szCs w:val="22"/>
        </w:rPr>
        <w:t>Matter</w:t>
      </w:r>
      <w:r w:rsidRPr="00CA1AF9">
        <w:rPr>
          <w:szCs w:val="22"/>
        </w:rPr>
        <w:t xml:space="preserve">.  In 2012, Havens opposed the applications filed by </w:t>
      </w:r>
      <w:r w:rsidRPr="00CA1AF9">
        <w:rPr>
          <w:szCs w:val="22"/>
        </w:rPr>
        <w:t>MariTEL</w:t>
      </w:r>
      <w:r w:rsidRPr="00CA1AF9">
        <w:rPr>
          <w:szCs w:val="22"/>
        </w:rPr>
        <w:t>, Inc. to transfer, modify, and renew certain licenses.</w:t>
      </w:r>
      <w:r>
        <w:rPr>
          <w:szCs w:val="22"/>
        </w:rPr>
        <w:t xml:space="preserve">  The Wireless Bureau </w:t>
      </w:r>
      <w:r w:rsidRPr="00CA1AF9">
        <w:rPr>
          <w:szCs w:val="22"/>
        </w:rPr>
        <w:t>denied Havens’s opposition.</w:t>
      </w:r>
      <w:r>
        <w:rPr>
          <w:rStyle w:val="FootnoteReference"/>
          <w:sz w:val="22"/>
          <w:szCs w:val="22"/>
        </w:rPr>
        <w:footnoteReference w:id="195"/>
      </w:r>
      <w:r w:rsidRPr="00937817">
        <w:rPr>
          <w:szCs w:val="22"/>
        </w:rPr>
        <w:t xml:space="preserve">  That denial resulted in multiple petitions for reconsideration, ultimately culm</w:t>
      </w:r>
      <w:r w:rsidRPr="00CA1AF9">
        <w:rPr>
          <w:szCs w:val="22"/>
        </w:rPr>
        <w:t xml:space="preserve">inating in </w:t>
      </w:r>
      <w:r>
        <w:rPr>
          <w:szCs w:val="22"/>
        </w:rPr>
        <w:t xml:space="preserve">the Wireless Bureau’s </w:t>
      </w:r>
      <w:r w:rsidRPr="00CA1AF9">
        <w:rPr>
          <w:i/>
          <w:szCs w:val="22"/>
        </w:rPr>
        <w:t>Third Order on Reconsideration</w:t>
      </w:r>
      <w:r w:rsidRPr="00CA1AF9">
        <w:rPr>
          <w:szCs w:val="22"/>
        </w:rPr>
        <w:t xml:space="preserve">.  In describing the matter before it in the </w:t>
      </w:r>
      <w:r w:rsidRPr="00CA1AF9">
        <w:rPr>
          <w:i/>
          <w:szCs w:val="22"/>
        </w:rPr>
        <w:t>Third Order on Reconsideration</w:t>
      </w:r>
      <w:r w:rsidRPr="00CA1AF9">
        <w:rPr>
          <w:szCs w:val="22"/>
        </w:rPr>
        <w:t xml:space="preserve">, the Bureau stated, “We have before us a Petition for Reconsideration of New Facts, And Reservation of Rights filed by Warren C. Havens . . ., seeking reconsideration of a </w:t>
      </w:r>
      <w:r w:rsidRPr="00CA1AF9">
        <w:rPr>
          <w:i/>
          <w:szCs w:val="22"/>
        </w:rPr>
        <w:t>Second Order on Reconsideration</w:t>
      </w:r>
      <w:r w:rsidRPr="00CA1AF9">
        <w:rPr>
          <w:szCs w:val="22"/>
        </w:rPr>
        <w:t xml:space="preserve"> by </w:t>
      </w:r>
      <w:r>
        <w:rPr>
          <w:szCs w:val="22"/>
        </w:rPr>
        <w:t xml:space="preserve">the Wireless Bureau’s </w:t>
      </w:r>
      <w:r w:rsidRPr="00CA1AF9">
        <w:rPr>
          <w:szCs w:val="22"/>
        </w:rPr>
        <w:t xml:space="preserve"> Mobility Division . . ., which dismissed Havens’s Petition for Reconsideration Based on New Facts and Request under Section 1.41 . . . of the Division’s </w:t>
      </w:r>
      <w:r w:rsidRPr="00CA1AF9">
        <w:rPr>
          <w:i/>
          <w:szCs w:val="22"/>
        </w:rPr>
        <w:t>Order on Reconsideration and Order</w:t>
      </w:r>
      <w:r w:rsidRPr="00CA1AF9">
        <w:rPr>
          <w:szCs w:val="22"/>
        </w:rPr>
        <w:t xml:space="preserve">, which denied Havens’s petitions for reconsideration (and dismissed a related application for review) of a series of orders by the Division denying Havens’s petitions to deny the captioned applications filed by </w:t>
      </w:r>
      <w:r w:rsidRPr="00CA1AF9">
        <w:rPr>
          <w:szCs w:val="22"/>
        </w:rPr>
        <w:t>MariTEL</w:t>
      </w:r>
      <w:r w:rsidRPr="00CA1AF9">
        <w:rPr>
          <w:szCs w:val="22"/>
        </w:rPr>
        <w:t>, Inc. . . . ”</w:t>
      </w:r>
      <w:r>
        <w:rPr>
          <w:rStyle w:val="FootnoteReference"/>
          <w:sz w:val="22"/>
          <w:szCs w:val="22"/>
        </w:rPr>
        <w:footnoteReference w:id="196"/>
      </w:r>
      <w:r w:rsidRPr="00937817">
        <w:rPr>
          <w:szCs w:val="22"/>
        </w:rPr>
        <w:t xml:space="preserve">  </w:t>
      </w:r>
      <w:r>
        <w:rPr>
          <w:szCs w:val="22"/>
        </w:rPr>
        <w:t xml:space="preserve">The Wireless Bureau </w:t>
      </w:r>
      <w:r w:rsidRPr="00937817">
        <w:rPr>
          <w:szCs w:val="22"/>
        </w:rPr>
        <w:t xml:space="preserve">concluded that “these repetitious and baseless petitions for reconsideration have imposed unnecessary burdens on </w:t>
      </w:r>
      <w:r w:rsidRPr="00937817">
        <w:rPr>
          <w:szCs w:val="22"/>
        </w:rPr>
        <w:t>MariTEL</w:t>
      </w:r>
      <w:r w:rsidRPr="00937817">
        <w:rPr>
          <w:szCs w:val="22"/>
        </w:rPr>
        <w:t xml:space="preserve"> and Commission resources.”</w:t>
      </w:r>
      <w:r>
        <w:rPr>
          <w:rStyle w:val="FootnoteReference"/>
          <w:sz w:val="22"/>
          <w:szCs w:val="22"/>
        </w:rPr>
        <w:footnoteReference w:id="197"/>
      </w:r>
      <w:r w:rsidRPr="00937817">
        <w:rPr>
          <w:szCs w:val="22"/>
        </w:rPr>
        <w:t xml:space="preserve">  </w:t>
      </w:r>
      <w:r>
        <w:rPr>
          <w:szCs w:val="22"/>
        </w:rPr>
        <w:t xml:space="preserve">The Wireless Bureau </w:t>
      </w:r>
      <w:r w:rsidRPr="00937817">
        <w:rPr>
          <w:szCs w:val="22"/>
        </w:rPr>
        <w:t>further warned that “[s]</w:t>
      </w:r>
      <w:r w:rsidRPr="00937817">
        <w:rPr>
          <w:szCs w:val="22"/>
        </w:rPr>
        <w:t>hould</w:t>
      </w:r>
      <w:r w:rsidRPr="00937817">
        <w:rPr>
          <w:szCs w:val="22"/>
        </w:rPr>
        <w:t xml:space="preserve"> Havens file another r</w:t>
      </w:r>
      <w:r w:rsidRPr="00CA1AF9">
        <w:rPr>
          <w:szCs w:val="22"/>
        </w:rPr>
        <w:t>epetitious petition for reconsideration in this proceeding, we will pursue appropriate action.”</w:t>
      </w:r>
      <w:r>
        <w:rPr>
          <w:rStyle w:val="FootnoteReference"/>
          <w:sz w:val="22"/>
          <w:szCs w:val="22"/>
        </w:rPr>
        <w:footnoteReference w:id="198"/>
      </w:r>
    </w:p>
    <w:p w:rsidR="00C016B1" w:rsidRPr="00937817" w:rsidP="00C016B1">
      <w:pPr>
        <w:pStyle w:val="ParaNum"/>
        <w:rPr>
          <w:szCs w:val="22"/>
        </w:rPr>
      </w:pPr>
      <w:r w:rsidRPr="00937817">
        <w:rPr>
          <w:i/>
          <w:szCs w:val="22"/>
        </w:rPr>
        <w:t xml:space="preserve">Speculative court litigation.  </w:t>
      </w:r>
      <w:r w:rsidRPr="00937817">
        <w:rPr>
          <w:szCs w:val="22"/>
        </w:rPr>
        <w:t xml:space="preserve">In 2012, a federal district court assessed Rule 11 sanctions against </w:t>
      </w:r>
      <w:r w:rsidRPr="00937817">
        <w:rPr>
          <w:szCs w:val="22"/>
        </w:rPr>
        <w:t>Telesaurus</w:t>
      </w:r>
      <w:r w:rsidRPr="00937817">
        <w:rPr>
          <w:szCs w:val="22"/>
        </w:rPr>
        <w:t xml:space="preserve"> VPC, LLC, a company owned by Havens, </w:t>
      </w:r>
      <w:r w:rsidRPr="00CA1AF9">
        <w:rPr>
          <w:szCs w:val="22"/>
        </w:rPr>
        <w:t>for bringing baseless litigation against a VHF Public Coast radio operator.</w:t>
      </w:r>
      <w:r>
        <w:rPr>
          <w:rStyle w:val="FootnoteReference"/>
          <w:sz w:val="22"/>
          <w:szCs w:val="22"/>
        </w:rPr>
        <w:footnoteReference w:id="199"/>
      </w:r>
      <w:r w:rsidRPr="00937817">
        <w:rPr>
          <w:szCs w:val="22"/>
        </w:rPr>
        <w:t xml:space="preserve">  The court held that “[g]</w:t>
      </w:r>
      <w:r w:rsidRPr="00937817">
        <w:rPr>
          <w:szCs w:val="22"/>
        </w:rPr>
        <w:t>roundless</w:t>
      </w:r>
      <w:r w:rsidRPr="00937817">
        <w:rPr>
          <w:szCs w:val="22"/>
        </w:rPr>
        <w:t xml:space="preserve">, speculative litigation such as that exhibited by </w:t>
      </w:r>
      <w:r w:rsidRPr="00937817">
        <w:rPr>
          <w:szCs w:val="22"/>
        </w:rPr>
        <w:t>Telesaurus</w:t>
      </w:r>
      <w:r w:rsidRPr="00937817">
        <w:rPr>
          <w:szCs w:val="22"/>
        </w:rPr>
        <w:t xml:space="preserve"> brings the legal system into disrepute and must be discouraged.”</w:t>
      </w:r>
      <w:r>
        <w:rPr>
          <w:rStyle w:val="FootnoteReference"/>
          <w:sz w:val="22"/>
          <w:szCs w:val="22"/>
        </w:rPr>
        <w:footnoteReference w:id="200"/>
      </w:r>
      <w:r w:rsidRPr="00937817">
        <w:rPr>
          <w:szCs w:val="22"/>
        </w:rPr>
        <w:t xml:space="preserve">  The court assessed attorney’s fees and costs of more than $110,000 against </w:t>
      </w:r>
      <w:r w:rsidRPr="00937817">
        <w:rPr>
          <w:szCs w:val="22"/>
        </w:rPr>
        <w:t>Telesaurus</w:t>
      </w:r>
      <w:r w:rsidRPr="00937817">
        <w:rPr>
          <w:szCs w:val="22"/>
        </w:rPr>
        <w:t>.</w:t>
      </w:r>
    </w:p>
    <w:p w:rsidR="00C016B1" w:rsidP="00C016B1">
      <w:pPr>
        <w:pStyle w:val="ParaNum"/>
        <w:rPr>
          <w:szCs w:val="22"/>
        </w:rPr>
      </w:pPr>
      <w:r w:rsidRPr="00277532">
        <w:rPr>
          <w:i/>
          <w:szCs w:val="22"/>
        </w:rPr>
        <w:t xml:space="preserve">Receivership </w:t>
      </w:r>
      <w:r w:rsidRPr="004F1E30">
        <w:rPr>
          <w:i/>
          <w:szCs w:val="22"/>
        </w:rPr>
        <w:t xml:space="preserve">litigation.  </w:t>
      </w:r>
      <w:r w:rsidRPr="00F27B91">
        <w:t>We note that Havens’s companies are the subject of a receivership ordered by the California Superior Court of Alameda County</w:t>
      </w:r>
      <w:r w:rsidRPr="00277532">
        <w:rPr>
          <w:szCs w:val="22"/>
        </w:rPr>
        <w:t xml:space="preserve"> </w:t>
      </w:r>
      <w:r w:rsidRPr="004F1E30">
        <w:rPr>
          <w:szCs w:val="22"/>
        </w:rPr>
        <w:t>in connection with a conflict between Havens and his business partner, Arnold Leong</w:t>
      </w:r>
      <w:r>
        <w:t>.</w:t>
      </w:r>
      <w:r>
        <w:rPr>
          <w:rStyle w:val="FootnoteReference"/>
        </w:rPr>
        <w:footnoteReference w:id="201"/>
      </w:r>
      <w:r>
        <w:t xml:space="preserve"> </w:t>
      </w:r>
      <w:r w:rsidRPr="00F27B91">
        <w:t xml:space="preserve"> </w:t>
      </w:r>
      <w:r w:rsidRPr="00277532">
        <w:rPr>
          <w:szCs w:val="22"/>
        </w:rPr>
        <w:t xml:space="preserve">Conditions of the receivership </w:t>
      </w:r>
      <w:r w:rsidRPr="004F1E30">
        <w:rPr>
          <w:szCs w:val="22"/>
        </w:rPr>
        <w:t>prohibited Havens from “communicating with the FCC regarding the FCC licenses or Re</w:t>
      </w:r>
      <w:r w:rsidRPr="004067F1">
        <w:rPr>
          <w:szCs w:val="22"/>
        </w:rPr>
        <w:t>ceivership Entities [</w:t>
      </w:r>
      <w:r w:rsidRPr="004067F1">
        <w:rPr>
          <w:i/>
          <w:szCs w:val="22"/>
        </w:rPr>
        <w:t xml:space="preserve">i.e., </w:t>
      </w:r>
      <w:r w:rsidRPr="004067F1">
        <w:rPr>
          <w:szCs w:val="22"/>
        </w:rPr>
        <w:t>companies]” and from interfering with the receiver’s discharge of her duties.</w:t>
      </w:r>
      <w:r>
        <w:rPr>
          <w:rStyle w:val="FootnoteReference"/>
          <w:sz w:val="22"/>
          <w:szCs w:val="22"/>
        </w:rPr>
        <w:footnoteReference w:id="202"/>
      </w:r>
      <w:r w:rsidRPr="00277532">
        <w:rPr>
          <w:szCs w:val="22"/>
        </w:rPr>
        <w:t xml:space="preserve">  In December 2016, the court found that Havens’s conduct in that pr</w:t>
      </w:r>
      <w:r w:rsidRPr="004F1E30">
        <w:rPr>
          <w:szCs w:val="22"/>
        </w:rPr>
        <w:t>oceeding constituted contempt of court.  Havens was sentenced to a $1,000 fine and five days in jail.</w:t>
      </w:r>
      <w:r>
        <w:rPr>
          <w:rStyle w:val="FootnoteReference"/>
          <w:sz w:val="22"/>
          <w:szCs w:val="22"/>
        </w:rPr>
        <w:footnoteReference w:id="203"/>
      </w:r>
      <w:r w:rsidRPr="00277532">
        <w:rPr>
          <w:szCs w:val="22"/>
        </w:rPr>
        <w:t xml:space="preserve">  </w:t>
      </w:r>
    </w:p>
    <w:p w:rsidR="00C016B1" w:rsidRPr="005D3D06" w:rsidP="00C016B1">
      <w:pPr>
        <w:pStyle w:val="ParaNum"/>
        <w:rPr>
          <w:szCs w:val="22"/>
        </w:rPr>
      </w:pPr>
      <w:r>
        <w:rPr>
          <w:i/>
        </w:rPr>
        <w:t xml:space="preserve">The Termination </w:t>
      </w:r>
      <w:r w:rsidRPr="005D3D06">
        <w:rPr>
          <w:i/>
        </w:rPr>
        <w:t>Order</w:t>
      </w:r>
      <w:r>
        <w:t xml:space="preserve">.  </w:t>
      </w:r>
      <w:r w:rsidRPr="005D3D06">
        <w:t>The</w:t>
      </w:r>
      <w:r>
        <w:t xml:space="preserve"> Judge ultimately concluded, based on stipulations after Havens had been removed as a party, that the status of the issue (g) licenses was not in dispute.  He found that no further inquiry into the licenses was needed and terminated the proceeding.</w:t>
      </w:r>
      <w:r>
        <w:rPr>
          <w:rStyle w:val="FootnoteReference"/>
        </w:rPr>
        <w:footnoteReference w:id="204"/>
      </w:r>
      <w:r>
        <w:t xml:space="preserve">  Havens filed </w:t>
      </w:r>
      <w:r w:rsidRPr="009F3087">
        <w:t>separate appeal</w:t>
      </w:r>
      <w:r>
        <w:t>s</w:t>
      </w:r>
      <w:r w:rsidRPr="009F3087">
        <w:t xml:space="preserve"> of the </w:t>
      </w:r>
      <w:r>
        <w:t>Judge</w:t>
      </w:r>
      <w:r w:rsidRPr="009F3087">
        <w:t xml:space="preserve">’s </w:t>
      </w:r>
      <w:r>
        <w:rPr>
          <w:i/>
        </w:rPr>
        <w:t>Termination Order</w:t>
      </w:r>
      <w:r>
        <w:t xml:space="preserve">, both on his own and with </w:t>
      </w:r>
      <w:r w:rsidRPr="009F3087">
        <w:t>Polaris PNT PBC</w:t>
      </w:r>
      <w:r>
        <w:t xml:space="preserve"> (Polaris),</w:t>
      </w:r>
      <w:r w:rsidRPr="009F3087">
        <w:t xml:space="preserve"> an affiliated company that was never a party to the proceeding</w:t>
      </w:r>
      <w:r>
        <w:rPr>
          <w:i/>
        </w:rPr>
        <w:t>.</w:t>
      </w:r>
      <w:r>
        <w:rPr>
          <w:rStyle w:val="FootnoteReference"/>
        </w:rPr>
        <w:footnoteReference w:id="205"/>
      </w:r>
      <w:r>
        <w:rPr>
          <w:i/>
        </w:rPr>
        <w:t xml:space="preserve">  </w:t>
      </w:r>
      <w:r w:rsidRPr="009F3087">
        <w:t xml:space="preserve">Because we find that the </w:t>
      </w:r>
      <w:r>
        <w:t>Judge</w:t>
      </w:r>
      <w:r w:rsidRPr="009F3087">
        <w:t xml:space="preserve"> acted reasonably in removing Havens as a party to this proceeding, Havens has no standing to file an appeal of the </w:t>
      </w:r>
      <w:r>
        <w:t>Judge</w:t>
      </w:r>
      <w:r w:rsidRPr="009F3087">
        <w:t>’s decision to terminate the proceeding.</w:t>
      </w:r>
      <w:r>
        <w:rPr>
          <w:rStyle w:val="FootnoteReference"/>
        </w:rPr>
        <w:footnoteReference w:id="206"/>
      </w:r>
      <w:r w:rsidRPr="009F3087">
        <w:t xml:space="preserve">  </w:t>
      </w:r>
      <w:r>
        <w:t xml:space="preserve">And Polaris has no standing to file an appeal because it was not a party to the proceeding.  </w:t>
      </w:r>
      <w:r w:rsidRPr="009F3087">
        <w:t xml:space="preserve">Accordingly, we dismiss Havens’s </w:t>
      </w:r>
      <w:r>
        <w:t xml:space="preserve">and Polaris’s </w:t>
      </w:r>
      <w:r w:rsidRPr="009F3087">
        <w:t>appeal</w:t>
      </w:r>
      <w:r>
        <w:t>s</w:t>
      </w:r>
      <w:r w:rsidRPr="009F3087">
        <w:t xml:space="preserve"> as unauthorized.  </w:t>
      </w:r>
    </w:p>
    <w:p w:rsidR="00C016B1" w:rsidRPr="004729E4" w:rsidP="00C016B1">
      <w:pPr>
        <w:pStyle w:val="ParaNum"/>
        <w:rPr>
          <w:szCs w:val="22"/>
        </w:rPr>
      </w:pPr>
      <w:r w:rsidRPr="009F3087">
        <w:t xml:space="preserve">Alternatively, Havens asserts that the termination of the hearing proceeding moots the appeals of the </w:t>
      </w:r>
      <w:r>
        <w:t>Judge</w:t>
      </w:r>
      <w:r w:rsidRPr="009F3087">
        <w:t xml:space="preserve">’s </w:t>
      </w:r>
      <w:r w:rsidRPr="009F3087">
        <w:rPr>
          <w:i/>
        </w:rPr>
        <w:t>Dismissal Order</w:t>
      </w:r>
      <w:r w:rsidRPr="009F3087">
        <w:t xml:space="preserve"> and that the appeals therefore should be dismissed, and the </w:t>
      </w:r>
      <w:r w:rsidRPr="009F3087">
        <w:rPr>
          <w:i/>
        </w:rPr>
        <w:t>Dismissal Order</w:t>
      </w:r>
      <w:r w:rsidRPr="009F3087">
        <w:t xml:space="preserve"> vacated.</w:t>
      </w:r>
      <w:r>
        <w:rPr>
          <w:rStyle w:val="FootnoteReference"/>
        </w:rPr>
        <w:footnoteReference w:id="207"/>
      </w:r>
      <w:r w:rsidRPr="009F3087">
        <w:t xml:space="preserve">  We find that the </w:t>
      </w:r>
      <w:r w:rsidRPr="009F3087">
        <w:rPr>
          <w:i/>
        </w:rPr>
        <w:t xml:space="preserve">Dismissal Order </w:t>
      </w:r>
      <w:r w:rsidRPr="009F3087">
        <w:t xml:space="preserve">is not moot, in light of Havens’s appeal of the </w:t>
      </w:r>
      <w:r>
        <w:t>Judge</w:t>
      </w:r>
      <w:r w:rsidRPr="009F3087">
        <w:t xml:space="preserve">’s decision to terminate the proceeding.  Because such an appeal is authorized only if Havens has party status, the </w:t>
      </w:r>
      <w:r w:rsidRPr="009F3087">
        <w:rPr>
          <w:i/>
        </w:rPr>
        <w:t>Dismissal Order</w:t>
      </w:r>
      <w:r w:rsidRPr="009F3087">
        <w:t xml:space="preserve"> is not moot.  Moreover, the character certification issue </w:t>
      </w:r>
      <w:r w:rsidRPr="00116B22">
        <w:t xml:space="preserve">discussed </w:t>
      </w:r>
      <w:r w:rsidRPr="005D3D06">
        <w:t>below</w:t>
      </w:r>
      <w:r w:rsidRPr="00116B22">
        <w:t xml:space="preserve"> also requires us to review the </w:t>
      </w:r>
      <w:r w:rsidRPr="00116B22">
        <w:rPr>
          <w:i/>
        </w:rPr>
        <w:t>Dismissal Order</w:t>
      </w:r>
      <w:r w:rsidRPr="00116B22">
        <w:t xml:space="preserve"> despite the termination of the proceeding.  The </w:t>
      </w:r>
      <w:r>
        <w:t>Judge</w:t>
      </w:r>
      <w:r w:rsidRPr="00116B22">
        <w:t xml:space="preserve">’s certification of a character question to us was based on the same conduct that resulted in Havens’s exclusion and reflects the </w:t>
      </w:r>
      <w:r>
        <w:t>Judge</w:t>
      </w:r>
      <w:r w:rsidRPr="00116B22">
        <w:t>’s judgment that the circumstances justifying Havens’s exclusion from the proceeding are so egregious that a character issue is also warranted.</w:t>
      </w:r>
      <w:r>
        <w:rPr>
          <w:rStyle w:val="FootnoteReference"/>
        </w:rPr>
        <w:footnoteReference w:id="208"/>
      </w:r>
      <w:r w:rsidRPr="00116B22">
        <w:t xml:space="preserve">  We therefore deny Havens’s request</w:t>
      </w:r>
      <w:r w:rsidRPr="00755859">
        <w:t>.</w:t>
      </w:r>
    </w:p>
    <w:p w:rsidR="00C016B1" w:rsidRPr="00937817" w:rsidP="00C016B1">
      <w:pPr>
        <w:pStyle w:val="ParaNum"/>
        <w:rPr>
          <w:szCs w:val="22"/>
        </w:rPr>
      </w:pPr>
      <w:r>
        <w:t>To the extent that Havens raises other interlocutory matters in letters and appeals, they all relate to Havens’s representation and participation in the proceeding.  Inasmuch as Havens will not participate further in the proceeding, we need not resolve these matters and dismiss them accordingly as moot.  We also note that consideration of these interlocutory matters is not necessary for us to reach the conclusions herein.</w:t>
      </w:r>
    </w:p>
    <w:p w:rsidR="00C016B1" w:rsidRPr="00937817" w:rsidP="00C016B1">
      <w:pPr>
        <w:pStyle w:val="ParaNum"/>
        <w:rPr>
          <w:szCs w:val="22"/>
        </w:rPr>
      </w:pPr>
      <w:r w:rsidRPr="00937817">
        <w:rPr>
          <w:b/>
          <w:szCs w:val="22"/>
        </w:rPr>
        <w:t xml:space="preserve">Certified question.  </w:t>
      </w:r>
      <w:r w:rsidRPr="00937817">
        <w:rPr>
          <w:szCs w:val="22"/>
        </w:rPr>
        <w:t xml:space="preserve">The </w:t>
      </w:r>
      <w:r>
        <w:rPr>
          <w:szCs w:val="22"/>
        </w:rPr>
        <w:t>Judge</w:t>
      </w:r>
      <w:r w:rsidRPr="00937817">
        <w:rPr>
          <w:szCs w:val="22"/>
        </w:rPr>
        <w:t xml:space="preserve"> certified to the Commission the question of whether</w:t>
      </w:r>
      <w:r w:rsidRPr="00937817">
        <w:rPr>
          <w:b/>
          <w:szCs w:val="22"/>
        </w:rPr>
        <w:t xml:space="preserve"> </w:t>
      </w:r>
      <w:r w:rsidRPr="00937817">
        <w:rPr>
          <w:szCs w:val="22"/>
        </w:rPr>
        <w:t xml:space="preserve">a separate proceeding </w:t>
      </w:r>
      <w:r w:rsidRPr="00CA1AF9">
        <w:rPr>
          <w:szCs w:val="22"/>
        </w:rPr>
        <w:t>should be designated to determine if Havens and his companies lack the basic qualifications to be Commission licensees.</w:t>
      </w:r>
      <w:r>
        <w:rPr>
          <w:rStyle w:val="FootnoteReference"/>
          <w:sz w:val="22"/>
          <w:szCs w:val="22"/>
        </w:rPr>
        <w:footnoteReference w:id="209"/>
      </w:r>
      <w:r w:rsidRPr="00937817">
        <w:rPr>
          <w:szCs w:val="22"/>
        </w:rPr>
        <w:t xml:space="preserve">  As a procedural matter, we reject </w:t>
      </w:r>
      <w:r>
        <w:rPr>
          <w:szCs w:val="22"/>
        </w:rPr>
        <w:t xml:space="preserve">the contention by Havens and his companies </w:t>
      </w:r>
      <w:r w:rsidRPr="00937817">
        <w:rPr>
          <w:szCs w:val="22"/>
        </w:rPr>
        <w:t xml:space="preserve">that the </w:t>
      </w:r>
      <w:r>
        <w:rPr>
          <w:szCs w:val="22"/>
        </w:rPr>
        <w:t>Judge</w:t>
      </w:r>
      <w:r w:rsidRPr="00937817">
        <w:rPr>
          <w:szCs w:val="22"/>
        </w:rPr>
        <w:t xml:space="preserve"> lacked authority to certify this question to the Commission.  The </w:t>
      </w:r>
      <w:r>
        <w:rPr>
          <w:szCs w:val="22"/>
        </w:rPr>
        <w:t>Judge</w:t>
      </w:r>
      <w:r w:rsidRPr="00937817">
        <w:rPr>
          <w:szCs w:val="22"/>
        </w:rPr>
        <w:t xml:space="preserve"> based his question on his finding that the </w:t>
      </w:r>
      <w:r>
        <w:rPr>
          <w:szCs w:val="22"/>
        </w:rPr>
        <w:t>October 27</w:t>
      </w:r>
      <w:r w:rsidRPr="00937817">
        <w:rPr>
          <w:szCs w:val="22"/>
        </w:rPr>
        <w:t xml:space="preserve"> </w:t>
      </w:r>
      <w:r>
        <w:rPr>
          <w:szCs w:val="22"/>
        </w:rPr>
        <w:t>M</w:t>
      </w:r>
      <w:r w:rsidRPr="00937817">
        <w:rPr>
          <w:szCs w:val="22"/>
        </w:rPr>
        <w:t>otion was filed in bad faith and also on his finding that Havens and his companies “engaged in patterns of egregious behavior.”</w:t>
      </w:r>
      <w:r>
        <w:rPr>
          <w:rStyle w:val="FootnoteReference"/>
          <w:szCs w:val="22"/>
        </w:rPr>
        <w:footnoteReference w:id="210"/>
      </w:r>
      <w:r w:rsidRPr="00937817">
        <w:rPr>
          <w:szCs w:val="22"/>
        </w:rPr>
        <w:t xml:space="preserve">  We agree </w:t>
      </w:r>
      <w:r w:rsidRPr="00CA1AF9">
        <w:rPr>
          <w:szCs w:val="22"/>
        </w:rPr>
        <w:t xml:space="preserve">with </w:t>
      </w:r>
      <w:r>
        <w:rPr>
          <w:szCs w:val="22"/>
        </w:rPr>
        <w:t>Havens</w:t>
      </w:r>
      <w:r w:rsidRPr="00CA1AF9">
        <w:rPr>
          <w:szCs w:val="22"/>
        </w:rPr>
        <w:t xml:space="preserve"> </w:t>
      </w:r>
      <w:r>
        <w:rPr>
          <w:szCs w:val="22"/>
        </w:rPr>
        <w:t xml:space="preserve">and his companies </w:t>
      </w:r>
      <w:r w:rsidRPr="00CA1AF9">
        <w:rPr>
          <w:szCs w:val="22"/>
        </w:rPr>
        <w:t xml:space="preserve">that </w:t>
      </w:r>
      <w:r>
        <w:rPr>
          <w:szCs w:val="22"/>
        </w:rPr>
        <w:t>Commission rule </w:t>
      </w:r>
      <w:r w:rsidRPr="00CA1AF9">
        <w:rPr>
          <w:szCs w:val="22"/>
        </w:rPr>
        <w:t>1.251(f)(3)</w:t>
      </w:r>
      <w:r>
        <w:rPr>
          <w:szCs w:val="22"/>
        </w:rPr>
        <w:t xml:space="preserve"> </w:t>
      </w:r>
      <w:r w:rsidRPr="00CA1AF9">
        <w:rPr>
          <w:szCs w:val="22"/>
        </w:rPr>
        <w:t xml:space="preserve">applies only to questions arising from a motion for summary decision filed in bad faith and not to a more general “pattern of egregious behavior.”  We find, however, that the </w:t>
      </w:r>
      <w:r>
        <w:rPr>
          <w:szCs w:val="22"/>
        </w:rPr>
        <w:t>Judge</w:t>
      </w:r>
      <w:r w:rsidRPr="00CA1AF9">
        <w:rPr>
          <w:szCs w:val="22"/>
        </w:rPr>
        <w:t xml:space="preserve"> has inherent authority to certify to the Commission any questions arising in the course of a hearing proceeding that are suitable for the Commission to address.</w:t>
      </w:r>
      <w:r>
        <w:rPr>
          <w:rStyle w:val="FootnoteReference"/>
          <w:sz w:val="22"/>
          <w:szCs w:val="22"/>
        </w:rPr>
        <w:footnoteReference w:id="211"/>
      </w:r>
      <w:r w:rsidRPr="00937817">
        <w:rPr>
          <w:szCs w:val="22"/>
        </w:rPr>
        <w:t xml:space="preserve">  Thus, in </w:t>
      </w:r>
      <w:r w:rsidRPr="00937817">
        <w:rPr>
          <w:i/>
          <w:szCs w:val="22"/>
        </w:rPr>
        <w:t>James A. Kay, Jr.</w:t>
      </w:r>
      <w:r w:rsidRPr="00937817">
        <w:rPr>
          <w:szCs w:val="22"/>
        </w:rPr>
        <w:t>,</w:t>
      </w:r>
      <w:r>
        <w:rPr>
          <w:rStyle w:val="FootnoteReference"/>
          <w:sz w:val="22"/>
          <w:szCs w:val="22"/>
        </w:rPr>
        <w:footnoteReference w:id="212"/>
      </w:r>
      <w:r w:rsidRPr="00937817">
        <w:rPr>
          <w:i/>
          <w:szCs w:val="22"/>
        </w:rPr>
        <w:t xml:space="preserve"> </w:t>
      </w:r>
      <w:r>
        <w:rPr>
          <w:szCs w:val="22"/>
        </w:rPr>
        <w:t xml:space="preserve">the Wireless Bureau </w:t>
      </w:r>
      <w:r w:rsidRPr="00937817">
        <w:rPr>
          <w:szCs w:val="22"/>
        </w:rPr>
        <w:t>filed a motion arguing that some licenses included in a revocation proceeding might not be controlled by</w:t>
      </w:r>
      <w:r w:rsidRPr="00CA1AF9">
        <w:rPr>
          <w:szCs w:val="22"/>
        </w:rPr>
        <w:t xml:space="preserve"> the subject of the proceeding and should be removed from the proceeding and subjected to a separate, </w:t>
      </w:r>
      <w:r w:rsidRPr="00CA1AF9">
        <w:rPr>
          <w:szCs w:val="22"/>
        </w:rPr>
        <w:t>nonadjudicatory</w:t>
      </w:r>
      <w:r w:rsidRPr="00CA1AF9">
        <w:rPr>
          <w:szCs w:val="22"/>
        </w:rPr>
        <w:t xml:space="preserve"> investigation.  The presiding </w:t>
      </w:r>
      <w:r>
        <w:rPr>
          <w:szCs w:val="22"/>
        </w:rPr>
        <w:t>judge</w:t>
      </w:r>
      <w:r w:rsidRPr="00CA1AF9">
        <w:rPr>
          <w:szCs w:val="22"/>
        </w:rPr>
        <w:t xml:space="preserve"> found that he lacked the authority to take the recommended actions and certified the matter to the Commission, which granted </w:t>
      </w:r>
      <w:r>
        <w:rPr>
          <w:szCs w:val="22"/>
        </w:rPr>
        <w:t xml:space="preserve">the Wireless Bureau’s </w:t>
      </w:r>
      <w:r w:rsidRPr="00CA1AF9">
        <w:rPr>
          <w:szCs w:val="22"/>
        </w:rPr>
        <w:t xml:space="preserve">motion.  Based on </w:t>
      </w:r>
      <w:r>
        <w:rPr>
          <w:szCs w:val="22"/>
        </w:rPr>
        <w:t xml:space="preserve">the Wireless Bureau’s </w:t>
      </w:r>
      <w:r w:rsidRPr="00CA1AF9">
        <w:rPr>
          <w:szCs w:val="22"/>
        </w:rPr>
        <w:t>investigation, the Commission subsequently designated a separate hearing with respect to those stations.</w:t>
      </w:r>
      <w:r>
        <w:rPr>
          <w:rStyle w:val="FootnoteReference"/>
          <w:sz w:val="22"/>
          <w:szCs w:val="22"/>
        </w:rPr>
        <w:footnoteReference w:id="213"/>
      </w:r>
    </w:p>
    <w:p w:rsidR="00C016B1" w:rsidP="004D0749">
      <w:pPr>
        <w:pStyle w:val="ParaNum"/>
        <w:widowControl/>
        <w:rPr>
          <w:szCs w:val="22"/>
        </w:rPr>
      </w:pPr>
      <w:r w:rsidRPr="00CA1AF9">
        <w:rPr>
          <w:szCs w:val="22"/>
        </w:rPr>
        <w:t xml:space="preserve">We find that a similar approach is appropriate here.  The fact that we affirm the </w:t>
      </w:r>
      <w:r>
        <w:rPr>
          <w:szCs w:val="22"/>
        </w:rPr>
        <w:t>Judge</w:t>
      </w:r>
      <w:r w:rsidRPr="00CA1AF9">
        <w:rPr>
          <w:szCs w:val="22"/>
        </w:rPr>
        <w:t>’s exclusion of Havens and his companies from participation in the Maritime Proceeding does not imply that the conduct in issue necessarily raises basic qualifications questions.  Although the conduct involved may be relevant to both inquiries, the applicable legal standards are different.</w:t>
      </w:r>
      <w:r>
        <w:rPr>
          <w:rStyle w:val="FootnoteReference"/>
          <w:sz w:val="22"/>
          <w:szCs w:val="22"/>
        </w:rPr>
        <w:footnoteReference w:id="214"/>
      </w:r>
      <w:r w:rsidRPr="00937817">
        <w:rPr>
          <w:szCs w:val="22"/>
        </w:rPr>
        <w:t xml:space="preserve">  We therefore refer the</w:t>
      </w:r>
      <w:r>
        <w:rPr>
          <w:szCs w:val="22"/>
        </w:rPr>
        <w:t xml:space="preserve"> </w:t>
      </w:r>
      <w:r w:rsidRPr="00937817">
        <w:rPr>
          <w:szCs w:val="22"/>
        </w:rPr>
        <w:t xml:space="preserve"> matters </w:t>
      </w:r>
      <w:r>
        <w:rPr>
          <w:szCs w:val="22"/>
        </w:rPr>
        <w:t xml:space="preserve">arising in this proceeding </w:t>
      </w:r>
      <w:r w:rsidRPr="00937817">
        <w:rPr>
          <w:szCs w:val="22"/>
        </w:rPr>
        <w:t xml:space="preserve">to </w:t>
      </w:r>
      <w:r>
        <w:rPr>
          <w:szCs w:val="22"/>
        </w:rPr>
        <w:t>a separated</w:t>
      </w:r>
      <w:r w:rsidRPr="0042598A">
        <w:rPr>
          <w:szCs w:val="22"/>
        </w:rPr>
        <w:t xml:space="preserve"> Enforcement Bureau</w:t>
      </w:r>
      <w:r>
        <w:rPr>
          <w:szCs w:val="22"/>
        </w:rPr>
        <w:t xml:space="preserve"> team</w:t>
      </w:r>
      <w:r>
        <w:rPr>
          <w:rStyle w:val="FootnoteReference"/>
          <w:szCs w:val="22"/>
        </w:rPr>
        <w:footnoteReference w:id="215"/>
      </w:r>
      <w:r w:rsidRPr="0042598A">
        <w:rPr>
          <w:szCs w:val="22"/>
        </w:rPr>
        <w:t xml:space="preserve"> to conduct an appropriate inquiry, in conjunction with any other matters not discussed in this order that may come to its attention and bear on the basic qualifications of Havens and his companies to be licensees.</w:t>
      </w:r>
      <w:r>
        <w:rPr>
          <w:rStyle w:val="FootnoteReference"/>
          <w:sz w:val="22"/>
          <w:szCs w:val="22"/>
        </w:rPr>
        <w:footnoteReference w:id="216"/>
      </w:r>
      <w:r w:rsidRPr="0042598A">
        <w:rPr>
          <w:szCs w:val="22"/>
        </w:rPr>
        <w:t xml:space="preserve">  If, based on that inquiry, the Enforcement Bureau</w:t>
      </w:r>
      <w:r>
        <w:rPr>
          <w:szCs w:val="22"/>
        </w:rPr>
        <w:t xml:space="preserve"> team</w:t>
      </w:r>
      <w:r w:rsidRPr="0042598A">
        <w:rPr>
          <w:szCs w:val="22"/>
        </w:rPr>
        <w:t xml:space="preserve"> determines that there are character qualifications questions, it may recommend that Havens’s authorizations</w:t>
      </w:r>
      <w:r w:rsidRPr="00CA1AF9">
        <w:rPr>
          <w:szCs w:val="22"/>
        </w:rPr>
        <w:t xml:space="preserve"> and/or applications be designated for hearing.</w:t>
      </w:r>
    </w:p>
    <w:p w:rsidR="00C016B1" w:rsidRPr="00BF4795" w:rsidP="004D0749">
      <w:pPr>
        <w:pStyle w:val="ParaNum"/>
        <w:widowControl/>
      </w:pPr>
      <w:r w:rsidRPr="00626F41">
        <w:rPr>
          <w:i/>
        </w:rPr>
        <w:t>Positive Train Control</w:t>
      </w:r>
      <w:r>
        <w:t>.  Finally,</w:t>
      </w:r>
      <w:r>
        <w:t xml:space="preserve"> </w:t>
      </w:r>
      <w:r>
        <w:t xml:space="preserve">we recognize </w:t>
      </w:r>
      <w:r w:rsidRPr="00FB72DD">
        <w:t xml:space="preserve">that spectrum licensed to </w:t>
      </w:r>
      <w:r>
        <w:t xml:space="preserve">the </w:t>
      </w:r>
      <w:r w:rsidRPr="00FB72DD">
        <w:t xml:space="preserve">Havens’s companies </w:t>
      </w:r>
      <w:r>
        <w:t xml:space="preserve">in the AMTS band </w:t>
      </w:r>
      <w:r w:rsidRPr="00FB72DD">
        <w:t>may be suit</w:t>
      </w:r>
      <w:r>
        <w:t>ed</w:t>
      </w:r>
      <w:r w:rsidRPr="00FB72DD">
        <w:t xml:space="preserve"> </w:t>
      </w:r>
      <w:r>
        <w:t xml:space="preserve">to facilitating U.S railroads’ implementation of positive train control (PTC) systems as required by Congress in </w:t>
      </w:r>
      <w:r w:rsidRPr="00FB72DD">
        <w:t xml:space="preserve">the </w:t>
      </w:r>
      <w:r w:rsidRPr="00FB72DD">
        <w:rPr>
          <w:i/>
          <w:iCs/>
        </w:rPr>
        <w:t>Rail Safety Improvement Act of 2008</w:t>
      </w:r>
      <w:r>
        <w:rPr>
          <w:iCs/>
        </w:rPr>
        <w:t xml:space="preserve"> (RSIA)</w:t>
      </w:r>
      <w:r w:rsidRPr="00CC623C">
        <w:rPr>
          <w:iCs/>
        </w:rPr>
        <w:t>.</w:t>
      </w:r>
      <w:r>
        <w:rPr>
          <w:rStyle w:val="FootnoteReference"/>
          <w:iCs/>
        </w:rPr>
        <w:footnoteReference w:id="217"/>
      </w:r>
      <w:r w:rsidRPr="00CC623C">
        <w:rPr>
          <w:iCs/>
        </w:rPr>
        <w:t> </w:t>
      </w:r>
      <w:r w:rsidRPr="00FB72DD">
        <w:rPr>
          <w:i/>
          <w:iCs/>
        </w:rPr>
        <w:t xml:space="preserve"> </w:t>
      </w:r>
      <w:bookmarkStart w:id="3" w:name="_Hlk507147306"/>
      <w:r>
        <w:rPr>
          <w:iCs/>
        </w:rPr>
        <w:t xml:space="preserve">The </w:t>
      </w:r>
      <w:r>
        <w:t>RSIA</w:t>
      </w:r>
      <w:r w:rsidRPr="00FB72DD">
        <w:t xml:space="preserve"> requires </w:t>
      </w:r>
      <w:r>
        <w:t>all trains providing passenger service and freight trains operating on</w:t>
      </w:r>
      <w:r w:rsidRPr="00B54BBE">
        <w:t xml:space="preserve"> </w:t>
      </w:r>
      <w:r>
        <w:t xml:space="preserve">lines carrying toxic and poisonous-by-inhalation hazardous materials to implement interoperable </w:t>
      </w:r>
      <w:r w:rsidRPr="00FB72DD">
        <w:t>PTC systems</w:t>
      </w:r>
      <w:r>
        <w:t xml:space="preserve"> by December 31, 2018.</w:t>
      </w:r>
      <w:r>
        <w:rPr>
          <w:rStyle w:val="FootnoteReference"/>
        </w:rPr>
        <w:footnoteReference w:id="218"/>
      </w:r>
      <w:r>
        <w:t xml:space="preserve">  </w:t>
      </w:r>
      <w:bookmarkEnd w:id="3"/>
      <w:r>
        <w:t xml:space="preserve">PTC systems are </w:t>
      </w:r>
      <w:r w:rsidRPr="00B118BB">
        <w:rPr>
          <w:bCs/>
        </w:rPr>
        <w:t>designed to reduce the risk of human-error rail accidents,</w:t>
      </w:r>
      <w:r w:rsidRPr="00D972ED">
        <w:rPr>
          <w:bCs/>
        </w:rPr>
        <w:t xml:space="preserve"> by </w:t>
      </w:r>
      <w:r>
        <w:rPr>
          <w:bCs/>
        </w:rPr>
        <w:t>“</w:t>
      </w:r>
      <w:r w:rsidRPr="00D972ED">
        <w:rPr>
          <w:bCs/>
        </w:rPr>
        <w:t>prevent[</w:t>
      </w:r>
      <w:r w:rsidRPr="00D972ED">
        <w:rPr>
          <w:bCs/>
        </w:rPr>
        <w:t>ing</w:t>
      </w:r>
      <w:r w:rsidRPr="00D972ED">
        <w:rPr>
          <w:bCs/>
        </w:rPr>
        <w:t xml:space="preserve">] </w:t>
      </w:r>
      <w:r w:rsidRPr="00B118BB">
        <w:rPr>
          <w:bCs/>
        </w:rPr>
        <w:t>train-to-train collisions, over-speed derailments, incursions into established work zone limits, and the movement of a train through a switch left in the wrong position.</w:t>
      </w:r>
      <w:r>
        <w:rPr>
          <w:bCs/>
        </w:rPr>
        <w:t>”</w:t>
      </w:r>
      <w:r>
        <w:rPr>
          <w:rStyle w:val="FootnoteReference"/>
          <w:bCs/>
        </w:rPr>
        <w:footnoteReference w:id="219"/>
      </w:r>
      <w:r>
        <w:rPr>
          <w:bCs/>
        </w:rPr>
        <w:t xml:space="preserve">  T</w:t>
      </w:r>
      <w:r w:rsidRPr="00BF4795">
        <w:rPr>
          <w:bCs/>
        </w:rPr>
        <w:t xml:space="preserve">he National Transportation Safety Board (NTSB) </w:t>
      </w:r>
      <w:r>
        <w:rPr>
          <w:bCs/>
        </w:rPr>
        <w:t xml:space="preserve">has underscored the life-saving potential of PTC, finding that an operational </w:t>
      </w:r>
      <w:r w:rsidRPr="00BF4795">
        <w:rPr>
          <w:bCs/>
        </w:rPr>
        <w:t xml:space="preserve">PTC </w:t>
      </w:r>
      <w:r>
        <w:rPr>
          <w:bCs/>
        </w:rPr>
        <w:t xml:space="preserve">system could </w:t>
      </w:r>
      <w:r w:rsidRPr="00BF4795">
        <w:rPr>
          <w:bCs/>
        </w:rPr>
        <w:t>have prevented</w:t>
      </w:r>
      <w:r>
        <w:rPr>
          <w:bCs/>
        </w:rPr>
        <w:t xml:space="preserve"> a tragic accident </w:t>
      </w:r>
      <w:r w:rsidRPr="00BF4795">
        <w:rPr>
          <w:bCs/>
        </w:rPr>
        <w:t xml:space="preserve">near DuPont, Washington, where an Amtrak train derailed while </w:t>
      </w:r>
      <w:r>
        <w:rPr>
          <w:bCs/>
        </w:rPr>
        <w:t xml:space="preserve">reportedly </w:t>
      </w:r>
      <w:r w:rsidRPr="00BF4795">
        <w:rPr>
          <w:bCs/>
        </w:rPr>
        <w:t xml:space="preserve">traveling 78 MPH </w:t>
      </w:r>
      <w:r>
        <w:rPr>
          <w:bCs/>
        </w:rPr>
        <w:t xml:space="preserve">entering </w:t>
      </w:r>
      <w:r w:rsidRPr="00BF4795">
        <w:rPr>
          <w:bCs/>
        </w:rPr>
        <w:t>a 30 MPH curve, killing three and injuring scores</w:t>
      </w:r>
      <w:r w:rsidRPr="00FB72DD">
        <w:t>.</w:t>
      </w:r>
      <w:r>
        <w:rPr>
          <w:rStyle w:val="FootnoteReference"/>
        </w:rPr>
        <w:footnoteReference w:id="220"/>
      </w:r>
    </w:p>
    <w:p w:rsidR="00C016B1" w:rsidP="00C016B1">
      <w:pPr>
        <w:pStyle w:val="ParaNum"/>
      </w:pPr>
      <w:r w:rsidRPr="00B118BB">
        <w:rPr>
          <w:iCs/>
        </w:rPr>
        <w:t xml:space="preserve">The Commission has recognized the </w:t>
      </w:r>
      <w:r>
        <w:rPr>
          <w:iCs/>
        </w:rPr>
        <w:t xml:space="preserve">vital </w:t>
      </w:r>
      <w:r w:rsidRPr="00B118BB">
        <w:rPr>
          <w:iCs/>
        </w:rPr>
        <w:t xml:space="preserve">importance of facilitating the rail industry’s compliance with </w:t>
      </w:r>
      <w:r>
        <w:t>the RSIA</w:t>
      </w:r>
      <w:r w:rsidRPr="00FB72DD">
        <w:t xml:space="preserve"> </w:t>
      </w:r>
      <w:r>
        <w:t>on numerous occasions.</w:t>
      </w:r>
      <w:r>
        <w:rPr>
          <w:rStyle w:val="FootnoteReference"/>
          <w:bCs/>
        </w:rPr>
        <w:footnoteReference w:id="221"/>
      </w:r>
      <w:r>
        <w:t xml:space="preserve">  This includes the hearing designation order in this proceeding, in which we held that the safety of life considerations presented by PTC could warrant removing from the ambit of the </w:t>
      </w:r>
      <w:r w:rsidRPr="0086305E">
        <w:rPr>
          <w:i/>
        </w:rPr>
        <w:t>HDO</w:t>
      </w:r>
      <w:r>
        <w:t xml:space="preserve"> a pending assignment application for PTC use.</w:t>
      </w:r>
      <w:r>
        <w:rPr>
          <w:rStyle w:val="FootnoteReference"/>
        </w:rPr>
        <w:footnoteReference w:id="222"/>
      </w:r>
      <w:r>
        <w:t xml:space="preserve">  Consistent with Commission pr</w:t>
      </w:r>
      <w:r w:rsidRPr="00FB72DD">
        <w:t>e</w:t>
      </w:r>
      <w:r>
        <w:t xml:space="preserve">cedent facilitating PTC deployment, including our previous decision in the </w:t>
      </w:r>
      <w:r w:rsidRPr="0086305E">
        <w:rPr>
          <w:i/>
        </w:rPr>
        <w:t>HDO</w:t>
      </w:r>
      <w:r>
        <w:t xml:space="preserve">, we wish to address the potential impact of the action we take herein on any attempt to pursue such assignments of licenses held by Havens’s companies.  </w:t>
      </w:r>
      <w:r w:rsidRPr="00BF4795">
        <w:rPr>
          <w:bCs/>
        </w:rPr>
        <w:t xml:space="preserve">  </w:t>
      </w:r>
    </w:p>
    <w:p w:rsidR="00C016B1" w:rsidRPr="0042598A" w:rsidP="00C016B1">
      <w:pPr>
        <w:pStyle w:val="ParaNum"/>
      </w:pPr>
      <w:r w:rsidRPr="0042598A">
        <w:t xml:space="preserve">We recognize that, given our decision to refer potential character issues to the Enforcement Bureau for investigation, an application for assignment of spectrum licensed to Havens’s companies could be subject to the </w:t>
      </w:r>
      <w:r w:rsidRPr="0042598A">
        <w:rPr>
          <w:i/>
        </w:rPr>
        <w:t>Jefferson Radio</w:t>
      </w:r>
      <w:r w:rsidRPr="0042598A">
        <w:t xml:space="preserve"> doctrine, which generally bars the assignment of a license pending the resolution of questions regarding a licensee’s character qualifications.</w:t>
      </w:r>
      <w:r>
        <w:rPr>
          <w:rStyle w:val="FootnoteReference"/>
        </w:rPr>
        <w:footnoteReference w:id="223"/>
      </w:r>
      <w:r w:rsidRPr="0042598A">
        <w:t xml:space="preserve">  Assuming that the </w:t>
      </w:r>
      <w:r w:rsidRPr="0042598A">
        <w:rPr>
          <w:i/>
          <w:iCs/>
        </w:rPr>
        <w:t xml:space="preserve">Jefferson Radio </w:t>
      </w:r>
      <w:r w:rsidRPr="0042598A">
        <w:t>doctrine applies or would apply at some point to this investigation, we nonetheless find that,</w:t>
      </w:r>
      <w:r w:rsidRPr="0042598A">
        <w:rPr>
          <w:szCs w:val="22"/>
        </w:rPr>
        <w:t xml:space="preserve"> given the safety of life purpose of statutorily mandated PTC, the public interest is best served by directing the Wireless Bureau to review and process any such spectrum assignment application to implement PTC, whether pending now or filed in the future, notwithstanding </w:t>
      </w:r>
      <w:r w:rsidRPr="0042598A">
        <w:rPr>
          <w:i/>
          <w:szCs w:val="22"/>
        </w:rPr>
        <w:t>Jefferson Radio.</w:t>
      </w:r>
      <w:r>
        <w:rPr>
          <w:rStyle w:val="FootnoteReference"/>
          <w:szCs w:val="22"/>
        </w:rPr>
        <w:footnoteReference w:id="224"/>
      </w:r>
      <w:r w:rsidRPr="0042598A">
        <w:rPr>
          <w:i/>
          <w:szCs w:val="22"/>
        </w:rPr>
        <w:t xml:space="preserve">  </w:t>
      </w:r>
      <w:r w:rsidRPr="0042598A">
        <w:rPr>
          <w:szCs w:val="22"/>
        </w:rPr>
        <w:t>We extend this relief solely for applications seeking to assign spectrum for the implementation of PTC, consistent with prior Commission action.</w:t>
      </w:r>
      <w:r>
        <w:rPr>
          <w:rStyle w:val="FootnoteReference"/>
          <w:szCs w:val="22"/>
        </w:rPr>
        <w:footnoteReference w:id="225"/>
      </w:r>
    </w:p>
    <w:p w:rsidR="00C016B1" w:rsidRPr="0042598A" w:rsidP="00C016B1">
      <w:pPr>
        <w:pStyle w:val="Heading1"/>
        <w:rPr>
          <w:rFonts w:ascii="Times New Roman" w:hAnsi="Times New Roman"/>
          <w:szCs w:val="22"/>
        </w:rPr>
      </w:pPr>
      <w:r w:rsidRPr="0042598A">
        <w:rPr>
          <w:rFonts w:ascii="Times New Roman" w:hAnsi="Times New Roman"/>
          <w:szCs w:val="22"/>
        </w:rPr>
        <w:t>Ordering clauses</w:t>
      </w:r>
    </w:p>
    <w:p w:rsidR="00C016B1" w:rsidRPr="0042598A" w:rsidP="00C016B1">
      <w:pPr>
        <w:pStyle w:val="ParaNum"/>
        <w:rPr>
          <w:szCs w:val="22"/>
        </w:rPr>
      </w:pPr>
      <w:r w:rsidRPr="0042598A">
        <w:rPr>
          <w:szCs w:val="22"/>
        </w:rPr>
        <w:t>Accordingly, IT IS ORDERED that the Motion to Strike and Opposition to Interlocutory Appeals, filed May 6, 2015, by Maritime Communications/Land Mobile, LLC, IS GRANTED in part and DENIED in part; the Interlocutory Appeal, filed April 29, 2015, by Warren Havens, IS DISMISSED as unauthorized; and the Environmentel and Verde Systems Interlocutory Appeal as of Right, filed April 29, 2015, IS DENIED.</w:t>
      </w:r>
    </w:p>
    <w:p w:rsidR="00C016B1" w:rsidRPr="0042598A" w:rsidP="00C016B1">
      <w:pPr>
        <w:pStyle w:val="ParaNum"/>
        <w:rPr>
          <w:szCs w:val="22"/>
        </w:rPr>
      </w:pPr>
      <w:r w:rsidRPr="0042598A">
        <w:rPr>
          <w:szCs w:val="22"/>
        </w:rPr>
        <w:t>IT IS FURTHER ORDERED that the Petition for Reconsideration and in the Alternative Request Under § 1.41, filed November 14, 2014, IS DISMISSED as moot; the Interlocutory Appeal Under § 1.301(a), filed November 13, 2014, by Warren Havens, IS DISMISSED as moot; the Interlocutory Appeal Under § 1.301(a), filed December 29, 2014, by Warren Havens, IS DISMISSED as moot; the Motion to Dismiss Oppositions to Interlocutory Appeal Under § 1.301(a), filed January 21, 2015, by Warren Havens IS DISMISSED as moot, and the Petition for Expedited Declaratory Ruling Regarding § 1.251(f)(3), filed April 5, 2016, by Warren Havens and Skybridge Spectrum Foundation, IS DISMISSED as unauthorized.</w:t>
      </w:r>
    </w:p>
    <w:p w:rsidR="00C016B1" w:rsidP="00C016B1">
      <w:pPr>
        <w:pStyle w:val="ParaNum"/>
        <w:rPr>
          <w:szCs w:val="22"/>
        </w:rPr>
      </w:pPr>
      <w:r w:rsidRPr="0042598A">
        <w:rPr>
          <w:szCs w:val="22"/>
        </w:rPr>
        <w:t xml:space="preserve">IT IS FURTHER ORDERED that the letter requests submitted on October 10, 2017 and October 18, 2017 by Warren Havens ARE DISMISSED and, in the alternative, DENIED.  </w:t>
      </w:r>
    </w:p>
    <w:p w:rsidR="00C016B1" w:rsidRPr="00F91F22" w:rsidP="00C016B1">
      <w:pPr>
        <w:pStyle w:val="ParaNum"/>
        <w:rPr>
          <w:szCs w:val="22"/>
        </w:rPr>
      </w:pPr>
      <w:r w:rsidRPr="00F91F22">
        <w:rPr>
          <w:szCs w:val="22"/>
        </w:rPr>
        <w:t xml:space="preserve">IT IS FURTHER ORDERED that and the Motion for Leave to Supplement Joint Opposition to Appeal, filed December 18, 2017, by Maritime Communications/Land Mobile, LLC and Choctaw Holdings, LLC; and the Enforcement Bureau’s Motion for Leave to File a </w:t>
      </w:r>
      <w:r w:rsidRPr="00F91F22">
        <w:rPr>
          <w:szCs w:val="22"/>
        </w:rPr>
        <w:t>Surreply</w:t>
      </w:r>
      <w:r w:rsidRPr="00F91F22">
        <w:rPr>
          <w:szCs w:val="22"/>
        </w:rPr>
        <w:t xml:space="preserve"> to Havens and Polaris Appeals of Order of Dismissal, filed December 20, 2017 ARE GRANTED; and  the Appeal of Order of Dismissal, FCC 17M-35 and Underlying Decisions and Actions in EB Docket 11-71, filed October 27, 2017, by Polaris PNT PBC and October 30, 2017, by Warren Havens ARE DISMISSED as unauthorized</w:t>
      </w:r>
      <w:r>
        <w:rPr>
          <w:szCs w:val="22"/>
        </w:rPr>
        <w:t>.</w:t>
      </w:r>
    </w:p>
    <w:p w:rsidR="00C016B1" w:rsidRPr="0042598A" w:rsidP="00C016B1">
      <w:pPr>
        <w:pStyle w:val="ParaNum"/>
        <w:rPr>
          <w:szCs w:val="22"/>
        </w:rPr>
      </w:pPr>
      <w:r w:rsidRPr="0042598A">
        <w:rPr>
          <w:szCs w:val="22"/>
        </w:rPr>
        <w:t>IT IS FURTHER ORDERED that the Enforcement Bureau IS DIRECTED to conduct an inquiry as described herein.</w:t>
      </w:r>
    </w:p>
    <w:p w:rsidR="00C016B1" w:rsidRPr="00CA1AF9" w:rsidP="00C016B1">
      <w:pPr>
        <w:pStyle w:val="ParaNum"/>
        <w:rPr>
          <w:szCs w:val="22"/>
        </w:rPr>
      </w:pPr>
      <w:r w:rsidRPr="004778BD">
        <w:rPr>
          <w:szCs w:val="22"/>
        </w:rPr>
        <w:t>AND IT IS FURTHER ORDERED that, pursuant to Sections 4(</w:t>
      </w:r>
      <w:r w:rsidRPr="004778BD">
        <w:rPr>
          <w:szCs w:val="22"/>
        </w:rPr>
        <w:t>i</w:t>
      </w:r>
      <w:r w:rsidRPr="004778BD">
        <w:rPr>
          <w:szCs w:val="22"/>
        </w:rPr>
        <w:t>) and 309 of the Communications Act of 1934, as amended, 47 U.S.C. §§ 154(</w:t>
      </w:r>
      <w:r w:rsidRPr="004778BD">
        <w:rPr>
          <w:szCs w:val="22"/>
        </w:rPr>
        <w:t>i</w:t>
      </w:r>
      <w:r w:rsidRPr="004778BD">
        <w:rPr>
          <w:szCs w:val="22"/>
        </w:rPr>
        <w:t xml:space="preserve">), 309, the Wireless Telecommunications Bureau is hereby </w:t>
      </w:r>
      <w:r>
        <w:rPr>
          <w:szCs w:val="22"/>
        </w:rPr>
        <w:t xml:space="preserve">directed </w:t>
      </w:r>
      <w:r w:rsidRPr="004778BD">
        <w:rPr>
          <w:szCs w:val="22"/>
        </w:rPr>
        <w:t xml:space="preserve">to review and process applications for the assignment of spectrum to implement positive train control systems as required by Congress in the </w:t>
      </w:r>
      <w:r w:rsidRPr="004778BD">
        <w:rPr>
          <w:i/>
          <w:szCs w:val="22"/>
        </w:rPr>
        <w:t>Rail Safety Improvement Act of 2008</w:t>
      </w:r>
      <w:r w:rsidRPr="004778BD">
        <w:rPr>
          <w:szCs w:val="22"/>
        </w:rPr>
        <w:t xml:space="preserve">, amended by the </w:t>
      </w:r>
      <w:r w:rsidRPr="004778BD">
        <w:rPr>
          <w:i/>
          <w:szCs w:val="22"/>
        </w:rPr>
        <w:t>Positive Train Control Enforcement and Implementation Act of 2015</w:t>
      </w:r>
      <w:r w:rsidRPr="004778BD">
        <w:rPr>
          <w:szCs w:val="22"/>
        </w:rPr>
        <w:t xml:space="preserve">, consistent with paragraphs </w:t>
      </w:r>
      <w:r>
        <w:rPr>
          <w:szCs w:val="22"/>
        </w:rPr>
        <w:t>89-91</w:t>
      </w:r>
      <w:r w:rsidRPr="004778BD">
        <w:rPr>
          <w:szCs w:val="22"/>
        </w:rPr>
        <w:t xml:space="preserve"> of this </w:t>
      </w:r>
      <w:r w:rsidRPr="004778BD">
        <w:rPr>
          <w:i/>
          <w:szCs w:val="22"/>
        </w:rPr>
        <w:t>Memorandum Opinion and Order</w:t>
      </w:r>
      <w:r w:rsidRPr="004778BD">
        <w:rPr>
          <w:szCs w:val="22"/>
        </w:rPr>
        <w:t xml:space="preserve"> and the</w:t>
      </w:r>
      <w:r w:rsidRPr="00DA1596">
        <w:rPr>
          <w:szCs w:val="22"/>
        </w:rPr>
        <w:t xml:space="preserve"> Commission’s rules</w:t>
      </w:r>
      <w:r>
        <w:rPr>
          <w:i/>
          <w:iCs/>
        </w:rPr>
        <w:t>.</w:t>
      </w:r>
    </w:p>
    <w:p w:rsidR="00C016B1" w:rsidRPr="00937817" w:rsidP="00C016B1">
      <w:r w:rsidRPr="00937817">
        <w:tab/>
      </w:r>
      <w:r w:rsidRPr="00937817">
        <w:tab/>
      </w:r>
      <w:r w:rsidRPr="00937817">
        <w:tab/>
      </w:r>
      <w:r w:rsidRPr="00937817">
        <w:tab/>
      </w:r>
      <w:r w:rsidRPr="00937817">
        <w:tab/>
      </w:r>
      <w:r w:rsidRPr="00937817">
        <w:tab/>
        <w:t>FEDERAL COMMUNICATIONS COMMISSION</w:t>
      </w:r>
    </w:p>
    <w:p w:rsidR="00C016B1" w:rsidRPr="00937817" w:rsidP="00C016B1"/>
    <w:p w:rsidR="00C016B1" w:rsidRPr="00937817" w:rsidP="00C016B1"/>
    <w:p w:rsidR="00C016B1" w:rsidRPr="00937817" w:rsidP="00C016B1"/>
    <w:p w:rsidR="00C016B1" w:rsidRPr="00937817" w:rsidP="00C016B1"/>
    <w:p w:rsidR="00C016B1" w:rsidRPr="00937817" w:rsidP="00C016B1">
      <w:r w:rsidRPr="00937817">
        <w:tab/>
      </w:r>
      <w:r w:rsidRPr="00937817">
        <w:tab/>
      </w:r>
      <w:r w:rsidRPr="00937817">
        <w:tab/>
      </w:r>
      <w:r w:rsidRPr="00937817">
        <w:tab/>
      </w:r>
      <w:r w:rsidRPr="00937817">
        <w:tab/>
      </w:r>
      <w:r w:rsidRPr="00937817">
        <w:tab/>
        <w:t>Marlene H. Dortch</w:t>
      </w:r>
    </w:p>
    <w:p w:rsidR="00C016B1" w:rsidRPr="00937817" w:rsidP="00C016B1">
      <w:pPr>
        <w:pStyle w:val="ParaNum"/>
        <w:numPr>
          <w:ilvl w:val="0"/>
          <w:numId w:val="0"/>
        </w:numPr>
        <w:ind w:left="720"/>
        <w:rPr>
          <w:szCs w:val="22"/>
        </w:rPr>
      </w:pPr>
      <w:r w:rsidRPr="00937817">
        <w:rPr>
          <w:szCs w:val="22"/>
        </w:rPr>
        <w:tab/>
      </w:r>
      <w:r w:rsidRPr="00937817">
        <w:rPr>
          <w:szCs w:val="22"/>
        </w:rPr>
        <w:tab/>
      </w:r>
      <w:r w:rsidRPr="00937817">
        <w:rPr>
          <w:szCs w:val="22"/>
        </w:rPr>
        <w:tab/>
      </w:r>
      <w:r w:rsidRPr="00937817">
        <w:rPr>
          <w:szCs w:val="22"/>
        </w:rPr>
        <w:tab/>
      </w:r>
      <w:r w:rsidRPr="00937817">
        <w:rPr>
          <w:szCs w:val="22"/>
        </w:rPr>
        <w:tab/>
        <w:t xml:space="preserve">Secretary </w:t>
      </w:r>
    </w:p>
    <w:p w:rsidR="00412FC5" w:rsidRPr="00C016B1" w:rsidP="00C016B1"/>
    <w:sectPr w:rsidSect="0055614C">
      <w:headerReference w:type="default" r:id="rId5"/>
      <w:footerReference w:type="even" r:id="rId6"/>
      <w:footerReference w:type="default" r:id="rId7"/>
      <w:headerReference w:type="first" r:id="rId8"/>
      <w:footerReference w:type="first" r:id="rId9"/>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C016B1">
      <w:r>
        <w:separator/>
      </w:r>
    </w:p>
  </w:footnote>
  <w:footnote w:type="continuationSeparator" w:id="1">
    <w:p w:rsidR="00C016B1" w:rsidP="00C721AC">
      <w:pPr>
        <w:spacing w:before="120"/>
        <w:rPr>
          <w:sz w:val="20"/>
        </w:rPr>
      </w:pPr>
      <w:r>
        <w:rPr>
          <w:sz w:val="20"/>
        </w:rPr>
        <w:t xml:space="preserve">(Continued from previous page)  </w:t>
      </w:r>
      <w:r>
        <w:rPr>
          <w:sz w:val="20"/>
        </w:rPr>
        <w:separator/>
      </w:r>
    </w:p>
  </w:footnote>
  <w:footnote w:type="continuationNotice" w:id="2">
    <w:p w:rsidR="00C016B1" w:rsidP="00C721AC">
      <w:pPr>
        <w:jc w:val="right"/>
        <w:rPr>
          <w:sz w:val="20"/>
        </w:rPr>
      </w:pPr>
      <w:r>
        <w:rPr>
          <w:sz w:val="20"/>
        </w:rPr>
        <w:t>(continued….)</w:t>
      </w:r>
    </w:p>
  </w:footnote>
  <w:footnote w:id="3">
    <w:p w:rsidR="00C016B1" w:rsidRPr="00B951A5" w:rsidP="00C016B1">
      <w:pPr>
        <w:pStyle w:val="FootnoteText"/>
        <w:rPr>
          <w:i/>
        </w:rPr>
      </w:pPr>
      <w:r>
        <w:rPr>
          <w:rStyle w:val="FootnoteReference"/>
        </w:rPr>
        <w:footnoteRef/>
      </w:r>
      <w:r>
        <w:t xml:space="preserve"> </w:t>
      </w:r>
      <w:r>
        <w:rPr>
          <w:i/>
        </w:rPr>
        <w:t xml:space="preserve">See also </w:t>
      </w:r>
      <w:r>
        <w:t xml:space="preserve">Motion to Strike and Opposition to Interlocutory Appeals, filed May 6, 2015 (as corrected May 7, 2015), by Maritime Communications/Land Mobile, LLC; the Enforcement Bureau’s Opposition to Interlocutory Appeals, filed May 6, 2015; and Environmentel and Verde System Opposition to Motion to Strike, filed May 20, 2015.  The Office of General Counsel granted leave to supplement the appeals.  Letter from Linda Oliver to Jeffrey Blumenfeld (Aug. 12, 2015).  We have received the following supplemental pleadings:  Supplement to Interlocutory Appeals, filed September 11, 2015, by Warren Havens </w:t>
      </w:r>
      <w:r>
        <w:rPr>
          <w:i/>
        </w:rPr>
        <w:t>et al</w:t>
      </w:r>
      <w:r>
        <w:t xml:space="preserve">; Maritime’s Opposition to Supplement to Interlocutory Appeals, filed September 30, 2015; Reply to Oppositions to Supplement to Interlocutory Appeals, filed October 8, 2015, by Warren Havens </w:t>
      </w:r>
      <w:r>
        <w:rPr>
          <w:i/>
        </w:rPr>
        <w:t xml:space="preserve">et al.; </w:t>
      </w:r>
      <w:r>
        <w:t>Supplement to Maritime’s Opposition to Supplement to Interlocutory Appeals, filed October 20, 2015.</w:t>
      </w:r>
      <w:r>
        <w:rPr>
          <w:i/>
        </w:rPr>
        <w:t xml:space="preserve">  </w:t>
      </w:r>
    </w:p>
  </w:footnote>
  <w:footnote w:id="4">
    <w:p w:rsidR="00C016B1" w:rsidRPr="00FC0B76" w:rsidP="00C016B1">
      <w:pPr>
        <w:pStyle w:val="FootnoteText"/>
      </w:pPr>
      <w:r>
        <w:rPr>
          <w:rStyle w:val="FootnoteReference"/>
        </w:rPr>
        <w:footnoteRef/>
      </w:r>
      <w:r>
        <w:t xml:space="preserve"> Memorandum Opinion and Order, FCC 15M-14 (Apr. 22, 2015) (</w:t>
      </w:r>
      <w:r w:rsidRPr="00644E89">
        <w:rPr>
          <w:i/>
        </w:rPr>
        <w:t>Dismissal Order</w:t>
      </w:r>
      <w:r>
        <w:t xml:space="preserve">).  </w:t>
      </w:r>
    </w:p>
  </w:footnote>
  <w:footnote w:id="5">
    <w:p w:rsidR="00C016B1" w:rsidRPr="00EF5E7C" w:rsidP="00C016B1">
      <w:pPr>
        <w:pStyle w:val="FootnoteText"/>
        <w:rPr>
          <w:rStyle w:val="FootnoteReference"/>
        </w:rPr>
      </w:pPr>
      <w:r w:rsidRPr="00EF5E7C">
        <w:rPr>
          <w:rStyle w:val="FootnoteReference"/>
        </w:rPr>
        <w:footnoteRef/>
      </w:r>
      <w:r w:rsidRPr="00EF5E7C">
        <w:t xml:space="preserve"> </w:t>
      </w:r>
      <w:r w:rsidRPr="00EF5E7C">
        <w:rPr>
          <w:i/>
        </w:rPr>
        <w:t>See Maritime Communications/Land Mobile, LLC</w:t>
      </w:r>
      <w:r w:rsidRPr="00EF5E7C">
        <w:t>, 26 FCC Rcd 6520 (2011) (</w:t>
      </w:r>
      <w:r w:rsidRPr="008E345F">
        <w:rPr>
          <w:i/>
        </w:rPr>
        <w:t>HDO</w:t>
      </w:r>
      <w:r>
        <w:rPr>
          <w:i/>
        </w:rPr>
        <w:t>)</w:t>
      </w:r>
      <w:r w:rsidRPr="00E2547F">
        <w:t>).</w:t>
      </w:r>
      <w:r w:rsidRPr="00EF5E7C">
        <w:rPr>
          <w:rStyle w:val="FootnoteReference"/>
        </w:rPr>
        <w:t xml:space="preserve"> </w:t>
      </w:r>
    </w:p>
  </w:footnote>
  <w:footnote w:id="6">
    <w:p w:rsidR="00C016B1" w:rsidRPr="00D154DB" w:rsidP="00C016B1">
      <w:pPr>
        <w:pStyle w:val="FootnoteText"/>
      </w:pPr>
      <w:r>
        <w:rPr>
          <w:rStyle w:val="FootnoteReference"/>
        </w:rPr>
        <w:footnoteRef/>
      </w:r>
      <w:r>
        <w:t xml:space="preserve"> The six affiliates are Environmentel LLC, Verde Systems LLC, Intelligent Transportation and Monitoring Wireless LLC, Skybridge Spectrum Foundation, </w:t>
      </w:r>
      <w:r>
        <w:t>Telesaurus</w:t>
      </w:r>
      <w:r>
        <w:t xml:space="preserve"> Holdings GB LLC, and V2G LLC. </w:t>
      </w:r>
    </w:p>
  </w:footnote>
  <w:footnote w:id="7">
    <w:p w:rsidR="00C016B1" w:rsidRPr="00735D13" w:rsidP="00C016B1">
      <w:pPr>
        <w:pStyle w:val="FootnoteText"/>
      </w:pPr>
      <w:r>
        <w:rPr>
          <w:rStyle w:val="FootnoteReference"/>
        </w:rPr>
        <w:footnoteRef/>
      </w:r>
      <w:r>
        <w:t xml:space="preserve"> </w:t>
      </w:r>
      <w:r>
        <w:rPr>
          <w:i/>
        </w:rPr>
        <w:t xml:space="preserve">See </w:t>
      </w:r>
      <w:r>
        <w:t>13M-11</w:t>
      </w:r>
      <w:r>
        <w:rPr>
          <w:i/>
        </w:rPr>
        <w:t>;</w:t>
      </w:r>
      <w:r>
        <w:t xml:space="preserve"> Order, 12M-52 (Nov. 15, 2012).</w:t>
      </w:r>
    </w:p>
  </w:footnote>
  <w:footnote w:id="8">
    <w:p w:rsidR="00C016B1" w:rsidRPr="00F42A31" w:rsidP="00C016B1">
      <w:pPr>
        <w:pStyle w:val="FootnoteText"/>
      </w:pPr>
      <w:r w:rsidRPr="00E2547F">
        <w:rPr>
          <w:rStyle w:val="FootnoteReference"/>
        </w:rPr>
        <w:footnoteRef/>
      </w:r>
      <w:r w:rsidRPr="00E2547F">
        <w:t xml:space="preserve"> </w:t>
      </w:r>
      <w:r w:rsidRPr="00CB007C">
        <w:rPr>
          <w:i/>
        </w:rPr>
        <w:t xml:space="preserve">See </w:t>
      </w:r>
      <w:r w:rsidRPr="00F44C9A">
        <w:t>Order</w:t>
      </w:r>
      <w:r w:rsidRPr="00CB007C">
        <w:rPr>
          <w:i/>
        </w:rPr>
        <w:t xml:space="preserve">, </w:t>
      </w:r>
      <w:r w:rsidRPr="00CB007C">
        <w:t>FCC 13M-6 (Mar. 31, 2013).</w:t>
      </w:r>
      <w:r>
        <w:t xml:space="preserve">  </w:t>
      </w:r>
    </w:p>
  </w:footnote>
  <w:footnote w:id="9">
    <w:p w:rsidR="00C016B1" w:rsidP="00C016B1">
      <w:pPr>
        <w:pStyle w:val="FootnoteText"/>
      </w:pPr>
      <w:r>
        <w:rPr>
          <w:rStyle w:val="FootnoteReference"/>
        </w:rPr>
        <w:footnoteRef/>
      </w:r>
      <w:r>
        <w:t xml:space="preserve"> </w:t>
      </w:r>
      <w:r>
        <w:rPr>
          <w:i/>
        </w:rPr>
        <w:t>See id.  See also Public Notice</w:t>
      </w:r>
      <w:r w:rsidRPr="008E345F">
        <w:t xml:space="preserve">, </w:t>
      </w:r>
      <w:r>
        <w:t xml:space="preserve">28 FCC Rcd 3358 (WTB 2013).  Under the </w:t>
      </w:r>
      <w:r>
        <w:rPr>
          <w:i/>
        </w:rPr>
        <w:t xml:space="preserve">Second Thursday </w:t>
      </w:r>
      <w:r>
        <w:t xml:space="preserve">doctrine, a bankrupt licensee, the qualifications of which are subject to a hearing proceeding, may sell its stations where alleged wrongdoers would not benefit from the sale and the proceeds would be used to reimburse innocent creditors.  </w:t>
      </w:r>
      <w:r>
        <w:rPr>
          <w:i/>
        </w:rPr>
        <w:t>See Second Thursday Corp.</w:t>
      </w:r>
      <w:r w:rsidRPr="008E345F">
        <w:t xml:space="preserve">, </w:t>
      </w:r>
      <w:r>
        <w:t xml:space="preserve">22 FCC 2d 515, </w:t>
      </w:r>
      <w:r w:rsidRPr="006C4260">
        <w:rPr>
          <w:i/>
        </w:rPr>
        <w:t>recon. granted on other grounds</w:t>
      </w:r>
      <w:r w:rsidRPr="008E345F">
        <w:t>,</w:t>
      </w:r>
      <w:r>
        <w:rPr>
          <w:i/>
        </w:rPr>
        <w:t xml:space="preserve"> </w:t>
      </w:r>
      <w:r>
        <w:t>25 FCC 2d 112 (1970).</w:t>
      </w:r>
    </w:p>
  </w:footnote>
  <w:footnote w:id="10">
    <w:p w:rsidR="00C016B1" w:rsidRPr="00EE4B90" w:rsidP="00C016B1">
      <w:pPr>
        <w:pStyle w:val="FootnoteText"/>
      </w:pPr>
      <w:r>
        <w:rPr>
          <w:rStyle w:val="FootnoteReference"/>
        </w:rPr>
        <w:footnoteRef/>
      </w:r>
      <w:r>
        <w:t xml:space="preserve"> </w:t>
      </w:r>
      <w:r>
        <w:rPr>
          <w:i/>
        </w:rPr>
        <w:t xml:space="preserve">See </w:t>
      </w:r>
      <w:r>
        <w:t xml:space="preserve">Order, FCC 13M-11 (May 14, 2013), </w:t>
      </w:r>
      <w:r>
        <w:rPr>
          <w:i/>
        </w:rPr>
        <w:t xml:space="preserve">affirmed by Maritime Communications/Land Mobile, LLC, </w:t>
      </w:r>
      <w:r>
        <w:t>28 FCC Rcd 11596 (2013) (</w:t>
      </w:r>
      <w:r w:rsidRPr="00644E89">
        <w:rPr>
          <w:i/>
        </w:rPr>
        <w:t>Procedural Order</w:t>
      </w:r>
      <w:r>
        <w:t>).</w:t>
      </w:r>
    </w:p>
  </w:footnote>
  <w:footnote w:id="11">
    <w:p w:rsidR="00C016B1" w:rsidRPr="00427AE1" w:rsidP="00C016B1">
      <w:pPr>
        <w:pStyle w:val="FootnoteText"/>
      </w:pPr>
      <w:r>
        <w:rPr>
          <w:rStyle w:val="FootnoteReference"/>
        </w:rPr>
        <w:footnoteRef/>
      </w:r>
      <w:r>
        <w:t xml:space="preserve"> </w:t>
      </w:r>
      <w:r>
        <w:rPr>
          <w:i/>
        </w:rPr>
        <w:t xml:space="preserve">See id. </w:t>
      </w:r>
    </w:p>
  </w:footnote>
  <w:footnote w:id="12">
    <w:p w:rsidR="00C016B1" w:rsidRPr="009836F4" w:rsidP="00C016B1">
      <w:pPr>
        <w:pStyle w:val="FootnoteText"/>
        <w:rPr>
          <w:i/>
        </w:rPr>
      </w:pPr>
      <w:r>
        <w:rPr>
          <w:rStyle w:val="FootnoteReference"/>
        </w:rPr>
        <w:footnoteRef/>
      </w:r>
      <w:r>
        <w:t xml:space="preserve"> </w:t>
      </w:r>
      <w:r>
        <w:rPr>
          <w:i/>
        </w:rPr>
        <w:t xml:space="preserve">See id. </w:t>
      </w:r>
    </w:p>
  </w:footnote>
  <w:footnote w:id="13">
    <w:p w:rsidR="00C016B1" w:rsidRPr="008431C6" w:rsidP="00C016B1">
      <w:pPr>
        <w:pStyle w:val="FootnoteText"/>
      </w:pPr>
      <w:r w:rsidRPr="008431C6">
        <w:rPr>
          <w:rStyle w:val="FootnoteReference"/>
        </w:rPr>
        <w:footnoteRef/>
      </w:r>
      <w:r w:rsidRPr="008431C6">
        <w:t xml:space="preserve"> </w:t>
      </w:r>
      <w:r w:rsidRPr="006A25A9">
        <w:t>The</w:t>
      </w:r>
      <w:r>
        <w:t xml:space="preserve">re are </w:t>
      </w:r>
      <w:r w:rsidRPr="006A25A9">
        <w:t>five types of ruling</w:t>
      </w:r>
      <w:r>
        <w:t>s</w:t>
      </w:r>
      <w:r w:rsidRPr="006A25A9">
        <w:t xml:space="preserve"> </w:t>
      </w:r>
      <w:r>
        <w:t>appealable as a matter of right under the Commission’s rules</w:t>
      </w:r>
      <w:r w:rsidRPr="006A25A9">
        <w:t xml:space="preserve">: (1) a ruling that denies or terminates a person’s </w:t>
      </w:r>
      <w:r>
        <w:t>right to participate as a party,</w:t>
      </w:r>
      <w:r w:rsidRPr="006A25A9">
        <w:t xml:space="preserve"> (2) a ruling that requires testimony or the production of docu</w:t>
      </w:r>
      <w:r>
        <w:t>ments over a claim of privilege,</w:t>
      </w:r>
      <w:r w:rsidRPr="006A25A9">
        <w:t xml:space="preserve"> (3) a ruling th</w:t>
      </w:r>
      <w:r>
        <w:t>at</w:t>
      </w:r>
      <w:r w:rsidRPr="006A25A9">
        <w:t xml:space="preserve"> denies a motion to</w:t>
      </w:r>
      <w:r>
        <w:t xml:space="preserve"> disqualify the presiding judge,</w:t>
      </w:r>
      <w:r w:rsidRPr="006A25A9">
        <w:t xml:space="preserve"> (4) a ruling that grants a settlement wit</w:t>
      </w:r>
      <w:r>
        <w:t>hout terminating the proceeding,</w:t>
      </w:r>
      <w:r w:rsidRPr="006A25A9">
        <w:t xml:space="preserve"> and (5) a ruling that removes a counsel from the hearing.</w:t>
      </w:r>
      <w:r>
        <w:t xml:space="preserve">  47 CFR § 1.301(a).</w:t>
      </w:r>
      <w:r w:rsidRPr="006A25A9">
        <w:t xml:space="preserve">  </w:t>
      </w:r>
      <w:r>
        <w:t xml:space="preserve">With respect to other rulings, a party may ask the judge for leave to file an interlocutory appeal upon a showing that the appeal presents a new or novel question of law or policy and that the ruling is such that error would likely require remand should the appeal be deferred and raised as an exception.  </w:t>
      </w:r>
      <w:r>
        <w:rPr>
          <w:i/>
        </w:rPr>
        <w:t>I</w:t>
      </w:r>
      <w:r w:rsidRPr="003102F2">
        <w:rPr>
          <w:i/>
        </w:rPr>
        <w:t>d.</w:t>
      </w:r>
      <w:r>
        <w:t xml:space="preserve"> § 1.301(b).</w:t>
      </w:r>
    </w:p>
  </w:footnote>
  <w:footnote w:id="14">
    <w:p w:rsidR="00C016B1" w:rsidRPr="00BB0945" w:rsidP="00C016B1">
      <w:pPr>
        <w:pStyle w:val="FootnoteText"/>
      </w:pPr>
      <w:r>
        <w:rPr>
          <w:rStyle w:val="FootnoteReference"/>
        </w:rPr>
        <w:footnoteRef/>
      </w:r>
      <w:r>
        <w:t xml:space="preserve"> </w:t>
      </w:r>
      <w:r>
        <w:rPr>
          <w:i/>
        </w:rPr>
        <w:t xml:space="preserve">See Procedural Order, </w:t>
      </w:r>
      <w:r>
        <w:t>28 FCC Rcd at 11600, para. 11 (footnote omitted).</w:t>
      </w:r>
    </w:p>
  </w:footnote>
  <w:footnote w:id="15">
    <w:p w:rsidR="00C016B1" w:rsidRPr="00D80CFC" w:rsidP="00C016B1">
      <w:pPr>
        <w:pStyle w:val="FootnoteText"/>
      </w:pPr>
      <w:r>
        <w:rPr>
          <w:rStyle w:val="FootnoteReference"/>
        </w:rPr>
        <w:footnoteRef/>
      </w:r>
      <w:r>
        <w:t xml:space="preserve"> </w:t>
      </w:r>
      <w:r>
        <w:rPr>
          <w:i/>
        </w:rPr>
        <w:t xml:space="preserve">Id.  </w:t>
      </w:r>
      <w:r>
        <w:t xml:space="preserve">The Commission recognized that administrative law judges must be given broad discretion to regulate the course of a proceeding to achieve the effective and expeditious dispatch of Commission business.  </w:t>
      </w:r>
      <w:r>
        <w:rPr>
          <w:i/>
        </w:rPr>
        <w:t xml:space="preserve">See also Hillebrand Broadcasting, Inc., </w:t>
      </w:r>
      <w:r>
        <w:t>1 FCC Rcd 419, para. 3 (1986).</w:t>
      </w:r>
    </w:p>
  </w:footnote>
  <w:footnote w:id="16">
    <w:p w:rsidR="00C016B1" w:rsidRPr="00A8386D" w:rsidP="00C016B1">
      <w:pPr>
        <w:pStyle w:val="FootnoteText"/>
      </w:pPr>
      <w:r w:rsidRPr="00A8386D">
        <w:rPr>
          <w:rStyle w:val="FootnoteReference"/>
        </w:rPr>
        <w:footnoteRef/>
      </w:r>
      <w:r w:rsidRPr="00A8386D">
        <w:t xml:space="preserve"> </w:t>
      </w:r>
      <w:bookmarkStart w:id="1" w:name="_Hlk525748564"/>
      <w:r w:rsidRPr="00A8386D">
        <w:rPr>
          <w:i/>
        </w:rPr>
        <w:t xml:space="preserve">See </w:t>
      </w:r>
      <w:r>
        <w:t xml:space="preserve">Memorandum Opinion and Order, FCC 13M-16 (Aug. 14, 2013).   </w:t>
      </w:r>
      <w:bookmarkEnd w:id="1"/>
    </w:p>
  </w:footnote>
  <w:footnote w:id="17">
    <w:p w:rsidR="00C016B1" w:rsidRPr="00A160BD" w:rsidP="00C016B1">
      <w:pPr>
        <w:pStyle w:val="FootnoteText"/>
      </w:pPr>
      <w:r w:rsidRPr="00AF2065">
        <w:rPr>
          <w:rStyle w:val="FootnoteReference"/>
        </w:rPr>
        <w:footnoteRef/>
      </w:r>
      <w:r w:rsidRPr="00AF2065">
        <w:t xml:space="preserve"> </w:t>
      </w:r>
      <w:r w:rsidRPr="00AF2065">
        <w:rPr>
          <w:i/>
        </w:rPr>
        <w:t xml:space="preserve">See </w:t>
      </w:r>
      <w:r>
        <w:t xml:space="preserve">13M-16 </w:t>
      </w:r>
      <w:r w:rsidRPr="00AF2065">
        <w:t>at 7-9</w:t>
      </w:r>
      <w:r>
        <w:t>, paras. 1</w:t>
      </w:r>
      <w:r w:rsidRPr="00AF2065">
        <w:t>7-20.</w:t>
      </w:r>
      <w:r>
        <w:t xml:space="preserve">  </w:t>
      </w:r>
      <w:r>
        <w:rPr>
          <w:i/>
        </w:rPr>
        <w:t>See also Summary Decision Procedures</w:t>
      </w:r>
      <w:r w:rsidRPr="008E345F">
        <w:t xml:space="preserve">, </w:t>
      </w:r>
      <w:r>
        <w:t xml:space="preserve">34 FCC 2d 485, 488, para. 6 (1972) (“[A] motion for summary decision should not in fairness be used against parties who appear without counsel [except where the issues are more simple than complex and the </w:t>
      </w:r>
      <w:r w:rsidRPr="00E6339C">
        <w:rPr>
          <w:i/>
        </w:rPr>
        <w:t xml:space="preserve">pro se </w:t>
      </w:r>
      <w:r>
        <w:t xml:space="preserve">party has personal knowledge of the facts].”).  </w:t>
      </w:r>
    </w:p>
  </w:footnote>
  <w:footnote w:id="18">
    <w:p w:rsidR="00C016B1" w:rsidRPr="00472646" w:rsidP="00C016B1">
      <w:pPr>
        <w:pStyle w:val="FootnoteText"/>
      </w:pPr>
      <w:r w:rsidRPr="00472646">
        <w:rPr>
          <w:rStyle w:val="FootnoteReference"/>
        </w:rPr>
        <w:footnoteRef/>
      </w:r>
      <w:r w:rsidRPr="00472646">
        <w:t xml:space="preserve"> Havens-</w:t>
      </w:r>
      <w:r w:rsidRPr="00472646">
        <w:t>SkyTel</w:t>
      </w:r>
      <w:r w:rsidRPr="00472646">
        <w:t xml:space="preserve"> First Motion Under Order 13M-19 to Reject Settlement, Proceed With the Hearing and Provide Additional Relevant Discovery, filed December 2, 2013</w:t>
      </w:r>
      <w:r>
        <w:t>,</w:t>
      </w:r>
      <w:r w:rsidRPr="00472646">
        <w:t xml:space="preserve"> at 1 n.1</w:t>
      </w:r>
      <w:r>
        <w:t xml:space="preserve">. </w:t>
      </w:r>
    </w:p>
  </w:footnote>
  <w:footnote w:id="19">
    <w:p w:rsidR="00C016B1" w:rsidP="00C016B1">
      <w:pPr>
        <w:pStyle w:val="FootnoteText"/>
      </w:pPr>
      <w:r>
        <w:rPr>
          <w:rStyle w:val="FootnoteReference"/>
        </w:rPr>
        <w:footnoteRef/>
      </w:r>
      <w:r>
        <w:t xml:space="preserve"> </w:t>
      </w:r>
      <w:r>
        <w:rPr>
          <w:i/>
        </w:rPr>
        <w:t xml:space="preserve">See </w:t>
      </w:r>
      <w:r>
        <w:t>Joint Motion of Enforcement Bureau and Maritime Summary Decision on Issue G, filed December 2, 2013.</w:t>
      </w:r>
    </w:p>
  </w:footnote>
  <w:footnote w:id="20">
    <w:p w:rsidR="00C016B1" w:rsidRPr="00472646" w:rsidP="00C016B1">
      <w:pPr>
        <w:pStyle w:val="FootnoteText"/>
      </w:pPr>
      <w:r w:rsidRPr="00472646">
        <w:rPr>
          <w:rStyle w:val="FootnoteReference"/>
        </w:rPr>
        <w:footnoteRef/>
      </w:r>
      <w:r w:rsidRPr="00472646">
        <w:t xml:space="preserve"> </w:t>
      </w:r>
      <w:r w:rsidRPr="00472646">
        <w:rPr>
          <w:i/>
        </w:rPr>
        <w:t xml:space="preserve">See </w:t>
      </w:r>
      <w:r w:rsidRPr="00472646">
        <w:t xml:space="preserve">Havens Opposition to Joint Motion for Enforcement Bureau &amp; </w:t>
      </w:r>
      <w:r>
        <w:t>Maritime</w:t>
      </w:r>
      <w:r w:rsidRPr="00472646">
        <w:t xml:space="preserve"> for Summary Decision on Issue G, filed December 16, 2013, at 104</w:t>
      </w:r>
      <w:r>
        <w:t>-05</w:t>
      </w:r>
      <w:r w:rsidRPr="00472646">
        <w:t xml:space="preserve">, </w:t>
      </w:r>
      <w:r w:rsidRPr="00472646">
        <w:rPr>
          <w:i/>
        </w:rPr>
        <w:t xml:space="preserve">quoting </w:t>
      </w:r>
      <w:r w:rsidRPr="008F2C3E">
        <w:t>13M-16</w:t>
      </w:r>
      <w:r>
        <w:rPr>
          <w:i/>
        </w:rPr>
        <w:t xml:space="preserve"> </w:t>
      </w:r>
      <w:r w:rsidRPr="00472646">
        <w:t>at 7</w:t>
      </w:r>
      <w:r>
        <w:t xml:space="preserve">, para. </w:t>
      </w:r>
      <w:r w:rsidRPr="00472646">
        <w:t xml:space="preserve">18.   </w:t>
      </w:r>
    </w:p>
  </w:footnote>
  <w:footnote w:id="21">
    <w:p w:rsidR="00C016B1" w:rsidRPr="00DC0163" w:rsidP="00C016B1">
      <w:pPr>
        <w:pStyle w:val="FootnoteText"/>
      </w:pPr>
      <w:r>
        <w:rPr>
          <w:rStyle w:val="FootnoteReference"/>
        </w:rPr>
        <w:footnoteRef/>
      </w:r>
      <w:r>
        <w:t xml:space="preserve"> </w:t>
      </w:r>
      <w:r>
        <w:rPr>
          <w:i/>
        </w:rPr>
        <w:t xml:space="preserve">See </w:t>
      </w:r>
      <w:r>
        <w:t xml:space="preserve">Order, FCC 13M-22 (Dec. 19, 2013).  </w:t>
      </w:r>
    </w:p>
  </w:footnote>
  <w:footnote w:id="22">
    <w:p w:rsidR="00C016B1" w:rsidRPr="00B34B02" w:rsidP="00C016B1">
      <w:pPr>
        <w:pStyle w:val="FootnoteText"/>
        <w:rPr>
          <w:b/>
        </w:rPr>
      </w:pPr>
      <w:r>
        <w:rPr>
          <w:rStyle w:val="FootnoteReference"/>
        </w:rPr>
        <w:footnoteRef/>
      </w:r>
      <w:r>
        <w:t xml:space="preserve"> </w:t>
      </w:r>
      <w:r>
        <w:rPr>
          <w:i/>
        </w:rPr>
        <w:t xml:space="preserve">See </w:t>
      </w:r>
      <w:r w:rsidRPr="005776FA">
        <w:t>Notice of Limited or Special Appearance, filed January 6, 2014, by James Ming Chen; Notice of Limited</w:t>
      </w:r>
      <w:r>
        <w:t xml:space="preserve">, </w:t>
      </w:r>
      <w:r w:rsidRPr="005776FA">
        <w:t xml:space="preserve">Special Appearance, filed January 6, 2014, by Danny E. Ruhl and Timothy J. </w:t>
      </w:r>
      <w:r w:rsidRPr="005776FA">
        <w:t>Anzenberger</w:t>
      </w:r>
      <w:r w:rsidRPr="005776FA">
        <w:t>, Copeland, Cook, Taylor &amp; Bush, P.A</w:t>
      </w:r>
      <w:r>
        <w:t>;</w:t>
      </w:r>
      <w:r>
        <w:rPr>
          <w:i/>
        </w:rPr>
        <w:t xml:space="preserve"> </w:t>
      </w:r>
      <w:r>
        <w:t xml:space="preserve">Letter from Neil S. Ende, Technology Law Group, L.L.C. to Ms. Marlene Dortch, Secretary (Jan. 6, 2014).  </w:t>
      </w:r>
    </w:p>
  </w:footnote>
  <w:footnote w:id="23">
    <w:p w:rsidR="00C016B1" w:rsidRPr="00EC7458" w:rsidP="00C016B1">
      <w:pPr>
        <w:pStyle w:val="FootnoteText"/>
        <w:rPr>
          <w:i/>
        </w:rPr>
      </w:pPr>
      <w:r w:rsidRPr="00EC7458">
        <w:rPr>
          <w:rStyle w:val="FootnoteReference"/>
        </w:rPr>
        <w:footnoteRef/>
      </w:r>
      <w:r w:rsidRPr="00EC7458">
        <w:t xml:space="preserve"> </w:t>
      </w:r>
      <w:r w:rsidRPr="00EC7458">
        <w:rPr>
          <w:i/>
        </w:rPr>
        <w:t>See</w:t>
      </w:r>
      <w:r w:rsidRPr="00644E89">
        <w:rPr>
          <w:i/>
        </w:rPr>
        <w:t xml:space="preserve"> </w:t>
      </w:r>
      <w:r>
        <w:t xml:space="preserve">Order, </w:t>
      </w:r>
      <w:r w:rsidRPr="0010720C">
        <w:t xml:space="preserve">14M-1 </w:t>
      </w:r>
      <w:r>
        <w:t xml:space="preserve">(Jan. 8, 2014).  </w:t>
      </w:r>
    </w:p>
  </w:footnote>
  <w:footnote w:id="24">
    <w:p w:rsidR="00C016B1" w:rsidRPr="00E94E5C" w:rsidP="00C016B1">
      <w:pPr>
        <w:pStyle w:val="FootnoteText"/>
      </w:pPr>
      <w:r w:rsidRPr="00BB79B8">
        <w:rPr>
          <w:rStyle w:val="FootnoteReference"/>
        </w:rPr>
        <w:footnoteRef/>
      </w:r>
      <w:r w:rsidRPr="00BB79B8">
        <w:t xml:space="preserve"> </w:t>
      </w:r>
      <w:r w:rsidRPr="00BB79B8">
        <w:rPr>
          <w:i/>
        </w:rPr>
        <w:t xml:space="preserve">See </w:t>
      </w:r>
      <w:r>
        <w:t>Motion for Relief R</w:t>
      </w:r>
      <w:r w:rsidRPr="00BB79B8">
        <w:t>egarding Order FCC 14M-1 (the “Order”)</w:t>
      </w:r>
      <w:r>
        <w:t xml:space="preserve">, filed January 15, 2014, </w:t>
      </w:r>
      <w:r w:rsidRPr="00BB79B8">
        <w:t>at 2</w:t>
      </w:r>
      <w:r>
        <w:t xml:space="preserve">, para. </w:t>
      </w:r>
      <w:r w:rsidRPr="00BB79B8">
        <w:t>2</w:t>
      </w:r>
      <w:r>
        <w:t>.</w:t>
      </w:r>
      <w:r w:rsidRPr="00BB79B8">
        <w:t xml:space="preserve"> </w:t>
      </w:r>
      <w:r>
        <w:t xml:space="preserve">   </w:t>
      </w:r>
    </w:p>
  </w:footnote>
  <w:footnote w:id="25">
    <w:p w:rsidR="00C016B1" w:rsidRPr="00EC7458" w:rsidP="00C016B1">
      <w:pPr>
        <w:pStyle w:val="FootnoteText"/>
      </w:pPr>
      <w:r w:rsidRPr="00EC7458">
        <w:rPr>
          <w:rStyle w:val="FootnoteReference"/>
        </w:rPr>
        <w:footnoteRef/>
      </w:r>
      <w:r w:rsidRPr="00EC7458">
        <w:t xml:space="preserve"> </w:t>
      </w:r>
      <w:r w:rsidRPr="00EC7458">
        <w:rPr>
          <w:i/>
        </w:rPr>
        <w:t>See</w:t>
      </w:r>
      <w:r>
        <w:rPr>
          <w:i/>
        </w:rPr>
        <w:t>, e.g.,</w:t>
      </w:r>
      <w:r w:rsidRPr="00EC7458">
        <w:rPr>
          <w:i/>
        </w:rPr>
        <w:t xml:space="preserve"> </w:t>
      </w:r>
      <w:r>
        <w:t>tr. 992, 1009-10.</w:t>
      </w:r>
    </w:p>
  </w:footnote>
  <w:footnote w:id="26">
    <w:p w:rsidR="00C016B1" w:rsidRPr="00647999" w:rsidP="00C016B1">
      <w:pPr>
        <w:pStyle w:val="FootnoteText"/>
      </w:pPr>
      <w:r>
        <w:rPr>
          <w:rStyle w:val="FootnoteReference"/>
        </w:rPr>
        <w:footnoteRef/>
      </w:r>
      <w:r>
        <w:t xml:space="preserve"> </w:t>
      </w:r>
      <w:r>
        <w:rPr>
          <w:i/>
        </w:rPr>
        <w:t xml:space="preserve">See </w:t>
      </w:r>
      <w:r>
        <w:t>14M-3 (Jan. 17, 2014); tr. at 1063-64.</w:t>
      </w:r>
    </w:p>
  </w:footnote>
  <w:footnote w:id="27">
    <w:p w:rsidR="00C016B1" w:rsidRPr="00AB6BFD" w:rsidP="00C016B1">
      <w:pPr>
        <w:pStyle w:val="FootnoteText"/>
      </w:pPr>
      <w:r>
        <w:rPr>
          <w:rStyle w:val="FootnoteReference"/>
        </w:rPr>
        <w:footnoteRef/>
      </w:r>
      <w:r>
        <w:t xml:space="preserve"> </w:t>
      </w:r>
      <w:r>
        <w:rPr>
          <w:i/>
        </w:rPr>
        <w:t xml:space="preserve">See </w:t>
      </w:r>
      <w:r>
        <w:t>Order, 14M-18 (Jun. 17, 2014).</w:t>
      </w:r>
    </w:p>
  </w:footnote>
  <w:footnote w:id="28">
    <w:p w:rsidR="00C016B1" w:rsidRPr="00E5798F" w:rsidP="00C016B1">
      <w:pPr>
        <w:pStyle w:val="FootnoteText"/>
      </w:pPr>
      <w:r>
        <w:rPr>
          <w:rStyle w:val="FootnoteReference"/>
        </w:rPr>
        <w:footnoteRef/>
      </w:r>
      <w:r>
        <w:t xml:space="preserve"> </w:t>
      </w:r>
      <w:r>
        <w:rPr>
          <w:i/>
        </w:rPr>
        <w:t>See</w:t>
      </w:r>
      <w:r>
        <w:t xml:space="preserve"> </w:t>
      </w:r>
      <w:r w:rsidRPr="00FA62A5">
        <w:rPr>
          <w:i/>
        </w:rPr>
        <w:t>Maritime Communications/Land Mobile, LLC,</w:t>
      </w:r>
      <w:r>
        <w:t xml:space="preserve"> 29 FCC Rcd 12856, 12859, para. 8 (2014) (</w:t>
      </w:r>
      <w:r>
        <w:rPr>
          <w:i/>
        </w:rPr>
        <w:t>Privilege Order</w:t>
      </w:r>
      <w:r>
        <w:t>); 14M-18 at 12-14, paras. 33-37.</w:t>
      </w:r>
    </w:p>
  </w:footnote>
  <w:footnote w:id="29">
    <w:p w:rsidR="00C016B1" w:rsidRPr="00464EAF" w:rsidP="00C016B1">
      <w:pPr>
        <w:pStyle w:val="FootnoteText"/>
      </w:pPr>
      <w:r>
        <w:rPr>
          <w:rStyle w:val="FootnoteReference"/>
        </w:rPr>
        <w:footnoteRef/>
      </w:r>
      <w:r>
        <w:t xml:space="preserve"> </w:t>
      </w:r>
      <w:r>
        <w:rPr>
          <w:i/>
        </w:rPr>
        <w:t>See</w:t>
      </w:r>
      <w:r>
        <w:t xml:space="preserve"> </w:t>
      </w:r>
      <w:r w:rsidRPr="00644E89">
        <w:rPr>
          <w:i/>
        </w:rPr>
        <w:t>Privilege Order</w:t>
      </w:r>
      <w:r>
        <w:t>, 29 FCC Rcd at 12859-61, paras. 9-</w:t>
      </w:r>
      <w:r w:rsidRPr="00591795">
        <w:t>14</w:t>
      </w:r>
      <w:r w:rsidRPr="00591795">
        <w:rPr>
          <w:i/>
        </w:rPr>
        <w:t>.</w:t>
      </w:r>
      <w:r>
        <w:rPr>
          <w:i/>
        </w:rPr>
        <w:t xml:space="preserve"> </w:t>
      </w:r>
      <w:r w:rsidRPr="00937817">
        <w:rPr>
          <w:szCs w:val="22"/>
        </w:rPr>
        <w:t>Havens’s petition for reconsideration of the Commission’s ruling is currently pending</w:t>
      </w:r>
      <w:r w:rsidRPr="00CA1AF9">
        <w:rPr>
          <w:szCs w:val="22"/>
        </w:rPr>
        <w:t xml:space="preserve"> and as discussed below, </w:t>
      </w:r>
      <w:r>
        <w:rPr>
          <w:szCs w:val="22"/>
        </w:rPr>
        <w:t>is</w:t>
      </w:r>
      <w:r w:rsidRPr="00CA1AF9">
        <w:rPr>
          <w:szCs w:val="22"/>
        </w:rPr>
        <w:t xml:space="preserve"> dismissed as moot</w:t>
      </w:r>
      <w:r>
        <w:rPr>
          <w:i/>
        </w:rPr>
        <w:t xml:space="preserve">.  See infra </w:t>
      </w:r>
      <w:r>
        <w:t>para. 86.</w:t>
      </w:r>
    </w:p>
  </w:footnote>
  <w:footnote w:id="30">
    <w:p w:rsidR="00C016B1" w:rsidRPr="003549D4" w:rsidP="00C016B1">
      <w:pPr>
        <w:pStyle w:val="FootnoteText"/>
      </w:pPr>
      <w:r>
        <w:rPr>
          <w:rStyle w:val="FootnoteReference"/>
        </w:rPr>
        <w:footnoteRef/>
      </w:r>
      <w:r>
        <w:t xml:space="preserve"> </w:t>
      </w:r>
      <w:r>
        <w:rPr>
          <w:i/>
        </w:rPr>
        <w:t xml:space="preserve">See </w:t>
      </w:r>
      <w:r>
        <w:t xml:space="preserve">Order, FCC 14M-23 (Jul 15, 2014).  </w:t>
      </w:r>
    </w:p>
  </w:footnote>
  <w:footnote w:id="31">
    <w:p w:rsidR="00C016B1" w:rsidRPr="00E5798F" w:rsidP="00C016B1">
      <w:pPr>
        <w:pStyle w:val="FootnoteText"/>
      </w:pPr>
      <w:r>
        <w:rPr>
          <w:rStyle w:val="FootnoteReference"/>
        </w:rPr>
        <w:footnoteRef/>
      </w:r>
      <w:r>
        <w:t xml:space="preserve"> </w:t>
      </w:r>
      <w:r>
        <w:rPr>
          <w:i/>
        </w:rPr>
        <w:t xml:space="preserve">See </w:t>
      </w:r>
      <w:r>
        <w:t>Order, FCC 14M-22 (Jul. 15, 2014).</w:t>
      </w:r>
    </w:p>
  </w:footnote>
  <w:footnote w:id="32">
    <w:p w:rsidR="00C016B1" w:rsidP="00C016B1">
      <w:pPr>
        <w:pStyle w:val="FootnoteText"/>
      </w:pPr>
      <w:r>
        <w:rPr>
          <w:rStyle w:val="FootnoteReference"/>
        </w:rPr>
        <w:footnoteRef/>
      </w:r>
      <w:r>
        <w:t xml:space="preserve"> 14M-22 at 3.</w:t>
      </w:r>
    </w:p>
  </w:footnote>
  <w:footnote w:id="33">
    <w:p w:rsidR="00C016B1" w:rsidRPr="008D4BD1" w:rsidP="00C016B1">
      <w:pPr>
        <w:pStyle w:val="FootnoteText"/>
      </w:pPr>
      <w:r>
        <w:rPr>
          <w:rStyle w:val="FootnoteReference"/>
        </w:rPr>
        <w:footnoteRef/>
      </w:r>
      <w:r>
        <w:t xml:space="preserve"> </w:t>
      </w:r>
      <w:r>
        <w:rPr>
          <w:i/>
        </w:rPr>
        <w:t xml:space="preserve">See </w:t>
      </w:r>
      <w:r w:rsidRPr="00644E89">
        <w:rPr>
          <w:i/>
        </w:rPr>
        <w:t>Privilege Order</w:t>
      </w:r>
      <w:r>
        <w:t>, 29 FCC Rcd at 12860-61, para. 13.</w:t>
      </w:r>
    </w:p>
  </w:footnote>
  <w:footnote w:id="34">
    <w:p w:rsidR="00C016B1" w:rsidRPr="00123179" w:rsidP="00C016B1">
      <w:pPr>
        <w:pStyle w:val="FootnoteText"/>
      </w:pPr>
      <w:r>
        <w:rPr>
          <w:rStyle w:val="FootnoteReference"/>
        </w:rPr>
        <w:footnoteRef/>
      </w:r>
      <w:r>
        <w:t xml:space="preserve"> </w:t>
      </w:r>
      <w:r>
        <w:rPr>
          <w:i/>
        </w:rPr>
        <w:t xml:space="preserve">See id. </w:t>
      </w:r>
      <w:r>
        <w:t>at 12861, para. 14.</w:t>
      </w:r>
    </w:p>
  </w:footnote>
  <w:footnote w:id="35">
    <w:p w:rsidR="00C016B1" w:rsidRPr="0044012C" w:rsidP="00C016B1">
      <w:pPr>
        <w:pStyle w:val="FootnoteText"/>
      </w:pPr>
      <w:r>
        <w:rPr>
          <w:rStyle w:val="FootnoteReference"/>
        </w:rPr>
        <w:footnoteRef/>
      </w:r>
      <w:r>
        <w:t xml:space="preserve"> Order, FCC 14M-25 (Aug. 11, 2014) at 2.</w:t>
      </w:r>
    </w:p>
  </w:footnote>
  <w:footnote w:id="36">
    <w:p w:rsidR="00C016B1" w:rsidRPr="0044012C" w:rsidP="00C016B1">
      <w:pPr>
        <w:pStyle w:val="FootnoteText"/>
        <w:rPr>
          <w:i/>
        </w:rPr>
      </w:pPr>
      <w:r>
        <w:rPr>
          <w:rStyle w:val="FootnoteReference"/>
        </w:rPr>
        <w:footnoteRef/>
      </w:r>
      <w:r>
        <w:t xml:space="preserve"> </w:t>
      </w:r>
      <w:r>
        <w:rPr>
          <w:i/>
        </w:rPr>
        <w:t xml:space="preserve">Id. </w:t>
      </w:r>
      <w:r>
        <w:t xml:space="preserve">at 3.  </w:t>
      </w:r>
    </w:p>
  </w:footnote>
  <w:footnote w:id="37">
    <w:p w:rsidR="00C016B1" w:rsidRPr="00C977A4" w:rsidP="00C016B1">
      <w:pPr>
        <w:pStyle w:val="FootnoteText"/>
      </w:pPr>
      <w:r>
        <w:rPr>
          <w:rStyle w:val="FootnoteReference"/>
        </w:rPr>
        <w:footnoteRef/>
      </w:r>
      <w:r>
        <w:t xml:space="preserve"> </w:t>
      </w:r>
      <w:r>
        <w:rPr>
          <w:i/>
        </w:rPr>
        <w:t>Id.</w:t>
      </w:r>
    </w:p>
  </w:footnote>
  <w:footnote w:id="38">
    <w:p w:rsidR="00C016B1" w:rsidRPr="00C977A4" w:rsidP="00C016B1">
      <w:pPr>
        <w:pStyle w:val="FootnoteText"/>
      </w:pPr>
      <w:r>
        <w:rPr>
          <w:rStyle w:val="FootnoteReference"/>
        </w:rPr>
        <w:footnoteRef/>
      </w:r>
      <w:r>
        <w:t xml:space="preserve"> </w:t>
      </w:r>
      <w:r>
        <w:rPr>
          <w:i/>
        </w:rPr>
        <w:t xml:space="preserve">See </w:t>
      </w:r>
      <w:r w:rsidRPr="00644E89">
        <w:rPr>
          <w:i/>
        </w:rPr>
        <w:t>Privilege Order</w:t>
      </w:r>
      <w:r>
        <w:t>, 29 FCC Rcd at 12861, para. 14.</w:t>
      </w:r>
    </w:p>
  </w:footnote>
  <w:footnote w:id="39">
    <w:p w:rsidR="00C016B1" w:rsidRPr="00022569" w:rsidP="00C016B1">
      <w:pPr>
        <w:pStyle w:val="FootnoteText"/>
      </w:pPr>
      <w:r>
        <w:rPr>
          <w:rStyle w:val="FootnoteReference"/>
        </w:rPr>
        <w:footnoteRef/>
      </w:r>
      <w:r>
        <w:t xml:space="preserve"> </w:t>
      </w:r>
      <w:r>
        <w:rPr>
          <w:i/>
        </w:rPr>
        <w:t xml:space="preserve">See </w:t>
      </w:r>
      <w:r>
        <w:t xml:space="preserve">Order, FCC 14M-27 (Aug. 21, 2014) at 3.  </w:t>
      </w:r>
    </w:p>
  </w:footnote>
  <w:footnote w:id="40">
    <w:p w:rsidR="00C016B1" w:rsidRPr="005336C9" w:rsidP="00C016B1">
      <w:pPr>
        <w:pStyle w:val="FootnoteText"/>
      </w:pPr>
      <w:r>
        <w:rPr>
          <w:rStyle w:val="FootnoteReference"/>
        </w:rPr>
        <w:footnoteRef/>
      </w:r>
      <w:r>
        <w:t xml:space="preserve"> </w:t>
      </w:r>
      <w:r>
        <w:rPr>
          <w:i/>
        </w:rPr>
        <w:t xml:space="preserve">See id. </w:t>
      </w:r>
      <w:r>
        <w:t>at 4-5.</w:t>
      </w:r>
    </w:p>
  </w:footnote>
  <w:footnote w:id="41">
    <w:p w:rsidR="00C016B1" w:rsidRPr="006F0868" w:rsidP="00C016B1">
      <w:pPr>
        <w:pStyle w:val="FootnoteText"/>
        <w:rPr>
          <w:i/>
        </w:rPr>
      </w:pPr>
      <w:r>
        <w:rPr>
          <w:rStyle w:val="FootnoteReference"/>
        </w:rPr>
        <w:footnoteRef/>
      </w:r>
      <w:r>
        <w:t xml:space="preserve"> </w:t>
      </w:r>
      <w:r>
        <w:rPr>
          <w:i/>
        </w:rPr>
        <w:t xml:space="preserve">See </w:t>
      </w:r>
      <w:r w:rsidRPr="00755859">
        <w:t>Environmentel</w:t>
      </w:r>
      <w:r>
        <w:t xml:space="preserve">, </w:t>
      </w:r>
      <w:r w:rsidRPr="00755859">
        <w:t>Verde Systems</w:t>
      </w:r>
      <w:r>
        <w:t>,</w:t>
      </w:r>
      <w:r w:rsidRPr="006F0868">
        <w:t xml:space="preserve"> and Havens Direct Case Exchange, filed September 16, 2014.</w:t>
      </w:r>
      <w:r>
        <w:rPr>
          <w:i/>
        </w:rPr>
        <w:t xml:space="preserve">  </w:t>
      </w:r>
    </w:p>
  </w:footnote>
  <w:footnote w:id="42">
    <w:p w:rsidR="00C016B1" w:rsidRPr="00D34A1D" w:rsidP="00C016B1">
      <w:pPr>
        <w:pStyle w:val="FootnoteText"/>
        <w:rPr>
          <w:i/>
        </w:rPr>
      </w:pPr>
      <w:r>
        <w:rPr>
          <w:rStyle w:val="FootnoteReference"/>
        </w:rPr>
        <w:footnoteRef/>
      </w:r>
      <w:r>
        <w:t xml:space="preserve"> </w:t>
      </w:r>
      <w:r>
        <w:rPr>
          <w:i/>
        </w:rPr>
        <w:t xml:space="preserve">See </w:t>
      </w:r>
      <w:r>
        <w:t>Environmentel and Verde Systems</w:t>
      </w:r>
      <w:r w:rsidRPr="00D34A1D">
        <w:t xml:space="preserve"> Witness Notification, filed September 30, 2014.</w:t>
      </w:r>
      <w:r>
        <w:t xml:space="preserve">  </w:t>
      </w:r>
      <w:r w:rsidRPr="00CA1AF9">
        <w:rPr>
          <w:szCs w:val="22"/>
        </w:rPr>
        <w:t>In the November 14, 2014</w:t>
      </w:r>
      <w:r>
        <w:rPr>
          <w:szCs w:val="22"/>
        </w:rPr>
        <w:t>,</w:t>
      </w:r>
      <w:r w:rsidRPr="00CA1AF9">
        <w:rPr>
          <w:szCs w:val="22"/>
        </w:rPr>
        <w:t xml:space="preserve"> order following the evidence admission session, the </w:t>
      </w:r>
      <w:r>
        <w:rPr>
          <w:szCs w:val="22"/>
        </w:rPr>
        <w:t>Judge</w:t>
      </w:r>
      <w:r w:rsidRPr="00CA1AF9">
        <w:rPr>
          <w:szCs w:val="22"/>
        </w:rPr>
        <w:t xml:space="preserve"> rejected 376 of </w:t>
      </w:r>
      <w:r>
        <w:rPr>
          <w:szCs w:val="22"/>
        </w:rPr>
        <w:t xml:space="preserve">Environmentel, </w:t>
      </w:r>
      <w:r w:rsidRPr="00817DC9">
        <w:t>Verde</w:t>
      </w:r>
      <w:r>
        <w:rPr>
          <w:szCs w:val="22"/>
        </w:rPr>
        <w:t xml:space="preserve"> Systems, and Havens’s</w:t>
      </w:r>
      <w:r w:rsidRPr="00CA1AF9">
        <w:rPr>
          <w:szCs w:val="22"/>
        </w:rPr>
        <w:t xml:space="preserve"> 444 exhibits, admitted 36, admitted in part 17, deferred ruling on 17, and admitted two for the purpose of cross examination only.</w:t>
      </w:r>
      <w:r>
        <w:rPr>
          <w:szCs w:val="22"/>
        </w:rPr>
        <w:t xml:space="preserve">  </w:t>
      </w:r>
      <w:r>
        <w:rPr>
          <w:i/>
          <w:szCs w:val="22"/>
        </w:rPr>
        <w:t xml:space="preserve">See </w:t>
      </w:r>
      <w:r>
        <w:rPr>
          <w:szCs w:val="22"/>
        </w:rPr>
        <w:t xml:space="preserve">Order on Evidentiary Rulings, FCC 14M-34 (Nov. 14, 2014).  </w:t>
      </w:r>
      <w:r w:rsidRPr="00937817">
        <w:rPr>
          <w:szCs w:val="22"/>
        </w:rPr>
        <w:t xml:space="preserve">The </w:t>
      </w:r>
      <w:r>
        <w:rPr>
          <w:szCs w:val="22"/>
        </w:rPr>
        <w:t>Judge</w:t>
      </w:r>
      <w:r w:rsidRPr="00937817">
        <w:rPr>
          <w:szCs w:val="22"/>
        </w:rPr>
        <w:t xml:space="preserve"> also admitted the written testimony of one of </w:t>
      </w:r>
      <w:r>
        <w:rPr>
          <w:szCs w:val="22"/>
        </w:rPr>
        <w:t>Environmentel, Verde Systems, and Havens’s</w:t>
      </w:r>
      <w:r w:rsidRPr="00937817">
        <w:rPr>
          <w:szCs w:val="22"/>
        </w:rPr>
        <w:t xml:space="preserve"> three witnesses, Steve Calabrese.</w:t>
      </w:r>
    </w:p>
  </w:footnote>
  <w:footnote w:id="43">
    <w:p w:rsidR="00C016B1" w:rsidRPr="00E773A5" w:rsidP="00C016B1">
      <w:pPr>
        <w:pStyle w:val="FootnoteText"/>
      </w:pPr>
      <w:r>
        <w:rPr>
          <w:rStyle w:val="FootnoteReference"/>
        </w:rPr>
        <w:footnoteRef/>
      </w:r>
      <w:r>
        <w:t xml:space="preserve"> </w:t>
      </w:r>
      <w:r>
        <w:rPr>
          <w:i/>
        </w:rPr>
        <w:t xml:space="preserve">See </w:t>
      </w:r>
      <w:r>
        <w:t>Order, FCC 14M-31 (Oct. 9, 2014).</w:t>
      </w:r>
    </w:p>
  </w:footnote>
  <w:footnote w:id="44">
    <w:p w:rsidR="00C016B1" w:rsidRPr="00876090" w:rsidP="00C016B1">
      <w:pPr>
        <w:pStyle w:val="FootnoteText"/>
      </w:pPr>
      <w:r>
        <w:rPr>
          <w:rStyle w:val="FootnoteReference"/>
        </w:rPr>
        <w:footnoteRef/>
      </w:r>
      <w:r>
        <w:t xml:space="preserve"> </w:t>
      </w:r>
      <w:r>
        <w:rPr>
          <w:i/>
        </w:rPr>
        <w:t xml:space="preserve">See id. </w:t>
      </w:r>
      <w:r>
        <w:t>at 3-4.</w:t>
      </w:r>
    </w:p>
  </w:footnote>
  <w:footnote w:id="45">
    <w:p w:rsidR="00C016B1" w:rsidRPr="00876090" w:rsidP="00C016B1">
      <w:pPr>
        <w:pStyle w:val="FootnoteText"/>
      </w:pPr>
      <w:r>
        <w:rPr>
          <w:rStyle w:val="FootnoteReference"/>
        </w:rPr>
        <w:footnoteRef/>
      </w:r>
      <w:r>
        <w:t xml:space="preserve"> </w:t>
      </w:r>
      <w:r>
        <w:rPr>
          <w:i/>
        </w:rPr>
        <w:t xml:space="preserve">See </w:t>
      </w:r>
      <w:r>
        <w:t xml:space="preserve">Environmentel and Verde Systems Motion for Summary Decision on Issue (g), filed October 27, 2014, indicating that “Mr. Havens joins in this filing” </w:t>
      </w:r>
      <w:r>
        <w:rPr>
          <w:i/>
        </w:rPr>
        <w:t xml:space="preserve">See id. </w:t>
      </w:r>
      <w:r w:rsidRPr="00B04068">
        <w:t>at 1.</w:t>
      </w:r>
      <w:r>
        <w:t xml:space="preserve"> </w:t>
      </w:r>
    </w:p>
  </w:footnote>
  <w:footnote w:id="46">
    <w:p w:rsidR="00C016B1" w:rsidRPr="00473265" w:rsidP="00C016B1">
      <w:pPr>
        <w:pStyle w:val="FootnoteText"/>
      </w:pPr>
      <w:r>
        <w:rPr>
          <w:rStyle w:val="FootnoteReference"/>
        </w:rPr>
        <w:footnoteRef/>
      </w:r>
      <w:r>
        <w:t xml:space="preserve"> </w:t>
      </w:r>
      <w:r>
        <w:rPr>
          <w:i/>
        </w:rPr>
        <w:t xml:space="preserve">See </w:t>
      </w:r>
      <w:r>
        <w:t>FCC 14M-34 at 2 n.2; 12M-52 at 4 n.10.  The Judge noted that he also denied another party, Pinnacle Wireless, the opportunity to participate by speakerphone.</w:t>
      </w:r>
    </w:p>
  </w:footnote>
  <w:footnote w:id="47">
    <w:p w:rsidR="00C016B1" w:rsidRPr="00B80EFD" w:rsidP="00C016B1">
      <w:pPr>
        <w:pStyle w:val="FootnoteText"/>
      </w:pPr>
      <w:r>
        <w:rPr>
          <w:rStyle w:val="FootnoteReference"/>
        </w:rPr>
        <w:footnoteRef/>
      </w:r>
      <w:r>
        <w:t xml:space="preserve"> </w:t>
      </w:r>
      <w:r>
        <w:rPr>
          <w:i/>
        </w:rPr>
        <w:t xml:space="preserve">See </w:t>
      </w:r>
      <w:r>
        <w:t>tr. at 1161.</w:t>
      </w:r>
    </w:p>
  </w:footnote>
  <w:footnote w:id="48">
    <w:p w:rsidR="00C016B1" w:rsidRPr="0075308C" w:rsidP="00C016B1">
      <w:pPr>
        <w:pStyle w:val="FootnoteText"/>
      </w:pPr>
      <w:r>
        <w:rPr>
          <w:rStyle w:val="FootnoteReference"/>
        </w:rPr>
        <w:footnoteRef/>
      </w:r>
      <w:r>
        <w:t xml:space="preserve"> </w:t>
      </w:r>
      <w:r>
        <w:rPr>
          <w:i/>
        </w:rPr>
        <w:t xml:space="preserve">See </w:t>
      </w:r>
      <w:r>
        <w:t>tr. at 1165, 1221 (Enforcement Bureau counsel), 1170, 1178, 1216-17 (Stenger).</w:t>
      </w:r>
    </w:p>
  </w:footnote>
  <w:footnote w:id="49">
    <w:p w:rsidR="00C016B1" w:rsidRPr="0075308C" w:rsidP="00C016B1">
      <w:pPr>
        <w:pStyle w:val="FootnoteText"/>
      </w:pPr>
      <w:r>
        <w:rPr>
          <w:rStyle w:val="FootnoteReference"/>
        </w:rPr>
        <w:footnoteRef/>
      </w:r>
      <w:r>
        <w:t xml:space="preserve"> </w:t>
      </w:r>
      <w:r>
        <w:rPr>
          <w:i/>
        </w:rPr>
        <w:t xml:space="preserve">See </w:t>
      </w:r>
      <w:r>
        <w:t xml:space="preserve">tr. at 1222; </w:t>
      </w:r>
      <w:r w:rsidRPr="004067F1">
        <w:rPr>
          <w:i/>
        </w:rPr>
        <w:t>Dismissal Order</w:t>
      </w:r>
      <w:r>
        <w:t xml:space="preserve"> at 2, para. 5.</w:t>
      </w:r>
    </w:p>
  </w:footnote>
  <w:footnote w:id="50">
    <w:p w:rsidR="00C016B1" w:rsidRPr="00332446" w:rsidP="00C016B1">
      <w:pPr>
        <w:pStyle w:val="FootnoteText"/>
      </w:pPr>
      <w:r>
        <w:rPr>
          <w:rStyle w:val="FootnoteReference"/>
        </w:rPr>
        <w:footnoteRef/>
      </w:r>
      <w:r>
        <w:t xml:space="preserve"> </w:t>
      </w:r>
      <w:r>
        <w:rPr>
          <w:i/>
        </w:rPr>
        <w:t xml:space="preserve">See </w:t>
      </w:r>
      <w:r>
        <w:t>Response to Oral Orders, filed November 7, 2014, by Havens, Exhibit 1 at 5.</w:t>
      </w:r>
    </w:p>
  </w:footnote>
  <w:footnote w:id="51">
    <w:p w:rsidR="00C016B1" w:rsidRPr="00332446" w:rsidP="00C016B1">
      <w:pPr>
        <w:pStyle w:val="FootnoteText"/>
      </w:pPr>
      <w:r>
        <w:rPr>
          <w:rStyle w:val="FootnoteReference"/>
        </w:rPr>
        <w:footnoteRef/>
      </w:r>
      <w:r>
        <w:t xml:space="preserve"> </w:t>
      </w:r>
      <w:r>
        <w:rPr>
          <w:i/>
        </w:rPr>
        <w:t>See id.</w:t>
      </w:r>
      <w:r>
        <w:t>, Exhibit 1</w:t>
      </w:r>
      <w:r>
        <w:rPr>
          <w:i/>
        </w:rPr>
        <w:t xml:space="preserve"> </w:t>
      </w:r>
      <w:r>
        <w:t>at 4 (“I communicate with Mr. Stenger when possible, but he is not counsel to me as a party as the record shows. . . .  I do not want to act on the recollection of any attendee of what the [the Judge] instructed.”)</w:t>
      </w:r>
    </w:p>
  </w:footnote>
  <w:footnote w:id="52">
    <w:p w:rsidR="00C016B1" w:rsidP="00C016B1">
      <w:pPr>
        <w:pStyle w:val="FootnoteText"/>
      </w:pPr>
      <w:r>
        <w:rPr>
          <w:rStyle w:val="FootnoteReference"/>
        </w:rPr>
        <w:footnoteRef/>
      </w:r>
      <w:r>
        <w:t xml:space="preserve"> </w:t>
      </w:r>
      <w:r>
        <w:rPr>
          <w:i/>
        </w:rPr>
        <w:t xml:space="preserve">Id.  </w:t>
      </w:r>
    </w:p>
  </w:footnote>
  <w:footnote w:id="53">
    <w:p w:rsidR="00C016B1" w:rsidRPr="00CE5B03" w:rsidP="00C016B1">
      <w:pPr>
        <w:pStyle w:val="FootnoteText"/>
      </w:pPr>
      <w:r>
        <w:rPr>
          <w:rStyle w:val="FootnoteReference"/>
        </w:rPr>
        <w:footnoteRef/>
      </w:r>
      <w:r>
        <w:t xml:space="preserve"> </w:t>
      </w:r>
      <w:r>
        <w:rPr>
          <w:i/>
        </w:rPr>
        <w:t xml:space="preserve">Id. </w:t>
      </w:r>
      <w:r>
        <w:t>at 2.</w:t>
      </w:r>
    </w:p>
  </w:footnote>
  <w:footnote w:id="54">
    <w:p w:rsidR="00C016B1" w:rsidRPr="004D1735" w:rsidP="00C016B1">
      <w:pPr>
        <w:pStyle w:val="FootnoteText"/>
      </w:pPr>
      <w:r>
        <w:rPr>
          <w:rStyle w:val="FootnoteReference"/>
        </w:rPr>
        <w:footnoteRef/>
      </w:r>
      <w:r>
        <w:t xml:space="preserve"> The appeal is currently pending before the Commission and will be dismissed as moot as discussed below.  </w:t>
      </w:r>
      <w:r>
        <w:rPr>
          <w:i/>
        </w:rPr>
        <w:t xml:space="preserve">See infra </w:t>
      </w:r>
      <w:r>
        <w:t>para. 86.</w:t>
      </w:r>
    </w:p>
  </w:footnote>
  <w:footnote w:id="55">
    <w:p w:rsidR="00C016B1" w:rsidRPr="00EB4960" w:rsidP="00C016B1">
      <w:pPr>
        <w:pStyle w:val="FootnoteText"/>
      </w:pPr>
      <w:r>
        <w:rPr>
          <w:rStyle w:val="FootnoteReference"/>
        </w:rPr>
        <w:footnoteRef/>
      </w:r>
      <w:r>
        <w:t xml:space="preserve"> </w:t>
      </w:r>
      <w:r>
        <w:rPr>
          <w:i/>
        </w:rPr>
        <w:t xml:space="preserve">See </w:t>
      </w:r>
      <w:r>
        <w:t>Joint Status Report Concerning Summary Decision Motions Practice on Issue (G), filed November 7, 2014, by the Enforcement Bureau (indicating Maritime’s concurrence); Environmentel and Verde Systems Response Regarding Suspension of the Hearing Schedule, filed November 7, 2014, by Environmentel and Verde Systems.</w:t>
      </w:r>
    </w:p>
  </w:footnote>
  <w:footnote w:id="56">
    <w:p w:rsidR="00C016B1" w:rsidRPr="00E16052" w:rsidP="00C016B1">
      <w:pPr>
        <w:pStyle w:val="FootnoteText"/>
      </w:pPr>
      <w:r>
        <w:rPr>
          <w:rStyle w:val="FootnoteReference"/>
        </w:rPr>
        <w:footnoteRef/>
      </w:r>
      <w:r>
        <w:t xml:space="preserve"> </w:t>
      </w:r>
      <w:r>
        <w:rPr>
          <w:i/>
        </w:rPr>
        <w:t xml:space="preserve">See </w:t>
      </w:r>
      <w:r>
        <w:t>Order, FCC 14M-36 (Nov. 24, 2014).</w:t>
      </w:r>
    </w:p>
  </w:footnote>
  <w:footnote w:id="57">
    <w:p w:rsidR="00C016B1" w:rsidRPr="00811787" w:rsidP="00C016B1">
      <w:pPr>
        <w:pStyle w:val="FootnoteText"/>
      </w:pPr>
      <w:r>
        <w:rPr>
          <w:rStyle w:val="FootnoteReference"/>
        </w:rPr>
        <w:footnoteRef/>
      </w:r>
      <w:r>
        <w:t xml:space="preserve"> </w:t>
      </w:r>
      <w:r>
        <w:rPr>
          <w:i/>
        </w:rPr>
        <w:t xml:space="preserve">See </w:t>
      </w:r>
      <w:r>
        <w:t>Order, FCC 14M-40 (Dec. 4, 2014).</w:t>
      </w:r>
    </w:p>
  </w:footnote>
  <w:footnote w:id="58">
    <w:p w:rsidR="00C016B1" w:rsidRPr="00996C5D" w:rsidP="00C016B1">
      <w:pPr>
        <w:pStyle w:val="FootnoteText"/>
      </w:pPr>
      <w:r>
        <w:rPr>
          <w:rStyle w:val="FootnoteReference"/>
        </w:rPr>
        <w:footnoteRef/>
      </w:r>
      <w:r>
        <w:t xml:space="preserve"> </w:t>
      </w:r>
      <w:r>
        <w:rPr>
          <w:i/>
        </w:rPr>
        <w:t xml:space="preserve">See </w:t>
      </w:r>
      <w:r>
        <w:t>Order, FCC 14M-39 (Dec. 3, 2014).</w:t>
      </w:r>
    </w:p>
  </w:footnote>
  <w:footnote w:id="59">
    <w:p w:rsidR="00C016B1" w:rsidRPr="00037526" w:rsidP="00C016B1">
      <w:pPr>
        <w:pStyle w:val="FootnoteText"/>
      </w:pPr>
      <w:r>
        <w:rPr>
          <w:rStyle w:val="FootnoteReference"/>
        </w:rPr>
        <w:footnoteRef/>
      </w:r>
      <w:r>
        <w:t xml:space="preserve"> </w:t>
      </w:r>
      <w:r>
        <w:rPr>
          <w:i/>
        </w:rPr>
        <w:t xml:space="preserve">See </w:t>
      </w:r>
      <w:r>
        <w:t>tr. at 1514.</w:t>
      </w:r>
    </w:p>
  </w:footnote>
  <w:footnote w:id="60">
    <w:p w:rsidR="00C016B1" w:rsidRPr="006A4406" w:rsidP="00C016B1">
      <w:pPr>
        <w:pStyle w:val="FootnoteText"/>
      </w:pPr>
      <w:r>
        <w:rPr>
          <w:rStyle w:val="FootnoteReference"/>
        </w:rPr>
        <w:footnoteRef/>
      </w:r>
      <w:r>
        <w:t xml:space="preserve"> </w:t>
      </w:r>
      <w:r>
        <w:rPr>
          <w:i/>
        </w:rPr>
        <w:t xml:space="preserve">See id. </w:t>
      </w:r>
    </w:p>
  </w:footnote>
  <w:footnote w:id="61">
    <w:p w:rsidR="00C016B1" w:rsidRPr="008B0D30" w:rsidP="00C016B1">
      <w:pPr>
        <w:pStyle w:val="FootnoteText"/>
      </w:pPr>
      <w:r>
        <w:rPr>
          <w:rStyle w:val="FootnoteReference"/>
        </w:rPr>
        <w:footnoteRef/>
      </w:r>
      <w:r>
        <w:t xml:space="preserve"> </w:t>
      </w:r>
      <w:r>
        <w:rPr>
          <w:i/>
        </w:rPr>
        <w:t xml:space="preserve">See </w:t>
      </w:r>
      <w:r>
        <w:t xml:space="preserve">email from Warren Havens to Michael Engel and Pamela Kane (Dec. 11, 2014) (emphasis in the original).   At the hearing, Enforcement Bureau counsel objected to other language in the e-mail.  </w:t>
      </w:r>
      <w:r>
        <w:rPr>
          <w:i/>
        </w:rPr>
        <w:t xml:space="preserve">See </w:t>
      </w:r>
      <w:r>
        <w:t xml:space="preserve">tr. at 1647 (“Ms. Kane: . . . there are accusation in here that the Bureau has acted inappropriately and that we somehow impeded Mr. Havens’ ability to act as a party in this case.  And we vehemently oppose that”). </w:t>
      </w:r>
    </w:p>
  </w:footnote>
  <w:footnote w:id="62">
    <w:p w:rsidR="00C016B1" w:rsidRPr="006A4406" w:rsidP="00C016B1">
      <w:pPr>
        <w:pStyle w:val="FootnoteText"/>
      </w:pPr>
      <w:r>
        <w:rPr>
          <w:rStyle w:val="FootnoteReference"/>
        </w:rPr>
        <w:footnoteRef/>
      </w:r>
      <w:r>
        <w:t xml:space="preserve"> </w:t>
      </w:r>
      <w:r>
        <w:rPr>
          <w:i/>
        </w:rPr>
        <w:t xml:space="preserve">See </w:t>
      </w:r>
      <w:r>
        <w:t>tr. at 1651.</w:t>
      </w:r>
    </w:p>
  </w:footnote>
  <w:footnote w:id="63">
    <w:p w:rsidR="00C016B1" w:rsidRPr="008B0D30" w:rsidP="00C016B1">
      <w:pPr>
        <w:pStyle w:val="FootnoteText"/>
      </w:pPr>
      <w:r>
        <w:rPr>
          <w:rStyle w:val="FootnoteReference"/>
        </w:rPr>
        <w:footnoteRef/>
      </w:r>
      <w:r>
        <w:t xml:space="preserve"> </w:t>
      </w:r>
      <w:r>
        <w:rPr>
          <w:i/>
        </w:rPr>
        <w:t xml:space="preserve">See </w:t>
      </w:r>
      <w:r>
        <w:t>Letter from William Knowles-Kellett to Warren Havens (Nov. 17, 2015) (FOIA Control No. 2015-132).</w:t>
      </w:r>
    </w:p>
  </w:footnote>
  <w:footnote w:id="64">
    <w:p w:rsidR="00C016B1" w:rsidRPr="0088757F" w:rsidP="00C016B1">
      <w:pPr>
        <w:pStyle w:val="FootnoteText"/>
      </w:pPr>
      <w:r>
        <w:rPr>
          <w:rStyle w:val="FootnoteReference"/>
        </w:rPr>
        <w:footnoteRef/>
      </w:r>
      <w:r>
        <w:t xml:space="preserve"> </w:t>
      </w:r>
      <w:r>
        <w:rPr>
          <w:i/>
        </w:rPr>
        <w:t xml:space="preserve">See </w:t>
      </w:r>
      <w:r>
        <w:t>Order, FCC 14M-44 (Dec. 19, 2014).</w:t>
      </w:r>
    </w:p>
  </w:footnote>
  <w:footnote w:id="65">
    <w:p w:rsidR="00C016B1" w:rsidRPr="00E9007A" w:rsidP="00C016B1">
      <w:pPr>
        <w:pStyle w:val="FootnoteText"/>
      </w:pPr>
      <w:r>
        <w:rPr>
          <w:rStyle w:val="FootnoteReference"/>
        </w:rPr>
        <w:footnoteRef/>
      </w:r>
      <w:r>
        <w:t xml:space="preserve"> </w:t>
      </w:r>
      <w:r>
        <w:rPr>
          <w:i/>
        </w:rPr>
        <w:t xml:space="preserve">See </w:t>
      </w:r>
      <w:r>
        <w:t>Protective Order, FCC 11M-21 (Jul. 20, 2011) (Protective Order).</w:t>
      </w:r>
    </w:p>
  </w:footnote>
  <w:footnote w:id="66">
    <w:p w:rsidR="00C016B1" w:rsidP="00C016B1">
      <w:pPr>
        <w:pStyle w:val="FootnoteText"/>
      </w:pPr>
      <w:r>
        <w:rPr>
          <w:rStyle w:val="FootnoteReference"/>
        </w:rPr>
        <w:footnoteRef/>
      </w:r>
      <w:r>
        <w:t xml:space="preserve"> Memo on Documents Alleged Confidential Under the Protective Order But Lawfully in the Public Domain, filed December 10, 2014, by Havens.</w:t>
      </w:r>
    </w:p>
  </w:footnote>
  <w:footnote w:id="67">
    <w:p w:rsidR="00C016B1" w:rsidP="00C016B1">
      <w:pPr>
        <w:pStyle w:val="FootnoteText"/>
      </w:pPr>
      <w:r>
        <w:rPr>
          <w:rStyle w:val="FootnoteReference"/>
        </w:rPr>
        <w:footnoteRef/>
      </w:r>
      <w:r>
        <w:t xml:space="preserve"> </w:t>
      </w:r>
      <w:r>
        <w:rPr>
          <w:i/>
        </w:rPr>
        <w:t xml:space="preserve">See </w:t>
      </w:r>
      <w:r>
        <w:t xml:space="preserve">Protective Order at 5-6, para. 6.  The rationale for this distinction is, as noted above, that Havens and his companies are competitors of Maritime and other parties and should therefore not have access to competitively sensitive information.  </w:t>
      </w:r>
      <w:r>
        <w:rPr>
          <w:i/>
        </w:rPr>
        <w:t xml:space="preserve">See </w:t>
      </w:r>
      <w:r>
        <w:t xml:space="preserve">12M-52 at 4 (“As a </w:t>
      </w:r>
      <w:r>
        <w:rPr>
          <w:i/>
        </w:rPr>
        <w:t xml:space="preserve">pro se </w:t>
      </w:r>
      <w:r>
        <w:t>litigant, Mr. Havens will not be permitted to access confidential material under the Protective Order.”).</w:t>
      </w:r>
    </w:p>
  </w:footnote>
  <w:footnote w:id="68">
    <w:p w:rsidR="00C016B1" w:rsidRPr="00DB009E" w:rsidP="00C016B1">
      <w:pPr>
        <w:pStyle w:val="FootnoteText"/>
      </w:pPr>
      <w:r>
        <w:rPr>
          <w:rStyle w:val="FootnoteReference"/>
        </w:rPr>
        <w:footnoteRef/>
      </w:r>
      <w:r>
        <w:t xml:space="preserve"> </w:t>
      </w:r>
      <w:r>
        <w:rPr>
          <w:i/>
        </w:rPr>
        <w:t xml:space="preserve">See </w:t>
      </w:r>
      <w:r>
        <w:t>Protective Order at 4, para. 3.</w:t>
      </w:r>
    </w:p>
  </w:footnote>
  <w:footnote w:id="69">
    <w:p w:rsidR="00C016B1" w:rsidRPr="002168DF" w:rsidP="00C016B1">
      <w:pPr>
        <w:pStyle w:val="FootnoteText"/>
      </w:pPr>
      <w:r>
        <w:rPr>
          <w:rStyle w:val="FootnoteReference"/>
        </w:rPr>
        <w:footnoteRef/>
      </w:r>
      <w:r>
        <w:t xml:space="preserve"> </w:t>
      </w:r>
      <w:r>
        <w:rPr>
          <w:i/>
        </w:rPr>
        <w:t xml:space="preserve">See </w:t>
      </w:r>
      <w:r>
        <w:t>14M-44 at 1-2.</w:t>
      </w:r>
    </w:p>
  </w:footnote>
  <w:footnote w:id="70">
    <w:p w:rsidR="00C016B1" w:rsidRPr="004D1735" w:rsidP="00C016B1">
      <w:pPr>
        <w:pStyle w:val="FootnoteText"/>
      </w:pPr>
      <w:r>
        <w:rPr>
          <w:rStyle w:val="FootnoteReference"/>
        </w:rPr>
        <w:footnoteRef/>
      </w:r>
      <w:r>
        <w:t xml:space="preserve"> </w:t>
      </w:r>
      <w:r>
        <w:rPr>
          <w:i/>
        </w:rPr>
        <w:t xml:space="preserve">See infra </w:t>
      </w:r>
      <w:r>
        <w:t>para. 86.</w:t>
      </w:r>
    </w:p>
  </w:footnote>
  <w:footnote w:id="71">
    <w:p w:rsidR="00C016B1" w:rsidRPr="00DB009E" w:rsidP="00C016B1">
      <w:pPr>
        <w:pStyle w:val="FootnoteText"/>
      </w:pPr>
      <w:r>
        <w:rPr>
          <w:rStyle w:val="FootnoteReference"/>
        </w:rPr>
        <w:footnoteRef/>
      </w:r>
      <w:r>
        <w:t xml:space="preserve"> </w:t>
      </w:r>
      <w:r>
        <w:rPr>
          <w:i/>
        </w:rPr>
        <w:t xml:space="preserve">See </w:t>
      </w:r>
      <w:r>
        <w:t>14M-44</w:t>
      </w:r>
      <w:r>
        <w:rPr>
          <w:i/>
        </w:rPr>
        <w:t xml:space="preserve"> </w:t>
      </w:r>
      <w:r>
        <w:t xml:space="preserve">at </w:t>
      </w:r>
      <w:r w:rsidRPr="00781DE2">
        <w:t>4.  The</w:t>
      </w:r>
      <w:r>
        <w:t xml:space="preserve"> Protective Order does not purport to govern whether material should be disclosed pursuant to a FOIA request.  </w:t>
      </w:r>
      <w:r>
        <w:rPr>
          <w:i/>
        </w:rPr>
        <w:t xml:space="preserve">See </w:t>
      </w:r>
      <w:r>
        <w:t>Protective Order at 1-2, para. 1, 9, para. 12.  The Protective Order does not address the propriety of a party’s (as opposed to other members of the public) using the FOIA instead of the Protective Order to seek confidential information.</w:t>
      </w:r>
    </w:p>
  </w:footnote>
  <w:footnote w:id="72">
    <w:p w:rsidR="00C016B1" w:rsidRPr="008915FD" w:rsidP="00C016B1">
      <w:pPr>
        <w:pStyle w:val="FootnoteText"/>
      </w:pPr>
      <w:r>
        <w:rPr>
          <w:rStyle w:val="FootnoteReference"/>
        </w:rPr>
        <w:footnoteRef/>
      </w:r>
      <w:r>
        <w:t xml:space="preserve"> </w:t>
      </w:r>
      <w:r>
        <w:rPr>
          <w:i/>
        </w:rPr>
        <w:t xml:space="preserve">See </w:t>
      </w:r>
      <w:r>
        <w:t>Environmentel and Verde Systems Request for Status Conference to Make Records Public, filed January 14, 2015.</w:t>
      </w:r>
    </w:p>
  </w:footnote>
  <w:footnote w:id="73">
    <w:p w:rsidR="00C016B1" w:rsidRPr="007A60C1" w:rsidP="00C016B1">
      <w:pPr>
        <w:pStyle w:val="FootnoteText"/>
      </w:pPr>
      <w:r>
        <w:rPr>
          <w:rStyle w:val="FootnoteReference"/>
        </w:rPr>
        <w:footnoteRef/>
      </w:r>
      <w:r>
        <w:t xml:space="preserve"> </w:t>
      </w:r>
      <w:r w:rsidRPr="00644E89">
        <w:rPr>
          <w:i/>
        </w:rPr>
        <w:t>Dismissal Order</w:t>
      </w:r>
      <w:r>
        <w:t xml:space="preserve"> at 1-2, para. 2; </w:t>
      </w:r>
      <w:r>
        <w:rPr>
          <w:i/>
        </w:rPr>
        <w:t>see also supra</w:t>
      </w:r>
      <w:r>
        <w:t>, paras. 23-28 (discussing the October 27 Motion).</w:t>
      </w:r>
    </w:p>
  </w:footnote>
  <w:footnote w:id="74">
    <w:p w:rsidR="00C016B1" w:rsidRPr="007A60C1" w:rsidP="00C016B1">
      <w:pPr>
        <w:pStyle w:val="FootnoteText"/>
      </w:pPr>
      <w:r>
        <w:rPr>
          <w:rStyle w:val="FootnoteReference"/>
        </w:rPr>
        <w:footnoteRef/>
      </w:r>
      <w:r>
        <w:t xml:space="preserve"> </w:t>
      </w:r>
      <w:r>
        <w:rPr>
          <w:i/>
        </w:rPr>
        <w:t xml:space="preserve">Id. </w:t>
      </w:r>
      <w:r>
        <w:t>at 2, para. 3.</w:t>
      </w:r>
    </w:p>
  </w:footnote>
  <w:footnote w:id="75">
    <w:p w:rsidR="00C016B1" w:rsidRPr="003A4100" w:rsidP="00C016B1">
      <w:pPr>
        <w:pStyle w:val="FootnoteText"/>
      </w:pPr>
      <w:r>
        <w:rPr>
          <w:rStyle w:val="FootnoteReference"/>
        </w:rPr>
        <w:footnoteRef/>
      </w:r>
      <w:r>
        <w:t xml:space="preserve"> </w:t>
      </w:r>
      <w:r>
        <w:rPr>
          <w:i/>
        </w:rPr>
        <w:t xml:space="preserve">Id. </w:t>
      </w:r>
      <w:r>
        <w:t>at 2-3, paras. 4-7.</w:t>
      </w:r>
    </w:p>
  </w:footnote>
  <w:footnote w:id="76">
    <w:p w:rsidR="00C016B1" w:rsidRPr="003A4100" w:rsidP="00C016B1">
      <w:pPr>
        <w:pStyle w:val="FootnoteText"/>
      </w:pPr>
      <w:r>
        <w:rPr>
          <w:rStyle w:val="FootnoteReference"/>
        </w:rPr>
        <w:footnoteRef/>
      </w:r>
      <w:r>
        <w:t xml:space="preserve"> </w:t>
      </w:r>
      <w:r>
        <w:rPr>
          <w:i/>
        </w:rPr>
        <w:t xml:space="preserve">Id. </w:t>
      </w:r>
      <w:r>
        <w:t>at 3-4, paras. 8-10.</w:t>
      </w:r>
    </w:p>
  </w:footnote>
  <w:footnote w:id="77">
    <w:p w:rsidR="00C016B1" w:rsidRPr="001105FA" w:rsidP="00C016B1">
      <w:pPr>
        <w:pStyle w:val="FootnoteText"/>
        <w:rPr>
          <w:i/>
        </w:rPr>
      </w:pPr>
      <w:r>
        <w:rPr>
          <w:rStyle w:val="FootnoteReference"/>
        </w:rPr>
        <w:footnoteRef/>
      </w:r>
      <w:r>
        <w:t xml:space="preserve"> </w:t>
      </w:r>
      <w:r>
        <w:rPr>
          <w:i/>
        </w:rPr>
        <w:t>Id.</w:t>
      </w:r>
    </w:p>
  </w:footnote>
  <w:footnote w:id="78">
    <w:p w:rsidR="00C016B1" w:rsidRPr="001105FA" w:rsidP="00C016B1">
      <w:pPr>
        <w:pStyle w:val="FootnoteText"/>
      </w:pPr>
      <w:r>
        <w:rPr>
          <w:rStyle w:val="FootnoteReference"/>
        </w:rPr>
        <w:footnoteRef/>
      </w:r>
      <w:r>
        <w:t xml:space="preserve"> </w:t>
      </w:r>
      <w:r>
        <w:rPr>
          <w:i/>
        </w:rPr>
        <w:t xml:space="preserve">Id. </w:t>
      </w:r>
      <w:r>
        <w:t>at 4, para. 10.</w:t>
      </w:r>
    </w:p>
  </w:footnote>
  <w:footnote w:id="79">
    <w:p w:rsidR="00C016B1" w:rsidRPr="003A4100" w:rsidP="00C016B1">
      <w:pPr>
        <w:pStyle w:val="FootnoteText"/>
      </w:pPr>
      <w:r>
        <w:rPr>
          <w:rStyle w:val="FootnoteReference"/>
        </w:rPr>
        <w:footnoteRef/>
      </w:r>
      <w:r>
        <w:t xml:space="preserve"> </w:t>
      </w:r>
      <w:r>
        <w:rPr>
          <w:i/>
        </w:rPr>
        <w:t xml:space="preserve">Id. </w:t>
      </w:r>
      <w:r>
        <w:t>at 4, para. 12; 47 CFR § 1.52.</w:t>
      </w:r>
    </w:p>
  </w:footnote>
  <w:footnote w:id="80">
    <w:p w:rsidR="00C016B1" w:rsidRPr="0059036A" w:rsidP="00C016B1">
      <w:pPr>
        <w:pStyle w:val="FootnoteText"/>
      </w:pPr>
      <w:r>
        <w:rPr>
          <w:rStyle w:val="FootnoteReference"/>
        </w:rPr>
        <w:footnoteRef/>
      </w:r>
      <w:r>
        <w:t xml:space="preserve"> </w:t>
      </w:r>
      <w:r w:rsidRPr="00644E89">
        <w:rPr>
          <w:i/>
        </w:rPr>
        <w:t>Dismissal Order</w:t>
      </w:r>
      <w:r>
        <w:t xml:space="preserve"> at 4-5, para. 12.</w:t>
      </w:r>
    </w:p>
  </w:footnote>
  <w:footnote w:id="81">
    <w:p w:rsidR="00C016B1" w:rsidRPr="0059036A" w:rsidP="00C016B1">
      <w:pPr>
        <w:pStyle w:val="FootnoteText"/>
      </w:pPr>
      <w:r>
        <w:rPr>
          <w:rStyle w:val="FootnoteReference"/>
        </w:rPr>
        <w:footnoteRef/>
      </w:r>
      <w:r>
        <w:t xml:space="preserve"> </w:t>
      </w:r>
      <w:r>
        <w:rPr>
          <w:i/>
        </w:rPr>
        <w:t xml:space="preserve">Id. </w:t>
      </w:r>
      <w:r>
        <w:t>at 5, para. 13.</w:t>
      </w:r>
    </w:p>
  </w:footnote>
  <w:footnote w:id="82">
    <w:p w:rsidR="00C016B1" w:rsidRPr="00B816DA" w:rsidP="00C016B1">
      <w:pPr>
        <w:pStyle w:val="FootnoteText"/>
      </w:pPr>
      <w:r>
        <w:rPr>
          <w:rStyle w:val="FootnoteReference"/>
        </w:rPr>
        <w:footnoteRef/>
      </w:r>
      <w:r>
        <w:t xml:space="preserve"> </w:t>
      </w:r>
      <w:r>
        <w:rPr>
          <w:i/>
        </w:rPr>
        <w:t xml:space="preserve">Id. </w:t>
      </w:r>
      <w:r>
        <w:t>at 5-6, paras. 14-17.</w:t>
      </w:r>
    </w:p>
  </w:footnote>
  <w:footnote w:id="83">
    <w:p w:rsidR="00C016B1" w:rsidRPr="00B816DA" w:rsidP="00C016B1">
      <w:pPr>
        <w:pStyle w:val="FootnoteText"/>
      </w:pPr>
      <w:r>
        <w:rPr>
          <w:rStyle w:val="FootnoteReference"/>
        </w:rPr>
        <w:footnoteRef/>
      </w:r>
      <w:r>
        <w:t xml:space="preserve"> </w:t>
      </w:r>
      <w:r>
        <w:rPr>
          <w:i/>
        </w:rPr>
        <w:t xml:space="preserve">Id. </w:t>
      </w:r>
      <w:r>
        <w:t>at 7-9, paras. 18(b), 18(e), 18(k).</w:t>
      </w:r>
    </w:p>
  </w:footnote>
  <w:footnote w:id="84">
    <w:p w:rsidR="00C016B1" w:rsidRPr="00B816DA" w:rsidP="00C016B1">
      <w:pPr>
        <w:pStyle w:val="FootnoteText"/>
      </w:pPr>
      <w:r>
        <w:rPr>
          <w:rStyle w:val="FootnoteReference"/>
        </w:rPr>
        <w:footnoteRef/>
      </w:r>
      <w:r>
        <w:t xml:space="preserve"> </w:t>
      </w:r>
      <w:r>
        <w:rPr>
          <w:i/>
        </w:rPr>
        <w:t xml:space="preserve">Id. </w:t>
      </w:r>
      <w:r>
        <w:t>at 8-9, para. 18(f), 18(g), 18(j).</w:t>
      </w:r>
    </w:p>
  </w:footnote>
  <w:footnote w:id="85">
    <w:p w:rsidR="00C016B1" w:rsidRPr="00921D30" w:rsidP="00C016B1">
      <w:pPr>
        <w:pStyle w:val="FootnoteText"/>
      </w:pPr>
      <w:r>
        <w:rPr>
          <w:rStyle w:val="FootnoteReference"/>
        </w:rPr>
        <w:footnoteRef/>
      </w:r>
      <w:r>
        <w:t xml:space="preserve"> </w:t>
      </w:r>
      <w:r>
        <w:rPr>
          <w:i/>
        </w:rPr>
        <w:t xml:space="preserve">Id. </w:t>
      </w:r>
      <w:r>
        <w:t xml:space="preserve">at 10-11, paras. 18(n), 18(o), 18(p), 18(s); </w:t>
      </w:r>
      <w:r>
        <w:rPr>
          <w:i/>
        </w:rPr>
        <w:t xml:space="preserve">see also supra </w:t>
      </w:r>
      <w:r>
        <w:t>paras. 9-13.</w:t>
      </w:r>
    </w:p>
  </w:footnote>
  <w:footnote w:id="86">
    <w:p w:rsidR="00C016B1" w:rsidP="00C016B1">
      <w:pPr>
        <w:pStyle w:val="FootnoteText"/>
      </w:pPr>
      <w:r>
        <w:rPr>
          <w:rStyle w:val="FootnoteReference"/>
        </w:rPr>
        <w:footnoteRef/>
      </w:r>
      <w:r>
        <w:t xml:space="preserve"> </w:t>
      </w:r>
      <w:r w:rsidRPr="00644E89">
        <w:rPr>
          <w:i/>
        </w:rPr>
        <w:t>Dismissal Order</w:t>
      </w:r>
      <w:r>
        <w:t xml:space="preserve"> at 9, 12, paras. 18(h), 18(r), 18(s), 20.</w:t>
      </w:r>
    </w:p>
  </w:footnote>
  <w:footnote w:id="87">
    <w:p w:rsidR="00C016B1" w:rsidRPr="00E94595" w:rsidP="00C016B1">
      <w:pPr>
        <w:pStyle w:val="FootnoteText"/>
      </w:pPr>
      <w:r>
        <w:rPr>
          <w:rStyle w:val="FootnoteReference"/>
        </w:rPr>
        <w:footnoteRef/>
      </w:r>
      <w:r>
        <w:t xml:space="preserve"> </w:t>
      </w:r>
      <w:r>
        <w:rPr>
          <w:i/>
        </w:rPr>
        <w:t xml:space="preserve">Id. </w:t>
      </w:r>
      <w:r>
        <w:t>at 12, para. 22.</w:t>
      </w:r>
    </w:p>
  </w:footnote>
  <w:footnote w:id="88">
    <w:p w:rsidR="00C016B1" w:rsidRPr="00E94595" w:rsidP="00C016B1">
      <w:pPr>
        <w:pStyle w:val="FootnoteText"/>
      </w:pPr>
      <w:r>
        <w:rPr>
          <w:rStyle w:val="FootnoteReference"/>
        </w:rPr>
        <w:footnoteRef/>
      </w:r>
      <w:r>
        <w:t xml:space="preserve"> </w:t>
      </w:r>
      <w:r>
        <w:rPr>
          <w:i/>
        </w:rPr>
        <w:t>Id.</w:t>
      </w:r>
      <w:r>
        <w:t xml:space="preserve"> at 12-13, para. 22.</w:t>
      </w:r>
    </w:p>
  </w:footnote>
  <w:footnote w:id="89">
    <w:p w:rsidR="00C016B1" w:rsidRPr="00E94595" w:rsidP="00C016B1">
      <w:pPr>
        <w:pStyle w:val="FootnoteText"/>
      </w:pPr>
      <w:r>
        <w:rPr>
          <w:rStyle w:val="FootnoteReference"/>
        </w:rPr>
        <w:footnoteRef/>
      </w:r>
      <w:r>
        <w:t xml:space="preserve"> </w:t>
      </w:r>
      <w:r>
        <w:rPr>
          <w:i/>
        </w:rPr>
        <w:t>Id.</w:t>
      </w:r>
    </w:p>
  </w:footnote>
  <w:footnote w:id="90">
    <w:p w:rsidR="00C016B1" w:rsidRPr="00A90877" w:rsidP="00C016B1">
      <w:pPr>
        <w:pStyle w:val="FootnoteText"/>
      </w:pPr>
      <w:r>
        <w:rPr>
          <w:rStyle w:val="FootnoteReference"/>
        </w:rPr>
        <w:footnoteRef/>
      </w:r>
      <w:r>
        <w:t xml:space="preserve"> </w:t>
      </w:r>
      <w:r>
        <w:rPr>
          <w:i/>
        </w:rPr>
        <w:t xml:space="preserve">Id. </w:t>
      </w:r>
      <w:r>
        <w:t>at 13, para. 23.</w:t>
      </w:r>
    </w:p>
  </w:footnote>
  <w:footnote w:id="91">
    <w:p w:rsidR="00C016B1" w:rsidRPr="00B74D04" w:rsidP="00C016B1">
      <w:pPr>
        <w:pStyle w:val="FootnoteText"/>
        <w:rPr>
          <w:i/>
        </w:rPr>
      </w:pPr>
      <w:r>
        <w:rPr>
          <w:rStyle w:val="FootnoteReference"/>
        </w:rPr>
        <w:footnoteRef/>
      </w:r>
      <w:r>
        <w:t xml:space="preserve"> </w:t>
      </w:r>
      <w:r>
        <w:rPr>
          <w:i/>
        </w:rPr>
        <w:t>Id.</w:t>
      </w:r>
    </w:p>
  </w:footnote>
  <w:footnote w:id="92">
    <w:p w:rsidR="00C016B1" w:rsidRPr="00037526" w:rsidP="00C016B1">
      <w:pPr>
        <w:pStyle w:val="FootnoteText"/>
      </w:pPr>
      <w:r>
        <w:rPr>
          <w:rStyle w:val="FootnoteReference"/>
        </w:rPr>
        <w:footnoteRef/>
      </w:r>
      <w:r>
        <w:t xml:space="preserve"> </w:t>
      </w:r>
      <w:r w:rsidRPr="00632BED">
        <w:t>Interlocutory Appeal as of Right</w:t>
      </w:r>
      <w:r>
        <w:t xml:space="preserve">, filed April 29, 2015, by Environmentel and Verde Systems.  </w:t>
      </w:r>
      <w:r>
        <w:rPr>
          <w:i/>
        </w:rPr>
        <w:t xml:space="preserve">See supra </w:t>
      </w:r>
      <w:r>
        <w:t>note 11.</w:t>
      </w:r>
    </w:p>
  </w:footnote>
  <w:footnote w:id="93">
    <w:p w:rsidR="00C016B1" w:rsidRPr="00632BED" w:rsidP="00C016B1">
      <w:pPr>
        <w:pStyle w:val="FootnoteText"/>
      </w:pPr>
      <w:r>
        <w:rPr>
          <w:rStyle w:val="FootnoteReference"/>
        </w:rPr>
        <w:footnoteRef/>
      </w:r>
      <w:r>
        <w:t xml:space="preserve"> </w:t>
      </w:r>
      <w:r>
        <w:rPr>
          <w:i/>
        </w:rPr>
        <w:t xml:space="preserve">Id. </w:t>
      </w:r>
      <w:r>
        <w:t>at 1-2.</w:t>
      </w:r>
    </w:p>
  </w:footnote>
  <w:footnote w:id="94">
    <w:p w:rsidR="00C016B1" w:rsidRPr="001105FA" w:rsidP="00C016B1">
      <w:pPr>
        <w:pStyle w:val="FootnoteText"/>
      </w:pPr>
      <w:r>
        <w:rPr>
          <w:rStyle w:val="FootnoteReference"/>
        </w:rPr>
        <w:footnoteRef/>
      </w:r>
      <w:r>
        <w:t xml:space="preserve"> </w:t>
      </w:r>
      <w:r>
        <w:rPr>
          <w:i/>
        </w:rPr>
        <w:t xml:space="preserve">Id. </w:t>
      </w:r>
      <w:r>
        <w:t>at 2-3.</w:t>
      </w:r>
    </w:p>
  </w:footnote>
  <w:footnote w:id="95">
    <w:p w:rsidR="00C016B1" w:rsidRPr="001105FA" w:rsidP="00C016B1">
      <w:pPr>
        <w:pStyle w:val="FootnoteText"/>
      </w:pPr>
      <w:r>
        <w:rPr>
          <w:rStyle w:val="FootnoteReference"/>
        </w:rPr>
        <w:footnoteRef/>
      </w:r>
      <w:r>
        <w:t xml:space="preserve"> </w:t>
      </w:r>
      <w:r>
        <w:rPr>
          <w:i/>
        </w:rPr>
        <w:t xml:space="preserve">Id. </w:t>
      </w:r>
      <w:r>
        <w:t>at 3.</w:t>
      </w:r>
    </w:p>
  </w:footnote>
  <w:footnote w:id="96">
    <w:p w:rsidR="00C016B1" w:rsidRPr="001105FA" w:rsidP="00C016B1">
      <w:pPr>
        <w:pStyle w:val="FootnoteText"/>
        <w:rPr>
          <w:i/>
        </w:rPr>
      </w:pPr>
      <w:r>
        <w:rPr>
          <w:rStyle w:val="FootnoteReference"/>
        </w:rPr>
        <w:footnoteRef/>
      </w:r>
      <w:r>
        <w:t xml:space="preserve"> </w:t>
      </w:r>
      <w:r>
        <w:rPr>
          <w:i/>
        </w:rPr>
        <w:t>Id.</w:t>
      </w:r>
    </w:p>
  </w:footnote>
  <w:footnote w:id="97">
    <w:p w:rsidR="00C016B1" w:rsidRPr="00B061C1" w:rsidP="00C016B1">
      <w:pPr>
        <w:pStyle w:val="FootnoteText"/>
      </w:pPr>
      <w:r>
        <w:rPr>
          <w:rStyle w:val="FootnoteReference"/>
        </w:rPr>
        <w:footnoteRef/>
      </w:r>
      <w:r>
        <w:t xml:space="preserve"> </w:t>
      </w:r>
      <w:r>
        <w:rPr>
          <w:i/>
        </w:rPr>
        <w:t xml:space="preserve">Id. </w:t>
      </w:r>
      <w:r>
        <w:t>at 3-4.</w:t>
      </w:r>
    </w:p>
  </w:footnote>
  <w:footnote w:id="98">
    <w:p w:rsidR="00C016B1" w:rsidRPr="00B061C1" w:rsidP="00C016B1">
      <w:pPr>
        <w:pStyle w:val="FootnoteText"/>
      </w:pPr>
      <w:r>
        <w:rPr>
          <w:rStyle w:val="FootnoteReference"/>
        </w:rPr>
        <w:footnoteRef/>
      </w:r>
      <w:r>
        <w:t xml:space="preserve"> </w:t>
      </w:r>
      <w:r>
        <w:rPr>
          <w:i/>
        </w:rPr>
        <w:t xml:space="preserve">Id. </w:t>
      </w:r>
      <w:r>
        <w:t>at 4.</w:t>
      </w:r>
    </w:p>
  </w:footnote>
  <w:footnote w:id="99">
    <w:p w:rsidR="00C016B1" w:rsidRPr="00B061C1" w:rsidP="00C016B1">
      <w:pPr>
        <w:pStyle w:val="FootnoteText"/>
      </w:pPr>
      <w:r>
        <w:rPr>
          <w:rStyle w:val="FootnoteReference"/>
        </w:rPr>
        <w:footnoteRef/>
      </w:r>
      <w:r>
        <w:t xml:space="preserve"> </w:t>
      </w:r>
      <w:r>
        <w:rPr>
          <w:i/>
        </w:rPr>
        <w:t xml:space="preserve">Id. </w:t>
      </w:r>
      <w:r>
        <w:t>at 5.</w:t>
      </w:r>
    </w:p>
  </w:footnote>
  <w:footnote w:id="100">
    <w:p w:rsidR="00C016B1" w:rsidRPr="00D6308B" w:rsidP="00C016B1">
      <w:pPr>
        <w:pStyle w:val="FootnoteText"/>
        <w:rPr>
          <w:i/>
        </w:rPr>
      </w:pPr>
      <w:r>
        <w:rPr>
          <w:rStyle w:val="FootnoteReference"/>
        </w:rPr>
        <w:footnoteRef/>
      </w:r>
      <w:r>
        <w:t xml:space="preserve"> </w:t>
      </w:r>
      <w:r>
        <w:rPr>
          <w:i/>
        </w:rPr>
        <w:t>Id.</w:t>
      </w:r>
    </w:p>
  </w:footnote>
  <w:footnote w:id="101">
    <w:p w:rsidR="00C016B1" w:rsidRPr="00FA04B9" w:rsidP="00C016B1">
      <w:pPr>
        <w:pStyle w:val="FootnoteText"/>
      </w:pPr>
      <w:r>
        <w:rPr>
          <w:rStyle w:val="FootnoteReference"/>
        </w:rPr>
        <w:footnoteRef/>
      </w:r>
      <w:r>
        <w:t xml:space="preserve"> Interlocutory Appeal, filed April 9, 2015, by Havens (Havens Appeal).  The appeal was filed on behalf of Havens and “for all Havens managed companies but for [Environmentel and Verde Systems], which submitted their own appeal.”  </w:t>
      </w:r>
      <w:r>
        <w:rPr>
          <w:i/>
        </w:rPr>
        <w:t xml:space="preserve">Id. </w:t>
      </w:r>
      <w:r>
        <w:t>at 4.</w:t>
      </w:r>
    </w:p>
  </w:footnote>
  <w:footnote w:id="102">
    <w:p w:rsidR="00C016B1" w:rsidRPr="000646FD" w:rsidP="00C016B1">
      <w:pPr>
        <w:pStyle w:val="FootnoteText"/>
      </w:pPr>
      <w:r>
        <w:rPr>
          <w:rStyle w:val="FootnoteReference"/>
        </w:rPr>
        <w:footnoteRef/>
      </w:r>
      <w:r>
        <w:t xml:space="preserve"> </w:t>
      </w:r>
      <w:r>
        <w:rPr>
          <w:i/>
        </w:rPr>
        <w:t xml:space="preserve">Id. </w:t>
      </w:r>
      <w:r>
        <w:t>at 1-2, para. 2.</w:t>
      </w:r>
    </w:p>
  </w:footnote>
  <w:footnote w:id="103">
    <w:p w:rsidR="00C016B1" w:rsidRPr="000646FD" w:rsidP="00C016B1">
      <w:pPr>
        <w:pStyle w:val="FootnoteText"/>
      </w:pPr>
      <w:r>
        <w:rPr>
          <w:rStyle w:val="FootnoteReference"/>
        </w:rPr>
        <w:footnoteRef/>
      </w:r>
      <w:r>
        <w:t xml:space="preserve"> </w:t>
      </w:r>
      <w:r>
        <w:rPr>
          <w:i/>
        </w:rPr>
        <w:t xml:space="preserve">Id. </w:t>
      </w:r>
      <w:r>
        <w:t>at 2-5, paras. 3-7.</w:t>
      </w:r>
    </w:p>
  </w:footnote>
  <w:footnote w:id="104">
    <w:p w:rsidR="00C016B1" w:rsidP="00C016B1">
      <w:pPr>
        <w:pStyle w:val="FootnoteText"/>
      </w:pPr>
      <w:r>
        <w:rPr>
          <w:rStyle w:val="FootnoteReference"/>
        </w:rPr>
        <w:footnoteRef/>
      </w:r>
      <w:r>
        <w:t xml:space="preserve"> Motion to Strike and Opposition to Interlocutory Appeals, filed May 6, 2015, by Maritime (Maritime Opposition).</w:t>
      </w:r>
    </w:p>
  </w:footnote>
  <w:footnote w:id="105">
    <w:p w:rsidR="00C016B1" w:rsidRPr="00D5165E" w:rsidP="00C016B1">
      <w:pPr>
        <w:pStyle w:val="FootnoteText"/>
      </w:pPr>
      <w:r>
        <w:rPr>
          <w:rStyle w:val="FootnoteReference"/>
        </w:rPr>
        <w:footnoteRef/>
      </w:r>
      <w:r>
        <w:t xml:space="preserve"> </w:t>
      </w:r>
      <w:r>
        <w:rPr>
          <w:i/>
        </w:rPr>
        <w:t xml:space="preserve">Id. </w:t>
      </w:r>
      <w:r>
        <w:t>at 2-3.</w:t>
      </w:r>
    </w:p>
  </w:footnote>
  <w:footnote w:id="106">
    <w:p w:rsidR="00C016B1" w:rsidP="00C016B1">
      <w:pPr>
        <w:pStyle w:val="FootnoteText"/>
      </w:pPr>
      <w:r>
        <w:rPr>
          <w:rStyle w:val="FootnoteReference"/>
        </w:rPr>
        <w:footnoteRef/>
      </w:r>
      <w:r>
        <w:t xml:space="preserve"> 47 CFR § 1.301(c)(5).  </w:t>
      </w:r>
    </w:p>
  </w:footnote>
  <w:footnote w:id="107">
    <w:p w:rsidR="00C016B1" w:rsidP="00C016B1">
      <w:pPr>
        <w:pStyle w:val="FootnoteText"/>
      </w:pPr>
      <w:r>
        <w:rPr>
          <w:rStyle w:val="FootnoteReference"/>
        </w:rPr>
        <w:footnoteRef/>
      </w:r>
      <w:r>
        <w:t xml:space="preserve"> Maritime Opposition at 1.  </w:t>
      </w:r>
    </w:p>
  </w:footnote>
  <w:footnote w:id="108">
    <w:p w:rsidR="00C016B1" w:rsidP="00C016B1">
      <w:pPr>
        <w:pStyle w:val="FootnoteText"/>
      </w:pPr>
      <w:r>
        <w:rPr>
          <w:rStyle w:val="FootnoteReference"/>
        </w:rPr>
        <w:footnoteRef/>
      </w:r>
      <w:r>
        <w:t xml:space="preserve"> </w:t>
      </w:r>
      <w:r>
        <w:rPr>
          <w:i/>
        </w:rPr>
        <w:t xml:space="preserve">Id. </w:t>
      </w:r>
      <w:r>
        <w:t>at 2.  Environmentel and Verde Systems denies that these are defects.  Environmentel and Verde Systems Opposition to Motion to Strike, filed May 20, 2015.  We do not need to address these arguments by Maritime given our resolution of the ultimate issues herein.</w:t>
      </w:r>
    </w:p>
  </w:footnote>
  <w:footnote w:id="109">
    <w:p w:rsidR="00C016B1" w:rsidRPr="00D5165E" w:rsidP="00C016B1">
      <w:pPr>
        <w:pStyle w:val="FootnoteText"/>
      </w:pPr>
      <w:r>
        <w:rPr>
          <w:rStyle w:val="FootnoteReference"/>
        </w:rPr>
        <w:footnoteRef/>
      </w:r>
      <w:r>
        <w:t xml:space="preserve"> </w:t>
      </w:r>
      <w:r>
        <w:rPr>
          <w:i/>
        </w:rPr>
        <w:t xml:space="preserve">Id. </w:t>
      </w:r>
      <w:r>
        <w:t xml:space="preserve">at 3-4.  </w:t>
      </w:r>
    </w:p>
  </w:footnote>
  <w:footnote w:id="110">
    <w:p w:rsidR="00C016B1" w:rsidRPr="00A46121" w:rsidP="00C016B1">
      <w:pPr>
        <w:pStyle w:val="FootnoteText"/>
      </w:pPr>
      <w:r>
        <w:rPr>
          <w:rStyle w:val="FootnoteReference"/>
        </w:rPr>
        <w:footnoteRef/>
      </w:r>
      <w:r>
        <w:t xml:space="preserve"> Maritime Opposition</w:t>
      </w:r>
      <w:r>
        <w:rPr>
          <w:i/>
        </w:rPr>
        <w:t xml:space="preserve"> </w:t>
      </w:r>
      <w:r>
        <w:t>at 1.</w:t>
      </w:r>
    </w:p>
  </w:footnote>
  <w:footnote w:id="111">
    <w:p w:rsidR="00C016B1" w:rsidP="00C016B1">
      <w:pPr>
        <w:pStyle w:val="FootnoteText"/>
      </w:pPr>
      <w:r>
        <w:rPr>
          <w:rStyle w:val="FootnoteReference"/>
        </w:rPr>
        <w:footnoteRef/>
      </w:r>
      <w:r>
        <w:t xml:space="preserve"> Enforcement Bureau’s Opposition to Interlocutory Appeals, filed May 6, 2015. </w:t>
      </w:r>
    </w:p>
  </w:footnote>
  <w:footnote w:id="112">
    <w:p w:rsidR="00C016B1" w:rsidRPr="000D50D7" w:rsidP="00C016B1">
      <w:pPr>
        <w:pStyle w:val="FootnoteText"/>
      </w:pPr>
      <w:r>
        <w:rPr>
          <w:rStyle w:val="FootnoteReference"/>
        </w:rPr>
        <w:footnoteRef/>
      </w:r>
      <w:r>
        <w:t xml:space="preserve"> </w:t>
      </w:r>
      <w:r>
        <w:rPr>
          <w:i/>
        </w:rPr>
        <w:t xml:space="preserve">Id. </w:t>
      </w:r>
      <w:r>
        <w:t>at 3 (internal quotations omitted).</w:t>
      </w:r>
    </w:p>
  </w:footnote>
  <w:footnote w:id="113">
    <w:p w:rsidR="00C016B1" w:rsidRPr="00A46121" w:rsidP="00C016B1">
      <w:pPr>
        <w:pStyle w:val="FootnoteText"/>
      </w:pPr>
      <w:r>
        <w:rPr>
          <w:rStyle w:val="FootnoteReference"/>
        </w:rPr>
        <w:footnoteRef/>
      </w:r>
      <w:r>
        <w:t xml:space="preserve"> </w:t>
      </w:r>
      <w:r>
        <w:rPr>
          <w:i/>
        </w:rPr>
        <w:t xml:space="preserve">Id. </w:t>
      </w:r>
      <w:r>
        <w:t>at 4.</w:t>
      </w:r>
    </w:p>
  </w:footnote>
  <w:footnote w:id="114">
    <w:p w:rsidR="00C016B1" w:rsidP="00C016B1">
      <w:pPr>
        <w:pStyle w:val="FootnoteText"/>
      </w:pPr>
      <w:r>
        <w:rPr>
          <w:rStyle w:val="FootnoteReference"/>
        </w:rPr>
        <w:footnoteRef/>
      </w:r>
      <w:r>
        <w:t xml:space="preserve"> Environmentel and Verde Systems Appeal at 5; Havens Appeal at 1.</w:t>
      </w:r>
    </w:p>
  </w:footnote>
  <w:footnote w:id="115">
    <w:p w:rsidR="00C016B1" w:rsidP="00C016B1">
      <w:pPr>
        <w:pStyle w:val="FootnoteText"/>
      </w:pPr>
      <w:r>
        <w:rPr>
          <w:rStyle w:val="FootnoteReference"/>
        </w:rPr>
        <w:footnoteRef/>
      </w:r>
      <w:r>
        <w:t xml:space="preserve"> Letter from Linda Oliver, Associate General Counsel, Federal Communications Commission, to Dana </w:t>
      </w:r>
      <w:r>
        <w:t>Frix</w:t>
      </w:r>
      <w:r>
        <w:t>, Chadbourne &amp; Parke LLP, 30 FCC Rcd 7199 (July 8, 2015).</w:t>
      </w:r>
    </w:p>
  </w:footnote>
  <w:footnote w:id="116">
    <w:p w:rsidR="00C016B1" w:rsidP="00C016B1">
      <w:pPr>
        <w:pStyle w:val="FootnoteText"/>
      </w:pPr>
      <w:r>
        <w:rPr>
          <w:rStyle w:val="FootnoteReference"/>
        </w:rPr>
        <w:footnoteRef/>
      </w:r>
      <w:r>
        <w:t xml:space="preserve"> Supplement to Interlocutory Appeals, filed September 11, 2015, by Warren Havens et al.  (Joint Supplement).</w:t>
      </w:r>
    </w:p>
  </w:footnote>
  <w:footnote w:id="117">
    <w:p w:rsidR="00C016B1" w:rsidRPr="009C66AF" w:rsidP="00C016B1">
      <w:pPr>
        <w:pStyle w:val="FootnoteText"/>
      </w:pPr>
      <w:r>
        <w:rPr>
          <w:rStyle w:val="FootnoteReference"/>
        </w:rPr>
        <w:footnoteRef/>
      </w:r>
      <w:r>
        <w:t xml:space="preserve"> </w:t>
      </w:r>
      <w:r>
        <w:rPr>
          <w:i/>
        </w:rPr>
        <w:t xml:space="preserve">Id. </w:t>
      </w:r>
      <w:r>
        <w:t>at 14.</w:t>
      </w:r>
    </w:p>
  </w:footnote>
  <w:footnote w:id="118">
    <w:p w:rsidR="00C016B1" w:rsidRPr="006A3C6C" w:rsidP="00C016B1">
      <w:pPr>
        <w:pStyle w:val="FootnoteText"/>
        <w:rPr>
          <w:i/>
        </w:rPr>
      </w:pPr>
      <w:r>
        <w:rPr>
          <w:rStyle w:val="FootnoteReference"/>
        </w:rPr>
        <w:footnoteRef/>
      </w:r>
      <w:r>
        <w:t xml:space="preserve"> </w:t>
      </w:r>
      <w:r>
        <w:rPr>
          <w:i/>
        </w:rPr>
        <w:t>Id.</w:t>
      </w:r>
    </w:p>
  </w:footnote>
  <w:footnote w:id="119">
    <w:p w:rsidR="00C016B1" w:rsidRPr="006A3C6C" w:rsidP="00C016B1">
      <w:pPr>
        <w:pStyle w:val="FootnoteText"/>
        <w:rPr>
          <w:i/>
        </w:rPr>
      </w:pPr>
      <w:r>
        <w:rPr>
          <w:rStyle w:val="FootnoteReference"/>
        </w:rPr>
        <w:footnoteRef/>
      </w:r>
      <w:r>
        <w:t xml:space="preserve"> </w:t>
      </w:r>
      <w:r>
        <w:rPr>
          <w:i/>
        </w:rPr>
        <w:t>Id.</w:t>
      </w:r>
    </w:p>
  </w:footnote>
  <w:footnote w:id="120">
    <w:p w:rsidR="00C016B1" w:rsidRPr="008B2291" w:rsidP="00C016B1">
      <w:pPr>
        <w:pStyle w:val="FootnoteText"/>
      </w:pPr>
      <w:r>
        <w:rPr>
          <w:rStyle w:val="FootnoteReference"/>
        </w:rPr>
        <w:footnoteRef/>
      </w:r>
      <w:r>
        <w:t xml:space="preserve"> </w:t>
      </w:r>
      <w:r>
        <w:rPr>
          <w:i/>
        </w:rPr>
        <w:t xml:space="preserve">Id. </w:t>
      </w:r>
      <w:r>
        <w:t>at 15-16.</w:t>
      </w:r>
    </w:p>
  </w:footnote>
  <w:footnote w:id="121">
    <w:p w:rsidR="00C016B1" w:rsidRPr="006A3C6C" w:rsidP="00C016B1">
      <w:pPr>
        <w:pStyle w:val="FootnoteText"/>
        <w:rPr>
          <w:i/>
        </w:rPr>
      </w:pPr>
      <w:r>
        <w:rPr>
          <w:rStyle w:val="FootnoteReference"/>
        </w:rPr>
        <w:footnoteRef/>
      </w:r>
      <w:r>
        <w:t xml:space="preserve"> </w:t>
      </w:r>
      <w:r>
        <w:rPr>
          <w:i/>
        </w:rPr>
        <w:t>Id.</w:t>
      </w:r>
    </w:p>
  </w:footnote>
  <w:footnote w:id="122">
    <w:p w:rsidR="00C016B1" w:rsidP="00C016B1">
      <w:pPr>
        <w:pStyle w:val="FootnoteText"/>
      </w:pPr>
      <w:r>
        <w:rPr>
          <w:rStyle w:val="FootnoteReference"/>
        </w:rPr>
        <w:footnoteRef/>
      </w:r>
      <w:r>
        <w:t xml:space="preserve"> The Joint Supplement reiterates </w:t>
      </w:r>
      <w:r>
        <w:t>Environmentel</w:t>
      </w:r>
      <w:r>
        <w:t xml:space="preserve"> and Verde </w:t>
      </w:r>
      <w:r>
        <w:t>Systems’s</w:t>
      </w:r>
      <w:r>
        <w:t xml:space="preserve"> earlier argument that “identical” can also mean arguing for the same legal conclusion.  </w:t>
      </w:r>
      <w:r>
        <w:rPr>
          <w:i/>
        </w:rPr>
        <w:t>Id.</w:t>
      </w:r>
      <w:r>
        <w:t xml:space="preserve"> at 16-17; Environmentel and Verde Systems Appeal at 2-3.  Similarly, as in </w:t>
      </w:r>
      <w:r>
        <w:t>Environmentel</w:t>
      </w:r>
      <w:r>
        <w:t xml:space="preserve"> and Verde </w:t>
      </w:r>
      <w:r>
        <w:t>Systems’s</w:t>
      </w:r>
      <w:r>
        <w:t xml:space="preserve"> initial appeal, the Joint Supplement contends that Havens’s conduct is within the bounds of what is expected for a </w:t>
      </w:r>
      <w:r w:rsidRPr="006A3C6C">
        <w:rPr>
          <w:i/>
        </w:rPr>
        <w:t>pro se</w:t>
      </w:r>
      <w:r>
        <w:t xml:space="preserve"> litigant.  Joint Supplement at 17-22; 23-25; Environmentel and Verde Systems Appeal at 5.</w:t>
      </w:r>
    </w:p>
  </w:footnote>
  <w:footnote w:id="123">
    <w:p w:rsidR="00C016B1" w:rsidRPr="00324937" w:rsidP="00C016B1">
      <w:pPr>
        <w:pStyle w:val="FootnoteText"/>
      </w:pPr>
      <w:r>
        <w:rPr>
          <w:rStyle w:val="FootnoteReference"/>
        </w:rPr>
        <w:footnoteRef/>
      </w:r>
      <w:r>
        <w:rPr>
          <w:i/>
        </w:rPr>
        <w:t xml:space="preserve"> </w:t>
      </w:r>
      <w:r>
        <w:t>Joint Supplement</w:t>
      </w:r>
      <w:r>
        <w:rPr>
          <w:i/>
        </w:rPr>
        <w:t xml:space="preserve"> </w:t>
      </w:r>
      <w:r>
        <w:t>at 9-13.</w:t>
      </w:r>
    </w:p>
  </w:footnote>
  <w:footnote w:id="124">
    <w:p w:rsidR="00C016B1" w:rsidP="00C016B1">
      <w:pPr>
        <w:pStyle w:val="FootnoteText"/>
      </w:pPr>
      <w:r>
        <w:rPr>
          <w:rStyle w:val="FootnoteReference"/>
        </w:rPr>
        <w:footnoteRef/>
      </w:r>
      <w:r>
        <w:t xml:space="preserve"> </w:t>
      </w:r>
      <w:r>
        <w:rPr>
          <w:i/>
        </w:rPr>
        <w:t>Id.</w:t>
      </w:r>
      <w:r>
        <w:t xml:space="preserve"> at 22-23.</w:t>
      </w:r>
    </w:p>
  </w:footnote>
  <w:footnote w:id="125">
    <w:p w:rsidR="00C016B1" w:rsidRPr="000966DD" w:rsidP="00C016B1">
      <w:pPr>
        <w:pStyle w:val="FootnoteText"/>
      </w:pPr>
      <w:r>
        <w:rPr>
          <w:rStyle w:val="FootnoteReference"/>
        </w:rPr>
        <w:footnoteRef/>
      </w:r>
      <w:r>
        <w:t xml:space="preserve"> </w:t>
      </w:r>
      <w:r>
        <w:rPr>
          <w:i/>
        </w:rPr>
        <w:t xml:space="preserve">Id. </w:t>
      </w:r>
      <w:r>
        <w:t>at 24-25.</w:t>
      </w:r>
    </w:p>
  </w:footnote>
  <w:footnote w:id="126">
    <w:p w:rsidR="00C016B1" w:rsidP="00C016B1">
      <w:pPr>
        <w:pStyle w:val="FootnoteText"/>
      </w:pPr>
      <w:r>
        <w:rPr>
          <w:rStyle w:val="FootnoteReference"/>
        </w:rPr>
        <w:footnoteRef/>
      </w:r>
      <w:r>
        <w:t xml:space="preserve"> Maritime’s Opposition to Supplement to Interlocutory Appeals, filed September 30, 2015 (Maritime Supplement).</w:t>
      </w:r>
    </w:p>
  </w:footnote>
  <w:footnote w:id="127">
    <w:p w:rsidR="00C016B1" w:rsidRPr="00644506" w:rsidP="00C016B1">
      <w:pPr>
        <w:pStyle w:val="FootnoteText"/>
      </w:pPr>
      <w:r>
        <w:rPr>
          <w:rStyle w:val="FootnoteReference"/>
        </w:rPr>
        <w:footnoteRef/>
      </w:r>
      <w:r>
        <w:t xml:space="preserve"> </w:t>
      </w:r>
      <w:r>
        <w:rPr>
          <w:i/>
        </w:rPr>
        <w:t xml:space="preserve">Id. </w:t>
      </w:r>
      <w:r>
        <w:t>at 4-5.</w:t>
      </w:r>
    </w:p>
  </w:footnote>
  <w:footnote w:id="128">
    <w:p w:rsidR="00C016B1" w:rsidRPr="00644506" w:rsidP="00C016B1">
      <w:pPr>
        <w:pStyle w:val="FootnoteText"/>
      </w:pPr>
      <w:r>
        <w:rPr>
          <w:rStyle w:val="FootnoteReference"/>
        </w:rPr>
        <w:footnoteRef/>
      </w:r>
      <w:r>
        <w:t xml:space="preserve"> </w:t>
      </w:r>
      <w:r>
        <w:rPr>
          <w:i/>
        </w:rPr>
        <w:t xml:space="preserve">Id. </w:t>
      </w:r>
      <w:r>
        <w:t>at 5-6.</w:t>
      </w:r>
    </w:p>
  </w:footnote>
  <w:footnote w:id="129">
    <w:p w:rsidR="00C016B1" w:rsidRPr="00644506" w:rsidP="00C016B1">
      <w:pPr>
        <w:pStyle w:val="FootnoteText"/>
      </w:pPr>
      <w:r>
        <w:rPr>
          <w:rStyle w:val="FootnoteReference"/>
        </w:rPr>
        <w:footnoteRef/>
      </w:r>
      <w:r>
        <w:t xml:space="preserve"> </w:t>
      </w:r>
      <w:r>
        <w:rPr>
          <w:i/>
        </w:rPr>
        <w:t xml:space="preserve">Id. </w:t>
      </w:r>
      <w:r>
        <w:t>at 5.</w:t>
      </w:r>
    </w:p>
  </w:footnote>
  <w:footnote w:id="130">
    <w:p w:rsidR="00C016B1" w:rsidRPr="00A8072E" w:rsidP="00C016B1">
      <w:pPr>
        <w:pStyle w:val="FootnoteText"/>
      </w:pPr>
      <w:r>
        <w:rPr>
          <w:rStyle w:val="FootnoteReference"/>
        </w:rPr>
        <w:footnoteRef/>
      </w:r>
      <w:r>
        <w:t xml:space="preserve"> </w:t>
      </w:r>
      <w:r>
        <w:rPr>
          <w:i/>
        </w:rPr>
        <w:t xml:space="preserve">Id. </w:t>
      </w:r>
      <w:r>
        <w:t>at 11-12.</w:t>
      </w:r>
    </w:p>
  </w:footnote>
  <w:footnote w:id="131">
    <w:p w:rsidR="00C016B1" w:rsidRPr="00A8072E" w:rsidP="00C016B1">
      <w:pPr>
        <w:pStyle w:val="FootnoteText"/>
      </w:pPr>
      <w:r>
        <w:rPr>
          <w:rStyle w:val="FootnoteReference"/>
        </w:rPr>
        <w:footnoteRef/>
      </w:r>
      <w:r>
        <w:t xml:space="preserve"> </w:t>
      </w:r>
      <w:r>
        <w:rPr>
          <w:i/>
        </w:rPr>
        <w:t xml:space="preserve">Id. </w:t>
      </w:r>
      <w:r>
        <w:t>at 12.</w:t>
      </w:r>
    </w:p>
  </w:footnote>
  <w:footnote w:id="132">
    <w:p w:rsidR="00C016B1" w:rsidRPr="006A3C6C" w:rsidP="00C016B1">
      <w:pPr>
        <w:pStyle w:val="FootnoteText"/>
        <w:rPr>
          <w:i/>
        </w:rPr>
      </w:pPr>
      <w:r>
        <w:rPr>
          <w:rStyle w:val="FootnoteReference"/>
        </w:rPr>
        <w:footnoteRef/>
      </w:r>
      <w:r>
        <w:t xml:space="preserve"> </w:t>
      </w:r>
      <w:r>
        <w:rPr>
          <w:i/>
        </w:rPr>
        <w:t>Id.</w:t>
      </w:r>
    </w:p>
  </w:footnote>
  <w:footnote w:id="133">
    <w:p w:rsidR="00C016B1" w:rsidRPr="0053131F" w:rsidP="00C016B1">
      <w:pPr>
        <w:pStyle w:val="FootnoteText"/>
      </w:pPr>
      <w:r>
        <w:rPr>
          <w:rStyle w:val="FootnoteReference"/>
        </w:rPr>
        <w:footnoteRef/>
      </w:r>
      <w:r>
        <w:t xml:space="preserve"> </w:t>
      </w:r>
      <w:r>
        <w:rPr>
          <w:i/>
        </w:rPr>
        <w:t xml:space="preserve">Id. </w:t>
      </w:r>
      <w:r>
        <w:t xml:space="preserve">at 14-15, </w:t>
      </w:r>
      <w:r w:rsidRPr="006A3C6C">
        <w:rPr>
          <w:i/>
        </w:rPr>
        <w:t>citing</w:t>
      </w:r>
      <w:r>
        <w:t xml:space="preserve"> </w:t>
      </w:r>
      <w:r>
        <w:rPr>
          <w:i/>
        </w:rPr>
        <w:t>Black Television Workshop of Los Angeles</w:t>
      </w:r>
      <w:r>
        <w:t>, 7 FCC Rcd 6868 (1992) (holding that an individual party is not allowed to simultaneously exercise the rights of self-representation and corporate representation by counsel).</w:t>
      </w:r>
    </w:p>
  </w:footnote>
  <w:footnote w:id="134">
    <w:p w:rsidR="00C016B1" w:rsidRPr="00370723" w:rsidP="00C016B1">
      <w:pPr>
        <w:pStyle w:val="FootnoteText"/>
      </w:pPr>
      <w:r>
        <w:rPr>
          <w:rStyle w:val="FootnoteReference"/>
        </w:rPr>
        <w:footnoteRef/>
      </w:r>
      <w:r>
        <w:t xml:space="preserve"> </w:t>
      </w:r>
      <w:r w:rsidRPr="006A3C6C">
        <w:t>Maritime Supplement</w:t>
      </w:r>
      <w:r>
        <w:t xml:space="preserve"> at 15.</w:t>
      </w:r>
    </w:p>
  </w:footnote>
  <w:footnote w:id="135">
    <w:p w:rsidR="00C016B1" w:rsidRPr="0053131F" w:rsidP="00C016B1">
      <w:pPr>
        <w:pStyle w:val="FootnoteText"/>
      </w:pPr>
      <w:r>
        <w:rPr>
          <w:rStyle w:val="FootnoteReference"/>
        </w:rPr>
        <w:footnoteRef/>
      </w:r>
      <w:r>
        <w:t xml:space="preserve"> </w:t>
      </w:r>
      <w:r>
        <w:rPr>
          <w:i/>
        </w:rPr>
        <w:t>Id.</w:t>
      </w:r>
    </w:p>
  </w:footnote>
  <w:footnote w:id="136">
    <w:p w:rsidR="00C016B1" w:rsidRPr="006A3C6C" w:rsidP="00C016B1">
      <w:pPr>
        <w:pStyle w:val="FootnoteText"/>
        <w:rPr>
          <w:i/>
        </w:rPr>
      </w:pPr>
      <w:r>
        <w:rPr>
          <w:rStyle w:val="FootnoteReference"/>
        </w:rPr>
        <w:footnoteRef/>
      </w:r>
      <w:r>
        <w:t xml:space="preserve"> </w:t>
      </w:r>
      <w:r>
        <w:rPr>
          <w:i/>
        </w:rPr>
        <w:t>Id.</w:t>
      </w:r>
      <w:r w:rsidRPr="006A3C6C">
        <w:t xml:space="preserve">at </w:t>
      </w:r>
      <w:r>
        <w:t>17.</w:t>
      </w:r>
    </w:p>
  </w:footnote>
  <w:footnote w:id="137">
    <w:p w:rsidR="00C016B1" w:rsidP="00C016B1">
      <w:pPr>
        <w:pStyle w:val="FootnoteText"/>
      </w:pPr>
      <w:r>
        <w:rPr>
          <w:rStyle w:val="FootnoteReference"/>
        </w:rPr>
        <w:footnoteRef/>
      </w:r>
      <w:r>
        <w:t xml:space="preserve"> Reply to Oppositions to Supplement to Interlocutory Appeals, filed October 8, 2015, by Warren Havens et al., (Joint Reply).</w:t>
      </w:r>
    </w:p>
  </w:footnote>
  <w:footnote w:id="138">
    <w:p w:rsidR="00C016B1" w:rsidRPr="00355AE2" w:rsidP="00C016B1">
      <w:pPr>
        <w:pStyle w:val="FootnoteText"/>
      </w:pPr>
      <w:r>
        <w:rPr>
          <w:rStyle w:val="FootnoteReference"/>
        </w:rPr>
        <w:footnoteRef/>
      </w:r>
      <w:r>
        <w:t xml:space="preserve"> </w:t>
      </w:r>
      <w:r>
        <w:rPr>
          <w:i/>
        </w:rPr>
        <w:t xml:space="preserve">Id. </w:t>
      </w:r>
      <w:r>
        <w:t>at 1-2.</w:t>
      </w:r>
    </w:p>
  </w:footnote>
  <w:footnote w:id="139">
    <w:p w:rsidR="00C016B1" w:rsidRPr="00355AE2" w:rsidP="00C016B1">
      <w:pPr>
        <w:pStyle w:val="FootnoteText"/>
      </w:pPr>
      <w:r>
        <w:rPr>
          <w:rStyle w:val="FootnoteReference"/>
        </w:rPr>
        <w:footnoteRef/>
      </w:r>
      <w:r>
        <w:t xml:space="preserve"> </w:t>
      </w:r>
      <w:r>
        <w:rPr>
          <w:i/>
        </w:rPr>
        <w:t xml:space="preserve">Id. </w:t>
      </w:r>
      <w:r>
        <w:t>at 2-4.</w:t>
      </w:r>
    </w:p>
  </w:footnote>
  <w:footnote w:id="140">
    <w:p w:rsidR="00C016B1" w:rsidRPr="001828FC" w:rsidP="00C016B1">
      <w:pPr>
        <w:pStyle w:val="FootnoteText"/>
      </w:pPr>
      <w:r>
        <w:rPr>
          <w:rStyle w:val="FootnoteReference"/>
        </w:rPr>
        <w:footnoteRef/>
      </w:r>
      <w:r>
        <w:t xml:space="preserve"> </w:t>
      </w:r>
      <w:r>
        <w:rPr>
          <w:i/>
        </w:rPr>
        <w:t xml:space="preserve">Id. </w:t>
      </w:r>
      <w:r>
        <w:t>at 5.</w:t>
      </w:r>
    </w:p>
  </w:footnote>
  <w:footnote w:id="141">
    <w:p w:rsidR="00C016B1" w:rsidRPr="00636099" w:rsidP="00C016B1">
      <w:pPr>
        <w:pStyle w:val="FootnoteText"/>
      </w:pPr>
      <w:r>
        <w:rPr>
          <w:rStyle w:val="FootnoteReference"/>
        </w:rPr>
        <w:footnoteRef/>
      </w:r>
      <w:r>
        <w:t xml:space="preserve"> </w:t>
      </w:r>
      <w:r>
        <w:rPr>
          <w:i/>
        </w:rPr>
        <w:t xml:space="preserve">See </w:t>
      </w:r>
      <w:r>
        <w:t xml:space="preserve">Havens Appeal at 1.  </w:t>
      </w:r>
    </w:p>
  </w:footnote>
  <w:footnote w:id="142">
    <w:p w:rsidR="00C016B1" w:rsidRPr="00916ED2" w:rsidP="00C016B1">
      <w:pPr>
        <w:pStyle w:val="FootnoteText"/>
      </w:pPr>
      <w:r>
        <w:rPr>
          <w:rStyle w:val="FootnoteReference"/>
        </w:rPr>
        <w:footnoteRef/>
      </w:r>
      <w:r>
        <w:t xml:space="preserve"> </w:t>
      </w:r>
      <w:r>
        <w:rPr>
          <w:i/>
        </w:rPr>
        <w:t xml:space="preserve">See id.  </w:t>
      </w:r>
      <w:r>
        <w:t xml:space="preserve">The listed parties are Intelligent Transportation &amp; Monitoring Wireless LLC, </w:t>
      </w:r>
      <w:r>
        <w:t>Telesaurus</w:t>
      </w:r>
      <w:r>
        <w:t xml:space="preserve"> Holdings GB LLC, V2G LLC, and Skybridge Spectrum Foundation.  </w:t>
      </w:r>
      <w:r>
        <w:rPr>
          <w:i/>
        </w:rPr>
        <w:t xml:space="preserve">See id. </w:t>
      </w:r>
      <w:r>
        <w:t>at 4.</w:t>
      </w:r>
    </w:p>
  </w:footnote>
  <w:footnote w:id="143">
    <w:p w:rsidR="00C016B1" w:rsidRPr="00916ED2" w:rsidP="00C016B1">
      <w:pPr>
        <w:pStyle w:val="FootnoteText"/>
      </w:pPr>
      <w:r>
        <w:rPr>
          <w:rStyle w:val="FootnoteReference"/>
        </w:rPr>
        <w:footnoteRef/>
      </w:r>
      <w:r>
        <w:t xml:space="preserve"> </w:t>
      </w:r>
      <w:r>
        <w:rPr>
          <w:i/>
        </w:rPr>
        <w:t xml:space="preserve">See </w:t>
      </w:r>
      <w:r w:rsidRPr="00644E89">
        <w:rPr>
          <w:i/>
        </w:rPr>
        <w:t>Procedural Order</w:t>
      </w:r>
      <w:r>
        <w:t>, 28 FCC Rcd at 11598, para. 5, n.12, and at 11600, para. 11.</w:t>
      </w:r>
    </w:p>
  </w:footnote>
  <w:footnote w:id="144">
    <w:p w:rsidR="00C016B1" w:rsidRPr="000D7BBF" w:rsidP="00C016B1">
      <w:pPr>
        <w:pStyle w:val="FootnoteText"/>
      </w:pPr>
      <w:r>
        <w:rPr>
          <w:rStyle w:val="FootnoteReference"/>
        </w:rPr>
        <w:footnoteRef/>
      </w:r>
      <w:r>
        <w:t xml:space="preserve"> The Enforcement Bureau indicates additional respects in which the Havens Appeal is defective.  </w:t>
      </w:r>
      <w:r>
        <w:rPr>
          <w:i/>
        </w:rPr>
        <w:t xml:space="preserve">See supra </w:t>
      </w:r>
      <w:r>
        <w:t>para. 45.  Additionally, o</w:t>
      </w:r>
      <w:r w:rsidRPr="00F27B91">
        <w:t xml:space="preserve">n April 5, 2016, Havens filed a pleading titled “Petition for Expedited Declaratory Ruling Regarding § 1.251(f)(3).”  This pleading is essentially an untimely and unauthorized appeal from the </w:t>
      </w:r>
      <w:r>
        <w:t>Judge</w:t>
      </w:r>
      <w:r w:rsidRPr="00F27B91">
        <w:t xml:space="preserve">’s </w:t>
      </w:r>
      <w:r w:rsidRPr="00F27B91">
        <w:rPr>
          <w:i/>
        </w:rPr>
        <w:t>Dismissal Order</w:t>
      </w:r>
      <w:r w:rsidRPr="00F27B91">
        <w:t xml:space="preserve">, and therefore </w:t>
      </w:r>
      <w:r>
        <w:t>is</w:t>
      </w:r>
      <w:r w:rsidRPr="00F27B91">
        <w:t xml:space="preserve"> dismissed. </w:t>
      </w:r>
      <w:r>
        <w:t xml:space="preserve"> Similarly, </w:t>
      </w:r>
      <w:r w:rsidRPr="00F27B91">
        <w:t>Havens’s Letter to</w:t>
      </w:r>
      <w:r>
        <w:t xml:space="preserve"> the Office of General Counsel on </w:t>
      </w:r>
      <w:r w:rsidRPr="00F27B91">
        <w:t>Oct</w:t>
      </w:r>
      <w:r>
        <w:t>ober</w:t>
      </w:r>
      <w:r w:rsidRPr="00F27B91">
        <w:t xml:space="preserve"> 18, 2017</w:t>
      </w:r>
      <w:r>
        <w:t>,</w:t>
      </w:r>
      <w:r w:rsidRPr="00F27B91">
        <w:t xml:space="preserve"> also contains untimely arguments appealing the </w:t>
      </w:r>
      <w:r w:rsidRPr="00F27B91">
        <w:rPr>
          <w:i/>
        </w:rPr>
        <w:t xml:space="preserve">Dismissal Order </w:t>
      </w:r>
      <w:r>
        <w:t>and is</w:t>
      </w:r>
      <w:r w:rsidRPr="00F27B91">
        <w:t xml:space="preserve"> dismissed</w:t>
      </w:r>
      <w:r w:rsidRPr="00F27B91">
        <w:rPr>
          <w:i/>
        </w:rPr>
        <w:t>.</w:t>
      </w:r>
    </w:p>
  </w:footnote>
  <w:footnote w:id="145">
    <w:p w:rsidR="00C016B1" w:rsidRPr="000D7BBF" w:rsidP="00C016B1">
      <w:pPr>
        <w:pStyle w:val="FootnoteText"/>
      </w:pPr>
      <w:r>
        <w:rPr>
          <w:rStyle w:val="FootnoteReference"/>
        </w:rPr>
        <w:footnoteRef/>
      </w:r>
      <w:r>
        <w:t xml:space="preserve"> </w:t>
      </w:r>
      <w:r>
        <w:rPr>
          <w:i/>
        </w:rPr>
        <w:t xml:space="preserve">See Amendment of Section 73.606(b), Table of Allotments Television Broadcast Stations, </w:t>
      </w:r>
      <w:r>
        <w:t>5 FCC Rcd 6566, 6577 n.6 (1990); 47 CFR § 1.48(a).</w:t>
      </w:r>
    </w:p>
  </w:footnote>
  <w:footnote w:id="146">
    <w:p w:rsidR="00C016B1" w:rsidP="00C016B1">
      <w:pPr>
        <w:pStyle w:val="FootnoteText"/>
      </w:pPr>
      <w:r>
        <w:rPr>
          <w:rStyle w:val="FootnoteReference"/>
        </w:rPr>
        <w:footnoteRef/>
      </w:r>
      <w:r>
        <w:t xml:space="preserve"> 5 U.S.C. § 556(c)(5) (“Subject to the published rules of the agency and within its powers, employees presiding at hearings may . . . regulate the course of the hearing.”); 47 CFR § 1.243(f) (providing that an administrative law judge has the authority to “[r]</w:t>
      </w:r>
      <w:r>
        <w:t>egulate</w:t>
      </w:r>
      <w:r>
        <w:t xml:space="preserve"> the course of the hearing [and] maintain decorum”).</w:t>
      </w:r>
    </w:p>
  </w:footnote>
  <w:footnote w:id="147">
    <w:p w:rsidR="00C016B1" w:rsidRPr="00961DCF" w:rsidP="00C016B1">
      <w:pPr>
        <w:pStyle w:val="FootnoteText"/>
      </w:pPr>
      <w:r>
        <w:rPr>
          <w:rStyle w:val="FootnoteReference"/>
        </w:rPr>
        <w:footnoteRef/>
      </w:r>
      <w:r>
        <w:t xml:space="preserve"> </w:t>
      </w:r>
      <w:r>
        <w:rPr>
          <w:i/>
        </w:rPr>
        <w:t xml:space="preserve">See </w:t>
      </w:r>
      <w:r>
        <w:rPr>
          <w:i/>
        </w:rPr>
        <w:t>Butz</w:t>
      </w:r>
      <w:r>
        <w:rPr>
          <w:i/>
        </w:rPr>
        <w:t xml:space="preserve"> v. Economou</w:t>
      </w:r>
      <w:r>
        <w:t xml:space="preserve">, 438 U.S. 478, 513 (1978) (“There can be little doubt that the role of the modern federal hearing examiner or administrative law judge within this framework is ‘functionally comparable’ to that of a judge.  His powers are often, if not generally, comparable to those of a trial judge: He may issue subpoenas, rule on proffers of evidence, </w:t>
      </w:r>
      <w:r>
        <w:rPr>
          <w:i/>
        </w:rPr>
        <w:t>regulate the course of the hearing</w:t>
      </w:r>
      <w:r>
        <w:t>, and make recommendations or decisions.” (emphasis added).</w:t>
      </w:r>
    </w:p>
  </w:footnote>
  <w:footnote w:id="148">
    <w:p w:rsidR="00C016B1" w:rsidRPr="001F3D6C" w:rsidP="00C016B1">
      <w:pPr>
        <w:pStyle w:val="FootnoteText"/>
      </w:pPr>
      <w:r>
        <w:rPr>
          <w:rStyle w:val="FootnoteReference"/>
        </w:rPr>
        <w:footnoteRef/>
      </w:r>
      <w:r>
        <w:t xml:space="preserve"> </w:t>
      </w:r>
      <w:r>
        <w:rPr>
          <w:i/>
        </w:rPr>
        <w:t>See Chambers v. NASCO, Inc.</w:t>
      </w:r>
      <w:r>
        <w:t xml:space="preserve">, 501 U.S. 32, 44-45 (1991) (“[t]he power to punish for contempt is inherent in all courts. . . . This power reaches both conduct before the court and that beyond the court’s confines. . . . A primary aspect of that discretion is the ability to fashion an appropriate sanction for conduct which abuses the judicial process . . . .”    </w:t>
      </w:r>
    </w:p>
  </w:footnote>
  <w:footnote w:id="149">
    <w:p w:rsidR="00C016B1" w:rsidRPr="00E94EA3" w:rsidP="00C016B1">
      <w:pPr>
        <w:pStyle w:val="FootnoteText"/>
      </w:pPr>
      <w:r>
        <w:rPr>
          <w:rStyle w:val="FootnoteReference"/>
        </w:rPr>
        <w:footnoteRef/>
      </w:r>
      <w:r>
        <w:t xml:space="preserve"> 47 CFR § 1.243(f).  Commission regulations clearly anticipate an administrative law judge’s authority to permanently exclude a party from a hearing.  Section 1.301 provides a right of appeal where “the presiding officer’s ruling denies or terminates the right of any person to participate as a party to a hearing.”  47 CFR § 1.301(a)(1).  Section 1.243(f) gives Commission judges authority comparable to that of judges at other federal agencies.  </w:t>
      </w:r>
      <w:r>
        <w:rPr>
          <w:i/>
        </w:rPr>
        <w:t xml:space="preserve">See Carolyn D, </w:t>
      </w:r>
      <w:r>
        <w:rPr>
          <w:i/>
        </w:rPr>
        <w:t>Shockness</w:t>
      </w:r>
      <w:r>
        <w:rPr>
          <w:i/>
        </w:rPr>
        <w:t xml:space="preserve">, </w:t>
      </w:r>
      <w:r>
        <w:t xml:space="preserve">2010 WL 2024522 (Fed. Cir. 2010) (upholding Merit Systems Protection Board judge exclusion of attorney for “contumacious misconduct,” in this case sending insulting e-mails); </w:t>
      </w:r>
      <w:r w:rsidRPr="003C2530">
        <w:rPr>
          <w:i/>
        </w:rPr>
        <w:t>Olsen v. Triple A Machine Shop, Inc.</w:t>
      </w:r>
      <w:r w:rsidRPr="003C2530">
        <w:t>, (Ben.</w:t>
      </w:r>
      <w:r>
        <w:t xml:space="preserve"> Rev. Bd. 2003) (Department of Labor judge may exclude party or representative for refusal to comply with directives, continued use of dilatory tactics, refusal to adhere to reasonable standards of orderly and ethical conduct, and failure to act in good faith); </w:t>
      </w:r>
      <w:r w:rsidRPr="00603B10">
        <w:rPr>
          <w:i/>
        </w:rPr>
        <w:t>Jenlih</w:t>
      </w:r>
      <w:r w:rsidRPr="00603B10">
        <w:rPr>
          <w:i/>
        </w:rPr>
        <w:t xml:space="preserve"> John Hsieh v. PMC-Sierra, Inc</w:t>
      </w:r>
      <w:r>
        <w:t xml:space="preserve">., 2003 WL 1440487 (Exec. Off. </w:t>
      </w:r>
      <w:r>
        <w:t>Immig</w:t>
      </w:r>
      <w:r>
        <w:t xml:space="preserve">. Rev. 2003) (Department of Justice judge may exclude parties for failure to comply with standards of conduct).  </w:t>
      </w:r>
      <w:r>
        <w:rPr>
          <w:i/>
        </w:rPr>
        <w:t xml:space="preserve">Cf. Xtreme Caged Combat v. Cage Fury Fighting Championships, </w:t>
      </w:r>
      <w:r>
        <w:t xml:space="preserve">Civil Action No. 14-5159 (E.D. Penn. May 29, 2015), </w:t>
      </w:r>
      <w:r>
        <w:rPr>
          <w:i/>
        </w:rPr>
        <w:t xml:space="preserve">reported at </w:t>
      </w:r>
      <w:r>
        <w:t>2015 WL 3444274 at *11 (“Appropriate sanctions for contempt may include dismissal of the complaint with prejudice.”)</w:t>
      </w:r>
    </w:p>
  </w:footnote>
  <w:footnote w:id="150">
    <w:p w:rsidR="00C016B1" w:rsidP="00C016B1">
      <w:pPr>
        <w:pStyle w:val="FootnoteText"/>
      </w:pPr>
      <w:r>
        <w:rPr>
          <w:rStyle w:val="FootnoteReference"/>
        </w:rPr>
        <w:footnoteRef/>
      </w:r>
      <w:r>
        <w:t xml:space="preserve"> </w:t>
      </w:r>
      <w:r>
        <w:rPr>
          <w:i/>
        </w:rPr>
        <w:t xml:space="preserve"> </w:t>
      </w:r>
      <w:r>
        <w:rPr>
          <w:i/>
        </w:rPr>
        <w:t>Communi</w:t>
      </w:r>
      <w:r>
        <w:rPr>
          <w:i/>
        </w:rPr>
        <w:t xml:space="preserve">-Centre Broadcasting, Inc. v. FCC, </w:t>
      </w:r>
      <w:r>
        <w:t xml:space="preserve">856 F.2d 1551, 1555 (D.C. Cir. 1988) (upholding dismissal for failure to file timely proposed findings and conclusions, reflecting a pattern of casual and dilatory conduct); </w:t>
      </w:r>
      <w:r>
        <w:rPr>
          <w:i/>
        </w:rPr>
        <w:t>Independent Music Broadcasters</w:t>
      </w:r>
      <w:r>
        <w:t xml:space="preserve">, Inc.,  68 FCC 2d 1412, 1418 (1978) (failure to respond to judge’s inquiry regarding prior involvement in the matters before the administrative law judge when person was an attorney at the Commission would warrant exclusion); </w:t>
      </w:r>
      <w:r>
        <w:rPr>
          <w:i/>
        </w:rPr>
        <w:t>Lorraine Walker Arms,</w:t>
      </w:r>
      <w:r>
        <w:t xml:space="preserve"> 5 FCC Rcd 7013 (1990) (finding that “willful defiance of the judge’s lawful order” qualified as contemptuous conduct and warranted dismissal); </w:t>
      </w:r>
      <w:r>
        <w:rPr>
          <w:i/>
        </w:rPr>
        <w:t>see also  Community Coalition for Media Change v. FCC</w:t>
      </w:r>
      <w:r>
        <w:t>, 646 F.2d 613, 616 n.3 (D.C. Cir. 1980) (noting that removal/dismissal may be warranted in cases “in which conspicuous disregard is shown for case-processing rules”).</w:t>
      </w:r>
    </w:p>
  </w:footnote>
  <w:footnote w:id="151">
    <w:p w:rsidR="00C016B1" w:rsidRPr="000539A6" w:rsidP="00C016B1">
      <w:pPr>
        <w:pStyle w:val="FootnoteText"/>
      </w:pPr>
      <w:r>
        <w:rPr>
          <w:rStyle w:val="FootnoteReference"/>
        </w:rPr>
        <w:footnoteRef/>
      </w:r>
      <w:r>
        <w:t xml:space="preserve">  </w:t>
      </w:r>
      <w:r>
        <w:rPr>
          <w:i/>
        </w:rPr>
        <w:t>See, e.g.</w:t>
      </w:r>
      <w:r>
        <w:t xml:space="preserve">, </w:t>
      </w:r>
      <w:r w:rsidRPr="00644E89">
        <w:rPr>
          <w:i/>
        </w:rPr>
        <w:t>Procedural Order</w:t>
      </w:r>
      <w:r>
        <w:t>, 28 FCC Rcd at 11599-600, para.10 (</w:t>
      </w:r>
      <w:r w:rsidRPr="00682D36">
        <w:t xml:space="preserve">“[W]e would overturn the ALJ’s Ruling </w:t>
      </w:r>
      <w:r>
        <w:t xml:space="preserve">[requiring corporations to be represented by an attorney] </w:t>
      </w:r>
      <w:r w:rsidRPr="00682D36">
        <w:t>only if we concluded that it ref</w:t>
      </w:r>
      <w:r>
        <w:t xml:space="preserve">lected an abuse of discretion.”); </w:t>
      </w:r>
      <w:r>
        <w:rPr>
          <w:i/>
        </w:rPr>
        <w:t xml:space="preserve">Ruth Payne Carmen, </w:t>
      </w:r>
      <w:r>
        <w:t xml:space="preserve">MM Docket No. 84-816 </w:t>
      </w:r>
      <w:r>
        <w:rPr>
          <w:i/>
        </w:rPr>
        <w:t xml:space="preserve">et al., </w:t>
      </w:r>
      <w:r>
        <w:t xml:space="preserve">Decision, 1 FCC Rcd 46 (Rev. Bd. 1986) (“Here the record establishes that the no abuse of [the judge’s] broad discretion [to reopen the record to receive additional evidence].”) </w:t>
      </w:r>
      <w:r>
        <w:rPr>
          <w:i/>
        </w:rPr>
        <w:t>Wind River Communications</w:t>
      </w:r>
      <w:r>
        <w:t>, MM Docket No. 83-763 et al., Memorandum Opinion and Order, 96 FCC 2d 1251, 1252, para. (Rev. Bd. 1984) (</w:t>
      </w:r>
      <w:r w:rsidRPr="00682D36">
        <w:t xml:space="preserve">“It is well established that the ALJ’s interlocutory rulings in this regard </w:t>
      </w:r>
      <w:r>
        <w:t xml:space="preserve">[disqualifying counsel from the proceeding] </w:t>
      </w:r>
      <w:r w:rsidRPr="00682D36">
        <w:t>will not be disturbed unless they are arbitrary, capricio</w:t>
      </w:r>
      <w:r>
        <w:t>us, or an abuse of discretion.”).</w:t>
      </w:r>
    </w:p>
  </w:footnote>
  <w:footnote w:id="152">
    <w:p w:rsidR="00C016B1" w:rsidRPr="00717FBA" w:rsidP="00C016B1">
      <w:pPr>
        <w:pStyle w:val="FootnoteText"/>
      </w:pPr>
      <w:r>
        <w:rPr>
          <w:rStyle w:val="FootnoteReference"/>
        </w:rPr>
        <w:footnoteRef/>
      </w:r>
      <w:r>
        <w:t xml:space="preserve"> Havens joined in the Environmentel and Verde Systems October 27, 2014 Motion for Summary Decision.  </w:t>
      </w:r>
    </w:p>
  </w:footnote>
  <w:footnote w:id="153">
    <w:p w:rsidR="00C016B1" w:rsidRPr="002C2F4E" w:rsidP="00C016B1">
      <w:pPr>
        <w:pStyle w:val="FootnoteText"/>
      </w:pPr>
      <w:r>
        <w:rPr>
          <w:rStyle w:val="FootnoteReference"/>
        </w:rPr>
        <w:footnoteRef/>
      </w:r>
      <w:r>
        <w:t xml:space="preserve"> </w:t>
      </w:r>
      <w:r>
        <w:rPr>
          <w:i/>
        </w:rPr>
        <w:t xml:space="preserve">See </w:t>
      </w:r>
      <w:r w:rsidRPr="00644E89">
        <w:rPr>
          <w:i/>
        </w:rPr>
        <w:t>Dismissal Order</w:t>
      </w:r>
      <w:r>
        <w:t xml:space="preserve"> at 2, 5, paras. 4, 13.</w:t>
      </w:r>
    </w:p>
  </w:footnote>
  <w:footnote w:id="154">
    <w:p w:rsidR="00C016B1" w:rsidP="00C016B1">
      <w:pPr>
        <w:pStyle w:val="FootnoteText"/>
      </w:pPr>
      <w:r>
        <w:rPr>
          <w:rStyle w:val="FootnoteReference"/>
        </w:rPr>
        <w:footnoteRef/>
      </w:r>
      <w:r>
        <w:t xml:space="preserve"> See 14M-22 at 3.</w:t>
      </w:r>
    </w:p>
  </w:footnote>
  <w:footnote w:id="155">
    <w:p w:rsidR="00C016B1" w:rsidRPr="00230AD2" w:rsidP="00C016B1">
      <w:pPr>
        <w:pStyle w:val="FootnoteText"/>
      </w:pPr>
      <w:r>
        <w:rPr>
          <w:rStyle w:val="FootnoteReference"/>
        </w:rPr>
        <w:footnoteRef/>
      </w:r>
      <w:r>
        <w:t xml:space="preserve"> </w:t>
      </w:r>
      <w:r>
        <w:rPr>
          <w:i/>
        </w:rPr>
        <w:t xml:space="preserve">See id. </w:t>
      </w:r>
      <w:r>
        <w:t>at 3, n.9; 47 CFR § 1.251(f).</w:t>
      </w:r>
    </w:p>
  </w:footnote>
  <w:footnote w:id="156">
    <w:p w:rsidR="00C016B1" w:rsidRPr="007D0DD0" w:rsidP="00C016B1">
      <w:pPr>
        <w:pStyle w:val="FootnoteText"/>
      </w:pPr>
      <w:r>
        <w:rPr>
          <w:rStyle w:val="FootnoteReference"/>
        </w:rPr>
        <w:footnoteRef/>
      </w:r>
      <w:r>
        <w:t xml:space="preserve"> Environmentel and Verde Systems</w:t>
      </w:r>
      <w:r w:rsidRPr="0097171E">
        <w:t xml:space="preserve"> Motion for Summary Decision on Issue</w:t>
      </w:r>
      <w:r>
        <w:t xml:space="preserve"> (g) at 1.  The motion also states: “[n]ow that the direct cases, including evidence, has been submitted, it is an appropriate time for this motion for summary decision.”  </w:t>
      </w:r>
      <w:r>
        <w:rPr>
          <w:i/>
        </w:rPr>
        <w:t xml:space="preserve">Id. </w:t>
      </w:r>
      <w:r>
        <w:t xml:space="preserve">at </w:t>
      </w:r>
      <w:r>
        <w:t>i</w:t>
      </w:r>
      <w:r>
        <w:t xml:space="preserve">. The </w:t>
      </w:r>
      <w:r w:rsidRPr="001947D4">
        <w:t>motion cited a case involving readily distinguishable facts.  There, the parties requested leave from the presiding</w:t>
      </w:r>
      <w:r>
        <w:t xml:space="preserve"> judge to file a joint motion for summary decision and related settlement agreements.  </w:t>
      </w:r>
      <w:r>
        <w:rPr>
          <w:i/>
        </w:rPr>
        <w:t xml:space="preserve">See Telephone and Data Systems, Inc., </w:t>
      </w:r>
      <w:r>
        <w:t xml:space="preserve">10 FCC Rcd 10518, 10520, para. 14 (I.D. 1995); </w:t>
      </w:r>
      <w:r>
        <w:rPr>
          <w:i/>
        </w:rPr>
        <w:t xml:space="preserve">La Star Cellular Telephone Co., </w:t>
      </w:r>
      <w:r>
        <w:t>11 FCC Rcd 1059, 1060, para. 7 (1996).  Here, by contrast, the Judge expressly prohibited filing further motions for summary decision and the parties were in manifest disagreement on the relevant facts.</w:t>
      </w:r>
    </w:p>
  </w:footnote>
  <w:footnote w:id="157">
    <w:p w:rsidR="00C016B1" w:rsidRPr="004405D2" w:rsidP="00C016B1">
      <w:pPr>
        <w:pStyle w:val="FootnoteText"/>
      </w:pPr>
      <w:r>
        <w:rPr>
          <w:rStyle w:val="FootnoteReference"/>
        </w:rPr>
        <w:footnoteRef/>
      </w:r>
      <w:r>
        <w:t xml:space="preserve"> </w:t>
      </w:r>
      <w:r>
        <w:rPr>
          <w:i/>
        </w:rPr>
        <w:t>Dismissal Order</w:t>
      </w:r>
      <w:r>
        <w:t xml:space="preserve"> at 2-5, paras.4-13.</w:t>
      </w:r>
    </w:p>
  </w:footnote>
  <w:footnote w:id="158">
    <w:p w:rsidR="00C016B1" w:rsidRPr="00E50501" w:rsidP="00C016B1">
      <w:pPr>
        <w:pStyle w:val="FootnoteText"/>
      </w:pPr>
      <w:r>
        <w:rPr>
          <w:rStyle w:val="FootnoteReference"/>
        </w:rPr>
        <w:footnoteRef/>
      </w:r>
      <w:r>
        <w:t xml:space="preserve"> </w:t>
      </w:r>
      <w:r>
        <w:rPr>
          <w:i/>
        </w:rPr>
        <w:t xml:space="preserve">See </w:t>
      </w:r>
      <w:r>
        <w:t>tr. at 1170.</w:t>
      </w:r>
    </w:p>
  </w:footnote>
  <w:footnote w:id="159">
    <w:p w:rsidR="00C016B1" w:rsidRPr="009C364A" w:rsidP="00C016B1">
      <w:pPr>
        <w:pStyle w:val="FootnoteText"/>
      </w:pPr>
      <w:r>
        <w:rPr>
          <w:rStyle w:val="FootnoteReference"/>
        </w:rPr>
        <w:footnoteRef/>
      </w:r>
      <w:r>
        <w:t xml:space="preserve"> </w:t>
      </w:r>
      <w:r>
        <w:rPr>
          <w:i/>
        </w:rPr>
        <w:t xml:space="preserve">See id. </w:t>
      </w:r>
      <w:r>
        <w:t>at 1178.</w:t>
      </w:r>
    </w:p>
  </w:footnote>
  <w:footnote w:id="160">
    <w:p w:rsidR="00C016B1" w:rsidRPr="009C364A" w:rsidP="00C016B1">
      <w:pPr>
        <w:pStyle w:val="FootnoteText"/>
      </w:pPr>
      <w:r>
        <w:rPr>
          <w:rStyle w:val="FootnoteReference"/>
        </w:rPr>
        <w:footnoteRef/>
      </w:r>
      <w:r>
        <w:t xml:space="preserve"> </w:t>
      </w:r>
      <w:r>
        <w:rPr>
          <w:i/>
        </w:rPr>
        <w:t xml:space="preserve">See id. </w:t>
      </w:r>
      <w:r>
        <w:t>at 1216.</w:t>
      </w:r>
    </w:p>
  </w:footnote>
  <w:footnote w:id="161">
    <w:p w:rsidR="00C016B1" w:rsidRPr="002157BF" w:rsidP="00C016B1">
      <w:pPr>
        <w:pStyle w:val="FootnoteText"/>
      </w:pPr>
      <w:r>
        <w:rPr>
          <w:rStyle w:val="FootnoteReference"/>
        </w:rPr>
        <w:footnoteRef/>
      </w:r>
      <w:r>
        <w:t xml:space="preserve"> </w:t>
      </w:r>
      <w:r>
        <w:rPr>
          <w:i/>
        </w:rPr>
        <w:t xml:space="preserve">See supra </w:t>
      </w:r>
      <w:r>
        <w:t xml:space="preserve">para. 26.  We note that at the December 11, 2014 hearing session, counsel for Environmentel and Verde Systems referred to Havens as “my client.”  </w:t>
      </w:r>
      <w:r>
        <w:rPr>
          <w:i/>
        </w:rPr>
        <w:t xml:space="preserve">See </w:t>
      </w:r>
      <w:r>
        <w:t>tr. at 1707</w:t>
      </w:r>
      <w:r w:rsidRPr="009F3087">
        <w:t xml:space="preserve">.  </w:t>
      </w:r>
      <w:bookmarkStart w:id="2" w:name="_Hlk525748847"/>
      <w:r w:rsidRPr="009F3087">
        <w:t>As noted above (</w:t>
      </w:r>
      <w:r>
        <w:t>para. 3</w:t>
      </w:r>
      <w:r w:rsidRPr="009F3087">
        <w:t xml:space="preserve">), Havens could reasonably be expected to know what counsel was doing.  Havens therefore had a means of being aware of what transpired at the prehearing conference whether or not the </w:t>
      </w:r>
      <w:r>
        <w:t>Judge</w:t>
      </w:r>
      <w:r w:rsidRPr="009F3087">
        <w:t xml:space="preserve"> correctly denied him the right to participate by teleconference.</w:t>
      </w:r>
    </w:p>
  </w:footnote>
  <w:footnote w:id="162">
    <w:p w:rsidR="00C016B1" w:rsidRPr="00335677" w:rsidP="00C016B1">
      <w:pPr>
        <w:pStyle w:val="FootnoteText"/>
      </w:pPr>
      <w:bookmarkEnd w:id="2"/>
      <w:r>
        <w:rPr>
          <w:rStyle w:val="FootnoteReference"/>
        </w:rPr>
        <w:footnoteRef/>
      </w:r>
      <w:r>
        <w:t xml:space="preserve"> </w:t>
      </w:r>
      <w:r>
        <w:rPr>
          <w:i/>
        </w:rPr>
        <w:t xml:space="preserve">See </w:t>
      </w:r>
      <w:r>
        <w:t>Environmentel and Verde Systems Response Regarding the Suspension of the Hearing Schedule, filed November 6, 2014 (Response) at 2-5.</w:t>
      </w:r>
    </w:p>
  </w:footnote>
  <w:footnote w:id="163">
    <w:p w:rsidR="00C016B1" w:rsidP="00C016B1">
      <w:pPr>
        <w:pStyle w:val="FootnoteText"/>
      </w:pPr>
      <w:r>
        <w:rPr>
          <w:rStyle w:val="FootnoteReference"/>
        </w:rPr>
        <w:footnoteRef/>
      </w:r>
      <w:r>
        <w:t xml:space="preserve"> </w:t>
      </w:r>
      <w:r>
        <w:rPr>
          <w:i/>
        </w:rPr>
        <w:t xml:space="preserve">See </w:t>
      </w:r>
      <w:r>
        <w:t xml:space="preserve">tr. at 1216 (“This is a bad time to be fooling around with summary decision.  And [Enforcement Bureau counsel] is right, unless I hold the horses on everything else that’s going on, and I’m very reluctant to do that”), 1218 (Judge awareness of undue burden if hearing preparation continued), 1221 (same).   </w:t>
      </w:r>
    </w:p>
  </w:footnote>
  <w:footnote w:id="164">
    <w:p w:rsidR="00C016B1" w:rsidP="00C016B1">
      <w:pPr>
        <w:pStyle w:val="FootnoteText"/>
      </w:pPr>
      <w:r>
        <w:rPr>
          <w:rStyle w:val="FootnoteReference"/>
        </w:rPr>
        <w:footnoteRef/>
      </w:r>
      <w:r>
        <w:t xml:space="preserve"> </w:t>
      </w:r>
      <w:r>
        <w:rPr>
          <w:i/>
        </w:rPr>
        <w:t xml:space="preserve">See </w:t>
      </w:r>
      <w:r>
        <w:t>Response at 2-3.  In view of the unreasonableness of this change in position, we need not parse the issues of whether Environmentel and Verde Systems falsely characterized the Enforcement Bureau’s position when it indicated that the Enforcement Bureau intended to file a motion “identical” to the earlier joint motion for summary decision (</w:t>
      </w:r>
      <w:r>
        <w:rPr>
          <w:i/>
        </w:rPr>
        <w:t>Id.</w:t>
      </w:r>
      <w:r>
        <w:t xml:space="preserve">) or whether it was a misrepresentation to state that Environmentel and Verde Systems, as opposed to Havens </w:t>
      </w:r>
      <w:r>
        <w:rPr>
          <w:i/>
        </w:rPr>
        <w:t>pro se</w:t>
      </w:r>
      <w:r>
        <w:t>, had responded to the Enforcement Bureau and Maritime’s earlier joint motion for summary decision (</w:t>
      </w:r>
      <w:r>
        <w:rPr>
          <w:i/>
        </w:rPr>
        <w:t xml:space="preserve">Id. </w:t>
      </w:r>
      <w:r>
        <w:t>at 3).</w:t>
      </w:r>
    </w:p>
  </w:footnote>
  <w:footnote w:id="165">
    <w:p w:rsidR="00C016B1" w:rsidRPr="009E14B2" w:rsidP="00C016B1">
      <w:pPr>
        <w:pStyle w:val="FootnoteText"/>
      </w:pPr>
      <w:r>
        <w:rPr>
          <w:rStyle w:val="FootnoteReference"/>
        </w:rPr>
        <w:footnoteRef/>
      </w:r>
      <w:r>
        <w:t xml:space="preserve"> </w:t>
      </w:r>
      <w:r>
        <w:rPr>
          <w:i/>
        </w:rPr>
        <w:t xml:space="preserve">See </w:t>
      </w:r>
      <w:r>
        <w:t xml:space="preserve">Supplement at 14.  Environmentel and Verde Systems made the same argument in a petition for reconsideration filed with the Judge.  </w:t>
      </w:r>
      <w:r>
        <w:rPr>
          <w:i/>
        </w:rPr>
        <w:t xml:space="preserve">See </w:t>
      </w:r>
      <w:r>
        <w:t>Petition Seeking Reconsideration of April 22, 2015 Order on the Basis of Mistake, filed May 22, 2015, by Environmentel and Verde Systems at 3.</w:t>
      </w:r>
    </w:p>
  </w:footnote>
  <w:footnote w:id="166">
    <w:p w:rsidR="00C016B1" w:rsidRPr="009E14B2" w:rsidP="00C016B1">
      <w:pPr>
        <w:pStyle w:val="FootnoteText"/>
      </w:pPr>
      <w:r>
        <w:rPr>
          <w:rStyle w:val="FootnoteReference"/>
        </w:rPr>
        <w:footnoteRef/>
      </w:r>
      <w:r>
        <w:t xml:space="preserve"> Tr. at 1127.  </w:t>
      </w:r>
    </w:p>
  </w:footnote>
  <w:footnote w:id="167">
    <w:p w:rsidR="00C016B1" w:rsidRPr="00E0092D" w:rsidP="00C016B1">
      <w:pPr>
        <w:pStyle w:val="FootnoteText"/>
      </w:pPr>
      <w:r>
        <w:rPr>
          <w:rStyle w:val="FootnoteReference"/>
        </w:rPr>
        <w:footnoteRef/>
      </w:r>
      <w:r>
        <w:t xml:space="preserve"> Supplement at 14.</w:t>
      </w:r>
    </w:p>
  </w:footnote>
  <w:footnote w:id="168">
    <w:p w:rsidR="00C016B1" w:rsidRPr="00E0092D" w:rsidP="00C016B1">
      <w:pPr>
        <w:pStyle w:val="FootnoteText"/>
      </w:pPr>
      <w:r>
        <w:rPr>
          <w:rStyle w:val="FootnoteReference"/>
        </w:rPr>
        <w:footnoteRef/>
      </w:r>
      <w:r>
        <w:t xml:space="preserve"> Tr. at 1127.</w:t>
      </w:r>
    </w:p>
  </w:footnote>
  <w:footnote w:id="169">
    <w:p w:rsidR="00C016B1" w:rsidRPr="00A11D41" w:rsidP="00C016B1">
      <w:pPr>
        <w:pStyle w:val="FootnoteText"/>
      </w:pPr>
      <w:r>
        <w:rPr>
          <w:rStyle w:val="FootnoteReference"/>
        </w:rPr>
        <w:footnoteRef/>
      </w:r>
      <w:r>
        <w:t xml:space="preserve"> In this regard, Environmentel, Verde Systems, and Havens makes two subsidiary arguments, both of which are without merit.  Environmentel, Verde Systems, and Havens points out that Stenger stated at the November 4, 2014 admission session: “[a]t the status conference that we had a month or so ago, I said that I was going to file a motion for summary decision, and no one objected at that point.”  Tr. at 1170.  An examination of the October 1, 2014 conference transcript indicates, however, that Stenger said he might file a motion for summary decision in the upcoming phase of the proceeding relating to Maritime’s basic qualifications, not with respect to Issue (g).  </w:t>
      </w:r>
      <w:r>
        <w:rPr>
          <w:i/>
        </w:rPr>
        <w:t xml:space="preserve">See </w:t>
      </w:r>
      <w:r>
        <w:t xml:space="preserve">tr. at 1101 (“if you honor lifts the stay and proceeds with the hearing on basic qualifications, we may not get to a hearing.  We may have a motion for summary decision that Maritime is not qualified and that may dispose of the entire matter without any hearing at all”).  Environmentel, Verde Systems, and Havens also suggests that, because the Judge in a colloquy referred to his disapproval of motions for summary decision as “dictum,” he meant that it was not binding.  </w:t>
      </w:r>
      <w:r>
        <w:rPr>
          <w:i/>
        </w:rPr>
        <w:t xml:space="preserve">See </w:t>
      </w:r>
      <w:r>
        <w:t xml:space="preserve">Reply at 2.  But the Judge used the word “dictum” in the course of advising Enforcement Bureau counsel that she need not respond to Environmentel, Verde Systems, and Havens’s motion for summary decision.  He stated “You [Enforcement Bureau counsel] don’t have to respond [to the motion for summary decision].  I just said that.”  Tr. at 1179.  He further stated, in this context “and by the way, I gave that dictum on summary decision July 15, 2014.  This was not done yesterday, about no summary decisions.”  </w:t>
      </w:r>
      <w:r w:rsidRPr="005D70D6">
        <w:t>T</w:t>
      </w:r>
      <w:r w:rsidRPr="00C749B3">
        <w:t>r. at 1180.</w:t>
      </w:r>
      <w:r>
        <w:t xml:space="preserve">  This language indicates that the Judge understood his disapproval to be binding notwithstanding his use of the word “dictum.”</w:t>
      </w:r>
    </w:p>
  </w:footnote>
  <w:footnote w:id="170">
    <w:p w:rsidR="00C016B1" w:rsidRPr="00DB6EA5" w:rsidP="00C016B1">
      <w:pPr>
        <w:pStyle w:val="FootnoteText"/>
      </w:pPr>
      <w:r>
        <w:rPr>
          <w:rStyle w:val="FootnoteReference"/>
        </w:rPr>
        <w:footnoteRef/>
      </w:r>
      <w:r w:rsidRPr="00DB6EA5">
        <w:t xml:space="preserve"> </w:t>
      </w:r>
      <w:r w:rsidRPr="00DB6EA5">
        <w:rPr>
          <w:i/>
        </w:rPr>
        <w:t>See</w:t>
      </w:r>
      <w:r w:rsidRPr="00DB6EA5">
        <w:rPr>
          <w:i/>
        </w:rPr>
        <w:t xml:space="preserve"> supra </w:t>
      </w:r>
      <w:r w:rsidRPr="00DB6EA5">
        <w:t>paras 9-13.</w:t>
      </w:r>
    </w:p>
  </w:footnote>
  <w:footnote w:id="171">
    <w:p w:rsidR="00C016B1" w:rsidP="00C016B1">
      <w:pPr>
        <w:pStyle w:val="FootnoteText"/>
      </w:pPr>
      <w:r>
        <w:rPr>
          <w:rStyle w:val="FootnoteReference"/>
        </w:rPr>
        <w:footnoteRef/>
      </w:r>
      <w:r w:rsidRPr="00DB6EA5">
        <w:t xml:space="preserve"> </w:t>
      </w:r>
      <w:r w:rsidRPr="00DB6EA5">
        <w:rPr>
          <w:i/>
        </w:rPr>
        <w:t>See</w:t>
      </w:r>
      <w:r w:rsidRPr="00DB6EA5">
        <w:rPr>
          <w:i/>
        </w:rPr>
        <w:t xml:space="preserve"> supra </w:t>
      </w:r>
      <w:r w:rsidRPr="00DB6EA5">
        <w:t xml:space="preserve">paras 6-8.  </w:t>
      </w:r>
      <w:r>
        <w:t xml:space="preserve">As noted above, Havens’s appeal violates these </w:t>
      </w:r>
      <w:r w:rsidRPr="00571A8F">
        <w:t xml:space="preserve">conditions, because he purported to represent his companies and because he filed a pleading separate from </w:t>
      </w:r>
      <w:r>
        <w:t>Environmentel</w:t>
      </w:r>
      <w:r>
        <w:t xml:space="preserve"> and Verde </w:t>
      </w:r>
      <w:r>
        <w:t>Systems’s</w:t>
      </w:r>
      <w:r w:rsidRPr="00571A8F">
        <w:t xml:space="preserve">. </w:t>
      </w:r>
      <w:r>
        <w:t xml:space="preserve"> </w:t>
      </w:r>
      <w:r w:rsidRPr="00571A8F">
        <w:rPr>
          <w:i/>
        </w:rPr>
        <w:t>See supra</w:t>
      </w:r>
      <w:r w:rsidRPr="00571A8F">
        <w:t xml:space="preserve"> para. 5</w:t>
      </w:r>
      <w:r>
        <w:t>7</w:t>
      </w:r>
      <w:r w:rsidRPr="00571A8F">
        <w:t xml:space="preserve">.  </w:t>
      </w:r>
    </w:p>
  </w:footnote>
  <w:footnote w:id="172">
    <w:p w:rsidR="00C016B1" w:rsidRPr="00862CC8" w:rsidP="00C016B1">
      <w:pPr>
        <w:pStyle w:val="FootnoteText"/>
      </w:pPr>
      <w:r>
        <w:rPr>
          <w:rStyle w:val="FootnoteReference"/>
        </w:rPr>
        <w:footnoteRef/>
      </w:r>
      <w:r>
        <w:t xml:space="preserve"> </w:t>
      </w:r>
      <w:r>
        <w:rPr>
          <w:i/>
        </w:rPr>
        <w:t xml:space="preserve">See supra </w:t>
      </w:r>
      <w:r>
        <w:t>paras. 9-13.</w:t>
      </w:r>
    </w:p>
  </w:footnote>
  <w:footnote w:id="173">
    <w:p w:rsidR="00C016B1" w:rsidRPr="00CE589F" w:rsidP="00C016B1">
      <w:pPr>
        <w:pStyle w:val="FootnoteText"/>
      </w:pPr>
      <w:r w:rsidRPr="00CE589F">
        <w:rPr>
          <w:rStyle w:val="FootnoteReference"/>
        </w:rPr>
        <w:footnoteRef/>
      </w:r>
      <w:r w:rsidRPr="00CE589F">
        <w:t xml:space="preserve"> 14M-3 at 1-2, </w:t>
      </w:r>
      <w:r w:rsidRPr="00CE589F">
        <w:rPr>
          <w:i/>
        </w:rPr>
        <w:t xml:space="preserve">citing WWOR-TV, Inc., </w:t>
      </w:r>
      <w:r w:rsidRPr="00CE589F">
        <w:t>5 FCC Rcd 6261, 6262</w:t>
      </w:r>
      <w:r>
        <w:t xml:space="preserve">, para. </w:t>
      </w:r>
      <w:r w:rsidRPr="00CE589F">
        <w:t>11 (1990).</w:t>
      </w:r>
      <w:r>
        <w:t xml:space="preserve">  The privilege also extends to communications from the attorney to the client, at least to the extent that such communications might tend to reveal confidential facts disclosed by the client.  </w:t>
      </w:r>
      <w:r>
        <w:rPr>
          <w:i/>
        </w:rPr>
        <w:t xml:space="preserve">See id. </w:t>
      </w:r>
      <w:r w:rsidRPr="00C3304B">
        <w:t>at</w:t>
      </w:r>
      <w:r>
        <w:t xml:space="preserve"> 6262, para. 11.  Another formulation of the privilege cited by the Commission clarifies factors (3) and (4) as follows: “the communication was made for the purpose of securing a legal opinion or legal services and with the expectation of confidentiality.”  </w:t>
      </w:r>
      <w:r>
        <w:rPr>
          <w:i/>
        </w:rPr>
        <w:t xml:space="preserve">See Black Television Workshop of Los Angeles, Inc., </w:t>
      </w:r>
      <w:r>
        <w:t>7 FCC Rcd 6868, 6869, para. 3 (1992).</w:t>
      </w:r>
    </w:p>
  </w:footnote>
  <w:footnote w:id="174">
    <w:p w:rsidR="00C016B1" w:rsidRPr="000E6BCB" w:rsidP="00C016B1">
      <w:pPr>
        <w:pStyle w:val="FootnoteText"/>
      </w:pPr>
      <w:r w:rsidRPr="000E6BCB">
        <w:rPr>
          <w:rStyle w:val="FootnoteReference"/>
        </w:rPr>
        <w:footnoteRef/>
      </w:r>
      <w:r w:rsidRPr="000E6BCB">
        <w:t xml:space="preserve"> </w:t>
      </w:r>
      <w:r w:rsidRPr="000E6BCB">
        <w:rPr>
          <w:i/>
        </w:rPr>
        <w:t xml:space="preserve">Black Television Workshop of Los Angeles, Inc., </w:t>
      </w:r>
      <w:r w:rsidRPr="000E6BCB">
        <w:t>7 FCC Rcd at 6869</w:t>
      </w:r>
      <w:r>
        <w:t xml:space="preserve">, para. </w:t>
      </w:r>
      <w:r w:rsidRPr="000E6BCB">
        <w:t>3.</w:t>
      </w:r>
      <w:r>
        <w:t xml:space="preserve">  </w:t>
      </w:r>
      <w:r>
        <w:rPr>
          <w:i/>
        </w:rPr>
        <w:t xml:space="preserve">See also In re Lindsey, </w:t>
      </w:r>
      <w:r>
        <w:t xml:space="preserve">158 F.3d 1263, 1270 (D.C. Cir. 1998) (“A blanket assertion of the privilege will not suffice.  Rather, ‘[t]he proponent must conclusively prove each element of the privilege.’”).  </w:t>
      </w:r>
    </w:p>
  </w:footnote>
  <w:footnote w:id="175">
    <w:p w:rsidR="00C016B1" w:rsidRPr="00916EE7" w:rsidP="00C016B1">
      <w:pPr>
        <w:pStyle w:val="FootnoteText"/>
      </w:pPr>
      <w:r>
        <w:rPr>
          <w:rStyle w:val="FootnoteReference"/>
        </w:rPr>
        <w:footnoteRef/>
      </w:r>
      <w:r>
        <w:t xml:space="preserve"> </w:t>
      </w:r>
      <w:r>
        <w:rPr>
          <w:i/>
        </w:rPr>
        <w:t xml:space="preserve">See </w:t>
      </w:r>
      <w:r>
        <w:t xml:space="preserve">14M-3 at 2; </w:t>
      </w:r>
      <w:r>
        <w:rPr>
          <w:i/>
        </w:rPr>
        <w:t>supra</w:t>
      </w:r>
      <w:r>
        <w:t xml:space="preserve"> para. 11; tr. 1017-22, 1034-3.  </w:t>
      </w:r>
    </w:p>
  </w:footnote>
  <w:footnote w:id="176">
    <w:p w:rsidR="00C016B1" w:rsidRPr="00790548" w:rsidP="00C016B1">
      <w:pPr>
        <w:pStyle w:val="FootnoteText"/>
      </w:pPr>
      <w:r w:rsidRPr="00790548">
        <w:rPr>
          <w:rStyle w:val="FootnoteReference"/>
        </w:rPr>
        <w:footnoteRef/>
      </w:r>
      <w:r w:rsidRPr="00790548">
        <w:t xml:space="preserve"> </w:t>
      </w:r>
      <w:r w:rsidRPr="00790548">
        <w:rPr>
          <w:i/>
        </w:rPr>
        <w:t xml:space="preserve">See Scott Paper Co. v. U.S., </w:t>
      </w:r>
      <w:r w:rsidRPr="00790548">
        <w:t>943 F. Supp. 489</w:t>
      </w:r>
      <w:r>
        <w:t>, 499</w:t>
      </w:r>
      <w:r w:rsidRPr="00790548">
        <w:t xml:space="preserve"> (E.D. Pa. 1996).</w:t>
      </w:r>
      <w:r>
        <w:t xml:space="preserve">  </w:t>
      </w:r>
      <w:r>
        <w:rPr>
          <w:i/>
        </w:rPr>
        <w:t xml:space="preserve">See also In re Lindsey, </w:t>
      </w:r>
      <w:r>
        <w:t>158 F.3d at 1272 (the attorney-client privilege must be strictly confined within the narrowest possible limits consistent with the logic of its principle).</w:t>
      </w:r>
    </w:p>
  </w:footnote>
  <w:footnote w:id="177">
    <w:p w:rsidR="00C016B1" w:rsidRPr="005E3CD5" w:rsidP="00C016B1">
      <w:pPr>
        <w:pStyle w:val="FootnoteText"/>
      </w:pPr>
      <w:r w:rsidRPr="005E3CD5">
        <w:rPr>
          <w:rStyle w:val="FootnoteReference"/>
        </w:rPr>
        <w:footnoteRef/>
      </w:r>
      <w:r w:rsidRPr="005E3CD5">
        <w:t xml:space="preserve"> </w:t>
      </w:r>
      <w:r w:rsidRPr="005E3CD5">
        <w:rPr>
          <w:i/>
        </w:rPr>
        <w:t xml:space="preserve">See </w:t>
      </w:r>
      <w:r w:rsidRPr="00790548">
        <w:rPr>
          <w:i/>
        </w:rPr>
        <w:t xml:space="preserve">U.S. v. Legal Services for New York City, </w:t>
      </w:r>
      <w:r w:rsidRPr="00790548">
        <w:t>249 F.3d 1077, 1081-82 (D.C. Cir. 2001) (</w:t>
      </w:r>
      <w:r>
        <w:t xml:space="preserve">upholding subpoena for the identity of legal services clients and the subject matter of their representation); </w:t>
      </w:r>
      <w:r>
        <w:rPr>
          <w:i/>
        </w:rPr>
        <w:t xml:space="preserve">Roe v. Catholic Health Initiatives Colorado, </w:t>
      </w:r>
      <w:r>
        <w:t xml:space="preserve">281 F.R.D. 632, 636 (D. Colo. 2012) (information on attorney’s billing statement that shows fee amount, general nature of services performed, and case is not privileged); </w:t>
      </w:r>
      <w:r w:rsidRPr="005E3CD5">
        <w:rPr>
          <w:i/>
        </w:rPr>
        <w:t>Westhemeco</w:t>
      </w:r>
      <w:r w:rsidRPr="005E3CD5">
        <w:rPr>
          <w:i/>
        </w:rPr>
        <w:t xml:space="preserve"> Ltd. </w:t>
      </w:r>
      <w:r>
        <w:rPr>
          <w:i/>
        </w:rPr>
        <w:t>v</w:t>
      </w:r>
      <w:r w:rsidRPr="005E3CD5">
        <w:rPr>
          <w:i/>
        </w:rPr>
        <w:t>. New Hampshire Ins. Co</w:t>
      </w:r>
      <w:r w:rsidRPr="005E3CD5">
        <w:t>., 82 F.R.D. 702, 707 (S.D. N</w:t>
      </w:r>
      <w:r>
        <w:t>.</w:t>
      </w:r>
      <w:r w:rsidRPr="005E3CD5">
        <w:t>Y. 1979)</w:t>
      </w:r>
      <w:r>
        <w:t xml:space="preserve"> (upholding interrogatory requiring disclosure of the purposes for which party retained attorneys); </w:t>
      </w:r>
      <w:r w:rsidRPr="004E15D2">
        <w:rPr>
          <w:i/>
        </w:rPr>
        <w:t xml:space="preserve">Walker v. American Ice Co., </w:t>
      </w:r>
      <w:r w:rsidRPr="004E15D2">
        <w:t>254 F.</w:t>
      </w:r>
      <w:r>
        <w:t xml:space="preserve"> </w:t>
      </w:r>
      <w:r w:rsidRPr="004E15D2">
        <w:t>Supp. 736</w:t>
      </w:r>
      <w:r>
        <w:t xml:space="preserve">, 738-39 </w:t>
      </w:r>
      <w:r w:rsidRPr="004E15D2">
        <w:t>(D. D.C. 1966) (</w:t>
      </w:r>
      <w:r>
        <w:t>admitting into evidence letter containing attorney’s opinion that he could represent party as a third-party defendant as well as a plaintiff).</w:t>
      </w:r>
    </w:p>
  </w:footnote>
  <w:footnote w:id="178">
    <w:p w:rsidR="00C016B1" w:rsidRPr="00FE7070" w:rsidP="00C016B1">
      <w:pPr>
        <w:pStyle w:val="FootnoteText"/>
      </w:pPr>
      <w:r w:rsidRPr="00FE7070">
        <w:rPr>
          <w:rStyle w:val="FootnoteReference"/>
        </w:rPr>
        <w:footnoteRef/>
      </w:r>
      <w:r w:rsidRPr="00FE7070">
        <w:t xml:space="preserve"> </w:t>
      </w:r>
      <w:r w:rsidRPr="00FE7070">
        <w:rPr>
          <w:i/>
        </w:rPr>
        <w:t xml:space="preserve">See U.S. v. </w:t>
      </w:r>
      <w:r w:rsidRPr="00FE7070">
        <w:rPr>
          <w:i/>
        </w:rPr>
        <w:t>Kovel</w:t>
      </w:r>
      <w:r w:rsidRPr="00FE7070">
        <w:rPr>
          <w:i/>
        </w:rPr>
        <w:t xml:space="preserve">, </w:t>
      </w:r>
      <w:r w:rsidRPr="00FE7070">
        <w:t>296 F.2d 918, 923-24 (2d Cir. 1961) (a witness clai</w:t>
      </w:r>
      <w:r>
        <w:t>m</w:t>
      </w:r>
      <w:r w:rsidRPr="00FE7070">
        <w:t xml:space="preserve">ing the attorney-client privilege may not refuse to disclose to the </w:t>
      </w:r>
      <w:r>
        <w:t>judge</w:t>
      </w:r>
      <w:r w:rsidRPr="00FE7070">
        <w:t xml:space="preserve"> the circumstances into which the </w:t>
      </w:r>
      <w:r>
        <w:t>judge</w:t>
      </w:r>
      <w:r w:rsidRPr="00FE7070">
        <w:t xml:space="preserve"> must inquire to rule on the claim).  </w:t>
      </w:r>
    </w:p>
  </w:footnote>
  <w:footnote w:id="179">
    <w:p w:rsidR="00C016B1" w:rsidP="00C016B1">
      <w:pPr>
        <w:pStyle w:val="FootnoteText"/>
      </w:pPr>
      <w:r>
        <w:rPr>
          <w:rStyle w:val="FootnoteReference"/>
        </w:rPr>
        <w:footnoteRef/>
      </w:r>
      <w:r>
        <w:t xml:space="preserve"> 47 F.Supp.2d 280, 286 n.4 (D. Conn. 1999), </w:t>
      </w:r>
      <w:r>
        <w:rPr>
          <w:i/>
        </w:rPr>
        <w:t xml:space="preserve">aff’d </w:t>
      </w:r>
      <w:r>
        <w:t>216 F.3d 1072 (2d Cir. 2000) (Table).</w:t>
      </w:r>
    </w:p>
  </w:footnote>
  <w:footnote w:id="180">
    <w:p w:rsidR="00C016B1" w:rsidP="00C016B1">
      <w:pPr>
        <w:pStyle w:val="FootnoteText"/>
      </w:pPr>
      <w:r>
        <w:rPr>
          <w:rStyle w:val="FootnoteReference"/>
        </w:rPr>
        <w:footnoteRef/>
      </w:r>
      <w:r>
        <w:t xml:space="preserve"> Further, a party may waive attorney-client privilege by effectively placing at issue otherwise confidential attorney communications, for example, by asserting ineffective assistance of counsel.  </w:t>
      </w:r>
      <w:r w:rsidRPr="00A02513">
        <w:rPr>
          <w:i/>
        </w:rPr>
        <w:t xml:space="preserve">U.S. v. Pinson, </w:t>
      </w:r>
      <w:r w:rsidRPr="00A02513">
        <w:t>584 F.3d 972, 977-78 (10th Cir. 2009) (claim of ineffective assistance of counsel waives attorney-client privilege)</w:t>
      </w:r>
      <w:r>
        <w:t xml:space="preserve">.  Here, Havens may be deemed to have put attorney communications at issue insofar as he denies that assistance of counsel bars him from claiming preferential treatment as a </w:t>
      </w:r>
      <w:r>
        <w:rPr>
          <w:i/>
        </w:rPr>
        <w:t xml:space="preserve">pro se </w:t>
      </w:r>
      <w:r>
        <w:t xml:space="preserve">litigant and examination of the communications is essential to resolving the claim.  </w:t>
      </w:r>
      <w:r w:rsidRPr="00A02513">
        <w:t xml:space="preserve">  </w:t>
      </w:r>
    </w:p>
  </w:footnote>
  <w:footnote w:id="181">
    <w:p w:rsidR="00C016B1" w:rsidRPr="00352B0E" w:rsidP="00C016B1">
      <w:pPr>
        <w:pStyle w:val="FootnoteText"/>
      </w:pPr>
      <w:r>
        <w:rPr>
          <w:rStyle w:val="FootnoteReference"/>
        </w:rPr>
        <w:footnoteRef/>
      </w:r>
      <w:r>
        <w:t xml:space="preserve"> 14M-44 at 4.</w:t>
      </w:r>
    </w:p>
  </w:footnote>
  <w:footnote w:id="182">
    <w:p w:rsidR="00C016B1" w:rsidRPr="00DA7675" w:rsidP="00C016B1">
      <w:pPr>
        <w:pStyle w:val="FootnoteText"/>
      </w:pPr>
      <w:r>
        <w:rPr>
          <w:rStyle w:val="FootnoteReference"/>
        </w:rPr>
        <w:footnoteRef/>
      </w:r>
      <w:r>
        <w:t xml:space="preserve"> </w:t>
      </w:r>
      <w:r>
        <w:rPr>
          <w:i/>
        </w:rPr>
        <w:t xml:space="preserve">Id.; see </w:t>
      </w:r>
      <w:r>
        <w:t xml:space="preserve">Letters from Skybridge Spectrum Foundation and Warren C. Havens to the Federal Communications Commission (Oct. 11, 2012) (FOIA Control Nos. 2013-021, 2013-022); Letter from Joel Kaufman, Associate General Counsel to Warren Havens (Dec. 5, 2012) (Kaufman Letter), </w:t>
      </w:r>
      <w:r>
        <w:rPr>
          <w:i/>
        </w:rPr>
        <w:t xml:space="preserve">app. for rev. dismissed, </w:t>
      </w:r>
      <w:r>
        <w:t xml:space="preserve">28 FCC Rcd 13539 (2013); Letters from Warren Havens and Skybridge to FCC FOIA Office via e-mail to </w:t>
      </w:r>
      <w:r>
        <w:fldChar w:fldCharType="begin"/>
      </w:r>
      <w:r>
        <w:instrText xml:space="preserve"> HYPERLINK "mailto:FOIA@fcc.gov" </w:instrText>
      </w:r>
      <w:r>
        <w:fldChar w:fldCharType="separate"/>
      </w:r>
      <w:r w:rsidRPr="00984A9E">
        <w:rPr>
          <w:rStyle w:val="Hyperlink"/>
        </w:rPr>
        <w:t>FOIA@fcc.gov</w:t>
      </w:r>
      <w:r>
        <w:fldChar w:fldCharType="end"/>
      </w:r>
      <w:r>
        <w:t xml:space="preserve"> (Sept. 11, 2014) (FOIA Control Nos. 2014-650, 2014-651); Letter from Gary Schonman, Special Counsel, Investigations &amp; Hearing Division to Warren Havens (Jan. 30, 2015), </w:t>
      </w:r>
      <w:r>
        <w:rPr>
          <w:i/>
        </w:rPr>
        <w:t>rev. granted in part and denied in part</w:t>
      </w:r>
      <w:r>
        <w:t>,</w:t>
      </w:r>
      <w:r w:rsidRPr="00B74D04">
        <w:t xml:space="preserve"> </w:t>
      </w:r>
      <w:r>
        <w:t xml:space="preserve">31 FCC Rcd 10332 (2016).  </w:t>
      </w:r>
      <w:r w:rsidRPr="00DA7675">
        <w:t xml:space="preserve"> </w:t>
      </w:r>
    </w:p>
  </w:footnote>
  <w:footnote w:id="183">
    <w:p w:rsidR="00C016B1" w:rsidP="00C016B1">
      <w:pPr>
        <w:pStyle w:val="FootnoteText"/>
      </w:pPr>
      <w:r>
        <w:rPr>
          <w:rStyle w:val="FootnoteReference"/>
        </w:rPr>
        <w:footnoteRef/>
      </w:r>
      <w:r>
        <w:t xml:space="preserve"> </w:t>
      </w:r>
      <w:r>
        <w:rPr>
          <w:i/>
        </w:rPr>
        <w:t xml:space="preserve">See </w:t>
      </w:r>
      <w:r>
        <w:t xml:space="preserve">5 U.S.C. § 552(b)(7)(A) (protecting from disclosure records or information compiled for law enforcement purposes, but only to the extent that production of such law enforcement records or information (A) could reasonably be expected to interfere with enforcement proceedings).  </w:t>
      </w:r>
    </w:p>
  </w:footnote>
  <w:footnote w:id="184">
    <w:p w:rsidR="00C016B1" w:rsidP="00C016B1">
      <w:pPr>
        <w:pStyle w:val="FootnoteText"/>
      </w:pPr>
      <w:r>
        <w:rPr>
          <w:rStyle w:val="FootnoteReference"/>
        </w:rPr>
        <w:footnoteRef/>
      </w:r>
      <w:r>
        <w:t xml:space="preserve"> 31 FCC Rcd at 10335, para. 10.  We emphasize that, while we would have applied Exemption 7(A) to such requests no matter who filed them, our further conclusions with respect the abusive nature of such requests apply only to Havens’s conduct as a party to the Maritime proceeding.  </w:t>
      </w:r>
    </w:p>
  </w:footnote>
  <w:footnote w:id="185">
    <w:p w:rsidR="00C016B1" w:rsidRPr="004E6C68" w:rsidP="00C016B1">
      <w:pPr>
        <w:pStyle w:val="FootnoteText"/>
      </w:pPr>
      <w:r>
        <w:rPr>
          <w:rStyle w:val="FootnoteReference"/>
        </w:rPr>
        <w:footnoteRef/>
      </w:r>
      <w:r>
        <w:t xml:space="preserve"> It is appropriate for us to take official notice of matters of public record.  </w:t>
      </w:r>
      <w:r>
        <w:rPr>
          <w:i/>
        </w:rPr>
        <w:t xml:space="preserve">See </w:t>
      </w:r>
      <w:r>
        <w:rPr>
          <w:i/>
        </w:rPr>
        <w:t>Entercom</w:t>
      </w:r>
      <w:r>
        <w:rPr>
          <w:i/>
        </w:rPr>
        <w:t xml:space="preserve"> License, LLC</w:t>
      </w:r>
      <w:r w:rsidRPr="004E6C68">
        <w:t xml:space="preserve">, 31 FCC Rcd 12196, </w:t>
      </w:r>
      <w:r>
        <w:t xml:space="preserve">12207, para. 27 </w:t>
      </w:r>
      <w:r w:rsidRPr="004E6C68">
        <w:t>(2016)</w:t>
      </w:r>
      <w:r>
        <w:t xml:space="preserve"> (materials from court records)</w:t>
      </w:r>
      <w:r w:rsidRPr="004E6C68">
        <w:t xml:space="preserve">.  </w:t>
      </w:r>
      <w:r>
        <w:rPr>
          <w:i/>
        </w:rPr>
        <w:t xml:space="preserve">See also Davis v. Williams Communications, Inc., </w:t>
      </w:r>
      <w:r>
        <w:t xml:space="preserve">258 F. Supp.2d 1348, 1352 (N.D. Ga. 2003) (court may take judicial notice of official public records); Fed. R. </w:t>
      </w:r>
      <w:r>
        <w:t>Evid</w:t>
      </w:r>
      <w:r>
        <w:t xml:space="preserve">. 201(b)(2) (court may judicially notice fact that “can be accurately and readily determined from sources whose accuracy cannot reasonably be questioned”).  The concept of official notice is </w:t>
      </w:r>
      <w:r w:rsidRPr="00822EF7">
        <w:t>even</w:t>
      </w:r>
      <w:r>
        <w:t xml:space="preserve"> broader than that of judicial notice.  </w:t>
      </w:r>
      <w:r>
        <w:rPr>
          <w:i/>
        </w:rPr>
        <w:t xml:space="preserve">McLeod v. INS, </w:t>
      </w:r>
      <w:r>
        <w:t>802 F.2d 89, 93 n.4 (3</w:t>
      </w:r>
      <w:r w:rsidRPr="00AD3F38">
        <w:t>rd</w:t>
      </w:r>
      <w:r>
        <w:t xml:space="preserve"> Cir. 1986).  </w:t>
      </w:r>
    </w:p>
  </w:footnote>
  <w:footnote w:id="186">
    <w:p w:rsidR="00C016B1" w:rsidRPr="00B67C69" w:rsidP="00C016B1">
      <w:pPr>
        <w:pStyle w:val="FootnoteText"/>
      </w:pPr>
      <w:r>
        <w:rPr>
          <w:rStyle w:val="FootnoteReference"/>
        </w:rPr>
        <w:footnoteRef/>
      </w:r>
      <w:r>
        <w:t xml:space="preserve"> </w:t>
      </w:r>
      <w:r>
        <w:rPr>
          <w:i/>
        </w:rPr>
        <w:t>See Warren C. Havens</w:t>
      </w:r>
      <w:r>
        <w:t xml:space="preserve">, 15 FCC Rcd 22296 (Wireless Telecomm. Bur. 2000); </w:t>
      </w:r>
      <w:r>
        <w:rPr>
          <w:i/>
        </w:rPr>
        <w:t>Warren C. Havens</w:t>
      </w:r>
      <w:r>
        <w:t>, 16 FCC Rcd 2539 (Wireless Telecomm. Bur. 2001).</w:t>
      </w:r>
    </w:p>
  </w:footnote>
  <w:footnote w:id="187">
    <w:p w:rsidR="00C016B1" w:rsidRPr="009F61D0" w:rsidP="00C016B1">
      <w:pPr>
        <w:pStyle w:val="FootnoteText"/>
      </w:pPr>
      <w:r>
        <w:rPr>
          <w:rStyle w:val="FootnoteReference"/>
        </w:rPr>
        <w:footnoteRef/>
      </w:r>
      <w:r>
        <w:t xml:space="preserve"> For a full procedural history, see </w:t>
      </w:r>
      <w:r>
        <w:rPr>
          <w:i/>
        </w:rPr>
        <w:t>Warren C. Havens</w:t>
      </w:r>
      <w:r>
        <w:t>, 28 FCC Rcd 16261 (2013).</w:t>
      </w:r>
    </w:p>
  </w:footnote>
  <w:footnote w:id="188">
    <w:p w:rsidR="00C016B1" w:rsidRPr="0097689C" w:rsidP="00C016B1">
      <w:pPr>
        <w:pStyle w:val="FootnoteText"/>
      </w:pPr>
      <w:r>
        <w:rPr>
          <w:rStyle w:val="FootnoteReference"/>
        </w:rPr>
        <w:footnoteRef/>
      </w:r>
      <w:r>
        <w:t xml:space="preserve"> </w:t>
      </w:r>
      <w:r>
        <w:rPr>
          <w:i/>
        </w:rPr>
        <w:t>Warren C. Havens</w:t>
      </w:r>
      <w:r>
        <w:t>, 28 FCC Rcd 16261, 16269-70, para. 20 (2013).</w:t>
      </w:r>
    </w:p>
  </w:footnote>
  <w:footnote w:id="189">
    <w:p w:rsidR="00C016B1" w:rsidRPr="009106CF" w:rsidP="00C016B1">
      <w:pPr>
        <w:pStyle w:val="FootnoteText"/>
      </w:pPr>
      <w:r>
        <w:rPr>
          <w:rStyle w:val="FootnoteReference"/>
        </w:rPr>
        <w:footnoteRef/>
      </w:r>
      <w:r>
        <w:t xml:space="preserve"> </w:t>
      </w:r>
      <w:r>
        <w:rPr>
          <w:i/>
        </w:rPr>
        <w:t>Warren C. Havens</w:t>
      </w:r>
      <w:r>
        <w:t>, 27 FCC Rcd 2756, 2763, para. 9 (2012).</w:t>
      </w:r>
    </w:p>
  </w:footnote>
  <w:footnote w:id="190">
    <w:p w:rsidR="00C016B1" w:rsidRPr="00A33A85" w:rsidP="00C016B1">
      <w:pPr>
        <w:pStyle w:val="FootnoteText"/>
      </w:pPr>
      <w:r>
        <w:rPr>
          <w:rStyle w:val="FootnoteReference"/>
        </w:rPr>
        <w:footnoteRef/>
      </w:r>
      <w:r>
        <w:t xml:space="preserve"> </w:t>
      </w:r>
      <w:r>
        <w:rPr>
          <w:i/>
        </w:rPr>
        <w:t>69 Bidders Qualified to Participate in Auction 87</w:t>
      </w:r>
      <w:r>
        <w:t>, 25 FCC Rcd 5407 (Wireless Telecomm. Bur. 2010).</w:t>
      </w:r>
    </w:p>
  </w:footnote>
  <w:footnote w:id="191">
    <w:p w:rsidR="00C016B1" w:rsidP="00C016B1">
      <w:pPr>
        <w:pStyle w:val="FootnoteText"/>
      </w:pPr>
      <w:r>
        <w:rPr>
          <w:rStyle w:val="FootnoteReference"/>
        </w:rPr>
        <w:footnoteRef/>
      </w:r>
      <w:r>
        <w:t xml:space="preserve"> Petition, </w:t>
      </w:r>
      <w:r w:rsidRPr="007C7F16">
        <w:rPr>
          <w:i/>
        </w:rPr>
        <w:t>Skybridge Spectrum Foundation et al v. United States of America and the Federal Communications Commission</w:t>
      </w:r>
      <w:r>
        <w:t>, No. 10-71808 (9th Cir. Jun. 8, 2010).</w:t>
      </w:r>
    </w:p>
  </w:footnote>
  <w:footnote w:id="192">
    <w:p w:rsidR="00C016B1" w:rsidRPr="00AA1DAF" w:rsidP="00C016B1">
      <w:pPr>
        <w:pStyle w:val="FootnoteText"/>
      </w:pPr>
      <w:r>
        <w:rPr>
          <w:rStyle w:val="FootnoteReference"/>
        </w:rPr>
        <w:footnoteRef/>
      </w:r>
      <w:r>
        <w:t xml:space="preserve"> Order, </w:t>
      </w:r>
      <w:r>
        <w:rPr>
          <w:i/>
        </w:rPr>
        <w:t xml:space="preserve">Skybridge Spectrum Foundation </w:t>
      </w:r>
      <w:r w:rsidRPr="007C7F16">
        <w:rPr>
          <w:i/>
        </w:rPr>
        <w:t>et al v. United States of America and the Federal Communications Commission</w:t>
      </w:r>
      <w:r>
        <w:t>, No. 10-71808 (9</w:t>
      </w:r>
      <w:r w:rsidRPr="00201DF3">
        <w:t>th</w:t>
      </w:r>
      <w:r>
        <w:t xml:space="preserve"> Cir. Sept. 13, 2010</w:t>
      </w:r>
    </w:p>
  </w:footnote>
  <w:footnote w:id="193">
    <w:p w:rsidR="00C016B1" w:rsidP="00C016B1">
      <w:pPr>
        <w:pStyle w:val="FootnoteText"/>
      </w:pPr>
      <w:r>
        <w:rPr>
          <w:rStyle w:val="FootnoteReference"/>
        </w:rPr>
        <w:footnoteRef/>
      </w:r>
      <w:r>
        <w:t xml:space="preserve"> </w:t>
      </w:r>
      <w:r w:rsidRPr="007C7F16">
        <w:rPr>
          <w:i/>
        </w:rPr>
        <w:t>Petition for Reconsideration of Various Auction 87 Public Notices</w:t>
      </w:r>
      <w:r>
        <w:t xml:space="preserve">, 27 FCC Rcd 4374, 4388-89, paras. 33-34 (Wireless Telecomm. Bur. 2012). </w:t>
      </w:r>
    </w:p>
  </w:footnote>
  <w:footnote w:id="194">
    <w:p w:rsidR="00C016B1" w:rsidRPr="00934724" w:rsidP="00C016B1">
      <w:pPr>
        <w:pStyle w:val="FootnoteText"/>
      </w:pPr>
      <w:r>
        <w:rPr>
          <w:rStyle w:val="FootnoteReference"/>
        </w:rPr>
        <w:footnoteRef/>
      </w:r>
      <w:r>
        <w:t xml:space="preserve"> </w:t>
      </w:r>
      <w:r>
        <w:rPr>
          <w:i/>
        </w:rPr>
        <w:t xml:space="preserve">Id. </w:t>
      </w:r>
      <w:r>
        <w:t>at 4388-89, para. 34.</w:t>
      </w:r>
    </w:p>
  </w:footnote>
  <w:footnote w:id="195">
    <w:p w:rsidR="00C016B1" w:rsidRPr="00361F43" w:rsidP="00C016B1">
      <w:pPr>
        <w:pStyle w:val="FootnoteText"/>
      </w:pPr>
      <w:r>
        <w:rPr>
          <w:rStyle w:val="FootnoteReference"/>
        </w:rPr>
        <w:footnoteRef/>
      </w:r>
      <w:r>
        <w:t xml:space="preserve"> </w:t>
      </w:r>
      <w:r>
        <w:rPr>
          <w:i/>
        </w:rPr>
        <w:t>MariTEL</w:t>
      </w:r>
      <w:r>
        <w:rPr>
          <w:i/>
        </w:rPr>
        <w:t xml:space="preserve">, Inc., </w:t>
      </w:r>
      <w:r>
        <w:t>27 FCC Rcd 3256 (Wireless Telecomm. Bur. 2012).</w:t>
      </w:r>
    </w:p>
  </w:footnote>
  <w:footnote w:id="196">
    <w:p w:rsidR="00C016B1" w:rsidP="00C016B1">
      <w:pPr>
        <w:pStyle w:val="FootnoteText"/>
      </w:pPr>
      <w:r>
        <w:rPr>
          <w:rStyle w:val="FootnoteReference"/>
        </w:rPr>
        <w:footnoteRef/>
      </w:r>
      <w:r>
        <w:t xml:space="preserve"> </w:t>
      </w:r>
      <w:r>
        <w:rPr>
          <w:i/>
        </w:rPr>
        <w:t>MariTEL</w:t>
      </w:r>
      <w:r>
        <w:rPr>
          <w:i/>
        </w:rPr>
        <w:t>, Inc.</w:t>
      </w:r>
      <w:r>
        <w:t>, 30 FCC Rcd 3702 (Wireless Telecomm. Bur. 2012) (internal citations omitted).</w:t>
      </w:r>
    </w:p>
  </w:footnote>
  <w:footnote w:id="197">
    <w:p w:rsidR="00C016B1" w:rsidRPr="00EC5181" w:rsidP="00C016B1">
      <w:pPr>
        <w:pStyle w:val="FootnoteText"/>
      </w:pPr>
      <w:r>
        <w:rPr>
          <w:rStyle w:val="FootnoteReference"/>
        </w:rPr>
        <w:footnoteRef/>
      </w:r>
      <w:r>
        <w:t xml:space="preserve"> </w:t>
      </w:r>
      <w:r>
        <w:rPr>
          <w:i/>
        </w:rPr>
        <w:t xml:space="preserve">Id. </w:t>
      </w:r>
      <w:r>
        <w:t>at 3704, para. 4.</w:t>
      </w:r>
    </w:p>
  </w:footnote>
  <w:footnote w:id="198">
    <w:p w:rsidR="00C016B1" w:rsidRPr="007C7F16" w:rsidP="00C016B1">
      <w:pPr>
        <w:pStyle w:val="FootnoteText"/>
        <w:rPr>
          <w:i/>
        </w:rPr>
      </w:pPr>
      <w:r>
        <w:rPr>
          <w:rStyle w:val="FootnoteReference"/>
        </w:rPr>
        <w:footnoteRef/>
      </w:r>
      <w:r>
        <w:t xml:space="preserve"> </w:t>
      </w:r>
      <w:r>
        <w:rPr>
          <w:i/>
        </w:rPr>
        <w:t>Id.</w:t>
      </w:r>
    </w:p>
  </w:footnote>
  <w:footnote w:id="199">
    <w:p w:rsidR="00C016B1" w:rsidRPr="005901E2" w:rsidP="00C016B1">
      <w:pPr>
        <w:pStyle w:val="FootnoteText"/>
      </w:pPr>
      <w:r>
        <w:rPr>
          <w:rStyle w:val="FootnoteReference"/>
        </w:rPr>
        <w:footnoteRef/>
      </w:r>
      <w:r>
        <w:t xml:space="preserve"> </w:t>
      </w:r>
      <w:r>
        <w:rPr>
          <w:i/>
        </w:rPr>
        <w:t>Telesaurus</w:t>
      </w:r>
      <w:r>
        <w:rPr>
          <w:i/>
        </w:rPr>
        <w:t xml:space="preserve"> VPC, LLC v. Power, </w:t>
      </w:r>
      <w:r>
        <w:t xml:space="preserve">888 F. Supp.2d 963 (D. Ariz. 2012), </w:t>
      </w:r>
      <w:r>
        <w:rPr>
          <w:i/>
        </w:rPr>
        <w:t xml:space="preserve">aff’d, </w:t>
      </w:r>
      <w:r>
        <w:t>584 Fed. Appx. 905 (9</w:t>
      </w:r>
      <w:r w:rsidRPr="005901E2">
        <w:t>th</w:t>
      </w:r>
      <w:r>
        <w:t xml:space="preserve"> Cir. 2014), </w:t>
      </w:r>
      <w:r>
        <w:rPr>
          <w:i/>
        </w:rPr>
        <w:t xml:space="preserve">cert. denied, </w:t>
      </w:r>
      <w:r>
        <w:t>136 S. Ct. 43 (2015).</w:t>
      </w:r>
    </w:p>
  </w:footnote>
  <w:footnote w:id="200">
    <w:p w:rsidR="00C016B1" w:rsidP="00C016B1">
      <w:pPr>
        <w:pStyle w:val="FootnoteText"/>
      </w:pPr>
      <w:r>
        <w:rPr>
          <w:rStyle w:val="FootnoteReference"/>
        </w:rPr>
        <w:footnoteRef/>
      </w:r>
      <w:r>
        <w:t xml:space="preserve"> 888 F. Supp.2d at 975.</w:t>
      </w:r>
    </w:p>
  </w:footnote>
  <w:footnote w:id="201">
    <w:p w:rsidR="00C016B1" w:rsidRPr="00E16580" w:rsidP="00C016B1">
      <w:pPr>
        <w:pStyle w:val="FootnoteText"/>
      </w:pPr>
      <w:r>
        <w:rPr>
          <w:rStyle w:val="FootnoteReference"/>
        </w:rPr>
        <w:footnoteRef/>
      </w:r>
      <w:r>
        <w:t xml:space="preserve"> </w:t>
      </w:r>
      <w:r w:rsidRPr="00F27B91">
        <w:t>Case No. 2002-070640</w:t>
      </w:r>
      <w:r>
        <w:t xml:space="preserve">.  </w:t>
      </w:r>
      <w:r w:rsidRPr="00F27B91">
        <w:t xml:space="preserve">The receiver has filed a </w:t>
      </w:r>
      <w:r w:rsidRPr="00E16580">
        <w:t xml:space="preserve">pleading indicating that she takes no position as to the merits of the appeals from the </w:t>
      </w:r>
      <w:r w:rsidRPr="00E16580">
        <w:rPr>
          <w:i/>
        </w:rPr>
        <w:t>Dismissal Order.</w:t>
      </w:r>
      <w:r w:rsidRPr="00E16580">
        <w:t xml:space="preserve">  </w:t>
      </w:r>
      <w:r w:rsidRPr="00E16580">
        <w:rPr>
          <w:i/>
        </w:rPr>
        <w:t xml:space="preserve">See </w:t>
      </w:r>
      <w:r w:rsidRPr="00E16580">
        <w:t xml:space="preserve">Petition for Stay or Hold in Abeyance the Issuance of a Hearing Designation Order, filed March 18, 2016, by Susan L. </w:t>
      </w:r>
      <w:r w:rsidRPr="00E16580">
        <w:t>Uecker</w:t>
      </w:r>
      <w:r w:rsidRPr="00E16580">
        <w:t>, Receiver (Receiver Petition).</w:t>
      </w:r>
    </w:p>
  </w:footnote>
  <w:footnote w:id="202">
    <w:p w:rsidR="00C016B1" w:rsidRPr="00C42B70" w:rsidP="00C016B1">
      <w:pPr>
        <w:pStyle w:val="FootnoteText"/>
      </w:pPr>
      <w:r w:rsidRPr="00E16580">
        <w:rPr>
          <w:rStyle w:val="FootnoteReference"/>
        </w:rPr>
        <w:footnoteRef/>
      </w:r>
      <w:r w:rsidRPr="00E16580">
        <w:t xml:space="preserve"> </w:t>
      </w:r>
      <w:r w:rsidRPr="00E16580">
        <w:rPr>
          <w:i/>
        </w:rPr>
        <w:t xml:space="preserve">See </w:t>
      </w:r>
      <w:r w:rsidRPr="00E16580">
        <w:t xml:space="preserve">Order, </w:t>
      </w:r>
      <w:r w:rsidRPr="00E16580">
        <w:rPr>
          <w:i/>
        </w:rPr>
        <w:t xml:space="preserve">Leong v. Havens, </w:t>
      </w:r>
      <w:r w:rsidRPr="00E16580">
        <w:t>Case No. 2002-070640</w:t>
      </w:r>
      <w:r>
        <w:t xml:space="preserve"> (Cal. Super. Alameda Dec. 14, 2016). </w:t>
      </w:r>
    </w:p>
  </w:footnote>
  <w:footnote w:id="203">
    <w:p w:rsidR="00C016B1" w:rsidRPr="00D312D4" w:rsidP="00C016B1">
      <w:pPr>
        <w:pStyle w:val="FootnoteText"/>
      </w:pPr>
      <w:r>
        <w:rPr>
          <w:rStyle w:val="FootnoteReference"/>
        </w:rPr>
        <w:footnoteRef/>
      </w:r>
      <w:r>
        <w:t xml:space="preserve"> </w:t>
      </w:r>
      <w:r>
        <w:rPr>
          <w:i/>
        </w:rPr>
        <w:t xml:space="preserve">See </w:t>
      </w:r>
      <w:r>
        <w:t xml:space="preserve">Order, </w:t>
      </w:r>
      <w:r>
        <w:rPr>
          <w:i/>
        </w:rPr>
        <w:t xml:space="preserve">Leong v. Havens, </w:t>
      </w:r>
      <w:r>
        <w:t>Case No. 2002-070640 (Cal. Super, Alameda Sept. 1, 2017) (partially vacating previous order and imposing new sanctions).</w:t>
      </w:r>
    </w:p>
  </w:footnote>
  <w:footnote w:id="204">
    <w:p w:rsidR="00C016B1" w:rsidP="00C016B1">
      <w:pPr>
        <w:pStyle w:val="FootnoteText"/>
      </w:pPr>
      <w:r>
        <w:rPr>
          <w:rStyle w:val="FootnoteReference"/>
        </w:rPr>
        <w:footnoteRef/>
      </w:r>
      <w:r>
        <w:t xml:space="preserve"> Order of Dismissal, FCC 17M-35 (Sept. 28, 2017) (</w:t>
      </w:r>
      <w:r>
        <w:rPr>
          <w:i/>
        </w:rPr>
        <w:t>Termination Order).</w:t>
      </w:r>
    </w:p>
  </w:footnote>
  <w:footnote w:id="205">
    <w:p w:rsidR="00C016B1" w:rsidP="00C016B1">
      <w:pPr>
        <w:pStyle w:val="FootnoteText"/>
      </w:pPr>
      <w:r>
        <w:rPr>
          <w:rStyle w:val="FootnoteReference"/>
        </w:rPr>
        <w:footnoteRef/>
      </w:r>
      <w:r>
        <w:t xml:space="preserve">   </w:t>
      </w:r>
      <w:r w:rsidRPr="009F3087">
        <w:t xml:space="preserve">Notice of Appeal and Memo in Support of </w:t>
      </w:r>
      <w:r>
        <w:t>and Related to Notice of Appeal, filed October 6, 2017, by Havens and Polaris</w:t>
      </w:r>
      <w:r w:rsidRPr="009F3087">
        <w:t>; Appeal of Order of Dismissal, FCC 17M-35 and Underlying Decisions</w:t>
      </w:r>
      <w:r>
        <w:t xml:space="preserve"> and Actions in EB Docket 11-71, filed October 30, 2017, by Havens</w:t>
      </w:r>
      <w:r w:rsidRPr="009F3087">
        <w:t>; Appeal of Order of Dismissal, FCC 17M-35 and Underlying Decisions</w:t>
      </w:r>
      <w:r>
        <w:t xml:space="preserve"> and Actions in EB Docket 11-71, filed October 27, 2017, by Polaris.  </w:t>
      </w:r>
      <w:r>
        <w:rPr>
          <w:i/>
        </w:rPr>
        <w:t xml:space="preserve">See also </w:t>
      </w:r>
      <w:r>
        <w:t xml:space="preserve">Joint Opposition to Appeal, filed November 14, 2017, by Maritime and Choctaw Holdings, LLC (Choctaw); Enforcement Bureau’s Opposition to Havens and Polaris Appeals of Order of Dismissal, filed November 14, 2017; Reply to Maritime-Choctaw Joint Opposition to Appeal of Order of Dismissal, FCC 17M-35, filed December 13, 2017, by Havens and Polaris; Reply to Enforcement Bureau Opposition to Appeal of Order of Dismissal, FCC 17M-35, filed December 13, 2017, by Havens and Polaris; Supplement to Joint Opposition to Appeal and Motion for Leave to File Supplement to Joint Opposition to Appeal, filed December 18, 2017, by Maritime and Choctaw; Enforcement Bureau’s </w:t>
      </w:r>
      <w:r>
        <w:t>Surreply</w:t>
      </w:r>
      <w:r>
        <w:t xml:space="preserve"> to Havens and Polaris Appeals of Order of Dismissal and Enforcement Bureau’s Motion to File a </w:t>
      </w:r>
      <w:r>
        <w:t>Surreply</w:t>
      </w:r>
      <w:r>
        <w:t xml:space="preserve"> to Havens and Polaris Appeal of Order of Dismissal, filed December 20, 2017; Reply to Enforcement Bureau </w:t>
      </w:r>
      <w:r>
        <w:t>Surreply</w:t>
      </w:r>
      <w:r>
        <w:t xml:space="preserve">, filed January 18, 2018, by Susan </w:t>
      </w:r>
      <w:r>
        <w:t>Uecker</w:t>
      </w:r>
      <w:r>
        <w:t xml:space="preserve">, Receiver.  </w:t>
      </w:r>
    </w:p>
  </w:footnote>
  <w:footnote w:id="206">
    <w:p w:rsidR="00C016B1" w:rsidP="00C016B1">
      <w:pPr>
        <w:pStyle w:val="FootnoteText"/>
      </w:pPr>
      <w:r>
        <w:rPr>
          <w:rStyle w:val="FootnoteReference"/>
        </w:rPr>
        <w:footnoteRef/>
      </w:r>
      <w:r>
        <w:t xml:space="preserve"> </w:t>
      </w:r>
      <w:r w:rsidRPr="009F3087">
        <w:rPr>
          <w:i/>
        </w:rPr>
        <w:t xml:space="preserve">See </w:t>
      </w:r>
      <w:r w:rsidRPr="009F3087">
        <w:t xml:space="preserve">47 CFR § 1.302 (giving parties to a proceeding the right to appeal an order by the presiding </w:t>
      </w:r>
      <w:r>
        <w:t>Judge terminating the proceeding);</w:t>
      </w:r>
      <w:r w:rsidRPr="009F3087">
        <w:t xml:space="preserve"> </w:t>
      </w:r>
      <w:r>
        <w:rPr>
          <w:i/>
        </w:rPr>
        <w:t>s</w:t>
      </w:r>
      <w:r w:rsidRPr="009F3087">
        <w:rPr>
          <w:i/>
        </w:rPr>
        <w:t xml:space="preserve">ee </w:t>
      </w:r>
      <w:r>
        <w:rPr>
          <w:i/>
        </w:rPr>
        <w:t xml:space="preserve">also </w:t>
      </w:r>
      <w:r w:rsidRPr="009F3087">
        <w:rPr>
          <w:i/>
        </w:rPr>
        <w:t>Entercom</w:t>
      </w:r>
      <w:r w:rsidRPr="009F3087">
        <w:rPr>
          <w:i/>
        </w:rPr>
        <w:t xml:space="preserve"> License</w:t>
      </w:r>
      <w:r w:rsidRPr="005D3D06">
        <w:rPr>
          <w:i/>
        </w:rPr>
        <w:t>, LLC</w:t>
      </w:r>
      <w:r w:rsidRPr="009F3087">
        <w:t>, 32 FCC Rcd 7149, 7154</w:t>
      </w:r>
      <w:r>
        <w:t>,</w:t>
      </w:r>
      <w:r w:rsidRPr="009F3087">
        <w:t xml:space="preserve"> para. 16 (2017) (only parties may appeal a decision of a </w:t>
      </w:r>
      <w:r>
        <w:t>judge).</w:t>
      </w:r>
    </w:p>
  </w:footnote>
  <w:footnote w:id="207">
    <w:p w:rsidR="00C016B1" w:rsidP="00C016B1">
      <w:pPr>
        <w:pStyle w:val="FootnoteText"/>
      </w:pPr>
      <w:r>
        <w:rPr>
          <w:rStyle w:val="FootnoteReference"/>
        </w:rPr>
        <w:footnoteRef/>
      </w:r>
      <w:r>
        <w:t xml:space="preserve"> </w:t>
      </w:r>
      <w:r w:rsidRPr="009F3087">
        <w:rPr>
          <w:i/>
        </w:rPr>
        <w:t xml:space="preserve">See </w:t>
      </w:r>
      <w:r w:rsidRPr="009F3087">
        <w:t xml:space="preserve">Letters from Warren Havens to Office of General Counsel (Oct. 10, 2017) and (Oct. 18, 2017).  </w:t>
      </w:r>
    </w:p>
  </w:footnote>
  <w:footnote w:id="208">
    <w:p w:rsidR="00C016B1" w:rsidP="00C016B1">
      <w:pPr>
        <w:pStyle w:val="FootnoteText"/>
      </w:pPr>
      <w:r>
        <w:rPr>
          <w:rStyle w:val="FootnoteReference"/>
        </w:rPr>
        <w:footnoteRef/>
      </w:r>
      <w:r>
        <w:t xml:space="preserve"> </w:t>
      </w:r>
      <w:r w:rsidRPr="00116B22">
        <w:rPr>
          <w:i/>
        </w:rPr>
        <w:t>See Dismissal Order</w:t>
      </w:r>
      <w:r>
        <w:t xml:space="preserve"> at 13, para. 23.</w:t>
      </w:r>
    </w:p>
  </w:footnote>
  <w:footnote w:id="209">
    <w:p w:rsidR="00C016B1" w:rsidRPr="00681F00" w:rsidP="00C016B1">
      <w:pPr>
        <w:pStyle w:val="FootnoteText"/>
      </w:pPr>
      <w:r>
        <w:rPr>
          <w:rStyle w:val="FootnoteReference"/>
        </w:rPr>
        <w:footnoteRef/>
      </w:r>
      <w:r>
        <w:t xml:space="preserve"> </w:t>
      </w:r>
      <w:r w:rsidRPr="004067F1">
        <w:rPr>
          <w:i/>
        </w:rPr>
        <w:t>Id.</w:t>
      </w:r>
    </w:p>
  </w:footnote>
  <w:footnote w:id="210">
    <w:p w:rsidR="00C016B1" w:rsidRPr="005360C3" w:rsidP="00C016B1">
      <w:pPr>
        <w:pStyle w:val="FootnoteText"/>
      </w:pPr>
      <w:r>
        <w:rPr>
          <w:rStyle w:val="FootnoteReference"/>
        </w:rPr>
        <w:footnoteRef/>
      </w:r>
      <w:r>
        <w:t xml:space="preserve"> </w:t>
      </w:r>
      <w:r>
        <w:rPr>
          <w:i/>
        </w:rPr>
        <w:t>Id.</w:t>
      </w:r>
    </w:p>
  </w:footnote>
  <w:footnote w:id="211">
    <w:p w:rsidR="00C016B1" w:rsidRPr="00DB6EA5" w:rsidP="00C016B1">
      <w:pPr>
        <w:pStyle w:val="FootnoteText"/>
      </w:pPr>
      <w:r>
        <w:rPr>
          <w:rStyle w:val="FootnoteReference"/>
        </w:rPr>
        <w:footnoteRef/>
      </w:r>
      <w:r>
        <w:t xml:space="preserve"> For example, administrative law judges have explicit authority to certify to the Commission </w:t>
      </w:r>
      <w:r>
        <w:rPr>
          <w:i/>
        </w:rPr>
        <w:t>sua</w:t>
      </w:r>
      <w:r>
        <w:rPr>
          <w:i/>
        </w:rPr>
        <w:t xml:space="preserve"> sponte </w:t>
      </w:r>
      <w:r>
        <w:t xml:space="preserve">any question that would be acted on by the Commission if it were raised by the parties.  </w:t>
      </w:r>
      <w:r w:rsidRPr="00DB6EA5">
        <w:t xml:space="preserve">47 CFR § 0.341(c).  </w:t>
      </w:r>
    </w:p>
  </w:footnote>
  <w:footnote w:id="212">
    <w:p w:rsidR="00C016B1" w:rsidRPr="00DB6EA5" w:rsidP="00C016B1">
      <w:pPr>
        <w:pStyle w:val="FootnoteText"/>
      </w:pPr>
      <w:r>
        <w:rPr>
          <w:rStyle w:val="FootnoteReference"/>
        </w:rPr>
        <w:footnoteRef/>
      </w:r>
      <w:r w:rsidRPr="00DB6EA5">
        <w:t xml:space="preserve"> 11 FCC Rcd 5324, 5324, paras. 5-7 (1996).  </w:t>
      </w:r>
    </w:p>
  </w:footnote>
  <w:footnote w:id="213">
    <w:p w:rsidR="00C016B1" w:rsidRPr="005D22B0" w:rsidP="00C016B1">
      <w:pPr>
        <w:pStyle w:val="FootnoteText"/>
      </w:pPr>
      <w:r>
        <w:rPr>
          <w:rStyle w:val="FootnoteReference"/>
        </w:rPr>
        <w:footnoteRef/>
      </w:r>
      <w:r w:rsidRPr="00DB6EA5">
        <w:t xml:space="preserve"> </w:t>
      </w:r>
      <w:r w:rsidRPr="00DB6EA5">
        <w:rPr>
          <w:i/>
        </w:rPr>
        <w:t>See</w:t>
      </w:r>
      <w:r w:rsidRPr="00DB6EA5">
        <w:rPr>
          <w:i/>
        </w:rPr>
        <w:t xml:space="preserve"> Marc Sobel</w:t>
      </w:r>
      <w:r w:rsidRPr="005D3D06">
        <w:t xml:space="preserve">, </w:t>
      </w:r>
      <w:r w:rsidRPr="00DB6EA5">
        <w:t xml:space="preserve">17 FCC Rcd 1872, 1873-74, paras. </w:t>
      </w:r>
      <w:r>
        <w:t>3-4 (2002)</w:t>
      </w:r>
    </w:p>
  </w:footnote>
  <w:footnote w:id="214">
    <w:p w:rsidR="00C016B1" w:rsidRPr="00075858" w:rsidP="00C016B1">
      <w:pPr>
        <w:pStyle w:val="FootnoteText"/>
      </w:pPr>
      <w:r>
        <w:rPr>
          <w:rStyle w:val="FootnoteReference"/>
        </w:rPr>
        <w:footnoteRef/>
      </w:r>
      <w:r>
        <w:t xml:space="preserve"> Questions of character qualifications are governed by the Commission’s character policy statements.  </w:t>
      </w:r>
      <w:r>
        <w:rPr>
          <w:i/>
        </w:rPr>
        <w:t xml:space="preserve">See Character Qualifications, </w:t>
      </w:r>
      <w:r>
        <w:t xml:space="preserve">102 FCC 2d 1179 (1986), </w:t>
      </w:r>
      <w:r>
        <w:rPr>
          <w:i/>
        </w:rPr>
        <w:t xml:space="preserve">recon. dismissed/denied, </w:t>
      </w:r>
      <w:r>
        <w:t xml:space="preserve">1 FCC Rcd 421 (1986); </w:t>
      </w:r>
      <w:r w:rsidRPr="00695596">
        <w:rPr>
          <w:i/>
        </w:rPr>
        <w:t xml:space="preserve">Policy Regarding Character Qualifications in Broadcast Licensing, </w:t>
      </w:r>
      <w:r>
        <w:t xml:space="preserve">5 FCC Rcd 3252 (1991), </w:t>
      </w:r>
      <w:r>
        <w:rPr>
          <w:i/>
        </w:rPr>
        <w:t>further modified</w:t>
      </w:r>
      <w:r w:rsidRPr="005D3D06">
        <w:t>, 7</w:t>
      </w:r>
      <w:r>
        <w:t xml:space="preserve"> FCC Rcd 6464 (1992).</w:t>
      </w:r>
    </w:p>
  </w:footnote>
  <w:footnote w:id="215">
    <w:p w:rsidR="00C016B1" w:rsidP="00C016B1">
      <w:pPr>
        <w:pStyle w:val="FootnoteText"/>
      </w:pPr>
      <w:r>
        <w:rPr>
          <w:rStyle w:val="FootnoteReference"/>
        </w:rPr>
        <w:footnoteRef/>
      </w:r>
      <w:r>
        <w:t xml:space="preserve"> Given that the conduct issues in this investigation overlap with issues in the Maritime Proceeding, we direct that the investigation be carried out by Enforcement Bureau staff (investigatory staff) separated from the staff that participated in the preparation or presentation of the Enforcement Bureau’s case in the Maritime Proceeding (trial staff).  Investigatory staff must not have engaged in the preparation or presentation of the Enforcement Bureau’s case in the Maritime Proceeding and must not have discussed the case with trial staff.  Going forward, investigatory staff will not communicate with trial staff about the investigation or about the Maritime Proceeding except to the extent permitted by the Commission’s </w:t>
      </w:r>
      <w:r>
        <w:rPr>
          <w:i/>
        </w:rPr>
        <w:t>ex parte</w:t>
      </w:r>
      <w:r>
        <w:t xml:space="preserve"> rules.  47 CFR §§ 1.1200-1.1216.  Trial staff will not communicate with investigatory staff or with Commission decision-makers about the investigation or the Maritime Proceeding except to the extent permitted by the </w:t>
      </w:r>
      <w:r>
        <w:rPr>
          <w:i/>
        </w:rPr>
        <w:t>ex parte</w:t>
      </w:r>
      <w:r>
        <w:t xml:space="preserve"> rules.</w:t>
      </w:r>
    </w:p>
  </w:footnote>
  <w:footnote w:id="216">
    <w:p w:rsidR="00C016B1" w:rsidRPr="00AF6918" w:rsidP="00C016B1">
      <w:pPr>
        <w:pStyle w:val="FootnoteText"/>
      </w:pPr>
      <w:r w:rsidRPr="0042598A">
        <w:rPr>
          <w:rStyle w:val="FootnoteReference"/>
        </w:rPr>
        <w:footnoteRef/>
      </w:r>
      <w:r w:rsidRPr="0042598A">
        <w:t xml:space="preserve"> The Receiver has asked us not to issue any hearing designation order based on Havens’s alleged misconduct prior to the possible disposition of certain facilities licensed to Havens-related entities.  </w:t>
      </w:r>
      <w:r w:rsidRPr="0042598A">
        <w:rPr>
          <w:i/>
        </w:rPr>
        <w:t xml:space="preserve">See </w:t>
      </w:r>
      <w:r w:rsidRPr="0042598A">
        <w:t xml:space="preserve">Receiver Petition, </w:t>
      </w:r>
      <w:r w:rsidRPr="0042598A">
        <w:rPr>
          <w:i/>
        </w:rPr>
        <w:t xml:space="preserve">supra </w:t>
      </w:r>
      <w:r w:rsidRPr="0042598A">
        <w:t xml:space="preserve">note </w:t>
      </w:r>
      <w:r>
        <w:t>199</w:t>
      </w:r>
      <w:r w:rsidRPr="0042598A">
        <w:t>.  We will defer consideration of the Receiver’s request pending the further investigation by the Enforcement Bureau</w:t>
      </w:r>
      <w:r>
        <w:t xml:space="preserve"> into Havens’s basic qualifications, as explained above. </w:t>
      </w:r>
    </w:p>
  </w:footnote>
  <w:footnote w:id="217">
    <w:p w:rsidR="00C016B1" w:rsidP="00C016B1">
      <w:pPr>
        <w:pStyle w:val="FootnoteText"/>
        <w:spacing w:before="240"/>
      </w:pPr>
      <w:r>
        <w:rPr>
          <w:rStyle w:val="FootnoteReference"/>
        </w:rPr>
        <w:footnoteRef/>
      </w:r>
      <w:r>
        <w:t xml:space="preserve"> </w:t>
      </w:r>
      <w:r>
        <w:rPr>
          <w:i/>
          <w:iCs/>
        </w:rPr>
        <w:t xml:space="preserve">See </w:t>
      </w:r>
      <w:r>
        <w:t xml:space="preserve">Pub. L. No. 110-432, </w:t>
      </w:r>
      <w:r w:rsidRPr="00EF7CE5">
        <w:rPr>
          <w:bCs/>
        </w:rPr>
        <w:t>§</w:t>
      </w:r>
      <w:r>
        <w:rPr>
          <w:b/>
          <w:bCs/>
        </w:rPr>
        <w:t xml:space="preserve"> </w:t>
      </w:r>
      <w:r>
        <w:t xml:space="preserve">104, 122 Stat. 4848, 4857 (2008), amended by the Positive Train Control Enforcement and Implementation Act of 2015, Pub. L. No. 114-73, </w:t>
      </w:r>
      <w:r w:rsidRPr="00EF7CE5">
        <w:rPr>
          <w:bCs/>
        </w:rPr>
        <w:t>§</w:t>
      </w:r>
      <w:r>
        <w:rPr>
          <w:b/>
          <w:bCs/>
        </w:rPr>
        <w:t xml:space="preserve"> </w:t>
      </w:r>
      <w:r>
        <w:t xml:space="preserve">1302, 129 Stat. 568, 576 </w:t>
      </w:r>
      <w:r w:rsidRPr="00626F41">
        <w:rPr>
          <w:iCs/>
        </w:rPr>
        <w:t>(2015).</w:t>
      </w:r>
      <w:r>
        <w:rPr>
          <w:i/>
          <w:iCs/>
        </w:rPr>
        <w:t xml:space="preserve">  </w:t>
      </w:r>
      <w:r>
        <w:rPr>
          <w:i/>
        </w:rPr>
        <w:t xml:space="preserve">See also Maritime Communications/Land Mobile, LLC, </w:t>
      </w:r>
      <w:r>
        <w:t xml:space="preserve">29 FCC Rcd 10871, 10884, para. 32, </w:t>
      </w:r>
      <w:r>
        <w:rPr>
          <w:i/>
        </w:rPr>
        <w:t xml:space="preserve">recon. denied, </w:t>
      </w:r>
      <w:r w:rsidRPr="00DB6EA5">
        <w:t>31</w:t>
      </w:r>
      <w:r w:rsidRPr="004252C6">
        <w:t xml:space="preserve"> </w:t>
      </w:r>
      <w:r w:rsidRPr="00DB6EA5">
        <w:t>FCC Rcd 13729 (2016)</w:t>
      </w:r>
      <w:r>
        <w:t xml:space="preserve">, </w:t>
      </w:r>
      <w:r w:rsidRPr="00DB6EA5">
        <w:rPr>
          <w:i/>
        </w:rPr>
        <w:t>pet. for recon. pending</w:t>
      </w:r>
      <w:r>
        <w:t xml:space="preserve"> (</w:t>
      </w:r>
      <w:r>
        <w:rPr>
          <w:i/>
        </w:rPr>
        <w:t xml:space="preserve">MCLM Order), </w:t>
      </w:r>
      <w:r>
        <w:t xml:space="preserve">(finding “AMTS spectrum particularly suitable for PTC use”); </w:t>
      </w:r>
      <w:r>
        <w:rPr>
          <w:bCs/>
          <w:i/>
        </w:rPr>
        <w:t>id.</w:t>
      </w:r>
      <w:r>
        <w:rPr>
          <w:bCs/>
        </w:rPr>
        <w:t xml:space="preserve"> at 10885, para. 33 (citing the compelling public interest in permitting the assignment of AMTS spectrum to implement a life-saving PTC system as required by Congress).  We note that the Wireless Bureau has already granted a number of applications to assign spectrum licensed to Havens’s companies where that spectrum is expected to be used for PTC purposes.</w:t>
      </w:r>
    </w:p>
  </w:footnote>
  <w:footnote w:id="218">
    <w:p w:rsidR="00C016B1" w:rsidP="00C016B1">
      <w:pPr>
        <w:pStyle w:val="FootnoteText"/>
      </w:pPr>
      <w:r>
        <w:rPr>
          <w:rStyle w:val="FootnoteReference"/>
        </w:rPr>
        <w:footnoteRef/>
      </w:r>
      <w:r>
        <w:t xml:space="preserve"> </w:t>
      </w:r>
      <w:r w:rsidRPr="00DA1596">
        <w:t>49 U.S.C. § 20157(a)(1)</w:t>
      </w:r>
      <w:r>
        <w:t xml:space="preserve">.  The Federal Railroad Administration may grant a railroad additional implementation time up to a 24-month extension of the December 31, 2018, deadline—under limited circumstances.  </w:t>
      </w:r>
      <w:r>
        <w:rPr>
          <w:i/>
          <w:iCs/>
        </w:rPr>
        <w:t xml:space="preserve">See </w:t>
      </w:r>
      <w:r>
        <w:t xml:space="preserve">49 U.S.C. </w:t>
      </w:r>
      <w:r w:rsidRPr="00EF7CE5">
        <w:rPr>
          <w:bCs/>
        </w:rPr>
        <w:t>§</w:t>
      </w:r>
      <w:r>
        <w:rPr>
          <w:b/>
          <w:bCs/>
        </w:rPr>
        <w:t xml:space="preserve"> </w:t>
      </w:r>
      <w:r>
        <w:t>201</w:t>
      </w:r>
      <w:r w:rsidRPr="00B54BBE">
        <w:t>57</w:t>
      </w:r>
      <w:r w:rsidRPr="00B54BBE">
        <w:rPr>
          <w:iCs/>
        </w:rPr>
        <w:t>(a)(2)(B).</w:t>
      </w:r>
    </w:p>
  </w:footnote>
  <w:footnote w:id="219">
    <w:p w:rsidR="00C016B1" w:rsidP="00C016B1">
      <w:pPr>
        <w:pStyle w:val="FootnoteText"/>
      </w:pPr>
      <w:r>
        <w:rPr>
          <w:rStyle w:val="FootnoteReference"/>
        </w:rPr>
        <w:footnoteRef/>
      </w:r>
      <w:r>
        <w:t xml:space="preserve"> 49 U.S.C. </w:t>
      </w:r>
      <w:r w:rsidRPr="00EF7CE5">
        <w:rPr>
          <w:bCs/>
        </w:rPr>
        <w:t>§</w:t>
      </w:r>
      <w:r>
        <w:rPr>
          <w:b/>
          <w:bCs/>
        </w:rPr>
        <w:t xml:space="preserve"> </w:t>
      </w:r>
      <w:r>
        <w:t>20157(</w:t>
      </w:r>
      <w:r>
        <w:t>i</w:t>
      </w:r>
      <w:r>
        <w:t xml:space="preserve">)(5).  </w:t>
      </w:r>
    </w:p>
  </w:footnote>
  <w:footnote w:id="220">
    <w:p w:rsidR="00C016B1" w:rsidP="00C016B1">
      <w:pPr>
        <w:pStyle w:val="FootnoteText"/>
      </w:pPr>
      <w:r>
        <w:rPr>
          <w:rStyle w:val="FootnoteReference"/>
        </w:rPr>
        <w:footnoteRef/>
      </w:r>
      <w:r>
        <w:t xml:space="preserve"> </w:t>
      </w:r>
      <w:r>
        <w:rPr>
          <w:i/>
        </w:rPr>
        <w:t xml:space="preserve">See </w:t>
      </w:r>
      <w:r>
        <w:t>NTSB, Preliminary Report, Railroad; Amtrak Passenger Train 501 Derailment,</w:t>
      </w:r>
      <w:r w:rsidRPr="00955835">
        <w:t xml:space="preserve"> </w:t>
      </w:r>
      <w:r>
        <w:t xml:space="preserve">Accident ID </w:t>
      </w:r>
      <w:r w:rsidRPr="00955835">
        <w:t>RRD18MR001</w:t>
      </w:r>
      <w:r>
        <w:t xml:space="preserve"> at 3 (Dec. 18, 2017), available at </w:t>
      </w:r>
      <w:r>
        <w:fldChar w:fldCharType="begin"/>
      </w:r>
      <w:r>
        <w:instrText xml:space="preserve"> HYPERLINK "https://ntsb.gov/investigations/AccidentReports/Pages/RRD18MR001-prelim.aspx" </w:instrText>
      </w:r>
      <w:r>
        <w:fldChar w:fldCharType="separate"/>
      </w:r>
      <w:r w:rsidRPr="00806481">
        <w:rPr>
          <w:rStyle w:val="Hyperlink"/>
        </w:rPr>
        <w:t>https://ntsb.gov/investigations/AccidentReports/Pages/RRD18MR001-prelim.aspx</w:t>
      </w:r>
      <w:r>
        <w:fldChar w:fldCharType="end"/>
      </w:r>
      <w:r>
        <w:t xml:space="preserve">.  While spectrum had been obtained to deploy PTC in that area, the NTSB reports that a PTC system had not been fully implemented.  </w:t>
      </w:r>
      <w:r w:rsidRPr="00B11A22">
        <w:rPr>
          <w:i/>
        </w:rPr>
        <w:t>Id</w:t>
      </w:r>
      <w:r>
        <w:t>.</w:t>
      </w:r>
    </w:p>
  </w:footnote>
  <w:footnote w:id="221">
    <w:p w:rsidR="00C016B1" w:rsidP="00C016B1">
      <w:pPr>
        <w:pStyle w:val="FootnoteText"/>
      </w:pPr>
      <w:r>
        <w:rPr>
          <w:rStyle w:val="FootnoteReference"/>
        </w:rPr>
        <w:footnoteRef/>
      </w:r>
      <w:r>
        <w:t xml:space="preserve"> </w:t>
      </w:r>
      <w:r w:rsidRPr="00331F85">
        <w:rPr>
          <w:bCs/>
          <w:i/>
          <w:iCs/>
        </w:rPr>
        <w:t xml:space="preserve">See, e.g., Metropolitan Transportation Authority, </w:t>
      </w:r>
      <w:r w:rsidRPr="00331F85">
        <w:rPr>
          <w:bCs/>
        </w:rPr>
        <w:t xml:space="preserve">31 FCC Rcd 1436, </w:t>
      </w:r>
      <w:r>
        <w:rPr>
          <w:bCs/>
        </w:rPr>
        <w:t xml:space="preserve">1439, </w:t>
      </w:r>
      <w:r w:rsidRPr="00331F85">
        <w:rPr>
          <w:bCs/>
        </w:rPr>
        <w:t>para. 7 (2016) (facilitating implementation of PTC as “an important safety measure” that can “save lives, prevent injuries, and avoid extensive property damage”);</w:t>
      </w:r>
      <w:r>
        <w:rPr>
          <w:bCs/>
        </w:rPr>
        <w:t xml:space="preserve"> </w:t>
      </w:r>
      <w:r>
        <w:rPr>
          <w:bCs/>
          <w:i/>
        </w:rPr>
        <w:t xml:space="preserve">MCLM Order, </w:t>
      </w:r>
      <w:r>
        <w:rPr>
          <w:bCs/>
        </w:rPr>
        <w:t xml:space="preserve">29 FCC Rcd at 10882-83, para. 29 (recognizing the transformative potential of PTC to save lives, prevent injuries, and avoid extensive property damage). </w:t>
      </w:r>
    </w:p>
  </w:footnote>
  <w:footnote w:id="222">
    <w:p w:rsidR="00C016B1" w:rsidRPr="00404722" w:rsidP="00C016B1">
      <w:pPr>
        <w:pStyle w:val="FootnoteText"/>
      </w:pPr>
      <w:r>
        <w:rPr>
          <w:rStyle w:val="FootnoteReference"/>
        </w:rPr>
        <w:footnoteRef/>
      </w:r>
      <w:r>
        <w:t xml:space="preserve"> </w:t>
      </w:r>
      <w:r>
        <w:rPr>
          <w:i/>
        </w:rPr>
        <w:t>HDO</w:t>
      </w:r>
      <w:r>
        <w:t>, 26 FCC Rcd at 6523, n.7.</w:t>
      </w:r>
    </w:p>
  </w:footnote>
  <w:footnote w:id="223">
    <w:p w:rsidR="00C016B1" w:rsidRPr="0042598A" w:rsidP="00C016B1">
      <w:pPr>
        <w:pStyle w:val="FootnoteText"/>
      </w:pPr>
      <w:r w:rsidRPr="0042598A">
        <w:rPr>
          <w:rStyle w:val="FootnoteReference"/>
        </w:rPr>
        <w:footnoteRef/>
      </w:r>
      <w:r w:rsidRPr="0042598A">
        <w:t xml:space="preserve"> </w:t>
      </w:r>
      <w:r w:rsidRPr="0042598A">
        <w:rPr>
          <w:i/>
          <w:iCs/>
        </w:rPr>
        <w:t xml:space="preserve">Jefferson Radio Co. v. FCC, </w:t>
      </w:r>
      <w:r w:rsidRPr="0042598A">
        <w:t>340 F.2d 781 (D.C. Cir. 1964).</w:t>
      </w:r>
    </w:p>
  </w:footnote>
  <w:footnote w:id="224">
    <w:p w:rsidR="00C016B1" w:rsidRPr="0042598A" w:rsidP="00C016B1">
      <w:pPr>
        <w:pStyle w:val="FootnoteText"/>
      </w:pPr>
      <w:r w:rsidRPr="0042598A">
        <w:rPr>
          <w:rStyle w:val="FootnoteReference"/>
        </w:rPr>
        <w:footnoteRef/>
      </w:r>
      <w:r w:rsidRPr="0042598A">
        <w:t xml:space="preserve"> The Bureau’s review of any such application should be consistent with applicable rules and precedent.  </w:t>
      </w:r>
      <w:r w:rsidRPr="0042598A">
        <w:rPr>
          <w:i/>
        </w:rPr>
        <w:t>See, e.g., HDO</w:t>
      </w:r>
      <w:r w:rsidRPr="0042598A">
        <w:t xml:space="preserve">, 26 FCC Rcd at 6523, n.7; </w:t>
      </w:r>
      <w:r w:rsidRPr="0042598A">
        <w:rPr>
          <w:bCs/>
          <w:i/>
        </w:rPr>
        <w:t xml:space="preserve">MCLM Order, </w:t>
      </w:r>
      <w:r w:rsidRPr="0042598A">
        <w:rPr>
          <w:bCs/>
        </w:rPr>
        <w:t xml:space="preserve">29 FCC Rcd at 10880-85, paras. 25-33; </w:t>
      </w:r>
      <w:r w:rsidRPr="0042598A">
        <w:rPr>
          <w:bCs/>
          <w:i/>
        </w:rPr>
        <w:t xml:space="preserve">Maritime Communications/Land Mobile, LLC, </w:t>
      </w:r>
      <w:r w:rsidRPr="0042598A">
        <w:rPr>
          <w:bCs/>
        </w:rPr>
        <w:t>Order</w:t>
      </w:r>
      <w:r w:rsidRPr="0042598A">
        <w:rPr>
          <w:bCs/>
          <w:i/>
        </w:rPr>
        <w:t xml:space="preserve">, </w:t>
      </w:r>
      <w:r w:rsidRPr="0042598A">
        <w:rPr>
          <w:bCs/>
        </w:rPr>
        <w:t>31 FCC Rcd 9826 (WTB 2016).</w:t>
      </w:r>
    </w:p>
  </w:footnote>
  <w:footnote w:id="225">
    <w:p w:rsidR="00C016B1" w:rsidRPr="00804502" w:rsidP="00C016B1">
      <w:pPr>
        <w:pStyle w:val="FootnoteText"/>
      </w:pPr>
      <w:r w:rsidRPr="0042598A">
        <w:rPr>
          <w:rStyle w:val="FootnoteReference"/>
        </w:rPr>
        <w:footnoteRef/>
      </w:r>
      <w:r w:rsidRPr="0042598A">
        <w:t xml:space="preserve"> </w:t>
      </w:r>
      <w:r w:rsidRPr="0042598A">
        <w:rPr>
          <w:i/>
        </w:rPr>
        <w:t>See MCLM Order</w:t>
      </w:r>
      <w:r w:rsidRPr="0042598A">
        <w:t>, 29 FCC Rcd at 10880-87, paras. 25-38 (recognizing special status of applications to acquire spectrum for purposes of deploying PTC and rejecting requests for similar treatment as to applications filed by critical infrastructure industry).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68702F">
      <w:t>FCC 18-168</w:t>
    </w:r>
  </w:p>
  <w:p w:rsidR="00D25F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68702F">
      <w:rPr>
        <w:spacing w:val="-2"/>
      </w:rPr>
      <w:t>FCC 18-168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03A3DDB"/>
    <w:multiLevelType w:val="hybridMultilevel"/>
    <w:tmpl w:val="E738D410"/>
    <w:lvl w:ilvl="0">
      <w:start w:val="1"/>
      <w:numFmt w:val="decimal"/>
      <w:pStyle w:val="ListParagraph"/>
      <w:lvlText w:val="%1."/>
      <w:lvlJc w:val="left"/>
      <w:pPr>
        <w:ind w:left="-360" w:firstLine="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4E62587E"/>
    <w:multiLevelType w:val="hybridMultilevel"/>
    <w:tmpl w:val="399A1442"/>
    <w:lvl w:ilvl="0">
      <w:start w:val="1"/>
      <w:numFmt w:val="upperRoman"/>
      <w:lvlText w:val="%1."/>
      <w:lvlJc w:val="left"/>
      <w:pPr>
        <w:ind w:left="0" w:firstLine="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7"/>
  </w:num>
  <w:num w:numId="3">
    <w:abstractNumId w:val="3"/>
  </w:num>
  <w:num w:numId="4">
    <w:abstractNumId w:val="5"/>
  </w:num>
  <w:num w:numId="5">
    <w:abstractNumId w:val="2"/>
  </w:num>
  <w:num w:numId="6">
    <w:abstractNumId w:val="0"/>
  </w:num>
  <w:num w:numId="7">
    <w:abstractNumId w:val="6"/>
  </w:num>
  <w:num w:numId="8">
    <w:abstractNumId w:val="4"/>
  </w:num>
  <w:num w:numId="9">
    <w:abstractNumId w:val="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39E6"/>
    <w:pPr>
      <w:widowControl w:val="0"/>
    </w:pPr>
    <w:rPr>
      <w:snapToGrid w:val="0"/>
      <w:kern w:val="28"/>
      <w:sz w:val="22"/>
    </w:rPr>
  </w:style>
  <w:style w:type="paragraph" w:styleId="Heading1">
    <w:name w:val="heading 1"/>
    <w:basedOn w:val="Normal"/>
    <w:next w:val="ParaNum"/>
    <w:qFormat/>
    <w:rsid w:val="004739E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4739E6"/>
    <w:pPr>
      <w:keepNext/>
      <w:numPr>
        <w:ilvl w:val="1"/>
        <w:numId w:val="3"/>
      </w:numPr>
      <w:spacing w:after="120"/>
      <w:outlineLvl w:val="1"/>
    </w:pPr>
    <w:rPr>
      <w:b/>
    </w:rPr>
  </w:style>
  <w:style w:type="paragraph" w:styleId="Heading3">
    <w:name w:val="heading 3"/>
    <w:basedOn w:val="Normal"/>
    <w:next w:val="ParaNum"/>
    <w:qFormat/>
    <w:rsid w:val="004739E6"/>
    <w:pPr>
      <w:keepNext/>
      <w:numPr>
        <w:ilvl w:val="2"/>
        <w:numId w:val="3"/>
      </w:numPr>
      <w:tabs>
        <w:tab w:val="left" w:pos="2160"/>
      </w:tabs>
      <w:spacing w:after="120"/>
      <w:outlineLvl w:val="2"/>
    </w:pPr>
    <w:rPr>
      <w:b/>
    </w:rPr>
  </w:style>
  <w:style w:type="paragraph" w:styleId="Heading4">
    <w:name w:val="heading 4"/>
    <w:basedOn w:val="Normal"/>
    <w:next w:val="ParaNum"/>
    <w:qFormat/>
    <w:rsid w:val="004739E6"/>
    <w:pPr>
      <w:keepNext/>
      <w:numPr>
        <w:ilvl w:val="3"/>
        <w:numId w:val="3"/>
      </w:numPr>
      <w:tabs>
        <w:tab w:val="left" w:pos="2880"/>
      </w:tabs>
      <w:spacing w:after="120"/>
      <w:outlineLvl w:val="3"/>
    </w:pPr>
    <w:rPr>
      <w:b/>
    </w:rPr>
  </w:style>
  <w:style w:type="paragraph" w:styleId="Heading5">
    <w:name w:val="heading 5"/>
    <w:basedOn w:val="Normal"/>
    <w:next w:val="ParaNum"/>
    <w:qFormat/>
    <w:rsid w:val="004739E6"/>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4739E6"/>
    <w:pPr>
      <w:numPr>
        <w:ilvl w:val="5"/>
        <w:numId w:val="3"/>
      </w:numPr>
      <w:tabs>
        <w:tab w:val="left" w:pos="4320"/>
      </w:tabs>
      <w:spacing w:after="120"/>
      <w:outlineLvl w:val="5"/>
    </w:pPr>
    <w:rPr>
      <w:b/>
    </w:rPr>
  </w:style>
  <w:style w:type="paragraph" w:styleId="Heading7">
    <w:name w:val="heading 7"/>
    <w:basedOn w:val="Normal"/>
    <w:next w:val="ParaNum"/>
    <w:qFormat/>
    <w:rsid w:val="004739E6"/>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4739E6"/>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4739E6"/>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4739E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739E6"/>
  </w:style>
  <w:style w:type="paragraph" w:customStyle="1" w:styleId="ParaNum">
    <w:name w:val="ParaNum"/>
    <w:basedOn w:val="Normal"/>
    <w:rsid w:val="004739E6"/>
    <w:pPr>
      <w:numPr>
        <w:numId w:val="2"/>
      </w:numPr>
      <w:tabs>
        <w:tab w:val="clear" w:pos="1080"/>
        <w:tab w:val="num" w:pos="1440"/>
      </w:tabs>
      <w:spacing w:after="120"/>
    </w:pPr>
  </w:style>
  <w:style w:type="paragraph" w:styleId="EndnoteText">
    <w:name w:val="endnote text"/>
    <w:basedOn w:val="Normal"/>
    <w:semiHidden/>
    <w:rsid w:val="004739E6"/>
    <w:rPr>
      <w:sz w:val="20"/>
    </w:rPr>
  </w:style>
  <w:style w:type="character" w:styleId="EndnoteReference">
    <w:name w:val="endnote reference"/>
    <w:semiHidden/>
    <w:rsid w:val="004739E6"/>
    <w:rPr>
      <w:vertAlign w:val="superscript"/>
    </w:rPr>
  </w:style>
  <w:style w:type="paragraph" w:styleId="FootnoteText">
    <w:name w:val="footnote text"/>
    <w:link w:val="FootnoteTextChar"/>
    <w:rsid w:val="004739E6"/>
    <w:pPr>
      <w:spacing w:after="120"/>
    </w:pPr>
  </w:style>
  <w:style w:type="character" w:styleId="FootnoteReference">
    <w:name w:val="footnote reference"/>
    <w:rsid w:val="004739E6"/>
    <w:rPr>
      <w:rFonts w:ascii="Times New Roman" w:hAnsi="Times New Roman"/>
      <w:dstrike w:val="0"/>
      <w:color w:val="auto"/>
      <w:sz w:val="20"/>
      <w:vertAlign w:val="superscript"/>
    </w:rPr>
  </w:style>
  <w:style w:type="paragraph" w:styleId="TOC1">
    <w:name w:val="toc 1"/>
    <w:basedOn w:val="Normal"/>
    <w:next w:val="Normal"/>
    <w:semiHidden/>
    <w:rsid w:val="004739E6"/>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4739E6"/>
    <w:pPr>
      <w:tabs>
        <w:tab w:val="left" w:pos="720"/>
        <w:tab w:val="right" w:leader="dot" w:pos="9360"/>
      </w:tabs>
      <w:suppressAutoHyphens/>
      <w:ind w:left="720" w:right="720" w:hanging="360"/>
    </w:pPr>
    <w:rPr>
      <w:noProof/>
    </w:rPr>
  </w:style>
  <w:style w:type="paragraph" w:styleId="TOC3">
    <w:name w:val="toc 3"/>
    <w:basedOn w:val="Normal"/>
    <w:next w:val="Normal"/>
    <w:semiHidden/>
    <w:rsid w:val="004739E6"/>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4739E6"/>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4739E6"/>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4739E6"/>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4739E6"/>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4739E6"/>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4739E6"/>
    <w:pPr>
      <w:tabs>
        <w:tab w:val="left" w:pos="3240"/>
        <w:tab w:val="right" w:leader="dot" w:pos="9360"/>
      </w:tabs>
      <w:suppressAutoHyphens/>
      <w:ind w:left="3240" w:hanging="360"/>
    </w:pPr>
    <w:rPr>
      <w:noProof/>
    </w:rPr>
  </w:style>
  <w:style w:type="paragraph" w:styleId="TOAHeading">
    <w:name w:val="toa heading"/>
    <w:basedOn w:val="Normal"/>
    <w:next w:val="Normal"/>
    <w:semiHidden/>
    <w:rsid w:val="004739E6"/>
    <w:pPr>
      <w:tabs>
        <w:tab w:val="right" w:pos="9360"/>
      </w:tabs>
      <w:suppressAutoHyphens/>
    </w:pPr>
  </w:style>
  <w:style w:type="character" w:customStyle="1" w:styleId="EquationCaption">
    <w:name w:val="_Equation Caption"/>
    <w:rsid w:val="004739E6"/>
  </w:style>
  <w:style w:type="paragraph" w:styleId="Header">
    <w:name w:val="header"/>
    <w:basedOn w:val="Normal"/>
    <w:autoRedefine/>
    <w:rsid w:val="004739E6"/>
    <w:pPr>
      <w:tabs>
        <w:tab w:val="center" w:pos="4680"/>
        <w:tab w:val="right" w:pos="9360"/>
      </w:tabs>
    </w:pPr>
    <w:rPr>
      <w:b/>
    </w:rPr>
  </w:style>
  <w:style w:type="paragraph" w:styleId="Footer">
    <w:name w:val="footer"/>
    <w:basedOn w:val="Normal"/>
    <w:link w:val="FooterChar"/>
    <w:uiPriority w:val="99"/>
    <w:rsid w:val="004739E6"/>
    <w:pPr>
      <w:tabs>
        <w:tab w:val="center" w:pos="4320"/>
        <w:tab w:val="right" w:pos="8640"/>
      </w:tabs>
    </w:pPr>
  </w:style>
  <w:style w:type="character" w:styleId="PageNumber">
    <w:name w:val="page number"/>
    <w:basedOn w:val="DefaultParagraphFont"/>
    <w:rsid w:val="004739E6"/>
  </w:style>
  <w:style w:type="paragraph" w:styleId="BlockText">
    <w:name w:val="Block Text"/>
    <w:basedOn w:val="Normal"/>
    <w:rsid w:val="004739E6"/>
    <w:pPr>
      <w:spacing w:after="240"/>
      <w:ind w:left="1440" w:right="1440"/>
    </w:pPr>
  </w:style>
  <w:style w:type="paragraph" w:customStyle="1" w:styleId="Paratitle">
    <w:name w:val="Para title"/>
    <w:basedOn w:val="Normal"/>
    <w:rsid w:val="004739E6"/>
    <w:pPr>
      <w:tabs>
        <w:tab w:val="center" w:pos="9270"/>
      </w:tabs>
      <w:spacing w:after="240"/>
    </w:pPr>
    <w:rPr>
      <w:spacing w:val="-2"/>
    </w:rPr>
  </w:style>
  <w:style w:type="paragraph" w:customStyle="1" w:styleId="Bullet">
    <w:name w:val="Bullet"/>
    <w:basedOn w:val="Normal"/>
    <w:rsid w:val="004739E6"/>
    <w:pPr>
      <w:tabs>
        <w:tab w:val="left" w:pos="2160"/>
      </w:tabs>
      <w:spacing w:after="220"/>
      <w:ind w:left="2160" w:hanging="720"/>
    </w:pPr>
  </w:style>
  <w:style w:type="paragraph" w:customStyle="1" w:styleId="TableFormat">
    <w:name w:val="TableFormat"/>
    <w:basedOn w:val="Bullet"/>
    <w:rsid w:val="004739E6"/>
    <w:pPr>
      <w:tabs>
        <w:tab w:val="clear" w:pos="2160"/>
        <w:tab w:val="left" w:pos="5040"/>
      </w:tabs>
      <w:ind w:left="5040" w:hanging="3600"/>
    </w:pPr>
  </w:style>
  <w:style w:type="paragraph" w:customStyle="1" w:styleId="TOCTitle">
    <w:name w:val="TOC Title"/>
    <w:basedOn w:val="Normal"/>
    <w:rsid w:val="004739E6"/>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4739E6"/>
    <w:pPr>
      <w:jc w:val="center"/>
    </w:pPr>
    <w:rPr>
      <w:rFonts w:ascii="Times New Roman Bold" w:hAnsi="Times New Roman Bold"/>
      <w:b/>
      <w:bCs/>
      <w:caps/>
      <w:szCs w:val="22"/>
    </w:rPr>
  </w:style>
  <w:style w:type="character" w:styleId="Hyperlink">
    <w:name w:val="Hyperlink"/>
    <w:rsid w:val="004739E6"/>
    <w:rPr>
      <w:color w:val="0000FF"/>
      <w:u w:val="single"/>
    </w:rPr>
  </w:style>
  <w:style w:type="character" w:customStyle="1" w:styleId="FooterChar">
    <w:name w:val="Footer Char"/>
    <w:link w:val="Footer"/>
    <w:uiPriority w:val="99"/>
    <w:rsid w:val="004739E6"/>
    <w:rPr>
      <w:snapToGrid w:val="0"/>
      <w:kern w:val="28"/>
      <w:sz w:val="22"/>
    </w:rPr>
  </w:style>
  <w:style w:type="paragraph" w:styleId="ListParagraph">
    <w:name w:val="List Paragraph"/>
    <w:basedOn w:val="Normal"/>
    <w:uiPriority w:val="34"/>
    <w:qFormat/>
    <w:rsid w:val="00C016B1"/>
    <w:pPr>
      <w:numPr>
        <w:numId w:val="8"/>
      </w:numPr>
      <w:spacing w:line="480" w:lineRule="auto"/>
      <w:contextualSpacing/>
    </w:pPr>
    <w:rPr>
      <w:snapToGrid/>
    </w:rPr>
  </w:style>
  <w:style w:type="character" w:customStyle="1" w:styleId="FootnoteTextChar">
    <w:name w:val="Footnote Text Char"/>
    <w:link w:val="FootnoteText"/>
    <w:rsid w:val="00C016B1"/>
  </w:style>
  <w:style w:type="character" w:styleId="LineNumber">
    <w:name w:val="line number"/>
    <w:rsid w:val="00C016B1"/>
  </w:style>
  <w:style w:type="paragraph" w:styleId="BalloonText">
    <w:name w:val="Balloon Text"/>
    <w:basedOn w:val="Normal"/>
    <w:link w:val="BalloonTextChar"/>
    <w:rsid w:val="00C016B1"/>
    <w:rPr>
      <w:rFonts w:ascii="Tahoma" w:hAnsi="Tahoma" w:cs="Tahoma"/>
      <w:snapToGrid/>
      <w:sz w:val="16"/>
      <w:szCs w:val="16"/>
    </w:rPr>
  </w:style>
  <w:style w:type="character" w:customStyle="1" w:styleId="BalloonTextChar">
    <w:name w:val="Balloon Text Char"/>
    <w:basedOn w:val="DefaultParagraphFont"/>
    <w:link w:val="BalloonText"/>
    <w:rsid w:val="00C016B1"/>
    <w:rPr>
      <w:rFonts w:ascii="Tahoma" w:hAnsi="Tahoma" w:cs="Tahoma"/>
      <w:kern w:val="28"/>
      <w:sz w:val="16"/>
      <w:szCs w:val="16"/>
    </w:rPr>
  </w:style>
  <w:style w:type="character" w:styleId="CommentReference">
    <w:name w:val="annotation reference"/>
    <w:rsid w:val="00C016B1"/>
    <w:rPr>
      <w:sz w:val="16"/>
      <w:szCs w:val="16"/>
    </w:rPr>
  </w:style>
  <w:style w:type="paragraph" w:styleId="CommentText">
    <w:name w:val="annotation text"/>
    <w:basedOn w:val="Normal"/>
    <w:link w:val="CommentTextChar"/>
    <w:rsid w:val="00C016B1"/>
    <w:rPr>
      <w:snapToGrid/>
      <w:sz w:val="20"/>
    </w:rPr>
  </w:style>
  <w:style w:type="character" w:customStyle="1" w:styleId="CommentTextChar">
    <w:name w:val="Comment Text Char"/>
    <w:basedOn w:val="DefaultParagraphFont"/>
    <w:link w:val="CommentText"/>
    <w:rsid w:val="00C016B1"/>
    <w:rPr>
      <w:kern w:val="28"/>
    </w:rPr>
  </w:style>
  <w:style w:type="paragraph" w:styleId="CommentSubject">
    <w:name w:val="annotation subject"/>
    <w:basedOn w:val="CommentText"/>
    <w:next w:val="CommentText"/>
    <w:link w:val="CommentSubjectChar"/>
    <w:rsid w:val="00C016B1"/>
    <w:rPr>
      <w:b/>
      <w:bCs/>
    </w:rPr>
  </w:style>
  <w:style w:type="character" w:customStyle="1" w:styleId="CommentSubjectChar">
    <w:name w:val="Comment Subject Char"/>
    <w:basedOn w:val="CommentTextChar"/>
    <w:link w:val="CommentSubject"/>
    <w:rsid w:val="00C016B1"/>
    <w:rPr>
      <w:b/>
      <w:bCs/>
      <w:kern w:val="28"/>
    </w:rPr>
  </w:style>
  <w:style w:type="paragraph" w:styleId="Revision">
    <w:name w:val="Revision"/>
    <w:hidden/>
    <w:uiPriority w:val="99"/>
    <w:semiHidden/>
    <w:rsid w:val="00C016B1"/>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