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B634E" w:rsidP="00CB634E">
      <w:pPr>
        <w:jc w:val="center"/>
        <w:rPr>
          <w:b/>
        </w:rPr>
      </w:pPr>
      <w:r w:rsidRPr="0070224F">
        <w:rPr>
          <w:rFonts w:ascii="Times New Roman Bold" w:hAnsi="Times New Roman Bold"/>
          <w:b/>
        </w:rPr>
        <w:t>Before</w:t>
      </w:r>
      <w:r>
        <w:rPr>
          <w:b/>
        </w:rPr>
        <w:t xml:space="preserve"> the</w:t>
      </w:r>
    </w:p>
    <w:p w:rsidR="00CB634E" w:rsidP="00CB634E">
      <w:pPr>
        <w:pStyle w:val="StyleBoldCentered"/>
      </w:pPr>
      <w:r>
        <w:t>F</w:t>
      </w:r>
      <w:r>
        <w:rPr>
          <w:caps w:val="0"/>
        </w:rPr>
        <w:t>ederal Communications Commission</w:t>
      </w:r>
    </w:p>
    <w:p w:rsidR="00CB634E" w:rsidP="00CB634E">
      <w:pPr>
        <w:pStyle w:val="StyleBoldCentered"/>
      </w:pPr>
      <w:r>
        <w:rPr>
          <w:caps w:val="0"/>
        </w:rPr>
        <w:t>Washington, D.C. 20554</w:t>
      </w:r>
    </w:p>
    <w:p w:rsidR="00CB634E" w:rsidP="00CB634E"/>
    <w:tbl>
      <w:tblPr>
        <w:tblW w:w="9576" w:type="dxa"/>
        <w:tblLayout w:type="fixed"/>
        <w:tblLook w:val="0000"/>
      </w:tblPr>
      <w:tblGrid>
        <w:gridCol w:w="4698"/>
        <w:gridCol w:w="630"/>
        <w:gridCol w:w="4248"/>
      </w:tblGrid>
      <w:tr w:rsidTr="00BB18B4">
        <w:tblPrEx>
          <w:tblW w:w="9576" w:type="dxa"/>
          <w:tblLayout w:type="fixed"/>
          <w:tblLook w:val="0000"/>
        </w:tblPrEx>
        <w:trPr>
          <w:trHeight w:val="1080"/>
        </w:trPr>
        <w:tc>
          <w:tcPr>
            <w:tcW w:w="4698" w:type="dxa"/>
          </w:tcPr>
          <w:p w:rsidR="00CB634E" w:rsidP="006438AB">
            <w:pPr>
              <w:tabs>
                <w:tab w:val="center" w:pos="4680"/>
              </w:tabs>
              <w:suppressAutoHyphens/>
              <w:rPr>
                <w:spacing w:val="-2"/>
              </w:rPr>
            </w:pPr>
            <w:r>
              <w:rPr>
                <w:spacing w:val="-2"/>
              </w:rPr>
              <w:t>In the Matter of</w:t>
            </w:r>
          </w:p>
          <w:p w:rsidR="00CB634E" w:rsidP="006438AB">
            <w:pPr>
              <w:tabs>
                <w:tab w:val="center" w:pos="4680"/>
              </w:tabs>
              <w:suppressAutoHyphens/>
              <w:rPr>
                <w:spacing w:val="-2"/>
              </w:rPr>
            </w:pPr>
          </w:p>
          <w:p w:rsidR="006A3DBE" w:rsidP="006438AB">
            <w:pPr>
              <w:tabs>
                <w:tab w:val="center" w:pos="4680"/>
              </w:tabs>
              <w:suppressAutoHyphens/>
              <w:rPr>
                <w:spacing w:val="-2"/>
              </w:rPr>
            </w:pPr>
            <w:r>
              <w:rPr>
                <w:spacing w:val="-2"/>
              </w:rPr>
              <w:t>SPECTRUM NETWORKS GROUP, LLC</w:t>
            </w:r>
          </w:p>
          <w:p w:rsidR="009A7853" w:rsidP="006438AB">
            <w:pPr>
              <w:tabs>
                <w:tab w:val="center" w:pos="4680"/>
              </w:tabs>
              <w:suppressAutoHyphens/>
              <w:rPr>
                <w:spacing w:val="-2"/>
              </w:rPr>
            </w:pPr>
          </w:p>
          <w:p w:rsidR="006A3DBE" w:rsidP="006A3DBE">
            <w:pPr>
              <w:ind w:right="-18"/>
              <w:rPr>
                <w:snapToGrid/>
                <w:kern w:val="0"/>
                <w:szCs w:val="22"/>
              </w:rPr>
            </w:pPr>
            <w:r>
              <w:rPr>
                <w:szCs w:val="22"/>
              </w:rPr>
              <w:t>Applications and Waiver Request to Allow It to Provide Private, Internal Machine-To-Machine Communications to Businesses on 900 MHz Business/Industrial/Land Transportation Channels</w:t>
            </w:r>
          </w:p>
          <w:p w:rsidR="006A3DBE" w:rsidRPr="007115F7" w:rsidP="006438AB">
            <w:pPr>
              <w:tabs>
                <w:tab w:val="center" w:pos="4680"/>
              </w:tabs>
              <w:suppressAutoHyphens/>
              <w:rPr>
                <w:spacing w:val="-2"/>
              </w:rPr>
            </w:pPr>
          </w:p>
        </w:tc>
        <w:tc>
          <w:tcPr>
            <w:tcW w:w="630" w:type="dxa"/>
          </w:tcPr>
          <w:p w:rsidR="00CB634E" w:rsidP="006438AB">
            <w:pPr>
              <w:tabs>
                <w:tab w:val="center" w:pos="4680"/>
              </w:tabs>
              <w:suppressAutoHyphens/>
              <w:rPr>
                <w:b/>
                <w:spacing w:val="-2"/>
              </w:rPr>
            </w:pPr>
            <w:r>
              <w:rPr>
                <w:b/>
                <w:spacing w:val="-2"/>
              </w:rPr>
              <w:t>)</w:t>
            </w:r>
          </w:p>
          <w:p w:rsidR="00CB634E" w:rsidP="006438AB">
            <w:pPr>
              <w:tabs>
                <w:tab w:val="center" w:pos="4680"/>
              </w:tabs>
              <w:suppressAutoHyphens/>
              <w:rPr>
                <w:b/>
                <w:spacing w:val="-2"/>
              </w:rPr>
            </w:pPr>
            <w:r>
              <w:rPr>
                <w:b/>
                <w:spacing w:val="-2"/>
              </w:rPr>
              <w:t>)</w:t>
            </w:r>
          </w:p>
          <w:p w:rsidR="00CB634E" w:rsidP="006438AB">
            <w:pPr>
              <w:tabs>
                <w:tab w:val="center" w:pos="4680"/>
              </w:tabs>
              <w:suppressAutoHyphens/>
              <w:rPr>
                <w:b/>
                <w:spacing w:val="-2"/>
              </w:rPr>
            </w:pPr>
            <w:r>
              <w:rPr>
                <w:b/>
                <w:spacing w:val="-2"/>
              </w:rPr>
              <w:t>)</w:t>
            </w:r>
          </w:p>
          <w:p w:rsidR="00CB634E" w:rsidP="006438AB">
            <w:pPr>
              <w:tabs>
                <w:tab w:val="center" w:pos="4680"/>
              </w:tabs>
              <w:suppressAutoHyphens/>
              <w:rPr>
                <w:b/>
                <w:spacing w:val="-2"/>
              </w:rPr>
            </w:pPr>
            <w:r>
              <w:rPr>
                <w:b/>
                <w:spacing w:val="-2"/>
              </w:rPr>
              <w:t>)</w:t>
            </w:r>
          </w:p>
          <w:p w:rsidR="006A3DBE" w:rsidP="006438AB">
            <w:pPr>
              <w:tabs>
                <w:tab w:val="center" w:pos="4680"/>
              </w:tabs>
              <w:suppressAutoHyphens/>
              <w:rPr>
                <w:b/>
                <w:spacing w:val="-2"/>
              </w:rPr>
            </w:pPr>
            <w:r>
              <w:rPr>
                <w:b/>
                <w:spacing w:val="-2"/>
              </w:rPr>
              <w:t>)</w:t>
            </w:r>
          </w:p>
          <w:p w:rsidR="006A3DBE" w:rsidP="006438AB">
            <w:pPr>
              <w:tabs>
                <w:tab w:val="center" w:pos="4680"/>
              </w:tabs>
              <w:suppressAutoHyphens/>
              <w:rPr>
                <w:b/>
                <w:spacing w:val="-2"/>
              </w:rPr>
            </w:pPr>
            <w:r>
              <w:rPr>
                <w:b/>
                <w:spacing w:val="-2"/>
              </w:rPr>
              <w:t>)</w:t>
            </w:r>
          </w:p>
          <w:p w:rsidR="006A3DBE" w:rsidP="006438AB">
            <w:pPr>
              <w:tabs>
                <w:tab w:val="center" w:pos="4680"/>
              </w:tabs>
              <w:suppressAutoHyphens/>
              <w:rPr>
                <w:b/>
                <w:spacing w:val="-2"/>
              </w:rPr>
            </w:pPr>
            <w:r>
              <w:rPr>
                <w:b/>
                <w:spacing w:val="-2"/>
              </w:rPr>
              <w:t>)</w:t>
            </w:r>
          </w:p>
          <w:p w:rsidR="009A7853" w:rsidP="006438AB">
            <w:pPr>
              <w:tabs>
                <w:tab w:val="center" w:pos="4680"/>
              </w:tabs>
              <w:suppressAutoHyphens/>
              <w:rPr>
                <w:b/>
                <w:spacing w:val="-2"/>
              </w:rPr>
            </w:pPr>
            <w:r>
              <w:rPr>
                <w:b/>
                <w:spacing w:val="-2"/>
              </w:rPr>
              <w:t>)</w:t>
            </w:r>
          </w:p>
          <w:p w:rsidR="006A3DBE" w:rsidRPr="00FF02DA" w:rsidP="006438AB">
            <w:pPr>
              <w:tabs>
                <w:tab w:val="center" w:pos="4680"/>
              </w:tabs>
              <w:suppressAutoHyphens/>
              <w:rPr>
                <w:b/>
                <w:spacing w:val="-2"/>
              </w:rPr>
            </w:pPr>
          </w:p>
        </w:tc>
        <w:tc>
          <w:tcPr>
            <w:tcW w:w="4248" w:type="dxa"/>
          </w:tcPr>
          <w:p w:rsidR="00CB634E" w:rsidP="006438AB">
            <w:pPr>
              <w:tabs>
                <w:tab w:val="center" w:pos="4680"/>
              </w:tabs>
              <w:suppressAutoHyphens/>
              <w:rPr>
                <w:spacing w:val="-2"/>
              </w:rPr>
            </w:pPr>
          </w:p>
          <w:p w:rsidR="00CB634E" w:rsidP="006438AB">
            <w:pPr>
              <w:pStyle w:val="TOAHeading"/>
              <w:tabs>
                <w:tab w:val="center" w:pos="4680"/>
                <w:tab w:val="clear" w:pos="9360"/>
              </w:tabs>
              <w:rPr>
                <w:spacing w:val="-2"/>
              </w:rPr>
            </w:pPr>
          </w:p>
          <w:p w:rsidR="006A3DBE" w:rsidP="006438AB">
            <w:pPr>
              <w:tabs>
                <w:tab w:val="center" w:pos="4680"/>
              </w:tabs>
              <w:suppressAutoHyphens/>
              <w:rPr>
                <w:spacing w:val="-2"/>
              </w:rPr>
            </w:pPr>
            <w:r>
              <w:rPr>
                <w:szCs w:val="22"/>
              </w:rPr>
              <w:t>WT Docket No. 14-100</w:t>
            </w:r>
          </w:p>
          <w:p w:rsidR="00577771" w:rsidP="00BE332B">
            <w:pPr>
              <w:tabs>
                <w:tab w:val="center" w:pos="4680"/>
              </w:tabs>
              <w:suppressAutoHyphens/>
              <w:rPr>
                <w:spacing w:val="-2"/>
              </w:rPr>
            </w:pPr>
          </w:p>
        </w:tc>
      </w:tr>
    </w:tbl>
    <w:p w:rsidR="00CB634E" w:rsidP="00CB634E">
      <w:pPr>
        <w:pStyle w:val="StyleBoldCentered"/>
      </w:pPr>
      <w:r>
        <w:t>memorandum opinion and ORDER</w:t>
      </w:r>
    </w:p>
    <w:p w:rsidR="00CB634E" w:rsidP="00CB634E">
      <w:pPr>
        <w:tabs>
          <w:tab w:val="left" w:pos="-720"/>
        </w:tabs>
        <w:suppressAutoHyphens/>
        <w:spacing w:line="227" w:lineRule="auto"/>
        <w:rPr>
          <w:spacing w:val="-2"/>
        </w:rPr>
      </w:pPr>
    </w:p>
    <w:p w:rsidR="00CB634E" w:rsidP="00CB634E">
      <w:pPr>
        <w:tabs>
          <w:tab w:val="left" w:pos="720"/>
          <w:tab w:val="right" w:pos="9360"/>
        </w:tabs>
        <w:suppressAutoHyphens/>
        <w:spacing w:line="227" w:lineRule="auto"/>
        <w:rPr>
          <w:b/>
          <w:spacing w:val="-2"/>
        </w:rPr>
      </w:pPr>
      <w:r>
        <w:rPr>
          <w:b/>
          <w:spacing w:val="-2"/>
        </w:rPr>
        <w:t xml:space="preserve">Adopted:  </w:t>
      </w:r>
      <w:r w:rsidR="00CF4A0B">
        <w:rPr>
          <w:b/>
          <w:spacing w:val="-2"/>
        </w:rPr>
        <w:t xml:space="preserve">December </w:t>
      </w:r>
      <w:r w:rsidRPr="00981363" w:rsidR="00CF4A0B">
        <w:rPr>
          <w:b/>
          <w:spacing w:val="-2"/>
        </w:rPr>
        <w:t>5</w:t>
      </w:r>
      <w:r w:rsidR="00CF4A0B">
        <w:rPr>
          <w:b/>
          <w:spacing w:val="-2"/>
        </w:rPr>
        <w:t>, 2018</w:t>
      </w:r>
      <w:r>
        <w:rPr>
          <w:b/>
          <w:spacing w:val="-2"/>
        </w:rPr>
        <w:tab/>
        <w:t xml:space="preserve">Released:  </w:t>
      </w:r>
      <w:r w:rsidRPr="00FC4625" w:rsidR="00CF4A0B">
        <w:rPr>
          <w:b/>
          <w:spacing w:val="-2"/>
        </w:rPr>
        <w:t xml:space="preserve">December </w:t>
      </w:r>
      <w:r w:rsidRPr="00FC4625" w:rsidR="00FC4625">
        <w:rPr>
          <w:b/>
          <w:spacing w:val="-2"/>
        </w:rPr>
        <w:t>10</w:t>
      </w:r>
      <w:r w:rsidR="00CF4A0B">
        <w:rPr>
          <w:b/>
          <w:spacing w:val="-2"/>
        </w:rPr>
        <w:t>, 2018</w:t>
      </w:r>
    </w:p>
    <w:p w:rsidR="005A2ED8" w:rsidP="00CB634E">
      <w:pPr>
        <w:tabs>
          <w:tab w:val="left" w:pos="720"/>
          <w:tab w:val="right" w:pos="9360"/>
        </w:tabs>
        <w:suppressAutoHyphens/>
        <w:spacing w:line="227" w:lineRule="auto"/>
        <w:rPr>
          <w:b/>
          <w:spacing w:val="-2"/>
        </w:rPr>
      </w:pPr>
    </w:p>
    <w:p w:rsidR="005A2ED8" w:rsidRPr="005A2ED8" w:rsidP="00CB634E">
      <w:pPr>
        <w:tabs>
          <w:tab w:val="left" w:pos="720"/>
          <w:tab w:val="right" w:pos="9360"/>
        </w:tabs>
        <w:suppressAutoHyphens/>
        <w:spacing w:line="227" w:lineRule="auto"/>
        <w:rPr>
          <w:spacing w:val="-2"/>
        </w:rPr>
      </w:pPr>
      <w:r w:rsidRPr="005A2ED8">
        <w:rPr>
          <w:spacing w:val="-2"/>
        </w:rPr>
        <w:t>By the Commission:</w:t>
      </w:r>
    </w:p>
    <w:p w:rsidR="00BB18B4" w:rsidRPr="00BB18B4" w:rsidP="00BB18B4">
      <w:pPr>
        <w:rPr>
          <w:rFonts w:eastAsiaTheme="minorEastAsia"/>
        </w:rPr>
      </w:pPr>
    </w:p>
    <w:p w:rsidR="00693508" w:rsidP="00693508">
      <w:pPr>
        <w:pStyle w:val="Heading1"/>
        <w:rPr>
          <w:rFonts w:eastAsiaTheme="minorHAnsi"/>
          <w:snapToGrid/>
        </w:rPr>
      </w:pPr>
      <w:bookmarkStart w:id="0" w:name="_Toc522205084"/>
      <w:bookmarkStart w:id="1" w:name="_Toc522205559"/>
      <w:bookmarkStart w:id="2" w:name="_Toc427936719"/>
      <w:bookmarkStart w:id="3" w:name="_Toc427936757"/>
      <w:r>
        <w:rPr>
          <w:rFonts w:eastAsiaTheme="minorHAnsi"/>
          <w:snapToGrid/>
        </w:rPr>
        <w:t>introduction</w:t>
      </w:r>
    </w:p>
    <w:p w:rsidR="00693508" w:rsidRPr="00FC4625" w:rsidP="00C36B64">
      <w:pPr>
        <w:pStyle w:val="ParaNum"/>
      </w:pPr>
      <w:r>
        <w:t>T</w:t>
      </w:r>
      <w:r w:rsidRPr="00693508">
        <w:t xml:space="preserve">his </w:t>
      </w:r>
      <w:r w:rsidRPr="00693508">
        <w:rPr>
          <w:i/>
        </w:rPr>
        <w:t>Memorandum Opinion and Order</w:t>
      </w:r>
      <w:r w:rsidR="007867A9">
        <w:t xml:space="preserve"> </w:t>
      </w:r>
      <w:r w:rsidR="00C36B64">
        <w:t>addresses an Application for Review</w:t>
      </w:r>
      <w:r>
        <w:rPr>
          <w:rFonts w:eastAsiaTheme="minorHAnsi"/>
          <w:snapToGrid/>
          <w:sz w:val="20"/>
          <w:vertAlign w:val="superscript"/>
        </w:rPr>
        <w:footnoteReference w:id="3"/>
      </w:r>
      <w:r w:rsidR="00C36B64">
        <w:t xml:space="preserve"> of</w:t>
      </w:r>
      <w:r>
        <w:t xml:space="preserve"> a decision by the Wireless Telecommunications Bureau’s Mobility Division (Division)</w:t>
      </w:r>
      <w:r w:rsidR="00F84644">
        <w:t xml:space="preserve"> </w:t>
      </w:r>
      <w:r w:rsidR="00C36B64">
        <w:t>that den</w:t>
      </w:r>
      <w:r>
        <w:t>i</w:t>
      </w:r>
      <w:r w:rsidR="00C36B64">
        <w:t>ed</w:t>
      </w:r>
      <w:r w:rsidRPr="00435752" w:rsidR="00435752">
        <w:t xml:space="preserve"> </w:t>
      </w:r>
      <w:r>
        <w:t xml:space="preserve">the request of </w:t>
      </w:r>
      <w:r w:rsidRPr="00435752" w:rsidR="00435752">
        <w:t>Spec</w:t>
      </w:r>
      <w:r w:rsidR="00435752">
        <w:t>trum Networks Group, LLC</w:t>
      </w:r>
      <w:r w:rsidR="004A633E">
        <w:t>,</w:t>
      </w:r>
      <w:r w:rsidR="00435752">
        <w:t xml:space="preserve"> (</w:t>
      </w:r>
      <w:r w:rsidR="006C60AB">
        <w:t>SNG</w:t>
      </w:r>
      <w:r w:rsidR="00435752">
        <w:t xml:space="preserve">) </w:t>
      </w:r>
      <w:r>
        <w:t>for a waiver permitting it to operate</w:t>
      </w:r>
      <w:r w:rsidR="00435752">
        <w:t xml:space="preserve"> </w:t>
      </w:r>
      <w:r w:rsidR="000C5B0C">
        <w:t xml:space="preserve">Specialized Mobile Radio (SMR) systems on </w:t>
      </w:r>
      <w:r w:rsidR="00C36B64">
        <w:t>896-901/935-940 MHz (</w:t>
      </w:r>
      <w:r>
        <w:t>900 MHz</w:t>
      </w:r>
      <w:r w:rsidR="00C36B64">
        <w:t>)</w:t>
      </w:r>
      <w:r>
        <w:t xml:space="preserve"> Business/Industrial/</w:t>
      </w:r>
      <w:r w:rsidRPr="00435752" w:rsidR="00435752">
        <w:t>Land Transportation</w:t>
      </w:r>
      <w:r w:rsidR="00435752">
        <w:t xml:space="preserve"> (B/ILT) channels</w:t>
      </w:r>
      <w:r w:rsidR="000C5B0C">
        <w:t>.</w:t>
      </w:r>
      <w:r>
        <w:rPr>
          <w:rStyle w:val="FootnoteReference"/>
          <w:kern w:val="0"/>
        </w:rPr>
        <w:footnoteReference w:id="4"/>
      </w:r>
      <w:r w:rsidR="000C5B0C">
        <w:t xml:space="preserve">  </w:t>
      </w:r>
      <w:r>
        <w:t xml:space="preserve">For the reasons stated below, we </w:t>
      </w:r>
      <w:r w:rsidR="00356612">
        <w:t>deny</w:t>
      </w:r>
      <w:r>
        <w:t xml:space="preserve"> </w:t>
      </w:r>
      <w:r w:rsidR="00F2012E">
        <w:t>the</w:t>
      </w:r>
      <w:r>
        <w:t xml:space="preserve"> </w:t>
      </w:r>
      <w:r w:rsidR="002D2AD6">
        <w:t>Application for Review</w:t>
      </w:r>
      <w:r>
        <w:t>.</w:t>
      </w:r>
    </w:p>
    <w:p w:rsidR="00693508" w:rsidP="00693508">
      <w:pPr>
        <w:pStyle w:val="Heading1"/>
        <w:rPr>
          <w:rFonts w:eastAsiaTheme="minorHAnsi"/>
          <w:snapToGrid/>
        </w:rPr>
      </w:pPr>
      <w:r>
        <w:rPr>
          <w:rFonts w:eastAsiaTheme="minorHAnsi"/>
          <w:snapToGrid/>
        </w:rPr>
        <w:t>Background</w:t>
      </w:r>
    </w:p>
    <w:p w:rsidR="00F84644" w:rsidRPr="000C5B0C" w:rsidP="000C5B0C">
      <w:pPr>
        <w:pStyle w:val="ParaNum"/>
      </w:pPr>
      <w:r w:rsidRPr="00F84644">
        <w:rPr>
          <w:rFonts w:eastAsiaTheme="minorHAnsi"/>
          <w:snapToGrid/>
        </w:rPr>
        <w:t xml:space="preserve">The 900 MHz band consists </w:t>
      </w:r>
      <w:r w:rsidR="00952DB1">
        <w:rPr>
          <w:rFonts w:eastAsiaTheme="minorHAnsi"/>
          <w:snapToGrid/>
        </w:rPr>
        <w:t xml:space="preserve">of </w:t>
      </w:r>
      <w:r w:rsidRPr="00F84644">
        <w:rPr>
          <w:rFonts w:eastAsiaTheme="minorHAnsi"/>
          <w:snapToGrid/>
        </w:rPr>
        <w:t>10-channel blocks that alternate between SMR blocks that are geographically lice</w:t>
      </w:r>
      <w:r w:rsidR="003B07B2">
        <w:rPr>
          <w:rFonts w:eastAsiaTheme="minorHAnsi"/>
          <w:snapToGrid/>
        </w:rPr>
        <w:t xml:space="preserve">nsed </w:t>
      </w:r>
      <w:r w:rsidRPr="00F84644">
        <w:rPr>
          <w:rFonts w:eastAsiaTheme="minorHAnsi"/>
          <w:snapToGrid/>
        </w:rPr>
        <w:t>and B/ILT blocks in which channels are assigned on a site-by-site basis.</w:t>
      </w:r>
      <w:r>
        <w:rPr>
          <w:rFonts w:eastAsiaTheme="minorHAnsi"/>
          <w:snapToGrid/>
          <w:vertAlign w:val="superscript"/>
        </w:rPr>
        <w:footnoteReference w:id="5"/>
      </w:r>
      <w:r w:rsidRPr="00F84644">
        <w:rPr>
          <w:rFonts w:eastAsiaTheme="minorHAnsi"/>
          <w:snapToGrid/>
        </w:rPr>
        <w:t xml:space="preserve">  </w:t>
      </w:r>
      <w:r w:rsidR="00C36B64">
        <w:rPr>
          <w:rFonts w:eastAsiaTheme="minorHAnsi"/>
          <w:snapToGrid/>
        </w:rPr>
        <w:t>Section 90.617(c) of the Commission’s rules provides that SMR systems</w:t>
      </w:r>
      <w:r w:rsidR="00D34E66">
        <w:rPr>
          <w:rFonts w:eastAsiaTheme="minorHAnsi"/>
          <w:snapToGrid/>
        </w:rPr>
        <w:t xml:space="preserve"> will not be authorized </w:t>
      </w:r>
      <w:r w:rsidR="00E03F6B">
        <w:rPr>
          <w:rFonts w:eastAsiaTheme="minorHAnsi"/>
          <w:snapToGrid/>
        </w:rPr>
        <w:t>by initial licenses for</w:t>
      </w:r>
      <w:r w:rsidR="00D34E66">
        <w:rPr>
          <w:rFonts w:eastAsiaTheme="minorHAnsi"/>
          <w:snapToGrid/>
        </w:rPr>
        <w:t xml:space="preserve"> 900 MHz B/ILT channels.</w:t>
      </w:r>
      <w:r>
        <w:rPr>
          <w:rStyle w:val="FootnoteReference"/>
          <w:rFonts w:eastAsiaTheme="minorHAnsi"/>
          <w:snapToGrid/>
        </w:rPr>
        <w:footnoteReference w:id="6"/>
      </w:r>
      <w:r w:rsidR="00D34E66">
        <w:rPr>
          <w:rFonts w:eastAsiaTheme="minorHAnsi"/>
          <w:snapToGrid/>
        </w:rPr>
        <w:t xml:space="preserve">  900 MHz B/ILT licensees may, however, convert their licenses to commercial authorizations and/or assign their licenses to SMR entities.</w:t>
      </w:r>
      <w:r>
        <w:rPr>
          <w:rStyle w:val="FootnoteReference"/>
          <w:rFonts w:eastAsiaTheme="minorHAnsi"/>
          <w:snapToGrid/>
        </w:rPr>
        <w:footnoteReference w:id="7"/>
      </w:r>
    </w:p>
    <w:p w:rsidR="00AB20DF" w:rsidRPr="000C24A3" w:rsidP="00A34D21">
      <w:pPr>
        <w:pStyle w:val="ParaNum"/>
        <w:rPr>
          <w:rFonts w:eastAsiaTheme="minorHAnsi"/>
          <w:snapToGrid/>
        </w:rPr>
      </w:pPr>
      <w:r w:rsidRPr="000C24A3">
        <w:rPr>
          <w:rFonts w:eastAsiaTheme="minorHAnsi"/>
          <w:snapToGrid/>
        </w:rPr>
        <w:t xml:space="preserve">In 2013 and 2014, </w:t>
      </w:r>
      <w:r w:rsidR="006C60AB">
        <w:rPr>
          <w:rFonts w:eastAsiaTheme="minorHAnsi"/>
          <w:snapToGrid/>
        </w:rPr>
        <w:t>SNG</w:t>
      </w:r>
      <w:r w:rsidRPr="000C24A3">
        <w:rPr>
          <w:rFonts w:eastAsiaTheme="minorHAnsi"/>
          <w:snapToGrid/>
        </w:rPr>
        <w:t xml:space="preserve"> filed 110 applications seeking a total of more than </w:t>
      </w:r>
      <w:r w:rsidR="00AD09DF">
        <w:rPr>
          <w:rFonts w:eastAsiaTheme="minorHAnsi"/>
          <w:snapToGrid/>
        </w:rPr>
        <w:t>two thousand</w:t>
      </w:r>
      <w:r w:rsidRPr="000C24A3">
        <w:rPr>
          <w:rFonts w:eastAsiaTheme="minorHAnsi"/>
          <w:snapToGrid/>
        </w:rPr>
        <w:t xml:space="preserve"> 900 MHz B/ILT Pool channels at various locations across the country.</w:t>
      </w:r>
      <w:r>
        <w:rPr>
          <w:rFonts w:eastAsiaTheme="minorHAnsi"/>
          <w:snapToGrid/>
          <w:vertAlign w:val="superscript"/>
        </w:rPr>
        <w:footnoteReference w:id="8"/>
      </w:r>
      <w:r>
        <w:t xml:space="preserve">  </w:t>
      </w:r>
      <w:r w:rsidR="005956DA">
        <w:t xml:space="preserve">SNG </w:t>
      </w:r>
      <w:r w:rsidR="00D34E66">
        <w:t>requested a</w:t>
      </w:r>
      <w:r>
        <w:t xml:space="preserve"> waiver </w:t>
      </w:r>
      <w:r w:rsidR="00C51A75">
        <w:t xml:space="preserve">of </w:t>
      </w:r>
      <w:r w:rsidRPr="002D2AD6">
        <w:t>section 90.617(c)</w:t>
      </w:r>
      <w:r>
        <w:t xml:space="preserve">, </w:t>
      </w:r>
      <w:r w:rsidR="00D34E66">
        <w:t>stating</w:t>
      </w:r>
      <w:r w:rsidRPr="000C24A3" w:rsidR="000C5B0C">
        <w:rPr>
          <w:rFonts w:eastAsiaTheme="minorHAnsi"/>
          <w:snapToGrid/>
        </w:rPr>
        <w:t xml:space="preserve"> </w:t>
      </w:r>
      <w:r w:rsidRPr="000C24A3">
        <w:rPr>
          <w:rFonts w:eastAsiaTheme="minorHAnsi"/>
          <w:snapToGrid/>
        </w:rPr>
        <w:t>that it intended to build a network using 900 MHz B/ILT channels to provide communications services to businesses for their private, internal</w:t>
      </w:r>
      <w:r w:rsidR="005956DA">
        <w:rPr>
          <w:rFonts w:eastAsiaTheme="minorHAnsi"/>
          <w:snapToGrid/>
        </w:rPr>
        <w:t>,</w:t>
      </w:r>
      <w:r w:rsidRPr="000C24A3">
        <w:rPr>
          <w:rFonts w:eastAsiaTheme="minorHAnsi"/>
          <w:snapToGrid/>
        </w:rPr>
        <w:t xml:space="preserve"> machine-</w:t>
      </w:r>
      <w:r w:rsidRPr="000C24A3" w:rsidR="00C51A75">
        <w:rPr>
          <w:rFonts w:eastAsiaTheme="minorHAnsi"/>
          <w:snapToGrid/>
        </w:rPr>
        <w:t>to-machine communications needs</w:t>
      </w:r>
      <w:r w:rsidRPr="000C24A3">
        <w:rPr>
          <w:rFonts w:eastAsiaTheme="minorHAnsi"/>
          <w:snapToGrid/>
        </w:rPr>
        <w:t>.</w:t>
      </w:r>
      <w:r>
        <w:rPr>
          <w:rFonts w:eastAsiaTheme="minorHAnsi"/>
          <w:snapToGrid/>
          <w:vertAlign w:val="superscript"/>
        </w:rPr>
        <w:footnoteReference w:id="9"/>
      </w:r>
      <w:r w:rsidRPr="000C24A3" w:rsidR="00C51A75">
        <w:rPr>
          <w:rFonts w:eastAsiaTheme="minorHAnsi"/>
          <w:snapToGrid/>
        </w:rPr>
        <w:t xml:space="preserve">  </w:t>
      </w:r>
      <w:r w:rsidRPr="00991CCF" w:rsidR="001B2268">
        <w:t>The Division sought comment on the waiver request.</w:t>
      </w:r>
      <w:r>
        <w:rPr>
          <w:rStyle w:val="FootnoteReference"/>
        </w:rPr>
        <w:footnoteReference w:id="10"/>
      </w:r>
      <w:r w:rsidR="001B2268">
        <w:t xml:space="preserve">  Prospective users of </w:t>
      </w:r>
      <w:r w:rsidR="006C60AB">
        <w:t>SNG</w:t>
      </w:r>
      <w:r w:rsidR="001B2268">
        <w:t>’s proposed network, and partners in its design and construction, supported the waiver request</w:t>
      </w:r>
      <w:r w:rsidR="00F3761E">
        <w:t>.</w:t>
      </w:r>
      <w:r>
        <w:rPr>
          <w:rStyle w:val="FootnoteReference"/>
        </w:rPr>
        <w:footnoteReference w:id="11"/>
      </w:r>
      <w:r w:rsidR="001B2268">
        <w:t xml:space="preserve"> </w:t>
      </w:r>
      <w:r w:rsidR="00F0681B">
        <w:t xml:space="preserve"> </w:t>
      </w:r>
      <w:r w:rsidR="00F3761E">
        <w:t>P</w:t>
      </w:r>
      <w:r w:rsidR="001B2268">
        <w:t xml:space="preserve">rivate land mobile radio interests opposed the request on the grounds that 900 MHz B/ILT spectrum should not be assigned to for-profit operations because B/ILT users (particularly critical infrastructure entities) </w:t>
      </w:r>
      <w:r w:rsidR="00F3761E">
        <w:t xml:space="preserve">need these channels </w:t>
      </w:r>
      <w:r w:rsidR="001B2268">
        <w:t>to expand capacity and/or coverage.</w:t>
      </w:r>
      <w:r>
        <w:rPr>
          <w:rStyle w:val="FootnoteReference"/>
        </w:rPr>
        <w:footnoteReference w:id="12"/>
      </w:r>
    </w:p>
    <w:p w:rsidR="00AB20DF" w:rsidRPr="00AB20DF" w:rsidP="005C4B07">
      <w:pPr>
        <w:pStyle w:val="ParaNum"/>
        <w:rPr>
          <w:rFonts w:eastAsiaTheme="minorHAnsi"/>
          <w:snapToGrid/>
        </w:rPr>
      </w:pPr>
      <w:r w:rsidRPr="00AB20DF">
        <w:rPr>
          <w:rFonts w:eastAsiaTheme="minorHAnsi"/>
          <w:snapToGrid/>
        </w:rPr>
        <w:t>In 2015, the Division denied the waiver request and dismissed the applications.</w:t>
      </w:r>
      <w:r>
        <w:rPr>
          <w:rFonts w:eastAsiaTheme="minorHAnsi"/>
          <w:snapToGrid/>
          <w:vertAlign w:val="superscript"/>
        </w:rPr>
        <w:footnoteReference w:id="13"/>
      </w:r>
      <w:r w:rsidRPr="00AB20DF">
        <w:rPr>
          <w:rFonts w:eastAsiaTheme="minorHAnsi"/>
          <w:snapToGrid/>
        </w:rPr>
        <w:t xml:space="preserve">  It concluded that grant of the waiver request would undermine the purpose of section 90.617(c)</w:t>
      </w:r>
      <w:r w:rsidR="00B3535C">
        <w:rPr>
          <w:rFonts w:eastAsiaTheme="minorHAnsi"/>
          <w:snapToGrid/>
        </w:rPr>
        <w:t>, which is “to ‘establish[] a clear demarcation between our spectrum allocation for SMR and other Part 90 services and eliminate[] the risk of SMR encroachment on non-</w:t>
      </w:r>
      <w:r w:rsidR="00B3535C">
        <w:rPr>
          <w:rFonts w:eastAsiaTheme="minorHAnsi"/>
          <w:snapToGrid/>
        </w:rPr>
        <w:t>auctionable</w:t>
      </w:r>
      <w:r w:rsidR="00B3535C">
        <w:rPr>
          <w:rFonts w:eastAsiaTheme="minorHAnsi"/>
          <w:snapToGrid/>
        </w:rPr>
        <w:t xml:space="preserve"> PMRS [Private Mobile Radio Service] spectrum.’”</w:t>
      </w:r>
      <w:r>
        <w:rPr>
          <w:rFonts w:eastAsiaTheme="minorHAnsi"/>
          <w:snapToGrid/>
          <w:vertAlign w:val="superscript"/>
        </w:rPr>
        <w:footnoteReference w:id="14"/>
      </w:r>
      <w:r w:rsidRPr="00AB20DF">
        <w:rPr>
          <w:rFonts w:eastAsiaTheme="minorHAnsi"/>
          <w:snapToGrid/>
        </w:rPr>
        <w:t xml:space="preserve">  The Division </w:t>
      </w:r>
      <w:r w:rsidR="00B3535C">
        <w:rPr>
          <w:rFonts w:eastAsiaTheme="minorHAnsi"/>
          <w:snapToGrid/>
        </w:rPr>
        <w:t xml:space="preserve">also </w:t>
      </w:r>
      <w:r w:rsidRPr="00AB20DF">
        <w:rPr>
          <w:rFonts w:eastAsiaTheme="minorHAnsi"/>
          <w:snapToGrid/>
        </w:rPr>
        <w:t xml:space="preserve">found that </w:t>
      </w:r>
      <w:r w:rsidR="006C60AB">
        <w:rPr>
          <w:rFonts w:eastAsiaTheme="minorHAnsi"/>
          <w:snapToGrid/>
        </w:rPr>
        <w:t>SNG</w:t>
      </w:r>
      <w:r w:rsidRPr="00AB20DF">
        <w:rPr>
          <w:rFonts w:eastAsiaTheme="minorHAnsi"/>
          <w:snapToGrid/>
        </w:rPr>
        <w:t xml:space="preserve"> had not established any unique or unusual circumstances warranting a waiver.</w:t>
      </w:r>
      <w:r>
        <w:rPr>
          <w:rFonts w:eastAsiaTheme="minorHAnsi"/>
          <w:snapToGrid/>
          <w:vertAlign w:val="superscript"/>
        </w:rPr>
        <w:footnoteReference w:id="15"/>
      </w:r>
      <w:r w:rsidRPr="00AB20DF">
        <w:rPr>
          <w:rFonts w:eastAsiaTheme="minorHAnsi"/>
          <w:snapToGrid/>
        </w:rPr>
        <w:t xml:space="preserve">  Finally, the Division concluded, given the volume of channels requested and </w:t>
      </w:r>
      <w:bookmarkStart w:id="5" w:name="_GoBack"/>
      <w:bookmarkEnd w:id="5"/>
      <w:r w:rsidR="006C60AB">
        <w:rPr>
          <w:rFonts w:eastAsiaTheme="minorHAnsi"/>
          <w:snapToGrid/>
        </w:rPr>
        <w:t>SNG’s</w:t>
      </w:r>
      <w:r w:rsidRPr="00AB20DF">
        <w:rPr>
          <w:rFonts w:eastAsiaTheme="minorHAnsi"/>
          <w:snapToGrid/>
        </w:rPr>
        <w:t xml:space="preserve"> intention to seek additional channels in the future, </w:t>
      </w:r>
      <w:r w:rsidR="0085795C">
        <w:rPr>
          <w:rFonts w:eastAsiaTheme="minorHAnsi"/>
          <w:snapToGrid/>
        </w:rPr>
        <w:t xml:space="preserve">that </w:t>
      </w:r>
      <w:r w:rsidRPr="00AB20DF">
        <w:rPr>
          <w:rFonts w:eastAsiaTheme="minorHAnsi"/>
          <w:snapToGrid/>
        </w:rPr>
        <w:t>grant of the request could have a significant effect on the nature of the 900 MHz B/ILT band</w:t>
      </w:r>
      <w:r w:rsidR="00887FC9">
        <w:rPr>
          <w:rFonts w:eastAsiaTheme="minorHAnsi"/>
          <w:snapToGrid/>
        </w:rPr>
        <w:t xml:space="preserve"> </w:t>
      </w:r>
      <w:r w:rsidR="0085795C">
        <w:rPr>
          <w:rFonts w:eastAsiaTheme="minorHAnsi"/>
          <w:snapToGrid/>
        </w:rPr>
        <w:t xml:space="preserve">and </w:t>
      </w:r>
      <w:r w:rsidR="005A66D2">
        <w:rPr>
          <w:rFonts w:eastAsiaTheme="minorHAnsi"/>
          <w:snapToGrid/>
        </w:rPr>
        <w:t>that</w:t>
      </w:r>
      <w:r w:rsidRPr="00AB20DF">
        <w:rPr>
          <w:rFonts w:eastAsiaTheme="minorHAnsi"/>
          <w:snapToGrid/>
        </w:rPr>
        <w:t xml:space="preserve"> </w:t>
      </w:r>
      <w:r w:rsidR="0085795C">
        <w:rPr>
          <w:rFonts w:eastAsiaTheme="minorHAnsi"/>
          <w:snapToGrid/>
        </w:rPr>
        <w:t xml:space="preserve">SNG’s proposal </w:t>
      </w:r>
      <w:r w:rsidRPr="00AB20DF">
        <w:rPr>
          <w:rFonts w:eastAsiaTheme="minorHAnsi"/>
          <w:snapToGrid/>
        </w:rPr>
        <w:t xml:space="preserve">would </w:t>
      </w:r>
      <w:r w:rsidR="005A66D2">
        <w:rPr>
          <w:rFonts w:eastAsiaTheme="minorHAnsi"/>
          <w:snapToGrid/>
        </w:rPr>
        <w:t xml:space="preserve">be </w:t>
      </w:r>
      <w:r w:rsidRPr="00AB20DF">
        <w:rPr>
          <w:rFonts w:eastAsiaTheme="minorHAnsi"/>
          <w:snapToGrid/>
        </w:rPr>
        <w:t xml:space="preserve">more properly presented in </w:t>
      </w:r>
      <w:r w:rsidR="005A66D2">
        <w:rPr>
          <w:rFonts w:eastAsiaTheme="minorHAnsi"/>
          <w:snapToGrid/>
        </w:rPr>
        <w:t xml:space="preserve">the context of </w:t>
      </w:r>
      <w:r w:rsidRPr="00AB20DF">
        <w:rPr>
          <w:rFonts w:eastAsiaTheme="minorHAnsi"/>
          <w:snapToGrid/>
        </w:rPr>
        <w:t>a rulemaking proceeding.</w:t>
      </w:r>
      <w:r>
        <w:rPr>
          <w:rFonts w:eastAsiaTheme="minorHAnsi"/>
          <w:snapToGrid/>
          <w:vertAlign w:val="superscript"/>
        </w:rPr>
        <w:footnoteReference w:id="16"/>
      </w:r>
      <w:r w:rsidRPr="00AB20DF">
        <w:rPr>
          <w:rFonts w:eastAsiaTheme="minorHAnsi"/>
          <w:snapToGrid/>
        </w:rPr>
        <w:t xml:space="preserve"> </w:t>
      </w:r>
    </w:p>
    <w:p w:rsidR="00123964" w:rsidP="005C4B07">
      <w:pPr>
        <w:pStyle w:val="ParaNum"/>
        <w:rPr>
          <w:rFonts w:eastAsiaTheme="minorHAnsi"/>
          <w:snapToGrid/>
        </w:rPr>
      </w:pPr>
      <w:r>
        <w:rPr>
          <w:rFonts w:eastAsiaTheme="minorHAnsi"/>
          <w:snapToGrid/>
        </w:rPr>
        <w:t>In its Application for Review</w:t>
      </w:r>
      <w:r w:rsidRPr="00AB20DF" w:rsidR="00AB20DF">
        <w:rPr>
          <w:rFonts w:eastAsiaTheme="minorHAnsi"/>
          <w:snapToGrid/>
        </w:rPr>
        <w:t xml:space="preserve">, </w:t>
      </w:r>
      <w:r w:rsidR="006C60AB">
        <w:rPr>
          <w:rFonts w:eastAsiaTheme="minorHAnsi"/>
          <w:snapToGrid/>
        </w:rPr>
        <w:t>SNG</w:t>
      </w:r>
      <w:r>
        <w:rPr>
          <w:rFonts w:eastAsiaTheme="minorHAnsi"/>
          <w:snapToGrid/>
        </w:rPr>
        <w:t xml:space="preserve"> argued</w:t>
      </w:r>
      <w:r w:rsidRPr="00AB20DF" w:rsidR="00AB20DF">
        <w:rPr>
          <w:rFonts w:eastAsiaTheme="minorHAnsi"/>
          <w:snapToGrid/>
        </w:rPr>
        <w:t xml:space="preserve"> primarily that the Division treated it differently from similarly situated parties and </w:t>
      </w:r>
      <w:r w:rsidR="00A168BA">
        <w:rPr>
          <w:rFonts w:eastAsiaTheme="minorHAnsi"/>
          <w:snapToGrid/>
        </w:rPr>
        <w:t>penalized</w:t>
      </w:r>
      <w:r w:rsidRPr="00AB20DF" w:rsidR="00A168BA">
        <w:rPr>
          <w:rFonts w:eastAsiaTheme="minorHAnsi"/>
          <w:snapToGrid/>
        </w:rPr>
        <w:t xml:space="preserve"> </w:t>
      </w:r>
      <w:r w:rsidR="000C24A3">
        <w:rPr>
          <w:rFonts w:eastAsiaTheme="minorHAnsi"/>
          <w:snapToGrid/>
        </w:rPr>
        <w:t>it</w:t>
      </w:r>
      <w:r w:rsidRPr="00AB20DF" w:rsidR="00AB20DF">
        <w:rPr>
          <w:rFonts w:eastAsiaTheme="minorHAnsi"/>
          <w:snapToGrid/>
        </w:rPr>
        <w:t xml:space="preserve"> for being candid about its contemplated operations.</w:t>
      </w:r>
      <w:r>
        <w:rPr>
          <w:rFonts w:eastAsiaTheme="minorHAnsi"/>
          <w:snapToGrid/>
          <w:vertAlign w:val="superscript"/>
        </w:rPr>
        <w:footnoteReference w:id="17"/>
      </w:r>
      <w:r w:rsidRPr="00AB20DF" w:rsidR="00AB20DF">
        <w:rPr>
          <w:rFonts w:eastAsiaTheme="minorHAnsi"/>
          <w:snapToGrid/>
        </w:rPr>
        <w:t xml:space="preserve">  </w:t>
      </w:r>
      <w:r w:rsidR="006C60AB">
        <w:rPr>
          <w:rFonts w:eastAsiaTheme="minorHAnsi"/>
          <w:snapToGrid/>
        </w:rPr>
        <w:t>SNG</w:t>
      </w:r>
      <w:r w:rsidRPr="00AB20DF" w:rsidR="00AB20DF">
        <w:rPr>
          <w:rFonts w:eastAsiaTheme="minorHAnsi"/>
          <w:snapToGrid/>
        </w:rPr>
        <w:t xml:space="preserve"> then filed a Petition for Orders to Show Cause challenging the eligibility of </w:t>
      </w:r>
      <w:r w:rsidR="00164696">
        <w:rPr>
          <w:rFonts w:eastAsiaTheme="minorHAnsi"/>
          <w:snapToGrid/>
        </w:rPr>
        <w:t>seventeen</w:t>
      </w:r>
      <w:r w:rsidRPr="00AB20DF" w:rsidR="00164696">
        <w:rPr>
          <w:rFonts w:eastAsiaTheme="minorHAnsi"/>
          <w:snapToGrid/>
        </w:rPr>
        <w:t xml:space="preserve"> </w:t>
      </w:r>
      <w:r w:rsidRPr="00AB20DF" w:rsidR="00AB20DF">
        <w:rPr>
          <w:rFonts w:eastAsiaTheme="minorHAnsi"/>
          <w:snapToGrid/>
        </w:rPr>
        <w:t xml:space="preserve">900 MHz licensees to hold B/ILT licenses that were granted after </w:t>
      </w:r>
      <w:r w:rsidR="006C60AB">
        <w:rPr>
          <w:rFonts w:eastAsiaTheme="minorHAnsi"/>
          <w:snapToGrid/>
        </w:rPr>
        <w:t>SNG</w:t>
      </w:r>
      <w:r w:rsidRPr="00AB20DF" w:rsidR="00AB20DF">
        <w:rPr>
          <w:rFonts w:eastAsiaTheme="minorHAnsi"/>
          <w:snapToGrid/>
        </w:rPr>
        <w:t xml:space="preserve"> filed its applications, asserting that those licenses were being used to provide for-profit service to third parties in violation of the B/ILT rules.</w:t>
      </w:r>
      <w:r>
        <w:rPr>
          <w:rFonts w:eastAsiaTheme="minorHAnsi"/>
          <w:snapToGrid/>
          <w:vertAlign w:val="superscript"/>
        </w:rPr>
        <w:footnoteReference w:id="18"/>
      </w:r>
      <w:r w:rsidRPr="00AB20DF" w:rsidR="00AB20DF">
        <w:rPr>
          <w:rFonts w:eastAsiaTheme="minorHAnsi"/>
          <w:snapToGrid/>
        </w:rPr>
        <w:t xml:space="preserve">  </w:t>
      </w:r>
      <w:r w:rsidR="004A633E">
        <w:rPr>
          <w:rFonts w:eastAsiaTheme="minorHAnsi"/>
          <w:snapToGrid/>
        </w:rPr>
        <w:t xml:space="preserve">Subsequently, </w:t>
      </w:r>
      <w:r w:rsidR="006C60AB">
        <w:rPr>
          <w:rFonts w:eastAsiaTheme="minorHAnsi"/>
          <w:snapToGrid/>
        </w:rPr>
        <w:t>SNG</w:t>
      </w:r>
      <w:r>
        <w:rPr>
          <w:rFonts w:eastAsiaTheme="minorHAnsi"/>
          <w:snapToGrid/>
        </w:rPr>
        <w:t>’s subsidiary</w:t>
      </w:r>
      <w:r w:rsidR="00164696">
        <w:rPr>
          <w:rFonts w:eastAsiaTheme="minorHAnsi"/>
          <w:snapToGrid/>
        </w:rPr>
        <w:t>,</w:t>
      </w:r>
      <w:r>
        <w:rPr>
          <w:rFonts w:eastAsiaTheme="minorHAnsi"/>
          <w:snapToGrid/>
        </w:rPr>
        <w:t xml:space="preserve"> M2M Spectrum Networks, LLC </w:t>
      </w:r>
      <w:r w:rsidR="004A633E">
        <w:rPr>
          <w:rFonts w:eastAsiaTheme="minorHAnsi"/>
          <w:snapToGrid/>
        </w:rPr>
        <w:t>(M2M)</w:t>
      </w:r>
      <w:r w:rsidR="00164696">
        <w:rPr>
          <w:rFonts w:eastAsiaTheme="minorHAnsi"/>
          <w:snapToGrid/>
        </w:rPr>
        <w:t>,</w:t>
      </w:r>
      <w:r w:rsidR="004A633E">
        <w:rPr>
          <w:rFonts w:eastAsiaTheme="minorHAnsi"/>
          <w:snapToGrid/>
        </w:rPr>
        <w:t xml:space="preserve"> </w:t>
      </w:r>
      <w:r>
        <w:rPr>
          <w:rFonts w:eastAsiaTheme="minorHAnsi"/>
          <w:snapToGrid/>
        </w:rPr>
        <w:t>filed a petition for rulemaking seeking to allow</w:t>
      </w:r>
      <w:r w:rsidRPr="005C4AD3" w:rsidR="005C4AD3">
        <w:rPr>
          <w:rFonts w:eastAsiaTheme="minorHAnsi"/>
          <w:snapToGrid/>
        </w:rPr>
        <w:t xml:space="preserve"> </w:t>
      </w:r>
      <w:r w:rsidRPr="00357E5D" w:rsidR="005C4AD3">
        <w:rPr>
          <w:rFonts w:eastAsiaTheme="minorHAnsi"/>
          <w:snapToGrid/>
        </w:rPr>
        <w:t>initial use of 900 MHz B/ILT channels by non-B/ILT licensees</w:t>
      </w:r>
      <w:r w:rsidR="005C4AD3">
        <w:rPr>
          <w:rFonts w:eastAsiaTheme="minorHAnsi"/>
          <w:snapToGrid/>
        </w:rPr>
        <w:t xml:space="preserve"> for</w:t>
      </w:r>
      <w:r>
        <w:rPr>
          <w:rFonts w:eastAsiaTheme="minorHAnsi"/>
          <w:snapToGrid/>
        </w:rPr>
        <w:t xml:space="preserve"> the provision of commercial service to B/ILT </w:t>
      </w:r>
      <w:r>
        <w:rPr>
          <w:rFonts w:eastAsiaTheme="minorHAnsi"/>
          <w:snapToGrid/>
        </w:rPr>
        <w:t>eligible</w:t>
      </w:r>
      <w:r w:rsidR="000C24A3">
        <w:rPr>
          <w:rFonts w:eastAsiaTheme="minorHAnsi"/>
          <w:snapToGrid/>
        </w:rPr>
        <w:t>s</w:t>
      </w:r>
      <w:r>
        <w:rPr>
          <w:rFonts w:eastAsiaTheme="minorHAnsi"/>
          <w:snapToGrid/>
        </w:rPr>
        <w:t>.</w:t>
      </w:r>
      <w:r>
        <w:rPr>
          <w:rStyle w:val="FootnoteReference"/>
          <w:rFonts w:eastAsiaTheme="minorHAnsi"/>
          <w:snapToGrid/>
        </w:rPr>
        <w:footnoteReference w:id="19"/>
      </w:r>
    </w:p>
    <w:p w:rsidR="00123964" w:rsidRPr="00F502C9" w:rsidP="00A34D21">
      <w:pPr>
        <w:pStyle w:val="ParaNum"/>
        <w:rPr>
          <w:rFonts w:eastAsiaTheme="minorHAnsi"/>
          <w:snapToGrid/>
        </w:rPr>
      </w:pPr>
      <w:r w:rsidRPr="00F502C9">
        <w:rPr>
          <w:rFonts w:eastAsiaTheme="minorHAnsi"/>
          <w:snapToGrid/>
        </w:rPr>
        <w:t xml:space="preserve">In 2016, the Division denied </w:t>
      </w:r>
      <w:r w:rsidRPr="00F502C9">
        <w:rPr>
          <w:rFonts w:eastAsiaTheme="minorHAnsi"/>
          <w:snapToGrid/>
        </w:rPr>
        <w:t>the Petition for Orders to Show Cause</w:t>
      </w:r>
      <w:r w:rsidRPr="00F502C9">
        <w:rPr>
          <w:rFonts w:eastAsiaTheme="minorHAnsi"/>
          <w:snapToGrid/>
        </w:rPr>
        <w:t>.</w:t>
      </w:r>
      <w:r>
        <w:rPr>
          <w:rFonts w:eastAsiaTheme="minorHAnsi"/>
          <w:snapToGrid/>
          <w:vertAlign w:val="superscript"/>
        </w:rPr>
        <w:footnoteReference w:id="20"/>
      </w:r>
      <w:r w:rsidRPr="00F502C9">
        <w:rPr>
          <w:rFonts w:eastAsiaTheme="minorHAnsi"/>
          <w:snapToGrid/>
        </w:rPr>
        <w:t xml:space="preserve">  It found that the petition was largely based on speculation, conjecture, </w:t>
      </w:r>
      <w:r w:rsidRPr="00F502C9" w:rsidR="000C24A3">
        <w:rPr>
          <w:rFonts w:eastAsiaTheme="minorHAnsi"/>
          <w:snapToGrid/>
        </w:rPr>
        <w:t xml:space="preserve">and </w:t>
      </w:r>
      <w:r w:rsidRPr="00F502C9">
        <w:rPr>
          <w:rFonts w:eastAsiaTheme="minorHAnsi"/>
          <w:snapToGrid/>
        </w:rPr>
        <w:t xml:space="preserve">incomplete facts, and </w:t>
      </w:r>
      <w:r w:rsidRPr="00F502C9" w:rsidR="00F502C9">
        <w:rPr>
          <w:rFonts w:eastAsiaTheme="minorHAnsi"/>
          <w:snapToGrid/>
        </w:rPr>
        <w:t xml:space="preserve">that the petition was </w:t>
      </w:r>
      <w:r w:rsidRPr="00F502C9">
        <w:rPr>
          <w:rFonts w:eastAsiaTheme="minorHAnsi"/>
          <w:snapToGrid/>
        </w:rPr>
        <w:t>contradicted by important information provided by the various licensees.</w:t>
      </w:r>
      <w:r>
        <w:rPr>
          <w:rFonts w:eastAsiaTheme="minorHAnsi"/>
          <w:snapToGrid/>
          <w:vertAlign w:val="superscript"/>
        </w:rPr>
        <w:footnoteReference w:id="21"/>
      </w:r>
      <w:r w:rsidRPr="00F502C9">
        <w:rPr>
          <w:rFonts w:eastAsiaTheme="minorHAnsi"/>
          <w:snapToGrid/>
        </w:rPr>
        <w:t xml:space="preserve"> </w:t>
      </w:r>
      <w:r w:rsidRPr="00F502C9" w:rsidR="00F502C9">
        <w:rPr>
          <w:rFonts w:eastAsiaTheme="minorHAnsi"/>
          <w:snapToGrid/>
        </w:rPr>
        <w:t xml:space="preserve"> </w:t>
      </w:r>
      <w:r w:rsidRPr="00F502C9">
        <w:rPr>
          <w:rFonts w:eastAsiaTheme="minorHAnsi"/>
          <w:snapToGrid/>
        </w:rPr>
        <w:t xml:space="preserve">In 2017, the Commission </w:t>
      </w:r>
      <w:r w:rsidRPr="00F502C9" w:rsidR="00F314F7">
        <w:rPr>
          <w:rFonts w:eastAsiaTheme="minorHAnsi"/>
          <w:snapToGrid/>
        </w:rPr>
        <w:t xml:space="preserve">released a </w:t>
      </w:r>
      <w:r w:rsidRPr="00F502C9" w:rsidR="00F314F7">
        <w:rPr>
          <w:rFonts w:eastAsiaTheme="minorHAnsi"/>
          <w:i/>
          <w:snapToGrid/>
        </w:rPr>
        <w:t>Notice of Inquiry</w:t>
      </w:r>
      <w:r w:rsidRPr="00F502C9" w:rsidR="00F314F7">
        <w:rPr>
          <w:rFonts w:eastAsiaTheme="minorHAnsi"/>
          <w:snapToGrid/>
        </w:rPr>
        <w:t xml:space="preserve"> to examine whether any rule changes may be appropriate to increase access to spectrum, improve spectrum efficiency, and expand flexibility in the 900 MHz band, and to better serve users’ current and future communications needs.</w:t>
      </w:r>
      <w:r>
        <w:rPr>
          <w:rFonts w:eastAsiaTheme="minorHAnsi"/>
          <w:snapToGrid/>
          <w:sz w:val="20"/>
          <w:vertAlign w:val="superscript"/>
        </w:rPr>
        <w:footnoteReference w:id="22"/>
      </w:r>
      <w:r w:rsidRPr="00F502C9" w:rsidR="00F314F7">
        <w:rPr>
          <w:rFonts w:eastAsiaTheme="minorHAnsi"/>
          <w:snapToGrid/>
        </w:rPr>
        <w:t xml:space="preserve">  It sought comment on several ideas, including amending part 90 to </w:t>
      </w:r>
      <w:bookmarkStart w:id="6" w:name="_Hlk527321759"/>
      <w:r w:rsidRPr="00F502C9" w:rsidR="00F314F7">
        <w:rPr>
          <w:rFonts w:eastAsiaTheme="minorHAnsi"/>
          <w:snapToGrid/>
        </w:rPr>
        <w:t xml:space="preserve">permit use of 900 MHz B/ILT channels </w:t>
      </w:r>
      <w:bookmarkEnd w:id="6"/>
      <w:r w:rsidRPr="00F502C9" w:rsidR="00F314F7">
        <w:rPr>
          <w:rFonts w:eastAsiaTheme="minorHAnsi"/>
          <w:snapToGrid/>
        </w:rPr>
        <w:t xml:space="preserve">as suggested by </w:t>
      </w:r>
      <w:bookmarkStart w:id="7" w:name="_Hlk527118807"/>
      <w:r w:rsidRPr="00F502C9" w:rsidR="00F314F7">
        <w:rPr>
          <w:rFonts w:eastAsiaTheme="minorHAnsi"/>
          <w:snapToGrid/>
        </w:rPr>
        <w:t>M2M</w:t>
      </w:r>
      <w:bookmarkEnd w:id="7"/>
      <w:r w:rsidRPr="00F502C9" w:rsidR="00F314F7">
        <w:rPr>
          <w:rFonts w:eastAsiaTheme="minorHAnsi"/>
          <w:snapToGrid/>
        </w:rPr>
        <w:t>.</w:t>
      </w:r>
      <w:r>
        <w:rPr>
          <w:rStyle w:val="FootnoteReference"/>
          <w:rFonts w:eastAsiaTheme="minorHAnsi"/>
          <w:snapToGrid/>
        </w:rPr>
        <w:footnoteReference w:id="23"/>
      </w:r>
    </w:p>
    <w:p w:rsidR="00693508" w:rsidP="00693508">
      <w:pPr>
        <w:pStyle w:val="Heading1"/>
        <w:rPr>
          <w:rFonts w:eastAsiaTheme="minorHAnsi"/>
          <w:snapToGrid/>
        </w:rPr>
      </w:pPr>
      <w:r>
        <w:rPr>
          <w:rFonts w:eastAsiaTheme="minorHAnsi"/>
          <w:snapToGrid/>
        </w:rPr>
        <w:t>Discussion</w:t>
      </w:r>
      <w:r w:rsidRPr="00AB20DF" w:rsidR="00AB20DF">
        <w:rPr>
          <w:rFonts w:eastAsiaTheme="minorHAnsi"/>
          <w:snapToGrid/>
        </w:rPr>
        <w:t xml:space="preserve">  </w:t>
      </w:r>
    </w:p>
    <w:p w:rsidR="00AB20DF" w:rsidRPr="00AB20DF" w:rsidP="005C4B07">
      <w:pPr>
        <w:pStyle w:val="ParaNum"/>
        <w:rPr>
          <w:rFonts w:eastAsiaTheme="minorHAnsi"/>
          <w:snapToGrid/>
        </w:rPr>
      </w:pPr>
      <w:r w:rsidRPr="00AB20DF">
        <w:rPr>
          <w:rFonts w:eastAsiaTheme="minorHAnsi"/>
          <w:snapToGrid/>
        </w:rPr>
        <w:t>We will grant an application for review only if the staff's decision:  (1) conflicts with statute, regulation, case precedent, or established Commission policy; (2) involves a question of law or policy that has not been previously resolved by the Commission; (3) involves precedent or policy that should be overturned or revised; (4) makes an erroneous finding as to an important or material question of fact; or (5) commits a prejudicial procedural error.</w:t>
      </w:r>
      <w:bookmarkStart w:id="8" w:name="FN[FN24]"/>
      <w:bookmarkEnd w:id="8"/>
      <w:r>
        <w:rPr>
          <w:rFonts w:eastAsiaTheme="minorHAnsi"/>
          <w:snapToGrid/>
          <w:vertAlign w:val="superscript"/>
        </w:rPr>
        <w:footnoteReference w:id="24"/>
      </w:r>
      <w:r w:rsidRPr="00AB20DF">
        <w:rPr>
          <w:rFonts w:eastAsiaTheme="minorHAnsi"/>
          <w:snapToGrid/>
          <w:vertAlign w:val="superscript"/>
        </w:rPr>
        <w:t xml:space="preserve"> </w:t>
      </w:r>
      <w:r w:rsidRPr="00AB20DF">
        <w:rPr>
          <w:rFonts w:eastAsiaTheme="minorHAnsi"/>
          <w:snapToGrid/>
        </w:rPr>
        <w:t xml:space="preserve"> For the reasons set forth below, we deny the Application for Review. </w:t>
      </w:r>
    </w:p>
    <w:p w:rsidR="00AB20DF" w:rsidRPr="00AB20DF" w:rsidP="005C4B07">
      <w:pPr>
        <w:pStyle w:val="ParaNum"/>
        <w:rPr>
          <w:rFonts w:eastAsiaTheme="minorHAnsi"/>
          <w:snapToGrid/>
        </w:rPr>
      </w:pPr>
      <w:r>
        <w:rPr>
          <w:rFonts w:eastAsiaTheme="minorHAnsi"/>
          <w:snapToGrid/>
        </w:rPr>
        <w:t>SNG</w:t>
      </w:r>
      <w:r w:rsidRPr="00AB20DF">
        <w:rPr>
          <w:rFonts w:eastAsiaTheme="minorHAnsi"/>
          <w:snapToGrid/>
        </w:rPr>
        <w:t>’s primary argument is that the Division treated it differently from other applicants for 900 MHz B/ILT channels.</w:t>
      </w:r>
      <w:r>
        <w:rPr>
          <w:rFonts w:eastAsiaTheme="minorHAnsi"/>
          <w:snapToGrid/>
          <w:vertAlign w:val="superscript"/>
        </w:rPr>
        <w:footnoteReference w:id="25"/>
      </w:r>
      <w:r w:rsidR="006F3538">
        <w:rPr>
          <w:rFonts w:eastAsiaTheme="minorHAnsi"/>
          <w:snapToGrid/>
        </w:rPr>
        <w:t xml:space="preserve">  In denying the</w:t>
      </w:r>
      <w:r w:rsidRPr="00AB20DF">
        <w:rPr>
          <w:rFonts w:eastAsiaTheme="minorHAnsi"/>
          <w:snapToGrid/>
        </w:rPr>
        <w:t xml:space="preserve"> Petition for Orders to Show Cause, the Division closely reviewed the licenses identified by </w:t>
      </w:r>
      <w:r>
        <w:rPr>
          <w:rFonts w:eastAsiaTheme="minorHAnsi"/>
          <w:snapToGrid/>
        </w:rPr>
        <w:t>SNG</w:t>
      </w:r>
      <w:r w:rsidRPr="00AB20DF">
        <w:rPr>
          <w:rFonts w:eastAsiaTheme="minorHAnsi"/>
          <w:snapToGrid/>
        </w:rPr>
        <w:t xml:space="preserve"> and concluded that </w:t>
      </w:r>
      <w:r w:rsidR="00885D0C">
        <w:rPr>
          <w:rFonts w:eastAsiaTheme="minorHAnsi"/>
          <w:snapToGrid/>
        </w:rPr>
        <w:t>SNG</w:t>
      </w:r>
      <w:r w:rsidRPr="00AB20DF">
        <w:rPr>
          <w:rFonts w:eastAsiaTheme="minorHAnsi"/>
          <w:snapToGrid/>
        </w:rPr>
        <w:t xml:space="preserve"> had not demonstrated that those licenses were granted improperly.</w:t>
      </w:r>
      <w:r>
        <w:rPr>
          <w:rFonts w:eastAsiaTheme="minorHAnsi"/>
          <w:snapToGrid/>
          <w:vertAlign w:val="superscript"/>
        </w:rPr>
        <w:footnoteReference w:id="26"/>
      </w:r>
      <w:r w:rsidRPr="00AB20DF">
        <w:rPr>
          <w:rFonts w:eastAsiaTheme="minorHAnsi"/>
          <w:snapToGrid/>
        </w:rPr>
        <w:t xml:space="preserve">  Based upon our review of the record and licenses at issue, we </w:t>
      </w:r>
      <w:r w:rsidR="00885D0C">
        <w:rPr>
          <w:rFonts w:eastAsiaTheme="minorHAnsi"/>
          <w:snapToGrid/>
        </w:rPr>
        <w:t xml:space="preserve">similarly </w:t>
      </w:r>
      <w:r w:rsidRPr="00AB20DF">
        <w:rPr>
          <w:rFonts w:eastAsiaTheme="minorHAnsi"/>
          <w:snapToGrid/>
        </w:rPr>
        <w:t xml:space="preserve">find no basis for </w:t>
      </w:r>
      <w:r>
        <w:rPr>
          <w:rFonts w:eastAsiaTheme="minorHAnsi"/>
          <w:snapToGrid/>
        </w:rPr>
        <w:t>SNG</w:t>
      </w:r>
      <w:r w:rsidRPr="00AB20DF">
        <w:rPr>
          <w:rFonts w:eastAsiaTheme="minorHAnsi"/>
          <w:snapToGrid/>
        </w:rPr>
        <w:t>’s allegation of differential treatment.</w:t>
      </w:r>
    </w:p>
    <w:p w:rsidR="00AB20DF" w:rsidRPr="00AB20DF" w:rsidP="00841A88">
      <w:pPr>
        <w:pStyle w:val="ParaNum"/>
        <w:rPr>
          <w:rFonts w:eastAsiaTheme="minorHAnsi"/>
          <w:snapToGrid/>
        </w:rPr>
      </w:pPr>
      <w:r w:rsidRPr="00AB20DF">
        <w:rPr>
          <w:rFonts w:eastAsiaTheme="minorHAnsi"/>
          <w:snapToGrid/>
        </w:rPr>
        <w:t xml:space="preserve">Next, </w:t>
      </w:r>
      <w:r w:rsidR="006C60AB">
        <w:rPr>
          <w:rFonts w:eastAsiaTheme="minorHAnsi"/>
          <w:snapToGrid/>
        </w:rPr>
        <w:t>SNG</w:t>
      </w:r>
      <w:r w:rsidRPr="00AB20DF">
        <w:rPr>
          <w:rFonts w:eastAsiaTheme="minorHAnsi"/>
          <w:snapToGrid/>
        </w:rPr>
        <w:t xml:space="preserve"> argues that the denial of its waiver request contravenes Commission policy because part 90 already permits the use of 900 MHz B/ILT channels to provide commercial service to third parties under certain circumstances.</w:t>
      </w:r>
      <w:r>
        <w:rPr>
          <w:rFonts w:eastAsiaTheme="minorHAnsi"/>
          <w:snapToGrid/>
          <w:vertAlign w:val="superscript"/>
        </w:rPr>
        <w:footnoteReference w:id="27"/>
      </w:r>
      <w:r w:rsidRPr="00AB20DF">
        <w:rPr>
          <w:rFonts w:eastAsiaTheme="minorHAnsi"/>
          <w:snapToGrid/>
        </w:rPr>
        <w:t xml:space="preserve">  </w:t>
      </w:r>
      <w:r w:rsidR="00841A88">
        <w:rPr>
          <w:rFonts w:eastAsiaTheme="minorHAnsi"/>
          <w:snapToGrid/>
        </w:rPr>
        <w:t xml:space="preserve">It states that “the only difference” between its proposal and the rule permitting </w:t>
      </w:r>
      <w:r w:rsidRPr="00841A88" w:rsidR="00841A88">
        <w:rPr>
          <w:rFonts w:eastAsiaTheme="minorHAnsi"/>
          <w:snapToGrid/>
        </w:rPr>
        <w:t xml:space="preserve">900 MHz B/ILT licensees </w:t>
      </w:r>
      <w:r w:rsidR="00841A88">
        <w:rPr>
          <w:rFonts w:eastAsiaTheme="minorHAnsi"/>
          <w:snapToGrid/>
        </w:rPr>
        <w:t>to</w:t>
      </w:r>
      <w:r w:rsidRPr="00841A88" w:rsidR="00841A88">
        <w:rPr>
          <w:rFonts w:eastAsiaTheme="minorHAnsi"/>
          <w:snapToGrid/>
        </w:rPr>
        <w:t xml:space="preserve"> convert their licenses to commercial authorizations and/or assign their licenses to SMR entities</w:t>
      </w:r>
      <w:r w:rsidR="00841A88">
        <w:rPr>
          <w:rFonts w:eastAsiaTheme="minorHAnsi"/>
          <w:snapToGrid/>
        </w:rPr>
        <w:t xml:space="preserve"> “is one of form, not one of substance.”</w:t>
      </w:r>
      <w:r>
        <w:rPr>
          <w:rStyle w:val="FootnoteReference"/>
          <w:rFonts w:eastAsiaTheme="minorHAnsi"/>
          <w:snapToGrid/>
        </w:rPr>
        <w:footnoteReference w:id="28"/>
      </w:r>
      <w:r w:rsidRPr="00841A88" w:rsidR="00841A88">
        <w:rPr>
          <w:rFonts w:eastAsiaTheme="minorHAnsi"/>
          <w:snapToGrid/>
        </w:rPr>
        <w:t xml:space="preserve"> </w:t>
      </w:r>
      <w:r w:rsidR="00841A88">
        <w:rPr>
          <w:rFonts w:eastAsiaTheme="minorHAnsi"/>
          <w:snapToGrid/>
        </w:rPr>
        <w:t xml:space="preserve"> </w:t>
      </w:r>
      <w:r w:rsidRPr="00AB20DF">
        <w:rPr>
          <w:rFonts w:eastAsiaTheme="minorHAnsi"/>
          <w:snapToGrid/>
        </w:rPr>
        <w:t xml:space="preserve">We disagree.  </w:t>
      </w:r>
      <w:r w:rsidR="00184BDB">
        <w:rPr>
          <w:rFonts w:eastAsiaTheme="minorHAnsi"/>
          <w:snapToGrid/>
        </w:rPr>
        <w:t>T</w:t>
      </w:r>
      <w:r w:rsidR="00841A88">
        <w:rPr>
          <w:rFonts w:eastAsiaTheme="minorHAnsi"/>
          <w:snapToGrid/>
        </w:rPr>
        <w:t>he Commission i</w:t>
      </w:r>
      <w:r w:rsidRPr="00AB20DF">
        <w:rPr>
          <w:rFonts w:eastAsiaTheme="minorHAnsi"/>
          <w:snapToGrid/>
        </w:rPr>
        <w:t xml:space="preserve">n 2008 rejected a proposal to permit any fixed or mobile service </w:t>
      </w:r>
      <w:r w:rsidR="00184BDB">
        <w:rPr>
          <w:rFonts w:eastAsiaTheme="minorHAnsi"/>
          <w:snapToGrid/>
        </w:rPr>
        <w:t>to get new</w:t>
      </w:r>
      <w:r w:rsidRPr="00AB20DF" w:rsidR="00184BDB">
        <w:rPr>
          <w:rFonts w:eastAsiaTheme="minorHAnsi"/>
          <w:snapToGrid/>
        </w:rPr>
        <w:t xml:space="preserve"> </w:t>
      </w:r>
      <w:r w:rsidRPr="00AB20DF">
        <w:rPr>
          <w:rFonts w:eastAsiaTheme="minorHAnsi"/>
          <w:snapToGrid/>
        </w:rPr>
        <w:t>900 MHz B/ILT channels</w:t>
      </w:r>
      <w:r w:rsidR="00841A88">
        <w:rPr>
          <w:rFonts w:eastAsiaTheme="minorHAnsi"/>
          <w:snapToGrid/>
        </w:rPr>
        <w:t>, which would have accommodated SNG’s proposed operations.</w:t>
      </w:r>
      <w:r>
        <w:rPr>
          <w:rFonts w:eastAsiaTheme="minorHAnsi"/>
          <w:snapToGrid/>
          <w:vertAlign w:val="superscript"/>
        </w:rPr>
        <w:footnoteReference w:id="29"/>
      </w:r>
      <w:r w:rsidR="00841A88">
        <w:rPr>
          <w:rFonts w:eastAsiaTheme="minorHAnsi"/>
          <w:snapToGrid/>
        </w:rPr>
        <w:t xml:space="preserve">  Instead, the Commission</w:t>
      </w:r>
      <w:r w:rsidRPr="00AB20DF">
        <w:rPr>
          <w:rFonts w:eastAsiaTheme="minorHAnsi"/>
          <w:snapToGrid/>
        </w:rPr>
        <w:t xml:space="preserve"> </w:t>
      </w:r>
      <w:r w:rsidR="00184BDB">
        <w:rPr>
          <w:rFonts w:eastAsiaTheme="minorHAnsi"/>
          <w:snapToGrid/>
        </w:rPr>
        <w:t>reaffirmed</w:t>
      </w:r>
      <w:r w:rsidRPr="00AB20DF" w:rsidR="00184BDB">
        <w:rPr>
          <w:rFonts w:eastAsiaTheme="minorHAnsi"/>
          <w:snapToGrid/>
        </w:rPr>
        <w:t xml:space="preserve"> </w:t>
      </w:r>
      <w:r w:rsidRPr="00AB20DF">
        <w:rPr>
          <w:rFonts w:eastAsiaTheme="minorHAnsi"/>
          <w:snapToGrid/>
        </w:rPr>
        <w:t xml:space="preserve">that the spectrum should be kept available for current and future “traditional B/ILT” operations, </w:t>
      </w:r>
      <w:r w:rsidRPr="00AB20DF">
        <w:rPr>
          <w:rFonts w:eastAsiaTheme="minorHAnsi"/>
          <w:i/>
          <w:snapToGrid/>
        </w:rPr>
        <w:t>i.e.</w:t>
      </w:r>
      <w:r w:rsidRPr="00C07919">
        <w:rPr>
          <w:rFonts w:eastAsiaTheme="minorHAnsi"/>
          <w:snapToGrid/>
        </w:rPr>
        <w:t xml:space="preserve">, </w:t>
      </w:r>
      <w:r w:rsidRPr="00AB20DF">
        <w:rPr>
          <w:rFonts w:eastAsiaTheme="minorHAnsi"/>
          <w:snapToGrid/>
        </w:rPr>
        <w:t>eligible licensees controlling and operating their own systems to address their own private, internal communications needs.</w:t>
      </w:r>
      <w:r>
        <w:rPr>
          <w:rStyle w:val="FootnoteReference"/>
          <w:rFonts w:eastAsiaTheme="minorHAnsi"/>
          <w:snapToGrid/>
        </w:rPr>
        <w:footnoteReference w:id="30"/>
      </w:r>
      <w:r w:rsidRPr="00AB20DF">
        <w:rPr>
          <w:rFonts w:eastAsiaTheme="minorHAnsi"/>
          <w:snapToGrid/>
        </w:rPr>
        <w:t xml:space="preserve">  </w:t>
      </w:r>
      <w:r w:rsidR="00184BDB">
        <w:rPr>
          <w:rFonts w:eastAsiaTheme="minorHAnsi"/>
          <w:snapToGrid/>
        </w:rPr>
        <w:t>Whatever the tension between the policy of increasing flexibility for incumbent B/ILT licensees and reserving unused channels for traditional B/ILT operations, the appropriate venue for resolving it is a new Commission rulemaking, not a Bureau-level waiver</w:t>
      </w:r>
      <w:r w:rsidRPr="00AB20DF">
        <w:rPr>
          <w:rFonts w:eastAsiaTheme="minorHAnsi"/>
          <w:snapToGrid/>
        </w:rPr>
        <w:t xml:space="preserve">.  </w:t>
      </w:r>
      <w:r w:rsidRPr="00AB20DF">
        <w:rPr>
          <w:rFonts w:eastAsiaTheme="minorHAnsi"/>
          <w:snapToGrid/>
        </w:rPr>
        <w:t>T</w:t>
      </w:r>
      <w:r w:rsidR="00184BDB">
        <w:rPr>
          <w:rFonts w:eastAsiaTheme="minorHAnsi"/>
          <w:snapToGrid/>
        </w:rPr>
        <w:t>hus</w:t>
      </w:r>
      <w:r w:rsidR="00184BDB">
        <w:rPr>
          <w:rFonts w:eastAsiaTheme="minorHAnsi"/>
          <w:snapToGrid/>
        </w:rPr>
        <w:t xml:space="preserve"> t</w:t>
      </w:r>
      <w:r w:rsidRPr="00AB20DF">
        <w:rPr>
          <w:rFonts w:eastAsiaTheme="minorHAnsi"/>
          <w:snapToGrid/>
        </w:rPr>
        <w:t xml:space="preserve">he Division correctly concluded that </w:t>
      </w:r>
      <w:r w:rsidR="006C60AB">
        <w:rPr>
          <w:rFonts w:eastAsiaTheme="minorHAnsi"/>
          <w:snapToGrid/>
        </w:rPr>
        <w:t>SNG</w:t>
      </w:r>
      <w:r w:rsidRPr="00AB20DF">
        <w:rPr>
          <w:rFonts w:eastAsiaTheme="minorHAnsi"/>
          <w:snapToGrid/>
        </w:rPr>
        <w:t xml:space="preserve">’s proposal </w:t>
      </w:r>
      <w:bookmarkStart w:id="10" w:name="_Hlk523165410"/>
      <w:r w:rsidR="00BC3894">
        <w:t xml:space="preserve">to use new B/ILT channels for SMR service </w:t>
      </w:r>
      <w:r w:rsidRPr="00AB20DF">
        <w:rPr>
          <w:rFonts w:eastAsiaTheme="minorHAnsi"/>
          <w:snapToGrid/>
        </w:rPr>
        <w:t>conflicted with Commission precedent and the underlying purpose of the 900 MHz B/ILT rules</w:t>
      </w:r>
      <w:bookmarkEnd w:id="10"/>
      <w:r w:rsidRPr="00AB20DF">
        <w:rPr>
          <w:rFonts w:eastAsiaTheme="minorHAnsi"/>
          <w:snapToGrid/>
        </w:rPr>
        <w:t>.</w:t>
      </w:r>
      <w:r>
        <w:rPr>
          <w:rFonts w:eastAsiaTheme="minorHAnsi"/>
          <w:snapToGrid/>
          <w:sz w:val="20"/>
          <w:vertAlign w:val="superscript"/>
        </w:rPr>
        <w:footnoteReference w:id="31"/>
      </w:r>
      <w:r w:rsidRPr="00AB20DF">
        <w:rPr>
          <w:rFonts w:eastAsiaTheme="minorHAnsi"/>
          <w:snapToGrid/>
        </w:rPr>
        <w:t xml:space="preserve"> </w:t>
      </w:r>
    </w:p>
    <w:p w:rsidR="00AB20DF" w:rsidRPr="00AB20DF" w:rsidP="005C4B07">
      <w:pPr>
        <w:pStyle w:val="ParaNum"/>
        <w:rPr>
          <w:rFonts w:eastAsiaTheme="minorHAnsi"/>
          <w:snapToGrid/>
        </w:rPr>
      </w:pPr>
      <w:r w:rsidRPr="00AB20DF">
        <w:rPr>
          <w:rFonts w:eastAsiaTheme="minorHAnsi"/>
          <w:snapToGrid/>
        </w:rPr>
        <w:t xml:space="preserve">In addition, </w:t>
      </w:r>
      <w:r w:rsidR="006C60AB">
        <w:rPr>
          <w:rFonts w:eastAsiaTheme="minorHAnsi"/>
          <w:snapToGrid/>
        </w:rPr>
        <w:t>SNG</w:t>
      </w:r>
      <w:r w:rsidRPr="00AB20DF">
        <w:rPr>
          <w:rFonts w:eastAsiaTheme="minorHAnsi"/>
          <w:snapToGrid/>
        </w:rPr>
        <w:t xml:space="preserve"> asserts that the Division made several erroneous findings </w:t>
      </w:r>
      <w:r w:rsidR="00443EF2">
        <w:rPr>
          <w:rFonts w:eastAsiaTheme="minorHAnsi"/>
          <w:snapToGrid/>
        </w:rPr>
        <w:t>about</w:t>
      </w:r>
      <w:r w:rsidRPr="00AB20DF">
        <w:rPr>
          <w:rFonts w:eastAsiaTheme="minorHAnsi"/>
          <w:snapToGrid/>
        </w:rPr>
        <w:t xml:space="preserve"> an important or material question of fact, particularly regarding the public interest benefits of the proposal.</w:t>
      </w:r>
      <w:r>
        <w:rPr>
          <w:rFonts w:eastAsiaTheme="minorHAnsi"/>
          <w:snapToGrid/>
          <w:vertAlign w:val="superscript"/>
        </w:rPr>
        <w:footnoteReference w:id="32"/>
      </w:r>
      <w:r w:rsidRPr="00AB20DF">
        <w:rPr>
          <w:rFonts w:eastAsiaTheme="minorHAnsi"/>
          <w:snapToGrid/>
        </w:rPr>
        <w:t xml:space="preserve">  We conclude that the Division made no material errors.  </w:t>
      </w:r>
      <w:r w:rsidR="006C60AB">
        <w:rPr>
          <w:rFonts w:eastAsiaTheme="minorHAnsi"/>
          <w:snapToGrid/>
        </w:rPr>
        <w:t>SNG</w:t>
      </w:r>
      <w:r w:rsidRPr="00AB20DF">
        <w:rPr>
          <w:rFonts w:eastAsiaTheme="minorHAnsi"/>
          <w:snapToGrid/>
        </w:rPr>
        <w:t xml:space="preserve"> argues that the Division did not afford sufficient weight to the public benefits of putting fallow spectrum to use and filling a market niche for low-cost machine-to-machine applications.</w:t>
      </w:r>
      <w:r>
        <w:rPr>
          <w:rFonts w:eastAsiaTheme="minorHAnsi"/>
          <w:snapToGrid/>
          <w:vertAlign w:val="superscript"/>
        </w:rPr>
        <w:footnoteReference w:id="33"/>
      </w:r>
      <w:r w:rsidRPr="00AB20DF">
        <w:rPr>
          <w:rFonts w:eastAsiaTheme="minorHAnsi"/>
          <w:snapToGrid/>
        </w:rPr>
        <w:t xml:space="preserve">  We note, however, assuming </w:t>
      </w:r>
      <w:r w:rsidRPr="00AB20DF">
        <w:rPr>
          <w:rFonts w:eastAsiaTheme="minorHAnsi"/>
          <w:i/>
          <w:snapToGrid/>
        </w:rPr>
        <w:t>arguendo</w:t>
      </w:r>
      <w:r w:rsidRPr="00AB20DF">
        <w:rPr>
          <w:rFonts w:eastAsiaTheme="minorHAnsi"/>
          <w:snapToGrid/>
        </w:rPr>
        <w:t xml:space="preserve"> that these benefits would have followed from grant of the request, that an argument that a waiver would serve the public interest is not sufficient grounds for granting a waiver under section 1.925(b)(3) of the Commission’s rules,</w:t>
      </w:r>
      <w:r>
        <w:rPr>
          <w:rFonts w:eastAsiaTheme="minorHAnsi"/>
          <w:snapToGrid/>
          <w:vertAlign w:val="superscript"/>
        </w:rPr>
        <w:footnoteReference w:id="34"/>
      </w:r>
      <w:r w:rsidRPr="00AB20DF">
        <w:rPr>
          <w:rFonts w:eastAsiaTheme="minorHAnsi"/>
          <w:snapToGrid/>
        </w:rPr>
        <w:t xml:space="preserve"> unless the applicant also shows that application of the rule would not serve its underlying purpose or that unique or unusual circumstances are involved.</w:t>
      </w:r>
      <w:r>
        <w:rPr>
          <w:rFonts w:eastAsiaTheme="minorHAnsi"/>
          <w:snapToGrid/>
          <w:vertAlign w:val="superscript"/>
        </w:rPr>
        <w:footnoteReference w:id="35"/>
      </w:r>
      <w:r w:rsidRPr="00AB20DF">
        <w:rPr>
          <w:rFonts w:eastAsiaTheme="minorHAnsi"/>
          <w:snapToGrid/>
        </w:rPr>
        <w:t xml:space="preserve">  </w:t>
      </w:r>
      <w:r w:rsidR="006C60AB">
        <w:rPr>
          <w:rFonts w:eastAsiaTheme="minorHAnsi"/>
          <w:snapToGrid/>
        </w:rPr>
        <w:t>SNG</w:t>
      </w:r>
      <w:r w:rsidRPr="00AB20DF">
        <w:rPr>
          <w:rFonts w:eastAsiaTheme="minorHAnsi"/>
          <w:snapToGrid/>
        </w:rPr>
        <w:t xml:space="preserve"> made neither showing.  In addition, even if the Division incorrectly found that </w:t>
      </w:r>
      <w:r w:rsidR="006C60AB">
        <w:rPr>
          <w:rFonts w:eastAsiaTheme="minorHAnsi"/>
          <w:snapToGrid/>
        </w:rPr>
        <w:t>SNG</w:t>
      </w:r>
      <w:r w:rsidRPr="00AB20DF">
        <w:rPr>
          <w:rFonts w:eastAsiaTheme="minorHAnsi"/>
          <w:snapToGrid/>
        </w:rPr>
        <w:t xml:space="preserve"> requested the last available channel or channels in four rather than three of </w:t>
      </w:r>
      <w:r w:rsidR="00443EF2">
        <w:rPr>
          <w:rFonts w:eastAsiaTheme="minorHAnsi"/>
          <w:snapToGrid/>
        </w:rPr>
        <w:t>certain key markets</w:t>
      </w:r>
      <w:r w:rsidRPr="00AB20DF">
        <w:rPr>
          <w:rFonts w:eastAsiaTheme="minorHAnsi"/>
          <w:snapToGrid/>
        </w:rPr>
        <w:t xml:space="preserve">, or that it misstated the number of additional channels beyond the initial 2,000 that SNG sought </w:t>
      </w:r>
      <w:r w:rsidR="00443EF2">
        <w:rPr>
          <w:rFonts w:eastAsiaTheme="minorHAnsi"/>
          <w:snapToGrid/>
        </w:rPr>
        <w:t>permission</w:t>
      </w:r>
      <w:r w:rsidRPr="00AB20DF" w:rsidR="00443EF2">
        <w:rPr>
          <w:rFonts w:eastAsiaTheme="minorHAnsi"/>
          <w:snapToGrid/>
        </w:rPr>
        <w:t xml:space="preserve"> </w:t>
      </w:r>
      <w:r w:rsidRPr="00AB20DF">
        <w:rPr>
          <w:rFonts w:eastAsiaTheme="minorHAnsi"/>
          <w:snapToGrid/>
        </w:rPr>
        <w:t>to request in the future,</w:t>
      </w:r>
      <w:r>
        <w:rPr>
          <w:rFonts w:eastAsiaTheme="minorHAnsi"/>
          <w:snapToGrid/>
          <w:vertAlign w:val="superscript"/>
        </w:rPr>
        <w:footnoteReference w:id="36"/>
      </w:r>
      <w:r w:rsidRPr="00AB20DF">
        <w:rPr>
          <w:rFonts w:eastAsiaTheme="minorHAnsi"/>
          <w:snapToGrid/>
        </w:rPr>
        <w:t xml:space="preserve"> the Division correctly concluded that that grant of SNG’s request could alter the nature of the 900 MHz B/ILT band and would therefore be more properly presented in a rulemaking proceeding.</w:t>
      </w:r>
      <w:r>
        <w:rPr>
          <w:rFonts w:eastAsiaTheme="minorHAnsi"/>
          <w:snapToGrid/>
          <w:sz w:val="20"/>
          <w:vertAlign w:val="superscript"/>
        </w:rPr>
        <w:footnoteReference w:id="37"/>
      </w:r>
      <w:r w:rsidRPr="00AB20DF">
        <w:rPr>
          <w:rFonts w:eastAsiaTheme="minorHAnsi"/>
          <w:snapToGrid/>
        </w:rPr>
        <w:t xml:space="preserve">    </w:t>
      </w:r>
    </w:p>
    <w:p w:rsidR="00AB20DF" w:rsidRPr="00AB20DF" w:rsidP="005C4B07">
      <w:pPr>
        <w:pStyle w:val="ParaNum"/>
        <w:rPr>
          <w:rFonts w:eastAsiaTheme="minorHAnsi"/>
          <w:snapToGrid/>
        </w:rPr>
      </w:pPr>
      <w:r w:rsidRPr="00357E5D">
        <w:rPr>
          <w:rFonts w:eastAsiaTheme="minorHAnsi"/>
          <w:snapToGrid/>
        </w:rPr>
        <w:t xml:space="preserve"> Finally, we note that </w:t>
      </w:r>
      <w:r w:rsidRPr="00357E5D" w:rsidR="00EE0E56">
        <w:rPr>
          <w:rFonts w:eastAsiaTheme="minorHAnsi"/>
          <w:snapToGrid/>
        </w:rPr>
        <w:t>n</w:t>
      </w:r>
      <w:r w:rsidRPr="00357E5D">
        <w:rPr>
          <w:rFonts w:eastAsiaTheme="minorHAnsi"/>
          <w:snapToGrid/>
        </w:rPr>
        <w:t>o commenter</w:t>
      </w:r>
      <w:r w:rsidRPr="00357E5D" w:rsidR="00B270C8">
        <w:rPr>
          <w:rFonts w:eastAsiaTheme="minorHAnsi"/>
          <w:snapToGrid/>
        </w:rPr>
        <w:t xml:space="preserve"> to the </w:t>
      </w:r>
      <w:r w:rsidRPr="00357E5D" w:rsidR="00B270C8">
        <w:rPr>
          <w:rFonts w:eastAsiaTheme="minorHAnsi"/>
          <w:i/>
          <w:snapToGrid/>
        </w:rPr>
        <w:t>Notice of Inquiry</w:t>
      </w:r>
      <w:r w:rsidRPr="00357E5D">
        <w:rPr>
          <w:rFonts w:eastAsiaTheme="minorHAnsi"/>
          <w:snapToGrid/>
        </w:rPr>
        <w:t xml:space="preserve">, not even </w:t>
      </w:r>
      <w:r w:rsidRPr="00357E5D" w:rsidR="00B270C8">
        <w:rPr>
          <w:rFonts w:eastAsiaTheme="minorHAnsi"/>
          <w:snapToGrid/>
        </w:rPr>
        <w:t xml:space="preserve">M2M, </w:t>
      </w:r>
      <w:r w:rsidRPr="00357E5D">
        <w:rPr>
          <w:rFonts w:eastAsiaTheme="minorHAnsi"/>
          <w:snapToGrid/>
        </w:rPr>
        <w:t xml:space="preserve">favored </w:t>
      </w:r>
      <w:r w:rsidRPr="00357E5D" w:rsidR="00BA1D6E">
        <w:rPr>
          <w:rFonts w:eastAsiaTheme="minorHAnsi"/>
          <w:snapToGrid/>
        </w:rPr>
        <w:t xml:space="preserve">M2M’s </w:t>
      </w:r>
      <w:r w:rsidRPr="00357E5D">
        <w:rPr>
          <w:rFonts w:eastAsiaTheme="minorHAnsi"/>
          <w:snapToGrid/>
        </w:rPr>
        <w:t>proposal</w:t>
      </w:r>
      <w:r w:rsidRPr="00357E5D" w:rsidR="00BA1D6E">
        <w:rPr>
          <w:rFonts w:eastAsiaTheme="minorHAnsi"/>
          <w:snapToGrid/>
        </w:rPr>
        <w:t xml:space="preserve"> </w:t>
      </w:r>
      <w:r w:rsidR="005775EB">
        <w:rPr>
          <w:rFonts w:eastAsiaTheme="minorHAnsi"/>
          <w:snapToGrid/>
        </w:rPr>
        <w:t xml:space="preserve">to </w:t>
      </w:r>
      <w:r w:rsidRPr="00357E5D" w:rsidR="00BA1D6E">
        <w:rPr>
          <w:rFonts w:eastAsiaTheme="minorHAnsi"/>
          <w:snapToGrid/>
        </w:rPr>
        <w:t xml:space="preserve">permit </w:t>
      </w:r>
      <w:r w:rsidRPr="00357E5D" w:rsidR="00841A88">
        <w:rPr>
          <w:rFonts w:eastAsiaTheme="minorHAnsi"/>
          <w:snapToGrid/>
        </w:rPr>
        <w:t xml:space="preserve">initial </w:t>
      </w:r>
      <w:r w:rsidRPr="00357E5D" w:rsidR="00BA1D6E">
        <w:rPr>
          <w:rFonts w:eastAsiaTheme="minorHAnsi"/>
          <w:snapToGrid/>
        </w:rPr>
        <w:t>use of 900 MHz B/ILT channels by non-B/ILT lice</w:t>
      </w:r>
      <w:r w:rsidRPr="00357E5D" w:rsidR="00E855BC">
        <w:rPr>
          <w:rFonts w:eastAsiaTheme="minorHAnsi"/>
          <w:snapToGrid/>
        </w:rPr>
        <w:t>n</w:t>
      </w:r>
      <w:r w:rsidRPr="00357E5D" w:rsidR="00BA1D6E">
        <w:rPr>
          <w:rFonts w:eastAsiaTheme="minorHAnsi"/>
          <w:snapToGrid/>
        </w:rPr>
        <w:t>sees</w:t>
      </w:r>
      <w:r w:rsidRPr="00357E5D">
        <w:rPr>
          <w:rFonts w:eastAsiaTheme="minorHAnsi"/>
          <w:snapToGrid/>
        </w:rPr>
        <w:t>.</w:t>
      </w:r>
      <w:r>
        <w:rPr>
          <w:rFonts w:eastAsiaTheme="minorHAnsi"/>
          <w:snapToGrid/>
          <w:vertAlign w:val="superscript"/>
        </w:rPr>
        <w:footnoteReference w:id="38"/>
      </w:r>
      <w:r w:rsidRPr="00357E5D">
        <w:rPr>
          <w:rFonts w:eastAsiaTheme="minorHAnsi"/>
          <w:snapToGrid/>
        </w:rPr>
        <w:t xml:space="preserve">  Thus, grant of </w:t>
      </w:r>
      <w:r w:rsidRPr="00357E5D" w:rsidR="006C60AB">
        <w:rPr>
          <w:rFonts w:eastAsiaTheme="minorHAnsi"/>
          <w:snapToGrid/>
        </w:rPr>
        <w:t>SNG</w:t>
      </w:r>
      <w:r w:rsidRPr="00357E5D">
        <w:rPr>
          <w:rFonts w:eastAsiaTheme="minorHAnsi"/>
          <w:snapToGrid/>
        </w:rPr>
        <w:t xml:space="preserve">’s waiver request would not only conflict with the underlying purpose of the 900 MHz B/ILT rules, but also would </w:t>
      </w:r>
      <w:r w:rsidRPr="00357E5D" w:rsidR="00BA1D6E">
        <w:rPr>
          <w:rFonts w:eastAsiaTheme="minorHAnsi"/>
          <w:snapToGrid/>
        </w:rPr>
        <w:t xml:space="preserve">have </w:t>
      </w:r>
      <w:r w:rsidRPr="00357E5D" w:rsidR="003B4CF2">
        <w:rPr>
          <w:rFonts w:eastAsiaTheme="minorHAnsi"/>
          <w:snapToGrid/>
        </w:rPr>
        <w:t>alter</w:t>
      </w:r>
      <w:r w:rsidRPr="00357E5D" w:rsidR="00BA1D6E">
        <w:rPr>
          <w:rFonts w:eastAsiaTheme="minorHAnsi"/>
          <w:snapToGrid/>
        </w:rPr>
        <w:t>ed</w:t>
      </w:r>
      <w:r w:rsidRPr="00357E5D" w:rsidR="003B4CF2">
        <w:rPr>
          <w:rFonts w:eastAsiaTheme="minorHAnsi"/>
          <w:snapToGrid/>
        </w:rPr>
        <w:t xml:space="preserve"> the spectral landscape </w:t>
      </w:r>
      <w:r w:rsidRPr="00357E5D" w:rsidR="00BA1D6E">
        <w:rPr>
          <w:rFonts w:eastAsiaTheme="minorHAnsi"/>
          <w:snapToGrid/>
        </w:rPr>
        <w:t xml:space="preserve">through the waiver process in ways that ultimately were not supported in the broader record developed in </w:t>
      </w:r>
      <w:r w:rsidR="00F0681B">
        <w:rPr>
          <w:rFonts w:eastAsiaTheme="minorHAnsi"/>
          <w:snapToGrid/>
        </w:rPr>
        <w:t xml:space="preserve">response to </w:t>
      </w:r>
      <w:r w:rsidRPr="00357E5D" w:rsidR="00BA1D6E">
        <w:rPr>
          <w:rFonts w:eastAsiaTheme="minorHAnsi"/>
          <w:snapToGrid/>
        </w:rPr>
        <w:t xml:space="preserve">the </w:t>
      </w:r>
      <w:r w:rsidR="00F0681B">
        <w:rPr>
          <w:rFonts w:eastAsiaTheme="minorHAnsi"/>
          <w:i/>
          <w:snapToGrid/>
        </w:rPr>
        <w:t>Notice of Inquiry</w:t>
      </w:r>
      <w:r w:rsidRPr="00357E5D">
        <w:rPr>
          <w:rFonts w:eastAsiaTheme="minorHAnsi"/>
          <w:snapToGrid/>
        </w:rPr>
        <w:t>.</w:t>
      </w:r>
    </w:p>
    <w:p w:rsidR="00AB20DF" w:rsidRPr="00AB20DF" w:rsidP="0020653A">
      <w:pPr>
        <w:pStyle w:val="Heading1"/>
        <w:widowControl/>
        <w:rPr>
          <w:rFonts w:eastAsiaTheme="minorHAnsi"/>
          <w:snapToGrid/>
        </w:rPr>
      </w:pPr>
      <w:bookmarkStart w:id="11" w:name="_Toc516135146"/>
      <w:bookmarkStart w:id="12" w:name="_Toc516500670"/>
      <w:bookmarkStart w:id="13" w:name="_Toc516502638"/>
      <w:bookmarkStart w:id="14" w:name="_Toc516502699"/>
      <w:bookmarkStart w:id="15" w:name="_Toc516503261"/>
      <w:bookmarkStart w:id="16" w:name="_Toc516599632"/>
      <w:bookmarkStart w:id="17" w:name="_Toc516759224"/>
      <w:bookmarkStart w:id="18" w:name="_Toc516761167"/>
      <w:bookmarkStart w:id="19" w:name="_Toc516847082"/>
      <w:bookmarkStart w:id="20" w:name="_Toc517082877"/>
      <w:bookmarkStart w:id="21" w:name="_Toc517106060"/>
      <w:bookmarkStart w:id="22" w:name="_Toc517126367"/>
      <w:bookmarkStart w:id="23" w:name="_Toc517181790"/>
      <w:bookmarkStart w:id="24" w:name="_Toc517220088"/>
      <w:bookmarkStart w:id="25" w:name="_Toc517260073"/>
      <w:bookmarkStart w:id="26" w:name="_Toc517261165"/>
      <w:bookmarkStart w:id="27" w:name="_Toc519004106"/>
      <w:bookmarkStart w:id="28" w:name="_Toc519181607"/>
      <w:bookmarkStart w:id="29" w:name="_Toc524001378"/>
      <w:bookmarkStart w:id="30" w:name="_Toc524105437"/>
      <w:bookmarkStart w:id="31" w:name="_Toc524973869"/>
      <w:bookmarkStart w:id="32" w:name="_Toc525054528"/>
      <w:bookmarkStart w:id="33" w:name="_Toc526336217"/>
      <w:bookmarkEnd w:id="0"/>
      <w:bookmarkEnd w:id="1"/>
      <w:r w:rsidRPr="00AB20DF">
        <w:rPr>
          <w:rFonts w:eastAsiaTheme="minorHAnsi"/>
          <w:snapToGrid/>
        </w:rPr>
        <w:t>Ordering Clause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074B7" w:rsidRPr="003074B7" w:rsidP="0020653A">
      <w:pPr>
        <w:pStyle w:val="ParaNum"/>
        <w:widowControl/>
        <w:rPr>
          <w:rFonts w:eastAsiaTheme="minorHAnsi"/>
          <w:snapToGrid/>
        </w:rPr>
      </w:pPr>
      <w:r w:rsidRPr="00AB20DF">
        <w:rPr>
          <w:rFonts w:eastAsiaTheme="minorHAnsi"/>
          <w:snapToGrid/>
        </w:rPr>
        <w:t>IT IS ORDERED</w:t>
      </w:r>
      <w:r w:rsidRPr="00693508">
        <w:rPr>
          <w:rFonts w:eastAsiaTheme="minorHAnsi"/>
          <w:snapToGrid/>
        </w:rPr>
        <w:t xml:space="preserve"> that, pursuant to section</w:t>
      </w:r>
      <w:r w:rsidR="004E6E96">
        <w:rPr>
          <w:rFonts w:eastAsiaTheme="minorHAnsi"/>
          <w:snapToGrid/>
        </w:rPr>
        <w:t>s</w:t>
      </w:r>
      <w:r w:rsidRPr="00693508">
        <w:rPr>
          <w:rFonts w:eastAsiaTheme="minorHAnsi"/>
          <w:snapToGrid/>
        </w:rPr>
        <w:t xml:space="preserve"> 4(i), 5(c), and 303(r) of the Communications Act of 1934, as amended, 47 U.S.C. §</w:t>
      </w:r>
      <w:r w:rsidRPr="00693508" w:rsidR="004E6E96">
        <w:rPr>
          <w:rFonts w:eastAsiaTheme="minorHAnsi"/>
          <w:snapToGrid/>
        </w:rPr>
        <w:t>§</w:t>
      </w:r>
      <w:r w:rsidR="004E6E96">
        <w:rPr>
          <w:rFonts w:eastAsiaTheme="minorHAnsi"/>
          <w:snapToGrid/>
        </w:rPr>
        <w:t xml:space="preserve"> </w:t>
      </w:r>
      <w:r w:rsidRPr="00693508">
        <w:rPr>
          <w:rFonts w:eastAsiaTheme="minorHAnsi"/>
          <w:snapToGrid/>
        </w:rPr>
        <w:t>154(i), 155(c), 303(r)</w:t>
      </w:r>
      <w:r w:rsidR="004E6E96">
        <w:rPr>
          <w:rFonts w:eastAsiaTheme="minorHAnsi"/>
          <w:snapToGrid/>
        </w:rPr>
        <w:t xml:space="preserve">, and </w:t>
      </w:r>
      <w:r w:rsidRPr="00693508">
        <w:rPr>
          <w:rFonts w:eastAsiaTheme="minorHAnsi"/>
          <w:snapToGrid/>
        </w:rPr>
        <w:t>section 1.115 of the Commission’s rules, 47 CFR § 1.115, the Application for Review filed by Spectrum Networks Group, LLC, on May 13, 2015, IS DENIED.</w:t>
      </w:r>
    </w:p>
    <w:p w:rsidR="003074B7" w:rsidP="0017296B">
      <w:r>
        <w:tab/>
      </w:r>
      <w:r>
        <w:tab/>
      </w:r>
      <w:r>
        <w:tab/>
      </w:r>
      <w:r>
        <w:tab/>
      </w:r>
      <w:r>
        <w:tab/>
      </w:r>
      <w:r>
        <w:tab/>
        <w:t>FEDERAL COMMUNICATIONS COMMISSION</w:t>
      </w:r>
    </w:p>
    <w:p w:rsidR="003074B7" w:rsidP="0017296B"/>
    <w:p w:rsidR="003074B7" w:rsidP="0017296B"/>
    <w:p w:rsidR="003074B7" w:rsidP="0017296B"/>
    <w:p w:rsidR="003074B7" w:rsidP="0017296B"/>
    <w:p w:rsidR="003074B7" w:rsidP="0017296B">
      <w:r>
        <w:tab/>
      </w:r>
      <w:r>
        <w:tab/>
      </w:r>
      <w:r>
        <w:tab/>
      </w:r>
      <w:r>
        <w:tab/>
      </w:r>
      <w:r>
        <w:tab/>
      </w:r>
      <w:r>
        <w:tab/>
        <w:t>Marlene H. Dortch</w:t>
      </w:r>
    </w:p>
    <w:p w:rsidR="003074B7" w:rsidP="0017296B">
      <w:r>
        <w:tab/>
      </w:r>
      <w:r>
        <w:tab/>
      </w:r>
      <w:r>
        <w:tab/>
      </w:r>
      <w:r>
        <w:tab/>
      </w:r>
      <w:r>
        <w:tab/>
      </w:r>
      <w:r>
        <w:tab/>
        <w:t>Secretary</w:t>
      </w:r>
    </w:p>
    <w:p w:rsidR="003074B7" w:rsidP="003074B7">
      <w:bookmarkEnd w:id="2"/>
      <w:bookmarkEnd w:id="3"/>
    </w:p>
    <w:p w:rsidR="003074B7" w:rsidRPr="00AB20DF" w:rsidP="00B270C8">
      <w:pPr>
        <w:widowControl/>
        <w:spacing w:after="160" w:line="259" w:lineRule="auto"/>
        <w:rPr>
          <w:rFonts w:eastAsiaTheme="minorHAnsi"/>
          <w:snapToGrid/>
          <w:kern w:val="0"/>
          <w:szCs w:val="22"/>
        </w:rPr>
      </w:pPr>
    </w:p>
    <w:sectPr w:rsidSect="002336BD">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E8C">
    <w:pPr>
      <w:pStyle w:val="Footer"/>
      <w:framePr w:wrap="around" w:vAnchor="text" w:hAnchor="margin" w:xAlign="center" w:y="1"/>
    </w:pPr>
    <w:r>
      <w:fldChar w:fldCharType="begin"/>
    </w:r>
    <w:r>
      <w:instrText xml:space="preserve">PAGE  </w:instrText>
    </w:r>
    <w:r>
      <w:fldChar w:fldCharType="separate"/>
    </w:r>
    <w:r>
      <w:fldChar w:fldCharType="end"/>
    </w:r>
  </w:p>
  <w:p w:rsidR="00D74E8C">
    <w:pPr>
      <w:pStyle w:val="Footer"/>
    </w:pPr>
  </w:p>
  <w:p w:rsidR="00D74E8C"/>
  <w:p w:rsidR="00D74E8C"/>
  <w:p w:rsidR="00D74E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E8C">
    <w:pPr>
      <w:pStyle w:val="Footer"/>
      <w:framePr w:wrap="around" w:vAnchor="text" w:hAnchor="margin" w:xAlign="center" w:y="1"/>
    </w:pPr>
    <w:r>
      <w:fldChar w:fldCharType="begin"/>
    </w:r>
    <w:r>
      <w:instrText xml:space="preserve">PAGE  </w:instrText>
    </w:r>
    <w:r>
      <w:fldChar w:fldCharType="separate"/>
    </w:r>
    <w:r>
      <w:rPr>
        <w:noProof/>
      </w:rPr>
      <w:t>21</w:t>
    </w:r>
    <w:r>
      <w:fldChar w:fldCharType="end"/>
    </w:r>
  </w:p>
  <w:p w:rsidR="00D74E8C" w:rsidP="00307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5E29">
      <w:r>
        <w:separator/>
      </w:r>
    </w:p>
  </w:footnote>
  <w:footnote w:type="continuationSeparator" w:id="1">
    <w:p w:rsidR="00A65E29">
      <w:pPr>
        <w:rPr>
          <w:sz w:val="20"/>
        </w:rPr>
      </w:pPr>
      <w:r>
        <w:rPr>
          <w:sz w:val="20"/>
        </w:rPr>
        <w:t xml:space="preserve">(Continued from previous page)  </w:t>
      </w:r>
      <w:r>
        <w:rPr>
          <w:sz w:val="20"/>
        </w:rPr>
        <w:separator/>
      </w:r>
    </w:p>
  </w:footnote>
  <w:footnote w:type="continuationNotice" w:id="2">
    <w:p w:rsidR="00A65E29" w:rsidRPr="00CD0346" w:rsidP="00CD0346">
      <w:pPr>
        <w:pStyle w:val="Footer"/>
      </w:pPr>
    </w:p>
  </w:footnote>
  <w:footnote w:id="3">
    <w:p w:rsidR="00C36B64" w:rsidP="00C36B64">
      <w:pPr>
        <w:pStyle w:val="FootnoteText"/>
      </w:pPr>
      <w:r>
        <w:rPr>
          <w:rStyle w:val="FootnoteReference"/>
        </w:rPr>
        <w:footnoteRef/>
      </w:r>
      <w:r>
        <w:t xml:space="preserve"> Spectrum Networks Group, LLC, Application for Review (filed May 13, 2015) (AFR).</w:t>
      </w:r>
    </w:p>
  </w:footnote>
  <w:footnote w:id="4">
    <w:p w:rsidR="004E6E96" w:rsidRPr="00711517" w:rsidP="004E6E96">
      <w:pPr>
        <w:pStyle w:val="FootnoteText"/>
      </w:pPr>
      <w:r>
        <w:rPr>
          <w:rStyle w:val="FootnoteReference"/>
        </w:rPr>
        <w:footnoteRef/>
      </w:r>
      <w:r>
        <w:t xml:space="preserve"> </w:t>
      </w:r>
      <w:r w:rsidRPr="00647BE6">
        <w:rPr>
          <w:i/>
        </w:rPr>
        <w:t>Spectrum Networks Group, LLC</w:t>
      </w:r>
      <w:r>
        <w:t xml:space="preserve">, Order, 30 FCC </w:t>
      </w:r>
      <w:r>
        <w:t>Rcd</w:t>
      </w:r>
      <w:r>
        <w:t xml:space="preserve"> 3509 (WTB MD 2015) (</w:t>
      </w:r>
      <w:r>
        <w:rPr>
          <w:i/>
        </w:rPr>
        <w:t>Waiver Order)</w:t>
      </w:r>
      <w:r>
        <w:t>.</w:t>
      </w:r>
      <w:r w:rsidRPr="00AB20DF">
        <w:rPr>
          <w:rFonts w:eastAsiaTheme="minorHAnsi"/>
        </w:rPr>
        <w:t xml:space="preserve">  </w:t>
      </w:r>
    </w:p>
  </w:footnote>
  <w:footnote w:id="5">
    <w:p w:rsidR="00F84644" w:rsidRPr="00596761" w:rsidP="00F84644">
      <w:pPr>
        <w:pStyle w:val="FootnoteText"/>
      </w:pPr>
      <w:r>
        <w:rPr>
          <w:rStyle w:val="FootnoteReference"/>
        </w:rPr>
        <w:footnoteRef/>
      </w:r>
      <w:r>
        <w:t xml:space="preserve"> </w:t>
      </w:r>
      <w:r>
        <w:rPr>
          <w:i/>
        </w:rPr>
        <w:t xml:space="preserve">See </w:t>
      </w:r>
      <w:r>
        <w:t xml:space="preserve">47 CFR §§ 90.613, 90.617(c), (f).  </w:t>
      </w:r>
    </w:p>
  </w:footnote>
  <w:footnote w:id="6">
    <w:p w:rsidR="00D34E66">
      <w:pPr>
        <w:pStyle w:val="FootnoteText"/>
      </w:pPr>
      <w:r>
        <w:rPr>
          <w:rStyle w:val="FootnoteReference"/>
        </w:rPr>
        <w:footnoteRef/>
      </w:r>
      <w:r>
        <w:t xml:space="preserve"> </w:t>
      </w:r>
      <w:r>
        <w:rPr>
          <w:i/>
        </w:rPr>
        <w:t xml:space="preserve">See </w:t>
      </w:r>
      <w:r>
        <w:t>47 CFR § 90.617(c</w:t>
      </w:r>
      <w:r w:rsidR="001D0EBD">
        <w:t>)</w:t>
      </w:r>
      <w:r>
        <w:t>.</w:t>
      </w:r>
      <w:r w:rsidR="00164696">
        <w:t xml:space="preserve">  SMR </w:t>
      </w:r>
      <w:r w:rsidR="00E855BC">
        <w:t>systems</w:t>
      </w:r>
      <w:r w:rsidR="00164696">
        <w:t xml:space="preserve"> </w:t>
      </w:r>
      <w:r w:rsidRPr="00164696" w:rsidR="00164696">
        <w:t>are defined as those “in which licensees provide land mobile communications services (other than radiolocation services) in the 800 MHz and 900 MHz bands on a commercial basis</w:t>
      </w:r>
      <w:r w:rsidR="00DF5C36">
        <w:t>.</w:t>
      </w:r>
      <w:r w:rsidRPr="00164696" w:rsidR="00164696">
        <w:t>”</w:t>
      </w:r>
      <w:r w:rsidR="00164696">
        <w:t xml:space="preserve">  </w:t>
      </w:r>
      <w:r w:rsidRPr="00164696" w:rsidR="00164696">
        <w:t>47 CFR § 90.7.</w:t>
      </w:r>
    </w:p>
  </w:footnote>
  <w:footnote w:id="7">
    <w:p w:rsidR="00D34E66">
      <w:pPr>
        <w:pStyle w:val="FootnoteText"/>
      </w:pPr>
      <w:r>
        <w:rPr>
          <w:rStyle w:val="FootnoteReference"/>
        </w:rPr>
        <w:footnoteRef/>
      </w:r>
      <w:r>
        <w:t xml:space="preserve"> </w:t>
      </w:r>
      <w:r>
        <w:rPr>
          <w:i/>
        </w:rPr>
        <w:t xml:space="preserve">See </w:t>
      </w:r>
      <w:r>
        <w:t>47 CFR § 90.621(f).</w:t>
      </w:r>
      <w:r w:rsidR="006F3538">
        <w:t xml:space="preserve">  </w:t>
      </w:r>
      <w:r w:rsidRPr="00740967" w:rsidR="006F3538">
        <w:t xml:space="preserve">In 2004, the Commission ordered </w:t>
      </w:r>
      <w:r w:rsidRPr="00740967" w:rsidR="006F3538">
        <w:t>rebanding</w:t>
      </w:r>
      <w:r w:rsidRPr="00740967" w:rsidR="006F3538">
        <w:t xml:space="preserve"> of the 806-824/851-869 MHz band (800 MHz band) to resolve interference between commercial systems—primarily SMR systems operated by Nextel Communications, Inc.</w:t>
      </w:r>
      <w:r w:rsidR="00F0681B">
        <w:t xml:space="preserve"> (Nextel)</w:t>
      </w:r>
      <w:r w:rsidRPr="00740967" w:rsidR="006F3538">
        <w:t>—and public safety systems in the band.</w:t>
      </w:r>
      <w:r w:rsidR="006F3538">
        <w:t xml:space="preserve">  </w:t>
      </w:r>
      <w:r w:rsidR="006F3538">
        <w:rPr>
          <w:i/>
        </w:rPr>
        <w:t>See Improving Public Safety Communications in the 800 MHz Band, et al.</w:t>
      </w:r>
      <w:r w:rsidR="006F3538">
        <w:t xml:space="preserve">, Report and Order, Fifth Report and Order, Fourth Memorandum Opinion and </w:t>
      </w:r>
      <w:r w:rsidR="00F0681B">
        <w:t xml:space="preserve">Order, and Order, 19 FCC </w:t>
      </w:r>
      <w:r w:rsidR="00F0681B">
        <w:t>Rcd</w:t>
      </w:r>
      <w:r w:rsidR="00F0681B">
        <w:t xml:space="preserve"> 14969</w:t>
      </w:r>
      <w:r w:rsidR="006F3538">
        <w:t>, 1497</w:t>
      </w:r>
      <w:r w:rsidR="00F0681B">
        <w:t>2</w:t>
      </w:r>
      <w:r w:rsidR="006F3538">
        <w:t xml:space="preserve">, para. 2 (2004).  </w:t>
      </w:r>
      <w:r w:rsidRPr="00740967" w:rsidR="006F3538">
        <w:t>In order to</w:t>
      </w:r>
      <w:r w:rsidRPr="00740967" w:rsidR="006F3538">
        <w:t xml:space="preserve"> provide regulatory flexibility </w:t>
      </w:r>
      <w:r w:rsidR="006F3538">
        <w:t xml:space="preserve">for </w:t>
      </w:r>
      <w:r w:rsidR="00F0681B">
        <w:t>Nextel</w:t>
      </w:r>
      <w:r w:rsidR="006F3538">
        <w:t xml:space="preserve"> to </w:t>
      </w:r>
      <w:r w:rsidRPr="00740967" w:rsidR="006F3538">
        <w:t xml:space="preserve">shift some of its operations to the 900 MHz band to create “green space” to facilitate 800 MHz </w:t>
      </w:r>
      <w:r w:rsidRPr="00740967" w:rsidR="006F3538">
        <w:t>rebanding</w:t>
      </w:r>
      <w:r w:rsidRPr="00740967" w:rsidR="006F3538">
        <w:t xml:space="preserve">, the Commission amended its rules to allow 900 MHz B/ILT licensees to convert </w:t>
      </w:r>
      <w:r w:rsidR="006F3538">
        <w:t xml:space="preserve">or assign </w:t>
      </w:r>
      <w:r w:rsidR="00C51A75">
        <w:t>their</w:t>
      </w:r>
      <w:r w:rsidRPr="00740967" w:rsidR="006F3538">
        <w:t xml:space="preserve"> authorizations </w:t>
      </w:r>
      <w:r w:rsidR="001D0EBD">
        <w:t>f</w:t>
      </w:r>
      <w:r w:rsidRPr="00740967" w:rsidR="006F3538">
        <w:t>o</w:t>
      </w:r>
      <w:r w:rsidR="001D0EBD">
        <w:t>r</w:t>
      </w:r>
      <w:r w:rsidRPr="00740967" w:rsidR="006F3538">
        <w:t xml:space="preserve"> </w:t>
      </w:r>
      <w:r w:rsidR="006F3538">
        <w:t>commercial</w:t>
      </w:r>
      <w:r w:rsidRPr="00740967" w:rsidR="006F3538">
        <w:t xml:space="preserve"> use.</w:t>
      </w:r>
      <w:r w:rsidR="006F3538">
        <w:t xml:space="preserve">  </w:t>
      </w:r>
      <w:r w:rsidR="006F3538">
        <w:rPr>
          <w:i/>
        </w:rPr>
        <w:t>See id.</w:t>
      </w:r>
      <w:r w:rsidR="006F3538">
        <w:t xml:space="preserve"> at 15127-28, paras. 335-37.</w:t>
      </w:r>
      <w:r w:rsidR="000D12D2">
        <w:t xml:space="preserve">  </w:t>
      </w:r>
      <w:r w:rsidRPr="000D12D2" w:rsidR="000D12D2">
        <w:t xml:space="preserve">In 2008, however, the Commission reaffirmed its commitment to “traditional B/ILT” operations by rejecting a proposal to amend the rules to permit any fixed or mobile service on 900 MHz B/ILT channels.  </w:t>
      </w:r>
      <w:r w:rsidRPr="000D12D2" w:rsidR="000D12D2">
        <w:rPr>
          <w:i/>
        </w:rPr>
        <w:t>Amendment of Part 90 of the Commission’s Rules to Provide for Flexible Use of the 896-901 MHz and 935-940 MHz Band Allotted to the Business and Industrial Land Transportation Pool</w:t>
      </w:r>
      <w:r w:rsidRPr="000D12D2" w:rsidR="000D12D2">
        <w:t xml:space="preserve">, Report and Order, 23 FCC </w:t>
      </w:r>
      <w:r w:rsidRPr="000D12D2" w:rsidR="000D12D2">
        <w:t>Rcd</w:t>
      </w:r>
      <w:r w:rsidRPr="000D12D2" w:rsidR="000D12D2">
        <w:t xml:space="preserve"> 15856, 15863-64, paras. 12-13 (2008) (</w:t>
      </w:r>
      <w:bookmarkStart w:id="4" w:name="_Hlk527447849"/>
      <w:r w:rsidRPr="000D12D2" w:rsidR="000D12D2">
        <w:rPr>
          <w:i/>
        </w:rPr>
        <w:t>2008 900 MHz Report and Order</w:t>
      </w:r>
      <w:bookmarkEnd w:id="4"/>
      <w:r w:rsidRPr="000D12D2" w:rsidR="000D12D2">
        <w:t>).</w:t>
      </w:r>
    </w:p>
  </w:footnote>
  <w:footnote w:id="8">
    <w:p w:rsidR="00C36B64" w:rsidP="00C36B64">
      <w:pPr>
        <w:pStyle w:val="FootnoteText"/>
      </w:pPr>
      <w:r>
        <w:rPr>
          <w:rStyle w:val="FootnoteReference"/>
        </w:rPr>
        <w:footnoteRef/>
      </w:r>
      <w:r>
        <w:t xml:space="preserve"> </w:t>
      </w:r>
      <w:r w:rsidR="00E2542B">
        <w:t>The application f</w:t>
      </w:r>
      <w:r w:rsidRPr="007E643B">
        <w:t xml:space="preserve">ile </w:t>
      </w:r>
      <w:r w:rsidR="00E2542B">
        <w:t xml:space="preserve">numbers are listed in the caption of the </w:t>
      </w:r>
      <w:r w:rsidRPr="003202DD" w:rsidR="00E2542B">
        <w:rPr>
          <w:i/>
        </w:rPr>
        <w:t>Wavier Order</w:t>
      </w:r>
      <w:r w:rsidR="00E2542B">
        <w:t xml:space="preserve">.  </w:t>
      </w:r>
      <w:r w:rsidRPr="003202DD" w:rsidR="00E2542B">
        <w:rPr>
          <w:i/>
        </w:rPr>
        <w:t>See Waiver Order</w:t>
      </w:r>
      <w:r w:rsidR="00E2542B">
        <w:t xml:space="preserve">, </w:t>
      </w:r>
      <w:r w:rsidRPr="00E2542B" w:rsidR="00E2542B">
        <w:t xml:space="preserve">30 FCC </w:t>
      </w:r>
      <w:r w:rsidRPr="00E2542B" w:rsidR="00E2542B">
        <w:t>Rcd</w:t>
      </w:r>
      <w:r w:rsidRPr="00E2542B" w:rsidR="00E2542B">
        <w:t xml:space="preserve"> </w:t>
      </w:r>
      <w:r w:rsidR="00E2542B">
        <w:t xml:space="preserve">at </w:t>
      </w:r>
      <w:r w:rsidRPr="00E2542B" w:rsidR="00E2542B">
        <w:t>3509</w:t>
      </w:r>
      <w:r>
        <w:t>.</w:t>
      </w:r>
    </w:p>
  </w:footnote>
  <w:footnote w:id="9">
    <w:p w:rsidR="00D74E8C" w:rsidP="00AB20DF">
      <w:pPr>
        <w:pStyle w:val="FootnoteText"/>
      </w:pPr>
      <w:r>
        <w:rPr>
          <w:rStyle w:val="FootnoteReference"/>
        </w:rPr>
        <w:footnoteRef/>
      </w:r>
      <w:r>
        <w:t xml:space="preserve"> </w:t>
      </w:r>
      <w:r>
        <w:rPr>
          <w:i/>
        </w:rPr>
        <w:t xml:space="preserve">See </w:t>
      </w:r>
      <w:r>
        <w:t xml:space="preserve">Request of Spectrum Networks Group, LLC for Waiver at 1-2 (filed Mar. 14, 2014) </w:t>
      </w:r>
      <w:r w:rsidR="00763DD0">
        <w:t xml:space="preserve">(Request) </w:t>
      </w:r>
      <w:r>
        <w:t xml:space="preserve">(on file in the Commission’s Universal Licensing System under, </w:t>
      </w:r>
      <w:r>
        <w:rPr>
          <w:i/>
        </w:rPr>
        <w:t>e.g.</w:t>
      </w:r>
      <w:r>
        <w:t>, FCC File No. 0006201203)</w:t>
      </w:r>
      <w:r>
        <w:rPr>
          <w:i/>
        </w:rPr>
        <w:t xml:space="preserve">.  </w:t>
      </w:r>
      <w:r w:rsidR="006C60AB">
        <w:rPr>
          <w:rFonts w:eastAsiaTheme="minorHAnsi"/>
        </w:rPr>
        <w:t>SNG</w:t>
      </w:r>
      <w:r w:rsidRPr="00AB20DF" w:rsidR="00C51A75">
        <w:rPr>
          <w:rFonts w:eastAsiaTheme="minorHAnsi"/>
        </w:rPr>
        <w:t xml:space="preserve"> argued that a waiver was warranted because its proposed network would </w:t>
      </w:r>
      <w:r w:rsidR="00F038B4">
        <w:rPr>
          <w:rFonts w:eastAsiaTheme="minorHAnsi"/>
        </w:rPr>
        <w:t>provide</w:t>
      </w:r>
      <w:r w:rsidRPr="00AB20DF" w:rsidR="00F038B4">
        <w:rPr>
          <w:rFonts w:eastAsiaTheme="minorHAnsi"/>
        </w:rPr>
        <w:t xml:space="preserve"> </w:t>
      </w:r>
      <w:r w:rsidRPr="00AB20DF" w:rsidR="00C51A75">
        <w:rPr>
          <w:rFonts w:eastAsiaTheme="minorHAnsi"/>
        </w:rPr>
        <w:t>machine-to-machine services on channels no wider than needed, using fallow B/ILT channels solely for B/ILT purposes without diverting them from the B/ILT Pool.</w:t>
      </w:r>
      <w:r w:rsidR="00C51A75">
        <w:rPr>
          <w:rFonts w:eastAsiaTheme="minorHAnsi"/>
        </w:rPr>
        <w:t xml:space="preserve">  </w:t>
      </w:r>
      <w:r w:rsidR="00C51A75">
        <w:rPr>
          <w:i/>
        </w:rPr>
        <w:t xml:space="preserve">See </w:t>
      </w:r>
      <w:r w:rsidRPr="00763DD0" w:rsidR="00C51A75">
        <w:t>Request</w:t>
      </w:r>
      <w:r w:rsidR="00C51A75">
        <w:t xml:space="preserve"> at 4</w:t>
      </w:r>
      <w:r w:rsidR="00F0681B">
        <w:t xml:space="preserve">; </w:t>
      </w:r>
      <w:r w:rsidR="00F0681B">
        <w:rPr>
          <w:i/>
        </w:rPr>
        <w:t>s</w:t>
      </w:r>
      <w:r w:rsidR="00C51A75">
        <w:rPr>
          <w:i/>
        </w:rPr>
        <w:t>ee</w:t>
      </w:r>
      <w:r w:rsidR="00B41BCE">
        <w:rPr>
          <w:i/>
        </w:rPr>
        <w:t xml:space="preserve"> also</w:t>
      </w:r>
      <w:r w:rsidR="00C51A75">
        <w:rPr>
          <w:i/>
        </w:rPr>
        <w:t xml:space="preserve"> </w:t>
      </w:r>
      <w:r w:rsidR="00C51A75">
        <w:t xml:space="preserve">Letter from </w:t>
      </w:r>
      <w:r w:rsidR="00C51A75">
        <w:t>Pantelis</w:t>
      </w:r>
      <w:r w:rsidR="00C51A75">
        <w:t xml:space="preserve"> </w:t>
      </w:r>
      <w:r w:rsidR="00C51A75">
        <w:t>Michalopoulos</w:t>
      </w:r>
      <w:r w:rsidR="00C51A75">
        <w:t xml:space="preserve"> and Christopher Bjornson, Counsel to Spectrum Networks Group, to Marlene H. Dortch, Secretary, FCC (Apr. 8, 2014) (on file in the Commission’s Universal Licensing System under, </w:t>
      </w:r>
      <w:r w:rsidR="00C51A75">
        <w:rPr>
          <w:i/>
        </w:rPr>
        <w:t>e.g.</w:t>
      </w:r>
      <w:r w:rsidR="00C51A75">
        <w:t>, FCC File No. 0005974432).</w:t>
      </w:r>
    </w:p>
  </w:footnote>
  <w:footnote w:id="10">
    <w:p w:rsidR="001B2268">
      <w:pPr>
        <w:pStyle w:val="FootnoteText"/>
      </w:pPr>
      <w:r>
        <w:rPr>
          <w:rStyle w:val="FootnoteReference"/>
        </w:rPr>
        <w:footnoteRef/>
      </w:r>
      <w:r>
        <w:t xml:space="preserve"> </w:t>
      </w:r>
      <w:r>
        <w:rPr>
          <w:i/>
        </w:rPr>
        <w:t>See Wireless Telecommunications Bureau Seeks Comment on Spectrum Networks Group LLC Applications and Waiver Request to Allow It to Provide Private, Internal Machine-to-Machine Communications to Businesses on 900 MHz Business/Industrial/Land Transportation Channels</w:t>
      </w:r>
      <w:r>
        <w:t xml:space="preserve">, Public Notice, 29 FCC </w:t>
      </w:r>
      <w:r>
        <w:t>Rcd</w:t>
      </w:r>
      <w:r>
        <w:t xml:space="preserve"> 8238 (WTB MD 2014).</w:t>
      </w:r>
    </w:p>
  </w:footnote>
  <w:footnote w:id="11">
    <w:p w:rsidR="00F0681B">
      <w:pPr>
        <w:pStyle w:val="FootnoteText"/>
      </w:pPr>
      <w:r>
        <w:rPr>
          <w:rStyle w:val="FootnoteReference"/>
        </w:rPr>
        <w:footnoteRef/>
      </w:r>
      <w:r>
        <w:t xml:space="preserve"> </w:t>
      </w:r>
      <w:r>
        <w:rPr>
          <w:i/>
        </w:rPr>
        <w:t>See Waiver Order</w:t>
      </w:r>
      <w:r>
        <w:t xml:space="preserve">, 30 FCC </w:t>
      </w:r>
      <w:r>
        <w:t>Rcd</w:t>
      </w:r>
      <w:r>
        <w:t xml:space="preserve"> at 3511-12, para. 4 (describing the record in response to SNG’s waiver requests).</w:t>
      </w:r>
    </w:p>
  </w:footnote>
  <w:footnote w:id="12">
    <w:p w:rsidR="001B2268" w:rsidRPr="001B2268">
      <w:pPr>
        <w:pStyle w:val="FootnoteText"/>
      </w:pPr>
      <w:r>
        <w:rPr>
          <w:rStyle w:val="FootnoteReference"/>
        </w:rPr>
        <w:footnoteRef/>
      </w:r>
      <w:r w:rsidR="00F0681B">
        <w:t xml:space="preserve"> </w:t>
      </w:r>
      <w:r w:rsidR="00F0681B">
        <w:rPr>
          <w:i/>
        </w:rPr>
        <w:t>See id.</w:t>
      </w:r>
      <w:r w:rsidR="00F0681B">
        <w:t xml:space="preserve"> at 3512, para. 12 (describing the record in response to SNG’s waiver requests)</w:t>
      </w:r>
      <w:r>
        <w:t>.</w:t>
      </w:r>
      <w:r w:rsidR="000C24A3">
        <w:t xml:space="preserve">  </w:t>
      </w:r>
    </w:p>
  </w:footnote>
  <w:footnote w:id="13">
    <w:p w:rsidR="00D74E8C" w:rsidP="00AB20DF">
      <w:pPr>
        <w:pStyle w:val="FootnoteText"/>
      </w:pPr>
      <w:r>
        <w:rPr>
          <w:rStyle w:val="FootnoteReference"/>
        </w:rPr>
        <w:footnoteRef/>
      </w:r>
      <w:r>
        <w:t xml:space="preserve"> </w:t>
      </w:r>
      <w:r w:rsidRPr="008D0B5C">
        <w:rPr>
          <w:i/>
        </w:rPr>
        <w:t>See</w:t>
      </w:r>
      <w:r w:rsidRPr="008D0B5C">
        <w:t xml:space="preserve"> </w:t>
      </w:r>
      <w:r w:rsidR="00F0681B">
        <w:rPr>
          <w:i/>
        </w:rPr>
        <w:t>id.</w:t>
      </w:r>
      <w:r>
        <w:t xml:space="preserve"> </w:t>
      </w:r>
      <w:r w:rsidR="00356612">
        <w:t>at 3515, para. 14</w:t>
      </w:r>
      <w:r>
        <w:t>.</w:t>
      </w:r>
    </w:p>
  </w:footnote>
  <w:footnote w:id="14">
    <w:p w:rsidR="00D74E8C" w:rsidP="00AB20DF">
      <w:pPr>
        <w:pStyle w:val="FootnoteText"/>
      </w:pPr>
      <w:r>
        <w:rPr>
          <w:rStyle w:val="FootnoteReference"/>
        </w:rPr>
        <w:footnoteRef/>
      </w:r>
      <w:r>
        <w:t xml:space="preserve"> </w:t>
      </w:r>
      <w:r>
        <w:rPr>
          <w:i/>
        </w:rPr>
        <w:t>Id.</w:t>
      </w:r>
      <w:r>
        <w:t xml:space="preserve"> at 3513-14, para. 8</w:t>
      </w:r>
      <w:r w:rsidR="00B3535C">
        <w:t xml:space="preserve"> (quoting </w:t>
      </w:r>
      <w:r w:rsidR="00B3535C">
        <w:rPr>
          <w:i/>
        </w:rPr>
        <w:t>Amendment of Part 90 of the Commission’s Rules to Facilitate Future Development of SMR Systems in the 800 MHz Band</w:t>
      </w:r>
      <w:r w:rsidR="00B3535C">
        <w:t xml:space="preserve">, First Report and Order, Eighth Report and Order, and Second Further Notice of Proposed Rule Making, 11 FCC </w:t>
      </w:r>
      <w:r w:rsidR="00B3535C">
        <w:t>Rcd</w:t>
      </w:r>
      <w:r w:rsidR="00B3535C">
        <w:t xml:space="preserve"> 1463, 1537, para. 141 (1995))</w:t>
      </w:r>
      <w:r>
        <w:t>.</w:t>
      </w:r>
    </w:p>
  </w:footnote>
  <w:footnote w:id="15">
    <w:p w:rsidR="00D74E8C" w:rsidP="00AB20DF">
      <w:pPr>
        <w:pStyle w:val="FootnoteText"/>
      </w:pPr>
      <w:r>
        <w:rPr>
          <w:rStyle w:val="FootnoteReference"/>
        </w:rPr>
        <w:footnoteRef/>
      </w:r>
      <w:r>
        <w:t xml:space="preserve"> </w:t>
      </w:r>
      <w:r>
        <w:rPr>
          <w:i/>
        </w:rPr>
        <w:t>Id.</w:t>
      </w:r>
      <w:r>
        <w:t xml:space="preserve"> at 3514, para. 9.  </w:t>
      </w:r>
      <w:r w:rsidRPr="00AB20DF" w:rsidR="000C24A3">
        <w:rPr>
          <w:rFonts w:eastAsiaTheme="minorHAnsi"/>
        </w:rPr>
        <w:t xml:space="preserve">It noted that </w:t>
      </w:r>
      <w:r w:rsidR="006C60AB">
        <w:rPr>
          <w:rFonts w:eastAsiaTheme="minorHAnsi"/>
        </w:rPr>
        <w:t>SNG</w:t>
      </w:r>
      <w:r w:rsidRPr="00AB20DF" w:rsidR="000C24A3">
        <w:rPr>
          <w:rFonts w:eastAsiaTheme="minorHAnsi"/>
        </w:rPr>
        <w:t>’s proposed services could be provided on other spectrum, and it found that a waiver was not warranted to avoid the cost of acquiring spectrum at auction or in the secondary market.</w:t>
      </w:r>
      <w:r w:rsidR="000C24A3">
        <w:rPr>
          <w:rFonts w:eastAsiaTheme="minorHAnsi"/>
        </w:rPr>
        <w:t xml:space="preserve">  </w:t>
      </w:r>
      <w:r w:rsidR="000C24A3">
        <w:rPr>
          <w:i/>
        </w:rPr>
        <w:t>Id.</w:t>
      </w:r>
    </w:p>
  </w:footnote>
  <w:footnote w:id="16">
    <w:p w:rsidR="00D74E8C" w:rsidP="00AB20DF">
      <w:pPr>
        <w:pStyle w:val="FootnoteText"/>
      </w:pPr>
      <w:r>
        <w:rPr>
          <w:rStyle w:val="FootnoteReference"/>
        </w:rPr>
        <w:footnoteRef/>
      </w:r>
      <w:r>
        <w:t xml:space="preserve"> </w:t>
      </w:r>
      <w:r>
        <w:rPr>
          <w:i/>
        </w:rPr>
        <w:t>Id.</w:t>
      </w:r>
      <w:r>
        <w:t xml:space="preserve"> at 3514, para. 10.  </w:t>
      </w:r>
    </w:p>
  </w:footnote>
  <w:footnote w:id="17">
    <w:p w:rsidR="00D74E8C" w:rsidRPr="008B4843" w:rsidP="00AB20DF">
      <w:pPr>
        <w:pStyle w:val="FootnoteText"/>
      </w:pPr>
      <w:r>
        <w:rPr>
          <w:rStyle w:val="FootnoteReference"/>
        </w:rPr>
        <w:footnoteRef/>
      </w:r>
      <w:r>
        <w:t xml:space="preserve"> </w:t>
      </w:r>
      <w:r>
        <w:rPr>
          <w:i/>
        </w:rPr>
        <w:t xml:space="preserve">See </w:t>
      </w:r>
      <w:r>
        <w:t xml:space="preserve">AFR at 6-16.  SNG also argues that the </w:t>
      </w:r>
      <w:r w:rsidRPr="00F0681B" w:rsidR="00F0681B">
        <w:rPr>
          <w:i/>
        </w:rPr>
        <w:t xml:space="preserve">Waiver </w:t>
      </w:r>
      <w:r w:rsidRPr="00F0681B">
        <w:rPr>
          <w:i/>
        </w:rPr>
        <w:t>Order</w:t>
      </w:r>
      <w:r>
        <w:t xml:space="preserve"> </w:t>
      </w:r>
      <w:r>
        <w:t>contravened</w:t>
      </w:r>
      <w:r>
        <w:t xml:space="preserve"> Commission precedent and reached a number of erroneous factual findings.  </w:t>
      </w:r>
      <w:r>
        <w:rPr>
          <w:i/>
        </w:rPr>
        <w:t xml:space="preserve">Id. </w:t>
      </w:r>
      <w:r>
        <w:t>at 16-22.</w:t>
      </w:r>
    </w:p>
  </w:footnote>
  <w:footnote w:id="18">
    <w:p w:rsidR="00D74E8C" w:rsidP="00AB20DF">
      <w:pPr>
        <w:pStyle w:val="FootnoteText"/>
      </w:pPr>
      <w:r>
        <w:rPr>
          <w:rStyle w:val="FootnoteReference"/>
        </w:rPr>
        <w:footnoteRef/>
      </w:r>
      <w:r>
        <w:t xml:space="preserve"> Petition of Spectrum Networks Group, LLC, for Orders to Show Cause (filed June 26, 2015) (on file in the Commission’s Universal Licensing System under, </w:t>
      </w:r>
      <w:r>
        <w:rPr>
          <w:i/>
        </w:rPr>
        <w:t>e.g.</w:t>
      </w:r>
      <w:r>
        <w:t>, Call Sign WQUI888).</w:t>
      </w:r>
    </w:p>
  </w:footnote>
  <w:footnote w:id="19">
    <w:p w:rsidR="00123964" w:rsidRPr="00123964">
      <w:pPr>
        <w:pStyle w:val="FootnoteText"/>
      </w:pPr>
      <w:r>
        <w:rPr>
          <w:rStyle w:val="FootnoteReference"/>
        </w:rPr>
        <w:footnoteRef/>
      </w:r>
      <w:r>
        <w:t xml:space="preserve"> Petition for Rulemaking of M2M Spectrum Networks, LLC</w:t>
      </w:r>
      <w:r w:rsidR="00F0681B">
        <w:t>, RM-11755</w:t>
      </w:r>
      <w:r>
        <w:t xml:space="preserve"> (filed June 29, 2015).  </w:t>
      </w:r>
    </w:p>
  </w:footnote>
  <w:footnote w:id="20">
    <w:p w:rsidR="00D74E8C" w:rsidP="00AB20DF">
      <w:pPr>
        <w:pStyle w:val="FootnoteText"/>
      </w:pPr>
      <w:r>
        <w:rPr>
          <w:rStyle w:val="FootnoteReference"/>
        </w:rPr>
        <w:footnoteRef/>
      </w:r>
      <w:r>
        <w:t xml:space="preserve"> </w:t>
      </w:r>
      <w:r>
        <w:rPr>
          <w:i/>
        </w:rPr>
        <w:t>Spectrum Networks Group, LLC</w:t>
      </w:r>
      <w:r>
        <w:t xml:space="preserve">, Order, 31 FCC </w:t>
      </w:r>
      <w:r>
        <w:t>Rcd</w:t>
      </w:r>
      <w:r>
        <w:t xml:space="preserve"> 8902, 8907, para. 16 (WTB MD 2016) (</w:t>
      </w:r>
      <w:r>
        <w:rPr>
          <w:i/>
        </w:rPr>
        <w:t>Show Cause Order</w:t>
      </w:r>
      <w:r w:rsidRPr="000C24A3">
        <w:t>)</w:t>
      </w:r>
      <w:r>
        <w:t xml:space="preserve">.  </w:t>
      </w:r>
      <w:r w:rsidR="006C60AB">
        <w:t>SNG</w:t>
      </w:r>
      <w:r w:rsidRPr="00D032A6">
        <w:t xml:space="preserve"> did not seek reconsideration or review of that decision.</w:t>
      </w:r>
    </w:p>
  </w:footnote>
  <w:footnote w:id="21">
    <w:p w:rsidR="00D74E8C" w:rsidP="00AB20DF">
      <w:pPr>
        <w:pStyle w:val="FootnoteText"/>
      </w:pPr>
      <w:r>
        <w:rPr>
          <w:rStyle w:val="FootnoteReference"/>
        </w:rPr>
        <w:footnoteRef/>
      </w:r>
      <w:r>
        <w:t xml:space="preserve"> </w:t>
      </w:r>
      <w:r w:rsidRPr="008D0507">
        <w:rPr>
          <w:i/>
        </w:rPr>
        <w:t>Id.</w:t>
      </w:r>
    </w:p>
  </w:footnote>
  <w:footnote w:id="22">
    <w:p w:rsidR="00F314F7" w:rsidRPr="00AF797C" w:rsidP="00F314F7">
      <w:pPr>
        <w:pStyle w:val="FootnoteText"/>
      </w:pPr>
      <w:r>
        <w:rPr>
          <w:rStyle w:val="FootnoteReference"/>
        </w:rPr>
        <w:footnoteRef/>
      </w:r>
      <w:r>
        <w:t xml:space="preserve"> </w:t>
      </w:r>
      <w:r>
        <w:rPr>
          <w:i/>
        </w:rPr>
        <w:t xml:space="preserve">See </w:t>
      </w:r>
      <w:r w:rsidRPr="0098528E">
        <w:rPr>
          <w:i/>
        </w:rPr>
        <w:t>Review of the Commission’s Rules Governing the 896-901/935-940 MHz Band</w:t>
      </w:r>
      <w:r>
        <w:rPr>
          <w:i/>
        </w:rPr>
        <w:t>; Realignment of the 896-901/935-940 MHz Band to Create a Private Enterprise Broadband Allocation; Amendment of the Commission’s Rules to Allow for Specialized Mobile Radio Services Over 900 MHz Business/Industrial Land Transportation Frequencies</w:t>
      </w:r>
      <w:r w:rsidRPr="0098528E">
        <w:rPr>
          <w:i/>
        </w:rPr>
        <w:t xml:space="preserve">, </w:t>
      </w:r>
      <w:r w:rsidRPr="0098528E">
        <w:t>Notice of Inquiry, 32 FC</w:t>
      </w:r>
      <w:r>
        <w:t xml:space="preserve">C </w:t>
      </w:r>
      <w:r>
        <w:t>Rcd</w:t>
      </w:r>
      <w:r>
        <w:t xml:space="preserve"> 6421, 6421, para. 1 </w:t>
      </w:r>
      <w:r w:rsidRPr="0098528E">
        <w:t>(2017)</w:t>
      </w:r>
      <w:r>
        <w:t>.</w:t>
      </w:r>
    </w:p>
  </w:footnote>
  <w:footnote w:id="23">
    <w:p w:rsidR="006F3538">
      <w:pPr>
        <w:pStyle w:val="FootnoteText"/>
      </w:pPr>
      <w:r>
        <w:rPr>
          <w:rStyle w:val="FootnoteReference"/>
        </w:rPr>
        <w:footnoteRef/>
      </w:r>
      <w:r>
        <w:t xml:space="preserve"> </w:t>
      </w:r>
      <w:r>
        <w:rPr>
          <w:i/>
        </w:rPr>
        <w:t xml:space="preserve">See </w:t>
      </w:r>
      <w:r w:rsidR="00B270C8">
        <w:rPr>
          <w:i/>
        </w:rPr>
        <w:t xml:space="preserve">id. </w:t>
      </w:r>
      <w:r w:rsidR="00B270C8">
        <w:t xml:space="preserve">at 6427-28, </w:t>
      </w:r>
      <w:r w:rsidR="00F0681B">
        <w:t xml:space="preserve">6428-29, </w:t>
      </w:r>
      <w:r w:rsidR="00B270C8">
        <w:t>paras. 15-16</w:t>
      </w:r>
      <w:r w:rsidR="00F0681B">
        <w:t>, 19-20</w:t>
      </w:r>
      <w:r>
        <w:t>.</w:t>
      </w:r>
    </w:p>
  </w:footnote>
  <w:footnote w:id="24">
    <w:p w:rsidR="00D74E8C" w:rsidP="00AB20DF">
      <w:pPr>
        <w:pStyle w:val="FootnoteText"/>
      </w:pPr>
      <w:r>
        <w:rPr>
          <w:rStyle w:val="FootnoteReference"/>
        </w:rPr>
        <w:footnoteRef/>
      </w:r>
      <w:r>
        <w:t xml:space="preserve"> 47 CFR § 1.115(b)(2).</w:t>
      </w:r>
    </w:p>
  </w:footnote>
  <w:footnote w:id="25">
    <w:p w:rsidR="00D74E8C" w:rsidP="00AB20DF">
      <w:pPr>
        <w:pStyle w:val="FootnoteText"/>
      </w:pPr>
      <w:r>
        <w:rPr>
          <w:rStyle w:val="FootnoteReference"/>
        </w:rPr>
        <w:footnoteRef/>
      </w:r>
      <w:r>
        <w:t xml:space="preserve"> </w:t>
      </w:r>
      <w:r>
        <w:rPr>
          <w:i/>
        </w:rPr>
        <w:t xml:space="preserve">See </w:t>
      </w:r>
      <w:r>
        <w:t>AFR at 6-16.</w:t>
      </w:r>
    </w:p>
  </w:footnote>
  <w:footnote w:id="26">
    <w:p w:rsidR="00D74E8C" w:rsidP="00AB20DF">
      <w:pPr>
        <w:pStyle w:val="FootnoteText"/>
      </w:pPr>
      <w:r>
        <w:rPr>
          <w:rStyle w:val="FootnoteReference"/>
        </w:rPr>
        <w:footnoteRef/>
      </w:r>
      <w:r>
        <w:t xml:space="preserve"> </w:t>
      </w:r>
      <w:bookmarkStart w:id="9" w:name="_Hlk524817745"/>
      <w:r>
        <w:rPr>
          <w:i/>
        </w:rPr>
        <w:t>S</w:t>
      </w:r>
      <w:r w:rsidR="001D0EBD">
        <w:rPr>
          <w:i/>
        </w:rPr>
        <w:t>ee S</w:t>
      </w:r>
      <w:r>
        <w:rPr>
          <w:i/>
        </w:rPr>
        <w:t>how Cause Order</w:t>
      </w:r>
      <w:r>
        <w:t xml:space="preserve">, 31 FCC </w:t>
      </w:r>
      <w:r>
        <w:t>Rcd</w:t>
      </w:r>
      <w:r>
        <w:t xml:space="preserve"> at 8904-07, paras. 5-14.</w:t>
      </w:r>
    </w:p>
  </w:footnote>
  <w:footnote w:id="27">
    <w:p w:rsidR="00D74E8C" w:rsidP="00AB20DF">
      <w:pPr>
        <w:pStyle w:val="FootnoteText"/>
      </w:pPr>
      <w:bookmarkEnd w:id="9"/>
      <w:r>
        <w:rPr>
          <w:rStyle w:val="FootnoteReference"/>
        </w:rPr>
        <w:footnoteRef/>
      </w:r>
      <w:r>
        <w:t xml:space="preserve"> AFR at 16-20.  </w:t>
      </w:r>
    </w:p>
  </w:footnote>
  <w:footnote w:id="28">
    <w:p w:rsidR="00841A88" w:rsidRPr="00841A88">
      <w:pPr>
        <w:pStyle w:val="FootnoteText"/>
      </w:pPr>
      <w:r>
        <w:rPr>
          <w:rStyle w:val="FootnoteReference"/>
        </w:rPr>
        <w:footnoteRef/>
      </w:r>
      <w:r>
        <w:t xml:space="preserve"> </w:t>
      </w:r>
      <w:r>
        <w:rPr>
          <w:i/>
        </w:rPr>
        <w:t xml:space="preserve">See id. </w:t>
      </w:r>
      <w:r>
        <w:t>at 18.</w:t>
      </w:r>
    </w:p>
  </w:footnote>
  <w:footnote w:id="29">
    <w:p w:rsidR="00841A88" w:rsidP="00841A88">
      <w:pPr>
        <w:pStyle w:val="FootnoteText"/>
      </w:pPr>
      <w:r>
        <w:rPr>
          <w:rStyle w:val="FootnoteReference"/>
        </w:rPr>
        <w:footnoteRef/>
      </w:r>
      <w:r>
        <w:t xml:space="preserve"> </w:t>
      </w:r>
      <w:r>
        <w:rPr>
          <w:i/>
        </w:rPr>
        <w:t xml:space="preserve">See </w:t>
      </w:r>
      <w:r w:rsidRPr="000D12D2">
        <w:rPr>
          <w:i/>
        </w:rPr>
        <w:t>2008 900 MHz Report and Order</w:t>
      </w:r>
      <w:r w:rsidRPr="00AF797C">
        <w:t xml:space="preserve">, 23 FCC </w:t>
      </w:r>
      <w:r w:rsidRPr="00AF797C">
        <w:t>Rcd</w:t>
      </w:r>
      <w:r>
        <w:t xml:space="preserve"> at</w:t>
      </w:r>
      <w:r w:rsidRPr="00AF797C">
        <w:t xml:space="preserve"> 15863-64, paras. 12-13</w:t>
      </w:r>
      <w:r>
        <w:t xml:space="preserve">.  </w:t>
      </w:r>
    </w:p>
  </w:footnote>
  <w:footnote w:id="30">
    <w:p w:rsidR="00841A88" w:rsidRPr="00357E5D">
      <w:pPr>
        <w:pStyle w:val="FootnoteText"/>
        <w:rPr>
          <w:i/>
        </w:rPr>
      </w:pPr>
      <w:r>
        <w:rPr>
          <w:rStyle w:val="FootnoteReference"/>
        </w:rPr>
        <w:footnoteRef/>
      </w:r>
      <w:r>
        <w:t xml:space="preserve"> </w:t>
      </w:r>
      <w:r>
        <w:rPr>
          <w:i/>
        </w:rPr>
        <w:t xml:space="preserve">See id.  </w:t>
      </w:r>
      <w:r w:rsidRPr="00740967">
        <w:t xml:space="preserve">The Commission stated that it would “be particularly vigilant in assessing an applicant’s basic minimum qualifications to hold a 900 MHz B/ILT license,” </w:t>
      </w:r>
      <w:r w:rsidRPr="00740967">
        <w:t>in order to</w:t>
      </w:r>
      <w:r w:rsidRPr="00740967">
        <w:t xml:space="preserve"> preserve that availability.</w:t>
      </w:r>
      <w:r>
        <w:t xml:space="preserve">  </w:t>
      </w:r>
      <w:r>
        <w:rPr>
          <w:i/>
        </w:rPr>
        <w:t>Id.</w:t>
      </w:r>
      <w:r>
        <w:t xml:space="preserve"> at 15873, para. 31.</w:t>
      </w:r>
    </w:p>
  </w:footnote>
  <w:footnote w:id="31">
    <w:p w:rsidR="00D74E8C" w:rsidP="00AB20DF">
      <w:pPr>
        <w:pStyle w:val="FootnoteText"/>
      </w:pPr>
      <w:r>
        <w:rPr>
          <w:rStyle w:val="FootnoteReference"/>
        </w:rPr>
        <w:footnoteRef/>
      </w:r>
      <w:r>
        <w:t xml:space="preserve"> </w:t>
      </w:r>
      <w:r w:rsidRPr="00160667">
        <w:rPr>
          <w:i/>
        </w:rPr>
        <w:t>See</w:t>
      </w:r>
      <w:r>
        <w:t xml:space="preserve"> </w:t>
      </w:r>
      <w:r>
        <w:rPr>
          <w:i/>
        </w:rPr>
        <w:t>Waiver Order</w:t>
      </w:r>
      <w:r>
        <w:t xml:space="preserve">, 30 FCC </w:t>
      </w:r>
      <w:r>
        <w:t>Rcd</w:t>
      </w:r>
      <w:r>
        <w:t xml:space="preserve"> at 3513-14, para. 8.</w:t>
      </w:r>
    </w:p>
  </w:footnote>
  <w:footnote w:id="32">
    <w:p w:rsidR="00D74E8C" w:rsidP="00AB20DF">
      <w:pPr>
        <w:pStyle w:val="FootnoteText"/>
      </w:pPr>
      <w:r>
        <w:rPr>
          <w:rStyle w:val="FootnoteReference"/>
        </w:rPr>
        <w:footnoteRef/>
      </w:r>
      <w:r>
        <w:t xml:space="preserve"> </w:t>
      </w:r>
      <w:r>
        <w:rPr>
          <w:i/>
        </w:rPr>
        <w:t xml:space="preserve">See </w:t>
      </w:r>
      <w:r>
        <w:t>AFR at 20-22.</w:t>
      </w:r>
    </w:p>
  </w:footnote>
  <w:footnote w:id="33">
    <w:p w:rsidR="00D74E8C" w:rsidRPr="0009337F" w:rsidP="00AB20DF">
      <w:pPr>
        <w:pStyle w:val="FootnoteText"/>
      </w:pPr>
      <w:r>
        <w:rPr>
          <w:rStyle w:val="FootnoteReference"/>
        </w:rPr>
        <w:footnoteRef/>
      </w:r>
      <w:r>
        <w:t xml:space="preserve"> </w:t>
      </w:r>
      <w:r>
        <w:rPr>
          <w:i/>
        </w:rPr>
        <w:t>See id.</w:t>
      </w:r>
      <w:r>
        <w:t xml:space="preserve"> at 20-21.</w:t>
      </w:r>
    </w:p>
  </w:footnote>
  <w:footnote w:id="34">
    <w:p w:rsidR="00D74E8C" w:rsidP="00AB20DF">
      <w:pPr>
        <w:pStyle w:val="FootnoteText"/>
      </w:pPr>
      <w:r>
        <w:rPr>
          <w:rStyle w:val="FootnoteReference"/>
        </w:rPr>
        <w:footnoteRef/>
      </w:r>
      <w:r>
        <w:t xml:space="preserve"> 47 CFR § 1.925(b)(3).</w:t>
      </w:r>
    </w:p>
  </w:footnote>
  <w:footnote w:id="35">
    <w:p w:rsidR="00D74E8C" w:rsidP="00AB20DF">
      <w:pPr>
        <w:pStyle w:val="FootnoteText"/>
      </w:pPr>
      <w:r>
        <w:rPr>
          <w:rStyle w:val="FootnoteReference"/>
        </w:rPr>
        <w:footnoteRef/>
      </w:r>
      <w:r>
        <w:t xml:space="preserve"> </w:t>
      </w:r>
      <w:r w:rsidR="00F314F7">
        <w:rPr>
          <w:i/>
        </w:rPr>
        <w:t>See</w:t>
      </w:r>
      <w:r w:rsidR="00F314F7">
        <w:t>,</w:t>
      </w:r>
      <w:r w:rsidR="00F314F7">
        <w:rPr>
          <w:i/>
        </w:rPr>
        <w:t xml:space="preserve"> e.g.</w:t>
      </w:r>
      <w:r w:rsidR="00F314F7">
        <w:t>,</w:t>
      </w:r>
      <w:r w:rsidR="00F314F7">
        <w:rPr>
          <w:i/>
        </w:rPr>
        <w:t xml:space="preserve"> </w:t>
      </w:r>
      <w:r>
        <w:rPr>
          <w:i/>
        </w:rPr>
        <w:t>Requests for Waiver of Section 1.2109(b) of the Commission’s Rules and Request for Discretionary Implementation of Section 1.2109(b) of the Commission’s Rules</w:t>
      </w:r>
      <w:r>
        <w:t xml:space="preserve">, Memorandum Opinion and Order, 22 FCC </w:t>
      </w:r>
      <w:r>
        <w:t>Rcd</w:t>
      </w:r>
      <w:r>
        <w:t xml:space="preserve"> 3969, 3974, para. 13 (WTB ASAD 2007); </w:t>
      </w:r>
      <w:r>
        <w:rPr>
          <w:i/>
        </w:rPr>
        <w:t>Maritime Communications/Land Mobile LLC</w:t>
      </w:r>
      <w:r>
        <w:t xml:space="preserve">, Order, 21 FCC </w:t>
      </w:r>
      <w:r>
        <w:t>Rcd</w:t>
      </w:r>
      <w:r>
        <w:t xml:space="preserve"> 13735, 13740, </w:t>
      </w:r>
      <w:r w:rsidR="00F0681B">
        <w:t xml:space="preserve">para. 8 </w:t>
      </w:r>
      <w:r>
        <w:t xml:space="preserve">n.34 (WTB MD 2006), </w:t>
      </w:r>
      <w:r>
        <w:rPr>
          <w:i/>
        </w:rPr>
        <w:t>recon. denied</w:t>
      </w:r>
      <w:r>
        <w:t xml:space="preserve">, Order on Reconsideration, 22 FCC </w:t>
      </w:r>
      <w:r>
        <w:t>Rcd</w:t>
      </w:r>
      <w:r>
        <w:t xml:space="preserve"> 4780 (WTB MD 2007), </w:t>
      </w:r>
      <w:r>
        <w:rPr>
          <w:i/>
        </w:rPr>
        <w:t>review denied</w:t>
      </w:r>
      <w:r>
        <w:t>, Order on Reconsideration and Memorandum Opinion and</w:t>
      </w:r>
      <w:r w:rsidR="00F314F7">
        <w:t xml:space="preserve"> Order, 31 FCC </w:t>
      </w:r>
      <w:r w:rsidR="00F314F7">
        <w:t>Rcd</w:t>
      </w:r>
      <w:r w:rsidR="00F314F7">
        <w:t xml:space="preserve"> 13729 (2016)</w:t>
      </w:r>
      <w:r>
        <w:t>.</w:t>
      </w:r>
    </w:p>
  </w:footnote>
  <w:footnote w:id="36">
    <w:p w:rsidR="00D74E8C" w:rsidP="00AB20DF">
      <w:pPr>
        <w:pStyle w:val="FootnoteText"/>
      </w:pPr>
      <w:r>
        <w:rPr>
          <w:rStyle w:val="FootnoteReference"/>
        </w:rPr>
        <w:footnoteRef/>
      </w:r>
      <w:r>
        <w:t xml:space="preserve"> </w:t>
      </w:r>
      <w:r>
        <w:rPr>
          <w:i/>
        </w:rPr>
        <w:t>See id.</w:t>
      </w:r>
      <w:r>
        <w:t xml:space="preserve"> at 21-22.</w:t>
      </w:r>
    </w:p>
  </w:footnote>
  <w:footnote w:id="37">
    <w:p w:rsidR="00D74E8C" w:rsidP="00AB20DF">
      <w:pPr>
        <w:pStyle w:val="FootnoteText"/>
      </w:pPr>
      <w:r>
        <w:rPr>
          <w:rStyle w:val="FootnoteReference"/>
        </w:rPr>
        <w:footnoteRef/>
      </w:r>
      <w:r>
        <w:t xml:space="preserve"> </w:t>
      </w:r>
      <w:r w:rsidRPr="00DB266C">
        <w:rPr>
          <w:i/>
        </w:rPr>
        <w:t>See, e.g.</w:t>
      </w:r>
      <w:r>
        <w:t xml:space="preserve">, </w:t>
      </w:r>
      <w:r w:rsidRPr="00DB266C">
        <w:rPr>
          <w:i/>
        </w:rPr>
        <w:t>Nextel Communications, Inc.</w:t>
      </w:r>
      <w:r>
        <w:t xml:space="preserve">, Order, 14 FCC </w:t>
      </w:r>
      <w:r>
        <w:t>Rcd</w:t>
      </w:r>
      <w:r>
        <w:t xml:space="preserve"> 11678, 11691-92, para. 31 (WTB 1999)</w:t>
      </w:r>
      <w:r w:rsidR="00F0681B">
        <w:t xml:space="preserve">; </w:t>
      </w:r>
      <w:r w:rsidR="00F0681B">
        <w:rPr>
          <w:i/>
        </w:rPr>
        <w:t>s</w:t>
      </w:r>
      <w:r w:rsidRPr="0038737D" w:rsidR="0038737D">
        <w:rPr>
          <w:i/>
        </w:rPr>
        <w:t>ee</w:t>
      </w:r>
      <w:r w:rsidR="00BE6764">
        <w:rPr>
          <w:i/>
        </w:rPr>
        <w:t xml:space="preserve"> also</w:t>
      </w:r>
      <w:r w:rsidRPr="0038737D" w:rsidR="0038737D">
        <w:rPr>
          <w:i/>
        </w:rPr>
        <w:t xml:space="preserve"> Waiver Order</w:t>
      </w:r>
      <w:r w:rsidRPr="0038737D" w:rsidR="0038737D">
        <w:t xml:space="preserve">, 30 FCC </w:t>
      </w:r>
      <w:r w:rsidRPr="0038737D" w:rsidR="0038737D">
        <w:t>Rcd</w:t>
      </w:r>
      <w:r w:rsidRPr="0038737D" w:rsidR="0038737D">
        <w:t xml:space="preserve"> at 3514, para. 10.</w:t>
      </w:r>
    </w:p>
  </w:footnote>
  <w:footnote w:id="38">
    <w:p w:rsidR="00D74E8C" w:rsidRPr="009E0FCD" w:rsidP="00AB20DF">
      <w:pPr>
        <w:pStyle w:val="FootnoteText"/>
        <w:rPr>
          <w:i/>
        </w:rPr>
      </w:pPr>
      <w:r>
        <w:rPr>
          <w:rStyle w:val="FootnoteReference"/>
        </w:rPr>
        <w:footnoteRef/>
      </w:r>
      <w:r>
        <w:t xml:space="preserve"> </w:t>
      </w:r>
      <w:r w:rsidR="003B4CF2">
        <w:rPr>
          <w:i/>
        </w:rPr>
        <w:t xml:space="preserve">See </w:t>
      </w:r>
      <w:r w:rsidR="003B4CF2">
        <w:t>M2M Spectrum Networks, LLC Comments, WT Docket No. 17-200,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4B7" w:rsidRPr="00503296" w:rsidP="003074B7">
    <w:pPr>
      <w:pStyle w:val="Header"/>
    </w:pPr>
    <w:r w:rsidRPr="00503296">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503296">
      <w:tab/>
      <w:t>Federal Communications Commission</w:t>
    </w:r>
    <w:r w:rsidRPr="00503296">
      <w:tab/>
    </w:r>
    <w:r w:rsidR="004C70C6">
      <w:t>FCC 18-173</w:t>
    </w:r>
  </w:p>
  <w:p w:rsidR="00D74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296" w:rsidRPr="00503296" w:rsidP="00503296">
    <w:pPr>
      <w:pStyle w:val="Header"/>
    </w:pPr>
    <w:bookmarkStart w:id="34" w:name="_Hlk531950219"/>
    <w:r w:rsidRPr="00503296">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03296">
      <w:tab/>
      <w:t>Federal Communications Commission</w:t>
    </w:r>
    <w:r w:rsidRPr="00503296">
      <w:tab/>
    </w:r>
    <w:r w:rsidR="004C70C6">
      <w:t>FCC 18-173</w:t>
    </w:r>
  </w:p>
  <w:p w:rsidR="00D74E8C" w:rsidRPr="00503296" w:rsidP="00503296">
    <w:pPr>
      <w:pStyle w:val="Header"/>
    </w:pPr>
    <w:bookmarkEnd w:id="3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EF59F1"/>
    <w:multiLevelType w:val="hybridMultilevel"/>
    <w:tmpl w:val="60482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7A6A5A"/>
    <w:multiLevelType w:val="hybridMultilevel"/>
    <w:tmpl w:val="98629186"/>
    <w:lvl w:ilvl="0">
      <w:start w:val="7"/>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EE17635"/>
    <w:multiLevelType w:val="hybridMultilevel"/>
    <w:tmpl w:val="148805A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11CC0083"/>
    <w:multiLevelType w:val="hybridMultilevel"/>
    <w:tmpl w:val="4532E26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E804B2"/>
    <w:multiLevelType w:val="hybridMultilevel"/>
    <w:tmpl w:val="806E9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76296E"/>
    <w:multiLevelType w:val="hybridMultilevel"/>
    <w:tmpl w:val="ACCEF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8021D8"/>
    <w:multiLevelType w:val="hybridMultilevel"/>
    <w:tmpl w:val="7FA8D55E"/>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E8268A"/>
    <w:multiLevelType w:val="multilevel"/>
    <w:tmpl w:val="84AEA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870548F"/>
    <w:multiLevelType w:val="hybridMultilevel"/>
    <w:tmpl w:val="9454F5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9">
    <w:nsid w:val="42E45CF5"/>
    <w:multiLevelType w:val="hybridMultilevel"/>
    <w:tmpl w:val="092AD7BC"/>
    <w:lvl w:ilvl="0">
      <w:start w:val="39"/>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4DC67A3F"/>
    <w:multiLevelType w:val="hybridMultilevel"/>
    <w:tmpl w:val="2702F176"/>
    <w:lvl w:ilvl="0">
      <w:start w:val="7"/>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FEF5214"/>
    <w:multiLevelType w:val="hybridMultilevel"/>
    <w:tmpl w:val="AC084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8D23DC"/>
    <w:multiLevelType w:val="hybridMultilevel"/>
    <w:tmpl w:val="DC34590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5E8272E7"/>
    <w:multiLevelType w:val="hybridMultilevel"/>
    <w:tmpl w:val="CD5270C8"/>
    <w:lvl w:ilvl="0">
      <w:start w:val="1"/>
      <w:numFmt w:val="decimal"/>
      <w:lvlText w:val="(%1)"/>
      <w:lvlJc w:val="left"/>
      <w:pPr>
        <w:ind w:left="1155" w:hanging="43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B2C52E7"/>
    <w:multiLevelType w:val="multilevel"/>
    <w:tmpl w:val="75D25CDC"/>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27716C3"/>
    <w:multiLevelType w:val="hybridMultilevel"/>
    <w:tmpl w:val="E70A14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73D91806"/>
    <w:multiLevelType w:val="hybridMultilevel"/>
    <w:tmpl w:val="E46CC6C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CB0429B"/>
    <w:multiLevelType w:val="hybridMultilevel"/>
    <w:tmpl w:val="036C92D0"/>
    <w:lvl w:ilvl="0">
      <w:start w:val="7"/>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26"/>
  </w:num>
  <w:num w:numId="3">
    <w:abstractNumId w:val="14"/>
  </w:num>
  <w:num w:numId="4">
    <w:abstractNumId w:val="22"/>
  </w:num>
  <w:num w:numId="5">
    <w:abstractNumId w:val="13"/>
  </w:num>
  <w:num w:numId="6">
    <w:abstractNumId w:val="2"/>
  </w:num>
  <w:num w:numId="7">
    <w:abstractNumId w:val="15"/>
  </w:num>
  <w:num w:numId="8">
    <w:abstractNumId w:val="26"/>
    <w:lvlOverride w:ilvl="0">
      <w:startOverride w:val="2"/>
    </w:lvlOverride>
  </w:num>
  <w:num w:numId="9">
    <w:abstractNumId w:val="0"/>
  </w:num>
  <w:num w:numId="10">
    <w:abstractNumId w:val="14"/>
    <w:lvlOverride w:ilvl="0">
      <w:startOverride w:val="3"/>
    </w:lvlOverride>
  </w:num>
  <w:num w:numId="11">
    <w:abstractNumId w:val="26"/>
    <w:lvlOverride w:ilvl="0">
      <w:startOverride w:val="2"/>
    </w:lvlOverride>
  </w:num>
  <w:num w:numId="12">
    <w:abstractNumId w:val="26"/>
    <w:lvlOverride w:ilvl="0">
      <w:startOverride w:val="2"/>
    </w:lvlOverride>
  </w:num>
  <w:num w:numId="13">
    <w:abstractNumId w:val="2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32"/>
  </w:num>
  <w:num w:numId="17">
    <w:abstractNumId w:val="16"/>
  </w:num>
  <w:num w:numId="18">
    <w:abstractNumId w:val="18"/>
  </w:num>
  <w:num w:numId="19">
    <w:abstractNumId w:val="20"/>
  </w:num>
  <w:num w:numId="20">
    <w:abstractNumId w:val="26"/>
    <w:lvlOverride w:ilvl="0">
      <w:startOverride w:val="1"/>
    </w:lvlOverride>
  </w:num>
  <w:num w:numId="21">
    <w:abstractNumId w:val="26"/>
    <w:lvlOverride w:ilvl="0">
      <w:startOverride w:val="1"/>
    </w:lvlOverride>
  </w:num>
  <w:num w:numId="22">
    <w:abstractNumId w:val="5"/>
  </w:num>
  <w:num w:numId="23">
    <w:abstractNumId w:val="24"/>
  </w:num>
  <w:num w:numId="24">
    <w:abstractNumId w:val="3"/>
  </w:num>
  <w:num w:numId="25">
    <w:abstractNumId w:val="6"/>
  </w:num>
  <w:num w:numId="26">
    <w:abstractNumId w:val="18"/>
    <w:lvlOverride w:ilvl="0">
      <w:startOverride w:val="1"/>
    </w:lvlOverride>
  </w:num>
  <w:num w:numId="27">
    <w:abstractNumId w:val="23"/>
  </w:num>
  <w:num w:numId="28">
    <w:abstractNumId w:val="30"/>
  </w:num>
  <w:num w:numId="29">
    <w:abstractNumId w:val="29"/>
  </w:num>
  <w:num w:numId="30">
    <w:abstractNumId w:val="9"/>
  </w:num>
  <w:num w:numId="31">
    <w:abstractNumId w:val="26"/>
  </w:num>
  <w:num w:numId="32">
    <w:abstractNumId w:val="19"/>
  </w:num>
  <w:num w:numId="33">
    <w:abstractNumId w:val="31"/>
  </w:num>
  <w:num w:numId="34">
    <w:abstractNumId w:val="21"/>
  </w:num>
  <w:num w:numId="35">
    <w:abstractNumId w:val="4"/>
  </w:num>
  <w:num w:numId="36">
    <w:abstractNumId w:val="26"/>
  </w:num>
  <w:num w:numId="37">
    <w:abstractNumId w:val="8"/>
  </w:num>
  <w:num w:numId="38">
    <w:abstractNumId w:val="10"/>
  </w:num>
  <w:num w:numId="39">
    <w:abstractNumId w:val="10"/>
    <w:lvlOverride w:ilvl="0">
      <w:startOverride w:val="1"/>
    </w:lvlOverride>
  </w:num>
  <w:num w:numId="40">
    <w:abstractNumId w:val="27"/>
  </w:num>
  <w:num w:numId="41">
    <w:abstractNumId w:val="11"/>
  </w:num>
  <w:num w:numId="42">
    <w:abstractNumId w:val="25"/>
  </w:num>
  <w:num w:numId="43">
    <w:abstractNumId w:val="17"/>
  </w:num>
  <w:num w:numId="44">
    <w:abstractNumId w:val="26"/>
  </w:num>
  <w:num w:numId="45">
    <w:abstractNumId w:val="26"/>
  </w:num>
  <w:num w:numId="46">
    <w:abstractNumId w:val="26"/>
  </w:num>
  <w:num w:numId="47">
    <w:abstractNumId w:val="26"/>
  </w:num>
  <w:num w:numId="48">
    <w:abstractNumId w:val="7"/>
  </w:num>
  <w:num w:numId="49">
    <w:abstractNumId w:val="26"/>
    <w:lvlOverride w:ilvl="0">
      <w:startOverride w:val="1"/>
    </w:lvlOverride>
  </w:num>
  <w:num w:numId="50">
    <w:abstractNumId w:val="26"/>
    <w:lvlOverride w:ilvl="0">
      <w:startOverride w:val="1"/>
    </w:lvlOverride>
  </w:num>
  <w:num w:numId="51">
    <w:abstractNumId w:val="26"/>
  </w:num>
  <w:num w:numId="52">
    <w:abstractNumId w:val="26"/>
  </w:num>
  <w:num w:numId="53">
    <w:abstractNumId w:val="26"/>
    <w:lvlOverride w:ilvl="0">
      <w:startOverride w:val="1"/>
    </w:lvlOverride>
  </w:num>
  <w:num w:numId="5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625"/>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FC46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link w:val="Heading2Char2"/>
    <w:autoRedefine/>
    <w:qFormat/>
    <w:rsid w:val="00FC4625"/>
    <w:pPr>
      <w:keepNext/>
      <w:numPr>
        <w:ilvl w:val="1"/>
        <w:numId w:val="3"/>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link w:val="Heading3Char"/>
    <w:qFormat/>
    <w:rsid w:val="00FC462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FC462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FC462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FC4625"/>
    <w:pPr>
      <w:numPr>
        <w:ilvl w:val="5"/>
        <w:numId w:val="3"/>
      </w:numPr>
      <w:tabs>
        <w:tab w:val="left" w:pos="4320"/>
      </w:tabs>
      <w:spacing w:after="120"/>
      <w:outlineLvl w:val="5"/>
    </w:pPr>
    <w:rPr>
      <w:b/>
    </w:rPr>
  </w:style>
  <w:style w:type="paragraph" w:styleId="Heading7">
    <w:name w:val="heading 7"/>
    <w:basedOn w:val="Normal"/>
    <w:next w:val="ParaNum"/>
    <w:qFormat/>
    <w:rsid w:val="00FC46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C462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C46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46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625"/>
  </w:style>
  <w:style w:type="paragraph" w:customStyle="1" w:styleId="ParaNum">
    <w:name w:val="ParaNum"/>
    <w:basedOn w:val="Normal"/>
    <w:link w:val="ParaNumChar"/>
    <w:rsid w:val="00FC4625"/>
    <w:pPr>
      <w:numPr>
        <w:numId w:val="2"/>
      </w:numPr>
      <w:tabs>
        <w:tab w:val="clear" w:pos="1080"/>
        <w:tab w:val="num" w:pos="1440"/>
      </w:tabs>
      <w:spacing w:after="120"/>
    </w:pPr>
  </w:style>
  <w:style w:type="paragraph" w:styleId="EndnoteText">
    <w:name w:val="endnote text"/>
    <w:basedOn w:val="Normal"/>
    <w:semiHidden/>
    <w:rsid w:val="00FC4625"/>
    <w:rPr>
      <w:sz w:val="20"/>
    </w:rPr>
  </w:style>
  <w:style w:type="character" w:styleId="EndnoteReference">
    <w:name w:val="endnote reference"/>
    <w:semiHidden/>
    <w:rsid w:val="00FC4625"/>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FC462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C4625"/>
    <w:rPr>
      <w:rFonts w:ascii="Times New Roman" w:hAnsi="Times New Roman"/>
      <w:dstrike w:val="0"/>
      <w:color w:val="auto"/>
      <w:sz w:val="20"/>
      <w:vertAlign w:val="superscript"/>
    </w:rPr>
  </w:style>
  <w:style w:type="paragraph" w:styleId="TOC1">
    <w:name w:val="toc 1"/>
    <w:basedOn w:val="Normal"/>
    <w:next w:val="Normal"/>
    <w:rsid w:val="00FC4625"/>
    <w:pPr>
      <w:tabs>
        <w:tab w:val="left" w:pos="360"/>
        <w:tab w:val="right" w:leader="dot" w:pos="9360"/>
      </w:tabs>
      <w:suppressAutoHyphens/>
      <w:ind w:left="360" w:right="720" w:hanging="360"/>
    </w:pPr>
    <w:rPr>
      <w:caps/>
      <w:noProof/>
    </w:rPr>
  </w:style>
  <w:style w:type="paragraph" w:styleId="TOC2">
    <w:name w:val="toc 2"/>
    <w:basedOn w:val="Normal"/>
    <w:next w:val="Normal"/>
    <w:rsid w:val="00FC4625"/>
    <w:pPr>
      <w:tabs>
        <w:tab w:val="left" w:pos="720"/>
        <w:tab w:val="right" w:leader="dot" w:pos="9360"/>
      </w:tabs>
      <w:suppressAutoHyphens/>
      <w:ind w:left="720" w:right="720" w:hanging="360"/>
    </w:pPr>
    <w:rPr>
      <w:noProof/>
    </w:rPr>
  </w:style>
  <w:style w:type="paragraph" w:styleId="TOC3">
    <w:name w:val="toc 3"/>
    <w:basedOn w:val="Normal"/>
    <w:next w:val="Normal"/>
    <w:rsid w:val="00FC462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6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6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6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6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6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6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625"/>
    <w:pPr>
      <w:tabs>
        <w:tab w:val="right" w:pos="9360"/>
      </w:tabs>
      <w:suppressAutoHyphens/>
    </w:pPr>
  </w:style>
  <w:style w:type="character" w:customStyle="1" w:styleId="EquationCaption">
    <w:name w:val="_Equation Caption"/>
    <w:rsid w:val="00FC4625"/>
  </w:style>
  <w:style w:type="paragraph" w:styleId="Header">
    <w:name w:val="header"/>
    <w:basedOn w:val="Normal"/>
    <w:link w:val="HeaderChar"/>
    <w:autoRedefine/>
    <w:rsid w:val="00FC4625"/>
    <w:pPr>
      <w:tabs>
        <w:tab w:val="center" w:pos="4680"/>
        <w:tab w:val="right" w:pos="9360"/>
      </w:tabs>
    </w:pPr>
    <w:rPr>
      <w:b/>
    </w:rPr>
  </w:style>
  <w:style w:type="paragraph" w:styleId="Footer">
    <w:name w:val="footer"/>
    <w:basedOn w:val="Normal"/>
    <w:link w:val="FooterChar"/>
    <w:uiPriority w:val="99"/>
    <w:rsid w:val="00FC4625"/>
    <w:pPr>
      <w:tabs>
        <w:tab w:val="center" w:pos="4320"/>
        <w:tab w:val="right" w:pos="8640"/>
      </w:tabs>
    </w:pPr>
  </w:style>
  <w:style w:type="character" w:styleId="PageNumber">
    <w:name w:val="page number"/>
    <w:basedOn w:val="DefaultParagraphFont"/>
    <w:rsid w:val="00FC4625"/>
  </w:style>
  <w:style w:type="paragraph" w:styleId="BlockText">
    <w:name w:val="Block Text"/>
    <w:basedOn w:val="Normal"/>
    <w:link w:val="BlockTextChar"/>
    <w:rsid w:val="00FC4625"/>
    <w:pPr>
      <w:spacing w:after="240"/>
      <w:ind w:left="1440" w:right="1440"/>
    </w:pPr>
  </w:style>
  <w:style w:type="paragraph" w:customStyle="1" w:styleId="Paratitle">
    <w:name w:val="Para title"/>
    <w:basedOn w:val="Normal"/>
    <w:rsid w:val="00FC4625"/>
    <w:pPr>
      <w:tabs>
        <w:tab w:val="center" w:pos="9270"/>
      </w:tabs>
      <w:spacing w:after="240"/>
    </w:pPr>
    <w:rPr>
      <w:spacing w:val="-2"/>
    </w:rPr>
  </w:style>
  <w:style w:type="paragraph" w:customStyle="1" w:styleId="Bullet">
    <w:name w:val="Bullet"/>
    <w:basedOn w:val="Normal"/>
    <w:rsid w:val="00FC4625"/>
    <w:pPr>
      <w:tabs>
        <w:tab w:val="left" w:pos="2160"/>
      </w:tabs>
      <w:spacing w:after="220"/>
      <w:ind w:left="2160" w:hanging="720"/>
    </w:pPr>
  </w:style>
  <w:style w:type="paragraph" w:customStyle="1" w:styleId="TableFormat">
    <w:name w:val="TableFormat"/>
    <w:basedOn w:val="Bullet"/>
    <w:rsid w:val="00FC4625"/>
    <w:pPr>
      <w:tabs>
        <w:tab w:val="clear" w:pos="2160"/>
        <w:tab w:val="left" w:pos="5040"/>
      </w:tabs>
      <w:ind w:left="5040" w:hanging="3600"/>
    </w:pPr>
  </w:style>
  <w:style w:type="paragraph" w:customStyle="1" w:styleId="TOCTitle">
    <w:name w:val="TOC Title"/>
    <w:basedOn w:val="Normal"/>
    <w:rsid w:val="00FC46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625"/>
    <w:pPr>
      <w:jc w:val="center"/>
    </w:pPr>
    <w:rPr>
      <w:rFonts w:ascii="Times New Roman Bold" w:hAnsi="Times New Roman Bold"/>
      <w:b/>
      <w:bCs/>
      <w:caps/>
      <w:szCs w:val="22"/>
    </w:rPr>
  </w:style>
  <w:style w:type="character" w:styleId="Hyperlink">
    <w:name w:val="Hyperlink"/>
    <w:rsid w:val="00FC4625"/>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rPr>
      <w:snapToGrid/>
    </w:rPr>
  </w:style>
  <w:style w:type="character" w:customStyle="1" w:styleId="FootnoteTextChar1">
    <w:name w:val="Footnote Text Char1"/>
    <w:aliases w:val="Footnote Text Char Char,Footnote Text Char Char Char Char1,Footnote Text Char Char Char Char1 Char Char,Footnote Text Char1 Char Char,Footnote Text Char1 Char Char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uiPriority w:val="99"/>
    <w:pPr>
      <w:spacing w:before="100" w:beforeAutospacing="1" w:after="100" w:afterAutospacing="1"/>
    </w:pPr>
    <w:rPr>
      <w:snapToGrid/>
      <w:sz w:val="24"/>
      <w:szCs w:val="24"/>
    </w:r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customStyle="1" w:styleId="StyleParaNumLeft">
    <w:name w:val="Style ParaNum + Left"/>
    <w:basedOn w:val="ParaNum"/>
    <w:pPr>
      <w:spacing w:after="220"/>
    </w:pPr>
    <w:rPr>
      <w:snapToGrid/>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paragraph" w:styleId="ListParagraph">
    <w:name w:val="List Paragraph"/>
    <w:basedOn w:val="Normal"/>
    <w:uiPriority w:val="34"/>
    <w:qFormat/>
    <w:rsid w:val="00CB634E"/>
    <w:pPr>
      <w:ind w:left="720"/>
      <w:contextualSpacing/>
    </w:p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basedOn w:val="DefaultParagraphFont"/>
    <w:link w:val="Heading1"/>
    <w:rsid w:val="00CB634E"/>
    <w:rPr>
      <w:rFonts w:ascii="Times New Roman Bold" w:hAnsi="Times New Roman Bold"/>
      <w:b/>
      <w:caps/>
      <w:snapToGrid w:val="0"/>
      <w:kern w:val="28"/>
      <w:sz w:val="22"/>
    </w:rPr>
  </w:style>
  <w:style w:type="character" w:customStyle="1" w:styleId="HeaderChar">
    <w:name w:val="Header Char"/>
    <w:basedOn w:val="DefaultParagraphFont"/>
    <w:link w:val="Header"/>
    <w:rsid w:val="00CB634E"/>
    <w:rPr>
      <w:b/>
      <w:snapToGrid w:val="0"/>
      <w:kern w:val="28"/>
      <w:sz w:val="22"/>
    </w:rPr>
  </w:style>
  <w:style w:type="character" w:customStyle="1" w:styleId="FooterChar">
    <w:name w:val="Footer Char"/>
    <w:link w:val="Footer"/>
    <w:uiPriority w:val="99"/>
    <w:rsid w:val="00FC4625"/>
    <w:rPr>
      <w:snapToGrid w:val="0"/>
      <w:kern w:val="28"/>
      <w:sz w:val="22"/>
    </w:rPr>
  </w:style>
  <w:style w:type="character" w:customStyle="1" w:styleId="Normal1">
    <w:name w:val="Normal1"/>
    <w:rsid w:val="00CB634E"/>
    <w:rPr>
      <w:rFonts w:ascii="Times New Roman" w:hAnsi="Times New Roman"/>
      <w:noProof w:val="0"/>
      <w:sz w:val="20"/>
      <w:lang w:val="en-US"/>
    </w:rPr>
  </w:style>
  <w:style w:type="character" w:customStyle="1" w:styleId="Heading3Char">
    <w:name w:val="Heading 3 Char"/>
    <w:aliases w:val="1 Char,3 Char,31 Char,?? 3 Char,Heading 3 Char Char Char,Heading 3 Char Char Char Char Char,Heading 3 Char Char1 Ch Char,Heading 3 Char1 Char,Heading 3 Char1 Char Char Char,Heading 3 Char2 Char1 Char Char Char,Titre 3 Char,Titre 31 Char"/>
    <w:basedOn w:val="DefaultParagraphFont"/>
    <w:link w:val="Heading3"/>
    <w:rsid w:val="00CB634E"/>
    <w:rPr>
      <w:b/>
      <w:snapToGrid w:val="0"/>
      <w:kern w:val="28"/>
      <w:sz w:val="22"/>
    </w:rPr>
  </w:style>
  <w:style w:type="character" w:customStyle="1" w:styleId="BalloonTextChar">
    <w:name w:val="Balloon Text Char"/>
    <w:basedOn w:val="DefaultParagraphFont"/>
    <w:link w:val="BalloonText"/>
    <w:rsid w:val="00CB634E"/>
    <w:rPr>
      <w:rFonts w:ascii="Tahoma" w:hAnsi="Tahoma" w:cs="Tahoma"/>
      <w:snapToGrid w:val="0"/>
      <w:kern w:val="28"/>
      <w:sz w:val="16"/>
      <w:szCs w:val="16"/>
    </w:rPr>
  </w:style>
  <w:style w:type="character" w:customStyle="1" w:styleId="CommentTextChar">
    <w:name w:val="Comment Text Char"/>
    <w:basedOn w:val="DefaultParagraphFont"/>
    <w:link w:val="CommentText"/>
    <w:rsid w:val="00CB634E"/>
    <w:rPr>
      <w:snapToGrid w:val="0"/>
      <w:kern w:val="28"/>
    </w:rPr>
  </w:style>
  <w:style w:type="character" w:customStyle="1" w:styleId="CommentSubjectChar">
    <w:name w:val="Comment Subject Char"/>
    <w:basedOn w:val="CommentTextChar"/>
    <w:link w:val="CommentSubject"/>
    <w:rsid w:val="00CB634E"/>
    <w:rPr>
      <w:b/>
      <w:bCs/>
      <w:snapToGrid w:val="0"/>
      <w:kern w:val="28"/>
    </w:rPr>
  </w:style>
  <w:style w:type="character" w:customStyle="1" w:styleId="ALTSFOOTNOTEChar">
    <w:name w:val="ALTS FOOTNOTE Char"/>
    <w:aliases w:val="ALTS FOOTNOTE Char1 Char,Char Char Char Char,FOOTNOTE Char,Footnote Text Char Char Char Char Char,Footnote Text Char2 Char,Footnote Text Char2 Char Char Char,Footnote Text Char2 Char1 Char1 Char Char Char,Footnote text Char,fn Char"/>
    <w:basedOn w:val="DefaultParagraphFont"/>
    <w:rsid w:val="00955D03"/>
    <w:rPr>
      <w:rFonts w:ascii="Times New Roman" w:eastAsia="Times New Roman" w:hAnsi="Times New Roman" w:cs="Times New Roman"/>
      <w:szCs w:val="20"/>
    </w:rPr>
  </w:style>
  <w:style w:type="character" w:customStyle="1" w:styleId="ParaNumChar2">
    <w:name w:val="ParaNum Char2"/>
    <w:locked/>
    <w:rsid w:val="009D7148"/>
    <w:rPr>
      <w:snapToGrid w:val="0"/>
      <w:kern w:val="28"/>
      <w:sz w:val="22"/>
    </w:rPr>
  </w:style>
  <w:style w:type="character" w:customStyle="1" w:styleId="UnresolvedMention1">
    <w:name w:val="Unresolved Mention1"/>
    <w:basedOn w:val="DefaultParagraphFont"/>
    <w:uiPriority w:val="99"/>
    <w:semiHidden/>
    <w:unhideWhenUsed/>
    <w:rsid w:val="008225FE"/>
    <w:rPr>
      <w:color w:val="808080"/>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17366F"/>
  </w:style>
  <w:style w:type="character" w:customStyle="1" w:styleId="ParaNumChar1">
    <w:name w:val="ParaNum Char1"/>
    <w:rsid w:val="00E94EFA"/>
    <w:rPr>
      <w:snapToGrid w:val="0"/>
      <w:kern w:val="28"/>
      <w:sz w:val="22"/>
    </w:rPr>
  </w:style>
  <w:style w:type="paragraph" w:customStyle="1" w:styleId="StyleParaNumItalic1">
    <w:name w:val="Style ParaNum + Italic1"/>
    <w:basedOn w:val="Normal"/>
    <w:link w:val="StyleParaNumItalic1Char"/>
    <w:uiPriority w:val="99"/>
    <w:rsid w:val="00D705D0"/>
    <w:pPr>
      <w:numPr>
        <w:numId w:val="40"/>
      </w:numPr>
      <w:tabs>
        <w:tab w:val="left" w:pos="1440"/>
      </w:tabs>
      <w:spacing w:after="120"/>
    </w:pPr>
    <w:rPr>
      <w:i/>
      <w:snapToGrid/>
      <w:sz w:val="20"/>
    </w:rPr>
  </w:style>
  <w:style w:type="character" w:customStyle="1" w:styleId="StyleParaNumItalic1Char">
    <w:name w:val="Style ParaNum + Italic1 Char"/>
    <w:link w:val="StyleParaNumItalic1"/>
    <w:uiPriority w:val="99"/>
    <w:locked/>
    <w:rsid w:val="00D705D0"/>
    <w:rPr>
      <w:i/>
      <w:kern w:val="28"/>
    </w:rPr>
  </w:style>
  <w:style w:type="character" w:customStyle="1" w:styleId="Heading2Char2">
    <w:name w:val="Heading 2 Char2"/>
    <w:aliases w:val="Heading 2 Char Char,Heading 2 Char Char Char Char Char,Heading 2 Char Char1 Char,Heading 2 Char Char3 Char Char Char Char Char,Heading 2 Char1 Char,Heading 2 Char1 Char Char Char Char1 Char Char Char,UNDERRUBRIK 1-2 Char,h2 Char1"/>
    <w:basedOn w:val="DefaultParagraphFont"/>
    <w:link w:val="Heading2"/>
    <w:rsid w:val="00733AA1"/>
    <w:rPr>
      <w:b/>
      <w:snapToGrid w:val="0"/>
      <w:kern w:val="28"/>
      <w:sz w:val="22"/>
    </w:rPr>
  </w:style>
  <w:style w:type="numbering" w:customStyle="1" w:styleId="NoList1">
    <w:name w:val="No List1"/>
    <w:next w:val="NoList"/>
    <w:uiPriority w:val="99"/>
    <w:semiHidden/>
    <w:unhideWhenUsed/>
    <w:rsid w:val="00AB20DF"/>
  </w:style>
  <w:style w:type="character" w:customStyle="1" w:styleId="UnresolvedMention">
    <w:name w:val="Unresolved Mention"/>
    <w:basedOn w:val="DefaultParagraphFont"/>
    <w:uiPriority w:val="99"/>
    <w:semiHidden/>
    <w:unhideWhenUsed/>
    <w:rsid w:val="00AB2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