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Pr>
                <w:spacing w:val="-2"/>
              </w:rPr>
              <w:t>2018 Quadrennial Regulatory Review – Review of the Commission’s Broadcast Ownership Rules and Other Rules Adopted Pursuant to Section 202 of the Telecommunications Act of 1996</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B12C9D">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B12C9D" w:rsidP="00B12C9D">
            <w:pPr>
              <w:tabs>
                <w:tab w:val="center" w:pos="4680"/>
              </w:tabs>
              <w:suppressAutoHyphens/>
              <w:rPr>
                <w:spacing w:val="-2"/>
              </w:rPr>
            </w:pPr>
            <w:r>
              <w:rPr>
                <w:spacing w:val="-2"/>
              </w:rPr>
              <w:t>MB Docket No. 18-349</w:t>
            </w:r>
          </w:p>
          <w:p w:rsidR="004C2EE3">
            <w:pPr>
              <w:tabs>
                <w:tab w:val="center" w:pos="4680"/>
              </w:tabs>
              <w:suppressAutoHyphens/>
              <w:rPr>
                <w:spacing w:val="-2"/>
              </w:rPr>
            </w:pP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12C9D">
        <w:rPr>
          <w:b/>
          <w:spacing w:val="-2"/>
        </w:rPr>
        <w:t>December 12,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2C9D">
        <w:rPr>
          <w:b/>
          <w:spacing w:val="-2"/>
        </w:rPr>
        <w:t>December 1</w:t>
      </w:r>
      <w:r w:rsidR="00A03401">
        <w:rPr>
          <w:b/>
          <w:spacing w:val="-2"/>
        </w:rPr>
        <w:t>3</w:t>
      </w:r>
      <w:r w:rsidR="00B12C9D">
        <w:rPr>
          <w:b/>
          <w:spacing w:val="-2"/>
        </w:rPr>
        <w:t>, 2018</w:t>
      </w:r>
    </w:p>
    <w:p w:rsidR="00822CE0"/>
    <w:p w:rsidR="00B12C9D" w:rsidRPr="00A91196" w:rsidP="00B12C9D">
      <w:pPr>
        <w:rPr>
          <w:b/>
        </w:rPr>
      </w:pPr>
      <w:r w:rsidRPr="00A91196">
        <w:rPr>
          <w:b/>
        </w:rPr>
        <w:t xml:space="preserve">Comment Date:  </w:t>
      </w:r>
      <w:r w:rsidRPr="007D7AA0">
        <w:rPr>
          <w:b/>
        </w:rPr>
        <w:t>[</w:t>
      </w:r>
      <w:r>
        <w:rPr>
          <w:b/>
        </w:rPr>
        <w:t>60</w:t>
      </w:r>
      <w:r w:rsidRPr="00A91196">
        <w:rPr>
          <w:b/>
        </w:rPr>
        <w:t xml:space="preserve"> days after publication in the Federal Register]</w:t>
      </w:r>
    </w:p>
    <w:p w:rsidR="00B12C9D" w:rsidP="00B12C9D">
      <w:r w:rsidRPr="00A91196">
        <w:rPr>
          <w:b/>
        </w:rPr>
        <w:t>Reply Comment Date:  [</w:t>
      </w:r>
      <w:r>
        <w:rPr>
          <w:b/>
        </w:rPr>
        <w:t>90</w:t>
      </w:r>
      <w:r w:rsidRPr="00A91196">
        <w:rPr>
          <w:b/>
        </w:rPr>
        <w:t xml:space="preserve"> days after publication in the Federal Register]</w:t>
      </w:r>
    </w:p>
    <w:p w:rsidR="00B12C9D"/>
    <w:p w:rsidR="004C2EE3">
      <w:pPr>
        <w:rPr>
          <w:spacing w:val="-2"/>
        </w:rPr>
      </w:pPr>
      <w:r>
        <w:t xml:space="preserve">By </w:t>
      </w:r>
      <w:r w:rsidR="004E4A22">
        <w:t>the</w:t>
      </w:r>
      <w:r w:rsidR="002A2D2E">
        <w:t xml:space="preserve"> </w:t>
      </w:r>
      <w:r w:rsidR="00B12C9D">
        <w:rPr>
          <w:spacing w:val="-2"/>
        </w:rPr>
        <w:t>Commission</w:t>
      </w:r>
      <w:r>
        <w:rPr>
          <w:spacing w:val="-2"/>
        </w:rPr>
        <w:t>:</w:t>
      </w:r>
      <w:r w:rsidR="00E55607">
        <w:rPr>
          <w:spacing w:val="-2"/>
        </w:rPr>
        <w:t xml:space="preserve"> </w:t>
      </w:r>
      <w:r w:rsidR="00E55607">
        <w:t>Chairman Pai and Commissioners O’Rielly and Carr issuing separate statements; Commissioner Rosenworcel approving in part, dissenting in part and issuing a statement</w:t>
      </w:r>
    </w:p>
    <w:p w:rsidR="00B12C9D" w:rsidP="00B12C9D">
      <w:pPr>
        <w:pStyle w:val="TOCTitle"/>
      </w:pPr>
      <w:bookmarkStart w:id="0" w:name="TOChere"/>
      <w:r>
        <w:t>Table of Contents</w:t>
      </w:r>
    </w:p>
    <w:p w:rsidR="00B12C9D" w:rsidP="00B12C9D">
      <w:pPr>
        <w:pStyle w:val="Paratitle"/>
      </w:pPr>
      <w:r>
        <w:t>Heading</w:t>
      </w:r>
      <w:r>
        <w:tab/>
        <w:t>Paragraph #</w:t>
      </w:r>
      <w:bookmarkStart w:id="1" w:name="start_here"/>
      <w:bookmarkEnd w:id="1"/>
    </w:p>
    <w:p w:rsidR="00B12C9D" w:rsidRPr="00B12C9D" w:rsidP="00B12C9D">
      <w:pPr>
        <w:pStyle w:val="TOC1"/>
        <w:rPr>
          <w:rFonts w:ascii="Calibri" w:hAnsi="Calibri"/>
          <w:caps w:val="0"/>
          <w:snapToGrid/>
          <w:kern w:val="0"/>
          <w:szCs w:val="22"/>
        </w:rPr>
      </w:pPr>
      <w:r>
        <w:t>I.</w:t>
      </w:r>
      <w:r w:rsidRPr="00B12C9D">
        <w:rPr>
          <w:rFonts w:ascii="Calibri" w:hAnsi="Calibri"/>
          <w:caps w:val="0"/>
          <w:snapToGrid/>
          <w:kern w:val="0"/>
          <w:szCs w:val="22"/>
        </w:rPr>
        <w:tab/>
      </w:r>
      <w:r>
        <w:t>Introduction</w:t>
      </w:r>
      <w:r>
        <w:tab/>
        <w:t>1</w:t>
      </w:r>
    </w:p>
    <w:p w:rsidR="00B12C9D" w:rsidRPr="00B12C9D" w:rsidP="00B12C9D">
      <w:pPr>
        <w:pStyle w:val="TOC1"/>
        <w:rPr>
          <w:rFonts w:ascii="Calibri" w:hAnsi="Calibri"/>
          <w:caps w:val="0"/>
          <w:snapToGrid/>
          <w:kern w:val="0"/>
          <w:szCs w:val="22"/>
        </w:rPr>
      </w:pPr>
      <w:r>
        <w:t>II.</w:t>
      </w:r>
      <w:r w:rsidRPr="00B12C9D">
        <w:rPr>
          <w:rFonts w:ascii="Calibri" w:hAnsi="Calibri"/>
          <w:caps w:val="0"/>
          <w:snapToGrid/>
          <w:kern w:val="0"/>
          <w:szCs w:val="22"/>
        </w:rPr>
        <w:tab/>
      </w:r>
      <w:r>
        <w:t>background</w:t>
      </w:r>
      <w:r>
        <w:tab/>
        <w:t>6</w:t>
      </w:r>
    </w:p>
    <w:p w:rsidR="00B12C9D" w:rsidRPr="00B12C9D" w:rsidP="00B12C9D">
      <w:pPr>
        <w:pStyle w:val="TOC1"/>
        <w:rPr>
          <w:rFonts w:ascii="Calibri" w:hAnsi="Calibri"/>
          <w:caps w:val="0"/>
          <w:snapToGrid/>
          <w:kern w:val="0"/>
          <w:szCs w:val="22"/>
        </w:rPr>
      </w:pPr>
      <w:r>
        <w:t>III.</w:t>
      </w:r>
      <w:r w:rsidRPr="00B12C9D">
        <w:rPr>
          <w:rFonts w:ascii="Calibri" w:hAnsi="Calibri"/>
          <w:caps w:val="0"/>
          <w:snapToGrid/>
          <w:kern w:val="0"/>
          <w:szCs w:val="22"/>
        </w:rPr>
        <w:tab/>
      </w:r>
      <w:r>
        <w:t>media ownership rules</w:t>
      </w:r>
      <w:r>
        <w:tab/>
        <w:t>9</w:t>
      </w:r>
    </w:p>
    <w:p w:rsidR="00B12C9D" w:rsidRPr="00B12C9D" w:rsidP="00B12C9D">
      <w:pPr>
        <w:pStyle w:val="TOC2"/>
        <w:tabs>
          <w:tab w:val="left" w:pos="360"/>
        </w:tabs>
        <w:rPr>
          <w:rFonts w:ascii="Calibri" w:hAnsi="Calibri"/>
          <w:snapToGrid/>
          <w:kern w:val="0"/>
          <w:szCs w:val="22"/>
        </w:rPr>
      </w:pPr>
      <w:r>
        <w:t>A.</w:t>
      </w:r>
      <w:r w:rsidRPr="00B12C9D">
        <w:rPr>
          <w:rFonts w:ascii="Calibri" w:hAnsi="Calibri"/>
          <w:snapToGrid/>
          <w:kern w:val="0"/>
          <w:szCs w:val="22"/>
        </w:rPr>
        <w:tab/>
      </w:r>
      <w:r>
        <w:t>Local Radio Ownership Rule</w:t>
      </w:r>
      <w:r>
        <w:tab/>
        <w:t>9</w:t>
      </w:r>
    </w:p>
    <w:p w:rsidR="00B12C9D" w:rsidRPr="00B12C9D" w:rsidP="00B12C9D">
      <w:pPr>
        <w:pStyle w:val="TOC2"/>
        <w:tabs>
          <w:tab w:val="left" w:pos="360"/>
        </w:tabs>
        <w:rPr>
          <w:rFonts w:ascii="Calibri" w:hAnsi="Calibri"/>
          <w:snapToGrid/>
          <w:kern w:val="0"/>
          <w:szCs w:val="22"/>
        </w:rPr>
      </w:pPr>
      <w:r>
        <w:t>B.</w:t>
      </w:r>
      <w:r w:rsidRPr="00B12C9D">
        <w:rPr>
          <w:rFonts w:ascii="Calibri" w:hAnsi="Calibri"/>
          <w:snapToGrid/>
          <w:kern w:val="0"/>
          <w:szCs w:val="22"/>
        </w:rPr>
        <w:tab/>
      </w:r>
      <w:r>
        <w:t>Local Television Ownership Rule</w:t>
      </w:r>
      <w:r>
        <w:tab/>
        <w:t>40</w:t>
      </w:r>
    </w:p>
    <w:p w:rsidR="00B12C9D" w:rsidRPr="00B12C9D" w:rsidP="00B12C9D">
      <w:pPr>
        <w:pStyle w:val="TOC2"/>
        <w:tabs>
          <w:tab w:val="left" w:pos="360"/>
        </w:tabs>
        <w:rPr>
          <w:rFonts w:ascii="Calibri" w:hAnsi="Calibri"/>
          <w:snapToGrid/>
          <w:kern w:val="0"/>
          <w:szCs w:val="22"/>
        </w:rPr>
      </w:pPr>
      <w:r>
        <w:t>C.</w:t>
      </w:r>
      <w:r w:rsidRPr="00B12C9D">
        <w:rPr>
          <w:rFonts w:ascii="Calibri" w:hAnsi="Calibri"/>
          <w:snapToGrid/>
          <w:kern w:val="0"/>
          <w:szCs w:val="22"/>
        </w:rPr>
        <w:tab/>
      </w:r>
      <w:r>
        <w:t>Dual Network Rule</w:t>
      </w:r>
      <w:r>
        <w:tab/>
        <w:t>77</w:t>
      </w:r>
    </w:p>
    <w:p w:rsidR="00B12C9D" w:rsidRPr="00B12C9D" w:rsidP="00B12C9D">
      <w:pPr>
        <w:pStyle w:val="TOC1"/>
        <w:rPr>
          <w:rFonts w:ascii="Calibri" w:hAnsi="Calibri"/>
          <w:caps w:val="0"/>
          <w:snapToGrid/>
          <w:kern w:val="0"/>
          <w:szCs w:val="22"/>
        </w:rPr>
      </w:pPr>
      <w:r>
        <w:t>IV.</w:t>
      </w:r>
      <w:r w:rsidRPr="00B12C9D">
        <w:rPr>
          <w:rFonts w:ascii="Calibri" w:hAnsi="Calibri"/>
          <w:caps w:val="0"/>
          <w:snapToGrid/>
          <w:kern w:val="0"/>
          <w:szCs w:val="22"/>
        </w:rPr>
        <w:tab/>
      </w:r>
      <w:r>
        <w:t>diversity-related PROPOSALs</w:t>
      </w:r>
      <w:r>
        <w:tab/>
        <w:t>93</w:t>
      </w:r>
    </w:p>
    <w:p w:rsidR="00B12C9D" w:rsidRPr="00B12C9D" w:rsidP="00B12C9D">
      <w:pPr>
        <w:pStyle w:val="TOC1"/>
        <w:rPr>
          <w:rFonts w:ascii="Calibri" w:hAnsi="Calibri"/>
          <w:caps w:val="0"/>
          <w:snapToGrid/>
          <w:kern w:val="0"/>
          <w:szCs w:val="22"/>
        </w:rPr>
      </w:pPr>
      <w:r>
        <w:t>V.</w:t>
      </w:r>
      <w:r w:rsidRPr="00B12C9D">
        <w:rPr>
          <w:rFonts w:ascii="Calibri" w:hAnsi="Calibri"/>
          <w:caps w:val="0"/>
          <w:snapToGrid/>
          <w:kern w:val="0"/>
          <w:szCs w:val="22"/>
        </w:rPr>
        <w:tab/>
      </w:r>
      <w:r>
        <w:t>procedural matters</w:t>
      </w:r>
      <w:r>
        <w:tab/>
        <w:t>122</w:t>
      </w:r>
    </w:p>
    <w:p w:rsidR="00B12C9D" w:rsidRPr="00B12C9D" w:rsidP="00B12C9D">
      <w:pPr>
        <w:pStyle w:val="TOC1"/>
        <w:rPr>
          <w:rFonts w:ascii="Calibri" w:hAnsi="Calibri"/>
          <w:caps w:val="0"/>
          <w:snapToGrid/>
          <w:kern w:val="0"/>
          <w:szCs w:val="22"/>
        </w:rPr>
      </w:pPr>
      <w:r>
        <w:t>VI.</w:t>
      </w:r>
      <w:r w:rsidRPr="00B12C9D">
        <w:rPr>
          <w:rFonts w:ascii="Calibri" w:hAnsi="Calibri"/>
          <w:caps w:val="0"/>
          <w:snapToGrid/>
          <w:kern w:val="0"/>
          <w:szCs w:val="22"/>
        </w:rPr>
        <w:tab/>
      </w:r>
      <w:r>
        <w:t>ordering clauses</w:t>
      </w:r>
      <w:r>
        <w:tab/>
        <w:t>129</w:t>
      </w:r>
    </w:p>
    <w:p w:rsidR="00B12C9D" w:rsidP="00B12C9D">
      <w:pPr>
        <w:rPr>
          <w:caps/>
          <w:noProof/>
        </w:rPr>
      </w:pPr>
      <w:bookmarkEnd w:id="0"/>
      <w:r>
        <w:rPr>
          <w:caps/>
          <w:noProof/>
        </w:rPr>
        <w:t xml:space="preserve">APPENDIX – </w:t>
      </w:r>
      <w:r w:rsidRPr="00865CB0">
        <w:rPr>
          <w:noProof/>
        </w:rPr>
        <w:t>Initial Regulatory Flexibility Analysis</w:t>
      </w:r>
    </w:p>
    <w:p w:rsidR="00B12C9D">
      <w:pPr>
        <w:rPr>
          <w:spacing w:val="-2"/>
        </w:rPr>
      </w:pPr>
    </w:p>
    <w:p w:rsidR="00B12C9D" w:rsidP="00B12C9D">
      <w:pPr>
        <w:pStyle w:val="Heading1"/>
      </w:pPr>
      <w:bookmarkStart w:id="2" w:name="_Toc527713802"/>
      <w:bookmarkStart w:id="3" w:name="_Toc532379620"/>
      <w:bookmarkStart w:id="4" w:name="_Toc532379662"/>
      <w:r>
        <w:t>Introduction</w:t>
      </w:r>
      <w:bookmarkEnd w:id="2"/>
      <w:bookmarkEnd w:id="3"/>
      <w:bookmarkEnd w:id="4"/>
    </w:p>
    <w:p w:rsidR="00B12C9D" w:rsidP="00B12C9D">
      <w:pPr>
        <w:pStyle w:val="ParaNum"/>
        <w:widowControl/>
        <w:tabs>
          <w:tab w:val="clear" w:pos="1440"/>
        </w:tabs>
      </w:pPr>
      <w:r>
        <w:t>With this Notice of Proposed Rulemaking (NPRM), we initiate the Commission’s 2018 quadrennial review of its media ownership rules.  We launch this proceeding pursuant to the statutory requirement set forth in Section 202(h) of the Telecommunications Act of 1996 that we review our media ownership rules every four years to determine whether they remain “necessary in the public interest as the result of competition.”</w:t>
      </w:r>
      <w:r>
        <w:rPr>
          <w:rStyle w:val="FootnoteReference"/>
        </w:rPr>
        <w:footnoteReference w:id="3"/>
      </w:r>
      <w:r>
        <w:t xml:space="preserve">  The three rules subject to review under Section 202(h) are the Local Radio Ownership Rule,</w:t>
      </w:r>
      <w:r>
        <w:rPr>
          <w:rStyle w:val="FootnoteReference"/>
        </w:rPr>
        <w:footnoteReference w:id="4"/>
      </w:r>
      <w:r>
        <w:t xml:space="preserve"> the Local Television Ownership Rule,</w:t>
      </w:r>
      <w:r>
        <w:rPr>
          <w:rStyle w:val="FootnoteReference"/>
        </w:rPr>
        <w:footnoteReference w:id="5"/>
      </w:r>
      <w:r>
        <w:t xml:space="preserve"> and the Dual Network Rule.</w:t>
      </w:r>
      <w:r>
        <w:rPr>
          <w:rStyle w:val="FootnoteReference"/>
        </w:rPr>
        <w:footnoteReference w:id="6"/>
      </w:r>
      <w:r>
        <w:t xml:space="preserve">  We seek comment </w:t>
      </w:r>
      <w:r>
        <w:t xml:space="preserve">herein on whether, given the current state of the media marketplace, we should retain, modify, or eliminate any of these rules.    </w:t>
      </w:r>
    </w:p>
    <w:p w:rsidR="00B12C9D" w:rsidP="00B12C9D">
      <w:pPr>
        <w:pStyle w:val="ParaNum"/>
      </w:pPr>
      <w:r>
        <w:t>As the Commission has observed, the media marketplace has seen dramatic changes since the Commission began conducting its periodic media ownership reviews in the late 1990s—an evolution that continues to this day.</w:t>
      </w:r>
      <w:r>
        <w:rPr>
          <w:rStyle w:val="FootnoteReference"/>
        </w:rPr>
        <w:footnoteReference w:id="7"/>
      </w:r>
      <w:r>
        <w:t xml:space="preserve">  Most notably, the growth of broadband Internet and other technologies has given consumers access to more content on more platforms than ever before.  For instance, an overwhelming majority of Americans now have access to broadband Internet service, and they are increasingly using it to access online audio and video programming for entertainment and news content.</w:t>
      </w:r>
      <w:r>
        <w:rPr>
          <w:rStyle w:val="FootnoteReference"/>
        </w:rPr>
        <w:footnoteReference w:id="8"/>
      </w:r>
      <w:r>
        <w:t xml:space="preserve">  Data show that consumers today are watching more online video than ever.</w:t>
      </w:r>
      <w:r>
        <w:rPr>
          <w:rStyle w:val="FootnoteReference"/>
        </w:rPr>
        <w:footnoteReference w:id="9"/>
      </w:r>
      <w:r>
        <w:t xml:space="preserve">  In fact, nearly three in ten U.S. adults say that online streaming now constitutes their primary means of watching television,</w:t>
      </w:r>
      <w:r>
        <w:rPr>
          <w:rStyle w:val="FootnoteReference"/>
        </w:rPr>
        <w:footnoteReference w:id="10"/>
      </w:r>
      <w:r>
        <w:t xml:space="preserve"> and the largest audio and video streaming services count their users in the tens of millions.</w:t>
      </w:r>
      <w:r>
        <w:rPr>
          <w:rStyle w:val="FootnoteReference"/>
        </w:rPr>
        <w:footnoteReference w:id="11"/>
      </w:r>
      <w:r>
        <w:t xml:space="preserve">  Moreover, 43 percent of U.S. adults say they often get their news online, with online news consumption </w:t>
      </w:r>
      <w:r>
        <w:t>increasing among every age group in recent years.</w:t>
      </w:r>
      <w:r>
        <w:rPr>
          <w:rStyle w:val="FootnoteReference"/>
        </w:rPr>
        <w:footnoteReference w:id="12"/>
      </w:r>
      <w:r>
        <w:t xml:space="preserve">  In addition, two-thirds of Americans are now getting at least some of their news through social media platforms.</w:t>
      </w:r>
      <w:r>
        <w:rPr>
          <w:rStyle w:val="FootnoteReference"/>
        </w:rPr>
        <w:footnoteReference w:id="13"/>
      </w:r>
      <w:r>
        <w:t xml:space="preserve">  </w:t>
      </w:r>
    </w:p>
    <w:p w:rsidR="00B12C9D" w:rsidP="00B12C9D">
      <w:pPr>
        <w:pStyle w:val="ParaNum"/>
      </w:pPr>
      <w:r>
        <w:t>In the face of these trends, however, broadcast television and radio stations remain important fixtures in local communities.  Despite new technologies competing for viewers’ attention, the amount of video Americans watch has actually been on the rise—approaching six hours a day in 2018—with a majority continuing to consist of live or time-shifted traditional television viewing.</w:t>
      </w:r>
      <w:r>
        <w:rPr>
          <w:rStyle w:val="FootnoteReference"/>
        </w:rPr>
        <w:footnoteReference w:id="14"/>
      </w:r>
      <w:r>
        <w:t xml:space="preserve">  Similarly, more than 90 percent of Americans still listen to the radio each week.</w:t>
      </w:r>
      <w:r>
        <w:rPr>
          <w:rStyle w:val="FootnoteReference"/>
        </w:rPr>
        <w:footnoteReference w:id="15"/>
      </w:r>
      <w:r>
        <w:t xml:space="preserve">  Total broadcast industry revenues have appeared fairly stable in recent years.</w:t>
      </w:r>
      <w:r>
        <w:rPr>
          <w:rStyle w:val="FootnoteReference"/>
        </w:rPr>
        <w:footnoteReference w:id="16"/>
      </w:r>
      <w:r>
        <w:t xml:space="preserve">  Moreover, television remains a common place for Americans to get their news,</w:t>
      </w:r>
      <w:r>
        <w:rPr>
          <w:rStyle w:val="FootnoteReference"/>
        </w:rPr>
        <w:footnoteReference w:id="17"/>
      </w:r>
      <w:r>
        <w:t xml:space="preserve"> and some evidence suggests that broadcast television outlets produce a significant portion of the video news content published on websites and social media platforms.</w:t>
      </w:r>
      <w:r>
        <w:rPr>
          <w:rStyle w:val="FootnoteReference"/>
        </w:rPr>
        <w:footnoteReference w:id="18"/>
      </w:r>
      <w:r>
        <w:t xml:space="preserve">       </w:t>
      </w:r>
    </w:p>
    <w:p w:rsidR="00B12C9D" w:rsidP="00B12C9D">
      <w:pPr>
        <w:pStyle w:val="ParaNum"/>
        <w:widowControl/>
      </w:pPr>
      <w:r>
        <w:t>Last year, the Commission concluded its combined 2010/2014 Quadrennial Review proceeding by adopting an Order on Reconsideration that relaxed or eliminated outdated rules.</w:t>
      </w:r>
      <w:r>
        <w:rPr>
          <w:rStyle w:val="FootnoteReference"/>
        </w:rPr>
        <w:footnoteReference w:id="19"/>
      </w:r>
      <w:r>
        <w:t xml:space="preserve">  In doing so, the Commission recognized the dynamic nature of the media marketplace and the wealth of information sources now available to consumers.</w:t>
      </w:r>
      <w:r>
        <w:rPr>
          <w:rStyle w:val="FootnoteReference"/>
        </w:rPr>
        <w:footnoteReference w:id="20"/>
      </w:r>
      <w:r>
        <w:t xml:space="preserve">  The changes the Commission adopted in the </w:t>
      </w:r>
      <w:r>
        <w:t>2010/2014 proceeding were based on a record it had begun compiling as far back as 2009 (and had subsequently refreshed with the 2014 Quadrennial Review proceeding).</w:t>
      </w:r>
      <w:r>
        <w:rPr>
          <w:rStyle w:val="FootnoteReference"/>
        </w:rPr>
        <w:footnoteReference w:id="21"/>
      </w:r>
      <w:r>
        <w:t xml:space="preserve">  </w:t>
      </w:r>
    </w:p>
    <w:p w:rsidR="00B12C9D" w:rsidP="00B12C9D">
      <w:pPr>
        <w:pStyle w:val="ParaNum"/>
      </w:pPr>
      <w:r>
        <w:t xml:space="preserve">Today, as required by Congress, we start a new proceeding to take a fresh look at our rules in light of the media landscape of 2018 and beyond.  Accordingly, as discussed below, we seek comment on whether the three remaining rules subject to quadrennial review continue to be necessary in the public interest in their current forms or whether any of them should be modified or eliminated.  Additionally, in the </w:t>
      </w:r>
      <w:r>
        <w:rPr>
          <w:i/>
        </w:rPr>
        <w:t>2010/2014 Quadrennial Review Order</w:t>
      </w:r>
      <w:r>
        <w:t>, the Commission committed to further examination of several proposals offered in the record of that proceeding as potential pro-diversity initiatives.</w:t>
      </w:r>
      <w:r>
        <w:rPr>
          <w:rStyle w:val="FootnoteReference"/>
        </w:rPr>
        <w:footnoteReference w:id="22"/>
      </w:r>
      <w:r>
        <w:t xml:space="preserve">  As described more fully below, these proposals include extending cable procurement requirements to broadcasters, adopting formulas aimed at creating media ownership limits that promote diversity, and developing a model for market-based, tradeable “diversity credits” to serve as an alternative method for setting ownership limits.  Consistent with the Commission’s previous commitment to explore these ideas, we seek comment on these proposals and related issues below.   </w:t>
      </w:r>
      <w:r>
        <w:rPr>
          <w:i/>
        </w:rPr>
        <w:t xml:space="preserve"> </w:t>
      </w:r>
    </w:p>
    <w:p w:rsidR="00B12C9D" w:rsidP="00B12C9D">
      <w:pPr>
        <w:pStyle w:val="Heading1"/>
      </w:pPr>
      <w:bookmarkStart w:id="6" w:name="_Toc527713803"/>
      <w:bookmarkStart w:id="7" w:name="_Toc532379621"/>
      <w:bookmarkStart w:id="8" w:name="_Toc532379663"/>
      <w:r>
        <w:t>background</w:t>
      </w:r>
      <w:bookmarkEnd w:id="6"/>
      <w:bookmarkEnd w:id="7"/>
      <w:bookmarkEnd w:id="8"/>
    </w:p>
    <w:p w:rsidR="00B12C9D" w:rsidP="00B12C9D">
      <w:pPr>
        <w:pStyle w:val="ParaNum"/>
      </w:pPr>
      <w:r>
        <w:t>The three rules under review in this proceeding—the Local Radio Ownership Rule, the Local Television Ownership Rule, and the Dual Network Rule—each have their roots in media ownership restrictions going back decades.</w:t>
      </w:r>
      <w:r>
        <w:rPr>
          <w:rStyle w:val="FootnoteReference"/>
        </w:rPr>
        <w:footnoteReference w:id="23"/>
      </w:r>
      <w:r>
        <w:t xml:space="preserve">  Pursuant to the 1996 Act, Congress requires the Commission to review these rules every four years to determine whether they are “necessary in the public interest as the result of competition” and to “repeal or modify any regulation [the Commission] determines to be no longer in the public interest.”</w:t>
      </w:r>
      <w:r>
        <w:rPr>
          <w:rStyle w:val="FootnoteReference"/>
        </w:rPr>
        <w:footnoteReference w:id="24"/>
      </w:r>
      <w:r>
        <w:t xml:space="preserve">  The most recent of these statutorily required reviews was the combined 2010/2014 Quadrennial Review Proceeding.</w:t>
      </w:r>
    </w:p>
    <w:p w:rsidR="00B12C9D" w:rsidP="00B12C9D">
      <w:pPr>
        <w:pStyle w:val="ParaNum"/>
        <w:rPr>
          <w:snapToGrid/>
          <w:kern w:val="0"/>
          <w:sz w:val="24"/>
          <w:szCs w:val="24"/>
        </w:rPr>
      </w:pPr>
      <w:r>
        <w:t xml:space="preserve">On August 10, 2016, the Commission adopted the </w:t>
      </w:r>
      <w:r>
        <w:rPr>
          <w:i/>
        </w:rPr>
        <w:t>2010/2014 Quadrennial Review Order</w:t>
      </w:r>
      <w:r>
        <w:t>, which largely retained the then-existing media ownership rules with only minor modifications.</w:t>
      </w:r>
      <w:r>
        <w:rPr>
          <w:rStyle w:val="FootnoteReference"/>
        </w:rPr>
        <w:footnoteReference w:id="25"/>
      </w:r>
      <w:r>
        <w:t xml:space="preserve">  In addition, the Order adopted a requirement that commercial television stations file shared services agreements (SSAs) with the Commission but declined to make SSA relationships attributable.</w:t>
      </w:r>
      <w:r>
        <w:rPr>
          <w:rStyle w:val="FootnoteReference"/>
        </w:rPr>
        <w:footnoteReference w:id="26"/>
      </w:r>
      <w:r>
        <w:t xml:space="preserve">  The Order also reinstated the revenue-based eligible entity standard, as well as associated measures to encourage small business participation in the broadcast industry, but declined to implement diversity-related regulatory treatment preferences based on race- or gender-conscious definitions.</w:t>
      </w:r>
      <w:r>
        <w:rPr>
          <w:rStyle w:val="FootnoteReference"/>
        </w:rPr>
        <w:footnoteReference w:id="27"/>
      </w:r>
      <w:r>
        <w:t xml:space="preserve">  Several parties, including the National Association of Broadcasters (NAB), Nexstar Broadcasting, Inc. (Nexstar), and Connoisseur Media, LLC (Connoisseur), sought reconsideration of the </w:t>
      </w:r>
      <w:r>
        <w:rPr>
          <w:i/>
        </w:rPr>
        <w:t xml:space="preserve">2010/2014 Quadrennial Review </w:t>
      </w:r>
      <w:r>
        <w:rPr>
          <w:i/>
        </w:rPr>
        <w:t>Order</w:t>
      </w:r>
      <w:r>
        <w:t xml:space="preserve"> by the Commission.</w:t>
      </w:r>
      <w:r>
        <w:rPr>
          <w:rStyle w:val="FootnoteReference"/>
        </w:rPr>
        <w:footnoteReference w:id="28"/>
      </w:r>
      <w:r>
        <w:t xml:space="preserve">  Multiple parties also sought judicial review, which remains pending with the Third Circuit.</w:t>
      </w:r>
      <w:r>
        <w:rPr>
          <w:rStyle w:val="FootnoteReference"/>
        </w:rPr>
        <w:footnoteReference w:id="29"/>
      </w:r>
      <w:r>
        <w:rPr>
          <w:sz w:val="24"/>
          <w:szCs w:val="24"/>
        </w:rPr>
        <w:t xml:space="preserve"> </w:t>
      </w:r>
    </w:p>
    <w:p w:rsidR="00B12C9D" w:rsidP="00B12C9D">
      <w:pPr>
        <w:pStyle w:val="ParaNum"/>
      </w:pPr>
      <w:r>
        <w:t xml:space="preserve">On November 16, 2017, the Commission adopted an Order on Reconsideration that reversed certain elements of the earlier </w:t>
      </w:r>
      <w:r>
        <w:rPr>
          <w:i/>
        </w:rPr>
        <w:t>2010/2014 Quadrennial Review Order</w:t>
      </w:r>
      <w:r>
        <w:t>, most notably by repealing the Newspaper/Broadcast Cross-Ownership Rule and the Radio/Television Cross-Ownership Rule and revising the Local Television Ownership Rule.</w:t>
      </w:r>
      <w:r>
        <w:rPr>
          <w:rStyle w:val="FootnoteReference"/>
        </w:rPr>
        <w:footnoteReference w:id="30"/>
      </w:r>
      <w:r>
        <w:t xml:space="preserve">  Specifically, on reconsideration, the Commission revised the Local Television Ownership Rule by eliminating the requirement that, in order to own two stations in a market, eight independent voices must remain in the market post-transaction.</w:t>
      </w:r>
      <w:r>
        <w:rPr>
          <w:rStyle w:val="FootnoteReference"/>
        </w:rPr>
        <w:footnoteReference w:id="31"/>
      </w:r>
      <w:r>
        <w:t xml:space="preserve">  The Commission found that the Eight-Voices Test was unsupported by the record or reasoned analysis and was no longer necessary in the public interest.</w:t>
      </w:r>
      <w:r>
        <w:rPr>
          <w:rStyle w:val="FootnoteReference"/>
        </w:rPr>
        <w:footnoteReference w:id="32"/>
      </w:r>
      <w:r>
        <w:t xml:space="preserve">  In addition, pursuant to</w:t>
      </w:r>
      <w:r w:rsidRPr="00245932">
        <w:t xml:space="preserve"> the </w:t>
      </w:r>
      <w:r>
        <w:t>revised Local T</w:t>
      </w:r>
      <w:r w:rsidRPr="00245932">
        <w:t xml:space="preserve">elevision </w:t>
      </w:r>
      <w:r>
        <w:t>O</w:t>
      </w:r>
      <w:r w:rsidRPr="00245932">
        <w:t xml:space="preserve">wnership </w:t>
      </w:r>
      <w:r>
        <w:t>R</w:t>
      </w:r>
      <w:r w:rsidRPr="00245932">
        <w:t>ule</w:t>
      </w:r>
      <w:r>
        <w:t>, t</w:t>
      </w:r>
      <w:r w:rsidRPr="00245932">
        <w:t xml:space="preserve">he Commission </w:t>
      </w:r>
      <w:r>
        <w:t xml:space="preserve">concluded that it would </w:t>
      </w:r>
      <w:r w:rsidRPr="00245932">
        <w:t>consider</w:t>
      </w:r>
      <w:r>
        <w:t xml:space="preserve">, on a case-by-case basis, </w:t>
      </w:r>
      <w:r w:rsidRPr="00245932">
        <w:t>combin</w:t>
      </w:r>
      <w:r>
        <w:t>ations that would otherwise be barred by the prohibition on ownership of two top-four ranked stations in a market.</w:t>
      </w:r>
      <w:r>
        <w:rPr>
          <w:rStyle w:val="FootnoteReference"/>
        </w:rPr>
        <w:footnoteReference w:id="33"/>
      </w:r>
      <w:r>
        <w:t xml:space="preserve">  Finally, the </w:t>
      </w:r>
      <w:r>
        <w:rPr>
          <w:i/>
        </w:rPr>
        <w:t xml:space="preserve">2010/2014 Quadrennial Review Order on Reconsideration </w:t>
      </w:r>
      <w:r>
        <w:t>eliminated attribution for television joint sales agreements (JSAs) and retained the disclosure requirement for television SSAs.</w:t>
      </w:r>
      <w:r>
        <w:rPr>
          <w:rStyle w:val="FootnoteReference"/>
        </w:rPr>
        <w:footnoteReference w:id="34"/>
      </w:r>
      <w:r>
        <w:t xml:space="preserve">  Several parties sought judicial review of the </w:t>
      </w:r>
      <w:r>
        <w:rPr>
          <w:i/>
        </w:rPr>
        <w:t>2010/2014 Quadrennial Review Order on Reconsideration</w:t>
      </w:r>
      <w:r>
        <w:t xml:space="preserve">, which, like the judicial challenges to the </w:t>
      </w:r>
      <w:r>
        <w:rPr>
          <w:i/>
        </w:rPr>
        <w:t>2010/2014 Quadrennial Review Order</w:t>
      </w:r>
      <w:r>
        <w:t>, remains pending before the Third Circuit.</w:t>
      </w:r>
      <w:r>
        <w:rPr>
          <w:rStyle w:val="FootnoteReference"/>
        </w:rPr>
        <w:footnoteReference w:id="35"/>
      </w:r>
      <w:r>
        <w:t xml:space="preserve"> </w:t>
      </w:r>
      <w:r w:rsidRPr="005C1F86">
        <w:rPr>
          <w:szCs w:val="22"/>
        </w:rPr>
        <w:t xml:space="preserve"> </w:t>
      </w:r>
      <w:r>
        <w:rPr>
          <w:szCs w:val="22"/>
        </w:rPr>
        <w:t>That court, however,</w:t>
      </w:r>
      <w:r w:rsidRPr="003E4AFD">
        <w:rPr>
          <w:szCs w:val="22"/>
        </w:rPr>
        <w:t xml:space="preserve"> rejected an emergency petition for writ of mandamus filed by Prometheus Radio Project and Media Mobilizing Project seeking to block </w:t>
      </w:r>
      <w:r>
        <w:rPr>
          <w:szCs w:val="22"/>
        </w:rPr>
        <w:t xml:space="preserve">the </w:t>
      </w:r>
      <w:r w:rsidRPr="00E66B26">
        <w:rPr>
          <w:i/>
          <w:szCs w:val="22"/>
        </w:rPr>
        <w:t>2010/2014 Quadrennial Review Order on Reconsideration</w:t>
      </w:r>
      <w:r>
        <w:rPr>
          <w:szCs w:val="22"/>
        </w:rPr>
        <w:t xml:space="preserve"> from taking effect</w:t>
      </w:r>
      <w:r w:rsidRPr="003E4AFD">
        <w:rPr>
          <w:szCs w:val="22"/>
        </w:rPr>
        <w:t>.</w:t>
      </w:r>
      <w:r>
        <w:rPr>
          <w:rStyle w:val="FootnoteReference"/>
          <w:szCs w:val="22"/>
        </w:rPr>
        <w:footnoteReference w:id="36"/>
      </w:r>
      <w:r w:rsidRPr="003E4AFD">
        <w:rPr>
          <w:szCs w:val="22"/>
        </w:rPr>
        <w:t xml:space="preserve">  </w:t>
      </w:r>
      <w:r>
        <w:t xml:space="preserve">On reconsideration, the Commission also found that, while the record in the 2010/2014 Quadrennial Review Proceeding supported adoption of an incubator program </w:t>
      </w:r>
      <w:r w:rsidRPr="005917C3">
        <w:t xml:space="preserve">to </w:t>
      </w:r>
      <w:r>
        <w:t>foster the entry of new and diverse voices in the broadcasting industry, the structure and implementation of such a program required further exploration.</w:t>
      </w:r>
      <w:r>
        <w:rPr>
          <w:rStyle w:val="FootnoteReference"/>
        </w:rPr>
        <w:footnoteReference w:id="37"/>
      </w:r>
      <w:r>
        <w:t xml:space="preserve">  Accordingly, the Commission sought comment on these issues, and on August 2, 2018, adopted a Report and Order establishing an incubator program to foster new entry into the broadcasting industry.</w:t>
      </w:r>
      <w:r>
        <w:rPr>
          <w:rStyle w:val="FootnoteReference"/>
        </w:rPr>
        <w:footnoteReference w:id="38"/>
      </w:r>
      <w:r>
        <w:t xml:space="preserve">  Under the program, an established broadcaster (i.e., incubating entity) will provide a new entrant or small broadcaster (i.e., incubated entity) with training, financing, and access to resources that would be otherwise inaccessible to these entities.</w:t>
      </w:r>
      <w:r>
        <w:rPr>
          <w:rStyle w:val="FootnoteReference"/>
        </w:rPr>
        <w:footnoteReference w:id="39"/>
      </w:r>
      <w:r>
        <w:t xml:space="preserve">  In return for this support, the incubating entity can receive a waiver of the applicable Local Radio Ownership Rule that it can use either in the incubated market or in a </w:t>
      </w:r>
      <w:r>
        <w:t>comparable market within three years of the successful conclusion of a qualifying incubation relationship.</w:t>
      </w:r>
      <w:r>
        <w:rPr>
          <w:rStyle w:val="FootnoteReference"/>
        </w:rPr>
        <w:footnoteReference w:id="40"/>
      </w:r>
      <w:r>
        <w:t xml:space="preserve">  One petitioner has sought reconsideration of the </w:t>
      </w:r>
      <w:r>
        <w:rPr>
          <w:i/>
        </w:rPr>
        <w:t xml:space="preserve">Incubator Order </w:t>
      </w:r>
      <w:r>
        <w:t>by the Commission.</w:t>
      </w:r>
      <w:r>
        <w:rPr>
          <w:rStyle w:val="FootnoteReference"/>
        </w:rPr>
        <w:footnoteReference w:id="41"/>
      </w:r>
      <w:r>
        <w:t xml:space="preserve">  In addition, several parties, including Prometheus Radio Project and Media Mobilizing Project, jointly, and MMTC and NABOB, jointly, have sought judicial review of the </w:t>
      </w:r>
      <w:r>
        <w:rPr>
          <w:i/>
        </w:rPr>
        <w:t>Incubator Order</w:t>
      </w:r>
      <w:r>
        <w:t>.</w:t>
      </w:r>
      <w:r>
        <w:rPr>
          <w:rStyle w:val="FootnoteReference"/>
        </w:rPr>
        <w:footnoteReference w:id="42"/>
      </w:r>
      <w:r>
        <w:t xml:space="preserve">  The Third Circuit has consolidated the petitions with pending challenges to the </w:t>
      </w:r>
      <w:r>
        <w:rPr>
          <w:i/>
        </w:rPr>
        <w:t xml:space="preserve">2010/2014 Quadrennial Review Order </w:t>
      </w:r>
      <w:r>
        <w:t xml:space="preserve">and the </w:t>
      </w:r>
      <w:r>
        <w:rPr>
          <w:i/>
        </w:rPr>
        <w:t>2010/2014 Quadrennial Review Order on Reconsideration</w:t>
      </w:r>
      <w:r>
        <w:t>.</w:t>
      </w:r>
      <w:r>
        <w:rPr>
          <w:rStyle w:val="FootnoteReference"/>
        </w:rPr>
        <w:footnoteReference w:id="43"/>
      </w:r>
      <w:r>
        <w:t xml:space="preserve">  </w:t>
      </w:r>
    </w:p>
    <w:p w:rsidR="00B12C9D" w:rsidP="00B12C9D">
      <w:pPr>
        <w:pStyle w:val="Heading1"/>
      </w:pPr>
      <w:bookmarkStart w:id="9" w:name="_Toc527713804"/>
      <w:bookmarkStart w:id="10" w:name="_Toc532379622"/>
      <w:bookmarkStart w:id="11" w:name="_Toc532379664"/>
      <w:r>
        <w:t>media ownership rules</w:t>
      </w:r>
      <w:bookmarkEnd w:id="9"/>
      <w:bookmarkEnd w:id="10"/>
      <w:bookmarkEnd w:id="11"/>
    </w:p>
    <w:p w:rsidR="00B12C9D" w:rsidP="00B12C9D">
      <w:pPr>
        <w:pStyle w:val="Heading2"/>
      </w:pPr>
      <w:bookmarkStart w:id="12" w:name="_Toc527713805"/>
      <w:bookmarkStart w:id="13" w:name="_Toc532379623"/>
      <w:bookmarkStart w:id="14" w:name="_Toc532379665"/>
      <w:r>
        <w:t>Local Radio Ownership Rule</w:t>
      </w:r>
      <w:bookmarkEnd w:id="12"/>
      <w:bookmarkEnd w:id="13"/>
      <w:bookmarkEnd w:id="14"/>
    </w:p>
    <w:p w:rsidR="00B12C9D" w:rsidRPr="006A1E18" w:rsidP="00B12C9D">
      <w:pPr>
        <w:pStyle w:val="Heading3"/>
      </w:pPr>
      <w:bookmarkStart w:id="15" w:name="_Toc532379624"/>
      <w:r>
        <w:t>Introduction</w:t>
      </w:r>
      <w:bookmarkEnd w:id="15"/>
    </w:p>
    <w:p w:rsidR="00B12C9D" w:rsidP="00B12C9D">
      <w:pPr>
        <w:pStyle w:val="ParaNum"/>
        <w:widowControl/>
      </w:pPr>
      <w:r>
        <w:t>In this section, we examine whether the Commission’s current Local Radio Ownership Rule continues to be necessary in the public interest consistent with the statutory mandate of Section 202(h).</w:t>
      </w:r>
      <w:r>
        <w:rPr>
          <w:rStyle w:val="FootnoteReference"/>
        </w:rPr>
        <w:footnoteReference w:id="44"/>
      </w:r>
      <w:r>
        <w:t xml:space="preserve">  The Local Radio Ownership Rule limits both the total number of radio stations an entity may own within a local market and the number of radio stations within the market that the entity may own in the same service</w:t>
      </w:r>
      <w:r w:rsidRPr="007272ED">
        <w:t xml:space="preserve"> </w:t>
      </w:r>
      <w:r>
        <w:t>(AM or FM).  The current radio ownership limits were set by Congress in 1996,</w:t>
      </w:r>
      <w:r>
        <w:rPr>
          <w:rStyle w:val="FootnoteReference"/>
        </w:rPr>
        <w:footnoteReference w:id="45"/>
      </w:r>
      <w:r>
        <w:t xml:space="preserve"> and the courts have upheld the Commission’s retention of the rule in prior quadrennial reviews.</w:t>
      </w:r>
      <w:r>
        <w:rPr>
          <w:rStyle w:val="FootnoteReference"/>
        </w:rPr>
        <w:footnoteReference w:id="46"/>
      </w:r>
      <w:r>
        <w:t xml:space="preserve">  The Commission’s primary rationale for maintaining the rule has been to promote competition among radio stations within a local market.</w:t>
      </w:r>
      <w:r>
        <w:rPr>
          <w:rStyle w:val="FootnoteReference"/>
        </w:rPr>
        <w:footnoteReference w:id="47"/>
      </w:r>
      <w:r>
        <w:t xml:space="preserve">  In addition, the Commission has recognized that the rule helps to promote viewpoint diversity and localism and is consistent with its policy goal of promoting minority and female ownership.</w:t>
      </w:r>
      <w:r>
        <w:rPr>
          <w:rStyle w:val="FootnoteReference"/>
        </w:rPr>
        <w:footnoteReference w:id="48"/>
      </w:r>
      <w:r>
        <w:t xml:space="preserve">  </w:t>
      </w:r>
    </w:p>
    <w:p w:rsidR="00B12C9D" w:rsidP="00B12C9D">
      <w:pPr>
        <w:pStyle w:val="ParaNum"/>
      </w:pPr>
      <w:r>
        <w:t xml:space="preserve">We seek comment below on all aspects of the rule’s implementation and on whether the current version of the rule remains necessary in the public interest as a result of competition and to support our other policy goals in today’s radio marketplace.  In addition, we consider how to apply the rule to Nielsen Audio Metro markets that are embedded within larger Nielsen Audio Metro markets, a question the Commission explored in the </w:t>
      </w:r>
      <w:r w:rsidRPr="008917CB">
        <w:rPr>
          <w:i/>
        </w:rPr>
        <w:t>2010/2014 Quadrennial Review Order on Reconsideration</w:t>
      </w:r>
      <w:r>
        <w:t xml:space="preserve"> and </w:t>
      </w:r>
      <w:r>
        <w:t>committed to address further in this proceeding.</w:t>
      </w:r>
      <w:r>
        <w:rPr>
          <w:rStyle w:val="FootnoteReference"/>
        </w:rPr>
        <w:footnoteReference w:id="49"/>
      </w:r>
      <w:r>
        <w:t xml:space="preserve">  We ask commenters to explain in detail and to support with evidence the reasons for any rule changes they recommend.</w:t>
      </w:r>
    </w:p>
    <w:p w:rsidR="00B12C9D" w:rsidP="00B12C9D">
      <w:pPr>
        <w:pStyle w:val="Heading3"/>
      </w:pPr>
      <w:bookmarkStart w:id="16" w:name="_Toc532379625"/>
      <w:r>
        <w:t>Background</w:t>
      </w:r>
      <w:bookmarkEnd w:id="16"/>
    </w:p>
    <w:p w:rsidR="00B12C9D" w:rsidP="00B12C9D">
      <w:pPr>
        <w:pStyle w:val="ParaNum"/>
      </w:pPr>
      <w:r>
        <w:t>The Local Radio Ownership Rule allows an entity to own:  (1) up to eight commercial radio stations in radio markets with at least 45 radio stations, no more than five of which may be in the same service (AM or FM); (2) up to seven commercial radio stations in radio markets with 30-44 radio stations, no more than four of which may be in the same service (AM or FM); (3) up to six commercial radio stations in radio markets with 15-29 radio stations, no more than four of which may be in the same service (AM or FM); and (4) up to five commercial radio stations in radio markets with 14 or fewer radio stations, no more than three of which may be in the same service (AM or FM), provided that the entity does not own more than 50 percent of the radio stations in the market unless the combination comprises not more than one AM and one FM station.</w:t>
      </w:r>
      <w:r>
        <w:rPr>
          <w:rStyle w:val="FootnoteReference"/>
        </w:rPr>
        <w:footnoteReference w:id="50"/>
      </w:r>
      <w:r>
        <w:t xml:space="preserve">  When determining the total number of radio stations within a market, only full-power commercial and noncommercial radio stations are counted</w:t>
      </w:r>
      <w:r w:rsidRPr="00F23862">
        <w:t xml:space="preserve"> </w:t>
      </w:r>
      <w:r>
        <w:t>for purposes of the rule.</w:t>
      </w:r>
      <w:r>
        <w:rPr>
          <w:rStyle w:val="FootnoteReference"/>
        </w:rPr>
        <w:footnoteReference w:id="51"/>
      </w:r>
      <w:r>
        <w:t xml:space="preserve">  Radio markets are defined by Nielsen Audio Metros where applicable, and the contour-overlap methodology is used in areas outside of defined and rated Nielsen Audio Metro markets.</w:t>
      </w:r>
      <w:r>
        <w:rPr>
          <w:rStyle w:val="FootnoteReference"/>
        </w:rPr>
        <w:footnoteReference w:id="52"/>
      </w:r>
      <w:r>
        <w:t xml:space="preserve"> </w:t>
      </w:r>
    </w:p>
    <w:p w:rsidR="00B12C9D" w:rsidP="00B12C9D">
      <w:pPr>
        <w:pStyle w:val="ParaNum"/>
        <w:widowControl/>
      </w:pPr>
      <w:r>
        <w:t>As it has in the past, the Commission concluded in its most recent media ownership review that local radio ownership limits promote competition,</w:t>
      </w:r>
      <w:r>
        <w:rPr>
          <w:rStyle w:val="FootnoteReference"/>
        </w:rPr>
        <w:footnoteReference w:id="53"/>
      </w:r>
      <w:r>
        <w:t xml:space="preserve"> and it found that public interest benefit to be a sufficient basis for retaining the current rule.</w:t>
      </w:r>
      <w:r>
        <w:rPr>
          <w:rStyle w:val="FootnoteReference"/>
        </w:rPr>
        <w:footnoteReference w:id="54"/>
      </w:r>
      <w:r>
        <w:t xml:space="preserve">  Additionally, the Commission affirmed its previous findings that competitive local radio markets help promote viewpoint diversity and localism, and it deemed the rule consistent with the Commission’s goal of promoting minority and female broadcast ownership.</w:t>
      </w:r>
      <w:r>
        <w:rPr>
          <w:rStyle w:val="FootnoteReference"/>
        </w:rPr>
        <w:footnoteReference w:id="55"/>
      </w:r>
      <w:r>
        <w:t xml:space="preserve">  Accordingly, the Commission retained the rule without modification, although it provided several clarifications regarding the rule’s implementation.</w:t>
      </w:r>
      <w:r>
        <w:rPr>
          <w:rStyle w:val="FootnoteReference"/>
        </w:rPr>
        <w:footnoteReference w:id="56"/>
      </w:r>
      <w:r>
        <w:t xml:space="preserve">  The Commission subsequently, on reconsideration, adopted a presumption in favor of waiving the rule for qualifying radio stations within embedded markets (i.e., smaller markets, as defined by Nielsen Audio, that are contained within the boundaries of a larger Nielsen Audio Metro market) where the parent market currently has multiple </w:t>
      </w:r>
      <w:r>
        <w:t>embedded markets (i.e., New York and Washington, DC).</w:t>
      </w:r>
      <w:r>
        <w:rPr>
          <w:rStyle w:val="FootnoteReference"/>
        </w:rPr>
        <w:footnoteReference w:id="57"/>
      </w:r>
      <w:r>
        <w:t xml:space="preserve">  Such a waiver would permit the applicant to comply with ownership limits determined by examining only the embedded market, and not both the embedded and parent markets.  The Commission stated that the presumption would apply pending further consideration of embedded market transactions in this 2018 quadrennial review.</w:t>
      </w:r>
      <w:r>
        <w:rPr>
          <w:rStyle w:val="FootnoteReference"/>
        </w:rPr>
        <w:footnoteReference w:id="58"/>
      </w:r>
      <w:r>
        <w:t xml:space="preserve">  </w:t>
      </w:r>
    </w:p>
    <w:p w:rsidR="00B12C9D" w:rsidP="00B12C9D">
      <w:pPr>
        <w:pStyle w:val="ParaNum"/>
      </w:pPr>
      <w:r>
        <w:t>In anticipation of this 2018 review, NAB submitted a letter to the Chief of the Media Bureau recommending that the Commission relax its radio ownership limits in light of today’s audio marketplace in which, it argues, radio stations compete for both listeners and advertisers with a host of other services, including streaming services, satellite radio, podcasts, Facebook, and YouTube.</w:t>
      </w:r>
      <w:r>
        <w:rPr>
          <w:rStyle w:val="FootnoteReference"/>
        </w:rPr>
        <w:footnoteReference w:id="59"/>
      </w:r>
      <w:r>
        <w:t xml:space="preserve">  NAB suggests allowing an entity in the top 75 Nielsen Audio Metro markets to own or control up to eight commercial FM stations and unlimited AM stations in any of those markets.</w:t>
      </w:r>
      <w:r>
        <w:rPr>
          <w:rStyle w:val="FootnoteReference"/>
        </w:rPr>
        <w:footnoteReference w:id="60"/>
      </w:r>
      <w:r>
        <w:t xml:space="preserve">  NAB also proposes that entities in those markets should be permitted to own up to two additional FM stations if they participated in the Commission’s incubator program.</w:t>
      </w:r>
      <w:r>
        <w:rPr>
          <w:rStyle w:val="FootnoteReference"/>
        </w:rPr>
        <w:footnoteReference w:id="61"/>
      </w:r>
      <w:r>
        <w:t xml:space="preserve">  Finally, NAB proposes eliminating all limits on FM and AM ownership in all other markets.</w:t>
      </w:r>
      <w:r>
        <w:rPr>
          <w:rStyle w:val="FootnoteReference"/>
        </w:rPr>
        <w:footnoteReference w:id="62"/>
      </w:r>
      <w:r>
        <w:t xml:space="preserve">  Below we describe NAB’s arguments and the counterarguments made in response thereto,</w:t>
      </w:r>
      <w:r>
        <w:rPr>
          <w:rStyle w:val="FootnoteReference"/>
        </w:rPr>
        <w:footnoteReference w:id="63"/>
      </w:r>
      <w:r>
        <w:t xml:space="preserve"> and we invite interested parties to comment and to put forth other ideas and proposals.</w:t>
      </w:r>
    </w:p>
    <w:p w:rsidR="00B12C9D" w:rsidP="00B12C9D">
      <w:pPr>
        <w:pStyle w:val="Heading3"/>
      </w:pPr>
      <w:bookmarkStart w:id="17" w:name="_Toc532379626"/>
      <w:r>
        <w:t>Discussion</w:t>
      </w:r>
      <w:bookmarkEnd w:id="17"/>
    </w:p>
    <w:p w:rsidR="00B12C9D" w:rsidP="00B12C9D">
      <w:pPr>
        <w:pStyle w:val="ParaNum"/>
      </w:pPr>
      <w:r>
        <w:t xml:space="preserve">As an overarching matter, we seek comment on whether the current Local Radio Ownership Rule remains necessary in the public interest as the result of competition.  We seek comment specifically on whether there have been any changes in the marketplace since the Commission’s </w:t>
      </w:r>
      <w:r w:rsidRPr="004A1C27">
        <w:rPr>
          <w:i/>
        </w:rPr>
        <w:t>2010/2014 Quadrennial Review Order</w:t>
      </w:r>
      <w:r w:rsidRPr="00CC68B2">
        <w:rPr>
          <w:i/>
        </w:rPr>
        <w:t xml:space="preserve"> </w:t>
      </w:r>
      <w:r>
        <w:t xml:space="preserve">that would affect our consideration of whether the Local Radio Ownership Rule remains necessary in the public interest to promote competition.  We also seek comment on whether the Local Radio Ownership Rule is necessary to promote localism or viewpoint diversity.    </w:t>
      </w:r>
    </w:p>
    <w:p w:rsidR="00B12C9D" w:rsidP="00B12C9D">
      <w:pPr>
        <w:pStyle w:val="ParaNum"/>
        <w:widowControl/>
      </w:pPr>
      <w:r>
        <w:t xml:space="preserve">In the event that we decide to retain the Local Radio Ownership Rule, we will analyze the relevant parts of the rule to examine whether each particular part remains necessary in the public interest as a result of competition or whether it should be modified or eliminated.  To that end, as in prior quadrennial reviews, we seek comment on each of the specific aspects of the rule’s operation, including the relevant product market, market size tiers, numerical limits, and AM/FM subcaps, in order to assess </w:t>
      </w:r>
      <w:r>
        <w:t>whether these subparts remain necessary or whether any or all of them should be modified or eliminated.</w:t>
      </w:r>
      <w:r>
        <w:rPr>
          <w:rStyle w:val="FootnoteReference"/>
        </w:rPr>
        <w:footnoteReference w:id="64"/>
      </w:r>
      <w:r>
        <w:t xml:space="preserve">  </w:t>
      </w:r>
    </w:p>
    <w:p w:rsidR="00B12C9D" w:rsidP="00B12C9D">
      <w:pPr>
        <w:pStyle w:val="ParaNum"/>
      </w:pPr>
      <w:r>
        <w:t>Furthermore, in the event that the rule is retained but modified, we seek comment on whether and how the rule changes should apply to any pending applications.  We also seek comment on whether to make permanent the interim contour-overlap methodology used to determine ownership limits in areas outside the boundaries of defined Nielsen Audio Metro markets.  In addition, we seek comment on the issue of embedded market transactions.  Finally, we seek comment on what effect, if any, our action might have on minority and female ownership.  We ask commenters to support their claims and proposals with as much data and empirical evidence as possible and to discuss both the potential costs and potential benefits of any suggested rule revisions.</w:t>
      </w:r>
    </w:p>
    <w:p w:rsidR="00B12C9D" w:rsidP="00B12C9D">
      <w:pPr>
        <w:pStyle w:val="ParaNum"/>
        <w:widowControl/>
      </w:pPr>
      <w:r>
        <w:t xml:space="preserve">In the </w:t>
      </w:r>
      <w:r>
        <w:rPr>
          <w:i/>
        </w:rPr>
        <w:t>2010/2014</w:t>
      </w:r>
      <w:r w:rsidRPr="005E0173">
        <w:rPr>
          <w:i/>
        </w:rPr>
        <w:t xml:space="preserve"> Quadrennial Review Order</w:t>
      </w:r>
      <w:r>
        <w:t>, the Commission concluded that the broadcast radio listening market remains the relevant product market for purposes of the Local Radio Ownership Rule.</w:t>
      </w:r>
      <w:r>
        <w:rPr>
          <w:rStyle w:val="FootnoteReference"/>
        </w:rPr>
        <w:footnoteReference w:id="65"/>
      </w:r>
      <w:r>
        <w:t xml:space="preserve">  Accordingly, the Commission declined to expand its definition of the market to include non-broadcast audio sources, such as satellite radio and online audio services.</w:t>
      </w:r>
      <w:r>
        <w:rPr>
          <w:rStyle w:val="FootnoteReference"/>
        </w:rPr>
        <w:footnoteReference w:id="66"/>
      </w:r>
      <w:r>
        <w:t xml:space="preserve">  The Commission reached its determination by assessing whether alternate sources of audio programming provide a meaningful substitute for local broadcast radio stations.</w:t>
      </w:r>
      <w:r>
        <w:rPr>
          <w:rStyle w:val="FootnoteReference"/>
        </w:rPr>
        <w:footnoteReference w:id="67"/>
      </w:r>
      <w:r>
        <w:t xml:space="preserve">  The Commission’s analysis centered on the fact that broadcast radio stations provide “free, over-the-air programming tailored to the needs of the stations’ local markets.”</w:t>
      </w:r>
      <w:r>
        <w:rPr>
          <w:rStyle w:val="FootnoteReference"/>
        </w:rPr>
        <w:footnoteReference w:id="68"/>
      </w:r>
      <w:r>
        <w:t xml:space="preserve">  In contrast, satellite radio is a subscription service, online audio requires an Internet connection, and neither typically provides programming responsive to local needs and interests.</w:t>
      </w:r>
      <w:r>
        <w:rPr>
          <w:rStyle w:val="FootnoteReference"/>
        </w:rPr>
        <w:footnoteReference w:id="69"/>
      </w:r>
      <w:r>
        <w:t xml:space="preserve">  </w:t>
      </w:r>
    </w:p>
    <w:p w:rsidR="00B12C9D" w:rsidP="00B12C9D">
      <w:pPr>
        <w:pStyle w:val="ParaNum"/>
      </w:pPr>
      <w:r>
        <w:t>In its recent letter proposing a relaxed radio rule, NAB argues that current ownership limits constrain the ability of radio broadcasters to compete on a level playing field in the digital audio world of 2018, particularly in smaller markets.</w:t>
      </w:r>
      <w:r>
        <w:rPr>
          <w:rStyle w:val="FootnoteReference"/>
        </w:rPr>
        <w:footnoteReference w:id="70"/>
      </w:r>
      <w:r>
        <w:t xml:space="preserve">  NAB suggests that the dominance of broadcast radio has faded alongside streaming services such as Pandora and Spotify, satellite radio, podcasts, Facebook, and YouTube.</w:t>
      </w:r>
      <w:r>
        <w:rPr>
          <w:rStyle w:val="FootnoteReference"/>
        </w:rPr>
        <w:footnoteReference w:id="71"/>
      </w:r>
      <w:r>
        <w:t xml:space="preserve">  NAB posits that the tailoring of needs and interests “now occurs on the basis of specific listeners, not just on the basis of local radio markets.”</w:t>
      </w:r>
      <w:r>
        <w:rPr>
          <w:rStyle w:val="FootnoteReference"/>
        </w:rPr>
        <w:footnoteReference w:id="72"/>
      </w:r>
      <w:r>
        <w:t xml:space="preserve">  It suggests that the pertinent fact for consumers is not where providers of audio services like Sirius XM, Spotify, and Pandora are headquartered but where their services are accessible, which is in the same spaces where consumers can listen to AM/FM radio (e.g., their cars, homes, and offices).</w:t>
      </w:r>
      <w:r>
        <w:rPr>
          <w:rStyle w:val="FootnoteReference"/>
        </w:rPr>
        <w:footnoteReference w:id="73"/>
      </w:r>
      <w:r>
        <w:t xml:space="preserve">  NAB claims that allowing radio station owners to achieve economies of scale and scope would enable them to improve the quality of their informational and entertainment programming.</w:t>
      </w:r>
      <w:r>
        <w:rPr>
          <w:rStyle w:val="FootnoteReference"/>
        </w:rPr>
        <w:footnoteReference w:id="74"/>
      </w:r>
      <w:r>
        <w:t xml:space="preserve">  It argues that “the Commission cannot continue to ignore multiple major sources of competition for both listeners and advertisers in the audio marketplace.”</w:t>
      </w:r>
      <w:r>
        <w:rPr>
          <w:rStyle w:val="FootnoteReference"/>
        </w:rPr>
        <w:footnoteReference w:id="75"/>
      </w:r>
      <w:r>
        <w:t xml:space="preserve">  Connoisseur and </w:t>
      </w:r>
      <w:r>
        <w:t>Townsquare Media, Inc. additionally assert that significant changes in the advertising market have caused considerable harm to local radio.  They claim that “digital competitors like Google and Facebook have significantly affected the local advertising markets, capturing significant shares of local advertising dollars in every radio market.”</w:t>
      </w:r>
      <w:r>
        <w:rPr>
          <w:rStyle w:val="FootnoteReference"/>
        </w:rPr>
        <w:footnoteReference w:id="76"/>
      </w:r>
      <w:r>
        <w:t xml:space="preserve">  They contend that such Internet services enjoy perceived advantages in selling advertising in that they can target advertising to individuals and do need not employ local sales forces.</w:t>
      </w:r>
      <w:r>
        <w:rPr>
          <w:rStyle w:val="FootnoteReference"/>
        </w:rPr>
        <w:footnoteReference w:id="77"/>
      </w:r>
      <w:r>
        <w:t xml:space="preserve">  According to these broadcasters, the appearance of these online competitors has drastically changed the advertising landscape, to the detriment of local broadcast radio. </w:t>
      </w:r>
    </w:p>
    <w:p w:rsidR="00B12C9D" w:rsidP="00B12C9D">
      <w:pPr>
        <w:pStyle w:val="ParaNum"/>
      </w:pPr>
      <w:r>
        <w:t>The Chairman of Radio Ink Magazine responded to NAB’s proposal by arguing that allowing radio broadcasters to buy more stations would not affect their ability to compete with Internet services like Google and Facebook.</w:t>
      </w:r>
      <w:r>
        <w:rPr>
          <w:rStyle w:val="FootnoteReference"/>
        </w:rPr>
        <w:footnoteReference w:id="78"/>
      </w:r>
      <w:r>
        <w:t xml:space="preserve">  He claims that advertisers do not view radio and Internet services as comparable outlets because their approaches to advertising are “so utterly different.”</w:t>
      </w:r>
      <w:r>
        <w:rPr>
          <w:rStyle w:val="FootnoteReference"/>
        </w:rPr>
        <w:footnoteReference w:id="79"/>
      </w:r>
      <w:r>
        <w:t xml:space="preserve">  He attributes any loss in radio revenues to the failure of station owners to persuade advertisers that the distinctive benefits of radio advertising can enhance and supplement online advertising campaigns.</w:t>
      </w:r>
      <w:r>
        <w:rPr>
          <w:rStyle w:val="FootnoteReference"/>
        </w:rPr>
        <w:footnoteReference w:id="80"/>
      </w:r>
      <w:r>
        <w:t xml:space="preserve">  Likewise, iHeartMedia Inc. asserts that “the size of individual station portfolios has little, if any, relationship to the total dollars that </w:t>
      </w:r>
      <w:r w:rsidRPr="000E3D44">
        <w:rPr>
          <w:szCs w:val="22"/>
        </w:rPr>
        <w:t xml:space="preserve">an </w:t>
      </w:r>
      <w:r w:rsidRPr="000E3D44">
        <w:rPr>
          <w:snapToGrid/>
          <w:kern w:val="0"/>
          <w:szCs w:val="22"/>
        </w:rPr>
        <w:t>advertiser allocates to free, over-the-air broadcast radio</w:t>
      </w:r>
      <w:r>
        <w:rPr>
          <w:snapToGrid/>
          <w:kern w:val="0"/>
          <w:szCs w:val="22"/>
        </w:rPr>
        <w:t>.”</w:t>
      </w:r>
      <w:r>
        <w:rPr>
          <w:rStyle w:val="FootnoteReference"/>
          <w:kern w:val="0"/>
          <w:szCs w:val="22"/>
        </w:rPr>
        <w:footnoteReference w:id="81"/>
      </w:r>
      <w:r>
        <w:rPr>
          <w:snapToGrid/>
          <w:kern w:val="0"/>
          <w:szCs w:val="22"/>
        </w:rPr>
        <w:t xml:space="preserve">  iHeartMedia touts the resilience of the broadcast radio industry and observes that radio remains the preferred audio medium for entertainment and local news and information</w:t>
      </w:r>
      <w:r>
        <w:t xml:space="preserve"> because “its focus is local and its impact is personal.”</w:t>
      </w:r>
      <w:r>
        <w:rPr>
          <w:rStyle w:val="FootnoteReference"/>
        </w:rPr>
        <w:footnoteReference w:id="82"/>
      </w:r>
    </w:p>
    <w:p w:rsidR="00B12C9D" w:rsidP="00B12C9D">
      <w:pPr>
        <w:pStyle w:val="ParaNum"/>
      </w:pPr>
      <w:r>
        <w:t>The Commission received several comments in response to its request for information regarding the status of competition in the marketplace for the delivery of audio programming.</w:t>
      </w:r>
      <w:r>
        <w:rPr>
          <w:rStyle w:val="FootnoteReference"/>
        </w:rPr>
        <w:footnoteReference w:id="83"/>
      </w:r>
      <w:r>
        <w:t xml:space="preserve">  While we examined those comments within the context of our preparation of a biennial marketplace report for Congress, we also hereby incorporate those comments into the record of this proceeding and invite commenters to review and respond to those comments.  For example, NAB provides information and statistical data purporting to show how fragmented the listening market has become.</w:t>
      </w:r>
      <w:r>
        <w:rPr>
          <w:rStyle w:val="FootnoteReference"/>
        </w:rPr>
        <w:footnoteReference w:id="84"/>
      </w:r>
      <w:r>
        <w:t xml:space="preserve">  A coalition of radio broadcasters agrees with NAB that new marketplace entrants have disrupted the traditional radio market and claims that, despite data showing that 93 percent of Americans still listen to AM and FM radio weekly, the amount of their radio listening has shrunk as they divide their time among other audio providers, which, it notes, are not subject to the same regulatory burdens as radio licensees.</w:t>
      </w:r>
      <w:r>
        <w:rPr>
          <w:rStyle w:val="FootnoteReference"/>
        </w:rPr>
        <w:footnoteReference w:id="85"/>
      </w:r>
      <w:r>
        <w:t xml:space="preserve">  In addition, other radio station owners assert that the Commission’s ownership limits prevent them from achieving the </w:t>
      </w:r>
      <w:r>
        <w:t>scale and scope they need to compete with satellite radio and online audio services.</w:t>
      </w:r>
      <w:r>
        <w:rPr>
          <w:rStyle w:val="FootnoteReference"/>
        </w:rPr>
        <w:footnoteReference w:id="86"/>
      </w:r>
      <w:r>
        <w:t xml:space="preserve">  On the other hand, coalitions representing musicians, recording artists, and representatives of the music industry argue in that proceeding that AM/FM radio continues to dominate the audio marketplace and that history shows that consolidation in the radio industry harms small broadcasters and leads to the homogenization of programming.</w:t>
      </w:r>
      <w:r>
        <w:rPr>
          <w:rStyle w:val="FootnoteReference"/>
        </w:rPr>
        <w:footnoteReference w:id="87"/>
      </w:r>
      <w:r>
        <w:t xml:space="preserve">  REC Networks claims that unlike free, over-the-air radio, online audio services are unavailable to many Americans due to cost or lack of broadband coverage.</w:t>
      </w:r>
      <w:r>
        <w:rPr>
          <w:rStyle w:val="FootnoteReference"/>
        </w:rPr>
        <w:footnoteReference w:id="88"/>
      </w:r>
      <w:r>
        <w:t xml:space="preserve"> </w:t>
      </w:r>
    </w:p>
    <w:p w:rsidR="00B12C9D" w:rsidP="00B12C9D">
      <w:pPr>
        <w:pStyle w:val="ParaNum"/>
        <w:widowControl/>
      </w:pPr>
      <w:r>
        <w:t xml:space="preserve">We seek comment on these different perspectives of the state of the audio marketplace and on whether and how they should affect our understanding of the market for purposes of the Local Radio Ownership Rule. </w:t>
      </w:r>
      <w:r w:rsidRPr="00172047">
        <w:t xml:space="preserve"> </w:t>
      </w:r>
      <w:r>
        <w:t>In November 2017, the Department of Justice concluded that “[m]any local and national advertisers consider English-language broadcast radio to be a particularly effective or important means to reach their desired customers, and do not consider advertisements on other media, including non-English-language broadcast radio, digital music streaming services (such as Pandora), and television, to be reasonable substitutes.”</w:t>
      </w:r>
      <w:r>
        <w:rPr>
          <w:rStyle w:val="FootnoteReference"/>
        </w:rPr>
        <w:footnoteReference w:id="89"/>
      </w:r>
      <w:r>
        <w:t xml:space="preserve">  Should we take this finding into account and, if so, how? </w:t>
      </w:r>
    </w:p>
    <w:p w:rsidR="00B12C9D" w:rsidP="00B12C9D">
      <w:pPr>
        <w:pStyle w:val="ParaNum"/>
        <w:widowControl/>
      </w:pPr>
      <w:r>
        <w:rPr>
          <w:i/>
        </w:rPr>
        <w:t xml:space="preserve">Market Definition.  </w:t>
      </w:r>
      <w:r>
        <w:t xml:space="preserve">We seek comment on whether we should continue to consider only local broadcast radio stations for purposes of the Local Radio Ownership Rule or whether we should revise our market definition to include other audio sources.  Do local radio stations face direct competition today from satellite radio and online audio services?  To what extent has radio’s ability to attract listeners and advertisers been affected by satellite radio and online audio?  Do advertisers view satellite radio and audio streaming services as substitutes for advertising on broadcast radio?  How should the impact of Internet services like Google and Facebook on local advertising markets factor into our consideration of the Local Radio Ownership Rule?  Do consumers view non-broadcast audio services as meaningful substitutes for local radio stations?  Do non-broadcast audio services provide programming that responds to the needs and interests of local markets?  Does radio’s free, over-the-air availability make it unique or non-substitutable in the audio marketplace?  To what extent, if any, should we take into account the deployment of In Band On Channel (IBOC) digital radio technology and its role in enabling station owners to expand their program offerings and increase their economies of scale and scope?  If we were to revise our market definition, what non-broadcast sources should we include, and how should we count them or otherwise factor them into our rule for purposes of determining market size tiers and numerical limits?  Could or should we subtract from any consideration of non-broadcast sources the amount of online audio that listeners in a local market stream from over-the-air radio broadcasts?  How would an expanded definition better serve our policy goals, if at all? </w:t>
      </w:r>
    </w:p>
    <w:p w:rsidR="00B12C9D" w:rsidP="00B12C9D">
      <w:pPr>
        <w:pStyle w:val="ParaNum"/>
      </w:pPr>
      <w:r>
        <w:rPr>
          <w:i/>
        </w:rPr>
        <w:t>Market Size Tiers.</w:t>
      </w:r>
      <w:r>
        <w:t xml:space="preserve">  In the </w:t>
      </w:r>
      <w:r>
        <w:rPr>
          <w:i/>
        </w:rPr>
        <w:t>2010/2014 Quadrennial Review Order</w:t>
      </w:r>
      <w:r>
        <w:t>, the Commission retained the Local Radio Ownership Rule’s longstanding approach of imposing numerical ownership limits based on market size tiers and of determining market size by counting the number of commercial and noncommercial radio stations within the market.</w:t>
      </w:r>
      <w:r>
        <w:rPr>
          <w:rStyle w:val="FootnoteReference"/>
        </w:rPr>
        <w:footnoteReference w:id="90"/>
      </w:r>
      <w:r>
        <w:t xml:space="preserve">  The Commission declined to modify the rule to </w:t>
      </w:r>
      <w:r>
        <w:t>treat embedded markets as separate markets,</w:t>
      </w:r>
      <w:r>
        <w:rPr>
          <w:rStyle w:val="FootnoteReference"/>
        </w:rPr>
        <w:footnoteReference w:id="91"/>
      </w:r>
      <w:r>
        <w:t xml:space="preserve"> but it later eased its position by adopting a presumptive waiver standard to apply in the interim until it could examine the issue further in this 2018 quadrennial review.</w:t>
      </w:r>
      <w:r>
        <w:rPr>
          <w:rStyle w:val="FootnoteReference"/>
        </w:rPr>
        <w:footnoteReference w:id="92"/>
      </w:r>
      <w:r>
        <w:t xml:space="preserve">  We address the issue of embedded markets below. </w:t>
      </w:r>
    </w:p>
    <w:p w:rsidR="00B12C9D" w:rsidP="00B12C9D">
      <w:pPr>
        <w:pStyle w:val="ParaNum"/>
        <w:widowControl/>
      </w:pPr>
      <w:r>
        <w:t>In addition to retaining the rule’s approach of using market size tiers, the Commission also kept in place the demarcations of the current rule’s four tiers, which draw the lines among Nielsen Audio Metro markets at 45 plus, 30-44, 15-29, and 14 or fewer radio stations.</w:t>
      </w:r>
      <w:r>
        <w:rPr>
          <w:rStyle w:val="FootnoteReference"/>
        </w:rPr>
        <w:footnoteReference w:id="93"/>
      </w:r>
      <w:r>
        <w:t xml:space="preserve">  These same demarcations have existed since Congress established them in 1996,</w:t>
      </w:r>
      <w:r>
        <w:rPr>
          <w:rStyle w:val="FootnoteReference"/>
        </w:rPr>
        <w:footnoteReference w:id="94"/>
      </w:r>
      <w:r>
        <w:t xml:space="preserve"> although it was not until the </w:t>
      </w:r>
      <w:r w:rsidRPr="00A54A83">
        <w:rPr>
          <w:i/>
        </w:rPr>
        <w:t>2002 Biennial Review Order</w:t>
      </w:r>
      <w:r>
        <w:t xml:space="preserve"> that the Commission included noncommercial radio stations in a market’s station totals.</w:t>
      </w:r>
      <w:r>
        <w:rPr>
          <w:rStyle w:val="FootnoteReference"/>
        </w:rPr>
        <w:footnoteReference w:id="95"/>
      </w:r>
      <w:r>
        <w:t xml:space="preserve">  We seek comment on whether the Commission should retain its approach of using market size tiers, and if so, also on whether the current demarcations should remain in place.  We also seek comment on whether there is any reason to discontinue including noncommercial radio stations in market counts.  How well has the rule’s tiered structure served the rule’s purposes, and does it promote the policy goals of competition, localism, and viewpoint diversity in today’s radio marketplace?  NAB’s proposal would divide radio markets into only two tiers—the top 75 Nielsen Audio Metro markets and all other markets (i.e., Nielsen Audio Metro markets outside of the top 75 and all undefined markets).</w:t>
      </w:r>
      <w:r>
        <w:rPr>
          <w:rStyle w:val="FootnoteReference"/>
        </w:rPr>
        <w:footnoteReference w:id="96"/>
      </w:r>
      <w:r>
        <w:t xml:space="preserve">  What would be the advantages and disadvantages of creating a different number of tiers, including moving from a four-tiered to a two-tiered approach?  If we were to collapse four tiers into two, should we draw the line where NAB proposes?  We invite commenters to offer alternative proposals for a tiered approach or for a different type of approach altogether.  For example, i</w:t>
      </w:r>
      <w:r w:rsidRPr="00B96B66">
        <w:t xml:space="preserve">f we </w:t>
      </w:r>
      <w:r>
        <w:t xml:space="preserve">were to </w:t>
      </w:r>
      <w:r w:rsidRPr="00B96B66">
        <w:t>change from tiers based on station counts, as first set by Congress, would it make more sense to consider tiers based on advertising</w:t>
      </w:r>
      <w:r w:rsidRPr="00D33CCD">
        <w:rPr>
          <w:b/>
          <w:i/>
        </w:rPr>
        <w:t xml:space="preserve"> </w:t>
      </w:r>
      <w:r w:rsidRPr="00B96B66">
        <w:t xml:space="preserve">revenue, or some other factor, rather than use Nielsen’s </w:t>
      </w:r>
      <w:r>
        <w:t xml:space="preserve">Audio </w:t>
      </w:r>
      <w:r w:rsidRPr="00B96B66">
        <w:t>market rankings</w:t>
      </w:r>
      <w:r>
        <w:t xml:space="preserve"> as NAB proposes</w:t>
      </w:r>
      <w:r w:rsidRPr="00B96B66">
        <w:t xml:space="preserve">, which are based on population? </w:t>
      </w:r>
      <w:r>
        <w:t xml:space="preserve"> Would advertising revenue provide a sufficiently stable measurement and how would it fit with a view of the broadcast radio listening market as the relevant product market?  How would the Commission and potential applicants obtain reliable advertising revenue data for all radio stations?  We also reiterate our request in the preceding section for comment on whether and how we should factor non-broadcast audio sources in any tiered approach.  For example:  (1) if we modify our current tiers or create new tiers, should we account for variations across markets in broadband access and adoption rates; (2) should we treat fixed and mobile or wired and wireless broadband as the same; and (3) how granularly can and should we measure listening rates for satellite radio and online audio services?</w:t>
      </w:r>
    </w:p>
    <w:p w:rsidR="00B12C9D" w:rsidP="00B12C9D">
      <w:pPr>
        <w:pStyle w:val="ParaNum"/>
        <w:widowControl/>
      </w:pPr>
      <w:r>
        <w:t>In addition, should any modifications to the current tiered approach affect how we apply the rule to areas outside the boundaries of defined Nielsen Audio Metro markets, and if so, how?  NAB proposes that we remove all radio ownership limits for undefined areas.</w:t>
      </w:r>
      <w:r>
        <w:rPr>
          <w:rStyle w:val="FootnoteReference"/>
        </w:rPr>
        <w:footnoteReference w:id="97"/>
      </w:r>
      <w:r>
        <w:t xml:space="preserve">  We seek comment on whether NAB’s proposed approach would be consistent with our policy goals or would lead to excessive consolidation in those areas, and what alternative approach we could take in areas of the country that are undefined by Nielsen Audio.  When it adopted the Arbitron Metro (now Nielsen Audio Metro) market definition for purposes of the radio rule in the </w:t>
      </w:r>
      <w:r w:rsidRPr="00FB22FC">
        <w:rPr>
          <w:i/>
        </w:rPr>
        <w:t>2002 Biennial Review Order</w:t>
      </w:r>
      <w:r>
        <w:t>, the Commission stated at the time that the contour-overlap methodology, with slight revisions, would continue to apply to undefined markets on an interim basis.</w:t>
      </w:r>
      <w:r>
        <w:rPr>
          <w:rStyle w:val="FootnoteReference"/>
        </w:rPr>
        <w:footnoteReference w:id="98"/>
      </w:r>
      <w:r>
        <w:t xml:space="preserve">  That methodology remains in place today and has been employed </w:t>
      </w:r>
      <w:r>
        <w:t>successfully for years.  Although the Commission was critical of the methodology in 2002, it declined to examine or revise the methodology in its most recent ownership review and saw no reason to revisit its approach in that proceeding.</w:t>
      </w:r>
      <w:r>
        <w:rPr>
          <w:rStyle w:val="FootnoteReference"/>
        </w:rPr>
        <w:footnoteReference w:id="99"/>
      </w:r>
      <w:r>
        <w:t xml:space="preserve">  The Commission found insufficient grounds for an argument that the interim methodology permitted too much consolidation in certain markets.</w:t>
      </w:r>
      <w:r>
        <w:rPr>
          <w:rStyle w:val="FootnoteReference"/>
        </w:rPr>
        <w:footnoteReference w:id="100"/>
      </w:r>
      <w:r>
        <w:t xml:space="preserve">  It pointed to the Commission’s initial position that the interim approach was well-understood and that a case-by-case analysis would produce uncertainty.</w:t>
      </w:r>
      <w:r>
        <w:rPr>
          <w:rStyle w:val="FootnoteReference"/>
        </w:rPr>
        <w:footnoteReference w:id="101"/>
      </w:r>
      <w:r>
        <w:t xml:space="preserve">  We seek comment on whether our current approach is in fact the most effective and practical approach, and to that end, whether we therefore should make permanent the interim contour-overlap methodology long used to determine ownership limits in areas outside the boundaries of defined Nielsen Audio Metro markets.  Any commenters opposed to our adopting the contour-overlap methodology on a permanent basis for undefined areas should explain their reasoning fully and propose a detailed alternative that is supported by evidence.</w:t>
      </w:r>
    </w:p>
    <w:p w:rsidR="00B12C9D" w:rsidP="00B12C9D">
      <w:pPr>
        <w:pStyle w:val="ParaNum"/>
      </w:pPr>
      <w:r>
        <w:rPr>
          <w:i/>
        </w:rPr>
        <w:t>Numerical Limits</w:t>
      </w:r>
      <w:r>
        <w:t xml:space="preserve">.  If the Commission decides that the rule is still necessary, are existing limits restricting the number of radio stations an entity may own within a radio market set appropriately for each of the market size tiers?  In the </w:t>
      </w:r>
      <w:r w:rsidRPr="00A54A83">
        <w:rPr>
          <w:i/>
        </w:rPr>
        <w:t>2010/2014 Quadrennial Review Order</w:t>
      </w:r>
      <w:r>
        <w:t>, the Commission declined to relax the rule’s numerical limits.</w:t>
      </w:r>
      <w:r>
        <w:rPr>
          <w:rStyle w:val="FootnoteReference"/>
        </w:rPr>
        <w:footnoteReference w:id="102"/>
      </w:r>
      <w:r>
        <w:t xml:space="preserve">  Nor did the Commission tighten the limits.</w:t>
      </w:r>
      <w:r>
        <w:rPr>
          <w:rStyle w:val="FootnoteReference"/>
        </w:rPr>
        <w:footnoteReference w:id="103"/>
      </w:r>
    </w:p>
    <w:p w:rsidR="00B12C9D" w:rsidP="00B12C9D">
      <w:pPr>
        <w:pStyle w:val="ParaNum"/>
      </w:pPr>
      <w:r>
        <w:t>We seek comment on whether it is necessary as a result of competition to maintain the numerical limits for any or all of the market size tiers.  Do the current limits adequately prevent a radio broadcaster from amassing excessive local market power?  Conversely, do they permit sufficient growth to enable radio broadcasters to obtain the additional assets they may need to improve the quality of their service?  Commenters should provide concrete, actual examples of markets where the current limits are either too restrictive or too lenient, explain how those examples typify other markets in that tier, and specify the benefits to those markets that would be gained by revising the limits.</w:t>
      </w:r>
    </w:p>
    <w:p w:rsidR="00B12C9D" w:rsidP="00B12C9D">
      <w:pPr>
        <w:pStyle w:val="ParaNum"/>
      </w:pPr>
      <w:r>
        <w:t>We also seek comment on whether we should account for the different signal strengths of radio stations by weighing different classes of radio stations differently for purposes of applying the numerical limits.  For example, we could consider a Class A AM station to be worth two stations, whereas a Class D AM station could be counted as one half a station.  What would be the costs and benefits of such an approach?  What values should we accord the different classes of radio stations if we were to adopt such an approach?  We note that the Commission has previously considered a proposal to assign different values to radio stations of different classes for purposes of determining market size tiers.</w:t>
      </w:r>
      <w:r>
        <w:rPr>
          <w:rStyle w:val="FootnoteReference"/>
        </w:rPr>
        <w:footnoteReference w:id="104"/>
      </w:r>
      <w:r>
        <w:t xml:space="preserve">  We seek comment on the idea of assigning varying weights to different classes of radio stations when applying the numerical limits.       </w:t>
      </w:r>
    </w:p>
    <w:p w:rsidR="00B12C9D" w:rsidP="00B12C9D">
      <w:pPr>
        <w:pStyle w:val="ParaNum"/>
      </w:pPr>
      <w:r>
        <w:t>In addition, we seek comment on NAB’s suggestion to maintain the eight-station limit for the largest markets, but to apply it only to FM stations, thereby allowing unlimited AM ownership.</w:t>
      </w:r>
      <w:r>
        <w:rPr>
          <w:rStyle w:val="FootnoteReference"/>
        </w:rPr>
        <w:footnoteReference w:id="105"/>
      </w:r>
      <w:r>
        <w:t xml:space="preserve">  NAB further proposes allowing an owner in the largest markets to acquire up to two additional FM stations if it participates in the Commission’s recently adopted incubator program.</w:t>
      </w:r>
      <w:r>
        <w:rPr>
          <w:rStyle w:val="FootnoteReference"/>
        </w:rPr>
        <w:footnoteReference w:id="106"/>
      </w:r>
      <w:r>
        <w:t xml:space="preserve">  NAB would identify </w:t>
      </w:r>
      <w:r>
        <w:t>the largest markets as the top 75 Nielsen Audio Metro markets.</w:t>
      </w:r>
      <w:r>
        <w:rPr>
          <w:rStyle w:val="FootnoteReference"/>
        </w:rPr>
        <w:footnoteReference w:id="107"/>
      </w:r>
      <w:r>
        <w:t xml:space="preserve">  For all other markets, NAB urges the elimination of numerical limits for both FM and AM services.</w:t>
      </w:r>
      <w:r>
        <w:rPr>
          <w:rStyle w:val="FootnoteReference"/>
        </w:rPr>
        <w:footnoteReference w:id="108"/>
      </w:r>
      <w:r>
        <w:t xml:space="preserve">  We seek comment on all aspects of NAB’s recommended changes to the rule’s numerical limits and invite commenters to offer any alternative ideas or proposals.  What would be the likely effects of removing FM limits in most markets?  What would be the likely effects of allowing unlimited AM ownership across all markets?  Would such action, on balance, promote competition by enabling owners to increase their assets, or would it harm competition and/or ownership diversity by driving smaller broadcasters, including minority and women owners, from the marketplace?  How would viewpoint diversity and localism be affected?  The reward for successfully incubating a radio station under the Commission’s recently adopted program is a waiver to exceed the applicable ownership limit by one radio station, and participants may use no more than one reward waiver per market.</w:t>
      </w:r>
      <w:r>
        <w:rPr>
          <w:rStyle w:val="FootnoteReference"/>
        </w:rPr>
        <w:footnoteReference w:id="109"/>
      </w:r>
      <w:r>
        <w:t xml:space="preserve">  Regarding NAB’s proposal with respect to the top 75 markets, it is unclear whether NAB is suggesting that the successful incubation of one station should result in a waiver for two stations or that the successful incubation of two stations should entitle an owner to acquire two stations above the limit within the same market.</w:t>
      </w:r>
      <w:r>
        <w:rPr>
          <w:rStyle w:val="FootnoteReference"/>
        </w:rPr>
        <w:footnoteReference w:id="110"/>
      </w:r>
      <w:r>
        <w:t xml:space="preserve">  </w:t>
      </w:r>
      <w:r w:rsidRPr="00C7406F">
        <w:t>Either way,</w:t>
      </w:r>
      <w:r>
        <w:rPr>
          <w:b/>
        </w:rPr>
        <w:t xml:space="preserve"> </w:t>
      </w:r>
      <w:r>
        <w:t>we seek comment on NAB’s suggestion, noting that NAB submitted its proposal before the Commission had adopted the incubator program and established the final terms of the reward waiver.</w:t>
      </w:r>
    </w:p>
    <w:p w:rsidR="00B12C9D" w:rsidP="00B12C9D">
      <w:pPr>
        <w:pStyle w:val="ParaNum"/>
      </w:pPr>
      <w:r>
        <w:rPr>
          <w:i/>
        </w:rPr>
        <w:t>AM/FM Subcaps.</w:t>
      </w:r>
      <w:r>
        <w:t xml:space="preserve">  Relatedly, we seek comment on whether it is necessary to retain the rule’s AM/FM subcaps, which limit the number of radio stations from the same service (i.e., AM or FM) that an entity may own in a single market.  Currently, a broadcaster may not own more than five AM or five FM stations in markets in the largest market tier, four AM or four FM stations in markets in the two middle-sized tiers, or three AM or three FM stations in markets in the smallest tier.</w:t>
      </w:r>
      <w:r>
        <w:rPr>
          <w:rStyle w:val="FootnoteReference"/>
        </w:rPr>
        <w:footnoteReference w:id="111"/>
      </w:r>
      <w:r>
        <w:t xml:space="preserve">  The Commission deemed it appropriate to retain the existing subcaps in the </w:t>
      </w:r>
      <w:r>
        <w:rPr>
          <w:i/>
        </w:rPr>
        <w:t>2010/2014 Quadrennial Review Order</w:t>
      </w:r>
      <w:r>
        <w:t>.</w:t>
      </w:r>
      <w:r>
        <w:rPr>
          <w:rStyle w:val="FootnoteReference"/>
        </w:rPr>
        <w:footnoteReference w:id="112"/>
      </w:r>
      <w:r>
        <w:t xml:space="preserve">  </w:t>
      </w:r>
    </w:p>
    <w:p w:rsidR="00B12C9D" w:rsidP="00B12C9D">
      <w:pPr>
        <w:pStyle w:val="ParaNum"/>
      </w:pPr>
      <w:r>
        <w:t xml:space="preserve">We seek comment on whether the Commission’s previous reasons for maintaining subcaps are still valid.  For example, have subcaps promoted market entry?  Are subcaps still necessary given the Commission’s efforts to revitalize AM radio?  In other words, has the disparity between the FM and AM services been narrowed to an extent that we could consider relaxing or eliminating the subcaps?  Since its 2010/2014 ownership review, the Commission has granted over 1,000 applications </w:t>
      </w:r>
      <w:r w:rsidRPr="001B6F14">
        <w:t>to acquire and relocate FM translators to rebroadcast AM stations</w:t>
      </w:r>
      <w:r>
        <w:t>.</w:t>
      </w:r>
      <w:r>
        <w:rPr>
          <w:rStyle w:val="FootnoteReference"/>
        </w:rPr>
        <w:footnoteReference w:id="113"/>
      </w:r>
      <w:r>
        <w:t xml:space="preserve">  Should the expanded and improved coverage of those AM stations affect our analysis of subcaps?  Conversely, data from the 2010/2014 review indicated that the transition to digital radio actually exacerbated the divide between the services because AM stations have been slower to adopt digital radio technology.</w:t>
      </w:r>
      <w:r>
        <w:rPr>
          <w:rStyle w:val="FootnoteReference"/>
        </w:rPr>
        <w:footnoteReference w:id="114"/>
      </w:r>
      <w:r>
        <w:t xml:space="preserve">  What is the import of the current status of the digital radio transition for purposes of the subcap issue?  If subcaps continue to promote competition or ownership diversity, or otherwise serve the public interest, are they currently set at the appropriate levels?     </w:t>
      </w:r>
    </w:p>
    <w:p w:rsidR="00B12C9D" w:rsidP="00B12C9D">
      <w:pPr>
        <w:pStyle w:val="ParaNum"/>
        <w:widowControl/>
      </w:pPr>
      <w:r>
        <w:t>If we adopt any revisions to the rule, should the modified rule include AM or FM subcaps, and if so, how should they be applied?  NAB’s proposed changes to the rule essentially would eliminate AM subcaps in all markets and retain FM subcaps in only the top 75 markets.</w:t>
      </w:r>
      <w:r>
        <w:rPr>
          <w:rStyle w:val="FootnoteReference"/>
        </w:rPr>
        <w:footnoteReference w:id="115"/>
      </w:r>
      <w:r>
        <w:t xml:space="preserve">  NAB does not explain why it would distinguish the FM service for restricted ownership in the top markets rather than limit the total number of radio stations in those markets irrespective of service,</w:t>
      </w:r>
      <w:r>
        <w:rPr>
          <w:rStyle w:val="FootnoteReference"/>
        </w:rPr>
        <w:footnoteReference w:id="116"/>
      </w:r>
      <w:r>
        <w:t xml:space="preserve"> and we seek comment on whether the proposal is supported by technical or marketplace differences between the services.  In a letter filed shortly after NAB submitted its proposal, the owner of a network of AM stations argues that removing and/or relaxing FM subcaps would harm the AM service by facilitating the migration of content to the FM service.</w:t>
      </w:r>
      <w:r>
        <w:rPr>
          <w:rStyle w:val="FootnoteReference"/>
        </w:rPr>
        <w:footnoteReference w:id="117"/>
      </w:r>
      <w:r>
        <w:t xml:space="preserve">  Concurring with that view, iHeartMedia urges the Commission to loosen restrictions on AM ownership while retaining the existing FM subcaps.</w:t>
      </w:r>
      <w:r>
        <w:rPr>
          <w:rStyle w:val="FootnoteReference"/>
        </w:rPr>
        <w:footnoteReference w:id="118"/>
      </w:r>
      <w:r>
        <w:t xml:space="preserve">  It argues that doing so would be consistent with the Commission’s efforts to revitalize AM radio.</w:t>
      </w:r>
      <w:r>
        <w:rPr>
          <w:rStyle w:val="FootnoteReference"/>
        </w:rPr>
        <w:footnoteReference w:id="119"/>
      </w:r>
      <w:r>
        <w:t xml:space="preserve">  Taking into consideration these competing positions, we seek comment on what limits, if any, should apply to AM and FM ownership, whether or not we retain the current market size tiers and numerical limits, and on whether and how any proposed revisions to the rule should include such limits.  </w:t>
      </w:r>
    </w:p>
    <w:p w:rsidR="00B12C9D" w:rsidP="00B12C9D">
      <w:pPr>
        <w:pStyle w:val="ParaNum"/>
      </w:pPr>
      <w:r>
        <w:rPr>
          <w:i/>
        </w:rPr>
        <w:t>Embedded Markets</w:t>
      </w:r>
      <w:r>
        <w:t>.  To the extent that the Local Radio Ownership Rule is retained, how should it apply on a going-forward basis to radio stations in markets that contain multiple embedded markets?  Multiple embedded markets currently exist only in the New York and Washington, DC markets.</w:t>
      </w:r>
      <w:r>
        <w:rPr>
          <w:rStyle w:val="FootnoteReference"/>
        </w:rPr>
        <w:footnoteReference w:id="120"/>
      </w:r>
      <w:r>
        <w:t xml:space="preserve">  Owners of radio stations in embedded markets must comply with the rule’s numerical limits for both the embedded market and the parent market.    </w:t>
      </w:r>
    </w:p>
    <w:p w:rsidR="00B12C9D" w:rsidP="00B12C9D">
      <w:pPr>
        <w:pStyle w:val="ParaNum"/>
        <w:widowControl/>
      </w:pPr>
      <w:r>
        <w:t xml:space="preserve">In response to the </w:t>
      </w:r>
      <w:r w:rsidRPr="00132420">
        <w:rPr>
          <w:i/>
        </w:rPr>
        <w:t>2010/2014 Quadrennial Review FNPRM</w:t>
      </w:r>
      <w:r>
        <w:t>, Connoisseur proposed that where a parent market encompasses multiple embedded markets, the ownership analysis for an acquisition in one embedded market should not include stations owned in the other embedded markets within the same parent market.</w:t>
      </w:r>
      <w:r>
        <w:rPr>
          <w:rStyle w:val="FootnoteReference"/>
        </w:rPr>
        <w:footnoteReference w:id="121"/>
      </w:r>
      <w:r>
        <w:t xml:space="preserve">  Connoisseur argued that embedded markets within the same parent market should be treated separately because they may reach different populations and the radio stations within different embedded markets have little or no contour overlap.</w:t>
      </w:r>
      <w:r>
        <w:rPr>
          <w:rStyle w:val="FootnoteReference"/>
        </w:rPr>
        <w:footnoteReference w:id="122"/>
      </w:r>
      <w:r>
        <w:t xml:space="preserve">  Citing its longstanding reliance on the market analysis of Nielsen Audio (formerly Arbitron), the Commission initially declined to adopt Connoisseur’s proposal but stated that it would entertain market-specific waiver requests under Section 1.3 when the BIA listings in a parent market are not an accurate reflection of competition by embedded market stations.</w:t>
      </w:r>
      <w:r>
        <w:rPr>
          <w:rStyle w:val="FootnoteReference"/>
        </w:rPr>
        <w:footnoteReference w:id="123"/>
      </w:r>
      <w:r>
        <w:t xml:space="preserve">  On reconsideration, the Commission affirmed its earlier decision not to adopt an across-the-board change to its embedded market methodology.</w:t>
      </w:r>
      <w:r>
        <w:rPr>
          <w:rStyle w:val="FootnoteReference"/>
        </w:rPr>
        <w:footnoteReference w:id="124"/>
      </w:r>
      <w:r>
        <w:t xml:space="preserve">  However, it adopted a waiver standard whereby embedded market transactions in markets that then had multiple embedded markets (i.e., New York and Washington, DC) would be presumed to be in the public interest if they met a two-prong test </w:t>
      </w:r>
      <w:r>
        <w:t>that Connoisseur proposed on reconsideration.</w:t>
      </w:r>
      <w:r>
        <w:rPr>
          <w:rStyle w:val="FootnoteReference"/>
        </w:rPr>
        <w:footnoteReference w:id="125"/>
      </w:r>
      <w:r>
        <w:t xml:space="preserve">  First, as with the Commission’s current methodology for embedded markets, a radio station owner seeking a rule waiver must comply with the applicable numerical ownership limit in each embedded market using the Nielsen Audio Metro methodology.</w:t>
      </w:r>
      <w:r>
        <w:rPr>
          <w:rStyle w:val="FootnoteReference"/>
        </w:rPr>
        <w:footnoteReference w:id="126"/>
      </w:r>
      <w:r>
        <w:t xml:space="preserve">  Second, instead of then also demonstrating compliance with the applicable numerical ownership limit based on the Commission’s parent market analysis, the applicant must show that it also complies with the ownership limits as determined by the contour-overlap methodology ordinarily applicable in undefined markets.</w:t>
      </w:r>
      <w:r>
        <w:rPr>
          <w:rStyle w:val="FootnoteReference"/>
        </w:rPr>
        <w:footnoteReference w:id="127"/>
      </w:r>
      <w:r>
        <w:t xml:space="preserve">  If the applicant can demonstrate compliance with the applicable ownership limits under both prongs of this test, then there is a presumption that a waiver of the Local Radio Ownership Rule serves the public interest.</w:t>
      </w:r>
      <w:r>
        <w:rPr>
          <w:rStyle w:val="FootnoteReference"/>
        </w:rPr>
        <w:footnoteReference w:id="128"/>
      </w:r>
    </w:p>
    <w:p w:rsidR="00B12C9D" w:rsidP="00B12C9D">
      <w:pPr>
        <w:pStyle w:val="ParaNum"/>
      </w:pPr>
      <w:r>
        <w:t>The Commission adopted this presumptive waiver standard on an interim basis pending the outcome of this 2018 ownership review.</w:t>
      </w:r>
      <w:r>
        <w:rPr>
          <w:rStyle w:val="FootnoteReference"/>
        </w:rPr>
        <w:footnoteReference w:id="129"/>
      </w:r>
      <w:r>
        <w:t xml:space="preserve">  Accordingly, we seek comment on how to address the issue of embedded market transactions going forward.  Should we make this presumptive waiver standard permanent?  Should we modify it in any way?  Should it apply to all current and future markets that contain multiple embedded markets, or should we limit its application to the two existing parent markets with multiple embedded markets?  How do competition, diversity, and localism considerations affect the question?  We note that embedded market designations can be updated and modified by Nielsen Audio as market conditions change, and that Nielsen Audio’s radio station customers can request the designation of a new embedded market.</w:t>
      </w:r>
      <w:r>
        <w:rPr>
          <w:rStyle w:val="FootnoteReference"/>
        </w:rPr>
        <w:footnoteReference w:id="130"/>
      </w:r>
      <w:r>
        <w:t xml:space="preserve">  How could we guard against purchasers taking advantage of an anticipated designation of a new embedded market in a manner that would thwart the purpose of the rule’s ownership limits?</w:t>
      </w:r>
      <w:r>
        <w:rPr>
          <w:rStyle w:val="FootnoteReference"/>
        </w:rPr>
        <w:footnoteReference w:id="131"/>
      </w:r>
      <w:r>
        <w:t xml:space="preserve">  For example, in the event that Nielsen Audio creates new, additional situations with multiple embedded markets within a larger parent market, should there be a waiting period before applicants can take advantage of that change in circumstance, similar to the waiting period applicable to changes in the stations reported as “home” to a Nielsen Audio Metro market?  If we adopt any change to our approach to embedded markets, should we apply it also to markets with a single embedded market?  Is there a distinction between markets with one embedded market and markets with multiple embedded markets such that we should vary our approach between those situations?</w:t>
      </w:r>
    </w:p>
    <w:p w:rsidR="00B12C9D" w:rsidP="00B12C9D">
      <w:pPr>
        <w:pStyle w:val="ParaNum"/>
      </w:pPr>
      <w:r>
        <w:t xml:space="preserve">In the </w:t>
      </w:r>
      <w:r w:rsidRPr="003E40D6">
        <w:rPr>
          <w:i/>
        </w:rPr>
        <w:t>2010/2014 Quadrennial Review Order on Reconsideration</w:t>
      </w:r>
      <w:r>
        <w:t>, the Commission expressed its intent to consider also in this proceeding an alternate proposal previously set forth by NAB.</w:t>
      </w:r>
      <w:r>
        <w:rPr>
          <w:rStyle w:val="FootnoteReference"/>
        </w:rPr>
        <w:footnoteReference w:id="132"/>
      </w:r>
      <w:r>
        <w:t xml:space="preserve">  NAB suggests that stations licensed in embedded markets with signal coverage of less than 50 percent of the parent market’s population not be considered part of the parent market for purposes of local ownership limit calculations.</w:t>
      </w:r>
      <w:r>
        <w:rPr>
          <w:rStyle w:val="FootnoteReference"/>
        </w:rPr>
        <w:footnoteReference w:id="133"/>
      </w:r>
      <w:r>
        <w:t xml:space="preserve">  We seek comment on whether we should adopt such an approach or any other across-the-board rule changes regarding embedded markets.  Is there a need to implement a rule change that carves out a blanket exception to our current methodology given that there are only two parent markets containing multiple embedded markets?  Or is a permanent presumptive waiver standard </w:t>
      </w:r>
      <w:r>
        <w:t xml:space="preserve">an adequate solution given how narrow its use is likely to be?  We seek comment on the potential advantages and disadvantages of these various approaches and invite proposals for other ways to address embedded market transactions.  </w:t>
      </w:r>
    </w:p>
    <w:p w:rsidR="00B12C9D" w:rsidP="00B12C9D">
      <w:pPr>
        <w:pStyle w:val="ParaNum"/>
      </w:pPr>
      <w:r>
        <w:rPr>
          <w:i/>
        </w:rPr>
        <w:t>Minority and Female Ownership</w:t>
      </w:r>
      <w:r>
        <w:t xml:space="preserve">.  In the </w:t>
      </w:r>
      <w:r>
        <w:rPr>
          <w:i/>
        </w:rPr>
        <w:t>2010/2014 Quadrennial Review Order</w:t>
      </w:r>
      <w:r>
        <w:t>, the Commission found the current Local Radio Ownership Rule to be consistent with its goal of promoting minority and female ownership of broadcast radio stations.</w:t>
      </w:r>
      <w:r>
        <w:rPr>
          <w:rStyle w:val="FootnoteReference"/>
        </w:rPr>
        <w:footnoteReference w:id="134"/>
      </w:r>
      <w:r>
        <w:t xml:space="preserve">  The Commission observed that the rule, while competition-based, indirectly promotes viewpoint diversity by facilitating “the presence of independently owned broadcast radio stations in the local market, thereby increasing the likelihood of a variety of viewpoints and preserving ownership opportunities for new entrants.”</w:t>
      </w:r>
      <w:r>
        <w:rPr>
          <w:rStyle w:val="FootnoteReference"/>
        </w:rPr>
        <w:footnoteReference w:id="135"/>
      </w:r>
      <w:r>
        <w:t xml:space="preserve">  It pointed to AM/FM subcaps, and in particular AM subcaps, as elements of the rule that foster new entry.</w:t>
      </w:r>
      <w:r>
        <w:rPr>
          <w:rStyle w:val="FootnoteReference"/>
        </w:rPr>
        <w:footnoteReference w:id="136"/>
      </w:r>
      <w:r>
        <w:t xml:space="preserve">  However, the Commission chose not to tighten the rule because, among other reasons, available data did not show that stricter limits would increase minority and female radio ownership.</w:t>
      </w:r>
      <w:r>
        <w:rPr>
          <w:rStyle w:val="FootnoteReference"/>
        </w:rPr>
        <w:footnoteReference w:id="137"/>
      </w:r>
      <w:r>
        <w:t xml:space="preserve">  Similarly, the Commission found no indication of a causal link between Congress’ loosening of local radio limits in 1996 and the increase in ownership diversity since then that would justify loosening the rules.</w:t>
      </w:r>
      <w:r>
        <w:rPr>
          <w:rStyle w:val="FootnoteReference"/>
        </w:rPr>
        <w:footnoteReference w:id="138"/>
      </w:r>
      <w:r>
        <w:t xml:space="preserve">  We seek comment on whether any new information has become available that would cause us to reevaluate the Commission’s conclusions</w:t>
      </w:r>
      <w:r w:rsidRPr="00043726">
        <w:t xml:space="preserve"> </w:t>
      </w:r>
      <w:r>
        <w:t xml:space="preserve">in the </w:t>
      </w:r>
      <w:r>
        <w:rPr>
          <w:i/>
        </w:rPr>
        <w:t>2010/2014 Quadrennial Review Order</w:t>
      </w:r>
      <w:r>
        <w:t>.  We also seek comment on how retaining or modifying the Local Radio Ownership R</w:t>
      </w:r>
      <w:r w:rsidRPr="00D7336F">
        <w:t xml:space="preserve">ule </w:t>
      </w:r>
      <w:r>
        <w:t>might affect broadcast radio ownership and entry by small business owners, if at all.</w:t>
      </w:r>
    </w:p>
    <w:p w:rsidR="00B12C9D" w:rsidP="00B12C9D">
      <w:pPr>
        <w:pStyle w:val="ParaNum"/>
      </w:pPr>
      <w:r>
        <w:rPr>
          <w:i/>
        </w:rPr>
        <w:t>Cost-Benefit</w:t>
      </w:r>
      <w:r>
        <w:t xml:space="preserve"> </w:t>
      </w:r>
      <w:r>
        <w:rPr>
          <w:i/>
        </w:rPr>
        <w:t xml:space="preserve">Analysis.  </w:t>
      </w:r>
      <w:r>
        <w:t>Finally, we seek comment on how to compare the benefits and costs associated with retaining, modifying, or eliminating the Local Radio Ownership Rule.  We seek comments that explain the anticipated economic impact of any proposed action and, where possible, quantify benefits and costs of proposed actions and alternatives.  Does the current Local Radio Ownership Rule create benefits or costs for any segment of consumers?  Does the rule create benefits or costs for any segment of the industry that should be counted as social benefits or costs rather than transfers from one segment of the industry to another?  How does the rule create these benefits and costs, and what evidence supports this explanation?  How can the value of these benefits and costs be measured for parties receiving them?  What factors create uncertainty about the existence or size of these benefits and costs, and how should the Commission’s economic analysis take these uncertainties into account?</w:t>
      </w:r>
    </w:p>
    <w:p w:rsidR="00B12C9D" w:rsidRPr="006A1E18" w:rsidP="00B12C9D">
      <w:pPr>
        <w:pStyle w:val="ParaNum"/>
        <w:widowControl/>
      </w:pPr>
      <w:r>
        <w:t xml:space="preserve">How would elimination of the Local Radio Ownership Rule alter any benefits and costs resulting from the current rule?  What are the comparative benefits and costs of modifying the rule rather than eliminating it entirely?  For instance, would loosening the current local radio ownership restrictions lead to any consumer benefits, such as increased competition, choice, innovation, or investment in programming?  What amount of additional scale above the current ownership limit would be required to realize such benefits? </w:t>
      </w:r>
      <w:bookmarkStart w:id="18" w:name="_Hlk529449012"/>
      <w:r>
        <w:t xml:space="preserve"> Would these benefits conflict with, or come at a cost to, our traditional policy goals of competition, localism, or viewpoint diversity, and if so, how should we measure and evaluate these tradeoffs?</w:t>
      </w:r>
      <w:bookmarkEnd w:id="18"/>
      <w:r>
        <w:t xml:space="preserve">  What are the comparative benefits and costs of tightening the current restrictions?  We seek comments that support claims about benefits and costs with relevant economic theory and evidence, including empirical analysis and data.</w:t>
      </w:r>
    </w:p>
    <w:p w:rsidR="00B12C9D" w:rsidP="00B12C9D">
      <w:pPr>
        <w:pStyle w:val="Heading2"/>
        <w:widowControl/>
      </w:pPr>
      <w:bookmarkStart w:id="19" w:name="_Toc527713806"/>
      <w:bookmarkStart w:id="20" w:name="_Toc532379627"/>
      <w:bookmarkStart w:id="21" w:name="_Toc532379666"/>
      <w:r>
        <w:t>Local Television Ownership Rule</w:t>
      </w:r>
      <w:bookmarkEnd w:id="19"/>
      <w:bookmarkEnd w:id="20"/>
      <w:bookmarkEnd w:id="21"/>
    </w:p>
    <w:p w:rsidR="00B12C9D" w:rsidP="00B12C9D">
      <w:pPr>
        <w:pStyle w:val="Heading3"/>
        <w:widowControl/>
      </w:pPr>
      <w:bookmarkStart w:id="22" w:name="_Toc532379628"/>
      <w:r>
        <w:t>Introduction</w:t>
      </w:r>
      <w:bookmarkEnd w:id="22"/>
    </w:p>
    <w:p w:rsidR="00B12C9D" w:rsidP="00B12C9D">
      <w:pPr>
        <w:pStyle w:val="ParaNum"/>
        <w:widowControl/>
      </w:pPr>
      <w:r>
        <w:t xml:space="preserve">The Local Television Ownership Rule limits the number of full power television stations an entity may own within the same local market.    We seek comment below on all aspects of the rule’s implementation and on whether the current version of the rule is necessary to serve the public interest in the current television marketplace.  We seek comment on whether the rule continues to foster competition, the stated primary goal of the rule, and thus should be retained or whether the promotion of localism or viewpoint diversity also provides justification for retaining the rule.  Further, we seek comment on whether and how the rule should be modified to take into account changes in both the broadcast television marketplace and the video programming distribution industry.  </w:t>
      </w:r>
      <w:bookmarkStart w:id="23" w:name="_Hlk529462308"/>
      <w:r>
        <w:t xml:space="preserve">If the rule is modified, we seek comment on whether and how the rule changes should apply to any pending applications.  </w:t>
      </w:r>
      <w:bookmarkEnd w:id="23"/>
      <w:r>
        <w:t>We ask commenters to explain in detail and to support the reasons for any proposed modification to the Local Television Ownership Rule with evidence and data.</w:t>
      </w:r>
    </w:p>
    <w:p w:rsidR="00B12C9D" w:rsidP="00B12C9D">
      <w:pPr>
        <w:pStyle w:val="Heading3"/>
      </w:pPr>
      <w:bookmarkStart w:id="24" w:name="_Toc532379629"/>
      <w:r>
        <w:t>Background</w:t>
      </w:r>
      <w:bookmarkEnd w:id="24"/>
    </w:p>
    <w:p w:rsidR="00B12C9D" w:rsidP="00B12C9D">
      <w:pPr>
        <w:pStyle w:val="ParaNum"/>
      </w:pPr>
      <w:r>
        <w:t>The Local Television Ownership Rule provides that an entity may own up to two television stations in the same Nielsen Designated Market Area (DMA)</w:t>
      </w:r>
      <w:r>
        <w:rPr>
          <w:rStyle w:val="FootnoteReference"/>
        </w:rPr>
        <w:footnoteReference w:id="139"/>
      </w:r>
      <w:r>
        <w:t xml:space="preserve"> if:  (1) the digital noise limited service contours (NLSCs) of the stations (as determined by Section</w:t>
      </w:r>
      <w:r w:rsidRPr="00D85793">
        <w:t xml:space="preserve"> </w:t>
      </w:r>
      <w:r>
        <w:t>73.622(e) of the Commission’s rules) do not overlap; or (2) a</w:t>
      </w:r>
      <w:r w:rsidRPr="00574AAC">
        <w:t>t the time the application to acquire or construct the station(s) is filed</w:t>
      </w:r>
      <w:r>
        <w:t xml:space="preserve">, at least one of the stations is not ranked among the top-four stations in the DMA, </w:t>
      </w:r>
      <w:r w:rsidRPr="001025D1">
        <w:t>based on the most recent all-day (9 a.m.-midnight) audience share, as measured by Nielsen Media Research or by any comparable professional, accepted audience ratings service</w:t>
      </w:r>
      <w:r>
        <w:t>.</w:t>
      </w:r>
      <w:r>
        <w:rPr>
          <w:rStyle w:val="FootnoteReference"/>
        </w:rPr>
        <w:footnoteReference w:id="140"/>
      </w:r>
      <w:r>
        <w:t xml:space="preserve">  With respect to the latter provision—the Top-Four Prohibition—an</w:t>
      </w:r>
      <w:r w:rsidRPr="002C5A9E">
        <w:t xml:space="preserve"> applicant</w:t>
      </w:r>
      <w:r>
        <w:t xml:space="preserve"> may request that the Commission examine the facts and circumstances in a market regarding a particular transaction, and based on the showing made by the applicant in a particular case, make</w:t>
      </w:r>
      <w:r w:rsidRPr="002C5A9E">
        <w:t xml:space="preserve"> a finding that permitting an entity to directly or indirectly own, operate, or control two </w:t>
      </w:r>
      <w:r>
        <w:t xml:space="preserve">top-four </w:t>
      </w:r>
      <w:r w:rsidRPr="002C5A9E">
        <w:t>television stations licensed in the same DMA would serve the public interest, convenience, and necessity.</w:t>
      </w:r>
      <w:r>
        <w:rPr>
          <w:rStyle w:val="FootnoteReference"/>
        </w:rPr>
        <w:footnoteReference w:id="141"/>
      </w:r>
      <w:r w:rsidRPr="002C5A9E">
        <w:t xml:space="preserve"> </w:t>
      </w:r>
      <w:r>
        <w:t xml:space="preserve"> </w:t>
      </w:r>
      <w:r w:rsidRPr="002C5A9E">
        <w:t>The Commissio</w:t>
      </w:r>
      <w:r>
        <w:t xml:space="preserve">n </w:t>
      </w:r>
      <w:r w:rsidRPr="002C5A9E">
        <w:t>consider</w:t>
      </w:r>
      <w:r>
        <w:t>s showings that the Top-</w:t>
      </w:r>
      <w:r w:rsidRPr="002C5A9E">
        <w:t>Four Prohibition should not apply due to specific circumstances in a local market or with respect to a specific transaction on a case-by-case basis.</w:t>
      </w:r>
      <w:r>
        <w:rPr>
          <w:rStyle w:val="FootnoteReference"/>
        </w:rPr>
        <w:footnoteReference w:id="142"/>
      </w:r>
    </w:p>
    <w:p w:rsidR="00B12C9D" w:rsidP="00B12C9D">
      <w:pPr>
        <w:pStyle w:val="ParaNum"/>
      </w:pPr>
      <w:r>
        <w:t>The Commission concluded in its most recent media ownership review that local television ownership limits remained necessary to promote competition but found on reconsideration that the rule required modification to ensure that television stations were not prevented from achieving</w:t>
      </w:r>
      <w:r w:rsidRPr="00CF4C79">
        <w:t xml:space="preserve"> </w:t>
      </w:r>
      <w:r>
        <w:t>efficiencies that might</w:t>
      </w:r>
      <w:r w:rsidRPr="00CF4C79">
        <w:t xml:space="preserve"> improve their ability to serve their local markets in the face of an evolving video marketplace</w:t>
      </w:r>
      <w:r w:rsidRPr="00753832">
        <w:t>.</w:t>
      </w:r>
      <w:r>
        <w:rPr>
          <w:rStyle w:val="FootnoteReference"/>
        </w:rPr>
        <w:footnoteReference w:id="143"/>
      </w:r>
      <w:r>
        <w:t xml:space="preserve">  In particular, the Commission repealed the previous provision of the rule requiring </w:t>
      </w:r>
      <w:r w:rsidRPr="00CF4C79">
        <w:t xml:space="preserve">at least eight independently owned television stations </w:t>
      </w:r>
      <w:r>
        <w:t xml:space="preserve">to </w:t>
      </w:r>
      <w:r w:rsidRPr="00CF4C79">
        <w:t xml:space="preserve">remain in </w:t>
      </w:r>
      <w:r>
        <w:t>a</w:t>
      </w:r>
      <w:r w:rsidRPr="00CF4C79">
        <w:t xml:space="preserve"> DMA</w:t>
      </w:r>
      <w:r>
        <w:t xml:space="preserve"> after any station acquisition in the DMA.</w:t>
      </w:r>
      <w:r>
        <w:rPr>
          <w:rStyle w:val="FootnoteReference"/>
        </w:rPr>
        <w:footnoteReference w:id="144"/>
      </w:r>
      <w:r>
        <w:t xml:space="preserve">  The Commission found that this Eight-Voices test was unsupported by the record or </w:t>
      </w:r>
      <w:r>
        <w:t>reasoned analysis and was no longer necessary in the public interest.</w:t>
      </w:r>
      <w:r>
        <w:rPr>
          <w:rStyle w:val="FootnoteReference"/>
        </w:rPr>
        <w:footnoteReference w:id="145"/>
      </w:r>
      <w:r>
        <w:t xml:space="preserve">  The Commission also added flexibility to the application of the Top-Four Prohibition by adopting the aforementioned case-by-case analysis.</w:t>
      </w:r>
      <w:r>
        <w:rPr>
          <w:rStyle w:val="FootnoteReference"/>
        </w:rPr>
        <w:footnoteReference w:id="146"/>
      </w:r>
    </w:p>
    <w:p w:rsidR="00B12C9D" w:rsidP="00B12C9D">
      <w:pPr>
        <w:pStyle w:val="Heading3"/>
      </w:pPr>
      <w:bookmarkStart w:id="25" w:name="_Toc532379630"/>
      <w:r>
        <w:t>Discussion</w:t>
      </w:r>
      <w:bookmarkEnd w:id="25"/>
    </w:p>
    <w:p w:rsidR="00B12C9D" w:rsidP="00B12C9D">
      <w:pPr>
        <w:pStyle w:val="ParaNum"/>
        <w:widowControl/>
      </w:pPr>
      <w:r>
        <w:t>As an initial matter, w</w:t>
      </w:r>
      <w:r w:rsidRPr="00613166">
        <w:t>e seek comment on whether the</w:t>
      </w:r>
      <w:r>
        <w:t xml:space="preserve"> current version of the Local Television Ownership Rule is necessary in the public interest as a result of competition.  We note that the video marketplace continues to evolve rapidly.</w:t>
      </w:r>
      <w:r>
        <w:rPr>
          <w:rStyle w:val="FootnoteReference"/>
        </w:rPr>
        <w:footnoteReference w:id="147"/>
      </w:r>
      <w:r>
        <w:t xml:space="preserve">  Broadcast</w:t>
      </w:r>
      <w:r w:rsidRPr="0062277A">
        <w:t xml:space="preserve">ers in earlier </w:t>
      </w:r>
      <w:r>
        <w:t>quadrennial review</w:t>
      </w:r>
      <w:r w:rsidRPr="0062277A">
        <w:t xml:space="preserve"> proceeding</w:t>
      </w:r>
      <w:r>
        <w:t>s have argued that local television ownership restrictions prevent them from competing effectively in the current video programming marketplace.</w:t>
      </w:r>
      <w:r>
        <w:rPr>
          <w:rStyle w:val="FootnoteReference"/>
        </w:rPr>
        <w:footnoteReference w:id="148"/>
      </w:r>
      <w:r>
        <w:t xml:space="preserve">  However, other commenters have supported rete</w:t>
      </w:r>
      <w:r w:rsidRPr="00583FB6">
        <w:t>n</w:t>
      </w:r>
      <w:r>
        <w:t>tion of</w:t>
      </w:r>
      <w:r w:rsidRPr="00583FB6">
        <w:t xml:space="preserve"> the </w:t>
      </w:r>
      <w:r>
        <w:t>restrictions</w:t>
      </w:r>
      <w:r w:rsidRPr="00583FB6">
        <w:t xml:space="preserve"> because of the </w:t>
      </w:r>
      <w:r>
        <w:t>asserted</w:t>
      </w:r>
      <w:r w:rsidRPr="00583FB6">
        <w:t xml:space="preserve"> need to prevent excessive consolidation of television stations</w:t>
      </w:r>
      <w:r>
        <w:t xml:space="preserve"> and the unique nature of free, over-the-air broadcast television stations operating on spectrum licensed by the Commission for the benefit of the public.</w:t>
      </w:r>
      <w:r>
        <w:rPr>
          <w:rStyle w:val="FootnoteReference"/>
        </w:rPr>
        <w:footnoteReference w:id="149"/>
      </w:r>
      <w:r>
        <w:t xml:space="preserve">  We seek comment on how </w:t>
      </w:r>
      <w:r w:rsidRPr="00753832">
        <w:t>development</w:t>
      </w:r>
      <w:r>
        <w:t>s</w:t>
      </w:r>
      <w:r w:rsidRPr="00753832">
        <w:t xml:space="preserve"> </w:t>
      </w:r>
      <w:r>
        <w:t>in the video programming industry that have emerged or continued since the last quadrennial review have affected whether the Local Television Ownership Rule is necessary as a result of competition and to promote localism and viewpoint diversity among local broadcast television stations.</w:t>
      </w:r>
    </w:p>
    <w:p w:rsidR="00B12C9D" w:rsidP="00B12C9D">
      <w:pPr>
        <w:pStyle w:val="ParaNum"/>
      </w:pPr>
      <w:bookmarkStart w:id="26" w:name="_Hlk527537715"/>
      <w:r>
        <w:t xml:space="preserve">The Commission stated in the </w:t>
      </w:r>
      <w:r w:rsidRPr="009A4059">
        <w:rPr>
          <w:i/>
        </w:rPr>
        <w:t>2010/2014 Quadrennial Review Order on Reconsideration</w:t>
      </w:r>
      <w:r>
        <w:t xml:space="preserve"> th</w:t>
      </w:r>
      <w:r w:rsidRPr="00BB3426">
        <w:t xml:space="preserve">at, </w:t>
      </w:r>
      <w:r>
        <w:t xml:space="preserve">based </w:t>
      </w:r>
      <w:r w:rsidRPr="00BB3426">
        <w:t>on the record</w:t>
      </w:r>
      <w:r>
        <w:t xml:space="preserve"> in that proceeding</w:t>
      </w:r>
      <w:r w:rsidRPr="00BB3426">
        <w:t>, a rule focused on preserving competition among local</w:t>
      </w:r>
      <w:r>
        <w:t xml:space="preserve"> broadcast television stations wa</w:t>
      </w:r>
      <w:r w:rsidRPr="00BB3426">
        <w:t>s still warranted.</w:t>
      </w:r>
      <w:r>
        <w:rPr>
          <w:rStyle w:val="FootnoteReference"/>
        </w:rPr>
        <w:footnoteReference w:id="150"/>
      </w:r>
      <w:r w:rsidRPr="00BB3426">
        <w:t xml:space="preserve"> </w:t>
      </w:r>
      <w:r>
        <w:t xml:space="preserve"> In particular, the Commission found that the rule remained necessary to promote competition among broadcast stations in local television viewing markets.</w:t>
      </w:r>
      <w:r>
        <w:rPr>
          <w:rStyle w:val="FootnoteReference"/>
        </w:rPr>
        <w:footnoteReference w:id="151"/>
      </w:r>
      <w:r>
        <w:t xml:space="preserve">  The Commission has found that such competition leads stations to invest in better and more locally tailored programming and to compete for advertising revenue and retransmission consent fees.</w:t>
      </w:r>
      <w:r>
        <w:rPr>
          <w:rStyle w:val="FootnoteReference"/>
        </w:rPr>
        <w:footnoteReference w:id="152"/>
      </w:r>
      <w:r>
        <w:t xml:space="preserve">  We seek comment on whether promoting competition among television stations in local viewing markets continues to be the proper framework within which to consider the rule, and if so, what forms of competition we should take into account under such a framework.  For instance, how, if at all, should we consider competition among television stations for:  viewers, advertisers, retransmission consent fees, network affiliation, the provision of local news or other programming, the production or acquisition of programming, innovation, or any other form of competition?</w:t>
      </w:r>
    </w:p>
    <w:p w:rsidR="00B12C9D" w:rsidP="00B12C9D">
      <w:pPr>
        <w:pStyle w:val="ParaNum"/>
        <w:widowControl/>
      </w:pPr>
      <w:r>
        <w:t>We also seek comment on whether the Local Television Ownership Rule is necessary to promote localism or viewpoint diversity.  The Commission has previously stated that a competition-based rule, while not designed specifically to promote localism or viewpoint diversity, may still have such an effect.</w:t>
      </w:r>
      <w:r>
        <w:rPr>
          <w:rStyle w:val="FootnoteReference"/>
        </w:rPr>
        <w:footnoteReference w:id="153"/>
      </w:r>
      <w:r>
        <w:t xml:space="preserve">  Has our prior reliance on competition as the primary policy goal of the Local Television Ownership Rule concomitantly served as a proxy for preserving a certain level of localism or viewpoint </w:t>
      </w:r>
      <w:r>
        <w:t>diversity in local television markets that might otherwise be lost were we to find the rule no longer necessary for competition purposes?</w:t>
      </w:r>
    </w:p>
    <w:p w:rsidR="00B12C9D" w:rsidP="00B12C9D">
      <w:pPr>
        <w:pStyle w:val="ParaNum"/>
      </w:pPr>
      <w:r>
        <w:t xml:space="preserve"> In particular, we seek comment on whether a competition-based Local Television Ownership Rule promotes the production or provision of local programming.  Localism has been a cornerstone of the Commission’s broadcast regulation for decades.</w:t>
      </w:r>
      <w:r>
        <w:rPr>
          <w:rStyle w:val="FootnoteReference"/>
        </w:rPr>
        <w:footnoteReference w:id="154"/>
      </w:r>
      <w:r>
        <w:t xml:space="preserve">  The Commission has consistently found that broadcast licensees have an obligation to air programming that is responsive to the needs and interests of their communities of license.</w:t>
      </w:r>
      <w:r>
        <w:rPr>
          <w:rStyle w:val="FootnoteReference"/>
        </w:rPr>
        <w:footnoteReference w:id="155"/>
      </w:r>
      <w:r>
        <w:t xml:space="preserve">  Does promoting competition among broadcast stations incentivize stations to produce and improve local programming?  Could or does competition from non-broadcast video sources, which have no local programming requirements, create the same incentives to produce and improve local programming? </w:t>
      </w:r>
    </w:p>
    <w:p w:rsidR="00B12C9D" w:rsidP="00B12C9D">
      <w:pPr>
        <w:pStyle w:val="ParaNum"/>
      </w:pPr>
      <w:r>
        <w:t>In the event that the Commission decides to retain the Local Television Ownership Rule, we will analyze the relevant parts of the rule to examine whether each particular provision similarly remains necessary in the public interest as a result of competition or whether it should be modified or eliminated.  To that end, we seek comment on specific aspects of the rule’s operation, including the relevant product market, numerical limits, and the Top-Four Prohibition, in order to assess whether these subparts remain necessary or whether any or all of them should be modified or eliminated.  We also seek comment on whether developments in the video programming industry involving multicasting, satellite stations, low power stations, and the next generation transmission standard have any implications on the Local Television Ownership Rule or its subparts.</w:t>
      </w:r>
    </w:p>
    <w:p w:rsidR="00B12C9D" w:rsidP="00B12C9D">
      <w:pPr>
        <w:pStyle w:val="ParaNum"/>
      </w:pPr>
      <w:r w:rsidRPr="006A393F">
        <w:rPr>
          <w:i/>
        </w:rPr>
        <w:t>Market</w:t>
      </w:r>
      <w:r>
        <w:rPr>
          <w:i/>
        </w:rPr>
        <w:t xml:space="preserve"> Definition</w:t>
      </w:r>
      <w:r>
        <w:t>.  We seek comment on the appropriate product market and market participants to consider, including whether the market for review of the L</w:t>
      </w:r>
      <w:r w:rsidRPr="00613166">
        <w:t xml:space="preserve">ocal </w:t>
      </w:r>
      <w:r>
        <w:t>T</w:t>
      </w:r>
      <w:r w:rsidRPr="00613166">
        <w:t xml:space="preserve">elevision </w:t>
      </w:r>
      <w:r>
        <w:t>Ownership R</w:t>
      </w:r>
      <w:r w:rsidRPr="00613166">
        <w:t xml:space="preserve">ule should include more than </w:t>
      </w:r>
      <w:r>
        <w:t xml:space="preserve">broadcast </w:t>
      </w:r>
      <w:r w:rsidRPr="00613166">
        <w:t>video programming</w:t>
      </w:r>
      <w:r>
        <w:t>.</w:t>
      </w:r>
      <w:r>
        <w:rPr>
          <w:rStyle w:val="FootnoteReference"/>
        </w:rPr>
        <w:footnoteReference w:id="156"/>
      </w:r>
      <w:r>
        <w:t xml:space="preserve">  The Commission stated in the </w:t>
      </w:r>
      <w:r w:rsidRPr="009A4059">
        <w:rPr>
          <w:i/>
        </w:rPr>
        <w:t>2010/2014 Quadrennial Review Order on Reconsideration</w:t>
      </w:r>
      <w:r>
        <w:t xml:space="preserve"> that finding </w:t>
      </w:r>
      <w:r w:rsidRPr="001A0F4F">
        <w:t>a rule focused on preserving competition among local</w:t>
      </w:r>
      <w:r>
        <w:t xml:space="preserve"> broadcast television stations wa</w:t>
      </w:r>
      <w:r w:rsidRPr="001A0F4F">
        <w:t xml:space="preserve">s still warranted </w:t>
      </w:r>
      <w:r>
        <w:t xml:space="preserve">did not mean </w:t>
      </w:r>
      <w:r w:rsidRPr="001A0F4F">
        <w:t>that changes outside the local broadcast television market should</w:t>
      </w:r>
      <w:r>
        <w:t xml:space="preserve"> not factor into the Commission’</w:t>
      </w:r>
      <w:r w:rsidRPr="001A0F4F">
        <w:t xml:space="preserve">s assessment of the </w:t>
      </w:r>
      <w:r>
        <w:t>Local Television Ownership Rule or prevent the Commission from making adjustments to account for marketplace changes.</w:t>
      </w:r>
      <w:r>
        <w:rPr>
          <w:rStyle w:val="FootnoteReference"/>
        </w:rPr>
        <w:footnoteReference w:id="157"/>
      </w:r>
      <w:r>
        <w:t xml:space="preserve">  We seek comment on relevant marketplace changes and whether and how we should take such changes into account.</w:t>
      </w:r>
    </w:p>
    <w:p w:rsidR="00B12C9D" w:rsidP="00B12C9D">
      <w:pPr>
        <w:pStyle w:val="ParaNum"/>
        <w:widowControl/>
      </w:pPr>
      <w:bookmarkEnd w:id="26"/>
      <w:r>
        <w:t>We also seek comment on whether</w:t>
      </w:r>
      <w:r w:rsidRPr="00613166">
        <w:t xml:space="preserve"> </w:t>
      </w:r>
      <w:r>
        <w:t xml:space="preserve">and to what extent </w:t>
      </w:r>
      <w:r w:rsidRPr="00753832">
        <w:t>non</w:t>
      </w:r>
      <w:r>
        <w:t>-</w:t>
      </w:r>
      <w:r w:rsidRPr="00753832">
        <w:t xml:space="preserve">broadcast </w:t>
      </w:r>
      <w:r>
        <w:t xml:space="preserve">sources of </w:t>
      </w:r>
      <w:r w:rsidRPr="00753832">
        <w:t>video programm</w:t>
      </w:r>
      <w:r>
        <w:t>ing</w:t>
      </w:r>
      <w:r w:rsidRPr="00753832">
        <w:t xml:space="preserve"> </w:t>
      </w:r>
      <w:r>
        <w:t>should be considered competitors to broadcast television stations.  The Commission concluded in the previous quadrennial review proceeding that non-broadcast video offerings</w:t>
      </w:r>
      <w:r w:rsidRPr="00950912">
        <w:t xml:space="preserve"> do not serve as meaningful substitutes for local broadcast television</w:t>
      </w:r>
      <w:r>
        <w:t>.</w:t>
      </w:r>
      <w:r>
        <w:rPr>
          <w:rStyle w:val="FootnoteReference"/>
        </w:rPr>
        <w:footnoteReference w:id="158"/>
      </w:r>
      <w:r>
        <w:t xml:space="preserve">  The Commission noted that v</w:t>
      </w:r>
      <w:r w:rsidRPr="00950912">
        <w:t xml:space="preserve">ideo programming delivered by </w:t>
      </w:r>
      <w:r>
        <w:t>multichannel video programming distributors (</w:t>
      </w:r>
      <w:r w:rsidRPr="00950912">
        <w:t>MVPDs</w:t>
      </w:r>
      <w:r>
        <w:t>)</w:t>
      </w:r>
      <w:r w:rsidRPr="00950912">
        <w:t xml:space="preserve"> </w:t>
      </w:r>
      <w:r>
        <w:t>is generally uniform across all markets</w:t>
      </w:r>
      <w:r w:rsidRPr="00950912">
        <w:t xml:space="preserve">, as is </w:t>
      </w:r>
      <w:r>
        <w:t xml:space="preserve">programming provided by </w:t>
      </w:r>
      <w:r w:rsidRPr="00950912">
        <w:t xml:space="preserve">online video </w:t>
      </w:r>
      <w:r>
        <w:t>distributors (OVDs)</w:t>
      </w:r>
      <w:r w:rsidRPr="00950912">
        <w:t>.</w:t>
      </w:r>
      <w:r>
        <w:rPr>
          <w:rStyle w:val="FootnoteReference"/>
        </w:rPr>
        <w:footnoteReference w:id="159"/>
      </w:r>
      <w:r>
        <w:t xml:space="preserve"> </w:t>
      </w:r>
      <w:r w:rsidRPr="00950912">
        <w:t xml:space="preserve"> Unlike local broadcast stations, </w:t>
      </w:r>
      <w:r>
        <w:t>MVPDs and OVDs</w:t>
      </w:r>
      <w:r w:rsidRPr="00950912">
        <w:t xml:space="preserve"> </w:t>
      </w:r>
      <w:r>
        <w:t>were deemed</w:t>
      </w:r>
      <w:r w:rsidRPr="00950912">
        <w:t xml:space="preserve"> not likely to make programming decisions based on </w:t>
      </w:r>
      <w:r w:rsidRPr="00950912">
        <w:t>conditions or preferences in local markets</w:t>
      </w:r>
      <w:r>
        <w:t>.</w:t>
      </w:r>
      <w:r>
        <w:rPr>
          <w:rStyle w:val="FootnoteReference"/>
        </w:rPr>
        <w:footnoteReference w:id="160"/>
      </w:r>
      <w:r>
        <w:t xml:space="preserve">  The Commission</w:t>
      </w:r>
      <w:r w:rsidRPr="00BB3426">
        <w:t xml:space="preserve"> emphasize</w:t>
      </w:r>
      <w:r>
        <w:t>d, however, that the</w:t>
      </w:r>
      <w:r w:rsidRPr="00BB3426">
        <w:t>s</w:t>
      </w:r>
      <w:r>
        <w:t>e</w:t>
      </w:r>
      <w:r w:rsidRPr="00BB3426">
        <w:t xml:space="preserve"> conclusion</w:t>
      </w:r>
      <w:r>
        <w:t>s</w:t>
      </w:r>
      <w:r w:rsidRPr="00BB3426">
        <w:t xml:space="preserve"> could change in a future proceeding with a different record</w:t>
      </w:r>
      <w:r>
        <w:t>.</w:t>
      </w:r>
      <w:r>
        <w:rPr>
          <w:rStyle w:val="FootnoteReference"/>
        </w:rPr>
        <w:footnoteReference w:id="161"/>
      </w:r>
    </w:p>
    <w:p w:rsidR="00B12C9D" w:rsidP="00B12C9D">
      <w:pPr>
        <w:pStyle w:val="ParaNum"/>
      </w:pPr>
      <w:r>
        <w:t>In light of the evolving video marketplace, we seek comment on these prior findings.  Do consumers</w:t>
      </w:r>
      <w:r w:rsidRPr="00613166">
        <w:t xml:space="preserve"> </w:t>
      </w:r>
      <w:r>
        <w:t xml:space="preserve">consider broadcast television to be </w:t>
      </w:r>
      <w:r w:rsidRPr="00613166">
        <w:t xml:space="preserve">interchangeable with </w:t>
      </w:r>
      <w:r>
        <w:t>other sources of programming?  If so, what other sources of video programming should be included</w:t>
      </w:r>
      <w:r w:rsidRPr="000F62FC">
        <w:t xml:space="preserve"> </w:t>
      </w:r>
      <w:r>
        <w:t>in the analysis of a local product market?  What factors should the Commission consider in analyzing non-broadcast sources of video programming?  Should the Commission distinguish between linear and non-linear distributors of video?</w:t>
      </w:r>
      <w:r>
        <w:rPr>
          <w:rStyle w:val="FootnoteReference"/>
        </w:rPr>
        <w:footnoteReference w:id="162"/>
      </w:r>
      <w:r>
        <w:t xml:space="preserve">  In which product markets, if any, do non-broadcast video programmers compete with broadcast television programmers?  Does broadcast television offer any programming for which there is no substitute available from non-broadcast video programmers?  To what extent do consumers rely on broadcast television as their primary, or only, source of video programming?</w:t>
      </w:r>
      <w:r>
        <w:rPr>
          <w:rStyle w:val="FootnoteReference"/>
        </w:rPr>
        <w:footnoteReference w:id="163"/>
      </w:r>
      <w:r>
        <w:t xml:space="preserve">  Is the availability of non-broadcast video comparable to that of broadcast television?</w:t>
      </w:r>
      <w:r>
        <w:rPr>
          <w:rStyle w:val="FootnoteReference"/>
        </w:rPr>
        <w:footnoteReference w:id="164"/>
      </w:r>
      <w:r>
        <w:t xml:space="preserve">  Do viewers rely on or consume programming from local broadcast stations in a manner different from other sources of, potentially non-local, video programming?  In addition, do any non-broadcast video programmers </w:t>
      </w:r>
      <w:r w:rsidRPr="00753832">
        <w:t>m</w:t>
      </w:r>
      <w:r>
        <w:t>ake</w:t>
      </w:r>
      <w:r w:rsidRPr="00753832">
        <w:t xml:space="preserve"> programming decisions based on</w:t>
      </w:r>
      <w:r>
        <w:t xml:space="preserve"> local markets or</w:t>
      </w:r>
      <w:r w:rsidRPr="00753832">
        <w:t xml:space="preserve"> the actions of individual local television stations</w:t>
      </w:r>
      <w:r>
        <w:t>?</w:t>
      </w:r>
      <w:r>
        <w:rPr>
          <w:rStyle w:val="FootnoteReference"/>
        </w:rPr>
        <w:footnoteReference w:id="165"/>
      </w:r>
    </w:p>
    <w:p w:rsidR="00B12C9D" w:rsidP="00B12C9D">
      <w:pPr>
        <w:pStyle w:val="ParaNum"/>
      </w:pPr>
      <w:r>
        <w:t xml:space="preserve">We also seek comment on how advertisers select between local broadcast and non-broadcast sources.  </w:t>
      </w:r>
      <w:r w:rsidRPr="00813974">
        <w:t>We seek studies and data that we can use to assess substitutability in local advertising among all sources of video in a DMA.</w:t>
      </w:r>
      <w:r>
        <w:t xml:space="preserve">  The Commission previously found that the record data did not support arguments by broadcasters</w:t>
      </w:r>
      <w:r w:rsidRPr="00600A32">
        <w:t xml:space="preserve"> that advertisers no longer distinguish local broadcast television from non-broadcast sources of video programming when choosing how to allocate spending for local advertising</w:t>
      </w:r>
      <w:r>
        <w:t>.</w:t>
      </w:r>
      <w:r>
        <w:rPr>
          <w:rStyle w:val="FootnoteReference"/>
        </w:rPr>
        <w:footnoteReference w:id="166"/>
      </w:r>
      <w:r>
        <w:t xml:space="preserve">  We seek comment and new data about whether and how various video programming providers compete for local advertising revenue.</w:t>
      </w:r>
    </w:p>
    <w:p w:rsidR="00B12C9D" w:rsidP="00B12C9D">
      <w:pPr>
        <w:pStyle w:val="ParaNum"/>
      </w:pPr>
      <w:r>
        <w:t>The Commission has stated that c</w:t>
      </w:r>
      <w:r w:rsidRPr="005B11B0">
        <w:t xml:space="preserve">ompetition within a local market motivates a broadcast television station to invest in better programming and to provide programming tailored to the needs and </w:t>
      </w:r>
      <w:r w:rsidRPr="005B11B0">
        <w:t>interests of the local community in order to gain market share</w:t>
      </w:r>
      <w:r>
        <w:t>.</w:t>
      </w:r>
      <w:r>
        <w:rPr>
          <w:rStyle w:val="FootnoteReference"/>
        </w:rPr>
        <w:footnoteReference w:id="167"/>
      </w:r>
      <w:r w:rsidRPr="005B11B0">
        <w:t xml:space="preserve"> </w:t>
      </w:r>
      <w:r>
        <w:t xml:space="preserve"> V</w:t>
      </w:r>
      <w:r w:rsidRPr="005B11B0">
        <w:t>iewers in the local market benefit from such co</w:t>
      </w:r>
      <w:r>
        <w:t xml:space="preserve">mpetition among </w:t>
      </w:r>
      <w:r w:rsidRPr="005B11B0">
        <w:t>rival</w:t>
      </w:r>
      <w:r>
        <w:t xml:space="preserve"> broadcast television station</w:t>
      </w:r>
      <w:r w:rsidRPr="005B11B0">
        <w:t>s in the form of higher quality programming</w:t>
      </w:r>
      <w:r>
        <w:t>.</w:t>
      </w:r>
      <w:r>
        <w:rPr>
          <w:rStyle w:val="FootnoteReference"/>
        </w:rPr>
        <w:footnoteReference w:id="168"/>
      </w:r>
      <w:r>
        <w:t xml:space="preserve"> </w:t>
      </w:r>
      <w:r w:rsidRPr="005B11B0">
        <w:t xml:space="preserve"> </w:t>
      </w:r>
      <w:r>
        <w:t xml:space="preserve">Given how local programming has factored into our previous ownership analysis, we seek comment on whether, in evaluating the Local Television Ownership Rule, we should consider sources of local news and other local programming as a relevant product market.  What are the most prominent sources of local news and local programming beyond broadcast television?  Should </w:t>
      </w:r>
      <w:r w:rsidRPr="00613166">
        <w:t xml:space="preserve">non-video </w:t>
      </w:r>
      <w:r>
        <w:t xml:space="preserve">providers of </w:t>
      </w:r>
      <w:r w:rsidRPr="00613166">
        <w:t>news and information</w:t>
      </w:r>
      <w:r>
        <w:t>—such as radio, newspapers, Internet websites, and social media platforms—be examined in the product market analysis?</w:t>
      </w:r>
      <w:r>
        <w:rPr>
          <w:rStyle w:val="FootnoteReference"/>
        </w:rPr>
        <w:footnoteReference w:id="169"/>
      </w:r>
      <w:r>
        <w:t xml:space="preserve">  To what extent do potential viewers rely for local news on these alternative sources?  Furthermore, are these sources originators of local programming, or do they simply aggregate or utilize content generated by traditional local news sources?</w:t>
      </w:r>
      <w:r>
        <w:rPr>
          <w:rStyle w:val="FootnoteReference"/>
        </w:rPr>
        <w:footnoteReference w:id="170"/>
      </w:r>
      <w:r>
        <w:t xml:space="preserve">  Are non-broadcast sources of local programming available in all DMAs?  Is the depth of any coverage of local issues by non-broadcast platforms consistent across DMAs?</w:t>
      </w:r>
      <w:r>
        <w:rPr>
          <w:rStyle w:val="FootnoteReference"/>
        </w:rPr>
        <w:footnoteReference w:id="171"/>
      </w:r>
      <w:r>
        <w:t xml:space="preserve">  We seek comment on the availability and the variety of local video programming in each Nielsen DMA.  We seek comment on how the Commission would, and whether the Commission should, evaluate local programming for purposes of any programming-based analysis.</w:t>
      </w:r>
      <w:r>
        <w:rPr>
          <w:rStyle w:val="FootnoteReference"/>
        </w:rPr>
        <w:footnoteReference w:id="172"/>
      </w:r>
      <w:r>
        <w:t xml:space="preserve">  We seek comment on whether defining the local product market for our television ownership rules to include specific types of programming would raise First Amendment concerns. </w:t>
      </w:r>
    </w:p>
    <w:p w:rsidR="00B12C9D" w:rsidP="00B12C9D">
      <w:pPr>
        <w:pStyle w:val="ParaNum"/>
      </w:pPr>
      <w:r w:rsidRPr="00813974">
        <w:t xml:space="preserve">We seek comment </w:t>
      </w:r>
      <w:r>
        <w:t xml:space="preserve">too </w:t>
      </w:r>
      <w:r w:rsidRPr="00813974">
        <w:t xml:space="preserve">on what measures the Commission could use to assess competition </w:t>
      </w:r>
      <w:r>
        <w:t>among sources of local</w:t>
      </w:r>
      <w:r w:rsidRPr="00813974">
        <w:t xml:space="preserve"> video progr</w:t>
      </w:r>
      <w:r>
        <w:t>amming or other local</w:t>
      </w:r>
      <w:r w:rsidRPr="00813974">
        <w:t xml:space="preserve"> content.  What data sources might the Commission use to determine which sources </w:t>
      </w:r>
      <w:r>
        <w:t>consumers</w:t>
      </w:r>
      <w:r w:rsidRPr="00813974">
        <w:t xml:space="preserve"> consider substitutes?</w:t>
      </w:r>
      <w:r>
        <w:t xml:space="preserve">  How should the Commission account for various providers of news, information, and video programming to the extent that some entities, such as OVDs and websites, may lack an industry standard for measuring viewership and engagement?</w:t>
      </w:r>
      <w:r>
        <w:rPr>
          <w:rStyle w:val="FootnoteReference"/>
        </w:rPr>
        <w:footnoteReference w:id="173"/>
      </w:r>
      <w:r>
        <w:t xml:space="preserve"> </w:t>
      </w:r>
    </w:p>
    <w:p w:rsidR="00B12C9D" w:rsidP="00B12C9D">
      <w:pPr>
        <w:pStyle w:val="ParaNum"/>
      </w:pPr>
      <w:r>
        <w:t xml:space="preserve">We also seek comment on the relationship between the Commission’s market definition for the Local Television Ownership Rule, and any changes thereto, and the market definition and analysis </w:t>
      </w:r>
      <w:r>
        <w:t>used by the Department of Justice (DOJ).</w:t>
      </w:r>
      <w:r>
        <w:rPr>
          <w:rStyle w:val="FootnoteReference"/>
        </w:rPr>
        <w:footnoteReference w:id="174"/>
      </w:r>
      <w:r>
        <w:t xml:space="preserve">  The Commission has stated that</w:t>
      </w:r>
      <w:r w:rsidRPr="008663A6">
        <w:t xml:space="preserve"> </w:t>
      </w:r>
      <w:r>
        <w:t xml:space="preserve">its </w:t>
      </w:r>
      <w:r w:rsidRPr="008663A6">
        <w:t>market definition for purposes of the Local Television Ownership Rule is similar to the market definition used by DOJ when evaluati</w:t>
      </w:r>
      <w:r>
        <w:t>ng broadcast television mergers</w:t>
      </w:r>
      <w:r w:rsidRPr="008663A6">
        <w:t xml:space="preserve"> in that the scope of </w:t>
      </w:r>
      <w:r>
        <w:t>the Commission’s</w:t>
      </w:r>
      <w:r w:rsidRPr="008663A6">
        <w:t xml:space="preserve"> rule is </w:t>
      </w:r>
      <w:r>
        <w:t xml:space="preserve">similarly </w:t>
      </w:r>
      <w:r w:rsidRPr="008663A6">
        <w:t xml:space="preserve">limited to </w:t>
      </w:r>
      <w:r>
        <w:t xml:space="preserve">local television </w:t>
      </w:r>
      <w:r w:rsidRPr="008663A6">
        <w:t>broadcast</w:t>
      </w:r>
      <w:r>
        <w:t xml:space="preserve"> station</w:t>
      </w:r>
      <w:r w:rsidRPr="008663A6">
        <w:t>s</w:t>
      </w:r>
      <w:r>
        <w:t>.</w:t>
      </w:r>
      <w:r>
        <w:rPr>
          <w:rStyle w:val="FootnoteReference"/>
        </w:rPr>
        <w:footnoteReference w:id="175"/>
      </w:r>
      <w:r>
        <w:t xml:space="preserve">  </w:t>
      </w:r>
      <w:r w:rsidRPr="008663A6">
        <w:t>DOJ</w:t>
      </w:r>
      <w:r>
        <w:t>’s analysis, however,</w:t>
      </w:r>
      <w:r w:rsidRPr="008663A6">
        <w:t xml:space="preserve"> </w:t>
      </w:r>
      <w:r>
        <w:t xml:space="preserve">has historically </w:t>
      </w:r>
      <w:r w:rsidRPr="008663A6">
        <w:t>focuse</w:t>
      </w:r>
      <w:r>
        <w:t xml:space="preserve">d </w:t>
      </w:r>
      <w:r w:rsidRPr="008663A6">
        <w:t xml:space="preserve">on competition for advertising, whereas </w:t>
      </w:r>
      <w:r>
        <w:t>the Commission’s</w:t>
      </w:r>
      <w:r w:rsidRPr="008663A6">
        <w:t xml:space="preserve"> rule </w:t>
      </w:r>
      <w:r>
        <w:t>focuses</w:t>
      </w:r>
      <w:r w:rsidRPr="008663A6">
        <w:t xml:space="preserve"> on multiple factors, including audience share</w:t>
      </w:r>
      <w:r>
        <w:t>.</w:t>
      </w:r>
      <w:r>
        <w:rPr>
          <w:rStyle w:val="FootnoteReference"/>
        </w:rPr>
        <w:footnoteReference w:id="176"/>
      </w:r>
      <w:r>
        <w:t xml:space="preserve">  Recently, DOJ has also looked at competition for retransmission consent licensing fees in local television markets.</w:t>
      </w:r>
      <w:r>
        <w:rPr>
          <w:rStyle w:val="FootnoteReference"/>
        </w:rPr>
        <w:footnoteReference w:id="177"/>
      </w:r>
      <w:r>
        <w:t xml:space="preserve">  We seek comment on whether and how DOJ’s analytical framework should inform our own, and vice versa.  Are there ways in which our current rule is either consistent or inconsistent with antitrust principles?  Do other public interest considerations support the rule?  </w:t>
      </w:r>
    </w:p>
    <w:p w:rsidR="00B12C9D" w:rsidP="00B12C9D">
      <w:pPr>
        <w:pStyle w:val="ParaNum"/>
      </w:pPr>
      <w:r w:rsidRPr="0055552D">
        <w:rPr>
          <w:i/>
        </w:rPr>
        <w:t>Numerical Limit</w:t>
      </w:r>
      <w:r>
        <w:t>.  Currently, a broadcast</w:t>
      </w:r>
      <w:r w:rsidRPr="00733304">
        <w:t xml:space="preserve"> licensee can own up to two </w:t>
      </w:r>
      <w:r>
        <w:t xml:space="preserve">television </w:t>
      </w:r>
      <w:r w:rsidRPr="00733304">
        <w:t xml:space="preserve">stations (i.e., a duopoly) in a </w:t>
      </w:r>
      <w:r>
        <w:t>DMA</w:t>
      </w:r>
      <w:r w:rsidRPr="00733304">
        <w:t>, subject to the requirements</w:t>
      </w:r>
      <w:r>
        <w:t xml:space="preserve"> of the Local Television Ownership Rule.</w:t>
      </w:r>
      <w:r>
        <w:rPr>
          <w:rStyle w:val="FootnoteReference"/>
        </w:rPr>
        <w:footnoteReference w:id="178"/>
      </w:r>
      <w:r>
        <w:t xml:space="preserve">  If the Commission finds that retention of the local television rule remains in the public interest, should the Commission change the numerical limit on how many stations may be owned in a DMA?  The Commission concluded that the previous record did not support the </w:t>
      </w:r>
      <w:r w:rsidRPr="00DC6146">
        <w:t>conclu</w:t>
      </w:r>
      <w:r>
        <w:t>sion</w:t>
      </w:r>
      <w:r w:rsidRPr="00DC6146">
        <w:t xml:space="preserve"> that the local</w:t>
      </w:r>
      <w:r>
        <w:t xml:space="preserve"> television marketplace has </w:t>
      </w:r>
      <w:r w:rsidRPr="00DC6146">
        <w:t>changed sufficiently to justify tightening the</w:t>
      </w:r>
      <w:r>
        <w:t xml:space="preserve"> rule’s</w:t>
      </w:r>
      <w:r w:rsidRPr="00DC6146">
        <w:t xml:space="preserve"> current numerical limit</w:t>
      </w:r>
      <w:r>
        <w:t>.</w:t>
      </w:r>
      <w:r>
        <w:rPr>
          <w:rStyle w:val="FootnoteReference"/>
        </w:rPr>
        <w:footnoteReference w:id="179"/>
      </w:r>
      <w:r>
        <w:t xml:space="preserve"> </w:t>
      </w:r>
      <w:r w:rsidRPr="00DC6146">
        <w:t xml:space="preserve"> </w:t>
      </w:r>
      <w:r>
        <w:t>The Commission therefore declined to</w:t>
      </w:r>
      <w:r w:rsidRPr="00DC6146">
        <w:t xml:space="preserve"> return to a single</w:t>
      </w:r>
      <w:r>
        <w:t xml:space="preserve"> station per </w:t>
      </w:r>
      <w:r w:rsidRPr="00DC6146">
        <w:t>license</w:t>
      </w:r>
      <w:r>
        <w:t>e</w:t>
      </w:r>
      <w:r w:rsidRPr="00DC6146">
        <w:t xml:space="preserve"> television rule</w:t>
      </w:r>
      <w:r>
        <w:t>.</w:t>
      </w:r>
      <w:r>
        <w:rPr>
          <w:rStyle w:val="FootnoteReference"/>
        </w:rPr>
        <w:footnoteReference w:id="180"/>
      </w:r>
      <w:r>
        <w:t xml:space="preserve">  Likewise, the Commission did not find</w:t>
      </w:r>
      <w:r w:rsidRPr="00DC6146">
        <w:t xml:space="preserve"> sufficient changes</w:t>
      </w:r>
      <w:r>
        <w:t xml:space="preserve"> </w:t>
      </w:r>
      <w:r w:rsidRPr="00DC6146">
        <w:t xml:space="preserve">to justify </w:t>
      </w:r>
      <w:r>
        <w:t xml:space="preserve">loosening the numerical limit to permit </w:t>
      </w:r>
      <w:r w:rsidRPr="00DC6146">
        <w:t>ownership of a third in-market station</w:t>
      </w:r>
      <w:r>
        <w:t>.</w:t>
      </w:r>
      <w:r>
        <w:rPr>
          <w:rStyle w:val="FootnoteReference"/>
        </w:rPr>
        <w:footnoteReference w:id="181"/>
      </w:r>
      <w:r>
        <w:t xml:space="preserve">  We seek comment on whether changes in the video programming industry support modification of the numerical limit.  </w:t>
      </w:r>
    </w:p>
    <w:p w:rsidR="00B12C9D" w:rsidP="00B12C9D">
      <w:pPr>
        <w:pStyle w:val="ParaNum"/>
      </w:pPr>
      <w:r w:rsidRPr="00BE7492">
        <w:rPr>
          <w:i/>
        </w:rPr>
        <w:t>Top-Four Prohibition</w:t>
      </w:r>
      <w:r>
        <w:t xml:space="preserve">.  If the Commission decides to retain the Local Television Ownership Rule, we seek comment on whether the Top-Four Prohibition should be retained or modified.  </w:t>
      </w:r>
      <w:r>
        <w:t xml:space="preserve">The Commission found that the </w:t>
      </w:r>
      <w:r w:rsidRPr="00895936">
        <w:t xml:space="preserve">ratings data in the </w:t>
      </w:r>
      <w:r>
        <w:t xml:space="preserve">previous </w:t>
      </w:r>
      <w:r w:rsidRPr="00895936">
        <w:t>record gen</w:t>
      </w:r>
      <w:r>
        <w:t>erally supported the Commission’</w:t>
      </w:r>
      <w:r w:rsidRPr="00895936">
        <w:t>s line drawing</w:t>
      </w:r>
      <w:r>
        <w:t xml:space="preserve"> and the rule’s focus on the top-four rated full power television stations in a market.</w:t>
      </w:r>
      <w:r>
        <w:rPr>
          <w:rStyle w:val="FootnoteReference"/>
        </w:rPr>
        <w:footnoteReference w:id="182"/>
      </w:r>
      <w:r>
        <w:t xml:space="preserve">  The Commission fou</w:t>
      </w:r>
      <w:r w:rsidRPr="006836D3">
        <w:t>nd that there typically remains a significant “cushion” of audience share points that separates the top-four stations in a market from the fifth-ranked station</w:t>
      </w:r>
      <w:r>
        <w:t xml:space="preserve"> and below.</w:t>
      </w:r>
      <w:r>
        <w:rPr>
          <w:rStyle w:val="FootnoteReference"/>
        </w:rPr>
        <w:footnoteReference w:id="183"/>
      </w:r>
      <w:r>
        <w:t xml:space="preserve">  T</w:t>
      </w:r>
      <w:r w:rsidRPr="00895936">
        <w:t>he</w:t>
      </w:r>
      <w:r>
        <w:t xml:space="preserve"> Commission maintained that</w:t>
      </w:r>
      <w:r w:rsidRPr="00895936">
        <w:t xml:space="preserve"> potential harms associated with top-four combinations </w:t>
      </w:r>
      <w:r>
        <w:t>also had</w:t>
      </w:r>
      <w:r w:rsidRPr="00895936">
        <w:t xml:space="preserve"> support in the record</w:t>
      </w:r>
      <w:r>
        <w:t>.</w:t>
      </w:r>
      <w:r>
        <w:rPr>
          <w:rStyle w:val="FootnoteReference"/>
        </w:rPr>
        <w:footnoteReference w:id="184"/>
      </w:r>
      <w:r>
        <w:t xml:space="preserve">  We seek comment on the applicability of these previous conclusions based on new, updated ratings data and/or examples of existing commonly owned top-four station combinations.</w:t>
      </w:r>
    </w:p>
    <w:p w:rsidR="00B12C9D" w:rsidP="00B12C9D">
      <w:pPr>
        <w:pStyle w:val="ParaNum"/>
        <w:widowControl/>
      </w:pPr>
      <w:r>
        <w:t xml:space="preserve">In the </w:t>
      </w:r>
      <w:r w:rsidRPr="009A4059">
        <w:rPr>
          <w:i/>
        </w:rPr>
        <w:t>2010/2014 Quadrennial Review Order on Reconsideration</w:t>
      </w:r>
      <w:r>
        <w:t>, the Commission recognized that rigid application of the Top-Four Prohibition in all DMAs may not be supported by the unique conditions present in certain DMAs or with respect to certain transactions.</w:t>
      </w:r>
      <w:r>
        <w:rPr>
          <w:rStyle w:val="FootnoteReference"/>
        </w:rPr>
        <w:footnoteReference w:id="185"/>
      </w:r>
      <w:r>
        <w:t xml:space="preserve">  The Commission accordingly </w:t>
      </w:r>
      <w:r w:rsidRPr="00695C81">
        <w:t>adopt</w:t>
      </w:r>
      <w:r>
        <w:t>ed</w:t>
      </w:r>
      <w:r w:rsidRPr="00695C81">
        <w:t xml:space="preserve"> a hybrid approach </w:t>
      </w:r>
      <w:r>
        <w:t>to allow applicants the ability to</w:t>
      </w:r>
      <w:r w:rsidRPr="00695C81">
        <w:t xml:space="preserve"> </w:t>
      </w:r>
      <w:r>
        <w:t>seek</w:t>
      </w:r>
      <w:r w:rsidRPr="00695C81">
        <w:t xml:space="preserve"> a case</w:t>
      </w:r>
      <w:r>
        <w:t xml:space="preserve">-by-case examination of a </w:t>
      </w:r>
      <w:r w:rsidRPr="00695C81">
        <w:t>proposed combination that would otherwise be prohibited by the Top-Four Prohibition</w:t>
      </w:r>
      <w:r>
        <w:t>.</w:t>
      </w:r>
      <w:r>
        <w:rPr>
          <w:rStyle w:val="FootnoteReference"/>
        </w:rPr>
        <w:footnoteReference w:id="186"/>
      </w:r>
      <w:r>
        <w:t xml:space="preserve">  </w:t>
      </w:r>
      <w:r w:rsidRPr="00695C81">
        <w:t xml:space="preserve">The record </w:t>
      </w:r>
      <w:r>
        <w:t>of that proceeding</w:t>
      </w:r>
      <w:r w:rsidRPr="00695C81">
        <w:t xml:space="preserve"> suggest</w:t>
      </w:r>
      <w:r>
        <w:t>ed</w:t>
      </w:r>
      <w:r w:rsidRPr="00695C81">
        <w:t xml:space="preserve"> the types of information that applicants could provide to help establish that application of the Top-Four Prohibition is not in the public interest because the reduction in competition is minimal and is outweighed by public interest benefits. </w:t>
      </w:r>
      <w:r>
        <w:t xml:space="preserve"> </w:t>
      </w:r>
      <w:r w:rsidRPr="00695C81">
        <w:t>Such information regarding the impacts on compet</w:t>
      </w:r>
      <w:r>
        <w:t xml:space="preserve">ition in the local market </w:t>
      </w:r>
      <w:r w:rsidRPr="00695C81">
        <w:t>include</w:t>
      </w:r>
      <w:r>
        <w:t>d</w:t>
      </w:r>
      <w:r w:rsidRPr="00695C81">
        <w:t xml:space="preserve"> (but </w:t>
      </w:r>
      <w:r>
        <w:t>wa</w:t>
      </w:r>
      <w:r w:rsidRPr="00695C81">
        <w:t>s not limited to):</w:t>
      </w:r>
      <w:r>
        <w:t xml:space="preserve"> </w:t>
      </w:r>
      <w:r w:rsidRPr="00695C81">
        <w:t xml:space="preserve"> (1) ratings share data of the stations proposed to be combined compared with other stations in the market; (2) revenue share data of the stations proposed to be combined compared with other stations in the market, including advertising (on-air and digital) and</w:t>
      </w:r>
      <w:r>
        <w:t xml:space="preserve"> retransmission consent fees;</w:t>
      </w:r>
      <w:r w:rsidRPr="00695C81">
        <w:t xml:space="preserve"> (3) market characteristics, such as population and the number and types of broadcast television stations serving the market (including any strong competitors outside the top-four rated broadcast television stations); (4) the likely effects on programming meeting the needs and interests of the community; and (5) any other circumstances impacting the market, particularly any disparities primarily impacting small and mid-sized markets.</w:t>
      </w:r>
      <w:r>
        <w:rPr>
          <w:rStyle w:val="FootnoteReference"/>
        </w:rPr>
        <w:footnoteReference w:id="187"/>
      </w:r>
      <w:r>
        <w:t xml:space="preserve">  </w:t>
      </w:r>
    </w:p>
    <w:p w:rsidR="00B12C9D" w:rsidP="00B12C9D">
      <w:pPr>
        <w:pStyle w:val="ParaNum"/>
      </w:pPr>
      <w:r>
        <w:t>We note that the</w:t>
      </w:r>
      <w:r w:rsidRPr="002D60CF">
        <w:t xml:space="preserve"> Commission</w:t>
      </w:r>
      <w:r>
        <w:t xml:space="preserve"> </w:t>
      </w:r>
      <w:r w:rsidRPr="002D60CF">
        <w:t xml:space="preserve">has </w:t>
      </w:r>
      <w:r>
        <w:t>observ</w:t>
      </w:r>
      <w:r w:rsidRPr="002D60CF">
        <w:t xml:space="preserve">ed </w:t>
      </w:r>
      <w:r>
        <w:t>previously</w:t>
      </w:r>
      <w:r w:rsidRPr="002D60CF">
        <w:t xml:space="preserve"> that the justification for the Top-Four Prohibition does not apply in all markets</w:t>
      </w:r>
      <w:r>
        <w:t xml:space="preserve"> or with respect to all transactions and recognized the need for increased flexibility in adopting the </w:t>
      </w:r>
      <w:r w:rsidRPr="00323C9A">
        <w:rPr>
          <w:i/>
        </w:rPr>
        <w:t>2010/2014 Quadrennial Review Order on Reconsideration</w:t>
      </w:r>
      <w:r>
        <w:t xml:space="preserve">.  We seek comment on whether flexibility in applying the Top-Four prohibition remains necessary and, if so, whether the case-by-case approach is the most effective way to achieve it.  If the Commission finds that a case-by-case analysis is the best approach, we seek comment on whether any of the examples of types of information suggested in the </w:t>
      </w:r>
      <w:r>
        <w:rPr>
          <w:i/>
        </w:rPr>
        <w:t xml:space="preserve">2010/2014 Quadrennial Review Order on Reconsideration </w:t>
      </w:r>
      <w:r>
        <w:t xml:space="preserve">serve as reliable factors in determining whether a top-four combination would serve the public interest.  If so, should some factors be weighed more heavily than others in the analysis?  Are there factors in addition to the examples provided in the </w:t>
      </w:r>
      <w:r w:rsidRPr="00323C9A">
        <w:rPr>
          <w:i/>
        </w:rPr>
        <w:t>2010/2014 Quadrennial Review Order on Reconsideration</w:t>
      </w:r>
      <w:r>
        <w:t xml:space="preserve"> that the Commission should consider?  What kinds of data should licensees provide to support their showings?  Should the Commission adopt a more rigid set of criteria for its case-by-case determination?  </w:t>
      </w:r>
    </w:p>
    <w:p w:rsidR="00B12C9D" w:rsidP="00B12C9D">
      <w:pPr>
        <w:pStyle w:val="ParaNum"/>
      </w:pPr>
      <w:r>
        <w:t xml:space="preserve">Alternatively, should the Commission avoid a case-by-case or hybrid approach and establish a bright-line test that would permit common ownership of two top-four stations in all cases, or in particular markets or circumstances?  For example, should we permit common ownership of the fourth-ranked station in a market and either the second-ranked station or third-ranked station in that same market?  Should we allow combinations between the second-ranked station or third-ranked station in the same market?  Should such combinations only be permitted in smaller markets where there is less </w:t>
      </w:r>
      <w:r>
        <w:t xml:space="preserve">advertising revenue available to support programming and station operations?  We also seek comment on whether the Commission should create a presumption for permitting common ownership of two top-four stations if certain conditions are met.  What conditions should the Commission consider to determine if a combination would not negatively impact competition?  For example, should the Commission presume that a combination is permissible if the combined stations’ share of the audience and/or advertising market share does not exceed a certain threshold?    </w:t>
      </w:r>
    </w:p>
    <w:p w:rsidR="00B12C9D" w:rsidP="00B12C9D">
      <w:pPr>
        <w:pStyle w:val="ParaNum"/>
      </w:pPr>
      <w:r>
        <w:t xml:space="preserve">If the Commission either retains the case-by-case approach or adopts a bright-line test, </w:t>
      </w:r>
      <w:r w:rsidRPr="00ED1A72">
        <w:t>we seek comment on how to analyze competition in local television markets.  In considering the effect of top-four combinations on local advertising markets, we seek studies that estimate the elasticity of demand for local advertising.  In the absence of such studies, what data sources or types of data might the Commission use to assess substitutability in local advertising across dayparts, program types, and stations?  What measures, in addition to viewership share, could be used to assess competi</w:t>
      </w:r>
      <w:r>
        <w:t xml:space="preserve">tion between stations in local </w:t>
      </w:r>
      <w:r w:rsidRPr="00ED1A72">
        <w:t>programming?  What data sources might we use to determine which programs or stations viewers consider substitutes?</w:t>
      </w:r>
    </w:p>
    <w:p w:rsidR="00B12C9D" w:rsidP="00B12C9D">
      <w:pPr>
        <w:pStyle w:val="ParaNum"/>
        <w:widowControl/>
      </w:pPr>
      <w:r w:rsidRPr="009D799C">
        <w:t xml:space="preserve">A top-four combination may have different effects on competition among broadcast stations for viewers </w:t>
      </w:r>
      <w:r>
        <w:t xml:space="preserve">of different types of programming, for instance, </w:t>
      </w:r>
      <w:r w:rsidRPr="009D799C">
        <w:t xml:space="preserve">local programming, network programming, and syndicated programming.  </w:t>
      </w:r>
      <w:r>
        <w:t>S</w:t>
      </w:r>
      <w:r w:rsidRPr="009D799C">
        <w:t>hould the Commission weigh each competitive effect</w:t>
      </w:r>
      <w:r>
        <w:t xml:space="preserve"> and, if so, how</w:t>
      </w:r>
      <w:r w:rsidRPr="009D799C">
        <w:t xml:space="preserve">?  </w:t>
      </w:r>
      <w:r>
        <w:t>If we consider specific categories of programming, s</w:t>
      </w:r>
      <w:r w:rsidRPr="009D799C">
        <w:t xml:space="preserve">hould we </w:t>
      </w:r>
      <w:r>
        <w:t>look at</w:t>
      </w:r>
      <w:r w:rsidRPr="009D799C">
        <w:t xml:space="preserve"> the viewership of </w:t>
      </w:r>
      <w:r>
        <w:t>each type of</w:t>
      </w:r>
      <w:r w:rsidRPr="009D799C">
        <w:t xml:space="preserve"> programming</w:t>
      </w:r>
      <w:r>
        <w:t>,</w:t>
      </w:r>
      <w:r w:rsidRPr="009D799C">
        <w:t xml:space="preserve"> the amount of revenue generated for the local station </w:t>
      </w:r>
      <w:r>
        <w:t>by each type of</w:t>
      </w:r>
      <w:r w:rsidRPr="009D799C">
        <w:t xml:space="preserve"> programming</w:t>
      </w:r>
      <w:r>
        <w:t>, both, or something else</w:t>
      </w:r>
      <w:r w:rsidRPr="009D799C">
        <w:t>?  Top-four combinations may also affect th</w:t>
      </w:r>
      <w:r>
        <w:t xml:space="preserve">e quantity or quality of local </w:t>
      </w:r>
      <w:r w:rsidRPr="009D799C">
        <w:t>programming available in the market.</w:t>
      </w:r>
      <w:r>
        <w:rPr>
          <w:rStyle w:val="FootnoteReference"/>
        </w:rPr>
        <w:footnoteReference w:id="188"/>
      </w:r>
      <w:r w:rsidRPr="009D799C">
        <w:t xml:space="preserve">  </w:t>
      </w:r>
      <w:r>
        <w:t>Although intended primarily to promote competition, does the Top-Four Prohibition also preserve, as a byproduct, a sufficient level of localism or viewpoint diversity in local markets?</w:t>
      </w:r>
      <w:r w:rsidRPr="009D799C">
        <w:t xml:space="preserve">  </w:t>
      </w:r>
      <w:r>
        <w:t>We seek comment on whether and how the Commission should consider elimination of an independent local news operation or a reduction in local news programming.</w:t>
      </w:r>
      <w:r w:rsidRPr="009D799C">
        <w:t xml:space="preserve">  </w:t>
      </w:r>
    </w:p>
    <w:p w:rsidR="00B12C9D" w:rsidP="00B12C9D">
      <w:pPr>
        <w:pStyle w:val="ParaNum"/>
        <w:widowControl/>
      </w:pPr>
      <w:r>
        <w:t>We seek comment on whether and how the Commission should weigh any effect on retransmission consent negotiations in evaluating the competitive effects under the Commission’s case-by-case approach of top-four station combinations.  Commenters in proceedings involving potential top-four station combinations consistently have raised the issue of potential retransmission consent fee increases as a result of reduced competition between stations and undue bargaining leverage for stations if commonly owned top-four stations are able to negotiate such fees jointly as a result of the combination.</w:t>
      </w:r>
      <w:r>
        <w:rPr>
          <w:rStyle w:val="FootnoteReference"/>
        </w:rPr>
        <w:footnoteReference w:id="189"/>
      </w:r>
      <w:r>
        <w:t xml:space="preserve">  We therefore seek comment on whether and how the Commission should weigh the effect on retransmission consent negotiations in evaluating top-four station combinations under its case-by-case approach.</w:t>
      </w:r>
      <w:r>
        <w:rPr>
          <w:rStyle w:val="FootnoteReference"/>
        </w:rPr>
        <w:footnoteReference w:id="190"/>
      </w:r>
      <w:r>
        <w:t xml:space="preserve">  Should the Commission maintain the Top-Four Prohibition for purposes of preventing any </w:t>
      </w:r>
      <w:r>
        <w:t>potential competitive harms caused by joint negotiation of retransmission consent fees by two commonly owned top-four stations in a DMA, and would such an approach be inconsistent with congressional intent in prohibiting joint negotiation only when conducted by non-commonly owned stations?</w:t>
      </w:r>
      <w:r>
        <w:rPr>
          <w:rStyle w:val="FootnoteReference"/>
        </w:rPr>
        <w:footnoteReference w:id="191"/>
      </w:r>
      <w:r>
        <w:t xml:space="preserve">  </w:t>
      </w:r>
    </w:p>
    <w:p w:rsidR="00B12C9D" w:rsidP="00B12C9D">
      <w:pPr>
        <w:pStyle w:val="ParaNum"/>
      </w:pPr>
      <w:r>
        <w:t>If the Commission retains the Top-Four Prohibition, or a similar rule that relies on the ranking of stations by audience share or viewership, we seek comment on whether specific provisions of the rule should be modified.  The rule currently determines a station’s in-market ranking</w:t>
      </w:r>
      <w:r w:rsidRPr="001025D1">
        <w:t xml:space="preserve"> based on the most recent all-day (9 a.m.-midnight) audience share, as measured by Nielsen Media Research</w:t>
      </w:r>
      <w:r>
        <w:t>.</w:t>
      </w:r>
      <w:r>
        <w:rPr>
          <w:rStyle w:val="FootnoteReference"/>
        </w:rPr>
        <w:footnoteReference w:id="192"/>
      </w:r>
      <w:r>
        <w:t xml:space="preserve">  We seek comment on whether this data point is still the most useful for accurately determining a station’s ranking for purposes of the Top-Four Prohibition.  Have there been changes in the industry that necessitate examining different data?  We also seek comment on whether and how the Commission should account for instances where a station makes use of multicast streams, satellite stations, or translators.  Should the ratings of these stations or streams be combined with the ratings of the primary station or stream to determine the station’s ratings in the DMA?  Why or why not?  Lastly, based on Commission staff review of Nielsen data, there are instances where noncommercial television stations have audience shares comparable to those of commercial stations.  Should the Commission distinguish between commercial and noncommercial stations for purposes of the Top-Four Prohibition?  Why or why not? </w:t>
      </w:r>
    </w:p>
    <w:p w:rsidR="00B12C9D" w:rsidP="00B12C9D">
      <w:pPr>
        <w:pStyle w:val="ParaNum"/>
        <w:widowControl/>
      </w:pPr>
      <w:r>
        <w:t>We also seek comment on whether to provide clarification of the phrase “a</w:t>
      </w:r>
      <w:r w:rsidRPr="00574AAC">
        <w:t>t the time the application to acquire or construct the station(s) is filed</w:t>
      </w:r>
      <w:r>
        <w:t>.”  Should entities filing an application submit as support audience share data for the most recent month, week, or sweeps period in relation to the date when the application was submitted to the Commission?  Should the time frame for the submitted data be required to show a longer period of time?  For example, should the Commission require applicants to submit ratings data over a three-year period to demonstrate that a station truly is or is not ranked among the top-four stations in the DMA “a</w:t>
      </w:r>
      <w:r w:rsidRPr="00574AAC">
        <w:t>t the time the application</w:t>
      </w:r>
      <w:r w:rsidRPr="00D14CB1">
        <w:t xml:space="preserve"> </w:t>
      </w:r>
      <w:r w:rsidRPr="00574AAC">
        <w:t>to acquire or construct the station(s) is filed</w:t>
      </w:r>
      <w:r>
        <w:t>”?</w:t>
      </w:r>
      <w:r>
        <w:rPr>
          <w:rStyle w:val="FootnoteReference"/>
        </w:rPr>
        <w:footnoteReference w:id="193"/>
      </w:r>
      <w:r>
        <w:t xml:space="preserve">  If not, should the Commission take another approach to prevent </w:t>
      </w:r>
      <w:r w:rsidRPr="0062745B">
        <w:t>circumvention of the Top-Four Prohibition</w:t>
      </w:r>
      <w:r>
        <w:t>’s requirements</w:t>
      </w:r>
      <w:r w:rsidRPr="0062745B">
        <w:t xml:space="preserve"> based on anomalous data</w:t>
      </w:r>
      <w:r>
        <w:t>?  Should it rely on the most recent period solely as a presumption, which might be rebutted by interested parties?</w:t>
      </w:r>
    </w:p>
    <w:p w:rsidR="00B12C9D" w:rsidP="00B12C9D">
      <w:pPr>
        <w:pStyle w:val="ParaNum"/>
      </w:pPr>
      <w:r>
        <w:t>Given the longstanding nature of the Top-Four Prohibition, much of the discussion in this section focuses on the continued applicability of that rule and ways that it might be adjusted or clarified to apply in the current video marketplace.  We also seek comment, however, on alternatives to the Top-Four Prohibition.  Should common ownership of two stations in a market be permitted when at least one of the stations is not ranked among the top-three stations in the market, or among the top-two?  What economic data support establishing such a top-three approach, in light of the significant differences in national audience share between the top-four national networks and others?  Should the Commission distinguish between stations located in larger Nielsen DMAs and those in mid- to small-sized DMAs by adopting a tiered approach to application of any ranking-based prohibition?  Should common ownership be permitted when there is a certain number of non-broadcast local video programing sources in a DMA?  We seek comment on how these and any other proposals supported by the record would promote and protect competition in local television markets.</w:t>
      </w:r>
    </w:p>
    <w:p w:rsidR="00B12C9D" w:rsidP="00B12C9D">
      <w:pPr>
        <w:pStyle w:val="ParaNum"/>
      </w:pPr>
      <w:r w:rsidRPr="008A1C8E">
        <w:rPr>
          <w:i/>
        </w:rPr>
        <w:t>Multicasting</w:t>
      </w:r>
      <w:r>
        <w:t xml:space="preserve">.  </w:t>
      </w:r>
      <w:r w:rsidRPr="00733304">
        <w:t>As a result</w:t>
      </w:r>
      <w:r>
        <w:t xml:space="preserve"> of the digital television transition</w:t>
      </w:r>
      <w:r w:rsidRPr="00733304">
        <w:t xml:space="preserve">, all full-power television stations have </w:t>
      </w:r>
      <w:r>
        <w:t xml:space="preserve">the ability to use their </w:t>
      </w:r>
      <w:r w:rsidRPr="00733304">
        <w:t>available spectrum to broadcast not only their main program stream but also, if they choos</w:t>
      </w:r>
      <w:r>
        <w:t>e, additional program streams—</w:t>
      </w:r>
      <w:r w:rsidRPr="00733304">
        <w:t>an activity commonly referred to as multicasting.</w:t>
      </w:r>
      <w:r>
        <w:t xml:space="preserve">  The Commission previously distinguished the ability to multicast from owning a separate broadcast station.</w:t>
      </w:r>
      <w:r>
        <w:rPr>
          <w:rStyle w:val="FootnoteReference"/>
        </w:rPr>
        <w:footnoteReference w:id="194"/>
      </w:r>
      <w:r>
        <w:t xml:space="preserve">  Accordingly, the Commission has declined to impose restrictions on local television station ownership based on the ability to multicast.</w:t>
      </w:r>
      <w:r>
        <w:rPr>
          <w:rStyle w:val="FootnoteReference"/>
        </w:rPr>
        <w:footnoteReference w:id="195"/>
      </w:r>
      <w:r>
        <w:t xml:space="preserve">  The Commission also declined to regulate dual affiliations through multicasting, even in instances where a licensee is affiliated with more than one of the Big Four networks (ABC, CBS, Fox, and NBC) by using multicast streams.  The record in the last quadrennial review indicated that </w:t>
      </w:r>
      <w:r w:rsidRPr="00AA0746">
        <w:t xml:space="preserve">dual affiliations involving two Big </w:t>
      </w:r>
      <w:r>
        <w:t>Four networks via multicasting we</w:t>
      </w:r>
      <w:r w:rsidRPr="00AA0746">
        <w:t xml:space="preserve">re generally limited to smaller markets where there </w:t>
      </w:r>
      <w:r>
        <w:t>was an insufficient number of</w:t>
      </w:r>
      <w:r w:rsidRPr="00AA0746">
        <w:t xml:space="preserve"> full-power commercial television stations to accommodate each Big Four network or where other unique marketplace factors </w:t>
      </w:r>
      <w:r>
        <w:t>led to</w:t>
      </w:r>
      <w:r w:rsidRPr="00AA0746">
        <w:t xml:space="preserve"> creating the dual affiliation</w:t>
      </w:r>
      <w:r>
        <w:t>.</w:t>
      </w:r>
      <w:r>
        <w:rPr>
          <w:rStyle w:val="FootnoteReference"/>
        </w:rPr>
        <w:footnoteReference w:id="196"/>
      </w:r>
      <w:r>
        <w:t xml:space="preserve">  The Commission stated, however, that it would </w:t>
      </w:r>
      <w:r w:rsidRPr="004D1070">
        <w:t>continue to monitor this issue and take action in the future, if appropriate</w:t>
      </w:r>
      <w:r>
        <w:t>.</w:t>
      </w:r>
      <w:r>
        <w:rPr>
          <w:rStyle w:val="FootnoteReference"/>
        </w:rPr>
        <w:footnoteReference w:id="197"/>
      </w:r>
      <w:r>
        <w:t xml:space="preserve">  </w:t>
      </w:r>
    </w:p>
    <w:p w:rsidR="00B12C9D" w:rsidP="00B12C9D">
      <w:pPr>
        <w:pStyle w:val="ParaNum"/>
      </w:pPr>
      <w:r w:rsidRPr="008A1C8E">
        <w:t>We</w:t>
      </w:r>
      <w:r>
        <w:t xml:space="preserve"> seek comment on how technical and other developments in the broadcast industry have affected multicasting.  Are some multicast streams functioning as the equivalent of separate broadcast stations?  We note that multicasting has enabled broadcasters to bring more programming to consumers, particularly in smaller, rural markets, by expanding the availability of the four major networks and newer networks.</w:t>
      </w:r>
      <w:r>
        <w:rPr>
          <w:rStyle w:val="FootnoteReference"/>
        </w:rPr>
        <w:footnoteReference w:id="198"/>
      </w:r>
      <w:r>
        <w:t xml:space="preserve">  Based on Commission staff review of Nielsen data, there are at least several dozen DMAs where a single entity holds affiliations with two Big Four networks by using a multicast stream to carry the second signal.  We seek comment on the characteristics of DMAs where major network affiliations are carried on multicast streams.  Are there certain markets where this practice is more commonplace?  We seek comment on whether dual affiliations with major networks remains limited to smaller markets or if the practice has become more widespread.  We seek comment on whether and how the Commission should evaluate multicast streams for purposes of the Local Television Ownership Rule.</w:t>
      </w:r>
    </w:p>
    <w:p w:rsidR="00B12C9D" w:rsidP="00B12C9D">
      <w:pPr>
        <w:pStyle w:val="ParaNum"/>
        <w:widowControl/>
      </w:pPr>
      <w:r>
        <w:rPr>
          <w:i/>
        </w:rPr>
        <w:t xml:space="preserve">Satellite Stations.  </w:t>
      </w:r>
      <w:r w:rsidRPr="004A5451">
        <w:t xml:space="preserve">Television satellite stations are full-power terrestrial broadcast stations authorized </w:t>
      </w:r>
      <w:r>
        <w:t>under Part 73 of the Commission’</w:t>
      </w:r>
      <w:r w:rsidRPr="004A5451">
        <w:t>s rules that generally retransmit some or all of the programming of another television station, known as the parent station, which typically is commonly owned or operated with the satellite station.</w:t>
      </w:r>
      <w:r>
        <w:rPr>
          <w:rStyle w:val="FootnoteReference"/>
        </w:rPr>
        <w:footnoteReference w:id="199"/>
      </w:r>
      <w:r w:rsidRPr="004A5451">
        <w:t xml:space="preserve">  </w:t>
      </w:r>
      <w:r>
        <w:t>We seek comment on the use of television satellite stations, which are exempted from the Local Television Ownership Rule,</w:t>
      </w:r>
      <w:r>
        <w:rPr>
          <w:rStyle w:val="FootnoteReference"/>
        </w:rPr>
        <w:footnoteReference w:id="200"/>
      </w:r>
      <w:r>
        <w:t xml:space="preserve"> to carry two Big Four networks in a market.  For instance, how should we treat a situation in which a licensee utilizes multicasting to air two Big Four networks on a parent station (e.g., one on the primary stream and one on a multicast stream), and airs the same two Big Four networks on a satellite station?  How prevalent is this practice, and is it consistent with the purposes behind allowing television satellite stations in the first </w:t>
      </w:r>
      <w:r>
        <w:t xml:space="preserve">place, which are generally intended to bring over-the-air television service to unserved areas?  Are there benefits to allowing this practice that outweigh any potential harms?  We seek comment on whether this issue should be addressed through modification of the satellite exemption to the Local Television Ownership Rule or, alternatively, in the context of the satellite authorization process.           </w:t>
      </w:r>
    </w:p>
    <w:p w:rsidR="00B12C9D" w:rsidP="00B12C9D">
      <w:pPr>
        <w:pStyle w:val="ParaNum"/>
      </w:pPr>
      <w:r w:rsidRPr="0039384C">
        <w:rPr>
          <w:i/>
        </w:rPr>
        <w:t>Low Power Television Stations</w:t>
      </w:r>
      <w:r>
        <w:t>.  We note that changes in industry practice and technological advances may have extended the reach and enhanced the capabilities of classes of broadcast stations that are currently exempt from local television ownership limits.</w:t>
      </w:r>
      <w:r>
        <w:rPr>
          <w:rStyle w:val="FootnoteReference"/>
        </w:rPr>
        <w:footnoteReference w:id="201"/>
      </w:r>
      <w:r>
        <w:t xml:space="preserve">  Based on a review of Nielsen data by Commission staff, there are a significant number of instances where a low power station is affiliated with a Big Four network.  By virtue of this affiliation, MVPDs are likely willing to carry the low power stations despite their status as low power stations.</w:t>
      </w:r>
      <w:r>
        <w:rPr>
          <w:rStyle w:val="FootnoteReference"/>
        </w:rPr>
        <w:footnoteReference w:id="202"/>
      </w:r>
      <w:r>
        <w:t xml:space="preserve">  If low power stations can in this way become the functional equivalent of full power stations in certain instances, should the Commission account for the number of low power television stations as part of its Local Television Ownership Rule in some way, and if so, how?  For instance, should a low power station that is ranked among the top four stations in audience share in a DMA be counted as a top-four station for purposes of the Top-Four Prohibition? </w:t>
      </w:r>
    </w:p>
    <w:p w:rsidR="00B12C9D" w:rsidRPr="008D28CC" w:rsidP="00B12C9D">
      <w:pPr>
        <w:pStyle w:val="ParaNum"/>
      </w:pPr>
      <w:r w:rsidRPr="00BA5B51">
        <w:rPr>
          <w:i/>
        </w:rPr>
        <w:t>Next Generation Broadcast Television Transmission Standard</w:t>
      </w:r>
      <w:r>
        <w:t xml:space="preserve">.  Currently, the broadcast television industry is developing a new transmission standard called Advanced Television Systems Committee (ATSC) 3.0 </w:t>
      </w:r>
      <w:r w:rsidRPr="00154FD0">
        <w:t>with the intent of merging the ca</w:t>
      </w:r>
      <w:r>
        <w:t>pabilities of over-the-air</w:t>
      </w:r>
      <w:r w:rsidRPr="00154FD0">
        <w:t xml:space="preserve"> broadcasting with the broadband viewing and information delivery methods of the Internet, using the same 6 MHz channels presently allocated for DTV</w:t>
      </w:r>
      <w:r>
        <w:t xml:space="preserve"> service</w:t>
      </w:r>
      <w:r w:rsidRPr="00154FD0">
        <w:t>.</w:t>
      </w:r>
      <w:r>
        <w:rPr>
          <w:rStyle w:val="FootnoteReference"/>
        </w:rPr>
        <w:footnoteReference w:id="203"/>
      </w:r>
      <w:r>
        <w:t xml:space="preserve">  </w:t>
      </w:r>
      <w:r>
        <w:rPr>
          <w:szCs w:val="22"/>
        </w:rPr>
        <w:t xml:space="preserve">According to ATSC 3.0 advocates, the </w:t>
      </w:r>
      <w:r w:rsidRPr="00D94208">
        <w:rPr>
          <w:szCs w:val="22"/>
        </w:rPr>
        <w:t>new standard has the potential to improve broadcast signal reception</w:t>
      </w:r>
      <w:r>
        <w:rPr>
          <w:szCs w:val="22"/>
        </w:rPr>
        <w:t xml:space="preserve"> greatly</w:t>
      </w:r>
      <w:r w:rsidRPr="00D94208">
        <w:rPr>
          <w:szCs w:val="22"/>
        </w:rPr>
        <w:t>, particularly on mobile devices and television receive</w:t>
      </w:r>
      <w:r>
        <w:rPr>
          <w:szCs w:val="22"/>
        </w:rPr>
        <w:t>rs without outdoor antennas.</w:t>
      </w:r>
      <w:r>
        <w:rPr>
          <w:rStyle w:val="FootnoteReference"/>
          <w:szCs w:val="22"/>
        </w:rPr>
        <w:footnoteReference w:id="204"/>
      </w:r>
      <w:r>
        <w:rPr>
          <w:szCs w:val="22"/>
        </w:rPr>
        <w:t xml:space="preserve"> </w:t>
      </w:r>
      <w:r w:rsidRPr="00D94208">
        <w:rPr>
          <w:szCs w:val="22"/>
        </w:rPr>
        <w:t xml:space="preserve"> </w:t>
      </w:r>
      <w:r>
        <w:rPr>
          <w:szCs w:val="22"/>
        </w:rPr>
        <w:t>ATSC 3.0</w:t>
      </w:r>
      <w:r w:rsidRPr="00D94208">
        <w:rPr>
          <w:szCs w:val="22"/>
        </w:rPr>
        <w:t xml:space="preserve"> will enable broadcasters to offer enhanced and innovative new features to consumers, including Ultra High Definition (UHD) picture and immersive audio, more localized programming content, an advanced emergency alert system (EAS) capable of waking up sleeping devices to warn consumers of imminent emergencies, better accessibility options, and interactive services.</w:t>
      </w:r>
      <w:r>
        <w:rPr>
          <w:rStyle w:val="FootnoteReference"/>
          <w:szCs w:val="22"/>
        </w:rPr>
        <w:footnoteReference w:id="205"/>
      </w:r>
      <w:r>
        <w:rPr>
          <w:szCs w:val="22"/>
        </w:rPr>
        <w:t xml:space="preserve">  </w:t>
      </w:r>
    </w:p>
    <w:p w:rsidR="00B12C9D" w:rsidRPr="008A1C8E" w:rsidP="00B12C9D">
      <w:pPr>
        <w:pStyle w:val="ParaNum"/>
      </w:pPr>
      <w:r>
        <w:t>We seek comment on the implications, if any, of the new broadcast television transmission standard on the Local Television Ownership Rule.  Conversely, we seek comment on whether any provisions of the Local Television Ownership Rule potentially could affect adoption and deployment of the new transmission standard.  How, if at all, should the Commission consider in the context of local television ownership the decisions of television broadcasters to adopt voluntarily the ATSC 3.0 transmission standard going forward?</w:t>
      </w:r>
    </w:p>
    <w:p w:rsidR="00B12C9D" w:rsidP="00B12C9D">
      <w:pPr>
        <w:pStyle w:val="ParaNum"/>
      </w:pPr>
      <w:r w:rsidRPr="00E8797B">
        <w:rPr>
          <w:i/>
        </w:rPr>
        <w:t>Minority and Female Ownership</w:t>
      </w:r>
      <w:r>
        <w:t xml:space="preserve">.  </w:t>
      </w:r>
      <w:r w:rsidRPr="00D7336F">
        <w:t xml:space="preserve">We </w:t>
      </w:r>
      <w:r>
        <w:t xml:space="preserve">also </w:t>
      </w:r>
      <w:r w:rsidRPr="00D7336F">
        <w:t>s</w:t>
      </w:r>
      <w:r>
        <w:t xml:space="preserve">eek comment on how retaining, modifying, or eliminating the </w:t>
      </w:r>
      <w:r w:rsidRPr="00D7336F">
        <w:t xml:space="preserve">local television rule </w:t>
      </w:r>
      <w:r>
        <w:t>would affect broadcast television ownership and entry by</w:t>
      </w:r>
      <w:r w:rsidRPr="00D7336F">
        <w:t xml:space="preserve"> minority and female owners</w:t>
      </w:r>
      <w:r>
        <w:t>, if at all</w:t>
      </w:r>
      <w:r w:rsidRPr="00D7336F">
        <w:t>.</w:t>
      </w:r>
      <w:r>
        <w:t xml:space="preserve">  The Commission has stated previously that, w</w:t>
      </w:r>
      <w:r w:rsidRPr="00BE2FE8">
        <w:t xml:space="preserve">hile </w:t>
      </w:r>
      <w:r>
        <w:t>the</w:t>
      </w:r>
      <w:r w:rsidRPr="00BE2FE8">
        <w:t xml:space="preserve"> Local Television Ownership Rule promote</w:t>
      </w:r>
      <w:r>
        <w:t>s</w:t>
      </w:r>
      <w:r w:rsidRPr="00BE2FE8">
        <w:t xml:space="preserve"> competition among broadcast television stations in local markets and </w:t>
      </w:r>
      <w:r>
        <w:t>is</w:t>
      </w:r>
      <w:r w:rsidRPr="00BE2FE8">
        <w:t xml:space="preserve"> </w:t>
      </w:r>
      <w:r>
        <w:t xml:space="preserve">not meant to </w:t>
      </w:r>
      <w:r w:rsidRPr="00BE2FE8">
        <w:t>preserv</w:t>
      </w:r>
      <w:r>
        <w:t>e</w:t>
      </w:r>
      <w:r w:rsidRPr="00BE2FE8">
        <w:t xml:space="preserve"> or creat</w:t>
      </w:r>
      <w:r>
        <w:t>e</w:t>
      </w:r>
      <w:r w:rsidRPr="00BE2FE8">
        <w:t xml:space="preserve"> specific amounts of minority and female ownership, the rule nevertheless promotes opportunities for diversity i</w:t>
      </w:r>
      <w:r>
        <w:t>n local television ownership.</w:t>
      </w:r>
      <w:r>
        <w:rPr>
          <w:rStyle w:val="FootnoteReference"/>
        </w:rPr>
        <w:footnoteReference w:id="206"/>
      </w:r>
      <w:r>
        <w:t xml:space="preserve"> </w:t>
      </w:r>
      <w:r w:rsidRPr="00BE2FE8">
        <w:t xml:space="preserve"> The competition-based rule helps to </w:t>
      </w:r>
      <w:r w:rsidRPr="00BE2FE8">
        <w:t>ensure the presence of independently owned broadcast television stations in the local market, thereby indirectly increasing the likelihood of a variety of viewpoints and preserving ownership opportunities for new entrants</w:t>
      </w:r>
      <w:r>
        <w:t>.</w:t>
      </w:r>
      <w:r>
        <w:rPr>
          <w:rStyle w:val="FootnoteReference"/>
        </w:rPr>
        <w:footnoteReference w:id="207"/>
      </w:r>
      <w:r>
        <w:t xml:space="preserve">  </w:t>
      </w:r>
      <w:r w:rsidRPr="00BE2FE8">
        <w:t>No data</w:t>
      </w:r>
      <w:r>
        <w:t xml:space="preserve"> in the previous record</w:t>
      </w:r>
      <w:r w:rsidRPr="00BE2FE8">
        <w:t xml:space="preserve"> </w:t>
      </w:r>
      <w:r>
        <w:t>indicated</w:t>
      </w:r>
      <w:r w:rsidRPr="00BE2FE8">
        <w:t xml:space="preserve"> that the duopoly rule has reduced minority ownership or suggest</w:t>
      </w:r>
      <w:r>
        <w:t>ed</w:t>
      </w:r>
      <w:r w:rsidRPr="00BE2FE8">
        <w:t xml:space="preserve"> that a return to the </w:t>
      </w:r>
      <w:r>
        <w:t>single station per licensee</w:t>
      </w:r>
      <w:r w:rsidRPr="00BE2FE8">
        <w:t xml:space="preserve"> rule would increase ownership opportunities for minorities and women</w:t>
      </w:r>
      <w:r>
        <w:t>.</w:t>
      </w:r>
      <w:r>
        <w:rPr>
          <w:rStyle w:val="FootnoteReference"/>
        </w:rPr>
        <w:footnoteReference w:id="208"/>
      </w:r>
      <w:r>
        <w:t xml:space="preserve">  </w:t>
      </w:r>
      <w:r w:rsidRPr="00BE2FE8">
        <w:t xml:space="preserve">While the data </w:t>
      </w:r>
      <w:r>
        <w:t>did indicate</w:t>
      </w:r>
      <w:r w:rsidRPr="00BE2FE8">
        <w:t xml:space="preserve"> an increase in minority ownership following relaxation of the Local Television Ownership Rule, </w:t>
      </w:r>
      <w:r>
        <w:t>there was no evidence in the record that established a</w:t>
      </w:r>
      <w:r w:rsidRPr="00BE2FE8">
        <w:t xml:space="preserve"> causa</w:t>
      </w:r>
      <w:r>
        <w:t>l connection.</w:t>
      </w:r>
      <w:r>
        <w:rPr>
          <w:rStyle w:val="FootnoteReference"/>
        </w:rPr>
        <w:footnoteReference w:id="209"/>
      </w:r>
      <w:r>
        <w:t xml:space="preserve">  We seek data and a new updated record on the effects of the Local Television Ownership Rule on minority and female broadcast ownership and entry.  We also seek comment on how retaining or modifying the </w:t>
      </w:r>
      <w:r w:rsidRPr="00D7336F">
        <w:t xml:space="preserve">local television rule </w:t>
      </w:r>
      <w:r>
        <w:t>might affect broadcast television ownership and entry by small business owners, if at all.</w:t>
      </w:r>
    </w:p>
    <w:p w:rsidR="00B12C9D" w:rsidP="00B12C9D">
      <w:pPr>
        <w:pStyle w:val="ParaNum"/>
      </w:pPr>
      <w:r w:rsidRPr="0091003F">
        <w:rPr>
          <w:i/>
        </w:rPr>
        <w:t>Broadcast Spectrum Auction</w:t>
      </w:r>
      <w:r>
        <w:t xml:space="preserve">.  In the </w:t>
      </w:r>
      <w:r w:rsidRPr="0057420D">
        <w:rPr>
          <w:i/>
        </w:rPr>
        <w:t>2010/2014 Quadrennial Review Order</w:t>
      </w:r>
      <w:r>
        <w:t xml:space="preserve">, the Commission stated that it could not </w:t>
      </w:r>
      <w:r w:rsidRPr="0057420D">
        <w:t>analyze</w:t>
      </w:r>
      <w:r>
        <w:t xml:space="preserve"> yet</w:t>
      </w:r>
      <w:r w:rsidRPr="0057420D">
        <w:t xml:space="preserve"> the implications of the incentive auction for the Local Tel</w:t>
      </w:r>
      <w:r>
        <w:t>evision Ownership Rule</w:t>
      </w:r>
      <w:r w:rsidRPr="0057420D">
        <w:t>.</w:t>
      </w:r>
      <w:r>
        <w:t xml:space="preserve">  The Commission released a public notice on April 13, 2017, announcing the results of the reverse and forward auctions and the repacking of the broadcast television spectrum.</w:t>
      </w:r>
      <w:r>
        <w:rPr>
          <w:rStyle w:val="FootnoteReference"/>
        </w:rPr>
        <w:footnoteReference w:id="210"/>
      </w:r>
      <w:r>
        <w:t xml:space="preserve">  Pursuant to the Spectrum Act authorizing the incentive auction, the release of that Public Notice also marked the completion of the reverse and forward auctions and the start of the 39-month post-auction transition period.</w:t>
      </w:r>
      <w:r>
        <w:rPr>
          <w:rStyle w:val="FootnoteReference"/>
        </w:rPr>
        <w:footnoteReference w:id="211"/>
      </w:r>
      <w:r>
        <w:t xml:space="preserve">  Given the completion of the reverse and forward auctions and the subsequent surrender of spectrum and/or initiation of channel-sharing agreements, we seek comment on whether the auctions’ effects on local television ownership have any implication on retention or modification of the Local Television Ownership Rule. </w:t>
      </w:r>
    </w:p>
    <w:p w:rsidR="00B12C9D" w:rsidP="00B12C9D">
      <w:pPr>
        <w:pStyle w:val="ParaNum"/>
        <w:widowControl/>
      </w:pPr>
      <w:r>
        <w:rPr>
          <w:i/>
        </w:rPr>
        <w:t>Shared Service Agreements</w:t>
      </w:r>
      <w:r>
        <w:t xml:space="preserve">.  In the </w:t>
      </w:r>
      <w:r w:rsidRPr="00323C9A">
        <w:rPr>
          <w:i/>
        </w:rPr>
        <w:t>2010/2014 Quadrennial Review Order</w:t>
      </w:r>
      <w:r>
        <w:t>, t</w:t>
      </w:r>
      <w:r w:rsidRPr="008E4F95">
        <w:t xml:space="preserve">he Commission adopted a definition of </w:t>
      </w:r>
      <w:r>
        <w:t>shared service agreements (</w:t>
      </w:r>
      <w:r w:rsidRPr="008E4F95">
        <w:t>SSAs</w:t>
      </w:r>
      <w:r>
        <w:t>)</w:t>
      </w:r>
      <w:r w:rsidRPr="008E4F95">
        <w:t xml:space="preserve"> and a requirement that commercial television stations disclose SSAs by placing them in their online public inspection files</w:t>
      </w:r>
      <w:r>
        <w:t>.</w:t>
      </w:r>
      <w:r>
        <w:rPr>
          <w:rStyle w:val="FootnoteReference"/>
        </w:rPr>
        <w:footnoteReference w:id="212"/>
      </w:r>
      <w:r w:rsidRPr="008E4F95">
        <w:t xml:space="preserve"> </w:t>
      </w:r>
      <w:r>
        <w:t xml:space="preserve"> The Commission found that lack of knowledge about the content, scope, and prevalence of SSAs impeded its ability to evaluate the impact of these agreements, if any, on the Commission’s policy goals, particularly with respect to broadcast ownership.</w:t>
      </w:r>
      <w:r>
        <w:rPr>
          <w:rStyle w:val="FootnoteReference"/>
        </w:rPr>
        <w:footnoteReference w:id="213"/>
      </w:r>
      <w:r>
        <w:t xml:space="preserve">  Broadcast commenters in the proceeding opposed the disclosure requirement based on concerns that disclosure would be unduly burdensome, discourage stations from entering into SSAs, and constitute intrusion into the day-to-day operations of broadcast stations.</w:t>
      </w:r>
      <w:r>
        <w:rPr>
          <w:rStyle w:val="FootnoteReference"/>
        </w:rPr>
        <w:footnoteReference w:id="214"/>
      </w:r>
      <w:r>
        <w:t xml:space="preserve">  The </w:t>
      </w:r>
      <w:r w:rsidRPr="00323C9A">
        <w:rPr>
          <w:i/>
        </w:rPr>
        <w:t>2010/2014 Quadrennial Review Order on Reconsideration</w:t>
      </w:r>
      <w:r>
        <w:t xml:space="preserve"> upheld the disclosure requirement, and the requirement became effective on March 23, 2018.</w:t>
      </w:r>
      <w:r>
        <w:rPr>
          <w:rStyle w:val="FootnoteReference"/>
        </w:rPr>
        <w:footnoteReference w:id="215"/>
      </w:r>
      <w:r>
        <w:t xml:space="preserve">  We seek comment on what action, if any, the Commission should take on SSAs in the context of our review of the Local Television Ownership Rule.  </w:t>
      </w:r>
      <w:r>
        <w:t>Should we continue to require the filing of SSAs with the Commission</w:t>
      </w:r>
      <w:r w:rsidRPr="00986197">
        <w:t xml:space="preserve"> </w:t>
      </w:r>
      <w:r>
        <w:t xml:space="preserve">or should that requirement be eliminated?  What, if anything, have commenters learned from the filing of these agreements so far?  </w:t>
      </w:r>
    </w:p>
    <w:p w:rsidR="00B12C9D" w:rsidP="00B12C9D">
      <w:pPr>
        <w:pStyle w:val="ParaNum"/>
      </w:pPr>
      <w:r>
        <w:rPr>
          <w:i/>
        </w:rPr>
        <w:t>Cost-</w:t>
      </w:r>
      <w:r w:rsidRPr="000F69F7">
        <w:rPr>
          <w:i/>
        </w:rPr>
        <w:t>Benefit Analysis</w:t>
      </w:r>
      <w:r>
        <w:t>.  Finally, we seek comment on how to compare the benefits and costs associated with retaining, modifying, or eliminating the Local Television Ownership Rule, including the Top-Four Prohibition.  We seek comments supporting modification or elimination of the rule that explain the anticipated economic impact of any proposed action and, where possible, quantify benefits and costs of proposed actions and alternatives.  Does the current Local Television Ownership Rule create benefits or costs for any segment of consumers?  Does the rule create benefits or costs for any segment of the industry that should be counted as social benefits or costs rather than transfers from one segment of the industry to another?  How does the rule create these benefits and costs, and what evidence supports this explanation?  How can the value of these benefits and costs be measured for parties receiving them?  What factors create uncertainty about the existence or size of these benefits and costs, and how should the Commission’s economic analysis take these uncertainties into account?</w:t>
      </w:r>
    </w:p>
    <w:p w:rsidR="00B12C9D" w:rsidP="00B12C9D">
      <w:pPr>
        <w:pStyle w:val="ParaNum"/>
      </w:pPr>
      <w:r>
        <w:t>How would elimination of the Local Television Ownership Rule alter these benefits and costs?  What are the comparative benefits and costs of modifying the rule rather than eliminating it entirely?  For instance, would loosening the current local television ownership restrictions lead to any consumer benefits, such as increased competition, choice, innovation, or investment in programming?  What amount of additional scale above the current ownership limit would be required to realize such benefits?  Would these benefits conflict with, or come at a cost to, our traditional policy goals of competition, localism, or viewpoint diversity, and if so, how should we measure and evaluate these tradeoffs?  What are the comparative benefits and costs of tightening the current restrictions?  We seek comments that support claims about benefits and costs with relevant economic theory and evidence, including empirical analysis and data.</w:t>
      </w:r>
    </w:p>
    <w:p w:rsidR="00B12C9D" w:rsidP="00B12C9D">
      <w:pPr>
        <w:pStyle w:val="Heading2"/>
      </w:pPr>
      <w:bookmarkStart w:id="27" w:name="_Toc527713807"/>
      <w:bookmarkStart w:id="28" w:name="_Toc532379631"/>
      <w:bookmarkStart w:id="29" w:name="_Toc532379667"/>
      <w:r>
        <w:t>Dual Network Rule</w:t>
      </w:r>
      <w:bookmarkEnd w:id="27"/>
      <w:bookmarkEnd w:id="28"/>
      <w:bookmarkEnd w:id="29"/>
    </w:p>
    <w:p w:rsidR="00B12C9D" w:rsidP="00B12C9D">
      <w:pPr>
        <w:pStyle w:val="Heading3"/>
      </w:pPr>
      <w:bookmarkStart w:id="30" w:name="_Toc532379632"/>
      <w:r>
        <w:t>Introduction</w:t>
      </w:r>
      <w:bookmarkEnd w:id="30"/>
    </w:p>
    <w:p w:rsidR="00B12C9D" w:rsidP="00B12C9D">
      <w:pPr>
        <w:pStyle w:val="ParaNum"/>
      </w:pPr>
      <w:r>
        <w:t xml:space="preserve">In this section, pursuant to the statutory requirement imposed by Congress, we seek comment on whether the Dual Network Rule, which effectively prohibits a merger between or among the Big Four broadcast networks (ABC, CBS, Fox, and NBC), is necessary in the public interest as a result of competition or whether it should be modified or repealed.  Specifically, we seek comment on whether the rule remains necessary to promote our goals of competition, viewpoint diversity and localism.  In addition, we seek comment on </w:t>
      </w:r>
      <w:r w:rsidRPr="00754C9D">
        <w:t xml:space="preserve">whether </w:t>
      </w:r>
      <w:r>
        <w:t xml:space="preserve">the benefits of the rule continue to outweigh any costs.  </w:t>
      </w:r>
    </w:p>
    <w:p w:rsidR="00B12C9D" w:rsidP="00B12C9D">
      <w:pPr>
        <w:pStyle w:val="Heading3"/>
        <w:widowControl/>
      </w:pPr>
      <w:bookmarkStart w:id="31" w:name="_Toc532379633"/>
      <w:r>
        <w:t>Background</w:t>
      </w:r>
      <w:bookmarkEnd w:id="31"/>
    </w:p>
    <w:p w:rsidR="00B12C9D" w:rsidP="00B12C9D">
      <w:pPr>
        <w:pStyle w:val="ParaNum"/>
        <w:widowControl/>
      </w:pPr>
      <w:r>
        <w:t>The Dual Network Rule provides:</w:t>
      </w:r>
      <w:r w:rsidRPr="00E15B76">
        <w:t xml:space="preserve"> </w:t>
      </w:r>
      <w:r>
        <w:t xml:space="preserve"> “A television broadcast station may affiliate with a person or entity that maintains two or more networks of television broadcast stations unless such dual or multiple networks are composed of two or more persons or entities that, on February 8, 1996, were ‘networks’ as defined in § 73.3613(a)(1) of the Commission’s regulations (that is, ABC, CBS, Fox and NBC).”</w:t>
      </w:r>
      <w:r>
        <w:rPr>
          <w:rStyle w:val="FootnoteReference"/>
        </w:rPr>
        <w:footnoteReference w:id="216"/>
      </w:r>
      <w:r>
        <w:t xml:space="preserve">  Thus the rule permits common ownership of multiple broadcast networks, but effectively prohibits a merger between or among the Big Four networks, ABC, CBS, Fox and NBC.</w:t>
      </w:r>
      <w:r w:rsidRPr="008F63DE">
        <w:t xml:space="preserve"> </w:t>
      </w:r>
      <w:r>
        <w:t xml:space="preserve"> A version of the rule has existed since the 1940s, and had changed little prior to 1996, when the rule was modified in response to the Telecommunications Act of 1996.</w:t>
      </w:r>
      <w:r>
        <w:rPr>
          <w:rStyle w:val="FootnoteReference"/>
        </w:rPr>
        <w:footnoteReference w:id="217"/>
      </w:r>
      <w:r>
        <w:t xml:space="preserve">  </w:t>
      </w:r>
    </w:p>
    <w:p w:rsidR="00B12C9D" w:rsidP="00B12C9D">
      <w:pPr>
        <w:pStyle w:val="ParaNum"/>
        <w:widowControl/>
      </w:pPr>
      <w:r>
        <w:t xml:space="preserve">The Commission most recently considered the Dual Network Rule in the </w:t>
      </w:r>
      <w:r w:rsidRPr="0079593C">
        <w:rPr>
          <w:i/>
        </w:rPr>
        <w:t>2010/2014 Quadrennial Review Order</w:t>
      </w:r>
      <w:r>
        <w:t xml:space="preserve"> and concluded that the rule </w:t>
      </w:r>
      <w:r w:rsidRPr="0079593C">
        <w:rPr>
          <w:snapToGrid/>
          <w:kern w:val="0"/>
        </w:rPr>
        <w:t>continues to be necessary in the public interest to promote competition and localism.</w:t>
      </w:r>
      <w:r>
        <w:rPr>
          <w:rStyle w:val="FootnoteReference"/>
          <w:snapToGrid/>
          <w:kern w:val="0"/>
        </w:rPr>
        <w:footnoteReference w:id="218"/>
      </w:r>
      <w:r w:rsidRPr="0079593C">
        <w:rPr>
          <w:snapToGrid/>
          <w:kern w:val="0"/>
        </w:rPr>
        <w:t xml:space="preserve">  </w:t>
      </w:r>
      <w:r>
        <w:rPr>
          <w:snapToGrid/>
          <w:kern w:val="0"/>
        </w:rPr>
        <w:t>With respect to competition, the Commission found the rule necessary to promote both competition in the provision of primetime entertainment programming and the sale of national advertising.</w:t>
      </w:r>
      <w:r>
        <w:rPr>
          <w:rStyle w:val="FootnoteReference"/>
          <w:snapToGrid/>
          <w:kern w:val="0"/>
        </w:rPr>
        <w:footnoteReference w:id="219"/>
      </w:r>
      <w:r>
        <w:rPr>
          <w:snapToGrid/>
          <w:kern w:val="0"/>
        </w:rPr>
        <w:t xml:space="preserve">  </w:t>
      </w:r>
    </w:p>
    <w:p w:rsidR="00B12C9D" w:rsidP="00B12C9D">
      <w:pPr>
        <w:pStyle w:val="Heading3"/>
      </w:pPr>
      <w:bookmarkStart w:id="32" w:name="_Toc532379634"/>
      <w:r>
        <w:t>Discussion</w:t>
      </w:r>
      <w:bookmarkEnd w:id="32"/>
    </w:p>
    <w:p w:rsidR="00B12C9D" w:rsidP="00B12C9D">
      <w:pPr>
        <w:pStyle w:val="ParaNum"/>
        <w:tabs>
          <w:tab w:val="left" w:pos="1440"/>
        </w:tabs>
      </w:pPr>
      <w:r>
        <w:rPr>
          <w:i/>
        </w:rPr>
        <w:t xml:space="preserve">Competition.  </w:t>
      </w:r>
      <w:r>
        <w:t xml:space="preserve">We seek comment on whether the Dual Network Rule is necessary in the public interest as a result of competition.  </w:t>
      </w:r>
      <w:r>
        <w:rPr>
          <w:snapToGrid/>
        </w:rPr>
        <w:t>In conducting its analysis of whether the Dual Network Rule remains necessary, the Commission traditionally has considered broadcast networks as participating in the video marketplace in two ways:  1) assembling and distributing a collection of programming suitable for large, national audiences, and 2) selling advertising based on this programming to large, national advertisers.  Does the Dual Network Rule continue to be relevant to competition or network behavior in either or both of these segments?</w:t>
      </w:r>
      <w:r w:rsidRPr="00CC7585">
        <w:rPr>
          <w:snapToGrid/>
        </w:rPr>
        <w:t xml:space="preserve">  </w:t>
      </w:r>
      <w:r>
        <w:rPr>
          <w:snapToGrid/>
        </w:rPr>
        <w:t xml:space="preserve">The </w:t>
      </w:r>
      <w:r w:rsidRPr="00CC7585">
        <w:rPr>
          <w:snapToGrid/>
        </w:rPr>
        <w:t xml:space="preserve">Commission previously has concluded that </w:t>
      </w:r>
      <w:r>
        <w:rPr>
          <w:snapToGrid/>
        </w:rPr>
        <w:t>“the primetime entertainment programming provided by the Big Four broadcast networks and national television advertising time are each a distinct product—the availability, price, and quality of which could be restricted, to the detriment of consumers, if two [Big Four broadcast networks] were permitted to merge.”</w:t>
      </w:r>
      <w:r>
        <w:rPr>
          <w:rStyle w:val="FootnoteReference"/>
          <w:kern w:val="0"/>
        </w:rPr>
        <w:footnoteReference w:id="220"/>
      </w:r>
      <w:r w:rsidRPr="00CC7585">
        <w:rPr>
          <w:snapToGrid/>
        </w:rPr>
        <w:t xml:space="preserve">  </w:t>
      </w:r>
      <w:r>
        <w:rPr>
          <w:snapToGrid/>
        </w:rPr>
        <w:t>Does this conclusion remain valid?</w:t>
      </w:r>
    </w:p>
    <w:p w:rsidR="00B12C9D" w:rsidP="00B12C9D">
      <w:pPr>
        <w:pStyle w:val="ParaNum"/>
        <w:tabs>
          <w:tab w:val="left" w:pos="1440"/>
        </w:tabs>
      </w:pPr>
      <w:r>
        <w:t xml:space="preserve">With respect to viewership, in the </w:t>
      </w:r>
      <w:r w:rsidRPr="00D81515">
        <w:rPr>
          <w:i/>
        </w:rPr>
        <w:t>2010/2014 Quadrennial Review</w:t>
      </w:r>
      <w:r>
        <w:rPr>
          <w:i/>
        </w:rPr>
        <w:t xml:space="preserve"> Order, </w:t>
      </w:r>
      <w:r>
        <w:t>based on Nielsen data,</w:t>
      </w:r>
      <w:r>
        <w:rPr>
          <w:i/>
        </w:rPr>
        <w:t xml:space="preserve"> </w:t>
      </w:r>
      <w:r>
        <w:t>the Commission</w:t>
      </w:r>
      <w:r w:rsidRPr="00D81515">
        <w:rPr>
          <w:i/>
        </w:rPr>
        <w:t xml:space="preserve"> </w:t>
      </w:r>
      <w:r>
        <w:t>concluded that, “while certain cable networks have continued to air a discrete number of individual programs or episodes that have become increasingly capable of attracting primetime audiences on par with, or even greater than, the top-four broadcast networks, no one cable network – let alone several – has been able to consistently deliver such audiences beyond individual programs or episodes.”</w:t>
      </w:r>
      <w:r w:rsidRPr="00162E8D">
        <w:rPr>
          <w:rStyle w:val="FootnoteReference"/>
        </w:rPr>
        <w:t xml:space="preserve"> </w:t>
      </w:r>
      <w:r>
        <w:rPr>
          <w:rStyle w:val="FootnoteReference"/>
        </w:rPr>
        <w:footnoteReference w:id="221"/>
      </w:r>
      <w:r>
        <w:t xml:space="preserve">  The </w:t>
      </w:r>
      <w:r w:rsidRPr="0042465C">
        <w:rPr>
          <w:i/>
        </w:rPr>
        <w:t>18</w:t>
      </w:r>
      <w:r w:rsidRPr="0042465C">
        <w:rPr>
          <w:i/>
          <w:vertAlign w:val="superscript"/>
        </w:rPr>
        <w:t>th</w:t>
      </w:r>
      <w:r w:rsidRPr="0042465C">
        <w:rPr>
          <w:i/>
        </w:rPr>
        <w:t xml:space="preserve"> Video Competition Report</w:t>
      </w:r>
      <w:r>
        <w:t>, based on 2015 data, showed that broadcast affiliates still draw the largest share of total day and prime time viewing audiences in relation to independent stations and non-commercial and cable networks.</w:t>
      </w:r>
      <w:r>
        <w:rPr>
          <w:rStyle w:val="FootnoteReference"/>
        </w:rPr>
        <w:footnoteReference w:id="222"/>
      </w:r>
      <w:r>
        <w:t xml:space="preserve">  With respect to advertising rates, based on SNL Kagan data, the </w:t>
      </w:r>
      <w:r w:rsidRPr="003F73B6">
        <w:rPr>
          <w:i/>
        </w:rPr>
        <w:t>2010/2014 Quadrennial Review Order</w:t>
      </w:r>
      <w:r>
        <w:t xml:space="preserve"> found a continued wide disparity in advertising rates and revenue earned by the Big Four broadcast networks and other broadcast and cable networks.</w:t>
      </w:r>
      <w:r>
        <w:rPr>
          <w:rStyle w:val="FootnoteReference"/>
        </w:rPr>
        <w:footnoteReference w:id="223"/>
      </w:r>
      <w:r>
        <w:t xml:space="preserve">  The </w:t>
      </w:r>
      <w:r w:rsidRPr="0042465C">
        <w:rPr>
          <w:i/>
        </w:rPr>
        <w:t>18</w:t>
      </w:r>
      <w:r w:rsidRPr="0042465C">
        <w:rPr>
          <w:i/>
          <w:vertAlign w:val="superscript"/>
        </w:rPr>
        <w:t>th</w:t>
      </w:r>
      <w:r w:rsidRPr="0042465C">
        <w:rPr>
          <w:i/>
        </w:rPr>
        <w:t xml:space="preserve"> Video Competition Report</w:t>
      </w:r>
      <w:r>
        <w:t xml:space="preserve"> also showed that broadcast industry gross advertising </w:t>
      </w:r>
      <w:r>
        <w:t>revenue declined from $20,477,000 in 2014 to $18,879,000 in 2015 and from 75 percent to 69 percent as a share of total revenue, but that gross retransmission consent revenue increased.</w:t>
      </w:r>
      <w:r>
        <w:rPr>
          <w:rStyle w:val="FootnoteReference"/>
        </w:rPr>
        <w:footnoteReference w:id="224"/>
      </w:r>
      <w:r>
        <w:t xml:space="preserve">  We seek more current data on these topics.  Do these, or other recent developments, have any implications for the Commission’s competition rationale underlying the Dual Network Rule?</w:t>
      </w:r>
    </w:p>
    <w:p w:rsidR="00B12C9D" w:rsidP="00B12C9D">
      <w:pPr>
        <w:pStyle w:val="ParaNum"/>
      </w:pPr>
      <w:r>
        <w:t xml:space="preserve">In addition, </w:t>
      </w:r>
      <w:r>
        <w:rPr>
          <w:snapToGrid/>
          <w:kern w:val="0"/>
        </w:rPr>
        <w:t>t</w:t>
      </w:r>
      <w:r w:rsidRPr="0079593C">
        <w:rPr>
          <w:snapToGrid/>
          <w:kern w:val="0"/>
        </w:rPr>
        <w:t xml:space="preserve">he Commission previously has found that the </w:t>
      </w:r>
      <w:r>
        <w:rPr>
          <w:snapToGrid/>
          <w:kern w:val="0"/>
        </w:rPr>
        <w:t>Big Four</w:t>
      </w:r>
      <w:r w:rsidRPr="0079593C">
        <w:rPr>
          <w:snapToGrid/>
          <w:kern w:val="0"/>
        </w:rPr>
        <w:t xml:space="preserve"> networks operate as a “strategic group” in the national advertising market and that they </w:t>
      </w:r>
      <w:r>
        <w:t>largely compete among themselves for the most significant portion of the national advertising market, namely, advertisers that seek to reach national mass audiences.</w:t>
      </w:r>
      <w:r>
        <w:rPr>
          <w:rStyle w:val="FootnoteReference"/>
          <w:kern w:val="0"/>
        </w:rPr>
        <w:footnoteReference w:id="225"/>
      </w:r>
      <w:r>
        <w:t xml:space="preserve"> </w:t>
      </w:r>
      <w:r w:rsidRPr="006A1248">
        <w:t xml:space="preserve"> </w:t>
      </w:r>
      <w:r>
        <w:t>Does the Commission’s “strategic group” finding still hold true?  The Commission further has found that the programming provided by the Big Four networks was a distinct product that, when compared to other broadcast and cable programming, had a unique ability to regularly attract large prime-time audiences and thus command higher advertising rates.</w:t>
      </w:r>
      <w:r>
        <w:rPr>
          <w:rStyle w:val="FootnoteReference"/>
        </w:rPr>
        <w:footnoteReference w:id="226"/>
      </w:r>
      <w:r>
        <w:t xml:space="preserve">  Given the increasing number of video programmers in today’s market, as well as the increasing popularity of their programming, is network broadcast programming still a distinct product?  Does nightly network news programming, or any other programming, distinguish the broadcast networks, or are consumers now turning to other news or programming sources that remove this distinction?  Are there other producers of mass audience programming such that a merger between two of the Big Four broadcast networks would no longer harm competition for national advertising?  In the past, the Commission reviewed programming audience shares and the advertising rates and revenues of various programmers in making this determination.</w:t>
      </w:r>
      <w:r>
        <w:rPr>
          <w:rStyle w:val="FootnoteReference"/>
        </w:rPr>
        <w:footnoteReference w:id="227"/>
      </w:r>
      <w:r>
        <w:t xml:space="preserve">  Should the Commission continue to rely on these data, or are there other data or metrics it should consider?  Are there better sources of relevant data than the Commission has considered in the past?</w:t>
      </w:r>
    </w:p>
    <w:p w:rsidR="00B12C9D" w:rsidP="00B12C9D">
      <w:pPr>
        <w:pStyle w:val="ParaNum"/>
        <w:widowControl/>
      </w:pPr>
      <w:r>
        <w:t xml:space="preserve">One of the biggest changes in the video programming market has been online distribution of programming from a variety of sources.  </w:t>
      </w:r>
      <w:r w:rsidRPr="0077223B">
        <w:t>Today, OVDs—including linear multichannel streaming services</w:t>
      </w:r>
      <w:r>
        <w:t>, both those from social media companies and other online platforms,</w:t>
      </w:r>
      <w:r w:rsidRPr="0077223B">
        <w:t xml:space="preserve"> and direct-to-consumer offerings</w:t>
      </w:r>
      <w:r>
        <w:t xml:space="preserve"> by broadcast networks themselves</w:t>
      </w:r>
      <w:r w:rsidRPr="0077223B">
        <w:t>—</w:t>
      </w:r>
      <w:r>
        <w:t>reach millions of consumers.  Digital advertising on these or other online platforms is steadily increasing in market share and revenue share.  How, if at all, have these changes affected competition for national broadcast television advertising?  We seek comment on whether and how any such changes should affect our Dual Network Rule.</w:t>
      </w:r>
    </w:p>
    <w:p w:rsidR="00B12C9D" w:rsidP="00B12C9D">
      <w:pPr>
        <w:pStyle w:val="ParaNum"/>
        <w:widowControl/>
      </w:pPr>
      <w:r>
        <w:t>Finally, we seek comment on whether recent developments in the video programming and national advertising markets suggest that the Dual Network Rule should be modified to promote competition or eliminated.  If the rule is modified, what changes should we make?  Should networks be removed from or added to the rule?  If so, which networks?  What would be the basis for eliminating the rule?  If the rule were eliminated, would antitrust statutes or any other statutes, rules, or policies serve as a sufficient backstop to prevent undue consolidation between or among the Big Four networks?  Why or why not?</w:t>
      </w:r>
    </w:p>
    <w:p w:rsidR="00B12C9D" w:rsidRPr="0077223B" w:rsidP="00B12C9D">
      <w:pPr>
        <w:pStyle w:val="ParaNum"/>
        <w:tabs>
          <w:tab w:val="left" w:pos="1440"/>
        </w:tabs>
      </w:pPr>
      <w:r w:rsidRPr="0042465C">
        <w:rPr>
          <w:i/>
        </w:rPr>
        <w:t>Localism</w:t>
      </w:r>
      <w:r>
        <w:t xml:space="preserve">.  We seek comment on whether, consistent with the Commission’s previous findings, the Dual Network Rule remains necessary to promote localism; in particular, by maintaining a </w:t>
      </w:r>
      <w:r>
        <w:t>balance of power between the Big Four networks and their local affiliates.  To reach the largest possible national audience, the Big Four networks acquire their own broadcast stations, usually in the largest television markets, and enter into affiliation agreements with station owners throughout the rest of the country.  Through affiliation, a model which has existed for more than fifty years, networks benefit through wide delivery of their programming, and network affiliates benefit by gaining access to high-quality programming.  In the past, the Commission has found that the network-affiliate model balances competing interests:  networks have an economic incentive to ensure that programming appeals to a mass, nationwide audience and is widely shown by affiliates.  The Commission also concluded that affiliates, in contrast, have an economic incentive to gain viewers and attract advertising dollars by tailoring programming to their local audiences.  The Commission has found that affiliates therefore have an incentive to influence network programming choices to ensure that the programming serves local needs and interests.</w:t>
      </w:r>
      <w:r>
        <w:rPr>
          <w:rStyle w:val="FootnoteReference"/>
        </w:rPr>
        <w:footnoteReference w:id="228"/>
      </w:r>
      <w:r>
        <w:t xml:space="preserve">  Affiliates also may decide individually to preempt network programming if other programming that better serves the local audience is available.</w:t>
      </w:r>
      <w:r>
        <w:rPr>
          <w:rStyle w:val="FootnoteReference"/>
        </w:rPr>
        <w:footnoteReference w:id="229"/>
      </w:r>
      <w:r>
        <w:t xml:space="preserve">  In previous reviews, the Commission has concluded that the Dual Network Rule is necessary to retain the balance of bargaining power between the Big Four networks and their affiliates, so that affiliates can ensure that the needs and interests of local viewers, or localism, is served.</w:t>
      </w:r>
      <w:r>
        <w:rPr>
          <w:rStyle w:val="FootnoteReference"/>
        </w:rPr>
        <w:footnoteReference w:id="230"/>
      </w:r>
      <w:r w:rsidRPr="0077223B">
        <w:t xml:space="preserve">  </w:t>
      </w:r>
      <w:r>
        <w:t>We seek comment on whether these prior conclusions remain true in today’s video marketplace.</w:t>
      </w:r>
      <w:r w:rsidRPr="0077223B">
        <w:t xml:space="preserve">   </w:t>
      </w:r>
    </w:p>
    <w:p w:rsidR="00B12C9D" w:rsidRPr="0077223B" w:rsidP="00B12C9D">
      <w:pPr>
        <w:pStyle w:val="ParaNum"/>
      </w:pPr>
      <w:r w:rsidRPr="0077223B">
        <w:t>Evidence suggest</w:t>
      </w:r>
      <w:r>
        <w:t>s</w:t>
      </w:r>
      <w:r w:rsidRPr="0077223B">
        <w:t xml:space="preserve"> that broadcast network affiliation remains sought after and critical to many local stations’ success.</w:t>
      </w:r>
      <w:r>
        <w:rPr>
          <w:vertAlign w:val="superscript"/>
        </w:rPr>
        <w:footnoteReference w:id="231"/>
      </w:r>
      <w:r w:rsidRPr="0077223B">
        <w:t xml:space="preserve">  </w:t>
      </w:r>
      <w:r>
        <w:t>For instance, w</w:t>
      </w:r>
      <w:r w:rsidRPr="0077223B">
        <w:t>hile advertising revenue remains essential to broadcast stations, retransmission consent revenues now represent a much greater proportion of total revenue for many broadcast stations</w:t>
      </w:r>
      <w:r>
        <w:t xml:space="preserve"> than they had previously</w:t>
      </w:r>
      <w:r w:rsidRPr="0077223B">
        <w:t xml:space="preserve">, </w:t>
      </w:r>
      <w:r>
        <w:t xml:space="preserve">and </w:t>
      </w:r>
      <w:r w:rsidRPr="0077223B">
        <w:t xml:space="preserve">stations with </w:t>
      </w:r>
      <w:r>
        <w:t>Big Four</w:t>
      </w:r>
      <w:r w:rsidRPr="0077223B">
        <w:t xml:space="preserve"> network affiliations often receive the lion’s share of retransmission consent dollars from MVPDs in a local market.</w:t>
      </w:r>
      <w:r>
        <w:rPr>
          <w:sz w:val="20"/>
          <w:vertAlign w:val="superscript"/>
        </w:rPr>
        <w:footnoteReference w:id="232"/>
      </w:r>
      <w:r>
        <w:t xml:space="preserve">  In addition</w:t>
      </w:r>
      <w:r w:rsidRPr="0077223B">
        <w:t xml:space="preserve">, whereas local affiliates were once paid by networks to distribute network programming, today networks </w:t>
      </w:r>
      <w:r>
        <w:t xml:space="preserve">seek and receive </w:t>
      </w:r>
      <w:r w:rsidRPr="0077223B">
        <w:t>compensation from their affiliates in the form of reverse compensation payments.</w:t>
      </w:r>
      <w:r>
        <w:rPr>
          <w:vertAlign w:val="superscript"/>
        </w:rPr>
        <w:footnoteReference w:id="233"/>
      </w:r>
      <w:r w:rsidRPr="0077223B">
        <w:t xml:space="preserve">  According to one estimate, total industrywide reverse compensation payments paid by affiliates to broadcast networks have increased from roughly $300 million in 2010 to $2.9 billion in 2017.</w:t>
      </w:r>
      <w:r>
        <w:rPr>
          <w:vertAlign w:val="superscript"/>
        </w:rPr>
        <w:footnoteReference w:id="234"/>
      </w:r>
      <w:r w:rsidRPr="0077223B">
        <w:t xml:space="preserve">  </w:t>
      </w:r>
      <w:r>
        <w:t>T</w:t>
      </w:r>
      <w:r w:rsidRPr="0077223B">
        <w:t xml:space="preserve">here is some evidence </w:t>
      </w:r>
      <w:r>
        <w:t xml:space="preserve">too </w:t>
      </w:r>
      <w:r w:rsidRPr="0077223B">
        <w:t xml:space="preserve">that networks now exert leverage through oversight or approval of affiliate </w:t>
      </w:r>
      <w:r w:rsidRPr="0077223B">
        <w:t>retransmission consent negotiations</w:t>
      </w:r>
      <w:r>
        <w:t>,</w:t>
      </w:r>
      <w:r>
        <w:rPr>
          <w:vertAlign w:val="superscript"/>
        </w:rPr>
        <w:footnoteReference w:id="235"/>
      </w:r>
      <w:r w:rsidRPr="0077223B">
        <w:t xml:space="preserve"> and although not common, there have been some instances in recent years where a network dropped or threatened to drop a local affiliate in order to launch a network O&amp;O station in the </w:t>
      </w:r>
      <w:r>
        <w:t xml:space="preserve">same </w:t>
      </w:r>
      <w:r w:rsidRPr="0077223B">
        <w:t>market.</w:t>
      </w:r>
      <w:r>
        <w:t xml:space="preserve">  To what extent do networks extract a share of retransmission consent payment received by their affiliates?  How, if at all, should the Dual Network Rule account for these or other recent changes to the network/affiliate relationship? </w:t>
      </w:r>
      <w:r w:rsidRPr="0077223B">
        <w:rPr>
          <w:kern w:val="0"/>
        </w:rPr>
        <w:t xml:space="preserve"> </w:t>
      </w:r>
    </w:p>
    <w:p w:rsidR="00B12C9D" w:rsidP="00B12C9D">
      <w:pPr>
        <w:pStyle w:val="ParaNum"/>
      </w:pPr>
      <w:r w:rsidRPr="0077223B">
        <w:t xml:space="preserve">In addition, the rise of online video options in recent years also </w:t>
      </w:r>
      <w:r>
        <w:t>may have</w:t>
      </w:r>
      <w:r w:rsidRPr="0077223B">
        <w:t xml:space="preserve"> altered the network-affiliate dynamic.  </w:t>
      </w:r>
      <w:r>
        <w:t xml:space="preserve">As stated above, OVDs now </w:t>
      </w:r>
      <w:r w:rsidRPr="0077223B">
        <w:t>reach millions of consumers, creating new opportunities for networks to achieve widespread distribution without the direct involvement of network affiliates.  In the broadcast-MVPD world of retransmission consent, local affiliates may have some recourse against broadcast networks bypassing their affiliates in this manner by negotiating for, and if necessary enforcing via Commission rules, contractual network non-duplication rights, which protect a broadcast station’s right to be the exclusive distributor of network programming within a specified geographic zone.</w:t>
      </w:r>
      <w:r>
        <w:rPr>
          <w:vertAlign w:val="superscript"/>
        </w:rPr>
        <w:footnoteReference w:id="236"/>
      </w:r>
      <w:r w:rsidRPr="0077223B">
        <w:t xml:space="preserve">  By contrast, in the world of online video distribution, local affiliates lack a comparable regulatory backstop.  </w:t>
      </w:r>
      <w:bookmarkStart w:id="33" w:name="_Hlk516749412"/>
      <w:r w:rsidRPr="0077223B">
        <w:t>The ability of networks to achieve online distribution of network programming</w:t>
      </w:r>
      <w:r>
        <w:t xml:space="preserve"> in a local market</w:t>
      </w:r>
      <w:r w:rsidRPr="0077223B">
        <w:t xml:space="preserve">, without the need for local affiliates to consent, </w:t>
      </w:r>
      <w:r>
        <w:t>may give</w:t>
      </w:r>
      <w:r w:rsidRPr="0077223B">
        <w:t xml:space="preserve"> </w:t>
      </w:r>
      <w:r>
        <w:t>networks</w:t>
      </w:r>
      <w:r w:rsidRPr="0077223B">
        <w:t xml:space="preserve"> some additional leverage in the network-affiliate relationship that did not exist in the pre-online video world.</w:t>
      </w:r>
      <w:r>
        <w:rPr>
          <w:sz w:val="20"/>
          <w:vertAlign w:val="superscript"/>
        </w:rPr>
        <w:footnoteReference w:id="237"/>
      </w:r>
      <w:r>
        <w:t xml:space="preserve">  What implications, if any, do developments related to the growth of online video distribution</w:t>
      </w:r>
      <w:r w:rsidRPr="0077223B">
        <w:t xml:space="preserve"> </w:t>
      </w:r>
      <w:r>
        <w:t>have for the Dual Network Rule and its underlying localism rationale?</w:t>
      </w:r>
      <w:r w:rsidRPr="0077223B">
        <w:t xml:space="preserve"> </w:t>
      </w:r>
      <w:bookmarkEnd w:id="33"/>
    </w:p>
    <w:p w:rsidR="00B12C9D" w:rsidRPr="00112F5D" w:rsidP="00B12C9D">
      <w:pPr>
        <w:pStyle w:val="ParaNum"/>
        <w:widowControl/>
      </w:pPr>
      <w:r>
        <w:t xml:space="preserve">As the Commission has previously noted, the Dual Network Rule is intended to preserve the ability of local affiliates to advocate for local interests in programming decisions.  Would </w:t>
      </w:r>
      <w:r w:rsidRPr="00D7236C">
        <w:t xml:space="preserve">a </w:t>
      </w:r>
      <w:r>
        <w:t>Big Four</w:t>
      </w:r>
      <w:r w:rsidRPr="00D7236C">
        <w:t xml:space="preserve"> network merger reduce the ability of a network affiliate to use the availability of other top, independently</w:t>
      </w:r>
      <w:r>
        <w:t>-</w:t>
      </w:r>
      <w:r w:rsidRPr="00D7236C">
        <w:t>owned networks as a bargaining tool to influence programming decisions of its network, including the affiliate’s ability to engage in a dialogue with its network over the suitability for local audiences of either the content or scheduling of network programming</w:t>
      </w:r>
      <w:r>
        <w:t>?</w:t>
      </w:r>
      <w:r w:rsidRPr="00577C7D">
        <w:t xml:space="preserve"> </w:t>
      </w:r>
      <w:r>
        <w:t xml:space="preserve"> Have changes discussed above, including the growth of online video or increased reverse compensation and retransmission consent fees, affected bargaining between networks and affiliates on programming and scheduling?</w:t>
      </w:r>
      <w:r w:rsidRPr="00112F5D">
        <w:t xml:space="preserve">  </w:t>
      </w:r>
    </w:p>
    <w:p w:rsidR="00B12C9D" w:rsidP="00B12C9D">
      <w:pPr>
        <w:pStyle w:val="ParaNum"/>
      </w:pPr>
      <w:r>
        <w:t>In light of the longstanding existence of the Dual Network Rule, h</w:t>
      </w:r>
      <w:r w:rsidRPr="001E42CA">
        <w:t xml:space="preserve">as localism </w:t>
      </w:r>
      <w:r w:rsidRPr="00112F5D">
        <w:t xml:space="preserve">increased, decreased, or remained roughly the same over time?  Are there recent examples where local affiliates have influenced network programming to better serve local needs?  </w:t>
      </w:r>
      <w:r w:rsidRPr="001E42CA">
        <w:t xml:space="preserve">Are there other metrics by which we can assess the effect of the </w:t>
      </w:r>
      <w:r>
        <w:t>Dual Network Rule on localism?</w:t>
      </w:r>
      <w:r w:rsidRPr="00112F5D">
        <w:t xml:space="preserve">  </w:t>
      </w:r>
      <w:bookmarkStart w:id="34" w:name="_Ref498968178"/>
      <w:r>
        <w:t>Have other changes a</w:t>
      </w:r>
      <w:r w:rsidRPr="00112F5D">
        <w:t xml:space="preserve">ffected the network/affiliate relationship, such that the Commission would need to adjust assumptions made in previous reviews of the </w:t>
      </w:r>
      <w:r>
        <w:t>Dual Network Rule</w:t>
      </w:r>
      <w:r w:rsidRPr="00112F5D">
        <w:t xml:space="preserve">?  For instance, has the growth </w:t>
      </w:r>
      <w:r>
        <w:t xml:space="preserve">over the last two decades </w:t>
      </w:r>
      <w:r w:rsidRPr="00112F5D">
        <w:t>of station groups</w:t>
      </w:r>
      <w:r>
        <w:t xml:space="preserve"> not owned and operated by networks</w:t>
      </w:r>
      <w:r w:rsidRPr="00112F5D">
        <w:t xml:space="preserve"> changed the dynamic between </w:t>
      </w:r>
      <w:r>
        <w:t>networks</w:t>
      </w:r>
      <w:r w:rsidRPr="00112F5D">
        <w:t xml:space="preserve"> and their affiliates?  </w:t>
      </w:r>
      <w:bookmarkEnd w:id="34"/>
      <w:r>
        <w:t>Finally, we seek comment on whether recent changes affecting the network-affiliate relationship suggest that the Dual Network Rule should be modified, rather than being retained or eliminated, to promote localism?  If so, what modifications should we make that would better promote localism?</w:t>
      </w:r>
    </w:p>
    <w:p w:rsidR="00B12C9D" w:rsidP="00B12C9D">
      <w:pPr>
        <w:pStyle w:val="ParaNum"/>
      </w:pPr>
      <w:r>
        <w:rPr>
          <w:i/>
        </w:rPr>
        <w:t>Minority and Female Ownership</w:t>
      </w:r>
      <w:r w:rsidRPr="00AB638B">
        <w:t xml:space="preserve">.  </w:t>
      </w:r>
      <w:r w:rsidRPr="00B2377D">
        <w:t>The Commission previously concluded</w:t>
      </w:r>
      <w:r>
        <w:t xml:space="preserve"> in the </w:t>
      </w:r>
      <w:r w:rsidRPr="00515324">
        <w:rPr>
          <w:i/>
        </w:rPr>
        <w:t>2010/2014 Quadrennial Review Order</w:t>
      </w:r>
      <w:r w:rsidRPr="00B2377D">
        <w:t xml:space="preserve"> that, given the Dual Network Rule’s unique focus on mergers involving the Big Four networks rather tha</w:t>
      </w:r>
      <w:r>
        <w:t>n</w:t>
      </w:r>
      <w:r w:rsidRPr="00B2377D">
        <w:t xml:space="preserve"> ownership limits in local markets, the rule would not be expected to have any meaningful impact on minority and female ownership levels.</w:t>
      </w:r>
      <w:r>
        <w:rPr>
          <w:rStyle w:val="FootnoteReference"/>
        </w:rPr>
        <w:footnoteReference w:id="238"/>
      </w:r>
      <w:r w:rsidRPr="00B2377D">
        <w:rPr>
          <w:i/>
        </w:rPr>
        <w:t xml:space="preserve"> </w:t>
      </w:r>
      <w:r>
        <w:rPr>
          <w:i/>
        </w:rPr>
        <w:t xml:space="preserve"> </w:t>
      </w:r>
      <w:r w:rsidRPr="00754C9D">
        <w:t xml:space="preserve">We seek comment on </w:t>
      </w:r>
      <w:r>
        <w:t xml:space="preserve">whether and how market or other changes since our last media ownership review may have affected this conclusion. </w:t>
      </w:r>
      <w:r w:rsidRPr="00B7025E">
        <w:t xml:space="preserve"> </w:t>
      </w:r>
      <w:r>
        <w:t>We also seek comment on how retaining, modifying or eliminating the Dual Network Rule would affect broadcast television ownership and entry by minority and female owners, if at all.  In addition, we seek comment on how retaining or modifying the Dual Network Rule</w:t>
      </w:r>
      <w:r w:rsidRPr="00D7336F">
        <w:t xml:space="preserve"> </w:t>
      </w:r>
      <w:r>
        <w:t>might affect broadcast television ownership and entry by small business owners, if at all.</w:t>
      </w:r>
    </w:p>
    <w:p w:rsidR="00B12C9D" w:rsidRPr="00112F5D" w:rsidP="00B12C9D">
      <w:pPr>
        <w:pStyle w:val="ParaNum"/>
        <w:widowControl/>
      </w:pPr>
      <w:r>
        <w:rPr>
          <w:i/>
        </w:rPr>
        <w:t xml:space="preserve">Cost-Benefit Analysis.  </w:t>
      </w:r>
      <w:r w:rsidRPr="001E42CA">
        <w:t>In addition, we seek comment on how to compare the</w:t>
      </w:r>
      <w:r>
        <w:t xml:space="preserve"> benefits and</w:t>
      </w:r>
      <w:r w:rsidRPr="001E42CA">
        <w:t xml:space="preserve"> </w:t>
      </w:r>
      <w:r>
        <w:t xml:space="preserve">costs </w:t>
      </w:r>
      <w:r w:rsidRPr="001E42CA">
        <w:t>ass</w:t>
      </w:r>
      <w:r w:rsidRPr="00754C9D">
        <w:t>ociated with</w:t>
      </w:r>
      <w:r>
        <w:t xml:space="preserve"> retaining, modifying or eliminating the Dual Network Rule.</w:t>
      </w:r>
      <w:r w:rsidRPr="00754C9D">
        <w:t xml:space="preserve">  We ask commenters supporting modification or elimination of the </w:t>
      </w:r>
      <w:r>
        <w:t>rule to</w:t>
      </w:r>
      <w:r w:rsidRPr="00754C9D">
        <w:t xml:space="preserve"> explain the</w:t>
      </w:r>
      <w:r w:rsidRPr="00112F5D">
        <w:t xml:space="preserve"> anticipated economic impact of any proposed action and, where possible, to quantify </w:t>
      </w:r>
      <w:r>
        <w:t xml:space="preserve">benefits and costs </w:t>
      </w:r>
      <w:r w:rsidRPr="00112F5D">
        <w:t xml:space="preserve">of proposed actions and alternatives.  Does the current </w:t>
      </w:r>
      <w:r>
        <w:t>Dual Network Rule</w:t>
      </w:r>
      <w:r w:rsidRPr="00112F5D">
        <w:t xml:space="preserve"> create benefits </w:t>
      </w:r>
      <w:r>
        <w:t xml:space="preserve">or costs </w:t>
      </w:r>
      <w:r w:rsidRPr="00112F5D">
        <w:t xml:space="preserve">for any segment of consumers?  Does the </w:t>
      </w:r>
      <w:r>
        <w:t>rule</w:t>
      </w:r>
      <w:r w:rsidRPr="00112F5D">
        <w:t xml:space="preserve"> create </w:t>
      </w:r>
      <w:r>
        <w:t xml:space="preserve">benefits or costs </w:t>
      </w:r>
      <w:r w:rsidRPr="00112F5D">
        <w:t xml:space="preserve">for any segment of the </w:t>
      </w:r>
      <w:r>
        <w:t xml:space="preserve">broadcast or broader video program distribution </w:t>
      </w:r>
      <w:r w:rsidRPr="00112F5D">
        <w:t xml:space="preserve">industry that should be counted as social benefits </w:t>
      </w:r>
      <w:r>
        <w:t xml:space="preserve">or costs </w:t>
      </w:r>
      <w:r w:rsidRPr="00112F5D">
        <w:t xml:space="preserve">rather than transfers from one segment of the industry to another?  How does the </w:t>
      </w:r>
      <w:r>
        <w:t>Dual Network Rule</w:t>
      </w:r>
      <w:r w:rsidRPr="00112F5D">
        <w:t xml:space="preserve"> create these </w:t>
      </w:r>
      <w:r>
        <w:t>benefits and costs</w:t>
      </w:r>
      <w:r w:rsidRPr="00112F5D">
        <w:t xml:space="preserve">, and what evidence supports this explanation?  How can the value of these </w:t>
      </w:r>
      <w:r>
        <w:t>benefits and costs</w:t>
      </w:r>
      <w:r w:rsidRPr="00112F5D">
        <w:t xml:space="preserve"> be measured for parties receiving them?  What factors create uncertainty about the existence or size of these </w:t>
      </w:r>
      <w:r>
        <w:t>benefits and costs</w:t>
      </w:r>
      <w:r w:rsidRPr="00112F5D">
        <w:t xml:space="preserve">, and how should the Commission’s economic analysis take these uncertainties into account? </w:t>
      </w:r>
    </w:p>
    <w:p w:rsidR="00B12C9D" w:rsidRPr="006A1E18" w:rsidP="00B12C9D">
      <w:pPr>
        <w:pStyle w:val="ParaNum"/>
        <w:widowControl/>
      </w:pPr>
      <w:r w:rsidRPr="00112F5D">
        <w:t xml:space="preserve">How would elimination of the </w:t>
      </w:r>
      <w:r>
        <w:t>Dual Network Rule</w:t>
      </w:r>
      <w:r w:rsidRPr="00112F5D">
        <w:t xml:space="preserve"> alter the </w:t>
      </w:r>
      <w:r>
        <w:t>benefits and costs</w:t>
      </w:r>
      <w:r w:rsidRPr="00112F5D">
        <w:t xml:space="preserve">?  What are the comparative </w:t>
      </w:r>
      <w:r>
        <w:t xml:space="preserve">benefits and costs </w:t>
      </w:r>
      <w:r w:rsidRPr="00112F5D">
        <w:t xml:space="preserve">of modifying the </w:t>
      </w:r>
      <w:r>
        <w:t>rule r</w:t>
      </w:r>
      <w:r w:rsidRPr="001E42CA">
        <w:t>ather than eliminating it entirely?  For instance, would allowing</w:t>
      </w:r>
      <w:r>
        <w:t xml:space="preserve"> certain of the Big Four networks and not others to merge </w:t>
      </w:r>
      <w:r w:rsidRPr="00754C9D">
        <w:t xml:space="preserve">lead to any </w:t>
      </w:r>
      <w:r w:rsidRPr="00112F5D">
        <w:t xml:space="preserve">consumer benefits, such as increased choice, innovation, or investment in programming?  What amount of additional scale would be required to realize such benefits?  </w:t>
      </w:r>
      <w:r>
        <w:t xml:space="preserve">Would these benefits conflict with, or come at a cost to, our traditional policy goals of competition, viewpoint diversity or localism, and if so, how should we measure and evaluate these tradeoffs?  </w:t>
      </w:r>
      <w:r w:rsidRPr="00112F5D">
        <w:t xml:space="preserve">We ask commenters to support their claims about </w:t>
      </w:r>
      <w:r>
        <w:t xml:space="preserve">benefits and costs </w:t>
      </w:r>
      <w:r w:rsidRPr="00112F5D">
        <w:t>with relevant economic theory and evidence, including empirical analysis and data.</w:t>
      </w:r>
    </w:p>
    <w:p w:rsidR="00B12C9D" w:rsidP="00B12C9D">
      <w:pPr>
        <w:pStyle w:val="Heading1"/>
        <w:widowControl/>
      </w:pPr>
      <w:bookmarkStart w:id="35" w:name="_Toc527713808"/>
      <w:bookmarkStart w:id="36" w:name="_Toc532379635"/>
      <w:bookmarkStart w:id="37" w:name="_Toc532379668"/>
      <w:r>
        <w:t>diversity-related PROPOSALs</w:t>
      </w:r>
      <w:bookmarkEnd w:id="35"/>
      <w:bookmarkEnd w:id="36"/>
      <w:bookmarkEnd w:id="37"/>
      <w:r>
        <w:t xml:space="preserve"> </w:t>
      </w:r>
    </w:p>
    <w:p w:rsidR="00B12C9D" w:rsidP="00B12C9D">
      <w:pPr>
        <w:pStyle w:val="ParaNum"/>
        <w:widowControl/>
      </w:pPr>
      <w:r>
        <w:t>In addition to addressing the structural media ownership rules, t</w:t>
      </w:r>
      <w:r w:rsidRPr="008F52E5">
        <w:t xml:space="preserve">he </w:t>
      </w:r>
      <w:bookmarkStart w:id="38" w:name="_Hlk529452585"/>
      <w:r w:rsidRPr="00022C77">
        <w:rPr>
          <w:i/>
        </w:rPr>
        <w:t>2010/2014 Quadrennial Review Order</w:t>
      </w:r>
      <w:r w:rsidRPr="008F52E5">
        <w:t xml:space="preserve"> </w:t>
      </w:r>
      <w:bookmarkEnd w:id="38"/>
      <w:r>
        <w:t xml:space="preserve">also </w:t>
      </w:r>
      <w:r w:rsidRPr="008F52E5">
        <w:t>discussed five proposals advanced by MMTC, which had been winnowed down from a larger list of 24 proposals advocated by MMTC in the 2010/2014 Quadrennial Review proceeding.</w:t>
      </w:r>
      <w:r>
        <w:rPr>
          <w:rStyle w:val="FootnoteReference"/>
        </w:rPr>
        <w:footnoteReference w:id="239"/>
      </w:r>
      <w:r>
        <w:t xml:space="preserve"> </w:t>
      </w:r>
      <w:r w:rsidRPr="008F52E5">
        <w:t xml:space="preserve"> MMTC focused on these five proposals based on guidance from the Third Circuit and discussions with Commission staff.</w:t>
      </w:r>
      <w:r>
        <w:rPr>
          <w:rStyle w:val="FootnoteReference"/>
        </w:rPr>
        <w:footnoteReference w:id="240"/>
      </w:r>
      <w:r w:rsidRPr="008F52E5">
        <w:t xml:space="preserve"> </w:t>
      </w:r>
      <w:r>
        <w:t xml:space="preserve"> </w:t>
      </w:r>
      <w:r w:rsidRPr="00BF5312">
        <w:t xml:space="preserve">The Commission adopted one of the </w:t>
      </w:r>
      <w:r>
        <w:t xml:space="preserve">five </w:t>
      </w:r>
      <w:r w:rsidRPr="00BF5312">
        <w:t xml:space="preserve">proposals as part of the </w:t>
      </w:r>
      <w:bookmarkStart w:id="41" w:name="_Hlk529518457"/>
      <w:r w:rsidRPr="00022C77">
        <w:rPr>
          <w:i/>
        </w:rPr>
        <w:t>2010/2014 Quadrennial Review Order</w:t>
      </w:r>
      <w:bookmarkEnd w:id="41"/>
      <w:r w:rsidRPr="00BF5312">
        <w:t xml:space="preserve"> (namely, making the promotion of minority ownership an integral part of relevant FCC rule making proceedings)</w:t>
      </w:r>
      <w:r>
        <w:t xml:space="preserve"> and committed to further examine the remaining four proposals.  Recently, the Commission </w:t>
      </w:r>
      <w:r w:rsidRPr="00BF5312">
        <w:t xml:space="preserve">implemented </w:t>
      </w:r>
      <w:r>
        <w:t xml:space="preserve">another of these proposals, namely the suggestion that </w:t>
      </w:r>
      <w:r w:rsidRPr="00BF5312">
        <w:t xml:space="preserve">the Commission’s EEO functions </w:t>
      </w:r>
      <w:r>
        <w:t xml:space="preserve">be relocated </w:t>
      </w:r>
      <w:r w:rsidRPr="00BF5312">
        <w:t>from the Media Bureau to the Enforcement Bureau.</w:t>
      </w:r>
      <w:r>
        <w:rPr>
          <w:rStyle w:val="FootnoteReference"/>
        </w:rPr>
        <w:footnoteReference w:id="241"/>
      </w:r>
      <w:r w:rsidRPr="00BF5312">
        <w:t xml:space="preserve">  </w:t>
      </w:r>
      <w:r w:rsidRPr="008F52E5">
        <w:t xml:space="preserve"> </w:t>
      </w:r>
      <w:r>
        <w:t>T</w:t>
      </w:r>
      <w:r w:rsidRPr="00E20342">
        <w:t>he</w:t>
      </w:r>
      <w:r>
        <w:t xml:space="preserve"> remaining three</w:t>
      </w:r>
      <w:r w:rsidRPr="00E20342">
        <w:t xml:space="preserve"> </w:t>
      </w:r>
      <w:r>
        <w:t xml:space="preserve">proposals </w:t>
      </w:r>
      <w:r w:rsidRPr="00E20342">
        <w:t xml:space="preserve">include extending cable procurement requirements </w:t>
      </w:r>
      <w:r>
        <w:t xml:space="preserve">to </w:t>
      </w:r>
      <w:r w:rsidRPr="00E20342">
        <w:t>broadcasters</w:t>
      </w:r>
      <w:r>
        <w:t xml:space="preserve">, </w:t>
      </w:r>
      <w:r w:rsidRPr="00E20342">
        <w:t>developing a model for market-based tradeable “diversity credits” to serve as an alternative method for adopting ownership limits</w:t>
      </w:r>
      <w:r>
        <w:t xml:space="preserve">, and </w:t>
      </w:r>
      <w:r w:rsidRPr="00E20342">
        <w:t xml:space="preserve">adopting formulas aimed at creating media ownership limits </w:t>
      </w:r>
      <w:r w:rsidRPr="00E20342">
        <w:t xml:space="preserve">that promote diversity.  Consistent with </w:t>
      </w:r>
      <w:r>
        <w:t xml:space="preserve">the </w:t>
      </w:r>
      <w:r w:rsidRPr="00022C77">
        <w:rPr>
          <w:i/>
        </w:rPr>
        <w:t>2010/2014 Quadrennial Review Order</w:t>
      </w:r>
      <w:r w:rsidRPr="00E20342">
        <w:t xml:space="preserve"> we </w:t>
      </w:r>
      <w:r>
        <w:t>seek comment below on these proposals and related issues.</w:t>
      </w:r>
      <w:r>
        <w:rPr>
          <w:rStyle w:val="FootnoteReference"/>
        </w:rPr>
        <w:footnoteReference w:id="242"/>
      </w:r>
      <w:r w:rsidRPr="00E20342">
        <w:t xml:space="preserve"> </w:t>
      </w:r>
      <w:r>
        <w:t xml:space="preserve">  </w:t>
      </w:r>
    </w:p>
    <w:p w:rsidR="00B12C9D" w:rsidP="00B12C9D">
      <w:pPr>
        <w:pStyle w:val="ParaNum"/>
      </w:pPr>
      <w:r w:rsidRPr="00E02733">
        <w:rPr>
          <w:i/>
        </w:rPr>
        <w:t>Extension of Cable Procurement Regulation</w:t>
      </w:r>
      <w:r>
        <w:t xml:space="preserve">.  </w:t>
      </w:r>
      <w:r w:rsidRPr="0050495A">
        <w:t xml:space="preserve">As part of the 1992 Cable Act, Congress </w:t>
      </w:r>
      <w:r>
        <w:t>established the so-called cable procurement requirement, which stat</w:t>
      </w:r>
      <w:r w:rsidRPr="0050495A">
        <w:t xml:space="preserve">es </w:t>
      </w:r>
      <w:r>
        <w:t xml:space="preserve">that </w:t>
      </w:r>
      <w:r w:rsidRPr="0050495A">
        <w:t xml:space="preserve">a cable system </w:t>
      </w:r>
      <w:r>
        <w:t>must</w:t>
      </w:r>
      <w:r w:rsidRPr="0050495A">
        <w:t>:</w:t>
      </w:r>
      <w:r>
        <w:t xml:space="preserve"> “</w:t>
      </w:r>
      <w:r w:rsidRPr="0050495A">
        <w:t>encourage minority and female entrepreneurs to conduct business with all</w:t>
      </w:r>
      <w:r>
        <w:t xml:space="preserve"> parts of its operation; and . . .</w:t>
      </w:r>
      <w:r w:rsidRPr="0050495A">
        <w:t xml:space="preserve"> analyze the results of its efforts to recruit, hire, promote, and use the services of minorities and women and explain any difficulties encountered in implementing its equal employment opportunity program.”</w:t>
      </w:r>
      <w:r>
        <w:rPr>
          <w:vertAlign w:val="superscript"/>
        </w:rPr>
        <w:footnoteReference w:id="243"/>
      </w:r>
      <w:r w:rsidRPr="0050495A">
        <w:t xml:space="preserve">  Based on this statutory requirement, the Commission promulgated </w:t>
      </w:r>
      <w:r>
        <w:t xml:space="preserve">Section </w:t>
      </w:r>
      <w:r w:rsidRPr="0050495A">
        <w:t>76.75(e), which provides that a cable system must</w:t>
      </w:r>
      <w:r>
        <w:t>: “[e]</w:t>
      </w:r>
      <w:r w:rsidRPr="0050495A">
        <w:t>ncourage minority and female entrepreneurs to conduct business wit</w:t>
      </w:r>
      <w:r>
        <w:t>h all parts of its operation.”  The rule explains that “[f]</w:t>
      </w:r>
      <w:r w:rsidRPr="0050495A">
        <w:t>or example, this requirement may be met by: (1) Recruiting as wide as possible a pool of qualified entrepreneurs from sources such as employee referrals, community groups, contractors, associations, and other sources likely to be representative of minority and female interests.”</w:t>
      </w:r>
      <w:r>
        <w:rPr>
          <w:vertAlign w:val="superscript"/>
        </w:rPr>
        <w:footnoteReference w:id="244"/>
      </w:r>
      <w:r>
        <w:t xml:space="preserve">  </w:t>
      </w:r>
    </w:p>
    <w:p w:rsidR="00B12C9D" w:rsidP="00B12C9D">
      <w:pPr>
        <w:pStyle w:val="ParaNum"/>
        <w:widowControl/>
      </w:pPr>
      <w:r>
        <w:t xml:space="preserve">Over the years, </w:t>
      </w:r>
      <w:r w:rsidRPr="00E02733">
        <w:rPr>
          <w:szCs w:val="22"/>
        </w:rPr>
        <w:t>some parties have advocated exploring whether this type of procurement requirement could be applied to either broadcasting or other FCC-regulated industries.</w:t>
      </w:r>
      <w:r>
        <w:rPr>
          <w:szCs w:val="22"/>
          <w:vertAlign w:val="superscript"/>
        </w:rPr>
        <w:footnoteReference w:id="245"/>
      </w:r>
      <w:r w:rsidRPr="00E02733">
        <w:rPr>
          <w:szCs w:val="22"/>
        </w:rPr>
        <w:t xml:space="preserve">  </w:t>
      </w:r>
      <w:r>
        <w:t>As noted above, i</w:t>
      </w:r>
      <w:r w:rsidRPr="00B00A7A">
        <w:t xml:space="preserve">n the </w:t>
      </w:r>
      <w:r w:rsidRPr="00E02733">
        <w:rPr>
          <w:i/>
        </w:rPr>
        <w:t>2010/2014 Quadrennial Review Order</w:t>
      </w:r>
      <w:r w:rsidRPr="00B00A7A">
        <w:t>, the Commission committed to review the feasibility of extending the cable procurement requirement to the broadcast industry.</w:t>
      </w:r>
      <w:r>
        <w:rPr>
          <w:vertAlign w:val="superscript"/>
        </w:rPr>
        <w:footnoteReference w:id="246"/>
      </w:r>
      <w:r w:rsidRPr="00B00A7A">
        <w:t xml:space="preserve">    </w:t>
      </w:r>
    </w:p>
    <w:p w:rsidR="00B12C9D" w:rsidP="00B12C9D">
      <w:pPr>
        <w:pStyle w:val="ParaNum"/>
      </w:pPr>
      <w:r w:rsidRPr="0050495A">
        <w:t>We seek comment on various aspects of this proposal beginning with</w:t>
      </w:r>
      <w:r>
        <w:t xml:space="preserve"> the threshold issue of whether</w:t>
      </w:r>
      <w:r w:rsidRPr="0050495A">
        <w:t xml:space="preserve"> </w:t>
      </w:r>
      <w:r>
        <w:t>the Commission has</w:t>
      </w:r>
      <w:r w:rsidRPr="0050495A">
        <w:t xml:space="preserve"> authority to </w:t>
      </w:r>
      <w:r>
        <w:t>adopt a similar</w:t>
      </w:r>
      <w:r w:rsidRPr="0050495A">
        <w:t xml:space="preserve"> procurement requirement </w:t>
      </w:r>
      <w:r>
        <w:t>for</w:t>
      </w:r>
      <w:r w:rsidRPr="0050495A">
        <w:t xml:space="preserve"> broadcast </w:t>
      </w:r>
      <w:r>
        <w:t>licensees</w:t>
      </w:r>
      <w:r w:rsidRPr="0050495A">
        <w:t xml:space="preserve">.  </w:t>
      </w:r>
      <w:r>
        <w:t xml:space="preserve">We note as an initial matter that the </w:t>
      </w:r>
      <w:r w:rsidRPr="0050495A">
        <w:t xml:space="preserve">cable procurement </w:t>
      </w:r>
      <w:r>
        <w:t xml:space="preserve">requirement and Section 76.75(e) of the Commission’s rules flow directly from the </w:t>
      </w:r>
      <w:r w:rsidRPr="0050495A">
        <w:t xml:space="preserve">statutory mandate </w:t>
      </w:r>
      <w:r>
        <w:t xml:space="preserve">pertaining explicitly to the cable industry </w:t>
      </w:r>
      <w:r w:rsidRPr="0050495A">
        <w:t>contained in the 1992 Cable Act.</w:t>
      </w:r>
      <w:r>
        <w:rPr>
          <w:rStyle w:val="FootnoteReference"/>
        </w:rPr>
        <w:footnoteReference w:id="247"/>
      </w:r>
      <w:r w:rsidRPr="0050495A">
        <w:t xml:space="preserve"> </w:t>
      </w:r>
      <w:r>
        <w:t xml:space="preserve"> The Communications Act has requirements for equal employment opportunity applicable to broadcasters, but these do not extend to procurement.</w:t>
      </w:r>
      <w:r>
        <w:rPr>
          <w:rStyle w:val="FootnoteReference"/>
        </w:rPr>
        <w:footnoteReference w:id="248"/>
      </w:r>
      <w:r>
        <w:t xml:space="preserve">  Does this distinction reflect any limitation on the Commission’s otherwise extensive Title III authority over broadcast licensees?  </w:t>
      </w:r>
      <w:r w:rsidRPr="0050495A">
        <w:t xml:space="preserve">We seek comment on </w:t>
      </w:r>
      <w:r>
        <w:t xml:space="preserve">potential sources of </w:t>
      </w:r>
      <w:r w:rsidRPr="0050495A">
        <w:t xml:space="preserve">Commission </w:t>
      </w:r>
      <w:r>
        <w:t xml:space="preserve">authority, including any </w:t>
      </w:r>
      <w:r w:rsidRPr="0050495A">
        <w:t>ancillary authority</w:t>
      </w:r>
      <w:r>
        <w:t>,</w:t>
      </w:r>
      <w:r w:rsidRPr="0050495A">
        <w:t xml:space="preserve"> to extend </w:t>
      </w:r>
      <w:r>
        <w:t xml:space="preserve">similar </w:t>
      </w:r>
      <w:r w:rsidRPr="0050495A">
        <w:t xml:space="preserve">procurement regulation to the broadcast </w:t>
      </w:r>
      <w:r>
        <w:t>industry</w:t>
      </w:r>
      <w:r w:rsidRPr="0050495A">
        <w:t>.</w:t>
      </w:r>
      <w:r w:rsidRPr="00E02733">
        <w:rPr>
          <w:vertAlign w:val="superscript"/>
        </w:rPr>
        <w:t xml:space="preserve"> </w:t>
      </w:r>
      <w:r>
        <w:rPr>
          <w:vertAlign w:val="superscript"/>
        </w:rPr>
        <w:footnoteReference w:id="249"/>
      </w:r>
      <w:r w:rsidRPr="00E02733">
        <w:rPr>
          <w:vertAlign w:val="superscript"/>
        </w:rPr>
        <w:t xml:space="preserve">  </w:t>
      </w:r>
      <w:r w:rsidRPr="0050495A">
        <w:t xml:space="preserve">  </w:t>
      </w:r>
      <w:r w:rsidRPr="0050495A">
        <w:t xml:space="preserve"> </w:t>
      </w:r>
    </w:p>
    <w:p w:rsidR="00B12C9D" w:rsidP="00B12C9D">
      <w:pPr>
        <w:pStyle w:val="ParaNum"/>
      </w:pPr>
      <w:r>
        <w:t xml:space="preserve">In addition, we seek comment on whether by specifically identifying minority/female entrepreneurs the proposed rule would classify these entrepreneurs differently from others such as to </w:t>
      </w:r>
      <w:r>
        <w:t>trigger heightened judicial scrutiny.</w:t>
      </w:r>
      <w:r>
        <w:rPr>
          <w:rStyle w:val="FootnoteReference"/>
        </w:rPr>
        <w:footnoteReference w:id="250"/>
      </w:r>
      <w:r>
        <w:t xml:space="preserve">  If that is the case, how would such a rule comport with the Commission’s previous finding that it lacked the evidence to satisfy the heightened scrutiny needed to justify race- or gender-based broadcast regulation?</w:t>
      </w:r>
      <w:r>
        <w:rPr>
          <w:rStyle w:val="FootnoteReference"/>
        </w:rPr>
        <w:footnoteReference w:id="251"/>
      </w:r>
      <w:r>
        <w:t xml:space="preserve">  </w:t>
      </w:r>
      <w:r w:rsidRPr="00DC6375">
        <w:t xml:space="preserve">Would the inclusion of any type of </w:t>
      </w:r>
      <w:r>
        <w:t xml:space="preserve">audit, review, or enforcement mechanism pursuant to which </w:t>
      </w:r>
      <w:r w:rsidRPr="00DC6375">
        <w:t xml:space="preserve">the Commission </w:t>
      </w:r>
      <w:r>
        <w:t xml:space="preserve">considered </w:t>
      </w:r>
      <w:r w:rsidRPr="00DC6375">
        <w:t>broadcasters</w:t>
      </w:r>
      <w:r>
        <w:t>’ compliance</w:t>
      </w:r>
      <w:r w:rsidRPr="00DC6375">
        <w:t xml:space="preserve"> with the requirement</w:t>
      </w:r>
      <w:r>
        <w:t xml:space="preserve"> be problematic or interpreted as tacitly encouraging </w:t>
      </w:r>
      <w:r w:rsidRPr="00DC6375">
        <w:t xml:space="preserve">broadcasters </w:t>
      </w:r>
      <w:r>
        <w:t xml:space="preserve">to favor certain entrepreneurs to the detriment of others in a way that would trigger </w:t>
      </w:r>
      <w:r w:rsidRPr="00DC6375">
        <w:t>heightened scrutiny?</w:t>
      </w:r>
      <w:r>
        <w:rPr>
          <w:vertAlign w:val="superscript"/>
        </w:rPr>
        <w:footnoteReference w:id="252"/>
      </w:r>
    </w:p>
    <w:p w:rsidR="00B12C9D" w:rsidP="00B12C9D">
      <w:pPr>
        <w:pStyle w:val="ParaNum"/>
        <w:widowControl/>
      </w:pPr>
      <w:r>
        <w:t xml:space="preserve">If the broadcast procurement rule as proposed by MMTC would trigger heightened judicial scrutiny, can the proposed rule be modified to be race- and gender-neutral to avoid the potential legal impediments raised by a race- and gender-conscious broadcast procurement rule?  And in that case, how would the requirement be stated?  Would a race- and gender-neutral broadcast procurement rule be as effective as a race- and gender-conscious broadcast procurement rule?  </w:t>
      </w:r>
    </w:p>
    <w:p w:rsidR="00B12C9D" w:rsidP="00B12C9D">
      <w:pPr>
        <w:pStyle w:val="ParaNum"/>
        <w:tabs>
          <w:tab w:val="clear" w:pos="1440"/>
        </w:tabs>
      </w:pPr>
      <w:r>
        <w:t>In addition, we also seek comment on MMTC’s</w:t>
      </w:r>
      <w:r w:rsidRPr="0050495A">
        <w:t xml:space="preserve"> </w:t>
      </w:r>
      <w:r>
        <w:t>assertion</w:t>
      </w:r>
      <w:r w:rsidRPr="0050495A">
        <w:t xml:space="preserve"> that</w:t>
      </w:r>
      <w:r>
        <w:t xml:space="preserve"> Section 76.75(e)</w:t>
      </w:r>
      <w:r w:rsidRPr="0050495A">
        <w:t xml:space="preserve"> </w:t>
      </w:r>
      <w:r>
        <w:t>“has been a springboard for the migration of minority and women entrepreneurs into operating and ownership positions in the cable and satellite industries.”</w:t>
      </w:r>
      <w:r>
        <w:rPr>
          <w:rStyle w:val="FootnoteReference"/>
        </w:rPr>
        <w:footnoteReference w:id="253"/>
      </w:r>
      <w:r>
        <w:t xml:space="preserve">  MMTC claims further that the rule</w:t>
      </w:r>
      <w:r w:rsidRPr="00875CBD">
        <w:t xml:space="preserve"> has “contributed mightily to the economic success of scores of minority and women owned businesses engaged in banking, broker/dealer services, construction, fiber and satellite dish installation, programming, legal services, accounting, and much more.”</w:t>
      </w:r>
      <w:r>
        <w:rPr>
          <w:rStyle w:val="FootnoteReference"/>
        </w:rPr>
        <w:footnoteReference w:id="254"/>
      </w:r>
      <w:r>
        <w:t xml:space="preserve">  </w:t>
      </w:r>
      <w:r w:rsidRPr="0050495A">
        <w:t xml:space="preserve">In deciding whether to </w:t>
      </w:r>
      <w:r>
        <w:t>adopt</w:t>
      </w:r>
      <w:r w:rsidRPr="0050495A">
        <w:t xml:space="preserve"> additional regulation</w:t>
      </w:r>
      <w:r>
        <w:t>s and extend a regulatory regime to additional industries</w:t>
      </w:r>
      <w:r w:rsidRPr="0050495A">
        <w:t xml:space="preserve">, it is important </w:t>
      </w:r>
      <w:r>
        <w:t xml:space="preserve">to </w:t>
      </w:r>
      <w:r w:rsidRPr="0050495A">
        <w:t>assess the likelihood that the regulation w</w:t>
      </w:r>
      <w:r>
        <w:t>ould</w:t>
      </w:r>
      <w:r w:rsidRPr="0050495A">
        <w:t xml:space="preserve"> have the desired effect</w:t>
      </w:r>
      <w:r>
        <w:t xml:space="preserve"> of increasing minority and female participation in the broadcast industry</w:t>
      </w:r>
      <w:r w:rsidRPr="0050495A">
        <w:t xml:space="preserve">.  </w:t>
      </w:r>
      <w:r>
        <w:t>Consequently</w:t>
      </w:r>
      <w:r w:rsidRPr="0050495A">
        <w:t xml:space="preserve">, we seek data on the degree to which </w:t>
      </w:r>
      <w:r>
        <w:t xml:space="preserve">Section 76.75(e), specifically, </w:t>
      </w:r>
      <w:r w:rsidRPr="0050495A">
        <w:t xml:space="preserve">has promoted minority and women businesses </w:t>
      </w:r>
      <w:r>
        <w:t xml:space="preserve">and whether </w:t>
      </w:r>
      <w:r w:rsidRPr="0050495A">
        <w:t>any broader trends</w:t>
      </w:r>
      <w:r>
        <w:t xml:space="preserve"> in the intervening two decades since enactment of the cable procurement requirement have played a role in fostering greater minority and female participation in the cable industry</w:t>
      </w:r>
      <w:r w:rsidRPr="0050495A">
        <w:t>.</w:t>
      </w:r>
      <w:r>
        <w:rPr>
          <w:vertAlign w:val="superscript"/>
        </w:rPr>
        <w:footnoteReference w:id="255"/>
      </w:r>
      <w:r w:rsidRPr="0050495A">
        <w:t xml:space="preserve">  </w:t>
      </w:r>
      <w:r>
        <w:t xml:space="preserve">In this regard, we also seek comment on the relative benefits and </w:t>
      </w:r>
      <w:r>
        <w:t xml:space="preserve">costs of extending Section 76.75(e) to the broadcast industry.  </w:t>
      </w:r>
      <w:r w:rsidRPr="00DD6682">
        <w:t xml:space="preserve">How can the value of these benefits and costs be measured? </w:t>
      </w:r>
      <w:r>
        <w:t xml:space="preserve"> </w:t>
      </w:r>
      <w:bookmarkStart w:id="42" w:name="_Hlk529469337"/>
      <w:r>
        <w:t xml:space="preserve">We encourage commenters to include in their evaluations of the relative benefits and costs of adopting such a rule the types of analyses called for in the questions posed in earlier sections of the instant </w:t>
      </w:r>
      <w:r w:rsidRPr="006032E7">
        <w:rPr>
          <w:i/>
        </w:rPr>
        <w:t>NPRM</w:t>
      </w:r>
      <w:r>
        <w:t xml:space="preserve"> about benefit-cost analysis.</w:t>
      </w:r>
      <w:r>
        <w:rPr>
          <w:rStyle w:val="FootnoteReference"/>
        </w:rPr>
        <w:footnoteReference w:id="256"/>
      </w:r>
      <w:r>
        <w:t xml:space="preserve">  </w:t>
      </w:r>
    </w:p>
    <w:p w:rsidR="00B12C9D" w:rsidRPr="00240FC7" w:rsidP="00B12C9D">
      <w:pPr>
        <w:pStyle w:val="ParaNum"/>
        <w:tabs>
          <w:tab w:val="left" w:pos="0"/>
          <w:tab w:val="clear" w:pos="1440"/>
        </w:tabs>
      </w:pPr>
      <w:bookmarkStart w:id="43" w:name="_Hlk528699877"/>
      <w:bookmarkEnd w:id="42"/>
      <w:r>
        <w:t>Finally, w</w:t>
      </w:r>
      <w:r w:rsidRPr="0050495A">
        <w:t xml:space="preserve">e </w:t>
      </w:r>
      <w:r>
        <w:t xml:space="preserve">note that there are significant differences between the cable industry and the broadcast industry, and we seek comment on the feasibility – and utility – of imposing a </w:t>
      </w:r>
      <w:r w:rsidRPr="0050495A">
        <w:t xml:space="preserve">  </w:t>
      </w:r>
      <w:r>
        <w:t>Section </w:t>
      </w:r>
      <w:r w:rsidRPr="0050495A">
        <w:t>76.75(e)</w:t>
      </w:r>
      <w:r>
        <w:t xml:space="preserve">-type requirement on the broadcast industry.  For example, the cable industry requires the construction and maintenance of a significant physical plant, unlike that required for broadcasting.  As such, the cable industry purchases goods and services on a much larger scale than the broadcast industry, as cable operators continuously build and upgrade their distribution network.  Cable service by its nature requires the laying of fiber or coaxial cable to every home, along with in most instances the deployment of equipment at the customer’s premises.  In contrast, the over-the-air delivery of broadcast radio and television service does not require the broadcaster to build and maintain the same type of distribution network or necessitate the regular purchase of equipment and material on a volume similar to cable.  Moreover, the laying and maintenance of extensive cable networks requires the employment and contracting of far more labor than is required in the broadcast sector.  Similarly, cable operators, unlike broadcasters, maintain a direct billing relationship with their customers, which may also offer the potential for more contracting opportunities – in the form of outsourced billing or customer service functions – than exist in the broadcast industry.  Accordingly, we seek input on the feasibility and utility of imposing a cable procurement-type of regulation on the broadcast sector.  </w:t>
      </w:r>
    </w:p>
    <w:p w:rsidR="00B12C9D" w:rsidP="00B12C9D">
      <w:pPr>
        <w:pStyle w:val="ParaNum"/>
        <w:widowControl/>
        <w:tabs>
          <w:tab w:val="num" w:pos="0"/>
          <w:tab w:val="clear" w:pos="1440"/>
        </w:tabs>
      </w:pPr>
      <w:bookmarkEnd w:id="43"/>
      <w:r w:rsidRPr="001C0AF2">
        <w:rPr>
          <w:i/>
        </w:rPr>
        <w:t>Develop a Model for Market-Based Tradeable Diversity Credits.</w:t>
      </w:r>
      <w:r w:rsidRPr="001C0AF2">
        <w:rPr>
          <w:b/>
        </w:rPr>
        <w:t xml:space="preserve">  </w:t>
      </w:r>
      <w:r>
        <w:t>I</w:t>
      </w:r>
      <w:r w:rsidRPr="002436A5">
        <w:t xml:space="preserve">n </w:t>
      </w:r>
      <w:r>
        <w:t xml:space="preserve">reply comments submitted in the Commission’s 2002 Biennial Review proceeding, a group of commenters, </w:t>
      </w:r>
      <w:r w:rsidRPr="002436A5">
        <w:t>the Diversity and Competition Supporters</w:t>
      </w:r>
      <w:r>
        <w:t xml:space="preserve"> (DCS),</w:t>
      </w:r>
      <w:r w:rsidRPr="002436A5">
        <w:t xml:space="preserve"> put forward </w:t>
      </w:r>
      <w:r>
        <w:t xml:space="preserve">a number of initiatives that it asserted would foster diversity, including </w:t>
      </w:r>
      <w:r w:rsidRPr="002436A5">
        <w:t xml:space="preserve">the idea of tradeable </w:t>
      </w:r>
      <w:r>
        <w:t>“d</w:t>
      </w:r>
      <w:r w:rsidRPr="002436A5">
        <w:t xml:space="preserve">iversity </w:t>
      </w:r>
      <w:r>
        <w:t>c</w:t>
      </w:r>
      <w:r w:rsidRPr="002436A5">
        <w:t>redits</w:t>
      </w:r>
      <w:r>
        <w:t>”</w:t>
      </w:r>
      <w:r w:rsidRPr="002436A5">
        <w:t xml:space="preserve"> for the broadcast </w:t>
      </w:r>
      <w:r>
        <w:t>industry</w:t>
      </w:r>
      <w:r w:rsidRPr="002436A5">
        <w:t xml:space="preserve">.  </w:t>
      </w:r>
      <w:r>
        <w:t>Although the concept of diversity credits is not well-defined in the reply comments, the general idea appears to be that a system of “diversity credits” could be created that could be traded in a market-based system and redeemed by a station buyer to offset increased concentration that would result from a proposed transaction.</w:t>
      </w:r>
      <w:r>
        <w:rPr>
          <w:rStyle w:val="FootnoteReference"/>
        </w:rPr>
        <w:footnoteReference w:id="257"/>
      </w:r>
      <w:r>
        <w:t xml:space="preserve">  T</w:t>
      </w:r>
      <w:r w:rsidRPr="002436A5">
        <w:t xml:space="preserve">he </w:t>
      </w:r>
      <w:r>
        <w:t>DCS suggested that economists (presumably both at the Commission and beyond) could explore the concept and offered the idea of a tradeable diversity credit “</w:t>
      </w:r>
      <w:r w:rsidRPr="002436A5">
        <w:t>in the hope that other parties will attempt to design a market-based Diversity Credit program.”</w:t>
      </w:r>
      <w:r>
        <w:rPr>
          <w:vertAlign w:val="superscript"/>
        </w:rPr>
        <w:footnoteReference w:id="258"/>
      </w:r>
      <w:r w:rsidRPr="002436A5">
        <w:t xml:space="preserve">  </w:t>
      </w:r>
      <w:r>
        <w:t>The diversity credits proposal was put forth as a potential alternative to the use of the “voices tests” in the Commission’s rules.</w:t>
      </w:r>
      <w:r>
        <w:rPr>
          <w:rStyle w:val="FootnoteReference"/>
        </w:rPr>
        <w:footnoteReference w:id="259"/>
      </w:r>
      <w:r>
        <w:t xml:space="preserve">  At the time, several of the Commission’s structural media ownership rules included aspects that required that a </w:t>
      </w:r>
      <w:r>
        <w:t>minimum number of independent speakers or “voices” remain in a market in order for a transaction to be permitted consistent with those rules.</w:t>
      </w:r>
      <w:r>
        <w:rPr>
          <w:rStyle w:val="FootnoteReference"/>
        </w:rPr>
        <w:footnoteReference w:id="260"/>
      </w:r>
    </w:p>
    <w:p w:rsidR="00B12C9D" w:rsidP="00B12C9D">
      <w:pPr>
        <w:pStyle w:val="ParaNum"/>
        <w:tabs>
          <w:tab w:val="clear" w:pos="1440"/>
        </w:tabs>
      </w:pPr>
      <w:r w:rsidRPr="002436A5">
        <w:t xml:space="preserve">The idea </w:t>
      </w:r>
      <w:r>
        <w:t xml:space="preserve">of tradeable diversity credits </w:t>
      </w:r>
      <w:r w:rsidRPr="002436A5">
        <w:t xml:space="preserve">was developed further in </w:t>
      </w:r>
      <w:r>
        <w:t xml:space="preserve">a </w:t>
      </w:r>
      <w:r w:rsidRPr="002436A5">
        <w:t xml:space="preserve">2004 </w:t>
      </w:r>
      <w:r>
        <w:t xml:space="preserve">proposal </w:t>
      </w:r>
      <w:r w:rsidRPr="002436A5">
        <w:t xml:space="preserve">drafted </w:t>
      </w:r>
      <w:r>
        <w:t xml:space="preserve">by a member of </w:t>
      </w:r>
      <w:r w:rsidRPr="002436A5">
        <w:t>the Transactional Transparency Subcommittee of the FCC Advisory Committee on Diversity in the Digital Age.</w:t>
      </w:r>
      <w:r>
        <w:rPr>
          <w:vertAlign w:val="superscript"/>
        </w:rPr>
        <w:footnoteReference w:id="261"/>
      </w:r>
      <w:r w:rsidRPr="002436A5">
        <w:t xml:space="preserve">  The 2004 </w:t>
      </w:r>
      <w:r>
        <w:t xml:space="preserve">Diversity Credits Proposal suggested </w:t>
      </w:r>
      <w:r w:rsidRPr="002436A5">
        <w:t xml:space="preserve">that the Commission consider </w:t>
      </w:r>
      <w:r>
        <w:t>a</w:t>
      </w:r>
      <w:r w:rsidRPr="002436A5">
        <w:t xml:space="preserve"> concept of </w:t>
      </w:r>
      <w:r>
        <w:t>d</w:t>
      </w:r>
      <w:r w:rsidRPr="002436A5">
        <w:t xml:space="preserve">iversity </w:t>
      </w:r>
      <w:r>
        <w:t>c</w:t>
      </w:r>
      <w:r w:rsidRPr="002436A5">
        <w:t xml:space="preserve">redits that would be linked to broadcast licenses.  </w:t>
      </w:r>
      <w:r>
        <w:t>As set forth in the 2004 Diversity Credits Proposal, t</w:t>
      </w:r>
      <w:r w:rsidRPr="002436A5">
        <w:t xml:space="preserve">he number of </w:t>
      </w:r>
      <w:r>
        <w:t>d</w:t>
      </w:r>
      <w:r w:rsidRPr="002436A5">
        <w:t xml:space="preserve">iversity </w:t>
      </w:r>
      <w:r>
        <w:t>c</w:t>
      </w:r>
      <w:r w:rsidRPr="002436A5">
        <w:t xml:space="preserve">redits attached to each license would be commensurate with the extent to which the licensee </w:t>
      </w:r>
      <w:r>
        <w:t>of the station was considered to be</w:t>
      </w:r>
      <w:r w:rsidRPr="002436A5">
        <w:t xml:space="preserve"> </w:t>
      </w:r>
      <w:r>
        <w:t>“</w:t>
      </w:r>
      <w:r w:rsidRPr="002436A5">
        <w:t>socially and economically disadvantaged.</w:t>
      </w:r>
      <w:r>
        <w:t>”</w:t>
      </w:r>
      <w:r>
        <w:rPr>
          <w:vertAlign w:val="superscript"/>
        </w:rPr>
        <w:footnoteReference w:id="262"/>
      </w:r>
      <w:r w:rsidRPr="002436A5">
        <w:t xml:space="preserve">  The 2004 </w:t>
      </w:r>
      <w:r>
        <w:t>Diversity Credits Proposal suggested</w:t>
      </w:r>
      <w:r w:rsidRPr="002436A5">
        <w:t xml:space="preserve"> that when a transaction o</w:t>
      </w:r>
      <w:r>
        <w:t>ccurred that was deemed to promote diversity (</w:t>
      </w:r>
      <w:r w:rsidRPr="006032E7">
        <w:rPr>
          <w:i/>
        </w:rPr>
        <w:t>e.g.</w:t>
      </w:r>
      <w:r>
        <w:t xml:space="preserve">, </w:t>
      </w:r>
      <w:r w:rsidRPr="002436A5">
        <w:t>the breakup of a local radio ownership clust</w:t>
      </w:r>
      <w:r>
        <w:t xml:space="preserve">er, or the sale of a station to a socially and economically disadvantaged business), </w:t>
      </w:r>
      <w:r w:rsidRPr="002436A5">
        <w:t xml:space="preserve">the Commission would </w:t>
      </w:r>
      <w:r>
        <w:t>award</w:t>
      </w:r>
      <w:r w:rsidRPr="002436A5">
        <w:t xml:space="preserve"> the seller additional </w:t>
      </w:r>
      <w:r>
        <w:t>d</w:t>
      </w:r>
      <w:r w:rsidRPr="002436A5">
        <w:t xml:space="preserve">iversity </w:t>
      </w:r>
      <w:r>
        <w:t>credits</w:t>
      </w:r>
      <w:r w:rsidRPr="002436A5">
        <w:t xml:space="preserve"> “commensurate with the extent to which the transaction promotes diversity.”</w:t>
      </w:r>
      <w:r>
        <w:rPr>
          <w:vertAlign w:val="superscript"/>
        </w:rPr>
        <w:footnoteReference w:id="263"/>
      </w:r>
      <w:r w:rsidRPr="002436A5">
        <w:t xml:space="preserve">  Similarly, the 2004 </w:t>
      </w:r>
      <w:r>
        <w:t>Diversity Credits Proposal suggested</w:t>
      </w:r>
      <w:r w:rsidRPr="002436A5">
        <w:t xml:space="preserve"> that when a </w:t>
      </w:r>
      <w:r>
        <w:t xml:space="preserve">transaction reduced diversity (perhaps by creating an ownership combination or expanding an ownership cluster), </w:t>
      </w:r>
      <w:r w:rsidRPr="002436A5">
        <w:t xml:space="preserve">the Commission </w:t>
      </w:r>
      <w:r>
        <w:t>w</w:t>
      </w:r>
      <w:r w:rsidRPr="002436A5">
        <w:t>ould re</w:t>
      </w:r>
      <w:r>
        <w:t>quire the submission of a certain number of d</w:t>
      </w:r>
      <w:r w:rsidRPr="002436A5">
        <w:t xml:space="preserve">iversity </w:t>
      </w:r>
      <w:r>
        <w:t>c</w:t>
      </w:r>
      <w:r w:rsidRPr="002436A5">
        <w:t xml:space="preserve">redits from the buyer, </w:t>
      </w:r>
      <w:r>
        <w:t>commensurate</w:t>
      </w:r>
      <w:r w:rsidRPr="002436A5">
        <w:t xml:space="preserve"> with the extent to the which the transaction reduced diversity.</w:t>
      </w:r>
      <w:r>
        <w:rPr>
          <w:vertAlign w:val="superscript"/>
        </w:rPr>
        <w:footnoteReference w:id="264"/>
      </w:r>
      <w:r>
        <w:t xml:space="preserve">  According to the 2004 Diversity Credits Proposal</w:t>
      </w:r>
      <w:r w:rsidRPr="002436A5">
        <w:t xml:space="preserve">, when the number of </w:t>
      </w:r>
      <w:r>
        <w:t>d</w:t>
      </w:r>
      <w:r w:rsidRPr="002436A5">
        <w:t xml:space="preserve">iversity </w:t>
      </w:r>
      <w:r>
        <w:t>c</w:t>
      </w:r>
      <w:r w:rsidRPr="002436A5">
        <w:t xml:space="preserve">redits held by a company </w:t>
      </w:r>
      <w:r>
        <w:t>seeking approval of a transaction wa</w:t>
      </w:r>
      <w:r w:rsidRPr="002436A5">
        <w:t>s insuffi</w:t>
      </w:r>
      <w:r>
        <w:t xml:space="preserve">cient to permit the company to gain approval, </w:t>
      </w:r>
      <w:r w:rsidRPr="002436A5">
        <w:t xml:space="preserve">the buyer </w:t>
      </w:r>
      <w:r>
        <w:t>would need to</w:t>
      </w:r>
      <w:r w:rsidRPr="002436A5">
        <w:t xml:space="preserve"> purchase </w:t>
      </w:r>
      <w:r>
        <w:t>d</w:t>
      </w:r>
      <w:r w:rsidRPr="002436A5">
        <w:t xml:space="preserve">iversity </w:t>
      </w:r>
      <w:r>
        <w:t>c</w:t>
      </w:r>
      <w:r w:rsidRPr="002436A5">
        <w:t>redits</w:t>
      </w:r>
      <w:r>
        <w:t xml:space="preserve"> on a secondary market</w:t>
      </w:r>
      <w:r w:rsidRPr="002436A5">
        <w:t xml:space="preserve"> from </w:t>
      </w:r>
      <w:r>
        <w:t xml:space="preserve">third-party </w:t>
      </w:r>
      <w:r w:rsidRPr="002436A5">
        <w:t xml:space="preserve">companies </w:t>
      </w:r>
      <w:r>
        <w:t>with an excess of such c</w:t>
      </w:r>
      <w:r w:rsidRPr="002436A5">
        <w:t>redits.</w:t>
      </w:r>
      <w:r>
        <w:rPr>
          <w:vertAlign w:val="superscript"/>
        </w:rPr>
        <w:footnoteReference w:id="265"/>
      </w:r>
      <w:r w:rsidRPr="00617838">
        <w:t xml:space="preserve"> </w:t>
      </w:r>
      <w:r>
        <w:t xml:space="preserve"> </w:t>
      </w:r>
      <w:r w:rsidRPr="002436A5">
        <w:t xml:space="preserve">Beyond providing very general examples, </w:t>
      </w:r>
      <w:r>
        <w:t xml:space="preserve">however, </w:t>
      </w:r>
      <w:r w:rsidRPr="002436A5">
        <w:t xml:space="preserve">the 2004 </w:t>
      </w:r>
      <w:r>
        <w:t xml:space="preserve">Diversity Credits Proposal </w:t>
      </w:r>
      <w:r w:rsidRPr="002436A5">
        <w:t>did not</w:t>
      </w:r>
      <w:r>
        <w:t xml:space="preserve"> </w:t>
      </w:r>
      <w:r w:rsidRPr="002436A5">
        <w:t>define what it mean</w:t>
      </w:r>
      <w:r>
        <w:t xml:space="preserve">t by </w:t>
      </w:r>
      <w:r w:rsidRPr="002436A5">
        <w:t>either “promot</w:t>
      </w:r>
      <w:r>
        <w:t>ing</w:t>
      </w:r>
      <w:r w:rsidRPr="002436A5">
        <w:t>” or “reduc</w:t>
      </w:r>
      <w:r>
        <w:t>ing</w:t>
      </w:r>
      <w:r w:rsidRPr="002436A5">
        <w:t xml:space="preserve">” </w:t>
      </w:r>
      <w:r>
        <w:t>diversity, or how the impact of a particular transaction would be measured and quantified</w:t>
      </w:r>
      <w:r w:rsidRPr="002436A5">
        <w:t xml:space="preserve">.  </w:t>
      </w:r>
    </w:p>
    <w:p w:rsidR="00B12C9D" w:rsidP="00B12C9D">
      <w:pPr>
        <w:pStyle w:val="ParaNum"/>
        <w:tabs>
          <w:tab w:val="num" w:pos="1080"/>
          <w:tab w:val="clear" w:pos="1440"/>
        </w:tabs>
      </w:pPr>
      <w:r>
        <w:t xml:space="preserve">In the 2010/2014 Quadrennial Review proceeding, MMTC continued the advocacy for a concept of tradeable diversity credits.  Specifically, </w:t>
      </w:r>
      <w:r w:rsidRPr="002436A5">
        <w:t xml:space="preserve">MMTC asked the Commission to </w:t>
      </w:r>
      <w:r>
        <w:t xml:space="preserve">explore the feasibility of a diversity credit program and urged that it </w:t>
      </w:r>
      <w:r w:rsidRPr="002436A5">
        <w:t>issue a</w:t>
      </w:r>
      <w:r>
        <w:t xml:space="preserve"> Notice of Inquiry to commence a rulemaking proceeding to explore the issue</w:t>
      </w:r>
      <w:r w:rsidRPr="002436A5">
        <w:t>.</w:t>
      </w:r>
      <w:r>
        <w:rPr>
          <w:vertAlign w:val="superscript"/>
        </w:rPr>
        <w:footnoteReference w:id="266"/>
      </w:r>
      <w:r>
        <w:t xml:space="preserve">  Consistent with the Commission’s commitment in the </w:t>
      </w:r>
      <w:r w:rsidRPr="00C95316">
        <w:rPr>
          <w:i/>
        </w:rPr>
        <w:t>2010/2014 Quadrennial Review Order</w:t>
      </w:r>
      <w:r>
        <w:t xml:space="preserve">, we hereby seek comment on whether and how the Commission should create a system of tradeable diversity credits that would seek to foster ownership diversity in the broadcast industry.  </w:t>
      </w:r>
    </w:p>
    <w:p w:rsidR="00B12C9D" w:rsidP="00B12C9D">
      <w:pPr>
        <w:pStyle w:val="ParaNum"/>
      </w:pPr>
      <w:r>
        <w:t>As an initial matter, we seek input on the C</w:t>
      </w:r>
      <w:r w:rsidRPr="002436A5">
        <w:t xml:space="preserve">ommission’s authority to adopt </w:t>
      </w:r>
      <w:r>
        <w:t>regulations establishing the framework of a tradeable diversity credit system in the context of our structural broadcast ownership rules or otherwise</w:t>
      </w:r>
      <w:r w:rsidRPr="002436A5">
        <w:t>.</w:t>
      </w:r>
      <w:r w:rsidRPr="000E143E">
        <w:t xml:space="preserve"> </w:t>
      </w:r>
      <w:r>
        <w:t xml:space="preserve"> </w:t>
      </w:r>
      <w:r w:rsidRPr="000E143E">
        <w:t xml:space="preserve">The Communications Act of 1934, as amended, does not contain explicit authority for the creation of, or reliance on, such a program.  When DCS first presented the diversity </w:t>
      </w:r>
      <w:r w:rsidRPr="000E143E">
        <w:t xml:space="preserve">credits concept, it asserted that the Commission had authority under sections 303(f), (g), and </w:t>
      </w:r>
      <w:r>
        <w:t>(r) of the Communications Act to implement such a program.</w:t>
      </w:r>
      <w:r>
        <w:rPr>
          <w:vertAlign w:val="superscript"/>
        </w:rPr>
        <w:footnoteReference w:id="267"/>
      </w:r>
      <w:r>
        <w:t xml:space="preserve">  We seek comment on the applicability of these Communications Act sections to a tradeable diversity credit scheme.    </w:t>
      </w:r>
    </w:p>
    <w:p w:rsidR="00B12C9D" w:rsidP="00B12C9D">
      <w:pPr>
        <w:pStyle w:val="ParaNum"/>
        <w:widowControl/>
      </w:pPr>
      <w:r>
        <w:t>In addition, assuming the Commission were to find that it has authority for such a system, we seek comment on the feasibility of implementing a scheme that builds on determinations about social/economic disadvantage in light of the Commission’s previous concerns about programs dependent on such determinations.</w:t>
      </w:r>
      <w:r>
        <w:rPr>
          <w:rStyle w:val="FootnoteReference"/>
        </w:rPr>
        <w:footnoteReference w:id="268"/>
      </w:r>
      <w:r>
        <w:t xml:space="preserve">  A</w:t>
      </w:r>
      <w:r w:rsidRPr="006A63E4">
        <w:t>s proposed, the allocation of diversity credits was to be based on the extent to which the licensee of the station was considered to be “socially and economically disadvantaged</w:t>
      </w:r>
      <w:r>
        <w:t>.</w:t>
      </w:r>
      <w:r w:rsidRPr="006A63E4">
        <w:t>”</w:t>
      </w:r>
      <w:r>
        <w:rPr>
          <w:vertAlign w:val="superscript"/>
        </w:rPr>
        <w:footnoteReference w:id="269"/>
      </w:r>
      <w:r>
        <w:t xml:space="preserve">  How should such a term be defined?  </w:t>
      </w:r>
      <w:r w:rsidRPr="006A63E4">
        <w:t>The 2004 Diversity Credits Proposal stated that “[m]inority status could be a factor in qualifying as an SDB if the Commission finds through rulemaking, that minorities, under certain conditions, are socially and economically disadvantaged in the broadcasting industry because of their race.”</w:t>
      </w:r>
      <w:r>
        <w:rPr>
          <w:rStyle w:val="FootnoteReference"/>
        </w:rPr>
        <w:footnoteReference w:id="270"/>
      </w:r>
      <w:r>
        <w:t xml:space="preserve">  </w:t>
      </w:r>
      <w:r w:rsidRPr="006A63E4">
        <w:t xml:space="preserve">The 2004 Diversity Credits Proposal does not, however, provide any guidance about when an individual might or might not qualify on the basis of race.  </w:t>
      </w:r>
      <w:r w:rsidRPr="00E84B6D">
        <w:t>To the extent that this definition would rely on the socially disadvantaged business (SDB) definition employed by the Small Business Administration (SBA),</w:t>
      </w:r>
      <w:r>
        <w:rPr>
          <w:vertAlign w:val="superscript"/>
        </w:rPr>
        <w:footnoteReference w:id="271"/>
      </w:r>
      <w:r w:rsidRPr="00E84B6D">
        <w:t xml:space="preserve"> we note that the Commission has previously declined to employ that definition in the media ownership context.</w:t>
      </w:r>
      <w:r>
        <w:rPr>
          <w:rStyle w:val="FootnoteReference"/>
        </w:rPr>
        <w:footnoteReference w:id="272"/>
      </w:r>
      <w:r w:rsidRPr="00E84B6D">
        <w:t xml:space="preserve">  </w:t>
      </w:r>
      <w:bookmarkStart w:id="45" w:name="_Hlk527980910"/>
      <w:r w:rsidRPr="00E84B6D">
        <w:t xml:space="preserve">Specifically, in the </w:t>
      </w:r>
      <w:bookmarkStart w:id="46" w:name="_Hlk527994188"/>
      <w:r w:rsidRPr="00E84B6D">
        <w:rPr>
          <w:i/>
        </w:rPr>
        <w:t>2010/2014 Quadrennial Review Order</w:t>
      </w:r>
      <w:bookmarkEnd w:id="46"/>
      <w:r w:rsidRPr="00E84B6D">
        <w:t xml:space="preserve">, the Commission </w:t>
      </w:r>
      <w:bookmarkEnd w:id="45"/>
      <w:r w:rsidRPr="00E84B6D">
        <w:t>declined to adopt an SDB eligibility standard</w:t>
      </w:r>
      <w:r>
        <w:t xml:space="preserve"> that</w:t>
      </w:r>
      <w:r w:rsidRPr="00E84B6D">
        <w:t xml:space="preserve"> would have recognized the race and ethnicity of applicants, or any other race- or gender-conscious measure.  Based on the Commission’s careful review of the extensive record developed in that proceeding, it found that the evidence did not establish a basis for race-conscious remedies and concluded that such measures were not likely to withstand review under the equal protection component of the Due Process Clause of the Constitution.</w:t>
      </w:r>
      <w:r>
        <w:rPr>
          <w:rStyle w:val="FootnoteReference"/>
        </w:rPr>
        <w:footnoteReference w:id="273"/>
      </w:r>
      <w:r w:rsidRPr="000E143E">
        <w:t xml:space="preserve"> </w:t>
      </w:r>
      <w:r>
        <w:t>Given the Commission’s previous finding that it lacks the evidence that courts have accepted in other contexts to satisfy the heightened constitutional scrutiny accorded to race- or gender-based classifications,</w:t>
      </w:r>
      <w:r>
        <w:rPr>
          <w:rStyle w:val="FootnoteReference"/>
        </w:rPr>
        <w:footnoteReference w:id="274"/>
      </w:r>
      <w:r>
        <w:t xml:space="preserve"> can we adopt a diversity credit program that considers race or gender, or other protected classes, in a manner that could withstand equal protection review?  Commenters advocating for such a program should explain in detail, based on relevant judicial precedent and existing empirical data, how circumstances have changed such that the Commission could now overcome the significant evidentiary issues that it previously found would need to be resolved in order to adopt race- or gender-based policies that could withstand heightened judicial scrutiny.</w:t>
      </w:r>
      <w:r>
        <w:rPr>
          <w:rStyle w:val="FootnoteReference"/>
        </w:rPr>
        <w:footnoteReference w:id="275"/>
      </w:r>
    </w:p>
    <w:p w:rsidR="00B12C9D" w:rsidP="00B12C9D">
      <w:pPr>
        <w:pStyle w:val="ParaNum"/>
        <w:tabs>
          <w:tab w:val="num" w:pos="1080"/>
          <w:tab w:val="clear" w:pos="1440"/>
        </w:tabs>
      </w:pPr>
      <w:r w:rsidRPr="00E84B6D">
        <w:t xml:space="preserve"> </w:t>
      </w:r>
      <w:r>
        <w:t>If the description of the socially and economically disadvantaged</w:t>
      </w:r>
      <w:r w:rsidRPr="006A63E4">
        <w:t xml:space="preserve"> </w:t>
      </w:r>
      <w:r>
        <w:t xml:space="preserve">concept </w:t>
      </w:r>
      <w:r w:rsidRPr="006A63E4">
        <w:t xml:space="preserve">in the 2004 Diversity Credits Proposal was a precursor to the Overcoming Disadvantages Preference (ODP) concept </w:t>
      </w:r>
      <w:r w:rsidRPr="006A63E4">
        <w:t xml:space="preserve">that MMTC </w:t>
      </w:r>
      <w:r>
        <w:t>has advanced in subsequent Commission rulemaking proceedings</w:t>
      </w:r>
      <w:r w:rsidRPr="006A63E4">
        <w:t xml:space="preserve">, we note that the Commission </w:t>
      </w:r>
      <w:r>
        <w:t xml:space="preserve">previously </w:t>
      </w:r>
      <w:r w:rsidRPr="006A63E4">
        <w:t xml:space="preserve">has assessed </w:t>
      </w:r>
      <w:r>
        <w:t xml:space="preserve">the concept of an </w:t>
      </w:r>
      <w:r w:rsidRPr="006A63E4">
        <w:t>ODP and articulated its concern that the agency lacks the resources to conduct the individualized reviews recommended as a central component of implementing ODP</w:t>
      </w:r>
      <w:r>
        <w:t>.</w:t>
      </w:r>
      <w:r>
        <w:rPr>
          <w:rStyle w:val="FootnoteReference"/>
        </w:rPr>
        <w:footnoteReference w:id="276"/>
      </w:r>
      <w:r w:rsidRPr="002436A5">
        <w:t xml:space="preserve">  </w:t>
      </w:r>
      <w:r>
        <w:t>We have similar concerns about the administrative and practical challenges of developing, implementing, and applying a diversity credit program.  The 2004 Diversity Credits Proposal suggested that the diversity credit program rely on ascribing a number of diversity credits to each broadcast license or possibly each licensee.</w:t>
      </w:r>
      <w:r>
        <w:rPr>
          <w:rStyle w:val="FootnoteReference"/>
        </w:rPr>
        <w:footnoteReference w:id="277"/>
      </w:r>
      <w:r>
        <w:t xml:space="preserve">  Who would make that allocation of diversity credits, and on what criteria would the Commission or other arbiter determine the number of credits to be awarded to each station or licensee?</w:t>
      </w:r>
    </w:p>
    <w:p w:rsidR="00B12C9D" w:rsidP="00B12C9D">
      <w:pPr>
        <w:pStyle w:val="ParaNum"/>
      </w:pPr>
      <w:r>
        <w:t xml:space="preserve">  We also note that the design of such a program raises some potentially complicated definitional issues.  How would the Commission define “diversity” in this context?  Previously, the Commission has described several types of diversity, focusing on viewpoint diversity as the relevant touchstone for purposes of the structural media ownership rules.</w:t>
      </w:r>
      <w:r>
        <w:rPr>
          <w:rStyle w:val="FootnoteReference"/>
        </w:rPr>
        <w:footnoteReference w:id="278"/>
      </w:r>
      <w:r>
        <w:t xml:space="preserve">  Would a tradeable diversity credit system have as its goal fostering viewpoint diversity, ownership diversity, both of these forms of diversity, or some other type of diversity?  </w:t>
      </w:r>
    </w:p>
    <w:p w:rsidR="00B12C9D" w:rsidP="00B12C9D">
      <w:pPr>
        <w:pStyle w:val="ParaNum"/>
        <w:tabs>
          <w:tab w:val="num" w:pos="1080"/>
          <w:tab w:val="clear" w:pos="1440"/>
        </w:tabs>
      </w:pPr>
      <w:r>
        <w:t>Once the notion of diversity is established, how would parties – or the Commission – determine, qualitatively or quantitatively, whether a transaction was deemed to promote diversity or harm diversity?  And how would the degree to which the transaction harms or benefits diversity be quantified, such that the number of credits awarded for, or required before approval of, such a transaction could be determined?  For example, would the impact on diversity vary depending on the size of the market, the number of operators therein, or the characteristics of the stations involved in the transaction?  Would the diversity credit program and the requirement that parties remit to the Commission a certain number of diversity credits in order to receive approval of a transaction replace the Commission’s existing structural broadcast ownership rules, which are based primarily on other policy goals, such as competition and localism?  Or would compliance with the diversity credit regime be an additional requirement before a transaction were permitted?</w:t>
      </w:r>
    </w:p>
    <w:p w:rsidR="00B12C9D" w:rsidP="00B12C9D">
      <w:pPr>
        <w:pStyle w:val="ParaNum"/>
        <w:tabs>
          <w:tab w:val="num" w:pos="1080"/>
          <w:tab w:val="clear" w:pos="1440"/>
        </w:tabs>
      </w:pPr>
      <w:r w:rsidRPr="002436A5">
        <w:t xml:space="preserve">Recognizing that the </w:t>
      </w:r>
      <w:r>
        <w:t>d</w:t>
      </w:r>
      <w:r w:rsidRPr="002436A5">
        <w:t xml:space="preserve">iversity </w:t>
      </w:r>
      <w:r>
        <w:t>c</w:t>
      </w:r>
      <w:r w:rsidRPr="002436A5">
        <w:t>redits are intended to be used as a form of currency in the broadcast market, how could the Commission effectively test</w:t>
      </w:r>
      <w:r>
        <w:t xml:space="preserve"> such a scheme to ensure it would</w:t>
      </w:r>
      <w:r w:rsidRPr="002436A5">
        <w:t xml:space="preserve"> not lead to any unintended consequences?</w:t>
      </w:r>
      <w:r>
        <w:t xml:space="preserve">  Developing and implementing a system </w:t>
      </w:r>
      <w:r w:rsidRPr="002436A5">
        <w:t xml:space="preserve">that ensures </w:t>
      </w:r>
      <w:r>
        <w:t>that the award of d</w:t>
      </w:r>
      <w:r w:rsidRPr="002436A5">
        <w:t xml:space="preserve">iversity </w:t>
      </w:r>
      <w:r>
        <w:t>c</w:t>
      </w:r>
      <w:r w:rsidRPr="002436A5">
        <w:t>red</w:t>
      </w:r>
      <w:r>
        <w:t>its leads to the desired result – increasing diverse ownership in the broadcast market –</w:t>
      </w:r>
      <w:r w:rsidRPr="002436A5">
        <w:t xml:space="preserve"> rather than inadvertently skewing the market towards an un</w:t>
      </w:r>
      <w:r>
        <w:t xml:space="preserve">intended </w:t>
      </w:r>
      <w:r w:rsidRPr="002436A5">
        <w:t>outcome</w:t>
      </w:r>
      <w:r>
        <w:t>, including greater concentration or loss of localism and viewpoint diversity, would seem to be a particular challenge</w:t>
      </w:r>
      <w:r w:rsidRPr="002436A5">
        <w:t>.</w:t>
      </w:r>
      <w:r>
        <w:rPr>
          <w:rStyle w:val="CommentReference"/>
        </w:rPr>
        <w:t xml:space="preserve"> </w:t>
      </w:r>
      <w:r>
        <w:t xml:space="preserve">  We seek comment on how to address these issues.</w:t>
      </w:r>
    </w:p>
    <w:p w:rsidR="00B12C9D" w:rsidP="00B12C9D">
      <w:pPr>
        <w:pStyle w:val="ParaNum"/>
        <w:tabs>
          <w:tab w:val="num" w:pos="1080"/>
          <w:tab w:val="clear" w:pos="1440"/>
        </w:tabs>
      </w:pPr>
      <w:bookmarkStart w:id="49" w:name="_Hlk529469849"/>
      <w:r>
        <w:t xml:space="preserve">Finally, we seek comment on the benefits and costs of adopting a diversity credits scheme.  We encourage commenters to include in their evaluations the types of analyses called for in the questions posed in earlier sections of the instant </w:t>
      </w:r>
      <w:r>
        <w:rPr>
          <w:i/>
        </w:rPr>
        <w:t>NPRM</w:t>
      </w:r>
      <w:r>
        <w:t xml:space="preserve"> about benefit-cost analysis.</w:t>
      </w:r>
      <w:r>
        <w:rPr>
          <w:rStyle w:val="FootnoteReference"/>
        </w:rPr>
        <w:footnoteReference w:id="279"/>
      </w:r>
      <w:r>
        <w:t xml:space="preserve">  </w:t>
      </w:r>
      <w:bookmarkEnd w:id="49"/>
    </w:p>
    <w:p w:rsidR="00B12C9D" w:rsidP="00B12C9D">
      <w:pPr>
        <w:pStyle w:val="ParaNum"/>
        <w:tabs>
          <w:tab w:val="num" w:pos="1080"/>
          <w:tab w:val="clear" w:pos="1440"/>
        </w:tabs>
      </w:pPr>
      <w:r w:rsidRPr="00572B85">
        <w:rPr>
          <w:i/>
        </w:rPr>
        <w:t>Tipping Point Formula and Source Diversity Formula</w:t>
      </w:r>
      <w:r w:rsidRPr="008E574E">
        <w:t>.</w:t>
      </w:r>
      <w:r w:rsidRPr="00DF0726">
        <w:t xml:space="preserve"> </w:t>
      </w:r>
      <w:r>
        <w:t xml:space="preserve">  As noted above, the Commission committed in the </w:t>
      </w:r>
      <w:r w:rsidRPr="0068773B">
        <w:rPr>
          <w:i/>
        </w:rPr>
        <w:t>2010/2014 Quadrennial Review Order</w:t>
      </w:r>
      <w:r w:rsidRPr="0068773B">
        <w:t xml:space="preserve"> </w:t>
      </w:r>
      <w:r>
        <w:t xml:space="preserve">to consider further two formulas that arose in </w:t>
      </w:r>
      <w:r>
        <w:t xml:space="preserve">previous proceedings and could ostensibly be used to establish media ownership limits while also promoting broadcast ownership diversity.  Both formulas were first presented approximately fifteen years ago and have had few, if any, refinements in the intervening years.  In 2002, </w:t>
      </w:r>
      <w:r w:rsidRPr="00A17507">
        <w:t xml:space="preserve">MMTC proposed </w:t>
      </w:r>
      <w:r>
        <w:t>a “tipping point formula” for use in the local radio market in lieu of the “flagging” approach that was used at the time to identify potential radio transactions that might raise diversity and competition concerns and has since been abandoned.</w:t>
      </w:r>
      <w:r>
        <w:rPr>
          <w:rStyle w:val="FootnoteReference"/>
        </w:rPr>
        <w:footnoteReference w:id="280"/>
      </w:r>
      <w:r>
        <w:t xml:space="preserve">  And in 2003, the DCS proposed a “source diversity formula” for use in the broader media market.</w:t>
      </w:r>
      <w:r>
        <w:rPr>
          <w:rStyle w:val="FootnoteReference"/>
        </w:rPr>
        <w:footnoteReference w:id="281"/>
      </w:r>
      <w:r>
        <w:t xml:space="preserve">  The latter formula seemed to be an attempt to quantify the benefit derived from increased viewpoint diversity.</w:t>
      </w:r>
      <w:r>
        <w:rPr>
          <w:rStyle w:val="FootnoteReference"/>
        </w:rPr>
        <w:footnoteReference w:id="282"/>
      </w:r>
      <w:r>
        <w:t xml:space="preserve"> </w:t>
      </w:r>
    </w:p>
    <w:p w:rsidR="00B12C9D" w:rsidP="00B12C9D">
      <w:pPr>
        <w:pStyle w:val="ParaNum"/>
        <w:tabs>
          <w:tab w:val="num" w:pos="1080"/>
          <w:tab w:val="clear" w:pos="1440"/>
        </w:tabs>
      </w:pPr>
      <w:r>
        <w:t xml:space="preserve">Like the notion of tradeable diversity credits discussed above, both these formula proposals contain few details and raise a significant number of questions, which we seek to explore below.  As with the diversity credits concept, the Communications Act does not provide explicit statutory authority to adopt or apply either of these formulas.  Thus, we seek comment on possible sources of statutory authority for these proposals.  Moreover, </w:t>
      </w:r>
      <w:r w:rsidRPr="00532EF5">
        <w:t>because there has been little by way of update to the formulas since they were initially proposed we also seek input generally on the relevance of these f</w:t>
      </w:r>
      <w:r>
        <w:t>ormulas to today’s marketplace.</w:t>
      </w:r>
      <w:r w:rsidRPr="00532EF5">
        <w:t xml:space="preserve">  </w:t>
      </w:r>
      <w:r>
        <w:t xml:space="preserve">Finally, the formulas also raise significant administrative and practical concerns that we discuss below and seek comment upon.       </w:t>
      </w:r>
    </w:p>
    <w:p w:rsidR="00B12C9D" w:rsidP="00B12C9D">
      <w:pPr>
        <w:pStyle w:val="ParaNum"/>
        <w:tabs>
          <w:tab w:val="num" w:pos="1080"/>
          <w:tab w:val="clear" w:pos="1440"/>
        </w:tabs>
      </w:pPr>
      <w:r w:rsidRPr="00A17507">
        <w:t xml:space="preserve">  </w:t>
      </w:r>
      <w:r>
        <w:rPr>
          <w:i/>
        </w:rPr>
        <w:t xml:space="preserve">Tipping Point Formula. </w:t>
      </w:r>
      <w:r>
        <w:t>In 2002,</w:t>
      </w:r>
      <w:bookmarkStart w:id="50" w:name="_Hlk528055776"/>
      <w:r w:rsidRPr="00A17507">
        <w:t xml:space="preserve"> </w:t>
      </w:r>
      <w:bookmarkEnd w:id="50"/>
      <w:r w:rsidRPr="00A17507">
        <w:t xml:space="preserve">MMTC </w:t>
      </w:r>
      <w:r>
        <w:t>proposed the “tipping point f</w:t>
      </w:r>
      <w:r w:rsidRPr="00A17507">
        <w:t>ormula</w:t>
      </w:r>
      <w:r>
        <w:t>” as an alternative to the approach the Commission used at the time of flagging radio station transactions that, based on an initial analysis, would result in a level of local radio concentration that implicated public interest concerns for maintaining diversity and competition.</w:t>
      </w:r>
      <w:r>
        <w:rPr>
          <w:vertAlign w:val="superscript"/>
        </w:rPr>
        <w:footnoteReference w:id="283"/>
      </w:r>
      <w:r>
        <w:t xml:space="preserve">  MMTC’s tipping point formula was based on the premise that “platforms . . . [should] not control so much advertising revenue that well run independents cannot survive or offer meaningful local service.”</w:t>
      </w:r>
      <w:r>
        <w:rPr>
          <w:rStyle w:val="FootnoteReference"/>
        </w:rPr>
        <w:footnoteReference w:id="284"/>
      </w:r>
      <w:r>
        <w:t xml:space="preserve">  MMTC states that its formula will  show when “a market ‘tips’ in this manner.”</w:t>
      </w:r>
      <w:r>
        <w:rPr>
          <w:rStyle w:val="FootnoteReference"/>
        </w:rPr>
        <w:footnoteReference w:id="285"/>
      </w:r>
      <w:r>
        <w:t xml:space="preserve">  MMTC, however, did not define many of the terms contained in its proposal, such as “independents,” “well run independents,” or “meaningful local service.”  The asserted goal of the formula is to assess </w:t>
      </w:r>
      <w:r w:rsidRPr="00A17507">
        <w:t xml:space="preserve">how much </w:t>
      </w:r>
      <w:r>
        <w:t>“</w:t>
      </w:r>
      <w:r w:rsidRPr="00A17507">
        <w:t>revenue</w:t>
      </w:r>
      <w:r>
        <w:t>”</w:t>
      </w:r>
      <w:r w:rsidRPr="00A17507">
        <w:t xml:space="preserve"> a</w:t>
      </w:r>
      <w:r>
        <w:t xml:space="preserve">n “independent” would </w:t>
      </w:r>
      <w:r w:rsidRPr="00A17507">
        <w:t>need</w:t>
      </w:r>
      <w:r>
        <w:t xml:space="preserve"> (</w:t>
      </w:r>
      <w:r w:rsidRPr="00A17507">
        <w:t>on average</w:t>
      </w:r>
      <w:r>
        <w:t>)</w:t>
      </w:r>
      <w:r w:rsidRPr="00A17507">
        <w:t xml:space="preserve"> to survive in a given market, with this number then being multiplied by the number of </w:t>
      </w:r>
      <w:r>
        <w:t>“</w:t>
      </w:r>
      <w:r w:rsidRPr="00A17507">
        <w:t>independents</w:t>
      </w:r>
      <w:r>
        <w:t>”</w:t>
      </w:r>
      <w:r w:rsidRPr="00A17507">
        <w:t xml:space="preserve"> in that market.</w:t>
      </w:r>
      <w:r>
        <w:rPr>
          <w:vertAlign w:val="superscript"/>
        </w:rPr>
        <w:footnoteReference w:id="286"/>
      </w:r>
      <w:r w:rsidRPr="00A17507">
        <w:t xml:space="preserve">  </w:t>
      </w:r>
      <w:r>
        <w:t xml:space="preserve">Given that the “flagging” approach in use at the time relied on advertising revenues, the term “revenue” in the proposed tipping point formula would appear to also refer </w:t>
      </w:r>
      <w:r>
        <w:t>to advertising revenue.</w:t>
      </w:r>
      <w:r>
        <w:rPr>
          <w:rStyle w:val="FootnoteReference"/>
        </w:rPr>
        <w:footnoteReference w:id="287"/>
      </w:r>
      <w:r>
        <w:t xml:space="preserve">   By submitting its proposal, MMTC essentially suggested that the Commission should </w:t>
      </w:r>
      <w:r w:rsidRPr="00567E67">
        <w:t xml:space="preserve">bar </w:t>
      </w:r>
      <w:r>
        <w:t>any transaction that would result in reducing the amount of revenue available to support independent operators in a market to a level below what could sustain those operators.  Stated differently, a broadcaster would not be permitted to acquire competing stations in a market if as a result the broadcaster would hold</w:t>
      </w:r>
      <w:r w:rsidRPr="00A17507">
        <w:t xml:space="preserve"> combined revenue </w:t>
      </w:r>
      <w:r>
        <w:t xml:space="preserve">so large </w:t>
      </w:r>
      <w:r w:rsidRPr="00A17507">
        <w:t>as to leave insufficient revenue for the independents in the market.</w:t>
      </w:r>
      <w:r>
        <w:rPr>
          <w:vertAlign w:val="superscript"/>
        </w:rPr>
        <w:footnoteReference w:id="288"/>
      </w:r>
      <w:r w:rsidRPr="00A17507">
        <w:t xml:space="preserve"> </w:t>
      </w:r>
      <w:r>
        <w:t xml:space="preserve"> In its filing, MMTC provided the following variables as inputs for its formula, as well as the formula as shown below:</w:t>
      </w:r>
    </w:p>
    <w:p w:rsidR="00B12C9D" w:rsidP="00B12C9D">
      <w:pPr>
        <w:pStyle w:val="ParaNum"/>
        <w:numPr>
          <w:ilvl w:val="0"/>
          <w:numId w:val="0"/>
        </w:numPr>
        <w:ind w:left="1440" w:right="720"/>
      </w:pPr>
      <w:r>
        <w:t>MR: Market revenue.</w:t>
      </w:r>
    </w:p>
    <w:p w:rsidR="00B12C9D" w:rsidP="00B12C9D">
      <w:pPr>
        <w:pStyle w:val="ParaNum"/>
        <w:numPr>
          <w:ilvl w:val="0"/>
          <w:numId w:val="0"/>
        </w:numPr>
        <w:ind w:left="1440" w:right="720"/>
      </w:pPr>
      <w:r>
        <w:t>MR1: Amount of market revenue drawn by largest platform.</w:t>
      </w:r>
    </w:p>
    <w:p w:rsidR="00B12C9D" w:rsidP="00B12C9D">
      <w:pPr>
        <w:pStyle w:val="ParaNum"/>
        <w:numPr>
          <w:ilvl w:val="0"/>
          <w:numId w:val="0"/>
        </w:numPr>
        <w:ind w:left="1440" w:right="720"/>
      </w:pPr>
      <w:r>
        <w:t>MR2: Amount of market revenue drawn by second largest platform.</w:t>
      </w:r>
    </w:p>
    <w:p w:rsidR="00B12C9D" w:rsidP="00B12C9D">
      <w:pPr>
        <w:pStyle w:val="ParaNum"/>
        <w:numPr>
          <w:ilvl w:val="0"/>
          <w:numId w:val="0"/>
        </w:numPr>
        <w:ind w:left="1440" w:right="720"/>
      </w:pPr>
      <w:r>
        <w:t>IN: Number of independent stations in the market.</w:t>
      </w:r>
    </w:p>
    <w:p w:rsidR="00B12C9D" w:rsidP="00B12C9D">
      <w:pPr>
        <w:pStyle w:val="ParaNum"/>
        <w:numPr>
          <w:ilvl w:val="0"/>
          <w:numId w:val="0"/>
        </w:numPr>
        <w:ind w:left="1440" w:right="720"/>
      </w:pPr>
      <w:r>
        <w:t xml:space="preserve">SU: Minimum fixed cost for an independent station to stay on the air.  </w:t>
      </w:r>
    </w:p>
    <w:p w:rsidR="00B12C9D" w:rsidP="00B12C9D">
      <w:pPr>
        <w:pStyle w:val="ParaNum"/>
        <w:numPr>
          <w:ilvl w:val="0"/>
          <w:numId w:val="0"/>
        </w:numPr>
        <w:ind w:left="1440" w:right="720"/>
      </w:pPr>
      <w:r>
        <w:t>VFSU:  Variability Factor for Survival Operations, reflecting the average amount of revenues per independent station that must be available in the market, collectively, to take account of variations among the independent stations and thereby ensure that well-run weak independents stay on the air.</w:t>
      </w:r>
    </w:p>
    <w:p w:rsidR="00B12C9D" w:rsidP="00B12C9D">
      <w:pPr>
        <w:pStyle w:val="ParaNum"/>
        <w:numPr>
          <w:ilvl w:val="0"/>
          <w:numId w:val="0"/>
        </w:numPr>
        <w:ind w:left="1440" w:right="720"/>
      </w:pPr>
      <w:r>
        <w:t>LS: Minimum additional cost, beyond SU, for an independent station to offer a meaningful local service.</w:t>
      </w:r>
    </w:p>
    <w:p w:rsidR="00B12C9D" w:rsidP="00B12C9D">
      <w:pPr>
        <w:pStyle w:val="ParaNum"/>
        <w:numPr>
          <w:ilvl w:val="0"/>
          <w:numId w:val="0"/>
        </w:numPr>
        <w:ind w:left="1440" w:right="720"/>
      </w:pPr>
      <w:r>
        <w:t>VFLS: Variability Factor for Local Service reflecting the average amount of revenue per independent station that must be available in the market, collectively, to take account of variations among the independent stations and thereby ensure that well-run weak independents remain viable.</w:t>
      </w:r>
    </w:p>
    <w:p w:rsidR="00B12C9D" w:rsidP="00B12C9D">
      <w:pPr>
        <w:pStyle w:val="ParaNum"/>
        <w:numPr>
          <w:ilvl w:val="0"/>
          <w:numId w:val="0"/>
        </w:numPr>
        <w:ind w:left="1440" w:right="720"/>
      </w:pPr>
      <w:r>
        <w:t xml:space="preserve">LSTP:  Local Service Tipping Point, i.e., the point at which, if the top two station groups control more revenue, independents will begin to lose their ability to offer meaningful local service.  </w:t>
      </w:r>
    </w:p>
    <w:p w:rsidR="00B12C9D" w:rsidP="00B12C9D">
      <w:pPr>
        <w:pStyle w:val="ParaNum"/>
        <w:numPr>
          <w:ilvl w:val="0"/>
          <w:numId w:val="0"/>
        </w:numPr>
        <w:ind w:left="1440" w:right="720"/>
      </w:pPr>
      <w:r>
        <w:t>SUTP: Survival Tipping Point, i.e., the point at which, if the top two station groups control more revenue, independents will be unable to meet their fixed operating costs and must, therefore, sell out or go dark.</w:t>
      </w:r>
      <w:r>
        <w:rPr>
          <w:rStyle w:val="FootnoteReference"/>
        </w:rPr>
        <w:footnoteReference w:id="289"/>
      </w:r>
    </w:p>
    <w:p w:rsidR="00B12C9D" w:rsidP="00B12C9D">
      <w:pPr>
        <w:pStyle w:val="ParaNum"/>
        <w:numPr>
          <w:ilvl w:val="0"/>
          <w:numId w:val="0"/>
        </w:numPr>
      </w:pPr>
      <w:r>
        <w:t xml:space="preserve">Based on these inputs, according to MMTC, the Local Service Tipping Point is the point at which:  IN (SU + VFSU + LS + VFLS) = MR – (MR1 + MR2), and the Survival Tipping point is the point at which:   IN (SU + VFSU) = MR </w:t>
      </w:r>
      <w:r w:rsidRPr="00257F46">
        <w:t>– (MR1 + MR2)</w:t>
      </w:r>
      <w:r>
        <w:t>.</w:t>
      </w:r>
      <w:r>
        <w:rPr>
          <w:vertAlign w:val="superscript"/>
        </w:rPr>
        <w:footnoteReference w:id="290"/>
      </w:r>
    </w:p>
    <w:p w:rsidR="00B12C9D" w:rsidP="00B12C9D">
      <w:pPr>
        <w:pStyle w:val="ParaNum"/>
        <w:widowControl/>
        <w:tabs>
          <w:tab w:val="num" w:pos="1080"/>
          <w:tab w:val="clear" w:pos="1440"/>
        </w:tabs>
      </w:pPr>
      <w:r>
        <w:t>After presenting these variables, MMTC noted that “[t]he cost of maintaining a station on the air varies somewhat depending on local market factors.”</w:t>
      </w:r>
      <w:r>
        <w:rPr>
          <w:rStyle w:val="FootnoteReference"/>
        </w:rPr>
        <w:footnoteReference w:id="291"/>
      </w:r>
      <w:r>
        <w:t xml:space="preserve">  According to MMTC, such regional or local differences “can be designed into a formula by indexing a market’s cost of living relative to the </w:t>
      </w:r>
      <w:r>
        <w:t>national average.”</w:t>
      </w:r>
      <w:r>
        <w:rPr>
          <w:rStyle w:val="FootnoteReference"/>
        </w:rPr>
        <w:footnoteReference w:id="292"/>
      </w:r>
      <w:r>
        <w:t xml:space="preserve">  MMTC stated that such an issue could be addressed in a negotiated rulemaking involving all interested parties.</w:t>
      </w:r>
      <w:r>
        <w:rPr>
          <w:rStyle w:val="FootnoteReference"/>
        </w:rPr>
        <w:footnoteReference w:id="293"/>
      </w:r>
      <w:r>
        <w:t xml:space="preserve">  </w:t>
      </w:r>
    </w:p>
    <w:p w:rsidR="00B12C9D" w:rsidP="00B12C9D">
      <w:pPr>
        <w:pStyle w:val="ParaNum"/>
        <w:tabs>
          <w:tab w:val="num" w:pos="1080"/>
          <w:tab w:val="clear" w:pos="1440"/>
        </w:tabs>
      </w:pPr>
      <w:r>
        <w:t xml:space="preserve">We seek comment on the various terms used in the formula.  For example, how should the terms “independent” and “platform” be defined in the context of today’s radio marketplace?  How should the terms “well-run independent” and “well-run weak independent” be defined?  What objective criteria can we apply to distinguish between a “well-run independent” and a “well-run weak independent,” so as to ensure that use of a tipping point formula does not prop up stations that are either poorly managed or simply not airing programming that responds to the community’s interests?  What is meant by “meaningful local service”?  We also seek comment on whether any determinations about how well a station is run or the concept of a “meaningful local service” might implicate First Amendment concerns.  </w:t>
      </w:r>
    </w:p>
    <w:p w:rsidR="00B12C9D" w:rsidP="00B12C9D">
      <w:pPr>
        <w:pStyle w:val="ParaNum"/>
        <w:tabs>
          <w:tab w:val="num" w:pos="1080"/>
          <w:tab w:val="clear" w:pos="1440"/>
        </w:tabs>
      </w:pPr>
      <w:r>
        <w:t xml:space="preserve">The tipping point formula seems to rely on advertising revenues.  If so, how would the Commission and potential applicants obtain reliable advertising revenue for all radio stations?  If another type of revenue is more appropriate, what type of data would the Commission rely on to obtain information about this other form of revenue?  </w:t>
      </w:r>
      <w:r w:rsidRPr="002A6C6A">
        <w:t xml:space="preserve">How should the concept of “fixed operating costs” be quantified?  </w:t>
      </w:r>
      <w:r>
        <w:t xml:space="preserve">How should the Commission account for local and regional cost differences? </w:t>
      </w:r>
    </w:p>
    <w:p w:rsidR="00B12C9D" w:rsidRPr="00A17507" w:rsidP="00B12C9D">
      <w:pPr>
        <w:pStyle w:val="ParaNum"/>
        <w:widowControl/>
        <w:tabs>
          <w:tab w:val="num" w:pos="1080"/>
          <w:tab w:val="clear" w:pos="1440"/>
        </w:tabs>
      </w:pPr>
      <w:r>
        <w:t xml:space="preserve">Finally, we </w:t>
      </w:r>
      <w:r w:rsidRPr="00CC123C">
        <w:t xml:space="preserve">seek comment on </w:t>
      </w:r>
      <w:r>
        <w:t>what seems to be MMTC’s fundamental premise behind the tipping point f</w:t>
      </w:r>
      <w:r w:rsidRPr="00CC123C">
        <w:t>ormula, namely, that retaining independents (however that term is defined) in a market maintains diversity</w:t>
      </w:r>
      <w:r>
        <w:t xml:space="preserve"> (however that term is defined).</w:t>
      </w:r>
      <w:r>
        <w:rPr>
          <w:rStyle w:val="FootnoteReference"/>
        </w:rPr>
        <w:footnoteReference w:id="294"/>
      </w:r>
      <w:r>
        <w:t xml:space="preserve">  We also seek comment on the benefits and costs of adopting a tipping point formula.  We encourage commenters to include in their evaluations the types of analyses called for in the questions posed in earlier sections of the instant </w:t>
      </w:r>
      <w:r>
        <w:rPr>
          <w:i/>
        </w:rPr>
        <w:t>NPRM</w:t>
      </w:r>
      <w:r>
        <w:t xml:space="preserve"> about benefit-cost analysis.</w:t>
      </w:r>
      <w:r>
        <w:rPr>
          <w:rStyle w:val="FootnoteReference"/>
        </w:rPr>
        <w:footnoteReference w:id="295"/>
      </w:r>
      <w:r>
        <w:t xml:space="preserve">  We also invite commenters to address any other issues that they believe are raised by the tipping point formula proposal.          </w:t>
      </w:r>
      <w:r w:rsidRPr="00A17507">
        <w:t xml:space="preserve">                </w:t>
      </w:r>
    </w:p>
    <w:p w:rsidR="00B12C9D" w:rsidP="00B12C9D">
      <w:pPr>
        <w:pStyle w:val="ParaNum"/>
        <w:tabs>
          <w:tab w:val="num" w:pos="1080"/>
          <w:tab w:val="clear" w:pos="1440"/>
        </w:tabs>
      </w:pPr>
      <w:r>
        <w:rPr>
          <w:i/>
        </w:rPr>
        <w:t xml:space="preserve">Source </w:t>
      </w:r>
      <w:r w:rsidRPr="00F64E64">
        <w:rPr>
          <w:i/>
        </w:rPr>
        <w:t>Diversity Formula</w:t>
      </w:r>
      <w:r>
        <w:t xml:space="preserve">.  </w:t>
      </w:r>
      <w:r w:rsidRPr="00F64E64">
        <w:t>In</w:t>
      </w:r>
      <w:r>
        <w:t xml:space="preserve"> a February 2003 filing, the </w:t>
      </w:r>
      <w:r w:rsidRPr="002E1F81">
        <w:t xml:space="preserve">DCS </w:t>
      </w:r>
      <w:r>
        <w:t>stated that it was offering</w:t>
      </w:r>
      <w:r w:rsidRPr="002E1F81">
        <w:t xml:space="preserve"> the source diversity formula in</w:t>
      </w:r>
      <w:r>
        <w:t xml:space="preserve"> response to then-Chairman Powell’s challenge to “give a reward to anyone who derived a formula that provides an ‘HHI for Diversity.’”</w:t>
      </w:r>
      <w:r>
        <w:rPr>
          <w:rStyle w:val="FootnoteReference"/>
        </w:rPr>
        <w:footnoteReference w:id="296"/>
      </w:r>
      <w:r>
        <w:t xml:space="preserve">  Although MMTC requested most recently in 2016 that the formula be considered by the Commission, there has been little refinement or development of the DCS’s initial proposal.</w:t>
      </w:r>
      <w:r>
        <w:rPr>
          <w:rStyle w:val="FootnoteReference"/>
        </w:rPr>
        <w:footnoteReference w:id="297"/>
      </w:r>
      <w:r>
        <w:t xml:space="preserve">  Based on the DCS’s 2003 filing, the source diversity formula appears to seek to measure the level of consumer welfare derived from viewpoint diversity in the broadcast market.</w:t>
      </w:r>
      <w:r>
        <w:rPr>
          <w:rStyle w:val="FootnoteReference"/>
        </w:rPr>
        <w:footnoteReference w:id="298"/>
      </w:r>
      <w:r>
        <w:t xml:space="preserve">  Unlike the tipping point formula, the source diversity formula does not appear to be limited to the radio sector.  The DCS had suggested that the source diversity formula could be used as a “thermometer” to determine whether “a national or local market manifest[s] strong diversity, moderate </w:t>
      </w:r>
      <w:r>
        <w:t>diversity, or slight diversity.”</w:t>
      </w:r>
      <w:r>
        <w:rPr>
          <w:rStyle w:val="FootnoteReference"/>
        </w:rPr>
        <w:footnoteReference w:id="299"/>
      </w:r>
      <w:r>
        <w:t xml:space="preserve">  The DCS proposed that the Commission conduct a negotiated rulemaking to determine what significance to accord to various “temperature readings” on the HHI for Diversity thermometer.</w:t>
      </w:r>
      <w:r>
        <w:rPr>
          <w:rStyle w:val="FootnoteReference"/>
        </w:rPr>
        <w:footnoteReference w:id="300"/>
      </w:r>
      <w:r>
        <w:t xml:space="preserve">  For example, what temperatures would reflect “poor health,”</w:t>
      </w:r>
      <w:r>
        <w:rPr>
          <w:rStyle w:val="FootnoteReference"/>
        </w:rPr>
        <w:footnoteReference w:id="301"/>
      </w:r>
      <w:r>
        <w:t xml:space="preserve"> versus measurements indicative of strong health.  While not clearly stated, it appears that the DCS was suggesting the source diversity formula could be used in lieu of a “number of voices” test.</w:t>
      </w:r>
      <w:r>
        <w:rPr>
          <w:rStyle w:val="FootnoteReference"/>
        </w:rPr>
        <w:footnoteReference w:id="302"/>
      </w:r>
      <w:r>
        <w:t xml:space="preserve">     </w:t>
      </w:r>
      <w:bookmarkStart w:id="58" w:name="_Hlk527979177"/>
    </w:p>
    <w:p w:rsidR="00B12C9D" w:rsidP="00B12C9D">
      <w:pPr>
        <w:pStyle w:val="ParaNum"/>
        <w:tabs>
          <w:tab w:val="num" w:pos="1080"/>
          <w:tab w:val="clear" w:pos="1440"/>
        </w:tabs>
      </w:pPr>
      <w:bookmarkEnd w:id="58"/>
      <w:r>
        <w:t xml:space="preserve">    DCS depicted the source diversity formula as shown below with the variables presented as follows:  </w:t>
      </w:r>
      <w:r w:rsidRPr="00A17507">
        <w:t>X = consumer welfare der</w:t>
      </w:r>
      <w:r>
        <w:t>ived from viewpoint diversity; p</w:t>
      </w:r>
      <w:r w:rsidRPr="00A17507">
        <w:t xml:space="preserve"> = a program consumed from a particular source; g = the number of programs from a particular source that are available for consumption; C = the number of consumers consuming a particular program; T = consumers’ mean media consumption time devoted to the absorption of viewpoints in a particular program; Z = consumers’ mean attentiveness to a particular program; m = a source (including al</w:t>
      </w:r>
      <w:r>
        <w:t>l outlets owned by that source);</w:t>
      </w:r>
      <w:r w:rsidRPr="00A17507">
        <w:t xml:space="preserve"> and n = number of differently</w:t>
      </w:r>
      <w:r>
        <w:t xml:space="preserve"> </w:t>
      </w:r>
      <w:r w:rsidRPr="00A17507">
        <w:t>owned sources offering programs which are consumed.</w:t>
      </w:r>
      <w:r>
        <w:rPr>
          <w:vertAlign w:val="superscript"/>
        </w:rPr>
        <w:footnoteReference w:id="303"/>
      </w:r>
      <w:r>
        <w:t xml:space="preserve">  As proposed, the formula </w:t>
      </w:r>
      <w:r w:rsidRPr="00A17507">
        <w:t>read</w:t>
      </w:r>
      <w:r>
        <w:t>s as</w:t>
      </w:r>
      <w:r w:rsidRPr="00A17507">
        <w:t>:</w:t>
      </w:r>
      <w:r>
        <w:rPr>
          <w:rStyle w:val="FootnoteReference"/>
        </w:rPr>
        <w:footnoteReference w:id="304"/>
      </w:r>
      <w:r w:rsidRPr="00A17507">
        <w:t xml:space="preserve">  </w:t>
      </w:r>
    </w:p>
    <w:p w:rsidR="00B12C9D" w:rsidRPr="004E7FA2" w:rsidP="00B12C9D">
      <w:pPr>
        <w:spacing w:before="240" w:after="240"/>
        <w:jc w:val="center"/>
      </w:pPr>
      <m:oMathPara>
        <m:oMath>
          <m:r>
            <w:rPr>
              <w:rFonts w:ascii="Cambria Math" w:hAnsi="Cambria Math"/>
              <w:i/>
            </w:rPr>
            <m:t>X</m:t>
          </m:r>
          <m:sSup>
            <m:sSupPr>
              <m:ctrlPr>
                <w:rPr>
                  <w:rFonts w:ascii="Cambria Math"/>
                </w:rPr>
              </m:ctrlPr>
            </m:sSupPr>
            <m:e>
              <m:r>
                <w:rPr>
                  <w:rFonts w:ascii="Cambria Math" w:hAnsi="Cambria Math"/>
                  <w:i/>
                </w:rPr>
                <m:t>=</m:t>
              </m:r>
              <m:r>
                <m:rPr>
                  <m:sty m:val="p"/>
                </m:rPr>
                <w:rPr>
                  <w:rFonts w:ascii="Cambria Math" w:hAnsi="Cambria Math"/>
                </w:rPr>
                <m:t>n</m:t>
              </m:r>
            </m:e>
            <m:sup>
              <m:r>
                <w:rPr>
                  <w:rFonts w:ascii="Cambria Math" w:hAnsi="Cambria Math"/>
                  <w:i/>
                </w:rPr>
                <m:t>1+(</m:t>
              </m:r>
              <m:f>
                <m:fPr>
                  <m:ctrlPr>
                    <w:rPr>
                      <w:rFonts w:ascii="Cambria Math"/>
                      <w:i/>
                    </w:rPr>
                  </m:ctrlPr>
                </m:fPr>
                <m:num>
                  <m:r>
                    <w:rPr>
                      <w:rFonts w:ascii="Cambria Math" w:hAnsi="Cambria Math"/>
                      <w:i/>
                    </w:rPr>
                    <m:t>1</m:t>
                  </m:r>
                </m:num>
                <m:den>
                  <m:r>
                    <w:rPr>
                      <w:rFonts w:ascii="Cambria Math" w:hAnsi="Cambria Math"/>
                      <w:i/>
                    </w:rPr>
                    <m:t>n</m:t>
                  </m:r>
                </m:den>
              </m:f>
              <m:r>
                <w:rPr>
                  <w:rFonts w:ascii="Cambria Math" w:hAnsi="Cambria Math"/>
                  <w:i/>
                </w:rPr>
                <m:t>)</m:t>
              </m:r>
            </m:sup>
          </m:sSup>
          <m:nary>
            <m:naryPr>
              <m:chr m:val="â"/>
              <m:grow/>
              <m:ctrlPr>
                <w:rPr>
                  <w:rFonts w:ascii="Cambria Math"/>
                </w:rPr>
              </m:ctrlPr>
            </m:naryPr>
            <m:sub>
              <m:r>
                <w:rPr>
                  <w:rFonts w:ascii="Cambria Math" w:eastAsia="Cambria Math" w:hAnsi="Cambria Math" w:cs="Cambria Math"/>
                  <w:i/>
                </w:rPr>
                <m:t>m=1</m:t>
              </m:r>
            </m:sub>
            <m:sup>
              <m:r>
                <w:rPr>
                  <w:rFonts w:ascii="Cambria Math" w:eastAsia="Cambria Math" w:hAnsi="Cambria Math" w:cs="Cambria Math"/>
                  <w:i/>
                </w:rPr>
                <m:t>n</m:t>
              </m:r>
            </m:sup>
            <m:e>
              <m:d>
                <m:dPr>
                  <m:ctrlPr>
                    <w:rPr>
                      <w:rFonts w:ascii="Cambria Math"/>
                    </w:rPr>
                  </m:ctrlPr>
                </m:dPr>
                <m:e>
                  <m:nary>
                    <m:naryPr>
                      <m:chr m:val="â"/>
                      <m:limLoc m:val="undOvr"/>
                      <m:ctrlPr>
                        <w:rPr>
                          <w:rFonts w:ascii="Cambria Math"/>
                          <w:i/>
                        </w:rPr>
                      </m:ctrlPr>
                    </m:naryPr>
                    <m:sub>
                      <m:r>
                        <w:rPr>
                          <w:rFonts w:ascii="Cambria Math" w:hAnsi="Cambria Math"/>
                          <w:i/>
                        </w:rPr>
                        <m:t>p=1</m:t>
                      </m:r>
                    </m:sub>
                    <m:sup>
                      <m:r>
                        <w:rPr>
                          <w:rFonts w:ascii="Cambria Math" w:hAnsi="Cambria Math"/>
                          <w:i/>
                        </w:rPr>
                        <m:t>g</m:t>
                      </m:r>
                    </m:sup>
                    <m:e>
                      <m:r>
                        <w:rPr>
                          <w:rFonts w:ascii="Cambria Math" w:hAnsi="Cambria Math"/>
                          <w:i/>
                        </w:rPr>
                        <m:t>CTZ</m:t>
                      </m:r>
                    </m:e>
                  </m:nary>
                </m:e>
              </m:d>
            </m:e>
          </m:nary>
        </m:oMath>
      </m:oMathPara>
    </w:p>
    <w:p w:rsidR="00B12C9D" w:rsidP="00B12C9D">
      <w:pPr>
        <w:pStyle w:val="ParaNum"/>
        <w:numPr>
          <w:ilvl w:val="0"/>
          <w:numId w:val="0"/>
        </w:numPr>
      </w:pPr>
      <w:r>
        <w:t>When it presented the formula, the DCS acknowledged that the formula was imperfect and would need testing and validation before deployment.</w:t>
      </w:r>
      <w:r>
        <w:rPr>
          <w:rStyle w:val="FootnoteReference"/>
        </w:rPr>
        <w:footnoteReference w:id="305"/>
      </w:r>
      <w:r>
        <w:t xml:space="preserve">        </w:t>
      </w:r>
    </w:p>
    <w:p w:rsidR="00B12C9D" w:rsidP="00B12C9D">
      <w:pPr>
        <w:pStyle w:val="ParaNum"/>
      </w:pPr>
      <w:r>
        <w:t>The DCS’s formula raises several fundamental questions.  Is the formula sufficiently comprehensive for commenters to gauge without additional explanation whether it can provide a meaningful assessment of consumer welfare and viewpoint diversity in a particular market?  Are there terms used in the formula inputs that require definition prior to any assessment of the formula’s utility?  For example, do terms such as “source” and “program” need to be defined before analyzing the formula?  Are there other terms that need defining?  How will the formula inputs be obtained?  For example, we</w:t>
      </w:r>
      <w:r w:rsidRPr="00243589">
        <w:t xml:space="preserve"> seek co</w:t>
      </w:r>
      <w:r>
        <w:t xml:space="preserve">mment on how to capture </w:t>
      </w:r>
      <w:r w:rsidRPr="00243589">
        <w:t>inputs such as “consumers’ mean attentiveness to a particular program” and “consumers’ mean media consumption time devoted to the absorption of viewpoints in a particular program.”</w:t>
      </w:r>
      <w:r>
        <w:t xml:space="preserve">  How should the Commission determine the level of diversity to ascribe to various formula results (e.g., “strong diversity,” “moderate diversity,” or “slight diversity”)?</w:t>
      </w:r>
    </w:p>
    <w:p w:rsidR="00B12C9D" w:rsidRPr="006A1E18" w:rsidP="00B12C9D">
      <w:pPr>
        <w:pStyle w:val="ParaNum"/>
      </w:pPr>
      <w:r>
        <w:t xml:space="preserve">Finally, we seek comment on the benefits and costs of adopting a source diversity formula.  We encourage commenters to include in their evaluations the types of analyses called for in the </w:t>
      </w:r>
      <w:r>
        <w:t xml:space="preserve">questions posed in earlier sections of the instant </w:t>
      </w:r>
      <w:r>
        <w:rPr>
          <w:i/>
        </w:rPr>
        <w:t>NPRM</w:t>
      </w:r>
      <w:r>
        <w:t xml:space="preserve"> about benefit-cost analysis.</w:t>
      </w:r>
      <w:r>
        <w:rPr>
          <w:rStyle w:val="FootnoteReference"/>
        </w:rPr>
        <w:footnoteReference w:id="306"/>
      </w:r>
      <w:r>
        <w:t xml:space="preserve">  We also invite commenters to address any other issues that they believe are raised by the source diversity proposal.</w:t>
      </w:r>
    </w:p>
    <w:p w:rsidR="00B12C9D" w:rsidP="00B12C9D">
      <w:pPr>
        <w:pStyle w:val="Heading1"/>
      </w:pPr>
      <w:bookmarkStart w:id="63" w:name="_Toc527713809"/>
      <w:bookmarkStart w:id="64" w:name="_Toc532379636"/>
      <w:bookmarkStart w:id="65" w:name="_Toc532379669"/>
      <w:r>
        <w:t>procedural matters</w:t>
      </w:r>
      <w:bookmarkEnd w:id="63"/>
      <w:bookmarkEnd w:id="64"/>
      <w:bookmarkEnd w:id="65"/>
    </w:p>
    <w:p w:rsidR="00B12C9D" w:rsidRPr="00021F1F" w:rsidP="00B12C9D">
      <w:pPr>
        <w:pStyle w:val="ParaNum"/>
      </w:pPr>
      <w:r>
        <w:rPr>
          <w:i/>
        </w:rPr>
        <w:t>Ex Parte Rules</w:t>
      </w:r>
      <w:r>
        <w:t>—</w:t>
      </w:r>
      <w:r>
        <w:rPr>
          <w:i/>
        </w:rPr>
        <w:t xml:space="preserve">Permit-But-Disclose.  </w:t>
      </w:r>
      <w:bookmarkStart w:id="66" w:name="_Ref481502360"/>
      <w:r w:rsidRPr="00245932">
        <w:t xml:space="preserve">The proceeding </w:t>
      </w:r>
      <w:r>
        <w:t>that this</w:t>
      </w:r>
      <w:r w:rsidRPr="00245932">
        <w:t xml:space="preserve"> Notice of Proposed Rulemaking </w:t>
      </w:r>
      <w:r>
        <w:t xml:space="preserve">initiates </w:t>
      </w:r>
      <w:r w:rsidRPr="00245932">
        <w:t xml:space="preserve">shall be treated as a “permit-but-disclose” proceeding in accordance with the Commission’s </w:t>
      </w:r>
      <w:r w:rsidRPr="00245932">
        <w:rPr>
          <w:i/>
        </w:rPr>
        <w:t>ex parte</w:t>
      </w:r>
      <w:r w:rsidRPr="00245932">
        <w:t xml:space="preserve"> rules.</w:t>
      </w:r>
      <w:r>
        <w:rPr>
          <w:rStyle w:val="FootnoteReference"/>
          <w:sz w:val="22"/>
        </w:rPr>
        <w:footnoteReference w:id="307"/>
      </w:r>
      <w:r w:rsidRPr="00245932">
        <w:t xml:space="preserve">  Persons making </w:t>
      </w:r>
      <w:r w:rsidRPr="00245932">
        <w:rPr>
          <w:i/>
        </w:rPr>
        <w:t>ex parte</w:t>
      </w:r>
      <w:r w:rsidRPr="0024593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45932">
        <w:rPr>
          <w:i/>
        </w:rPr>
        <w:t>ex</w:t>
      </w:r>
      <w:r w:rsidRPr="00245932">
        <w:t xml:space="preserve"> </w:t>
      </w:r>
      <w:r w:rsidRPr="00245932">
        <w:rPr>
          <w:i/>
        </w:rPr>
        <w:t>parte</w:t>
      </w:r>
      <w:r w:rsidRPr="00245932">
        <w:t xml:space="preserve"> presentations are reminded that memoranda summarizing the presentation must (1) list all persons attending or otherwise participating in the meeting at which the </w:t>
      </w:r>
      <w:r w:rsidRPr="00245932">
        <w:rPr>
          <w:i/>
        </w:rPr>
        <w:t>ex</w:t>
      </w:r>
      <w:r w:rsidRPr="00245932">
        <w:t xml:space="preserve"> </w:t>
      </w:r>
      <w:r w:rsidRPr="00245932">
        <w:rPr>
          <w:i/>
        </w:rPr>
        <w:t>parte</w:t>
      </w:r>
      <w:r w:rsidRPr="0024593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45932">
        <w:rPr>
          <w:i/>
        </w:rPr>
        <w:t>ex parte</w:t>
      </w:r>
      <w:r w:rsidRPr="00245932">
        <w:t xml:space="preserve"> meetings are deemed to be written </w:t>
      </w:r>
      <w:r w:rsidRPr="00245932">
        <w:rPr>
          <w:i/>
        </w:rPr>
        <w:t>ex parte</w:t>
      </w:r>
      <w:r w:rsidRPr="00245932">
        <w:t xml:space="preserve"> presentations and must be filed consistent with Section 1.1206(b)</w:t>
      </w:r>
      <w:r>
        <w:t xml:space="preserve">, 47 CFR </w:t>
      </w:r>
      <w:r w:rsidRPr="00245932">
        <w:t>§</w:t>
      </w:r>
      <w:r>
        <w:t>1.1206(b)</w:t>
      </w:r>
      <w:r w:rsidRPr="00245932">
        <w:t>.  In proceedings governed by Section 1.49(f)</w:t>
      </w:r>
      <w:r>
        <w:t xml:space="preserve">, 47 CFR </w:t>
      </w:r>
      <w:r w:rsidRPr="00245932">
        <w:t>§</w:t>
      </w:r>
      <w:r>
        <w:t xml:space="preserve"> 1.49(f), </w:t>
      </w:r>
      <w:r w:rsidRPr="00245932">
        <w:t xml:space="preserve">or for which the Commission has made available a method of electronic filing, written </w:t>
      </w:r>
      <w:r w:rsidRPr="00245932">
        <w:rPr>
          <w:i/>
        </w:rPr>
        <w:t>ex parte</w:t>
      </w:r>
      <w:r w:rsidRPr="00245932">
        <w:t xml:space="preserve"> presentations and memoranda summarizing oral </w:t>
      </w:r>
      <w:r w:rsidRPr="00245932">
        <w:rPr>
          <w:i/>
        </w:rPr>
        <w:t>ex parte</w:t>
      </w:r>
      <w:r w:rsidRPr="00245932">
        <w:t xml:space="preserve"> presentations, and all attachments thereto, must be filed through the </w:t>
      </w:r>
      <w:r>
        <w:t>Commission’s E</w:t>
      </w:r>
      <w:r w:rsidRPr="00245932">
        <w:t xml:space="preserve">lectronic </w:t>
      </w:r>
      <w:r>
        <w:t>C</w:t>
      </w:r>
      <w:r w:rsidRPr="00245932">
        <w:t xml:space="preserve">omment </w:t>
      </w:r>
      <w:r>
        <w:t>F</w:t>
      </w:r>
      <w:r w:rsidRPr="00245932">
        <w:t xml:space="preserve">iling </w:t>
      </w:r>
      <w:r>
        <w:t>S</w:t>
      </w:r>
      <w:r w:rsidRPr="00245932">
        <w:t xml:space="preserve">ystem </w:t>
      </w:r>
      <w:r>
        <w:t xml:space="preserve">(ECFS) </w:t>
      </w:r>
      <w:r w:rsidRPr="00245932">
        <w:t xml:space="preserve">available for that proceeding, and must be filed in their native format (e.g., .doc, .xml, .ppt, searchable .pdf).  Participants in this proceeding should familiarize themselves with the Commission’s </w:t>
      </w:r>
      <w:r w:rsidRPr="00245932">
        <w:rPr>
          <w:i/>
        </w:rPr>
        <w:t>ex</w:t>
      </w:r>
      <w:r w:rsidRPr="00245932">
        <w:t xml:space="preserve"> </w:t>
      </w:r>
      <w:r w:rsidRPr="00245932">
        <w:rPr>
          <w:i/>
        </w:rPr>
        <w:t>parte</w:t>
      </w:r>
      <w:r w:rsidRPr="00245932">
        <w:t xml:space="preserve"> rules.</w:t>
      </w:r>
      <w:bookmarkEnd w:id="66"/>
    </w:p>
    <w:p w:rsidR="00B12C9D" w:rsidRPr="00245932" w:rsidP="00B12C9D">
      <w:pPr>
        <w:pStyle w:val="ParaNum"/>
        <w:widowControl/>
      </w:pPr>
      <w:r>
        <w:rPr>
          <w:i/>
        </w:rPr>
        <w:t xml:space="preserve">Filing Requirements—Comments and Replies.  </w:t>
      </w:r>
      <w:r w:rsidRPr="00245932">
        <w:t>Pursuant to Sections 1.415 and 1.419 of the Commission’s rules, 47 CFR §§</w:t>
      </w:r>
      <w:r>
        <w:t xml:space="preserve"> </w:t>
      </w:r>
      <w:r w:rsidRPr="00245932">
        <w:t xml:space="preserve">1.415, 1.419, interested parties may file comments and reply comments on or before the dates indicated on the first page of this document.  Comments may be filed using ECFS.  </w:t>
      </w:r>
      <w:r w:rsidRPr="00245932">
        <w:rPr>
          <w:i/>
        </w:rPr>
        <w:t>See Electronic Filing of Documents in Rulemaking Proceedings</w:t>
      </w:r>
      <w:r w:rsidRPr="00245932">
        <w:t>, 63 FR 24121 (1998).</w:t>
      </w:r>
    </w:p>
    <w:p w:rsidR="00B12C9D" w:rsidRPr="00245932" w:rsidP="00B12C9D">
      <w:pPr>
        <w:widowControl/>
        <w:numPr>
          <w:ilvl w:val="0"/>
          <w:numId w:val="8"/>
        </w:numPr>
        <w:spacing w:after="120"/>
      </w:pPr>
      <w:r w:rsidRPr="00245932">
        <w:t xml:space="preserve">Commenting parties may file comments in response to this Notice </w:t>
      </w:r>
      <w:r w:rsidRPr="00E02E59">
        <w:t>in MB Docket No. 1</w:t>
      </w:r>
      <w:r>
        <w:t>8</w:t>
      </w:r>
      <w:r w:rsidRPr="00E02E59">
        <w:t>-</w:t>
      </w:r>
      <w:r>
        <w:t>349</w:t>
      </w:r>
      <w:r w:rsidRPr="00245932">
        <w:t xml:space="preserve">; interested parties are not required to file duplicate copies in the additional dockets listed in the caption of this notice. </w:t>
      </w:r>
    </w:p>
    <w:p w:rsidR="00B12C9D" w:rsidRPr="00245932" w:rsidP="00B12C9D">
      <w:pPr>
        <w:widowControl/>
        <w:numPr>
          <w:ilvl w:val="0"/>
          <w:numId w:val="8"/>
        </w:numPr>
        <w:spacing w:after="120"/>
      </w:pPr>
      <w:r w:rsidRPr="00245932">
        <w:t xml:space="preserve">Electronic Filers:  Comments may be filed electronically using the Internet by accessing the ECFS:  </w:t>
      </w:r>
      <w:r>
        <w:fldChar w:fldCharType="begin"/>
      </w:r>
      <w:r>
        <w:instrText xml:space="preserve"> HYPERLINK "http://apps.fcc.gov/ecfs/" </w:instrText>
      </w:r>
      <w:r>
        <w:fldChar w:fldCharType="separate"/>
      </w:r>
      <w:r w:rsidRPr="00245932">
        <w:rPr>
          <w:color w:val="0000FF"/>
          <w:u w:val="single"/>
        </w:rPr>
        <w:t>http://apps.fcc.gov/ecfs/</w:t>
      </w:r>
      <w:r>
        <w:fldChar w:fldCharType="end"/>
      </w:r>
      <w:r w:rsidRPr="00245932">
        <w:t xml:space="preserve">.  </w:t>
      </w:r>
    </w:p>
    <w:p w:rsidR="00B12C9D" w:rsidRPr="00245932" w:rsidP="00B12C9D">
      <w:pPr>
        <w:widowControl/>
        <w:numPr>
          <w:ilvl w:val="0"/>
          <w:numId w:val="8"/>
        </w:numPr>
        <w:spacing w:after="120"/>
      </w:pPr>
      <w:r w:rsidRPr="00245932">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12C9D" w:rsidRPr="00245932" w:rsidP="00B12C9D">
      <w:pPr>
        <w:widowControl/>
        <w:numPr>
          <w:ilvl w:val="0"/>
          <w:numId w:val="8"/>
        </w:numPr>
        <w:spacing w:after="120"/>
      </w:pPr>
      <w:r w:rsidRPr="00245932">
        <w:t>Filings can be sent by hand or messenger delivery, by commercial overnight courier, or by first-class or overnight U.S. Postal Service mail.  All filings must be addressed to the Commission’s Secretary, Office of the Secretary, Federal Communications Commission.</w:t>
      </w:r>
    </w:p>
    <w:p w:rsidR="00B12C9D" w:rsidRPr="00245932" w:rsidP="00B12C9D">
      <w:pPr>
        <w:widowControl/>
        <w:numPr>
          <w:ilvl w:val="0"/>
          <w:numId w:val="7"/>
        </w:numPr>
        <w:spacing w:after="120"/>
      </w:pPr>
      <w:r w:rsidRPr="00245932">
        <w:t>All hand-delivered or messenger-delivered paper filings for the Commission’s Secretary must be delivered to FCC Headquarters at 445 12</w:t>
      </w:r>
      <w:r w:rsidRPr="00245932">
        <w:rPr>
          <w:vertAlign w:val="superscript"/>
        </w:rPr>
        <w:t>th</w:t>
      </w:r>
      <w:r w:rsidRPr="00245932">
        <w:t xml:space="preserve"> St., SW, Room TW-A325, Washington, D.C. 20554.  The filing hours are 8:00 a.m. to 7:00 p.m.  All hand deliveries must be held together with rubber bands or fasteners.  Any envelopes and boxes must be disposed of </w:t>
      </w:r>
      <w:r w:rsidRPr="00245932">
        <w:rPr>
          <w:u w:val="single"/>
        </w:rPr>
        <w:t>before</w:t>
      </w:r>
      <w:r w:rsidRPr="00245932">
        <w:t xml:space="preserve"> entering the building.  </w:t>
      </w:r>
    </w:p>
    <w:p w:rsidR="00B12C9D" w:rsidP="00B12C9D">
      <w:pPr>
        <w:widowControl/>
        <w:numPr>
          <w:ilvl w:val="0"/>
          <w:numId w:val="7"/>
        </w:numPr>
        <w:spacing w:after="120"/>
      </w:pPr>
      <w:r w:rsidRPr="00502570">
        <w:t>Commercial overnight mail (other than U.S. Postal Service Express Mail and Priority Mail) must be sent to 9050 Junction Drive, Annapolis Junction, MD 20701.</w:t>
      </w:r>
    </w:p>
    <w:p w:rsidR="00B12C9D" w:rsidRPr="00021F1F" w:rsidP="00B12C9D">
      <w:pPr>
        <w:widowControl/>
        <w:numPr>
          <w:ilvl w:val="0"/>
          <w:numId w:val="7"/>
        </w:numPr>
        <w:spacing w:after="120"/>
      </w:pPr>
      <w:r w:rsidRPr="00245932">
        <w:t>U.S. Postal Service first-class, Express, and Priority mail must be addressed to 445 12</w:t>
      </w:r>
      <w:r w:rsidRPr="00021F1F">
        <w:rPr>
          <w:vertAlign w:val="superscript"/>
        </w:rPr>
        <w:t>th</w:t>
      </w:r>
      <w:r w:rsidRPr="00245932">
        <w:t xml:space="preserve"> Street, SW, Washington, D.C. 20554.</w:t>
      </w:r>
    </w:p>
    <w:p w:rsidR="00B12C9D" w:rsidRPr="001E42CA" w:rsidP="00B12C9D">
      <w:pPr>
        <w:pStyle w:val="ParaNum"/>
      </w:pPr>
      <w:r w:rsidRPr="00021F1F">
        <w:rPr>
          <w:i/>
        </w:rPr>
        <w:t>Initial Regulatory Flexibility Act Analysis</w:t>
      </w:r>
      <w:r>
        <w:t>—</w:t>
      </w:r>
      <w:r w:rsidRPr="00112F5D">
        <w:t>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szCs w:val="22"/>
        </w:rPr>
        <w:footnoteReference w:id="308"/>
      </w:r>
      <w:r w:rsidRPr="001E42CA">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rStyle w:val="FootnoteReference"/>
        </w:rPr>
        <w:footnoteReference w:id="309"/>
      </w:r>
      <w:r w:rsidRPr="001E42CA">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310"/>
      </w:r>
    </w:p>
    <w:p w:rsidR="00B12C9D" w:rsidP="00B12C9D">
      <w:pPr>
        <w:pStyle w:val="ParaNum"/>
        <w:widowControl/>
      </w:pPr>
      <w:r w:rsidRPr="001E42CA">
        <w:t xml:space="preserve">With respect to this </w:t>
      </w:r>
      <w:r>
        <w:t xml:space="preserve">Notice of Proposed Rulemaking, </w:t>
      </w:r>
      <w:r w:rsidRPr="001E42CA">
        <w:t>an Initial Regulatory Flexibility Analysis (IRFA) under the R</w:t>
      </w:r>
      <w:r>
        <w:t>FA</w:t>
      </w:r>
      <w:r w:rsidRPr="001E42CA">
        <w:t xml:space="preserve"> is contained in </w:t>
      </w:r>
      <w:r>
        <w:t xml:space="preserve">the </w:t>
      </w:r>
      <w:r w:rsidRPr="001E42CA">
        <w:t xml:space="preserve">Appendix.  Written public comments are requested on the IFRA and must be filed in accordance with the same filing deadlines as comments on this </w:t>
      </w:r>
      <w:r>
        <w:t>Notice of Proposed Rulemaking</w:t>
      </w:r>
      <w:r w:rsidRPr="001E42CA">
        <w:t xml:space="preserve">, with a distinct heading designating them as responses to the IRFA.  In addition, a copy of this </w:t>
      </w:r>
      <w:r>
        <w:t>Notice of Proposed Rulemaking</w:t>
      </w:r>
      <w:r w:rsidRPr="001E42CA">
        <w:t xml:space="preserve"> and the IRFA will be sent to the Chief Counsel for Advocacy of the SBA and will be published in the Federal Register</w:t>
      </w:r>
      <w:r w:rsidRPr="00112F5D">
        <w:t>.</w:t>
      </w:r>
    </w:p>
    <w:p w:rsidR="00B12C9D" w:rsidRPr="00021F1F" w:rsidP="00B12C9D">
      <w:pPr>
        <w:pStyle w:val="ParaNum"/>
      </w:pPr>
      <w:r w:rsidRPr="00675D81">
        <w:rPr>
          <w:i/>
        </w:rPr>
        <w:t>Paperwork Reduction Act</w:t>
      </w:r>
      <w:r>
        <w:t>—</w:t>
      </w:r>
      <w:r w:rsidRPr="00675D81">
        <w:rPr>
          <w:szCs w:val="22"/>
        </w:rPr>
        <w:t xml:space="preserve">This document seeks comment on whether the Commission should adopt new or modified information collection requirements. </w:t>
      </w:r>
      <w:r>
        <w:rPr>
          <w:szCs w:val="22"/>
        </w:rPr>
        <w:t xml:space="preserve"> </w:t>
      </w:r>
      <w:r w:rsidRPr="00675D81">
        <w:rPr>
          <w:szCs w:val="22"/>
        </w:rPr>
        <w:t>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675D81">
        <w:rPr>
          <w:i/>
          <w:iCs/>
          <w:szCs w:val="22"/>
        </w:rPr>
        <w:t>see</w:t>
      </w:r>
      <w:r w:rsidRPr="00675D81">
        <w:rPr>
          <w:szCs w:val="22"/>
        </w:rPr>
        <w:t xml:space="preserve"> 44 U.S.C. </w:t>
      </w:r>
      <w:r w:rsidRPr="00245932">
        <w:t>§</w:t>
      </w:r>
      <w:r>
        <w:t xml:space="preserve"> </w:t>
      </w:r>
      <w:r w:rsidRPr="00675D81">
        <w:rPr>
          <w:szCs w:val="22"/>
        </w:rPr>
        <w:t>3506(c)(4), we seek specific comment on how we might further reduce the information collection burden for small business concerns with fewer than 25 employees.</w:t>
      </w:r>
    </w:p>
    <w:p w:rsidR="00B12C9D" w:rsidRPr="00021F1F" w:rsidP="00B12C9D">
      <w:pPr>
        <w:pStyle w:val="ParaNum"/>
      </w:pPr>
      <w:r>
        <w:rPr>
          <w:i/>
        </w:rPr>
        <w:t>People with Disabilities—</w:t>
      </w:r>
      <w:r w:rsidRPr="00245932">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45932">
        <w:rPr>
          <w:color w:val="0000FF"/>
          <w:u w:val="single"/>
        </w:rPr>
        <w:t>fcc504@fcc.gov</w:t>
      </w:r>
      <w:r>
        <w:fldChar w:fldCharType="end"/>
      </w:r>
      <w:r w:rsidRPr="00245932">
        <w:t xml:space="preserve"> or call the Consumer and Governmental Affairs Bureau at 202-418-0530 (voice), 202-418-0432 (tty).</w:t>
      </w:r>
    </w:p>
    <w:p w:rsidR="00B12C9D" w:rsidP="00B12C9D">
      <w:pPr>
        <w:pStyle w:val="ParaNum"/>
      </w:pPr>
      <w:r>
        <w:rPr>
          <w:i/>
        </w:rPr>
        <w:t>Additional Information—</w:t>
      </w:r>
      <w:r w:rsidRPr="001E42CA">
        <w:t>For</w:t>
      </w:r>
      <w:r>
        <w:t xml:space="preserve"> </w:t>
      </w:r>
      <w:r w:rsidRPr="001E42CA">
        <w:t xml:space="preserve">additional information on this proceeding, please contact Brendan Holland of the Media Bureau, Industry Analysis Division, </w:t>
      </w:r>
      <w:r>
        <w:fldChar w:fldCharType="begin"/>
      </w:r>
      <w:r>
        <w:instrText xml:space="preserve"> HYPERLINK "mailto:Brendan.Holland@fcc.gov" </w:instrText>
      </w:r>
      <w:r>
        <w:fldChar w:fldCharType="separate"/>
      </w:r>
      <w:r w:rsidRPr="00420384">
        <w:rPr>
          <w:rStyle w:val="Hyperlink"/>
          <w:color w:val="auto"/>
        </w:rPr>
        <w:t>Brendan.Holland@fcc.gov</w:t>
      </w:r>
      <w:r>
        <w:fldChar w:fldCharType="end"/>
      </w:r>
      <w:r w:rsidRPr="001E42CA">
        <w:t>, (202) 418-2757.</w:t>
      </w:r>
      <w:r>
        <w:t xml:space="preserve">   </w:t>
      </w:r>
    </w:p>
    <w:p w:rsidR="00B12C9D" w:rsidP="00B12C9D">
      <w:pPr>
        <w:pStyle w:val="Heading1"/>
      </w:pPr>
      <w:bookmarkStart w:id="67" w:name="_Toc527713810"/>
      <w:bookmarkStart w:id="68" w:name="_Toc532379637"/>
      <w:bookmarkStart w:id="69" w:name="_Toc532379670"/>
      <w:r>
        <w:t>ordering clauses</w:t>
      </w:r>
      <w:bookmarkEnd w:id="67"/>
      <w:bookmarkEnd w:id="68"/>
      <w:bookmarkEnd w:id="69"/>
    </w:p>
    <w:p w:rsidR="00B12C9D" w:rsidP="00B12C9D">
      <w:pPr>
        <w:pStyle w:val="ParaNum"/>
      </w:pPr>
      <w:r w:rsidRPr="00245932">
        <w:t xml:space="preserve">Accordingly, </w:t>
      </w:r>
      <w:r w:rsidRPr="00245932">
        <w:rPr>
          <w:b/>
        </w:rPr>
        <w:t>IT IS ORDERED</w:t>
      </w:r>
      <w:r w:rsidRPr="00245932">
        <w:t xml:space="preserve"> that, pursuant to the authority contained in Sections 1, 2(a), 4(i), 257, 303, 307, 309, 310, and 403 of the Communications Act of 1934, as amended, 47 U.S.C. §§ 151, 152(a), 154(i), 257, 303, 307, 309, 310, and 403, and Section 202(h) of the Telecommunications Act of 1996, this Notice of Proposed Rulemaking </w:t>
      </w:r>
      <w:r w:rsidRPr="00245932">
        <w:rPr>
          <w:b/>
        </w:rPr>
        <w:t>IS ADOPTED</w:t>
      </w:r>
      <w:r>
        <w:t>.</w:t>
      </w:r>
    </w:p>
    <w:p w:rsidR="00B12C9D" w:rsidP="00B12C9D">
      <w:pPr>
        <w:pStyle w:val="ParaNum"/>
      </w:pPr>
      <w:r w:rsidRPr="00245932">
        <w:rPr>
          <w:b/>
        </w:rPr>
        <w:t>IT IS FURTHER ORDERED</w:t>
      </w:r>
      <w:r w:rsidRPr="00245932">
        <w:t xml:space="preserve"> that, pursuant to applicable procedures set forth in Sections 1.415 and 1.419 of the Commission’s rules, 47 CFR §§ 1.415, 1.419, interested parties may file comments on the Notice of Proposed Rulemaking in </w:t>
      </w:r>
      <w:r w:rsidRPr="00394B3E">
        <w:t xml:space="preserve">MB Docket No. </w:t>
      </w:r>
      <w:r w:rsidRPr="00FF1EC4">
        <w:t>1</w:t>
      </w:r>
      <w:r>
        <w:t>8</w:t>
      </w:r>
      <w:r w:rsidRPr="00FF1EC4">
        <w:t>-</w:t>
      </w:r>
      <w:r>
        <w:t>349</w:t>
      </w:r>
      <w:r w:rsidRPr="00FF1EC4">
        <w:t xml:space="preserve"> on</w:t>
      </w:r>
      <w:r w:rsidRPr="00394B3E">
        <w:t xml:space="preserve"> or before </w:t>
      </w:r>
      <w:r w:rsidR="008652DE">
        <w:t>sixty</w:t>
      </w:r>
      <w:r w:rsidRPr="007D7AA0">
        <w:t xml:space="preserve"> (</w:t>
      </w:r>
      <w:r w:rsidR="008652DE">
        <w:t>60</w:t>
      </w:r>
      <w:bookmarkStart w:id="70" w:name="_GoBack"/>
      <w:bookmarkEnd w:id="70"/>
      <w:r w:rsidRPr="007D7AA0">
        <w:t xml:space="preserve">) days after publication in the </w:t>
      </w:r>
      <w:r w:rsidRPr="007D7AA0">
        <w:rPr>
          <w:i/>
        </w:rPr>
        <w:t>Federal Register</w:t>
      </w:r>
      <w:r w:rsidRPr="007D7AA0">
        <w:t xml:space="preserve"> and reply comments on or before </w:t>
      </w:r>
      <w:r w:rsidR="008652DE">
        <w:t>ninety</w:t>
      </w:r>
      <w:r w:rsidRPr="007D7AA0">
        <w:t xml:space="preserve"> (</w:t>
      </w:r>
      <w:r w:rsidR="008652DE">
        <w:t>90</w:t>
      </w:r>
      <w:r w:rsidRPr="007D7AA0">
        <w:t>)</w:t>
      </w:r>
      <w:r>
        <w:t xml:space="preserve"> </w:t>
      </w:r>
      <w:r w:rsidRPr="00245932">
        <w:t xml:space="preserve">days after publication in the </w:t>
      </w:r>
      <w:r w:rsidRPr="00245932">
        <w:rPr>
          <w:i/>
        </w:rPr>
        <w:t>Federal Register</w:t>
      </w:r>
      <w:r w:rsidRPr="00245932">
        <w:t>.</w:t>
      </w:r>
    </w:p>
    <w:p w:rsidR="00412FC5" w:rsidP="00B12C9D">
      <w:pPr>
        <w:pStyle w:val="ParaNum"/>
      </w:pPr>
      <w:r w:rsidRPr="00112F5D">
        <w:rPr>
          <w:b/>
        </w:rPr>
        <w:t>IT IS FURTHER ORDERED</w:t>
      </w:r>
      <w:r w:rsidRPr="00112F5D">
        <w:t xml:space="preserve"> that the Commission’s Consumer and Governmental Affairs Bureau, Reference Information Center, </w:t>
      </w:r>
      <w:r w:rsidRPr="00112F5D">
        <w:rPr>
          <w:b/>
        </w:rPr>
        <w:t xml:space="preserve">SHALL SEND </w:t>
      </w:r>
      <w:r w:rsidRPr="00112F5D">
        <w:t>a copy of this Notice, including the Initial Regulatory Flexibility Analysis, to the Chief Counsel for Advocacy of the Small Business Administration</w:t>
      </w:r>
      <w:r w:rsidRPr="00245932">
        <w:t>.</w:t>
      </w:r>
    </w:p>
    <w:p w:rsidR="00B12C9D" w:rsidP="00B12C9D">
      <w:r>
        <w:tab/>
      </w:r>
      <w:r>
        <w:tab/>
      </w:r>
      <w:r>
        <w:tab/>
      </w:r>
      <w:r>
        <w:tab/>
      </w:r>
      <w:r>
        <w:tab/>
      </w:r>
      <w:r>
        <w:tab/>
        <w:t>FEDERAL COMMUNICATIONS COMMISSION</w:t>
      </w:r>
    </w:p>
    <w:p w:rsidR="00B12C9D" w:rsidP="00B12C9D"/>
    <w:p w:rsidR="00B12C9D" w:rsidP="00B12C9D"/>
    <w:p w:rsidR="00B12C9D" w:rsidP="00B12C9D"/>
    <w:p w:rsidR="00B12C9D" w:rsidP="00B12C9D"/>
    <w:p w:rsidR="00B12C9D" w:rsidP="00B12C9D">
      <w:r>
        <w:tab/>
      </w:r>
      <w:r>
        <w:tab/>
      </w:r>
      <w:r>
        <w:tab/>
      </w:r>
      <w:r>
        <w:tab/>
      </w:r>
      <w:r>
        <w:tab/>
      </w:r>
      <w:r>
        <w:tab/>
        <w:t>Marlene H. Dortch</w:t>
      </w:r>
    </w:p>
    <w:p w:rsidR="00B12C9D" w:rsidP="00B12C9D">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B12C9D" w:rsidRPr="00112F5D" w:rsidP="00B12C9D">
      <w:pPr>
        <w:jc w:val="center"/>
        <w:rPr>
          <w:b/>
        </w:rPr>
      </w:pPr>
      <w:r w:rsidRPr="00112F5D">
        <w:rPr>
          <w:b/>
        </w:rPr>
        <w:t>APPENDIX</w:t>
      </w:r>
    </w:p>
    <w:p w:rsidR="00B12C9D" w:rsidRPr="00112F5D" w:rsidP="00B12C9D">
      <w:pPr>
        <w:jc w:val="center"/>
        <w:rPr>
          <w:b/>
        </w:rPr>
      </w:pPr>
    </w:p>
    <w:p w:rsidR="00B12C9D" w:rsidRPr="00112F5D" w:rsidP="00B12C9D">
      <w:pPr>
        <w:keepNext/>
        <w:widowControl/>
        <w:jc w:val="center"/>
        <w:rPr>
          <w:b/>
          <w:szCs w:val="22"/>
        </w:rPr>
      </w:pPr>
      <w:r w:rsidRPr="00112F5D">
        <w:rPr>
          <w:b/>
          <w:szCs w:val="22"/>
        </w:rPr>
        <w:t>Initial Regulatory Flexibility Act Analysis</w:t>
      </w:r>
    </w:p>
    <w:p w:rsidR="00B12C9D" w:rsidRPr="00112F5D" w:rsidP="00B12C9D">
      <w:pPr>
        <w:keepNext/>
        <w:widowControl/>
        <w:rPr>
          <w:b/>
          <w:szCs w:val="22"/>
        </w:rPr>
      </w:pPr>
    </w:p>
    <w:p w:rsidR="00B12C9D" w:rsidP="00B12C9D">
      <w:pPr>
        <w:pStyle w:val="ParaNum"/>
        <w:numPr>
          <w:ilvl w:val="0"/>
          <w:numId w:val="9"/>
        </w:numPr>
        <w:tabs>
          <w:tab w:val="clear" w:pos="1080"/>
          <w:tab w:val="num" w:pos="1440"/>
        </w:tabs>
        <w:sectPr w:rsidSect="00B12C9D">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titlePg/>
        </w:sectPr>
      </w:pPr>
    </w:p>
    <w:p w:rsidR="00B12C9D" w:rsidRPr="009A4568" w:rsidP="00B12C9D">
      <w:pPr>
        <w:pStyle w:val="ParaNum"/>
        <w:numPr>
          <w:ilvl w:val="0"/>
          <w:numId w:val="9"/>
        </w:numPr>
        <w:tabs>
          <w:tab w:val="clear" w:pos="1080"/>
          <w:tab w:val="num" w:pos="1440"/>
        </w:tabs>
        <w:rPr>
          <w:b/>
        </w:rPr>
      </w:pPr>
      <w:r w:rsidRPr="00112F5D">
        <w:t>As required by the Regulatory Flexibility Act of 1980, as amended (RFA)</w:t>
      </w:r>
      <w:r>
        <w:t>,</w:t>
      </w:r>
      <w:r>
        <w:rPr>
          <w:rStyle w:val="FootnoteReference"/>
          <w:szCs w:val="22"/>
        </w:rPr>
        <w:footnoteReference w:id="311"/>
      </w:r>
      <w:r w:rsidRPr="001E42CA">
        <w:t xml:space="preserve"> the Commission has prepared this Initial Regulatory Flexibility Act Analysis (IRFA) of the possible significant economic impact on small entities of the policies and rules proposed in this </w:t>
      </w:r>
      <w:r w:rsidRPr="009A4568">
        <w:rPr>
          <w:i/>
        </w:rPr>
        <w:t>Notice of Proposed Rulemaking</w:t>
      </w:r>
      <w:r w:rsidRPr="001E42CA">
        <w:t xml:space="preserve"> (</w:t>
      </w:r>
      <w:r w:rsidRPr="009A4568">
        <w:t>NPRM)</w:t>
      </w:r>
      <w:r w:rsidRPr="001E42CA">
        <w:t xml:space="preserve">.  The Commission requests written public comments on this IRFA.  Comments must be identified as responses to the IRFA and must be filed by the deadlines for comments specified in the </w:t>
      </w:r>
      <w:r w:rsidRPr="009A4568">
        <w:t>NPRM</w:t>
      </w:r>
      <w:r w:rsidRPr="001E42CA">
        <w:t xml:space="preserve">.  The Commission will send a copy of the </w:t>
      </w:r>
      <w:r w:rsidRPr="009A4568">
        <w:t>NPRM</w:t>
      </w:r>
      <w:r w:rsidRPr="001E42CA">
        <w:t>, including this IRFA, to the Chief Counsel for Advocacy of the Small Business Administration (SBA).</w:t>
      </w:r>
      <w:r>
        <w:rPr>
          <w:rStyle w:val="FootnoteReference"/>
          <w:szCs w:val="22"/>
        </w:rPr>
        <w:footnoteReference w:id="312"/>
      </w:r>
      <w:r w:rsidRPr="001E42CA">
        <w:t xml:space="preserve">  In addition, the </w:t>
      </w:r>
      <w:r w:rsidRPr="00EB1D30">
        <w:t>NPRM</w:t>
      </w:r>
      <w:r w:rsidRPr="001E42CA">
        <w:t xml:space="preserve"> and IRFA (or summaries thereof) will be published in the Federal Register.</w:t>
      </w:r>
      <w:r>
        <w:rPr>
          <w:rStyle w:val="FootnoteReference"/>
          <w:szCs w:val="22"/>
        </w:rPr>
        <w:footnoteReference w:id="313"/>
      </w:r>
    </w:p>
    <w:p w:rsidR="00B12C9D" w:rsidP="00B12C9D">
      <w:pPr>
        <w:pStyle w:val="Heading2"/>
      </w:pPr>
      <w:bookmarkStart w:id="71" w:name="_Toc306361652"/>
      <w:bookmarkStart w:id="72" w:name="_Toc306369004"/>
      <w:bookmarkStart w:id="73" w:name="_Toc306617178"/>
      <w:bookmarkStart w:id="74" w:name="_Toc306888367"/>
      <w:r>
        <w:t>Need for, and Objectives of, the Proposed Rules</w:t>
      </w:r>
      <w:bookmarkEnd w:id="71"/>
      <w:bookmarkEnd w:id="72"/>
      <w:bookmarkEnd w:id="73"/>
      <w:bookmarkEnd w:id="74"/>
    </w:p>
    <w:p w:rsidR="00B12C9D" w:rsidP="00B12C9D">
      <w:pPr>
        <w:pStyle w:val="ParaNum"/>
        <w:tabs>
          <w:tab w:val="num" w:pos="1296"/>
          <w:tab w:val="clear" w:pos="1440"/>
        </w:tabs>
      </w:pPr>
      <w:r w:rsidRPr="00F210FC">
        <w:t>This NPRM begins an examination of the Commission’s media ownership rules and possible changes to these rules.  As discussed in the NPRM, the Commission is required by statute to review its media ownership rules every four years to determine whether they “are necessary in the public interest as the result of competition.”</w:t>
      </w:r>
      <w:r>
        <w:rPr>
          <w:rStyle w:val="FootnoteReference"/>
          <w:szCs w:val="22"/>
        </w:rPr>
        <w:footnoteReference w:id="314"/>
      </w:r>
      <w:r w:rsidRPr="00F210FC">
        <w:t xml:space="preserve">  Consistent with the Communications Act, the Commission must examine its media ownership rules and consider whether they continue to serve our public interest goals of competition, viewpoint diversity</w:t>
      </w:r>
      <w:r>
        <w:t xml:space="preserve"> and localism</w:t>
      </w:r>
      <w:r w:rsidRPr="00F210FC">
        <w:t xml:space="preserve">, or whether they should be modified or eliminated.  Specifically, the NPRM examines the three remaining media ownership rules, the Local Radio Ownership Rule, the Local Television Ownership Rule and the Dual Network Rule.  In addition, the NPRM seeks comment on several proposals that were advanced in previous rule makings and which the Commission indicated it would examine further in the context of this review of its structural ownership rules.  These proposals, to extend cable procurement requirements to broadcasters, develop a model for market-based, tradeable “diversity credits” to serve as an alternative method for adopting ownership limits, and adopt formulas aimed at creating media ownership limits that promote diversity, are presented by their proponents as initiatives that could further the Commission’s diversity goal.  The Commission anticipates that these initiatives, if ultimately adopted, </w:t>
      </w:r>
      <w:r>
        <w:t>might</w:t>
      </w:r>
      <w:r w:rsidRPr="00F210FC">
        <w:t xml:space="preserve"> benefit small entities</w:t>
      </w:r>
      <w:r>
        <w:t xml:space="preserve">.  </w:t>
      </w:r>
      <w:bookmarkStart w:id="75" w:name="_Ref306804814"/>
    </w:p>
    <w:p w:rsidR="00B12C9D" w:rsidRPr="00B54FB6" w:rsidP="00B12C9D">
      <w:pPr>
        <w:pStyle w:val="Heading2"/>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bookmarkStart w:id="76" w:name="_Toc306361653"/>
      <w:bookmarkStart w:id="77" w:name="_Toc306369005"/>
      <w:bookmarkStart w:id="78" w:name="_Toc306617179"/>
      <w:bookmarkStart w:id="79" w:name="_Toc306888368"/>
      <w:bookmarkEnd w:id="75"/>
      <w:r>
        <w:t>Legal Basis</w:t>
      </w:r>
      <w:bookmarkEnd w:id="76"/>
      <w:bookmarkEnd w:id="77"/>
      <w:bookmarkEnd w:id="78"/>
      <w:bookmarkEnd w:id="79"/>
    </w:p>
    <w:p w:rsidR="00B12C9D" w:rsidRPr="00B54FB6" w:rsidP="00B12C9D">
      <w:pPr>
        <w:pStyle w:val="ParaNum"/>
        <w:widowControl/>
        <w:tabs>
          <w:tab w:val="left" w:pos="0"/>
          <w:tab w:val="left" w:pos="720"/>
          <w:tab w:val="left" w:pos="1170"/>
          <w:tab w:val="num" w:pos="1296"/>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t>The proposed action is authorized under Sections 1, 2(a), 4(i), 303, 307, 309, and 310 of the Communications Act of 1934, as amended, 47 U.S.C. §§ 151, 152(a), 154(i), 303, 307, 309, and 310, and Section 202(h) of the Telecommunications Act of 1996.</w:t>
      </w:r>
    </w:p>
    <w:p w:rsidR="00B12C9D" w:rsidP="00B12C9D">
      <w:pPr>
        <w:pStyle w:val="Heading2"/>
      </w:pPr>
      <w:bookmarkStart w:id="80" w:name="_Toc306361654"/>
      <w:bookmarkStart w:id="81" w:name="_Toc306369006"/>
      <w:bookmarkStart w:id="82" w:name="_Toc306617180"/>
      <w:bookmarkStart w:id="83" w:name="_Toc306888369"/>
      <w:r>
        <w:t>Description and Estimate of the Number of Small Entities to Which the Proposed Rules Will Apply</w:t>
      </w:r>
      <w:bookmarkEnd w:id="80"/>
      <w:bookmarkEnd w:id="81"/>
      <w:bookmarkEnd w:id="82"/>
      <w:bookmarkEnd w:id="83"/>
    </w:p>
    <w:p w:rsidR="00B12C9D" w:rsidRPr="001E42CA" w:rsidP="00B12C9D">
      <w:pPr>
        <w:pStyle w:val="ParaNum"/>
        <w:keepNext/>
        <w:widowControl/>
        <w:rPr>
          <w:snapToGrid/>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315"/>
      </w:r>
      <w:r w:rsidRPr="001E42CA">
        <w:rPr>
          <w:snapToGrid/>
        </w:rPr>
        <w:t xml:space="preserve">  The RFA generally defines the term “small entity” as having the same meaning as the terms “small business,” </w:t>
      </w:r>
      <w:r w:rsidRPr="001E42CA">
        <w:rPr>
          <w:snapToGrid/>
        </w:rPr>
        <w:t>“small organization,” and “small governmental jurisdiction.”</w:t>
      </w:r>
      <w:r>
        <w:rPr>
          <w:snapToGrid/>
          <w:sz w:val="20"/>
          <w:vertAlign w:val="superscript"/>
        </w:rPr>
        <w:footnoteReference w:id="316"/>
      </w:r>
      <w:r w:rsidRPr="001E42CA">
        <w:rPr>
          <w:snapToGrid/>
        </w:rPr>
        <w:t xml:space="preserve">  In addition, the term “small business” has the same meaning as the term “small business concern” under the Small Business Act</w:t>
      </w:r>
      <w:r>
        <w:rPr>
          <w:snapToGrid/>
        </w:rPr>
        <w:t xml:space="preserve"> (SBA)</w:t>
      </w:r>
      <w:r w:rsidRPr="001E42CA">
        <w:rPr>
          <w:snapToGrid/>
        </w:rPr>
        <w:t>.</w:t>
      </w:r>
      <w:r>
        <w:rPr>
          <w:snapToGrid/>
          <w:sz w:val="20"/>
          <w:vertAlign w:val="superscript"/>
        </w:rPr>
        <w:footnoteReference w:id="317"/>
      </w:r>
      <w:r w:rsidRPr="001E42CA">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318"/>
      </w:r>
      <w:r w:rsidRPr="001E42CA">
        <w:rPr>
          <w:snapToGrid/>
        </w:rPr>
        <w:t xml:space="preserve">  Below, we provide a description of such small entities, as well as an estimate of the number of such small entities, where feasible.</w:t>
      </w:r>
    </w:p>
    <w:p w:rsidR="00B12C9D" w:rsidRPr="001E42CA" w:rsidP="00B12C9D">
      <w:pPr>
        <w:pStyle w:val="ParaNum"/>
        <w:keepNext/>
        <w:widowControl/>
      </w:pPr>
      <w:r w:rsidRPr="001E42CA">
        <w:rPr>
          <w:i/>
        </w:rPr>
        <w:t>Television Broadcasting</w:t>
      </w:r>
      <w:r w:rsidRPr="001E42CA">
        <w:t>.</w:t>
      </w:r>
      <w:r w:rsidRPr="001E42CA">
        <w:rPr>
          <w:szCs w:val="22"/>
        </w:rPr>
        <w:t xml:space="preserve">  </w:t>
      </w:r>
      <w:r w:rsidRPr="001E42CA">
        <w:t xml:space="preserve">This </w:t>
      </w:r>
      <w:r>
        <w:t xml:space="preserve">U.S. </w:t>
      </w:r>
      <w:r w:rsidRPr="001E42CA">
        <w:t>Economic Census category “comprises establishments primarily engaged in broadcasting images together with sound.”</w:t>
      </w:r>
      <w:r>
        <w:rPr>
          <w:rStyle w:val="FootnoteReference"/>
        </w:rPr>
        <w:footnoteReference w:id="319"/>
      </w:r>
      <w:r w:rsidRPr="001E42CA">
        <w:t xml:space="preserve">  These establishments operate television broadcast studios and facilities for the programming and transmission of programs to the public.</w:t>
      </w:r>
      <w:r>
        <w:rPr>
          <w:rStyle w:val="FootnoteReference"/>
        </w:rPr>
        <w:footnoteReference w:id="320"/>
      </w:r>
      <w:r w:rsidRPr="001E42CA">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rStyle w:val="FootnoteReference"/>
        </w:rPr>
        <w:footnoteReference w:id="321"/>
      </w:r>
      <w:r w:rsidRPr="001E42CA">
        <w:t xml:space="preserve">  The 201</w:t>
      </w:r>
      <w:r>
        <w:t>2</w:t>
      </w:r>
      <w:r w:rsidRPr="001E42CA">
        <w:t xml:space="preserve"> Economic Census reports that 751 firms in this category operated in that year.  Of that number, 656 had an</w:t>
      </w:r>
      <w:r>
        <w:t>nual receipts of $25 million</w:t>
      </w:r>
      <w:r w:rsidRPr="001E42CA">
        <w:t xml:space="preserve"> or less, 25 </w:t>
      </w:r>
      <w:r>
        <w:t>had annual receipts between $25 million</w:t>
      </w:r>
      <w:r w:rsidRPr="001E42CA">
        <w:t xml:space="preserve"> and $49,999,999 and 70 had annual receipts of $50</w:t>
      </w:r>
      <w:r>
        <w:t xml:space="preserve"> million</w:t>
      </w:r>
      <w:r w:rsidRPr="001E42CA">
        <w:t xml:space="preserve"> or more.</w:t>
      </w:r>
      <w:r>
        <w:rPr>
          <w:rStyle w:val="FootnoteReference"/>
        </w:rPr>
        <w:footnoteReference w:id="322"/>
      </w:r>
      <w:r w:rsidRPr="001E42CA">
        <w:t xml:space="preserve">  Based on this data</w:t>
      </w:r>
      <w:r>
        <w:t>,</w:t>
      </w:r>
      <w:r w:rsidRPr="001E42CA">
        <w:t xml:space="preserve"> we estimate that the majority of commercial television broadcast</w:t>
      </w:r>
      <w:r>
        <w:t xml:space="preserve"> stations</w:t>
      </w:r>
      <w:r w:rsidRPr="001E42CA">
        <w:t xml:space="preserve"> are small entities under the applicable size</w:t>
      </w:r>
      <w:r>
        <w:t xml:space="preserve"> standard</w:t>
      </w:r>
      <w:r w:rsidRPr="001E42CA">
        <w:t>.</w:t>
      </w:r>
    </w:p>
    <w:p w:rsidR="00B12C9D" w:rsidRPr="001E42CA" w:rsidP="00B12C9D">
      <w:pPr>
        <w:pStyle w:val="ParaNum"/>
        <w:keepNext/>
        <w:widowControl/>
        <w:rPr>
          <w:szCs w:val="22"/>
        </w:rPr>
      </w:pPr>
      <w:r w:rsidRPr="001E42CA">
        <w:t>Additionally, the Commission has estimated the number of licensed commercial television stations to be 1,</w:t>
      </w:r>
      <w:r w:rsidRPr="001E42CA">
        <w:rPr>
          <w:szCs w:val="22"/>
        </w:rPr>
        <w:t>3</w:t>
      </w:r>
      <w:r>
        <w:rPr>
          <w:szCs w:val="22"/>
        </w:rPr>
        <w:t>49</w:t>
      </w:r>
      <w:r w:rsidRPr="001E42CA">
        <w:rPr>
          <w:szCs w:val="22"/>
        </w:rPr>
        <w:t>.</w:t>
      </w:r>
      <w:r>
        <w:rPr>
          <w:rStyle w:val="FootnoteReference"/>
          <w:szCs w:val="22"/>
        </w:rPr>
        <w:footnoteReference w:id="323"/>
      </w:r>
      <w:r w:rsidRPr="001E42CA">
        <w:t xml:space="preserve">  Of this total, </w:t>
      </w:r>
      <w:r>
        <w:t>1,248</w:t>
      </w:r>
      <w:r w:rsidRPr="00D23454">
        <w:t xml:space="preserve"> </w:t>
      </w:r>
      <w:r w:rsidRPr="001E42CA">
        <w:t>stations (or about</w:t>
      </w:r>
      <w:r>
        <w:t xml:space="preserve"> 92.5</w:t>
      </w:r>
      <w:r w:rsidRPr="001E42CA">
        <w:t xml:space="preserve"> percent) had revenues of </w:t>
      </w:r>
      <w:r w:rsidRPr="001E42CA">
        <w:t xml:space="preserve">$38.5 million or less, according to Commission staff review of the BIA Kelsey Inc. Media Access Pro Television Database (BIA) </w:t>
      </w:r>
      <w:r>
        <w:t>i</w:t>
      </w:r>
      <w:r w:rsidRPr="001E42CA">
        <w:t xml:space="preserve">n </w:t>
      </w:r>
      <w:r>
        <w:t xml:space="preserve">November </w:t>
      </w:r>
      <w:r w:rsidRPr="001E42CA">
        <w:t>201</w:t>
      </w:r>
      <w:r>
        <w:t>8</w:t>
      </w:r>
      <w:r w:rsidRPr="001E42CA">
        <w:t xml:space="preserve">, and therefore these </w:t>
      </w:r>
      <w:r>
        <w:t>stations</w:t>
      </w:r>
      <w:r w:rsidRPr="001E42CA">
        <w:t xml:space="preserve"> qualify as small entities under the SBA definition.</w:t>
      </w:r>
    </w:p>
    <w:p w:rsidR="00B12C9D" w:rsidP="00B12C9D">
      <w:pPr>
        <w:pStyle w:val="ParaNum"/>
      </w:pPr>
      <w:r>
        <w:rPr>
          <w:i/>
          <w:szCs w:val="22"/>
        </w:rPr>
        <w:t>Radio Broadcasting.</w:t>
      </w:r>
      <w:r>
        <w:rPr>
          <w:szCs w:val="22"/>
        </w:rPr>
        <w:t xml:space="preserve">  This U.S. Economic Census category </w:t>
      </w:r>
      <w:r w:rsidRPr="001E42CA">
        <w:t>“</w:t>
      </w:r>
      <w:r>
        <w:rPr>
          <w:szCs w:val="22"/>
        </w:rPr>
        <w:t>comprises establishments primarily engaged in broadcasting aural programs by radio to the public.”</w:t>
      </w:r>
      <w:r>
        <w:rPr>
          <w:szCs w:val="22"/>
          <w:vertAlign w:val="superscript"/>
        </w:rPr>
        <w:footnoteReference w:id="324"/>
      </w:r>
      <w:r>
        <w:rPr>
          <w:szCs w:val="22"/>
        </w:rPr>
        <w:t xml:space="preserve">  </w:t>
      </w:r>
      <w:r w:rsidRPr="001E42CA">
        <w:t>Programming may originate in their own studio, from an affiliated network, or from external sources.  The SBA has created the following small business size standard for such businesses: those having $38.5 million or less in annual receipts.</w:t>
      </w:r>
      <w:r>
        <w:rPr>
          <w:rStyle w:val="FootnoteReference"/>
        </w:rPr>
        <w:footnoteReference w:id="325"/>
      </w:r>
      <w:r w:rsidRPr="001E42CA">
        <w:t xml:space="preserve"> </w:t>
      </w:r>
      <w:r>
        <w:t xml:space="preserve"> Economic Census data for 2012 show that 2,849 firms in this category operated in that year.</w:t>
      </w:r>
      <w:r>
        <w:rPr>
          <w:vertAlign w:val="superscript"/>
        </w:rPr>
        <w:footnoteReference w:id="326"/>
      </w:r>
      <w:r>
        <w:t xml:space="preserve">  </w:t>
      </w:r>
      <w:r w:rsidRPr="009D4B03">
        <w:t>Of that number, 2,806 operated with annual receipts of less than $25 million per year, 17 with annual receipts between $25 million and $49,999,999 million and 26 with annual receipts of $50 million or more</w:t>
      </w:r>
      <w:r>
        <w:t>.</w:t>
      </w:r>
      <w:r>
        <w:rPr>
          <w:vertAlign w:val="superscript"/>
        </w:rPr>
        <w:footnoteReference w:id="327"/>
      </w:r>
      <w:r>
        <w:t xml:space="preserve">  Based on this data, we estimate that the majority of commercial radio broadcast stations were small under the applicable SBA size standard. </w:t>
      </w:r>
    </w:p>
    <w:p w:rsidR="00B12C9D" w:rsidRPr="00F93490" w:rsidP="00B12C9D">
      <w:pPr>
        <w:pStyle w:val="ParaNum"/>
        <w:widowControl/>
        <w:tabs>
          <w:tab w:val="num" w:pos="1296"/>
          <w:tab w:val="clear" w:pos="1440"/>
        </w:tabs>
        <w:rPr>
          <w:szCs w:val="22"/>
        </w:rPr>
      </w:pPr>
      <w:r>
        <w:t>Apart from the U.S. Economic Census, the Commission has estimated the number of licensed commercial AM radio stations to be 4,426 stations and the number of commercial FM radio stations to be 6,737, for a total number of 11,364.</w:t>
      </w:r>
      <w:r>
        <w:rPr>
          <w:vertAlign w:val="superscript"/>
        </w:rPr>
        <w:footnoteReference w:id="328"/>
      </w:r>
      <w:r>
        <w:t xml:space="preserve">  Of this total, 11,355 stations (or 99.9 percent) had revenues of $38.5 million or less, according to Commission staff review of the BIA Kelsey Inc. Media Access Pro Television Database (BIA) in November 2018, and therefore these stations qualify as small entities under the SBA definition.</w:t>
      </w:r>
      <w:r w:rsidRPr="001E42CA">
        <w:t xml:space="preserve"> </w:t>
      </w:r>
    </w:p>
    <w:p w:rsidR="00B12C9D" w:rsidRPr="009625F5" w:rsidP="00B12C9D">
      <w:pPr>
        <w:pStyle w:val="ParaNum"/>
        <w:tabs>
          <w:tab w:val="num" w:pos="1210"/>
          <w:tab w:val="num" w:pos="1296"/>
          <w:tab w:val="clear" w:pos="1440"/>
        </w:tabs>
        <w:spacing w:after="240"/>
      </w:pPr>
      <w:r>
        <w:t>I</w:t>
      </w:r>
      <w:r w:rsidRPr="001E42CA">
        <w:t>n assessing whether a business concern qualifies as small under the above definition, business (control) affiliations</w:t>
      </w:r>
      <w:r>
        <w:rPr>
          <w:vertAlign w:val="superscript"/>
        </w:rPr>
        <w:footnoteReference w:id="329"/>
      </w:r>
      <w:r w:rsidRPr="001E42CA">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w:t>
      </w:r>
      <w:r>
        <w:t xml:space="preserve">radio or </w:t>
      </w:r>
      <w:r w:rsidRPr="001E42CA">
        <w:t xml:space="preserve">television station is dominant in its field of operation.  Accordingly, the estimate of small businesses to which </w:t>
      </w:r>
      <w:r>
        <w:t xml:space="preserve">the proposed </w:t>
      </w:r>
      <w:r w:rsidRPr="001E42CA">
        <w:t xml:space="preserve">rules may apply does not exclude any </w:t>
      </w:r>
      <w:r>
        <w:t xml:space="preserve">radio or </w:t>
      </w:r>
      <w:r w:rsidRPr="001E42CA">
        <w:t>television</w:t>
      </w:r>
      <w:r>
        <w:t xml:space="preserve"> station from the definition of small business on this basis and is therefore possibly over-inclusive.</w:t>
      </w:r>
    </w:p>
    <w:p w:rsidR="00B12C9D" w:rsidP="00B12C9D">
      <w:pPr>
        <w:pStyle w:val="Heading2"/>
      </w:pPr>
      <w:bookmarkStart w:id="84" w:name="_Toc306361655"/>
      <w:bookmarkStart w:id="85" w:name="_Toc306369007"/>
      <w:bookmarkStart w:id="86" w:name="_Toc306617181"/>
      <w:bookmarkStart w:id="87" w:name="_Toc306888370"/>
      <w:r>
        <w:t>Description of Projected Reporting, Recordkeeping, and Other Compliance Requirements</w:t>
      </w:r>
      <w:bookmarkEnd w:id="84"/>
      <w:bookmarkEnd w:id="85"/>
      <w:bookmarkEnd w:id="86"/>
      <w:bookmarkEnd w:id="87"/>
    </w:p>
    <w:p w:rsidR="00B12C9D" w:rsidP="00B12C9D">
      <w:pPr>
        <w:pStyle w:val="ParaNum"/>
        <w:tabs>
          <w:tab w:val="num" w:pos="1296"/>
          <w:tab w:val="clear" w:pos="1440"/>
        </w:tabs>
      </w:pPr>
      <w:r>
        <w:t xml:space="preserve">The proposals, if ultimately adopted, would require modification of several FCC forms and their instructions:  (1) FCC Form 301, Application for Construction Permit for Commercial Broadcast Station; (2) FCC Form 314, Application for Consent to Assignment of Broadcast Station Construction Permit or License; and (3) FCC Form 315, Application for Consent to Transfer Control of Corporation </w:t>
      </w:r>
      <w:r>
        <w:t xml:space="preserve">Holding Broadcast Station Construction Permit or License.  </w:t>
      </w:r>
      <w:r w:rsidRPr="00754C9D">
        <w:t xml:space="preserve">The Commission </w:t>
      </w:r>
      <w:r w:rsidRPr="00112F5D">
        <w:t xml:space="preserve">also </w:t>
      </w:r>
      <w:r>
        <w:t xml:space="preserve">would </w:t>
      </w:r>
      <w:r w:rsidRPr="00112F5D">
        <w:t>modify</w:t>
      </w:r>
      <w:r>
        <w:t>, as necessary,</w:t>
      </w:r>
      <w:r w:rsidRPr="00112F5D">
        <w:t xml:space="preserve"> other forms that include in their instructions the media ownership rules or citations to media ownership proceedings, including Form 303-S, Application for Renewal License for AM, FM, TV, Translator, or LPTV Station and Form 323, Ownership Report for Commercial Broadcast Station.  The impact of these changes will be the same on all entities, and we do not anticipate that compliance will require the expenditure of any additional resources or place additional burdens on small businesses.  </w:t>
      </w:r>
    </w:p>
    <w:p w:rsidR="00B12C9D" w:rsidP="00B12C9D">
      <w:pPr>
        <w:pStyle w:val="Heading2"/>
        <w:rPr>
          <w:spacing w:val="-3"/>
        </w:rPr>
      </w:pPr>
      <w:bookmarkStart w:id="88" w:name="_Toc306361656"/>
      <w:bookmarkStart w:id="89" w:name="_Toc306369008"/>
      <w:bookmarkStart w:id="90" w:name="_Toc306617182"/>
      <w:bookmarkStart w:id="91" w:name="_Toc306888371"/>
      <w:r>
        <w:t>Steps Taken to Minimize Significant Economic Impact on Small Entities, and Significant Alternatives Considered</w:t>
      </w:r>
      <w:bookmarkEnd w:id="88"/>
      <w:bookmarkEnd w:id="89"/>
      <w:bookmarkEnd w:id="90"/>
      <w:bookmarkEnd w:id="91"/>
    </w:p>
    <w:p w:rsidR="00B12C9D" w:rsidP="00B12C9D">
      <w:pPr>
        <w:pStyle w:val="ParaNum"/>
        <w:tabs>
          <w:tab w:val="num" w:pos="1296"/>
          <w:tab w:val="clear" w:pos="1440"/>
        </w:tabs>
        <w:rPr>
          <w:b/>
          <w:color w:val="000000"/>
        </w:rPr>
      </w:pPr>
      <w:bookmarkStart w:id="92" w:name="_Toc306361657"/>
      <w:bookmarkStart w:id="93" w:name="_Toc306369009"/>
      <w:bookmarkStart w:id="94" w:name="_Toc306617183"/>
      <w:bookmarkStart w:id="95" w:name="_Toc306888372"/>
      <w:r>
        <w:t xml:space="preserve">The RFA requires an agency to describe any significant alternatives </w:t>
      </w:r>
      <w:r>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330"/>
      </w:r>
    </w:p>
    <w:p w:rsidR="00B12C9D" w:rsidRPr="001404C1" w:rsidP="00B12C9D">
      <w:pPr>
        <w:pStyle w:val="ParaNum"/>
        <w:tabs>
          <w:tab w:val="num" w:pos="1296"/>
          <w:tab w:val="clear" w:pos="1440"/>
        </w:tabs>
      </w:pPr>
      <w:r>
        <w:rPr>
          <w:szCs w:val="22"/>
        </w:rPr>
        <w:t>T</w:t>
      </w:r>
      <w:r w:rsidRPr="002E1485">
        <w:rPr>
          <w:szCs w:val="22"/>
        </w:rPr>
        <w:t xml:space="preserve">he NPRM </w:t>
      </w:r>
      <w:r>
        <w:rPr>
          <w:szCs w:val="22"/>
        </w:rPr>
        <w:t xml:space="preserve">begins a statutorily mandated examination of whether three remaining </w:t>
      </w:r>
      <w:r w:rsidRPr="002E1485">
        <w:rPr>
          <w:szCs w:val="22"/>
        </w:rPr>
        <w:t xml:space="preserve">media ownership rules </w:t>
      </w:r>
      <w:r>
        <w:rPr>
          <w:szCs w:val="22"/>
        </w:rPr>
        <w:t xml:space="preserve">remain in the public interest as a result of competition and promote </w:t>
      </w:r>
      <w:r w:rsidRPr="002E1485">
        <w:rPr>
          <w:szCs w:val="22"/>
        </w:rPr>
        <w:t>the Commission’s</w:t>
      </w:r>
      <w:r>
        <w:t xml:space="preserve"> longstanding policy goals of competition, viewpoint diversity and localism.  </w:t>
      </w:r>
      <w:r>
        <w:rPr>
          <w:szCs w:val="22"/>
        </w:rPr>
        <w:t xml:space="preserve">The NPRM acknowledges new technologies and changed marketplace conditions that affect whether the rules remain in the public interest in light of competition and the need to </w:t>
      </w:r>
      <w:r>
        <w:t>allow broadcasters, including small entities, to achieve the economies of scale and scope necessary to continue to compete in a changed marketplace</w:t>
      </w:r>
      <w:r>
        <w:rPr>
          <w:szCs w:val="22"/>
        </w:rPr>
        <w:t xml:space="preserve">.  The NPRM considers </w:t>
      </w:r>
      <w:r w:rsidRPr="002E1485">
        <w:rPr>
          <w:kern w:val="0"/>
        </w:rPr>
        <w:t xml:space="preserve">measures designed to minimize the economic impact of any changes to these rules on firms generally, as well as initiatives designed </w:t>
      </w:r>
      <w:r w:rsidRPr="002E1485">
        <w:rPr>
          <w:szCs w:val="22"/>
        </w:rPr>
        <w:t xml:space="preserve">to promote broadcast ownership opportunities among a diverse group of owners, including small entities.  </w:t>
      </w:r>
      <w:r>
        <w:rPr>
          <w:szCs w:val="22"/>
        </w:rPr>
        <w:t xml:space="preserve">The NPRM also invites comment on the effects of any rule changes on different types of broadcasters (e.g., independent or network-affiliated), the benefits and costs associated with any proposals, and any potential to have significant impact on small entities.  </w:t>
      </w:r>
    </w:p>
    <w:p w:rsidR="00B12C9D" w:rsidRPr="002E1485" w:rsidP="00B12C9D">
      <w:pPr>
        <w:pStyle w:val="ParaNum"/>
        <w:tabs>
          <w:tab w:val="num" w:pos="1296"/>
          <w:tab w:val="clear" w:pos="1440"/>
        </w:tabs>
      </w:pPr>
      <w:r>
        <w:rPr>
          <w:szCs w:val="22"/>
        </w:rPr>
        <w:t xml:space="preserve">  The NPRM proposes no new reporting requirements, performance standards or other compliance obligations, although, as discussed above, it may modify, as necessary, certain existing reporting forms should it adopt any changes to its media ownership rules.  Should the Commission ultimately adopt changes to its media ownership rules that could increase requirements or compliance burdens for small entities, it will determine whether possible exemptions, waiver opportunities, extended compliance deadlines or other measures would mitigate any potential impact on small entities.</w:t>
      </w:r>
    </w:p>
    <w:p w:rsidR="00B12C9D" w:rsidP="00B12C9D">
      <w:pPr>
        <w:pStyle w:val="Heading2"/>
      </w:pPr>
      <w:r>
        <w:t>Federal Rules that May Duplicate, Overlap, or Conflict with the Proposed Rule</w:t>
      </w:r>
      <w:bookmarkEnd w:id="92"/>
      <w:bookmarkEnd w:id="93"/>
      <w:bookmarkEnd w:id="94"/>
      <w:bookmarkEnd w:id="95"/>
    </w:p>
    <w:p w:rsidR="00B12C9D" w:rsidP="00B12C9D">
      <w:pPr>
        <w:pStyle w:val="ParaNum"/>
        <w:sectPr w:rsidSect="00B12C9D">
          <w:footnotePr>
            <w:numRestart w:val="eachSect"/>
          </w:footnotePr>
          <w:type w:val="continuous"/>
          <w:pgSz w:w="12240" w:h="15840"/>
          <w:pgMar w:top="1440" w:right="1440" w:bottom="720" w:left="1440" w:header="720" w:footer="720" w:gutter="0"/>
          <w:cols w:space="720"/>
          <w:noEndnote/>
          <w:titlePg/>
        </w:sectPr>
      </w:pPr>
      <w:r>
        <w:t>None.</w:t>
      </w:r>
    </w:p>
    <w:p w:rsidR="00EB75A6" w:rsidRPr="005577AD" w:rsidP="00EB75A6">
      <w:pPr>
        <w:jc w:val="center"/>
        <w:rPr>
          <w:b/>
          <w:bCs/>
          <w:caps/>
          <w:szCs w:val="22"/>
        </w:rPr>
      </w:pPr>
      <w:r w:rsidRPr="005577AD">
        <w:rPr>
          <w:b/>
          <w:bCs/>
          <w:caps/>
          <w:szCs w:val="22"/>
        </w:rPr>
        <w:t>Statement of</w:t>
      </w:r>
    </w:p>
    <w:p w:rsidR="00EB75A6" w:rsidP="00EB75A6">
      <w:pPr>
        <w:jc w:val="center"/>
        <w:rPr>
          <w:b/>
        </w:rPr>
      </w:pPr>
      <w:r w:rsidRPr="00057CE7">
        <w:rPr>
          <w:b/>
        </w:rPr>
        <w:t>CHAIRMAN AJIT PAI</w:t>
      </w:r>
    </w:p>
    <w:p w:rsidR="00EB75A6" w:rsidRPr="005577AD" w:rsidP="00EB75A6">
      <w:pPr>
        <w:jc w:val="center"/>
        <w:rPr>
          <w:b/>
          <w:bCs/>
          <w:caps/>
          <w:szCs w:val="22"/>
        </w:rPr>
      </w:pPr>
    </w:p>
    <w:p w:rsidR="00EB75A6" w:rsidP="00EB75A6">
      <w:pPr>
        <w:ind w:left="720" w:hanging="720"/>
      </w:pPr>
      <w:bookmarkStart w:id="96" w:name="_Hlk532384465"/>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723B34" w:rsidP="00EB75A6">
      <w:pPr>
        <w:ind w:left="720" w:hanging="720"/>
      </w:pPr>
      <w:bookmarkEnd w:id="96"/>
    </w:p>
    <w:p w:rsidR="00723B34" w:rsidP="00723B34">
      <w:pPr>
        <w:ind w:firstLine="720"/>
        <w:rPr>
          <w:snapToGrid/>
          <w:kern w:val="0"/>
        </w:rPr>
      </w:pPr>
      <w:bookmarkStart w:id="97" w:name="_Hlk532384292"/>
      <w:r>
        <w:t>Many years ago, Congress required the FCC to conduct a review of certain media ownership rules every four years.  Today, we kick off the 2018 quadrennial review of our Local Radio Ownership Rule, Local Television Ownership Rule, and Dual Network Rule.  As Congress instructed, we’re seeking to determine whether these rules remain “necessary in the public interest as the result of competition.”</w:t>
      </w:r>
    </w:p>
    <w:p w:rsidR="00723B34" w:rsidP="00723B34">
      <w:pPr>
        <w:ind w:firstLine="720"/>
      </w:pPr>
    </w:p>
    <w:p w:rsidR="00723B34" w:rsidP="00723B34">
      <w:pPr>
        <w:ind w:firstLine="720"/>
      </w:pPr>
      <w:r>
        <w:t>Specifically, we’re teeing up a broad range of questions about these rules.  We want to know whether, given the current state of the media marketplace, we should retain, modify, or eliminate any of them.  We’re keeping an open mind as to what, if anything, should change, and we hope to develop a robust record to guide us on the best path forward.</w:t>
      </w:r>
    </w:p>
    <w:p w:rsidR="00723B34" w:rsidP="00723B34">
      <w:pPr>
        <w:ind w:firstLine="720"/>
      </w:pPr>
    </w:p>
    <w:p w:rsidR="00723B34" w:rsidP="00723B34">
      <w:pPr>
        <w:ind w:firstLine="720"/>
      </w:pPr>
      <w:r>
        <w:t xml:space="preserve">Our endpoints may be unclear right now, but the end goal is not:  Our rules must keep pace with the modern media marketplace.  </w:t>
      </w:r>
    </w:p>
    <w:p w:rsidR="00723B34" w:rsidP="00723B34">
      <w:pPr>
        <w:ind w:firstLine="720"/>
      </w:pPr>
    </w:p>
    <w:p w:rsidR="00723B34" w:rsidP="00723B34">
      <w:pPr>
        <w:ind w:firstLine="720"/>
      </w:pPr>
      <w:r>
        <w:t xml:space="preserve">The reforms that this Commission adopted last year to do just that are already having a positive impact.  For example, in 2017, we eliminated the outdated newspaper-radio cross-ownership rule.   Thanks to that reform, the owner of Colorado’s </w:t>
      </w:r>
      <w:r>
        <w:rPr>
          <w:i/>
        </w:rPr>
        <w:t>Grand Junction Daily Sentinel</w:t>
      </w:r>
      <w:r>
        <w:t xml:space="preserve"> was recently able to purchase a radio station group in Grand Junction.  I recently met Jay Seaton, who runs the </w:t>
      </w:r>
      <w:r>
        <w:rPr>
          <w:i/>
        </w:rPr>
        <w:t>Daily Sentinel</w:t>
      </w:r>
      <w:r>
        <w:t xml:space="preserve">.  He told me that this transaction will help him disseminate news across more formats and appeal more to advertisers (revenue from which can be poured back into the business).  As he put it, ending the cross-ownership ban was “fifteen years overdue.”  And if anyone doubts the positive impact it makes in small markets in particular, “come out here and try running a newspaper sometime.  It’s a real struggle.” </w:t>
      </w:r>
    </w:p>
    <w:p w:rsidR="00723B34" w:rsidP="00723B34">
      <w:pPr>
        <w:ind w:firstLine="720"/>
      </w:pPr>
    </w:p>
    <w:p w:rsidR="00723B34" w:rsidP="00723B34">
      <w:pPr>
        <w:ind w:firstLine="720"/>
      </w:pPr>
      <w:r>
        <w:t xml:space="preserve">Additionally, consistent with the Commission’s commitment in the 2010/2014 quadrennial review order, we’re seeking comment on several diversity-related proposals that were offered in the record of that proceeding. </w:t>
      </w:r>
    </w:p>
    <w:p w:rsidR="00723B34" w:rsidP="00723B34">
      <w:pPr>
        <w:ind w:firstLine="720"/>
      </w:pPr>
    </w:p>
    <w:p w:rsidR="00723B34" w:rsidP="00723B34">
      <w:pPr>
        <w:ind w:firstLine="720"/>
      </w:pPr>
      <w:r>
        <w:t xml:space="preserve">Given that this Notice doesn’t include any tentative conclusions, I’m disappointed that we were unable to secure a unanimous vote for it.  But unfortunately, our dissenting colleague requested edits that did not comply with the law.  Specifically, we were urged to delete any discussion of the Dual Network Rule from the Notice.  But the Dual Network Rule is one of our media ownership rules that we are required by statute to review every four years.  Whatever one’s opinion of it, refusing to include it in our quadrennial review would have violated the law.  As a result, a request to remove it from the Notice doesn’t constitute a good-faith attempt to reach consensus but rather gives the appearance of looking for an excuse to dissent for political reasons. </w:t>
      </w:r>
    </w:p>
    <w:p w:rsidR="00723B34" w:rsidP="00723B34">
      <w:pPr>
        <w:ind w:firstLine="720"/>
      </w:pPr>
    </w:p>
    <w:p w:rsidR="00723B34" w:rsidRPr="00723B34" w:rsidP="00723B34">
      <w:pPr>
        <w:ind w:firstLine="720"/>
      </w:pPr>
      <w:r>
        <w:t>As always, I’d like to thank the hard-working staff who worked on this item.  From the Media Bureau: Ty Bream, Michelle Carey, Lyle Elder, Chad Guo, Brendan Holland, Tom Horan, Radhika Karmarkar, Julie Salovaara, Julie Saulnier, Holly Saurer, and Sarah Whitesell.  And from the Office of General Counsel: Bill Dever, Dave Konczal, Jake Lewis, Bill Richardson, Bill Scher, and Royce Sherlock.  Your efforts are much appreciated.</w:t>
      </w:r>
    </w:p>
    <w:p w:rsidR="00723B34" w:rsidP="00EB75A6">
      <w:pPr>
        <w:ind w:left="720" w:hanging="720"/>
        <w:rPr>
          <w:szCs w:val="22"/>
        </w:rPr>
      </w:pPr>
      <w:bookmarkEnd w:id="97"/>
    </w:p>
    <w:p w:rsidR="00EB75A6" w:rsidP="00B12C9D">
      <w:pPr>
        <w:pStyle w:val="ParaNum"/>
        <w:numPr>
          <w:ilvl w:val="0"/>
          <w:numId w:val="0"/>
        </w:numPr>
      </w:pPr>
    </w:p>
    <w:p w:rsidR="00E55607" w:rsidP="00B12C9D">
      <w:pPr>
        <w:pStyle w:val="ParaNum"/>
        <w:numPr>
          <w:ilvl w:val="0"/>
          <w:numId w:val="0"/>
        </w:numPr>
        <w:sectPr w:rsidSect="00723B34">
          <w:footnotePr>
            <w:numRestart w:val="eachSect"/>
          </w:footnotePr>
          <w:pgSz w:w="12240" w:h="15840"/>
          <w:pgMar w:top="1440" w:right="1440" w:bottom="720" w:left="1440" w:header="720" w:footer="720" w:gutter="0"/>
          <w:cols w:space="720"/>
          <w:noEndnote/>
          <w:titlePg/>
        </w:sectPr>
      </w:pPr>
    </w:p>
    <w:p w:rsidR="00E55607" w:rsidRPr="005577AD" w:rsidP="00E55607">
      <w:pPr>
        <w:jc w:val="center"/>
        <w:rPr>
          <w:b/>
          <w:bCs/>
          <w:caps/>
          <w:szCs w:val="22"/>
        </w:rPr>
      </w:pPr>
      <w:r w:rsidRPr="005577AD">
        <w:rPr>
          <w:b/>
          <w:bCs/>
          <w:caps/>
          <w:szCs w:val="22"/>
        </w:rPr>
        <w:t>Statement of</w:t>
      </w:r>
    </w:p>
    <w:p w:rsidR="00E55607" w:rsidRPr="00E70E3F" w:rsidP="00E55607">
      <w:pPr>
        <w:jc w:val="center"/>
        <w:rPr>
          <w:b/>
          <w:sz w:val="24"/>
          <w:szCs w:val="24"/>
        </w:rPr>
      </w:pPr>
      <w:r w:rsidRPr="00E70E3F">
        <w:rPr>
          <w:b/>
          <w:sz w:val="24"/>
          <w:szCs w:val="24"/>
        </w:rPr>
        <w:t>COMMISSIONER MICHAEL O’RIELLY</w:t>
      </w:r>
    </w:p>
    <w:p w:rsidR="00E55607" w:rsidRPr="00E70E3F" w:rsidP="00E55607">
      <w:pPr>
        <w:jc w:val="center"/>
        <w:rPr>
          <w:b/>
          <w:bCs/>
          <w:caps/>
          <w:szCs w:val="22"/>
        </w:rPr>
      </w:pPr>
    </w:p>
    <w:p w:rsidR="00E55607" w:rsidP="00E55607">
      <w:pPr>
        <w:ind w:left="720" w:hanging="720"/>
      </w:pPr>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723B34" w:rsidP="00E55607">
      <w:pPr>
        <w:ind w:left="720" w:hanging="720"/>
      </w:pPr>
    </w:p>
    <w:p w:rsidR="008A12CF" w:rsidP="008A12CF">
      <w:pPr>
        <w:ind w:firstLine="720"/>
        <w:rPr>
          <w:snapToGrid/>
          <w:kern w:val="0"/>
        </w:rPr>
      </w:pPr>
      <w:bookmarkStart w:id="98" w:name="_Hlk532392546"/>
      <w:r>
        <w:t xml:space="preserve">The item before us is a balanced effort to comply with our statutory obligation – itself the result of a bipartisan compromise – to review whether or what type of limitations should govern media ownership.  I realize that some outside parties </w:t>
      </w:r>
      <w:bookmarkStart w:id="99" w:name="_Hlk532294470"/>
      <w:r>
        <w:t>–</w:t>
      </w:r>
      <w:bookmarkEnd w:id="99"/>
      <w:r>
        <w:t xml:space="preserve"> and perhaps some internally – would prefer that we abdicate this responsibility, especially given the extensive litigation history and inevitable challenges that will eventually result.  Others seem to cling to a vision of the media industry frozen in time in the early 1950s that has since been eviscerated by market developments and technological innovation.  Despite these views, we are obligated under federal law to conduct this work.    </w:t>
      </w:r>
    </w:p>
    <w:p w:rsidR="008A12CF" w:rsidP="008A12CF"/>
    <w:p w:rsidR="008A12CF" w:rsidP="008A12CF">
      <w:pPr>
        <w:ind w:firstLine="720"/>
      </w:pPr>
      <w:r>
        <w:t>From my perspective, this entire endeavor is an exciting opportunity, and I wholeheartedly welcome the beginning of our 2018 Quadrennial Review, even as we sneak it in just under deadline.  In fact, everyone should embrace this effort because it is a chance to reformulate our media ownership rules to reflect the current marketplace.  No one – including the Third Circuit Court of Appeals – should support maintaining rules that are outdated or restrict the ability of programming outlets to reasonably compete both domestically or globally.  At its heart, this proceeding is about good government practices.</w:t>
      </w:r>
    </w:p>
    <w:p w:rsidR="008A12CF" w:rsidP="008A12CF"/>
    <w:p w:rsidR="008A12CF" w:rsidP="008A12CF">
      <w:pPr>
        <w:ind w:firstLine="720"/>
      </w:pPr>
      <w:r>
        <w:t xml:space="preserve">In reviewing the text, the document should be respected for what it does.  While I would have endorsed more extensive relaxation of our rules and pushed the envelope further on our ultimate objective, I appreciate that parts of the previous draft that leaned a different way have been removed.  That leaves a fairly benign document that appropriately tees up the relevant questions to allow for a meaningful comment process.  </w:t>
      </w:r>
    </w:p>
    <w:p w:rsidR="008A12CF" w:rsidP="008A12CF"/>
    <w:p w:rsidR="008A12CF" w:rsidP="008A12CF">
      <w:pPr>
        <w:ind w:firstLine="720"/>
      </w:pPr>
      <w:r>
        <w:t xml:space="preserve">If I had one remaining concern, it’s that the item still gives credence to the belief that certain audio or video offerings can be siloed into discrete segments.  We must redefine and broaden the appropriate market definition to be consistent with consumer, advertising, and business realities.  Contrast this Notice with the Competitive Marketplace Report (CMR), which has its own issues but correctly discusses and treats the audio and video markets each as a whole.  The approach taken in the CMR, as well as other parts of the RAY BAUM’S Act of 2018, signal that Congress recognized the need to look holistically at the media marketplace, not in a piecemeal manner.    </w:t>
      </w:r>
    </w:p>
    <w:p w:rsidR="008A12CF" w:rsidP="008A12CF"/>
    <w:p w:rsidR="008A12CF" w:rsidP="008A12CF">
      <w:pPr>
        <w:ind w:firstLine="720"/>
      </w:pPr>
      <w:r>
        <w:t xml:space="preserve">Substantively, I intend to pay specific attention, as this process continues, to how the Commission plans to reform our radio ownership rules.  Despite substantial changes in the audio market, including increased competition for listeners and advertising dollars from satellite and Internet offerings, radio ownership rules have not undergone any significant changes since the 1990s.  Proponents of keeping the current AM-FM subcaps have proffered underwhelming arguments.  The debate has appropriately shifted to determining where to draw the line on the FM side, if at all, while permitting caps to be eliminated on the AM side.     </w:t>
      </w:r>
    </w:p>
    <w:p w:rsidR="008A12CF" w:rsidP="008A12CF"/>
    <w:p w:rsidR="008A12CF" w:rsidP="00E74CB3">
      <w:pPr>
        <w:ind w:firstLine="720"/>
      </w:pPr>
      <w:r>
        <w:t xml:space="preserve">Additionally, there is still more work to do to reform the television-related rules, as the Top-4 combination process is too susceptible to regulatory gamesmanship.  We need to provide greater specificity or guidance, either via bright-line rules or presumptions, on which combinations are problematic and why.  Depending on multiple variables, I tend to view a combination of the top station in a market and the number four station differently than a combination of the two largest stations.  </w:t>
      </w:r>
    </w:p>
    <w:p w:rsidR="008A12CF" w:rsidP="008A12CF"/>
    <w:p w:rsidR="008A12CF" w:rsidRPr="008A12CF" w:rsidP="008A12CF">
      <w:pPr>
        <w:ind w:firstLine="720"/>
        <w:rPr>
          <w:rFonts w:ascii="Calibri" w:hAnsi="Calibri"/>
        </w:rPr>
      </w:pPr>
      <w:r>
        <w:t xml:space="preserve">Taken as whole, this item is the start, not the end, of yet another extensive quadrennial battle.    </w:t>
      </w:r>
    </w:p>
    <w:p w:rsidR="00723B34" w:rsidP="00E55607">
      <w:pPr>
        <w:ind w:left="720" w:hanging="720"/>
        <w:rPr>
          <w:szCs w:val="22"/>
        </w:rPr>
        <w:sectPr w:rsidSect="00723B34">
          <w:footnotePr>
            <w:numRestart w:val="eachSect"/>
          </w:footnotePr>
          <w:pgSz w:w="12240" w:h="15840"/>
          <w:pgMar w:top="1440" w:right="1440" w:bottom="720" w:left="1440" w:header="720" w:footer="720" w:gutter="0"/>
          <w:cols w:space="720"/>
          <w:noEndnote/>
          <w:titlePg/>
        </w:sectPr>
      </w:pPr>
      <w:bookmarkEnd w:id="98"/>
    </w:p>
    <w:p w:rsidR="00723B34" w:rsidRPr="005577AD" w:rsidP="00723B34">
      <w:pPr>
        <w:jc w:val="center"/>
        <w:rPr>
          <w:b/>
          <w:bCs/>
          <w:caps/>
          <w:szCs w:val="22"/>
        </w:rPr>
      </w:pPr>
      <w:r w:rsidRPr="005577AD">
        <w:rPr>
          <w:b/>
          <w:bCs/>
          <w:caps/>
          <w:szCs w:val="22"/>
        </w:rPr>
        <w:t>Statement of</w:t>
      </w:r>
    </w:p>
    <w:p w:rsidR="00723B34" w:rsidRPr="005577AD" w:rsidP="00723B34">
      <w:pPr>
        <w:jc w:val="center"/>
        <w:rPr>
          <w:b/>
          <w:bCs/>
          <w:caps/>
          <w:szCs w:val="22"/>
        </w:rPr>
      </w:pPr>
      <w:r>
        <w:rPr>
          <w:b/>
          <w:bCs/>
          <w:caps/>
          <w:szCs w:val="22"/>
        </w:rPr>
        <w:t>commissioner brendan carr</w:t>
      </w:r>
    </w:p>
    <w:p w:rsidR="00723B34" w:rsidRPr="005577AD" w:rsidP="00723B34">
      <w:pPr>
        <w:jc w:val="center"/>
        <w:rPr>
          <w:b/>
          <w:bCs/>
          <w:caps/>
          <w:szCs w:val="22"/>
        </w:rPr>
      </w:pPr>
    </w:p>
    <w:p w:rsidR="00723B34" w:rsidP="00723B34">
      <w:pPr>
        <w:ind w:left="720" w:hanging="720"/>
      </w:pPr>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723B34" w:rsidP="00723B34">
      <w:pPr>
        <w:ind w:left="720" w:hanging="720"/>
      </w:pPr>
    </w:p>
    <w:p w:rsidR="008A12CF" w:rsidP="008A12CF">
      <w:pPr>
        <w:ind w:firstLine="720"/>
      </w:pPr>
      <w:r>
        <w:t xml:space="preserve">In this Quadrennial Review, we examine whether certain media ownership rules dating back to 1940 should be updated to reflect new technology and market conditions.  So as I was reading through this Notice, I started to wonder: What was the FCC doing in the early 1940s?  And I stumbled across a delightful book, </w:t>
      </w:r>
      <w:r>
        <w:rPr>
          <w:i/>
        </w:rPr>
        <w:t>Commissioners of the FCC, 1927-1994</w:t>
      </w:r>
      <w:r>
        <w:t>.  If it’s not on your bookshelf already, maybe add it to your Christmas list or consider it as a stocking stuffer.</w:t>
      </w:r>
    </w:p>
    <w:p w:rsidR="008A12CF" w:rsidP="008A12CF">
      <w:pPr>
        <w:ind w:firstLine="720"/>
      </w:pPr>
    </w:p>
    <w:p w:rsidR="008A12CF" w:rsidP="008A12CF">
      <w:pPr>
        <w:ind w:firstLine="720"/>
      </w:pPr>
      <w:r>
        <w:t>The Chairman of the FCC at the time was one James Lawrence Fly, who the book describes as a “lanky, six-feet, three-inch, begoggled Texan with sandy ‘moth-eaten’ hair.”  I hope future historians are kinder and simply describe me as bald with a squirrel-eaten beard.  “He was said to be arrogant, offensive, hot-tempered, unfair, even ruthless, and to . . . love a bang-up fight.”  “Under Fly’s strong management and direction,” the book goes on, “the Commission established a commanding place for itself.  According to some, his leadership was so strong that Fly was not merely the Chairman, he was the Commission.”  The parallels are striking.  The book even describes Fly’s fellow Commissioners as “being at swords’ point with each other.”  No parallel there, of course.</w:t>
      </w:r>
    </w:p>
    <w:p w:rsidR="008A12CF" w:rsidP="008A12CF">
      <w:pPr>
        <w:ind w:firstLine="720"/>
      </w:pPr>
    </w:p>
    <w:p w:rsidR="008A12CF" w:rsidP="008A12CF">
      <w:pPr>
        <w:ind w:firstLine="720"/>
      </w:pPr>
      <w:r>
        <w:t>Fly was preoccupied with what he viewed as the dangerous radio duopoly—NBC and CBS—and the specter of newspapers buying up broadcast networks.  The result was a ban on long-term affiliation contracts with local stations and ownership of more than one station in a market.  And, along the way, Fly approved the first commercial operation of a TV station, to less controversy or fanfare.</w:t>
      </w:r>
    </w:p>
    <w:p w:rsidR="008A12CF" w:rsidP="008A12CF">
      <w:pPr>
        <w:ind w:firstLine="720"/>
      </w:pPr>
    </w:p>
    <w:p w:rsidR="008A12CF" w:rsidP="008A12CF">
      <w:pPr>
        <w:ind w:firstLine="720"/>
      </w:pPr>
      <w:r>
        <w:t>Today, you hear less concern about radio monopolists or newspaper titans swallowing up the rest of media.  Things have changed.  We call news and entertainment “content” because it’s no longer just TV or radio or magazines—content has been liberated from its medium.  So Congress got it right in the Telecom Act of 1996 when it required the Commission to ask in these quadrennial reviews whether our rules should change to keep up with the times.  After all, who in 1996 could have foreseen how online streaming would fundamentally disrupt the video and audio marketplace?</w:t>
      </w:r>
    </w:p>
    <w:p w:rsidR="008A12CF" w:rsidP="008A12CF">
      <w:pPr>
        <w:ind w:firstLine="720"/>
      </w:pPr>
    </w:p>
    <w:p w:rsidR="008A12CF" w:rsidP="008A12CF">
      <w:pPr>
        <w:ind w:firstLine="720"/>
      </w:pPr>
      <w:r w:rsidRPr="00BA57A7">
        <w:t>For instance, as today’s Communications Marketplace Report notes, Netflix this year will spend more than $8 billion on content, a quarter of which is for original shows.  Amazon will spend $5 billion, Hulu: $3 billion</w:t>
      </w:r>
      <w:r>
        <w:t>.  Next year, Google is expected to earn $48 billion in ad revenue, including in competition with broadcasters for local ad dollars.  And Spotify and Pandora are increasingly competing for the ears of Americans whether we’re at home or on the go.</w:t>
      </w:r>
      <w:r w:rsidRPr="00BA57A7">
        <w:t xml:space="preserve">  The golden age of television</w:t>
      </w:r>
      <w:r>
        <w:t>—or the platinum age of content—is the</w:t>
      </w:r>
      <w:r w:rsidRPr="00BA57A7">
        <w:t xml:space="preserve"> direct result of choice.  </w:t>
      </w:r>
      <w:r>
        <w:t xml:space="preserve">The </w:t>
      </w:r>
      <w:r w:rsidRPr="00BA57A7">
        <w:t>gatekeepers</w:t>
      </w:r>
      <w:r>
        <w:t xml:space="preserve"> of the past are no longer gatekeepers.  Americans</w:t>
      </w:r>
      <w:r w:rsidRPr="00BA57A7">
        <w:t>, using a broadband connection, can access any content, from any device, anywhere.</w:t>
      </w:r>
    </w:p>
    <w:p w:rsidR="008A12CF" w:rsidP="008A12CF">
      <w:pPr>
        <w:ind w:firstLine="720"/>
      </w:pPr>
    </w:p>
    <w:p w:rsidR="008A12CF" w:rsidP="008A12CF">
      <w:pPr>
        <w:ind w:firstLine="720"/>
      </w:pPr>
      <w:r>
        <w:t xml:space="preserve">So I look forward to reviewing the record on how the Commission’s broadcast ownership rules impact competition in the video and audio marketplace.  And I want to thank my colleagues as well for agreeing to add language that seeks additional comment on the relationship between the FCC’s market definition and the one used in reviews by the Department of Justice. </w:t>
      </w:r>
    </w:p>
    <w:p w:rsidR="008A12CF" w:rsidP="008A12CF">
      <w:pPr>
        <w:ind w:firstLine="720"/>
      </w:pPr>
    </w:p>
    <w:p w:rsidR="008A12CF" w:rsidP="008A12CF">
      <w:pPr>
        <w:ind w:firstLine="720"/>
      </w:pPr>
      <w:r>
        <w:t>Finally, I want to thank the Media Bureau for its work on this item.  It has my support.</w:t>
      </w:r>
    </w:p>
    <w:p w:rsidR="008A12CF" w:rsidP="00723B34">
      <w:pPr>
        <w:ind w:left="720" w:hanging="720"/>
        <w:sectPr w:rsidSect="00723B34">
          <w:footnotePr>
            <w:numRestart w:val="eachSect"/>
          </w:footnotePr>
          <w:pgSz w:w="12240" w:h="15840"/>
          <w:pgMar w:top="1440" w:right="1440" w:bottom="720" w:left="1440" w:header="720" w:footer="720" w:gutter="0"/>
          <w:cols w:space="720"/>
          <w:noEndnote/>
          <w:titlePg/>
        </w:sectPr>
      </w:pPr>
    </w:p>
    <w:p w:rsidR="00723B34" w:rsidRPr="00A03401" w:rsidP="00723B34">
      <w:pPr>
        <w:jc w:val="center"/>
        <w:rPr>
          <w:b/>
          <w:snapToGrid/>
          <w:kern w:val="0"/>
          <w:szCs w:val="22"/>
        </w:rPr>
      </w:pPr>
      <w:bookmarkStart w:id="100" w:name="_Hlk530054997"/>
      <w:r w:rsidRPr="00A03401">
        <w:rPr>
          <w:b/>
          <w:szCs w:val="22"/>
        </w:rPr>
        <w:t>STATEMENT OF</w:t>
      </w:r>
    </w:p>
    <w:p w:rsidR="00723B34" w:rsidRPr="00A03401" w:rsidP="00723B34">
      <w:pPr>
        <w:jc w:val="center"/>
        <w:rPr>
          <w:b/>
          <w:szCs w:val="22"/>
        </w:rPr>
      </w:pPr>
      <w:r w:rsidRPr="00A03401">
        <w:rPr>
          <w:b/>
          <w:szCs w:val="22"/>
        </w:rPr>
        <w:t>COMMISSIONER JESSICA ROSENWORCEL</w:t>
      </w:r>
    </w:p>
    <w:p w:rsidR="00723B34" w:rsidRPr="00A03401" w:rsidP="00723B34">
      <w:pPr>
        <w:jc w:val="center"/>
        <w:rPr>
          <w:snapToGrid/>
          <w:kern w:val="0"/>
          <w:szCs w:val="22"/>
        </w:rPr>
      </w:pPr>
      <w:r w:rsidRPr="00A03401">
        <w:rPr>
          <w:b/>
          <w:szCs w:val="22"/>
        </w:rPr>
        <w:t>APPROVING IN PART, DISSENTING IN PART</w:t>
      </w:r>
    </w:p>
    <w:p w:rsidR="00723B34" w:rsidRPr="005577AD" w:rsidP="00723B34">
      <w:pPr>
        <w:jc w:val="center"/>
        <w:rPr>
          <w:b/>
          <w:bCs/>
          <w:caps/>
          <w:szCs w:val="22"/>
        </w:rPr>
      </w:pPr>
      <w:bookmarkEnd w:id="100"/>
    </w:p>
    <w:p w:rsidR="00723B34" w:rsidP="00723B34">
      <w:pPr>
        <w:ind w:left="720" w:hanging="720"/>
      </w:pPr>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723B34" w:rsidP="00723B34">
      <w:pPr>
        <w:ind w:left="720" w:hanging="720"/>
      </w:pPr>
    </w:p>
    <w:p w:rsidR="00A03401" w:rsidRPr="00A03401" w:rsidP="00A03401">
      <w:pPr>
        <w:ind w:firstLine="720"/>
        <w:rPr>
          <w:snapToGrid/>
          <w:kern w:val="0"/>
          <w:szCs w:val="22"/>
        </w:rPr>
      </w:pPr>
      <w:bookmarkStart w:id="101" w:name="_Hlk532392704"/>
      <w:r w:rsidRPr="00A03401">
        <w:rPr>
          <w:szCs w:val="22"/>
        </w:rPr>
        <w:t xml:space="preserve">There was a time when we waited in the morning for the news to hit the front stoop in print and on paper.  Then we gathered at night to bask in the glow of a single television screen for the evening news.  Gone are the days.  The world has changed.  Not one of us expects our news and information to be available in such a limited way.  Every one of us now looks for content at any time, in any place, and on any screen handy.  </w:t>
      </w:r>
    </w:p>
    <w:p w:rsidR="00A03401" w:rsidRPr="00A03401" w:rsidP="00A03401">
      <w:pPr>
        <w:rPr>
          <w:szCs w:val="22"/>
        </w:rPr>
      </w:pPr>
    </w:p>
    <w:p w:rsidR="00A03401" w:rsidRPr="00A03401" w:rsidP="00A03401">
      <w:pPr>
        <w:rPr>
          <w:szCs w:val="22"/>
        </w:rPr>
      </w:pPr>
      <w:r w:rsidRPr="00A03401">
        <w:rPr>
          <w:szCs w:val="22"/>
        </w:rPr>
        <w:tab/>
        <w:t xml:space="preserve">This is exciting.  But let’s be honest, it’s also challenging.  The economic models that sustained traditional newsgathering have been forever changed by digitization—and while new platforms are multiplying, what is viral is not always verifiable.  The questions that result are undeniably complicated.  How do we advance journalism when algorithms are ascendant?  How do we advance trust in real facts instead of dismissing them as fake news?  How do we foster a marketplace where there is competition for ideas so that we have the information we all need to make decisions about our lives, our communities, and our country?  </w:t>
      </w:r>
    </w:p>
    <w:p w:rsidR="00A03401" w:rsidRPr="00A03401" w:rsidP="00A03401">
      <w:pPr>
        <w:rPr>
          <w:szCs w:val="22"/>
        </w:rPr>
      </w:pPr>
    </w:p>
    <w:p w:rsidR="00A03401" w:rsidRPr="00A03401" w:rsidP="00A03401">
      <w:pPr>
        <w:rPr>
          <w:szCs w:val="22"/>
        </w:rPr>
      </w:pPr>
      <w:r w:rsidRPr="00A03401">
        <w:rPr>
          <w:szCs w:val="22"/>
        </w:rPr>
        <w:tab/>
        <w:t>There are no simple answers.  But I think there are principles from the past that can guide us in the future.  For decades, the FCC has built its media policies around the simple idea that localism, competition, and diversity matter.  These values have their origin in the Communications Act.  They may not be trendy, but they have stood the test of time.  They continue to support journalism and jobs.  I think it is essential that these principles lead this agency as it determines what comes next.  Let me explain why.</w:t>
      </w:r>
    </w:p>
    <w:p w:rsidR="00A03401" w:rsidRPr="00A03401" w:rsidP="00A03401">
      <w:pPr>
        <w:rPr>
          <w:szCs w:val="22"/>
        </w:rPr>
      </w:pPr>
    </w:p>
    <w:p w:rsidR="00A03401" w:rsidRPr="00A03401" w:rsidP="00A03401">
      <w:pPr>
        <w:rPr>
          <w:szCs w:val="22"/>
        </w:rPr>
      </w:pPr>
      <w:r w:rsidRPr="00A03401">
        <w:rPr>
          <w:szCs w:val="22"/>
        </w:rPr>
        <w:tab/>
        <w:t xml:space="preserve">Localism matters.  Local broadcasting remains the most trusted source of news.  When the unthinkable occurs, it is also the preferred source for local emergency information.  But this month the University of North Carolina School of Media and Journalism released a study detailing the stark decline of local news in rural areas.  Newspapers have collapsed, and stations are increasingly owned by national companies with limited ties to the communities they serve.  What is emerging are news deserts—areas of the country where national news dominates but local news is disappearing.  </w:t>
      </w:r>
    </w:p>
    <w:p w:rsidR="00A03401" w:rsidRPr="00A03401" w:rsidP="00A03401">
      <w:pPr>
        <w:rPr>
          <w:szCs w:val="22"/>
        </w:rPr>
      </w:pPr>
    </w:p>
    <w:p w:rsidR="00A03401" w:rsidRPr="00A03401" w:rsidP="00A03401">
      <w:pPr>
        <w:rPr>
          <w:szCs w:val="22"/>
        </w:rPr>
      </w:pPr>
      <w:r w:rsidRPr="00A03401">
        <w:rPr>
          <w:szCs w:val="22"/>
        </w:rPr>
        <w:tab/>
        <w:t xml:space="preserve">Competition matters.  It is axiomatic that more owners in more markets can mean more ideas.  It can mean more news.  The converse is also true.  Too much consolidation can reduce the number of voices, jobs, and the newsgathering that results.  </w:t>
      </w:r>
    </w:p>
    <w:p w:rsidR="00A03401" w:rsidRPr="00A03401" w:rsidP="00A03401">
      <w:pPr>
        <w:rPr>
          <w:szCs w:val="22"/>
        </w:rPr>
      </w:pPr>
    </w:p>
    <w:p w:rsidR="00A03401" w:rsidRPr="00A03401" w:rsidP="00A03401">
      <w:pPr>
        <w:rPr>
          <w:szCs w:val="22"/>
        </w:rPr>
      </w:pPr>
      <w:r w:rsidRPr="00A03401">
        <w:rPr>
          <w:szCs w:val="22"/>
        </w:rPr>
        <w:tab/>
        <w:t xml:space="preserve">And finally, diversity matters.  What we see and hear over the air says so much about who we are as individuals, as communities, and as a nation.  For too long, women and minorities have struggled to take the reins at media outlets nationwide.  Progress in diversity is slow.  But study a bit of history and you can only come to one conclusion—excessive consolidation is unlikely to increase diversity and more likely to make the ownership of outlets look less like the communities they serve.   </w:t>
      </w:r>
    </w:p>
    <w:p w:rsidR="00A03401" w:rsidRPr="00A03401" w:rsidP="00A03401">
      <w:pPr>
        <w:rPr>
          <w:szCs w:val="22"/>
        </w:rPr>
      </w:pPr>
    </w:p>
    <w:p w:rsidR="00A03401" w:rsidRPr="00A03401" w:rsidP="00A03401">
      <w:pPr>
        <w:rPr>
          <w:szCs w:val="22"/>
        </w:rPr>
      </w:pPr>
      <w:r w:rsidRPr="00A03401">
        <w:rPr>
          <w:szCs w:val="22"/>
        </w:rPr>
        <w:tab/>
        <w:t xml:space="preserve">Once again—localism, competition, and diversity.  These are the guiding principles I believe this agency should use in its Quadrennial Review of media ownership rules.  I believe it is possible to use these guideposts to develop thoughtful reform.  </w:t>
      </w:r>
    </w:p>
    <w:p w:rsidR="00A03401" w:rsidRPr="00A03401" w:rsidP="00A03401">
      <w:pPr>
        <w:rPr>
          <w:szCs w:val="22"/>
        </w:rPr>
      </w:pPr>
    </w:p>
    <w:p w:rsidR="00A03401" w:rsidRPr="00A03401" w:rsidP="00A03401">
      <w:pPr>
        <w:widowControl/>
        <w:ind w:firstLine="720"/>
        <w:rPr>
          <w:szCs w:val="22"/>
        </w:rPr>
      </w:pPr>
      <w:r w:rsidRPr="00A03401">
        <w:rPr>
          <w:szCs w:val="22"/>
        </w:rPr>
        <w:t xml:space="preserve">In some ways, I believe today’s rulemaking meets this mark, including with its proposals to rethink limitations on the ownership of AM radio and the proposals to increase ownership diversity of broadcast entities deserve serious consideration.  </w:t>
      </w:r>
    </w:p>
    <w:p w:rsidR="00A03401" w:rsidRPr="00A03401" w:rsidP="00A03401">
      <w:pPr>
        <w:ind w:firstLine="720"/>
        <w:rPr>
          <w:szCs w:val="22"/>
        </w:rPr>
      </w:pPr>
    </w:p>
    <w:p w:rsidR="00A03401" w:rsidRPr="00A03401" w:rsidP="00A03401">
      <w:pPr>
        <w:ind w:firstLine="720"/>
        <w:rPr>
          <w:szCs w:val="22"/>
        </w:rPr>
      </w:pPr>
      <w:r w:rsidRPr="00A03401">
        <w:rPr>
          <w:szCs w:val="22"/>
        </w:rPr>
        <w:t xml:space="preserve">However, in other aspects it falls short.  We suggest eliminating the dual network rule, clearing the way for the merger of our four largest broadcast networks.  We seek comment on a proposal allowing a single company to own an unlimited number of FM and AM radio stations in most communities in this country.  That could mean one company controls every radio station in the town where you live.  We also fail to acknowledge that many new media sources are dependent on broadband—and in too many communities in this country, especially in rural areas, high-speed service is too hard to find.  </w:t>
      </w:r>
    </w:p>
    <w:p w:rsidR="00A03401" w:rsidRPr="00A03401" w:rsidP="00A03401">
      <w:pPr>
        <w:ind w:firstLine="720"/>
        <w:rPr>
          <w:szCs w:val="22"/>
        </w:rPr>
      </w:pPr>
    </w:p>
    <w:p w:rsidR="00E55607" w:rsidRPr="00A03401" w:rsidP="00A03401">
      <w:pPr>
        <w:ind w:firstLine="720"/>
        <w:rPr>
          <w:szCs w:val="22"/>
        </w:rPr>
      </w:pPr>
      <w:r w:rsidRPr="00A03401">
        <w:rPr>
          <w:szCs w:val="22"/>
        </w:rPr>
        <w:t xml:space="preserve">To the extent this rulemaking offers thoughtful reform, I approve.  But in other aspects, I dissent.  It fails to honestly assess the impact of too many changes we propose on the values of localism, competition, and diversity that have informed this agency’s media policies in the past—and I believe should still inform our efforts in the future.  </w:t>
      </w:r>
      <w:bookmarkEnd w:id="101"/>
    </w:p>
    <w:sectPr w:rsidSect="00723B34">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55614C">
    <w:pPr>
      <w:pStyle w:val="Footer"/>
      <w:framePr w:wrap="around" w:vAnchor="text" w:hAnchor="margin" w:xAlign="center" w:y="1"/>
    </w:pPr>
    <w:r>
      <w:fldChar w:fldCharType="begin"/>
    </w:r>
    <w:r>
      <w:instrText xml:space="preserve">PAGE  </w:instrText>
    </w:r>
    <w:r>
      <w:fldChar w:fldCharType="separate"/>
    </w:r>
    <w:r>
      <w:fldChar w:fldCharType="end"/>
    </w:r>
  </w:p>
  <w:p w:rsidR="00A0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B12C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55614C">
    <w:pPr>
      <w:pStyle w:val="Footer"/>
      <w:framePr w:wrap="around" w:vAnchor="text" w:hAnchor="margin" w:xAlign="center" w:y="1"/>
    </w:pPr>
    <w:r>
      <w:fldChar w:fldCharType="begin"/>
    </w:r>
    <w:r>
      <w:instrText xml:space="preserve">PAGE  </w:instrText>
    </w:r>
    <w:r>
      <w:fldChar w:fldCharType="separate"/>
    </w:r>
    <w:r>
      <w:fldChar w:fldCharType="end"/>
    </w:r>
  </w:p>
  <w:p w:rsidR="00A034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B12C9D">
    <w:pPr>
      <w:pStyle w:val="Footer"/>
      <w:jc w:val="center"/>
    </w:pPr>
    <w:r>
      <w:fldChar w:fldCharType="begin"/>
    </w:r>
    <w:r>
      <w:instrText xml:space="preserve"> PAGE   \* MERGEFORMAT </w:instrText>
    </w:r>
    <w:r>
      <w:fldChar w:fldCharType="separate"/>
    </w:r>
    <w:r>
      <w:rPr>
        <w:noProof/>
      </w:rPr>
      <w:t>48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B12C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401">
      <w:r>
        <w:separator/>
      </w:r>
    </w:p>
  </w:footnote>
  <w:footnote w:type="continuationSeparator" w:id="1">
    <w:p w:rsidR="00A03401" w:rsidP="00C721AC">
      <w:pPr>
        <w:spacing w:before="120"/>
        <w:rPr>
          <w:sz w:val="20"/>
        </w:rPr>
      </w:pPr>
      <w:r>
        <w:rPr>
          <w:sz w:val="20"/>
        </w:rPr>
        <w:t xml:space="preserve">(Continued from previous page)  </w:t>
      </w:r>
      <w:r>
        <w:rPr>
          <w:sz w:val="20"/>
        </w:rPr>
        <w:separator/>
      </w:r>
    </w:p>
  </w:footnote>
  <w:footnote w:type="continuationNotice" w:id="2">
    <w:p w:rsidR="00A03401" w:rsidP="00C721AC">
      <w:pPr>
        <w:jc w:val="right"/>
        <w:rPr>
          <w:sz w:val="20"/>
        </w:rPr>
      </w:pPr>
      <w:r>
        <w:rPr>
          <w:sz w:val="20"/>
        </w:rPr>
        <w:t>(continued….)</w:t>
      </w:r>
    </w:p>
  </w:footnote>
  <w:footnote w:id="3">
    <w:p w:rsidR="00A03401" w:rsidP="00B12C9D">
      <w:pPr>
        <w:pStyle w:val="FootnoteText"/>
      </w:pPr>
      <w:r>
        <w:rPr>
          <w:rStyle w:val="FootnoteReference"/>
        </w:rPr>
        <w:footnoteRef/>
      </w:r>
      <w:r>
        <w:t xml:space="preserve"> </w:t>
      </w:r>
      <w:r w:rsidRPr="00025823">
        <w:t>Telecommunications Act of 1996, Pub. L</w:t>
      </w:r>
      <w:r w:rsidRPr="00060049">
        <w:t>. No. 104-104, § 202(h), 110 Stat. 56, 111-12 (1996) (1996 Act); Consolidated Appropriations Act, 2004, Pub. L. No. 108-199, § 629, 118 Stat. 3, 99-100 (2004) (Appropriations Act) (amending Sections 202(c) and 202(h) of the 1996 Act).  In 2004, Congress re</w:t>
      </w:r>
      <w:r w:rsidRPr="002E6DA8">
        <w:t xml:space="preserve">vised the then-biennial review requirement to require such reviews quadrennially.  </w:t>
      </w:r>
      <w:r w:rsidRPr="002E6DA8">
        <w:rPr>
          <w:i/>
        </w:rPr>
        <w:t>See</w:t>
      </w:r>
      <w:r w:rsidRPr="002E6DA8">
        <w:t xml:space="preserve"> </w:t>
      </w:r>
      <w:bookmarkStart w:id="5" w:name="_Hlk528947252"/>
      <w:r w:rsidRPr="002E6DA8">
        <w:t>Appropriations Act § 629, 118 Stat. at 100</w:t>
      </w:r>
      <w:bookmarkEnd w:id="5"/>
      <w:r>
        <w:t>.</w:t>
      </w:r>
    </w:p>
  </w:footnote>
  <w:footnote w:id="4">
    <w:p w:rsidR="00A03401" w:rsidP="00B12C9D">
      <w:pPr>
        <w:pStyle w:val="FootnoteText"/>
      </w:pPr>
      <w:r>
        <w:rPr>
          <w:rStyle w:val="FootnoteReference"/>
        </w:rPr>
        <w:footnoteRef/>
      </w:r>
      <w:r>
        <w:t xml:space="preserve"> 47 CFR § 73.3555(a).</w:t>
      </w:r>
    </w:p>
  </w:footnote>
  <w:footnote w:id="5">
    <w:p w:rsidR="00A03401" w:rsidP="00B12C9D">
      <w:pPr>
        <w:pStyle w:val="FootnoteText"/>
      </w:pPr>
      <w:r>
        <w:rPr>
          <w:rStyle w:val="FootnoteReference"/>
        </w:rPr>
        <w:footnoteRef/>
      </w:r>
      <w:r>
        <w:t xml:space="preserve"> </w:t>
      </w:r>
      <w:r>
        <w:rPr>
          <w:i/>
        </w:rPr>
        <w:t>Id.</w:t>
      </w:r>
      <w:r>
        <w:t xml:space="preserve"> § 73.3555(b).</w:t>
      </w:r>
    </w:p>
  </w:footnote>
  <w:footnote w:id="6">
    <w:p w:rsidR="00A03401" w:rsidP="00B12C9D">
      <w:pPr>
        <w:pStyle w:val="FootnoteText"/>
      </w:pPr>
      <w:r>
        <w:rPr>
          <w:rStyle w:val="FootnoteReference"/>
        </w:rPr>
        <w:footnoteRef/>
      </w:r>
      <w:r>
        <w:t xml:space="preserve"> </w:t>
      </w:r>
      <w:r>
        <w:rPr>
          <w:i/>
        </w:rPr>
        <w:t>Id.</w:t>
      </w:r>
      <w:r>
        <w:t xml:space="preserve"> § 73.658(g).</w:t>
      </w:r>
    </w:p>
  </w:footnote>
  <w:footnote w:id="7">
    <w:p w:rsidR="00A03401" w:rsidP="00B12C9D">
      <w:pPr>
        <w:pStyle w:val="FootnoteText"/>
      </w:pPr>
      <w:r>
        <w:rPr>
          <w:rStyle w:val="FootnoteReference"/>
        </w:rPr>
        <w:footnoteRef/>
      </w:r>
      <w:r>
        <w:t xml:space="preserve"> </w:t>
      </w:r>
      <w:r>
        <w:rPr>
          <w:i/>
        </w:rPr>
        <w:t xml:space="preserve">See, e.g.,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w:t>
      </w:r>
      <w:r>
        <w:rPr>
          <w:snapToGrid w:val="0"/>
        </w:rPr>
        <w:t xml:space="preserve"> Order on Reconsideration and Notice of Proposed Rulemaking, 32 FCC Rcd 9802, 9811-16, </w:t>
      </w:r>
      <w:r>
        <w:t>paras. 16-25 (2017) (</w:t>
      </w:r>
      <w:r>
        <w:rPr>
          <w:i/>
        </w:rPr>
        <w:t>2010/2014 Quadrennial Review Order on Reconsideration</w:t>
      </w:r>
      <w:r>
        <w:t xml:space="preserv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Second Report and Order, 31 FCC Rcd 9864</w:t>
      </w:r>
      <w:r>
        <w:rPr>
          <w:snapToGrid w:val="0"/>
        </w:rPr>
        <w:t>, 9865, para. 1</w:t>
      </w:r>
      <w:r w:rsidRPr="00025823">
        <w:rPr>
          <w:snapToGrid w:val="0"/>
        </w:rPr>
        <w:t xml:space="preserve"> (2016) (</w:t>
      </w:r>
      <w:r>
        <w:rPr>
          <w:i/>
          <w:snapToGrid w:val="0"/>
        </w:rPr>
        <w:t>2010/2014 Quadrennial Review Order</w:t>
      </w:r>
      <w:r w:rsidRPr="00025823">
        <w:rPr>
          <w:snapToGrid w:val="0"/>
        </w:rPr>
        <w:t>)</w:t>
      </w:r>
      <w:r>
        <w:t xml:space="preserve">; </w:t>
      </w:r>
      <w:r w:rsidRPr="00092F30">
        <w:rPr>
          <w:i/>
        </w:rPr>
        <w:t>2014 Quadrennial Regulatory Review – Review of the Commission’s Broadcast Ownership Rules and Other Rules Adopted Pursuant to Section 202 of the Telecommunications Act of 1996 et al.</w:t>
      </w:r>
      <w:r>
        <w:t>, Further Notice of Proposed Rulemaking and Report and Order, 29 FCC Rcd 4371, 4373</w:t>
      </w:r>
      <w:r w:rsidRPr="00073D34">
        <w:t>, para. 5</w:t>
      </w:r>
      <w:r>
        <w:t xml:space="preserve"> (2014) </w:t>
      </w:r>
      <w:r w:rsidRPr="001C3B00">
        <w:t>(</w:t>
      </w:r>
      <w:r>
        <w:rPr>
          <w:i/>
        </w:rPr>
        <w:t xml:space="preserve">2010/2014 Quadrennial Review </w:t>
      </w:r>
      <w:r w:rsidRPr="001C3B00">
        <w:rPr>
          <w:i/>
        </w:rPr>
        <w:t>FNPRM</w:t>
      </w:r>
      <w:r w:rsidRPr="001C3B00">
        <w:t>)</w:t>
      </w:r>
      <w:r>
        <w:t xml:space="preserve">; </w:t>
      </w:r>
      <w:r>
        <w:rPr>
          <w:i/>
        </w:rPr>
        <w:t>2010 Quadrennial Regulatory Review – Review of the Commission’s Broadcast Ownership Rules and Other Rules Adopted Pursuant to Section 202 of the Telecommunications Act of 1996 et al.</w:t>
      </w:r>
      <w:r>
        <w:t>, Notice of Proposed Rulemaking, 26 FCC Rcd 17489, 17490-91, paras. 2-4 (2011) (</w:t>
      </w:r>
      <w:r>
        <w:rPr>
          <w:i/>
        </w:rPr>
        <w:t>2010 Quadrennial Review NPRM</w:t>
      </w:r>
      <w:r>
        <w:t xml:space="preserve">); </w:t>
      </w:r>
      <w:r w:rsidRPr="00025823">
        <w:rPr>
          <w:i/>
        </w:rPr>
        <w:t>2010 Quadrennial Regulatory Review – Review of the Commission’s Broadcast Ownership Rules and Other Rules Adopted Pursuant to Section 202 of the Telecommunications Act of 1996</w:t>
      </w:r>
      <w:r w:rsidRPr="00025823">
        <w:t xml:space="preserve">, Notice of Inquiry, 25 FCC Rcd 6086, </w:t>
      </w:r>
      <w:r>
        <w:t>6087-91</w:t>
      </w:r>
      <w:r w:rsidRPr="00025823">
        <w:t>, para</w:t>
      </w:r>
      <w:r>
        <w:t>s</w:t>
      </w:r>
      <w:r w:rsidRPr="00025823">
        <w:t xml:space="preserve">. </w:t>
      </w:r>
      <w:r>
        <w:t>4-</w:t>
      </w:r>
      <w:r w:rsidRPr="00025823">
        <w:t>1</w:t>
      </w:r>
      <w:r>
        <w:t>3</w:t>
      </w:r>
      <w:r w:rsidRPr="00025823">
        <w:t xml:space="preserve"> (2010) (</w:t>
      </w:r>
      <w:r>
        <w:rPr>
          <w:i/>
        </w:rPr>
        <w:t xml:space="preserve">2010 Quadrennial Review </w:t>
      </w:r>
      <w:r w:rsidRPr="00025823">
        <w:rPr>
          <w:i/>
        </w:rPr>
        <w:t>NOI</w:t>
      </w:r>
      <w:r w:rsidRPr="00025823">
        <w:t>)</w:t>
      </w:r>
      <w:r>
        <w:t xml:space="preserve">; </w:t>
      </w:r>
      <w:r w:rsidRPr="00087F61">
        <w:rPr>
          <w:i/>
        </w:rPr>
        <w:t>2006 Quadrennial Regulatory Review – Review of the Commission’s Broadcast Ownership Rules and Other Rules Adopted Pursuant to Section 202 of the Telecommunications Act of 1996 et al.</w:t>
      </w:r>
      <w:r>
        <w:t>, Report and Order and Order on Reconsideration, 23 FCC Rcd 2010, 2014-15, paras. 6-8 (2008) (</w:t>
      </w:r>
      <w:r w:rsidRPr="003B0B9C">
        <w:rPr>
          <w:i/>
        </w:rPr>
        <w:t>2006 Quadrennial Review Order</w:t>
      </w:r>
      <w:r>
        <w:t xml:space="preserve">); </w:t>
      </w:r>
      <w:r w:rsidRPr="001555A0">
        <w:rPr>
          <w:i/>
        </w:rPr>
        <w:t>2002 Biennial Regulatory Review – Review of the Commission’s Broadcast Ownership Rules and Other Rules Adopted Pursuant to Section 202 of the Telecommunications Act of 1996</w:t>
      </w:r>
      <w:r>
        <w:t>, Report and Order and Notice of Proposed Rulemaking, 18 FCC Rcd 13620, 13647-48, paras. 86-88 (2003) (</w:t>
      </w:r>
      <w:r w:rsidRPr="008E54FF">
        <w:rPr>
          <w:i/>
        </w:rPr>
        <w:t>2002 Biennial Review Order</w:t>
      </w:r>
      <w:r>
        <w:t>).</w:t>
      </w:r>
    </w:p>
  </w:footnote>
  <w:footnote w:id="8">
    <w:p w:rsidR="00A03401" w:rsidRPr="00F8333E" w:rsidP="00B12C9D">
      <w:pPr>
        <w:pStyle w:val="FootnoteText"/>
      </w:pPr>
      <w:r>
        <w:rPr>
          <w:rStyle w:val="FootnoteReference"/>
        </w:rPr>
        <w:footnoteRef/>
      </w:r>
      <w:r>
        <w:t xml:space="preserve"> </w:t>
      </w:r>
      <w:r>
        <w:rPr>
          <w:i/>
        </w:rPr>
        <w:t>See Inquiry Concerning the Deployment of Advanced Telecommunications Capability to All Americans in a Reasonable and Timely Fashion</w:t>
      </w:r>
      <w:r>
        <w:t xml:space="preserve">, </w:t>
      </w:r>
      <w:r w:rsidRPr="005C1A9F">
        <w:t>2018 Broadband Deployment Report</w:t>
      </w:r>
      <w:r>
        <w:t>,</w:t>
      </w:r>
      <w:r w:rsidRPr="00632DD3">
        <w:t xml:space="preserve"> </w:t>
      </w:r>
      <w:r>
        <w:t>33 FCC Rcd 1660, 1675, para. 50 (2018) (finding that, as of year-end 2016, 92.3 percent of all Americans had access to fixed terrestrial broadband at speeds of 25 Mbps download/3 Mbps upload).</w:t>
      </w:r>
    </w:p>
  </w:footnote>
  <w:footnote w:id="9">
    <w:p w:rsidR="00A03401" w:rsidRPr="00BA0D03" w:rsidP="00B12C9D">
      <w:pPr>
        <w:pStyle w:val="FootnoteText"/>
      </w:pPr>
      <w:r>
        <w:rPr>
          <w:rStyle w:val="FootnoteReference"/>
        </w:rPr>
        <w:footnoteRef/>
      </w:r>
      <w:r>
        <w:t xml:space="preserve"> Estimates indicate that U.S. adults now watch more than one hour of online video per day.  </w:t>
      </w:r>
      <w:r>
        <w:rPr>
          <w:i/>
        </w:rPr>
        <w:t xml:space="preserve">See, e.g., </w:t>
      </w:r>
      <w:r w:rsidRPr="0030110A">
        <w:rPr>
          <w:i/>
        </w:rPr>
        <w:t>Time Flies:  U.S. Adults Now Spend Nearly Half a Day Interacting with Media</w:t>
      </w:r>
      <w:r>
        <w:t xml:space="preserve">, Nielsen (July 31, 2018), </w:t>
      </w:r>
      <w:r>
        <w:fldChar w:fldCharType="begin"/>
      </w:r>
      <w:r>
        <w:instrText xml:space="preserve"> HYPERLINK "https://www.nielsen.com/us/en/insights/news/2018/time-flies-us-adults-now-spend-nearly-half-a-day-interacting-with-media.html" </w:instrText>
      </w:r>
      <w:r>
        <w:fldChar w:fldCharType="separate"/>
      </w:r>
      <w:r w:rsidRPr="00C361D1">
        <w:rPr>
          <w:rStyle w:val="Hyperlink"/>
        </w:rPr>
        <w:t>https://www.nielsen.com/us/en/insights/news/2018/time-flies-us-adults-now-spend-nearly-half-a-day-interacting-with-media.html</w:t>
      </w:r>
      <w:r>
        <w:fldChar w:fldCharType="end"/>
      </w:r>
      <w:r>
        <w:t xml:space="preserve"> (</w:t>
      </w:r>
      <w:r>
        <w:rPr>
          <w:i/>
        </w:rPr>
        <w:t>Time Flies</w:t>
      </w:r>
      <w:r>
        <w:t>)</w:t>
      </w:r>
      <w:r>
        <w:rPr>
          <w:i/>
        </w:rPr>
        <w:t xml:space="preserve"> </w:t>
      </w:r>
      <w:r>
        <w:t xml:space="preserve">(finding that U.S. adults watch one hour and eleven minutes of video per day via a smartphone, tablet, computer, or TV-connected device); </w:t>
      </w:r>
      <w:r w:rsidRPr="0030110A">
        <w:rPr>
          <w:i/>
        </w:rPr>
        <w:t>U.S. Time Spent with Media</w:t>
      </w:r>
      <w:r>
        <w:t xml:space="preserve">, eMarketer (Oct. 5, 2017), </w:t>
      </w:r>
      <w:r>
        <w:fldChar w:fldCharType="begin"/>
      </w:r>
      <w:r>
        <w:instrText xml:space="preserve"> HYPERLINK "https://www.emarketer.com/Report/US-Time-Spent-with-Media-eMarketers-Updated-Estimates-2017/2002142" </w:instrText>
      </w:r>
      <w:r>
        <w:fldChar w:fldCharType="separate"/>
      </w:r>
      <w:r w:rsidRPr="00C361D1">
        <w:rPr>
          <w:rStyle w:val="Hyperlink"/>
        </w:rPr>
        <w:t>https://www.emarketer.com/Report/US-Time-Spent-with-Media-eMarketers-Updated-Estimates-2017/2002142</w:t>
      </w:r>
      <w:r>
        <w:fldChar w:fldCharType="end"/>
      </w:r>
      <w:r>
        <w:t xml:space="preserve"> (finding that U.S. adults watch one hour and seventeen minutes of digital video per day).</w:t>
      </w:r>
    </w:p>
  </w:footnote>
  <w:footnote w:id="10">
    <w:p w:rsidR="00A03401" w:rsidP="00B12C9D">
      <w:pPr>
        <w:pStyle w:val="FootnoteText"/>
      </w:pPr>
      <w:r>
        <w:rPr>
          <w:rStyle w:val="FootnoteReference"/>
        </w:rPr>
        <w:footnoteRef/>
      </w:r>
      <w:r>
        <w:t xml:space="preserve"> </w:t>
      </w:r>
      <w:r w:rsidRPr="0030110A">
        <w:rPr>
          <w:i/>
        </w:rPr>
        <w:t>About 6 in 10 Young Adults in U.S. Primarily Use Online Streaming to Watch TV</w:t>
      </w:r>
      <w:r>
        <w:t xml:space="preserve">, Pew Research Center (Sept. 13, 2017), </w:t>
      </w:r>
      <w:r>
        <w:fldChar w:fldCharType="begin"/>
      </w:r>
      <w:r>
        <w:instrText xml:space="preserve"> HYPERLINK "http://www.pewresearch.org/fact-tank/2017/09/13/about-6-in-10-young-adults-in-u-s-primarily-use-online-streaming-to-watch-tv/" </w:instrText>
      </w:r>
      <w:r>
        <w:fldChar w:fldCharType="separate"/>
      </w:r>
      <w:r w:rsidRPr="00C361D1">
        <w:rPr>
          <w:rStyle w:val="Hyperlink"/>
        </w:rPr>
        <w:t>http://www.pewresearch.org/fact-tank/2017/09/13/about-6-in-10-young-adults-in-u-s-primarily-use-online-streaming-to-watch-tv/</w:t>
      </w:r>
      <w:r>
        <w:fldChar w:fldCharType="end"/>
      </w:r>
      <w:r>
        <w:t xml:space="preserve"> (finding that 28 percent of all U.S. adults—and 61 percent of those between ages 18 and 29—say an online streaming service is the primary way they watch television).</w:t>
      </w:r>
    </w:p>
  </w:footnote>
  <w:footnote w:id="11">
    <w:p w:rsidR="00A03401" w:rsidRPr="00287180" w:rsidP="00B12C9D">
      <w:pPr>
        <w:pStyle w:val="FootnoteText"/>
        <w:rPr>
          <w:i/>
        </w:rPr>
      </w:pPr>
      <w:r>
        <w:rPr>
          <w:rStyle w:val="FootnoteReference"/>
        </w:rPr>
        <w:footnoteRef/>
      </w:r>
      <w:r>
        <w:t xml:space="preserve"> </w:t>
      </w:r>
      <w:r>
        <w:rPr>
          <w:i/>
        </w:rPr>
        <w:t xml:space="preserve">See, e.g., </w:t>
      </w:r>
      <w:r w:rsidRPr="00810E2B">
        <w:rPr>
          <w:i/>
        </w:rPr>
        <w:t>Q4’17 top US video provider rankings</w:t>
      </w:r>
      <w:r>
        <w:t xml:space="preserve">, S&amp;P Global Market Intelligence (Apr. 2, 2018); Anne Steele, </w:t>
      </w:r>
      <w:r w:rsidRPr="00DB6CB8">
        <w:rPr>
          <w:i/>
        </w:rPr>
        <w:t>Apple Music on Track to Overtake Spotify in U.S. Subscribers</w:t>
      </w:r>
      <w:r>
        <w:t>, Wall Street Journal (Feb. 5, 2018).</w:t>
      </w:r>
    </w:p>
  </w:footnote>
  <w:footnote w:id="12">
    <w:p w:rsidR="00A03401" w:rsidP="00B12C9D">
      <w:pPr>
        <w:pStyle w:val="FootnoteText"/>
      </w:pPr>
      <w:r>
        <w:rPr>
          <w:rStyle w:val="FootnoteReference"/>
        </w:rPr>
        <w:footnoteRef/>
      </w:r>
      <w:r>
        <w:t xml:space="preserve"> Jeffrey Gottfried and Elisa Shearer, </w:t>
      </w:r>
      <w:r w:rsidRPr="0030110A">
        <w:rPr>
          <w:i/>
        </w:rPr>
        <w:t>Americans’ Online News Use Is Closing in on TV News Use</w:t>
      </w:r>
      <w:r>
        <w:t xml:space="preserve">, Pew Research Center (Sept. 7, 2017), </w:t>
      </w:r>
      <w:r>
        <w:fldChar w:fldCharType="begin"/>
      </w:r>
      <w:r>
        <w:instrText xml:space="preserve"> HYPERLINK "http://www.pewresearch.org/fact-tank/2017/09/07/americans-online-news-use-vs-tv-news-use/" </w:instrText>
      </w:r>
      <w:r>
        <w:fldChar w:fldCharType="separate"/>
      </w:r>
      <w:r w:rsidRPr="00C361D1">
        <w:rPr>
          <w:rStyle w:val="Hyperlink"/>
        </w:rPr>
        <w:t>http://www.pewresearch.org/fact-tank/2017/09/07/americans-online-news-use-vs-tv-news-use/</w:t>
      </w:r>
      <w:r>
        <w:fldChar w:fldCharType="end"/>
      </w:r>
      <w:r w:rsidRPr="00636229">
        <w:rPr>
          <w:rStyle w:val="Hyperlink"/>
          <w:u w:val="none"/>
        </w:rPr>
        <w:t xml:space="preserve"> </w:t>
      </w:r>
      <w:r w:rsidRPr="00CB7F46">
        <w:rPr>
          <w:rStyle w:val="Hyperlink"/>
          <w:color w:val="000000"/>
          <w:u w:val="none"/>
        </w:rPr>
        <w:t>(</w:t>
      </w:r>
      <w:r w:rsidRPr="00CB7F46">
        <w:rPr>
          <w:rStyle w:val="Hyperlink"/>
          <w:i/>
          <w:color w:val="000000"/>
          <w:u w:val="none"/>
        </w:rPr>
        <w:t>Americans’ Online News Use</w:t>
      </w:r>
      <w:r w:rsidRPr="00CB7F46">
        <w:rPr>
          <w:rStyle w:val="Hyperlink"/>
          <w:color w:val="000000"/>
          <w:u w:val="none"/>
        </w:rPr>
        <w:t>)</w:t>
      </w:r>
      <w:r>
        <w:t>.</w:t>
      </w:r>
    </w:p>
  </w:footnote>
  <w:footnote w:id="13">
    <w:p w:rsidR="00A03401" w:rsidP="00B12C9D">
      <w:pPr>
        <w:pStyle w:val="FootnoteText"/>
      </w:pPr>
      <w:r>
        <w:rPr>
          <w:rStyle w:val="FootnoteReference"/>
        </w:rPr>
        <w:footnoteRef/>
      </w:r>
      <w:r>
        <w:t xml:space="preserve"> Katerina Eva Matsa and Elisa Shearer, </w:t>
      </w:r>
      <w:r w:rsidRPr="0030110A">
        <w:rPr>
          <w:i/>
        </w:rPr>
        <w:t>News Use Across Social Media Platforms 2018</w:t>
      </w:r>
      <w:r>
        <w:t xml:space="preserve">, Pew Research Center (Sept. 10, 2018), </w:t>
      </w:r>
      <w:r>
        <w:fldChar w:fldCharType="begin"/>
      </w:r>
      <w:r>
        <w:instrText xml:space="preserve"> HYPERLINK "http://www.journalism.org/2018/09/10/news-use-across-social-media-platforms-2018/" </w:instrText>
      </w:r>
      <w:r>
        <w:fldChar w:fldCharType="separate"/>
      </w:r>
      <w:r w:rsidRPr="00C361D1">
        <w:rPr>
          <w:rStyle w:val="Hyperlink"/>
        </w:rPr>
        <w:t>http://www.journalism.org/2018/09/10/news-use-across-social-media-platforms-2018/</w:t>
      </w:r>
      <w:r>
        <w:fldChar w:fldCharType="end"/>
      </w:r>
      <w:r>
        <w:t>.</w:t>
      </w:r>
    </w:p>
  </w:footnote>
  <w:footnote w:id="14">
    <w:p w:rsidR="00A03401" w:rsidP="00B12C9D">
      <w:pPr>
        <w:pStyle w:val="FootnoteText"/>
      </w:pPr>
      <w:r>
        <w:rPr>
          <w:rStyle w:val="FootnoteReference"/>
        </w:rPr>
        <w:footnoteRef/>
      </w:r>
      <w:r>
        <w:t xml:space="preserve"> Nielsen, </w:t>
      </w:r>
      <w:r w:rsidRPr="0030110A">
        <w:rPr>
          <w:i/>
        </w:rPr>
        <w:t xml:space="preserve">Time Flies </w:t>
      </w:r>
      <w:r>
        <w:t>(finding that U.S. adults watch five hours and fifty-seven minutes of video per day, including four hours and forty-six minutes of live and time-shifted television).</w:t>
      </w:r>
    </w:p>
  </w:footnote>
  <w:footnote w:id="15">
    <w:p w:rsidR="00A03401" w:rsidP="00B12C9D">
      <w:pPr>
        <w:pStyle w:val="FootnoteText"/>
      </w:pPr>
      <w:r>
        <w:rPr>
          <w:rStyle w:val="FootnoteReference"/>
        </w:rPr>
        <w:footnoteRef/>
      </w:r>
      <w:r>
        <w:t xml:space="preserve"> </w:t>
      </w:r>
      <w:r>
        <w:rPr>
          <w:i/>
        </w:rPr>
        <w:t>Id.</w:t>
      </w:r>
      <w:r>
        <w:t xml:space="preserve"> (finding that radio reaches 92 percent of U.S. adults on a weekly basis).</w:t>
      </w:r>
    </w:p>
  </w:footnote>
  <w:footnote w:id="16">
    <w:p w:rsidR="00A03401" w:rsidRPr="004630B0" w:rsidP="00B12C9D">
      <w:pPr>
        <w:pStyle w:val="FootnoteText"/>
      </w:pPr>
      <w:r>
        <w:rPr>
          <w:rStyle w:val="FootnoteReference"/>
        </w:rPr>
        <w:footnoteRef/>
      </w:r>
      <w:r>
        <w:t xml:space="preserve"> </w:t>
      </w:r>
      <w:r>
        <w:rPr>
          <w:i/>
        </w:rPr>
        <w:t xml:space="preserve">See, e.g., </w:t>
      </w:r>
      <w:r>
        <w:rPr>
          <w:i/>
          <w:snapToGrid w:val="0"/>
        </w:rPr>
        <w:t>U.S. TV Station Industry Total Revenue Projections, 2008-2023 (Jun. 2018)</w:t>
      </w:r>
      <w:r>
        <w:rPr>
          <w:snapToGrid w:val="0"/>
        </w:rPr>
        <w:t>, S&amp;P Global Market Intelligence</w:t>
      </w:r>
      <w:r>
        <w:rPr>
          <w:i/>
          <w:snapToGrid w:val="0"/>
        </w:rPr>
        <w:t xml:space="preserve"> </w:t>
      </w:r>
      <w:r>
        <w:rPr>
          <w:snapToGrid w:val="0"/>
        </w:rPr>
        <w:t xml:space="preserve">(showing that total industry revenue for broadcast television stations declined only slightly (0.5 percent) from 2016 to 2017); </w:t>
      </w:r>
      <w:r w:rsidRPr="00976727">
        <w:rPr>
          <w:i/>
          <w:snapToGrid w:val="0"/>
        </w:rPr>
        <w:t>Radio’s 2017 Revenue. Was It Up or Down?</w:t>
      </w:r>
      <w:r>
        <w:rPr>
          <w:snapToGrid w:val="0"/>
        </w:rPr>
        <w:t xml:space="preserve">, Radio Ink (Apr. 5, 2018), </w:t>
      </w:r>
      <w:r>
        <w:fldChar w:fldCharType="begin"/>
      </w:r>
      <w:r>
        <w:instrText xml:space="preserve"> HYPERLINK "https://radioink.com/2018/04/05/radios-2017-revenue-was-it-up-or-down/" </w:instrText>
      </w:r>
      <w:r>
        <w:fldChar w:fldCharType="separate"/>
      </w:r>
      <w:r w:rsidRPr="00030836">
        <w:rPr>
          <w:rStyle w:val="Hyperlink"/>
          <w:snapToGrid w:val="0"/>
        </w:rPr>
        <w:t>https://radioink.com/2018/04/05/radios-2017-revenue-was-it-up-or-down/</w:t>
      </w:r>
      <w:r>
        <w:fldChar w:fldCharType="end"/>
      </w:r>
      <w:r>
        <w:rPr>
          <w:snapToGrid w:val="0"/>
        </w:rPr>
        <w:t xml:space="preserve"> (citing BIA/Kelsey estimates that total industry revenue for radio stations declined just 0.2 percent from 2016 to 2017).  These figures are particularly notable given that political election cycles, both federal and local, have a significant positive impact on broadcast advertising revenue, with even numbered years bringing in more revenue than odd numbered years.</w:t>
      </w:r>
    </w:p>
  </w:footnote>
  <w:footnote w:id="17">
    <w:p w:rsidR="00A03401" w:rsidP="00B12C9D">
      <w:pPr>
        <w:pStyle w:val="FootnoteText"/>
      </w:pPr>
      <w:r>
        <w:rPr>
          <w:rStyle w:val="FootnoteReference"/>
        </w:rPr>
        <w:footnoteRef/>
      </w:r>
      <w:r>
        <w:t xml:space="preserve"> Pew Research Center, </w:t>
      </w:r>
      <w:r w:rsidRPr="005630B3">
        <w:rPr>
          <w:i/>
        </w:rPr>
        <w:t>Americans’ Online News Use</w:t>
      </w:r>
      <w:r>
        <w:t xml:space="preserve"> (finding that 50 percent of U.S. adults often got news from television in 2017); </w:t>
      </w:r>
      <w:r>
        <w:rPr>
          <w:i/>
        </w:rPr>
        <w:t xml:space="preserve">see also </w:t>
      </w:r>
      <w:r>
        <w:t xml:space="preserve">Katerina Eva Matsa, </w:t>
      </w:r>
      <w:r w:rsidRPr="0030110A">
        <w:rPr>
          <w:i/>
        </w:rPr>
        <w:t>Fewer Americans Rely on TV News; What Type They Watch Varies by Who They Are</w:t>
      </w:r>
      <w:r>
        <w:t xml:space="preserve">, Pew Research Center (Jan. 5, 2018), </w:t>
      </w:r>
      <w:r>
        <w:fldChar w:fldCharType="begin"/>
      </w:r>
      <w:r>
        <w:instrText xml:space="preserve"> HYPERLINK "http://www.pewresearch.org/fact-tank/2018/01/05/fewer-americans-rely-on-tv-news-what-type-they-watch-varies-by-who-they-are/" </w:instrText>
      </w:r>
      <w:r>
        <w:fldChar w:fldCharType="separate"/>
      </w:r>
      <w:r w:rsidRPr="00C361D1">
        <w:rPr>
          <w:rStyle w:val="Hyperlink"/>
        </w:rPr>
        <w:t>http://www.pewresearch.org/fact-tank/2018/01/05/fewer-americans-rely-on-tv-news-what-type-they-watch-varies-by-who-they-are/</w:t>
      </w:r>
      <w:r>
        <w:fldChar w:fldCharType="end"/>
      </w:r>
      <w:r>
        <w:t xml:space="preserve"> (finding that 37 percent of all U.S. adults—and 57 percent of those 65 and older—often get news from local television).  </w:t>
      </w:r>
    </w:p>
  </w:footnote>
  <w:footnote w:id="18">
    <w:p w:rsidR="00A03401" w:rsidP="00B12C9D">
      <w:pPr>
        <w:pStyle w:val="FootnoteText"/>
      </w:pPr>
      <w:r>
        <w:rPr>
          <w:rStyle w:val="FootnoteReference"/>
        </w:rPr>
        <w:footnoteRef/>
      </w:r>
      <w:r>
        <w:t xml:space="preserve"> </w:t>
      </w:r>
      <w:r>
        <w:rPr>
          <w:i/>
        </w:rPr>
        <w:t>See, e.g.</w:t>
      </w:r>
      <w:r w:rsidRPr="00CD601C">
        <w:t xml:space="preserve">, </w:t>
      </w:r>
      <w:r>
        <w:t xml:space="preserve">Knight Foundation, Local TV News and the New Media Landscape:  Part 1:  The State of the Industry at 27 (Apr. 5, 2018) (finding that approximately 40.6 percent of daily visitors to local news websites visited the websites of commercial television outlets); Knight Foundation, Local TV News and the New Media Landscape:  Part 3:  The Future of Local News Video at 3 (Apr. 5, 2018) (concluding that “[t]raditional broadcasters are responsible for a significant portion of the news video published on social media, especially on Facebook”), </w:t>
      </w:r>
      <w:r>
        <w:fldChar w:fldCharType="begin"/>
      </w:r>
      <w:r>
        <w:instrText xml:space="preserve"> HYPERLINK "https://knightfoundation.org/reports/local-tv-news-and-the-new-media-landscape" </w:instrText>
      </w:r>
      <w:r>
        <w:fldChar w:fldCharType="separate"/>
      </w:r>
      <w:r w:rsidRPr="00C361D1">
        <w:rPr>
          <w:rStyle w:val="Hyperlink"/>
        </w:rPr>
        <w:t>https://knightfoundation.org/reports/local-tv-news-and-the-new-media-landscape</w:t>
      </w:r>
      <w:r>
        <w:fldChar w:fldCharType="end"/>
      </w:r>
      <w:r>
        <w:t>.</w:t>
      </w:r>
    </w:p>
  </w:footnote>
  <w:footnote w:id="19">
    <w:p w:rsidR="00A03401" w:rsidP="00B12C9D">
      <w:pPr>
        <w:pStyle w:val="FootnoteText"/>
      </w:pPr>
      <w:r>
        <w:rPr>
          <w:rStyle w:val="FootnoteReference"/>
        </w:rPr>
        <w:footnoteRef/>
      </w:r>
      <w:r>
        <w:t xml:space="preserve"> </w:t>
      </w:r>
      <w:r>
        <w:rPr>
          <w:i/>
        </w:rPr>
        <w:t>See 2010/2014 Quadrennial Review Order on Reconsideration</w:t>
      </w:r>
      <w:r>
        <w:t xml:space="preserve">, 32 FCC Rcd at 9803, paras. 1-2.  Additionally, earlier this year, the Commission created an incubator program to foster new entry into the broadcasting industry pursuant to the Commission’s decision on reconsideration to adopt such a program.  </w:t>
      </w:r>
      <w:r>
        <w:rPr>
          <w:i/>
        </w:rPr>
        <w:t>See Rules and Policies to Promote New Entry and Ownership Diversity in the Broadcasting Services</w:t>
      </w:r>
      <w:r>
        <w:t>, Report and Order, FCC 18-114 (Aug. 3, 2018) (</w:t>
      </w:r>
      <w:r>
        <w:rPr>
          <w:i/>
        </w:rPr>
        <w:t>Incubator Order</w:t>
      </w:r>
      <w:r>
        <w:t>).</w:t>
      </w:r>
    </w:p>
  </w:footnote>
  <w:footnote w:id="20">
    <w:p w:rsidR="00A03401" w:rsidP="00B12C9D">
      <w:pPr>
        <w:pStyle w:val="FootnoteText"/>
      </w:pPr>
      <w:r>
        <w:rPr>
          <w:rStyle w:val="FootnoteReference"/>
        </w:rPr>
        <w:footnoteRef/>
      </w:r>
      <w:r>
        <w:t xml:space="preserve"> </w:t>
      </w:r>
      <w:r>
        <w:rPr>
          <w:i/>
        </w:rPr>
        <w:t>See 2010/2014 Quadrennial Review Order on Reconsideration</w:t>
      </w:r>
      <w:r>
        <w:t>, 32 FCC Rcd at 9811-16, 9826-29, 9833-34, paras. 16-25, 55-60, 71-72.</w:t>
      </w:r>
    </w:p>
  </w:footnote>
  <w:footnote w:id="21">
    <w:p w:rsidR="00A03401" w:rsidP="00B12C9D">
      <w:pPr>
        <w:pStyle w:val="FootnoteText"/>
      </w:pPr>
      <w:r>
        <w:rPr>
          <w:rStyle w:val="FootnoteReference"/>
        </w:rPr>
        <w:footnoteRef/>
      </w:r>
      <w:r>
        <w:t xml:space="preserve"> </w:t>
      </w:r>
      <w:r>
        <w:rPr>
          <w:i/>
        </w:rPr>
        <w:t xml:space="preserve">See 2010/2014 Quadrennial Review </w:t>
      </w:r>
      <w:r w:rsidRPr="001C3B00">
        <w:rPr>
          <w:i/>
        </w:rPr>
        <w:t>FNPRM</w:t>
      </w:r>
      <w:r>
        <w:t xml:space="preserve">, 29 FCC Rcd at 4373-74, paras. 6-7; </w:t>
      </w:r>
      <w:r>
        <w:rPr>
          <w:i/>
        </w:rPr>
        <w:t>2010 Quadrennial Review NPRM</w:t>
      </w:r>
      <w:r>
        <w:t>, 26 FCC Rcd at 17491-94, paras. 5-9.</w:t>
      </w:r>
    </w:p>
  </w:footnote>
  <w:footnote w:id="22">
    <w:p w:rsidR="00A03401" w:rsidRPr="00612608" w:rsidP="00B12C9D">
      <w:pPr>
        <w:pStyle w:val="FootnoteText"/>
      </w:pPr>
      <w:r>
        <w:rPr>
          <w:rStyle w:val="FootnoteReference"/>
        </w:rPr>
        <w:footnoteRef/>
      </w:r>
      <w:r>
        <w:t xml:space="preserve"> </w:t>
      </w:r>
      <w:r>
        <w:rPr>
          <w:i/>
        </w:rPr>
        <w:t>2010/2014 Quadrennial Review Order</w:t>
      </w:r>
      <w:r>
        <w:t xml:space="preserve">, 31 FCC Rcd at 10006-07, paras. 330-32.  </w:t>
      </w:r>
    </w:p>
  </w:footnote>
  <w:footnote w:id="23">
    <w:p w:rsidR="00A03401" w:rsidP="00B12C9D">
      <w:pPr>
        <w:pStyle w:val="FootnoteText"/>
      </w:pPr>
      <w:r>
        <w:rPr>
          <w:rStyle w:val="FootnoteReference"/>
        </w:rPr>
        <w:footnoteRef/>
      </w:r>
      <w:r>
        <w:t xml:space="preserve"> </w:t>
      </w:r>
      <w:r>
        <w:rPr>
          <w:i/>
        </w:rPr>
        <w:t>See, e.g., Amendment of Sections 73.35, 73.240, and 73.636 of the Commission’s Rules Relating to Multiple Ownership of Standard, FM and Television Broadcast Stations</w:t>
      </w:r>
      <w:r>
        <w:t xml:space="preserve">, 45 F.C.C. 1476 (1964) (prohibiting common ownership of television stations with intersecting Grade B contours); </w:t>
      </w:r>
      <w:r>
        <w:rPr>
          <w:i/>
        </w:rPr>
        <w:t>Amendment of Sections 3.35, 3.240 and 3.636 of the Rules and Regulations Relating to Multiple Ownership of AM, FM and Television Broadcast Stations</w:t>
      </w:r>
      <w:r>
        <w:t>18 F.C.C. 288, 290, para. 4 n.3 (1953) (citing 5 Fed. Reg. 2384 (1940), 6 Fed. Reg. 2284 (1941), and 8 Fed. Reg. 16065 (1943))</w:t>
      </w:r>
      <w:r>
        <w:rPr>
          <w:i/>
        </w:rPr>
        <w:t xml:space="preserve"> </w:t>
      </w:r>
      <w:r>
        <w:t xml:space="preserve">(stating that the Commission adopted multiple ownership rules for FM radio stations in 1940, television stations in 1941, and AM radio stations in 1943); </w:t>
      </w:r>
      <w:r w:rsidRPr="00923E4C">
        <w:rPr>
          <w:i/>
        </w:rPr>
        <w:t>Amendment of Part 3 of the Commission’s Rules</w:t>
      </w:r>
      <w:r>
        <w:t xml:space="preserve">, 11 Fed. Reg. 33 (1946) (adopting a dual network rule for television networks). </w:t>
      </w:r>
    </w:p>
  </w:footnote>
  <w:footnote w:id="24">
    <w:p w:rsidR="00A03401" w:rsidP="00B12C9D">
      <w:pPr>
        <w:pStyle w:val="FootnoteText"/>
      </w:pPr>
      <w:r>
        <w:rPr>
          <w:rStyle w:val="FootnoteReference"/>
        </w:rPr>
        <w:footnoteRef/>
      </w:r>
      <w:r>
        <w:t xml:space="preserve"> 1996 Act § 202(h); </w:t>
      </w:r>
      <w:r w:rsidRPr="002E6DA8">
        <w:t>Appropriations Act § 629</w:t>
      </w:r>
      <w:r>
        <w:t>.</w:t>
      </w:r>
    </w:p>
  </w:footnote>
  <w:footnote w:id="25">
    <w:p w:rsidR="00A03401" w:rsidP="00B12C9D">
      <w:pPr>
        <w:pStyle w:val="FootnoteText"/>
      </w:pPr>
      <w:r>
        <w:rPr>
          <w:rStyle w:val="FootnoteReference"/>
        </w:rPr>
        <w:footnoteRef/>
      </w:r>
      <w:r>
        <w:t xml:space="preserve"> </w:t>
      </w:r>
      <w:r>
        <w:rPr>
          <w:i/>
        </w:rPr>
        <w:t>2010/2014 Quadrennial Review Order</w:t>
      </w:r>
      <w:r>
        <w:t>, 31 FCC Rcd at 9865, para. 3.</w:t>
      </w:r>
    </w:p>
  </w:footnote>
  <w:footnote w:id="26">
    <w:p w:rsidR="00A03401" w:rsidP="00B12C9D">
      <w:pPr>
        <w:pStyle w:val="FootnoteText"/>
      </w:pPr>
      <w:r>
        <w:rPr>
          <w:rStyle w:val="FootnoteReference"/>
        </w:rPr>
        <w:footnoteRef/>
      </w:r>
      <w:r>
        <w:t xml:space="preserve"> </w:t>
      </w:r>
      <w:r>
        <w:rPr>
          <w:i/>
        </w:rPr>
        <w:t>Id.</w:t>
      </w:r>
      <w:r>
        <w:t xml:space="preserve"> at 9866, para. 5.</w:t>
      </w:r>
    </w:p>
  </w:footnote>
  <w:footnote w:id="27">
    <w:p w:rsidR="00A03401" w:rsidP="00B12C9D">
      <w:pPr>
        <w:pStyle w:val="FootnoteText"/>
      </w:pPr>
      <w:r>
        <w:rPr>
          <w:rStyle w:val="FootnoteReference"/>
        </w:rPr>
        <w:footnoteRef/>
      </w:r>
      <w:r>
        <w:t xml:space="preserve"> </w:t>
      </w:r>
      <w:r>
        <w:rPr>
          <w:i/>
        </w:rPr>
        <w:t>Id.</w:t>
      </w:r>
      <w:r>
        <w:t xml:space="preserve"> at 9866, para. 4.</w:t>
      </w:r>
    </w:p>
  </w:footnote>
  <w:footnote w:id="28">
    <w:p w:rsidR="00A03401" w:rsidP="00B12C9D">
      <w:pPr>
        <w:pStyle w:val="FootnoteText"/>
      </w:pPr>
      <w:r>
        <w:rPr>
          <w:rStyle w:val="FootnoteReference"/>
        </w:rPr>
        <w:footnoteRef/>
      </w:r>
      <w:r>
        <w:t xml:space="preserve"> </w:t>
      </w:r>
      <w:r>
        <w:rPr>
          <w:i/>
        </w:rPr>
        <w:t xml:space="preserve">See </w:t>
      </w:r>
      <w:r>
        <w:t xml:space="preserve">Petition for Reconsideration of Connoisseur Media, LLC, MB Docket. No. 14-50 (filed Dec. 1, 2016); Petition for Reconsideration of NAB, MB Docket. No. 14-50 (filed Dec. 1, 2016); Petition for Reconsideration of Nexstar Broadcasting, Inc., MB Docket. No. 14-50 (filed Dec. 1, 2016).  </w:t>
      </w:r>
    </w:p>
  </w:footnote>
  <w:footnote w:id="29">
    <w:p w:rsidR="00A03401" w:rsidP="00B12C9D">
      <w:pPr>
        <w:pStyle w:val="FootnoteText"/>
      </w:pPr>
      <w:r>
        <w:rPr>
          <w:rStyle w:val="FootnoteReference"/>
        </w:rPr>
        <w:footnoteRef/>
      </w:r>
      <w:r>
        <w:t xml:space="preserve"> Judicial challenges to the </w:t>
      </w:r>
      <w:r>
        <w:rPr>
          <w:i/>
        </w:rPr>
        <w:t xml:space="preserve">2010/2014 Quadrennial Review Order </w:t>
      </w:r>
      <w:r>
        <w:t xml:space="preserve">have been consolidated in the Third Circuit with challenges to the </w:t>
      </w:r>
      <w:r>
        <w:rPr>
          <w:i/>
        </w:rPr>
        <w:t xml:space="preserve">2010/2014 Quadrennial Review Order on Reconsideration </w:t>
      </w:r>
      <w:r>
        <w:t xml:space="preserve">and the </w:t>
      </w:r>
      <w:r>
        <w:rPr>
          <w:i/>
        </w:rPr>
        <w:t xml:space="preserve">Incubator Order.  See infra </w:t>
      </w:r>
      <w:r>
        <w:t xml:space="preserve">n.40. </w:t>
      </w:r>
      <w:r>
        <w:tab/>
      </w:r>
    </w:p>
  </w:footnote>
  <w:footnote w:id="30">
    <w:p w:rsidR="00A03401" w:rsidP="00B12C9D">
      <w:pPr>
        <w:pStyle w:val="FootnoteText"/>
      </w:pPr>
      <w:r>
        <w:rPr>
          <w:rStyle w:val="FootnoteReference"/>
        </w:rPr>
        <w:footnoteRef/>
      </w:r>
      <w:r>
        <w:t xml:space="preserve"> </w:t>
      </w:r>
      <w:r>
        <w:rPr>
          <w:i/>
        </w:rPr>
        <w:t>2010/2014 Q</w:t>
      </w:r>
      <w:r w:rsidRPr="00A338B1">
        <w:rPr>
          <w:i/>
        </w:rPr>
        <w:t>uadrennial Review</w:t>
      </w:r>
      <w:r>
        <w:rPr>
          <w:i/>
        </w:rPr>
        <w:t xml:space="preserve"> Order on Reconsideration</w:t>
      </w:r>
      <w:r w:rsidRPr="00F928FF">
        <w:t>,</w:t>
      </w:r>
      <w:r>
        <w:t xml:space="preserve"> 32 FCC Rcd at 9803, para. 2.  </w:t>
      </w:r>
    </w:p>
  </w:footnote>
  <w:footnote w:id="31">
    <w:p w:rsidR="00A03401" w:rsidP="00B12C9D">
      <w:pPr>
        <w:pStyle w:val="FootnoteText"/>
      </w:pPr>
      <w:r>
        <w:rPr>
          <w:rStyle w:val="FootnoteReference"/>
        </w:rPr>
        <w:footnoteRef/>
      </w:r>
      <w:r>
        <w:t xml:space="preserve"> </w:t>
      </w:r>
      <w:r>
        <w:rPr>
          <w:i/>
        </w:rPr>
        <w:t>Id.</w:t>
      </w:r>
      <w:r>
        <w:t xml:space="preserve"> at 9834-36, paras. 73-77.</w:t>
      </w:r>
    </w:p>
  </w:footnote>
  <w:footnote w:id="32">
    <w:p w:rsidR="00A03401" w:rsidRPr="004A52D7" w:rsidP="00B12C9D">
      <w:pPr>
        <w:pStyle w:val="FootnoteText"/>
      </w:pPr>
      <w:r>
        <w:rPr>
          <w:rStyle w:val="FootnoteReference"/>
        </w:rPr>
        <w:footnoteRef/>
      </w:r>
      <w:r>
        <w:t xml:space="preserve"> </w:t>
      </w:r>
      <w:r>
        <w:rPr>
          <w:i/>
        </w:rPr>
        <w:t xml:space="preserve">Id. </w:t>
      </w:r>
      <w:r>
        <w:t>at 9834, para. 73.</w:t>
      </w:r>
    </w:p>
  </w:footnote>
  <w:footnote w:id="33">
    <w:p w:rsidR="00A03401" w:rsidP="00B12C9D">
      <w:pPr>
        <w:pStyle w:val="FootnoteText"/>
      </w:pPr>
      <w:r>
        <w:rPr>
          <w:rStyle w:val="FootnoteReference"/>
        </w:rPr>
        <w:footnoteRef/>
      </w:r>
      <w:r>
        <w:t xml:space="preserve"> </w:t>
      </w:r>
      <w:r>
        <w:rPr>
          <w:i/>
        </w:rPr>
        <w:t>Id.</w:t>
      </w:r>
      <w:r>
        <w:t xml:space="preserve"> at 9836-39, paras. 78-82.</w:t>
      </w:r>
    </w:p>
  </w:footnote>
  <w:footnote w:id="34">
    <w:p w:rsidR="00A03401" w:rsidP="00B12C9D">
      <w:pPr>
        <w:pStyle w:val="FootnoteText"/>
      </w:pPr>
      <w:r>
        <w:rPr>
          <w:rStyle w:val="FootnoteReference"/>
        </w:rPr>
        <w:footnoteRef/>
      </w:r>
      <w:r>
        <w:t xml:space="preserve"> </w:t>
      </w:r>
      <w:r>
        <w:rPr>
          <w:i/>
        </w:rPr>
        <w:t>Id.</w:t>
      </w:r>
      <w:r>
        <w:t xml:space="preserve"> at 9848-54, 9855-57, paras. 101-13, 117-20.</w:t>
      </w:r>
      <w:r w:rsidRPr="007523D2">
        <w:t xml:space="preserve"> </w:t>
      </w:r>
    </w:p>
  </w:footnote>
  <w:footnote w:id="35">
    <w:p w:rsidR="00A03401" w:rsidRPr="009C4163" w:rsidP="00B12C9D">
      <w:pPr>
        <w:pStyle w:val="FootnoteText"/>
      </w:pPr>
      <w:r>
        <w:rPr>
          <w:rStyle w:val="FootnoteReference"/>
        </w:rPr>
        <w:footnoteRef/>
      </w:r>
      <w:r>
        <w:t xml:space="preserve"> </w:t>
      </w:r>
      <w:r>
        <w:rPr>
          <w:i/>
        </w:rPr>
        <w:t xml:space="preserve">See infra </w:t>
      </w:r>
      <w:r>
        <w:t>n.40.</w:t>
      </w:r>
    </w:p>
  </w:footnote>
  <w:footnote w:id="36">
    <w:p w:rsidR="00A03401" w:rsidP="00B12C9D">
      <w:pPr>
        <w:pStyle w:val="FootnoteText"/>
      </w:pPr>
      <w:r>
        <w:rPr>
          <w:rStyle w:val="FootnoteReference"/>
        </w:rPr>
        <w:footnoteRef/>
      </w:r>
      <w:r>
        <w:t xml:space="preserve"> Order, </w:t>
      </w:r>
      <w:r>
        <w:rPr>
          <w:i/>
        </w:rPr>
        <w:t>Prometheus Radio Project et al. v. FCC et al.</w:t>
      </w:r>
      <w:r>
        <w:t>, Nos. 17-1107 and 18-1092, Document No. 003112846874 (3rd Cir. Feb. 7, 2018).</w:t>
      </w:r>
    </w:p>
  </w:footnote>
  <w:footnote w:id="37">
    <w:p w:rsidR="00A03401" w:rsidP="00B12C9D">
      <w:pPr>
        <w:pStyle w:val="FootnoteText"/>
      </w:pPr>
      <w:r>
        <w:rPr>
          <w:rStyle w:val="FootnoteReference"/>
        </w:rPr>
        <w:footnoteRef/>
      </w:r>
      <w:r>
        <w:t xml:space="preserve"> </w:t>
      </w:r>
      <w:r w:rsidRPr="00A1305B">
        <w:rPr>
          <w:i/>
          <w:snapToGrid w:val="0"/>
          <w:kern w:val="28"/>
        </w:rPr>
        <w:t>2010/2014 Quadrennial Review Order on Reconsideration</w:t>
      </w:r>
      <w:r w:rsidRPr="00A1305B">
        <w:rPr>
          <w:snapToGrid w:val="0"/>
          <w:kern w:val="28"/>
        </w:rPr>
        <w:t>, 32 FCC Rcd at 9857, 9859, paras. 121, 126.</w:t>
      </w:r>
    </w:p>
  </w:footnote>
  <w:footnote w:id="38">
    <w:p w:rsidR="00A03401" w:rsidRPr="00D71CE9" w:rsidP="00B12C9D">
      <w:pPr>
        <w:pStyle w:val="FootnoteText"/>
      </w:pPr>
      <w:r>
        <w:rPr>
          <w:rStyle w:val="FootnoteReference"/>
        </w:rPr>
        <w:footnoteRef/>
      </w:r>
      <w:r>
        <w:t xml:space="preserve"> </w:t>
      </w:r>
      <w:r>
        <w:rPr>
          <w:i/>
        </w:rPr>
        <w:t>See 2010/2014 Q</w:t>
      </w:r>
      <w:r w:rsidRPr="00A338B1">
        <w:rPr>
          <w:i/>
        </w:rPr>
        <w:t>uadrennial Review</w:t>
      </w:r>
      <w:r w:rsidRPr="00BF536F">
        <w:rPr>
          <w:i/>
        </w:rPr>
        <w:t xml:space="preserve"> Order</w:t>
      </w:r>
      <w:r>
        <w:rPr>
          <w:i/>
        </w:rPr>
        <w:t xml:space="preserve"> on Reconsideration</w:t>
      </w:r>
      <w:r w:rsidRPr="00F928FF">
        <w:t>,</w:t>
      </w:r>
      <w:r>
        <w:t xml:space="preserve"> 32 FCC Rcd at 9859-64, paras. 126-45; </w:t>
      </w:r>
      <w:r>
        <w:rPr>
          <w:i/>
        </w:rPr>
        <w:t>Incubator Order</w:t>
      </w:r>
      <w:r>
        <w:t xml:space="preserve"> at 1-2, para. 1.</w:t>
      </w:r>
    </w:p>
  </w:footnote>
  <w:footnote w:id="39">
    <w:p w:rsidR="00A03401" w:rsidRPr="00D71CE9" w:rsidP="00B12C9D">
      <w:pPr>
        <w:pStyle w:val="FootnoteText"/>
      </w:pPr>
      <w:r>
        <w:rPr>
          <w:rStyle w:val="FootnoteReference"/>
        </w:rPr>
        <w:footnoteRef/>
      </w:r>
      <w:r>
        <w:t xml:space="preserve"> </w:t>
      </w:r>
      <w:r>
        <w:rPr>
          <w:i/>
        </w:rPr>
        <w:t>Incubator Order</w:t>
      </w:r>
      <w:r>
        <w:t xml:space="preserve"> at 3, para. 6.</w:t>
      </w:r>
    </w:p>
  </w:footnote>
  <w:footnote w:id="40">
    <w:p w:rsidR="00A03401" w:rsidP="00B12C9D">
      <w:pPr>
        <w:pStyle w:val="FootnoteText"/>
      </w:pPr>
      <w:r>
        <w:rPr>
          <w:rStyle w:val="FootnoteReference"/>
        </w:rPr>
        <w:footnoteRef/>
      </w:r>
      <w:r>
        <w:t xml:space="preserve"> </w:t>
      </w:r>
      <w:r>
        <w:rPr>
          <w:i/>
        </w:rPr>
        <w:t>Id.</w:t>
      </w:r>
      <w:r w:rsidRPr="004A2847">
        <w:rPr>
          <w:i/>
        </w:rPr>
        <w:t xml:space="preserve"> </w:t>
      </w:r>
      <w:r>
        <w:t>at 3, para. 6.</w:t>
      </w:r>
    </w:p>
  </w:footnote>
  <w:footnote w:id="41">
    <w:p w:rsidR="00A03401" w:rsidRPr="00011020" w:rsidP="00B12C9D">
      <w:pPr>
        <w:pStyle w:val="FootnoteText"/>
      </w:pPr>
      <w:r>
        <w:rPr>
          <w:rStyle w:val="FootnoteReference"/>
        </w:rPr>
        <w:footnoteRef/>
      </w:r>
      <w:r>
        <w:t xml:space="preserve"> </w:t>
      </w:r>
      <w:r>
        <w:rPr>
          <w:i/>
        </w:rPr>
        <w:t>See</w:t>
      </w:r>
      <w:r>
        <w:t xml:space="preserve"> Petition for Reconsideration of Red Brennan Group, MB Docket No. 17-289 (filed Sept. 27, 2018).</w:t>
      </w:r>
      <w:r>
        <w:rPr>
          <w:i/>
        </w:rPr>
        <w:t xml:space="preserve"> </w:t>
      </w:r>
    </w:p>
  </w:footnote>
  <w:footnote w:id="42">
    <w:p w:rsidR="00A03401" w:rsidRPr="00781D04" w:rsidP="00B12C9D">
      <w:pPr>
        <w:pStyle w:val="FootnoteText"/>
      </w:pPr>
      <w:r>
        <w:rPr>
          <w:rStyle w:val="FootnoteReference"/>
        </w:rPr>
        <w:footnoteRef/>
      </w:r>
      <w:r>
        <w:t xml:space="preserve"> </w:t>
      </w:r>
      <w:r>
        <w:rPr>
          <w:i/>
        </w:rPr>
        <w:t xml:space="preserve">See </w:t>
      </w:r>
      <w:r>
        <w:t xml:space="preserve">Petition for Review of Prometheus Radio Project and Media Mobilizing Project, </w:t>
      </w:r>
      <w:r>
        <w:rPr>
          <w:i/>
        </w:rPr>
        <w:t>Prometheus Radio Project and Media Mobilizing Project v. FCC</w:t>
      </w:r>
      <w:r>
        <w:t xml:space="preserve">, No. 18-2943, Document No. 003113024980 (3rd Cir. Aug. 31, 2018); Petition for Review of Multicultural Media, Telecom and Internet Council, Inc. and National Association of Black Owned Broadcasters, </w:t>
      </w:r>
      <w:r w:rsidRPr="00F12D69">
        <w:rPr>
          <w:i/>
        </w:rPr>
        <w:t>Multicultural Media, Telecom and Internet Council et al. v. FCC</w:t>
      </w:r>
      <w:r>
        <w:t>, No. 18-1268, Document No. 1753058 (D.C. Cir. Sept. 27, 2018).</w:t>
      </w:r>
    </w:p>
  </w:footnote>
  <w:footnote w:id="43">
    <w:p w:rsidR="00A03401" w:rsidRPr="00781D04" w:rsidP="00B12C9D">
      <w:pPr>
        <w:pStyle w:val="FootnoteText"/>
      </w:pPr>
      <w:r>
        <w:rPr>
          <w:rStyle w:val="FootnoteReference"/>
        </w:rPr>
        <w:footnoteRef/>
      </w:r>
      <w:r>
        <w:t xml:space="preserve"> Order, </w:t>
      </w:r>
      <w:r>
        <w:rPr>
          <w:i/>
        </w:rPr>
        <w:t>Multicultural Media, Telecom, and Internet Council, Inc. v. FCC</w:t>
      </w:r>
      <w:r>
        <w:t>, Nos. 17-1109 and 18-3335, Document No. 003113067217 (3rd Cir. Oct. 22, 2018);</w:t>
      </w:r>
      <w:r>
        <w:rPr>
          <w:i/>
        </w:rPr>
        <w:t xml:space="preserve"> </w:t>
      </w:r>
      <w:r>
        <w:t xml:space="preserve">Order, </w:t>
      </w:r>
      <w:r>
        <w:rPr>
          <w:i/>
        </w:rPr>
        <w:t>Prometheus Radio Project et al. v. FCC et al.</w:t>
      </w:r>
      <w:r>
        <w:t>, Nos. 17-1107, 18-1092, and 18-2943, Document No. 003113028065 (3rd Cir. Sept. 7, 2018).</w:t>
      </w:r>
    </w:p>
  </w:footnote>
  <w:footnote w:id="44">
    <w:p w:rsidR="00A03401" w:rsidRPr="00311779" w:rsidP="00B12C9D">
      <w:pPr>
        <w:pStyle w:val="FootnoteText"/>
      </w:pPr>
      <w:r w:rsidRPr="00311779">
        <w:rPr>
          <w:rStyle w:val="FootnoteReference"/>
        </w:rPr>
        <w:footnoteRef/>
      </w:r>
      <w:r w:rsidRPr="00311779">
        <w:t xml:space="preserve"> </w:t>
      </w:r>
      <w:r w:rsidRPr="00311779">
        <w:rPr>
          <w:i/>
        </w:rPr>
        <w:t xml:space="preserve">See </w:t>
      </w:r>
      <w:r>
        <w:t>1996 Act § 202(h)</w:t>
      </w:r>
      <w:r w:rsidRPr="00311779">
        <w:t>.</w:t>
      </w:r>
    </w:p>
  </w:footnote>
  <w:footnote w:id="45">
    <w:p w:rsidR="00A03401" w:rsidRPr="008816B5" w:rsidP="00B12C9D">
      <w:pPr>
        <w:pStyle w:val="FootnoteText"/>
      </w:pPr>
      <w:r>
        <w:rPr>
          <w:rStyle w:val="FootnoteReference"/>
        </w:rPr>
        <w:footnoteRef/>
      </w:r>
      <w:r>
        <w:t xml:space="preserve"> 1996 Act § 202(b)(1)</w:t>
      </w:r>
      <w:r w:rsidRPr="00311779">
        <w:t>.</w:t>
      </w:r>
      <w:r>
        <w:t xml:space="preserve">  Initially, only commercial radio stations were counted when determining the total number of radio stations in a market for purposes of the 1996 limits, but the Commission subsequently decided that noncommercial radio stations also should be included in those totals.  </w:t>
      </w:r>
      <w:r>
        <w:rPr>
          <w:i/>
        </w:rPr>
        <w:t>See</w:t>
      </w:r>
      <w:r>
        <w:t xml:space="preserve"> </w:t>
      </w:r>
      <w:r>
        <w:rPr>
          <w:i/>
        </w:rPr>
        <w:t>2002 Biennial Review Order</w:t>
      </w:r>
      <w:r>
        <w:t xml:space="preserve">, 18 FCC Rcd at 13734, para. 295.    </w:t>
      </w:r>
    </w:p>
  </w:footnote>
  <w:footnote w:id="46">
    <w:p w:rsidR="00A03401" w:rsidRPr="00340823" w:rsidP="00B12C9D">
      <w:pPr>
        <w:pStyle w:val="FootnoteText"/>
      </w:pPr>
      <w:r>
        <w:rPr>
          <w:rStyle w:val="FootnoteReference"/>
        </w:rPr>
        <w:footnoteRef/>
      </w:r>
      <w:r>
        <w:t xml:space="preserve"> </w:t>
      </w:r>
      <w:r w:rsidRPr="007272ED">
        <w:rPr>
          <w:i/>
        </w:rPr>
        <w:t>See, e.g.</w:t>
      </w:r>
      <w:r>
        <w:t xml:space="preserve">, </w:t>
      </w:r>
      <w:r>
        <w:rPr>
          <w:i/>
        </w:rPr>
        <w:t>Prometheus II</w:t>
      </w:r>
      <w:r>
        <w:t xml:space="preserve">, 652 F.3d at 462-63.  </w:t>
      </w:r>
    </w:p>
  </w:footnote>
  <w:footnote w:id="47">
    <w:p w:rsidR="00A03401" w:rsidP="00B12C9D">
      <w:pPr>
        <w:pStyle w:val="FootnoteText"/>
      </w:pPr>
      <w:r>
        <w:rPr>
          <w:rStyle w:val="FootnoteReference"/>
        </w:rPr>
        <w:footnoteRef/>
      </w:r>
      <w:r>
        <w:t xml:space="preserve"> </w:t>
      </w:r>
      <w:r>
        <w:rPr>
          <w:i/>
        </w:rPr>
        <w:t>2010/2014 Quadrennial Review Order</w:t>
      </w:r>
      <w:r>
        <w:t xml:space="preserve">, 31 FCC Rcd at 9897, 9898-99, paras. 82, 87; </w:t>
      </w:r>
      <w:r>
        <w:rPr>
          <w:i/>
        </w:rPr>
        <w:t>see also 2002 Biennial Review Order</w:t>
      </w:r>
      <w:r>
        <w:t xml:space="preserve">, 18 FCC Rcd at 13712-13, para. 239; </w:t>
      </w:r>
      <w:r>
        <w:rPr>
          <w:i/>
        </w:rPr>
        <w:t>2006 Quadrennial Review Order</w:t>
      </w:r>
      <w:r>
        <w:t>, 23 FCC Rcd at 2069, para. 110.</w:t>
      </w:r>
    </w:p>
  </w:footnote>
  <w:footnote w:id="48">
    <w:p w:rsidR="00A03401" w:rsidRPr="009445A6" w:rsidP="00B12C9D">
      <w:pPr>
        <w:pStyle w:val="FootnoteText"/>
        <w:rPr>
          <w:b/>
        </w:rPr>
      </w:pPr>
      <w:r>
        <w:rPr>
          <w:rStyle w:val="FootnoteReference"/>
        </w:rPr>
        <w:footnoteRef/>
      </w:r>
      <w:r>
        <w:t xml:space="preserve"> </w:t>
      </w:r>
      <w:r>
        <w:rPr>
          <w:i/>
        </w:rPr>
        <w:t>2010/2014 Quadrennial Review Order</w:t>
      </w:r>
      <w:r>
        <w:t xml:space="preserve">, 31 FCC Rcd at 9897, 9898-99, paras. 82, 87; </w:t>
      </w:r>
      <w:r>
        <w:rPr>
          <w:i/>
        </w:rPr>
        <w:t>see also 2002 Biennial Review Order</w:t>
      </w:r>
      <w:r>
        <w:t xml:space="preserve">, 18 FCC Rcd at 13738, 13739, paras. 303, 305-06; </w:t>
      </w:r>
      <w:r>
        <w:rPr>
          <w:i/>
        </w:rPr>
        <w:t>2006 Quadrennial Review Order</w:t>
      </w:r>
      <w:r>
        <w:t>, 23 FCC Rcd at 2075, 2077, paras. 124, 127.</w:t>
      </w:r>
    </w:p>
  </w:footnote>
  <w:footnote w:id="49">
    <w:p w:rsidR="00A03401" w:rsidRPr="008917CB" w:rsidP="00B12C9D">
      <w:pPr>
        <w:pStyle w:val="FootnoteText"/>
        <w:rPr>
          <w:b/>
        </w:rPr>
      </w:pPr>
      <w:r>
        <w:rPr>
          <w:rStyle w:val="FootnoteReference"/>
        </w:rPr>
        <w:footnoteRef/>
      </w:r>
      <w:r>
        <w:t xml:space="preserve"> </w:t>
      </w:r>
      <w:r>
        <w:rPr>
          <w:i/>
        </w:rPr>
        <w:t>2010/2014 Quadrennial Review Order on Reconsideration</w:t>
      </w:r>
      <w:r>
        <w:t>, 32 FCC Rcd at 9841-46, paras. 86-95.</w:t>
      </w:r>
      <w:r>
        <w:rPr>
          <w:i/>
        </w:rPr>
        <w:t xml:space="preserve"> </w:t>
      </w:r>
    </w:p>
  </w:footnote>
  <w:footnote w:id="50">
    <w:p w:rsidR="00A03401" w:rsidP="00B12C9D">
      <w:pPr>
        <w:pStyle w:val="FootnoteText"/>
      </w:pPr>
      <w:r>
        <w:rPr>
          <w:rStyle w:val="FootnoteReference"/>
        </w:rPr>
        <w:footnoteRef/>
      </w:r>
      <w:r>
        <w:t xml:space="preserve"> 47 CFR § 73.3555(a).  Overlap between two stations in different services is allowed if neither of those stations overlaps a third station in the same service.</w:t>
      </w:r>
    </w:p>
  </w:footnote>
  <w:footnote w:id="51">
    <w:p w:rsidR="00A03401" w:rsidP="00B12C9D">
      <w:pPr>
        <w:pStyle w:val="FootnoteText"/>
      </w:pPr>
      <w:r>
        <w:rPr>
          <w:rStyle w:val="FootnoteReference"/>
        </w:rPr>
        <w:footnoteRef/>
      </w:r>
      <w:r>
        <w:t xml:space="preserve"> </w:t>
      </w:r>
      <w:r>
        <w:rPr>
          <w:i/>
        </w:rPr>
        <w:t>Id.</w:t>
      </w:r>
      <w:r>
        <w:t xml:space="preserve">  </w:t>
      </w:r>
    </w:p>
  </w:footnote>
  <w:footnote w:id="52">
    <w:p w:rsidR="00A03401" w:rsidRPr="00FD0F39" w:rsidP="00B12C9D">
      <w:pPr>
        <w:pStyle w:val="FootnoteText"/>
      </w:pPr>
      <w:r>
        <w:rPr>
          <w:rStyle w:val="FootnoteReference"/>
        </w:rPr>
        <w:footnoteRef/>
      </w:r>
      <w:r>
        <w:t xml:space="preserve"> </w:t>
      </w:r>
      <w:r>
        <w:rPr>
          <w:i/>
        </w:rPr>
        <w:t>See 2002 Biennial Review Order</w:t>
      </w:r>
      <w:r>
        <w:t xml:space="preserve">, 18 FCC Rcd at 13724-30, paras. 273-86 (replacing the contour-overlap methodology with Arbitron Metro—now Nielsen Audio Metro—market definitions, where available, and retaining a modified contour-overlap methodology on an interim basis for areas not defined by Nielsen Audio); </w:t>
      </w:r>
      <w:r>
        <w:rPr>
          <w:i/>
        </w:rPr>
        <w:t>2006 Quadrennial Review Order</w:t>
      </w:r>
      <w:r>
        <w:t xml:space="preserve">, 23 FCC Rcd at 2013, 2070-71, 2071-72, paras. 4, 111-12, 114 (affirming the use of Nielsen Audio Metro markets to define geographic markets); </w:t>
      </w:r>
      <w:r>
        <w:rPr>
          <w:i/>
        </w:rPr>
        <w:t>2010/2014 Quadrennial Review Order</w:t>
      </w:r>
      <w:r>
        <w:t xml:space="preserve">, 31 FCC Rcd at 9898, para. 85 n.234 (finding no basis on which to revisit as part of its ownership review the interim contour-overlap methodology for non-Nielsen Audio Metro areas).  An exception to this market definition approach is Puerto Rico, where the contour-overlap methodology applies even though Puerto Rico is a Nielsen Audio Metro market.  </w:t>
      </w:r>
      <w:r>
        <w:rPr>
          <w:i/>
        </w:rPr>
        <w:t>2010/2014 Quadrennial Review Order</w:t>
      </w:r>
      <w:r>
        <w:t>, 31 FCC Rcd at 9907, paras. 111-12.</w:t>
      </w:r>
    </w:p>
  </w:footnote>
  <w:footnote w:id="53">
    <w:p w:rsidR="00A03401" w:rsidP="00B12C9D">
      <w:pPr>
        <w:pStyle w:val="FootnoteText"/>
      </w:pPr>
      <w:r>
        <w:rPr>
          <w:rStyle w:val="FootnoteReference"/>
        </w:rPr>
        <w:footnoteRef/>
      </w:r>
      <w:r>
        <w:t xml:space="preserve"> </w:t>
      </w:r>
      <w:r>
        <w:rPr>
          <w:i/>
        </w:rPr>
        <w:t>2010/2014 Quadrennial Review Order</w:t>
      </w:r>
      <w:r>
        <w:t xml:space="preserve">, 31 FCC Rcd at 9897, 9898-99, paras. 82, 87; </w:t>
      </w:r>
      <w:r>
        <w:rPr>
          <w:i/>
        </w:rPr>
        <w:t>see also 2002 Biennial Review Order</w:t>
      </w:r>
      <w:r>
        <w:t xml:space="preserve">, 18 FCC Rcd at 13712-13, para. 239; </w:t>
      </w:r>
      <w:r>
        <w:rPr>
          <w:i/>
        </w:rPr>
        <w:t>2006 Quadrennial Review Order</w:t>
      </w:r>
      <w:r>
        <w:t>, 23 FCC Rcd at 2069, para. 110.</w:t>
      </w:r>
    </w:p>
  </w:footnote>
  <w:footnote w:id="54">
    <w:p w:rsidR="00A03401" w:rsidRPr="00165522" w:rsidP="00B12C9D">
      <w:pPr>
        <w:pStyle w:val="FootnoteText"/>
      </w:pPr>
      <w:r>
        <w:rPr>
          <w:rStyle w:val="FootnoteReference"/>
        </w:rPr>
        <w:footnoteRef/>
      </w:r>
      <w:r>
        <w:t xml:space="preserve"> </w:t>
      </w:r>
      <w:r>
        <w:rPr>
          <w:i/>
        </w:rPr>
        <w:t>2010/2014 Quadrennial Review Order</w:t>
      </w:r>
      <w:r>
        <w:t>, 31 FCC Rcd at 9897, 9898-99, paras. 82, 87.</w:t>
      </w:r>
    </w:p>
  </w:footnote>
  <w:footnote w:id="55">
    <w:p w:rsidR="00A03401" w:rsidP="00B12C9D">
      <w:pPr>
        <w:pStyle w:val="FootnoteText"/>
      </w:pPr>
      <w:r>
        <w:rPr>
          <w:rStyle w:val="FootnoteReference"/>
        </w:rPr>
        <w:footnoteRef/>
      </w:r>
      <w:r>
        <w:t xml:space="preserve"> </w:t>
      </w:r>
      <w:r>
        <w:rPr>
          <w:i/>
        </w:rPr>
        <w:t>Id.</w:t>
      </w:r>
      <w:r>
        <w:t xml:space="preserve">; </w:t>
      </w:r>
      <w:r>
        <w:rPr>
          <w:i/>
        </w:rPr>
        <w:t>see also 2002 Biennial Review Order</w:t>
      </w:r>
      <w:r>
        <w:t xml:space="preserve">, 18 FCC Rcd at 13738, 13739, paras. 303, 305-06; </w:t>
      </w:r>
      <w:r>
        <w:rPr>
          <w:i/>
        </w:rPr>
        <w:t>2006 Quadrennial Review Order</w:t>
      </w:r>
      <w:r>
        <w:t>, 23 FCC Rcd at 2075, 2077, paras. 124, 127.</w:t>
      </w:r>
    </w:p>
  </w:footnote>
  <w:footnote w:id="56">
    <w:p w:rsidR="00A03401" w:rsidRPr="009445A6" w:rsidP="00B12C9D">
      <w:pPr>
        <w:pStyle w:val="FootnoteText"/>
        <w:rPr>
          <w:b/>
        </w:rPr>
      </w:pPr>
      <w:r>
        <w:rPr>
          <w:rStyle w:val="FootnoteReference"/>
        </w:rPr>
        <w:footnoteRef/>
      </w:r>
      <w:r>
        <w:t xml:space="preserve"> </w:t>
      </w:r>
      <w:r>
        <w:rPr>
          <w:i/>
        </w:rPr>
        <w:t>2010/2014 Quadrennial Review Order</w:t>
      </w:r>
      <w:r>
        <w:t xml:space="preserve">, 31 FCC Rcd at 9897, 9898-99, 9905-07, paras. 82, 87, 107-12.       </w:t>
      </w:r>
    </w:p>
  </w:footnote>
  <w:footnote w:id="57">
    <w:p w:rsidR="00A03401" w:rsidP="00B12C9D">
      <w:pPr>
        <w:pStyle w:val="FootnoteText"/>
      </w:pPr>
      <w:r>
        <w:rPr>
          <w:rStyle w:val="FootnoteReference"/>
        </w:rPr>
        <w:footnoteRef/>
      </w:r>
      <w:r>
        <w:t xml:space="preserve"> </w:t>
      </w:r>
      <w:r>
        <w:rPr>
          <w:i/>
        </w:rPr>
        <w:t>2010/2014 Quadrennial Review Order on Reconsideration</w:t>
      </w:r>
      <w:r>
        <w:t>, 32 FCC Rcd at 9841, 9845-46, paras. 86, 94-95.</w:t>
      </w:r>
      <w:r w:rsidRPr="004A2847">
        <w:t xml:space="preserve"> </w:t>
      </w:r>
      <w:r>
        <w:t xml:space="preserve"> Stations would qualify under two conditions:  (1) compliance with the numerical ownership limits using the Nielsen Audio Metro methodology in each embedded market, and (2)</w:t>
      </w:r>
      <w:r w:rsidRPr="00573BA3">
        <w:t xml:space="preserve"> </w:t>
      </w:r>
      <w:r>
        <w:t xml:space="preserve">compliance with the ownership limits using the contour-overlap methodology applicable to undefined markets in lieu of the Commission’s current parent market analysis. </w:t>
      </w:r>
      <w:r w:rsidRPr="00573BA3">
        <w:rPr>
          <w:i/>
        </w:rPr>
        <w:t xml:space="preserve"> </w:t>
      </w:r>
      <w:r>
        <w:rPr>
          <w:i/>
        </w:rPr>
        <w:t>Id.</w:t>
      </w:r>
      <w:r>
        <w:t xml:space="preserve"> at 9842, para. 90 n.262; </w:t>
      </w:r>
      <w:r>
        <w:rPr>
          <w:i/>
        </w:rPr>
        <w:t>see also id.</w:t>
      </w:r>
      <w:r>
        <w:t xml:space="preserve"> at 9841, para. 86 n.251.     </w:t>
      </w:r>
      <w:r>
        <w:rPr>
          <w:i/>
        </w:rPr>
        <w:t xml:space="preserve"> </w:t>
      </w:r>
    </w:p>
  </w:footnote>
  <w:footnote w:id="58">
    <w:p w:rsidR="00A03401" w:rsidP="00B12C9D">
      <w:pPr>
        <w:pStyle w:val="FootnoteText"/>
      </w:pPr>
      <w:r>
        <w:rPr>
          <w:rStyle w:val="FootnoteReference"/>
        </w:rPr>
        <w:footnoteRef/>
      </w:r>
      <w:r>
        <w:t xml:space="preserve"> </w:t>
      </w:r>
      <w:r>
        <w:rPr>
          <w:i/>
        </w:rPr>
        <w:t>Id.</w:t>
      </w:r>
      <w:r>
        <w:t xml:space="preserve"> at 9841, 9845-46, paras. 86, 95.</w:t>
      </w:r>
    </w:p>
  </w:footnote>
  <w:footnote w:id="59">
    <w:p w:rsidR="00A03401" w:rsidRPr="00E05A24" w:rsidP="00B12C9D">
      <w:pPr>
        <w:pStyle w:val="FootnoteText"/>
      </w:pPr>
      <w:r>
        <w:rPr>
          <w:rStyle w:val="FootnoteReference"/>
        </w:rPr>
        <w:footnoteRef/>
      </w:r>
      <w:r>
        <w:t xml:space="preserve"> Letter from Rick Kaplan et al., Legal and Regulatory Affairs, NAB, to Michelle Carey, Chief, Media Bureau, FCC, at 1-4 (filed June 15, 2018) (NAB June 15, 2018 Letter).  We will add to the public docket of this proceeding this submission and the other submissions to the Commission or its staff that are referenced in regard to the Local Radio Ownership Rule. </w:t>
      </w:r>
    </w:p>
  </w:footnote>
  <w:footnote w:id="60">
    <w:p w:rsidR="00A03401" w:rsidRPr="00C2250A" w:rsidP="00B12C9D">
      <w:pPr>
        <w:pStyle w:val="FootnoteText"/>
      </w:pPr>
      <w:r>
        <w:rPr>
          <w:rStyle w:val="FootnoteReference"/>
        </w:rPr>
        <w:footnoteRef/>
      </w:r>
      <w:r>
        <w:t xml:space="preserve"> </w:t>
      </w:r>
      <w:r>
        <w:rPr>
          <w:i/>
        </w:rPr>
        <w:t>Id.</w:t>
      </w:r>
      <w:r>
        <w:t xml:space="preserve"> at 2.</w:t>
      </w:r>
    </w:p>
  </w:footnote>
  <w:footnote w:id="61">
    <w:p w:rsidR="00A03401" w:rsidP="00B12C9D">
      <w:pPr>
        <w:pStyle w:val="FootnoteText"/>
      </w:pPr>
      <w:r>
        <w:rPr>
          <w:rStyle w:val="FootnoteReference"/>
        </w:rPr>
        <w:footnoteRef/>
      </w:r>
      <w:r>
        <w:t xml:space="preserve"> </w:t>
      </w:r>
      <w:r>
        <w:rPr>
          <w:i/>
        </w:rPr>
        <w:t>Id.</w:t>
      </w:r>
      <w:r>
        <w:t xml:space="preserve">; </w:t>
      </w:r>
      <w:r>
        <w:rPr>
          <w:i/>
        </w:rPr>
        <w:t>see also</w:t>
      </w:r>
      <w:r w:rsidRPr="003566F2">
        <w:rPr>
          <w:b/>
        </w:rPr>
        <w:t xml:space="preserve"> </w:t>
      </w:r>
      <w:r w:rsidRPr="00D65B8F">
        <w:rPr>
          <w:i/>
          <w:color w:val="252525"/>
        </w:rPr>
        <w:t>Incubat</w:t>
      </w:r>
      <w:r>
        <w:rPr>
          <w:i/>
          <w:color w:val="252525"/>
        </w:rPr>
        <w:t>or</w:t>
      </w:r>
      <w:r w:rsidRPr="00D65B8F">
        <w:rPr>
          <w:i/>
          <w:color w:val="252525"/>
        </w:rPr>
        <w:t xml:space="preserve"> Order</w:t>
      </w:r>
      <w:r>
        <w:rPr>
          <w:color w:val="252525"/>
        </w:rPr>
        <w:t>.</w:t>
      </w:r>
      <w:r w:rsidRPr="003566F2">
        <w:rPr>
          <w:b/>
        </w:rPr>
        <w:t xml:space="preserve"> </w:t>
      </w:r>
    </w:p>
  </w:footnote>
  <w:footnote w:id="62">
    <w:p w:rsidR="00A03401" w:rsidP="00B12C9D">
      <w:pPr>
        <w:pStyle w:val="FootnoteText"/>
      </w:pPr>
      <w:r>
        <w:rPr>
          <w:rStyle w:val="FootnoteReference"/>
        </w:rPr>
        <w:footnoteRef/>
      </w:r>
      <w:r>
        <w:t xml:space="preserve"> NAB June 15, 2018 Letter at 2.</w:t>
      </w:r>
    </w:p>
  </w:footnote>
  <w:footnote w:id="63">
    <w:p w:rsidR="00A03401" w:rsidRPr="00574492" w:rsidP="00B12C9D">
      <w:pPr>
        <w:pStyle w:val="FootnoteText"/>
      </w:pPr>
      <w:r>
        <w:rPr>
          <w:rStyle w:val="FootnoteReference"/>
        </w:rPr>
        <w:footnoteRef/>
      </w:r>
      <w:r>
        <w:t xml:space="preserve"> </w:t>
      </w:r>
      <w:r>
        <w:rPr>
          <w:i/>
        </w:rPr>
        <w:t>See</w:t>
      </w:r>
      <w:r>
        <w:t xml:space="preserve"> Letter from Edward G. Atsinger, Chief Executive Officer, and David P. Santrella, President Broadcast Media, Salem Media Group, to Hon. Ajit Pai, Chairman, FCC, at 1 (filed June 29, 2018)</w:t>
      </w:r>
      <w:r w:rsidRPr="000B650E">
        <w:t xml:space="preserve"> </w:t>
      </w:r>
      <w:r>
        <w:t xml:space="preserve">(Salem Media June 29, 2018 Letter) (arguing that relaxing FM subcaps would have a harmful effect on AM radio); Eric Rhoads, </w:t>
      </w:r>
      <w:r>
        <w:rPr>
          <w:i/>
        </w:rPr>
        <w:t>Radio’s Weak Argument to the FCC Reveals a Deeper Problem</w:t>
      </w:r>
      <w:r>
        <w:t xml:space="preserve">, Radio Ink (Aug. 2, 2018), </w:t>
      </w:r>
      <w:r w:rsidRPr="00757717">
        <w:t xml:space="preserve">https://radioink.com/2018/08/02/radios-weak-argument-to-the-fcc-reveals-a-deeper-problem/ </w:t>
      </w:r>
      <w:r>
        <w:t xml:space="preserve">(challenging NAB’s stance that radio stations compete for advertising with Internet companies like Google and Facebook).  </w:t>
      </w:r>
    </w:p>
  </w:footnote>
  <w:footnote w:id="64">
    <w:p w:rsidR="00A03401" w:rsidP="00B12C9D">
      <w:pPr>
        <w:pStyle w:val="FootnoteText"/>
      </w:pPr>
      <w:r>
        <w:rPr>
          <w:rStyle w:val="FootnoteReference"/>
        </w:rPr>
        <w:footnoteRef/>
      </w:r>
      <w:r>
        <w:t xml:space="preserve"> </w:t>
      </w:r>
      <w:r>
        <w:rPr>
          <w:i/>
        </w:rPr>
        <w:t xml:space="preserve">See 2010/2014 Quadrennial Review </w:t>
      </w:r>
      <w:r w:rsidRPr="00E9287C">
        <w:rPr>
          <w:i/>
        </w:rPr>
        <w:t>Order</w:t>
      </w:r>
      <w:r>
        <w:t>, 31 FCC Rcd at 9899-912, paras. 88-128.</w:t>
      </w:r>
    </w:p>
  </w:footnote>
  <w:footnote w:id="65">
    <w:p w:rsidR="00A03401" w:rsidP="00B12C9D">
      <w:pPr>
        <w:pStyle w:val="FootnoteText"/>
      </w:pPr>
      <w:r>
        <w:rPr>
          <w:rStyle w:val="FootnoteReference"/>
        </w:rPr>
        <w:footnoteRef/>
      </w:r>
      <w:r>
        <w:t xml:space="preserve"> </w:t>
      </w:r>
      <w:r>
        <w:rPr>
          <w:i/>
        </w:rPr>
        <w:t>Id.</w:t>
      </w:r>
      <w:r>
        <w:t xml:space="preserve"> at 9899-901, paras. 90-94.</w:t>
      </w:r>
    </w:p>
  </w:footnote>
  <w:footnote w:id="66">
    <w:p w:rsidR="00A03401" w:rsidP="00B12C9D">
      <w:pPr>
        <w:pStyle w:val="FootnoteText"/>
      </w:pPr>
      <w:r>
        <w:rPr>
          <w:rStyle w:val="FootnoteReference"/>
        </w:rPr>
        <w:footnoteRef/>
      </w:r>
      <w:r>
        <w:t xml:space="preserve"> </w:t>
      </w:r>
      <w:r>
        <w:rPr>
          <w:i/>
        </w:rPr>
        <w:t>Id.</w:t>
      </w:r>
      <w:r>
        <w:t xml:space="preserve"> </w:t>
      </w:r>
    </w:p>
  </w:footnote>
  <w:footnote w:id="67">
    <w:p w:rsidR="00A03401" w:rsidP="00B12C9D">
      <w:pPr>
        <w:pStyle w:val="FootnoteText"/>
      </w:pPr>
      <w:r>
        <w:rPr>
          <w:rStyle w:val="FootnoteReference"/>
        </w:rPr>
        <w:footnoteRef/>
      </w:r>
      <w:r>
        <w:t xml:space="preserve"> </w:t>
      </w:r>
      <w:r>
        <w:rPr>
          <w:i/>
        </w:rPr>
        <w:t>Id.</w:t>
      </w:r>
      <w:r>
        <w:t xml:space="preserve"> </w:t>
      </w:r>
    </w:p>
  </w:footnote>
  <w:footnote w:id="68">
    <w:p w:rsidR="00A03401" w:rsidP="00B12C9D">
      <w:pPr>
        <w:pStyle w:val="FootnoteText"/>
      </w:pPr>
      <w:r>
        <w:rPr>
          <w:rStyle w:val="FootnoteReference"/>
        </w:rPr>
        <w:footnoteRef/>
      </w:r>
      <w:r>
        <w:t xml:space="preserve"> </w:t>
      </w:r>
      <w:r>
        <w:rPr>
          <w:i/>
        </w:rPr>
        <w:t>Id.</w:t>
      </w:r>
      <w:r>
        <w:t xml:space="preserve"> </w:t>
      </w:r>
    </w:p>
  </w:footnote>
  <w:footnote w:id="69">
    <w:p w:rsidR="00A03401" w:rsidP="00B12C9D">
      <w:pPr>
        <w:pStyle w:val="FootnoteText"/>
      </w:pPr>
      <w:r>
        <w:rPr>
          <w:rStyle w:val="FootnoteReference"/>
        </w:rPr>
        <w:footnoteRef/>
      </w:r>
      <w:r>
        <w:t xml:space="preserve"> </w:t>
      </w:r>
      <w:r>
        <w:rPr>
          <w:i/>
        </w:rPr>
        <w:t>Id.</w:t>
      </w:r>
      <w:r>
        <w:t xml:space="preserve">  Not only does an Internet subscription involve a monthly charge, but the Commission observed that a significant portion of U.S. households at the time lacked access to a fixed Internet connection capable of streaming audio programming.</w:t>
      </w:r>
      <w:r w:rsidRPr="00400ACC">
        <w:t xml:space="preserve">  </w:t>
      </w:r>
      <w:r>
        <w:rPr>
          <w:i/>
        </w:rPr>
        <w:t>I</w:t>
      </w:r>
      <w:r w:rsidRPr="00D97A05">
        <w:rPr>
          <w:i/>
        </w:rPr>
        <w:t>d</w:t>
      </w:r>
      <w:r>
        <w:t xml:space="preserve">. at n.253. </w:t>
      </w:r>
    </w:p>
  </w:footnote>
  <w:footnote w:id="70">
    <w:p w:rsidR="00A03401" w:rsidP="00B12C9D">
      <w:pPr>
        <w:pStyle w:val="FootnoteText"/>
      </w:pPr>
      <w:r>
        <w:rPr>
          <w:rStyle w:val="FootnoteReference"/>
        </w:rPr>
        <w:footnoteRef/>
      </w:r>
      <w:r>
        <w:t xml:space="preserve"> NAB June 15, 2018 Letter at 1.</w:t>
      </w:r>
    </w:p>
  </w:footnote>
  <w:footnote w:id="71">
    <w:p w:rsidR="00A03401" w:rsidP="00B12C9D">
      <w:pPr>
        <w:pStyle w:val="FootnoteText"/>
      </w:pPr>
      <w:r>
        <w:rPr>
          <w:rStyle w:val="FootnoteReference"/>
        </w:rPr>
        <w:footnoteRef/>
      </w:r>
      <w:r>
        <w:t xml:space="preserve"> </w:t>
      </w:r>
      <w:r>
        <w:rPr>
          <w:i/>
        </w:rPr>
        <w:t>Id.</w:t>
      </w:r>
    </w:p>
  </w:footnote>
  <w:footnote w:id="72">
    <w:p w:rsidR="00A03401" w:rsidP="00B12C9D">
      <w:pPr>
        <w:pStyle w:val="FootnoteText"/>
      </w:pPr>
      <w:r>
        <w:rPr>
          <w:rStyle w:val="FootnoteReference"/>
        </w:rPr>
        <w:footnoteRef/>
      </w:r>
      <w:r w:rsidRPr="00CC68B2">
        <w:t xml:space="preserve"> </w:t>
      </w:r>
      <w:r>
        <w:rPr>
          <w:i/>
        </w:rPr>
        <w:t>Id.</w:t>
      </w:r>
      <w:r>
        <w:t xml:space="preserve"> at 2.</w:t>
      </w:r>
    </w:p>
  </w:footnote>
  <w:footnote w:id="73">
    <w:p w:rsidR="00A03401" w:rsidP="00B12C9D">
      <w:pPr>
        <w:pStyle w:val="FootnoteText"/>
      </w:pPr>
      <w:r>
        <w:rPr>
          <w:rStyle w:val="FootnoteReference"/>
        </w:rPr>
        <w:footnoteRef/>
      </w:r>
      <w:r w:rsidRPr="00CC68B2">
        <w:t xml:space="preserve"> </w:t>
      </w:r>
      <w:r>
        <w:rPr>
          <w:i/>
        </w:rPr>
        <w:t>Id.</w:t>
      </w:r>
      <w:r>
        <w:t xml:space="preserve"> at 2-3.</w:t>
      </w:r>
    </w:p>
  </w:footnote>
  <w:footnote w:id="74">
    <w:p w:rsidR="00A03401" w:rsidP="00B12C9D">
      <w:pPr>
        <w:pStyle w:val="FootnoteText"/>
      </w:pPr>
      <w:r>
        <w:rPr>
          <w:rStyle w:val="FootnoteReference"/>
        </w:rPr>
        <w:footnoteRef/>
      </w:r>
      <w:r w:rsidRPr="00CC68B2">
        <w:t xml:space="preserve"> </w:t>
      </w:r>
      <w:r>
        <w:rPr>
          <w:i/>
        </w:rPr>
        <w:t>Id.</w:t>
      </w:r>
      <w:r>
        <w:t xml:space="preserve"> at 3-4.</w:t>
      </w:r>
    </w:p>
  </w:footnote>
  <w:footnote w:id="75">
    <w:p w:rsidR="00A03401" w:rsidP="00B12C9D">
      <w:pPr>
        <w:pStyle w:val="FootnoteText"/>
      </w:pPr>
      <w:r>
        <w:rPr>
          <w:rStyle w:val="FootnoteReference"/>
        </w:rPr>
        <w:footnoteRef/>
      </w:r>
      <w:r w:rsidRPr="00CC68B2">
        <w:t xml:space="preserve"> </w:t>
      </w:r>
      <w:r>
        <w:rPr>
          <w:i/>
        </w:rPr>
        <w:t>Id.</w:t>
      </w:r>
      <w:r>
        <w:t xml:space="preserve"> at 3.</w:t>
      </w:r>
    </w:p>
  </w:footnote>
  <w:footnote w:id="76">
    <w:p w:rsidR="00A03401" w:rsidP="00B12C9D">
      <w:pPr>
        <w:pStyle w:val="FootnoteText"/>
      </w:pPr>
      <w:r>
        <w:rPr>
          <w:rStyle w:val="FootnoteReference"/>
        </w:rPr>
        <w:footnoteRef/>
      </w:r>
      <w:r>
        <w:t xml:space="preserve"> Letter from David D. Oxenford and Danielle K. Thumann, Wilkinson, Barker, Knauer, LLP, Counsel for Connoisseur Media, LLC, and Townsquare Media, Inc., to Marlene Dortch, Secretary, FCC, in MB Docket No. 18-227 (filed Nov. 13, 2018) at 1.</w:t>
      </w:r>
    </w:p>
  </w:footnote>
  <w:footnote w:id="77">
    <w:p w:rsidR="00A03401" w:rsidP="00B12C9D">
      <w:pPr>
        <w:pStyle w:val="FootnoteText"/>
      </w:pPr>
      <w:r>
        <w:rPr>
          <w:rStyle w:val="FootnoteReference"/>
        </w:rPr>
        <w:footnoteRef/>
      </w:r>
      <w:r>
        <w:t xml:space="preserve"> Connoisseur et al. Comments in MB Docket No. 18-227 at 8-11.</w:t>
      </w:r>
    </w:p>
  </w:footnote>
  <w:footnote w:id="78">
    <w:p w:rsidR="00A03401" w:rsidP="00B12C9D">
      <w:pPr>
        <w:pStyle w:val="FootnoteText"/>
      </w:pPr>
      <w:r>
        <w:rPr>
          <w:rStyle w:val="FootnoteReference"/>
        </w:rPr>
        <w:footnoteRef/>
      </w:r>
      <w:r>
        <w:t xml:space="preserve"> Rhoads at 1-4.</w:t>
      </w:r>
    </w:p>
  </w:footnote>
  <w:footnote w:id="79">
    <w:p w:rsidR="00A03401" w:rsidP="00B12C9D">
      <w:pPr>
        <w:pStyle w:val="FootnoteText"/>
      </w:pPr>
      <w:r>
        <w:rPr>
          <w:rStyle w:val="FootnoteReference"/>
        </w:rPr>
        <w:footnoteRef/>
      </w:r>
      <w:r w:rsidRPr="00CC68B2">
        <w:t xml:space="preserve"> </w:t>
      </w:r>
      <w:r>
        <w:rPr>
          <w:i/>
        </w:rPr>
        <w:t>Id.</w:t>
      </w:r>
      <w:r>
        <w:t xml:space="preserve"> at 2.</w:t>
      </w:r>
    </w:p>
  </w:footnote>
  <w:footnote w:id="80">
    <w:p w:rsidR="00A03401" w:rsidP="00B12C9D">
      <w:pPr>
        <w:pStyle w:val="FootnoteText"/>
      </w:pPr>
      <w:r>
        <w:rPr>
          <w:rStyle w:val="FootnoteReference"/>
        </w:rPr>
        <w:footnoteRef/>
      </w:r>
      <w:r w:rsidRPr="00CC68B2">
        <w:t xml:space="preserve"> </w:t>
      </w:r>
      <w:r>
        <w:rPr>
          <w:i/>
        </w:rPr>
        <w:t>Id.</w:t>
      </w:r>
      <w:r>
        <w:t xml:space="preserve"> at 2-4.</w:t>
      </w:r>
    </w:p>
  </w:footnote>
  <w:footnote w:id="81">
    <w:p w:rsidR="00A03401" w:rsidP="00B12C9D">
      <w:pPr>
        <w:pStyle w:val="FootnoteText"/>
      </w:pPr>
      <w:r>
        <w:rPr>
          <w:rStyle w:val="FootnoteReference"/>
        </w:rPr>
        <w:footnoteRef/>
      </w:r>
      <w:r>
        <w:t xml:space="preserve"> Letter from Jessica Marventano, Senior Vice President, Government Affairs, iHeartMedia Inc., to Michelle Carey, Chief, Media Bureau, FCC, at 3-4 (filed Oct. 9, 2018) (iHeartMedia Oct. 9, 2018 Letter) (claiming that “innovation, ideas, relationships, compelling programming and data solutions” are what attracts advertisers).</w:t>
      </w:r>
    </w:p>
  </w:footnote>
  <w:footnote w:id="82">
    <w:p w:rsidR="00A03401" w:rsidP="00B12C9D">
      <w:pPr>
        <w:pStyle w:val="FootnoteText"/>
      </w:pPr>
      <w:r>
        <w:rPr>
          <w:rStyle w:val="FootnoteReference"/>
        </w:rPr>
        <w:footnoteRef/>
      </w:r>
      <w:r w:rsidRPr="00CC68B2">
        <w:t xml:space="preserve"> </w:t>
      </w:r>
      <w:r>
        <w:rPr>
          <w:i/>
        </w:rPr>
        <w:t>Id.</w:t>
      </w:r>
      <w:r>
        <w:t xml:space="preserve"> at 2.</w:t>
      </w:r>
    </w:p>
  </w:footnote>
  <w:footnote w:id="83">
    <w:p w:rsidR="00A03401" w:rsidRPr="005D429F" w:rsidP="00B12C9D">
      <w:pPr>
        <w:pStyle w:val="FootnoteText"/>
      </w:pPr>
      <w:r>
        <w:rPr>
          <w:rStyle w:val="FootnoteReference"/>
        </w:rPr>
        <w:footnoteRef/>
      </w:r>
      <w:r>
        <w:t xml:space="preserve"> </w:t>
      </w:r>
      <w:r>
        <w:rPr>
          <w:i/>
        </w:rPr>
        <w:t>See Media Bureau Seeks Comment on the Status of Competition in the Marketplace for Delivery of Audio Programming</w:t>
      </w:r>
      <w:r>
        <w:t>, MB Docket No. 18-227, Public Notice, DA 18-761 (July 23, 2018).</w:t>
      </w:r>
    </w:p>
  </w:footnote>
  <w:footnote w:id="84">
    <w:p w:rsidR="00A03401" w:rsidP="00B12C9D">
      <w:pPr>
        <w:pStyle w:val="FootnoteText"/>
      </w:pPr>
      <w:r>
        <w:rPr>
          <w:rStyle w:val="FootnoteReference"/>
        </w:rPr>
        <w:footnoteRef/>
      </w:r>
      <w:r>
        <w:t xml:space="preserve"> NAB Comments in MB Docket No. 18-227 at 5-</w:t>
      </w:r>
      <w:r w:rsidRPr="0060271B">
        <w:t xml:space="preserve">16; </w:t>
      </w:r>
      <w:r w:rsidRPr="0060271B">
        <w:rPr>
          <w:i/>
          <w:iCs/>
        </w:rPr>
        <w:t>see also</w:t>
      </w:r>
      <w:r w:rsidRPr="0060271B">
        <w:t xml:space="preserve"> NAB Reply Comments in MB Docket No. 18-227 at 4 (arguing that “local radio stations now operate in a vastly expanded and highly competitive audio market providing unprecedented choices for consumers and advertisers and that continuing technological change will create still more options for audiences in the future”).</w:t>
      </w:r>
    </w:p>
  </w:footnote>
  <w:footnote w:id="85">
    <w:p w:rsidR="00A03401" w:rsidP="00B12C9D">
      <w:pPr>
        <w:pStyle w:val="FootnoteText"/>
      </w:pPr>
      <w:r>
        <w:rPr>
          <w:rStyle w:val="FootnoteReference"/>
        </w:rPr>
        <w:footnoteRef/>
      </w:r>
      <w:r>
        <w:t xml:space="preserve"> Connoisseur et al. Comments in MB Docket No. 18-227 at 3.</w:t>
      </w:r>
    </w:p>
  </w:footnote>
  <w:footnote w:id="86">
    <w:p w:rsidR="00A03401" w:rsidP="00B12C9D">
      <w:pPr>
        <w:pStyle w:val="FootnoteText"/>
      </w:pPr>
      <w:r>
        <w:rPr>
          <w:rStyle w:val="FootnoteReference"/>
        </w:rPr>
        <w:footnoteRef/>
      </w:r>
      <w:r>
        <w:t xml:space="preserve"> Local Community Broadcasters Comments in MB Docket No. 18-227 at 1-2. </w:t>
      </w:r>
    </w:p>
  </w:footnote>
  <w:footnote w:id="87">
    <w:p w:rsidR="00A03401" w:rsidRPr="00C345D4" w:rsidP="00B12C9D">
      <w:pPr>
        <w:pStyle w:val="FootnoteText"/>
      </w:pPr>
      <w:r>
        <w:rPr>
          <w:rStyle w:val="FootnoteReference"/>
        </w:rPr>
        <w:footnoteRef/>
      </w:r>
      <w:r>
        <w:t xml:space="preserve"> musicFIRST Coalition and Future of Music Coalition Comments in MB Docket No. 18-227 at 7-13</w:t>
      </w:r>
      <w:r w:rsidRPr="00C345D4">
        <w:t xml:space="preserve">; </w:t>
      </w:r>
      <w:r w:rsidRPr="00C345D4">
        <w:rPr>
          <w:i/>
          <w:iCs/>
        </w:rPr>
        <w:t xml:space="preserve">see also </w:t>
      </w:r>
      <w:r w:rsidRPr="00C345D4">
        <w:t>musicFIRST Coalition and Future of Music Coalition Reply Comments in MB Docket No. 18-227 at 6-10 (claiming that innovation and investment help radio broadcasters compete</w:t>
      </w:r>
      <w:r>
        <w:t xml:space="preserve">, as opposed to </w:t>
      </w:r>
      <w:r w:rsidRPr="00C345D4">
        <w:t>consolidation</w:t>
      </w:r>
      <w:r>
        <w:t>, which</w:t>
      </w:r>
      <w:r w:rsidRPr="00C345D4">
        <w:t xml:space="preserve"> is achieved at the expense of small and independent radio broadcasters).</w:t>
      </w:r>
    </w:p>
  </w:footnote>
  <w:footnote w:id="88">
    <w:p w:rsidR="00A03401" w:rsidP="00B12C9D">
      <w:pPr>
        <w:pStyle w:val="FootnoteText"/>
      </w:pPr>
      <w:r>
        <w:rPr>
          <w:rStyle w:val="FootnoteReference"/>
        </w:rPr>
        <w:footnoteRef/>
      </w:r>
      <w:r>
        <w:t xml:space="preserve"> REC Networks Comments in MB Docket No. 18-227 at 1-2.</w:t>
      </w:r>
    </w:p>
  </w:footnote>
  <w:footnote w:id="89">
    <w:p w:rsidR="00A03401" w:rsidP="00B12C9D">
      <w:pPr>
        <w:pStyle w:val="FootnoteText"/>
      </w:pPr>
      <w:r>
        <w:rPr>
          <w:rStyle w:val="FootnoteReference"/>
        </w:rPr>
        <w:footnoteRef/>
      </w:r>
      <w:r>
        <w:t xml:space="preserve"> </w:t>
      </w:r>
      <w:r w:rsidRPr="00E9274E">
        <w:rPr>
          <w:i/>
        </w:rPr>
        <w:t>U.S.A. v. Entercom Communications Corp. and CBS Corp</w:t>
      </w:r>
      <w:r>
        <w:rPr>
          <w:i/>
        </w:rPr>
        <w:t>.</w:t>
      </w:r>
      <w:r>
        <w:t xml:space="preserve">, Complaint (D.C. Dist. Ct.) (filed Nov. 1, 2017) at 4, para. 12, </w:t>
      </w:r>
      <w:r>
        <w:fldChar w:fldCharType="begin"/>
      </w:r>
      <w:r>
        <w:instrText xml:space="preserve"> HYPERLINK "https://www.justice.gov/atr/case-document/file/1008371/download" </w:instrText>
      </w:r>
      <w:r>
        <w:fldChar w:fldCharType="separate"/>
      </w:r>
      <w:r w:rsidRPr="0059552C">
        <w:rPr>
          <w:rStyle w:val="Hyperlink"/>
        </w:rPr>
        <w:t>https://www.justice.gov/atr/case-document/file/1008371/download</w:t>
      </w:r>
      <w:r>
        <w:fldChar w:fldCharType="end"/>
      </w:r>
      <w:r>
        <w:t xml:space="preserve"> (stating that the acquisition of CBS Radio, Inc. by Entercom Communications Corporation would substantially lessen competition for the sale of radio advertisements targeting English-language listeners in the Boston, Sacramento, and San Francisco markets).</w:t>
      </w:r>
    </w:p>
  </w:footnote>
  <w:footnote w:id="90">
    <w:p w:rsidR="00A03401" w:rsidP="00B12C9D">
      <w:pPr>
        <w:pStyle w:val="FootnoteText"/>
      </w:pPr>
      <w:r>
        <w:rPr>
          <w:rStyle w:val="FootnoteReference"/>
        </w:rPr>
        <w:footnoteRef/>
      </w:r>
      <w:r>
        <w:t xml:space="preserve"> </w:t>
      </w:r>
      <w:r>
        <w:rPr>
          <w:i/>
        </w:rPr>
        <w:t>2010/2014 Quadrennial Review Order</w:t>
      </w:r>
      <w:r>
        <w:t>, 31 FCC Rcd at 9901-04, paras. 95-103.</w:t>
      </w:r>
    </w:p>
  </w:footnote>
  <w:footnote w:id="91">
    <w:p w:rsidR="00A03401" w:rsidP="00B12C9D">
      <w:pPr>
        <w:pStyle w:val="FootnoteText"/>
      </w:pPr>
      <w:r>
        <w:rPr>
          <w:rStyle w:val="FootnoteReference"/>
        </w:rPr>
        <w:footnoteRef/>
      </w:r>
      <w:r w:rsidRPr="00CC68B2">
        <w:t xml:space="preserve"> </w:t>
      </w:r>
      <w:r>
        <w:rPr>
          <w:i/>
        </w:rPr>
        <w:t>Id.</w:t>
      </w:r>
      <w:r>
        <w:t xml:space="preserve"> at 9903-04, paras. 101-03.  Embedded markets are smaller Nielsen Audio Metro markets located within the boundaries of a larger Nielsen Audio Metro market (i.e., the parent market).  </w:t>
      </w:r>
    </w:p>
  </w:footnote>
  <w:footnote w:id="92">
    <w:p w:rsidR="00A03401" w:rsidRPr="009D18D9" w:rsidP="00B12C9D">
      <w:pPr>
        <w:pStyle w:val="FootnoteText"/>
      </w:pPr>
      <w:r>
        <w:rPr>
          <w:rStyle w:val="FootnoteReference"/>
        </w:rPr>
        <w:footnoteRef/>
      </w:r>
      <w:r>
        <w:t xml:space="preserve"> </w:t>
      </w:r>
      <w:r>
        <w:rPr>
          <w:i/>
        </w:rPr>
        <w:t>2010/2014 Quadrennial Review Order on Reconsideration</w:t>
      </w:r>
      <w:r>
        <w:t>, 32 FCC Rcd at 9841, 9845-46, paras. 86, 94-95.</w:t>
      </w:r>
    </w:p>
  </w:footnote>
  <w:footnote w:id="93">
    <w:p w:rsidR="00A03401" w:rsidRPr="00CC2D33" w:rsidP="00B12C9D">
      <w:pPr>
        <w:pStyle w:val="FootnoteText"/>
      </w:pPr>
      <w:r>
        <w:rPr>
          <w:rStyle w:val="FootnoteReference"/>
        </w:rPr>
        <w:footnoteRef/>
      </w:r>
      <w:r>
        <w:t xml:space="preserve"> </w:t>
      </w:r>
      <w:r>
        <w:rPr>
          <w:i/>
        </w:rPr>
        <w:t>See</w:t>
      </w:r>
      <w:r>
        <w:t xml:space="preserve"> 47 CFR § 73.3555(a)(1). </w:t>
      </w:r>
    </w:p>
  </w:footnote>
  <w:footnote w:id="94">
    <w:p w:rsidR="00A03401" w:rsidRPr="0055000F" w:rsidP="00B12C9D">
      <w:pPr>
        <w:pStyle w:val="FootnoteText"/>
      </w:pPr>
      <w:r>
        <w:rPr>
          <w:rStyle w:val="FootnoteReference"/>
        </w:rPr>
        <w:footnoteRef/>
      </w:r>
      <w:r>
        <w:t xml:space="preserve"> 1996 Act § 202(b)(1)</w:t>
      </w:r>
      <w:r w:rsidRPr="00311779">
        <w:t>.</w:t>
      </w:r>
    </w:p>
  </w:footnote>
  <w:footnote w:id="95">
    <w:p w:rsidR="00A03401" w:rsidP="00B12C9D">
      <w:pPr>
        <w:pStyle w:val="FootnoteText"/>
      </w:pPr>
      <w:r>
        <w:rPr>
          <w:rStyle w:val="FootnoteReference"/>
        </w:rPr>
        <w:footnoteRef/>
      </w:r>
      <w:r>
        <w:t xml:space="preserve"> </w:t>
      </w:r>
      <w:r>
        <w:rPr>
          <w:i/>
        </w:rPr>
        <w:t>2002 Biennial Review Order</w:t>
      </w:r>
      <w:r>
        <w:t>, 18 FCC Rcd at 13734, para. 295.</w:t>
      </w:r>
    </w:p>
  </w:footnote>
  <w:footnote w:id="96">
    <w:p w:rsidR="00A03401" w:rsidP="00B12C9D">
      <w:pPr>
        <w:pStyle w:val="FootnoteText"/>
      </w:pPr>
      <w:r>
        <w:rPr>
          <w:rStyle w:val="FootnoteReference"/>
        </w:rPr>
        <w:footnoteRef/>
      </w:r>
      <w:r>
        <w:t xml:space="preserve"> NAB June 15, 2018 Letter at 2.</w:t>
      </w:r>
    </w:p>
  </w:footnote>
  <w:footnote w:id="97">
    <w:p w:rsidR="00A03401" w:rsidP="00B12C9D">
      <w:pPr>
        <w:pStyle w:val="FootnoteText"/>
      </w:pPr>
      <w:r>
        <w:rPr>
          <w:rStyle w:val="FootnoteReference"/>
        </w:rPr>
        <w:footnoteRef/>
      </w:r>
      <w:r>
        <w:t xml:space="preserve"> </w:t>
      </w:r>
      <w:r>
        <w:rPr>
          <w:i/>
        </w:rPr>
        <w:t>Id.</w:t>
      </w:r>
      <w:r>
        <w:t xml:space="preserve"> </w:t>
      </w:r>
    </w:p>
  </w:footnote>
  <w:footnote w:id="98">
    <w:p w:rsidR="00A03401" w:rsidP="00B12C9D">
      <w:pPr>
        <w:pStyle w:val="FootnoteText"/>
      </w:pPr>
      <w:r>
        <w:rPr>
          <w:rStyle w:val="FootnoteReference"/>
        </w:rPr>
        <w:footnoteRef/>
      </w:r>
      <w:r>
        <w:t xml:space="preserve"> </w:t>
      </w:r>
      <w:r>
        <w:rPr>
          <w:i/>
        </w:rPr>
        <w:t>2002 Biennial Review Order</w:t>
      </w:r>
      <w:r>
        <w:t xml:space="preserve">, 18 FCC Rcd at 13729-30, paras. 282-86.  </w:t>
      </w:r>
    </w:p>
  </w:footnote>
  <w:footnote w:id="99">
    <w:p w:rsidR="00A03401" w:rsidP="00B12C9D">
      <w:pPr>
        <w:pStyle w:val="FootnoteText"/>
      </w:pPr>
      <w:r>
        <w:rPr>
          <w:rStyle w:val="FootnoteReference"/>
        </w:rPr>
        <w:footnoteRef/>
      </w:r>
      <w:r>
        <w:t xml:space="preserve"> </w:t>
      </w:r>
      <w:r>
        <w:rPr>
          <w:i/>
        </w:rPr>
        <w:t>2010/2014 Quadrennial Review Order</w:t>
      </w:r>
      <w:r>
        <w:t>, 31 FCC Rcd at 9898, para. 85 n.234.</w:t>
      </w:r>
    </w:p>
  </w:footnote>
  <w:footnote w:id="100">
    <w:p w:rsidR="00A03401" w:rsidP="00B12C9D">
      <w:pPr>
        <w:pStyle w:val="FootnoteText"/>
      </w:pPr>
      <w:r>
        <w:rPr>
          <w:rStyle w:val="FootnoteReference"/>
        </w:rPr>
        <w:footnoteRef/>
      </w:r>
      <w:r>
        <w:t xml:space="preserve"> </w:t>
      </w:r>
      <w:r>
        <w:rPr>
          <w:i/>
        </w:rPr>
        <w:t>Id.</w:t>
      </w:r>
    </w:p>
  </w:footnote>
  <w:footnote w:id="101">
    <w:p w:rsidR="00A03401" w:rsidP="00B12C9D">
      <w:pPr>
        <w:pStyle w:val="FootnoteText"/>
      </w:pPr>
      <w:r>
        <w:rPr>
          <w:rStyle w:val="FootnoteReference"/>
        </w:rPr>
        <w:footnoteRef/>
      </w:r>
      <w:r>
        <w:t xml:space="preserve"> </w:t>
      </w:r>
      <w:r>
        <w:rPr>
          <w:i/>
        </w:rPr>
        <w:t>Id.</w:t>
      </w:r>
    </w:p>
  </w:footnote>
  <w:footnote w:id="102">
    <w:p w:rsidR="00A03401" w:rsidP="00B12C9D">
      <w:pPr>
        <w:pStyle w:val="FootnoteText"/>
      </w:pPr>
      <w:r>
        <w:rPr>
          <w:rStyle w:val="FootnoteReference"/>
        </w:rPr>
        <w:footnoteRef/>
      </w:r>
      <w:r w:rsidRPr="00CC68B2">
        <w:t xml:space="preserve"> </w:t>
      </w:r>
      <w:r>
        <w:rPr>
          <w:i/>
        </w:rPr>
        <w:t>Id.</w:t>
      </w:r>
      <w:r>
        <w:t xml:space="preserve"> at 9904, para. 105; </w:t>
      </w:r>
      <w:r w:rsidRPr="00D46B55">
        <w:rPr>
          <w:i/>
        </w:rPr>
        <w:t>see also 2010/2014 Quadrennial Review FNPRM</w:t>
      </w:r>
      <w:r>
        <w:t xml:space="preserve">, 29 FCC Rcd at 4409, para. 92 &amp; n.235.  </w:t>
      </w:r>
    </w:p>
  </w:footnote>
  <w:footnote w:id="103">
    <w:p w:rsidR="00A03401" w:rsidP="00B12C9D">
      <w:pPr>
        <w:pStyle w:val="FootnoteText"/>
      </w:pPr>
      <w:r>
        <w:rPr>
          <w:rStyle w:val="FootnoteReference"/>
        </w:rPr>
        <w:footnoteRef/>
      </w:r>
      <w:r>
        <w:t xml:space="preserve"> </w:t>
      </w:r>
      <w:r>
        <w:rPr>
          <w:i/>
        </w:rPr>
        <w:t>2010/2014 Quadrennial Review Order</w:t>
      </w:r>
      <w:r>
        <w:t>, 31 FCC Rcd at 9905, para. 106.</w:t>
      </w:r>
    </w:p>
  </w:footnote>
  <w:footnote w:id="104">
    <w:p w:rsidR="00A03401" w:rsidRPr="00047FA9" w:rsidP="00B12C9D">
      <w:pPr>
        <w:pStyle w:val="FootnoteText"/>
      </w:pPr>
      <w:r>
        <w:rPr>
          <w:rStyle w:val="FootnoteReference"/>
        </w:rPr>
        <w:footnoteRef/>
      </w:r>
      <w:r>
        <w:t xml:space="preserve"> </w:t>
      </w:r>
      <w:r>
        <w:rPr>
          <w:i/>
        </w:rPr>
        <w:t>Id.</w:t>
      </w:r>
      <w:r>
        <w:t xml:space="preserve"> at 9902-03, paras. 97-100. </w:t>
      </w:r>
    </w:p>
  </w:footnote>
  <w:footnote w:id="105">
    <w:p w:rsidR="00A03401" w:rsidP="00B12C9D">
      <w:pPr>
        <w:pStyle w:val="FootnoteText"/>
      </w:pPr>
      <w:r>
        <w:rPr>
          <w:rStyle w:val="FootnoteReference"/>
        </w:rPr>
        <w:footnoteRef/>
      </w:r>
      <w:r>
        <w:t xml:space="preserve"> NAB June 15, 2018 Letter at 2.</w:t>
      </w:r>
    </w:p>
  </w:footnote>
  <w:footnote w:id="106">
    <w:p w:rsidR="00A03401" w:rsidP="00B12C9D">
      <w:pPr>
        <w:pStyle w:val="FootnoteText"/>
      </w:pPr>
      <w:r>
        <w:rPr>
          <w:rStyle w:val="FootnoteReference"/>
        </w:rPr>
        <w:footnoteRef/>
      </w:r>
      <w:r>
        <w:t xml:space="preserve"> </w:t>
      </w:r>
      <w:r>
        <w:rPr>
          <w:i/>
        </w:rPr>
        <w:t>Id.</w:t>
      </w:r>
      <w:r>
        <w:t xml:space="preserve">  Under the Commission’s incubation program, adopted after NAB submitted its proposal, the reward of a rule waiver is contingent upon successful completion of the program.  </w:t>
      </w:r>
      <w:r>
        <w:rPr>
          <w:i/>
        </w:rPr>
        <w:t xml:space="preserve">Incubator Order </w:t>
      </w:r>
      <w:r>
        <w:t>at paras. 86-88.  We presume that NAB’s proposed reward waiver also would require the completion of a successful incubation.</w:t>
      </w:r>
      <w:r>
        <w:rPr>
          <w:i/>
        </w:rPr>
        <w:t xml:space="preserve"> </w:t>
      </w:r>
    </w:p>
  </w:footnote>
  <w:footnote w:id="107">
    <w:p w:rsidR="00A03401" w:rsidP="00B12C9D">
      <w:pPr>
        <w:pStyle w:val="FootnoteText"/>
      </w:pPr>
      <w:r>
        <w:rPr>
          <w:rStyle w:val="FootnoteReference"/>
        </w:rPr>
        <w:footnoteRef/>
      </w:r>
      <w:r>
        <w:t xml:space="preserve"> NAB June 15, 2018 Letter at 2</w:t>
      </w:r>
      <w:r>
        <w:rPr>
          <w:i/>
        </w:rPr>
        <w:t>.</w:t>
      </w:r>
    </w:p>
  </w:footnote>
  <w:footnote w:id="108">
    <w:p w:rsidR="00A03401" w:rsidP="00B12C9D">
      <w:pPr>
        <w:pStyle w:val="FootnoteText"/>
      </w:pPr>
      <w:r>
        <w:rPr>
          <w:rStyle w:val="FootnoteReference"/>
        </w:rPr>
        <w:footnoteRef/>
      </w:r>
      <w:r>
        <w:t xml:space="preserve"> </w:t>
      </w:r>
      <w:r>
        <w:rPr>
          <w:i/>
        </w:rPr>
        <w:t>Id.</w:t>
      </w:r>
    </w:p>
  </w:footnote>
  <w:footnote w:id="109">
    <w:p w:rsidR="00A03401" w:rsidRPr="00D65B8F" w:rsidP="00B12C9D">
      <w:pPr>
        <w:pStyle w:val="FootnoteText"/>
      </w:pPr>
      <w:r>
        <w:rPr>
          <w:rStyle w:val="FootnoteReference"/>
        </w:rPr>
        <w:footnoteRef/>
      </w:r>
      <w:r>
        <w:t xml:space="preserve"> </w:t>
      </w:r>
      <w:r>
        <w:rPr>
          <w:i/>
        </w:rPr>
        <w:t>Incubator Order</w:t>
      </w:r>
      <w:r>
        <w:t xml:space="preserve"> at paras. 66, 70. </w:t>
      </w:r>
    </w:p>
  </w:footnote>
  <w:footnote w:id="110">
    <w:p w:rsidR="00A03401" w:rsidP="00B12C9D">
      <w:pPr>
        <w:pStyle w:val="FootnoteText"/>
      </w:pPr>
      <w:r>
        <w:rPr>
          <w:rStyle w:val="FootnoteReference"/>
        </w:rPr>
        <w:footnoteRef/>
      </w:r>
      <w:r>
        <w:t xml:space="preserve"> </w:t>
      </w:r>
      <w:r w:rsidRPr="00175E74">
        <w:rPr>
          <w:i/>
        </w:rPr>
        <w:t>See</w:t>
      </w:r>
      <w:r>
        <w:t xml:space="preserve"> NAB June 15, 2018 Letter at 2.</w:t>
      </w:r>
    </w:p>
  </w:footnote>
  <w:footnote w:id="111">
    <w:p w:rsidR="00A03401" w:rsidP="00B12C9D">
      <w:pPr>
        <w:pStyle w:val="FootnoteText"/>
      </w:pPr>
      <w:r>
        <w:rPr>
          <w:rStyle w:val="FootnoteReference"/>
        </w:rPr>
        <w:footnoteRef/>
      </w:r>
      <w:r>
        <w:t xml:space="preserve"> 47 CFR § 73.3555(a)(1).</w:t>
      </w:r>
    </w:p>
  </w:footnote>
  <w:footnote w:id="112">
    <w:p w:rsidR="00A03401" w:rsidP="00B12C9D">
      <w:pPr>
        <w:pStyle w:val="FootnoteText"/>
      </w:pPr>
      <w:r>
        <w:rPr>
          <w:rStyle w:val="FootnoteReference"/>
        </w:rPr>
        <w:footnoteRef/>
      </w:r>
      <w:r>
        <w:t xml:space="preserve"> </w:t>
      </w:r>
      <w:r>
        <w:rPr>
          <w:i/>
        </w:rPr>
        <w:t>2010/2014 Quadrennial Review Order</w:t>
      </w:r>
      <w:r>
        <w:t>, 31 FCC Rcd at 9908, para. 114.</w:t>
      </w:r>
    </w:p>
  </w:footnote>
  <w:footnote w:id="113">
    <w:p w:rsidR="00A03401" w:rsidRPr="00696499" w:rsidP="00B12C9D">
      <w:pPr>
        <w:pStyle w:val="FootnoteText"/>
      </w:pPr>
      <w:r>
        <w:rPr>
          <w:rStyle w:val="FootnoteReference"/>
        </w:rPr>
        <w:footnoteRef/>
      </w:r>
      <w:r>
        <w:t xml:space="preserve"> </w:t>
      </w:r>
      <w:r>
        <w:rPr>
          <w:i/>
        </w:rPr>
        <w:t>See Revitalization of the AM Radio Service</w:t>
      </w:r>
      <w:r>
        <w:t xml:space="preserve">, Second Report and Order, 32 FCC Rcd 1724, 1724, para. 1 (2017); </w:t>
      </w:r>
      <w:r>
        <w:rPr>
          <w:i/>
        </w:rPr>
        <w:t>see also Revitalization of the AM Radio Service</w:t>
      </w:r>
      <w:r>
        <w:t xml:space="preserve">, First Report and Order, 30 FCC Rcd 12145, </w:t>
      </w:r>
      <w:r w:rsidRPr="005B0239">
        <w:t>12148-54, paras. 7-17</w:t>
      </w:r>
      <w:r>
        <w:t xml:space="preserve"> (2015) (opening</w:t>
      </w:r>
      <w:r w:rsidRPr="00873392">
        <w:rPr>
          <w:rFonts w:eastAsia="Calibri"/>
          <w:sz w:val="22"/>
          <w:szCs w:val="22"/>
        </w:rPr>
        <w:t xml:space="preserve"> </w:t>
      </w:r>
      <w:r w:rsidRPr="00696499">
        <w:t xml:space="preserve">two </w:t>
      </w:r>
      <w:r>
        <w:t xml:space="preserve">filing </w:t>
      </w:r>
      <w:r w:rsidRPr="00696499">
        <w:t xml:space="preserve">windows </w:t>
      </w:r>
      <w:r>
        <w:t xml:space="preserve">exclusively for </w:t>
      </w:r>
      <w:r w:rsidRPr="00696499">
        <w:t>AM licensees and permittees</w:t>
      </w:r>
      <w:r>
        <w:t xml:space="preserve"> for</w:t>
      </w:r>
      <w:r w:rsidRPr="00696499">
        <w:t xml:space="preserve"> applications to acquire and relocate FM translator stations</w:t>
      </w:r>
      <w:r>
        <w:t>).</w:t>
      </w:r>
      <w:r w:rsidRPr="00696499">
        <w:t xml:space="preserve"> </w:t>
      </w:r>
      <w:r>
        <w:t xml:space="preserve"> </w:t>
      </w:r>
    </w:p>
  </w:footnote>
  <w:footnote w:id="114">
    <w:p w:rsidR="00A03401" w:rsidP="00B12C9D">
      <w:pPr>
        <w:pStyle w:val="FootnoteText"/>
      </w:pPr>
      <w:r>
        <w:rPr>
          <w:rStyle w:val="FootnoteReference"/>
        </w:rPr>
        <w:footnoteRef/>
      </w:r>
      <w:r>
        <w:t xml:space="preserve"> </w:t>
      </w:r>
      <w:r>
        <w:rPr>
          <w:i/>
        </w:rPr>
        <w:t>2010/2014 Quadrennial Review Order</w:t>
      </w:r>
      <w:r>
        <w:t>, 31 FCC Rcd at 9910, para. 120 n.314.</w:t>
      </w:r>
    </w:p>
  </w:footnote>
  <w:footnote w:id="115">
    <w:p w:rsidR="00A03401" w:rsidP="00B12C9D">
      <w:pPr>
        <w:pStyle w:val="FootnoteText"/>
      </w:pPr>
      <w:r>
        <w:rPr>
          <w:rStyle w:val="FootnoteReference"/>
        </w:rPr>
        <w:footnoteRef/>
      </w:r>
      <w:r>
        <w:t xml:space="preserve"> </w:t>
      </w:r>
      <w:r>
        <w:rPr>
          <w:i/>
        </w:rPr>
        <w:t xml:space="preserve">See </w:t>
      </w:r>
      <w:r>
        <w:t>NAB June 15, 2018 Letter at 2.</w:t>
      </w:r>
    </w:p>
  </w:footnote>
  <w:footnote w:id="116">
    <w:p w:rsidR="00A03401" w:rsidP="00B12C9D">
      <w:pPr>
        <w:pStyle w:val="FootnoteText"/>
      </w:pPr>
      <w:r>
        <w:rPr>
          <w:rStyle w:val="FootnoteReference"/>
        </w:rPr>
        <w:footnoteRef/>
      </w:r>
      <w:r>
        <w:t xml:space="preserve"> </w:t>
      </w:r>
      <w:r>
        <w:rPr>
          <w:i/>
          <w:iCs/>
        </w:rPr>
        <w:t>But see</w:t>
      </w:r>
      <w:r>
        <w:t xml:space="preserve"> Letter from Rick Kaplan, General Counsel and Executive Vice President, Legal and Regulatory Affairs, NAB, to Marlene H. Dortch, Secretary, FCC, MB Docket No. 18-349 et al., at 2 (filed Dec. 7, 2018) (noting that NAB’s comments regarding audio competition in MB Docket No. 18-227 discuss the “particular financial hardships and declining position of AM stations”).</w:t>
      </w:r>
    </w:p>
  </w:footnote>
  <w:footnote w:id="117">
    <w:p w:rsidR="00A03401" w:rsidRPr="00062CAF" w:rsidP="00B12C9D">
      <w:pPr>
        <w:pStyle w:val="FootnoteText"/>
        <w:rPr>
          <w:b/>
        </w:rPr>
      </w:pPr>
      <w:r>
        <w:rPr>
          <w:rStyle w:val="FootnoteReference"/>
        </w:rPr>
        <w:footnoteRef/>
      </w:r>
      <w:r>
        <w:t xml:space="preserve"> Salem Media June 29, 2018 Letter at 1. </w:t>
      </w:r>
    </w:p>
  </w:footnote>
  <w:footnote w:id="118">
    <w:p w:rsidR="00A03401" w:rsidP="00B12C9D">
      <w:pPr>
        <w:pStyle w:val="FootnoteText"/>
      </w:pPr>
      <w:r>
        <w:rPr>
          <w:rStyle w:val="FootnoteReference"/>
        </w:rPr>
        <w:footnoteRef/>
      </w:r>
      <w:r>
        <w:t xml:space="preserve"> iHeartMedia Oct. 9, 2018 Letter at 3.</w:t>
      </w:r>
    </w:p>
  </w:footnote>
  <w:footnote w:id="119">
    <w:p w:rsidR="00A03401" w:rsidP="00B12C9D">
      <w:pPr>
        <w:pStyle w:val="FootnoteText"/>
      </w:pPr>
      <w:r>
        <w:rPr>
          <w:rStyle w:val="FootnoteReference"/>
        </w:rPr>
        <w:footnoteRef/>
      </w:r>
      <w:r w:rsidRPr="00CC68B2">
        <w:t xml:space="preserve"> </w:t>
      </w:r>
      <w:r>
        <w:rPr>
          <w:i/>
        </w:rPr>
        <w:t>Id.</w:t>
      </w:r>
      <w:r>
        <w:t xml:space="preserve"> at 2-4.</w:t>
      </w:r>
    </w:p>
  </w:footnote>
  <w:footnote w:id="120">
    <w:p w:rsidR="00A03401" w:rsidP="00B12C9D">
      <w:pPr>
        <w:pStyle w:val="FootnoteText"/>
      </w:pPr>
      <w:r>
        <w:rPr>
          <w:rStyle w:val="FootnoteReference"/>
        </w:rPr>
        <w:footnoteRef/>
      </w:r>
      <w:r>
        <w:t xml:space="preserve"> </w:t>
      </w:r>
      <w:r>
        <w:rPr>
          <w:i/>
        </w:rPr>
        <w:t>2010/2014 Quadrennial Review Order on Reconsideration</w:t>
      </w:r>
      <w:r>
        <w:t xml:space="preserve">, 32 FCC Rcd at 9845, para. 94 n.279. </w:t>
      </w:r>
    </w:p>
  </w:footnote>
  <w:footnote w:id="121">
    <w:p w:rsidR="00A03401" w:rsidP="00B12C9D">
      <w:pPr>
        <w:pStyle w:val="FootnoteText"/>
      </w:pPr>
      <w:r>
        <w:rPr>
          <w:rStyle w:val="FootnoteReference"/>
        </w:rPr>
        <w:footnoteRef/>
      </w:r>
      <w:r>
        <w:t xml:space="preserve"> </w:t>
      </w:r>
      <w:r>
        <w:rPr>
          <w:i/>
        </w:rPr>
        <w:t>See 2010/2014 Quadrennial Review Order</w:t>
      </w:r>
      <w:r>
        <w:t>, 31 FCC Rcd at 9902-03, paras. 97, 101.</w:t>
      </w:r>
    </w:p>
  </w:footnote>
  <w:footnote w:id="122">
    <w:p w:rsidR="00A03401" w:rsidP="00B12C9D">
      <w:pPr>
        <w:pStyle w:val="FootnoteText"/>
      </w:pPr>
      <w:r>
        <w:rPr>
          <w:rStyle w:val="FootnoteReference"/>
        </w:rPr>
        <w:footnoteRef/>
      </w:r>
      <w:r>
        <w:t xml:space="preserve"> </w:t>
      </w:r>
      <w:r>
        <w:rPr>
          <w:i/>
        </w:rPr>
        <w:t>Id.</w:t>
      </w:r>
      <w:r>
        <w:t xml:space="preserve"> at 9903, para. 101;</w:t>
      </w:r>
      <w:r w:rsidRPr="0090034B">
        <w:rPr>
          <w:i/>
        </w:rPr>
        <w:t xml:space="preserve"> </w:t>
      </w:r>
      <w:r>
        <w:rPr>
          <w:i/>
        </w:rPr>
        <w:t>see also 2010/2014 Quadrennial Review Order on Reconsideration</w:t>
      </w:r>
      <w:r>
        <w:t xml:space="preserve">, 32 FCC Rcd at 9842, 9843-44, paras. 90, 92. </w:t>
      </w:r>
    </w:p>
  </w:footnote>
  <w:footnote w:id="123">
    <w:p w:rsidR="00A03401" w:rsidP="00B12C9D">
      <w:pPr>
        <w:pStyle w:val="FootnoteText"/>
      </w:pPr>
      <w:r>
        <w:rPr>
          <w:rStyle w:val="FootnoteReference"/>
        </w:rPr>
        <w:footnoteRef/>
      </w:r>
      <w:r>
        <w:t xml:space="preserve"> </w:t>
      </w:r>
      <w:r>
        <w:rPr>
          <w:i/>
        </w:rPr>
        <w:t>2010/2014 Quadrennial Review Order</w:t>
      </w:r>
      <w:r>
        <w:t>, 31 FCC Rcd at 9903-04, paras. 102-03.</w:t>
      </w:r>
    </w:p>
  </w:footnote>
  <w:footnote w:id="124">
    <w:p w:rsidR="00A03401" w:rsidP="00B12C9D">
      <w:pPr>
        <w:pStyle w:val="FootnoteText"/>
      </w:pPr>
      <w:r>
        <w:rPr>
          <w:rStyle w:val="FootnoteReference"/>
        </w:rPr>
        <w:footnoteRef/>
      </w:r>
      <w:r>
        <w:t xml:space="preserve"> </w:t>
      </w:r>
      <w:r>
        <w:rPr>
          <w:i/>
        </w:rPr>
        <w:t>2010/2014 Quadrennial Review Order on Reconsideration</w:t>
      </w:r>
      <w:r>
        <w:t>, 32 FCC Rcd at 9843-45, paras. 91-93.</w:t>
      </w:r>
    </w:p>
  </w:footnote>
  <w:footnote w:id="125">
    <w:p w:rsidR="00A03401" w:rsidP="00B12C9D">
      <w:pPr>
        <w:pStyle w:val="FootnoteText"/>
      </w:pPr>
      <w:r>
        <w:rPr>
          <w:rStyle w:val="FootnoteReference"/>
        </w:rPr>
        <w:footnoteRef/>
      </w:r>
      <w:r w:rsidRPr="00BB0968">
        <w:rPr>
          <w:i/>
        </w:rPr>
        <w:t xml:space="preserve"> </w:t>
      </w:r>
      <w:r>
        <w:rPr>
          <w:i/>
        </w:rPr>
        <w:t>Id.</w:t>
      </w:r>
      <w:r>
        <w:t xml:space="preserve"> at 9841, 9845-46, paras. 86, 94-95.</w:t>
      </w:r>
    </w:p>
  </w:footnote>
  <w:footnote w:id="126">
    <w:p w:rsidR="00A03401" w:rsidRPr="00515B12" w:rsidP="00B12C9D">
      <w:pPr>
        <w:pStyle w:val="FootnoteText"/>
      </w:pPr>
      <w:r>
        <w:rPr>
          <w:rStyle w:val="FootnoteReference"/>
        </w:rPr>
        <w:footnoteRef/>
      </w:r>
      <w:r w:rsidRPr="00CC68B2">
        <w:t xml:space="preserve"> </w:t>
      </w:r>
      <w:r>
        <w:rPr>
          <w:i/>
        </w:rPr>
        <w:t>Id.</w:t>
      </w:r>
      <w:r>
        <w:t xml:space="preserve"> at 9842, para. 90 n.262; </w:t>
      </w:r>
      <w:r>
        <w:rPr>
          <w:i/>
        </w:rPr>
        <w:t>see also id.</w:t>
      </w:r>
      <w:r>
        <w:t xml:space="preserve"> at 9841, para. 86 n.251. </w:t>
      </w:r>
    </w:p>
  </w:footnote>
  <w:footnote w:id="127">
    <w:p w:rsidR="00A03401" w:rsidP="00B12C9D">
      <w:pPr>
        <w:pStyle w:val="FootnoteText"/>
      </w:pPr>
      <w:r>
        <w:rPr>
          <w:rStyle w:val="FootnoteReference"/>
        </w:rPr>
        <w:footnoteRef/>
      </w:r>
      <w:r w:rsidRPr="00CC68B2">
        <w:t xml:space="preserve"> </w:t>
      </w:r>
      <w:r>
        <w:rPr>
          <w:i/>
        </w:rPr>
        <w:t>Id.</w:t>
      </w:r>
      <w:r>
        <w:t xml:space="preserve"> at 9842, para. 90 n.262; </w:t>
      </w:r>
      <w:r>
        <w:rPr>
          <w:i/>
        </w:rPr>
        <w:t>see also id.</w:t>
      </w:r>
      <w:r>
        <w:t xml:space="preserve"> at 9841, para. 86 n.251.</w:t>
      </w:r>
    </w:p>
  </w:footnote>
  <w:footnote w:id="128">
    <w:p w:rsidR="00A03401" w:rsidP="00B12C9D">
      <w:pPr>
        <w:pStyle w:val="FootnoteText"/>
      </w:pPr>
      <w:r>
        <w:rPr>
          <w:rStyle w:val="FootnoteReference"/>
        </w:rPr>
        <w:footnoteRef/>
      </w:r>
      <w:r w:rsidRPr="00CC68B2">
        <w:t xml:space="preserve"> </w:t>
      </w:r>
      <w:r>
        <w:rPr>
          <w:i/>
        </w:rPr>
        <w:t>Id.</w:t>
      </w:r>
      <w:r>
        <w:t xml:space="preserve"> at 9845-46, para. 95.  The Commission found that this approach, and the presumptive waiver, would apply only in existing parent markets with multiple embedded markets, i.e., New York and Washington, DC.    </w:t>
      </w:r>
    </w:p>
  </w:footnote>
  <w:footnote w:id="129">
    <w:p w:rsidR="00A03401" w:rsidP="00B12C9D">
      <w:pPr>
        <w:pStyle w:val="FootnoteText"/>
      </w:pPr>
      <w:r>
        <w:rPr>
          <w:rStyle w:val="FootnoteReference"/>
        </w:rPr>
        <w:footnoteRef/>
      </w:r>
      <w:r w:rsidRPr="00CC68B2">
        <w:t xml:space="preserve"> </w:t>
      </w:r>
      <w:r>
        <w:rPr>
          <w:i/>
        </w:rPr>
        <w:t>Id.</w:t>
      </w:r>
      <w:r>
        <w:t xml:space="preserve"> at 9841, 9845-46, paras. 86, 95.</w:t>
      </w:r>
    </w:p>
  </w:footnote>
  <w:footnote w:id="130">
    <w:p w:rsidR="00A03401" w:rsidP="00B12C9D">
      <w:pPr>
        <w:pStyle w:val="FootnoteText"/>
      </w:pPr>
      <w:r>
        <w:rPr>
          <w:rStyle w:val="FootnoteReference"/>
        </w:rPr>
        <w:footnoteRef/>
      </w:r>
      <w:r>
        <w:t xml:space="preserve"> </w:t>
      </w:r>
      <w:r>
        <w:rPr>
          <w:i/>
        </w:rPr>
        <w:t>See id.</w:t>
      </w:r>
      <w:r>
        <w:t xml:space="preserve"> at 9845, para. 94 n.279. </w:t>
      </w:r>
    </w:p>
  </w:footnote>
  <w:footnote w:id="131">
    <w:p w:rsidR="00A03401" w:rsidP="00B12C9D">
      <w:pPr>
        <w:pStyle w:val="FootnoteText"/>
      </w:pPr>
      <w:r>
        <w:rPr>
          <w:rStyle w:val="FootnoteReference"/>
        </w:rPr>
        <w:footnoteRef/>
      </w:r>
      <w:r>
        <w:t xml:space="preserve"> </w:t>
      </w:r>
      <w:r>
        <w:rPr>
          <w:i/>
        </w:rPr>
        <w:t>See id.</w:t>
      </w:r>
      <w:r>
        <w:t xml:space="preserve"> at 9845-46, para. 95 n.281 (restricting the application of the interim presumptive waiver standard to New York and Washington, DC in order to avoid potential manipulation of embedded markets in other Nielsen Audio Metro markets).</w:t>
      </w:r>
    </w:p>
  </w:footnote>
  <w:footnote w:id="132">
    <w:p w:rsidR="00A03401" w:rsidP="00B12C9D">
      <w:pPr>
        <w:pStyle w:val="FootnoteText"/>
      </w:pPr>
      <w:r>
        <w:rPr>
          <w:rStyle w:val="FootnoteReference"/>
        </w:rPr>
        <w:footnoteRef/>
      </w:r>
      <w:r w:rsidRPr="00CC68B2">
        <w:t xml:space="preserve"> </w:t>
      </w:r>
      <w:r>
        <w:rPr>
          <w:i/>
        </w:rPr>
        <w:t>Id.</w:t>
      </w:r>
      <w:r>
        <w:t xml:space="preserve"> at 9842, para. 90 n.264.</w:t>
      </w:r>
    </w:p>
  </w:footnote>
  <w:footnote w:id="133">
    <w:p w:rsidR="00A03401" w:rsidP="00B12C9D">
      <w:pPr>
        <w:pStyle w:val="FootnoteText"/>
      </w:pPr>
      <w:r>
        <w:rPr>
          <w:rStyle w:val="FootnoteReference"/>
        </w:rPr>
        <w:footnoteRef/>
      </w:r>
      <w:r>
        <w:t xml:space="preserve"> </w:t>
      </w:r>
      <w:r>
        <w:rPr>
          <w:i/>
        </w:rPr>
        <w:t>Id.</w:t>
      </w:r>
      <w:r>
        <w:t xml:space="preserve"> </w:t>
      </w:r>
    </w:p>
  </w:footnote>
  <w:footnote w:id="134">
    <w:p w:rsidR="00A03401" w:rsidP="00B12C9D">
      <w:pPr>
        <w:pStyle w:val="FootnoteText"/>
      </w:pPr>
      <w:r>
        <w:rPr>
          <w:rStyle w:val="FootnoteReference"/>
        </w:rPr>
        <w:footnoteRef/>
      </w:r>
      <w:r>
        <w:t xml:space="preserve"> </w:t>
      </w:r>
      <w:r>
        <w:rPr>
          <w:i/>
        </w:rPr>
        <w:t>2010/2014 Quadrennial Review Order</w:t>
      </w:r>
      <w:r>
        <w:t xml:space="preserve">, 31 FCC Rcd at 9911, para. 125. </w:t>
      </w:r>
    </w:p>
  </w:footnote>
  <w:footnote w:id="135">
    <w:p w:rsidR="00A03401" w:rsidP="00B12C9D">
      <w:pPr>
        <w:pStyle w:val="FootnoteText"/>
      </w:pPr>
      <w:r>
        <w:rPr>
          <w:rStyle w:val="FootnoteReference"/>
        </w:rPr>
        <w:footnoteRef/>
      </w:r>
      <w:r>
        <w:t xml:space="preserve"> </w:t>
      </w:r>
      <w:r>
        <w:rPr>
          <w:i/>
        </w:rPr>
        <w:t>Id.</w:t>
      </w:r>
    </w:p>
  </w:footnote>
  <w:footnote w:id="136">
    <w:p w:rsidR="00A03401" w:rsidP="00B12C9D">
      <w:pPr>
        <w:pStyle w:val="FootnoteText"/>
      </w:pPr>
      <w:r>
        <w:rPr>
          <w:rStyle w:val="FootnoteReference"/>
        </w:rPr>
        <w:footnoteRef/>
      </w:r>
      <w:r>
        <w:t xml:space="preserve"> </w:t>
      </w:r>
      <w:r>
        <w:rPr>
          <w:i/>
        </w:rPr>
        <w:t>Id.</w:t>
      </w:r>
    </w:p>
  </w:footnote>
  <w:footnote w:id="137">
    <w:p w:rsidR="00A03401" w:rsidP="00B12C9D">
      <w:pPr>
        <w:pStyle w:val="FootnoteText"/>
      </w:pPr>
      <w:r>
        <w:rPr>
          <w:rStyle w:val="FootnoteReference"/>
        </w:rPr>
        <w:footnoteRef/>
      </w:r>
      <w:r>
        <w:t xml:space="preserve"> </w:t>
      </w:r>
      <w:r w:rsidRPr="00D26686">
        <w:rPr>
          <w:i/>
        </w:rPr>
        <w:t xml:space="preserve"> </w:t>
      </w:r>
      <w:r>
        <w:rPr>
          <w:i/>
        </w:rPr>
        <w:t>Id.</w:t>
      </w:r>
      <w:r>
        <w:t xml:space="preserve"> at 9911-12, paras. 126-27.  </w:t>
      </w:r>
    </w:p>
  </w:footnote>
  <w:footnote w:id="138">
    <w:p w:rsidR="00A03401" w:rsidP="00B12C9D">
      <w:pPr>
        <w:pStyle w:val="FootnoteText"/>
      </w:pPr>
      <w:r>
        <w:rPr>
          <w:rStyle w:val="FootnoteReference"/>
        </w:rPr>
        <w:footnoteRef/>
      </w:r>
      <w:r w:rsidRPr="00CC68B2">
        <w:t xml:space="preserve"> </w:t>
      </w:r>
      <w:r>
        <w:rPr>
          <w:i/>
        </w:rPr>
        <w:t>Id.</w:t>
      </w:r>
      <w:r>
        <w:t xml:space="preserve"> at 9911-12, paras. 126, 128. </w:t>
      </w:r>
    </w:p>
  </w:footnote>
  <w:footnote w:id="139">
    <w:p w:rsidR="00A03401" w:rsidP="00B12C9D">
      <w:pPr>
        <w:pStyle w:val="FootnoteText"/>
      </w:pPr>
      <w:r>
        <w:rPr>
          <w:rStyle w:val="FootnoteReference"/>
        </w:rPr>
        <w:footnoteRef/>
      </w:r>
      <w:r>
        <w:t xml:space="preserve"> The </w:t>
      </w:r>
      <w:r w:rsidRPr="008A5E30">
        <w:t xml:space="preserve">Nielsen </w:t>
      </w:r>
      <w:r>
        <w:t xml:space="preserve">Company </w:t>
      </w:r>
      <w:r w:rsidRPr="008A5E30">
        <w:t xml:space="preserve">assigns each </w:t>
      </w:r>
      <w:r>
        <w:t xml:space="preserve">broadcast </w:t>
      </w:r>
      <w:r w:rsidRPr="008A5E30">
        <w:t>television station to a designated market area (DMA).</w:t>
      </w:r>
      <w:r>
        <w:t xml:space="preserve">  </w:t>
      </w:r>
      <w:r w:rsidRPr="00EA0EE9">
        <w:t xml:space="preserve">The DMA boundaries and DMA data are owned solely and exclusively by Nielsen. </w:t>
      </w:r>
      <w:r>
        <w:t xml:space="preserve"> Nielsen, </w:t>
      </w:r>
      <w:r w:rsidRPr="00EA0EE9">
        <w:rPr>
          <w:i/>
        </w:rPr>
        <w:t>Nielsen DMA Maps</w:t>
      </w:r>
      <w:r>
        <w:t xml:space="preserve">, </w:t>
      </w:r>
      <w:r>
        <w:fldChar w:fldCharType="begin"/>
      </w:r>
      <w:r>
        <w:instrText xml:space="preserve"> HYPERLINK "http://www.nielsen.com/intl-campaigns/us/dma-maps.html" </w:instrText>
      </w:r>
      <w:r>
        <w:fldChar w:fldCharType="separate"/>
      </w:r>
      <w:r w:rsidRPr="00F411BF">
        <w:rPr>
          <w:rStyle w:val="Hyperlink"/>
        </w:rPr>
        <w:t>http://www.nielsen.com/intl-campaigns/us/dma-maps.html</w:t>
      </w:r>
      <w:r>
        <w:fldChar w:fldCharType="end"/>
      </w:r>
      <w:r>
        <w:t xml:space="preserve"> (last visited Aug, 8, 2018).  Each </w:t>
      </w:r>
      <w:r w:rsidRPr="00EA0EE9">
        <w:t xml:space="preserve">DMA is a group of counties that form an exclusive geographic area in which the home market television stations hold a dominance of total hours viewed. </w:t>
      </w:r>
      <w:r>
        <w:t xml:space="preserve"> </w:t>
      </w:r>
      <w:r w:rsidRPr="00EA0EE9">
        <w:t>There are 210 DMA</w:t>
      </w:r>
      <w:r>
        <w:t>s</w:t>
      </w:r>
      <w:r w:rsidRPr="00EA0EE9">
        <w:t>, covering the entire continental United States, Hawaii, and parts of Alaska.</w:t>
      </w:r>
      <w:r>
        <w:t xml:space="preserve">  </w:t>
      </w:r>
    </w:p>
  </w:footnote>
  <w:footnote w:id="140">
    <w:p w:rsidR="00A03401" w:rsidP="00B12C9D">
      <w:pPr>
        <w:pStyle w:val="FootnoteText"/>
      </w:pPr>
      <w:r>
        <w:rPr>
          <w:rStyle w:val="FootnoteReference"/>
        </w:rPr>
        <w:footnoteRef/>
      </w:r>
      <w:r>
        <w:t xml:space="preserve"> </w:t>
      </w:r>
      <w:r w:rsidRPr="00F67126">
        <w:t>4</w:t>
      </w:r>
      <w:r>
        <w:t>7 CFR</w:t>
      </w:r>
      <w:r w:rsidRPr="00F67126">
        <w:t xml:space="preserve"> § 73.3555</w:t>
      </w:r>
      <w:r>
        <w:t xml:space="preserve"> (b)(1).</w:t>
      </w:r>
    </w:p>
  </w:footnote>
  <w:footnote w:id="141">
    <w:p w:rsidR="00A03401" w:rsidP="00B12C9D">
      <w:pPr>
        <w:pStyle w:val="FootnoteText"/>
      </w:pPr>
      <w:r>
        <w:rPr>
          <w:rStyle w:val="FootnoteReference"/>
        </w:rPr>
        <w:footnoteRef/>
      </w:r>
      <w:r>
        <w:t xml:space="preserve"> </w:t>
      </w:r>
      <w:r w:rsidRPr="00575024">
        <w:rPr>
          <w:i/>
        </w:rPr>
        <w:t>Id.</w:t>
      </w:r>
      <w:r w:rsidRPr="00F67126">
        <w:t xml:space="preserve"> § 73.3555</w:t>
      </w:r>
      <w:r>
        <w:t xml:space="preserve"> (b)(2).</w:t>
      </w:r>
    </w:p>
  </w:footnote>
  <w:footnote w:id="142">
    <w:p w:rsidR="00A03401" w:rsidP="00B12C9D">
      <w:pPr>
        <w:pStyle w:val="FootnoteText"/>
      </w:pPr>
      <w:r>
        <w:rPr>
          <w:rStyle w:val="FootnoteReference"/>
        </w:rPr>
        <w:footnoteRef/>
      </w:r>
      <w:r>
        <w:t xml:space="preserve"> </w:t>
      </w:r>
      <w:r w:rsidRPr="00575024">
        <w:rPr>
          <w:i/>
        </w:rPr>
        <w:t>Id.</w:t>
      </w:r>
    </w:p>
  </w:footnote>
  <w:footnote w:id="143">
    <w:p w:rsidR="00A03401" w:rsidP="00B12C9D">
      <w:pPr>
        <w:pStyle w:val="FootnoteText"/>
      </w:pPr>
      <w:r>
        <w:rPr>
          <w:rStyle w:val="FootnoteReference"/>
        </w:rPr>
        <w:footnoteRef/>
      </w:r>
      <w:r>
        <w:t xml:space="preserve"> </w:t>
      </w:r>
      <w:r w:rsidRPr="00323C9A">
        <w:rPr>
          <w:i/>
        </w:rPr>
        <w:t>2010/2014 Quadrennial Review Order on Reconsideration</w:t>
      </w:r>
      <w:r>
        <w:t>, 32 FCC Rcd at 9833-34, paras. 71-72.</w:t>
      </w:r>
    </w:p>
  </w:footnote>
  <w:footnote w:id="144">
    <w:p w:rsidR="00A03401" w:rsidP="00B12C9D">
      <w:pPr>
        <w:pStyle w:val="FootnoteText"/>
      </w:pPr>
      <w:r>
        <w:rPr>
          <w:rStyle w:val="FootnoteReference"/>
        </w:rPr>
        <w:footnoteRef/>
      </w:r>
      <w:r>
        <w:t xml:space="preserve"> </w:t>
      </w:r>
      <w:r>
        <w:rPr>
          <w:i/>
        </w:rPr>
        <w:t>Id.</w:t>
      </w:r>
      <w:r>
        <w:t xml:space="preserve"> at 9834, para. 73.</w:t>
      </w:r>
    </w:p>
  </w:footnote>
  <w:footnote w:id="145">
    <w:p w:rsidR="00A03401" w:rsidRPr="00C03633" w:rsidP="00B12C9D">
      <w:pPr>
        <w:pStyle w:val="FootnoteText"/>
        <w:rPr>
          <w:i/>
        </w:rPr>
      </w:pPr>
      <w:r>
        <w:rPr>
          <w:rStyle w:val="FootnoteReference"/>
        </w:rPr>
        <w:footnoteRef/>
      </w:r>
      <w:r>
        <w:t xml:space="preserve"> </w:t>
      </w:r>
      <w:r>
        <w:rPr>
          <w:i/>
        </w:rPr>
        <w:t>Id.</w:t>
      </w:r>
    </w:p>
  </w:footnote>
  <w:footnote w:id="146">
    <w:p w:rsidR="00A03401" w:rsidP="00B12C9D">
      <w:pPr>
        <w:pStyle w:val="FootnoteText"/>
      </w:pPr>
      <w:r>
        <w:rPr>
          <w:rStyle w:val="FootnoteReference"/>
        </w:rPr>
        <w:footnoteRef/>
      </w:r>
      <w:r>
        <w:t xml:space="preserve"> </w:t>
      </w:r>
      <w:r>
        <w:rPr>
          <w:i/>
        </w:rPr>
        <w:t>Id.</w:t>
      </w:r>
      <w:r>
        <w:t xml:space="preserve"> at 9836, para. 78.</w:t>
      </w:r>
    </w:p>
  </w:footnote>
  <w:footnote w:id="147">
    <w:p w:rsidR="00A03401" w:rsidP="00B12C9D">
      <w:pPr>
        <w:pStyle w:val="FootnoteText"/>
      </w:pPr>
      <w:r>
        <w:rPr>
          <w:rStyle w:val="FootnoteReference"/>
        </w:rPr>
        <w:footnoteRef/>
      </w:r>
      <w:r>
        <w:t xml:space="preserve"> </w:t>
      </w:r>
      <w:r>
        <w:rPr>
          <w:i/>
        </w:rPr>
        <w:t>Id.</w:t>
      </w:r>
      <w:r>
        <w:t xml:space="preserve"> at 9833-34, para. 72 (noting that consumers </w:t>
      </w:r>
      <w:r w:rsidRPr="00F30B46">
        <w:t xml:space="preserve">increasingly </w:t>
      </w:r>
      <w:r>
        <w:t xml:space="preserve">can </w:t>
      </w:r>
      <w:r w:rsidRPr="00F30B46">
        <w:t>access video programming delivered via MVPDs, the Internet, and mobile devices</w:t>
      </w:r>
      <w:r>
        <w:t xml:space="preserve"> and that </w:t>
      </w:r>
      <w:r w:rsidRPr="00F30B46">
        <w:t>the online video distr</w:t>
      </w:r>
      <w:r>
        <w:t xml:space="preserve">ibutor (OVD) industry </w:t>
      </w:r>
      <w:r w:rsidRPr="00F30B46">
        <w:t>continues to grow and evolve</w:t>
      </w:r>
      <w:r>
        <w:t>).</w:t>
      </w:r>
    </w:p>
  </w:footnote>
  <w:footnote w:id="148">
    <w:p w:rsidR="00A03401" w:rsidP="00B12C9D">
      <w:pPr>
        <w:pStyle w:val="FootnoteText"/>
      </w:pPr>
      <w:r>
        <w:rPr>
          <w:rStyle w:val="FootnoteReference"/>
        </w:rPr>
        <w:footnoteRef/>
      </w:r>
      <w:r>
        <w:t xml:space="preserve"> </w:t>
      </w:r>
      <w:r>
        <w:rPr>
          <w:i/>
        </w:rPr>
        <w:t>Id.</w:t>
      </w:r>
      <w:r>
        <w:t xml:space="preserve"> at 9871-72, para. 20.</w:t>
      </w:r>
    </w:p>
  </w:footnote>
  <w:footnote w:id="149">
    <w:p w:rsidR="00A03401" w:rsidP="00B12C9D">
      <w:pPr>
        <w:pStyle w:val="FootnoteText"/>
      </w:pPr>
      <w:r>
        <w:rPr>
          <w:rStyle w:val="FootnoteReference"/>
        </w:rPr>
        <w:footnoteRef/>
      </w:r>
      <w:r>
        <w:t xml:space="preserve"> </w:t>
      </w:r>
      <w:r>
        <w:rPr>
          <w:i/>
        </w:rPr>
        <w:t>Id.</w:t>
      </w:r>
      <w:r>
        <w:t xml:space="preserve"> at 9872, para. 21.</w:t>
      </w:r>
    </w:p>
  </w:footnote>
  <w:footnote w:id="150">
    <w:p w:rsidR="00A03401" w:rsidRPr="00512428" w:rsidP="00B12C9D">
      <w:pPr>
        <w:pStyle w:val="FootnoteText"/>
      </w:pPr>
      <w:r>
        <w:rPr>
          <w:rStyle w:val="FootnoteReference"/>
        </w:rPr>
        <w:footnoteRef/>
      </w:r>
      <w:r>
        <w:t xml:space="preserve"> </w:t>
      </w:r>
      <w:r w:rsidRPr="00323C9A">
        <w:rPr>
          <w:i/>
        </w:rPr>
        <w:t>2010/2014 Quadrennial Review Order on Reconsideration</w:t>
      </w:r>
      <w:r>
        <w:t xml:space="preserve">, 32 FCC Rcd at 9833, para. 71.  </w:t>
      </w:r>
      <w:r w:rsidRPr="00323C9A">
        <w:rPr>
          <w:i/>
        </w:rPr>
        <w:t>See also</w:t>
      </w:r>
      <w:r>
        <w:t xml:space="preserve"> </w:t>
      </w:r>
      <w:r w:rsidRPr="00323C9A">
        <w:rPr>
          <w:i/>
        </w:rPr>
        <w:t>2010/2014 Quadrennial Review Order</w:t>
      </w:r>
      <w:r>
        <w:t xml:space="preserve">, 31 FCC Rcd at </w:t>
      </w:r>
      <w:r w:rsidRPr="002C5A9E">
        <w:t>9872-75, paras. 23-30</w:t>
      </w:r>
      <w:r>
        <w:t xml:space="preserve">.  </w:t>
      </w:r>
    </w:p>
  </w:footnote>
  <w:footnote w:id="151">
    <w:p w:rsidR="00A03401" w:rsidP="00B12C9D">
      <w:pPr>
        <w:pStyle w:val="FootnoteText"/>
      </w:pPr>
      <w:r>
        <w:rPr>
          <w:rStyle w:val="FootnoteReference"/>
        </w:rPr>
        <w:footnoteRef/>
      </w:r>
      <w:r>
        <w:t xml:space="preserve"> </w:t>
      </w:r>
      <w:r w:rsidRPr="00323C9A">
        <w:rPr>
          <w:i/>
        </w:rPr>
        <w:t>2010/2014 Quadrennial Review Order on Reconsideration</w:t>
      </w:r>
      <w:r>
        <w:t xml:space="preserve">, 32 FCC Rcd at 9833, para. 71; </w:t>
      </w:r>
      <w:r w:rsidRPr="00323C9A">
        <w:rPr>
          <w:i/>
        </w:rPr>
        <w:t>2010/2014 Quadrennial Review Order</w:t>
      </w:r>
      <w:r>
        <w:t xml:space="preserve">, 31 FCC Rcd at </w:t>
      </w:r>
      <w:r w:rsidRPr="002C5A9E">
        <w:t>9872</w:t>
      </w:r>
      <w:r>
        <w:t>-73, para. 23.</w:t>
      </w:r>
    </w:p>
  </w:footnote>
  <w:footnote w:id="152">
    <w:p w:rsidR="00A03401" w:rsidP="00B12C9D">
      <w:pPr>
        <w:pStyle w:val="FootnoteText"/>
      </w:pPr>
      <w:r>
        <w:rPr>
          <w:rStyle w:val="FootnoteReference"/>
        </w:rPr>
        <w:footnoteRef/>
      </w:r>
      <w:r>
        <w:t xml:space="preserve"> </w:t>
      </w:r>
      <w:r w:rsidRPr="00323C9A">
        <w:rPr>
          <w:i/>
        </w:rPr>
        <w:t>2010/2014 Quadrennial Review</w:t>
      </w:r>
      <w:r>
        <w:rPr>
          <w:i/>
        </w:rPr>
        <w:t xml:space="preserve"> FNPRM</w:t>
      </w:r>
      <w:r>
        <w:t>, 29 FCC Rcd at 4381, para. 22.</w:t>
      </w:r>
    </w:p>
  </w:footnote>
  <w:footnote w:id="153">
    <w:p w:rsidR="00A03401" w:rsidP="00B12C9D">
      <w:pPr>
        <w:pStyle w:val="FootnoteText"/>
      </w:pPr>
      <w:r>
        <w:rPr>
          <w:rStyle w:val="FootnoteReference"/>
        </w:rPr>
        <w:footnoteRef/>
      </w:r>
      <w:r>
        <w:t xml:space="preserve"> </w:t>
      </w:r>
      <w:r w:rsidRPr="00323C9A">
        <w:rPr>
          <w:i/>
        </w:rPr>
        <w:t>2010/2014 Quadrennial Review Order</w:t>
      </w:r>
      <w:r>
        <w:t>, 31 FCC Rcd at 9870-71, para. 17.</w:t>
      </w:r>
    </w:p>
  </w:footnote>
  <w:footnote w:id="154">
    <w:p w:rsidR="00A03401" w:rsidP="00B12C9D">
      <w:pPr>
        <w:pStyle w:val="FootnoteText"/>
      </w:pPr>
      <w:r>
        <w:rPr>
          <w:rStyle w:val="FootnoteReference"/>
        </w:rPr>
        <w:footnoteRef/>
      </w:r>
      <w:r>
        <w:t xml:space="preserve"> </w:t>
      </w:r>
      <w:r w:rsidRPr="00A53F09">
        <w:rPr>
          <w:i/>
        </w:rPr>
        <w:t>Deregulation of Radio</w:t>
      </w:r>
      <w:r>
        <w:t>, 84 FCC 2d 968, 994, para. 58 (1981) (“The concept of localism was part and parcel of broadcast regulation virtually from its inception.”).</w:t>
      </w:r>
    </w:p>
  </w:footnote>
  <w:footnote w:id="155">
    <w:p w:rsidR="00A03401" w:rsidP="00B12C9D">
      <w:pPr>
        <w:pStyle w:val="FootnoteText"/>
      </w:pPr>
      <w:r>
        <w:rPr>
          <w:rStyle w:val="FootnoteReference"/>
        </w:rPr>
        <w:footnoteRef/>
      </w:r>
      <w:r>
        <w:t xml:space="preserve"> </w:t>
      </w:r>
      <w:r w:rsidRPr="00A53F09">
        <w:rPr>
          <w:i/>
        </w:rPr>
        <w:t>Broadcast Localism</w:t>
      </w:r>
      <w:r>
        <w:t>, Notice of Inquiry, 19 FCC Rcd 12425, 12425, para. 1 (2004).</w:t>
      </w:r>
    </w:p>
  </w:footnote>
  <w:footnote w:id="156">
    <w:p w:rsidR="00A03401" w:rsidP="00B12C9D">
      <w:pPr>
        <w:pStyle w:val="FootnoteText"/>
      </w:pPr>
      <w:r>
        <w:rPr>
          <w:rStyle w:val="FootnoteReference"/>
        </w:rPr>
        <w:footnoteRef/>
      </w:r>
      <w:r>
        <w:t xml:space="preserve"> For instance, the Commission has previously concluded that the video programming market is distinct from the radio listening market.  </w:t>
      </w:r>
      <w:r w:rsidRPr="00323C9A">
        <w:rPr>
          <w:i/>
        </w:rPr>
        <w:t>2010/2014 Quadrennial Review</w:t>
      </w:r>
      <w:r>
        <w:rPr>
          <w:i/>
        </w:rPr>
        <w:t xml:space="preserve"> FNPRM</w:t>
      </w:r>
      <w:r>
        <w:t>, 29 FCC Rcd at 4380, para. 21.</w:t>
      </w:r>
    </w:p>
  </w:footnote>
  <w:footnote w:id="157">
    <w:p w:rsidR="00A03401" w:rsidP="00B12C9D">
      <w:pPr>
        <w:pStyle w:val="FootnoteText"/>
      </w:pPr>
      <w:r>
        <w:rPr>
          <w:rStyle w:val="FootnoteReference"/>
        </w:rPr>
        <w:footnoteRef/>
      </w:r>
      <w:r>
        <w:t xml:space="preserve"> </w:t>
      </w:r>
      <w:r w:rsidRPr="00323C9A">
        <w:rPr>
          <w:i/>
        </w:rPr>
        <w:t xml:space="preserve">2010/2014 Quadrennial Review Order </w:t>
      </w:r>
      <w:r>
        <w:rPr>
          <w:i/>
        </w:rPr>
        <w:t xml:space="preserve">on </w:t>
      </w:r>
      <w:r w:rsidRPr="00323C9A">
        <w:rPr>
          <w:i/>
        </w:rPr>
        <w:t>Reconsideration</w:t>
      </w:r>
      <w:r>
        <w:t>, 32 FCC Rcd at 9833-34, para. 72.</w:t>
      </w:r>
    </w:p>
  </w:footnote>
  <w:footnote w:id="158">
    <w:p w:rsidR="00A03401" w:rsidP="00B12C9D">
      <w:pPr>
        <w:pStyle w:val="FootnoteText"/>
      </w:pPr>
      <w:r>
        <w:rPr>
          <w:rStyle w:val="FootnoteReference"/>
        </w:rPr>
        <w:footnoteRef/>
      </w:r>
      <w:r>
        <w:t xml:space="preserve"> </w:t>
      </w:r>
      <w:r w:rsidRPr="00323C9A">
        <w:rPr>
          <w:i/>
        </w:rPr>
        <w:t>2010/2014 Quadrennial Review Order</w:t>
      </w:r>
      <w:r>
        <w:t>, 31 FCC Rcd at 9874-75, paras. 27-28, 30.</w:t>
      </w:r>
    </w:p>
  </w:footnote>
  <w:footnote w:id="159">
    <w:p w:rsidR="00A03401" w:rsidP="00B12C9D">
      <w:pPr>
        <w:pStyle w:val="FootnoteText"/>
      </w:pPr>
      <w:r>
        <w:rPr>
          <w:rStyle w:val="FootnoteReference"/>
        </w:rPr>
        <w:footnoteRef/>
      </w:r>
      <w:r>
        <w:t xml:space="preserve"> </w:t>
      </w:r>
      <w:r>
        <w:rPr>
          <w:i/>
        </w:rPr>
        <w:t>Id.</w:t>
      </w:r>
      <w:r>
        <w:t xml:space="preserve"> at 9874, para. 27.</w:t>
      </w:r>
    </w:p>
  </w:footnote>
  <w:footnote w:id="160">
    <w:p w:rsidR="00A03401" w:rsidP="00B12C9D">
      <w:pPr>
        <w:pStyle w:val="FootnoteText"/>
      </w:pPr>
      <w:r>
        <w:rPr>
          <w:rStyle w:val="FootnoteReference"/>
        </w:rPr>
        <w:footnoteRef/>
      </w:r>
      <w:r>
        <w:t xml:space="preserve"> </w:t>
      </w:r>
      <w:r>
        <w:rPr>
          <w:i/>
        </w:rPr>
        <w:t>Id.</w:t>
      </w:r>
    </w:p>
  </w:footnote>
  <w:footnote w:id="161">
    <w:p w:rsidR="00A03401" w:rsidP="00B12C9D">
      <w:pPr>
        <w:pStyle w:val="FootnoteText"/>
      </w:pPr>
      <w:r>
        <w:rPr>
          <w:rStyle w:val="FootnoteReference"/>
        </w:rPr>
        <w:footnoteRef/>
      </w:r>
      <w:r>
        <w:t xml:space="preserve"> </w:t>
      </w:r>
      <w:r w:rsidRPr="00323C9A">
        <w:rPr>
          <w:i/>
        </w:rPr>
        <w:t>2010/2014 Quadrennial Review Order on Reconsideration</w:t>
      </w:r>
      <w:r>
        <w:t>, 32 FCC Rcd at 9833, para. 71.</w:t>
      </w:r>
    </w:p>
  </w:footnote>
  <w:footnote w:id="162">
    <w:p w:rsidR="00A03401" w:rsidP="00B12C9D">
      <w:pPr>
        <w:pStyle w:val="FootnoteText"/>
      </w:pPr>
      <w:r>
        <w:rPr>
          <w:rStyle w:val="FootnoteReference"/>
        </w:rPr>
        <w:footnoteRef/>
      </w:r>
      <w:r>
        <w:t xml:space="preserve"> </w:t>
      </w:r>
      <w:r w:rsidRPr="004119C9">
        <w:t xml:space="preserve">A linear channel is one that distributes programming at a scheduled time. </w:t>
      </w:r>
      <w:r>
        <w:t xml:space="preserve"> </w:t>
      </w:r>
      <w:r w:rsidRPr="004119C9">
        <w:t>Non-linear program</w:t>
      </w:r>
      <w:r>
        <w:t>ming, such as video-on-demand (VOD</w:t>
      </w:r>
      <w:r w:rsidRPr="004119C9">
        <w:t>), is available</w:t>
      </w:r>
      <w:r>
        <w:t xml:space="preserve"> at a time of the viewer’</w:t>
      </w:r>
      <w:r w:rsidRPr="004119C9">
        <w:t>s choosing.</w:t>
      </w:r>
      <w:r>
        <w:t xml:space="preserve">  </w:t>
      </w:r>
      <w:r w:rsidRPr="004119C9">
        <w:rPr>
          <w:i/>
        </w:rPr>
        <w:t>Annual Assessment of the Status of Competition in the Market for the Delivery of Video Programming</w:t>
      </w:r>
      <w:r w:rsidRPr="004119C9">
        <w:t xml:space="preserve">, Notice of Inquiry, 29 FCC Rcd </w:t>
      </w:r>
      <w:r>
        <w:t>1597, 1603, para. 15 n.23 (2014).</w:t>
      </w:r>
    </w:p>
  </w:footnote>
  <w:footnote w:id="163">
    <w:p w:rsidR="00A03401" w:rsidP="00B12C9D">
      <w:pPr>
        <w:pStyle w:val="FootnoteText"/>
      </w:pPr>
      <w:r>
        <w:rPr>
          <w:rStyle w:val="FootnoteReference"/>
        </w:rPr>
        <w:footnoteRef/>
      </w:r>
      <w:r>
        <w:t xml:space="preserve"> In the most recent Video Competition Report, the Commission noted that number of households relying on over-the-air broadcast service exclusive of any MVPD service increased since the last report.  </w:t>
      </w:r>
      <w:r w:rsidRPr="00EE53EC">
        <w:rPr>
          <w:i/>
        </w:rPr>
        <w:t>Annual Assessment of the Status of Competition in the Market for the Delivery of Video Programming</w:t>
      </w:r>
      <w:r>
        <w:t xml:space="preserve">, Eighteenth Report, </w:t>
      </w:r>
      <w:r w:rsidRPr="00A21648">
        <w:t>32 FCC Rcd 568</w:t>
      </w:r>
      <w:r>
        <w:t>, 571, para. 7 (2017) (</w:t>
      </w:r>
      <w:r w:rsidRPr="00EE53EC">
        <w:rPr>
          <w:i/>
        </w:rPr>
        <w:t>18th Video Competition Report</w:t>
      </w:r>
      <w:r>
        <w:t xml:space="preserve">).  Nielsen reports that this figure increased from 11.4 million television households in 2014 to 12.4 million television households in 2015, representing an increase from approximately 10 percent to 11 percent of all television households.  </w:t>
      </w:r>
      <w:r w:rsidRPr="00EE53EC">
        <w:rPr>
          <w:i/>
        </w:rPr>
        <w:t>Id.</w:t>
      </w:r>
      <w:r w:rsidRPr="00512428">
        <w:t xml:space="preserve">  </w:t>
      </w:r>
      <w:r>
        <w:t xml:space="preserve">Figures from the National Association of Broadcasters (NAB) indicate that 26.7 million television households, or approximately 23 percent of all television households, rely exclusively on over-the-air television service on at least one television in the home.  </w:t>
      </w:r>
      <w:r w:rsidRPr="00512428">
        <w:rPr>
          <w:i/>
        </w:rPr>
        <w:t>Id.</w:t>
      </w:r>
    </w:p>
  </w:footnote>
  <w:footnote w:id="164">
    <w:p w:rsidR="00A03401" w:rsidP="00B12C9D">
      <w:pPr>
        <w:pStyle w:val="FootnoteText"/>
      </w:pPr>
      <w:r>
        <w:rPr>
          <w:rStyle w:val="FootnoteReference"/>
        </w:rPr>
        <w:footnoteRef/>
      </w:r>
      <w:r>
        <w:t xml:space="preserve"> For example, previously, the Commission has noted that </w:t>
      </w:r>
      <w:r w:rsidRPr="00BF39D3">
        <w:t>the level of penetration of broadband service remains relevant when considering the extent to which online platforms may be meaningful substitutes for local broadcast television stations</w:t>
      </w:r>
      <w:r>
        <w:t xml:space="preserve">.  </w:t>
      </w:r>
      <w:r w:rsidRPr="00323C9A">
        <w:rPr>
          <w:i/>
        </w:rPr>
        <w:t>2010/2014 Quadrennial Review Order</w:t>
      </w:r>
      <w:r>
        <w:t>, 31 FCC Rcd at 9875, para. 30 n.68.</w:t>
      </w:r>
    </w:p>
  </w:footnote>
  <w:footnote w:id="165">
    <w:p w:rsidR="00A03401" w:rsidP="00B12C9D">
      <w:pPr>
        <w:pStyle w:val="FootnoteText"/>
      </w:pPr>
      <w:r>
        <w:rPr>
          <w:rStyle w:val="FootnoteReference"/>
        </w:rPr>
        <w:footnoteRef/>
      </w:r>
      <w:r>
        <w:t xml:space="preserve"> For example, a cable operator deciding to carry a local sports event that is not being covered by the local broadcast stations may demonstrate how local broadcast stations’ actions affect programming decisions by non-broadcast programmers.</w:t>
      </w:r>
    </w:p>
  </w:footnote>
  <w:footnote w:id="166">
    <w:p w:rsidR="00A03401" w:rsidP="00B12C9D">
      <w:pPr>
        <w:pStyle w:val="FootnoteText"/>
      </w:pPr>
      <w:r>
        <w:rPr>
          <w:rStyle w:val="FootnoteReference"/>
        </w:rPr>
        <w:footnoteRef/>
      </w:r>
      <w:r>
        <w:t xml:space="preserve"> </w:t>
      </w:r>
      <w:r>
        <w:rPr>
          <w:i/>
        </w:rPr>
        <w:t>Id.</w:t>
      </w:r>
      <w:r>
        <w:t xml:space="preserve">; </w:t>
      </w:r>
      <w:r>
        <w:rPr>
          <w:i/>
        </w:rPr>
        <w:t>see also United States v. Nexstar Broadcasting Group, Inc., et al.</w:t>
      </w:r>
      <w:r>
        <w:t>, Complaint, 81 FR 63206, 63207-08, paras. 12-21 (Sept. 14, 2016) (</w:t>
      </w:r>
      <w:r>
        <w:rPr>
          <w:i/>
        </w:rPr>
        <w:t>DOJ Nexstar-Media General Complaint</w:t>
      </w:r>
      <w:r>
        <w:t>)</w:t>
      </w:r>
      <w:r>
        <w:rPr>
          <w:i/>
        </w:rPr>
        <w:t xml:space="preserve"> </w:t>
      </w:r>
      <w:r>
        <w:t>(stating that media buyers often buy advertising on non-broadcast platforms alongside broadcast advertising as a supplement to, rather than a substitute for, broadcast advertising).</w:t>
      </w:r>
    </w:p>
  </w:footnote>
  <w:footnote w:id="167">
    <w:p w:rsidR="00A03401" w:rsidP="00B12C9D">
      <w:pPr>
        <w:pStyle w:val="FootnoteText"/>
      </w:pPr>
      <w:r>
        <w:rPr>
          <w:rStyle w:val="FootnoteReference"/>
        </w:rPr>
        <w:footnoteRef/>
      </w:r>
      <w:r>
        <w:t xml:space="preserve"> </w:t>
      </w:r>
      <w:r w:rsidRPr="00323C9A">
        <w:rPr>
          <w:i/>
        </w:rPr>
        <w:t>2010/2014 Quadrennial Review Order</w:t>
      </w:r>
      <w:r>
        <w:t>, 31 FCC Rcd at 9875, para. 26.</w:t>
      </w:r>
    </w:p>
  </w:footnote>
  <w:footnote w:id="168">
    <w:p w:rsidR="00A03401" w:rsidP="00B12C9D">
      <w:pPr>
        <w:pStyle w:val="FootnoteText"/>
      </w:pPr>
      <w:r>
        <w:rPr>
          <w:rStyle w:val="FootnoteReference"/>
        </w:rPr>
        <w:footnoteRef/>
      </w:r>
      <w:r>
        <w:t xml:space="preserve"> </w:t>
      </w:r>
      <w:r>
        <w:rPr>
          <w:i/>
        </w:rPr>
        <w:t>Id.</w:t>
      </w:r>
    </w:p>
  </w:footnote>
  <w:footnote w:id="169">
    <w:p w:rsidR="00A03401" w:rsidP="00B12C9D">
      <w:pPr>
        <w:pStyle w:val="FootnoteText"/>
      </w:pPr>
      <w:r>
        <w:rPr>
          <w:rStyle w:val="FootnoteReference"/>
        </w:rPr>
        <w:footnoteRef/>
      </w:r>
      <w:r>
        <w:t xml:space="preserve"> </w:t>
      </w:r>
      <w:r w:rsidRPr="005947B4">
        <w:rPr>
          <w:i/>
        </w:rPr>
        <w:t>See</w:t>
      </w:r>
      <w:r>
        <w:t xml:space="preserve"> </w:t>
      </w:r>
      <w:r w:rsidRPr="00323C9A">
        <w:rPr>
          <w:i/>
        </w:rPr>
        <w:t xml:space="preserve">2010/2014 Quadrennial Review Order </w:t>
      </w:r>
      <w:r>
        <w:rPr>
          <w:i/>
        </w:rPr>
        <w:t xml:space="preserve">on </w:t>
      </w:r>
      <w:r w:rsidRPr="00323C9A">
        <w:rPr>
          <w:i/>
        </w:rPr>
        <w:t>Reconsideration</w:t>
      </w:r>
      <w:r>
        <w:t>, 32 FCC Rcd at 9895-96 (Statement of Commissioner O’Rielly) (listing Internet sites</w:t>
      </w:r>
      <w:r w:rsidRPr="005947B4">
        <w:t xml:space="preserve"> and social media platforms</w:t>
      </w:r>
      <w:r>
        <w:t xml:space="preserve"> as competitors to local broadcasters).</w:t>
      </w:r>
    </w:p>
  </w:footnote>
  <w:footnote w:id="170">
    <w:p w:rsidR="00A03401" w:rsidP="00B12C9D">
      <w:pPr>
        <w:pStyle w:val="FootnoteText"/>
      </w:pPr>
      <w:r>
        <w:rPr>
          <w:rStyle w:val="FootnoteReference"/>
        </w:rPr>
        <w:footnoteRef/>
      </w:r>
      <w:r>
        <w:t xml:space="preserve"> We note that the Knight Foundation recently reported, among other findings, that traditional broadcasters produce a significant amount of news consumed online and that </w:t>
      </w:r>
      <w:r w:rsidRPr="004E09FE">
        <w:t xml:space="preserve">online-only local news </w:t>
      </w:r>
      <w:r>
        <w:t>web</w:t>
      </w:r>
      <w:r w:rsidRPr="004E09FE">
        <w:t xml:space="preserve">sites are </w:t>
      </w:r>
      <w:r>
        <w:t xml:space="preserve">having a limited impact.  </w:t>
      </w:r>
      <w:r w:rsidRPr="00690644">
        <w:rPr>
          <w:i/>
        </w:rPr>
        <w:t>See generally</w:t>
      </w:r>
      <w:r>
        <w:t xml:space="preserve"> Knight Foundation, </w:t>
      </w:r>
      <w:r w:rsidRPr="008F16BC">
        <w:rPr>
          <w:i/>
        </w:rPr>
        <w:t>Local TV News and the New Media Landscape</w:t>
      </w:r>
      <w:r>
        <w:t xml:space="preserve">, (Apr. 5, 2018), </w:t>
      </w:r>
      <w:r>
        <w:fldChar w:fldCharType="begin"/>
      </w:r>
      <w:r>
        <w:instrText xml:space="preserve"> HYPERLINK "https://knightfoundation.org/reports/local-tv-news-and-the-new-media-landscape" </w:instrText>
      </w:r>
      <w:r>
        <w:fldChar w:fldCharType="separate"/>
      </w:r>
      <w:r w:rsidRPr="00C361D1">
        <w:rPr>
          <w:rStyle w:val="Hyperlink"/>
        </w:rPr>
        <w:t>https://knightfoundation.org/reports/local-tv-news-and-the-new-media-landscape</w:t>
      </w:r>
      <w:r>
        <w:fldChar w:fldCharType="end"/>
      </w:r>
      <w:r>
        <w:t xml:space="preserve">.  </w:t>
      </w:r>
    </w:p>
  </w:footnote>
  <w:footnote w:id="171">
    <w:p w:rsidR="00A03401" w:rsidRPr="00790BCA" w:rsidP="00B12C9D">
      <w:pPr>
        <w:pStyle w:val="FootnoteText"/>
        <w:rPr>
          <w:i/>
        </w:rPr>
      </w:pPr>
      <w:r>
        <w:rPr>
          <w:rStyle w:val="FootnoteReference"/>
        </w:rPr>
        <w:footnoteRef/>
      </w:r>
      <w:r>
        <w:t xml:space="preserve"> </w:t>
      </w:r>
      <w:r>
        <w:rPr>
          <w:i/>
        </w:rPr>
        <w:t>See, e.g</w:t>
      </w:r>
      <w:r w:rsidRPr="00A626D3">
        <w:t xml:space="preserve">., </w:t>
      </w:r>
      <w:r>
        <w:rPr>
          <w:snapToGrid w:val="0"/>
        </w:rPr>
        <w:t xml:space="preserve">Knight Foundation, </w:t>
      </w:r>
      <w:r>
        <w:rPr>
          <w:i/>
          <w:iCs/>
          <w:snapToGrid w:val="0"/>
        </w:rPr>
        <w:t>Local TV News and the New Media Landscape: Part 1:  The State of the Industry</w:t>
      </w:r>
      <w:r>
        <w:rPr>
          <w:snapToGrid w:val="0"/>
        </w:rPr>
        <w:t xml:space="preserve">, at 18 (Apr. 5, 2018), </w:t>
      </w:r>
      <w:r>
        <w:fldChar w:fldCharType="begin"/>
      </w:r>
      <w:r>
        <w:instrText xml:space="preserve"> HYPERLINK "https://knightfoundation.org/reports/local-tv-news-and-the-new-media-landscape" </w:instrText>
      </w:r>
      <w:r>
        <w:fldChar w:fldCharType="separate"/>
      </w:r>
      <w:r>
        <w:rPr>
          <w:rStyle w:val="Hyperlink"/>
          <w:snapToGrid w:val="0"/>
        </w:rPr>
        <w:t>https://knightfoundation.org/reports/local-tv-news-and-the-new-media-landscape</w:t>
      </w:r>
      <w:r>
        <w:fldChar w:fldCharType="end"/>
      </w:r>
      <w:r>
        <w:rPr>
          <w:snapToGrid w:val="0"/>
        </w:rPr>
        <w:t xml:space="preserve"> </w:t>
      </w:r>
      <w:r>
        <w:t xml:space="preserve">(finding that online-only local news websites are “primarily a major market phenomenon”).  </w:t>
      </w:r>
    </w:p>
  </w:footnote>
  <w:footnote w:id="172">
    <w:p w:rsidR="00A03401" w:rsidP="00B12C9D">
      <w:pPr>
        <w:pStyle w:val="FootnoteText"/>
      </w:pPr>
      <w:r>
        <w:rPr>
          <w:rStyle w:val="FootnoteReference"/>
        </w:rPr>
        <w:footnoteRef/>
      </w:r>
      <w:r>
        <w:t xml:space="preserve"> We note that the Commission has examined broadcast television programming for localism purposes in other proceedings.  For example, the Commission’s rules on market modification for purposes of MVPD carriage evaluate whether television stations provide “news coverage of issues of concern” or “carriage or coverage of sporting and other events of interest” to the local community at issue as one of the factors for determining if market modification is appropriate.  47 U.S.C. § 534(h)(1)(C)(ii)(I)-(V).  Also, the Commission examined programming in several DMAs as part of a case study in its STELA Reauthorization Act Section 109 Report to Congress.  </w:t>
      </w:r>
      <w:r w:rsidRPr="00373C5E">
        <w:rPr>
          <w:i/>
        </w:rPr>
        <w:t>Designated Market Areas: Report to Congress Pursuant to Section 109 of the STELA Reauthorization Act of 2014</w:t>
      </w:r>
      <w:r>
        <w:t xml:space="preserve">, Report, </w:t>
      </w:r>
      <w:r w:rsidRPr="00373C5E">
        <w:t>31 FCC Rcd 5463</w:t>
      </w:r>
      <w:r>
        <w:t xml:space="preserve"> (MB 2016).</w:t>
      </w:r>
    </w:p>
  </w:footnote>
  <w:footnote w:id="173">
    <w:p w:rsidR="00A03401" w:rsidP="00B12C9D">
      <w:pPr>
        <w:pStyle w:val="FootnoteText"/>
      </w:pPr>
      <w:r>
        <w:rPr>
          <w:rStyle w:val="FootnoteReference"/>
        </w:rPr>
        <w:footnoteRef/>
      </w:r>
      <w:r>
        <w:t xml:space="preserve"> </w:t>
      </w:r>
      <w:r w:rsidRPr="00EB2648">
        <w:t>Various firms</w:t>
      </w:r>
      <w:r>
        <w:t>,</w:t>
      </w:r>
      <w:r w:rsidRPr="00EB2648">
        <w:t xml:space="preserve"> </w:t>
      </w:r>
      <w:r>
        <w:t>including Nielsen,</w:t>
      </w:r>
      <w:r w:rsidRPr="00EB2648">
        <w:t xml:space="preserve"> are working to collect data on OVD viewership</w:t>
      </w:r>
      <w:r>
        <w:t xml:space="preserve">.  </w:t>
      </w:r>
      <w:r w:rsidRPr="00EE53EC">
        <w:rPr>
          <w:i/>
        </w:rPr>
        <w:t>18th Video Competition Report</w:t>
      </w:r>
      <w:r>
        <w:t xml:space="preserve">, </w:t>
      </w:r>
      <w:r w:rsidRPr="00A21648">
        <w:t xml:space="preserve">32 FCC Rcd </w:t>
      </w:r>
      <w:r>
        <w:t xml:space="preserve">at 640, para. 176.  However, as yet, there is no single standard accepted and used industry-wide to the same extent that Nielsen is considered the industry standard for measuring television viewership.  </w:t>
      </w:r>
      <w:r w:rsidRPr="009A682B">
        <w:rPr>
          <w:i/>
        </w:rPr>
        <w:t>Id.</w:t>
      </w:r>
      <w:r>
        <w:t xml:space="preserve"> at 624, 640, paras. 134, 176.</w:t>
      </w:r>
    </w:p>
  </w:footnote>
  <w:footnote w:id="174">
    <w:p w:rsidR="00A03401" w:rsidP="00B12C9D">
      <w:pPr>
        <w:pStyle w:val="FootnoteText"/>
      </w:pPr>
      <w:r>
        <w:rPr>
          <w:rStyle w:val="FootnoteReference"/>
        </w:rPr>
        <w:footnoteRef/>
      </w:r>
      <w:r>
        <w:t xml:space="preserve"> The Department of Justice specifically examines local television broadcasters competing in the spot advertising market.  </w:t>
      </w:r>
      <w:r w:rsidRPr="00600A32">
        <w:rPr>
          <w:rStyle w:val="Emphasis"/>
          <w:color w:val="212121"/>
        </w:rPr>
        <w:t>See,</w:t>
      </w:r>
      <w:r>
        <w:rPr>
          <w:rStyle w:val="Emphasis"/>
          <w:color w:val="212121"/>
        </w:rPr>
        <w:t xml:space="preserve"> </w:t>
      </w:r>
      <w:r w:rsidRPr="00600A32">
        <w:rPr>
          <w:rStyle w:val="Emphasis"/>
          <w:color w:val="212121"/>
        </w:rPr>
        <w:t>e.g.</w:t>
      </w:r>
      <w:r w:rsidRPr="00600A32">
        <w:rPr>
          <w:color w:val="212121"/>
        </w:rPr>
        <w:t xml:space="preserve">, Complaint at </w:t>
      </w:r>
      <w:r>
        <w:rPr>
          <w:color w:val="212121"/>
        </w:rPr>
        <w:t>paras.</w:t>
      </w:r>
      <w:r w:rsidRPr="00600A32">
        <w:rPr>
          <w:color w:val="212121"/>
        </w:rPr>
        <w:t xml:space="preserve"> 14-22, </w:t>
      </w:r>
      <w:r w:rsidRPr="00600A32">
        <w:rPr>
          <w:rStyle w:val="Emphasis"/>
          <w:color w:val="212121"/>
        </w:rPr>
        <w:t>United States v. Gannett Co., Inc., et al.</w:t>
      </w:r>
      <w:r w:rsidRPr="00600A32">
        <w:rPr>
          <w:color w:val="212121"/>
        </w:rPr>
        <w:t xml:space="preserve">, No. 1:13-cv-01984 (D.D.C. Dec. 16, 2013) (finding the relevant markets for analysis to be broadcast television spot advertising (product market) in the St. Louis DMA (geographic market)); Complaint at </w:t>
      </w:r>
      <w:r>
        <w:rPr>
          <w:color w:val="212121"/>
        </w:rPr>
        <w:t>paras.</w:t>
      </w:r>
      <w:r w:rsidRPr="00600A32">
        <w:rPr>
          <w:color w:val="212121"/>
        </w:rPr>
        <w:t xml:space="preserve"> 38-44, </w:t>
      </w:r>
      <w:r w:rsidRPr="00600A32">
        <w:rPr>
          <w:rStyle w:val="Emphasis"/>
          <w:color w:val="212121"/>
        </w:rPr>
        <w:t>United States v. Comcast Corp.</w:t>
      </w:r>
      <w:r w:rsidRPr="00600A32">
        <w:rPr>
          <w:color w:val="212121"/>
        </w:rPr>
        <w:t>, No. 1:11-cv-00106 (D.D.C. Jan. 18, 2011) (excluding broadcast television from the “video programming distribution” market, which included MVPDs and Online Video Programming distributors (“OVDs”)); </w:t>
      </w:r>
      <w:r w:rsidRPr="00600A32">
        <w:rPr>
          <w:rStyle w:val="Emphasis"/>
          <w:color w:val="212121"/>
        </w:rPr>
        <w:t>see also</w:t>
      </w:r>
      <w:r w:rsidRPr="00600A32">
        <w:rPr>
          <w:color w:val="212121"/>
        </w:rPr>
        <w:t> DOJ February 20, 2014 </w:t>
      </w:r>
      <w:r w:rsidRPr="008051F9">
        <w:rPr>
          <w:i/>
        </w:rPr>
        <w:t>2010/2014 Quadrennial Review FNPRM</w:t>
      </w:r>
      <w:r>
        <w:t xml:space="preserve"> </w:t>
      </w:r>
      <w:r w:rsidRPr="00600A32">
        <w:rPr>
          <w:rStyle w:val="Emphasis"/>
          <w:color w:val="212121"/>
        </w:rPr>
        <w:t>Ex Parte</w:t>
      </w:r>
      <w:r w:rsidRPr="00600A32">
        <w:rPr>
          <w:color w:val="212121"/>
        </w:rPr>
        <w:t> Comments at 5, 8 (confirming that the relevant markets for antitrust review are the broadcast television spot adv</w:t>
      </w:r>
      <w:r>
        <w:rPr>
          <w:color w:val="212121"/>
        </w:rPr>
        <w:t>ertising market in the stations’</w:t>
      </w:r>
      <w:r w:rsidRPr="00600A32">
        <w:rPr>
          <w:color w:val="212121"/>
        </w:rPr>
        <w:t xml:space="preserve"> specific geographic market); Timothy J. Brennan &amp; Michael A. Crew, </w:t>
      </w:r>
      <w:r w:rsidRPr="00600A32">
        <w:rPr>
          <w:rStyle w:val="Emphasis"/>
          <w:color w:val="212121"/>
        </w:rPr>
        <w:t>Gross Substitutes vs. Marginal Substitutes: Implications for Market Definition in the Postal Sector, in</w:t>
      </w:r>
      <w:r>
        <w:rPr>
          <w:rStyle w:val="Emphasis"/>
          <w:color w:val="212121"/>
        </w:rPr>
        <w:t xml:space="preserve"> </w:t>
      </w:r>
      <w:r>
        <w:rPr>
          <w:rStyle w:val="Emphasis"/>
          <w:i w:val="0"/>
          <w:color w:val="212121"/>
        </w:rPr>
        <w:t>The Role of the Postal and Delivery Sector in a Digital Age</w:t>
      </w:r>
      <w:r w:rsidRPr="00600A32">
        <w:rPr>
          <w:color w:val="212121"/>
        </w:rPr>
        <w:t> 1-15 (Michael A. Crew &amp; Timothy J. Brennan eds. 2013) (arguing that the loss of customers to a new technology does not necessarily mean that the new technology should be included in the market definition of the existing technology).</w:t>
      </w:r>
    </w:p>
  </w:footnote>
  <w:footnote w:id="175">
    <w:p w:rsidR="00A03401" w:rsidP="00B12C9D">
      <w:pPr>
        <w:pStyle w:val="FootnoteText"/>
      </w:pPr>
      <w:r>
        <w:rPr>
          <w:rStyle w:val="FootnoteReference"/>
        </w:rPr>
        <w:footnoteRef/>
      </w:r>
      <w:r>
        <w:t xml:space="preserve"> </w:t>
      </w:r>
      <w:r w:rsidRPr="00323C9A">
        <w:rPr>
          <w:i/>
        </w:rPr>
        <w:t>2010/2014 Quadrennial Review Order</w:t>
      </w:r>
      <w:r>
        <w:t xml:space="preserve">, 31 FCC Rcd at 9875, para. 29; </w:t>
      </w:r>
      <w:r w:rsidRPr="00706B6B">
        <w:rPr>
          <w:i/>
        </w:rPr>
        <w:t>2010/2014 Quadrennial Review FNPRM</w:t>
      </w:r>
      <w:r>
        <w:t xml:space="preserve">, </w:t>
      </w:r>
      <w:r w:rsidRPr="008D31BF">
        <w:t>29 FCC Rcd at 4383, para. 25 n.62</w:t>
      </w:r>
      <w:r>
        <w:t xml:space="preserve">; </w:t>
      </w:r>
      <w:r>
        <w:rPr>
          <w:i/>
        </w:rPr>
        <w:t>see also DOJ Nexstar-Media General Complaint</w:t>
      </w:r>
      <w:r>
        <w:t>, 81 FR at 63207-08, paras. 12-21 (stating that radio, newspapers, outdoor billboards, satellite and cable television networks, MVPD interconnects, and Internet-based media are not substitutes for broadcast television stations in the spot advertising market).</w:t>
      </w:r>
    </w:p>
  </w:footnote>
  <w:footnote w:id="176">
    <w:p w:rsidR="00A03401" w:rsidP="00B12C9D">
      <w:pPr>
        <w:pStyle w:val="FootnoteText"/>
      </w:pPr>
      <w:r>
        <w:rPr>
          <w:rStyle w:val="FootnoteReference"/>
        </w:rPr>
        <w:footnoteRef/>
      </w:r>
      <w:r>
        <w:t xml:space="preserve"> </w:t>
      </w:r>
      <w:r w:rsidRPr="00323C9A">
        <w:rPr>
          <w:i/>
        </w:rPr>
        <w:t>2010/2014 Quadrennial Review Order</w:t>
      </w:r>
      <w:r>
        <w:t>, 31 FCC Rcd at 9875, para. 29.</w:t>
      </w:r>
    </w:p>
  </w:footnote>
  <w:footnote w:id="177">
    <w:p w:rsidR="00A03401" w:rsidP="00B12C9D">
      <w:pPr>
        <w:pStyle w:val="FootnoteText"/>
      </w:pPr>
      <w:r>
        <w:rPr>
          <w:rStyle w:val="FootnoteReference"/>
        </w:rPr>
        <w:footnoteRef/>
      </w:r>
      <w:r>
        <w:t xml:space="preserve"> </w:t>
      </w:r>
      <w:r>
        <w:rPr>
          <w:i/>
        </w:rPr>
        <w:t>See, e.g., DOJ Nexstar-Media General Complaint</w:t>
      </w:r>
      <w:r>
        <w:t xml:space="preserve">, 81 FR at 63207, para. 12 (stating that “the licensing of broadcast television programming to MVPDs that retransmit the programming to subscribers in each of the DMA Markets” constitutes a relevant market under Section 7 of the Clayton Act); </w:t>
      </w:r>
      <w:r>
        <w:rPr>
          <w:i/>
        </w:rPr>
        <w:t>see also Application of License Subsidiaries of Media General, Inc., from Shareholders of Media General, Inc. to Nexstar Media Group, Inc.</w:t>
      </w:r>
      <w:r>
        <w:t>, Memorandum Opinion and Order, 32 FCC Rcd 183, 196-97, para. 35 (MB 2017) (finding that divestitures required by DOJ resolved any concerns about retransmission consent bargaining leverage within a local market).</w:t>
      </w:r>
    </w:p>
  </w:footnote>
  <w:footnote w:id="178">
    <w:p w:rsidR="00A03401" w:rsidP="00B12C9D">
      <w:pPr>
        <w:pStyle w:val="FootnoteText"/>
      </w:pPr>
      <w:r>
        <w:rPr>
          <w:rStyle w:val="FootnoteReference"/>
        </w:rPr>
        <w:footnoteRef/>
      </w:r>
      <w:r>
        <w:t xml:space="preserve"> </w:t>
      </w:r>
      <w:r w:rsidRPr="00F67126">
        <w:t>4</w:t>
      </w:r>
      <w:r>
        <w:t>7 CFR</w:t>
      </w:r>
      <w:r w:rsidRPr="00F67126">
        <w:t xml:space="preserve"> § 73.3555</w:t>
      </w:r>
      <w:r>
        <w:t xml:space="preserve"> (b)(1).</w:t>
      </w:r>
    </w:p>
  </w:footnote>
  <w:footnote w:id="179">
    <w:p w:rsidR="00A03401" w:rsidP="00B12C9D">
      <w:pPr>
        <w:pStyle w:val="FootnoteText"/>
      </w:pPr>
      <w:r>
        <w:rPr>
          <w:rStyle w:val="FootnoteReference"/>
        </w:rPr>
        <w:footnoteRef/>
      </w:r>
      <w:r>
        <w:t xml:space="preserve"> </w:t>
      </w:r>
      <w:r w:rsidRPr="00323C9A">
        <w:rPr>
          <w:i/>
        </w:rPr>
        <w:t>2010/2014 Quadrennial Review Order</w:t>
      </w:r>
      <w:r>
        <w:t>, 31 FCC Rcd at 9878, para. 38.</w:t>
      </w:r>
    </w:p>
  </w:footnote>
  <w:footnote w:id="180">
    <w:p w:rsidR="00A03401" w:rsidP="00B12C9D">
      <w:pPr>
        <w:pStyle w:val="FootnoteText"/>
      </w:pPr>
      <w:r>
        <w:rPr>
          <w:rStyle w:val="FootnoteReference"/>
        </w:rPr>
        <w:footnoteRef/>
      </w:r>
      <w:r>
        <w:t xml:space="preserve"> </w:t>
      </w:r>
      <w:r>
        <w:rPr>
          <w:i/>
        </w:rPr>
        <w:t>Id.</w:t>
      </w:r>
    </w:p>
  </w:footnote>
  <w:footnote w:id="181">
    <w:p w:rsidR="00A03401" w:rsidP="00B12C9D">
      <w:pPr>
        <w:pStyle w:val="FootnoteText"/>
      </w:pPr>
      <w:r>
        <w:rPr>
          <w:rStyle w:val="FootnoteReference"/>
        </w:rPr>
        <w:footnoteRef/>
      </w:r>
      <w:r>
        <w:t xml:space="preserve"> </w:t>
      </w:r>
      <w:r>
        <w:rPr>
          <w:i/>
        </w:rPr>
        <w:t>Id.</w:t>
      </w:r>
      <w:r>
        <w:t xml:space="preserve"> at 9878, para. 39.</w:t>
      </w:r>
    </w:p>
  </w:footnote>
  <w:footnote w:id="182">
    <w:p w:rsidR="00A03401" w:rsidP="00B12C9D">
      <w:pPr>
        <w:pStyle w:val="FootnoteText"/>
      </w:pPr>
      <w:r>
        <w:rPr>
          <w:rStyle w:val="FootnoteReference"/>
        </w:rPr>
        <w:footnoteRef/>
      </w:r>
      <w:r>
        <w:t xml:space="preserve"> </w:t>
      </w:r>
      <w:r w:rsidRPr="00323C9A">
        <w:rPr>
          <w:i/>
        </w:rPr>
        <w:t>2010/2014 Quadrennial Review Order on Reconsideration</w:t>
      </w:r>
      <w:r>
        <w:t>, 32 FCC Rcd at 9837, para. 79.</w:t>
      </w:r>
    </w:p>
  </w:footnote>
  <w:footnote w:id="183">
    <w:p w:rsidR="00A03401" w:rsidP="00B12C9D">
      <w:pPr>
        <w:pStyle w:val="FootnoteText"/>
      </w:pPr>
      <w:r>
        <w:rPr>
          <w:rStyle w:val="FootnoteReference"/>
        </w:rPr>
        <w:footnoteRef/>
      </w:r>
      <w:r>
        <w:t xml:space="preserve"> </w:t>
      </w:r>
      <w:r w:rsidRPr="00323C9A">
        <w:rPr>
          <w:i/>
        </w:rPr>
        <w:t>2010/2014 Quadrennial Review Order</w:t>
      </w:r>
      <w:r>
        <w:t>, 31 FCC Rcd at 9880, para. 43.</w:t>
      </w:r>
    </w:p>
  </w:footnote>
  <w:footnote w:id="184">
    <w:p w:rsidR="00A03401" w:rsidP="00B12C9D">
      <w:pPr>
        <w:pStyle w:val="FootnoteText"/>
      </w:pPr>
      <w:r>
        <w:rPr>
          <w:rStyle w:val="FootnoteReference"/>
        </w:rPr>
        <w:footnoteRef/>
      </w:r>
      <w:r>
        <w:t xml:space="preserve"> </w:t>
      </w:r>
      <w:r w:rsidRPr="00323C9A">
        <w:rPr>
          <w:i/>
        </w:rPr>
        <w:t>2010/2014 Quadrennial Review Order on Reconsideration</w:t>
      </w:r>
      <w:r>
        <w:t>, 32 FCC Rcd at 9837, para. 79.</w:t>
      </w:r>
    </w:p>
  </w:footnote>
  <w:footnote w:id="185">
    <w:p w:rsidR="00A03401" w:rsidP="00B12C9D">
      <w:pPr>
        <w:pStyle w:val="FootnoteText"/>
      </w:pPr>
      <w:r>
        <w:rPr>
          <w:rStyle w:val="FootnoteReference"/>
        </w:rPr>
        <w:footnoteRef/>
      </w:r>
      <w:r>
        <w:t xml:space="preserve"> </w:t>
      </w:r>
      <w:r w:rsidRPr="00175E74">
        <w:rPr>
          <w:i/>
        </w:rPr>
        <w:t>Id</w:t>
      </w:r>
      <w:r>
        <w:t>,, para. 78.</w:t>
      </w:r>
    </w:p>
  </w:footnote>
  <w:footnote w:id="186">
    <w:p w:rsidR="00A03401" w:rsidP="00B12C9D">
      <w:pPr>
        <w:pStyle w:val="FootnoteText"/>
      </w:pPr>
      <w:r>
        <w:rPr>
          <w:rStyle w:val="FootnoteReference"/>
        </w:rPr>
        <w:footnoteRef/>
      </w:r>
      <w:r>
        <w:t xml:space="preserve"> </w:t>
      </w:r>
      <w:r>
        <w:rPr>
          <w:i/>
        </w:rPr>
        <w:t>Id.</w:t>
      </w:r>
    </w:p>
  </w:footnote>
  <w:footnote w:id="187">
    <w:p w:rsidR="00A03401" w:rsidP="00B12C9D">
      <w:pPr>
        <w:pStyle w:val="FootnoteText"/>
      </w:pPr>
      <w:r>
        <w:rPr>
          <w:rStyle w:val="FootnoteReference"/>
        </w:rPr>
        <w:footnoteRef/>
      </w:r>
      <w:r>
        <w:t xml:space="preserve"> </w:t>
      </w:r>
      <w:r>
        <w:rPr>
          <w:i/>
        </w:rPr>
        <w:t>Id.</w:t>
      </w:r>
    </w:p>
  </w:footnote>
  <w:footnote w:id="188">
    <w:p w:rsidR="00A03401" w:rsidP="00B12C9D">
      <w:pPr>
        <w:pStyle w:val="FootnoteText"/>
      </w:pPr>
      <w:r>
        <w:rPr>
          <w:rStyle w:val="FootnoteReference"/>
        </w:rPr>
        <w:footnoteRef/>
      </w:r>
      <w:r>
        <w:t xml:space="preserve"> For example, o</w:t>
      </w:r>
      <w:r w:rsidRPr="009D799C">
        <w:t xml:space="preserve">ne study submitted in the National Television Multiple Ownership Rule docket </w:t>
      </w:r>
      <w:r>
        <w:t xml:space="preserve">examined the share of local news stories found in locally produced news programs and </w:t>
      </w:r>
      <w:r w:rsidRPr="009D799C">
        <w:t>suggested that locally produced news programming often includes both local and national news stories, and that some station owners require nationally produced news and commentary segments to be aired on all owned stations.</w:t>
      </w:r>
      <w:r>
        <w:t xml:space="preserve">  </w:t>
      </w:r>
      <w:r w:rsidRPr="004E2DBB">
        <w:t xml:space="preserve">Gregory J. Martin and Josh McCrain, </w:t>
      </w:r>
      <w:r w:rsidRPr="004E2DBB">
        <w:rPr>
          <w:i/>
        </w:rPr>
        <w:t>Local News and National Politics</w:t>
      </w:r>
      <w:r w:rsidRPr="004E2DBB">
        <w:t xml:space="preserve"> (2018); Public Interest Commenters Reply, </w:t>
      </w:r>
      <w:r>
        <w:t xml:space="preserve">MB Docket No. 17-318, </w:t>
      </w:r>
      <w:r w:rsidRPr="004E2DBB">
        <w:t>Exhibit A</w:t>
      </w:r>
      <w:r>
        <w:t>.</w:t>
      </w:r>
    </w:p>
  </w:footnote>
  <w:footnote w:id="189">
    <w:p w:rsidR="00A03401" w:rsidP="00B12C9D">
      <w:pPr>
        <w:pStyle w:val="FootnoteText"/>
      </w:pPr>
      <w:r>
        <w:rPr>
          <w:rStyle w:val="FootnoteReference"/>
        </w:rPr>
        <w:footnoteRef/>
      </w:r>
      <w:r>
        <w:t xml:space="preserve"> </w:t>
      </w:r>
      <w:r w:rsidRPr="00D36E27">
        <w:rPr>
          <w:i/>
        </w:rPr>
        <w:t>See</w:t>
      </w:r>
      <w:r>
        <w:t xml:space="preserve"> American Cable Association (ACA) Comments, MB Docket No. 17-179, at 3; American Civil Liberties Union (ACLU) Comments, MB Docket No. 17-179, at 8; American Television Alliance (ATVA) Comments,</w:t>
      </w:r>
      <w:r w:rsidRPr="007F4D56">
        <w:t xml:space="preserve"> </w:t>
      </w:r>
      <w:r>
        <w:t xml:space="preserve">MB Docket No. 17-179, at 6; </w:t>
      </w:r>
      <w:r w:rsidRPr="00E36D71">
        <w:t>Attorneys General of the States of Illinois, Iowa, and Rhode Island Petition to Deny</w:t>
      </w:r>
      <w:r>
        <w:t xml:space="preserve">, MB Docket No. 17-179, at 15; </w:t>
      </w:r>
      <w:r w:rsidRPr="00762E2C">
        <w:t>Cinemoi et al.</w:t>
      </w:r>
      <w:r>
        <w:t xml:space="preserve"> Petition to Deny, MB Docket No. 17-179, at 7; RIDE et al. Reply, MB Docket No. 17-179, at 4-5; NCTA-</w:t>
      </w:r>
      <w:r w:rsidRPr="00D84ED7">
        <w:t>The Internet &amp; Television Association</w:t>
      </w:r>
      <w:r>
        <w:t xml:space="preserve"> Comments, File No. </w:t>
      </w:r>
      <w:r w:rsidRPr="004E0596">
        <w:t>BALCDT-20180516AAY</w:t>
      </w:r>
      <w:r>
        <w:t xml:space="preserve">, at 2-3; ATVA Comments, File No. </w:t>
      </w:r>
      <w:r w:rsidRPr="004E0596">
        <w:t>BALCDT-20180516AAY</w:t>
      </w:r>
      <w:r>
        <w:t>, at 5; NCTA-The Internet &amp; Television Association, MB Docket No. 18-230, at 2-6.</w:t>
      </w:r>
    </w:p>
  </w:footnote>
  <w:footnote w:id="190">
    <w:p w:rsidR="00A03401" w:rsidP="00B12C9D">
      <w:pPr>
        <w:pStyle w:val="FootnoteText"/>
      </w:pPr>
      <w:r>
        <w:rPr>
          <w:rStyle w:val="FootnoteReference"/>
        </w:rPr>
        <w:footnoteRef/>
      </w:r>
      <w:r>
        <w:t xml:space="preserve"> DOJ has previously recognized that common ownership of two major broadcast network affiliates can lead to diminished competition in the negotiation of retransmission agreements with MVPDs in local television markets.  </w:t>
      </w:r>
      <w:r>
        <w:rPr>
          <w:i/>
        </w:rPr>
        <w:t>See DOJ Nexstar-Media General Complaint</w:t>
      </w:r>
      <w:r>
        <w:t>, 81 FR at 63209, para. 29 (stating that a station owner’s bargaining position with MVPDs would be significantly strengthened if it could simultaneously black out at least two major broadcast networks in a DMA).</w:t>
      </w:r>
    </w:p>
  </w:footnote>
  <w:footnote w:id="191">
    <w:p w:rsidR="00A03401" w:rsidP="00B12C9D">
      <w:pPr>
        <w:pStyle w:val="FootnoteText"/>
      </w:pPr>
      <w:r>
        <w:rPr>
          <w:rStyle w:val="FootnoteReference"/>
        </w:rPr>
        <w:footnoteRef/>
      </w:r>
      <w:r>
        <w:t xml:space="preserve"> In the </w:t>
      </w:r>
      <w:r w:rsidRPr="00291C07">
        <w:t xml:space="preserve">STELA Reauthorization Act </w:t>
      </w:r>
      <w:r>
        <w:t>o</w:t>
      </w:r>
      <w:r w:rsidRPr="00291C07">
        <w:t>f 2014</w:t>
      </w:r>
      <w:r>
        <w:t xml:space="preserve">, Congress permitted joint negotiation of retransmission consent by commonly owned stations.  At the time of the STELAR’s passage, the Top-Four Prohibition prevented common ownership of more than one top-four station in a DMA.  As a provision of the Local Television Ownership Rule, the Top-Four Prohibition is subject to quadrennial review (and repeal) if it is found to not be in the public interest.  Subsequent to the STELAR’s passage, the Commission created the ability for applicants to seek case-by-case examination of a top-four combination.    </w:t>
      </w:r>
    </w:p>
  </w:footnote>
  <w:footnote w:id="192">
    <w:p w:rsidR="00A03401" w:rsidP="00B12C9D">
      <w:pPr>
        <w:pStyle w:val="FootnoteText"/>
      </w:pPr>
      <w:r>
        <w:rPr>
          <w:rStyle w:val="FootnoteReference"/>
        </w:rPr>
        <w:footnoteRef/>
      </w:r>
      <w:r>
        <w:t xml:space="preserve"> </w:t>
      </w:r>
      <w:r w:rsidRPr="00F67126">
        <w:t>4</w:t>
      </w:r>
      <w:r>
        <w:t>7 CFR</w:t>
      </w:r>
      <w:r w:rsidRPr="00F67126">
        <w:t xml:space="preserve"> § 73.3555</w:t>
      </w:r>
      <w:r>
        <w:t xml:space="preserve"> (b)(1)(ii).</w:t>
      </w:r>
    </w:p>
  </w:footnote>
  <w:footnote w:id="193">
    <w:p w:rsidR="00A03401" w:rsidP="00B12C9D">
      <w:pPr>
        <w:pStyle w:val="FootnoteText"/>
      </w:pPr>
      <w:r>
        <w:rPr>
          <w:rStyle w:val="FootnoteReference"/>
        </w:rPr>
        <w:footnoteRef/>
      </w:r>
      <w:r>
        <w:t xml:space="preserve"> </w:t>
      </w:r>
      <w:r w:rsidRPr="00323C9A">
        <w:rPr>
          <w:i/>
        </w:rPr>
        <w:t>2010/2014 Quadrennial Review Order on Reconsideration</w:t>
      </w:r>
      <w:r>
        <w:t xml:space="preserve">, 32 FCC Rcd at 9839, para. 82 (encouraging applicants to provide data over a substantial period (e.g. the past three years) </w:t>
      </w:r>
      <w:r w:rsidRPr="005A7CE9">
        <w:t>similar to the requirement in the failing/failed station waiver test</w:t>
      </w:r>
      <w:r>
        <w:t xml:space="preserve">). </w:t>
      </w:r>
    </w:p>
  </w:footnote>
  <w:footnote w:id="194">
    <w:p w:rsidR="00A03401" w:rsidP="00B12C9D">
      <w:pPr>
        <w:pStyle w:val="FootnoteText"/>
      </w:pPr>
      <w:r>
        <w:rPr>
          <w:rStyle w:val="FootnoteReference"/>
        </w:rPr>
        <w:footnoteRef/>
      </w:r>
      <w:r>
        <w:t xml:space="preserve"> </w:t>
      </w:r>
      <w:r w:rsidRPr="00323C9A">
        <w:rPr>
          <w:i/>
        </w:rPr>
        <w:t>2010/2014 Quadrennial Review Order</w:t>
      </w:r>
      <w:r>
        <w:t>, 31 FCC Rcd at 9892, para. 71.</w:t>
      </w:r>
    </w:p>
  </w:footnote>
  <w:footnote w:id="195">
    <w:p w:rsidR="00A03401" w:rsidP="00B12C9D">
      <w:pPr>
        <w:pStyle w:val="FootnoteText"/>
      </w:pPr>
      <w:r>
        <w:rPr>
          <w:rStyle w:val="FootnoteReference"/>
        </w:rPr>
        <w:footnoteRef/>
      </w:r>
      <w:r>
        <w:t xml:space="preserve"> </w:t>
      </w:r>
      <w:r>
        <w:rPr>
          <w:i/>
        </w:rPr>
        <w:t>Id.</w:t>
      </w:r>
    </w:p>
  </w:footnote>
  <w:footnote w:id="196">
    <w:p w:rsidR="00A03401" w:rsidP="00B12C9D">
      <w:pPr>
        <w:pStyle w:val="FootnoteText"/>
      </w:pPr>
      <w:r>
        <w:rPr>
          <w:rStyle w:val="FootnoteReference"/>
        </w:rPr>
        <w:footnoteRef/>
      </w:r>
      <w:r>
        <w:t xml:space="preserve"> </w:t>
      </w:r>
      <w:r>
        <w:rPr>
          <w:i/>
        </w:rPr>
        <w:t>Id.</w:t>
      </w:r>
      <w:r>
        <w:t xml:space="preserve"> at 9892, para. 72.</w:t>
      </w:r>
    </w:p>
  </w:footnote>
  <w:footnote w:id="197">
    <w:p w:rsidR="00A03401" w:rsidP="00B12C9D">
      <w:pPr>
        <w:pStyle w:val="FootnoteText"/>
      </w:pPr>
      <w:r>
        <w:rPr>
          <w:rStyle w:val="FootnoteReference"/>
        </w:rPr>
        <w:footnoteRef/>
      </w:r>
      <w:r>
        <w:t xml:space="preserve"> </w:t>
      </w:r>
      <w:r>
        <w:rPr>
          <w:i/>
        </w:rPr>
        <w:t>Id.</w:t>
      </w:r>
      <w:r>
        <w:t xml:space="preserve"> at 9892-93, para. 72.</w:t>
      </w:r>
    </w:p>
  </w:footnote>
  <w:footnote w:id="198">
    <w:p w:rsidR="00A03401" w:rsidP="00B12C9D">
      <w:pPr>
        <w:pStyle w:val="FootnoteText"/>
      </w:pPr>
      <w:r>
        <w:rPr>
          <w:rStyle w:val="FootnoteReference"/>
        </w:rPr>
        <w:footnoteRef/>
      </w:r>
      <w:r>
        <w:t xml:space="preserve"> </w:t>
      </w:r>
      <w:r w:rsidRPr="00EE53EC">
        <w:rPr>
          <w:i/>
        </w:rPr>
        <w:t>18th Video Competition Report</w:t>
      </w:r>
      <w:r>
        <w:t>, 32 FCC Rcd at 571, para. 8.</w:t>
      </w:r>
    </w:p>
  </w:footnote>
  <w:footnote w:id="199">
    <w:p w:rsidR="00A03401" w:rsidP="00B12C9D">
      <w:pPr>
        <w:pStyle w:val="FootnoteText"/>
      </w:pPr>
      <w:r>
        <w:rPr>
          <w:rStyle w:val="FootnoteReference"/>
        </w:rPr>
        <w:footnoteRef/>
      </w:r>
      <w:r>
        <w:t xml:space="preserve"> </w:t>
      </w:r>
      <w:r w:rsidRPr="00E15264">
        <w:rPr>
          <w:i/>
        </w:rPr>
        <w:t>Streamlined Reauthorization Procedures for Assigned or Transferred Television Satellite Stations</w:t>
      </w:r>
      <w:r>
        <w:t xml:space="preserve">, </w:t>
      </w:r>
      <w:r w:rsidRPr="00E15264">
        <w:t>MB Docket Nos. 18-63, 17-105</w:t>
      </w:r>
      <w:r>
        <w:t xml:space="preserve">, </w:t>
      </w:r>
      <w:r w:rsidRPr="00E15264">
        <w:t>Notice of Proposed Rulemaking</w:t>
      </w:r>
      <w:r>
        <w:t>, FCC 18-34, at 1, para. 2 (Mar. 23, 2018) (</w:t>
      </w:r>
      <w:r w:rsidRPr="00E15264">
        <w:rPr>
          <w:i/>
        </w:rPr>
        <w:t>Satellite TV Reauthorization NPRM</w:t>
      </w:r>
      <w:r>
        <w:t>).</w:t>
      </w:r>
    </w:p>
  </w:footnote>
  <w:footnote w:id="200">
    <w:p w:rsidR="00A03401" w:rsidP="00B12C9D">
      <w:pPr>
        <w:pStyle w:val="FootnoteText"/>
      </w:pPr>
      <w:r>
        <w:rPr>
          <w:rStyle w:val="FootnoteReference"/>
        </w:rPr>
        <w:footnoteRef/>
      </w:r>
      <w:r>
        <w:t xml:space="preserve"> 47 CFR </w:t>
      </w:r>
      <w:r w:rsidRPr="00F67126">
        <w:t>§ 73.3555</w:t>
      </w:r>
      <w:r>
        <w:t xml:space="preserve"> Note 5.  </w:t>
      </w:r>
      <w:r w:rsidRPr="00E15264">
        <w:t>In order for the exception to apply, a television station must obtain authorization as a satellite from the Commission, and it must be reauthorized as a satellite at the time of assignment or transfer of control.</w:t>
      </w:r>
      <w:r>
        <w:t xml:space="preserve">  </w:t>
      </w:r>
      <w:r w:rsidRPr="00E15264">
        <w:rPr>
          <w:i/>
        </w:rPr>
        <w:t>Satellite TV Reauthorization NPRM</w:t>
      </w:r>
      <w:r>
        <w:t xml:space="preserve"> at 1, para. 1.  The Commission has a pending proceeding that </w:t>
      </w:r>
      <w:r w:rsidRPr="00E15264">
        <w:t>propose</w:t>
      </w:r>
      <w:r>
        <w:t>s</w:t>
      </w:r>
      <w:r w:rsidRPr="00E15264">
        <w:t xml:space="preserve"> to streamline the process for reauthorizing television satellite stations when they are assigned or transferred in combination with their previously approved parent station</w:t>
      </w:r>
      <w:r>
        <w:t xml:space="preserve">.  </w:t>
      </w:r>
      <w:r w:rsidRPr="00E15264">
        <w:rPr>
          <w:i/>
        </w:rPr>
        <w:t>Id.</w:t>
      </w:r>
    </w:p>
  </w:footnote>
  <w:footnote w:id="201">
    <w:p w:rsidR="00A03401" w:rsidRPr="00FE6474" w:rsidP="00B12C9D">
      <w:pPr>
        <w:pStyle w:val="FootnoteText"/>
      </w:pPr>
      <w:r>
        <w:rPr>
          <w:rStyle w:val="FootnoteReference"/>
        </w:rPr>
        <w:footnoteRef/>
      </w:r>
      <w:r>
        <w:t xml:space="preserve"> </w:t>
      </w:r>
      <w:r>
        <w:rPr>
          <w:i/>
        </w:rPr>
        <w:t xml:space="preserve">See </w:t>
      </w:r>
      <w:r>
        <w:t>47 CFR § 74.732(b) (stating that low power TV and TV translator stations are not counted for purposes of the multiple ownership rules).</w:t>
      </w:r>
    </w:p>
  </w:footnote>
  <w:footnote w:id="202">
    <w:p w:rsidR="00A03401" w:rsidRPr="007A2C9F" w:rsidP="00B12C9D">
      <w:pPr>
        <w:pStyle w:val="FootnoteText"/>
      </w:pPr>
      <w:r w:rsidRPr="007A2C9F">
        <w:rPr>
          <w:rStyle w:val="FootnoteReference"/>
        </w:rPr>
        <w:footnoteRef/>
      </w:r>
      <w:r w:rsidRPr="007A2C9F">
        <w:t xml:space="preserve"> LPTV stations </w:t>
      </w:r>
      <w:r>
        <w:t xml:space="preserve">may </w:t>
      </w:r>
      <w:r w:rsidRPr="007A2C9F">
        <w:t xml:space="preserve">qualify for must-carry on cable systems only under very limited circumstances set forth in section 614 of the Act.  </w:t>
      </w:r>
      <w:r w:rsidRPr="007A2C9F">
        <w:rPr>
          <w:color w:val="212121"/>
        </w:rPr>
        <w:t xml:space="preserve">47 U.S.C. § 534(c)(1); </w:t>
      </w:r>
      <w:r w:rsidRPr="007A2C9F">
        <w:t xml:space="preserve">47 U.S.C. § 534(h)(2).  </w:t>
      </w:r>
    </w:p>
  </w:footnote>
  <w:footnote w:id="203">
    <w:p w:rsidR="00A03401" w:rsidP="00B12C9D">
      <w:pPr>
        <w:pStyle w:val="FootnoteText"/>
      </w:pPr>
      <w:r>
        <w:rPr>
          <w:rStyle w:val="FootnoteReference"/>
        </w:rPr>
        <w:footnoteRef/>
      </w:r>
      <w:r>
        <w:t xml:space="preserve"> </w:t>
      </w:r>
      <w:r>
        <w:rPr>
          <w:rStyle w:val="FootnoteReference"/>
        </w:rPr>
        <w:footnoteRef/>
      </w:r>
      <w:r>
        <w:t xml:space="preserve"> </w:t>
      </w:r>
      <w:r w:rsidRPr="00A70F00">
        <w:rPr>
          <w:i/>
        </w:rPr>
        <w:t>Authori</w:t>
      </w:r>
      <w:r>
        <w:rPr>
          <w:i/>
        </w:rPr>
        <w:t>zing Permissive Use of t</w:t>
      </w:r>
      <w:r w:rsidRPr="00A70F00">
        <w:rPr>
          <w:i/>
        </w:rPr>
        <w:t>he “Next Generation” Broadcast Television Standard</w:t>
      </w:r>
      <w:r>
        <w:t xml:space="preserve">, </w:t>
      </w:r>
      <w:r w:rsidRPr="00A70F00">
        <w:t>Notice of Proposed Rulemaking</w:t>
      </w:r>
      <w:r>
        <w:t>, 32 FCC Rcd at 1670, 1671, para. 1 (2017).</w:t>
      </w:r>
    </w:p>
  </w:footnote>
  <w:footnote w:id="204">
    <w:p w:rsidR="00A03401" w:rsidP="00B12C9D">
      <w:pPr>
        <w:pStyle w:val="FootnoteText"/>
      </w:pPr>
      <w:r>
        <w:rPr>
          <w:rStyle w:val="FootnoteReference"/>
        </w:rPr>
        <w:footnoteRef/>
      </w:r>
      <w:r>
        <w:t xml:space="preserve"> </w:t>
      </w:r>
      <w:r>
        <w:rPr>
          <w:i/>
        </w:rPr>
        <w:t>Id.</w:t>
      </w:r>
    </w:p>
  </w:footnote>
  <w:footnote w:id="205">
    <w:p w:rsidR="00A03401" w:rsidP="00B12C9D">
      <w:pPr>
        <w:pStyle w:val="FootnoteText"/>
      </w:pPr>
      <w:r>
        <w:rPr>
          <w:rStyle w:val="FootnoteReference"/>
        </w:rPr>
        <w:footnoteRef/>
      </w:r>
      <w:r>
        <w:t xml:space="preserve"> </w:t>
      </w:r>
      <w:r>
        <w:rPr>
          <w:i/>
        </w:rPr>
        <w:t>Id.</w:t>
      </w:r>
    </w:p>
  </w:footnote>
  <w:footnote w:id="206">
    <w:p w:rsidR="00A03401" w:rsidP="00B12C9D">
      <w:pPr>
        <w:pStyle w:val="FootnoteText"/>
      </w:pPr>
      <w:r>
        <w:rPr>
          <w:rStyle w:val="FootnoteReference"/>
        </w:rPr>
        <w:footnoteRef/>
      </w:r>
      <w:r>
        <w:t xml:space="preserve"> </w:t>
      </w:r>
      <w:r w:rsidRPr="00323C9A">
        <w:rPr>
          <w:i/>
        </w:rPr>
        <w:t>2010/2014 Quadrennial Review Order</w:t>
      </w:r>
      <w:r>
        <w:t>, 31 FCC Rcd at 9893-94, para. 75.</w:t>
      </w:r>
    </w:p>
  </w:footnote>
  <w:footnote w:id="207">
    <w:p w:rsidR="00A03401" w:rsidP="00B12C9D">
      <w:pPr>
        <w:pStyle w:val="FootnoteText"/>
      </w:pPr>
      <w:r>
        <w:rPr>
          <w:rStyle w:val="FootnoteReference"/>
        </w:rPr>
        <w:footnoteRef/>
      </w:r>
      <w:r>
        <w:t xml:space="preserve"> </w:t>
      </w:r>
      <w:r>
        <w:rPr>
          <w:i/>
        </w:rPr>
        <w:t>Id.</w:t>
      </w:r>
      <w:r>
        <w:t xml:space="preserve"> at 9894, para. 75.</w:t>
      </w:r>
    </w:p>
  </w:footnote>
  <w:footnote w:id="208">
    <w:p w:rsidR="00A03401" w:rsidP="00B12C9D">
      <w:pPr>
        <w:pStyle w:val="FootnoteText"/>
      </w:pPr>
      <w:r>
        <w:rPr>
          <w:rStyle w:val="FootnoteReference"/>
        </w:rPr>
        <w:footnoteRef/>
      </w:r>
      <w:r>
        <w:t xml:space="preserve"> </w:t>
      </w:r>
      <w:r>
        <w:rPr>
          <w:i/>
        </w:rPr>
        <w:t>Id.</w:t>
      </w:r>
      <w:r>
        <w:t xml:space="preserve"> at 9895, para. 77.</w:t>
      </w:r>
    </w:p>
  </w:footnote>
  <w:footnote w:id="209">
    <w:p w:rsidR="00A03401" w:rsidP="00B12C9D">
      <w:pPr>
        <w:pStyle w:val="FootnoteText"/>
      </w:pPr>
      <w:r>
        <w:rPr>
          <w:rStyle w:val="FootnoteReference"/>
        </w:rPr>
        <w:footnoteRef/>
      </w:r>
      <w:r>
        <w:t xml:space="preserve"> </w:t>
      </w:r>
      <w:r>
        <w:rPr>
          <w:i/>
        </w:rPr>
        <w:t>Id.</w:t>
      </w:r>
      <w:r>
        <w:t xml:space="preserve"> at 9895, para. 78.</w:t>
      </w:r>
    </w:p>
  </w:footnote>
  <w:footnote w:id="210">
    <w:p w:rsidR="00A03401" w:rsidP="00B12C9D">
      <w:pPr>
        <w:pStyle w:val="FootnoteText"/>
      </w:pPr>
      <w:r>
        <w:rPr>
          <w:rStyle w:val="FootnoteReference"/>
        </w:rPr>
        <w:footnoteRef/>
      </w:r>
      <w:r>
        <w:t xml:space="preserve"> </w:t>
      </w:r>
      <w:r>
        <w:rPr>
          <w:i/>
        </w:rPr>
        <w:t>Incentive Auction Closing and Channel Reassignment Public Notice</w:t>
      </w:r>
      <w:r>
        <w:t>, Public Notice, 32 FCC Rcd 2786, 2788, para. 1 (MB/WTB 2017).</w:t>
      </w:r>
    </w:p>
  </w:footnote>
  <w:footnote w:id="211">
    <w:p w:rsidR="00A03401" w:rsidP="00B12C9D">
      <w:pPr>
        <w:pStyle w:val="FootnoteText"/>
      </w:pPr>
      <w:r>
        <w:rPr>
          <w:rStyle w:val="FootnoteReference"/>
        </w:rPr>
        <w:footnoteRef/>
      </w:r>
      <w:r>
        <w:t xml:space="preserve"> </w:t>
      </w:r>
      <w:r>
        <w:rPr>
          <w:i/>
        </w:rPr>
        <w:t>Incentive Auction Closing and Channel Reassignment Public Notice</w:t>
      </w:r>
      <w:r>
        <w:t xml:space="preserve">, 32 FCC Rcd at 2788, para. 1 (citing Middle Class Tax Relief and Job Creation Act of 2012, Pub. L. No. 112-96, §§ 6402 (codified at 47 U.S.C. §309(j)(8)(G)), 6403 (codified at 47 U.S.C. § 1452), 126 Stat. 156 (2012)).  The public notice also announced the broadcast television channel reassignments and reallocations of broadcast television spectrum for flexible use made in the repacking process.  </w:t>
      </w:r>
      <w:r>
        <w:rPr>
          <w:i/>
        </w:rPr>
        <w:t>Incentive Auction Closing and Channel Reassignment Public Notice</w:t>
      </w:r>
      <w:r>
        <w:t>, 32 FCC Rcd at 2788, para. 1.</w:t>
      </w:r>
    </w:p>
  </w:footnote>
  <w:footnote w:id="212">
    <w:p w:rsidR="00A03401" w:rsidP="00B12C9D">
      <w:pPr>
        <w:pStyle w:val="FootnoteText"/>
      </w:pPr>
      <w:r>
        <w:rPr>
          <w:rStyle w:val="FootnoteReference"/>
        </w:rPr>
        <w:footnoteRef/>
      </w:r>
      <w:r>
        <w:t xml:space="preserve"> </w:t>
      </w:r>
      <w:r w:rsidRPr="00323C9A">
        <w:rPr>
          <w:i/>
        </w:rPr>
        <w:t>2010/2014 Quadrennial Review Order</w:t>
      </w:r>
      <w:r>
        <w:t>, 31 FCC Rcd at 10008, para. 338.</w:t>
      </w:r>
    </w:p>
  </w:footnote>
  <w:footnote w:id="213">
    <w:p w:rsidR="00A03401" w:rsidP="00B12C9D">
      <w:pPr>
        <w:pStyle w:val="FootnoteText"/>
      </w:pPr>
      <w:r>
        <w:rPr>
          <w:rStyle w:val="FootnoteReference"/>
        </w:rPr>
        <w:footnoteRef/>
      </w:r>
      <w:r>
        <w:t xml:space="preserve"> </w:t>
      </w:r>
      <w:r>
        <w:rPr>
          <w:i/>
          <w:iCs/>
        </w:rPr>
        <w:t>Id.</w:t>
      </w:r>
      <w:r>
        <w:t xml:space="preserve"> </w:t>
      </w:r>
      <w:r>
        <w:rPr>
          <w:snapToGrid w:val="0"/>
        </w:rPr>
        <w:t xml:space="preserve">at 10009-10, para. 341. </w:t>
      </w:r>
      <w:r>
        <w:t> </w:t>
      </w:r>
    </w:p>
  </w:footnote>
  <w:footnote w:id="214">
    <w:p w:rsidR="00A03401" w:rsidP="00B12C9D">
      <w:pPr>
        <w:pStyle w:val="FootnoteText"/>
      </w:pPr>
      <w:r>
        <w:rPr>
          <w:rStyle w:val="FootnoteReference"/>
        </w:rPr>
        <w:footnoteRef/>
      </w:r>
      <w:r>
        <w:t xml:space="preserve"> </w:t>
      </w:r>
      <w:r>
        <w:rPr>
          <w:i/>
          <w:iCs/>
        </w:rPr>
        <w:t>Id.</w:t>
      </w:r>
      <w:r>
        <w:t xml:space="preserve"> </w:t>
      </w:r>
      <w:r>
        <w:rPr>
          <w:snapToGrid w:val="0"/>
        </w:rPr>
        <w:t>at 10013, para. 351.</w:t>
      </w:r>
    </w:p>
  </w:footnote>
  <w:footnote w:id="215">
    <w:p w:rsidR="00A03401" w:rsidP="00B12C9D">
      <w:pPr>
        <w:pStyle w:val="FootnoteText"/>
      </w:pPr>
      <w:r>
        <w:rPr>
          <w:rStyle w:val="FootnoteReference"/>
        </w:rPr>
        <w:footnoteRef/>
      </w:r>
      <w:r>
        <w:t xml:space="preserve"> </w:t>
      </w:r>
      <w:r w:rsidRPr="00323C9A">
        <w:rPr>
          <w:i/>
        </w:rPr>
        <w:t>2010/2014 Quadrennial Review Order on Reconsideration</w:t>
      </w:r>
      <w:r>
        <w:t>, 32 FCC Rcd at 9854, para. 114.</w:t>
      </w:r>
    </w:p>
  </w:footnote>
  <w:footnote w:id="216">
    <w:p w:rsidR="00A03401" w:rsidP="00B12C9D">
      <w:pPr>
        <w:pStyle w:val="FootnoteText"/>
      </w:pPr>
      <w:r>
        <w:rPr>
          <w:rStyle w:val="FootnoteReference"/>
        </w:rPr>
        <w:footnoteRef/>
      </w:r>
      <w:r>
        <w:t xml:space="preserve"> 47 CFR § 73.658(g).  Section 73.3613(a)(1) in turn defines “network” as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  47 CFR § 73.3613(a)(1).</w:t>
      </w:r>
    </w:p>
  </w:footnote>
  <w:footnote w:id="217">
    <w:p w:rsidR="00A03401" w:rsidP="00B12C9D">
      <w:pPr>
        <w:pStyle w:val="FootnoteText"/>
      </w:pPr>
      <w:r>
        <w:rPr>
          <w:rStyle w:val="FootnoteReference"/>
        </w:rPr>
        <w:footnoteRef/>
      </w:r>
      <w:r>
        <w:t xml:space="preserve"> In the Telecommunications Act of 1996 Congress permitted common ownership of two or more broadcast networks, but not a merger among ABC, CBS, Fox or NBC, or between one these networks and the two largest emerging networks, UPN or WB.  1996 Act</w:t>
      </w:r>
      <w:r w:rsidRPr="00266606">
        <w:t>, §</w:t>
      </w:r>
      <w:r>
        <w:t xml:space="preserve"> </w:t>
      </w:r>
      <w:r w:rsidRPr="00266606">
        <w:t>202(e)</w:t>
      </w:r>
      <w:r>
        <w:t xml:space="preserve">; </w:t>
      </w:r>
      <w:r w:rsidRPr="0072567C">
        <w:rPr>
          <w:i/>
        </w:rPr>
        <w:t>see also</w:t>
      </w:r>
      <w:r>
        <w:t xml:space="preserve"> </w:t>
      </w:r>
      <w:r w:rsidRPr="00266606">
        <w:t xml:space="preserve">S. Rep. No. 230, 104th Cong., 2d Sess. </w:t>
      </w:r>
      <w:r>
        <w:t>a</w:t>
      </w:r>
      <w:r w:rsidRPr="00266606">
        <w:t>t 163</w:t>
      </w:r>
      <w:r>
        <w:t>;</w:t>
      </w:r>
      <w:r w:rsidRPr="00A17856">
        <w:rPr>
          <w:i/>
        </w:rPr>
        <w:t xml:space="preserve"> </w:t>
      </w:r>
      <w:r w:rsidRPr="00D47165">
        <w:rPr>
          <w:i/>
        </w:rPr>
        <w:t>2002</w:t>
      </w:r>
      <w:r>
        <w:t xml:space="preserve"> </w:t>
      </w:r>
      <w:r w:rsidRPr="002D5217">
        <w:rPr>
          <w:i/>
        </w:rPr>
        <w:t>Biennial Review Order</w:t>
      </w:r>
      <w:r>
        <w:t xml:space="preserve">, 18 FCC Rcd at n. 1240.  In 2001, after concluding in its </w:t>
      </w:r>
      <w:r w:rsidRPr="00033BB8">
        <w:t xml:space="preserve">1998 Biennial Review </w:t>
      </w:r>
      <w:r>
        <w:t>that the rule as applied to UPN and WB might no longer be in the public interest (</w:t>
      </w:r>
      <w:r w:rsidRPr="002D5217">
        <w:rPr>
          <w:i/>
        </w:rPr>
        <w:t xml:space="preserve">1998 Biennial </w:t>
      </w:r>
      <w:r>
        <w:rPr>
          <w:i/>
        </w:rPr>
        <w:t xml:space="preserve">Regulatory </w:t>
      </w:r>
      <w:r w:rsidRPr="002D5217">
        <w:rPr>
          <w:i/>
        </w:rPr>
        <w:t xml:space="preserve">Review </w:t>
      </w:r>
      <w:r>
        <w:rPr>
          <w:i/>
        </w:rPr>
        <w:t xml:space="preserve">of the Commission’s Broadcast Ownership Rules and Other Rules Adopted Pursuant to Section 202 Of the Telecommunications Act of 1996, </w:t>
      </w:r>
      <w:r w:rsidRPr="00033BB8">
        <w:t>Order</w:t>
      </w:r>
      <w:r>
        <w:t xml:space="preserve">, 15 FCC Rcd 11058, 11098, para. 77 (2000)), the Commission further modified the dual network rule to permit a Big Four network to merge with or acquire UPN or WB.  </w:t>
      </w:r>
      <w:r w:rsidRPr="009D292B">
        <w:rPr>
          <w:i/>
        </w:rPr>
        <w:t>A</w:t>
      </w:r>
      <w:r>
        <w:rPr>
          <w:i/>
        </w:rPr>
        <w:t>mendment</w:t>
      </w:r>
      <w:r w:rsidRPr="009D292B">
        <w:rPr>
          <w:i/>
        </w:rPr>
        <w:t xml:space="preserve"> of Section 73.658(g) of the Commission’s Rules</w:t>
      </w:r>
      <w:r>
        <w:t>—</w:t>
      </w:r>
      <w:r w:rsidRPr="009D292B">
        <w:rPr>
          <w:i/>
        </w:rPr>
        <w:t>The Dual Network Rule</w:t>
      </w:r>
      <w:r>
        <w:t xml:space="preserve">, Report and Order, 16 FCC Rcd 11114 (2001); </w:t>
      </w:r>
      <w:r>
        <w:rPr>
          <w:i/>
        </w:rPr>
        <w:t>s</w:t>
      </w:r>
      <w:r w:rsidRPr="00807388">
        <w:rPr>
          <w:i/>
        </w:rPr>
        <w:t>ee also</w:t>
      </w:r>
      <w:r>
        <w:t xml:space="preserve"> </w:t>
      </w:r>
      <w:r w:rsidRPr="00D47165">
        <w:rPr>
          <w:i/>
        </w:rPr>
        <w:t>2002</w:t>
      </w:r>
      <w:r>
        <w:t xml:space="preserve"> </w:t>
      </w:r>
      <w:r w:rsidRPr="002D5217">
        <w:rPr>
          <w:i/>
        </w:rPr>
        <w:t>Biennial Review Order</w:t>
      </w:r>
      <w:r>
        <w:t>, 18 FCC Rcd at 13848, para. 594.</w:t>
      </w:r>
    </w:p>
  </w:footnote>
  <w:footnote w:id="218">
    <w:p w:rsidR="00A03401" w:rsidP="00B12C9D">
      <w:pPr>
        <w:pStyle w:val="FootnoteText"/>
      </w:pPr>
      <w:r>
        <w:rPr>
          <w:rStyle w:val="FootnoteReference"/>
        </w:rPr>
        <w:footnoteRef/>
      </w:r>
      <w:r>
        <w:t xml:space="preserve"> </w:t>
      </w:r>
      <w:r w:rsidRPr="00F22D5E">
        <w:rPr>
          <w:i/>
        </w:rPr>
        <w:t>2010/2014 Quadrennial Review Order</w:t>
      </w:r>
      <w:r>
        <w:t>, 31 FCC Rcd at 9952, 9954, 9958, 9959-60, paras. 216, 221, 229, 230-31.</w:t>
      </w:r>
    </w:p>
  </w:footnote>
  <w:footnote w:id="219">
    <w:p w:rsidR="00A03401" w:rsidP="00B12C9D">
      <w:pPr>
        <w:pStyle w:val="FootnoteText"/>
      </w:pPr>
      <w:r>
        <w:rPr>
          <w:rStyle w:val="FootnoteReference"/>
        </w:rPr>
        <w:footnoteRef/>
      </w:r>
      <w:r>
        <w:t xml:space="preserve"> </w:t>
      </w:r>
      <w:r w:rsidRPr="00692D2F">
        <w:rPr>
          <w:i/>
        </w:rPr>
        <w:t>Id</w:t>
      </w:r>
      <w:r>
        <w:t>. at 9954, para. 221.</w:t>
      </w:r>
    </w:p>
  </w:footnote>
  <w:footnote w:id="220">
    <w:p w:rsidR="00A03401" w:rsidP="00B12C9D">
      <w:pPr>
        <w:pStyle w:val="FootnoteText"/>
      </w:pPr>
      <w:r>
        <w:rPr>
          <w:rStyle w:val="FootnoteReference"/>
        </w:rPr>
        <w:footnoteRef/>
      </w:r>
      <w:r w:rsidRPr="00F5620D">
        <w:rPr>
          <w:i/>
        </w:rPr>
        <w:t>Id</w:t>
      </w:r>
      <w:r>
        <w:t>. at 9958, para. 229.</w:t>
      </w:r>
    </w:p>
  </w:footnote>
  <w:footnote w:id="221">
    <w:p w:rsidR="00A03401" w:rsidRPr="00310480" w:rsidP="00B12C9D">
      <w:pPr>
        <w:pStyle w:val="FootnoteText"/>
      </w:pPr>
      <w:r>
        <w:rPr>
          <w:rStyle w:val="FootnoteReference"/>
        </w:rPr>
        <w:footnoteRef/>
      </w:r>
      <w:r>
        <w:t xml:space="preserve"> “Besides [a] few individual series or episodes, however, the highest-rated primetime entertainment programs on cable networks attracted, at most between 6 and 7 million viewers . . . .  By contrast for most of 2015 there were, at minimum, a dozen—and in a number of weeks around two dozen or so—primetime entertainment programs on the top-four broadcast networks that attracted more than 7 million viewers, with some of the highest-rated episodes attracting between 18 and 26 million viewers.” (citations omitted)).  </w:t>
      </w:r>
      <w:r w:rsidRPr="00F5620D">
        <w:rPr>
          <w:i/>
        </w:rPr>
        <w:t>Id</w:t>
      </w:r>
      <w:r>
        <w:t xml:space="preserve">. at 9955, para. 225.  </w:t>
      </w:r>
      <w:r w:rsidRPr="00770809">
        <w:rPr>
          <w:i/>
        </w:rPr>
        <w:t>See also id</w:t>
      </w:r>
      <w:r>
        <w:rPr>
          <w:i/>
        </w:rPr>
        <w:t>.</w:t>
      </w:r>
      <w:r>
        <w:t xml:space="preserve"> at 9954-57, paras. 225-26.</w:t>
      </w:r>
    </w:p>
  </w:footnote>
  <w:footnote w:id="222">
    <w:p w:rsidR="00A03401" w:rsidP="00B12C9D">
      <w:pPr>
        <w:pStyle w:val="FootnoteText"/>
      </w:pPr>
      <w:r>
        <w:rPr>
          <w:rStyle w:val="FootnoteReference"/>
        </w:rPr>
        <w:footnoteRef/>
      </w:r>
      <w:r>
        <w:t xml:space="preserve"> </w:t>
      </w:r>
      <w:r w:rsidRPr="00C827C2">
        <w:rPr>
          <w:i/>
        </w:rPr>
        <w:t>18</w:t>
      </w:r>
      <w:r w:rsidRPr="00C827C2">
        <w:rPr>
          <w:i/>
          <w:vertAlign w:val="superscript"/>
        </w:rPr>
        <w:t>th</w:t>
      </w:r>
      <w:r w:rsidRPr="00C827C2">
        <w:rPr>
          <w:i/>
        </w:rPr>
        <w:t xml:space="preserve"> Video Competition Report</w:t>
      </w:r>
      <w:r>
        <w:t>, 32 FCC Rcd at 614, para. 117, Table III.B.3.</w:t>
      </w:r>
    </w:p>
  </w:footnote>
  <w:footnote w:id="223">
    <w:p w:rsidR="00A03401" w:rsidP="00B12C9D">
      <w:pPr>
        <w:pStyle w:val="FootnoteText"/>
      </w:pPr>
      <w:r>
        <w:rPr>
          <w:rStyle w:val="FootnoteReference"/>
        </w:rPr>
        <w:footnoteRef/>
      </w:r>
      <w:r>
        <w:t xml:space="preserve"> </w:t>
      </w:r>
      <w:r w:rsidRPr="00347BA4">
        <w:rPr>
          <w:i/>
        </w:rPr>
        <w:t>2010/2014 Quadrennial Review Order</w:t>
      </w:r>
      <w:r>
        <w:t xml:space="preserve">, 31 FCC Rcd at 9957, para. 227.  Specifically, between 2011-2014, the average of the four highest CPMs [cost per mille or cost per thousand views] among non-sports cable networks (MTV, Bravo, Discovery Channel and Food Network) was approximately $12.43, or approximately 44 percent less than the average CPM among the Big Four broadcast networks, which was approximately $22.31.  The four cable networks with the highest net advertising revenue totals in 2014, TNT, USA, TBS and Nickelodeon/Nick at Nite, were projected to average approximately $1.04 billion in 2015 net advertising revenues, less than a third of the average revenues of $3.31 billion projected for the Big Four broadcast networks.  </w:t>
      </w:r>
      <w:r w:rsidRPr="001D4013">
        <w:rPr>
          <w:i/>
        </w:rPr>
        <w:t>Id</w:t>
      </w:r>
      <w:r>
        <w:t>.</w:t>
      </w:r>
      <w:r w:rsidRPr="001D4013">
        <w:rPr>
          <w:i/>
        </w:rPr>
        <w:t xml:space="preserve"> </w:t>
      </w:r>
      <w:r>
        <w:t>at 9957-9959, paras. 227-28.</w:t>
      </w:r>
    </w:p>
  </w:footnote>
  <w:footnote w:id="224">
    <w:p w:rsidR="00A03401" w:rsidP="00B12C9D">
      <w:pPr>
        <w:pStyle w:val="FootnoteText"/>
      </w:pPr>
      <w:r>
        <w:rPr>
          <w:rStyle w:val="FootnoteReference"/>
        </w:rPr>
        <w:footnoteRef/>
      </w:r>
      <w:r>
        <w:t xml:space="preserve"> </w:t>
      </w:r>
      <w:r w:rsidRPr="00C827C2">
        <w:rPr>
          <w:i/>
        </w:rPr>
        <w:t>18</w:t>
      </w:r>
      <w:r w:rsidRPr="00C827C2">
        <w:rPr>
          <w:i/>
          <w:vertAlign w:val="superscript"/>
        </w:rPr>
        <w:t>th</w:t>
      </w:r>
      <w:r w:rsidRPr="00C827C2">
        <w:rPr>
          <w:i/>
        </w:rPr>
        <w:t xml:space="preserve"> Video Competition Report</w:t>
      </w:r>
      <w:r>
        <w:t>, 32 FCC Rcd at 615, Table III.B.4.</w:t>
      </w:r>
    </w:p>
  </w:footnote>
  <w:footnote w:id="225">
    <w:p w:rsidR="00A03401" w:rsidP="00B12C9D">
      <w:pPr>
        <w:pStyle w:val="FootnoteText"/>
      </w:pPr>
      <w:r>
        <w:rPr>
          <w:rStyle w:val="FootnoteReference"/>
        </w:rPr>
        <w:footnoteRef/>
      </w:r>
      <w:r>
        <w:t xml:space="preserve"> </w:t>
      </w:r>
      <w:r w:rsidRPr="00550F87">
        <w:rPr>
          <w:i/>
        </w:rPr>
        <w:t xml:space="preserve">2002 Biennial Review </w:t>
      </w:r>
      <w:r w:rsidRPr="00347BA4">
        <w:t>Order</w:t>
      </w:r>
      <w:r>
        <w:t xml:space="preserve">, </w:t>
      </w:r>
      <w:r w:rsidRPr="00347BA4">
        <w:t>18</w:t>
      </w:r>
      <w:r>
        <w:t xml:space="preserve"> FCC Rcd at 13850, para. 601; </w:t>
      </w:r>
      <w:r w:rsidRPr="00347BA4">
        <w:rPr>
          <w:i/>
        </w:rPr>
        <w:t>2006 Quadrennial Review Order</w:t>
      </w:r>
      <w:r>
        <w:t xml:space="preserve">, 23 FCC Rcd at 2082, para. 140; </w:t>
      </w:r>
      <w:r w:rsidRPr="00347BA4">
        <w:rPr>
          <w:i/>
        </w:rPr>
        <w:t>2010/2014 Quadrennial Review Order</w:t>
      </w:r>
      <w:r>
        <w:t>, 31 FCC Rcd at 9954, para. 221.</w:t>
      </w:r>
    </w:p>
  </w:footnote>
  <w:footnote w:id="226">
    <w:p w:rsidR="00A03401" w:rsidP="00B12C9D">
      <w:pPr>
        <w:pStyle w:val="FootnoteText"/>
      </w:pPr>
      <w:r>
        <w:rPr>
          <w:rStyle w:val="FootnoteReference"/>
        </w:rPr>
        <w:footnoteRef/>
      </w:r>
      <w:r>
        <w:t xml:space="preserve"> </w:t>
      </w:r>
      <w:r w:rsidRPr="00F22D5E">
        <w:rPr>
          <w:i/>
        </w:rPr>
        <w:t>2010/2014 Quadrennial Review Order</w:t>
      </w:r>
      <w:r>
        <w:t>, 31 FCC Rcd at 9952, 9954, 9958, paras. 216, 221, 229.</w:t>
      </w:r>
    </w:p>
  </w:footnote>
  <w:footnote w:id="227">
    <w:p w:rsidR="00A03401" w:rsidP="00B12C9D">
      <w:pPr>
        <w:pStyle w:val="FootnoteText"/>
      </w:pPr>
      <w:r>
        <w:rPr>
          <w:rStyle w:val="FootnoteReference"/>
        </w:rPr>
        <w:footnoteRef/>
      </w:r>
      <w:r>
        <w:t xml:space="preserve"> </w:t>
      </w:r>
      <w:r w:rsidRPr="00D30B13">
        <w:rPr>
          <w:i/>
        </w:rPr>
        <w:t>Id</w:t>
      </w:r>
      <w:r>
        <w:t>. at 9954-9958, paras. 224-228.</w:t>
      </w:r>
    </w:p>
  </w:footnote>
  <w:footnote w:id="228">
    <w:p w:rsidR="00A03401" w:rsidP="00B12C9D">
      <w:pPr>
        <w:pStyle w:val="FootnoteText"/>
      </w:pPr>
      <w:r>
        <w:rPr>
          <w:rStyle w:val="FootnoteReference"/>
        </w:rPr>
        <w:footnoteRef/>
      </w:r>
      <w:r>
        <w:t xml:space="preserve"> </w:t>
      </w:r>
      <w:r w:rsidRPr="00E201D5">
        <w:rPr>
          <w:i/>
        </w:rPr>
        <w:t>2002 Biennial Review Order</w:t>
      </w:r>
      <w:r>
        <w:t xml:space="preserve">, 18 FCC Rcd at 13832, 13842, 13855, paras. 546-47, 578, 612-613; </w:t>
      </w:r>
      <w:r w:rsidRPr="00F7404B">
        <w:rPr>
          <w:i/>
        </w:rPr>
        <w:t>see also Amendment of Section 73.355(e) of the Commission’s Rules, National Television Multiple Ownership Rule</w:t>
      </w:r>
      <w:r>
        <w:t>, Notice of Proposed Rulemaking, 32 FCC Rcd 10785, 10791-92, para. 14 (2017) (National Cap NPRM).</w:t>
      </w:r>
    </w:p>
  </w:footnote>
  <w:footnote w:id="229">
    <w:p w:rsidR="00A03401" w:rsidP="00B12C9D">
      <w:pPr>
        <w:pStyle w:val="FootnoteText"/>
      </w:pPr>
      <w:r>
        <w:rPr>
          <w:rStyle w:val="FootnoteReference"/>
        </w:rPr>
        <w:footnoteRef/>
      </w:r>
      <w:r>
        <w:t xml:space="preserve"> </w:t>
      </w:r>
      <w:r w:rsidRPr="00E201D5">
        <w:rPr>
          <w:i/>
        </w:rPr>
        <w:t xml:space="preserve">See </w:t>
      </w:r>
      <w:r>
        <w:t xml:space="preserve">47 C.F.R. § 73.658(e); </w:t>
      </w:r>
      <w:r w:rsidRPr="00E201D5">
        <w:rPr>
          <w:i/>
        </w:rPr>
        <w:t>2002 Biennial Review Order</w:t>
      </w:r>
      <w:r>
        <w:t>, 18 FCC Rcd at 13855, paras. 612-613.</w:t>
      </w:r>
    </w:p>
  </w:footnote>
  <w:footnote w:id="230">
    <w:p w:rsidR="00A03401" w:rsidP="00B12C9D">
      <w:pPr>
        <w:pStyle w:val="FootnoteText"/>
      </w:pPr>
      <w:r>
        <w:rPr>
          <w:rStyle w:val="FootnoteReference"/>
        </w:rPr>
        <w:footnoteRef/>
      </w:r>
      <w:r>
        <w:t xml:space="preserve"> </w:t>
      </w:r>
      <w:r w:rsidRPr="00E201D5">
        <w:rPr>
          <w:i/>
        </w:rPr>
        <w:t>2002 Biennial Review Order</w:t>
      </w:r>
      <w:r>
        <w:t xml:space="preserve">, 18 FCC Rcd at 13855-56, paras. 611, 615; </w:t>
      </w:r>
      <w:r w:rsidRPr="00E201D5">
        <w:rPr>
          <w:i/>
        </w:rPr>
        <w:t>2010/2014 Quadrennial Review Order</w:t>
      </w:r>
      <w:r>
        <w:t xml:space="preserve">, 31 FCC Rcd at 9959-60, paras. 230-31.  The Commission also has found that a national cap on the number of households nationwide that a broadcast station group reaches helps preserve this balance of bargaining power by preventing the excessive accumulation of audience reach by network-owned groups that are more likely to hold stations in multiple markets with large populations.  </w:t>
      </w:r>
      <w:r w:rsidRPr="00FE0DC3">
        <w:rPr>
          <w:i/>
        </w:rPr>
        <w:t>2002 Biennial Review Order</w:t>
      </w:r>
      <w:r>
        <w:t>, 18 FCC Rcd at 13842-43, paras. 578-81.</w:t>
      </w:r>
    </w:p>
  </w:footnote>
  <w:footnote w:id="231">
    <w:p w:rsidR="00A03401" w:rsidRPr="004E2DBB" w:rsidP="00B12C9D">
      <w:pPr>
        <w:pStyle w:val="FootnoteText"/>
      </w:pPr>
      <w:r w:rsidRPr="004E2DBB">
        <w:rPr>
          <w:rStyle w:val="FootnoteReference"/>
        </w:rPr>
        <w:footnoteRef/>
      </w:r>
      <w:r w:rsidRPr="004E2DBB">
        <w:t xml:space="preserve"> </w:t>
      </w:r>
      <w:r w:rsidRPr="004E2DBB">
        <w:rPr>
          <w:i/>
        </w:rPr>
        <w:t xml:space="preserve">See, e.g., Applications of Comcast Corporation, General Electric Company, and </w:t>
      </w:r>
      <w:r w:rsidRPr="004146B1">
        <w:rPr>
          <w:i/>
        </w:rPr>
        <w:t>NBC Universal, Inc. for Consent to Assign Licenses and Transfer Control of Licenses</w:t>
      </w:r>
      <w:r w:rsidRPr="004146B1">
        <w:t>, Memorandum Opinion and Order, 26 FCC Rcd 4238, 4309-10, para. 170 (2011) (</w:t>
      </w:r>
      <w:r w:rsidRPr="004146B1">
        <w:rPr>
          <w:i/>
        </w:rPr>
        <w:t>Comcast-NBCU Order</w:t>
      </w:r>
      <w:r w:rsidRPr="004146B1">
        <w:t>)</w:t>
      </w:r>
      <w:r w:rsidRPr="004146B1">
        <w:rPr>
          <w:i/>
        </w:rPr>
        <w:t xml:space="preserve"> </w:t>
      </w:r>
      <w:r w:rsidRPr="004146B1">
        <w:t>(noting that “the role of broadcast networks in the retransmission consent process is changing”).</w:t>
      </w:r>
    </w:p>
  </w:footnote>
  <w:footnote w:id="232">
    <w:p w:rsidR="00A03401" w:rsidRPr="00794005" w:rsidP="00B12C9D">
      <w:pPr>
        <w:spacing w:after="120"/>
        <w:rPr>
          <w:sz w:val="20"/>
        </w:rPr>
      </w:pPr>
      <w:r w:rsidRPr="00794005">
        <w:rPr>
          <w:rStyle w:val="FootnoteReference"/>
        </w:rPr>
        <w:footnoteRef/>
      </w:r>
      <w:r w:rsidRPr="00794005">
        <w:rPr>
          <w:sz w:val="20"/>
        </w:rPr>
        <w:t xml:space="preserve"> Retransmission consent fees now account for roughly a quarter of broadcast revenues industrywide.  </w:t>
      </w:r>
      <w:r w:rsidRPr="00794005">
        <w:rPr>
          <w:i/>
          <w:sz w:val="20"/>
        </w:rPr>
        <w:t>See 18</w:t>
      </w:r>
      <w:r w:rsidRPr="00794005">
        <w:rPr>
          <w:i/>
          <w:sz w:val="20"/>
          <w:vertAlign w:val="superscript"/>
        </w:rPr>
        <w:t>th</w:t>
      </w:r>
      <w:r w:rsidRPr="00794005">
        <w:rPr>
          <w:i/>
          <w:sz w:val="20"/>
        </w:rPr>
        <w:t xml:space="preserve"> Video Competition Report</w:t>
      </w:r>
      <w:r w:rsidRPr="00794005">
        <w:rPr>
          <w:sz w:val="20"/>
        </w:rPr>
        <w:t xml:space="preserve">, 32 FCC Rcd at 618-19, paras. 124-26.  These fees have increased from approximately $215 million in 2006 to $9.3 billion in 2017.  SNL Kagan, Media Census (June 2017). </w:t>
      </w:r>
      <w:r>
        <w:rPr>
          <w:sz w:val="20"/>
        </w:rPr>
        <w:t xml:space="preserve"> </w:t>
      </w:r>
      <w:r w:rsidRPr="00794005">
        <w:rPr>
          <w:rFonts w:eastAsia="Calibri"/>
          <w:i/>
          <w:iCs/>
          <w:kern w:val="0"/>
          <w:sz w:val="20"/>
        </w:rPr>
        <w:t>See Implementation of Section 3 of the Cable Television Consumer Protection and Competition Act of 1992</w:t>
      </w:r>
      <w:r w:rsidRPr="00794005">
        <w:rPr>
          <w:rFonts w:eastAsia="Calibri"/>
          <w:kern w:val="0"/>
          <w:sz w:val="20"/>
        </w:rPr>
        <w:t>, Report on Cable Industry Prices, 31 FCC Rcd 11498, 11512 (MB 2016) (stating that the “</w:t>
      </w:r>
      <w:r w:rsidRPr="00794005">
        <w:rPr>
          <w:rFonts w:eastAsia="Calibri"/>
          <w:snapToGrid/>
          <w:kern w:val="0"/>
          <w:sz w:val="20"/>
        </w:rPr>
        <w:t>average annual total amount paid for retransmission consent by a cable system was nearly $7.8 million in 2013 and $12.7 million in 2014, an increase of 63.2 percent”).</w:t>
      </w:r>
    </w:p>
  </w:footnote>
  <w:footnote w:id="233">
    <w:p w:rsidR="00A03401" w:rsidRPr="00B12C9D" w:rsidP="00B12C9D">
      <w:pPr>
        <w:pStyle w:val="FootnoteText"/>
        <w:rPr>
          <w:lang w:val="es-ES"/>
        </w:rPr>
      </w:pPr>
      <w:r w:rsidRPr="004E2DBB">
        <w:rPr>
          <w:rStyle w:val="FootnoteReference"/>
        </w:rPr>
        <w:footnoteRef/>
      </w:r>
      <w:r w:rsidRPr="004E2DBB">
        <w:t xml:space="preserve"> </w:t>
      </w:r>
      <w:r w:rsidRPr="004E2DBB">
        <w:rPr>
          <w:i/>
        </w:rPr>
        <w:t>See 18</w:t>
      </w:r>
      <w:r w:rsidRPr="004E2DBB">
        <w:rPr>
          <w:i/>
          <w:vertAlign w:val="superscript"/>
        </w:rPr>
        <w:t>th</w:t>
      </w:r>
      <w:r w:rsidRPr="004E2DBB">
        <w:rPr>
          <w:i/>
        </w:rPr>
        <w:t xml:space="preserve"> Video Competition Report</w:t>
      </w:r>
      <w:r w:rsidRPr="004E2DBB">
        <w:t xml:space="preserve">, 32 FCC Rcd at 618, para. </w:t>
      </w:r>
      <w:r w:rsidRPr="00B12C9D">
        <w:rPr>
          <w:lang w:val="es-ES"/>
        </w:rPr>
        <w:t>124.</w:t>
      </w:r>
    </w:p>
  </w:footnote>
  <w:footnote w:id="234">
    <w:p w:rsidR="00A03401" w:rsidRPr="00B12C9D" w:rsidP="00B12C9D">
      <w:pPr>
        <w:pStyle w:val="FootnoteText"/>
        <w:rPr>
          <w:lang w:val="es-ES"/>
        </w:rPr>
      </w:pPr>
      <w:r w:rsidRPr="004E2DBB">
        <w:rPr>
          <w:rStyle w:val="FootnoteReference"/>
        </w:rPr>
        <w:footnoteRef/>
      </w:r>
      <w:r w:rsidRPr="00B12C9D">
        <w:rPr>
          <w:lang w:val="es-ES"/>
        </w:rPr>
        <w:t xml:space="preserve"> SNL Kagan, Media Census (June 2017).</w:t>
      </w:r>
    </w:p>
  </w:footnote>
  <w:footnote w:id="235">
    <w:p w:rsidR="00A03401" w:rsidRPr="004E2DBB" w:rsidP="00B12C9D">
      <w:pPr>
        <w:pStyle w:val="FootnoteText"/>
      </w:pPr>
      <w:r w:rsidRPr="004E2DBB">
        <w:rPr>
          <w:rStyle w:val="FootnoteReference"/>
        </w:rPr>
        <w:footnoteRef/>
      </w:r>
      <w:r w:rsidRPr="004E2DBB">
        <w:t xml:space="preserve"> </w:t>
      </w:r>
      <w:r w:rsidRPr="004E2DBB">
        <w:rPr>
          <w:i/>
        </w:rPr>
        <w:t>See, e.g., Implementation of Section 103 of the STELA Reauthorization Act of 2014, Totality of the Circumstances Test</w:t>
      </w:r>
      <w:r w:rsidRPr="004E2DBB">
        <w:t xml:space="preserve">, Notice of Proposed Rulemaking, 30 FCC Rcd 10327, 10338-39, para. 14 (2015) (describing network negotiation for retransmission consent on behalf of affiliates); </w:t>
      </w:r>
      <w:r w:rsidRPr="004E2DBB">
        <w:rPr>
          <w:i/>
        </w:rPr>
        <w:t>Amendment of the Commission’s Rules Related to Retransmission Consent</w:t>
      </w:r>
      <w:r w:rsidRPr="004E2DBB">
        <w:t>, Notice of Proposed Rulemaking, 26 FCC Rcd 2718, 2730-31, para. 22 (2011) (describing networks’ rights to review or approve affiliates’ retransmission consent contracts with MVPDs).</w:t>
      </w:r>
    </w:p>
  </w:footnote>
  <w:footnote w:id="236">
    <w:p w:rsidR="00A03401" w:rsidRPr="004E2DBB" w:rsidP="00B12C9D">
      <w:pPr>
        <w:pStyle w:val="FootnoteText"/>
      </w:pPr>
      <w:r w:rsidRPr="004E2DBB">
        <w:rPr>
          <w:rStyle w:val="FootnoteReference"/>
        </w:rPr>
        <w:footnoteRef/>
      </w:r>
      <w:r w:rsidRPr="004E2DBB">
        <w:t xml:space="preserve"> </w:t>
      </w:r>
      <w:r w:rsidRPr="004E2DBB">
        <w:rPr>
          <w:i/>
        </w:rPr>
        <w:t xml:space="preserve">See </w:t>
      </w:r>
      <w:r w:rsidRPr="004E2DBB">
        <w:t xml:space="preserve">47 CFR §§ 76.92 and 76.122; </w:t>
      </w:r>
      <w:r w:rsidRPr="004E2DBB">
        <w:rPr>
          <w:i/>
        </w:rPr>
        <w:t>see also Comcast-NBCU Order</w:t>
      </w:r>
      <w:r w:rsidRPr="004E2DBB">
        <w:t>, 26 FCC Rcd at 4306-12, paras. 163-78.</w:t>
      </w:r>
    </w:p>
  </w:footnote>
  <w:footnote w:id="237">
    <w:p w:rsidR="00A03401" w:rsidP="00B12C9D">
      <w:pPr>
        <w:pStyle w:val="FootnoteText"/>
      </w:pPr>
      <w:r>
        <w:rPr>
          <w:rStyle w:val="FootnoteReference"/>
        </w:rPr>
        <w:footnoteRef/>
      </w:r>
      <w:r>
        <w:t xml:space="preserve"> </w:t>
      </w:r>
      <w:r>
        <w:rPr>
          <w:i/>
        </w:rPr>
        <w:t>National Cap NPRM</w:t>
      </w:r>
      <w:r>
        <w:t xml:space="preserve">, Comments of the ABC Television Affiliates Association, CBS Television Network Affiliates Association, FBC Television Affiliates Association, and NBC Television Affiliates at 31 (filed Mar. 20, 2018) (stating that networks may allow OVDs to carry a “white feed,” </w:t>
      </w:r>
      <w:r>
        <w:rPr>
          <w:i/>
        </w:rPr>
        <w:t>i.e.</w:t>
      </w:r>
      <w:r>
        <w:t>, a national network feed without any local affiliate content, including local news in the absence of the local station’s signal and that OVDs will not negotiate with the station in such circumstances).</w:t>
      </w:r>
    </w:p>
  </w:footnote>
  <w:footnote w:id="238">
    <w:p w:rsidR="00A03401" w:rsidP="00B12C9D">
      <w:pPr>
        <w:pStyle w:val="FootnoteText"/>
      </w:pPr>
      <w:r>
        <w:rPr>
          <w:rStyle w:val="FootnoteReference"/>
        </w:rPr>
        <w:footnoteRef/>
      </w:r>
      <w:r>
        <w:t xml:space="preserve"> </w:t>
      </w:r>
      <w:r w:rsidRPr="00E201D5">
        <w:rPr>
          <w:i/>
        </w:rPr>
        <w:t>2010/2014 Quadrennial Review Order</w:t>
      </w:r>
      <w:r>
        <w:t>, 31 FCC Rcd at 9960, para. 233.</w:t>
      </w:r>
    </w:p>
  </w:footnote>
  <w:footnote w:id="239">
    <w:p w:rsidR="00A03401" w:rsidP="00B12C9D">
      <w:pPr>
        <w:pStyle w:val="FootnoteText"/>
      </w:pPr>
      <w:r>
        <w:rPr>
          <w:rStyle w:val="FootnoteReference"/>
        </w:rPr>
        <w:footnoteRef/>
      </w:r>
      <w:r>
        <w:t xml:space="preserve"> </w:t>
      </w:r>
      <w:bookmarkStart w:id="39" w:name="_Hlk529452717"/>
      <w:r>
        <w:rPr>
          <w:i/>
        </w:rPr>
        <w:t>Id.</w:t>
      </w:r>
      <w:r w:rsidRPr="00A92B88">
        <w:t xml:space="preserve"> at</w:t>
      </w:r>
      <w:bookmarkEnd w:id="39"/>
      <w:r>
        <w:t xml:space="preserve"> 10004-07, paras. 328-33.</w:t>
      </w:r>
    </w:p>
  </w:footnote>
  <w:footnote w:id="240">
    <w:p w:rsidR="00A03401" w:rsidP="00B12C9D">
      <w:pPr>
        <w:pStyle w:val="FootnoteText"/>
      </w:pPr>
      <w:r>
        <w:rPr>
          <w:rStyle w:val="FootnoteReference"/>
        </w:rPr>
        <w:footnoteRef/>
      </w:r>
      <w:r>
        <w:t xml:space="preserve"> </w:t>
      </w:r>
      <w:bookmarkStart w:id="40" w:name="_Hlk528683318"/>
      <w:r>
        <w:rPr>
          <w:i/>
        </w:rPr>
        <w:t>Id.</w:t>
      </w:r>
      <w:r w:rsidRPr="00666105">
        <w:t xml:space="preserve"> at </w:t>
      </w:r>
      <w:bookmarkEnd w:id="40"/>
      <w:r w:rsidRPr="00666105">
        <w:t>10004</w:t>
      </w:r>
      <w:r>
        <w:t>-05, para. 328.</w:t>
      </w:r>
    </w:p>
  </w:footnote>
  <w:footnote w:id="241">
    <w:p w:rsidR="00A03401" w:rsidP="00B12C9D">
      <w:pPr>
        <w:pStyle w:val="FootnoteText"/>
      </w:pPr>
      <w:r>
        <w:rPr>
          <w:rStyle w:val="FootnoteReference"/>
        </w:rPr>
        <w:footnoteRef/>
      </w:r>
      <w:r>
        <w:t xml:space="preserve"> </w:t>
      </w:r>
      <w:r w:rsidRPr="00BF5312">
        <w:rPr>
          <w:i/>
        </w:rPr>
        <w:t>In the Matter of Equal Employment Opportunity Audit and Enforcement Team Deployment</w:t>
      </w:r>
      <w:r w:rsidRPr="00BF5312">
        <w:t>, Order, FCC 18-103 (rel. July 24, 2018).</w:t>
      </w:r>
    </w:p>
  </w:footnote>
  <w:footnote w:id="242">
    <w:p w:rsidR="00A03401" w:rsidRPr="001C19C2" w:rsidP="00B12C9D">
      <w:pPr>
        <w:pStyle w:val="FootnoteText"/>
      </w:pPr>
      <w:r>
        <w:rPr>
          <w:rStyle w:val="FootnoteReference"/>
        </w:rPr>
        <w:footnoteRef/>
      </w:r>
      <w:r>
        <w:t xml:space="preserve"> </w:t>
      </w:r>
      <w:r w:rsidRPr="00E90F47">
        <w:rPr>
          <w:i/>
        </w:rPr>
        <w:t>2010/2014 Quadrennial Review Order</w:t>
      </w:r>
      <w:r w:rsidRPr="00E90F47">
        <w:t>, 31 FCC Rcd at</w:t>
      </w:r>
      <w:r>
        <w:t xml:space="preserve"> 10006-07, paras. 331-32. </w:t>
      </w:r>
      <w:r>
        <w:rPr>
          <w:i/>
        </w:rPr>
        <w:t xml:space="preserve">  </w:t>
      </w:r>
      <w:r>
        <w:t xml:space="preserve">In the </w:t>
      </w:r>
      <w:r w:rsidRPr="00F14670">
        <w:rPr>
          <w:i/>
        </w:rPr>
        <w:t>2010/2014 Quadrennial Review Order</w:t>
      </w:r>
      <w:r>
        <w:t xml:space="preserve">, the Commission stated that it would evaluate the feasibility of extending cable-procurement type rules to the broadcast industry.  In addition, it committed to consider further the ideas of tradeable diversity credits and the two formulas to promote broadcast diversity and to solicit input on these particular ideas in the document initiating the next quadrennial review of the media ownership rules.  </w:t>
      </w:r>
      <w:r w:rsidRPr="00D56502">
        <w:rPr>
          <w:i/>
        </w:rPr>
        <w:t>Id</w:t>
      </w:r>
      <w:r>
        <w:t>.</w:t>
      </w:r>
    </w:p>
  </w:footnote>
  <w:footnote w:id="243">
    <w:p w:rsidR="00A03401" w:rsidRPr="00B123AE" w:rsidP="00B12C9D">
      <w:pPr>
        <w:pStyle w:val="FootnoteText"/>
      </w:pPr>
      <w:r w:rsidRPr="00B123AE">
        <w:rPr>
          <w:rStyle w:val="FootnoteReference"/>
        </w:rPr>
        <w:footnoteRef/>
      </w:r>
      <w:r w:rsidRPr="00B123AE">
        <w:t xml:space="preserve"> 47 U.S.C. §</w:t>
      </w:r>
      <w:r>
        <w:t xml:space="preserve"> </w:t>
      </w:r>
      <w:r w:rsidRPr="00B123AE">
        <w:t>554(d)(2)</w:t>
      </w:r>
      <w:r>
        <w:t>(E)-(F)</w:t>
      </w:r>
      <w:r w:rsidRPr="00B123AE">
        <w:t xml:space="preserve">.  </w:t>
      </w:r>
    </w:p>
  </w:footnote>
  <w:footnote w:id="244">
    <w:p w:rsidR="00A03401" w:rsidRPr="00B123AE" w:rsidP="00B12C9D">
      <w:pPr>
        <w:pStyle w:val="FootnoteText"/>
      </w:pPr>
      <w:r w:rsidRPr="00B123AE">
        <w:rPr>
          <w:rStyle w:val="FootnoteReference"/>
        </w:rPr>
        <w:footnoteRef/>
      </w:r>
      <w:r w:rsidRPr="00B123AE">
        <w:t xml:space="preserve"> 47 CFR §</w:t>
      </w:r>
      <w:r>
        <w:t xml:space="preserve"> </w:t>
      </w:r>
      <w:r w:rsidRPr="00B123AE">
        <w:t xml:space="preserve">76.75(e).  </w:t>
      </w:r>
    </w:p>
  </w:footnote>
  <w:footnote w:id="245">
    <w:p w:rsidR="00A03401" w:rsidRPr="00B123AE" w:rsidP="00B12C9D">
      <w:pPr>
        <w:pStyle w:val="FootnoteText"/>
      </w:pPr>
      <w:r w:rsidRPr="00B123AE">
        <w:rPr>
          <w:rStyle w:val="FootnoteReference"/>
        </w:rPr>
        <w:footnoteRef/>
      </w:r>
      <w:r w:rsidRPr="00B123AE">
        <w:t xml:space="preserve"> </w:t>
      </w:r>
      <w:r w:rsidRPr="00B123AE">
        <w:rPr>
          <w:i/>
        </w:rPr>
        <w:t>See</w:t>
      </w:r>
      <w:r>
        <w:rPr>
          <w:i/>
        </w:rPr>
        <w:t>, e.g.,</w:t>
      </w:r>
      <w:r w:rsidRPr="00B123AE">
        <w:t xml:space="preserve"> Recommendation on Procurement Issues, Emerging Technologies Subcommittee, Advisory Committee for Diversity in the Digital Age (June 10, 2008) available at </w:t>
      </w:r>
      <w:r>
        <w:fldChar w:fldCharType="begin"/>
      </w:r>
      <w:r>
        <w:instrText xml:space="preserve"> HYPERLINK "http://transition.fcc.gov/DiversityFAC/061008/procurement-061008.pdf" </w:instrText>
      </w:r>
      <w:r>
        <w:fldChar w:fldCharType="separate"/>
      </w:r>
      <w:r w:rsidRPr="00B123AE">
        <w:rPr>
          <w:rStyle w:val="Hyperlink"/>
        </w:rPr>
        <w:t>http://transition.fcc.gov/DiversityFAC/061008/procurement-061008.pdf</w:t>
      </w:r>
      <w:r>
        <w:fldChar w:fldCharType="end"/>
      </w:r>
      <w:r w:rsidRPr="00B123AE">
        <w:t xml:space="preserve"> (last visited </w:t>
      </w:r>
      <w:r>
        <w:t>Dec.7</w:t>
      </w:r>
      <w:r w:rsidRPr="00B123AE">
        <w:t>, 2018)</w:t>
      </w:r>
      <w:r>
        <w:t>(Recommendation on Procurement Issues)</w:t>
      </w:r>
      <w:r w:rsidRPr="00B123AE">
        <w:t>.</w:t>
      </w:r>
    </w:p>
  </w:footnote>
  <w:footnote w:id="246">
    <w:p w:rsidR="00A03401" w:rsidP="00B12C9D">
      <w:pPr>
        <w:pStyle w:val="FootnoteText"/>
      </w:pPr>
      <w:r>
        <w:rPr>
          <w:rStyle w:val="FootnoteReference"/>
        </w:rPr>
        <w:footnoteRef/>
      </w:r>
      <w:r>
        <w:t xml:space="preserve"> </w:t>
      </w:r>
      <w:r w:rsidRPr="00136978">
        <w:rPr>
          <w:i/>
        </w:rPr>
        <w:t>2010/2014 Quadrennial Review Order</w:t>
      </w:r>
      <w:r w:rsidRPr="00136978">
        <w:t>, 31 FCC Rcd at</w:t>
      </w:r>
      <w:r>
        <w:t xml:space="preserve"> 10006, para. 330.</w:t>
      </w:r>
    </w:p>
  </w:footnote>
  <w:footnote w:id="247">
    <w:p w:rsidR="00A03401" w:rsidP="00B12C9D">
      <w:pPr>
        <w:pStyle w:val="FootnoteText"/>
      </w:pPr>
      <w:r>
        <w:rPr>
          <w:rStyle w:val="FootnoteReference"/>
        </w:rPr>
        <w:footnoteRef/>
      </w:r>
      <w:r>
        <w:t xml:space="preserve"> 47 U.S.C. § 554(d)(2)(E).  </w:t>
      </w:r>
    </w:p>
  </w:footnote>
  <w:footnote w:id="248">
    <w:p w:rsidR="00A03401" w:rsidP="00B12C9D">
      <w:pPr>
        <w:pStyle w:val="FootnoteText"/>
      </w:pPr>
      <w:r>
        <w:rPr>
          <w:rStyle w:val="FootnoteReference"/>
        </w:rPr>
        <w:footnoteRef/>
      </w:r>
      <w:r>
        <w:t xml:space="preserve"> 47 U.S.C. § 334.</w:t>
      </w:r>
    </w:p>
  </w:footnote>
  <w:footnote w:id="249">
    <w:p w:rsidR="00A03401" w:rsidRPr="0006087D" w:rsidP="00B12C9D">
      <w:pPr>
        <w:pStyle w:val="FootnoteText"/>
        <w:rPr>
          <w:b/>
        </w:rPr>
      </w:pPr>
      <w:r>
        <w:rPr>
          <w:rStyle w:val="FootnoteReference"/>
        </w:rPr>
        <w:footnoteRef/>
      </w:r>
      <w:r>
        <w:t xml:space="preserve"> </w:t>
      </w:r>
      <w:r w:rsidRPr="0050495A">
        <w:t xml:space="preserve">In the past, supporters </w:t>
      </w:r>
      <w:r>
        <w:t>advocating an extension of the cable procurement rule</w:t>
      </w:r>
      <w:r w:rsidRPr="0050495A">
        <w:t xml:space="preserve"> have suggested that sections 151 and 257 </w:t>
      </w:r>
      <w:r>
        <w:t xml:space="preserve">of the Communications Act </w:t>
      </w:r>
      <w:r w:rsidRPr="0050495A">
        <w:t xml:space="preserve">might </w:t>
      </w:r>
      <w:r>
        <w:t>form</w:t>
      </w:r>
      <w:r w:rsidRPr="0050495A">
        <w:t xml:space="preserve"> the basis of such an extension.</w:t>
      </w:r>
      <w:r>
        <w:t xml:space="preserve">  </w:t>
      </w:r>
      <w:r>
        <w:rPr>
          <w:i/>
        </w:rPr>
        <w:t>See</w:t>
      </w:r>
      <w:r>
        <w:t xml:space="preserve"> Recommendation on Procurement Issues.  </w:t>
      </w:r>
      <w:r>
        <w:rPr>
          <w:i/>
        </w:rPr>
        <w:t>See also</w:t>
      </w:r>
      <w:r>
        <w:t xml:space="preserve"> </w:t>
      </w:r>
      <w:r w:rsidRPr="00D32D0B">
        <w:rPr>
          <w:i/>
          <w:iCs/>
          <w:color w:val="000000"/>
        </w:rPr>
        <w:t>Comcast</w:t>
      </w:r>
      <w:r w:rsidRPr="00D32D0B">
        <w:rPr>
          <w:i/>
          <w:iCs/>
        </w:rPr>
        <w:t xml:space="preserve"> Corp. v. FCC</w:t>
      </w:r>
      <w:r>
        <w:t>, 600 F.3d 642, 651-61</w:t>
      </w:r>
      <w:r w:rsidRPr="00D32D0B">
        <w:t xml:space="preserve"> (D.C. Cir. 2010)</w:t>
      </w:r>
      <w:r>
        <w:t xml:space="preserve"> (extensively discussing Commission’s reliance on ancillary authority in various proceedings)</w:t>
      </w:r>
      <w:r>
        <w:rPr>
          <w:color w:val="000000"/>
        </w:rPr>
        <w:t>.</w:t>
      </w:r>
      <w:r>
        <w:t xml:space="preserve">  </w:t>
      </w:r>
    </w:p>
  </w:footnote>
  <w:footnote w:id="250">
    <w:p w:rsidR="00A03401" w:rsidP="00B12C9D">
      <w:pPr>
        <w:pStyle w:val="FootnoteText"/>
      </w:pPr>
      <w:r>
        <w:rPr>
          <w:rStyle w:val="FootnoteReference"/>
        </w:rPr>
        <w:footnoteRef/>
      </w:r>
      <w:r>
        <w:t xml:space="preserve"> </w:t>
      </w:r>
      <w:r w:rsidRPr="001C129E">
        <w:t xml:space="preserve">In </w:t>
      </w:r>
      <w:r w:rsidRPr="001C129E">
        <w:rPr>
          <w:i/>
        </w:rPr>
        <w:t>Adarand</w:t>
      </w:r>
      <w:r w:rsidRPr="001C129E">
        <w:t xml:space="preserve">, the </w:t>
      </w:r>
      <w:r>
        <w:t xml:space="preserve">Supreme </w:t>
      </w:r>
      <w:r w:rsidRPr="001C129E">
        <w:t>Court held</w:t>
      </w:r>
      <w:r w:rsidRPr="001C129E">
        <w:rPr>
          <w:i/>
        </w:rPr>
        <w:t xml:space="preserve"> </w:t>
      </w:r>
      <w:r w:rsidRPr="001C129E">
        <w:t>that any federal program in which the “government treats any person unequally because of his or her race” must satisfy the “strict scrutiny” constitutional standard of judicial review</w:t>
      </w:r>
      <w:r>
        <w:t xml:space="preserve">.  </w:t>
      </w:r>
      <w:r>
        <w:rPr>
          <w:i/>
        </w:rPr>
        <w:t xml:space="preserve">See Adarand Constructors, Inc. v. </w:t>
      </w:r>
      <w:r w:rsidRPr="00F56E4E">
        <w:rPr>
          <w:i/>
        </w:rPr>
        <w:t>Pe</w:t>
      </w:r>
      <w:r w:rsidRPr="00033BB8">
        <w:rPr>
          <w:i/>
        </w:rPr>
        <w:t>ñ</w:t>
      </w:r>
      <w:r w:rsidRPr="00F56E4E">
        <w:rPr>
          <w:i/>
        </w:rPr>
        <w:t>a</w:t>
      </w:r>
      <w:r>
        <w:t xml:space="preserve">, </w:t>
      </w:r>
      <w:r w:rsidRPr="00F56E4E">
        <w:t>515</w:t>
      </w:r>
      <w:r>
        <w:t xml:space="preserve"> U.S. 200, 229-230 (1995).  </w:t>
      </w:r>
      <w:r w:rsidRPr="00F56E4E">
        <w:t>Likewise, any programs that are based on gender classifications would have to satisfy the “intermediate scrutiny” standard established for such classifications.</w:t>
      </w:r>
      <w:r>
        <w:t xml:space="preserve">  </w:t>
      </w:r>
      <w:r w:rsidRPr="00F56E4E">
        <w:rPr>
          <w:i/>
        </w:rPr>
        <w:t>See</w:t>
      </w:r>
      <w:r w:rsidRPr="00F56E4E">
        <w:t xml:space="preserve"> </w:t>
      </w:r>
      <w:r w:rsidRPr="003A56B4">
        <w:rPr>
          <w:i/>
        </w:rPr>
        <w:t>2010/</w:t>
      </w:r>
      <w:r w:rsidRPr="00F56E4E">
        <w:rPr>
          <w:i/>
        </w:rPr>
        <w:t>2014 Quadrennial Review</w:t>
      </w:r>
      <w:r w:rsidRPr="00F56E4E">
        <w:t xml:space="preserve"> </w:t>
      </w:r>
      <w:r w:rsidRPr="0005394D">
        <w:rPr>
          <w:i/>
        </w:rPr>
        <w:t>FNPRM</w:t>
      </w:r>
      <w:r>
        <w:t xml:space="preserve"> at</w:t>
      </w:r>
      <w:r w:rsidRPr="00F56E4E">
        <w:t xml:space="preserve"> 4508, para. 301 (citing </w:t>
      </w:r>
      <w:r w:rsidRPr="00F56E4E">
        <w:rPr>
          <w:i/>
        </w:rPr>
        <w:t>United States v. Virginia</w:t>
      </w:r>
      <w:r w:rsidRPr="00F56E4E">
        <w:t xml:space="preserve">, 518 U.S. 515, 531-33 (1996); </w:t>
      </w:r>
      <w:r w:rsidRPr="00F56E4E">
        <w:rPr>
          <w:i/>
        </w:rPr>
        <w:t>Nev. Dep’t of Human Res. v. Hibbs</w:t>
      </w:r>
      <w:r w:rsidRPr="00F56E4E">
        <w:t>, 538 U.S. 721 (2003)).</w:t>
      </w:r>
      <w:r>
        <w:t xml:space="preserve"> </w:t>
      </w:r>
    </w:p>
  </w:footnote>
  <w:footnote w:id="251">
    <w:p w:rsidR="00A03401" w:rsidRPr="00331500" w:rsidP="00B12C9D">
      <w:pPr>
        <w:pStyle w:val="FootnoteText"/>
      </w:pPr>
      <w:r>
        <w:rPr>
          <w:rStyle w:val="FootnoteReference"/>
        </w:rPr>
        <w:footnoteRef/>
      </w:r>
      <w:r>
        <w:t xml:space="preserve"> </w:t>
      </w:r>
      <w:r>
        <w:rPr>
          <w:i/>
        </w:rPr>
        <w:t>See 2010/2014 Quadrennial Review Order</w:t>
      </w:r>
      <w:r>
        <w:t xml:space="preserve">, 31 FCC Rcd at </w:t>
      </w:r>
      <w:r w:rsidRPr="00D807F4">
        <w:t>9961-62, 9987-99, paras. 236, 297-312</w:t>
      </w:r>
      <w:r w:rsidRPr="003A56B4">
        <w:t>.</w:t>
      </w:r>
    </w:p>
  </w:footnote>
  <w:footnote w:id="252">
    <w:p w:rsidR="00A03401" w:rsidRPr="001E5AC3" w:rsidP="00B12C9D">
      <w:pPr>
        <w:pStyle w:val="FootnoteText"/>
      </w:pPr>
      <w:r>
        <w:rPr>
          <w:rStyle w:val="FootnoteReference"/>
        </w:rPr>
        <w:footnoteRef/>
      </w:r>
      <w:r>
        <w:t xml:space="preserve"> The D.C. Circuit has held previously that </w:t>
      </w:r>
      <w:r>
        <w:rPr>
          <w:i/>
        </w:rPr>
        <w:t>any</w:t>
      </w:r>
      <w:r>
        <w:t xml:space="preserve"> pressure to hire or recruit based on protected classifications as a result of the threat of Commission investigation triggers strict scrutiny.  </w:t>
      </w:r>
      <w:r>
        <w:rPr>
          <w:i/>
        </w:rPr>
        <w:t>See MD/DC/DE Broadcasters Assoc. v. FCC</w:t>
      </w:r>
      <w:r>
        <w:t xml:space="preserve">, 236 F.3d 13, 20-21 (D.C. Cir. 2001) (rejecting the Commission’s position that, “unlike affirmative action in hiring, ‘affirmative outreach’ in recruitment does not implicate equal protection </w:t>
      </w:r>
      <w:r w:rsidRPr="001E5AC3">
        <w:t xml:space="preserve">concerns because it merely expands the applicant pool, and an individual applicant has no right to compete against fewer rivals for a job”), </w:t>
      </w:r>
      <w:r w:rsidRPr="001E5AC3">
        <w:rPr>
          <w:i/>
          <w:iCs/>
        </w:rPr>
        <w:t>cert. denied</w:t>
      </w:r>
      <w:r w:rsidRPr="001E5AC3">
        <w:t>, 534 U.S. 1113 (2002);</w:t>
      </w:r>
      <w:r w:rsidRPr="001E5AC3">
        <w:rPr>
          <w:i/>
          <w:iCs/>
        </w:rPr>
        <w:t xml:space="preserve"> Lutheran Church/Missouri Synod v. FCC</w:t>
      </w:r>
      <w:r w:rsidRPr="001E5AC3">
        <w:t xml:space="preserve">, </w:t>
      </w:r>
      <w:r>
        <w:t xml:space="preserve">141 F.3d 344, 351 </w:t>
      </w:r>
      <w:r w:rsidRPr="001E5AC3">
        <w:t>(“the crucial point is… whether [the EEO rules] oblige stations to grant some degree of preference to minorities in hiring.”)</w:t>
      </w:r>
      <w:r>
        <w:t>,</w:t>
      </w:r>
      <w:r w:rsidRPr="001E5AC3">
        <w:t xml:space="preserve"> </w:t>
      </w:r>
      <w:r>
        <w:rPr>
          <w:i/>
        </w:rPr>
        <w:t>rehearing en banc denied</w:t>
      </w:r>
      <w:r w:rsidRPr="001E5AC3">
        <w:t>, 154 F.3d 487, 491 (D.C. Cir. 1998) (“the degree to which the regulations require, oblige, pressure, induce, or even encourage the hiring of particular races is not the logical determinant of whether the regulation calls for a racial classification… the FCC’s regulations at issue here indisputably pressure</w:t>
      </w:r>
      <w:r>
        <w:t>—</w:t>
      </w:r>
      <w:r w:rsidRPr="001E5AC3">
        <w:t>even if they do not explicitly direct or require</w:t>
      </w:r>
      <w:r>
        <w:t>—</w:t>
      </w:r>
      <w:r w:rsidRPr="001E5AC3">
        <w:t>stations</w:t>
      </w:r>
      <w:r>
        <w:t xml:space="preserve"> </w:t>
      </w:r>
      <w:r w:rsidRPr="001E5AC3">
        <w:t xml:space="preserve">to make race-based hiring decisions”) (denying petition for rehearing).  </w:t>
      </w:r>
      <w:r>
        <w:t xml:space="preserve">  </w:t>
      </w:r>
    </w:p>
  </w:footnote>
  <w:footnote w:id="253">
    <w:p w:rsidR="00A03401" w:rsidP="00B12C9D">
      <w:pPr>
        <w:pStyle w:val="FootnoteText"/>
      </w:pPr>
      <w:r>
        <w:rPr>
          <w:rStyle w:val="FootnoteReference"/>
        </w:rPr>
        <w:footnoteRef/>
      </w:r>
      <w:r>
        <w:t xml:space="preserve"> </w:t>
      </w:r>
      <w:r w:rsidRPr="00472A82">
        <w:rPr>
          <w:i/>
        </w:rPr>
        <w:t>2010/2014 Quadrennial Regulatory Review</w:t>
      </w:r>
      <w:r>
        <w:rPr>
          <w:i/>
        </w:rPr>
        <w:t>,</w:t>
      </w:r>
      <w:r w:rsidRPr="00472A82">
        <w:t xml:space="preserve"> Letter from Kim Keenan, Pres</w:t>
      </w:r>
      <w:r>
        <w:t>ident</w:t>
      </w:r>
      <w:r w:rsidRPr="00472A82">
        <w:t xml:space="preserve"> &amp; CEO and David Honig, Pres</w:t>
      </w:r>
      <w:r>
        <w:t>ident</w:t>
      </w:r>
      <w:r w:rsidRPr="00472A82">
        <w:t xml:space="preserve"> Emeritus and Senior Advisor, MMTC, to Thomas Wheeler, Chairman</w:t>
      </w:r>
      <w:r>
        <w:t xml:space="preserve">, </w:t>
      </w:r>
      <w:r w:rsidRPr="00472A82">
        <w:t>FCC</w:t>
      </w:r>
      <w:r>
        <w:t>, at 5</w:t>
      </w:r>
      <w:r w:rsidRPr="00472A82">
        <w:t xml:space="preserve"> (filed June 24, 2016)</w:t>
      </w:r>
      <w:r>
        <w:t>(</w:t>
      </w:r>
      <w:r w:rsidRPr="00875CBD">
        <w:t>MMTC June 24, 2016</w:t>
      </w:r>
      <w:r>
        <w:t>,</w:t>
      </w:r>
      <w:r w:rsidRPr="00875CBD">
        <w:t xml:space="preserve"> </w:t>
      </w:r>
      <w:r w:rsidRPr="00875CBD">
        <w:rPr>
          <w:i/>
        </w:rPr>
        <w:t>Ex Parte</w:t>
      </w:r>
      <w:r w:rsidRPr="00875CBD">
        <w:t xml:space="preserve"> Letter</w:t>
      </w:r>
      <w:r>
        <w:t>)</w:t>
      </w:r>
      <w:r w:rsidRPr="00875CBD">
        <w:t>.</w:t>
      </w:r>
      <w:r>
        <w:t xml:space="preserve">  </w:t>
      </w:r>
    </w:p>
  </w:footnote>
  <w:footnote w:id="254">
    <w:p w:rsidR="00A03401" w:rsidP="00B12C9D">
      <w:pPr>
        <w:pStyle w:val="FootnoteText"/>
      </w:pPr>
      <w:r>
        <w:rPr>
          <w:rStyle w:val="FootnoteReference"/>
        </w:rPr>
        <w:footnoteRef/>
      </w:r>
      <w:r>
        <w:t xml:space="preserve"> </w:t>
      </w:r>
      <w:r w:rsidRPr="00875CBD">
        <w:rPr>
          <w:i/>
        </w:rPr>
        <w:t>Id</w:t>
      </w:r>
      <w:r>
        <w:t>.</w:t>
      </w:r>
    </w:p>
  </w:footnote>
  <w:footnote w:id="255">
    <w:p w:rsidR="00A03401" w:rsidRPr="00142168" w:rsidP="00B12C9D">
      <w:pPr>
        <w:pStyle w:val="FootnoteText"/>
      </w:pPr>
      <w:r>
        <w:rPr>
          <w:rStyle w:val="FootnoteReference"/>
        </w:rPr>
        <w:footnoteRef/>
      </w:r>
      <w:r>
        <w:t xml:space="preserve"> </w:t>
      </w:r>
      <w:r>
        <w:rPr>
          <w:i/>
        </w:rPr>
        <w:t>See, e.g.,</w:t>
      </w:r>
      <w:r>
        <w:t xml:space="preserve"> “What is Corporate Social Responsibility,” Business News Daily (June 8, 2018), available at  </w:t>
      </w:r>
      <w:r>
        <w:fldChar w:fldCharType="begin"/>
      </w:r>
      <w:r>
        <w:instrText xml:space="preserve"> HYPERLINK "https://www.businessnewsdaily.com/4679-corporate-social-responsibility.html" </w:instrText>
      </w:r>
      <w:r>
        <w:fldChar w:fldCharType="separate"/>
      </w:r>
      <w:r w:rsidRPr="00EE3008">
        <w:rPr>
          <w:rStyle w:val="Hyperlink"/>
        </w:rPr>
        <w:t>https://www.businessnewsdaily.com/4679-corporate-social-responsibility.html</w:t>
      </w:r>
      <w:r>
        <w:fldChar w:fldCharType="end"/>
      </w:r>
      <w:r>
        <w:t xml:space="preserve">  (describing a study by Cone Communications finding that more than 60 percent of Americans hope businesses will drive social and environmental change in the absence of government regulation); </w:t>
      </w:r>
      <w:r w:rsidRPr="005F5AB3">
        <w:rPr>
          <w:i/>
        </w:rPr>
        <w:t>see also</w:t>
      </w:r>
      <w:r>
        <w:t xml:space="preserve"> “Making the Most of Corporate Social Responsibility” by Tracey Keys, Thomas W. Malnight, and Kees van der Graaf, McKinsey Quarterly (Dec. 2009), available at  </w:t>
      </w:r>
      <w:r>
        <w:fldChar w:fldCharType="begin"/>
      </w:r>
      <w:r>
        <w:instrText xml:space="preserve"> HYPERLINK "https://www.mckinsey.com/featured-insights/leadership/making-the-most-of-corporate-social-responsibility" </w:instrText>
      </w:r>
      <w:r>
        <w:fldChar w:fldCharType="separate"/>
      </w:r>
      <w:r w:rsidRPr="00EE3008">
        <w:rPr>
          <w:rStyle w:val="Hyperlink"/>
        </w:rPr>
        <w:t>https://www.mckinsey.com/featured-insights/leadership/making-the-most-of-corporate-social-responsibility</w:t>
      </w:r>
      <w:r>
        <w:fldChar w:fldCharType="end"/>
      </w:r>
      <w:r>
        <w:t xml:space="preserve"> (noting that “[i]ncreasingly, employees are choosing to work for organizations whose values resonate with their own.”) </w:t>
      </w:r>
      <w:r w:rsidRPr="000E5830">
        <w:t>and</w:t>
      </w:r>
      <w:r>
        <w:t xml:space="preserve"> 2017 Comcast-NBCUniversal Corporate Social Responsibility Report, available at  </w:t>
      </w:r>
      <w:r>
        <w:fldChar w:fldCharType="begin"/>
      </w:r>
      <w:r>
        <w:instrText xml:space="preserve"> HYPERLINK "https://corporate.comcast.com/csr2017/suppliers-stir-up-fresh-perspectives" </w:instrText>
      </w:r>
      <w:r>
        <w:fldChar w:fldCharType="separate"/>
      </w:r>
      <w:r w:rsidRPr="00EE3008">
        <w:rPr>
          <w:rStyle w:val="Hyperlink"/>
        </w:rPr>
        <w:t>https://corporate.comcast.com/csr2017/suppliers-stir-up-fresh-perspectives</w:t>
      </w:r>
      <w:r>
        <w:fldChar w:fldCharType="end"/>
      </w:r>
      <w:r w:rsidRPr="005B1E1E">
        <w:t xml:space="preserve"> </w:t>
      </w:r>
      <w:r>
        <w:t>(quoting Comcast’s Chief Procurement Officer who stated that “[d]</w:t>
      </w:r>
      <w:r w:rsidRPr="005B1E1E">
        <w:t>iversity within our supply chain gives our company a competitive edge, helps inspire innovation, and offers insights into the inter</w:t>
      </w:r>
      <w:r>
        <w:t>ests and needs of our customers. . . .</w:t>
      </w:r>
      <w:r w:rsidRPr="005B1E1E">
        <w:t>”</w:t>
      </w:r>
      <w:r>
        <w:t xml:space="preserve">). </w:t>
      </w:r>
    </w:p>
  </w:footnote>
  <w:footnote w:id="256">
    <w:p w:rsidR="00A03401" w:rsidRPr="0098750E" w:rsidP="00B12C9D">
      <w:pPr>
        <w:pStyle w:val="FootnoteText"/>
      </w:pPr>
      <w:r>
        <w:rPr>
          <w:rStyle w:val="FootnoteReference"/>
        </w:rPr>
        <w:footnoteRef/>
      </w:r>
      <w:r w:rsidRPr="00B12C9D">
        <w:rPr>
          <w:lang w:val="es-ES"/>
        </w:rPr>
        <w:t xml:space="preserve"> </w:t>
      </w:r>
      <w:r w:rsidRPr="00B12C9D">
        <w:rPr>
          <w:i/>
          <w:lang w:val="es-ES"/>
        </w:rPr>
        <w:t>See, e.g., supra</w:t>
      </w:r>
      <w:r w:rsidRPr="00B12C9D">
        <w:rPr>
          <w:lang w:val="es-ES"/>
        </w:rPr>
        <w:t xml:space="preserve"> paras. </w:t>
      </w:r>
      <w:r>
        <w:t>38-</w:t>
      </w:r>
      <w:r w:rsidRPr="00033BB8">
        <w:t>39</w:t>
      </w:r>
      <w:r>
        <w:t>.</w:t>
      </w:r>
    </w:p>
  </w:footnote>
  <w:footnote w:id="257">
    <w:p w:rsidR="00A03401" w:rsidP="00B12C9D">
      <w:pPr>
        <w:pStyle w:val="FootnoteText"/>
      </w:pPr>
      <w:r>
        <w:rPr>
          <w:rStyle w:val="FootnoteReference"/>
        </w:rPr>
        <w:footnoteRef/>
      </w:r>
      <w:r>
        <w:t xml:space="preserve"> </w:t>
      </w:r>
      <w:r>
        <w:rPr>
          <w:i/>
        </w:rPr>
        <w:t xml:space="preserve">See </w:t>
      </w:r>
      <w:r w:rsidRPr="006A7950">
        <w:rPr>
          <w:i/>
        </w:rPr>
        <w:t xml:space="preserve">2010/2014 Quadrennial Review Order, </w:t>
      </w:r>
      <w:r w:rsidRPr="006A7950">
        <w:t>31 FCC Rcd at</w:t>
      </w:r>
      <w:r>
        <w:t xml:space="preserve"> 10006-07, para. 332; </w:t>
      </w:r>
      <w:r w:rsidRPr="00215A26">
        <w:rPr>
          <w:i/>
        </w:rPr>
        <w:t>see also</w:t>
      </w:r>
      <w:r>
        <w:t xml:space="preserve"> </w:t>
      </w:r>
      <w:r w:rsidRPr="00C70BED">
        <w:rPr>
          <w:i/>
        </w:rPr>
        <w:t>2010 Quadrennial Review NPRM</w:t>
      </w:r>
      <w:r>
        <w:t xml:space="preserve">, Supplemental Comments of the Diversity and Competition Supporters in Response to the Notice of Proposed Rulemaking at 75 (filed Apr. 3, 2012) (DCS Supplemental NPRM Comments); MMTC June 24, 2016, </w:t>
      </w:r>
      <w:r w:rsidRPr="00033BB8">
        <w:rPr>
          <w:i/>
        </w:rPr>
        <w:t>Ex Parte</w:t>
      </w:r>
      <w:r>
        <w:t xml:space="preserve"> Letter at 7-8.</w:t>
      </w:r>
    </w:p>
  </w:footnote>
  <w:footnote w:id="258">
    <w:p w:rsidR="00A03401" w:rsidRPr="00A11516" w:rsidP="00B12C9D">
      <w:pPr>
        <w:pStyle w:val="FootnoteText"/>
      </w:pPr>
      <w:r>
        <w:rPr>
          <w:rStyle w:val="FootnoteReference"/>
        </w:rPr>
        <w:footnoteRef/>
      </w:r>
      <w:r>
        <w:t xml:space="preserve"> </w:t>
      </w:r>
      <w:r w:rsidRPr="00A11516">
        <w:rPr>
          <w:i/>
        </w:rPr>
        <w:t>See</w:t>
      </w:r>
      <w:r w:rsidRPr="00A11516">
        <w:t xml:space="preserve"> </w:t>
      </w:r>
      <w:r w:rsidRPr="00A24369">
        <w:rPr>
          <w:i/>
        </w:rPr>
        <w:t xml:space="preserve">2002 Biennial </w:t>
      </w:r>
      <w:r>
        <w:rPr>
          <w:i/>
        </w:rPr>
        <w:t xml:space="preserve">Regulatory </w:t>
      </w:r>
      <w:r w:rsidRPr="00A24369">
        <w:rPr>
          <w:i/>
        </w:rPr>
        <w:t>Review</w:t>
      </w:r>
      <w:r>
        <w:t xml:space="preserve">, </w:t>
      </w:r>
      <w:r w:rsidRPr="00A11516">
        <w:t>Reply Comments of the Diversity and Competition Supporters</w:t>
      </w:r>
      <w:r>
        <w:t xml:space="preserve"> at 34-38</w:t>
      </w:r>
      <w:r w:rsidRPr="00A11516">
        <w:t xml:space="preserve"> (</w:t>
      </w:r>
      <w:r>
        <w:t>filed Feb. 3, 2003) (DCS 2002 Biennial Review Reply Comments)</w:t>
      </w:r>
      <w:r w:rsidRPr="00A11516">
        <w:t xml:space="preserve">.  </w:t>
      </w:r>
      <w:r>
        <w:rPr>
          <w:i/>
        </w:rPr>
        <w:t>See also</w:t>
      </w:r>
      <w:r w:rsidRPr="00752959">
        <w:rPr>
          <w:i/>
        </w:rPr>
        <w:t xml:space="preserve"> </w:t>
      </w:r>
      <w:bookmarkStart w:id="44" w:name="_Hlk528763074"/>
      <w:r w:rsidRPr="00752959">
        <w:t>DCS Supplemental NPRM Comments at</w:t>
      </w:r>
      <w:r>
        <w:t xml:space="preserve"> 75-76; </w:t>
      </w:r>
      <w:r w:rsidRPr="00752959">
        <w:t>MMTC June 24, 2016</w:t>
      </w:r>
      <w:r>
        <w:t>,</w:t>
      </w:r>
      <w:r w:rsidRPr="00752959">
        <w:t xml:space="preserve"> </w:t>
      </w:r>
      <w:r w:rsidRPr="00752959">
        <w:rPr>
          <w:i/>
        </w:rPr>
        <w:t>Ex Parte</w:t>
      </w:r>
      <w:r w:rsidRPr="00752959">
        <w:t xml:space="preserve"> Letter at 7</w:t>
      </w:r>
      <w:r>
        <w:t>-8.</w:t>
      </w:r>
      <w:bookmarkEnd w:id="44"/>
    </w:p>
  </w:footnote>
  <w:footnote w:id="259">
    <w:p w:rsidR="00A03401" w:rsidRPr="001356FD" w:rsidP="00B12C9D">
      <w:pPr>
        <w:pStyle w:val="FootnoteText"/>
      </w:pPr>
      <w:r>
        <w:rPr>
          <w:rStyle w:val="FootnoteReference"/>
        </w:rPr>
        <w:footnoteRef/>
      </w:r>
      <w:r>
        <w:t xml:space="preserve"> </w:t>
      </w:r>
      <w:r>
        <w:rPr>
          <w:i/>
        </w:rPr>
        <w:t>See</w:t>
      </w:r>
      <w:r>
        <w:t xml:space="preserve"> </w:t>
      </w:r>
      <w:r w:rsidRPr="00AA05C0">
        <w:t>DCS Supplemental NPRM Comments at</w:t>
      </w:r>
      <w:r>
        <w:t xml:space="preserve"> 75</w:t>
      </w:r>
      <w:r w:rsidRPr="00AA05C0">
        <w:t>; MMTC June 24, 2016</w:t>
      </w:r>
      <w:r>
        <w:t>,</w:t>
      </w:r>
      <w:r w:rsidRPr="00AA05C0">
        <w:t xml:space="preserve"> </w:t>
      </w:r>
      <w:r w:rsidRPr="00AA05C0">
        <w:rPr>
          <w:i/>
        </w:rPr>
        <w:t>Ex Parte</w:t>
      </w:r>
      <w:r w:rsidRPr="00AA05C0">
        <w:t xml:space="preserve"> Letter at 7.</w:t>
      </w:r>
    </w:p>
  </w:footnote>
  <w:footnote w:id="260">
    <w:p w:rsidR="00A03401" w:rsidP="00B12C9D">
      <w:pPr>
        <w:pStyle w:val="FootnoteText"/>
      </w:pPr>
      <w:r>
        <w:rPr>
          <w:rStyle w:val="FootnoteReference"/>
        </w:rPr>
        <w:footnoteRef/>
      </w:r>
      <w:r>
        <w:t xml:space="preserve"> </w:t>
      </w:r>
      <w:r w:rsidRPr="00267B22">
        <w:rPr>
          <w:i/>
        </w:rPr>
        <w:t>See</w:t>
      </w:r>
      <w:r>
        <w:t xml:space="preserve"> </w:t>
      </w:r>
      <w:r w:rsidRPr="00267B22">
        <w:rPr>
          <w:i/>
        </w:rPr>
        <w:t>2010/2014 Quadrennial Review Order on Reconsideration</w:t>
      </w:r>
      <w:r w:rsidRPr="00267B22">
        <w:t xml:space="preserve">, 32 FCC Rcd at 9824-31, 9834-36, paras. 49-65, 73-77 (eliminating the eight-voices test from the Local Television Ownership Rule and repealing the Radio/Television Cross-Ownership Rule, which limited ownership based on the number of media voices remaining in </w:t>
      </w:r>
      <w:r>
        <w:t>a local</w:t>
      </w:r>
      <w:r w:rsidRPr="00267B22">
        <w:t xml:space="preserve"> market post-merger).</w:t>
      </w:r>
    </w:p>
  </w:footnote>
  <w:footnote w:id="261">
    <w:p w:rsidR="00A03401" w:rsidP="00B12C9D">
      <w:pPr>
        <w:pStyle w:val="FootnoteText"/>
      </w:pPr>
      <w:r>
        <w:rPr>
          <w:rStyle w:val="FootnoteReference"/>
        </w:rPr>
        <w:footnoteRef/>
      </w:r>
      <w:r>
        <w:t xml:space="preserve"> Proposal on Diversity Credits, dated May 22, 2004 (drafted by David Honig as a member of the Transactional Transparency Subcommittee of the FCC Advisory Committee on Diversity in the Digital Age) available at </w:t>
      </w:r>
      <w:r>
        <w:fldChar w:fldCharType="begin"/>
      </w:r>
      <w:r>
        <w:instrText xml:space="preserve"> HYPERLINK "https://www.fcc.gov/DiversityFAC/040614/DiversityCredits-whitepaper.doc" </w:instrText>
      </w:r>
      <w:r>
        <w:fldChar w:fldCharType="separate"/>
      </w:r>
      <w:r w:rsidRPr="0047291E">
        <w:rPr>
          <w:rStyle w:val="Hyperlink"/>
        </w:rPr>
        <w:t>https://www.fcc.gov/DiversityFAC/040614/DiversityCredits-whitepaper.doc</w:t>
      </w:r>
      <w:r>
        <w:fldChar w:fldCharType="end"/>
      </w:r>
      <w:r>
        <w:t xml:space="preserve"> (last visited Dec. 7, 2018)</w:t>
      </w:r>
      <w:r>
        <w:t xml:space="preserve"> </w:t>
      </w:r>
      <w:r>
        <w:t>(2004 Diversity Credits Proposal).  The 2004 Diversity Credits Proposal was never adopted by the FCC Advisory Committee on Diversity in the Digital Age.</w:t>
      </w:r>
    </w:p>
  </w:footnote>
  <w:footnote w:id="262">
    <w:p w:rsidR="00A03401" w:rsidRPr="002150CB" w:rsidP="00B12C9D">
      <w:pPr>
        <w:pStyle w:val="FootnoteText"/>
      </w:pPr>
      <w:r>
        <w:rPr>
          <w:rStyle w:val="FootnoteReference"/>
        </w:rPr>
        <w:footnoteRef/>
      </w:r>
      <w:r>
        <w:t xml:space="preserve"> </w:t>
      </w:r>
      <w:r>
        <w:rPr>
          <w:i/>
        </w:rPr>
        <w:t>See</w:t>
      </w:r>
      <w:r>
        <w:t xml:space="preserve"> 2004 Diversity Credits Proposal at </w:t>
      </w:r>
      <w:r w:rsidRPr="002E7552">
        <w:t>2</w:t>
      </w:r>
      <w:r w:rsidRPr="006032E7">
        <w:rPr>
          <w:rStyle w:val="Hyperlink"/>
          <w:u w:val="none"/>
        </w:rPr>
        <w:t>.</w:t>
      </w:r>
    </w:p>
  </w:footnote>
  <w:footnote w:id="263">
    <w:p w:rsidR="00A03401" w:rsidP="00B12C9D">
      <w:pPr>
        <w:pStyle w:val="FootnoteText"/>
      </w:pPr>
      <w:r>
        <w:rPr>
          <w:rStyle w:val="FootnoteReference"/>
        </w:rPr>
        <w:footnoteRef/>
      </w:r>
      <w:r>
        <w:t xml:space="preserve"> </w:t>
      </w:r>
      <w:r>
        <w:rPr>
          <w:i/>
        </w:rPr>
        <w:t>Id</w:t>
      </w:r>
      <w:r w:rsidRPr="003166AC">
        <w:t xml:space="preserve">.  </w:t>
      </w:r>
    </w:p>
  </w:footnote>
  <w:footnote w:id="264">
    <w:p w:rsidR="00A03401" w:rsidP="00B12C9D">
      <w:pPr>
        <w:pStyle w:val="FootnoteText"/>
      </w:pPr>
      <w:r>
        <w:rPr>
          <w:rStyle w:val="FootnoteReference"/>
        </w:rPr>
        <w:footnoteRef/>
      </w:r>
      <w:r>
        <w:t xml:space="preserve"> </w:t>
      </w:r>
      <w:r>
        <w:rPr>
          <w:i/>
        </w:rPr>
        <w:t>Id</w:t>
      </w:r>
      <w:r w:rsidRPr="003166AC">
        <w:t>.</w:t>
      </w:r>
      <w:r w:rsidRPr="002E6BEA">
        <w:t xml:space="preserve">  </w:t>
      </w:r>
    </w:p>
  </w:footnote>
  <w:footnote w:id="265">
    <w:p w:rsidR="00A03401" w:rsidP="00B12C9D">
      <w:pPr>
        <w:pStyle w:val="FootnoteText"/>
      </w:pPr>
      <w:r>
        <w:rPr>
          <w:rStyle w:val="FootnoteReference"/>
        </w:rPr>
        <w:footnoteRef/>
      </w:r>
      <w:r>
        <w:t xml:space="preserve"> </w:t>
      </w:r>
      <w:r>
        <w:rPr>
          <w:i/>
        </w:rPr>
        <w:t>Id</w:t>
      </w:r>
      <w:r w:rsidRPr="003166AC">
        <w:t>.</w:t>
      </w:r>
      <w:r w:rsidRPr="00D0468B">
        <w:t xml:space="preserve">  </w:t>
      </w:r>
    </w:p>
  </w:footnote>
  <w:footnote w:id="266">
    <w:p w:rsidR="00A03401" w:rsidP="00B12C9D">
      <w:pPr>
        <w:pStyle w:val="FootnoteText"/>
      </w:pPr>
      <w:r>
        <w:rPr>
          <w:rStyle w:val="FootnoteReference"/>
        </w:rPr>
        <w:footnoteRef/>
      </w:r>
      <w:r>
        <w:t xml:space="preserve"> </w:t>
      </w:r>
      <w:r w:rsidRPr="00C02A7B">
        <w:rPr>
          <w:i/>
        </w:rPr>
        <w:t>See</w:t>
      </w:r>
      <w:r w:rsidRPr="00C02A7B">
        <w:t xml:space="preserve"> MMTC June 24, 2016</w:t>
      </w:r>
      <w:r>
        <w:t>,</w:t>
      </w:r>
      <w:r w:rsidRPr="00C02A7B">
        <w:t xml:space="preserve"> </w:t>
      </w:r>
      <w:r w:rsidRPr="00C02A7B">
        <w:rPr>
          <w:i/>
        </w:rPr>
        <w:t>Ex Parte</w:t>
      </w:r>
      <w:r w:rsidRPr="00C02A7B">
        <w:t xml:space="preserve"> Letter at 8.</w:t>
      </w:r>
    </w:p>
  </w:footnote>
  <w:footnote w:id="267">
    <w:p w:rsidR="00A03401" w:rsidP="00B12C9D">
      <w:pPr>
        <w:pStyle w:val="FootnoteText"/>
      </w:pPr>
      <w:r>
        <w:rPr>
          <w:rStyle w:val="FootnoteReference"/>
        </w:rPr>
        <w:footnoteRef/>
      </w:r>
      <w:r>
        <w:t xml:space="preserve"> </w:t>
      </w:r>
      <w:r>
        <w:rPr>
          <w:i/>
        </w:rPr>
        <w:t xml:space="preserve">See </w:t>
      </w:r>
      <w:r>
        <w:t xml:space="preserve">DCS 2002 Biennial Review Reply Comments at 37.  </w:t>
      </w:r>
    </w:p>
  </w:footnote>
  <w:footnote w:id="268">
    <w:p w:rsidR="00A03401" w:rsidP="00B12C9D">
      <w:pPr>
        <w:pStyle w:val="FootnoteText"/>
      </w:pPr>
      <w:r>
        <w:rPr>
          <w:rStyle w:val="FootnoteReference"/>
        </w:rPr>
        <w:footnoteRef/>
      </w:r>
      <w:r>
        <w:t xml:space="preserve"> </w:t>
      </w:r>
      <w:r>
        <w:rPr>
          <w:i/>
        </w:rPr>
        <w:t xml:space="preserve">See </w:t>
      </w:r>
      <w:r w:rsidRPr="006A7950">
        <w:rPr>
          <w:i/>
        </w:rPr>
        <w:t xml:space="preserve">2010/2014 Quadrennial Review Order, </w:t>
      </w:r>
      <w:r w:rsidRPr="006A7950">
        <w:t>31 FCC Rcd at</w:t>
      </w:r>
      <w:r>
        <w:t xml:space="preserve"> 9961-62, 9987-99, paras. 236, 297-312.</w:t>
      </w:r>
    </w:p>
  </w:footnote>
  <w:footnote w:id="269">
    <w:p w:rsidR="00A03401" w:rsidRPr="002150CB" w:rsidP="00B12C9D">
      <w:pPr>
        <w:pStyle w:val="FootnoteText"/>
      </w:pPr>
      <w:r>
        <w:rPr>
          <w:rStyle w:val="FootnoteReference"/>
        </w:rPr>
        <w:footnoteRef/>
      </w:r>
      <w:r>
        <w:t xml:space="preserve"> 2004 Diversity Credits Proposal at </w:t>
      </w:r>
      <w:r w:rsidRPr="008D65BC">
        <w:t>2</w:t>
      </w:r>
      <w:r w:rsidRPr="008D65BC">
        <w:rPr>
          <w:rStyle w:val="Hyperlink"/>
          <w:u w:val="none"/>
        </w:rPr>
        <w:t>.</w:t>
      </w:r>
    </w:p>
  </w:footnote>
  <w:footnote w:id="270">
    <w:p w:rsidR="00A03401" w:rsidP="00B12C9D">
      <w:pPr>
        <w:pStyle w:val="FootnoteText"/>
      </w:pPr>
      <w:r>
        <w:rPr>
          <w:rStyle w:val="FootnoteReference"/>
        </w:rPr>
        <w:footnoteRef/>
      </w:r>
      <w:r>
        <w:t xml:space="preserve"> </w:t>
      </w:r>
      <w:r>
        <w:rPr>
          <w:i/>
        </w:rPr>
        <w:t>Id</w:t>
      </w:r>
      <w:r w:rsidRPr="003166AC">
        <w:t>.</w:t>
      </w:r>
      <w:r>
        <w:t xml:space="preserve"> at 3.</w:t>
      </w:r>
    </w:p>
  </w:footnote>
  <w:footnote w:id="271">
    <w:p w:rsidR="00A03401" w:rsidRPr="001408D7" w:rsidP="00B12C9D">
      <w:pPr>
        <w:pStyle w:val="FootnoteText"/>
      </w:pPr>
      <w:r>
        <w:rPr>
          <w:rStyle w:val="FootnoteReference"/>
        </w:rPr>
        <w:footnoteRef/>
      </w:r>
      <w:r>
        <w:t xml:space="preserve"> </w:t>
      </w:r>
      <w:r w:rsidRPr="002436A5">
        <w:t>For example, the Small Business Administration administers the 8(a) Business Development Program “to assist eligible small disadvantaged business concerns.”</w:t>
      </w:r>
      <w:r>
        <w:t xml:space="preserve">  </w:t>
      </w:r>
      <w:r>
        <w:rPr>
          <w:i/>
        </w:rPr>
        <w:t>See</w:t>
      </w:r>
      <w:r>
        <w:t xml:space="preserve"> 13 CFR §§ 124.1-124.4, 124.101-112.  To qualify for the program, a small business must be unconditionally owned and controlled by one or more socially and economically disadvantaged individuals. </w:t>
      </w:r>
      <w:r w:rsidRPr="00614B61">
        <w:t xml:space="preserve"> </w:t>
      </w:r>
      <w:r>
        <w:t xml:space="preserve">13 CFR § 124.101; </w:t>
      </w:r>
      <w:r>
        <w:rPr>
          <w:i/>
        </w:rPr>
        <w:t xml:space="preserve">see also id. </w:t>
      </w:r>
      <w:r w:rsidRPr="008725E5">
        <w:t>at</w:t>
      </w:r>
      <w:r>
        <w:rPr>
          <w:i/>
        </w:rPr>
        <w:t xml:space="preserve"> </w:t>
      </w:r>
      <w:r>
        <w:t>§§ 124.102–124.112 (discussing other eligibility requirements for the program).  Under the program, African Americans, Hispanic Americans, Asian Pacific Americans, Subcontinent Pacific Americans, and Native Americans are presumed to qualify, and other individuals can qualify if they can show by a preponderance of the evidence that they are disadvantaged.  13 CFR §§ 124.103(b)-(c), 124.104(a).</w:t>
      </w:r>
    </w:p>
  </w:footnote>
  <w:footnote w:id="272">
    <w:p w:rsidR="00A03401" w:rsidP="00B12C9D">
      <w:pPr>
        <w:pStyle w:val="FootnoteText"/>
      </w:pPr>
      <w:r>
        <w:rPr>
          <w:rStyle w:val="FootnoteReference"/>
        </w:rPr>
        <w:footnoteRef/>
      </w:r>
      <w:r>
        <w:rPr>
          <w:i/>
        </w:rPr>
        <w:t xml:space="preserve"> </w:t>
      </w:r>
      <w:r w:rsidRPr="001D5B71">
        <w:rPr>
          <w:i/>
        </w:rPr>
        <w:t xml:space="preserve">See 2010/2014 Quadrennial Review Order, </w:t>
      </w:r>
      <w:r w:rsidRPr="001D5B71">
        <w:t xml:space="preserve">31 FCC Rcd at </w:t>
      </w:r>
      <w:r w:rsidRPr="00D56F05">
        <w:t xml:space="preserve">998, para. </w:t>
      </w:r>
      <w:r w:rsidRPr="001D5B71">
        <w:t>297.</w:t>
      </w:r>
    </w:p>
  </w:footnote>
  <w:footnote w:id="273">
    <w:p w:rsidR="00A03401" w:rsidP="00B12C9D">
      <w:pPr>
        <w:pStyle w:val="FootnoteText"/>
      </w:pPr>
      <w:r>
        <w:rPr>
          <w:rStyle w:val="FootnoteReference"/>
        </w:rPr>
        <w:footnoteRef/>
      </w:r>
      <w:r>
        <w:t xml:space="preserve"> </w:t>
      </w:r>
      <w:bookmarkStart w:id="47" w:name="_Hlk528765414"/>
      <w:r>
        <w:rPr>
          <w:i/>
        </w:rPr>
        <w:t>See id.</w:t>
      </w:r>
      <w:r w:rsidRPr="006A7950">
        <w:t xml:space="preserve"> </w:t>
      </w:r>
      <w:bookmarkStart w:id="48" w:name="_Hlk532210518"/>
      <w:r w:rsidRPr="006A7950">
        <w:t>at</w:t>
      </w:r>
      <w:r>
        <w:t xml:space="preserve"> 9961-62, 9987-99, paras. 236, 297-312</w:t>
      </w:r>
      <w:bookmarkEnd w:id="48"/>
      <w:r>
        <w:t xml:space="preserve">. </w:t>
      </w:r>
      <w:bookmarkEnd w:id="47"/>
      <w:r>
        <w:t xml:space="preserve">    </w:t>
      </w:r>
    </w:p>
  </w:footnote>
  <w:footnote w:id="274">
    <w:p w:rsidR="00A03401" w:rsidRPr="00331500" w:rsidP="00B12C9D">
      <w:pPr>
        <w:pStyle w:val="FootnoteText"/>
      </w:pPr>
      <w:r>
        <w:rPr>
          <w:rStyle w:val="FootnoteReference"/>
        </w:rPr>
        <w:footnoteRef/>
      </w:r>
      <w:r>
        <w:t xml:space="preserve"> </w:t>
      </w:r>
      <w:r>
        <w:rPr>
          <w:i/>
        </w:rPr>
        <w:t>See id</w:t>
      </w:r>
      <w:r>
        <w:t>.</w:t>
      </w:r>
    </w:p>
  </w:footnote>
  <w:footnote w:id="275">
    <w:p w:rsidR="00A03401" w:rsidP="00B12C9D">
      <w:pPr>
        <w:pStyle w:val="FootnoteText"/>
      </w:pPr>
      <w:r>
        <w:rPr>
          <w:rStyle w:val="FootnoteReference"/>
        </w:rPr>
        <w:footnoteRef/>
      </w:r>
      <w:r>
        <w:t xml:space="preserve"> </w:t>
      </w:r>
      <w:r>
        <w:rPr>
          <w:i/>
        </w:rPr>
        <w:t>See 2010/2014 Quadrennial Review Order</w:t>
      </w:r>
      <w:r>
        <w:t>, 31 FCC Rcd at 9988-10001, paras. 300-316.</w:t>
      </w:r>
    </w:p>
  </w:footnote>
  <w:footnote w:id="276">
    <w:p w:rsidR="00A03401" w:rsidP="00B12C9D">
      <w:pPr>
        <w:pStyle w:val="FootnoteText"/>
      </w:pPr>
      <w:r>
        <w:rPr>
          <w:rStyle w:val="FootnoteReference"/>
        </w:rPr>
        <w:footnoteRef/>
      </w:r>
      <w:r>
        <w:t xml:space="preserve"> </w:t>
      </w:r>
      <w:r w:rsidRPr="00F8252D">
        <w:rPr>
          <w:i/>
        </w:rPr>
        <w:t>See</w:t>
      </w:r>
      <w:r w:rsidRPr="00F8252D">
        <w:t xml:space="preserve"> </w:t>
      </w:r>
      <w:r w:rsidRPr="008725E5">
        <w:rPr>
          <w:i/>
        </w:rPr>
        <w:t>2010/</w:t>
      </w:r>
      <w:r w:rsidRPr="00F8252D">
        <w:rPr>
          <w:i/>
        </w:rPr>
        <w:t>2014</w:t>
      </w:r>
      <w:r>
        <w:rPr>
          <w:i/>
        </w:rPr>
        <w:t xml:space="preserve"> Quadrennial Review</w:t>
      </w:r>
      <w:r w:rsidRPr="00F8252D">
        <w:rPr>
          <w:i/>
        </w:rPr>
        <w:t xml:space="preserve"> FNPRM</w:t>
      </w:r>
      <w:r w:rsidRPr="00F8252D">
        <w:t xml:space="preserve">, 29 FCC Rcd at 4507, para. 300; </w:t>
      </w:r>
      <w:r w:rsidRPr="00F8252D">
        <w:rPr>
          <w:i/>
        </w:rPr>
        <w:t xml:space="preserve">see also In the Matter of Updating Part 1 Competitive Bidding Rules, </w:t>
      </w:r>
      <w:r w:rsidRPr="00F8252D">
        <w:t>Report and Order, Order on Reconsideration of the First Report and Order, Third Order on Reconsideration of the Second Report and Order, Third Report and Order, 30 FCC Rcd 7493, 7551, para. 138 (2015) (stating concerns about the complexity of implementing such a preference).</w:t>
      </w:r>
    </w:p>
  </w:footnote>
  <w:footnote w:id="277">
    <w:p w:rsidR="00A03401" w:rsidP="00B12C9D">
      <w:pPr>
        <w:pStyle w:val="FootnoteText"/>
      </w:pPr>
      <w:r>
        <w:rPr>
          <w:rStyle w:val="FootnoteReference"/>
        </w:rPr>
        <w:footnoteRef/>
      </w:r>
      <w:r>
        <w:t xml:space="preserve"> </w:t>
      </w:r>
      <w:r w:rsidRPr="00987534">
        <w:rPr>
          <w:i/>
        </w:rPr>
        <w:t>See</w:t>
      </w:r>
      <w:r w:rsidRPr="00987534">
        <w:t xml:space="preserve"> 2004 Diversity Credits Proposal at 2.</w:t>
      </w:r>
    </w:p>
  </w:footnote>
  <w:footnote w:id="278">
    <w:p w:rsidR="00A03401" w:rsidP="00B12C9D">
      <w:pPr>
        <w:pStyle w:val="FootnoteText"/>
      </w:pPr>
      <w:r>
        <w:rPr>
          <w:rStyle w:val="FootnoteReference"/>
        </w:rPr>
        <w:footnoteRef/>
      </w:r>
      <w:r>
        <w:t xml:space="preserve"> </w:t>
      </w:r>
      <w:r w:rsidRPr="00614B61">
        <w:rPr>
          <w:i/>
        </w:rPr>
        <w:t>See</w:t>
      </w:r>
      <w:r>
        <w:t xml:space="preserve"> </w:t>
      </w:r>
      <w:r w:rsidRPr="009B4443">
        <w:rPr>
          <w:i/>
        </w:rPr>
        <w:t>2002 Biennial Review Order</w:t>
      </w:r>
      <w:r w:rsidRPr="00614B61">
        <w:t xml:space="preserve">, 18 FCC Record </w:t>
      </w:r>
      <w:r>
        <w:t xml:space="preserve">at 13627-37, paras. 18-52 </w:t>
      </w:r>
      <w:r w:rsidRPr="00461912">
        <w:t>(analyzing five types of diversity within the context of media ownership: viewpoint, outlet, program, source, and minority and female ownership diversity).</w:t>
      </w:r>
    </w:p>
  </w:footnote>
  <w:footnote w:id="279">
    <w:p w:rsidR="00A03401" w:rsidRPr="0098750E" w:rsidP="00B12C9D">
      <w:pPr>
        <w:pStyle w:val="FootnoteText"/>
      </w:pPr>
      <w:r>
        <w:rPr>
          <w:rStyle w:val="FootnoteReference"/>
        </w:rPr>
        <w:footnoteRef/>
      </w:r>
      <w:r w:rsidRPr="00B12C9D">
        <w:rPr>
          <w:lang w:val="es-ES"/>
        </w:rPr>
        <w:t xml:space="preserve"> </w:t>
      </w:r>
      <w:r w:rsidRPr="00B12C9D">
        <w:rPr>
          <w:i/>
          <w:lang w:val="es-ES"/>
        </w:rPr>
        <w:t>See, e.g., supra</w:t>
      </w:r>
      <w:r w:rsidRPr="00B12C9D">
        <w:rPr>
          <w:lang w:val="es-ES"/>
        </w:rPr>
        <w:t xml:space="preserve"> paras. </w:t>
      </w:r>
      <w:r>
        <w:t>3</w:t>
      </w:r>
      <w:r w:rsidRPr="00033BB8">
        <w:t>9</w:t>
      </w:r>
      <w:r>
        <w:t>-40.</w:t>
      </w:r>
    </w:p>
  </w:footnote>
  <w:footnote w:id="280">
    <w:p w:rsidR="00A03401" w:rsidP="00B12C9D">
      <w:pPr>
        <w:pStyle w:val="FootnoteText"/>
      </w:pPr>
      <w:r>
        <w:rPr>
          <w:rStyle w:val="FootnoteReference"/>
        </w:rPr>
        <w:footnoteRef/>
      </w:r>
      <w:r>
        <w:t xml:space="preserve"> </w:t>
      </w:r>
      <w:r w:rsidRPr="0068773B">
        <w:rPr>
          <w:i/>
        </w:rPr>
        <w:t>See</w:t>
      </w:r>
      <w:r w:rsidRPr="0068773B">
        <w:t xml:space="preserve"> </w:t>
      </w:r>
      <w:r w:rsidRPr="00033BB8">
        <w:rPr>
          <w:i/>
        </w:rPr>
        <w:t>Rules and Policies Concerning Multiple Ownership of Radio Broadcast Stations in Local Markets</w:t>
      </w:r>
      <w:r>
        <w:rPr>
          <w:i/>
        </w:rPr>
        <w:t xml:space="preserve"> and Definition of Radio Markets,</w:t>
      </w:r>
      <w:r w:rsidRPr="0068773B">
        <w:t xml:space="preserve"> </w:t>
      </w:r>
      <w:r>
        <w:t xml:space="preserve">Notice of Proposed Rulemaking and Further Notice of Proposed Rulemaking, </w:t>
      </w:r>
      <w:r w:rsidRPr="0068773B">
        <w:t>Reply Comments of the Minority Media and Telecommunications Council</w:t>
      </w:r>
      <w:r>
        <w:t xml:space="preserve"> at 22-24</w:t>
      </w:r>
      <w:r w:rsidRPr="0068773B">
        <w:t xml:space="preserve"> (filed May 8, 2002) (</w:t>
      </w:r>
      <w:r>
        <w:t>2002 MMTC Reply Comments)</w:t>
      </w:r>
      <w:r w:rsidRPr="0068773B">
        <w:t>.</w:t>
      </w:r>
      <w:r>
        <w:t xml:space="preserve">  </w:t>
      </w:r>
      <w:r w:rsidRPr="00712479">
        <w:t xml:space="preserve">In August 1998, the Commission began “flagging” public notices of radio station transactions that, based on an initial analysis by the staff, proposed a level of local radio concentration that implicated the Commission’s public interest concern for maintaining diversity and competition. </w:t>
      </w:r>
      <w:r>
        <w:t xml:space="preserve"> </w:t>
      </w:r>
      <w:r w:rsidRPr="00712479">
        <w:rPr>
          <w:i/>
        </w:rPr>
        <w:t xml:space="preserve">See </w:t>
      </w:r>
      <w:r>
        <w:rPr>
          <w:i/>
        </w:rPr>
        <w:t xml:space="preserve">also </w:t>
      </w:r>
      <w:r w:rsidRPr="00625646">
        <w:rPr>
          <w:i/>
        </w:rPr>
        <w:t xml:space="preserve">2002 Biennial Review </w:t>
      </w:r>
      <w:r w:rsidRPr="00033BB8">
        <w:rPr>
          <w:i/>
        </w:rPr>
        <w:t>Order</w:t>
      </w:r>
      <w:r>
        <w:t xml:space="preserve">, </w:t>
      </w:r>
      <w:r w:rsidRPr="00712479">
        <w:t xml:space="preserve">18 FCC Rcd </w:t>
      </w:r>
      <w:r>
        <w:t>at</w:t>
      </w:r>
      <w:r w:rsidRPr="00712479">
        <w:t xml:space="preserve"> 13813, paras. 496-97</w:t>
      </w:r>
      <w:r>
        <w:t>.</w:t>
      </w:r>
      <w:r w:rsidRPr="00712479">
        <w:t xml:space="preserve">  Under this policy, the Commission flagged proposed transactions that would result in one entity controlling 50</w:t>
      </w:r>
      <w:r>
        <w:t xml:space="preserve"> percent</w:t>
      </w:r>
      <w:r w:rsidRPr="00712479">
        <w:t xml:space="preserve"> or more of the advertising revenues in the relevant Arbitron radio market or two entities controlling 70</w:t>
      </w:r>
      <w:r>
        <w:t xml:space="preserve"> percent</w:t>
      </w:r>
      <w:r w:rsidRPr="00712479">
        <w:t xml:space="preserve"> or more of the advertising revenues in that market.  </w:t>
      </w:r>
      <w:r w:rsidRPr="00712479">
        <w:rPr>
          <w:i/>
        </w:rPr>
        <w:t>Id.</w:t>
      </w:r>
      <w:r w:rsidRPr="00712479">
        <w:t xml:space="preserve"> </w:t>
      </w:r>
      <w:r>
        <w:t xml:space="preserve"> </w:t>
      </w:r>
      <w:r w:rsidRPr="00712479">
        <w:t xml:space="preserve">Flagged transactions were then subject to a further competition analysis.  </w:t>
      </w:r>
      <w:r w:rsidRPr="00712479">
        <w:rPr>
          <w:i/>
        </w:rPr>
        <w:t>Id.</w:t>
      </w:r>
      <w:r w:rsidRPr="00712479">
        <w:t xml:space="preserve">  With the adoption of Arbitron market</w:t>
      </w:r>
      <w:r>
        <w:t>s</w:t>
      </w:r>
      <w:r w:rsidRPr="00712479">
        <w:t xml:space="preserve"> as the basis for the radio market definition, the Commission chose to terminate the flagging policy.</w:t>
      </w:r>
      <w:r>
        <w:t xml:space="preserve">  </w:t>
      </w:r>
      <w:r w:rsidRPr="00712479">
        <w:t xml:space="preserve"> </w:t>
      </w:r>
      <w:r>
        <w:t xml:space="preserve"> </w:t>
      </w:r>
      <w:r w:rsidRPr="00712479">
        <w:t xml:space="preserve"> </w:t>
      </w:r>
    </w:p>
  </w:footnote>
  <w:footnote w:id="281">
    <w:p w:rsidR="00A03401" w:rsidP="00B12C9D">
      <w:pPr>
        <w:pStyle w:val="FootnoteText"/>
      </w:pPr>
      <w:r>
        <w:rPr>
          <w:rStyle w:val="FootnoteReference"/>
        </w:rPr>
        <w:footnoteRef/>
      </w:r>
      <w:r>
        <w:t xml:space="preserve"> DCS 2002 Biennial Review Reply Comments at 17-24.  Referring back to DCS’s previous filings on the source diversity formula, MMTC subsequently requested that the Commission consider the feasibility of this formula.  </w:t>
      </w:r>
      <w:r w:rsidRPr="00F36429">
        <w:rPr>
          <w:i/>
        </w:rPr>
        <w:t>See</w:t>
      </w:r>
      <w:r w:rsidRPr="00F36429">
        <w:t xml:space="preserve"> MMTC June 24, 2016</w:t>
      </w:r>
      <w:r>
        <w:t>,</w:t>
      </w:r>
      <w:r w:rsidRPr="00F36429">
        <w:t xml:space="preserve"> </w:t>
      </w:r>
      <w:r w:rsidRPr="00F36429">
        <w:rPr>
          <w:i/>
        </w:rPr>
        <w:t>Ex Parte</w:t>
      </w:r>
      <w:r w:rsidRPr="00F36429">
        <w:t xml:space="preserve"> Letter at</w:t>
      </w:r>
      <w:r>
        <w:t xml:space="preserve"> 6-7. </w:t>
      </w:r>
    </w:p>
  </w:footnote>
  <w:footnote w:id="282">
    <w:p w:rsidR="00A03401" w:rsidP="00B12C9D">
      <w:pPr>
        <w:pStyle w:val="FootnoteText"/>
      </w:pPr>
      <w:r>
        <w:rPr>
          <w:rStyle w:val="FootnoteReference"/>
        </w:rPr>
        <w:footnoteRef/>
      </w:r>
      <w:r>
        <w:t xml:space="preserve"> </w:t>
      </w:r>
      <w:r w:rsidRPr="00A20936">
        <w:t xml:space="preserve">DCS </w:t>
      </w:r>
      <w:r>
        <w:t xml:space="preserve">2002 Biennial Review </w:t>
      </w:r>
      <w:r w:rsidRPr="00A20936">
        <w:t>Reply Comments at 17-24</w:t>
      </w:r>
      <w:r>
        <w:t>.</w:t>
      </w:r>
    </w:p>
  </w:footnote>
  <w:footnote w:id="283">
    <w:p w:rsidR="00A03401" w:rsidRPr="005F746D" w:rsidP="00B12C9D">
      <w:pPr>
        <w:pStyle w:val="FootnoteText"/>
      </w:pPr>
      <w:r>
        <w:rPr>
          <w:rStyle w:val="FootnoteReference"/>
        </w:rPr>
        <w:footnoteRef/>
      </w:r>
      <w:r>
        <w:t xml:space="preserve"> </w:t>
      </w:r>
      <w:r>
        <w:rPr>
          <w:i/>
        </w:rPr>
        <w:t>See</w:t>
      </w:r>
      <w:r>
        <w:t xml:space="preserve"> 2002 MMTC Reply Comments at 22-24; </w:t>
      </w:r>
      <w:r>
        <w:rPr>
          <w:i/>
        </w:rPr>
        <w:t>see also</w:t>
      </w:r>
      <w:r>
        <w:t xml:space="preserve"> </w:t>
      </w:r>
      <w:r w:rsidRPr="00A55119">
        <w:rPr>
          <w:i/>
        </w:rPr>
        <w:t>2002 Biennial Review</w:t>
      </w:r>
      <w:r>
        <w:rPr>
          <w:i/>
        </w:rPr>
        <w:t xml:space="preserve"> Order</w:t>
      </w:r>
      <w:r w:rsidRPr="00A55119">
        <w:t>, 18 FCC Rcd at 13813, paras. 496-97</w:t>
      </w:r>
      <w:r>
        <w:t xml:space="preserve"> (describing the Commission’s past policy of “flagging” proposed radio transactions)</w:t>
      </w:r>
      <w:r w:rsidRPr="00A55119">
        <w:t xml:space="preserve">.  </w:t>
      </w:r>
    </w:p>
  </w:footnote>
  <w:footnote w:id="284">
    <w:p w:rsidR="00A03401" w:rsidP="00B12C9D">
      <w:pPr>
        <w:pStyle w:val="FootnoteText"/>
      </w:pPr>
      <w:r>
        <w:rPr>
          <w:rStyle w:val="FootnoteReference"/>
        </w:rPr>
        <w:footnoteRef/>
      </w:r>
      <w:r>
        <w:t xml:space="preserve"> </w:t>
      </w:r>
      <w:bookmarkStart w:id="51" w:name="_Hlk528073500"/>
      <w:r>
        <w:t xml:space="preserve">2002 MMTC Reply Comments at ii.  </w:t>
      </w:r>
      <w:bookmarkEnd w:id="51"/>
    </w:p>
  </w:footnote>
  <w:footnote w:id="285">
    <w:p w:rsidR="00A03401" w:rsidP="00B12C9D">
      <w:pPr>
        <w:pStyle w:val="FootnoteText"/>
      </w:pPr>
      <w:r>
        <w:rPr>
          <w:rStyle w:val="FootnoteReference"/>
        </w:rPr>
        <w:footnoteRef/>
      </w:r>
      <w:r>
        <w:t xml:space="preserve"> </w:t>
      </w:r>
      <w:r w:rsidRPr="001E059F">
        <w:rPr>
          <w:i/>
        </w:rPr>
        <w:t>Id</w:t>
      </w:r>
      <w:r>
        <w:t>.</w:t>
      </w:r>
      <w:r w:rsidRPr="00BB4A8A">
        <w:t xml:space="preserve">  </w:t>
      </w:r>
    </w:p>
  </w:footnote>
  <w:footnote w:id="286">
    <w:p w:rsidR="00A03401" w:rsidP="00B12C9D">
      <w:pPr>
        <w:pStyle w:val="FootnoteText"/>
      </w:pPr>
      <w:r>
        <w:rPr>
          <w:rStyle w:val="FootnoteReference"/>
        </w:rPr>
        <w:footnoteRef/>
      </w:r>
      <w:r>
        <w:t xml:space="preserve"> </w:t>
      </w:r>
      <w:bookmarkStart w:id="52" w:name="_Hlk526255422"/>
      <w:r>
        <w:rPr>
          <w:i/>
        </w:rPr>
        <w:t>I</w:t>
      </w:r>
      <w:r w:rsidRPr="002B0DC2">
        <w:rPr>
          <w:i/>
        </w:rPr>
        <w:t>d</w:t>
      </w:r>
      <w:r>
        <w:t xml:space="preserve">. at </w:t>
      </w:r>
      <w:r w:rsidRPr="00A74DB7">
        <w:t xml:space="preserve">22-24.   </w:t>
      </w:r>
      <w:bookmarkEnd w:id="52"/>
    </w:p>
  </w:footnote>
  <w:footnote w:id="287">
    <w:p w:rsidR="00A03401" w:rsidP="00B12C9D">
      <w:pPr>
        <w:pStyle w:val="FootnoteText"/>
      </w:pPr>
      <w:r>
        <w:rPr>
          <w:rStyle w:val="FootnoteReference"/>
        </w:rPr>
        <w:footnoteRef/>
      </w:r>
      <w:r>
        <w:t xml:space="preserve"> </w:t>
      </w:r>
      <w:r w:rsidRPr="00C36961">
        <w:rPr>
          <w:i/>
        </w:rPr>
        <w:t>See</w:t>
      </w:r>
      <w:r w:rsidRPr="00C36961">
        <w:t xml:space="preserve"> </w:t>
      </w:r>
      <w:r w:rsidRPr="002B0DC2">
        <w:rPr>
          <w:i/>
        </w:rPr>
        <w:t>id</w:t>
      </w:r>
      <w:r>
        <w:t xml:space="preserve">. at </w:t>
      </w:r>
      <w:r w:rsidRPr="00C36961">
        <w:t>24</w:t>
      </w:r>
      <w:r>
        <w:t xml:space="preserve"> (noting before laying out the variables associated with the formula that “advertising revenue limits that promote diversity would involve these variables and coefficients”)</w:t>
      </w:r>
      <w:r w:rsidRPr="00C36961">
        <w:t xml:space="preserve">.   </w:t>
      </w:r>
    </w:p>
  </w:footnote>
  <w:footnote w:id="288">
    <w:p w:rsidR="00A03401" w:rsidP="00B12C9D">
      <w:pPr>
        <w:pStyle w:val="FootnoteText"/>
      </w:pPr>
      <w:r>
        <w:rPr>
          <w:rStyle w:val="FootnoteReference"/>
        </w:rPr>
        <w:footnoteRef/>
      </w:r>
      <w:r>
        <w:t xml:space="preserve"> </w:t>
      </w:r>
      <w:bookmarkStart w:id="53" w:name="_Hlk526258319"/>
      <w:r w:rsidRPr="00A74DB7">
        <w:rPr>
          <w:i/>
        </w:rPr>
        <w:t>See</w:t>
      </w:r>
      <w:r w:rsidRPr="00A74DB7">
        <w:t xml:space="preserve"> </w:t>
      </w:r>
      <w:r w:rsidRPr="002B0DC2">
        <w:rPr>
          <w:i/>
        </w:rPr>
        <w:t>id</w:t>
      </w:r>
      <w:r>
        <w:t xml:space="preserve">. </w:t>
      </w:r>
      <w:r w:rsidRPr="00A74DB7">
        <w:t xml:space="preserve">at 22-24.   </w:t>
      </w:r>
    </w:p>
  </w:footnote>
  <w:footnote w:id="289">
    <w:p w:rsidR="00A03401" w:rsidP="00B12C9D">
      <w:pPr>
        <w:pStyle w:val="FootnoteText"/>
      </w:pPr>
      <w:bookmarkEnd w:id="53"/>
      <w:r>
        <w:rPr>
          <w:rStyle w:val="FootnoteReference"/>
        </w:rPr>
        <w:footnoteRef/>
      </w:r>
      <w:r>
        <w:t xml:space="preserve"> </w:t>
      </w:r>
      <w:r w:rsidRPr="002B0DC2">
        <w:rPr>
          <w:i/>
        </w:rPr>
        <w:t>Id</w:t>
      </w:r>
      <w:r>
        <w:t>. at 24-25.</w:t>
      </w:r>
    </w:p>
  </w:footnote>
  <w:footnote w:id="290">
    <w:p w:rsidR="00A03401" w:rsidP="00B12C9D">
      <w:pPr>
        <w:pStyle w:val="FootnoteText"/>
      </w:pPr>
      <w:r>
        <w:rPr>
          <w:rStyle w:val="FootnoteReference"/>
        </w:rPr>
        <w:footnoteRef/>
      </w:r>
      <w:r>
        <w:t xml:space="preserve"> </w:t>
      </w:r>
      <w:r>
        <w:rPr>
          <w:i/>
        </w:rPr>
        <w:t>Id</w:t>
      </w:r>
      <w:r>
        <w:t xml:space="preserve">.  </w:t>
      </w:r>
    </w:p>
  </w:footnote>
  <w:footnote w:id="291">
    <w:p w:rsidR="00A03401" w:rsidP="00B12C9D">
      <w:pPr>
        <w:pStyle w:val="FootnoteText"/>
      </w:pPr>
      <w:r>
        <w:rPr>
          <w:rStyle w:val="FootnoteReference"/>
        </w:rPr>
        <w:footnoteRef/>
      </w:r>
      <w:r>
        <w:t xml:space="preserve"> </w:t>
      </w:r>
      <w:bookmarkStart w:id="54" w:name="_Hlk528059320"/>
      <w:r w:rsidRPr="002B0DC2">
        <w:rPr>
          <w:i/>
        </w:rPr>
        <w:t>Id</w:t>
      </w:r>
      <w:r>
        <w:t>. at</w:t>
      </w:r>
      <w:r w:rsidRPr="00B725C9">
        <w:t xml:space="preserve"> 24</w:t>
      </w:r>
      <w:r>
        <w:t>,</w:t>
      </w:r>
      <w:bookmarkEnd w:id="54"/>
      <w:r>
        <w:t xml:space="preserve"> n.38</w:t>
      </w:r>
      <w:r w:rsidRPr="00B725C9">
        <w:t xml:space="preserve">.  </w:t>
      </w:r>
    </w:p>
  </w:footnote>
  <w:footnote w:id="292">
    <w:p w:rsidR="00A03401" w:rsidP="00B12C9D">
      <w:pPr>
        <w:pStyle w:val="FootnoteText"/>
      </w:pPr>
      <w:r>
        <w:rPr>
          <w:rStyle w:val="FootnoteReference"/>
        </w:rPr>
        <w:footnoteRef/>
      </w:r>
      <w:r>
        <w:t xml:space="preserve"> </w:t>
      </w:r>
      <w:r>
        <w:rPr>
          <w:i/>
        </w:rPr>
        <w:t>Id</w:t>
      </w:r>
      <w:r w:rsidRPr="003166AC">
        <w:t>.</w:t>
      </w:r>
      <w:r>
        <w:t xml:space="preserve"> </w:t>
      </w:r>
    </w:p>
  </w:footnote>
  <w:footnote w:id="293">
    <w:p w:rsidR="00A03401" w:rsidP="00B12C9D">
      <w:pPr>
        <w:pStyle w:val="FootnoteText"/>
      </w:pPr>
      <w:r>
        <w:rPr>
          <w:rStyle w:val="FootnoteReference"/>
        </w:rPr>
        <w:footnoteRef/>
      </w:r>
      <w:r>
        <w:t xml:space="preserve"> </w:t>
      </w:r>
      <w:r>
        <w:rPr>
          <w:i/>
        </w:rPr>
        <w:t>Id</w:t>
      </w:r>
      <w:r w:rsidRPr="003166AC">
        <w:t>.</w:t>
      </w:r>
    </w:p>
  </w:footnote>
  <w:footnote w:id="294">
    <w:p w:rsidR="00A03401" w:rsidP="00B12C9D">
      <w:pPr>
        <w:pStyle w:val="FootnoteText"/>
      </w:pPr>
      <w:r>
        <w:rPr>
          <w:rStyle w:val="FootnoteReference"/>
        </w:rPr>
        <w:footnoteRef/>
      </w:r>
      <w:r>
        <w:t xml:space="preserve"> </w:t>
      </w:r>
      <w:r>
        <w:rPr>
          <w:i/>
        </w:rPr>
        <w:t xml:space="preserve">See generally </w:t>
      </w:r>
      <w:r>
        <w:t>MMTC Reply Comments.</w:t>
      </w:r>
    </w:p>
  </w:footnote>
  <w:footnote w:id="295">
    <w:p w:rsidR="00A03401" w:rsidRPr="0098750E" w:rsidP="00B12C9D">
      <w:pPr>
        <w:pStyle w:val="FootnoteText"/>
      </w:pPr>
      <w:r>
        <w:rPr>
          <w:rStyle w:val="FootnoteReference"/>
        </w:rPr>
        <w:footnoteRef/>
      </w:r>
      <w:r w:rsidRPr="00B12C9D">
        <w:rPr>
          <w:lang w:val="es-ES"/>
        </w:rPr>
        <w:t xml:space="preserve"> </w:t>
      </w:r>
      <w:r w:rsidRPr="00B12C9D">
        <w:rPr>
          <w:i/>
          <w:lang w:val="es-ES"/>
        </w:rPr>
        <w:t>See, e.g., supra</w:t>
      </w:r>
      <w:r w:rsidRPr="00B12C9D">
        <w:rPr>
          <w:lang w:val="es-ES"/>
        </w:rPr>
        <w:t xml:space="preserve"> paras. </w:t>
      </w:r>
      <w:r>
        <w:t>38-</w:t>
      </w:r>
      <w:r w:rsidRPr="00033BB8">
        <w:t>39</w:t>
      </w:r>
      <w:r>
        <w:t>.</w:t>
      </w:r>
    </w:p>
  </w:footnote>
  <w:footnote w:id="296">
    <w:p w:rsidR="00A03401" w:rsidP="00B12C9D">
      <w:pPr>
        <w:pStyle w:val="FootnoteText"/>
      </w:pPr>
      <w:r>
        <w:rPr>
          <w:rStyle w:val="FootnoteReference"/>
        </w:rPr>
        <w:footnoteRef/>
      </w:r>
      <w:r>
        <w:t xml:space="preserve"> 2002 DCS Biennial Review Reply Comments at 17.  </w:t>
      </w:r>
      <w:r w:rsidRPr="00C7571E">
        <w:t xml:space="preserve">As part of its </w:t>
      </w:r>
      <w:r w:rsidRPr="001E059F">
        <w:rPr>
          <w:i/>
        </w:rPr>
        <w:t>2002 Biennial Regulatory Review</w:t>
      </w:r>
      <w:r w:rsidRPr="00C7571E">
        <w:t xml:space="preserve">, the Commission developed a “Diversity Index” as a tool intended to measure the availability of outlets that contribute to viewpoint diversity in local media markets.  </w:t>
      </w:r>
      <w:r w:rsidRPr="00C7571E">
        <w:rPr>
          <w:i/>
        </w:rPr>
        <w:t>2002 Biennial Review Order</w:t>
      </w:r>
      <w:r w:rsidRPr="00C7571E">
        <w:t xml:space="preserve">, 18 FCC Rcd at 13775-90, paras. 391-431.  The </w:t>
      </w:r>
      <w:r w:rsidRPr="00C7571E">
        <w:rPr>
          <w:i/>
        </w:rPr>
        <w:t>Prometheus I</w:t>
      </w:r>
      <w:r w:rsidRPr="00C7571E">
        <w:t xml:space="preserve"> court found several flaws with the Commission’s creation of the index and remanded it to the Commission for further consideration.  </w:t>
      </w:r>
      <w:r w:rsidRPr="00C7571E">
        <w:rPr>
          <w:i/>
        </w:rPr>
        <w:t xml:space="preserve">Prometheus </w:t>
      </w:r>
      <w:r>
        <w:rPr>
          <w:i/>
        </w:rPr>
        <w:t>Radio Project v. FCC</w:t>
      </w:r>
      <w:r w:rsidRPr="00C7571E">
        <w:t xml:space="preserve">, 373 F.3d </w:t>
      </w:r>
      <w:r>
        <w:t xml:space="preserve">372, </w:t>
      </w:r>
      <w:r w:rsidRPr="00C7571E">
        <w:t>403-09</w:t>
      </w:r>
      <w:r>
        <w:t xml:space="preserve"> (3rd Cir. 2004)</w:t>
      </w:r>
      <w:r w:rsidRPr="00C7571E">
        <w:t xml:space="preserve">.  The Commission subsequently declined to revise and reinstate the index as a means of measuring market concentration, stating that “as the Commission has learned from experience, there are too many qualitative and quantitative variables in evaluating different markets and combinations to reduce the task at hand to a precise mathematical formula.”  </w:t>
      </w:r>
      <w:r w:rsidRPr="00C7571E">
        <w:rPr>
          <w:i/>
        </w:rPr>
        <w:t>2006 Quadrennial Review Order</w:t>
      </w:r>
      <w:r w:rsidRPr="00C7571E">
        <w:t>, 23 FCC Rcd at 2052-53, para. 73.</w:t>
      </w:r>
    </w:p>
  </w:footnote>
  <w:footnote w:id="297">
    <w:p w:rsidR="00A03401" w:rsidP="00B12C9D">
      <w:pPr>
        <w:pStyle w:val="FootnoteText"/>
      </w:pPr>
      <w:r>
        <w:rPr>
          <w:rStyle w:val="FootnoteReference"/>
        </w:rPr>
        <w:footnoteRef/>
      </w:r>
      <w:r w:rsidRPr="009B77BC">
        <w:rPr>
          <w:i/>
        </w:rPr>
        <w:t>See</w:t>
      </w:r>
      <w:r w:rsidRPr="009B77BC">
        <w:t xml:space="preserve"> MMTC June 24, 2016</w:t>
      </w:r>
      <w:r>
        <w:t>,</w:t>
      </w:r>
      <w:r w:rsidRPr="009B77BC">
        <w:t xml:space="preserve"> </w:t>
      </w:r>
      <w:r w:rsidRPr="009B77BC">
        <w:rPr>
          <w:i/>
        </w:rPr>
        <w:t>Ex Parte</w:t>
      </w:r>
      <w:r w:rsidRPr="009B77BC">
        <w:t xml:space="preserve"> Letter at </w:t>
      </w:r>
      <w:r>
        <w:t xml:space="preserve">6-7. </w:t>
      </w:r>
    </w:p>
  </w:footnote>
  <w:footnote w:id="298">
    <w:p w:rsidR="00A03401" w:rsidP="00B12C9D">
      <w:pPr>
        <w:pStyle w:val="FootnoteText"/>
      </w:pPr>
      <w:r>
        <w:rPr>
          <w:rStyle w:val="FootnoteReference"/>
        </w:rPr>
        <w:footnoteRef/>
      </w:r>
      <w:r>
        <w:t xml:space="preserve"> </w:t>
      </w:r>
      <w:bookmarkStart w:id="55" w:name="_Hlk527988761"/>
      <w:r>
        <w:t xml:space="preserve">2002 DCS Biennial Review Reply Comments at 18-20.   </w:t>
      </w:r>
      <w:bookmarkEnd w:id="55"/>
    </w:p>
  </w:footnote>
  <w:footnote w:id="299">
    <w:p w:rsidR="00A03401" w:rsidP="00B12C9D">
      <w:pPr>
        <w:pStyle w:val="FootnoteText"/>
      </w:pPr>
      <w:r>
        <w:rPr>
          <w:rStyle w:val="FootnoteReference"/>
        </w:rPr>
        <w:footnoteRef/>
      </w:r>
      <w:r>
        <w:t xml:space="preserve"> </w:t>
      </w:r>
      <w:bookmarkStart w:id="56" w:name="_Hlk527989310"/>
      <w:r w:rsidRPr="002B0DC2">
        <w:rPr>
          <w:i/>
        </w:rPr>
        <w:t>Id</w:t>
      </w:r>
      <w:r>
        <w:t>. at 23</w:t>
      </w:r>
      <w:r w:rsidRPr="009777B7">
        <w:t xml:space="preserve">.   </w:t>
      </w:r>
      <w:bookmarkEnd w:id="56"/>
    </w:p>
  </w:footnote>
  <w:footnote w:id="300">
    <w:p w:rsidR="00A03401" w:rsidP="00B12C9D">
      <w:pPr>
        <w:pStyle w:val="FootnoteText"/>
      </w:pPr>
      <w:r>
        <w:rPr>
          <w:rStyle w:val="FootnoteReference"/>
        </w:rPr>
        <w:footnoteRef/>
      </w:r>
      <w:r>
        <w:t xml:space="preserve"> </w:t>
      </w:r>
      <w:bookmarkStart w:id="57" w:name="_Hlk527990092"/>
      <w:r w:rsidRPr="002B0DC2">
        <w:rPr>
          <w:i/>
        </w:rPr>
        <w:t>Id</w:t>
      </w:r>
      <w:r>
        <w:t>.</w:t>
      </w:r>
      <w:bookmarkEnd w:id="57"/>
      <w:r w:rsidRPr="00F924B9">
        <w:t xml:space="preserve">   </w:t>
      </w:r>
    </w:p>
  </w:footnote>
  <w:footnote w:id="301">
    <w:p w:rsidR="00A03401" w:rsidP="00B12C9D">
      <w:pPr>
        <w:pStyle w:val="FootnoteText"/>
      </w:pPr>
      <w:r>
        <w:rPr>
          <w:rStyle w:val="FootnoteReference"/>
        </w:rPr>
        <w:footnoteRef/>
      </w:r>
      <w:r>
        <w:t xml:space="preserve"> </w:t>
      </w:r>
      <w:r w:rsidRPr="0091116C">
        <w:rPr>
          <w:i/>
        </w:rPr>
        <w:t>Id</w:t>
      </w:r>
      <w:r w:rsidRPr="00F924B9">
        <w:t>.</w:t>
      </w:r>
      <w:r>
        <w:t xml:space="preserve">  DCS noted, however, that “[s]ecuring consensus on the temperature levels that reflect poor health will require skill and patience.”  </w:t>
      </w:r>
      <w:r w:rsidRPr="002B0DC2">
        <w:rPr>
          <w:i/>
        </w:rPr>
        <w:t>Id</w:t>
      </w:r>
      <w:r>
        <w:t xml:space="preserve">. </w:t>
      </w:r>
      <w:r w:rsidRPr="00F924B9">
        <w:t>at 23</w:t>
      </w:r>
      <w:r>
        <w:t xml:space="preserve">, n. 38. </w:t>
      </w:r>
      <w:r w:rsidRPr="00F924B9">
        <w:t xml:space="preserve">   </w:t>
      </w:r>
    </w:p>
  </w:footnote>
  <w:footnote w:id="302">
    <w:p w:rsidR="00A03401" w:rsidRPr="00BB4AAE" w:rsidP="00B12C9D">
      <w:pPr>
        <w:pStyle w:val="FootnoteText"/>
      </w:pPr>
      <w:r>
        <w:rPr>
          <w:rStyle w:val="FootnoteReference"/>
        </w:rPr>
        <w:footnoteRef/>
      </w:r>
      <w:r>
        <w:t xml:space="preserve"> </w:t>
      </w:r>
      <w:r>
        <w:rPr>
          <w:i/>
        </w:rPr>
        <w:t>See</w:t>
      </w:r>
      <w:r>
        <w:t xml:space="preserve"> </w:t>
      </w:r>
      <w:r w:rsidRPr="0091116C">
        <w:rPr>
          <w:i/>
        </w:rPr>
        <w:t>id</w:t>
      </w:r>
      <w:r>
        <w:t xml:space="preserve">. </w:t>
      </w:r>
      <w:r w:rsidRPr="00BB4AAE">
        <w:t>at</w:t>
      </w:r>
      <w:r>
        <w:t xml:space="preserve"> 23-24 (stating that “[s]uch formulas, geared to market realities and consumer behavior, are far preferable to guesswork in establishing the number of voices needed to maximize consumer welfare.”).</w:t>
      </w:r>
    </w:p>
  </w:footnote>
  <w:footnote w:id="303">
    <w:p w:rsidR="00A03401" w:rsidP="00B12C9D">
      <w:pPr>
        <w:pStyle w:val="FootnoteText"/>
      </w:pPr>
      <w:r>
        <w:rPr>
          <w:rStyle w:val="FootnoteReference"/>
        </w:rPr>
        <w:footnoteRef/>
      </w:r>
      <w:r>
        <w:t xml:space="preserve"> </w:t>
      </w:r>
      <w:bookmarkStart w:id="59" w:name="_Hlk526272768"/>
      <w:bookmarkStart w:id="60" w:name="_Hlk526536739"/>
      <w:bookmarkStart w:id="61" w:name="_Hlk527979097"/>
      <w:r>
        <w:rPr>
          <w:i/>
        </w:rPr>
        <w:t>I</w:t>
      </w:r>
      <w:r w:rsidRPr="002B0DC2">
        <w:rPr>
          <w:i/>
        </w:rPr>
        <w:t>d</w:t>
      </w:r>
      <w:r>
        <w:t>. at 21</w:t>
      </w:r>
      <w:r w:rsidRPr="00D377F5">
        <w:t xml:space="preserve">.  </w:t>
      </w:r>
      <w:bookmarkStart w:id="62" w:name="_Hlk526272364"/>
      <w:bookmarkEnd w:id="59"/>
      <w:bookmarkEnd w:id="60"/>
      <w:bookmarkEnd w:id="61"/>
    </w:p>
  </w:footnote>
  <w:footnote w:id="304">
    <w:p w:rsidR="00A03401" w:rsidRPr="00D377F5" w:rsidP="00B12C9D">
      <w:pPr>
        <w:pStyle w:val="FootnoteText"/>
      </w:pPr>
      <w:bookmarkEnd w:id="62"/>
      <w:r>
        <w:rPr>
          <w:rStyle w:val="FootnoteReference"/>
        </w:rPr>
        <w:footnoteRef/>
      </w:r>
      <w:r>
        <w:t xml:space="preserve"> </w:t>
      </w:r>
      <w:r>
        <w:rPr>
          <w:i/>
        </w:rPr>
        <w:t>I</w:t>
      </w:r>
      <w:r w:rsidRPr="002B0DC2">
        <w:rPr>
          <w:i/>
        </w:rPr>
        <w:t>d</w:t>
      </w:r>
      <w:r w:rsidRPr="00D377F5">
        <w:t xml:space="preserve">.  </w:t>
      </w:r>
    </w:p>
  </w:footnote>
  <w:footnote w:id="305">
    <w:p w:rsidR="00A03401" w:rsidP="00B12C9D">
      <w:pPr>
        <w:pStyle w:val="FootnoteText"/>
      </w:pPr>
      <w:r>
        <w:rPr>
          <w:rStyle w:val="FootnoteReference"/>
        </w:rPr>
        <w:footnoteRef/>
      </w:r>
      <w:r>
        <w:rPr>
          <w:i/>
        </w:rPr>
        <w:t xml:space="preserve"> </w:t>
      </w:r>
      <w:r w:rsidRPr="002B0DC2">
        <w:rPr>
          <w:i/>
        </w:rPr>
        <w:t>Id</w:t>
      </w:r>
      <w:r>
        <w:t xml:space="preserve">.  </w:t>
      </w:r>
      <w:r w:rsidRPr="00A9285B">
        <w:t>In 2012, the DCS offered up this formula again, without offering any further explanation about the formula or addressing the significant concerns it itself had raised.</w:t>
      </w:r>
      <w:r>
        <w:t xml:space="preserve">  </w:t>
      </w:r>
      <w:r w:rsidRPr="00A9285B">
        <w:t>DCS Supplemental NPRM Comments at 70-71.  In its 2016 letter to then</w:t>
      </w:r>
      <w:r>
        <w:t>-</w:t>
      </w:r>
      <w:r w:rsidRPr="00A9285B">
        <w:t xml:space="preserve">Chairman Wheeler, MMTC asked that the Commission as part of its 2018 </w:t>
      </w:r>
      <w:r>
        <w:t>Q</w:t>
      </w:r>
      <w:r w:rsidRPr="00A9285B">
        <w:t xml:space="preserve">uadrennial </w:t>
      </w:r>
      <w:r>
        <w:t>R</w:t>
      </w:r>
      <w:r w:rsidRPr="00A9285B">
        <w:t>eview proceeding issue a</w:t>
      </w:r>
      <w:r>
        <w:t>n</w:t>
      </w:r>
      <w:r w:rsidRPr="00A9285B">
        <w:t xml:space="preserve"> NOI seeking public input on the formula, directing readers back to the DCS’s 2012 filing.</w:t>
      </w:r>
      <w:r>
        <w:t xml:space="preserve">  </w:t>
      </w:r>
      <w:r w:rsidRPr="00A9285B">
        <w:rPr>
          <w:i/>
        </w:rPr>
        <w:t>See</w:t>
      </w:r>
      <w:r w:rsidRPr="00A9285B">
        <w:t xml:space="preserve"> MMTC June 24, 2016</w:t>
      </w:r>
      <w:r>
        <w:t>,</w:t>
      </w:r>
      <w:r w:rsidRPr="00A9285B">
        <w:t xml:space="preserve"> </w:t>
      </w:r>
      <w:r w:rsidRPr="00A9285B">
        <w:rPr>
          <w:i/>
        </w:rPr>
        <w:t>Ex Parte</w:t>
      </w:r>
      <w:r w:rsidRPr="00A9285B">
        <w:t xml:space="preserve"> Letter at 7.   </w:t>
      </w:r>
    </w:p>
  </w:footnote>
  <w:footnote w:id="306">
    <w:p w:rsidR="00A03401" w:rsidRPr="0098750E" w:rsidP="00B12C9D">
      <w:pPr>
        <w:pStyle w:val="FootnoteText"/>
      </w:pPr>
      <w:r>
        <w:rPr>
          <w:rStyle w:val="FootnoteReference"/>
        </w:rPr>
        <w:footnoteRef/>
      </w:r>
      <w:r w:rsidRPr="008652DE">
        <w:t xml:space="preserve"> </w:t>
      </w:r>
      <w:r w:rsidRPr="008652DE">
        <w:rPr>
          <w:i/>
        </w:rPr>
        <w:t>See, e.g., supra</w:t>
      </w:r>
      <w:r w:rsidRPr="008652DE">
        <w:t xml:space="preserve"> paras. </w:t>
      </w:r>
      <w:r>
        <w:t>38-</w:t>
      </w:r>
      <w:r w:rsidRPr="00033BB8">
        <w:t>39</w:t>
      </w:r>
      <w:r>
        <w:t>.</w:t>
      </w:r>
    </w:p>
  </w:footnote>
  <w:footnote w:id="307">
    <w:p w:rsidR="00A03401" w:rsidRPr="00060049" w:rsidP="00B12C9D">
      <w:pPr>
        <w:pStyle w:val="FootnoteText"/>
      </w:pPr>
      <w:r w:rsidRPr="00025823">
        <w:rPr>
          <w:rStyle w:val="FootnoteReference"/>
        </w:rPr>
        <w:footnoteRef/>
      </w:r>
      <w:r w:rsidRPr="00025823">
        <w:t xml:space="preserve"> 47 CFR §§</w:t>
      </w:r>
      <w:r>
        <w:t xml:space="preserve"> </w:t>
      </w:r>
      <w:r w:rsidRPr="00025823">
        <w:t xml:space="preserve">1.1200 </w:t>
      </w:r>
      <w:r w:rsidRPr="00025823">
        <w:rPr>
          <w:i/>
        </w:rPr>
        <w:t>et seq</w:t>
      </w:r>
      <w:r w:rsidRPr="00025823">
        <w:t>.</w:t>
      </w:r>
    </w:p>
  </w:footnote>
  <w:footnote w:id="308">
    <w:p w:rsidR="00A03401" w:rsidRPr="008E67B1" w:rsidP="00B12C9D">
      <w:pPr>
        <w:pStyle w:val="FootnoteText"/>
      </w:pPr>
      <w:r w:rsidRPr="008E67B1">
        <w:rPr>
          <w:rStyle w:val="FootnoteReference"/>
        </w:rPr>
        <w:footnoteRef/>
      </w:r>
      <w:r>
        <w:t xml:space="preserve"> </w:t>
      </w:r>
      <w:r w:rsidRPr="008E67B1">
        <w:t>5 U.S.C. §</w:t>
      </w:r>
      <w:r>
        <w:t xml:space="preserve"> </w:t>
      </w:r>
      <w:r w:rsidRPr="008E67B1">
        <w:t>603.</w:t>
      </w:r>
    </w:p>
  </w:footnote>
  <w:footnote w:id="309">
    <w:p w:rsidR="00A03401" w:rsidP="00B12C9D">
      <w:pPr>
        <w:pStyle w:val="FootnoteText"/>
      </w:pPr>
      <w:r>
        <w:rPr>
          <w:rStyle w:val="FootnoteReference"/>
        </w:rPr>
        <w:footnoteRef/>
      </w:r>
      <w:r>
        <w:t xml:space="preserve"> </w:t>
      </w:r>
      <w:r w:rsidRPr="009541FE">
        <w:rPr>
          <w:i/>
        </w:rPr>
        <w:t>Id</w:t>
      </w:r>
      <w:r>
        <w:t xml:space="preserve">. </w:t>
      </w:r>
      <w:r>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9361A2">
        <w:t xml:space="preserve"> </w:t>
      </w:r>
      <w:r w:rsidRPr="008E67B1">
        <w:t>§</w:t>
      </w:r>
      <w:r>
        <w:t xml:space="preserve"> 601(3)</w:t>
      </w:r>
      <w:r>
        <w:rPr>
          <w:spacing w:val="-2"/>
        </w:rPr>
        <w:t>.</w:t>
      </w:r>
    </w:p>
  </w:footnote>
  <w:footnote w:id="310">
    <w:p w:rsidR="00A03401" w:rsidP="00B12C9D">
      <w:pPr>
        <w:pStyle w:val="FootnoteText"/>
      </w:pPr>
      <w:r>
        <w:rPr>
          <w:rStyle w:val="FootnoteReference"/>
        </w:rPr>
        <w:footnoteRef/>
      </w:r>
      <w:r>
        <w:t xml:space="preserve"> 15 U.S.C.</w:t>
      </w:r>
      <w:r w:rsidRPr="004674C2">
        <w:t xml:space="preserve"> </w:t>
      </w:r>
      <w:r w:rsidRPr="008E67B1">
        <w:t>§</w:t>
      </w:r>
      <w:r>
        <w:t xml:space="preserve"> 632.</w:t>
      </w:r>
    </w:p>
  </w:footnote>
  <w:footnote w:id="311">
    <w:p w:rsidR="00A03401" w:rsidRPr="00E84726" w:rsidP="00B12C9D">
      <w:pPr>
        <w:pStyle w:val="FootnoteText"/>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312">
    <w:p w:rsidR="00A03401" w:rsidRPr="00E84726" w:rsidP="00B12C9D">
      <w:pPr>
        <w:pStyle w:val="FootnoteText"/>
      </w:pPr>
      <w:r w:rsidRPr="00E84726">
        <w:rPr>
          <w:rStyle w:val="FootnoteReference"/>
        </w:rPr>
        <w:footnoteRef/>
      </w:r>
      <w:r w:rsidRPr="00E84726">
        <w:t xml:space="preserve"> 5 U.S.C. § 603(a).</w:t>
      </w:r>
    </w:p>
  </w:footnote>
  <w:footnote w:id="313">
    <w:p w:rsidR="00A03401" w:rsidRPr="00E84726" w:rsidP="00B12C9D">
      <w:pPr>
        <w:pStyle w:val="FootnoteText"/>
      </w:pPr>
      <w:r w:rsidRPr="00E84726">
        <w:rPr>
          <w:rStyle w:val="FootnoteReference"/>
        </w:rPr>
        <w:footnoteRef/>
      </w:r>
      <w:r w:rsidRPr="00E84726">
        <w:t xml:space="preserve"> </w:t>
      </w:r>
      <w:r w:rsidRPr="00E84726">
        <w:rPr>
          <w:i/>
        </w:rPr>
        <w:t>Id</w:t>
      </w:r>
      <w:r w:rsidRPr="00E84726">
        <w:t>.</w:t>
      </w:r>
    </w:p>
  </w:footnote>
  <w:footnote w:id="314">
    <w:p w:rsidR="00A03401" w:rsidP="00B12C9D">
      <w:pPr>
        <w:pStyle w:val="FootnoteText"/>
      </w:pPr>
      <w:r>
        <w:rPr>
          <w:rStyle w:val="FootnoteReference"/>
        </w:rPr>
        <w:footnoteRef/>
      </w:r>
      <w:r>
        <w:t xml:space="preserve"> Section 202(h) of the 1996 Act, 47 U.S.C. § 303 note.  Section 202(h) of the 1996 Act further requires the Commission to “repeal or modify any regulation it determines to be no longer in the public interest.”  </w:t>
      </w:r>
    </w:p>
  </w:footnote>
  <w:footnote w:id="315">
    <w:p w:rsidR="00A03401" w:rsidRPr="00E84726" w:rsidP="00B12C9D">
      <w:pPr>
        <w:pStyle w:val="FootnoteText"/>
        <w:rPr>
          <w:i/>
        </w:rPr>
      </w:pPr>
      <w:r w:rsidRPr="00E84726">
        <w:rPr>
          <w:rStyle w:val="FootnoteReference"/>
        </w:rPr>
        <w:footnoteRef/>
      </w:r>
      <w:r w:rsidRPr="00E84726">
        <w:t xml:space="preserve"> 5 U.S.C. § 603(b)(3).</w:t>
      </w:r>
    </w:p>
  </w:footnote>
  <w:footnote w:id="316">
    <w:p w:rsidR="00A03401" w:rsidRPr="00E84726" w:rsidP="00B12C9D">
      <w:pPr>
        <w:pStyle w:val="FootnoteText"/>
      </w:pPr>
      <w:r w:rsidRPr="00E84726">
        <w:rPr>
          <w:rStyle w:val="FootnoteReference"/>
        </w:rPr>
        <w:footnoteRef/>
      </w:r>
      <w:r w:rsidRPr="00E84726">
        <w:t xml:space="preserve"> 5 U.S.C. § 601(6); </w:t>
      </w:r>
      <w:r w:rsidRPr="00E84726">
        <w:rPr>
          <w:i/>
        </w:rPr>
        <w:t xml:space="preserve">see infra </w:t>
      </w:r>
      <w:r w:rsidRPr="00E84726">
        <w:t xml:space="preserve">note </w:t>
      </w:r>
      <w:r>
        <w:t>7</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317">
    <w:p w:rsidR="00A03401" w:rsidRPr="00E84726" w:rsidP="00B12C9D">
      <w:pPr>
        <w:pStyle w:val="FootnoteText"/>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318">
    <w:p w:rsidR="00A03401" w:rsidRPr="00E84726" w:rsidP="00B12C9D">
      <w:pPr>
        <w:pStyle w:val="FootnoteText"/>
      </w:pPr>
      <w:r w:rsidRPr="00E84726">
        <w:rPr>
          <w:rStyle w:val="FootnoteReference"/>
        </w:rPr>
        <w:footnoteRef/>
      </w:r>
      <w:r w:rsidRPr="00E84726">
        <w:t xml:space="preserve"> 15 U.S.C. § 632(a)(1)-(2)(A).</w:t>
      </w:r>
    </w:p>
  </w:footnote>
  <w:footnote w:id="319">
    <w:p w:rsidR="00A03401" w:rsidP="00B12C9D">
      <w:pPr>
        <w:pStyle w:val="FootnoteText"/>
      </w:pPr>
      <w:r>
        <w:rPr>
          <w:rStyle w:val="FootnoteReference"/>
        </w:rPr>
        <w:footnoteRef/>
      </w:r>
      <w:r>
        <w:t xml:space="preserve"> U.S. Census Bureau, 2017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320">
    <w:p w:rsidR="00A03401" w:rsidP="00B12C9D">
      <w:pPr>
        <w:pStyle w:val="FootnoteText"/>
      </w:pPr>
      <w:r>
        <w:rPr>
          <w:rStyle w:val="FootnoteReference"/>
        </w:rPr>
        <w:footnoteRef/>
      </w:r>
      <w:r>
        <w:t xml:space="preserve"> </w:t>
      </w:r>
      <w:r w:rsidRPr="00EB1D30">
        <w:rPr>
          <w:i/>
        </w:rPr>
        <w:t>Id</w:t>
      </w:r>
      <w:r>
        <w:t>.</w:t>
      </w:r>
    </w:p>
  </w:footnote>
  <w:footnote w:id="321">
    <w:p w:rsidR="00A03401" w:rsidP="00B12C9D">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22">
    <w:p w:rsidR="00A03401" w:rsidP="00B12C9D">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323">
    <w:p w:rsidR="00A03401" w:rsidRPr="00E84726" w:rsidP="00B12C9D">
      <w:pPr>
        <w:pStyle w:val="FootnoteText"/>
      </w:pPr>
      <w:r w:rsidRPr="00E84726">
        <w:rPr>
          <w:rStyle w:val="FootnoteReference"/>
        </w:rPr>
        <w:footnoteRef/>
      </w:r>
      <w:r w:rsidRPr="00E84726">
        <w:t xml:space="preserve"> Broadcast Station Totals as of </w:t>
      </w:r>
      <w:r>
        <w:t>September</w:t>
      </w:r>
      <w:r w:rsidRPr="00E84726">
        <w:t xml:space="preserve"> 30, 201</w:t>
      </w:r>
      <w:r>
        <w:t>8</w:t>
      </w:r>
      <w:r w:rsidRPr="00E84726">
        <w:t xml:space="preserve">, Press Release (MB </w:t>
      </w:r>
      <w:r>
        <w:t>Oct.</w:t>
      </w:r>
      <w:r w:rsidRPr="00E84726">
        <w:t xml:space="preserve"> </w:t>
      </w:r>
      <w:r>
        <w:t>3</w:t>
      </w:r>
      <w:r w:rsidRPr="00E84726">
        <w:t>, 201</w:t>
      </w:r>
      <w:r>
        <w:t>8</w:t>
      </w:r>
      <w:r w:rsidRPr="00E84726">
        <w:t>) (</w:t>
      </w:r>
      <w:r>
        <w:t>September</w:t>
      </w:r>
      <w:r w:rsidRPr="00E84726">
        <w:t xml:space="preserve"> 30, 201</w:t>
      </w:r>
      <w:r>
        <w:t>8</w:t>
      </w:r>
      <w:r w:rsidRPr="00E84726">
        <w:t xml:space="preserve"> Broadcast Station Totals)</w:t>
      </w:r>
      <w:r>
        <w:t xml:space="preserve">,available at </w:t>
      </w:r>
      <w:r>
        <w:fldChar w:fldCharType="begin"/>
      </w:r>
      <w:r>
        <w:instrText xml:space="preserve"> HYPERLINK "https://www.fcc.gov/document/broadcast-station-totals-september-30-2018" </w:instrText>
      </w:r>
      <w:r>
        <w:fldChar w:fldCharType="separate"/>
      </w:r>
      <w:r w:rsidRPr="00733409">
        <w:rPr>
          <w:rStyle w:val="Hyperlink"/>
        </w:rPr>
        <w:t>https://www.fcc.gov/document/broadcast-station-totals-september-30-2018</w:t>
      </w:r>
      <w:r>
        <w:fldChar w:fldCharType="end"/>
      </w:r>
      <w:r>
        <w:t>.  While the Commission also reports the number of lice</w:t>
      </w:r>
      <w:r w:rsidRPr="009212B1">
        <w:t xml:space="preserve">nsed noncommercial educational (NCE) </w:t>
      </w:r>
      <w:r>
        <w:t xml:space="preserve">broadcast </w:t>
      </w:r>
      <w:r w:rsidRPr="009212B1">
        <w:t>stations</w:t>
      </w:r>
      <w:r>
        <w:t>, it does not</w:t>
      </w:r>
      <w:r w:rsidRPr="009212B1">
        <w:t xml:space="preserve"> </w:t>
      </w:r>
      <w:r>
        <w:t xml:space="preserve">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324">
    <w:p w:rsidR="00A03401" w:rsidP="00B12C9D">
      <w:pPr>
        <w:pStyle w:val="FootnoteText"/>
      </w:pPr>
      <w:r>
        <w:rPr>
          <w:rStyle w:val="FootnoteReference"/>
        </w:rPr>
        <w:footnoteRef/>
      </w:r>
      <w:r>
        <w:t xml:space="preserve"> U.S. Census Bureau, 2017 NAICS Definitions, “515112 Radio Stations,”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 xml:space="preserve">.  </w:t>
      </w:r>
    </w:p>
  </w:footnote>
  <w:footnote w:id="325">
    <w:p w:rsidR="00A03401" w:rsidP="00B12C9D">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326">
    <w:p w:rsidR="00A03401" w:rsidP="00B12C9D">
      <w:pPr>
        <w:pStyle w:val="FootnoteText"/>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r>
        <w:fldChar w:fldCharType="begin"/>
      </w:r>
      <w:r>
        <w:instrText xml:space="preserve"> HYPERLINK "https://factfinder.census.gov/bkmk/table/1.0/en/ECN/2012_US/51SSSZ4//naics~515112|" </w:instrText>
      </w:r>
      <w:r>
        <w:fldChar w:fldCharType="separate"/>
      </w:r>
      <w:r w:rsidRPr="009E7B0A">
        <w:rPr>
          <w:rStyle w:val="Hyperlink"/>
        </w:rPr>
        <w:t>https://factfinder.census.gov/bkmk/table/1.0/en/ECN/2012_US/51SSSZ4//naics~515112|</w:t>
      </w:r>
      <w:r>
        <w:fldChar w:fldCharType="end"/>
      </w:r>
      <w:r>
        <w:t>.</w:t>
      </w:r>
    </w:p>
  </w:footnote>
  <w:footnote w:id="327">
    <w:p w:rsidR="00A03401" w:rsidP="00B12C9D">
      <w:pPr>
        <w:pStyle w:val="FootnoteText"/>
      </w:pPr>
      <w:r>
        <w:rPr>
          <w:rStyle w:val="FootnoteReference"/>
        </w:rPr>
        <w:footnoteRef/>
      </w:r>
      <w:r>
        <w:t xml:space="preserve"> </w:t>
      </w:r>
      <w:r>
        <w:rPr>
          <w:i/>
        </w:rPr>
        <w:t>Id</w:t>
      </w:r>
      <w:r>
        <w:t>.</w:t>
      </w:r>
    </w:p>
  </w:footnote>
  <w:footnote w:id="328">
    <w:p w:rsidR="00A03401" w:rsidP="00B12C9D">
      <w:pPr>
        <w:pStyle w:val="FootnoteText"/>
      </w:pPr>
      <w:r>
        <w:rPr>
          <w:rStyle w:val="FootnoteReference"/>
        </w:rPr>
        <w:footnoteRef/>
      </w:r>
      <w:r>
        <w:t xml:space="preserve"> September</w:t>
      </w:r>
      <w:r w:rsidRPr="00E84726">
        <w:t xml:space="preserve"> 30, 201</w:t>
      </w:r>
      <w:r>
        <w:t>8</w:t>
      </w:r>
      <w:r w:rsidRPr="00E84726">
        <w:t xml:space="preserve"> Broadcast Station Totals</w:t>
      </w:r>
      <w:r>
        <w:t xml:space="preserve">.   </w:t>
      </w:r>
    </w:p>
  </w:footnote>
  <w:footnote w:id="329">
    <w:p w:rsidR="00A03401" w:rsidRPr="0020225D" w:rsidP="00B12C9D">
      <w:pPr>
        <w:pStyle w:val="FootnoteText"/>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330">
    <w:p w:rsidR="00A03401" w:rsidP="00B12C9D">
      <w:pPr>
        <w:pStyle w:val="FootnoteText"/>
      </w:pPr>
      <w:r>
        <w:rPr>
          <w:rStyle w:val="FootnoteReference"/>
        </w:rPr>
        <w:footnoteRef/>
      </w:r>
      <w:r>
        <w:t xml:space="preserve"> </w:t>
      </w:r>
      <w:r>
        <w:rPr>
          <w:i/>
        </w:rPr>
        <w:t>See</w:t>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810B6F">
    <w:pPr>
      <w:pStyle w:val="Header"/>
      <w:rPr>
        <w:b w:val="0"/>
      </w:rPr>
    </w:pPr>
    <w:r>
      <w:tab/>
      <w:t>Federal Communications Commission</w:t>
    </w:r>
    <w:r>
      <w:tab/>
      <w:t>FCC 18-179</w:t>
    </w:r>
  </w:p>
  <w:p w:rsidR="00A0340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03401">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18-179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810B6F">
    <w:pPr>
      <w:pStyle w:val="Header"/>
      <w:rPr>
        <w:b w:val="0"/>
      </w:rPr>
    </w:pPr>
    <w:r>
      <w:tab/>
      <w:t>Federal Communications Commission</w:t>
    </w:r>
    <w:r>
      <w:tab/>
      <w:t>FCC 18-179</w:t>
    </w:r>
  </w:p>
  <w:p w:rsidR="00A03401">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A03401">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01"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C6EBCA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320020"/>
    <w:multiLevelType w:val="hybridMultilevel"/>
    <w:tmpl w:val="56C66D4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5"/>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7"/>
  </w:num>
  <w:num w:numId="13">
    <w:abstractNumId w:val="8"/>
    <w:lvlOverride w:ilvl="0">
      <w:startOverride w:val="1"/>
    </w:lvlOverride>
  </w:num>
  <w:num w:numId="14">
    <w:abstractNumId w:val="8"/>
    <w:lvlOverride w:ilvl="0">
      <w:startOverride w:val="1"/>
    </w:lvlOverride>
  </w:num>
  <w:num w:numId="15">
    <w:abstractNumId w:val="0"/>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DE"/>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8652D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8652DE"/>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link w:val="Heading3Char"/>
    <w:qFormat/>
    <w:rsid w:val="008652DE"/>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8652D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652D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652DE"/>
    <w:pPr>
      <w:numPr>
        <w:ilvl w:val="5"/>
        <w:numId w:val="3"/>
      </w:numPr>
      <w:tabs>
        <w:tab w:val="left" w:pos="4320"/>
      </w:tabs>
      <w:spacing w:after="120"/>
      <w:outlineLvl w:val="5"/>
    </w:pPr>
    <w:rPr>
      <w:b/>
    </w:rPr>
  </w:style>
  <w:style w:type="paragraph" w:styleId="Heading7">
    <w:name w:val="heading 7"/>
    <w:basedOn w:val="Normal"/>
    <w:next w:val="ParaNum"/>
    <w:qFormat/>
    <w:rsid w:val="008652D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52D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8652D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52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2DE"/>
  </w:style>
  <w:style w:type="paragraph" w:customStyle="1" w:styleId="ParaNum">
    <w:name w:val="ParaNum"/>
    <w:basedOn w:val="Normal"/>
    <w:link w:val="ParaNumChar"/>
    <w:rsid w:val="008652DE"/>
    <w:pPr>
      <w:numPr>
        <w:numId w:val="2"/>
      </w:numPr>
      <w:tabs>
        <w:tab w:val="clear" w:pos="1080"/>
        <w:tab w:val="num" w:pos="1440"/>
      </w:tabs>
      <w:spacing w:after="120"/>
    </w:pPr>
  </w:style>
  <w:style w:type="paragraph" w:styleId="EndnoteText">
    <w:name w:val="endnote text"/>
    <w:basedOn w:val="Normal"/>
    <w:semiHidden/>
    <w:rsid w:val="008652DE"/>
    <w:rPr>
      <w:sz w:val="20"/>
    </w:rPr>
  </w:style>
  <w:style w:type="character" w:styleId="EndnoteReference">
    <w:name w:val="endnote reference"/>
    <w:semiHidden/>
    <w:rsid w:val="008652DE"/>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8652D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652DE"/>
    <w:rPr>
      <w:rFonts w:ascii="Times New Roman" w:hAnsi="Times New Roman"/>
      <w:dstrike w:val="0"/>
      <w:color w:val="auto"/>
      <w:sz w:val="20"/>
      <w:vertAlign w:val="superscript"/>
    </w:rPr>
  </w:style>
  <w:style w:type="paragraph" w:styleId="TOC1">
    <w:name w:val="toc 1"/>
    <w:basedOn w:val="Normal"/>
    <w:next w:val="Normal"/>
    <w:rsid w:val="008652DE"/>
    <w:pPr>
      <w:tabs>
        <w:tab w:val="left" w:pos="360"/>
        <w:tab w:val="right" w:leader="dot" w:pos="9360"/>
      </w:tabs>
      <w:suppressAutoHyphens/>
      <w:ind w:left="360" w:right="720" w:hanging="360"/>
    </w:pPr>
    <w:rPr>
      <w:caps/>
      <w:noProof/>
    </w:rPr>
  </w:style>
  <w:style w:type="paragraph" w:styleId="TOC2">
    <w:name w:val="toc 2"/>
    <w:basedOn w:val="Normal"/>
    <w:next w:val="Normal"/>
    <w:rsid w:val="008652DE"/>
    <w:pPr>
      <w:tabs>
        <w:tab w:val="left" w:pos="720"/>
        <w:tab w:val="right" w:leader="dot" w:pos="9360"/>
      </w:tabs>
      <w:suppressAutoHyphens/>
      <w:ind w:left="720" w:right="720" w:hanging="360"/>
    </w:pPr>
    <w:rPr>
      <w:noProof/>
    </w:rPr>
  </w:style>
  <w:style w:type="paragraph" w:styleId="TOC3">
    <w:name w:val="toc 3"/>
    <w:basedOn w:val="Normal"/>
    <w:next w:val="Normal"/>
    <w:rsid w:val="008652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52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52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52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52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52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52D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52DE"/>
    <w:pPr>
      <w:tabs>
        <w:tab w:val="right" w:pos="9360"/>
      </w:tabs>
      <w:suppressAutoHyphens/>
    </w:pPr>
  </w:style>
  <w:style w:type="character" w:customStyle="1" w:styleId="EquationCaption">
    <w:name w:val="_Equation Caption"/>
    <w:rsid w:val="008652DE"/>
  </w:style>
  <w:style w:type="paragraph" w:styleId="Header">
    <w:name w:val="header"/>
    <w:basedOn w:val="Normal"/>
    <w:autoRedefine/>
    <w:rsid w:val="008652DE"/>
    <w:pPr>
      <w:tabs>
        <w:tab w:val="center" w:pos="4680"/>
        <w:tab w:val="right" w:pos="9360"/>
      </w:tabs>
    </w:pPr>
    <w:rPr>
      <w:b/>
    </w:rPr>
  </w:style>
  <w:style w:type="paragraph" w:styleId="Footer">
    <w:name w:val="footer"/>
    <w:basedOn w:val="Normal"/>
    <w:link w:val="FooterChar"/>
    <w:uiPriority w:val="99"/>
    <w:rsid w:val="008652DE"/>
    <w:pPr>
      <w:tabs>
        <w:tab w:val="center" w:pos="4320"/>
        <w:tab w:val="right" w:pos="8640"/>
      </w:tabs>
    </w:pPr>
  </w:style>
  <w:style w:type="character" w:styleId="PageNumber">
    <w:name w:val="page number"/>
    <w:basedOn w:val="DefaultParagraphFont"/>
    <w:rsid w:val="008652DE"/>
  </w:style>
  <w:style w:type="paragraph" w:styleId="BlockText">
    <w:name w:val="Block Text"/>
    <w:basedOn w:val="Normal"/>
    <w:rsid w:val="008652DE"/>
    <w:pPr>
      <w:spacing w:after="240"/>
      <w:ind w:left="1440" w:right="1440"/>
    </w:pPr>
  </w:style>
  <w:style w:type="paragraph" w:customStyle="1" w:styleId="Paratitle">
    <w:name w:val="Para title"/>
    <w:basedOn w:val="Normal"/>
    <w:rsid w:val="008652DE"/>
    <w:pPr>
      <w:tabs>
        <w:tab w:val="center" w:pos="9270"/>
      </w:tabs>
      <w:spacing w:after="240"/>
    </w:pPr>
    <w:rPr>
      <w:spacing w:val="-2"/>
    </w:rPr>
  </w:style>
  <w:style w:type="paragraph" w:customStyle="1" w:styleId="Bullet">
    <w:name w:val="Bullet"/>
    <w:basedOn w:val="Normal"/>
    <w:rsid w:val="008652DE"/>
    <w:pPr>
      <w:tabs>
        <w:tab w:val="left" w:pos="2160"/>
      </w:tabs>
      <w:spacing w:after="220"/>
      <w:ind w:left="2160" w:hanging="720"/>
    </w:pPr>
  </w:style>
  <w:style w:type="paragraph" w:customStyle="1" w:styleId="TableFormat">
    <w:name w:val="TableFormat"/>
    <w:basedOn w:val="Bullet"/>
    <w:rsid w:val="008652DE"/>
    <w:pPr>
      <w:tabs>
        <w:tab w:val="clear" w:pos="2160"/>
        <w:tab w:val="left" w:pos="5040"/>
      </w:tabs>
      <w:ind w:left="5040" w:hanging="3600"/>
    </w:pPr>
  </w:style>
  <w:style w:type="paragraph" w:customStyle="1" w:styleId="TOCTitle">
    <w:name w:val="TOC Title"/>
    <w:basedOn w:val="Normal"/>
    <w:rsid w:val="008652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52DE"/>
    <w:pPr>
      <w:jc w:val="center"/>
    </w:pPr>
    <w:rPr>
      <w:rFonts w:ascii="Times New Roman Bold" w:hAnsi="Times New Roman Bold"/>
      <w:b/>
      <w:bCs/>
      <w:caps/>
      <w:szCs w:val="22"/>
    </w:rPr>
  </w:style>
  <w:style w:type="character" w:styleId="Hyperlink">
    <w:name w:val="Hyperlink"/>
    <w:rsid w:val="008652DE"/>
    <w:rPr>
      <w:color w:val="0000FF"/>
      <w:u w:val="single"/>
    </w:rPr>
  </w:style>
  <w:style w:type="character" w:customStyle="1" w:styleId="FooterChar">
    <w:name w:val="Footer Char"/>
    <w:link w:val="Footer"/>
    <w:uiPriority w:val="99"/>
    <w:rsid w:val="008652DE"/>
    <w:rPr>
      <w:snapToGrid w:val="0"/>
      <w:kern w:val="28"/>
      <w:sz w:val="22"/>
    </w:rPr>
  </w:style>
  <w:style w:type="character" w:customStyle="1" w:styleId="FootnoteTextChar">
    <w:name w:val="Footnote Text Char"/>
    <w:aliases w:val="Footnote Text Char Char Char1 Char,Footnote Text Char1 Char,Footnote Text Char2 Char,Footnote Text Char2 Char1 Char Char Char Char1 Char,Footnote Text Char2 Char1 Char1 Char1 Char,Footnote Text Char3 Char Char Char Char1 Char,f Char"/>
    <w:link w:val="FootnoteText"/>
    <w:rsid w:val="00B12C9D"/>
  </w:style>
  <w:style w:type="paragraph" w:customStyle="1" w:styleId="GridTable31">
    <w:name w:val="Grid Table 31"/>
    <w:basedOn w:val="Heading1"/>
    <w:next w:val="Normal"/>
    <w:uiPriority w:val="39"/>
    <w:unhideWhenUsed/>
    <w:qFormat/>
    <w:rsid w:val="00B12C9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UnresolvedMention">
    <w:name w:val="Unresolved Mention"/>
    <w:uiPriority w:val="99"/>
    <w:semiHidden/>
    <w:unhideWhenUsed/>
    <w:rsid w:val="00B12C9D"/>
    <w:rPr>
      <w:color w:val="808080"/>
      <w:shd w:val="clear" w:color="auto" w:fill="E6E6E6"/>
    </w:rPr>
  </w:style>
  <w:style w:type="character" w:customStyle="1" w:styleId="ParaNumChar">
    <w:name w:val="ParaNum Char"/>
    <w:link w:val="ParaNum"/>
    <w:locked/>
    <w:rsid w:val="00B12C9D"/>
    <w:rPr>
      <w:snapToGrid w:val="0"/>
      <w:kern w:val="28"/>
      <w:sz w:val="22"/>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B12C9D"/>
  </w:style>
  <w:style w:type="character" w:customStyle="1" w:styleId="ParaNumChar2">
    <w:name w:val="ParaNum Char2"/>
    <w:rsid w:val="00B12C9D"/>
    <w:rPr>
      <w:snapToGrid w:val="0"/>
      <w:kern w:val="28"/>
      <w:sz w:val="22"/>
    </w:rPr>
  </w:style>
  <w:style w:type="character" w:customStyle="1" w:styleId="ParaNumChar1">
    <w:name w:val="ParaNum Char1"/>
    <w:rsid w:val="00B12C9D"/>
    <w:rPr>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locked/>
    <w:rsid w:val="00B12C9D"/>
    <w:rPr>
      <w:b/>
      <w:snapToGrid w:val="0"/>
      <w:kern w:val="28"/>
      <w:sz w:val="22"/>
    </w:rPr>
  </w:style>
  <w:style w:type="character" w:styleId="Emphasis">
    <w:name w:val="Emphasis"/>
    <w:uiPriority w:val="20"/>
    <w:qFormat/>
    <w:rsid w:val="00B12C9D"/>
    <w:rPr>
      <w:i/>
      <w:iCs/>
    </w:rPr>
  </w:style>
  <w:style w:type="character" w:customStyle="1" w:styleId="cosmallcaps">
    <w:name w:val="co_smallcaps"/>
    <w:rsid w:val="00B12C9D"/>
  </w:style>
  <w:style w:type="paragraph" w:customStyle="1" w:styleId="ParaNumCharChar1CharCharChar">
    <w:name w:val="ParaNum Char Char1 Char Char Char"/>
    <w:basedOn w:val="Normal"/>
    <w:rsid w:val="00B12C9D"/>
    <w:pPr>
      <w:tabs>
        <w:tab w:val="num" w:pos="1440"/>
      </w:tabs>
      <w:ind w:firstLine="720"/>
      <w:jc w:val="both"/>
    </w:pPr>
  </w:style>
  <w:style w:type="paragraph" w:styleId="BalloonText">
    <w:name w:val="Balloon Text"/>
    <w:basedOn w:val="Normal"/>
    <w:link w:val="BalloonTextChar"/>
    <w:rsid w:val="00B12C9D"/>
    <w:rPr>
      <w:rFonts w:ascii="Segoe UI" w:hAnsi="Segoe UI" w:cs="Segoe UI"/>
      <w:sz w:val="18"/>
      <w:szCs w:val="18"/>
    </w:rPr>
  </w:style>
  <w:style w:type="character" w:customStyle="1" w:styleId="BalloonTextChar">
    <w:name w:val="Balloon Text Char"/>
    <w:link w:val="BalloonText"/>
    <w:rsid w:val="00B12C9D"/>
    <w:rPr>
      <w:rFonts w:ascii="Segoe UI" w:hAnsi="Segoe UI" w:cs="Segoe UI"/>
      <w:snapToGrid w:val="0"/>
      <w:kern w:val="28"/>
      <w:sz w:val="18"/>
      <w:szCs w:val="18"/>
    </w:rPr>
  </w:style>
  <w:style w:type="character" w:customStyle="1" w:styleId="Heading5Char">
    <w:name w:val="Heading 5 Char"/>
    <w:link w:val="Heading5"/>
    <w:rsid w:val="00B12C9D"/>
    <w:rPr>
      <w:b/>
      <w:snapToGrid w:val="0"/>
      <w:kern w:val="28"/>
      <w:sz w:val="22"/>
    </w:rPr>
  </w:style>
  <w:style w:type="character" w:styleId="CommentReference">
    <w:name w:val="annotation reference"/>
    <w:rsid w:val="00B12C9D"/>
    <w:rPr>
      <w:sz w:val="16"/>
      <w:szCs w:val="16"/>
    </w:rPr>
  </w:style>
  <w:style w:type="paragraph" w:styleId="CommentText">
    <w:name w:val="annotation text"/>
    <w:basedOn w:val="Normal"/>
    <w:link w:val="CommentTextChar"/>
    <w:rsid w:val="00B12C9D"/>
    <w:rPr>
      <w:sz w:val="20"/>
    </w:rPr>
  </w:style>
  <w:style w:type="character" w:customStyle="1" w:styleId="CommentTextChar">
    <w:name w:val="Comment Text Char"/>
    <w:link w:val="CommentText"/>
    <w:rsid w:val="00B12C9D"/>
    <w:rPr>
      <w:snapToGrid w:val="0"/>
      <w:kern w:val="28"/>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B12C9D"/>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B12C9D"/>
    <w:rPr>
      <w:b/>
      <w:bCs/>
    </w:rPr>
  </w:style>
  <w:style w:type="character" w:customStyle="1" w:styleId="CommentSubjectChar">
    <w:name w:val="Comment Subject Char"/>
    <w:link w:val="CommentSubject"/>
    <w:rsid w:val="00B12C9D"/>
    <w:rPr>
      <w:b/>
      <w:bCs/>
      <w:snapToGrid w:val="0"/>
      <w:kern w:val="28"/>
    </w:rPr>
  </w:style>
  <w:style w:type="character" w:customStyle="1" w:styleId="cosearchterm">
    <w:name w:val="co_searchterm"/>
    <w:rsid w:val="00B12C9D"/>
  </w:style>
  <w:style w:type="character" w:customStyle="1" w:styleId="Heading3Char">
    <w:name w:val="Heading 3 Char"/>
    <w:aliases w:val="1 Char,3 Char,31 Char,Heading 3 Char Char Char,Heading 3 Char Char Char Char Char Char,Heading 3 Char Char Char Char Char1,Heading 3 Char Char1 Char Char,Heading 3 Char1 Char Char Char,Heading 3 Char1 Char Char Char1 Char Char Char"/>
    <w:link w:val="Heading3"/>
    <w:rsid w:val="00B12C9D"/>
    <w:rPr>
      <w:b/>
      <w:snapToGrid w:val="0"/>
      <w:kern w:val="28"/>
      <w:sz w:val="22"/>
    </w:rPr>
  </w:style>
  <w:style w:type="character" w:styleId="FollowedHyperlink">
    <w:name w:val="FollowedHyperlink"/>
    <w:rsid w:val="00B12C9D"/>
    <w:rPr>
      <w:color w:val="800080"/>
      <w:u w:val="single"/>
    </w:rPr>
  </w:style>
  <w:style w:type="paragraph" w:customStyle="1" w:styleId="MediumList2-Accent21">
    <w:name w:val="Medium List 2 - Accent 21"/>
    <w:hidden/>
    <w:uiPriority w:val="71"/>
    <w:unhideWhenUsed/>
    <w:rsid w:val="00B12C9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