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D1D15" w:rsidRPr="005577AD" w:rsidP="00113643" w14:paraId="4591A3D3" w14:textId="50BB9A72">
      <w:pPr>
        <w:spacing w:after="240"/>
        <w:jc w:val="center"/>
        <w:rPr>
          <w:b/>
          <w:bCs/>
          <w:caps/>
          <w:szCs w:val="22"/>
        </w:rPr>
      </w:pPr>
      <w:bookmarkStart w:id="0" w:name="_GoBack"/>
      <w:bookmarkEnd w:id="0"/>
      <w:r w:rsidRPr="005577AD">
        <w:rPr>
          <w:b/>
          <w:bCs/>
          <w:caps/>
          <w:szCs w:val="22"/>
        </w:rPr>
        <w:t>Statement of</w:t>
      </w:r>
      <w:r w:rsidR="00113643">
        <w:rPr>
          <w:b/>
          <w:bCs/>
          <w:caps/>
          <w:szCs w:val="22"/>
        </w:rPr>
        <w:br/>
      </w:r>
      <w:r>
        <w:rPr>
          <w:b/>
          <w:bCs/>
          <w:caps/>
          <w:szCs w:val="22"/>
        </w:rPr>
        <w:t xml:space="preserve">COMMISSIONER </w:t>
      </w:r>
      <w:r w:rsidR="00D12323">
        <w:rPr>
          <w:b/>
          <w:bCs/>
          <w:caps/>
          <w:szCs w:val="22"/>
        </w:rPr>
        <w:t xml:space="preserve">Michael </w:t>
      </w:r>
      <w:r w:rsidRPr="00A36EC0">
        <w:rPr>
          <w:b/>
          <w:bCs/>
          <w:caps/>
          <w:szCs w:val="22"/>
        </w:rPr>
        <w:t>O'Rielly</w:t>
      </w:r>
    </w:p>
    <w:p w:rsidR="00113643" w:rsidP="00113643" w14:paraId="411DBA81" w14:textId="77777777">
      <w:pPr>
        <w:spacing w:after="120"/>
        <w:ind w:left="720" w:hanging="720"/>
        <w:rPr>
          <w:i/>
          <w:iCs/>
          <w:snapToGrid/>
          <w:szCs w:val="22"/>
        </w:rPr>
      </w:pPr>
      <w:r>
        <w:rPr>
          <w:iCs/>
          <w:szCs w:val="22"/>
        </w:rPr>
        <w:t>Re:</w:t>
      </w:r>
      <w:r>
        <w:rPr>
          <w:szCs w:val="22"/>
        </w:rPr>
        <w:tab/>
      </w:r>
      <w:r>
        <w:rPr>
          <w:i/>
        </w:rPr>
        <w:t>Modernization of Payphone Compensation Rules</w:t>
      </w:r>
      <w:r>
        <w:t xml:space="preserve">, WC Docket No. 17-141; </w:t>
      </w:r>
      <w:r>
        <w:rPr>
          <w:i/>
        </w:rPr>
        <w:t>Implementation of the Pay Telephone Reclassification and Compensation Provisions of the Telecommunications Act of 1996</w:t>
      </w:r>
      <w:r>
        <w:t xml:space="preserve">, CC Docket No. 96-128; </w:t>
      </w:r>
      <w:r>
        <w:rPr>
          <w:i/>
        </w:rPr>
        <w:t>2016 Biennial Review of Telecommunications Regulations</w:t>
      </w:r>
      <w:r>
        <w:t>, WC Docket No. 16-132.</w:t>
      </w:r>
    </w:p>
    <w:p w:rsidR="005B3BA2" w:rsidP="00113643" w14:paraId="429D7ADE" w14:textId="24027AEB">
      <w:pPr>
        <w:widowControl/>
        <w:spacing w:after="120"/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>P</w:t>
      </w:r>
      <w:r w:rsidR="004D2971">
        <w:rPr>
          <w:rFonts w:eastAsia="Calibri"/>
          <w:snapToGrid/>
          <w:kern w:val="0"/>
          <w:szCs w:val="22"/>
        </w:rPr>
        <w:t xml:space="preserve">ayphone </w:t>
      </w:r>
      <w:r w:rsidRPr="005B740F" w:rsidR="005B740F">
        <w:rPr>
          <w:rFonts w:eastAsia="Calibri"/>
          <w:snapToGrid/>
          <w:kern w:val="0"/>
          <w:szCs w:val="22"/>
        </w:rPr>
        <w:t xml:space="preserve">audit </w:t>
      </w:r>
      <w:r w:rsidR="00002393">
        <w:rPr>
          <w:rFonts w:eastAsia="Calibri"/>
          <w:snapToGrid/>
          <w:kern w:val="0"/>
          <w:szCs w:val="22"/>
        </w:rPr>
        <w:t>obligations</w:t>
      </w:r>
      <w:r w:rsidRPr="005B740F" w:rsidR="00002393">
        <w:rPr>
          <w:rFonts w:eastAsia="Calibri"/>
          <w:snapToGrid/>
          <w:kern w:val="0"/>
          <w:szCs w:val="22"/>
        </w:rPr>
        <w:t xml:space="preserve"> </w:t>
      </w:r>
      <w:r w:rsidRPr="005B740F" w:rsidR="005B740F">
        <w:rPr>
          <w:rFonts w:eastAsia="Calibri"/>
          <w:snapToGrid/>
          <w:kern w:val="0"/>
          <w:szCs w:val="22"/>
        </w:rPr>
        <w:t xml:space="preserve">and </w:t>
      </w:r>
      <w:r w:rsidR="007674E8">
        <w:rPr>
          <w:rFonts w:eastAsia="Calibri"/>
          <w:snapToGrid/>
          <w:kern w:val="0"/>
          <w:szCs w:val="22"/>
        </w:rPr>
        <w:t>the</w:t>
      </w:r>
      <w:r w:rsidRPr="005B740F" w:rsidR="005B740F">
        <w:rPr>
          <w:rFonts w:eastAsia="Calibri"/>
          <w:snapToGrid/>
          <w:kern w:val="0"/>
          <w:szCs w:val="22"/>
        </w:rPr>
        <w:t xml:space="preserve"> associated reporting requirement</w:t>
      </w:r>
      <w:r w:rsidR="004D2971">
        <w:rPr>
          <w:rFonts w:eastAsia="Calibri"/>
          <w:snapToGrid/>
          <w:kern w:val="0"/>
          <w:szCs w:val="22"/>
        </w:rPr>
        <w:t>s</w:t>
      </w:r>
      <w:r>
        <w:rPr>
          <w:rFonts w:eastAsia="Calibri"/>
          <w:snapToGrid/>
          <w:kern w:val="0"/>
          <w:szCs w:val="22"/>
        </w:rPr>
        <w:t xml:space="preserve"> no longer make any sense</w:t>
      </w:r>
      <w:r w:rsidRPr="005B740F" w:rsidR="005B740F">
        <w:rPr>
          <w:rFonts w:eastAsia="Calibri"/>
          <w:snapToGrid/>
          <w:kern w:val="0"/>
          <w:szCs w:val="22"/>
        </w:rPr>
        <w:t xml:space="preserve">.  </w:t>
      </w:r>
      <w:r>
        <w:rPr>
          <w:rFonts w:eastAsia="Calibri"/>
          <w:snapToGrid/>
          <w:kern w:val="0"/>
          <w:szCs w:val="22"/>
        </w:rPr>
        <w:t xml:space="preserve">In fact, payphones themselves have basically evaporated before our eyes </w:t>
      </w:r>
      <w:r w:rsidR="007674E8">
        <w:rPr>
          <w:rFonts w:eastAsia="Calibri"/>
          <w:snapToGrid/>
          <w:kern w:val="0"/>
          <w:szCs w:val="22"/>
        </w:rPr>
        <w:t xml:space="preserve">as consumers </w:t>
      </w:r>
      <w:r w:rsidR="00165407">
        <w:rPr>
          <w:rFonts w:eastAsia="Calibri"/>
          <w:snapToGrid/>
          <w:kern w:val="0"/>
          <w:szCs w:val="22"/>
        </w:rPr>
        <w:t xml:space="preserve">have </w:t>
      </w:r>
      <w:r w:rsidR="007674E8">
        <w:rPr>
          <w:rFonts w:eastAsia="Calibri"/>
          <w:snapToGrid/>
          <w:kern w:val="0"/>
          <w:szCs w:val="22"/>
        </w:rPr>
        <w:t>switched to mobile service</w:t>
      </w:r>
      <w:r w:rsidR="00002393">
        <w:rPr>
          <w:rFonts w:eastAsia="Calibri"/>
          <w:snapToGrid/>
          <w:kern w:val="0"/>
          <w:szCs w:val="22"/>
        </w:rPr>
        <w:t>s</w:t>
      </w:r>
      <w:r w:rsidRPr="005B740F" w:rsidR="005B740F">
        <w:rPr>
          <w:rFonts w:eastAsia="Calibri"/>
          <w:snapToGrid/>
          <w:kern w:val="0"/>
          <w:szCs w:val="22"/>
        </w:rPr>
        <w:t xml:space="preserve">, </w:t>
      </w:r>
      <w:r>
        <w:rPr>
          <w:rFonts w:eastAsia="Calibri"/>
          <w:snapToGrid/>
          <w:kern w:val="0"/>
          <w:szCs w:val="22"/>
        </w:rPr>
        <w:t xml:space="preserve">meaning our </w:t>
      </w:r>
      <w:r w:rsidR="0035447B">
        <w:rPr>
          <w:rFonts w:eastAsia="Calibri"/>
          <w:snapToGrid/>
          <w:kern w:val="0"/>
          <w:szCs w:val="22"/>
        </w:rPr>
        <w:t>rules have outlived their usefulness.  T</w:t>
      </w:r>
      <w:r w:rsidR="004D2971">
        <w:rPr>
          <w:rFonts w:eastAsia="Calibri"/>
          <w:snapToGrid/>
          <w:kern w:val="0"/>
          <w:szCs w:val="22"/>
        </w:rPr>
        <w:t>he</w:t>
      </w:r>
      <w:r w:rsidRPr="005B740F" w:rsidR="005B740F">
        <w:rPr>
          <w:rFonts w:eastAsia="Calibri"/>
          <w:snapToGrid/>
          <w:kern w:val="0"/>
          <w:szCs w:val="22"/>
        </w:rPr>
        <w:t xml:space="preserve"> </w:t>
      </w:r>
      <w:r w:rsidR="0035447B">
        <w:rPr>
          <w:rFonts w:eastAsia="Calibri"/>
          <w:snapToGrid/>
          <w:kern w:val="0"/>
          <w:szCs w:val="22"/>
        </w:rPr>
        <w:t xml:space="preserve">record of the proceeding confirms that the </w:t>
      </w:r>
      <w:r w:rsidRPr="005B740F" w:rsidR="005B740F">
        <w:rPr>
          <w:rFonts w:eastAsia="Calibri"/>
          <w:snapToGrid/>
          <w:kern w:val="0"/>
          <w:szCs w:val="22"/>
        </w:rPr>
        <w:t xml:space="preserve">cost of </w:t>
      </w:r>
      <w:r w:rsidR="00165407">
        <w:rPr>
          <w:rFonts w:eastAsia="Calibri"/>
          <w:snapToGrid/>
          <w:kern w:val="0"/>
          <w:szCs w:val="22"/>
        </w:rPr>
        <w:t>an</w:t>
      </w:r>
      <w:r w:rsidR="0035447B">
        <w:rPr>
          <w:rFonts w:eastAsia="Calibri"/>
          <w:snapToGrid/>
          <w:kern w:val="0"/>
          <w:szCs w:val="22"/>
        </w:rPr>
        <w:t xml:space="preserve"> audit </w:t>
      </w:r>
      <w:r w:rsidR="00D12323">
        <w:rPr>
          <w:rFonts w:eastAsia="Calibri"/>
          <w:snapToGrid/>
          <w:kern w:val="0"/>
          <w:szCs w:val="22"/>
        </w:rPr>
        <w:t>significantly</w:t>
      </w:r>
      <w:r w:rsidR="0035447B">
        <w:rPr>
          <w:rFonts w:eastAsia="Calibri"/>
          <w:snapToGrid/>
          <w:kern w:val="0"/>
          <w:szCs w:val="22"/>
        </w:rPr>
        <w:t xml:space="preserve"> exceeds</w:t>
      </w:r>
      <w:r w:rsidRPr="005B740F" w:rsidR="005B740F">
        <w:rPr>
          <w:rFonts w:eastAsia="Calibri"/>
          <w:snapToGrid/>
          <w:kern w:val="0"/>
          <w:szCs w:val="22"/>
        </w:rPr>
        <w:t xml:space="preserve"> the amount</w:t>
      </w:r>
      <w:r>
        <w:rPr>
          <w:rFonts w:eastAsia="Calibri"/>
          <w:snapToGrid/>
          <w:kern w:val="0"/>
          <w:szCs w:val="22"/>
        </w:rPr>
        <w:t xml:space="preserve"> paid for payphone compensation. </w:t>
      </w:r>
      <w:r>
        <w:rPr>
          <w:rFonts w:eastAsia="Calibri"/>
          <w:snapToGrid/>
          <w:kern w:val="0"/>
          <w:szCs w:val="22"/>
        </w:rPr>
        <w:t xml:space="preserve">    </w:t>
      </w:r>
    </w:p>
    <w:p w:rsidR="005B740F" w:rsidRPr="005B740F" w:rsidP="00113643" w14:paraId="6A057D57" w14:textId="4F46EDCD">
      <w:pPr>
        <w:widowControl/>
        <w:spacing w:after="120"/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>To be clear</w:t>
      </w:r>
      <w:r w:rsidR="005B3BA2">
        <w:rPr>
          <w:rFonts w:eastAsia="Calibri"/>
          <w:snapToGrid/>
          <w:kern w:val="0"/>
          <w:szCs w:val="22"/>
        </w:rPr>
        <w:t xml:space="preserve">, I would have gone </w:t>
      </w:r>
      <w:r w:rsidR="003E2460">
        <w:rPr>
          <w:rFonts w:eastAsia="Calibri"/>
          <w:snapToGrid/>
          <w:kern w:val="0"/>
          <w:szCs w:val="22"/>
        </w:rPr>
        <w:t xml:space="preserve">further </w:t>
      </w:r>
      <w:r>
        <w:rPr>
          <w:rFonts w:eastAsia="Calibri"/>
          <w:snapToGrid/>
          <w:kern w:val="0"/>
          <w:szCs w:val="22"/>
        </w:rPr>
        <w:t>than this item does</w:t>
      </w:r>
      <w:r w:rsidR="005B3BA2">
        <w:rPr>
          <w:rFonts w:eastAsia="Calibri"/>
          <w:snapToGrid/>
          <w:kern w:val="0"/>
          <w:szCs w:val="22"/>
        </w:rPr>
        <w:t xml:space="preserve">.  </w:t>
      </w:r>
      <w:r>
        <w:rPr>
          <w:rFonts w:eastAsia="Calibri"/>
          <w:snapToGrid/>
          <w:kern w:val="0"/>
          <w:szCs w:val="22"/>
        </w:rPr>
        <w:t>Specifically, s</w:t>
      </w:r>
      <w:r w:rsidR="0034216B">
        <w:rPr>
          <w:rFonts w:eastAsia="Calibri"/>
          <w:snapToGrid/>
          <w:kern w:val="0"/>
          <w:szCs w:val="22"/>
        </w:rPr>
        <w:t xml:space="preserve">ome commenters proposed that the </w:t>
      </w:r>
      <w:r>
        <w:rPr>
          <w:rFonts w:eastAsia="Calibri"/>
          <w:snapToGrid/>
          <w:kern w:val="0"/>
          <w:szCs w:val="22"/>
        </w:rPr>
        <w:t xml:space="preserve">sworn </w:t>
      </w:r>
      <w:r w:rsidR="0034216B">
        <w:rPr>
          <w:rFonts w:eastAsia="Calibri"/>
          <w:snapToGrid/>
          <w:kern w:val="0"/>
          <w:szCs w:val="22"/>
        </w:rPr>
        <w:t xml:space="preserve">statements </w:t>
      </w:r>
      <w:r>
        <w:rPr>
          <w:rFonts w:eastAsia="Calibri"/>
          <w:snapToGrid/>
          <w:kern w:val="0"/>
          <w:szCs w:val="22"/>
        </w:rPr>
        <w:t xml:space="preserve">regarding payphone compensation </w:t>
      </w:r>
      <w:r w:rsidR="0034216B">
        <w:rPr>
          <w:rFonts w:eastAsia="Calibri"/>
          <w:snapToGrid/>
          <w:kern w:val="0"/>
          <w:szCs w:val="22"/>
        </w:rPr>
        <w:t>be submitted annually</w:t>
      </w:r>
      <w:r>
        <w:rPr>
          <w:rFonts w:eastAsia="Calibri"/>
          <w:snapToGrid/>
          <w:kern w:val="0"/>
          <w:szCs w:val="22"/>
        </w:rPr>
        <w:t xml:space="preserve"> or eliminated altogether rather than </w:t>
      </w:r>
      <w:r w:rsidR="007A3814">
        <w:rPr>
          <w:rFonts w:eastAsia="Calibri"/>
          <w:snapToGrid/>
          <w:kern w:val="0"/>
          <w:szCs w:val="22"/>
        </w:rPr>
        <w:t xml:space="preserve">be </w:t>
      </w:r>
      <w:r>
        <w:rPr>
          <w:rFonts w:eastAsia="Calibri"/>
          <w:snapToGrid/>
          <w:kern w:val="0"/>
          <w:szCs w:val="22"/>
        </w:rPr>
        <w:t>done quarterly</w:t>
      </w:r>
      <w:r w:rsidR="0034216B">
        <w:rPr>
          <w:rFonts w:eastAsia="Calibri"/>
          <w:snapToGrid/>
          <w:kern w:val="0"/>
          <w:szCs w:val="22"/>
        </w:rPr>
        <w:t xml:space="preserve">.  </w:t>
      </w:r>
      <w:r>
        <w:rPr>
          <w:rFonts w:eastAsia="Calibri"/>
          <w:snapToGrid/>
          <w:kern w:val="0"/>
          <w:szCs w:val="22"/>
        </w:rPr>
        <w:t xml:space="preserve">We should </w:t>
      </w:r>
      <w:r w:rsidR="003E2460">
        <w:rPr>
          <w:rFonts w:eastAsia="Calibri"/>
          <w:snapToGrid/>
          <w:kern w:val="0"/>
          <w:szCs w:val="22"/>
        </w:rPr>
        <w:t xml:space="preserve">have addressed this today, but </w:t>
      </w:r>
      <w:r>
        <w:rPr>
          <w:rFonts w:eastAsia="Calibri"/>
          <w:snapToGrid/>
          <w:kern w:val="0"/>
          <w:szCs w:val="22"/>
        </w:rPr>
        <w:t xml:space="preserve">I </w:t>
      </w:r>
      <w:r w:rsidR="0034216B">
        <w:rPr>
          <w:rFonts w:eastAsia="Calibri"/>
          <w:snapToGrid/>
          <w:kern w:val="0"/>
          <w:szCs w:val="22"/>
        </w:rPr>
        <w:t xml:space="preserve">am pleased that the </w:t>
      </w:r>
      <w:r>
        <w:rPr>
          <w:rFonts w:eastAsia="Calibri"/>
          <w:snapToGrid/>
          <w:kern w:val="0"/>
          <w:szCs w:val="22"/>
        </w:rPr>
        <w:t xml:space="preserve">Chairman </w:t>
      </w:r>
      <w:r w:rsidR="00165407">
        <w:rPr>
          <w:rFonts w:eastAsia="Calibri"/>
          <w:snapToGrid/>
          <w:kern w:val="0"/>
          <w:szCs w:val="22"/>
        </w:rPr>
        <w:t xml:space="preserve">is open to considering </w:t>
      </w:r>
      <w:r w:rsidR="0034216B">
        <w:rPr>
          <w:rFonts w:eastAsia="Calibri"/>
          <w:snapToGrid/>
          <w:kern w:val="0"/>
          <w:szCs w:val="22"/>
        </w:rPr>
        <w:t>further deregulation</w:t>
      </w:r>
      <w:r w:rsidR="00165407">
        <w:rPr>
          <w:rFonts w:eastAsia="Calibri"/>
          <w:snapToGrid/>
          <w:kern w:val="0"/>
          <w:szCs w:val="22"/>
        </w:rPr>
        <w:t xml:space="preserve"> </w:t>
      </w:r>
      <w:r>
        <w:rPr>
          <w:rFonts w:eastAsia="Calibri"/>
          <w:snapToGrid/>
          <w:kern w:val="0"/>
          <w:szCs w:val="22"/>
        </w:rPr>
        <w:t xml:space="preserve">in this area </w:t>
      </w:r>
      <w:r w:rsidR="00165407">
        <w:rPr>
          <w:rFonts w:eastAsia="Calibri"/>
          <w:snapToGrid/>
          <w:kern w:val="0"/>
          <w:szCs w:val="22"/>
        </w:rPr>
        <w:t>in the future</w:t>
      </w:r>
      <w:r w:rsidR="0034216B">
        <w:rPr>
          <w:rFonts w:eastAsia="Calibri"/>
          <w:snapToGrid/>
          <w:kern w:val="0"/>
          <w:szCs w:val="22"/>
        </w:rPr>
        <w:t xml:space="preserve">.   </w:t>
      </w:r>
      <w:r w:rsidR="005B3BA2">
        <w:rPr>
          <w:rFonts w:eastAsia="Calibri"/>
          <w:snapToGrid/>
          <w:kern w:val="0"/>
          <w:szCs w:val="22"/>
        </w:rPr>
        <w:t xml:space="preserve"> </w:t>
      </w:r>
    </w:p>
    <w:p w:rsidR="00165407" w:rsidP="00113643" w14:paraId="5AFA75A2" w14:textId="6261354A">
      <w:pPr>
        <w:widowControl/>
        <w:spacing w:after="120"/>
        <w:ind w:firstLine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 xml:space="preserve">Fortunately, we will </w:t>
      </w:r>
      <w:r>
        <w:rPr>
          <w:rFonts w:eastAsia="Calibri"/>
          <w:snapToGrid/>
          <w:kern w:val="0"/>
          <w:szCs w:val="22"/>
        </w:rPr>
        <w:t xml:space="preserve">soon </w:t>
      </w:r>
      <w:r>
        <w:rPr>
          <w:rFonts w:eastAsia="Calibri"/>
          <w:snapToGrid/>
          <w:kern w:val="0"/>
          <w:szCs w:val="22"/>
        </w:rPr>
        <w:t xml:space="preserve">have </w:t>
      </w:r>
      <w:r>
        <w:rPr>
          <w:rFonts w:eastAsia="Calibri"/>
          <w:snapToGrid/>
          <w:kern w:val="0"/>
          <w:szCs w:val="22"/>
        </w:rPr>
        <w:t>occasion</w:t>
      </w:r>
      <w:r>
        <w:rPr>
          <w:rFonts w:eastAsia="Calibri"/>
          <w:snapToGrid/>
          <w:kern w:val="0"/>
          <w:szCs w:val="22"/>
        </w:rPr>
        <w:t xml:space="preserve"> </w:t>
      </w:r>
      <w:r>
        <w:rPr>
          <w:rFonts w:eastAsia="Calibri"/>
          <w:snapToGrid/>
          <w:kern w:val="0"/>
          <w:szCs w:val="22"/>
        </w:rPr>
        <w:t>to do so</w:t>
      </w:r>
      <w:r>
        <w:rPr>
          <w:rFonts w:eastAsia="Calibri"/>
          <w:snapToGrid/>
          <w:kern w:val="0"/>
          <w:szCs w:val="22"/>
        </w:rPr>
        <w:t xml:space="preserve">.  </w:t>
      </w:r>
      <w:r>
        <w:rPr>
          <w:rFonts w:eastAsia="Calibri"/>
          <w:snapToGrid/>
          <w:kern w:val="0"/>
          <w:szCs w:val="22"/>
        </w:rPr>
        <w:t xml:space="preserve">The outdated payphone audit requirements </w:t>
      </w:r>
      <w:r w:rsidRPr="005B740F" w:rsidR="005B740F">
        <w:rPr>
          <w:rFonts w:eastAsia="Calibri"/>
          <w:snapToGrid/>
          <w:kern w:val="0"/>
          <w:szCs w:val="22"/>
        </w:rPr>
        <w:t>came to the Commission’s attention</w:t>
      </w:r>
      <w:r>
        <w:rPr>
          <w:rFonts w:eastAsia="Calibri"/>
          <w:snapToGrid/>
          <w:kern w:val="0"/>
          <w:szCs w:val="22"/>
        </w:rPr>
        <w:t xml:space="preserve">, in part, </w:t>
      </w:r>
      <w:r w:rsidRPr="005B740F" w:rsidR="005B740F">
        <w:rPr>
          <w:rFonts w:eastAsia="Calibri"/>
          <w:snapToGrid/>
          <w:kern w:val="0"/>
          <w:szCs w:val="22"/>
        </w:rPr>
        <w:t xml:space="preserve">through comments submitted in response to the Commission’s 2016 Biennial Review Public Notice.  </w:t>
      </w:r>
      <w:r>
        <w:rPr>
          <w:rFonts w:eastAsia="Calibri"/>
          <w:snapToGrid/>
          <w:kern w:val="0"/>
          <w:szCs w:val="22"/>
        </w:rPr>
        <w:t xml:space="preserve">With the next Biennial Review set to commence later this year, we </w:t>
      </w:r>
      <w:r w:rsidR="00D12323">
        <w:rPr>
          <w:rFonts w:eastAsia="Calibri"/>
          <w:snapToGrid/>
          <w:kern w:val="0"/>
          <w:szCs w:val="22"/>
        </w:rPr>
        <w:t>can</w:t>
      </w:r>
      <w:r>
        <w:rPr>
          <w:rFonts w:eastAsia="Calibri"/>
          <w:snapToGrid/>
          <w:kern w:val="0"/>
          <w:szCs w:val="22"/>
        </w:rPr>
        <w:t xml:space="preserve"> build on the incredible progress that has </w:t>
      </w:r>
      <w:r w:rsidR="00AF0624">
        <w:rPr>
          <w:rFonts w:eastAsia="Calibri"/>
          <w:snapToGrid/>
          <w:kern w:val="0"/>
          <w:szCs w:val="22"/>
        </w:rPr>
        <w:t xml:space="preserve">already </w:t>
      </w:r>
      <w:r>
        <w:rPr>
          <w:rFonts w:eastAsia="Calibri"/>
          <w:snapToGrid/>
          <w:kern w:val="0"/>
          <w:szCs w:val="22"/>
        </w:rPr>
        <w:t xml:space="preserve">been made under the Chairman’s leadership to streamline regulatory burdens and eliminate </w:t>
      </w:r>
      <w:r w:rsidR="0035447B">
        <w:rPr>
          <w:rFonts w:eastAsia="Calibri"/>
          <w:snapToGrid/>
          <w:kern w:val="0"/>
          <w:szCs w:val="22"/>
        </w:rPr>
        <w:t xml:space="preserve">unnecessary </w:t>
      </w:r>
      <w:r>
        <w:rPr>
          <w:rFonts w:eastAsia="Calibri"/>
          <w:snapToGrid/>
          <w:kern w:val="0"/>
          <w:szCs w:val="22"/>
        </w:rPr>
        <w:t>rules</w:t>
      </w:r>
      <w:r w:rsidR="0035447B">
        <w:rPr>
          <w:rFonts w:eastAsia="Calibri"/>
          <w:snapToGrid/>
          <w:kern w:val="0"/>
          <w:szCs w:val="22"/>
        </w:rPr>
        <w:t xml:space="preserve">.  I trust that the Commission and commenters will </w:t>
      </w:r>
      <w:r w:rsidR="00D12323">
        <w:rPr>
          <w:rFonts w:eastAsia="Calibri"/>
          <w:snapToGrid/>
          <w:kern w:val="0"/>
          <w:szCs w:val="22"/>
        </w:rPr>
        <w:t xml:space="preserve">take full advantage of the opportunity to identify and discard additional regulations that no longer serve their intended purposes.  </w:t>
      </w:r>
    </w:p>
    <w:sectPr w:rsidSect="0055614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63A470C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36887B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AF9C39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2AD1F317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51AABFD6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5D71" w14:paraId="3C16D93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1663CE60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0DF106BB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729BDCD7" w14:textId="77777777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5D71" w14:paraId="32690B0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0F"/>
    <w:rsid w:val="00002393"/>
    <w:rsid w:val="00023032"/>
    <w:rsid w:val="00025A66"/>
    <w:rsid w:val="00036039"/>
    <w:rsid w:val="00037F90"/>
    <w:rsid w:val="000875BF"/>
    <w:rsid w:val="00096D8C"/>
    <w:rsid w:val="000C0B65"/>
    <w:rsid w:val="000E05FE"/>
    <w:rsid w:val="000E3D42"/>
    <w:rsid w:val="00112177"/>
    <w:rsid w:val="00113643"/>
    <w:rsid w:val="00122BD5"/>
    <w:rsid w:val="00133F79"/>
    <w:rsid w:val="00165407"/>
    <w:rsid w:val="00194A66"/>
    <w:rsid w:val="001D6BCF"/>
    <w:rsid w:val="001E01CA"/>
    <w:rsid w:val="00242BD4"/>
    <w:rsid w:val="00275CF5"/>
    <w:rsid w:val="0028301F"/>
    <w:rsid w:val="00285017"/>
    <w:rsid w:val="002A2D2E"/>
    <w:rsid w:val="0034216B"/>
    <w:rsid w:val="00343749"/>
    <w:rsid w:val="0035447B"/>
    <w:rsid w:val="003660ED"/>
    <w:rsid w:val="003B0550"/>
    <w:rsid w:val="003B694F"/>
    <w:rsid w:val="003E2460"/>
    <w:rsid w:val="003F171C"/>
    <w:rsid w:val="004101EF"/>
    <w:rsid w:val="00412FC5"/>
    <w:rsid w:val="00422276"/>
    <w:rsid w:val="004242F1"/>
    <w:rsid w:val="00445A00"/>
    <w:rsid w:val="00451B0F"/>
    <w:rsid w:val="004943BB"/>
    <w:rsid w:val="004A48A1"/>
    <w:rsid w:val="004C2EE3"/>
    <w:rsid w:val="004D2971"/>
    <w:rsid w:val="004E4A22"/>
    <w:rsid w:val="00511968"/>
    <w:rsid w:val="00535B03"/>
    <w:rsid w:val="0055614C"/>
    <w:rsid w:val="005577AD"/>
    <w:rsid w:val="005B35C6"/>
    <w:rsid w:val="005B3BA2"/>
    <w:rsid w:val="005B740F"/>
    <w:rsid w:val="005E14C2"/>
    <w:rsid w:val="005E7292"/>
    <w:rsid w:val="005F6A7D"/>
    <w:rsid w:val="00607BA5"/>
    <w:rsid w:val="00626EB6"/>
    <w:rsid w:val="00655D03"/>
    <w:rsid w:val="00683388"/>
    <w:rsid w:val="00683F84"/>
    <w:rsid w:val="006A6A81"/>
    <w:rsid w:val="006E0029"/>
    <w:rsid w:val="006E0CFF"/>
    <w:rsid w:val="006F7393"/>
    <w:rsid w:val="0070224F"/>
    <w:rsid w:val="007115F7"/>
    <w:rsid w:val="0073515D"/>
    <w:rsid w:val="007674E8"/>
    <w:rsid w:val="00785689"/>
    <w:rsid w:val="0079754B"/>
    <w:rsid w:val="007A1E6D"/>
    <w:rsid w:val="007A3814"/>
    <w:rsid w:val="007B0EB2"/>
    <w:rsid w:val="00810B6F"/>
    <w:rsid w:val="00822CE0"/>
    <w:rsid w:val="00841AB1"/>
    <w:rsid w:val="008C68F1"/>
    <w:rsid w:val="00921803"/>
    <w:rsid w:val="00926503"/>
    <w:rsid w:val="009726D8"/>
    <w:rsid w:val="009F3E7C"/>
    <w:rsid w:val="009F76DB"/>
    <w:rsid w:val="00A32C3B"/>
    <w:rsid w:val="00A36EC0"/>
    <w:rsid w:val="00A45F4F"/>
    <w:rsid w:val="00A600A9"/>
    <w:rsid w:val="00A835EE"/>
    <w:rsid w:val="00AA55B7"/>
    <w:rsid w:val="00AA5B9E"/>
    <w:rsid w:val="00AB2407"/>
    <w:rsid w:val="00AB53DF"/>
    <w:rsid w:val="00AF0624"/>
    <w:rsid w:val="00B07E5C"/>
    <w:rsid w:val="00B811F7"/>
    <w:rsid w:val="00BA5DC6"/>
    <w:rsid w:val="00BA6196"/>
    <w:rsid w:val="00BC6D8C"/>
    <w:rsid w:val="00BE26E3"/>
    <w:rsid w:val="00C34006"/>
    <w:rsid w:val="00C426B1"/>
    <w:rsid w:val="00C66160"/>
    <w:rsid w:val="00C721AC"/>
    <w:rsid w:val="00C90D6A"/>
    <w:rsid w:val="00CA247E"/>
    <w:rsid w:val="00CC72B6"/>
    <w:rsid w:val="00D0218D"/>
    <w:rsid w:val="00D12323"/>
    <w:rsid w:val="00D25FB5"/>
    <w:rsid w:val="00D41BA0"/>
    <w:rsid w:val="00D44223"/>
    <w:rsid w:val="00D949D2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340B7"/>
    <w:rsid w:val="00E5409F"/>
    <w:rsid w:val="00E875C6"/>
    <w:rsid w:val="00E97C34"/>
    <w:rsid w:val="00EE6488"/>
    <w:rsid w:val="00F021FA"/>
    <w:rsid w:val="00F61B6C"/>
    <w:rsid w:val="00F62A8B"/>
    <w:rsid w:val="00F62E97"/>
    <w:rsid w:val="00F64209"/>
    <w:rsid w:val="00F75D71"/>
    <w:rsid w:val="00F93BF5"/>
    <w:rsid w:val="00FD1D1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BE26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26E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26E3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2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26E3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BE2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26E3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6714-B185-4990-8854-91C51FC1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2018-02-22T21:04:35Z</dcterms:created>
  <dcterms:modified xsi:type="dcterms:W3CDTF">2018-02-22T21:04:35Z</dcterms:modified>
</cp:coreProperties>
</file>