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3EBF" w:rsidRPr="004B2263" w:rsidP="00D63EBF" w14:paraId="3C93D41D" w14:textId="77777777">
      <w:pPr>
        <w:jc w:val="center"/>
        <w:rPr>
          <w:b/>
        </w:rPr>
      </w:pPr>
      <w:bookmarkStart w:id="0" w:name="_GoBack"/>
      <w:bookmarkEnd w:id="0"/>
      <w:r w:rsidRPr="001B56BB">
        <w:rPr>
          <w:b/>
        </w:rPr>
        <w:t>Before the</w:t>
      </w:r>
    </w:p>
    <w:p w:rsidR="00D63EBF" w:rsidRPr="004B2263" w:rsidP="00D63EBF" w14:paraId="0E3D38B4" w14:textId="77777777">
      <w:pPr>
        <w:jc w:val="center"/>
        <w:rPr>
          <w:b/>
        </w:rPr>
      </w:pPr>
      <w:r w:rsidRPr="001B56BB">
        <w:rPr>
          <w:b/>
        </w:rPr>
        <w:t>Federal Communications Commission</w:t>
      </w:r>
    </w:p>
    <w:p w:rsidR="00D63EBF" w:rsidRPr="004B2263" w:rsidP="00D63EBF" w14:paraId="5DB4FA00" w14:textId="77777777">
      <w:pPr>
        <w:jc w:val="center"/>
        <w:rPr>
          <w:b/>
        </w:rPr>
      </w:pPr>
      <w:r w:rsidRPr="001B56BB">
        <w:rPr>
          <w:b/>
        </w:rPr>
        <w:t>Washington, D.C. 20554</w:t>
      </w:r>
    </w:p>
    <w:p w:rsidR="00D63EBF" w:rsidRPr="006711A2" w:rsidP="00D63EBF" w14:paraId="02E7BD14" w14:textId="77777777"/>
    <w:p w:rsidR="00D63EBF" w:rsidRPr="00781DB4" w:rsidP="00D63EBF" w14:paraId="0F4D4B09" w14:textId="77777777">
      <w:pPr>
        <w:tabs>
          <w:tab w:val="left" w:pos="6060"/>
        </w:tabs>
      </w:pPr>
      <w:r>
        <w:tab/>
      </w:r>
    </w:p>
    <w:tbl>
      <w:tblPr>
        <w:tblW w:w="0" w:type="auto"/>
        <w:tblInd w:w="0" w:type="dxa"/>
        <w:tblLayout w:type="fixed"/>
        <w:tblCellMar>
          <w:top w:w="0" w:type="dxa"/>
          <w:left w:w="108" w:type="dxa"/>
          <w:bottom w:w="0" w:type="dxa"/>
          <w:right w:w="108" w:type="dxa"/>
        </w:tblCellMar>
        <w:tblLook w:val="0000"/>
      </w:tblPr>
      <w:tblGrid>
        <w:gridCol w:w="4068"/>
        <w:gridCol w:w="630"/>
        <w:gridCol w:w="630"/>
        <w:gridCol w:w="4248"/>
      </w:tblGrid>
      <w:tr w14:paraId="44C47C98" w14:textId="77777777" w:rsidTr="00F70A60">
        <w:tblPrEx>
          <w:tblW w:w="0" w:type="auto"/>
          <w:tblInd w:w="0" w:type="dxa"/>
          <w:tblLayout w:type="fixed"/>
          <w:tblCellMar>
            <w:top w:w="0" w:type="dxa"/>
            <w:left w:w="108" w:type="dxa"/>
            <w:bottom w:w="0" w:type="dxa"/>
            <w:right w:w="108" w:type="dxa"/>
          </w:tblCellMar>
          <w:tblLook w:val="0000"/>
        </w:tblPrEx>
        <w:tc>
          <w:tcPr>
            <w:tcW w:w="4068" w:type="dxa"/>
            <w:shd w:val="clear" w:color="auto" w:fill="auto"/>
          </w:tcPr>
          <w:p w:rsidR="00907888" w:rsidRPr="00065395" w:rsidP="001C0CCB" w14:paraId="2344568A" w14:textId="77777777">
            <w:pPr>
              <w:widowControl w:val="0"/>
              <w:tabs>
                <w:tab w:val="center" w:pos="4680"/>
              </w:tabs>
              <w:suppressAutoHyphens/>
              <w:rPr>
                <w:rStyle w:val="DefaultParagraphFont"/>
                <w:snapToGrid w:val="0"/>
                <w:spacing w:val="-2"/>
                <w:kern w:val="28"/>
                <w:sz w:val="22"/>
                <w:lang w:val="en-US" w:eastAsia="en-US" w:bidi="ar-SA"/>
              </w:rPr>
            </w:pPr>
            <w:r w:rsidRPr="008D01F0">
              <w:rPr>
                <w:snapToGrid w:val="0"/>
                <w:spacing w:val="-2"/>
                <w:kern w:val="28"/>
                <w:sz w:val="22"/>
                <w:lang w:val="en-US" w:eastAsia="en-US" w:bidi="ar-SA"/>
              </w:rPr>
              <w:t>In the Matter of</w:t>
            </w:r>
          </w:p>
          <w:p w:rsidR="00907888" w:rsidP="001C0CCB" w14:paraId="0FB8B471" w14:textId="77777777">
            <w:pPr>
              <w:widowControl w:val="0"/>
              <w:tabs>
                <w:tab w:val="center" w:pos="4680"/>
              </w:tabs>
              <w:suppressAutoHyphens/>
              <w:rPr>
                <w:rStyle w:val="DefaultParagraphFont"/>
                <w:snapToGrid w:val="0"/>
                <w:spacing w:val="-2"/>
                <w:kern w:val="28"/>
                <w:sz w:val="22"/>
                <w:lang w:val="en-US" w:eastAsia="en-US" w:bidi="ar-SA"/>
              </w:rPr>
            </w:pPr>
          </w:p>
          <w:p w:rsidR="00907888" w:rsidRPr="00142D61" w:rsidP="001C0CCB" w14:paraId="3BEF1164" w14:textId="77777777">
            <w:pPr>
              <w:widowControl w:val="0"/>
              <w:tabs>
                <w:tab w:val="center" w:pos="4680"/>
              </w:tabs>
              <w:suppressAutoHyphens/>
              <w:rPr>
                <w:rStyle w:val="DefaultParagraphFont"/>
                <w:snapToGrid w:val="0"/>
                <w:spacing w:val="-2"/>
                <w:kern w:val="28"/>
                <w:sz w:val="22"/>
                <w:lang w:val="en-US" w:eastAsia="en-US" w:bidi="ar-SA"/>
              </w:rPr>
            </w:pPr>
            <w:r w:rsidRPr="00142D61">
              <w:rPr>
                <w:snapToGrid w:val="0"/>
                <w:spacing w:val="-2"/>
                <w:kern w:val="28"/>
                <w:sz w:val="22"/>
                <w:lang w:val="en-US" w:eastAsia="en-US" w:bidi="ar-SA"/>
              </w:rPr>
              <w:t>Advanced Methods to Target and Eliminate</w:t>
            </w:r>
          </w:p>
          <w:p w:rsidR="00907888" w:rsidP="001C0CCB" w14:paraId="5D7B07F6" w14:textId="77777777">
            <w:pPr>
              <w:widowControl w:val="0"/>
              <w:tabs>
                <w:tab w:val="center" w:pos="4680"/>
              </w:tabs>
              <w:suppressAutoHyphens/>
              <w:rPr>
                <w:rStyle w:val="DefaultParagraphFont"/>
                <w:snapToGrid w:val="0"/>
                <w:spacing w:val="-2"/>
                <w:kern w:val="28"/>
                <w:sz w:val="22"/>
                <w:highlight w:val="yellow"/>
                <w:lang w:val="en-US" w:eastAsia="en-US" w:bidi="ar-SA"/>
              </w:rPr>
            </w:pPr>
            <w:r w:rsidRPr="00142D61">
              <w:rPr>
                <w:snapToGrid w:val="0"/>
                <w:spacing w:val="-2"/>
                <w:kern w:val="28"/>
                <w:sz w:val="22"/>
                <w:lang w:val="en-US" w:eastAsia="en-US" w:bidi="ar-SA"/>
              </w:rPr>
              <w:t>Unlawful Robocalls</w:t>
            </w:r>
          </w:p>
          <w:p w:rsidR="00907888" w:rsidRPr="00070540" w:rsidP="001C0CCB" w14:paraId="53ED5204" w14:textId="77777777">
            <w:pPr>
              <w:widowControl w:val="0"/>
              <w:tabs>
                <w:tab w:val="center" w:pos="4680"/>
              </w:tabs>
              <w:suppressAutoHyphens/>
              <w:rPr>
                <w:rStyle w:val="DefaultParagraphFont"/>
                <w:snapToGrid w:val="0"/>
                <w:spacing w:val="-2"/>
                <w:kern w:val="28"/>
                <w:sz w:val="22"/>
                <w:lang w:val="en-US" w:eastAsia="en-US" w:bidi="ar-SA"/>
              </w:rPr>
            </w:pPr>
          </w:p>
        </w:tc>
        <w:tc>
          <w:tcPr>
            <w:tcW w:w="630" w:type="dxa"/>
          </w:tcPr>
          <w:p w:rsidR="00907888" w:rsidRPr="002B437F" w:rsidP="001C0CCB" w14:paraId="29835FF6" w14:textId="77777777">
            <w:pPr>
              <w:widowControl w:val="0"/>
              <w:tabs>
                <w:tab w:val="center" w:pos="4680"/>
              </w:tabs>
              <w:suppressAutoHyphens/>
              <w:rPr>
                <w:rStyle w:val="DefaultParagraphFont"/>
                <w:b/>
                <w:snapToGrid w:val="0"/>
                <w:spacing w:val="-2"/>
                <w:kern w:val="28"/>
                <w:sz w:val="22"/>
                <w:lang w:val="en-US" w:eastAsia="en-US" w:bidi="ar-SA"/>
              </w:rPr>
            </w:pPr>
          </w:p>
        </w:tc>
        <w:tc>
          <w:tcPr>
            <w:tcW w:w="630" w:type="dxa"/>
            <w:shd w:val="clear" w:color="auto" w:fill="auto"/>
          </w:tcPr>
          <w:p w:rsidR="00907888" w:rsidRPr="004B2263" w:rsidP="001C0CCB" w14:paraId="527041A3" w14:textId="06D4B729">
            <w:pPr>
              <w:widowControl w:val="0"/>
              <w:tabs>
                <w:tab w:val="center" w:pos="4680"/>
              </w:tabs>
              <w:suppressAutoHyphens/>
              <w:rPr>
                <w:rStyle w:val="DefaultParagraphFont"/>
                <w:b/>
                <w:snapToGrid w:val="0"/>
                <w:spacing w:val="-2"/>
                <w:kern w:val="28"/>
                <w:sz w:val="22"/>
                <w:lang w:val="en-US" w:eastAsia="en-US" w:bidi="ar-SA"/>
              </w:rPr>
            </w:pPr>
            <w:r w:rsidRPr="002B437F">
              <w:rPr>
                <w:b/>
                <w:snapToGrid w:val="0"/>
                <w:spacing w:val="-2"/>
                <w:kern w:val="28"/>
                <w:sz w:val="22"/>
                <w:lang w:val="en-US" w:eastAsia="en-US" w:bidi="ar-SA"/>
              </w:rPr>
              <w:t>)</w:t>
            </w:r>
          </w:p>
          <w:p w:rsidR="00907888" w:rsidRPr="004B2263" w:rsidP="001C0CCB" w14:paraId="3792F06B" w14:textId="77777777">
            <w:pPr>
              <w:widowControl w:val="0"/>
              <w:tabs>
                <w:tab w:val="center" w:pos="4680"/>
              </w:tabs>
              <w:suppressAutoHyphens/>
              <w:rPr>
                <w:rStyle w:val="DefaultParagraphFont"/>
                <w:b/>
                <w:snapToGrid w:val="0"/>
                <w:spacing w:val="-2"/>
                <w:kern w:val="28"/>
                <w:sz w:val="22"/>
                <w:lang w:val="en-US" w:eastAsia="en-US" w:bidi="ar-SA"/>
              </w:rPr>
            </w:pPr>
            <w:r w:rsidRPr="001057A6">
              <w:rPr>
                <w:b/>
                <w:snapToGrid w:val="0"/>
                <w:spacing w:val="-2"/>
                <w:kern w:val="28"/>
                <w:sz w:val="22"/>
                <w:lang w:val="en-US" w:eastAsia="en-US" w:bidi="ar-SA"/>
              </w:rPr>
              <w:t>)</w:t>
            </w:r>
          </w:p>
          <w:p w:rsidR="00907888" w:rsidRPr="004B2263" w:rsidP="001C0CCB" w14:paraId="1B1E096C" w14:textId="77777777">
            <w:pPr>
              <w:widowControl w:val="0"/>
              <w:tabs>
                <w:tab w:val="center" w:pos="4680"/>
              </w:tabs>
              <w:suppressAutoHyphens/>
              <w:rPr>
                <w:rStyle w:val="DefaultParagraphFont"/>
                <w:b/>
                <w:snapToGrid w:val="0"/>
                <w:spacing w:val="-2"/>
                <w:kern w:val="28"/>
                <w:sz w:val="22"/>
                <w:lang w:val="en-US" w:eastAsia="en-US" w:bidi="ar-SA"/>
              </w:rPr>
            </w:pPr>
            <w:r w:rsidRPr="00864CFD">
              <w:rPr>
                <w:b/>
                <w:snapToGrid w:val="0"/>
                <w:spacing w:val="-2"/>
                <w:kern w:val="28"/>
                <w:sz w:val="22"/>
                <w:lang w:val="en-US" w:eastAsia="en-US" w:bidi="ar-SA"/>
              </w:rPr>
              <w:t>)</w:t>
            </w:r>
          </w:p>
          <w:p w:rsidR="00907888" w:rsidRPr="004B2263" w:rsidP="001C0CCB" w14:paraId="6A5C31D3"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07888" w:rsidRPr="00ED036C" w:rsidP="001C0CCB" w14:paraId="6DF05154" w14:textId="77777777">
            <w:pPr>
              <w:widowControl w:val="0"/>
              <w:tabs>
                <w:tab w:val="center" w:pos="4680"/>
              </w:tabs>
              <w:suppressAutoHyphens/>
              <w:rPr>
                <w:rStyle w:val="DefaultParagraphFont"/>
                <w:b/>
                <w:snapToGrid w:val="0"/>
                <w:spacing w:val="-2"/>
                <w:kern w:val="28"/>
                <w:sz w:val="22"/>
                <w:lang w:val="en-US" w:eastAsia="en-US" w:bidi="ar-SA"/>
              </w:rPr>
            </w:pPr>
          </w:p>
        </w:tc>
        <w:tc>
          <w:tcPr>
            <w:tcW w:w="4248" w:type="dxa"/>
            <w:shd w:val="clear" w:color="auto" w:fill="auto"/>
          </w:tcPr>
          <w:p w:rsidR="00907888" w:rsidRPr="00864CFD" w:rsidP="001C0CCB" w14:paraId="376CF003" w14:textId="77777777">
            <w:pPr>
              <w:widowControl w:val="0"/>
              <w:tabs>
                <w:tab w:val="center" w:pos="4680"/>
              </w:tabs>
              <w:suppressAutoHyphens/>
              <w:rPr>
                <w:rStyle w:val="DefaultParagraphFont"/>
                <w:snapToGrid w:val="0"/>
                <w:spacing w:val="-2"/>
                <w:kern w:val="28"/>
                <w:sz w:val="22"/>
                <w:lang w:val="en-US" w:eastAsia="en-US" w:bidi="ar-SA"/>
              </w:rPr>
            </w:pPr>
          </w:p>
          <w:p w:rsidR="00907888" w:rsidP="001C0CCB" w14:paraId="69407D87" w14:textId="77777777">
            <w:pPr>
              <w:widowControl w:val="0"/>
              <w:tabs>
                <w:tab w:val="center" w:pos="4680"/>
              </w:tabs>
              <w:suppressAutoHyphens/>
              <w:rPr>
                <w:rStyle w:val="DefaultParagraphFont"/>
                <w:snapToGrid w:val="0"/>
                <w:spacing w:val="-2"/>
                <w:kern w:val="28"/>
                <w:sz w:val="22"/>
                <w:lang w:val="en-US" w:eastAsia="en-US" w:bidi="ar-SA"/>
              </w:rPr>
            </w:pPr>
          </w:p>
          <w:p w:rsidR="00907888" w:rsidRPr="00142D61" w:rsidP="001C0CCB" w14:paraId="6A1C8719" w14:textId="77777777">
            <w:pPr>
              <w:widowControl w:val="0"/>
              <w:tabs>
                <w:tab w:val="center" w:pos="4680"/>
              </w:tabs>
              <w:suppressAutoHyphens/>
              <w:rPr>
                <w:rStyle w:val="DefaultParagraphFont"/>
                <w:snapToGrid w:val="0"/>
                <w:spacing w:val="-2"/>
                <w:kern w:val="28"/>
                <w:sz w:val="22"/>
                <w:lang w:val="en-US" w:eastAsia="en-US" w:bidi="ar-SA"/>
              </w:rPr>
            </w:pPr>
            <w:r w:rsidRPr="00142D61">
              <w:rPr>
                <w:snapToGrid w:val="0"/>
                <w:spacing w:val="-2"/>
                <w:kern w:val="28"/>
                <w:sz w:val="22"/>
                <w:lang w:val="en-US" w:eastAsia="en-US" w:bidi="ar-SA"/>
              </w:rPr>
              <w:t>CG Docket No. 17-59</w:t>
            </w:r>
          </w:p>
          <w:p w:rsidR="00907888" w:rsidP="001C0CCB" w14:paraId="6377A8DD" w14:textId="77777777">
            <w:pPr>
              <w:widowControl w:val="0"/>
              <w:tabs>
                <w:tab w:val="center" w:pos="4680"/>
              </w:tabs>
              <w:suppressAutoHyphens/>
              <w:rPr>
                <w:rStyle w:val="DefaultParagraphFont"/>
                <w:snapToGrid w:val="0"/>
                <w:spacing w:val="-2"/>
                <w:kern w:val="28"/>
                <w:sz w:val="22"/>
                <w:highlight w:val="yellow"/>
                <w:lang w:val="en-US" w:eastAsia="en-US" w:bidi="ar-SA"/>
              </w:rPr>
            </w:pPr>
          </w:p>
          <w:p w:rsidR="00907888" w:rsidP="001C0CCB" w14:paraId="00961DE0" w14:textId="77777777">
            <w:pPr>
              <w:widowControl w:val="0"/>
              <w:tabs>
                <w:tab w:val="center" w:pos="4680"/>
              </w:tabs>
              <w:suppressAutoHyphens/>
              <w:rPr>
                <w:rStyle w:val="DefaultParagraphFont"/>
                <w:snapToGrid w:val="0"/>
                <w:spacing w:val="-2"/>
                <w:kern w:val="28"/>
                <w:sz w:val="22"/>
                <w:highlight w:val="yellow"/>
                <w:lang w:val="en-US" w:eastAsia="en-US" w:bidi="ar-SA"/>
              </w:rPr>
            </w:pPr>
          </w:p>
          <w:p w:rsidR="00907888" w:rsidRPr="00864CFD" w:rsidP="001C0CCB" w14:paraId="1A04C9F5" w14:textId="77777777">
            <w:pPr>
              <w:widowControl w:val="0"/>
              <w:tabs>
                <w:tab w:val="center" w:pos="4680"/>
              </w:tabs>
              <w:suppressAutoHyphens/>
              <w:rPr>
                <w:rStyle w:val="DefaultParagraphFont"/>
                <w:snapToGrid w:val="0"/>
                <w:spacing w:val="-2"/>
                <w:kern w:val="28"/>
                <w:sz w:val="22"/>
                <w:lang w:val="en-US" w:eastAsia="en-US" w:bidi="ar-SA"/>
              </w:rPr>
            </w:pPr>
          </w:p>
        </w:tc>
      </w:tr>
    </w:tbl>
    <w:p w:rsidR="00D63EBF" w:rsidRPr="00864CFD" w:rsidP="00D63EBF" w14:paraId="40ECA83A" w14:textId="77777777"/>
    <w:p w:rsidR="00D63EBF" w:rsidRPr="00864CFD" w:rsidP="00D63EBF" w14:paraId="51FE8280" w14:textId="1F0E3002">
      <w:pPr>
        <w:pStyle w:val="StyleBoldCentered"/>
        <w:rPr>
          <w:rFonts w:ascii="Times New Roman" w:hAnsi="Times New Roman"/>
        </w:rPr>
      </w:pPr>
      <w:r>
        <w:rPr>
          <w:rFonts w:ascii="Times New Roman" w:hAnsi="Times New Roman"/>
        </w:rPr>
        <w:t xml:space="preserve">SECOND FURTHER </w:t>
      </w:r>
      <w:r w:rsidRPr="00864CFD">
        <w:rPr>
          <w:rFonts w:ascii="Times New Roman" w:hAnsi="Times New Roman"/>
        </w:rPr>
        <w:t>NOTICE OF PROPOSED RULEMAKING</w:t>
      </w:r>
    </w:p>
    <w:p w:rsidR="00D63EBF" w:rsidRPr="006711A2" w:rsidP="00D63EBF" w14:paraId="2BE142A4" w14:textId="77777777">
      <w:pPr>
        <w:tabs>
          <w:tab w:val="left" w:pos="-720"/>
        </w:tabs>
        <w:suppressAutoHyphens/>
        <w:spacing w:line="227" w:lineRule="auto"/>
        <w:rPr>
          <w:spacing w:val="-2"/>
        </w:rPr>
      </w:pPr>
    </w:p>
    <w:p w:rsidR="00D63EBF" w:rsidP="00F70A60" w14:paraId="7BC654C2" w14:textId="77039DAE">
      <w:pPr>
        <w:tabs>
          <w:tab w:val="right" w:pos="9360"/>
        </w:tabs>
        <w:suppressAutoHyphens/>
        <w:spacing w:line="227" w:lineRule="auto"/>
        <w:rPr>
          <w:spacing w:val="-2"/>
        </w:rPr>
      </w:pPr>
      <w:r>
        <w:rPr>
          <w:b/>
          <w:spacing w:val="-2"/>
        </w:rPr>
        <w:t xml:space="preserve">Adopted:  </w:t>
      </w:r>
      <w:r w:rsidR="00122945">
        <w:rPr>
          <w:b/>
          <w:spacing w:val="-2"/>
        </w:rPr>
        <w:t>March 22, 2018</w:t>
      </w:r>
      <w:r w:rsidR="00122945">
        <w:rPr>
          <w:b/>
          <w:spacing w:val="-2"/>
        </w:rPr>
        <w:tab/>
      </w:r>
      <w:r>
        <w:rPr>
          <w:b/>
          <w:spacing w:val="-2"/>
        </w:rPr>
        <w:t xml:space="preserve">Released:  </w:t>
      </w:r>
      <w:r w:rsidR="00C05CA2">
        <w:rPr>
          <w:b/>
          <w:spacing w:val="-2"/>
        </w:rPr>
        <w:t>March 23</w:t>
      </w:r>
      <w:r w:rsidR="00122945">
        <w:rPr>
          <w:b/>
          <w:spacing w:val="-2"/>
        </w:rPr>
        <w:t>, 2018</w:t>
      </w:r>
    </w:p>
    <w:p w:rsidR="00D63EBF" w:rsidRPr="00FA7FEB" w:rsidP="00D63EBF" w14:paraId="02AE85C0" w14:textId="77777777"/>
    <w:p w:rsidR="00D63EBF" w:rsidRPr="004B2263" w:rsidP="00D63EBF" w14:paraId="7C4DC02F" w14:textId="35661E64">
      <w:pPr>
        <w:rPr>
          <w:b/>
        </w:rPr>
      </w:pPr>
      <w:r>
        <w:rPr>
          <w:b/>
        </w:rPr>
        <w:t>Comment Date:</w:t>
      </w:r>
      <w:r w:rsidR="00E06D4D">
        <w:rPr>
          <w:b/>
        </w:rPr>
        <w:t xml:space="preserve"> </w:t>
      </w:r>
      <w:r>
        <w:rPr>
          <w:b/>
        </w:rPr>
        <w:t>(45</w:t>
      </w:r>
      <w:r w:rsidRPr="00283175">
        <w:rPr>
          <w:b/>
        </w:rPr>
        <w:t xml:space="preserve"> days after date of publication in the Federal Register)</w:t>
      </w:r>
    </w:p>
    <w:p w:rsidR="00D63EBF" w:rsidRPr="00283175" w:rsidP="00D63EBF" w14:paraId="4DD2B613" w14:textId="77777777">
      <w:r>
        <w:rPr>
          <w:b/>
        </w:rPr>
        <w:t>Reply Comment Date:</w:t>
      </w:r>
      <w:r>
        <w:rPr>
          <w:b/>
        </w:rPr>
        <w:tab/>
        <w:t>(75</w:t>
      </w:r>
      <w:r w:rsidRPr="00283175">
        <w:rPr>
          <w:b/>
        </w:rPr>
        <w:t xml:space="preserve"> days after date of publication in the Federal Register)</w:t>
      </w:r>
    </w:p>
    <w:p w:rsidR="00D63EBF" w:rsidRPr="00070540" w:rsidP="00D63EBF" w14:paraId="279FD025" w14:textId="77777777"/>
    <w:p w:rsidR="00D63EBF" w:rsidRPr="002B437F" w:rsidP="00D63EBF" w14:paraId="3900DBBB" w14:textId="0A2C472F">
      <w:r>
        <w:t>By the Commission:</w:t>
      </w:r>
      <w:r w:rsidR="00122945">
        <w:t xml:space="preserve">  </w:t>
      </w:r>
      <w:r w:rsidR="00FF21A6">
        <w:t>Chairman Pai and Commissioners Clyburn, O’Rielly, and Carr issuing separate statements; Commissioner Rosenworcel approving in part, dissenting in part, and issuing a statement.</w:t>
      </w:r>
    </w:p>
    <w:p w:rsidR="00D63EBF" w:rsidRPr="00DE707F" w:rsidP="00D63EBF" w14:paraId="70FA68ED" w14:textId="77777777"/>
    <w:p w:rsidR="00D63EBF" w:rsidP="00D63EBF" w14:paraId="51983DB0" w14:textId="77777777">
      <w:pPr>
        <w:pStyle w:val="Heading1"/>
        <w:rPr>
          <w:rFonts w:ascii="Times New Roman" w:hAnsi="Times New Roman"/>
        </w:rPr>
      </w:pPr>
      <w:bookmarkStart w:id="1" w:name="_Toc321413765"/>
      <w:bookmarkStart w:id="2" w:name="_Toc323112963"/>
      <w:r w:rsidRPr="00864CFD">
        <w:rPr>
          <w:rFonts w:ascii="Times New Roman" w:hAnsi="Times New Roman"/>
        </w:rPr>
        <w:t>INTRODUCTION</w:t>
      </w:r>
    </w:p>
    <w:p w:rsidR="00D63EBF" w:rsidRPr="007D6E0C" w:rsidP="00D63EBF" w14:paraId="588370DD" w14:textId="2199F1C1">
      <w:pPr>
        <w:pStyle w:val="ParaNum"/>
      </w:pPr>
      <w:r>
        <w:t xml:space="preserve">In this </w:t>
      </w:r>
      <w:r>
        <w:rPr>
          <w:i/>
        </w:rPr>
        <w:t>Second Further Notice of Proposed Rulemaking</w:t>
      </w:r>
      <w:r w:rsidRPr="002B4DCF">
        <w:t>,</w:t>
      </w:r>
      <w:r w:rsidRPr="00F603BA">
        <w:rPr>
          <w:i/>
        </w:rPr>
        <w:t xml:space="preserve"> </w:t>
      </w:r>
      <w:r w:rsidR="00F35FB6">
        <w:t xml:space="preserve">as part of our multiple-front battle against unwanted calls, </w:t>
      </w:r>
      <w:r w:rsidRPr="007D6E0C" w:rsidR="00F35FB6">
        <w:t xml:space="preserve">we propose and seek comment on </w:t>
      </w:r>
      <w:r w:rsidRPr="007D6E0C" w:rsidR="0071592F">
        <w:t>way</w:t>
      </w:r>
      <w:r w:rsidRPr="007D6E0C" w:rsidR="00F2347B">
        <w:t>s</w:t>
      </w:r>
      <w:r w:rsidRPr="007D6E0C" w:rsidR="00F35FB6">
        <w:t xml:space="preserve"> to address the problem of unwanted calls to reassigned </w:t>
      </w:r>
      <w:r w:rsidRPr="007D6E0C" w:rsidR="008C35EC">
        <w:t xml:space="preserve">numbers.  This problem subjects the recipient of the reassigned number </w:t>
      </w:r>
      <w:r w:rsidRPr="007D6E0C">
        <w:t>to annoyance and wastes the time and effort of the calle</w:t>
      </w:r>
      <w:r w:rsidR="00424CAC">
        <w:t>r while potentially subjecting the caller</w:t>
      </w:r>
      <w:r w:rsidRPr="007D6E0C">
        <w:t xml:space="preserve"> to liability.</w:t>
      </w:r>
    </w:p>
    <w:p w:rsidR="00D63EBF" w:rsidRPr="007D6E0C" w:rsidP="0048004B" w14:paraId="458DA5A7" w14:textId="77777777">
      <w:pPr>
        <w:pStyle w:val="ParaNum"/>
      </w:pPr>
      <w:r w:rsidRPr="007D6E0C">
        <w:t>Consumer groups and callers</w:t>
      </w:r>
      <w:r w:rsidRPr="007D6E0C" w:rsidR="00B31EB7">
        <w:t xml:space="preserve"> alike have asked for a solution to this problem.  </w:t>
      </w:r>
      <w:r w:rsidRPr="007D6E0C" w:rsidR="00044181">
        <w:t>W</w:t>
      </w:r>
      <w:r w:rsidRPr="007D6E0C" w:rsidR="00B31EB7">
        <w:t xml:space="preserve">e therefore propose to </w:t>
      </w:r>
      <w:r w:rsidRPr="007D6E0C" w:rsidR="00FC6942">
        <w:t>ensure that one or more databases are available to provide</w:t>
      </w:r>
      <w:r w:rsidRPr="007D6E0C" w:rsidR="003C232B">
        <w:t xml:space="preserve"> callers with the comprehensive and timely information they need to discover potential number reassignments before making a call</w:t>
      </w:r>
      <w:r w:rsidRPr="007D6E0C" w:rsidR="00B31EB7">
        <w:t>.</w:t>
      </w:r>
      <w:r w:rsidR="0027533D">
        <w:t xml:space="preserve"> </w:t>
      </w:r>
      <w:r w:rsidRPr="007D6E0C" w:rsidR="00B31EB7">
        <w:t xml:space="preserve"> </w:t>
      </w:r>
      <w:r w:rsidRPr="007D6E0C" w:rsidR="00745551">
        <w:t>To that end, we</w:t>
      </w:r>
      <w:r w:rsidRPr="007D6E0C" w:rsidR="003432FE">
        <w:t xml:space="preserve"> seek </w:t>
      </w:r>
      <w:r w:rsidRPr="007D6E0C" w:rsidR="00AD40A4">
        <w:t xml:space="preserve">further </w:t>
      </w:r>
      <w:r w:rsidRPr="007D6E0C" w:rsidR="003432FE">
        <w:t>comment on</w:t>
      </w:r>
      <w:r w:rsidRPr="007D6E0C" w:rsidR="003076D2">
        <w:t>, among other issues</w:t>
      </w:r>
      <w:r w:rsidRPr="007D6E0C" w:rsidR="0097034C">
        <w:t>:</w:t>
      </w:r>
      <w:r w:rsidRPr="007D6E0C" w:rsidR="003076D2">
        <w:t xml:space="preserve"> (1) the </w:t>
      </w:r>
      <w:r w:rsidRPr="007D6E0C" w:rsidR="00103606">
        <w:t xml:space="preserve">specific </w:t>
      </w:r>
      <w:r w:rsidRPr="007D6E0C" w:rsidR="003076D2">
        <w:t>information that callers need from a reassigned numbers database</w:t>
      </w:r>
      <w:r w:rsidRPr="007D6E0C" w:rsidR="0097034C">
        <w:t>;</w:t>
      </w:r>
      <w:r w:rsidRPr="007D6E0C" w:rsidR="003076D2">
        <w:t xml:space="preserve"> and (2) </w:t>
      </w:r>
      <w:r w:rsidRPr="007D6E0C" w:rsidR="003C232B">
        <w:t>the best way to make that information</w:t>
      </w:r>
      <w:r w:rsidRPr="007D6E0C" w:rsidR="003076D2">
        <w:t xml:space="preserve"> available to callers</w:t>
      </w:r>
      <w:r w:rsidRPr="007D6E0C" w:rsidR="008A4D5C">
        <w:t xml:space="preserve"> that want it</w:t>
      </w:r>
      <w:r w:rsidRPr="007D6E0C" w:rsidR="003076D2">
        <w:t xml:space="preserve">.  </w:t>
      </w:r>
      <w:r w:rsidRPr="007D6E0C" w:rsidR="00E64C54">
        <w:t>M</w:t>
      </w:r>
      <w:r w:rsidRPr="007D6E0C" w:rsidR="00BB2A68">
        <w:t xml:space="preserve">aking </w:t>
      </w:r>
      <w:r w:rsidRPr="007D6E0C" w:rsidR="00E64C54">
        <w:t>a reassigned numbers database</w:t>
      </w:r>
      <w:r w:rsidRPr="007D6E0C" w:rsidR="00BB2A68">
        <w:t xml:space="preserve"> available to callers that want it will benefit consumers by reducing unwanted calls intended for another consumer </w:t>
      </w:r>
      <w:r w:rsidRPr="007D6E0C" w:rsidR="00E64C54">
        <w:t>while</w:t>
      </w:r>
      <w:r w:rsidRPr="007D6E0C" w:rsidR="00BB2A68">
        <w:t xml:space="preserve"> </w:t>
      </w:r>
      <w:r w:rsidRPr="007D6E0C" w:rsidR="00E64C54">
        <w:t xml:space="preserve">helping </w:t>
      </w:r>
      <w:r w:rsidRPr="007D6E0C" w:rsidR="00BB2A68">
        <w:t xml:space="preserve">callers </w:t>
      </w:r>
      <w:r w:rsidRPr="007D6E0C" w:rsidR="00E64C54">
        <w:t>avoid</w:t>
      </w:r>
      <w:r w:rsidRPr="007D6E0C" w:rsidR="00BB2A68">
        <w:t xml:space="preserve"> </w:t>
      </w:r>
      <w:r w:rsidRPr="007D6E0C" w:rsidR="00E64C54">
        <w:t xml:space="preserve">the costs of </w:t>
      </w:r>
      <w:r w:rsidRPr="007D6E0C" w:rsidR="00BB2A68">
        <w:t>calling the wrong consumer</w:t>
      </w:r>
      <w:r w:rsidRPr="007D6E0C" w:rsidR="002B4DCF">
        <w:t>,</w:t>
      </w:r>
      <w:r w:rsidRPr="007D6E0C" w:rsidR="00BB2A68">
        <w:t xml:space="preserve"> </w:t>
      </w:r>
      <w:r w:rsidRPr="007D6E0C" w:rsidR="00E64C54">
        <w:t>including</w:t>
      </w:r>
      <w:r w:rsidRPr="007D6E0C" w:rsidR="00BB2A68">
        <w:t xml:space="preserve"> potential violations of the Telephone Consumer Protection Act (TCPA).</w:t>
      </w:r>
      <w:r>
        <w:rPr>
          <w:rStyle w:val="FootnoteReference"/>
        </w:rPr>
        <w:footnoteReference w:id="3"/>
      </w:r>
    </w:p>
    <w:p w:rsidR="00D63EBF" w:rsidRPr="007D6E0C" w:rsidP="00D63EBF" w14:paraId="6618C990" w14:textId="77777777">
      <w:pPr>
        <w:pStyle w:val="Heading1"/>
        <w:rPr>
          <w:rFonts w:ascii="Times New Roman" w:hAnsi="Times New Roman"/>
        </w:rPr>
      </w:pPr>
      <w:bookmarkStart w:id="3" w:name="_Toc321413766"/>
      <w:bookmarkStart w:id="4" w:name="_Toc323112964"/>
      <w:r w:rsidRPr="007D6E0C">
        <w:rPr>
          <w:rFonts w:ascii="Times New Roman" w:hAnsi="Times New Roman"/>
        </w:rPr>
        <w:t>BACKGROUND</w:t>
      </w:r>
      <w:bookmarkEnd w:id="3"/>
      <w:bookmarkEnd w:id="4"/>
    </w:p>
    <w:p w:rsidR="00D63EBF" w:rsidRPr="007D6E0C" w:rsidP="00D63EBF" w14:paraId="5FF9879B" w14:textId="2B309161">
      <w:pPr>
        <w:pStyle w:val="ParaNum"/>
      </w:pPr>
      <w:r w:rsidRPr="007D6E0C">
        <w:t xml:space="preserve">As required by the Commission’s rules, </w:t>
      </w:r>
      <w:r w:rsidRPr="007D6E0C" w:rsidR="00DF1C79">
        <w:t xml:space="preserve">voice </w:t>
      </w:r>
      <w:r w:rsidRPr="007D6E0C" w:rsidR="00B778F6">
        <w:t>service providers</w:t>
      </w:r>
      <w:r w:rsidRPr="007D6E0C" w:rsidR="009F6670">
        <w:t xml:space="preserve"> ensure </w:t>
      </w:r>
      <w:r w:rsidRPr="007D6E0C" w:rsidR="00DB16F2">
        <w:t xml:space="preserve">the </w:t>
      </w:r>
      <w:r w:rsidRPr="007D6E0C" w:rsidR="009F6670">
        <w:t xml:space="preserve">efficient use of telephone numbers by </w:t>
      </w:r>
      <w:r w:rsidRPr="007D6E0C" w:rsidR="00E71E1C">
        <w:t xml:space="preserve">reassigning </w:t>
      </w:r>
      <w:r w:rsidRPr="007D6E0C" w:rsidR="00EF7873">
        <w:t xml:space="preserve">a </w:t>
      </w:r>
      <w:r w:rsidRPr="007D6E0C" w:rsidR="00B778F6">
        <w:t xml:space="preserve">telephone </w:t>
      </w:r>
      <w:r w:rsidRPr="007D6E0C" w:rsidR="00F36378">
        <w:t>number</w:t>
      </w:r>
      <w:r w:rsidRPr="007D6E0C" w:rsidR="00B778F6">
        <w:t xml:space="preserve"> </w:t>
      </w:r>
      <w:r w:rsidRPr="007D6E0C" w:rsidR="00E71E1C">
        <w:t>to a new consumer</w:t>
      </w:r>
      <w:r w:rsidRPr="007D6E0C" w:rsidR="007048D0">
        <w:t xml:space="preserve"> after it </w:t>
      </w:r>
      <w:r w:rsidRPr="007D6E0C" w:rsidR="00F36378">
        <w:t>is</w:t>
      </w:r>
      <w:r w:rsidRPr="007D6E0C" w:rsidR="00B778F6">
        <w:t xml:space="preserve"> disconnected by </w:t>
      </w:r>
      <w:r w:rsidRPr="007D6E0C" w:rsidR="007048D0">
        <w:t xml:space="preserve">the </w:t>
      </w:r>
      <w:r w:rsidRPr="007D6E0C" w:rsidR="005C75C9">
        <w:t xml:space="preserve">previous </w:t>
      </w:r>
      <w:r w:rsidRPr="007D6E0C" w:rsidR="007048D0">
        <w:t>subscriber.</w:t>
      </w:r>
      <w:r>
        <w:rPr>
          <w:rStyle w:val="FootnoteReference"/>
        </w:rPr>
        <w:footnoteReference w:id="4"/>
      </w:r>
      <w:r w:rsidRPr="007D6E0C" w:rsidR="00A6762C">
        <w:t xml:space="preserve">  </w:t>
      </w:r>
      <w:r w:rsidR="004F526B">
        <w:t>Approximately 35 million numbers are disconnected</w:t>
      </w:r>
      <w:r w:rsidR="00276CFA">
        <w:t xml:space="preserve"> and made available </w:t>
      </w:r>
      <w:r w:rsidR="009209C1">
        <w:t xml:space="preserve">for </w:t>
      </w:r>
      <w:r w:rsidR="009209C1">
        <w:t xml:space="preserve">reassignment </w:t>
      </w:r>
      <w:r w:rsidR="00276CFA">
        <w:t>to new consumers each year.</w:t>
      </w:r>
      <w:r>
        <w:rPr>
          <w:rStyle w:val="FootnoteReference"/>
        </w:rPr>
        <w:footnoteReference w:id="5"/>
      </w:r>
      <w:r w:rsidR="00276CFA">
        <w:t xml:space="preserve">  </w:t>
      </w:r>
      <w:r w:rsidRPr="007D6E0C" w:rsidR="00FF5266">
        <w:t xml:space="preserve">Consumers </w:t>
      </w:r>
      <w:r w:rsidRPr="007D6E0C" w:rsidR="00754C1C">
        <w:t xml:space="preserve">disconnect their old numbers and </w:t>
      </w:r>
      <w:r w:rsidRPr="007D6E0C" w:rsidR="00FF5266">
        <w:t xml:space="preserve">change </w:t>
      </w:r>
      <w:r w:rsidRPr="007D6E0C" w:rsidR="00754C1C">
        <w:t xml:space="preserve">to new </w:t>
      </w:r>
      <w:r w:rsidRPr="007D6E0C" w:rsidR="00FF5266">
        <w:t xml:space="preserve">telephone numbers for a variety of reasons, including switching wireless providers without porting numbers and getting new wireline telephone numbers when they move.  </w:t>
      </w:r>
      <w:r w:rsidRPr="007D6E0C" w:rsidR="00250CAC">
        <w:t xml:space="preserve">Upon </w:t>
      </w:r>
      <w:r w:rsidRPr="007D6E0C" w:rsidR="00754C1C">
        <w:t>disconnect</w:t>
      </w:r>
      <w:r w:rsidRPr="007D6E0C" w:rsidR="00250CAC">
        <w:t>ing</w:t>
      </w:r>
      <w:r w:rsidRPr="007D6E0C" w:rsidR="00754C1C">
        <w:t xml:space="preserve"> </w:t>
      </w:r>
      <w:r w:rsidRPr="007D6E0C" w:rsidR="005C75C9">
        <w:t xml:space="preserve">his or her </w:t>
      </w:r>
      <w:r w:rsidRPr="007D6E0C" w:rsidR="00250CAC">
        <w:t>phone</w:t>
      </w:r>
      <w:r w:rsidRPr="007D6E0C">
        <w:t xml:space="preserve"> number, </w:t>
      </w:r>
      <w:r w:rsidRPr="007D6E0C" w:rsidR="00250CAC">
        <w:t>a consumer may</w:t>
      </w:r>
      <w:r w:rsidRPr="007D6E0C">
        <w:t xml:space="preserve"> not update all parties who have called</w:t>
      </w:r>
      <w:r w:rsidR="00424CAC">
        <w:t xml:space="preserve"> him/her</w:t>
      </w:r>
      <w:r w:rsidRPr="007D6E0C">
        <w:t xml:space="preserve"> in the past, including </w:t>
      </w:r>
      <w:r w:rsidRPr="007D6E0C" w:rsidR="00E64C54">
        <w:t xml:space="preserve">businesses </w:t>
      </w:r>
      <w:r w:rsidRPr="007D6E0C">
        <w:t>to which the consumer gave prior express consent</w:t>
      </w:r>
      <w:r w:rsidRPr="007D6E0C" w:rsidR="00250CAC">
        <w:t xml:space="preserve"> to call</w:t>
      </w:r>
      <w:r w:rsidRPr="007D6E0C" w:rsidR="005C75C9">
        <w:t xml:space="preserve"> and other callers from which the consumer expects to receive calls</w:t>
      </w:r>
      <w:r w:rsidRPr="007D6E0C">
        <w:t xml:space="preserve">.  When </w:t>
      </w:r>
      <w:r w:rsidRPr="007D6E0C">
        <w:t>that</w:t>
      </w:r>
      <w:r w:rsidRPr="007D6E0C">
        <w:t xml:space="preserve"> number is reassigned</w:t>
      </w:r>
      <w:r w:rsidRPr="007D6E0C" w:rsidR="00250CAC">
        <w:t>, the new subscriber of that number</w:t>
      </w:r>
      <w:r w:rsidRPr="007D6E0C" w:rsidR="00FF5266">
        <w:t xml:space="preserve"> may receive unwanted calls intended for the previous </w:t>
      </w:r>
      <w:r w:rsidRPr="007D6E0C" w:rsidR="00250CAC">
        <w:t>subscriber</w:t>
      </w:r>
      <w:r w:rsidRPr="007D6E0C" w:rsidR="00FF5266">
        <w:t>.</w:t>
      </w:r>
    </w:p>
    <w:p w:rsidR="00D63EBF" w:rsidRPr="007D6E0C" w:rsidP="00C0132A" w14:paraId="02D42D8A" w14:textId="5B1F741F">
      <w:pPr>
        <w:pStyle w:val="ParaNum"/>
      </w:pPr>
      <w:r w:rsidRPr="007D6E0C">
        <w:t xml:space="preserve">The problem of unwanted calls to reassigned numbers can have </w:t>
      </w:r>
      <w:r w:rsidRPr="007D6E0C" w:rsidR="00EE7C2C">
        <w:t>important</w:t>
      </w:r>
      <w:r w:rsidRPr="007D6E0C">
        <w:t xml:space="preserve"> consequences for both consumers and callers.  Beyond annoying the new </w:t>
      </w:r>
      <w:r w:rsidRPr="007D6E0C" w:rsidR="0050721A">
        <w:t>subscriber</w:t>
      </w:r>
      <w:r w:rsidRPr="007D6E0C">
        <w:t xml:space="preserve"> of the reassigned number, a misdirected call can deprive the previous </w:t>
      </w:r>
      <w:r w:rsidRPr="007D6E0C" w:rsidR="0050721A">
        <w:t>subscriber</w:t>
      </w:r>
      <w:r w:rsidRPr="007D6E0C">
        <w:t xml:space="preserve"> of the number of a desired call from</w:t>
      </w:r>
      <w:r w:rsidRPr="007D6E0C" w:rsidR="00434FA9">
        <w:t>, for example,</w:t>
      </w:r>
      <w:r w:rsidR="00424CAC">
        <w:t xml:space="preserve"> his/her</w:t>
      </w:r>
      <w:r w:rsidRPr="007D6E0C">
        <w:t xml:space="preserve"> </w:t>
      </w:r>
      <w:r w:rsidRPr="007D6E0C" w:rsidR="00321033">
        <w:t xml:space="preserve">school, </w:t>
      </w:r>
      <w:r w:rsidRPr="007D6E0C">
        <w:t>health care provider, or financial instituti</w:t>
      </w:r>
      <w:r w:rsidRPr="007D6E0C" w:rsidR="00064161">
        <w:t>on</w:t>
      </w:r>
      <w:r w:rsidRPr="007D6E0C" w:rsidR="00321033">
        <w:t>.</w:t>
      </w:r>
      <w:r>
        <w:rPr>
          <w:rStyle w:val="FootnoteReference"/>
        </w:rPr>
        <w:footnoteReference w:id="6"/>
      </w:r>
      <w:r w:rsidRPr="007D6E0C">
        <w:t xml:space="preserve">  </w:t>
      </w:r>
      <w:r w:rsidRPr="007D6E0C" w:rsidR="00E64C54">
        <w:t>I</w:t>
      </w:r>
      <w:r w:rsidRPr="007D6E0C" w:rsidR="003E3068">
        <w:t xml:space="preserve">n the case of </w:t>
      </w:r>
      <w:r w:rsidRPr="007D6E0C" w:rsidR="00E64C54">
        <w:t xml:space="preserve">prerecorded or automated voice calls (robocalls) </w:t>
      </w:r>
      <w:r w:rsidRPr="007D6E0C" w:rsidR="003E3068">
        <w:t>to reassigned numbers</w:t>
      </w:r>
      <w:r w:rsidR="00424CAC">
        <w:t>, a good-</w:t>
      </w:r>
      <w:r w:rsidRPr="007D6E0C" w:rsidR="00424CAC">
        <w:t>faith</w:t>
      </w:r>
      <w:r w:rsidRPr="007D6E0C" w:rsidR="00C0132A">
        <w:t xml:space="preserve"> caller may be subject to liability for violations of the </w:t>
      </w:r>
      <w:r w:rsidRPr="007D6E0C" w:rsidR="00ED32E5">
        <w:t>TCPA</w:t>
      </w:r>
      <w:r w:rsidRPr="007D6E0C" w:rsidR="00C0132A">
        <w:t>.</w:t>
      </w:r>
      <w:r>
        <w:rPr>
          <w:rStyle w:val="FootnoteReference"/>
        </w:rPr>
        <w:footnoteReference w:id="7"/>
      </w:r>
      <w:r w:rsidRPr="007D6E0C">
        <w:t xml:space="preserve">  </w:t>
      </w:r>
      <w:r w:rsidRPr="007D6E0C" w:rsidR="00A00ED5">
        <w:t xml:space="preserve">That threat </w:t>
      </w:r>
      <w:r w:rsidRPr="007D6E0C" w:rsidR="006975BD">
        <w:t xml:space="preserve">can have </w:t>
      </w:r>
      <w:r w:rsidRPr="007D6E0C">
        <w:t>a chilling ef</w:t>
      </w:r>
      <w:r w:rsidRPr="007D6E0C" w:rsidR="004001D7">
        <w:t>fect</w:t>
      </w:r>
      <w:r w:rsidRPr="007D6E0C" w:rsidR="00565846">
        <w:t xml:space="preserve">, </w:t>
      </w:r>
      <w:r w:rsidRPr="007D6E0C">
        <w:t xml:space="preserve">causing some callers to </w:t>
      </w:r>
      <w:r w:rsidRPr="007D6E0C" w:rsidR="00A00ED5">
        <w:t xml:space="preserve">be overly cautious and stop </w:t>
      </w:r>
      <w:r w:rsidRPr="007D6E0C">
        <w:t>making wanted, lawful calls out of concern over potential liability for calling a reassigned number.</w:t>
      </w:r>
      <w:r>
        <w:rPr>
          <w:rStyle w:val="FootnoteReference"/>
        </w:rPr>
        <w:footnoteReference w:id="8"/>
      </w:r>
    </w:p>
    <w:p w:rsidR="00586777" w:rsidRPr="007D6E0C" w:rsidP="00A6762C" w14:paraId="20E3ADA6" w14:textId="74135B70">
      <w:pPr>
        <w:pStyle w:val="ParaNum"/>
      </w:pPr>
      <w:r w:rsidRPr="007D6E0C">
        <w:t>While e</w:t>
      </w:r>
      <w:r w:rsidRPr="007D6E0C" w:rsidR="00D63EBF">
        <w:t xml:space="preserve">xisting tools can help callers identify </w:t>
      </w:r>
      <w:r w:rsidRPr="007D6E0C" w:rsidR="009C33C2">
        <w:t>number reassignments</w:t>
      </w:r>
      <w:r w:rsidRPr="007D6E0C" w:rsidR="00D63EBF">
        <w:t>,</w:t>
      </w:r>
      <w:r>
        <w:rPr>
          <w:sz w:val="20"/>
          <w:vertAlign w:val="superscript"/>
        </w:rPr>
        <w:footnoteReference w:id="9"/>
      </w:r>
      <w:r w:rsidRPr="007D6E0C" w:rsidR="00D63EBF">
        <w:t xml:space="preserve"> </w:t>
      </w:r>
      <w:r w:rsidRPr="007D6E0C">
        <w:t>“callers lack guaranteed methods to discover all reassignments</w:t>
      </w:r>
      <w:r w:rsidRPr="007D6E0C" w:rsidR="005F3D56">
        <w:t>”</w:t>
      </w:r>
      <w:r w:rsidRPr="007D6E0C">
        <w:t xml:space="preserve"> </w:t>
      </w:r>
      <w:r w:rsidRPr="007D6E0C" w:rsidR="005F3D56">
        <w:t>in a timely manner.</w:t>
      </w:r>
      <w:r>
        <w:rPr>
          <w:rStyle w:val="FootnoteReference"/>
        </w:rPr>
        <w:footnoteReference w:id="10"/>
      </w:r>
      <w:r w:rsidRPr="007D6E0C" w:rsidR="00D63EBF">
        <w:t xml:space="preserve">  </w:t>
      </w:r>
      <w:r w:rsidRPr="007D6E0C" w:rsidR="009F6670">
        <w:t>Accordingly, i</w:t>
      </w:r>
      <w:r w:rsidRPr="007D6E0C" w:rsidR="00D63EBF">
        <w:t>n the July 2017</w:t>
      </w:r>
      <w:r w:rsidRPr="007D6E0C" w:rsidR="00D63EBF">
        <w:rPr>
          <w:i/>
        </w:rPr>
        <w:t xml:space="preserve"> Reassigned Numbers NOI</w:t>
      </w:r>
      <w:r w:rsidRPr="007D6E0C" w:rsidR="00D63EBF">
        <w:t xml:space="preserve">, the Commission launched an inquiry to </w:t>
      </w:r>
      <w:r w:rsidRPr="007D6E0C" w:rsidR="00771944">
        <w:t>explore ways to reduce unwanted calls to reassigned numbers</w:t>
      </w:r>
      <w:r w:rsidRPr="007D6E0C" w:rsidR="00D63EBF">
        <w:t xml:space="preserve">.  </w:t>
      </w:r>
      <w:r w:rsidRPr="007D6E0C" w:rsidR="0012531A">
        <w:t xml:space="preserve">The Commission sought comment on, among other issues, the best ways for </w:t>
      </w:r>
      <w:r w:rsidRPr="007D6E0C" w:rsidR="00063A5C">
        <w:t>service</w:t>
      </w:r>
      <w:r w:rsidRPr="007D6E0C" w:rsidR="0012531A">
        <w:t xml:space="preserve"> providers to report information about </w:t>
      </w:r>
      <w:r w:rsidRPr="007D6E0C" w:rsidR="00AD2252">
        <w:t>number reassignments</w:t>
      </w:r>
      <w:r w:rsidRPr="007D6E0C" w:rsidR="0012531A">
        <w:t xml:space="preserve"> and how that information can most effectively be made available to callers.  </w:t>
      </w:r>
      <w:r w:rsidRPr="007D6E0C" w:rsidR="00D63EBF">
        <w:t>Thirty-</w:t>
      </w:r>
      <w:r w:rsidRPr="007D6E0C" w:rsidR="006139C4">
        <w:t xml:space="preserve">three </w:t>
      </w:r>
      <w:r w:rsidRPr="007D6E0C" w:rsidR="00D63EBF">
        <w:t xml:space="preserve">parties filed comments and </w:t>
      </w:r>
      <w:r w:rsidRPr="007D6E0C" w:rsidR="0059066E">
        <w:t>fourteen</w:t>
      </w:r>
      <w:r w:rsidRPr="007D6E0C" w:rsidR="00D63EBF">
        <w:t xml:space="preserve"> parties submitted reply comments</w:t>
      </w:r>
      <w:r w:rsidRPr="007D6E0C">
        <w:t>.</w:t>
      </w:r>
    </w:p>
    <w:p w:rsidR="00BA53F5" w:rsidRPr="007D6E0C" w:rsidP="00A6762C" w14:paraId="59897AB8" w14:textId="77777777">
      <w:pPr>
        <w:pStyle w:val="ParaNum"/>
      </w:pPr>
      <w:r w:rsidRPr="007D6E0C">
        <w:t xml:space="preserve">The majority of commenters </w:t>
      </w:r>
      <w:r w:rsidRPr="007D6E0C" w:rsidR="005C75C9">
        <w:t xml:space="preserve">on the </w:t>
      </w:r>
      <w:r w:rsidRPr="007D6E0C" w:rsidR="005C75C9">
        <w:rPr>
          <w:i/>
        </w:rPr>
        <w:t>NOI</w:t>
      </w:r>
      <w:r w:rsidRPr="007D6E0C" w:rsidR="005C75C9">
        <w:t xml:space="preserve"> </w:t>
      </w:r>
      <w:r w:rsidRPr="007D6E0C" w:rsidR="00586777">
        <w:t xml:space="preserve">support </w:t>
      </w:r>
      <w:r w:rsidRPr="007D6E0C">
        <w:t xml:space="preserve">a comprehensive </w:t>
      </w:r>
      <w:r w:rsidRPr="007D6E0C">
        <w:t xml:space="preserve">and timely </w:t>
      </w:r>
      <w:r w:rsidRPr="007D6E0C">
        <w:t xml:space="preserve">database </w:t>
      </w:r>
      <w:r w:rsidRPr="007D6E0C" w:rsidR="00154D48">
        <w:t xml:space="preserve">that allows </w:t>
      </w:r>
      <w:r w:rsidRPr="007D6E0C">
        <w:t xml:space="preserve">callers to verify whether a number has been reassigned before </w:t>
      </w:r>
      <w:r w:rsidRPr="007D6E0C" w:rsidR="005C75C9">
        <w:t xml:space="preserve">making </w:t>
      </w:r>
      <w:r w:rsidRPr="007D6E0C">
        <w:t xml:space="preserve">a call. </w:t>
      </w:r>
      <w:r w:rsidRPr="007D6E0C" w:rsidR="00B65444">
        <w:t xml:space="preserve"> </w:t>
      </w:r>
      <w:r w:rsidRPr="007D6E0C" w:rsidR="00586777">
        <w:t>S</w:t>
      </w:r>
      <w:r w:rsidRPr="007D6E0C" w:rsidR="00864839">
        <w:t>pecifically, a</w:t>
      </w:r>
      <w:r w:rsidRPr="007D6E0C" w:rsidR="00E7346C">
        <w:t xml:space="preserve"> </w:t>
      </w:r>
      <w:r w:rsidRPr="007D6E0C" w:rsidR="00E7346C">
        <w:t>broad range of commenters</w:t>
      </w:r>
      <w:r w:rsidRPr="007D6E0C" w:rsidR="0012531A">
        <w:t>, including callers</w:t>
      </w:r>
      <w:r w:rsidRPr="007D6E0C" w:rsidR="00D63EBF">
        <w:t xml:space="preserve"> and associated trade organizations, </w:t>
      </w:r>
      <w:r w:rsidRPr="007D6E0C" w:rsidR="005C75C9">
        <w:t xml:space="preserve">consumer groups, </w:t>
      </w:r>
      <w:r w:rsidRPr="007D6E0C" w:rsidR="00D63EBF">
        <w:t>cable</w:t>
      </w:r>
      <w:r w:rsidRPr="007D6E0C" w:rsidR="00436911">
        <w:t xml:space="preserve"> and</w:t>
      </w:r>
      <w:r w:rsidRPr="007D6E0C" w:rsidR="00D63EBF">
        <w:t xml:space="preserve"> VoIP</w:t>
      </w:r>
      <w:r w:rsidRPr="007D6E0C" w:rsidR="00656F91">
        <w:t xml:space="preserve"> service providers</w:t>
      </w:r>
      <w:r w:rsidRPr="007D6E0C" w:rsidR="00D63EBF">
        <w:t xml:space="preserve">, </w:t>
      </w:r>
      <w:r w:rsidRPr="007D6E0C" w:rsidR="005C75C9">
        <w:t xml:space="preserve">and </w:t>
      </w:r>
      <w:r w:rsidRPr="007D6E0C" w:rsidR="00D63EBF">
        <w:t xml:space="preserve">data aggregators, </w:t>
      </w:r>
      <w:r w:rsidRPr="007D6E0C" w:rsidR="00E7346C">
        <w:t>support</w:t>
      </w:r>
      <w:r w:rsidRPr="007D6E0C" w:rsidR="00867D82">
        <w:t xml:space="preserve"> establishing a </w:t>
      </w:r>
      <w:r w:rsidRPr="007D6E0C">
        <w:t xml:space="preserve">database where </w:t>
      </w:r>
      <w:r w:rsidRPr="007D6E0C" w:rsidR="00063A5C">
        <w:t>service</w:t>
      </w:r>
      <w:r w:rsidRPr="007D6E0C" w:rsidR="00867D82">
        <w:t xml:space="preserve"> providers </w:t>
      </w:r>
      <w:r w:rsidRPr="007D6E0C">
        <w:t xml:space="preserve">can </w:t>
      </w:r>
      <w:r w:rsidRPr="007D6E0C" w:rsidR="00867D82">
        <w:t xml:space="preserve">report </w:t>
      </w:r>
      <w:r w:rsidRPr="007D6E0C" w:rsidR="00573B1C">
        <w:t xml:space="preserve">reassigned number data and callers </w:t>
      </w:r>
      <w:r w:rsidRPr="007D6E0C">
        <w:t xml:space="preserve">can </w:t>
      </w:r>
      <w:r w:rsidRPr="007D6E0C" w:rsidR="00573B1C">
        <w:t>access that data</w:t>
      </w:r>
      <w:r w:rsidRPr="007D6E0C" w:rsidR="00D63EBF">
        <w:t>.</w:t>
      </w:r>
      <w:r>
        <w:rPr>
          <w:rStyle w:val="FootnoteReference"/>
        </w:rPr>
        <w:footnoteReference w:id="11"/>
      </w:r>
      <w:r w:rsidRPr="007D6E0C" w:rsidR="00D63EBF">
        <w:t xml:space="preserve">  </w:t>
      </w:r>
      <w:r w:rsidRPr="007D6E0C" w:rsidR="00142B35">
        <w:t>Legislators have also encouraged the Commission to proceed with a rulemaking to create a comprehensive reassigned numbers database.</w:t>
      </w:r>
      <w:r>
        <w:rPr>
          <w:rStyle w:val="FootnoteReference"/>
        </w:rPr>
        <w:footnoteReference w:id="12"/>
      </w:r>
      <w:r w:rsidRPr="007D6E0C" w:rsidR="00142B35">
        <w:t xml:space="preserve">  </w:t>
      </w:r>
    </w:p>
    <w:p w:rsidR="00D63EBF" w:rsidRPr="007D6E0C" w:rsidP="00A6762C" w14:paraId="0A35C548" w14:textId="1BC31E10">
      <w:pPr>
        <w:pStyle w:val="ParaNum"/>
      </w:pPr>
      <w:r w:rsidRPr="007D6E0C">
        <w:t>Several</w:t>
      </w:r>
      <w:r w:rsidRPr="007D6E0C" w:rsidR="00864839">
        <w:t xml:space="preserve"> commenters </w:t>
      </w:r>
      <w:r w:rsidRPr="007D6E0C">
        <w:t xml:space="preserve">nonetheless </w:t>
      </w:r>
      <w:r w:rsidRPr="007D6E0C" w:rsidR="00864839">
        <w:t xml:space="preserve">raise concerns about this approach.  For example, the United States Chamber of Commerce </w:t>
      </w:r>
      <w:r w:rsidRPr="007D6E0C" w:rsidR="006E7E8E">
        <w:t>expresses concern about the costs associated with using a reassigned numbers database and notes that the Commission cannot</w:t>
      </w:r>
      <w:r w:rsidRPr="007D6E0C" w:rsidR="00F36A70">
        <w:t xml:space="preserve"> mandate that callers use a reassigned numbers database in order to comply with the TCPA</w:t>
      </w:r>
      <w:r w:rsidRPr="007D6E0C" w:rsidR="00041724">
        <w:t>.</w:t>
      </w:r>
      <w:r>
        <w:rPr>
          <w:rStyle w:val="FootnoteReference"/>
        </w:rPr>
        <w:footnoteReference w:id="13"/>
      </w:r>
      <w:r w:rsidRPr="007D6E0C" w:rsidR="00142B35">
        <w:t xml:space="preserve"> </w:t>
      </w:r>
      <w:r w:rsidRPr="007D6E0C" w:rsidR="00864839">
        <w:t xml:space="preserve"> </w:t>
      </w:r>
      <w:r w:rsidRPr="007D6E0C" w:rsidR="00AA3211">
        <w:t>S</w:t>
      </w:r>
      <w:r w:rsidRPr="007D6E0C">
        <w:t xml:space="preserve">everal other commenters contend that </w:t>
      </w:r>
      <w:r w:rsidRPr="007D6E0C" w:rsidR="00CD0DFF">
        <w:t xml:space="preserve">establishing </w:t>
      </w:r>
      <w:r w:rsidRPr="007D6E0C">
        <w:t>a reassigned number</w:t>
      </w:r>
      <w:r w:rsidRPr="007D6E0C" w:rsidR="00E93FCE">
        <w:t>s</w:t>
      </w:r>
      <w:r w:rsidRPr="007D6E0C">
        <w:t xml:space="preserve"> </w:t>
      </w:r>
      <w:r w:rsidRPr="007D6E0C" w:rsidR="0075393F">
        <w:t>database</w:t>
      </w:r>
      <w:r w:rsidRPr="007D6E0C">
        <w:t xml:space="preserve"> is too costly as compared to the likely benefit</w:t>
      </w:r>
      <w:r w:rsidR="009214BD">
        <w:t>.</w:t>
      </w:r>
      <w:r w:rsidRPr="00424CAC" w:rsidR="00424CAC">
        <w:rPr>
          <w:rStyle w:val="FootnoteReference"/>
        </w:rPr>
        <w:t xml:space="preserve"> </w:t>
      </w:r>
      <w:r>
        <w:rPr>
          <w:rStyle w:val="FootnoteReference"/>
        </w:rPr>
        <w:footnoteReference w:id="14"/>
      </w:r>
      <w:r w:rsidR="009214BD">
        <w:t xml:space="preserve">  </w:t>
      </w:r>
      <w:r w:rsidRPr="007D6E0C" w:rsidR="00586777">
        <w:t xml:space="preserve">Alternatively, </w:t>
      </w:r>
      <w:r w:rsidRPr="007D6E0C" w:rsidR="00AA3211">
        <w:t xml:space="preserve">CTIA </w:t>
      </w:r>
      <w:r w:rsidRPr="007D6E0C" w:rsidR="003D29BC">
        <w:t xml:space="preserve">and </w:t>
      </w:r>
      <w:r w:rsidRPr="007D6E0C" w:rsidR="00BA6E78">
        <w:t xml:space="preserve">others </w:t>
      </w:r>
      <w:r w:rsidRPr="007D6E0C" w:rsidR="006A07A7">
        <w:t xml:space="preserve">contend </w:t>
      </w:r>
      <w:r w:rsidRPr="007D6E0C" w:rsidR="00586777">
        <w:t>that if</w:t>
      </w:r>
      <w:r w:rsidRPr="007D6E0C" w:rsidR="00AA3211">
        <w:t xml:space="preserve"> the Commission decides to </w:t>
      </w:r>
      <w:r w:rsidRPr="007D6E0C" w:rsidR="006A07A7">
        <w:t>address</w:t>
      </w:r>
      <w:r w:rsidRPr="007D6E0C" w:rsidR="006E7E8E">
        <w:t xml:space="preserve"> the reassigned numbers problem,</w:t>
      </w:r>
      <w:r w:rsidRPr="007D6E0C" w:rsidR="00AA3211">
        <w:t xml:space="preserve"> it should </w:t>
      </w:r>
      <w:r w:rsidRPr="007D6E0C" w:rsidR="006E7E8E">
        <w:t xml:space="preserve">adopt a safe harbor from TCPA violations for callers that </w:t>
      </w:r>
      <w:r w:rsidRPr="007D6E0C" w:rsidR="004A3AFF">
        <w:t>use existing commercial solutions</w:t>
      </w:r>
      <w:r w:rsidRPr="007D6E0C" w:rsidR="006A07A7">
        <w:t xml:space="preserve"> and thereby</w:t>
      </w:r>
      <w:r w:rsidRPr="007D6E0C" w:rsidR="004A3AFF">
        <w:t xml:space="preserve"> </w:t>
      </w:r>
      <w:r w:rsidRPr="007D6E0C" w:rsidR="006444D9">
        <w:t xml:space="preserve">encourage </w:t>
      </w:r>
      <w:r w:rsidRPr="007D6E0C" w:rsidR="00DA1D36">
        <w:t xml:space="preserve">broader </w:t>
      </w:r>
      <w:r w:rsidRPr="007D6E0C" w:rsidR="006444D9">
        <w:t xml:space="preserve">adoption and improvement of </w:t>
      </w:r>
      <w:r w:rsidRPr="007D6E0C" w:rsidR="00F912D2">
        <w:t xml:space="preserve">those </w:t>
      </w:r>
      <w:r w:rsidRPr="007D6E0C" w:rsidR="006444D9">
        <w:t>solutions.</w:t>
      </w:r>
      <w:r>
        <w:rPr>
          <w:rStyle w:val="FootnoteReference"/>
        </w:rPr>
        <w:footnoteReference w:id="15"/>
      </w:r>
    </w:p>
    <w:p w:rsidR="00D63EBF" w:rsidRPr="007D6E0C" w:rsidP="00D63EBF" w14:paraId="4BDE05DD" w14:textId="77777777">
      <w:pPr>
        <w:pStyle w:val="Heading1"/>
      </w:pPr>
      <w:r w:rsidRPr="007D6E0C">
        <w:t>DISCUSSION</w:t>
      </w:r>
    </w:p>
    <w:p w:rsidR="00ED7BDC" w:rsidP="00223FAC" w14:paraId="1F93DDA8" w14:textId="77777777">
      <w:pPr>
        <w:pStyle w:val="ParaNum"/>
      </w:pPr>
      <w:r w:rsidRPr="007D6E0C">
        <w:t xml:space="preserve">We propose to </w:t>
      </w:r>
      <w:r w:rsidRPr="007D6E0C" w:rsidR="00E020E2">
        <w:t>ensure that</w:t>
      </w:r>
      <w:r w:rsidRPr="007D6E0C">
        <w:t xml:space="preserve"> one or more databases </w:t>
      </w:r>
      <w:r w:rsidRPr="007D6E0C" w:rsidR="00E020E2">
        <w:t>are available to provide callers with the</w:t>
      </w:r>
      <w:r w:rsidRPr="007D6E0C">
        <w:t xml:space="preserve"> comprehensive and timely information </w:t>
      </w:r>
      <w:r w:rsidRPr="007D6E0C" w:rsidR="00E020E2">
        <w:t xml:space="preserve">they need to avoid calling reassigned numbers.  </w:t>
      </w:r>
      <w:r w:rsidRPr="007D6E0C" w:rsidR="003871FD">
        <w:t>W</w:t>
      </w:r>
      <w:r w:rsidRPr="007D6E0C" w:rsidR="00203845">
        <w:t xml:space="preserve">e </w:t>
      </w:r>
      <w:r w:rsidRPr="007D6E0C" w:rsidR="003871FD">
        <w:t xml:space="preserve">therefore </w:t>
      </w:r>
      <w:r w:rsidRPr="007D6E0C" w:rsidR="00203845">
        <w:t xml:space="preserve">seek comment </w:t>
      </w:r>
      <w:r w:rsidRPr="007D6E0C" w:rsidR="003871FD">
        <w:t>below on, among other things</w:t>
      </w:r>
      <w:r w:rsidRPr="007D6E0C" w:rsidR="00677045">
        <w:t>:</w:t>
      </w:r>
      <w:r w:rsidRPr="007D6E0C" w:rsidR="003871FD">
        <w:t xml:space="preserve"> (1) the information that callers who choose to use a reassigned numbers database need from such a database; (2) how to ensure that </w:t>
      </w:r>
      <w:r w:rsidRPr="007D6E0C" w:rsidR="00FF6583">
        <w:t xml:space="preserve">the </w:t>
      </w:r>
      <w:r w:rsidRPr="007D6E0C" w:rsidR="003871FD">
        <w:t xml:space="preserve">information is </w:t>
      </w:r>
      <w:r w:rsidRPr="007D6E0C" w:rsidR="00FF6583">
        <w:t>reported to a database; and (3) the best approach to making that information available to callers.</w:t>
      </w:r>
      <w:r>
        <w:t xml:space="preserve">  </w:t>
      </w:r>
    </w:p>
    <w:p w:rsidR="003871FD" w:rsidRPr="007D6E0C" w:rsidP="00223FAC" w14:paraId="06AB3EDE" w14:textId="77777777">
      <w:pPr>
        <w:pStyle w:val="ParaNum"/>
      </w:pPr>
      <w:r>
        <w:t xml:space="preserve">We believe that our proposal will benefit legitimate callers and consumers alike.  </w:t>
      </w:r>
      <w:r w:rsidR="00B67D75">
        <w:t>While some commenters argue that a reassigned numbers database would not reduce unwanted calls from bad actors,</w:t>
      </w:r>
      <w:r>
        <w:rPr>
          <w:rStyle w:val="FootnoteReference"/>
        </w:rPr>
        <w:footnoteReference w:id="16"/>
      </w:r>
      <w:r w:rsidR="00B67D75">
        <w:t xml:space="preserve"> we note that a</w:t>
      </w:r>
      <w:r>
        <w:t xml:space="preserve"> reassigned numbers database is only one important part of our broader</w:t>
      </w:r>
      <w:r w:rsidRPr="009B5F17">
        <w:t xml:space="preserve"> policy and enforcemen</w:t>
      </w:r>
      <w:r>
        <w:t xml:space="preserve">t efforts to </w:t>
      </w:r>
      <w:r w:rsidR="00434F69">
        <w:t>combat</w:t>
      </w:r>
      <w:r>
        <w:t xml:space="preserve"> unwanted calls, including illegal robocalls</w:t>
      </w:r>
      <w:r w:rsidR="00B67D75">
        <w:t>.</w:t>
      </w:r>
      <w:r>
        <w:rPr>
          <w:rStyle w:val="FootnoteReference"/>
        </w:rPr>
        <w:footnoteReference w:id="17"/>
      </w:r>
      <w:r w:rsidRPr="00B67D75" w:rsidR="00B67D75">
        <w:t xml:space="preserve"> </w:t>
      </w:r>
      <w:r w:rsidR="00B67D75">
        <w:t xml:space="preserve"> We seek comment on how our approach here fits within these broader efforts.</w:t>
      </w:r>
    </w:p>
    <w:p w:rsidR="00E96B04" w:rsidP="007F5A95" w14:paraId="72976D0A" w14:textId="77777777">
      <w:pPr>
        <w:pStyle w:val="ParaNum"/>
        <w:widowControl/>
      </w:pPr>
      <w:r w:rsidRPr="007D6E0C">
        <w:t xml:space="preserve">We believe our legal authority for the potential requirements and alternatives discussed below stems directly from </w:t>
      </w:r>
      <w:r w:rsidRPr="007D6E0C" w:rsidR="00306848">
        <w:t>s</w:t>
      </w:r>
      <w:r w:rsidRPr="007D6E0C">
        <w:t>ection 251(e) of the Act.</w:t>
      </w:r>
      <w:r>
        <w:rPr>
          <w:rStyle w:val="FootnoteReference"/>
        </w:rPr>
        <w:footnoteReference w:id="18"/>
      </w:r>
      <w:r w:rsidRPr="007D6E0C">
        <w:t xml:space="preserve">  More specifically, we believe that the Commission’s exclusive jurisdiction over North American Numbering Plan (NANP) numbering resources provides ample authority to adopt any requirements that recipients of NANP numbers report reassignment or other information about those numbers, including the mechanism through which such information must be reported.</w:t>
      </w:r>
      <w:r>
        <w:rPr>
          <w:rStyle w:val="FootnoteReference"/>
        </w:rPr>
        <w:footnoteReference w:id="19"/>
      </w:r>
      <w:r w:rsidRPr="007D6E0C">
        <w:t xml:space="preserve">  We seek comment on these views and on the nature and scope of our legal authority under </w:t>
      </w:r>
      <w:r w:rsidRPr="007D6E0C" w:rsidR="00306848">
        <w:t>s</w:t>
      </w:r>
      <w:r w:rsidRPr="007D6E0C">
        <w:t>ection 251(e) to adopt the potential requirements and alternatives discussed below.</w:t>
      </w:r>
      <w:r>
        <w:rPr>
          <w:rStyle w:val="FootnoteReference"/>
        </w:rPr>
        <w:footnoteReference w:id="20"/>
      </w:r>
    </w:p>
    <w:p w:rsidR="00C53E24" w:rsidRPr="007D6E0C" w:rsidP="00C53E24" w14:paraId="363F00C9" w14:textId="77777777">
      <w:pPr>
        <w:pStyle w:val="Heading2"/>
      </w:pPr>
      <w:r w:rsidRPr="007D6E0C">
        <w:t>Database Information, Access, and Use</w:t>
      </w:r>
    </w:p>
    <w:p w:rsidR="00E96B04" w:rsidRPr="007D6E0C" w:rsidP="00E96B04" w14:paraId="2A0DE514" w14:textId="77777777">
      <w:pPr>
        <w:pStyle w:val="ParaNum"/>
      </w:pPr>
      <w:r w:rsidRPr="007D6E0C">
        <w:t xml:space="preserve">Based on the </w:t>
      </w:r>
      <w:r w:rsidRPr="007D6E0C">
        <w:rPr>
          <w:i/>
        </w:rPr>
        <w:t>NOI</w:t>
      </w:r>
      <w:r w:rsidRPr="007D6E0C">
        <w:t xml:space="preserve"> comments, an effective reassigned numbers database should contain </w:t>
      </w:r>
      <w:r w:rsidRPr="007D6E0C" w:rsidR="0079426C">
        <w:t xml:space="preserve">both </w:t>
      </w:r>
      <w:r w:rsidRPr="007D6E0C">
        <w:t>comprehensive and timely data for callers to discover potential reassignments before they occur.</w:t>
      </w:r>
      <w:r>
        <w:rPr>
          <w:rStyle w:val="FootnoteReference"/>
        </w:rPr>
        <w:footnoteReference w:id="21"/>
      </w:r>
      <w:r w:rsidRPr="007D6E0C">
        <w:t xml:space="preserve">  </w:t>
      </w:r>
      <w:r w:rsidRPr="007D6E0C" w:rsidR="00ED529C">
        <w:t>A</w:t>
      </w:r>
      <w:r w:rsidRPr="007D6E0C" w:rsidR="0079426C">
        <w:t xml:space="preserve"> reassigned numbers</w:t>
      </w:r>
      <w:r w:rsidRPr="007D6E0C">
        <w:t xml:space="preserve"> database should</w:t>
      </w:r>
      <w:r w:rsidRPr="007D6E0C" w:rsidR="00ED529C">
        <w:t xml:space="preserve"> also</w:t>
      </w:r>
      <w:r w:rsidRPr="007D6E0C">
        <w:t xml:space="preserve"> be easy to use and cost-effective for callers</w:t>
      </w:r>
      <w:r w:rsidRPr="007D6E0C" w:rsidR="009A6D6C">
        <w:t xml:space="preserve"> while minimizing the burden on service providers supplying the data</w:t>
      </w:r>
      <w:r w:rsidRPr="007D6E0C">
        <w:t>.  With these goals in mind, we</w:t>
      </w:r>
      <w:r w:rsidRPr="007D6E0C">
        <w:t xml:space="preserve"> seek comment below on the operational aspects of </w:t>
      </w:r>
      <w:r w:rsidRPr="007D6E0C" w:rsidR="005B25CA">
        <w:t>a reassigned numbers database</w:t>
      </w:r>
      <w:r w:rsidRPr="007D6E0C">
        <w:t xml:space="preserve">, namely the type and format of information that callers </w:t>
      </w:r>
      <w:r w:rsidRPr="007D6E0C" w:rsidR="005B25CA">
        <w:t>need from such a database</w:t>
      </w:r>
      <w:r w:rsidRPr="007D6E0C">
        <w:t xml:space="preserve">, </w:t>
      </w:r>
      <w:r w:rsidRPr="007D6E0C" w:rsidR="005B25CA">
        <w:t>how comprehensive and timely the data needs to be in order for the database to be effective</w:t>
      </w:r>
      <w:r w:rsidRPr="007D6E0C">
        <w:t xml:space="preserve">, any restrictions or limitations on callers’ access </w:t>
      </w:r>
      <w:r w:rsidRPr="007D6E0C" w:rsidR="005B25CA">
        <w:t xml:space="preserve">to </w:t>
      </w:r>
      <w:r w:rsidRPr="007D6E0C">
        <w:t xml:space="preserve">and usage of the database, and the best ways to ensure that </w:t>
      </w:r>
      <w:r w:rsidRPr="007D6E0C" w:rsidR="005B25CA">
        <w:t xml:space="preserve">callers’ </w:t>
      </w:r>
      <w:r w:rsidRPr="007D6E0C">
        <w:t xml:space="preserve">costs </w:t>
      </w:r>
      <w:r w:rsidRPr="007D6E0C" w:rsidR="005B25CA">
        <w:t>to use a reassigned numbers database</w:t>
      </w:r>
      <w:r w:rsidRPr="007D6E0C">
        <w:t xml:space="preserve"> are minimized.</w:t>
      </w:r>
      <w:r w:rsidRPr="007D6E0C" w:rsidR="003E2D52">
        <w:t xml:space="preserve">  We also emphasize that usage of a reassigned numbers database would be wholly voluntary for callers.</w:t>
      </w:r>
    </w:p>
    <w:p w:rsidR="00C53E24" w:rsidRPr="007D6E0C" w:rsidP="00C53E24" w14:paraId="721A03BC" w14:textId="5D9E1FF2">
      <w:pPr>
        <w:pStyle w:val="ParaNum"/>
      </w:pPr>
      <w:r w:rsidRPr="007D6E0C">
        <w:rPr>
          <w:i/>
        </w:rPr>
        <w:t xml:space="preserve">Type of Information Needed By Callers.  </w:t>
      </w:r>
      <w:r w:rsidRPr="007D6E0C">
        <w:t xml:space="preserve">We seek comment on the information that a legitimate caller needs from a reassigned numbers database, and we seek to understand how callers expect an efficient and effective database to work.  To that end, we seek comment on the following issues.  </w:t>
      </w:r>
      <w:r w:rsidRPr="007D6E0C">
        <w:rPr>
          <w:i/>
        </w:rPr>
        <w:t>First</w:t>
      </w:r>
      <w:r w:rsidRPr="007D6E0C">
        <w:t xml:space="preserve">, we seek comment on the information a legitimate caller would have on hand when seeking to search or query a reassigned numbers database.  We expect that such a caller would </w:t>
      </w:r>
      <w:r w:rsidR="00424CAC">
        <w:t>possess</w:t>
      </w:r>
      <w:r w:rsidRPr="007D6E0C">
        <w:t>, at a minimum, the following information: (1) the name of the consumer the caller wants to reach; (2) a telephone number associated with that consumer; and (3) a date on which the caller could be confident that the consumer was still associated with that number (</w:t>
      </w:r>
      <w:r w:rsidRPr="007D6E0C">
        <w:rPr>
          <w:i/>
        </w:rPr>
        <w:t>e.g.</w:t>
      </w:r>
      <w:r w:rsidRPr="007D6E0C">
        <w:t>, the last date the caller made contact with the consumer at that number; the date the consumer last provided that number to the caller; or the date the caller obtained consent to call the consumer).  We seek comment on this view.</w:t>
      </w:r>
      <w:r w:rsidRPr="007D6E0C" w:rsidR="00ED529C">
        <w:t xml:space="preserve">  What other information, if any, should we expect a legitimate caller to already possess before making a call?</w:t>
      </w:r>
    </w:p>
    <w:p w:rsidR="00C53E24" w:rsidRPr="007D6E0C" w:rsidP="00C53E24" w14:paraId="6B0E2A79" w14:textId="77777777">
      <w:pPr>
        <w:pStyle w:val="ParaNum"/>
      </w:pPr>
      <w:r w:rsidRPr="007D6E0C">
        <w:rPr>
          <w:i/>
        </w:rPr>
        <w:t>Second</w:t>
      </w:r>
      <w:r w:rsidRPr="007D6E0C">
        <w:t>, we seek comment on the information a caller would need to submit to a reassigned numbers database and the information the caller seeks to generate from a search or query of the database.  We believe that, at a minimum, the database should be able to indicate (</w:t>
      </w:r>
      <w:r w:rsidRPr="007D6E0C">
        <w:rPr>
          <w:i/>
        </w:rPr>
        <w:t>e.g.</w:t>
      </w:r>
      <w:r w:rsidRPr="007D6E0C">
        <w:t xml:space="preserve">, by providing a “yes” or “no” response) whether a number has been reassigned since a date entered by the caller.  </w:t>
      </w:r>
      <w:r w:rsidRPr="007D6E0C" w:rsidR="00ED529C">
        <w:t xml:space="preserve">That information could then be used by a legitimate caller to determine whether a number has been reassigned since the caller last had a reasonable expectation that a particular person could be reached at the number.  </w:t>
      </w:r>
      <w:r w:rsidRPr="007D6E0C">
        <w:t>We seek comment on this view.  Do callers need any additional information beyond an indication of whether a particular number has been reassigned since a particular date?  For example, do callers need the actual date on which the number was reassigned?  If so, why?  Do callers need the name of the individual currently associated with the number?</w:t>
      </w:r>
      <w:r>
        <w:rPr>
          <w:rStyle w:val="FootnoteReference"/>
        </w:rPr>
        <w:footnoteReference w:id="22"/>
      </w:r>
      <w:r w:rsidRPr="007D6E0C">
        <w:t xml:space="preserve">  Why or why not?  What are the privacy implications of allowing callers to obtain such information and how should they be addressed?</w:t>
      </w:r>
      <w:r>
        <w:rPr>
          <w:rStyle w:val="FootnoteReference"/>
        </w:rPr>
        <w:footnoteReference w:id="23"/>
      </w:r>
      <w:r w:rsidRPr="007D6E0C" w:rsidR="00ED529C">
        <w:t xml:space="preserve">  Or to phrase the question differently, how can we minimize the information provided by the database (to protect a consumer’s information from being unnecessarily disclosed) while we maximize the effectiveness of the database (to protect a consumer from receiving unwanted calls)?</w:t>
      </w:r>
    </w:p>
    <w:p w:rsidR="003B3FED" w:rsidRPr="007D6E0C" w:rsidP="00C53E24" w14:paraId="19804272" w14:textId="77777777">
      <w:pPr>
        <w:pStyle w:val="ParaNum"/>
      </w:pPr>
      <w:r w:rsidRPr="007D6E0C">
        <w:rPr>
          <w:i/>
        </w:rPr>
        <w:t>Third</w:t>
      </w:r>
      <w:r w:rsidRPr="007D6E0C">
        <w:t xml:space="preserve">, if a reassigned numbers database should indicate whether a number has been reassigned, then how should we define </w:t>
      </w:r>
      <w:r w:rsidRPr="007D6E0C">
        <w:t xml:space="preserve">when a number is </w:t>
      </w:r>
      <w:r w:rsidRPr="007D6E0C">
        <w:t xml:space="preserve">reassigned for this purpose?  </w:t>
      </w:r>
      <w:r w:rsidRPr="007D6E0C">
        <w:t>Typically</w:t>
      </w:r>
      <w:r w:rsidRPr="007D6E0C" w:rsidR="000E1972">
        <w:t>,</w:t>
      </w:r>
      <w:r w:rsidRPr="007D6E0C">
        <w:t xml:space="preserve"> the reassignment process consists of four steps:  A number currently in use is first disconnected, then aged, then made available for assignment, and finally assigned to a new subscriber.</w:t>
      </w:r>
      <w:r>
        <w:rPr>
          <w:rStyle w:val="FootnoteReference"/>
        </w:rPr>
        <w:footnoteReference w:id="24"/>
      </w:r>
      <w:r w:rsidRPr="007D6E0C">
        <w:t xml:space="preserve">  </w:t>
      </w:r>
      <w:r w:rsidRPr="007D6E0C">
        <w:t xml:space="preserve">Determining the appropriate step in the reassignment process to cull information from service providers and pass it to callers requires considering the needs of callers as well as the administrative feasibility </w:t>
      </w:r>
      <w:r w:rsidRPr="007D6E0C" w:rsidR="00BA7567">
        <w:t>and cost of reporting to service providers.</w:t>
      </w:r>
    </w:p>
    <w:p w:rsidR="00BA7567" w:rsidRPr="007D6E0C" w:rsidP="00C53E24" w14:paraId="6881C4D6" w14:textId="727F59AC">
      <w:pPr>
        <w:pStyle w:val="ParaNum"/>
      </w:pPr>
      <w:r w:rsidRPr="007D6E0C">
        <w:t xml:space="preserve">We </w:t>
      </w:r>
      <w:r w:rsidRPr="007D6E0C">
        <w:t>propose to provide</w:t>
      </w:r>
      <w:r w:rsidRPr="007D6E0C">
        <w:t xml:space="preserve"> callers </w:t>
      </w:r>
      <w:r w:rsidRPr="007D6E0C">
        <w:t xml:space="preserve">with </w:t>
      </w:r>
      <w:r w:rsidRPr="007D6E0C">
        <w:t xml:space="preserve">information about when NANP numbers are disconnected.  Because disconnection is a first step </w:t>
      </w:r>
      <w:r w:rsidRPr="007D6E0C">
        <w:t>in the</w:t>
      </w:r>
      <w:r w:rsidRPr="007D6E0C">
        <w:t xml:space="preserve"> reassignment</w:t>
      </w:r>
      <w:r w:rsidRPr="007D6E0C">
        <w:t xml:space="preserve"> process</w:t>
      </w:r>
      <w:r w:rsidRPr="007D6E0C">
        <w:t xml:space="preserve">, we believe that a database containing information on </w:t>
      </w:r>
      <w:r w:rsidRPr="007D6E0C" w:rsidR="00D51F7D">
        <w:t>when</w:t>
      </w:r>
      <w:r w:rsidRPr="007D6E0C">
        <w:t xml:space="preserve"> a number </w:t>
      </w:r>
      <w:r w:rsidRPr="007D6E0C" w:rsidR="00D51F7D">
        <w:t xml:space="preserve">has been </w:t>
      </w:r>
      <w:r w:rsidRPr="007D6E0C">
        <w:t>disconnected will best allow callers to identify, at the earliest possible point, when a subscriber can no longer be reached at that number.</w:t>
      </w:r>
      <w:r>
        <w:rPr>
          <w:rStyle w:val="FootnoteReference"/>
        </w:rPr>
        <w:footnoteReference w:id="25"/>
      </w:r>
      <w:r w:rsidRPr="007D6E0C">
        <w:t xml:space="preserve">  </w:t>
      </w:r>
      <w:r w:rsidRPr="007D6E0C">
        <w:t>W</w:t>
      </w:r>
      <w:r w:rsidRPr="007D6E0C" w:rsidR="00D51F7D">
        <w:t xml:space="preserve">ith </w:t>
      </w:r>
      <w:r w:rsidRPr="007D6E0C">
        <w:t>timely access to such data, callers will be best positioned to rid their calling lists of reassigned numbers before calling them.</w:t>
      </w:r>
      <w:r>
        <w:rPr>
          <w:rStyle w:val="FootnoteReference"/>
        </w:rPr>
        <w:footnoteReference w:id="26"/>
      </w:r>
      <w:r w:rsidRPr="007D6E0C">
        <w:t xml:space="preserve">  Access to disconnect</w:t>
      </w:r>
      <w:r w:rsidRPr="007D6E0C" w:rsidR="00D843A4">
        <w:t>ion</w:t>
      </w:r>
      <w:r w:rsidRPr="007D6E0C">
        <w:t xml:space="preserve"> information would be preferable to </w:t>
      </w:r>
      <w:r w:rsidRPr="007D6E0C">
        <w:t xml:space="preserve">new assignment </w:t>
      </w:r>
      <w:r w:rsidRPr="007D6E0C">
        <w:t xml:space="preserve">information because, as one commenter notes, tracking </w:t>
      </w:r>
      <w:r w:rsidRPr="007D6E0C">
        <w:t xml:space="preserve">new </w:t>
      </w:r>
      <w:r w:rsidRPr="007D6E0C">
        <w:t>assignments “would provide little to no lead time for callers to update their dialing lists to avoid calling consumers with newly reassigned numbers.”</w:t>
      </w:r>
      <w:r>
        <w:rPr>
          <w:rStyle w:val="FootnoteReference"/>
        </w:rPr>
        <w:footnoteReference w:id="27"/>
      </w:r>
      <w:r w:rsidRPr="007D6E0C">
        <w:t xml:space="preserve">  Do commenters agree with these views?  Why or why not?  We also </w:t>
      </w:r>
      <w:r w:rsidRPr="007D6E0C">
        <w:t xml:space="preserve">understand </w:t>
      </w:r>
      <w:r w:rsidRPr="007D6E0C">
        <w:t>that service providers routinely track disconnect</w:t>
      </w:r>
      <w:r w:rsidRPr="007D6E0C" w:rsidR="00D843A4">
        <w:t xml:space="preserve">ion </w:t>
      </w:r>
      <w:r w:rsidRPr="007D6E0C">
        <w:t>information</w:t>
      </w:r>
      <w:r>
        <w:rPr>
          <w:rStyle w:val="FootnoteReference"/>
        </w:rPr>
        <w:footnoteReference w:id="28"/>
      </w:r>
      <w:r w:rsidRPr="007D6E0C">
        <w:t xml:space="preserve"> and we seek comment on this view.  </w:t>
      </w:r>
      <w:r w:rsidRPr="007D6E0C" w:rsidR="002F5372">
        <w:t xml:space="preserve">Do service providers use consistent criteria to track and record disconnects or does each service provider set </w:t>
      </w:r>
      <w:r w:rsidR="00424CAC">
        <w:t>its</w:t>
      </w:r>
      <w:r w:rsidRPr="007D6E0C" w:rsidR="002F5372">
        <w:t xml:space="preserve"> own criteria?  </w:t>
      </w:r>
    </w:p>
    <w:p w:rsidR="00C53E24" w:rsidRPr="007D6E0C" w:rsidP="007F5A95" w14:paraId="55693323" w14:textId="77777777">
      <w:pPr>
        <w:pStyle w:val="ParaNum"/>
        <w:widowControl/>
      </w:pPr>
      <w:r w:rsidRPr="007D6E0C">
        <w:t>Should an effective reassigned numbers database contain information in addition to or in lieu of disconnect</w:t>
      </w:r>
      <w:r w:rsidRPr="007D6E0C" w:rsidR="00D843A4">
        <w:t>ion</w:t>
      </w:r>
      <w:r w:rsidRPr="007D6E0C">
        <w:t xml:space="preserve"> information?  Commenters should discuss the advantages and disadvantages of their preferred approach relative to other approaches.</w:t>
      </w:r>
    </w:p>
    <w:p w:rsidR="00C53E24" w:rsidRPr="007D6E0C" w:rsidP="00C53E24" w14:paraId="3FDBA70C" w14:textId="77777777">
      <w:pPr>
        <w:pStyle w:val="ParaNum"/>
      </w:pPr>
      <w:r w:rsidRPr="007D6E0C">
        <w:t xml:space="preserve">We also seek comment on information that callers believe should be excluded from a reassigned numbers database in order to ensure accurate and reliable data and prevent false positives.  For example, if </w:t>
      </w:r>
      <w:r w:rsidRPr="007D6E0C" w:rsidR="00BA7567">
        <w:t xml:space="preserve">the database includes information about </w:t>
      </w:r>
      <w:r w:rsidRPr="007D6E0C">
        <w:t>disconnect</w:t>
      </w:r>
      <w:r w:rsidRPr="007D6E0C" w:rsidR="00BA7567">
        <w:t>ions</w:t>
      </w:r>
      <w:r w:rsidRPr="007D6E0C">
        <w:t xml:space="preserve">, should the database </w:t>
      </w:r>
      <w:r w:rsidRPr="007D6E0C" w:rsidR="003117B0">
        <w:t>exclude</w:t>
      </w:r>
      <w:r w:rsidRPr="007D6E0C">
        <w:t xml:space="preserve"> </w:t>
      </w:r>
      <w:r w:rsidRPr="007D6E0C" w:rsidR="00672244">
        <w:t xml:space="preserve">information on when a number has been </w:t>
      </w:r>
      <w:r w:rsidRPr="007D6E0C" w:rsidR="00511A67">
        <w:t xml:space="preserve">temporarily </w:t>
      </w:r>
      <w:r w:rsidRPr="007D6E0C">
        <w:t>disconnected, thus excluding</w:t>
      </w:r>
      <w:r w:rsidRPr="007D6E0C" w:rsidR="00D843A4">
        <w:t>, for example,</w:t>
      </w:r>
      <w:r w:rsidRPr="007D6E0C">
        <w:t xml:space="preserve"> </w:t>
      </w:r>
      <w:r w:rsidRPr="007D6E0C" w:rsidR="00672244">
        <w:t>when a number is</w:t>
      </w:r>
      <w:r w:rsidRPr="007D6E0C">
        <w:t xml:space="preserve"> in a temporary suspension status (</w:t>
      </w:r>
      <w:r w:rsidRPr="007D6E0C">
        <w:rPr>
          <w:i/>
        </w:rPr>
        <w:t>e.g.</w:t>
      </w:r>
      <w:r w:rsidRPr="007D6E0C">
        <w:t>, for non-payment)?</w:t>
      </w:r>
      <w:r>
        <w:rPr>
          <w:rStyle w:val="FootnoteReference"/>
        </w:rPr>
        <w:footnoteReference w:id="29"/>
      </w:r>
      <w:r w:rsidRPr="007D6E0C">
        <w:t xml:space="preserve">  Is it feasible for service providers to exclude such information from their reporting?</w:t>
      </w:r>
      <w:r w:rsidRPr="007D6E0C" w:rsidR="00BA7567">
        <w:t xml:space="preserve">  What are the costs of differentiating disconnections for service providers?  How should we weigh those costs against the risk that the reassigned numbers database might be overinclusive—stating that certain numbers have been reassigned more recently than they actually have been—and thus may unnecessarily discourage legitimate calls from being made?</w:t>
      </w:r>
    </w:p>
    <w:p w:rsidR="00BA7567" w:rsidRPr="007D6E0C" w:rsidP="00C53E24" w14:paraId="68A44F53" w14:textId="77777777">
      <w:pPr>
        <w:pStyle w:val="ParaNum"/>
      </w:pPr>
      <w:r w:rsidRPr="007D6E0C">
        <w:rPr>
          <w:i/>
        </w:rPr>
        <w:t>Comprehensiveness of Database Information</w:t>
      </w:r>
      <w:r w:rsidRPr="007D6E0C">
        <w:t xml:space="preserve">.  We seek comment on how comprehensive a reassigned numbers database needs to be.  We believe that when callers use such a database, they should reasonably expect that the database is sufficiently comprehensive such that they do not need to rely on any other databases.  We seek comment on this view.  </w:t>
      </w:r>
    </w:p>
    <w:p w:rsidR="00C229BA" w:rsidRPr="007D6E0C" w:rsidP="00C53E24" w14:paraId="02840670" w14:textId="3400ACEB">
      <w:pPr>
        <w:pStyle w:val="ParaNum"/>
      </w:pPr>
      <w:r w:rsidRPr="007D6E0C">
        <w:t>To ensure a comprehensive database</w:t>
      </w:r>
      <w:r w:rsidRPr="007D6E0C" w:rsidR="00C53E24">
        <w:t xml:space="preserve">, do callers need data from all types of </w:t>
      </w:r>
      <w:r w:rsidRPr="007D6E0C" w:rsidR="006B12A9">
        <w:t xml:space="preserve">voice </w:t>
      </w:r>
      <w:r w:rsidRPr="007D6E0C" w:rsidR="00C53E24">
        <w:t>service providers, including wireless, wireline, interconnected VoIP, and non-interconnected VoIP providers?</w:t>
      </w:r>
      <w:r>
        <w:rPr>
          <w:rStyle w:val="FootnoteReference"/>
        </w:rPr>
        <w:footnoteReference w:id="30"/>
      </w:r>
      <w:r w:rsidRPr="007D6E0C" w:rsidR="00C53E24">
        <w:t xml:space="preserve">  Or would data from only certain types of providers be sufficient?</w:t>
      </w:r>
      <w:r>
        <w:rPr>
          <w:rStyle w:val="FootnoteReference"/>
        </w:rPr>
        <w:footnoteReference w:id="31"/>
      </w:r>
      <w:r w:rsidRPr="007D6E0C" w:rsidR="00C53E24">
        <w:t xml:space="preserve">  Nearly all </w:t>
      </w:r>
      <w:r w:rsidRPr="007D6E0C" w:rsidR="00C53E24">
        <w:rPr>
          <w:i/>
        </w:rPr>
        <w:t>NOI</w:t>
      </w:r>
      <w:r w:rsidRPr="007D6E0C" w:rsidR="00C53E24">
        <w:t xml:space="preserve"> commenters on this issue argue that an effective reassigned numbers solution must contain data from all service providers.</w:t>
      </w:r>
      <w:r>
        <w:rPr>
          <w:rStyle w:val="FootnoteReference"/>
        </w:rPr>
        <w:footnoteReference w:id="32"/>
      </w:r>
      <w:r w:rsidRPr="007D6E0C" w:rsidR="00C53E24">
        <w:t xml:space="preserve">  For example, one commenter contends that without data from all </w:t>
      </w:r>
      <w:r w:rsidRPr="007D6E0C" w:rsidR="00720B4C">
        <w:t xml:space="preserve">voice </w:t>
      </w:r>
      <w:r w:rsidRPr="007D6E0C" w:rsidR="00C53E24">
        <w:t>service providers, a reassigned numbers database “would contain insufficient . . . information about a potentially large set of numbers, and thus likely would not be any more ‘comprehensive’ than existing tools.”</w:t>
      </w:r>
      <w:r>
        <w:rPr>
          <w:rStyle w:val="FootnoteReference"/>
        </w:rPr>
        <w:footnoteReference w:id="33"/>
      </w:r>
      <w:r w:rsidRPr="007D6E0C" w:rsidR="00C53E24">
        <w:t xml:space="preserve">  Do commenters agree?  Why or why not?  </w:t>
      </w:r>
      <w:r w:rsidRPr="007D6E0C">
        <w:t>And</w:t>
      </w:r>
      <w:r w:rsidRPr="007D6E0C" w:rsidR="00C53E24">
        <w:t xml:space="preserve"> </w:t>
      </w:r>
      <w:r w:rsidRPr="007D6E0C" w:rsidR="00720B4C">
        <w:t xml:space="preserve">do </w:t>
      </w:r>
      <w:r w:rsidR="002D1969">
        <w:t>texters</w:t>
      </w:r>
      <w:r w:rsidRPr="007D6E0C" w:rsidR="00720B4C">
        <w:t xml:space="preserve"> need reassignment information from text message providers to the extent that such providers do not also provide voice service?  A</w:t>
      </w:r>
      <w:r w:rsidRPr="007D6E0C" w:rsidR="00C53E24">
        <w:t xml:space="preserve">re there significant occurrences of misdirected texts to reassigned numbers such that </w:t>
      </w:r>
      <w:r w:rsidR="002D1969">
        <w:t>texters</w:t>
      </w:r>
      <w:r w:rsidRPr="007D6E0C" w:rsidR="00720B4C">
        <w:t xml:space="preserve"> need </w:t>
      </w:r>
      <w:r w:rsidRPr="007D6E0C" w:rsidR="00C424A4">
        <w:t>this</w:t>
      </w:r>
      <w:r w:rsidRPr="007D6E0C" w:rsidR="00720B4C">
        <w:t xml:space="preserve"> information</w:t>
      </w:r>
      <w:r w:rsidRPr="007D6E0C" w:rsidR="00C53E24">
        <w:t>?</w:t>
      </w:r>
    </w:p>
    <w:p w:rsidR="00C229BA" w:rsidRPr="007D6E0C" w:rsidP="00C53E24" w14:paraId="1DF79DA7" w14:textId="77777777">
      <w:pPr>
        <w:pStyle w:val="ParaNum"/>
      </w:pPr>
      <w:r w:rsidRPr="007D6E0C">
        <w:t xml:space="preserve">We also seek comment on the universe of numbers that a reassigned numbers database should contain.  For example, should such a database contain all numbers allocated by a numbering administrator to a service provider or </w:t>
      </w:r>
      <w:r w:rsidRPr="007D6E0C" w:rsidR="008C162D">
        <w:t xml:space="preserve">only </w:t>
      </w:r>
      <w:r w:rsidRPr="007D6E0C">
        <w:t>a subset of such numbers (</w:t>
      </w:r>
      <w:r w:rsidRPr="007D6E0C">
        <w:rPr>
          <w:i/>
        </w:rPr>
        <w:t>e.g.</w:t>
      </w:r>
      <w:r w:rsidRPr="007D6E0C">
        <w:t>, only numbers</w:t>
      </w:r>
      <w:r w:rsidRPr="007D6E0C" w:rsidR="00974AC1">
        <w:t xml:space="preserve"> that have been disconnected since the commencement of the database</w:t>
      </w:r>
      <w:r w:rsidRPr="007D6E0C">
        <w:t xml:space="preserve">)?  If a reassigned numbers database contains only a subset of allocated numbers, we note that a caller may be unable to determine </w:t>
      </w:r>
      <w:r w:rsidRPr="007D6E0C" w:rsidR="008C162D">
        <w:t xml:space="preserve">the status of a given number.  On the other hand, a database containing all allocated numbers may be </w:t>
      </w:r>
      <w:r w:rsidRPr="007D6E0C" w:rsidR="00832137">
        <w:t>unwieldy.  We seek comment on these views and on the best approach for making comprehensive data available to callers while minimizing the burdens on those reporting and managing the data.</w:t>
      </w:r>
    </w:p>
    <w:p w:rsidR="00C53E24" w:rsidRPr="007D6E0C" w:rsidP="00C53E24" w14:paraId="3F67D488" w14:textId="77777777">
      <w:pPr>
        <w:pStyle w:val="ParaNum"/>
      </w:pPr>
      <w:r w:rsidRPr="007D6E0C">
        <w:t xml:space="preserve">Finally, </w:t>
      </w:r>
      <w:r w:rsidRPr="007D6E0C" w:rsidR="00720B4C">
        <w:t xml:space="preserve">we seek comment on whether there </w:t>
      </w:r>
      <w:r w:rsidRPr="007D6E0C">
        <w:t>is any reason to limit the reported reassignment information to a specific timeframe</w:t>
      </w:r>
      <w:r w:rsidRPr="007D6E0C" w:rsidR="0047018F">
        <w:t>.</w:t>
      </w:r>
      <w:r w:rsidRPr="007D6E0C">
        <w:t xml:space="preserve">  For instance, if the most recent reassignment of a number occurred </w:t>
      </w:r>
      <w:r w:rsidRPr="007D6E0C" w:rsidR="0047018F">
        <w:t xml:space="preserve">five or </w:t>
      </w:r>
      <w:r w:rsidRPr="007D6E0C">
        <w:t>ten years ago, do callers need that information?</w:t>
      </w:r>
    </w:p>
    <w:p w:rsidR="00C53E24" w:rsidRPr="007D6E0C" w:rsidP="00C53E24" w14:paraId="0D512D1E" w14:textId="55D261DF">
      <w:pPr>
        <w:pStyle w:val="ParaNum"/>
      </w:pPr>
      <w:r w:rsidRPr="007D6E0C">
        <w:rPr>
          <w:i/>
        </w:rPr>
        <w:t>Timeliness of Database Information</w:t>
      </w:r>
      <w:r w:rsidRPr="007D6E0C">
        <w:t xml:space="preserve">.  We seek comment on how timely the information contained in a reassigned numbers database must be.  How frequently should the data be reported to maximize callers’ ability to remove reassigned numbers from their calling lists before placing calls?  Some </w:t>
      </w:r>
      <w:r w:rsidRPr="007D6E0C">
        <w:rPr>
          <w:i/>
        </w:rPr>
        <w:t>NOI</w:t>
      </w:r>
      <w:r w:rsidRPr="007D6E0C">
        <w:t xml:space="preserve"> commenters argue that data should be reported on a daily basis</w:t>
      </w:r>
      <w:r>
        <w:rPr>
          <w:rStyle w:val="FootnoteReference"/>
        </w:rPr>
        <w:footnoteReference w:id="34"/>
      </w:r>
      <w:r w:rsidRPr="007D6E0C">
        <w:t xml:space="preserve"> while others contend th</w:t>
      </w:r>
      <w:r w:rsidR="00424CAC">
        <w:t>at it should be updated in realtime or as close to real</w:t>
      </w:r>
      <w:r w:rsidRPr="007D6E0C">
        <w:t>time as practicable.</w:t>
      </w:r>
      <w:r>
        <w:rPr>
          <w:rStyle w:val="FootnoteReference"/>
        </w:rPr>
        <w:footnoteReference w:id="35"/>
      </w:r>
      <w:r w:rsidRPr="007D6E0C">
        <w:t xml:space="preserve">  CTIA cautions, however, that real-time updates would result in greater costs, while potentially not measurably reducing unwanted calls compared to less frequent updates.</w:t>
      </w:r>
      <w:r>
        <w:rPr>
          <w:rStyle w:val="FootnoteReference"/>
        </w:rPr>
        <w:footnoteReference w:id="36"/>
      </w:r>
      <w:r w:rsidRPr="007D6E0C">
        <w:t xml:space="preserve">  Tatango argues that data should be reported based on how long a service provider ages its numbers, with those providers that age their numbers quickly (</w:t>
      </w:r>
      <w:r w:rsidRPr="007D6E0C">
        <w:rPr>
          <w:i/>
        </w:rPr>
        <w:t>e.g.</w:t>
      </w:r>
      <w:r w:rsidRPr="007D6E0C">
        <w:t>, after two days) being required to report on a daily basis</w:t>
      </w:r>
      <w:r>
        <w:rPr>
          <w:rStyle w:val="FootnoteReference"/>
        </w:rPr>
        <w:footnoteReference w:id="37"/>
      </w:r>
      <w:r w:rsidRPr="007D6E0C">
        <w:t xml:space="preserve"> and those providers that age their numbers for at least 45 days being allowed to report on a monthly basis.</w:t>
      </w:r>
      <w:r>
        <w:rPr>
          <w:rStyle w:val="FootnoteReference"/>
        </w:rPr>
        <w:footnoteReference w:id="38"/>
      </w:r>
      <w:r w:rsidRPr="007D6E0C">
        <w:t xml:space="preserve">  We seek comment on these approaches, any alternatives, and their costs and benefits.  </w:t>
      </w:r>
    </w:p>
    <w:p w:rsidR="000D39AD" w:rsidRPr="007D6E0C" w:rsidP="00C53E24" w14:paraId="7E3C84DA" w14:textId="77777777">
      <w:pPr>
        <w:pStyle w:val="ParaNum"/>
      </w:pPr>
      <w:r w:rsidRPr="007D6E0C">
        <w:t>Additionally</w:t>
      </w:r>
      <w:r w:rsidRPr="007D6E0C" w:rsidR="00C53E24">
        <w:t xml:space="preserve">, </w:t>
      </w:r>
      <w:r w:rsidRPr="007D6E0C">
        <w:t>we seek comment on</w:t>
      </w:r>
      <w:r w:rsidRPr="007D6E0C" w:rsidR="00974AC1">
        <w:t xml:space="preserve"> how long service providers currently age numbers before making them available again for assignment. </w:t>
      </w:r>
      <w:r w:rsidR="002F2D2C">
        <w:t xml:space="preserve"> We note that the Commission’s rules limit the aging period for </w:t>
      </w:r>
      <w:r w:rsidR="0082110E">
        <w:t>disconnected</w:t>
      </w:r>
      <w:r w:rsidR="002F2D2C">
        <w:t xml:space="preserve"> residential numbers to a maximum of 90 days.</w:t>
      </w:r>
      <w:r>
        <w:rPr>
          <w:rStyle w:val="FootnoteReference"/>
        </w:rPr>
        <w:footnoteReference w:id="39"/>
      </w:r>
      <w:r w:rsidRPr="007D6E0C" w:rsidR="00974AC1">
        <w:t xml:space="preserve"> </w:t>
      </w:r>
      <w:r w:rsidR="002F2D2C">
        <w:t xml:space="preserve"> </w:t>
      </w:r>
      <w:r w:rsidRPr="007D6E0C" w:rsidR="00974AC1">
        <w:t>Should</w:t>
      </w:r>
      <w:r w:rsidRPr="007D6E0C">
        <w:t xml:space="preserve"> the Commission adopt a minimum aging period for disconnected numbers so that service providers could report data to a reassigned numbers database less frequently</w:t>
      </w:r>
      <w:r w:rsidRPr="007D6E0C" w:rsidR="00974AC1">
        <w:t>?</w:t>
      </w:r>
      <w:r w:rsidRPr="007D6E0C">
        <w:t xml:space="preserve">  </w:t>
      </w:r>
      <w:r w:rsidRPr="007D6E0C" w:rsidR="00C53E24">
        <w:t xml:space="preserve">If so, would 30 days be a reasonable minimum aging period?  </w:t>
      </w:r>
      <w:r w:rsidR="00893D56">
        <w:t xml:space="preserve">Would 60 days?  </w:t>
      </w:r>
      <w:r w:rsidRPr="007D6E0C">
        <w:t xml:space="preserve">What are the costs and benefits to service providers of </w:t>
      </w:r>
      <w:r w:rsidRPr="007D6E0C" w:rsidR="00C745E9">
        <w:t>having to comply</w:t>
      </w:r>
      <w:r w:rsidRPr="007D6E0C" w:rsidR="00D97B27">
        <w:t xml:space="preserve"> with a minimum </w:t>
      </w:r>
      <w:r w:rsidRPr="007D6E0C">
        <w:t xml:space="preserve">aging </w:t>
      </w:r>
      <w:r w:rsidRPr="007D6E0C" w:rsidR="00357E20">
        <w:t>requirement</w:t>
      </w:r>
      <w:r w:rsidRPr="007D6E0C">
        <w:t xml:space="preserve">?  </w:t>
      </w:r>
      <w:r w:rsidRPr="007D6E0C" w:rsidR="00844042">
        <w:t xml:space="preserve">Would the costs outweigh any benefit of </w:t>
      </w:r>
      <w:r w:rsidRPr="007D6E0C" w:rsidR="00357E20">
        <w:t>being able to report</w:t>
      </w:r>
      <w:r w:rsidRPr="007D6E0C" w:rsidR="00844042">
        <w:t xml:space="preserve"> data to a reassigned numbers database less frequently?  </w:t>
      </w:r>
    </w:p>
    <w:p w:rsidR="00C53E24" w:rsidRPr="007D6E0C" w:rsidP="00C53E24" w14:paraId="72C19ECC" w14:textId="77777777">
      <w:pPr>
        <w:pStyle w:val="ParaNum"/>
      </w:pPr>
      <w:r w:rsidRPr="007D6E0C">
        <w:rPr>
          <w:i/>
        </w:rPr>
        <w:t>Format of Database Information</w:t>
      </w:r>
      <w:r w:rsidRPr="007D6E0C">
        <w:t xml:space="preserve">.  We seek comment on the format in which callers need the relevant data.  For example, several </w:t>
      </w:r>
      <w:r w:rsidRPr="007D6E0C">
        <w:rPr>
          <w:i/>
        </w:rPr>
        <w:t>NOI</w:t>
      </w:r>
      <w:r w:rsidRPr="007D6E0C">
        <w:t xml:space="preserve"> commenters argue that callers need this information in an easily accessible, usable, and consistent file format such as comma-separated values (CSV)</w:t>
      </w:r>
      <w:r>
        <w:rPr>
          <w:rStyle w:val="FootnoteReference"/>
        </w:rPr>
        <w:footnoteReference w:id="40"/>
      </w:r>
      <w:r w:rsidRPr="007D6E0C">
        <w:t xml:space="preserve"> or eXtensible Markup Language (XML) format.</w:t>
      </w:r>
      <w:r>
        <w:rPr>
          <w:rStyle w:val="FootnoteReference"/>
        </w:rPr>
        <w:footnoteReference w:id="41"/>
      </w:r>
      <w:r w:rsidRPr="007D6E0C">
        <w:t xml:space="preserve">  Do commenters agree or believe that alternative formats should be used, and if so, which formats?</w:t>
      </w:r>
      <w:r w:rsidRPr="007D6E0C" w:rsidR="00974AC1">
        <w:t xml:space="preserve">  Does the Commission need to specify the format of such information by rule, or should we allow the database administrator to determine it?</w:t>
      </w:r>
    </w:p>
    <w:p w:rsidR="00C53E24" w:rsidRPr="007D6E0C" w:rsidP="009B59ED" w14:paraId="08F5DED7" w14:textId="77777777">
      <w:pPr>
        <w:pStyle w:val="ParaNum"/>
        <w:widowControl/>
      </w:pPr>
      <w:r w:rsidRPr="007D6E0C">
        <w:rPr>
          <w:i/>
        </w:rPr>
        <w:t>User Access to Database Information.</w:t>
      </w:r>
      <w:r w:rsidRPr="007D6E0C">
        <w:t xml:space="preserve">  We anticipate that callers may use the database directly or may wish to have entities that are not callers (such as data aggregators or entities that manage callers’ call lists) use the database.  We seek comment on this view and any associated impacts on implementation.  </w:t>
      </w:r>
    </w:p>
    <w:p w:rsidR="00C53E24" w:rsidRPr="007D6E0C" w:rsidP="00C53E24" w14:paraId="5B7292C7" w14:textId="77777777">
      <w:pPr>
        <w:pStyle w:val="ParaNum"/>
      </w:pPr>
      <w:r w:rsidRPr="007D6E0C">
        <w:t xml:space="preserve">Additionally, we seek comment on any specific criteria or requirements that an entity must satisfy to become an eligible user.  Most commenters on the </w:t>
      </w:r>
      <w:r w:rsidRPr="007D6E0C">
        <w:rPr>
          <w:i/>
        </w:rPr>
        <w:t>NOI</w:t>
      </w:r>
      <w:r w:rsidRPr="007D6E0C">
        <w:t xml:space="preserve"> argue that some restrictions are necessary to prevent misuse of data.</w:t>
      </w:r>
      <w:r>
        <w:rPr>
          <w:rStyle w:val="FootnoteReference"/>
        </w:rPr>
        <w:footnoteReference w:id="42"/>
      </w:r>
      <w:r w:rsidRPr="007D6E0C">
        <w:t xml:space="preserve">  We are particularly mindful that the database information may be business- and market-sensitive,</w:t>
      </w:r>
      <w:r>
        <w:rPr>
          <w:rStyle w:val="FootnoteReference"/>
        </w:rPr>
        <w:footnoteReference w:id="43"/>
      </w:r>
      <w:r w:rsidRPr="007D6E0C">
        <w:t xml:space="preserve"> especially as it relates to customer churn.  We also seek to mitigate any risk that the data could be used by fraudulent robocallers or other bad actors for spoofing or other purposes.</w:t>
      </w:r>
      <w:r>
        <w:rPr>
          <w:rStyle w:val="FootnoteReference"/>
        </w:rPr>
        <w:footnoteReference w:id="44"/>
      </w:r>
      <w:r w:rsidRPr="007D6E0C">
        <w:t xml:space="preserve">  At the same time, we seek to minimize the administrative and cost burden on callers so as not to discourage their use of a reassigned numbers database.  With these goals in mind, we seek comment on the potential requirements for eligible users discussed below and any other requirements that commenters believe are necessary.  We also seek comment on how to enforce these requirements to ensure database security and integrity.</w:t>
      </w:r>
    </w:p>
    <w:p w:rsidR="00C53E24" w:rsidRPr="007D6E0C" w:rsidP="00C53E24" w14:paraId="5575D0BB" w14:textId="77777777">
      <w:pPr>
        <w:pStyle w:val="ParaNum"/>
      </w:pPr>
      <w:r w:rsidRPr="007D6E0C">
        <w:t xml:space="preserve">We seek comment on whether users should be required to certify the purpose for which they seek access to the information and, if so, how that purpose should be defined.  In the </w:t>
      </w:r>
      <w:r w:rsidRPr="007D6E0C">
        <w:rPr>
          <w:i/>
        </w:rPr>
        <w:t>NOI</w:t>
      </w:r>
      <w:r w:rsidRPr="007D6E0C">
        <w:t>, the Commission asked whether entities seeking access should be required to certify that the information will be used only for purposes of TCPA compliance,</w:t>
      </w:r>
      <w:r>
        <w:rPr>
          <w:rStyle w:val="FootnoteReference"/>
        </w:rPr>
        <w:footnoteReference w:id="45"/>
      </w:r>
      <w:r w:rsidRPr="007D6E0C">
        <w:t xml:space="preserve"> and many commenters favor such a restriction.</w:t>
      </w:r>
      <w:r>
        <w:rPr>
          <w:rStyle w:val="FootnoteReference"/>
        </w:rPr>
        <w:footnoteReference w:id="46"/>
      </w:r>
      <w:r w:rsidRPr="007D6E0C">
        <w:t xml:space="preserve">  However, we </w:t>
      </w:r>
      <w:r w:rsidRPr="007D6E0C" w:rsidR="00974AC1">
        <w:t xml:space="preserve">note </w:t>
      </w:r>
      <w:r w:rsidRPr="007D6E0C">
        <w:t>that all callers seeking to reduce unwanted calls to reassigned numbers—not merely callers seeking to ensure compliance with the TCPA—should be permitted to access a reassigned numbers database.  We seek comment on this view.  If commenters agree that user access should be permitted for this broader purpose (and not for any other purpose, such as marketing), what specific language should be used in any required certification?</w:t>
      </w:r>
    </w:p>
    <w:p w:rsidR="00C53E24" w:rsidRPr="007D6E0C" w:rsidP="00F217B7" w14:paraId="23D57A1D" w14:textId="77777777">
      <w:pPr>
        <w:pStyle w:val="ParaNum"/>
        <w:widowControl/>
      </w:pPr>
      <w:r w:rsidRPr="007D6E0C">
        <w:t>We also</w:t>
      </w:r>
      <w:r w:rsidRPr="007D6E0C">
        <w:rPr>
          <w:i/>
        </w:rPr>
        <w:t xml:space="preserve"> </w:t>
      </w:r>
      <w:r w:rsidRPr="007D6E0C">
        <w:t xml:space="preserve">seek comment on whether and how to track relevant information about those who access a reassigned numbers database.  Several commenters on the </w:t>
      </w:r>
      <w:r w:rsidRPr="007D6E0C">
        <w:rPr>
          <w:i/>
        </w:rPr>
        <w:t>NOI</w:t>
      </w:r>
      <w:r w:rsidRPr="007D6E0C">
        <w:t xml:space="preserve"> argue that database users should be subject to a registration requirement.</w:t>
      </w:r>
      <w:r>
        <w:rPr>
          <w:rStyle w:val="FootnoteReference"/>
        </w:rPr>
        <w:footnoteReference w:id="47"/>
      </w:r>
      <w:r w:rsidRPr="007D6E0C">
        <w:t xml:space="preserve">  Do commenters agree?  If users are required to set up an account that identifies the party obtaining the data, what information should they be required to provide?  We also seek comment on whether database users should be subject to audits or other reviews, and if so, the components and frequency of such audits.  Additionally, we seek comment on </w:t>
      </w:r>
      <w:r w:rsidRPr="007D6E0C" w:rsidR="00974AC1">
        <w:t>what</w:t>
      </w:r>
      <w:r w:rsidRPr="007D6E0C">
        <w:t xml:space="preserve"> recourse</w:t>
      </w:r>
      <w:r w:rsidRPr="007D6E0C" w:rsidR="00974AC1">
        <w:t>, if any,</w:t>
      </w:r>
      <w:r w:rsidRPr="007D6E0C">
        <w:t xml:space="preserve"> an entity denied access </w:t>
      </w:r>
      <w:r w:rsidRPr="007D6E0C" w:rsidR="00974AC1">
        <w:t>should have</w:t>
      </w:r>
      <w:r w:rsidRPr="007D6E0C">
        <w:t xml:space="preserve">.  </w:t>
      </w:r>
    </w:p>
    <w:p w:rsidR="00C53E24" w:rsidRPr="007D6E0C" w:rsidP="00C53E24" w14:paraId="4FBA7EC1" w14:textId="77777777">
      <w:pPr>
        <w:pStyle w:val="ParaNum"/>
      </w:pPr>
      <w:r w:rsidRPr="007D6E0C">
        <w:rPr>
          <w:i/>
        </w:rPr>
        <w:t>Cost to Use Database</w:t>
      </w:r>
      <w:r w:rsidRPr="007D6E0C">
        <w:t xml:space="preserve">.  We seek comment on any ways we can minimize the cost of using a reassigned numbers database so as to encourage usage, including by small business callers.  We note that commenters on the </w:t>
      </w:r>
      <w:r w:rsidRPr="007D6E0C">
        <w:rPr>
          <w:i/>
        </w:rPr>
        <w:t xml:space="preserve">NOI </w:t>
      </w:r>
      <w:r w:rsidRPr="007D6E0C">
        <w:t>largely agree that service providers should be compensated for the costs of reporting data to a reassigned numbers database, but callers argue that any cost recovery mechanism should be reasonable so that access to the data will be affordable.</w:t>
      </w:r>
      <w:r>
        <w:rPr>
          <w:rStyle w:val="FootnoteReference"/>
        </w:rPr>
        <w:footnoteReference w:id="48"/>
      </w:r>
      <w:r w:rsidRPr="007D6E0C" w:rsidR="00974AC1">
        <w:t xml:space="preserve">  How should the Commission balance these interests?</w:t>
      </w:r>
    </w:p>
    <w:p w:rsidR="008B4D03" w:rsidRPr="007D6E0C" w:rsidP="00A85947" w14:paraId="409D923F" w14:textId="3E7531F1">
      <w:pPr>
        <w:pStyle w:val="ParaNum"/>
        <w:widowControl/>
      </w:pPr>
      <w:r w:rsidRPr="007D6E0C">
        <w:rPr>
          <w:i/>
        </w:rPr>
        <w:t>Database Use and TCPA Compliance</w:t>
      </w:r>
      <w:r w:rsidRPr="007D6E0C">
        <w:t xml:space="preserve">.  We seek comment on how use of a reassigned numbers database should intersect with TCPA compliance.  In response to comments filed on the </w:t>
      </w:r>
      <w:r w:rsidRPr="007D6E0C">
        <w:rPr>
          <w:i/>
        </w:rPr>
        <w:t>NOI</w:t>
      </w:r>
      <w:r w:rsidRPr="007D6E0C">
        <w:t xml:space="preserve"> by the U.S. Chamber of Commerce,</w:t>
      </w:r>
      <w:r>
        <w:rPr>
          <w:rStyle w:val="FootnoteReference"/>
        </w:rPr>
        <w:footnoteReference w:id="49"/>
      </w:r>
      <w:r w:rsidRPr="007D6E0C">
        <w:t xml:space="preserve"> we make clear that we are not proposing to mandate that callers use a reassigned numbers database in order to comply with the TCPA.</w:t>
      </w:r>
      <w:r>
        <w:rPr>
          <w:rStyle w:val="FootnoteReference"/>
        </w:rPr>
        <w:footnoteReference w:id="50"/>
      </w:r>
    </w:p>
    <w:p w:rsidR="00C53E24" w:rsidRPr="007D6E0C" w:rsidP="00A63EDB" w14:paraId="78005672" w14:textId="2CB74861">
      <w:pPr>
        <w:pStyle w:val="ParaNum"/>
      </w:pPr>
      <w:r w:rsidRPr="007D6E0C">
        <w:t xml:space="preserve">Rather, we seek comment on whether the Commission should adopt a safe harbor from TCPA </w:t>
      </w:r>
      <w:r w:rsidRPr="007D6E0C" w:rsidR="008B4D03">
        <w:t xml:space="preserve">liability </w:t>
      </w:r>
      <w:r w:rsidRPr="007D6E0C">
        <w:t>for those callers that choose to use a reassigned numbers database</w:t>
      </w:r>
      <w:r w:rsidR="006E6B59">
        <w:t xml:space="preserve">, including under any of the </w:t>
      </w:r>
      <w:r w:rsidR="007E025F">
        <w:t xml:space="preserve">three </w:t>
      </w:r>
      <w:r w:rsidR="006E6B59">
        <w:t>approaches to database administrati</w:t>
      </w:r>
      <w:r w:rsidR="00111220">
        <w:t>on</w:t>
      </w:r>
      <w:r w:rsidR="006E6B59">
        <w:t xml:space="preserve"> discussed below</w:t>
      </w:r>
      <w:r w:rsidRPr="007D6E0C">
        <w:t>.</w:t>
      </w:r>
      <w:r w:rsidR="0082110E">
        <w:t xml:space="preserve">  </w:t>
      </w:r>
      <w:r w:rsidRPr="007D6E0C">
        <w:t>Some commenters, for example, urge the Commission to adopt a safe harbor from TCPA violations for robocallers that inadvertently make calls to reassigned numbers after checking a comprehensive reassigned numbers database.</w:t>
      </w:r>
      <w:r>
        <w:rPr>
          <w:rStyle w:val="FootnoteReference"/>
        </w:rPr>
        <w:footnoteReference w:id="51"/>
      </w:r>
      <w:r w:rsidRPr="007D6E0C">
        <w:t xml:space="preserve">  Other commenters argue that the Commission should instead adopt a safe harbor for callers using existing commercial solutions.</w:t>
      </w:r>
      <w:r>
        <w:rPr>
          <w:rStyle w:val="FootnoteReference"/>
        </w:rPr>
        <w:footnoteReference w:id="52"/>
      </w:r>
      <w:r w:rsidRPr="007D6E0C">
        <w:t xml:space="preserve">  We seek comment on these views.  If we were to adopt a safe harbor from TCPA violations, under what circumstances should callers be permitted to avail themselves of the safe harbor?</w:t>
      </w:r>
      <w:r>
        <w:rPr>
          <w:rStyle w:val="FootnoteReference"/>
        </w:rPr>
        <w:footnoteReference w:id="53"/>
      </w:r>
      <w:r w:rsidRPr="007D6E0C">
        <w:t xml:space="preserve">  </w:t>
      </w:r>
      <w:r w:rsidRPr="007D6E0C" w:rsidR="00E56388">
        <w:t>For example, how often would a caller need to check a reassigned numbers database under a safe harbor?</w:t>
      </w:r>
      <w:r>
        <w:rPr>
          <w:rStyle w:val="FootnoteReference"/>
        </w:rPr>
        <w:footnoteReference w:id="54"/>
      </w:r>
      <w:r w:rsidRPr="007D6E0C" w:rsidR="00E56388">
        <w:t xml:space="preserve">  </w:t>
      </w:r>
      <w:r w:rsidRPr="007D6E0C">
        <w:t xml:space="preserve">We also seek </w:t>
      </w:r>
      <w:r w:rsidRPr="007D6E0C" w:rsidR="00D45C21">
        <w:t xml:space="preserve">detailed </w:t>
      </w:r>
      <w:r w:rsidRPr="007D6E0C">
        <w:t xml:space="preserve">comment on whether </w:t>
      </w:r>
      <w:r w:rsidRPr="007D6E0C" w:rsidR="00306848">
        <w:t>s</w:t>
      </w:r>
      <w:r w:rsidRPr="007D6E0C">
        <w:t xml:space="preserve">ection 227 </w:t>
      </w:r>
      <w:r w:rsidR="00BF7C58">
        <w:t xml:space="preserve">or other sections </w:t>
      </w:r>
      <w:r w:rsidR="00424CAC">
        <w:t>of the Act provide</w:t>
      </w:r>
      <w:r w:rsidRPr="007D6E0C">
        <w:t xml:space="preserve"> us with authority to adopt such a safe harbor</w:t>
      </w:r>
      <w:r w:rsidRPr="007D6E0C" w:rsidR="008B4D03">
        <w:t>—what provisions, precisely, would allow the agency to create a safe harbor?</w:t>
      </w:r>
      <w:r>
        <w:rPr>
          <w:rStyle w:val="FootnoteReference"/>
        </w:rPr>
        <w:footnoteReference w:id="55"/>
      </w:r>
      <w:r w:rsidRPr="007D6E0C" w:rsidR="002F745A">
        <w:t xml:space="preserve">  </w:t>
      </w:r>
      <w:r w:rsidR="003E22CB">
        <w:t xml:space="preserve"> </w:t>
      </w:r>
      <w:r w:rsidR="001B041F">
        <w:t>If we were to adopt a safe harbor under the TCPA, how</w:t>
      </w:r>
      <w:r w:rsidRPr="00A63EDB" w:rsidR="006049F4">
        <w:t xml:space="preserve"> does the DC Circuit’s </w:t>
      </w:r>
      <w:r w:rsidR="004D11B8">
        <w:t xml:space="preserve">recent </w:t>
      </w:r>
      <w:r w:rsidRPr="00A63EDB" w:rsidR="006049F4">
        <w:t xml:space="preserve">ruling in </w:t>
      </w:r>
      <w:r w:rsidRPr="001B041F" w:rsidR="006049F4">
        <w:rPr>
          <w:i/>
        </w:rPr>
        <w:t>ACA International</w:t>
      </w:r>
      <w:r w:rsidRPr="00A63EDB" w:rsidR="006049F4">
        <w:t xml:space="preserve"> </w:t>
      </w:r>
      <w:r w:rsidRPr="0023100E" w:rsidR="004D11B8">
        <w:rPr>
          <w:i/>
        </w:rPr>
        <w:t>v. FCC</w:t>
      </w:r>
      <w:r w:rsidR="004D11B8">
        <w:t xml:space="preserve"> </w:t>
      </w:r>
      <w:r w:rsidRPr="00A63EDB" w:rsidR="006049F4">
        <w:t xml:space="preserve">impact our ability to </w:t>
      </w:r>
      <w:r w:rsidR="001B041F">
        <w:t>adopt</w:t>
      </w:r>
      <w:r w:rsidR="006049F4">
        <w:t xml:space="preserve"> a safe harbor, if at all?  </w:t>
      </w:r>
      <w:r w:rsidRPr="007D6E0C" w:rsidR="008B4D03">
        <w:t xml:space="preserve">Does the Commission have more authority to craft a safe harbor from our own enforcement authority than from the private right of action contained in the TCPA?  </w:t>
      </w:r>
      <w:r w:rsidRPr="007D6E0C" w:rsidR="002F745A">
        <w:t xml:space="preserve">Does </w:t>
      </w:r>
      <w:r w:rsidRPr="007D6E0C" w:rsidR="00306848">
        <w:t>s</w:t>
      </w:r>
      <w:r w:rsidRPr="007D6E0C" w:rsidR="002F745A">
        <w:t>ection 251(e) of the Act provide independent or additional authority for such a safe harbor?</w:t>
      </w:r>
      <w:r w:rsidRPr="007D6E0C" w:rsidR="008B4D03">
        <w:t xml:space="preserve">  If we were to establish such a safe harbor, what precisely would it protect a caller from?  Liability from all reassigned-num</w:t>
      </w:r>
      <w:r w:rsidR="00424CAC">
        <w:t>ber calls?  Liability from good-</w:t>
      </w:r>
      <w:r w:rsidRPr="007D6E0C" w:rsidR="008B4D03">
        <w:t>faith reassigned-number calls?  Liability from reassigned-number calls but only when the database</w:t>
      </w:r>
      <w:r w:rsidRPr="007D6E0C" w:rsidR="00262D53">
        <w:t>’s information was either untimely or inaccurate</w:t>
      </w:r>
      <w:r w:rsidRPr="007D6E0C" w:rsidR="008B4D03">
        <w:t>?</w:t>
      </w:r>
      <w:r w:rsidR="00A63EDB">
        <w:t xml:space="preserve">  </w:t>
      </w:r>
    </w:p>
    <w:p w:rsidR="00713823" w:rsidRPr="007D6E0C" w:rsidP="00C53E24" w14:paraId="40015245" w14:textId="77777777">
      <w:pPr>
        <w:pStyle w:val="Heading2"/>
      </w:pPr>
      <w:r w:rsidRPr="007D6E0C">
        <w:t xml:space="preserve">Approaches to </w:t>
      </w:r>
      <w:r w:rsidRPr="007D6E0C" w:rsidR="00F63D48">
        <w:t>Database</w:t>
      </w:r>
      <w:r w:rsidRPr="007D6E0C">
        <w:t xml:space="preserve"> Administration</w:t>
      </w:r>
    </w:p>
    <w:p w:rsidR="00203845" w:rsidP="00203845" w14:paraId="0DBDE87A" w14:textId="77777777">
      <w:pPr>
        <w:pStyle w:val="ParaNum"/>
      </w:pPr>
      <w:r w:rsidRPr="007D6E0C">
        <w:t xml:space="preserve">In the </w:t>
      </w:r>
      <w:r w:rsidRPr="007D6E0C">
        <w:rPr>
          <w:i/>
        </w:rPr>
        <w:t>Reassigned Numbers NOI</w:t>
      </w:r>
      <w:r w:rsidRPr="007D6E0C">
        <w:t xml:space="preserve">, we suggested four potential mechanisms for </w:t>
      </w:r>
      <w:r w:rsidRPr="007D6E0C" w:rsidR="00063A5C">
        <w:t>service</w:t>
      </w:r>
      <w:r w:rsidRPr="007D6E0C">
        <w:t xml:space="preserve"> providers to report </w:t>
      </w:r>
      <w:r w:rsidRPr="007D6E0C" w:rsidR="00A20599">
        <w:t>reassigned number information</w:t>
      </w:r>
      <w:r w:rsidRPr="007D6E0C">
        <w:t xml:space="preserve"> and for callers to access that information.</w:t>
      </w:r>
      <w:r>
        <w:rPr>
          <w:rStyle w:val="FootnoteReference"/>
        </w:rPr>
        <w:footnoteReference w:id="56"/>
      </w:r>
      <w:r w:rsidRPr="007D6E0C">
        <w:t xml:space="preserve">  Most commenters </w:t>
      </w:r>
      <w:r w:rsidRPr="007D6E0C" w:rsidR="000954EF">
        <w:t xml:space="preserve">addressing this issue </w:t>
      </w:r>
      <w:r w:rsidRPr="007D6E0C" w:rsidR="00BF5EDC">
        <w:t>favored a single,</w:t>
      </w:r>
      <w:r w:rsidRPr="007D6E0C">
        <w:t xml:space="preserve"> FCC-</w:t>
      </w:r>
      <w:r w:rsidRPr="007D6E0C" w:rsidR="00BF5EDC">
        <w:t>designated</w:t>
      </w:r>
      <w:r w:rsidRPr="007D6E0C">
        <w:t xml:space="preserve"> database,</w:t>
      </w:r>
      <w:r>
        <w:rPr>
          <w:rStyle w:val="FootnoteReference"/>
        </w:rPr>
        <w:footnoteReference w:id="57"/>
      </w:r>
      <w:r w:rsidRPr="007D6E0C">
        <w:t xml:space="preserve"> while others favored making the data available through </w:t>
      </w:r>
      <w:r w:rsidRPr="007D6E0C" w:rsidR="00BF5EDC">
        <w:t xml:space="preserve">commercial </w:t>
      </w:r>
      <w:r w:rsidRPr="007D6E0C">
        <w:t>data aggregators.</w:t>
      </w:r>
      <w:r>
        <w:rPr>
          <w:rStyle w:val="FootnoteReference"/>
        </w:rPr>
        <w:footnoteReference w:id="58"/>
      </w:r>
      <w:r w:rsidRPr="007D6E0C">
        <w:t xml:space="preserve">  We seek </w:t>
      </w:r>
      <w:r w:rsidRPr="007D6E0C" w:rsidR="00026820">
        <w:t xml:space="preserve">further </w:t>
      </w:r>
      <w:r w:rsidRPr="007D6E0C">
        <w:t>comment on these options below</w:t>
      </w:r>
      <w:r w:rsidRPr="007D6E0C" w:rsidR="006B4D46">
        <w:t>.</w:t>
      </w:r>
      <w:r w:rsidRPr="007D6E0C" w:rsidR="00B371CA">
        <w:t xml:space="preserve">  Specifically, we seek comment on whether </w:t>
      </w:r>
      <w:r w:rsidRPr="007D6E0C" w:rsidR="00D45C21">
        <w:t xml:space="preserve">we should: (1) require </w:t>
      </w:r>
      <w:r w:rsidRPr="007D6E0C" w:rsidR="00B371CA">
        <w:t xml:space="preserve">service providers </w:t>
      </w:r>
      <w:r w:rsidRPr="007D6E0C" w:rsidR="00D45C21">
        <w:t xml:space="preserve">to </w:t>
      </w:r>
      <w:r w:rsidRPr="007D6E0C" w:rsidR="00B371CA">
        <w:t>report reassigned number information to</w:t>
      </w:r>
      <w:r w:rsidRPr="007D6E0C" w:rsidR="00D45C21">
        <w:t xml:space="preserve"> </w:t>
      </w:r>
      <w:r w:rsidRPr="007D6E0C" w:rsidR="00B371CA">
        <w:t xml:space="preserve">a </w:t>
      </w:r>
      <w:r w:rsidRPr="007D6E0C" w:rsidR="00D45C21">
        <w:t xml:space="preserve">single, FCC-designated </w:t>
      </w:r>
      <w:r w:rsidRPr="007D6E0C" w:rsidR="00B371CA">
        <w:t xml:space="preserve">database; (2) </w:t>
      </w:r>
      <w:r w:rsidRPr="007D6E0C" w:rsidR="00D45C21">
        <w:t xml:space="preserve">require service providers to report such information to </w:t>
      </w:r>
      <w:r w:rsidRPr="007D6E0C" w:rsidR="00B371CA">
        <w:t xml:space="preserve">one or more </w:t>
      </w:r>
      <w:r w:rsidRPr="007D6E0C" w:rsidR="00D45C21">
        <w:t>commercial</w:t>
      </w:r>
      <w:r w:rsidRPr="007D6E0C" w:rsidR="00B371CA">
        <w:t xml:space="preserve"> data aggregators; </w:t>
      </w:r>
      <w:r w:rsidRPr="007D6E0C" w:rsidR="00052A0E">
        <w:t xml:space="preserve">or </w:t>
      </w:r>
      <w:r w:rsidRPr="007D6E0C" w:rsidR="00B371CA">
        <w:t xml:space="preserve">(3) </w:t>
      </w:r>
      <w:r w:rsidRPr="007D6E0C" w:rsidR="00D45C21">
        <w:t xml:space="preserve">allow service providers to report such information to commercial </w:t>
      </w:r>
      <w:r w:rsidRPr="007D6E0C" w:rsidR="00B371CA">
        <w:t xml:space="preserve">data aggregators on a voluntary basis.  </w:t>
      </w:r>
      <w:r w:rsidRPr="007D6E0C" w:rsidR="006B4D46">
        <w:t xml:space="preserve">We also seek comment </w:t>
      </w:r>
      <w:r w:rsidRPr="007D6E0C" w:rsidR="000954EF">
        <w:t>on any alternative</w:t>
      </w:r>
      <w:r w:rsidRPr="007D6E0C" w:rsidR="00BF5EDC">
        <w:t xml:space="preserve"> approache</w:t>
      </w:r>
      <w:r w:rsidRPr="007D6E0C" w:rsidR="000954EF">
        <w:t>s that commenters believe we should consider</w:t>
      </w:r>
      <w:r w:rsidRPr="007D6E0C">
        <w:t>.</w:t>
      </w:r>
      <w:r w:rsidRPr="007D6E0C" w:rsidR="000E05F9">
        <w:t xml:space="preserve">  </w:t>
      </w:r>
      <w:r w:rsidRPr="007D6E0C" w:rsidR="00B371CA">
        <w:t xml:space="preserve">Regardless of the approach, we seek to balance callers’ need for comprehensive </w:t>
      </w:r>
      <w:r w:rsidRPr="007D6E0C" w:rsidR="00AB1638">
        <w:t xml:space="preserve">and timely </w:t>
      </w:r>
      <w:r w:rsidRPr="007D6E0C" w:rsidR="00B371CA">
        <w:t xml:space="preserve">reassigned number information with </w:t>
      </w:r>
      <w:r w:rsidRPr="007D6E0C" w:rsidR="0040474B">
        <w:t>the need to minimize the reporting burden placed on service providers.</w:t>
      </w:r>
    </w:p>
    <w:p w:rsidR="00541374" w:rsidRPr="007D6E0C" w:rsidP="00203845" w14:paraId="498C47C4" w14:textId="70727376">
      <w:pPr>
        <w:pStyle w:val="ParaNum"/>
      </w:pPr>
      <w:r>
        <w:t>Recently, the U.S. Court of Appeals for the D.C. Circuit recognized that the Commission has “consistently adopted a ‘reasonable reliance’ approach” to the TCPA, including in cases “when a consenting party’s number is reassigned.”</w:t>
      </w:r>
      <w:r>
        <w:rPr>
          <w:rStyle w:val="FootnoteReference"/>
        </w:rPr>
        <w:footnoteReference w:id="59"/>
      </w:r>
      <w:r w:rsidR="00EC6945">
        <w:t xml:space="preserve">  </w:t>
      </w:r>
      <w:r>
        <w:t>The court highlighted that the Commission is “considering creating a comprehensive repository of information about reassigned wireless numbers” and “whether to provide a safe harbor for callers that inadvertently reach reassigned numbers after consulting the most recently updated information”—and the court noted a reassigned numbers database “would naturally bear on the reasonableness of calling numbers that have in fact been reassigned.”</w:t>
      </w:r>
      <w:r>
        <w:rPr>
          <w:rStyle w:val="FootnoteReference"/>
        </w:rPr>
        <w:footnoteReference w:id="60"/>
      </w:r>
      <w:r>
        <w:t xml:space="preserve"> </w:t>
      </w:r>
      <w:r w:rsidR="00EC6945">
        <w:t xml:space="preserve"> </w:t>
      </w:r>
      <w:r>
        <w:t>We seek comment on the impact that decision and possible Commission action in response to that decision could have on the costs and benefits of the database options discussed herein.</w:t>
      </w:r>
      <w:r w:rsidR="00EC6945">
        <w:t xml:space="preserve"> </w:t>
      </w:r>
      <w:r>
        <w:t xml:space="preserve"> Does that decision strengthen the need for a timely and comprehensive reassigned numbers database?</w:t>
      </w:r>
      <w:r w:rsidR="00EC6945">
        <w:t xml:space="preserve"> </w:t>
      </w:r>
      <w:r>
        <w:t xml:space="preserve"> Or does it suggest that existing, commercially available databases provide callers with sufficient resources, diminishing the need for a new database or a mandatory reporting requirement?</w:t>
      </w:r>
    </w:p>
    <w:p w:rsidR="00D1420E" w:rsidRPr="007D6E0C" w:rsidP="00D1420E" w14:paraId="25AA13EE" w14:textId="77777777">
      <w:pPr>
        <w:pStyle w:val="Heading3"/>
      </w:pPr>
      <w:r w:rsidRPr="007D6E0C">
        <w:t>Mandatory Reporting to Single Database</w:t>
      </w:r>
    </w:p>
    <w:p w:rsidR="00D1420E" w:rsidRPr="007D6E0C" w:rsidP="00D1420E" w14:paraId="08CB5041" w14:textId="77777777">
      <w:pPr>
        <w:pStyle w:val="ParaNum"/>
      </w:pPr>
      <w:r w:rsidRPr="007D6E0C">
        <w:t>We</w:t>
      </w:r>
      <w:r w:rsidRPr="007D6E0C">
        <w:t xml:space="preserve"> seek detailed comment on whether the Commission should establish and select an administrator of a </w:t>
      </w:r>
      <w:r w:rsidRPr="007D6E0C" w:rsidR="008E771E">
        <w:t xml:space="preserve">single </w:t>
      </w:r>
      <w:r w:rsidRPr="007D6E0C">
        <w:t>reassigned numbers</w:t>
      </w:r>
      <w:r w:rsidRPr="007D6E0C" w:rsidR="0092459F">
        <w:t xml:space="preserve"> database</w:t>
      </w:r>
      <w:r w:rsidRPr="007D6E0C">
        <w:t xml:space="preserve">.  Under this </w:t>
      </w:r>
      <w:r w:rsidRPr="007D6E0C" w:rsidR="00C14B7F">
        <w:t>approach</w:t>
      </w:r>
      <w:r w:rsidRPr="007D6E0C">
        <w:t xml:space="preserve">, </w:t>
      </w:r>
      <w:r w:rsidRPr="007D6E0C" w:rsidR="00C14B7F">
        <w:t xml:space="preserve">we would mandate that </w:t>
      </w:r>
      <w:r w:rsidRPr="007D6E0C">
        <w:t xml:space="preserve">service providers </w:t>
      </w:r>
      <w:r w:rsidRPr="007D6E0C" w:rsidR="0019043E">
        <w:t>report</w:t>
      </w:r>
      <w:r w:rsidRPr="007D6E0C">
        <w:t xml:space="preserve"> </w:t>
      </w:r>
      <w:r w:rsidRPr="007D6E0C" w:rsidR="00BB281B">
        <w:t>reassigned number</w:t>
      </w:r>
      <w:r w:rsidRPr="007D6E0C">
        <w:t xml:space="preserve"> information to the database, and </w:t>
      </w:r>
      <w:r w:rsidRPr="007D6E0C" w:rsidR="0046336C">
        <w:t xml:space="preserve">allow </w:t>
      </w:r>
      <w:r w:rsidRPr="007D6E0C">
        <w:t>eligible users to query the database for such information.</w:t>
      </w:r>
      <w:r w:rsidRPr="007D6E0C" w:rsidR="00306382">
        <w:t xml:space="preserve">  As discussed below, we seek comment on how the single </w:t>
      </w:r>
      <w:r w:rsidRPr="007D6E0C" w:rsidR="00E91453">
        <w:t xml:space="preserve">database should be established, who should administer it, and how it should be funded.  We also seek comment on which service providers should be required to report information, the requirements that should apply to such providers, and </w:t>
      </w:r>
      <w:r w:rsidRPr="007D6E0C" w:rsidR="00C63D36">
        <w:t>whether and how they should be able to recover their reporting costs</w:t>
      </w:r>
      <w:r w:rsidRPr="007D6E0C" w:rsidR="00E91453">
        <w:t>.  Finally, we seek comment on the effectiven</w:t>
      </w:r>
      <w:r w:rsidRPr="007D6E0C" w:rsidR="006B1050">
        <w:t>ess, costs, and benefits of the single database</w:t>
      </w:r>
      <w:r w:rsidRPr="007D6E0C" w:rsidR="00E91453">
        <w:t xml:space="preserve"> approach.</w:t>
      </w:r>
    </w:p>
    <w:p w:rsidR="008E771E" w:rsidRPr="007D6E0C" w:rsidP="00D1420E" w14:paraId="7AD28954" w14:textId="77777777">
      <w:pPr>
        <w:pStyle w:val="ParaNum"/>
      </w:pPr>
      <w:r w:rsidRPr="007D6E0C">
        <w:rPr>
          <w:i/>
        </w:rPr>
        <w:t>Establishment and Administration of</w:t>
      </w:r>
      <w:r w:rsidRPr="007D6E0C" w:rsidR="00E91453">
        <w:rPr>
          <w:i/>
        </w:rPr>
        <w:t xml:space="preserve"> Single Database</w:t>
      </w:r>
      <w:r w:rsidRPr="007D6E0C" w:rsidR="00D46097">
        <w:t>.  We</w:t>
      </w:r>
      <w:r w:rsidRPr="007D6E0C" w:rsidR="00D1420E">
        <w:t xml:space="preserve"> seek comment on </w:t>
      </w:r>
      <w:r w:rsidRPr="007D6E0C" w:rsidR="00CF76CB">
        <w:t>how complicated it would be to establish a single reassigned numbers database.  Would it</w:t>
      </w:r>
      <w:r w:rsidRPr="007D6E0C" w:rsidR="00D1420E">
        <w:t xml:space="preserve"> be necessary to develop a completely new database or would </w:t>
      </w:r>
      <w:r w:rsidRPr="007D6E0C" w:rsidR="00CF76CB">
        <w:t xml:space="preserve">it </w:t>
      </w:r>
      <w:r w:rsidRPr="007D6E0C" w:rsidR="00D1420E">
        <w:t xml:space="preserve">be possible to expand or modify </w:t>
      </w:r>
      <w:r w:rsidRPr="007D6E0C" w:rsidR="00B10835">
        <w:t>one of the</w:t>
      </w:r>
      <w:r w:rsidRPr="007D6E0C" w:rsidR="00DA13A3">
        <w:t xml:space="preserve"> existing </w:t>
      </w:r>
      <w:r w:rsidRPr="007D6E0C" w:rsidR="00B10835">
        <w:t xml:space="preserve">numbering </w:t>
      </w:r>
      <w:r w:rsidRPr="007D6E0C" w:rsidR="00DA13A3">
        <w:t>database</w:t>
      </w:r>
      <w:r w:rsidRPr="007D6E0C" w:rsidR="00B10835">
        <w:t>s overseen by the Commission</w:t>
      </w:r>
      <w:r w:rsidRPr="007D6E0C" w:rsidR="00DA13A3">
        <w:t xml:space="preserve"> </w:t>
      </w:r>
      <w:r w:rsidRPr="007D6E0C" w:rsidR="00D1420E">
        <w:t xml:space="preserve">to accommodate </w:t>
      </w:r>
      <w:r w:rsidRPr="007D6E0C" w:rsidR="00DA13A3">
        <w:t>the data that callers need</w:t>
      </w:r>
      <w:r w:rsidRPr="007D6E0C" w:rsidR="00042F61">
        <w:t>?</w:t>
      </w:r>
      <w:r w:rsidRPr="007D6E0C" w:rsidR="00D1420E">
        <w:t xml:space="preserve">  </w:t>
      </w:r>
      <w:r w:rsidRPr="007D6E0C" w:rsidR="00B10835">
        <w:t xml:space="preserve">Are there any economies of scale or scope that could be achieved under the latter approach? </w:t>
      </w:r>
      <w:r w:rsidRPr="007D6E0C" w:rsidR="00CF76CB">
        <w:t xml:space="preserve"> </w:t>
      </w:r>
    </w:p>
    <w:p w:rsidR="00306848" w:rsidRPr="007D6E0C" w:rsidP="00D1420E" w14:paraId="79EB52CC" w14:textId="77777777">
      <w:pPr>
        <w:pStyle w:val="ParaNum"/>
      </w:pPr>
      <w:r w:rsidRPr="007D6E0C">
        <w:t>One possibility would be to modify the Number Portability Administration Center (NPAC), which is used to facilitate local number portability.</w:t>
      </w:r>
      <w:r>
        <w:rPr>
          <w:rStyle w:val="FootnoteReference"/>
        </w:rPr>
        <w:footnoteReference w:id="61"/>
      </w:r>
      <w:r w:rsidRPr="007D6E0C">
        <w:t xml:space="preserve"> </w:t>
      </w:r>
      <w:r w:rsidRPr="007D6E0C">
        <w:t xml:space="preserve"> </w:t>
      </w:r>
      <w:r w:rsidRPr="007D6E0C" w:rsidR="00B10835">
        <w:t xml:space="preserve">In response to the </w:t>
      </w:r>
      <w:r w:rsidRPr="007D6E0C" w:rsidR="00B10835">
        <w:rPr>
          <w:i/>
        </w:rPr>
        <w:t>NOI</w:t>
      </w:r>
      <w:r w:rsidRPr="007D6E0C" w:rsidR="00B10835">
        <w:t xml:space="preserve">, </w:t>
      </w:r>
      <w:r w:rsidRPr="007D6E0C">
        <w:t xml:space="preserve">however, </w:t>
      </w:r>
      <w:r w:rsidRPr="007D6E0C" w:rsidR="00D1420E">
        <w:t xml:space="preserve">iconectiv </w:t>
      </w:r>
      <w:r w:rsidRPr="007D6E0C" w:rsidR="002A2407">
        <w:t>explains that the NPAC</w:t>
      </w:r>
      <w:r w:rsidRPr="007D6E0C">
        <w:t xml:space="preserve"> currently</w:t>
      </w:r>
      <w:r w:rsidRPr="007D6E0C" w:rsidR="002A2407">
        <w:t xml:space="preserve"> lacks information about all number reassignments</w:t>
      </w:r>
      <w:r>
        <w:rPr>
          <w:rStyle w:val="FootnoteReference"/>
        </w:rPr>
        <w:footnoteReference w:id="62"/>
      </w:r>
      <w:r w:rsidRPr="007D6E0C" w:rsidR="002A2407">
        <w:t xml:space="preserve"> and therefore cautions that </w:t>
      </w:r>
      <w:r w:rsidRPr="007D6E0C" w:rsidR="00D1420E">
        <w:t>the “suitability of extending the NPAC to serve as a reassigned number database warrants a great deal more consideration prior to making such a decision.”</w:t>
      </w:r>
      <w:r>
        <w:rPr>
          <w:rStyle w:val="FootnoteReference"/>
        </w:rPr>
        <w:footnoteReference w:id="63"/>
      </w:r>
      <w:r w:rsidRPr="007D6E0C" w:rsidR="00D1420E">
        <w:t xml:space="preserve">  What factors should we consider in making such a decision</w:t>
      </w:r>
      <w:r w:rsidRPr="007D6E0C" w:rsidR="002A2407">
        <w:t xml:space="preserve"> and what processes should we follow in establishing a single database</w:t>
      </w:r>
      <w:r w:rsidRPr="007D6E0C" w:rsidR="00D1420E">
        <w:t xml:space="preserve">?  </w:t>
      </w:r>
      <w:r w:rsidRPr="007D6E0C" w:rsidR="002A2407">
        <w:t>For example, s</w:t>
      </w:r>
      <w:r w:rsidRPr="007D6E0C" w:rsidR="00D1420E">
        <w:t>hould we consult with the North American Numbering Council (NANC), as some commenters suggest?</w:t>
      </w:r>
      <w:r>
        <w:rPr>
          <w:rStyle w:val="FootnoteReference"/>
        </w:rPr>
        <w:footnoteReference w:id="64"/>
      </w:r>
      <w:r w:rsidRPr="007D6E0C" w:rsidR="00D1420E">
        <w:t xml:space="preserve">  </w:t>
      </w:r>
    </w:p>
    <w:p w:rsidR="00D1420E" w:rsidRPr="007D6E0C" w:rsidP="00D1420E" w14:paraId="53D462E8" w14:textId="77777777">
      <w:pPr>
        <w:pStyle w:val="ParaNum"/>
      </w:pPr>
      <w:r w:rsidRPr="007D6E0C">
        <w:t xml:space="preserve">We also seek comment on which entities have the expertise to serve as the administrator of a central reassigned numbers database.  Could the LNPA or a different numbering administrator (such as the </w:t>
      </w:r>
      <w:r w:rsidRPr="007D6E0C" w:rsidR="001E2195">
        <w:t>N</w:t>
      </w:r>
      <w:r w:rsidRPr="007D6E0C">
        <w:t>ANPA</w:t>
      </w:r>
      <w:r>
        <w:rPr>
          <w:rStyle w:val="FootnoteReference"/>
        </w:rPr>
        <w:footnoteReference w:id="65"/>
      </w:r>
      <w:r w:rsidRPr="007D6E0C">
        <w:t xml:space="preserve"> or the Pooling Administrator)</w:t>
      </w:r>
      <w:r>
        <w:rPr>
          <w:rStyle w:val="FootnoteReference"/>
        </w:rPr>
        <w:footnoteReference w:id="66"/>
      </w:r>
      <w:r w:rsidRPr="007D6E0C">
        <w:t xml:space="preserve"> serve such a role?  Or could an entirely different vendor serve this role?  What factors should we take into account in selecting a reassigned numbers database administrator?  </w:t>
      </w:r>
    </w:p>
    <w:p w:rsidR="00D1420E" w:rsidRPr="007D6E0C" w:rsidP="000B2BFD" w14:paraId="15E32F6E" w14:textId="77777777">
      <w:pPr>
        <w:pStyle w:val="ParaNum"/>
      </w:pPr>
      <w:r w:rsidRPr="007D6E0C">
        <w:rPr>
          <w:i/>
        </w:rPr>
        <w:t>Funding.</w:t>
      </w:r>
      <w:r w:rsidRPr="007D6E0C">
        <w:t xml:space="preserve"> </w:t>
      </w:r>
      <w:r w:rsidRPr="007D6E0C">
        <w:t xml:space="preserve"> </w:t>
      </w:r>
      <w:r w:rsidRPr="007D6E0C">
        <w:t>H</w:t>
      </w:r>
      <w:r w:rsidRPr="007D6E0C">
        <w:t>ow should an FCC-</w:t>
      </w:r>
      <w:r w:rsidRPr="007D6E0C">
        <w:t>designated</w:t>
      </w:r>
      <w:r w:rsidRPr="007D6E0C">
        <w:t xml:space="preserve"> reassigned numbers database be funded?  </w:t>
      </w:r>
      <w:r w:rsidRPr="007D6E0C" w:rsidR="009247C1">
        <w:t>For example, s</w:t>
      </w:r>
      <w:r w:rsidRPr="007D6E0C" w:rsidR="00BC1FAE">
        <w:t>hould</w:t>
      </w:r>
      <w:r w:rsidRPr="007D6E0C">
        <w:t xml:space="preserve"> the Commission establish a charge to database users to help </w:t>
      </w:r>
      <w:r w:rsidRPr="007D6E0C" w:rsidR="000B2BFD">
        <w:t xml:space="preserve">cover </w:t>
      </w:r>
      <w:r w:rsidRPr="007D6E0C">
        <w:t>the costs of establishing and maintaining the database?  If so, how should the charge be set (</w:t>
      </w:r>
      <w:r w:rsidRPr="007D6E0C">
        <w:rPr>
          <w:i/>
        </w:rPr>
        <w:t>e.g.</w:t>
      </w:r>
      <w:r w:rsidRPr="007D6E0C">
        <w:t>, per query, a flat fee or some other basis) and how should the billing and collection process work?</w:t>
      </w:r>
      <w:r w:rsidRPr="007D6E0C" w:rsidR="00527E41">
        <w:t xml:space="preserve"> </w:t>
      </w:r>
      <w:r w:rsidRPr="007D6E0C" w:rsidR="00306848">
        <w:t xml:space="preserve"> </w:t>
      </w:r>
      <w:r w:rsidRPr="007D6E0C" w:rsidR="000B2BFD">
        <w:t>To the extent that such fees do not cover all of the costs of establishing and maintaining the database, should we recover the remaining costs from reporting service providers?  We note that section 251 of the Act provides that the “cost of establishing telecommunications numbering administration arrangements . . . shall be borne by all telecommunications carriers on a competitively neutral basis as determined by the Commission.”</w:t>
      </w:r>
      <w:r>
        <w:rPr>
          <w:rStyle w:val="FootnoteReference"/>
        </w:rPr>
        <w:footnoteReference w:id="67"/>
      </w:r>
      <w:r w:rsidRPr="007D6E0C" w:rsidR="000B2BFD">
        <w:t xml:space="preserve">  How would this statutory provision affect our approach?  To the extent that fees collected from database users exceed the costs of establishing and maintaining the reassigned numbers database, we seek comment on whether such fees could be used to offset the costs of numbering administration more generally.</w:t>
      </w:r>
    </w:p>
    <w:p w:rsidR="00A75DF0" w:rsidRPr="007D6E0C" w:rsidP="004F147A" w14:paraId="479F5DEF" w14:textId="77777777">
      <w:pPr>
        <w:pStyle w:val="ParaNum"/>
      </w:pPr>
      <w:r w:rsidRPr="007D6E0C">
        <w:rPr>
          <w:i/>
        </w:rPr>
        <w:t xml:space="preserve">Covered Service </w:t>
      </w:r>
      <w:r w:rsidRPr="007D6E0C" w:rsidR="00FB62DC">
        <w:rPr>
          <w:i/>
        </w:rPr>
        <w:t>Providers</w:t>
      </w:r>
      <w:r w:rsidRPr="007D6E0C" w:rsidR="00FB62DC">
        <w:t xml:space="preserve">.  </w:t>
      </w:r>
      <w:r w:rsidRPr="007D6E0C" w:rsidR="000F2104">
        <w:t xml:space="preserve">We seek comment on which service providers should be required to report data to a single, FCC-designated reassigned numbers database.  Should </w:t>
      </w:r>
      <w:r w:rsidRPr="007D6E0C" w:rsidR="00FB62DC">
        <w:t xml:space="preserve">all </w:t>
      </w:r>
      <w:r w:rsidRPr="007D6E0C" w:rsidR="00527F5D">
        <w:t>service providers</w:t>
      </w:r>
      <w:r w:rsidRPr="007D6E0C" w:rsidR="004F147A">
        <w:t>—</w:t>
      </w:r>
      <w:r w:rsidRPr="007D6E0C" w:rsidR="00527F5D">
        <w:t>in</w:t>
      </w:r>
      <w:r w:rsidRPr="007D6E0C" w:rsidR="004F147A">
        <w:t xml:space="preserve">cluding wireless, wireline, </w:t>
      </w:r>
      <w:r w:rsidRPr="007D6E0C" w:rsidR="00527F5D">
        <w:t>interconnected VoIP</w:t>
      </w:r>
      <w:r w:rsidRPr="007D6E0C" w:rsidR="004F147A">
        <w:t>, and non-interconnected VoIP providers</w:t>
      </w:r>
      <w:r>
        <w:rPr>
          <w:rStyle w:val="FootnoteReference"/>
        </w:rPr>
        <w:footnoteReference w:id="68"/>
      </w:r>
      <w:r w:rsidRPr="007D6E0C" w:rsidR="004F147A">
        <w:t>—</w:t>
      </w:r>
      <w:r w:rsidRPr="007D6E0C" w:rsidR="00FB62DC">
        <w:t xml:space="preserve">be required to report </w:t>
      </w:r>
      <w:r w:rsidRPr="007D6E0C" w:rsidR="004F147A">
        <w:t>data?</w:t>
      </w:r>
      <w:r w:rsidRPr="007D6E0C" w:rsidR="00FB62DC">
        <w:t xml:space="preserve">  </w:t>
      </w:r>
      <w:r w:rsidRPr="007D6E0C" w:rsidR="004F147A">
        <w:t xml:space="preserve">Should the reporting requirements also apply to text messaging providers to the extent that they do not also provide voice service?  </w:t>
      </w:r>
    </w:p>
    <w:p w:rsidR="004F147A" w:rsidRPr="007D6E0C" w:rsidP="004F147A" w14:paraId="47E384E6" w14:textId="77777777">
      <w:pPr>
        <w:pStyle w:val="ParaNum"/>
      </w:pPr>
      <w:r w:rsidRPr="007D6E0C">
        <w:t>Alternatively, should we</w:t>
      </w:r>
      <w:r w:rsidRPr="007D6E0C">
        <w:t xml:space="preserve"> require </w:t>
      </w:r>
      <w:r w:rsidRPr="007D6E0C">
        <w:t>all</w:t>
      </w:r>
      <w:r w:rsidRPr="007D6E0C">
        <w:t xml:space="preserve"> service providers that receive numbers directly from the NANPA to report data on those numbers</w:t>
      </w:r>
      <w:r w:rsidRPr="007D6E0C">
        <w:t>?</w:t>
      </w:r>
      <w:r w:rsidRPr="007D6E0C">
        <w:t xml:space="preserve">  In response to the </w:t>
      </w:r>
      <w:r w:rsidRPr="007D6E0C">
        <w:rPr>
          <w:i/>
        </w:rPr>
        <w:t>NOI</w:t>
      </w:r>
      <w:r w:rsidRPr="007D6E0C">
        <w:t>,</w:t>
      </w:r>
      <w:r>
        <w:rPr>
          <w:rStyle w:val="FootnoteReference"/>
        </w:rPr>
        <w:footnoteReference w:id="69"/>
      </w:r>
      <w:r w:rsidRPr="007D6E0C">
        <w:t xml:space="preserve"> several commenters note that some </w:t>
      </w:r>
      <w:r w:rsidRPr="007D6E0C" w:rsidR="00063A5C">
        <w:t>service</w:t>
      </w:r>
      <w:r w:rsidRPr="007D6E0C">
        <w:t xml:space="preserve"> providers, such as resellers and interconnected VoIP providers that do not obtain numbers directly from the NANPA, might not have knowledge of certain changes in the status of a number if they do not have control over the provision of the number.</w:t>
      </w:r>
      <w:r>
        <w:rPr>
          <w:rStyle w:val="FootnoteReference"/>
        </w:rPr>
        <w:footnoteReference w:id="70"/>
      </w:r>
      <w:r w:rsidRPr="007D6E0C">
        <w:t xml:space="preserve">  Tatango therefore argues that, consistent with the Commission’s existing number utilization reporting requirements,</w:t>
      </w:r>
      <w:r>
        <w:rPr>
          <w:rStyle w:val="FootnoteReference"/>
        </w:rPr>
        <w:footnoteReference w:id="71"/>
      </w:r>
      <w:r w:rsidRPr="007D6E0C">
        <w:t xml:space="preserve"> </w:t>
      </w:r>
      <w:r w:rsidRPr="007D6E0C" w:rsidR="0003047E">
        <w:t xml:space="preserve">the obligation to report data about a number </w:t>
      </w:r>
      <w:r w:rsidRPr="007D6E0C" w:rsidR="00AF563E">
        <w:t xml:space="preserve">to a reassigned numbers database </w:t>
      </w:r>
      <w:r w:rsidRPr="007D6E0C" w:rsidR="0003047E">
        <w:t>should be imposed on the entity that obtained the number directly from the NANPA.</w:t>
      </w:r>
      <w:r>
        <w:rPr>
          <w:rStyle w:val="FootnoteReference"/>
        </w:rPr>
        <w:footnoteReference w:id="72"/>
      </w:r>
      <w:r w:rsidRPr="007D6E0C" w:rsidR="0003047E">
        <w:t xml:space="preserve">  We seek comment on this view.  We also seek comment on whether to affo</w:t>
      </w:r>
      <w:r w:rsidRPr="007D6E0C" w:rsidR="00AF563E">
        <w:t xml:space="preserve">rd </w:t>
      </w:r>
      <w:r w:rsidRPr="007D6E0C" w:rsidR="003752F5">
        <w:t>covered service providers</w:t>
      </w:r>
      <w:r w:rsidRPr="007D6E0C" w:rsidR="00AF563E">
        <w:t xml:space="preserve"> </w:t>
      </w:r>
      <w:r w:rsidRPr="007D6E0C" w:rsidR="0003047E">
        <w:t xml:space="preserve">the flexibility to contractually delegate those requirements to the service provider </w:t>
      </w:r>
      <w:r w:rsidRPr="007D6E0C" w:rsidR="00AF563E">
        <w:t>that indirectly receives</w:t>
      </w:r>
      <w:r w:rsidRPr="007D6E0C" w:rsidR="0003047E">
        <w:t xml:space="preserve"> </w:t>
      </w:r>
      <w:r w:rsidRPr="007D6E0C" w:rsidR="00F455EB">
        <w:t>numbers</w:t>
      </w:r>
      <w:r w:rsidRPr="007D6E0C" w:rsidR="0003047E">
        <w:t>.</w:t>
      </w:r>
      <w:r>
        <w:rPr>
          <w:rStyle w:val="FootnoteReference"/>
        </w:rPr>
        <w:footnoteReference w:id="73"/>
      </w:r>
    </w:p>
    <w:p w:rsidR="00FB62DC" w:rsidRPr="007D6E0C" w:rsidP="00E0535A" w14:paraId="7E6E34AE" w14:textId="77777777">
      <w:pPr>
        <w:pStyle w:val="ParaNum"/>
      </w:pPr>
      <w:r w:rsidRPr="007D6E0C">
        <w:t>Additionally</w:t>
      </w:r>
      <w:r w:rsidRPr="007D6E0C">
        <w:t xml:space="preserve">, </w:t>
      </w:r>
      <w:r w:rsidRPr="007D6E0C" w:rsidR="00184BCD">
        <w:t xml:space="preserve">we seek comment on whether we should </w:t>
      </w:r>
      <w:r w:rsidRPr="007D6E0C" w:rsidR="00961D7B">
        <w:t>exempt ce</w:t>
      </w:r>
      <w:r w:rsidRPr="007D6E0C">
        <w:t>rtain service providers from the obligation to report data to a</w:t>
      </w:r>
      <w:r w:rsidRPr="007D6E0C" w:rsidR="006104DF">
        <w:t>n FCC-designated</w:t>
      </w:r>
      <w:r w:rsidRPr="007D6E0C">
        <w:t xml:space="preserve"> reassigned numbers database</w:t>
      </w:r>
      <w:r w:rsidRPr="007D6E0C" w:rsidR="000B2BFD">
        <w:t xml:space="preserve"> without undermining its overall comprehensiveness</w:t>
      </w:r>
      <w:r w:rsidRPr="007D6E0C">
        <w:t xml:space="preserve">. </w:t>
      </w:r>
      <w:r w:rsidRPr="007D6E0C" w:rsidR="00184BCD">
        <w:t xml:space="preserve"> </w:t>
      </w:r>
      <w:r w:rsidRPr="007D6E0C">
        <w:t xml:space="preserve">For example, NTCA asks that the Commission exempt rural </w:t>
      </w:r>
      <w:r w:rsidRPr="007D6E0C" w:rsidR="00913AAA">
        <w:t>service providers</w:t>
      </w:r>
      <w:r w:rsidRPr="007D6E0C">
        <w:t xml:space="preserve"> from </w:t>
      </w:r>
      <w:r w:rsidRPr="007D6E0C" w:rsidR="0082278D">
        <w:t xml:space="preserve">this </w:t>
      </w:r>
      <w:r w:rsidRPr="007D6E0C" w:rsidR="006104DF">
        <w:t>requirement</w:t>
      </w:r>
      <w:r w:rsidRPr="007D6E0C">
        <w:t>, at least initially, because of their limitations in resources and staff.</w:t>
      </w:r>
      <w:r>
        <w:rPr>
          <w:rStyle w:val="FootnoteReference"/>
        </w:rPr>
        <w:footnoteReference w:id="74"/>
      </w:r>
      <w:r w:rsidRPr="007D6E0C">
        <w:t xml:space="preserve">  </w:t>
      </w:r>
      <w:r w:rsidRPr="007D6E0C" w:rsidR="0082278D">
        <w:t>Are there</w:t>
      </w:r>
      <w:r w:rsidRPr="007D6E0C">
        <w:t xml:space="preserve"> </w:t>
      </w:r>
      <w:r w:rsidRPr="007D6E0C" w:rsidR="00913AAA">
        <w:t xml:space="preserve">other </w:t>
      </w:r>
      <w:r w:rsidRPr="007D6E0C">
        <w:t>types of providers, such as those offering only telecommunications rela</w:t>
      </w:r>
      <w:r w:rsidRPr="007D6E0C" w:rsidR="00896FAE">
        <w:t>y services</w:t>
      </w:r>
      <w:r w:rsidRPr="007D6E0C">
        <w:t xml:space="preserve">, that should be </w:t>
      </w:r>
      <w:r w:rsidRPr="007D6E0C" w:rsidR="0082278D">
        <w:t>exempted from mandatory reporting</w:t>
      </w:r>
      <w:r w:rsidRPr="007D6E0C">
        <w:t xml:space="preserve">?  We seek comment on whether we should adopt any </w:t>
      </w:r>
      <w:r w:rsidRPr="007D6E0C" w:rsidR="0082278D">
        <w:t xml:space="preserve">such </w:t>
      </w:r>
      <w:r w:rsidRPr="007D6E0C">
        <w:t xml:space="preserve">exemptions, the relevant eligibility criteria, and the effect of </w:t>
      </w:r>
      <w:r w:rsidRPr="007D6E0C" w:rsidR="00896FAE">
        <w:t xml:space="preserve">the </w:t>
      </w:r>
      <w:r w:rsidRPr="007D6E0C">
        <w:t>exemption on the goal of providing comprehensive numbering information to callers</w:t>
      </w:r>
      <w:r w:rsidRPr="007D6E0C" w:rsidR="00011881">
        <w:t xml:space="preserve"> that want it</w:t>
      </w:r>
      <w:r w:rsidRPr="007D6E0C">
        <w:t xml:space="preserve">.  Are there other measures short of an exemption that would lessen the reporting burden, while still achieving </w:t>
      </w:r>
      <w:r w:rsidRPr="007D6E0C" w:rsidR="00A06D1C">
        <w:t>that</w:t>
      </w:r>
      <w:r w:rsidRPr="007D6E0C">
        <w:t xml:space="preserve"> goal?  </w:t>
      </w:r>
    </w:p>
    <w:p w:rsidR="00FC5458" w:rsidRPr="007D6E0C" w:rsidP="00E0535A" w14:paraId="64E80233" w14:textId="77777777">
      <w:pPr>
        <w:pStyle w:val="ParaNum"/>
      </w:pPr>
      <w:r w:rsidRPr="007D6E0C">
        <w:rPr>
          <w:i/>
        </w:rPr>
        <w:t>Requirements for Covered Service Providers</w:t>
      </w:r>
      <w:r w:rsidRPr="007D6E0C">
        <w:t>.  We seek comment on the reporting requirements that should apply to covered service providers under a single database approach.  In particular, we seek comment on</w:t>
      </w:r>
      <w:r w:rsidRPr="007D6E0C" w:rsidR="006B43C4">
        <w:t>:</w:t>
      </w:r>
      <w:r w:rsidRPr="007D6E0C">
        <w:t xml:space="preserve"> </w:t>
      </w:r>
      <w:r w:rsidRPr="007D6E0C" w:rsidR="00A22179">
        <w:t xml:space="preserve">(1) </w:t>
      </w:r>
      <w:r w:rsidRPr="007D6E0C">
        <w:t>the specific data that covered service providers should be required to report</w:t>
      </w:r>
      <w:r w:rsidRPr="007D6E0C" w:rsidR="006B43C4">
        <w:t>;</w:t>
      </w:r>
      <w:r w:rsidRPr="007D6E0C">
        <w:t xml:space="preserve"> </w:t>
      </w:r>
      <w:r w:rsidRPr="007D6E0C" w:rsidR="00A22179">
        <w:t xml:space="preserve">(2) </w:t>
      </w:r>
      <w:r w:rsidRPr="007D6E0C">
        <w:t>how often they should be required to report such information</w:t>
      </w:r>
      <w:r w:rsidRPr="007D6E0C" w:rsidR="006B43C4">
        <w:t>;</w:t>
      </w:r>
      <w:r w:rsidRPr="007D6E0C">
        <w:t xml:space="preserve"> and </w:t>
      </w:r>
      <w:r w:rsidRPr="007D6E0C" w:rsidR="00A22179">
        <w:t xml:space="preserve">(3) </w:t>
      </w:r>
      <w:r w:rsidRPr="007D6E0C">
        <w:t>the format in which they should be required to report it.</w:t>
      </w:r>
      <w:r>
        <w:rPr>
          <w:rStyle w:val="FootnoteReference"/>
        </w:rPr>
        <w:footnoteReference w:id="75"/>
      </w:r>
      <w:r w:rsidRPr="007D6E0C">
        <w:t xml:space="preserve">  </w:t>
      </w:r>
      <w:r w:rsidRPr="007D6E0C" w:rsidR="002A71C9">
        <w:t>In adopting such requirements, we seek to balance callers’ need for comprehensive and timely reassigned number data with the need to minimize the reporting burden on service providers.  We also seek comment on the costs and benefits of these reporting requirements, including specific cost estimates.  Additionally, are there any unique reporting burdens faced by small and/or rural service providers, and if so, how should they be addressed?  For example, should the Commission permit small providers to report data less frequently than larger providers, as NTCA suggests?</w:t>
      </w:r>
      <w:r>
        <w:rPr>
          <w:rStyle w:val="FootnoteReference"/>
        </w:rPr>
        <w:footnoteReference w:id="76"/>
      </w:r>
      <w:r w:rsidRPr="007D6E0C" w:rsidR="002A71C9">
        <w:t xml:space="preserve">  </w:t>
      </w:r>
      <w:r w:rsidRPr="007D6E0C" w:rsidR="000B2BFD">
        <w:t xml:space="preserve">Or start reporting at a later time?  </w:t>
      </w:r>
      <w:r w:rsidRPr="007D6E0C" w:rsidR="002A71C9">
        <w:t xml:space="preserve">Furthermore, are there other requirements for covered service providers </w:t>
      </w:r>
      <w:r w:rsidRPr="007D6E0C" w:rsidR="00896FAE">
        <w:t xml:space="preserve">that we should adopt?  For example, is there a risk that customer proprietary network information </w:t>
      </w:r>
      <w:r w:rsidRPr="007D6E0C" w:rsidR="00F625F6">
        <w:t xml:space="preserve">(CPNI) </w:t>
      </w:r>
      <w:r w:rsidRPr="007D6E0C" w:rsidR="00896FAE">
        <w:t>could be disclosed without customer consent,</w:t>
      </w:r>
      <w:r>
        <w:rPr>
          <w:rStyle w:val="FootnoteReference"/>
        </w:rPr>
        <w:footnoteReference w:id="77"/>
      </w:r>
      <w:r w:rsidRPr="007D6E0C" w:rsidR="00896FAE">
        <w:t xml:space="preserve"> and if so, how could that risk be addressed?</w:t>
      </w:r>
      <w:r w:rsidRPr="007D6E0C" w:rsidR="00552766">
        <w:t xml:space="preserve">  </w:t>
      </w:r>
    </w:p>
    <w:p w:rsidR="00E0535A" w:rsidRPr="007D6E0C" w:rsidP="00E0535A" w14:paraId="33A95CA2" w14:textId="77777777">
      <w:pPr>
        <w:pStyle w:val="ParaNum"/>
      </w:pPr>
      <w:r w:rsidRPr="007D6E0C">
        <w:rPr>
          <w:i/>
        </w:rPr>
        <w:t xml:space="preserve">Cost Recovery for </w:t>
      </w:r>
      <w:r w:rsidRPr="007D6E0C" w:rsidR="00896FAE">
        <w:rPr>
          <w:i/>
        </w:rPr>
        <w:t>Covered Service</w:t>
      </w:r>
      <w:r w:rsidRPr="007D6E0C">
        <w:rPr>
          <w:i/>
        </w:rPr>
        <w:t xml:space="preserve"> Providers.</w:t>
      </w:r>
      <w:r w:rsidRPr="007D6E0C">
        <w:t xml:space="preserve">  Should </w:t>
      </w:r>
      <w:r w:rsidRPr="007D6E0C" w:rsidR="00896FAE">
        <w:t xml:space="preserve">covered </w:t>
      </w:r>
      <w:r w:rsidRPr="007D6E0C">
        <w:t xml:space="preserve">service providers be compensated for some or all of their costs of </w:t>
      </w:r>
      <w:r w:rsidRPr="007D6E0C" w:rsidR="00896FAE">
        <w:t>reporting information to a</w:t>
      </w:r>
      <w:r w:rsidRPr="007D6E0C" w:rsidR="00A22179">
        <w:t>n FCC-designated</w:t>
      </w:r>
      <w:r w:rsidRPr="007D6E0C" w:rsidR="00896FAE">
        <w:t xml:space="preserve"> reassigned numbers database</w:t>
      </w:r>
      <w:r w:rsidRPr="007D6E0C">
        <w:t>?  Commenters recognize that service providers will incur operational costs to provide the required data.</w:t>
      </w:r>
      <w:r>
        <w:rPr>
          <w:rStyle w:val="FootnoteReference"/>
        </w:rPr>
        <w:footnoteReference w:id="78"/>
      </w:r>
      <w:r w:rsidRPr="007D6E0C">
        <w:t xml:space="preserve">  For example, CTIA emphasizes that its members may need to develop new database solutions and/or incur operational expenses associated with modifying existing systems.</w:t>
      </w:r>
      <w:r>
        <w:rPr>
          <w:rStyle w:val="FootnoteReference"/>
        </w:rPr>
        <w:footnoteReference w:id="79"/>
      </w:r>
      <w:r w:rsidRPr="007D6E0C">
        <w:t xml:space="preserve">  Would service providers’ costs ultimately be borne by their subscribers, as NCLC suggests?</w:t>
      </w:r>
      <w:r>
        <w:rPr>
          <w:rStyle w:val="FootnoteReference"/>
        </w:rPr>
        <w:footnoteReference w:id="80"/>
      </w:r>
      <w:r w:rsidRPr="007D6E0C">
        <w:t xml:space="preserve">  If </w:t>
      </w:r>
      <w:r w:rsidRPr="007D6E0C" w:rsidR="00896FAE">
        <w:t xml:space="preserve">covered </w:t>
      </w:r>
      <w:r w:rsidRPr="007D6E0C">
        <w:t xml:space="preserve">service providers should be permitted to recover some or all of their costs of </w:t>
      </w:r>
      <w:r w:rsidRPr="007D6E0C" w:rsidR="00896FAE">
        <w:t xml:space="preserve">reporting </w:t>
      </w:r>
      <w:r w:rsidRPr="007D6E0C">
        <w:t xml:space="preserve">data, how should they be compensated and what limits, if any, should be set on such compensation?  </w:t>
      </w:r>
    </w:p>
    <w:p w:rsidR="00E73FE8" w:rsidRPr="007D6E0C" w:rsidP="00E73FE8" w14:paraId="0353813B" w14:textId="77777777">
      <w:pPr>
        <w:pStyle w:val="ParaNum"/>
      </w:pPr>
      <w:r w:rsidRPr="007D6E0C">
        <w:rPr>
          <w:i/>
        </w:rPr>
        <w:t xml:space="preserve">Other </w:t>
      </w:r>
      <w:r w:rsidRPr="007D6E0C">
        <w:rPr>
          <w:i/>
        </w:rPr>
        <w:t xml:space="preserve">Implementation </w:t>
      </w:r>
      <w:r w:rsidRPr="007D6E0C">
        <w:rPr>
          <w:i/>
        </w:rPr>
        <w:t xml:space="preserve">Issues and Implementation </w:t>
      </w:r>
      <w:r w:rsidRPr="007D6E0C">
        <w:rPr>
          <w:i/>
        </w:rPr>
        <w:t>Timeline.</w:t>
      </w:r>
      <w:r w:rsidRPr="007D6E0C">
        <w:t xml:space="preserve">  </w:t>
      </w:r>
      <w:r w:rsidRPr="007D6E0C">
        <w:t xml:space="preserve">We seek comment on any other issues related to the feasibility or implementation of a single, FCC-designated reassigned numbers database.  </w:t>
      </w:r>
      <w:r w:rsidRPr="007D6E0C">
        <w:t xml:space="preserve">We </w:t>
      </w:r>
      <w:r w:rsidRPr="007D6E0C">
        <w:t xml:space="preserve">also </w:t>
      </w:r>
      <w:r w:rsidRPr="007D6E0C">
        <w:t xml:space="preserve">seek comment on an implementation timeline for </w:t>
      </w:r>
      <w:r w:rsidRPr="007D6E0C">
        <w:t>establishing such a database</w:t>
      </w:r>
      <w:r w:rsidRPr="007D6E0C">
        <w:t xml:space="preserve">.  What steps would need to be taken and approximately how long would </w:t>
      </w:r>
      <w:r w:rsidRPr="007D6E0C">
        <w:t>they</w:t>
      </w:r>
      <w:r w:rsidRPr="007D6E0C">
        <w:t xml:space="preserve"> take?</w:t>
      </w:r>
    </w:p>
    <w:p w:rsidR="00B72A56" w:rsidRPr="007D6E0C" w:rsidP="00B72A56" w14:paraId="359167C3" w14:textId="0A9B3026">
      <w:pPr>
        <w:pStyle w:val="ParaNum"/>
      </w:pPr>
      <w:r w:rsidRPr="007D6E0C">
        <w:rPr>
          <w:i/>
        </w:rPr>
        <w:t>Costs and Benefits</w:t>
      </w:r>
      <w:r w:rsidRPr="007D6E0C">
        <w:t>.  We seek comment on the effectiveness, costs</w:t>
      </w:r>
      <w:r w:rsidR="009E5A18">
        <w:t xml:space="preserve"> (including specific cost estimates)</w:t>
      </w:r>
      <w:r w:rsidRPr="007D6E0C">
        <w:t xml:space="preserve">, and benefits of </w:t>
      </w:r>
      <w:r w:rsidRPr="007D6E0C" w:rsidR="00896FAE">
        <w:t xml:space="preserve">the single database </w:t>
      </w:r>
      <w:r w:rsidRPr="007D6E0C">
        <w:t xml:space="preserve">approach.  We also seek comment on its advantages and disadvantages compared to existing solutions and the alternatives discussed below.  </w:t>
      </w:r>
      <w:r w:rsidR="00893D56">
        <w:t>Would</w:t>
      </w:r>
      <w:r w:rsidR="00DA3349">
        <w:t>, as many commenters argue,</w:t>
      </w:r>
      <w:r w:rsidR="00893D56">
        <w:t xml:space="preserve"> a</w:t>
      </w:r>
      <w:r w:rsidRPr="007D6E0C">
        <w:t xml:space="preserve"> single database approach be more comprehensive and therefore, more effective, in addressing the reassigned numbers problem, tha</w:t>
      </w:r>
      <w:r w:rsidR="00E56388">
        <w:t>n existing commercial solutions?</w:t>
      </w:r>
      <w:r>
        <w:rPr>
          <w:rStyle w:val="FootnoteReference"/>
        </w:rPr>
        <w:footnoteReference w:id="81"/>
      </w:r>
      <w:r w:rsidRPr="007D6E0C">
        <w:t xml:space="preserve">  Additionally, requiring </w:t>
      </w:r>
      <w:r w:rsidRPr="007D6E0C" w:rsidR="00063A5C">
        <w:t>service</w:t>
      </w:r>
      <w:r w:rsidRPr="007D6E0C">
        <w:t xml:space="preserve"> providers to report to, and allowing </w:t>
      </w:r>
      <w:r w:rsidRPr="007D6E0C" w:rsidR="000B2BFD">
        <w:t xml:space="preserve">eligible users </w:t>
      </w:r>
      <w:r w:rsidRPr="007D6E0C">
        <w:t>to query from, a single, centralized database would likely be more efficient and cost-effective than an approach that involves multiple commercial data aggregators.</w:t>
      </w:r>
      <w:r>
        <w:rPr>
          <w:rStyle w:val="FootnoteReference"/>
        </w:rPr>
        <w:footnoteReference w:id="82"/>
      </w:r>
      <w:r w:rsidRPr="007D6E0C">
        <w:t xml:space="preserve">  Some commenters contend that a single database would also serve as an “authoritative source” of reassigned number information and could better facilitate establishment of a safe harbor from TCPA violations.</w:t>
      </w:r>
      <w:r>
        <w:rPr>
          <w:rStyle w:val="FootnoteReference"/>
        </w:rPr>
        <w:footnoteReference w:id="83"/>
      </w:r>
      <w:r w:rsidRPr="007D6E0C">
        <w:t xml:space="preserve">  </w:t>
      </w:r>
      <w:r w:rsidRPr="007D6E0C" w:rsidR="00A471E4">
        <w:t>Another commenter points out that in contrast to commercial databases that might cease operations, a single, FCC-designated database would better enable the Commission to</w:t>
      </w:r>
      <w:r w:rsidRPr="007D6E0C" w:rsidR="00301464">
        <w:t xml:space="preserve"> oversee quality of and access to the data</w:t>
      </w:r>
      <w:r w:rsidRPr="007D6E0C" w:rsidR="00A471E4">
        <w:t>.</w:t>
      </w:r>
      <w:r>
        <w:rPr>
          <w:rStyle w:val="FootnoteReference"/>
        </w:rPr>
        <w:footnoteReference w:id="84"/>
      </w:r>
      <w:r w:rsidRPr="007D6E0C" w:rsidR="00A471E4">
        <w:t xml:space="preserve">  </w:t>
      </w:r>
      <w:r w:rsidRPr="007D6E0C">
        <w:t xml:space="preserve">At the same time, however, developing such a database </w:t>
      </w:r>
      <w:r w:rsidRPr="007D6E0C" w:rsidR="000B2BFD">
        <w:t>could</w:t>
      </w:r>
      <w:r w:rsidRPr="007D6E0C">
        <w:t xml:space="preserve"> require substantially more time and expenditures than an approach that relies on commercial data aggregators.</w:t>
      </w:r>
      <w:r>
        <w:rPr>
          <w:rStyle w:val="FootnoteReference"/>
        </w:rPr>
        <w:footnoteReference w:id="85"/>
      </w:r>
      <w:r w:rsidRPr="007D6E0C">
        <w:t xml:space="preserve">  We seek comment on these views and on any other factors that commenters believe we should consider when evaluating a single, FCC-designated database as a solution to the reassigned numbers problem.</w:t>
      </w:r>
    </w:p>
    <w:p w:rsidR="00D1420E" w:rsidRPr="007D6E0C" w:rsidP="00D1420E" w14:paraId="26466794" w14:textId="77777777">
      <w:pPr>
        <w:pStyle w:val="Heading3"/>
      </w:pPr>
      <w:r w:rsidRPr="007D6E0C">
        <w:t xml:space="preserve">Mandatory Reporting to </w:t>
      </w:r>
      <w:r w:rsidRPr="007D6E0C" w:rsidR="00433449">
        <w:t>Commercial Data Ag</w:t>
      </w:r>
      <w:r w:rsidRPr="007D6E0C" w:rsidR="0008206C">
        <w:t>gregator</w:t>
      </w:r>
      <w:r w:rsidRPr="007D6E0C" w:rsidR="00433449">
        <w:t>s</w:t>
      </w:r>
    </w:p>
    <w:p w:rsidR="00D1420E" w:rsidRPr="007D6E0C" w:rsidP="00D1420E" w14:paraId="76006B09" w14:textId="77777777">
      <w:pPr>
        <w:pStyle w:val="ParaNum"/>
      </w:pPr>
      <w:r w:rsidRPr="007D6E0C">
        <w:t xml:space="preserve">As an alternative to </w:t>
      </w:r>
      <w:r w:rsidRPr="007D6E0C" w:rsidR="00433449">
        <w:t>the single database approach discussed above</w:t>
      </w:r>
      <w:r w:rsidRPr="007D6E0C">
        <w:t xml:space="preserve">, we seek comment on whether we should require service providers to </w:t>
      </w:r>
      <w:r w:rsidRPr="007D6E0C" w:rsidR="00433449">
        <w:t xml:space="preserve">report </w:t>
      </w:r>
      <w:r w:rsidRPr="007D6E0C" w:rsidR="00E82F7B">
        <w:t>reassigned number information</w:t>
      </w:r>
      <w:r w:rsidRPr="007D6E0C">
        <w:t xml:space="preserve"> to commercial data aggregators</w:t>
      </w:r>
      <w:r w:rsidRPr="007D6E0C" w:rsidR="00E82F7B">
        <w:t>.  Under this approach</w:t>
      </w:r>
      <w:r w:rsidRPr="007D6E0C">
        <w:t xml:space="preserve">, we expect </w:t>
      </w:r>
      <w:r w:rsidRPr="007D6E0C" w:rsidR="004E1351">
        <w:t xml:space="preserve">that </w:t>
      </w:r>
      <w:r w:rsidRPr="007D6E0C">
        <w:t xml:space="preserve">service providers </w:t>
      </w:r>
      <w:r w:rsidRPr="007D6E0C" w:rsidR="004E1351">
        <w:t>would</w:t>
      </w:r>
      <w:r w:rsidRPr="007D6E0C" w:rsidR="00141793">
        <w:t xml:space="preserve"> enter into bi</w:t>
      </w:r>
      <w:r w:rsidRPr="007D6E0C">
        <w:t xml:space="preserve">lateral agreements with data aggregators for purposes of reporting data, and as a result, there would be multiple reassigned numbers databases that callers could query.  </w:t>
      </w:r>
      <w:r w:rsidRPr="007D6E0C" w:rsidR="000B2BFD">
        <w:t>W</w:t>
      </w:r>
      <w:r w:rsidRPr="007D6E0C" w:rsidR="0045023C">
        <w:t>e seek comment on</w:t>
      </w:r>
      <w:r w:rsidRPr="007D6E0C" w:rsidR="00063A5C">
        <w:t xml:space="preserve"> </w:t>
      </w:r>
      <w:r w:rsidRPr="007D6E0C" w:rsidR="003C1536">
        <w:t>the criteria and process for becoming a qualifying data aggregator to which service providers would report data; which service providers should be required to report data</w:t>
      </w:r>
      <w:r w:rsidRPr="007D6E0C" w:rsidR="000C2CD2">
        <w:t xml:space="preserve">, the requirements they should be subject to, and the appropriate cost recovery for these covered service providers; </w:t>
      </w:r>
      <w:r w:rsidRPr="007D6E0C" w:rsidR="005818B4">
        <w:t>contractual</w:t>
      </w:r>
      <w:r w:rsidRPr="007D6E0C" w:rsidR="0084472A">
        <w:t xml:space="preserve"> and other</w:t>
      </w:r>
      <w:r w:rsidRPr="007D6E0C" w:rsidR="005818B4">
        <w:t xml:space="preserve"> issues that might arise between data aggregators and service providers</w:t>
      </w:r>
      <w:r w:rsidRPr="007D6E0C" w:rsidR="005E3ED2">
        <w:t>;</w:t>
      </w:r>
      <w:r w:rsidRPr="007D6E0C" w:rsidR="0084472A">
        <w:t xml:space="preserve"> and the </w:t>
      </w:r>
      <w:r w:rsidRPr="007D6E0C" w:rsidR="00892887">
        <w:t xml:space="preserve">feasibility and </w:t>
      </w:r>
      <w:r w:rsidRPr="007D6E0C" w:rsidR="0084472A">
        <w:t xml:space="preserve">implementation issues </w:t>
      </w:r>
      <w:r w:rsidRPr="007D6E0C" w:rsidR="000C2CD2">
        <w:t xml:space="preserve">associated with </w:t>
      </w:r>
      <w:r w:rsidRPr="007D6E0C" w:rsidR="0084472A">
        <w:t xml:space="preserve">this approach.  We also seek comment on the costs and benefits </w:t>
      </w:r>
      <w:r w:rsidRPr="007D6E0C" w:rsidR="00892887">
        <w:t xml:space="preserve">of </w:t>
      </w:r>
      <w:r w:rsidRPr="007D6E0C" w:rsidR="000B2BFD">
        <w:t>this approach</w:t>
      </w:r>
      <w:r w:rsidRPr="007D6E0C" w:rsidR="00892887">
        <w:t>.</w:t>
      </w:r>
    </w:p>
    <w:p w:rsidR="008821C5" w:rsidRPr="007D6E0C" w:rsidP="009B59ED" w14:paraId="0917230C" w14:textId="77777777">
      <w:pPr>
        <w:pStyle w:val="ParaNum"/>
        <w:widowControl/>
      </w:pPr>
      <w:r w:rsidRPr="007D6E0C">
        <w:rPr>
          <w:i/>
        </w:rPr>
        <w:t>Qualifying Data Aggregators.</w:t>
      </w:r>
      <w:r w:rsidRPr="007D6E0C">
        <w:t xml:space="preserve"> </w:t>
      </w:r>
      <w:r w:rsidRPr="007D6E0C" w:rsidR="00D1420E">
        <w:t xml:space="preserve"> </w:t>
      </w:r>
      <w:r w:rsidRPr="007D6E0C" w:rsidR="002E771A">
        <w:t xml:space="preserve">We believe that service providers should be required to report reassigned number data only </w:t>
      </w:r>
      <w:r w:rsidRPr="007D6E0C" w:rsidR="006941D7">
        <w:t>to those</w:t>
      </w:r>
      <w:r w:rsidRPr="007D6E0C" w:rsidR="00F11D12">
        <w:t xml:space="preserve"> commercial data aggregator</w:t>
      </w:r>
      <w:r w:rsidRPr="007D6E0C" w:rsidR="006941D7">
        <w:t>s</w:t>
      </w:r>
      <w:r w:rsidRPr="007D6E0C" w:rsidR="002E771A">
        <w:t xml:space="preserve"> that meet specific eligibility or qualification criteria</w:t>
      </w:r>
      <w:r w:rsidRPr="007D6E0C" w:rsidR="00D577ED">
        <w:t xml:space="preserve"> (</w:t>
      </w:r>
      <w:r w:rsidRPr="007D6E0C" w:rsidR="00D577ED">
        <w:rPr>
          <w:i/>
        </w:rPr>
        <w:t>e.g.</w:t>
      </w:r>
      <w:r w:rsidRPr="007D6E0C" w:rsidR="00D577ED">
        <w:t>, certain baseline or operational standards)</w:t>
      </w:r>
      <w:r w:rsidRPr="007D6E0C" w:rsidR="002E771A">
        <w:t xml:space="preserve">.  We seek comment on this view.  If commenters agree, how should we define a “qualifying data aggregator” </w:t>
      </w:r>
      <w:r w:rsidRPr="007D6E0C" w:rsidR="004153FD">
        <w:t xml:space="preserve">for this purpose </w:t>
      </w:r>
      <w:r w:rsidRPr="007D6E0C" w:rsidR="00B9738C">
        <w:t>and what criteria</w:t>
      </w:r>
      <w:r w:rsidRPr="007D6E0C" w:rsidR="002E771A">
        <w:t xml:space="preserve"> should such an entity </w:t>
      </w:r>
      <w:r w:rsidRPr="007D6E0C" w:rsidR="00D87EE7">
        <w:t>satisfy</w:t>
      </w:r>
      <w:r w:rsidRPr="007D6E0C" w:rsidR="002E771A">
        <w:t xml:space="preserve">?  For example, should </w:t>
      </w:r>
      <w:r w:rsidRPr="007D6E0C" w:rsidR="00BF65A7">
        <w:t>a data aggregator be required to</w:t>
      </w:r>
      <w:r w:rsidRPr="007D6E0C" w:rsidR="0090286F">
        <w:t>:</w:t>
      </w:r>
      <w:r w:rsidRPr="007D6E0C" w:rsidR="002E771A">
        <w:t xml:space="preserve"> </w:t>
      </w:r>
      <w:r w:rsidRPr="007D6E0C" w:rsidR="005C677D">
        <w:t xml:space="preserve">(1) </w:t>
      </w:r>
      <w:r w:rsidRPr="007D6E0C" w:rsidR="002E771A">
        <w:t xml:space="preserve">establish internal controls to ensure that the data </w:t>
      </w:r>
      <w:r w:rsidRPr="007D6E0C" w:rsidR="00F11D12">
        <w:t>it receives</w:t>
      </w:r>
      <w:r w:rsidRPr="007D6E0C" w:rsidR="002E771A">
        <w:t xml:space="preserve"> will be used solely to respond to callers’ queries and not for any marketing or o</w:t>
      </w:r>
      <w:r w:rsidRPr="007D6E0C">
        <w:t>ther commercial purpose</w:t>
      </w:r>
      <w:r w:rsidRPr="007D6E0C" w:rsidR="005C677D">
        <w:t xml:space="preserve">; (2) </w:t>
      </w:r>
      <w:r w:rsidRPr="007D6E0C">
        <w:t>maintain records of callers’</w:t>
      </w:r>
      <w:r w:rsidRPr="007D6E0C" w:rsidR="005C677D">
        <w:t xml:space="preserve"> queries; </w:t>
      </w:r>
      <w:r w:rsidRPr="007D6E0C" w:rsidR="00A471E4">
        <w:t>(3) ensure data security</w:t>
      </w:r>
      <w:r w:rsidRPr="007D6E0C" w:rsidR="002F5372">
        <w:t xml:space="preserve"> and privacy</w:t>
      </w:r>
      <w:r w:rsidRPr="007D6E0C" w:rsidR="00A471E4">
        <w:t xml:space="preserve">; </w:t>
      </w:r>
      <w:r w:rsidRPr="007D6E0C" w:rsidR="00AA3FC6">
        <w:t>and (4</w:t>
      </w:r>
      <w:r w:rsidRPr="007D6E0C" w:rsidR="005C677D">
        <w:t xml:space="preserve">) </w:t>
      </w:r>
      <w:r w:rsidRPr="007D6E0C">
        <w:t xml:space="preserve">establish internal controls to accurately respond to such queries?  We seek comment on </w:t>
      </w:r>
      <w:r w:rsidRPr="007D6E0C" w:rsidR="00D1420E">
        <w:t xml:space="preserve">these </w:t>
      </w:r>
      <w:r w:rsidRPr="007D6E0C">
        <w:t>potential</w:t>
      </w:r>
      <w:r w:rsidRPr="007D6E0C" w:rsidR="00D1420E">
        <w:t xml:space="preserve"> criteria and any others that commenters beli</w:t>
      </w:r>
      <w:r w:rsidRPr="007D6E0C">
        <w:t>eve are necessary to ensure reliable</w:t>
      </w:r>
      <w:r w:rsidRPr="007D6E0C" w:rsidR="00D1420E">
        <w:t xml:space="preserve"> and secure </w:t>
      </w:r>
      <w:r w:rsidRPr="007D6E0C" w:rsidR="005C677D">
        <w:t>databases</w:t>
      </w:r>
      <w:r w:rsidRPr="007D6E0C" w:rsidR="00D1420E">
        <w:t>.</w:t>
      </w:r>
    </w:p>
    <w:p w:rsidR="00D1420E" w:rsidRPr="007D6E0C" w:rsidP="008821C5" w14:paraId="57A830B1" w14:textId="77777777">
      <w:pPr>
        <w:pStyle w:val="ParaNum"/>
      </w:pPr>
      <w:r w:rsidRPr="007D6E0C">
        <w:t xml:space="preserve">We also seek comment on the process for becoming a qualifying data aggregator.  For instance, should a data aggregator be required to register with or seek approval from the Commission?  Additionally, we seek comment on how to ensure compliance with the qualification criteria.  For example, should </w:t>
      </w:r>
      <w:r w:rsidRPr="007D6E0C" w:rsidR="001F3BB8">
        <w:t xml:space="preserve">service providers require that any criteria placed on the qualifying data aggregator, such as those referenced above, be addressed within the bilateral contract between the parties?  Are there other ways that the Commission can ensure that </w:t>
      </w:r>
      <w:r w:rsidRPr="007D6E0C" w:rsidR="006D11F6">
        <w:t xml:space="preserve">a </w:t>
      </w:r>
      <w:r w:rsidRPr="007D6E0C" w:rsidR="001F3BB8">
        <w:t>qualif</w:t>
      </w:r>
      <w:r w:rsidRPr="007D6E0C" w:rsidR="006D11F6">
        <w:t>ying</w:t>
      </w:r>
      <w:r w:rsidRPr="007D6E0C" w:rsidR="001F3BB8">
        <w:t xml:space="preserve"> data aggregator meet</w:t>
      </w:r>
      <w:r w:rsidRPr="007D6E0C" w:rsidR="006D11F6">
        <w:t>s</w:t>
      </w:r>
      <w:r w:rsidRPr="007D6E0C" w:rsidR="001F3BB8">
        <w:t xml:space="preserve"> the requisite criteria?  Should</w:t>
      </w:r>
      <w:r w:rsidRPr="007D6E0C">
        <w:t xml:space="preserve"> </w:t>
      </w:r>
      <w:r w:rsidRPr="007D6E0C" w:rsidR="006D11F6">
        <w:t xml:space="preserve">a </w:t>
      </w:r>
      <w:r w:rsidRPr="007D6E0C">
        <w:t xml:space="preserve">qualifying data aggregator be required to undergo regular audits and file with the Commission an auditor’s certification that it complies with the required criteria?  </w:t>
      </w:r>
      <w:r w:rsidRPr="007D6E0C" w:rsidR="00983A8C">
        <w:t>Further, how should service providers be expected to know which data aggregators are qualifying data aggregators?  Should the Commission maintain a list or registry of such entities and if so, how and when should it be updated?</w:t>
      </w:r>
    </w:p>
    <w:p w:rsidR="00625453" w:rsidRPr="007D6E0C" w:rsidP="00D1420E" w14:paraId="6A60CC04" w14:textId="77777777">
      <w:pPr>
        <w:pStyle w:val="ParaNum"/>
      </w:pPr>
      <w:r w:rsidRPr="007D6E0C">
        <w:rPr>
          <w:i/>
        </w:rPr>
        <w:t>Covered Service Providers.</w:t>
      </w:r>
      <w:r w:rsidRPr="007D6E0C">
        <w:t xml:space="preserve">  We seek comment on which service providers should be required to report reassigned number data to commercial data aggregators.  Should the same u</w:t>
      </w:r>
      <w:r w:rsidRPr="007D6E0C" w:rsidR="009341C0">
        <w:t>niverse of providers be</w:t>
      </w:r>
      <w:r w:rsidRPr="007D6E0C" w:rsidR="00EA4324">
        <w:t xml:space="preserve"> subject to reporting</w:t>
      </w:r>
      <w:r w:rsidRPr="007D6E0C" w:rsidR="00C956AE">
        <w:t xml:space="preserve"> </w:t>
      </w:r>
      <w:r w:rsidRPr="007D6E0C">
        <w:t>regardless of whether we require reporting to commercial data aggregators or to a single, FCC-designated database?</w:t>
      </w:r>
      <w:r>
        <w:rPr>
          <w:rStyle w:val="FootnoteReference"/>
        </w:rPr>
        <w:footnoteReference w:id="86"/>
      </w:r>
      <w:r w:rsidRPr="007D6E0C" w:rsidR="00917D11">
        <w:t xml:space="preserve">  Why or why not?</w:t>
      </w:r>
    </w:p>
    <w:p w:rsidR="00305E46" w:rsidRPr="007D6E0C" w:rsidP="00305E46" w14:paraId="1E7FADDE" w14:textId="77777777">
      <w:pPr>
        <w:pStyle w:val="ParaNum"/>
      </w:pPr>
      <w:r w:rsidRPr="007D6E0C">
        <w:rPr>
          <w:i/>
        </w:rPr>
        <w:t>Reporting to Single or Multiple Data Aggregators.</w:t>
      </w:r>
      <w:r w:rsidRPr="007D6E0C">
        <w:t xml:space="preserve">  Under this approach, should </w:t>
      </w:r>
      <w:r w:rsidRPr="007D6E0C" w:rsidR="00B85661">
        <w:t xml:space="preserve">covered </w:t>
      </w:r>
      <w:r w:rsidRPr="007D6E0C">
        <w:t xml:space="preserve">service providers be required to report reassigned number data to some or all qualifying data aggregators, and how would this requirement work in practice?  Alternatively, should we require </w:t>
      </w:r>
      <w:r w:rsidRPr="007D6E0C" w:rsidR="00B85661">
        <w:t>covered</w:t>
      </w:r>
      <w:r w:rsidRPr="007D6E0C">
        <w:t xml:space="preserve"> service providers to report information to only one qualifying data aggregator which would in turn share the information with other qualifying data aggregators?  </w:t>
      </w:r>
      <w:r w:rsidRPr="007D6E0C" w:rsidR="00124AED">
        <w:t xml:space="preserve">What would be the parameters of such required data-sharing arrangements?  </w:t>
      </w:r>
      <w:r w:rsidRPr="007D6E0C">
        <w:t>What are the potential benefits and drawbacks of such an approach and how would it work in practice?</w:t>
      </w:r>
    </w:p>
    <w:p w:rsidR="00393780" w:rsidRPr="007D6E0C" w:rsidP="00D1420E" w14:paraId="233DCD28" w14:textId="77777777">
      <w:pPr>
        <w:pStyle w:val="ParaNum"/>
      </w:pPr>
      <w:r w:rsidRPr="007D6E0C">
        <w:rPr>
          <w:i/>
        </w:rPr>
        <w:t xml:space="preserve">Other </w:t>
      </w:r>
      <w:r w:rsidRPr="007D6E0C" w:rsidR="008448D6">
        <w:rPr>
          <w:i/>
        </w:rPr>
        <w:t>Requirements</w:t>
      </w:r>
      <w:r w:rsidRPr="007D6E0C" w:rsidR="005923B9">
        <w:rPr>
          <w:i/>
        </w:rPr>
        <w:t xml:space="preserve"> for Covered Service Providers</w:t>
      </w:r>
      <w:r w:rsidRPr="007D6E0C" w:rsidR="008448D6">
        <w:rPr>
          <w:i/>
        </w:rPr>
        <w:t>.</w:t>
      </w:r>
      <w:r w:rsidRPr="007D6E0C" w:rsidR="008448D6">
        <w:t xml:space="preserve">  </w:t>
      </w:r>
      <w:r w:rsidRPr="007D6E0C">
        <w:t xml:space="preserve">We seek comment on the </w:t>
      </w:r>
      <w:r w:rsidRPr="007D6E0C" w:rsidR="00B85661">
        <w:t xml:space="preserve">other </w:t>
      </w:r>
      <w:r w:rsidRPr="007D6E0C">
        <w:t xml:space="preserve">requirements that should apply to covered service providers under </w:t>
      </w:r>
      <w:r w:rsidRPr="007D6E0C" w:rsidR="00292D33">
        <w:t>this approach</w:t>
      </w:r>
      <w:r w:rsidRPr="007D6E0C">
        <w:t xml:space="preserve">.  Should the same </w:t>
      </w:r>
      <w:r w:rsidRPr="007D6E0C" w:rsidR="00612E65">
        <w:t xml:space="preserve">reporting and other </w:t>
      </w:r>
      <w:r w:rsidRPr="007D6E0C">
        <w:t xml:space="preserve">requirements </w:t>
      </w:r>
      <w:r w:rsidRPr="007D6E0C" w:rsidR="00B85661">
        <w:t xml:space="preserve">that would apply under the single database </w:t>
      </w:r>
      <w:r w:rsidRPr="007D6E0C" w:rsidR="001F3BB8">
        <w:t xml:space="preserve">approach discussed in </w:t>
      </w:r>
      <w:r w:rsidRPr="007D6E0C" w:rsidR="00306848">
        <w:t>s</w:t>
      </w:r>
      <w:r w:rsidRPr="007D6E0C" w:rsidR="001F3BB8">
        <w:t xml:space="preserve">ection </w:t>
      </w:r>
      <w:r w:rsidRPr="007D6E0C" w:rsidR="00F625F6">
        <w:t>III.B.</w:t>
      </w:r>
      <w:r w:rsidRPr="007D6E0C" w:rsidR="004125DB">
        <w:t>1</w:t>
      </w:r>
      <w:r w:rsidRPr="007D6E0C" w:rsidR="00B85661">
        <w:t xml:space="preserve"> above</w:t>
      </w:r>
      <w:r>
        <w:rPr>
          <w:rStyle w:val="FootnoteReference"/>
        </w:rPr>
        <w:footnoteReference w:id="87"/>
      </w:r>
      <w:r w:rsidRPr="007D6E0C" w:rsidR="00B85661">
        <w:t xml:space="preserve"> apply under this approach as well?</w:t>
      </w:r>
      <w:r w:rsidRPr="007D6E0C">
        <w:t xml:space="preserve">  Are there different or additional requirements for covered service providers that we should adopt under </w:t>
      </w:r>
      <w:r w:rsidRPr="007D6E0C" w:rsidR="008B31AB">
        <w:t>mandatory reporting to data aggregators</w:t>
      </w:r>
      <w:r w:rsidRPr="007D6E0C">
        <w:t>?</w:t>
      </w:r>
    </w:p>
    <w:p w:rsidR="00D1420E" w:rsidRPr="007D6E0C" w:rsidP="00D1420E" w14:paraId="14F43127" w14:textId="7D8273E5">
      <w:pPr>
        <w:pStyle w:val="ParaNum"/>
      </w:pPr>
      <w:r w:rsidRPr="007D6E0C">
        <w:rPr>
          <w:i/>
        </w:rPr>
        <w:t xml:space="preserve">Cost Recovery for </w:t>
      </w:r>
      <w:r w:rsidRPr="007D6E0C" w:rsidR="000F3F1D">
        <w:rPr>
          <w:i/>
        </w:rPr>
        <w:t xml:space="preserve">Covered </w:t>
      </w:r>
      <w:r w:rsidRPr="007D6E0C">
        <w:rPr>
          <w:i/>
        </w:rPr>
        <w:t xml:space="preserve">Service Providers. </w:t>
      </w:r>
      <w:r w:rsidRPr="007D6E0C" w:rsidR="00FB2BF0">
        <w:t xml:space="preserve"> </w:t>
      </w:r>
      <w:r w:rsidRPr="007D6E0C">
        <w:t>W</w:t>
      </w:r>
      <w:r w:rsidRPr="007D6E0C">
        <w:t xml:space="preserve">e seek </w:t>
      </w:r>
      <w:r w:rsidRPr="007D6E0C" w:rsidR="00696C74">
        <w:t xml:space="preserve">comment </w:t>
      </w:r>
      <w:r w:rsidRPr="007D6E0C">
        <w:t xml:space="preserve">on whether </w:t>
      </w:r>
      <w:r w:rsidRPr="007D6E0C" w:rsidR="000F3F1D">
        <w:t>covered</w:t>
      </w:r>
      <w:r w:rsidRPr="007D6E0C">
        <w:t xml:space="preserve"> service providers should be permitted to recover some or all of</w:t>
      </w:r>
      <w:r w:rsidRPr="007D6E0C">
        <w:t xml:space="preserve"> their reporting costs under </w:t>
      </w:r>
      <w:r w:rsidRPr="007D6E0C" w:rsidR="009F2DF2">
        <w:t>this approach</w:t>
      </w:r>
      <w:r w:rsidRPr="007D6E0C">
        <w:t>.  I</w:t>
      </w:r>
      <w:r w:rsidRPr="007D6E0C">
        <w:t>f so,</w:t>
      </w:r>
      <w:r w:rsidR="00AC4AF1">
        <w:t xml:space="preserve"> how </w:t>
      </w:r>
      <w:r w:rsidRPr="007D6E0C">
        <w:t xml:space="preserve">should </w:t>
      </w:r>
      <w:r w:rsidR="00AC4AF1">
        <w:t xml:space="preserve">they </w:t>
      </w:r>
      <w:r w:rsidRPr="007D6E0C">
        <w:t>be compensated</w:t>
      </w:r>
      <w:r w:rsidRPr="007D6E0C">
        <w:t xml:space="preserve"> and what limits, if any, sho</w:t>
      </w:r>
      <w:r w:rsidR="00A81B38">
        <w:t>uld be set on such compensation?</w:t>
      </w:r>
    </w:p>
    <w:p w:rsidR="00D1420E" w:rsidRPr="007D6E0C" w:rsidP="00D1420E" w14:paraId="770E72CA" w14:textId="77777777">
      <w:pPr>
        <w:pStyle w:val="ParaNum"/>
      </w:pPr>
      <w:r w:rsidRPr="007D6E0C">
        <w:rPr>
          <w:i/>
        </w:rPr>
        <w:t xml:space="preserve">Contractual Issues. </w:t>
      </w:r>
      <w:r w:rsidRPr="007D6E0C">
        <w:t xml:space="preserve"> </w:t>
      </w:r>
      <w:r w:rsidRPr="007D6E0C">
        <w:t>As discussed above, under this approach, we anticipate that service providers would ent</w:t>
      </w:r>
      <w:r w:rsidRPr="007D6E0C" w:rsidR="00D7437E">
        <w:t>er into bi</w:t>
      </w:r>
      <w:r w:rsidRPr="007D6E0C">
        <w:t>lateral agreements with data aggregators for purposes of reporting data.  W</w:t>
      </w:r>
      <w:r w:rsidRPr="007D6E0C">
        <w:t xml:space="preserve">e seek comment on how negotiation of </w:t>
      </w:r>
      <w:r w:rsidRPr="007D6E0C">
        <w:t xml:space="preserve">these </w:t>
      </w:r>
      <w:r w:rsidRPr="007D6E0C">
        <w:t xml:space="preserve">agreements would work in practice.  Are there contractual, business, or other concerns that would need to be addressed in order to rely on this approach as </w:t>
      </w:r>
      <w:r w:rsidRPr="007D6E0C" w:rsidR="00BA7709">
        <w:t>a</w:t>
      </w:r>
      <w:r w:rsidRPr="007D6E0C">
        <w:t xml:space="preserve"> solution to the </w:t>
      </w:r>
      <w:r w:rsidRPr="007D6E0C" w:rsidR="00BA7709">
        <w:t>reassigned numbers problem</w:t>
      </w:r>
      <w:r w:rsidRPr="007D6E0C">
        <w:t>?</w:t>
      </w:r>
    </w:p>
    <w:p w:rsidR="00DC402D" w:rsidRPr="007D6E0C" w:rsidP="009B59ED" w14:paraId="0056B67C" w14:textId="77777777">
      <w:pPr>
        <w:pStyle w:val="ParaNum"/>
        <w:widowControl/>
      </w:pPr>
      <w:r w:rsidRPr="007D6E0C">
        <w:rPr>
          <w:i/>
        </w:rPr>
        <w:t>Other Feasibility or Implementation Issues</w:t>
      </w:r>
      <w:r w:rsidRPr="007D6E0C" w:rsidR="00ED4A2D">
        <w:t xml:space="preserve"> </w:t>
      </w:r>
      <w:r w:rsidRPr="007D6E0C" w:rsidR="00ED4A2D">
        <w:rPr>
          <w:i/>
        </w:rPr>
        <w:t>and Implementation Timeline</w:t>
      </w:r>
      <w:r w:rsidRPr="007D6E0C">
        <w:rPr>
          <w:i/>
        </w:rPr>
        <w:t>.</w:t>
      </w:r>
      <w:r w:rsidRPr="007D6E0C">
        <w:t xml:space="preserve">  We seek comment on any other issues related to the feasibility or implementation of </w:t>
      </w:r>
      <w:r w:rsidRPr="007D6E0C" w:rsidR="00ED4A2D">
        <w:t>mandatory reporting to commercial data aggregators</w:t>
      </w:r>
      <w:r w:rsidRPr="007D6E0C">
        <w:t xml:space="preserve"> that commenters believe </w:t>
      </w:r>
      <w:r w:rsidRPr="007D6E0C" w:rsidR="00370805">
        <w:t>we should consider</w:t>
      </w:r>
      <w:r w:rsidRPr="007D6E0C">
        <w:t xml:space="preserve">.  </w:t>
      </w:r>
      <w:r w:rsidRPr="007D6E0C" w:rsidR="00ED4A2D">
        <w:t>For example, how should callers be expected to learn about the multiple reassigned numbers databases that would result from this approach?  We also seek comment on a timeline for implementing this approach.  What steps would need to be taken and approximately how long would they take?</w:t>
      </w:r>
    </w:p>
    <w:p w:rsidR="00ED4A2D" w:rsidRPr="007D6E0C" w:rsidP="00ED4A2D" w14:paraId="19A35358" w14:textId="265443B6">
      <w:pPr>
        <w:pStyle w:val="ParaNum"/>
      </w:pPr>
      <w:r w:rsidRPr="007D6E0C">
        <w:rPr>
          <w:i/>
        </w:rPr>
        <w:t>Costs and Benefits</w:t>
      </w:r>
      <w:r w:rsidRPr="007D6E0C">
        <w:t>.  We seek comment on the effectiveness, costs</w:t>
      </w:r>
      <w:r w:rsidR="009E5A18">
        <w:t xml:space="preserve"> (including specific cost estimates)</w:t>
      </w:r>
      <w:r w:rsidRPr="007D6E0C">
        <w:t>, and benefits of mandatory reporting to commercial data aggregators as well as its advantages and disadvantages compared to the other approaches discussed herein and compared to existing commercial solutions.  For example, an approach involving commercial data aggregators would enable those entities to leverage their existing infrastructure and services and likely make reassigned numbers databases available more quickly and with less upfront expenditures than a single, FCC-designated database approach.</w:t>
      </w:r>
      <w:r>
        <w:rPr>
          <w:rStyle w:val="FootnoteReference"/>
        </w:rPr>
        <w:footnoteReference w:id="88"/>
      </w:r>
      <w:r w:rsidRPr="007D6E0C">
        <w:t xml:space="preserve">  On the other hand, mandatory reporting to multiple data aggregators may be less efficient and cost-effective for both </w:t>
      </w:r>
      <w:r w:rsidRPr="007D6E0C" w:rsidR="00063A5C">
        <w:t>service</w:t>
      </w:r>
      <w:r w:rsidRPr="007D6E0C">
        <w:t xml:space="preserve"> providers and callers than a single database approach.</w:t>
      </w:r>
      <w:r>
        <w:rPr>
          <w:rStyle w:val="FootnoteReference"/>
        </w:rPr>
        <w:footnoteReference w:id="89"/>
      </w:r>
      <w:r w:rsidRPr="007D6E0C">
        <w:t xml:space="preserve">  We seek comment on these views and on any other factors that commenters believe we should consider in evaluating mandatory reporting to data aggregators as a solution to the reassigned numbers problem.</w:t>
      </w:r>
    </w:p>
    <w:p w:rsidR="00080707" w:rsidRPr="007D6E0C" w:rsidP="00134FB6" w14:paraId="29C11576" w14:textId="77777777">
      <w:pPr>
        <w:pStyle w:val="Heading3"/>
      </w:pPr>
      <w:r w:rsidRPr="007D6E0C">
        <w:t xml:space="preserve">Voluntary </w:t>
      </w:r>
      <w:r w:rsidRPr="007D6E0C" w:rsidR="00A2754D">
        <w:t>Reporting to Commercial Data Aggregators</w:t>
      </w:r>
    </w:p>
    <w:p w:rsidR="0020437D" w:rsidRPr="007D6E0C" w:rsidP="0020437D" w14:paraId="6F612471" w14:textId="6143C5E1">
      <w:pPr>
        <w:pStyle w:val="ParaNum"/>
      </w:pPr>
      <w:r w:rsidRPr="007D6E0C">
        <w:t>We seek comment on whether, as a</w:t>
      </w:r>
      <w:r w:rsidRPr="007D6E0C" w:rsidR="00124AED">
        <w:t xml:space="preserve"> second</w:t>
      </w:r>
      <w:r w:rsidR="0010140F">
        <w:t xml:space="preserve"> alternative</w:t>
      </w:r>
      <w:r w:rsidRPr="007D6E0C">
        <w:t xml:space="preserve">, we should allow </w:t>
      </w:r>
      <w:r w:rsidRPr="007D6E0C" w:rsidR="00063A5C">
        <w:t>service</w:t>
      </w:r>
      <w:r w:rsidRPr="007D6E0C">
        <w:t xml:space="preserve"> providers to report </w:t>
      </w:r>
      <w:r w:rsidRPr="007D6E0C" w:rsidR="007E486F">
        <w:t>reassigned number data to</w:t>
      </w:r>
      <w:r w:rsidRPr="007D6E0C">
        <w:t xml:space="preserve"> commercial data aggregators on a voluntary basis.  </w:t>
      </w:r>
      <w:r w:rsidRPr="007D6E0C" w:rsidR="00F96F3F">
        <w:t>Under this approach, c</w:t>
      </w:r>
      <w:r w:rsidRPr="007D6E0C" w:rsidR="001B664E">
        <w:t xml:space="preserve">allers could then </w:t>
      </w:r>
      <w:r w:rsidRPr="007D6E0C" w:rsidR="00124AED">
        <w:t xml:space="preserve">use </w:t>
      </w:r>
      <w:r w:rsidRPr="007D6E0C" w:rsidR="00F96F3F">
        <w:t xml:space="preserve">commercial data aggregators to determine whether a phone number has been reassigned.  </w:t>
      </w:r>
      <w:r w:rsidRPr="007D6E0C" w:rsidR="007E4D4A">
        <w:t>As discussed below, w</w:t>
      </w:r>
      <w:r w:rsidRPr="007D6E0C" w:rsidR="00B31370">
        <w:t>e seek comment on whether</w:t>
      </w:r>
      <w:r w:rsidRPr="007D6E0C" w:rsidR="00EE4329">
        <w:t>, and if so, how</w:t>
      </w:r>
      <w:r w:rsidRPr="007D6E0C" w:rsidR="00B31370">
        <w:t xml:space="preserve"> a voluntary </w:t>
      </w:r>
      <w:r w:rsidRPr="007D6E0C" w:rsidR="001559B7">
        <w:t xml:space="preserve">reporting </w:t>
      </w:r>
      <w:r w:rsidRPr="007D6E0C" w:rsidR="00B31370">
        <w:t xml:space="preserve">approach </w:t>
      </w:r>
      <w:r w:rsidRPr="007D6E0C" w:rsidR="00EE4329">
        <w:t xml:space="preserve">could </w:t>
      </w:r>
      <w:r w:rsidRPr="007D6E0C" w:rsidR="00B31370">
        <w:t xml:space="preserve">be structured to </w:t>
      </w:r>
      <w:r w:rsidRPr="007D6E0C" w:rsidR="00EE4329">
        <w:t>be more effective</w:t>
      </w:r>
      <w:r w:rsidRPr="007D6E0C" w:rsidR="007E4D4A">
        <w:t xml:space="preserve"> </w:t>
      </w:r>
      <w:r w:rsidRPr="007D6E0C" w:rsidR="00EE4329">
        <w:t>than existing solutions at addressing the reassigned numbers problem</w:t>
      </w:r>
      <w:r w:rsidRPr="007D6E0C" w:rsidR="007E4D4A">
        <w:t>.</w:t>
      </w:r>
      <w:r w:rsidRPr="007D6E0C">
        <w:rPr>
          <w:i/>
        </w:rPr>
        <w:t xml:space="preserve"> </w:t>
      </w:r>
    </w:p>
    <w:p w:rsidR="009D04B7" w:rsidRPr="007D6E0C" w:rsidP="00A85947" w14:paraId="7CBFE787" w14:textId="77777777">
      <w:pPr>
        <w:pStyle w:val="ParaNum"/>
        <w:widowControl/>
      </w:pPr>
      <w:r w:rsidRPr="007D6E0C">
        <w:rPr>
          <w:i/>
        </w:rPr>
        <w:t>Incentives</w:t>
      </w:r>
      <w:r w:rsidRPr="007D6E0C" w:rsidR="00355420">
        <w:rPr>
          <w:i/>
        </w:rPr>
        <w:t xml:space="preserve"> to Encourage </w:t>
      </w:r>
      <w:r w:rsidRPr="007D6E0C" w:rsidR="00111FBC">
        <w:rPr>
          <w:i/>
        </w:rPr>
        <w:t xml:space="preserve">Effective </w:t>
      </w:r>
      <w:r w:rsidRPr="007D6E0C" w:rsidR="0020437D">
        <w:rPr>
          <w:i/>
        </w:rPr>
        <w:t>Database</w:t>
      </w:r>
      <w:r w:rsidRPr="007D6E0C" w:rsidR="00111FBC">
        <w:rPr>
          <w:i/>
        </w:rPr>
        <w:t>s</w:t>
      </w:r>
      <w:r w:rsidRPr="007D6E0C" w:rsidR="00BE4FC4">
        <w:t xml:space="preserve">.  </w:t>
      </w:r>
      <w:r w:rsidRPr="007D6E0C" w:rsidR="00B31370">
        <w:t xml:space="preserve">As discussed above, </w:t>
      </w:r>
      <w:r w:rsidRPr="007D6E0C" w:rsidR="00A82282">
        <w:t>we believe that an effective reassigned numbers database must contain information that is both</w:t>
      </w:r>
      <w:r w:rsidRPr="007D6E0C" w:rsidR="00B31370">
        <w:t xml:space="preserve"> comprehensive</w:t>
      </w:r>
      <w:r w:rsidRPr="007D6E0C" w:rsidR="00A82282">
        <w:t xml:space="preserve"> and timely</w:t>
      </w:r>
      <w:r w:rsidRPr="007D6E0C" w:rsidR="00B31370">
        <w:t>.</w:t>
      </w:r>
      <w:r>
        <w:rPr>
          <w:rStyle w:val="FootnoteReference"/>
        </w:rPr>
        <w:footnoteReference w:id="90"/>
      </w:r>
      <w:r w:rsidRPr="007D6E0C" w:rsidR="00B31370">
        <w:t xml:space="preserve">  We seek comment on whether reassigned number solutions </w:t>
      </w:r>
      <w:r w:rsidRPr="007D6E0C" w:rsidR="00A82282">
        <w:t>that are available in the marketplace today are comprehensive and timely,</w:t>
      </w:r>
      <w:r w:rsidRPr="007D6E0C" w:rsidR="00B31370">
        <w:t xml:space="preserve"> and, if not, </w:t>
      </w:r>
      <w:r w:rsidRPr="007D6E0C" w:rsidR="00A82282">
        <w:t xml:space="preserve">what </w:t>
      </w:r>
      <w:r w:rsidRPr="007D6E0C" w:rsidR="00B31370">
        <w:t>efforts the FCC c</w:t>
      </w:r>
      <w:r w:rsidRPr="007D6E0C" w:rsidR="00405828">
        <w:t>ould</w:t>
      </w:r>
      <w:r w:rsidRPr="007D6E0C" w:rsidR="00B31370">
        <w:t xml:space="preserve"> undertake to </w:t>
      </w:r>
      <w:r w:rsidRPr="007D6E0C" w:rsidR="000242A4">
        <w:t xml:space="preserve">incentivize </w:t>
      </w:r>
      <w:r w:rsidRPr="007D6E0C" w:rsidR="00B31370">
        <w:t>improve</w:t>
      </w:r>
      <w:r w:rsidRPr="007D6E0C" w:rsidR="007E4D4A">
        <w:t>ment</w:t>
      </w:r>
      <w:r w:rsidRPr="007D6E0C" w:rsidR="00B31370">
        <w:t xml:space="preserve"> </w:t>
      </w:r>
      <w:r w:rsidRPr="007D6E0C" w:rsidR="00A82282">
        <w:t>of these solutions</w:t>
      </w:r>
      <w:r w:rsidRPr="007D6E0C" w:rsidR="00B31370">
        <w:t xml:space="preserve">.  </w:t>
      </w:r>
      <w:r w:rsidRPr="007D6E0C" w:rsidR="00435207">
        <w:t xml:space="preserve">For example, </w:t>
      </w:r>
      <w:r w:rsidRPr="007D6E0C" w:rsidR="00C0683D">
        <w:t>CTIA and others</w:t>
      </w:r>
      <w:r w:rsidRPr="007D6E0C" w:rsidR="00435207">
        <w:t xml:space="preserve"> </w:t>
      </w:r>
      <w:r w:rsidRPr="007D6E0C" w:rsidR="000242A4">
        <w:t xml:space="preserve">argue that the Commission should adopt a safe harbor from TCPA violations for those callers that use existing commercial solutions.  They further suggest that the safe harbor would </w:t>
      </w:r>
      <w:r w:rsidRPr="007D6E0C" w:rsidR="00435207">
        <w:t xml:space="preserve">lead to widespread use of </w:t>
      </w:r>
      <w:r w:rsidRPr="007D6E0C" w:rsidR="00A82282">
        <w:t>existing solutions</w:t>
      </w:r>
      <w:r w:rsidRPr="007D6E0C" w:rsidR="00D8726B">
        <w:t xml:space="preserve"> by callers</w:t>
      </w:r>
      <w:r w:rsidRPr="007D6E0C" w:rsidR="0089029F">
        <w:t xml:space="preserve">, which would </w:t>
      </w:r>
      <w:r w:rsidRPr="007D6E0C" w:rsidR="00A82282">
        <w:t xml:space="preserve">in turn </w:t>
      </w:r>
      <w:r w:rsidRPr="007D6E0C" w:rsidR="00C0683D">
        <w:t>create more competition among</w:t>
      </w:r>
      <w:r w:rsidRPr="007D6E0C" w:rsidR="00735F23">
        <w:t xml:space="preserve"> </w:t>
      </w:r>
      <w:r w:rsidRPr="007D6E0C" w:rsidR="00C0683D">
        <w:t>commercial data aggregators</w:t>
      </w:r>
      <w:r w:rsidRPr="007D6E0C" w:rsidR="0089029F">
        <w:t xml:space="preserve">, </w:t>
      </w:r>
      <w:r w:rsidRPr="007D6E0C" w:rsidR="000242A4">
        <w:t xml:space="preserve">spur those data aggregators to pay service providers to induce them to report data, </w:t>
      </w:r>
      <w:r w:rsidRPr="007D6E0C" w:rsidR="00C0683D">
        <w:t xml:space="preserve">and </w:t>
      </w:r>
      <w:r w:rsidRPr="007D6E0C" w:rsidR="000242A4">
        <w:t>result in more comprehensive and reliable databases</w:t>
      </w:r>
      <w:r w:rsidRPr="007D6E0C" w:rsidR="00435207">
        <w:t>.</w:t>
      </w:r>
      <w:r>
        <w:rPr>
          <w:rStyle w:val="FootnoteReference"/>
        </w:rPr>
        <w:footnoteReference w:id="91"/>
      </w:r>
      <w:r w:rsidRPr="007D6E0C" w:rsidR="00435207">
        <w:t xml:space="preserve"> </w:t>
      </w:r>
      <w:r w:rsidRPr="007D6E0C" w:rsidR="00D8726B">
        <w:t xml:space="preserve"> </w:t>
      </w:r>
      <w:r w:rsidRPr="007D6E0C" w:rsidR="00C0683D">
        <w:t xml:space="preserve">Do commenters agree </w:t>
      </w:r>
      <w:r w:rsidRPr="007D6E0C" w:rsidR="00640C12">
        <w:t xml:space="preserve">with this view?  </w:t>
      </w:r>
      <w:r w:rsidRPr="007D6E0C" w:rsidR="000242A4">
        <w:t xml:space="preserve">Commenters that advocate </w:t>
      </w:r>
      <w:r w:rsidRPr="007D6E0C" w:rsidR="00735F23">
        <w:t xml:space="preserve">adoption of </w:t>
      </w:r>
      <w:r w:rsidRPr="007D6E0C" w:rsidR="000242A4">
        <w:t>a safe harbor should explain in detail the Commission’s legal authority to take such action.</w:t>
      </w:r>
      <w:r w:rsidRPr="007D6E0C" w:rsidR="0020437D">
        <w:t xml:space="preserve">  </w:t>
      </w:r>
      <w:r w:rsidRPr="007D6E0C" w:rsidR="00640C12">
        <w:t xml:space="preserve">If the Commission were to adopt a safe harbor, </w:t>
      </w:r>
      <w:r w:rsidRPr="007D6E0C" w:rsidR="00022386">
        <w:t>under what circumstances should callers be allowed to avail themselves of the safe harbor?  For example, how often would a caller need to check a reassigned numbers database under a safe harbor</w:t>
      </w:r>
      <w:r w:rsidRPr="007D6E0C" w:rsidR="00640C12">
        <w:t>?</w:t>
      </w:r>
      <w:r>
        <w:rPr>
          <w:rStyle w:val="FootnoteReference"/>
        </w:rPr>
        <w:footnoteReference w:id="92"/>
      </w:r>
      <w:r w:rsidRPr="007D6E0C" w:rsidR="00640C12">
        <w:t xml:space="preserve">  </w:t>
      </w:r>
      <w:r w:rsidRPr="007D6E0C" w:rsidR="00022386">
        <w:t xml:space="preserve">And what parameters, in terms of comprehensiveness and timeliness of the data, would a reassigned numbers database used by such a caller need to satisfy?  For instance, would a database need to have a certain percentage of service providers’ data before a caller could use it under the safe harbor?  </w:t>
      </w:r>
      <w:r w:rsidRPr="007D6E0C" w:rsidR="00124AED">
        <w:t xml:space="preserve">Would coverage of 90 percent of allocated numbers be sufficient?  95 percent?  99 percent?  </w:t>
      </w:r>
      <w:r w:rsidRPr="007D6E0C" w:rsidR="00F42F1F">
        <w:t>Would, as with the mandatory reporting approach, a data aggregator need to meet specific qualifying criteria, including certification?</w:t>
      </w:r>
      <w:r>
        <w:rPr>
          <w:rStyle w:val="FootnoteReference"/>
        </w:rPr>
        <w:footnoteReference w:id="93"/>
      </w:r>
      <w:r w:rsidRPr="007D6E0C" w:rsidR="00F42F1F">
        <w:t xml:space="preserve">  </w:t>
      </w:r>
      <w:r w:rsidRPr="007D6E0C" w:rsidR="0020437D">
        <w:t>We also seek comment on whether there a</w:t>
      </w:r>
      <w:r w:rsidRPr="007D6E0C" w:rsidR="005A5CFD">
        <w:t xml:space="preserve">re there other incentives, </w:t>
      </w:r>
      <w:r w:rsidRPr="007D6E0C" w:rsidR="00F42F1F">
        <w:t xml:space="preserve">along with or </w:t>
      </w:r>
      <w:r w:rsidRPr="007D6E0C" w:rsidR="000242A4">
        <w:t xml:space="preserve">in addition to </w:t>
      </w:r>
      <w:r w:rsidRPr="007D6E0C" w:rsidR="005A5CFD">
        <w:t xml:space="preserve">a safe </w:t>
      </w:r>
      <w:r w:rsidRPr="007D6E0C" w:rsidR="00B778F6">
        <w:t xml:space="preserve">harbor, </w:t>
      </w:r>
      <w:r w:rsidRPr="007D6E0C" w:rsidR="000242A4">
        <w:t xml:space="preserve">that </w:t>
      </w:r>
      <w:r w:rsidRPr="007D6E0C" w:rsidR="005A5CFD">
        <w:t xml:space="preserve">the Commission could </w:t>
      </w:r>
      <w:r w:rsidRPr="007D6E0C" w:rsidR="00BB59CC">
        <w:t xml:space="preserve">create </w:t>
      </w:r>
      <w:r w:rsidRPr="007D6E0C" w:rsidR="000242A4">
        <w:t xml:space="preserve">to encourage the development of comprehensive and timely reassigned numbers databases </w:t>
      </w:r>
      <w:r w:rsidRPr="007D6E0C" w:rsidR="00BB59CC">
        <w:t>under a voluntary reporting approach</w:t>
      </w:r>
      <w:r w:rsidRPr="007D6E0C" w:rsidR="000242A4">
        <w:t>.</w:t>
      </w:r>
      <w:r w:rsidRPr="007D6E0C">
        <w:rPr>
          <w:i/>
        </w:rPr>
        <w:t xml:space="preserve"> </w:t>
      </w:r>
    </w:p>
    <w:p w:rsidR="00080707" w:rsidRPr="007D6E0C" w:rsidP="009D04B7" w14:paraId="69221635" w14:textId="77777777">
      <w:pPr>
        <w:pStyle w:val="ParaNum"/>
      </w:pPr>
      <w:r w:rsidRPr="007D6E0C">
        <w:rPr>
          <w:i/>
        </w:rPr>
        <w:t>Reporting.</w:t>
      </w:r>
      <w:r w:rsidRPr="007D6E0C">
        <w:t xml:space="preserve">  Under </w:t>
      </w:r>
      <w:r w:rsidRPr="007D6E0C" w:rsidR="00BB59CC">
        <w:t>a voluntary reporting approach</w:t>
      </w:r>
      <w:r w:rsidRPr="007D6E0C">
        <w:t xml:space="preserve">, we anticipate that service providers would enter into </w:t>
      </w:r>
      <w:r w:rsidRPr="007D6E0C" w:rsidR="00A82282">
        <w:t xml:space="preserve">bilateral commercial </w:t>
      </w:r>
      <w:r w:rsidRPr="007D6E0C">
        <w:t xml:space="preserve">agreements with data aggregators for purposes of reporting data.  </w:t>
      </w:r>
      <w:r w:rsidRPr="007D6E0C" w:rsidR="00AE75DB">
        <w:t xml:space="preserve">Are there ways to improve the reporting infrastructure, including reducing administrative costs and increasing confidence in query results, such as by </w:t>
      </w:r>
      <w:r w:rsidRPr="007D6E0C" w:rsidR="00124AED">
        <w:t xml:space="preserve">using </w:t>
      </w:r>
      <w:r w:rsidRPr="007D6E0C" w:rsidR="00AE75DB">
        <w:t>distributed ledger technology?</w:t>
      </w:r>
      <w:r>
        <w:rPr>
          <w:rStyle w:val="FootnoteReference"/>
        </w:rPr>
        <w:footnoteReference w:id="94"/>
      </w:r>
      <w:r w:rsidRPr="007D6E0C" w:rsidR="00AE75DB">
        <w:t xml:space="preserve">  What other actions could the Commission </w:t>
      </w:r>
      <w:r w:rsidRPr="007D6E0C">
        <w:t xml:space="preserve">take to better facilitate more widespread reporting by service providers </w:t>
      </w:r>
      <w:r w:rsidRPr="007D6E0C" w:rsidR="00A82282">
        <w:t>without mandating</w:t>
      </w:r>
      <w:r w:rsidRPr="007D6E0C">
        <w:t xml:space="preserve"> report</w:t>
      </w:r>
      <w:r w:rsidRPr="007D6E0C" w:rsidR="00AE75DB">
        <w:t>ing</w:t>
      </w:r>
      <w:r w:rsidRPr="007D6E0C">
        <w:t>?</w:t>
      </w:r>
    </w:p>
    <w:p w:rsidR="008F149B" w:rsidRPr="007D6E0C" w:rsidP="006D11F6" w14:paraId="5BBAEC4F" w14:textId="77777777">
      <w:pPr>
        <w:pStyle w:val="ParaNum"/>
      </w:pPr>
      <w:r w:rsidRPr="007D6E0C">
        <w:rPr>
          <w:i/>
        </w:rPr>
        <w:t>Cost Recovery</w:t>
      </w:r>
      <w:r w:rsidRPr="007D6E0C" w:rsidR="00803331">
        <w:rPr>
          <w:i/>
        </w:rPr>
        <w:t xml:space="preserve">.  </w:t>
      </w:r>
      <w:r w:rsidRPr="007D6E0C" w:rsidR="000242A4">
        <w:t xml:space="preserve">Under this voluntary approach, we expect that service providers would recover their reporting costs from data aggregators and those data aggregators would in turn pass those costs on to callers seeking to query their databases.  We seek comment on this view and on any related issues.  In particular, we seek comment on how best to </w:t>
      </w:r>
      <w:r w:rsidRPr="007D6E0C">
        <w:t>ensure that small service provider</w:t>
      </w:r>
      <w:r w:rsidRPr="007D6E0C" w:rsidR="00803331">
        <w:t xml:space="preserve">s recover their costs and </w:t>
      </w:r>
      <w:r w:rsidRPr="007D6E0C">
        <w:t>are able to have their reassigned number data included in these databases.</w:t>
      </w:r>
    </w:p>
    <w:p w:rsidR="006D11F6" w:rsidRPr="007D6E0C" w:rsidP="006D11F6" w14:paraId="2D08729C" w14:textId="5B36DDD4">
      <w:pPr>
        <w:pStyle w:val="ParaNum"/>
      </w:pPr>
      <w:r w:rsidRPr="007D6E0C">
        <w:rPr>
          <w:i/>
        </w:rPr>
        <w:t>Costs and Benefits</w:t>
      </w:r>
      <w:r w:rsidRPr="007D6E0C">
        <w:t>.  We seek comment on the effectiveness, costs</w:t>
      </w:r>
      <w:r w:rsidR="009E5A18">
        <w:t xml:space="preserve"> (including specific cost estimates)</w:t>
      </w:r>
      <w:r w:rsidRPr="007D6E0C">
        <w:t xml:space="preserve">, and benefits of voluntary </w:t>
      </w:r>
      <w:r w:rsidRPr="007D6E0C" w:rsidR="00DF74D1">
        <w:t>reporting to commercial data aggregators</w:t>
      </w:r>
      <w:r w:rsidRPr="007D6E0C">
        <w:t xml:space="preserve"> relative to the other approaches discussed above.  For example, we anticipate that while a voluntary approach would give service providers more flexibility than a mandatory approach, it would </w:t>
      </w:r>
      <w:r w:rsidRPr="007D6E0C" w:rsidR="00C73B45">
        <w:t xml:space="preserve">nevertheless </w:t>
      </w:r>
      <w:r w:rsidRPr="007D6E0C">
        <w:t xml:space="preserve">result in less comprehensive databases and would therefore be less effective in addressing the reassigned numbers problem than the alternatives discussed above.  We seek comment on this view.  Additionally, would callers have to pay more or less for database access under a voluntary approach than under the approaches discussed above or under existing commercial solutions?  We seek comment on these issues and on any other factors that commenters believe we should consider in evaluating a voluntary </w:t>
      </w:r>
      <w:r w:rsidRPr="007D6E0C" w:rsidR="0047519A">
        <w:t>reporting</w:t>
      </w:r>
      <w:r w:rsidRPr="007D6E0C">
        <w:t xml:space="preserve"> approach as a solution to the reassigned numbers problem.</w:t>
      </w:r>
    </w:p>
    <w:p w:rsidR="00D63EBF" w:rsidRPr="007D6E0C" w:rsidP="00D63EBF" w14:paraId="38219154" w14:textId="77777777">
      <w:pPr>
        <w:pStyle w:val="Heading1"/>
        <w:rPr>
          <w:rFonts w:ascii="Times New Roman" w:hAnsi="Times New Roman"/>
        </w:rPr>
      </w:pPr>
      <w:bookmarkStart w:id="5" w:name="_Toc321413797"/>
      <w:bookmarkStart w:id="6" w:name="_Toc323112997"/>
      <w:r w:rsidRPr="007D6E0C">
        <w:rPr>
          <w:rFonts w:ascii="Times New Roman" w:hAnsi="Times New Roman"/>
        </w:rPr>
        <w:t>PROCEDURAL MATTERS</w:t>
      </w:r>
      <w:bookmarkStart w:id="7" w:name="_Toc93232821"/>
      <w:bookmarkStart w:id="8" w:name="_Toc93234676"/>
      <w:bookmarkStart w:id="9" w:name="_Toc93823531"/>
      <w:bookmarkStart w:id="10" w:name="_Toc93838105"/>
      <w:bookmarkStart w:id="11" w:name="_Toc94410226"/>
      <w:bookmarkStart w:id="12" w:name="_Toc94425722"/>
      <w:bookmarkStart w:id="13" w:name="_Toc94523111"/>
      <w:bookmarkStart w:id="14" w:name="_Toc94529946"/>
      <w:bookmarkStart w:id="15" w:name="_Toc94695351"/>
      <w:bookmarkStart w:id="16" w:name="_Toc95053163"/>
      <w:bookmarkStart w:id="17" w:name="_Toc95185660"/>
      <w:bookmarkStart w:id="18" w:name="_Toc263955108"/>
      <w:bookmarkStart w:id="19" w:name="_Toc264045068"/>
      <w:bookmarkStart w:id="20" w:name="_Toc264358610"/>
      <w:bookmarkStart w:id="21" w:name="_Toc264469649"/>
      <w:bookmarkStart w:id="22" w:name="_Toc264626491"/>
      <w:bookmarkStart w:id="23" w:name="_Toc265149300"/>
      <w:bookmarkStart w:id="24" w:name="_Toc266187826"/>
      <w:bookmarkStart w:id="25" w:name="_Toc266448379"/>
      <w:bookmarkEnd w:id="5"/>
      <w:bookmarkEnd w:id="6"/>
    </w:p>
    <w:p w:rsidR="00D63EBF" w:rsidRPr="007D6E0C" w:rsidP="00D63EBF" w14:paraId="7AD1285E" w14:textId="2815F2E8">
      <w:pPr>
        <w:pStyle w:val="ParaNum"/>
      </w:pP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7D6E0C">
        <w:rPr>
          <w:i/>
        </w:rPr>
        <w:t>Initial Regulatory Flexibility Act Analysis</w:t>
      </w:r>
      <w:r w:rsidRPr="007D6E0C">
        <w:t>.—</w:t>
      </w:r>
      <w:r w:rsidRPr="007D6E0C">
        <w:t xml:space="preserve">With respect to this </w:t>
      </w:r>
      <w:r w:rsidRPr="007D6E0C">
        <w:rPr>
          <w:i/>
        </w:rPr>
        <w:t>Second Further Notice of Proposed Rulemaking</w:t>
      </w:r>
      <w:r w:rsidRPr="007D6E0C">
        <w:t>, an Initial Regulatory Flexibility Analysis (</w:t>
      </w:r>
      <w:r w:rsidR="00A81B38">
        <w:t>IRFA) is contained in Appendix B</w:t>
      </w:r>
      <w:r w:rsidRPr="007D6E0C">
        <w:t>.  As required by Section 603 of the Regulatory Flexibility Act of 1980, as amended,</w:t>
      </w:r>
      <w:r>
        <w:rPr>
          <w:rStyle w:val="FootnoteReference"/>
          <w:sz w:val="22"/>
          <w:szCs w:val="22"/>
        </w:rPr>
        <w:footnoteReference w:id="95"/>
      </w:r>
      <w:r w:rsidRPr="007D6E0C">
        <w:t xml:space="preserve"> the Commission has prepared an IRFA of the expected impact on small entities of the proposals contained in the </w:t>
      </w:r>
      <w:r w:rsidRPr="007D6E0C">
        <w:rPr>
          <w:i/>
        </w:rPr>
        <w:t>Second Further Notice of Proposed Rulemaking.</w:t>
      </w:r>
      <w:r w:rsidRPr="007D6E0C">
        <w:t xml:space="preserve">  Written public comments are requested on the IRFA.  Comments must be identified as responses to the IRFA and must be filed by the deadlines for comments on the </w:t>
      </w:r>
      <w:r w:rsidRPr="007D6E0C">
        <w:rPr>
          <w:i/>
        </w:rPr>
        <w:t>Second Further Notice of Proposed Rulemaking</w:t>
      </w:r>
      <w:r w:rsidRPr="007D6E0C">
        <w:t>.</w:t>
      </w:r>
      <w:r w:rsidRPr="007D6E0C">
        <w:rPr>
          <w:i/>
        </w:rPr>
        <w:t xml:space="preserve">  </w:t>
      </w:r>
      <w:r w:rsidRPr="007D6E0C">
        <w:t xml:space="preserve">The Commission will send a copy of the </w:t>
      </w:r>
      <w:r w:rsidRPr="007D6E0C">
        <w:rPr>
          <w:i/>
        </w:rPr>
        <w:t>Second Further</w:t>
      </w:r>
      <w:r w:rsidRPr="007D6E0C">
        <w:t xml:space="preserve"> </w:t>
      </w:r>
      <w:r w:rsidRPr="007D6E0C">
        <w:rPr>
          <w:i/>
        </w:rPr>
        <w:t>Notice of Proposed Rulemaking</w:t>
      </w:r>
      <w:r w:rsidRPr="007D6E0C">
        <w:t>, including the IRFA, to the Chief Counsel for Advocacy of the Small Business Administration.</w:t>
      </w:r>
      <w:r>
        <w:rPr>
          <w:rStyle w:val="FootnoteReference"/>
          <w:sz w:val="22"/>
          <w:szCs w:val="22"/>
        </w:rPr>
        <w:footnoteReference w:id="96"/>
      </w:r>
    </w:p>
    <w:p w:rsidR="00D63EBF" w:rsidRPr="007D6E0C" w:rsidP="00D63EBF" w14:paraId="45068AB8" w14:textId="77777777">
      <w:pPr>
        <w:pStyle w:val="ParaNum"/>
      </w:pPr>
      <w:r w:rsidRPr="007D6E0C">
        <w:rPr>
          <w:i/>
        </w:rPr>
        <w:t>Paperwork Reduction Act</w:t>
      </w:r>
      <w:r w:rsidRPr="007D6E0C">
        <w:t>.—</w:t>
      </w:r>
      <w:r w:rsidRPr="007D6E0C">
        <w:t xml:space="preserve">The </w:t>
      </w:r>
      <w:r w:rsidRPr="007D6E0C">
        <w:rPr>
          <w:i/>
        </w:rPr>
        <w:t xml:space="preserve">Second Further Notice of Proposed Rulemaking </w:t>
      </w:r>
      <w:r w:rsidRPr="007D6E0C">
        <w:t>contains either new or modified information collection requirements subject to the Paperwork Reduction Act of 1995 (PRA).</w:t>
      </w:r>
      <w:r>
        <w:rPr>
          <w:rStyle w:val="FootnoteReference"/>
        </w:rPr>
        <w:footnoteReference w:id="97"/>
      </w:r>
      <w:r w:rsidRPr="007D6E0C">
        <w:t xml:space="preserve">  It will be submitted to the Office of Management and Budget (OMB) for review under Section 3507(d) of the PRA.  OMB, the general public, and other federal agencies are invited to comment on the new or modified information collection requirements contained in this proceeding.  In addition, pursuant to the Small Business Paperwork Relief Act of 2002,</w:t>
      </w:r>
      <w:r>
        <w:rPr>
          <w:rStyle w:val="FootnoteReference"/>
          <w:sz w:val="22"/>
          <w:szCs w:val="22"/>
        </w:rPr>
        <w:footnoteReference w:id="98"/>
      </w:r>
      <w:r w:rsidRPr="007D6E0C">
        <w:t xml:space="preserve"> we seek specific comment on how we might “further reduce the information collection burden for small business concerns with fewer than 25 employees.”</w:t>
      </w:r>
      <w:r>
        <w:rPr>
          <w:rStyle w:val="FootnoteReference"/>
          <w:sz w:val="22"/>
          <w:szCs w:val="22"/>
        </w:rPr>
        <w:footnoteReference w:id="99"/>
      </w:r>
    </w:p>
    <w:p w:rsidR="00D63EBF" w:rsidRPr="007D6E0C" w:rsidP="00D63EBF" w14:paraId="27049654" w14:textId="77777777">
      <w:pPr>
        <w:pStyle w:val="ParaNum"/>
      </w:pPr>
      <w:bookmarkStart w:id="26" w:name="_Toc7593356"/>
      <w:bookmarkStart w:id="27" w:name="_Toc14775799"/>
      <w:bookmarkStart w:id="28" w:name="_Toc14851707"/>
      <w:bookmarkStart w:id="29" w:name="_Toc14853193"/>
      <w:bookmarkStart w:id="30" w:name="_Toc14854128"/>
      <w:bookmarkStart w:id="31" w:name="_Toc14854771"/>
      <w:bookmarkStart w:id="32" w:name="_Toc15955789"/>
      <w:bookmarkStart w:id="33" w:name="_Toc15956274"/>
      <w:bookmarkStart w:id="34" w:name="_Toc15958728"/>
      <w:bookmarkStart w:id="35" w:name="_Toc15962935"/>
      <w:bookmarkStart w:id="36" w:name="_Toc16003939"/>
      <w:bookmarkStart w:id="37" w:name="_Toc16004034"/>
      <w:bookmarkStart w:id="38" w:name="_Toc16004203"/>
      <w:bookmarkStart w:id="39" w:name="_Toc16043244"/>
      <w:bookmarkStart w:id="40" w:name="_Toc16262638"/>
      <w:bookmarkStart w:id="41" w:name="_Toc16330297"/>
      <w:bookmarkStart w:id="42" w:name="_Toc16410264"/>
      <w:bookmarkStart w:id="43" w:name="_Toc16410851"/>
      <w:bookmarkStart w:id="44" w:name="_Toc16575678"/>
      <w:bookmarkStart w:id="45" w:name="_Toc16932063"/>
      <w:bookmarkStart w:id="46" w:name="_Toc17735562"/>
      <w:bookmarkStart w:id="47" w:name="_Toc17784136"/>
      <w:bookmarkStart w:id="48" w:name="_Toc44230700"/>
      <w:bookmarkStart w:id="49" w:name="_Toc45435601"/>
      <w:bookmarkStart w:id="50" w:name="_Toc46307195"/>
      <w:bookmarkStart w:id="51" w:name="_Toc62637448"/>
      <w:bookmarkStart w:id="52" w:name="_Toc62884650"/>
      <w:bookmarkStart w:id="53" w:name="_Toc67709100"/>
      <w:bookmarkStart w:id="54" w:name="_Toc84753013"/>
      <w:bookmarkStart w:id="55" w:name="_Toc84753850"/>
      <w:r w:rsidRPr="007D6E0C">
        <w:rPr>
          <w:i/>
        </w:rPr>
        <w:t>Ex Parte Rules.—</w:t>
      </w:r>
      <w:r w:rsidRPr="007D6E0C">
        <w:rPr>
          <w:i/>
        </w:rPr>
        <w:t>Permit-But-Disclose</w:t>
      </w:r>
      <w:r w:rsidRPr="007D6E0C">
        <w:t xml:space="preserve">.  The proceeding this </w:t>
      </w:r>
      <w:r w:rsidRPr="007D6E0C">
        <w:rPr>
          <w:i/>
        </w:rPr>
        <w:t xml:space="preserve">Second Further Notice of Proposed Rulemaking </w:t>
      </w:r>
      <w:r w:rsidRPr="007D6E0C">
        <w:t xml:space="preserve">initiates shall be treated as a “permit-but-disclose” proceeding in accordance with the Commission’s </w:t>
      </w:r>
      <w:r w:rsidRPr="007D6E0C">
        <w:rPr>
          <w:i/>
          <w:iCs/>
        </w:rPr>
        <w:t xml:space="preserve">ex parte </w:t>
      </w:r>
      <w:r w:rsidRPr="007D6E0C">
        <w:t>rules.</w:t>
      </w:r>
      <w:r>
        <w:rPr>
          <w:vertAlign w:val="superscript"/>
        </w:rPr>
        <w:footnoteReference w:id="100"/>
      </w:r>
      <w:r w:rsidRPr="007D6E0C">
        <w:t xml:space="preserve">  Persons making </w:t>
      </w:r>
      <w:r w:rsidRPr="007D6E0C">
        <w:rPr>
          <w:i/>
        </w:rPr>
        <w:t xml:space="preserve">ex parte </w:t>
      </w:r>
      <w:r w:rsidRPr="007D6E0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7D6E0C">
        <w:rPr>
          <w:i/>
          <w:iCs/>
        </w:rPr>
        <w:t xml:space="preserve">ex parte </w:t>
      </w:r>
      <w:r w:rsidRPr="007D6E0C">
        <w:t xml:space="preserve">presentations are reminded that memoranda summarizing the presentation must (1) list all persons attending or otherwise participating in the meeting at which the </w:t>
      </w:r>
      <w:r w:rsidRPr="007D6E0C">
        <w:rPr>
          <w:i/>
          <w:iCs/>
        </w:rPr>
        <w:t xml:space="preserve">ex parte </w:t>
      </w:r>
      <w:r w:rsidRPr="007D6E0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D6E0C">
        <w:rPr>
          <w:i/>
          <w:iCs/>
        </w:rPr>
        <w:t xml:space="preserve">ex parte </w:t>
      </w:r>
      <w:r w:rsidRPr="007D6E0C">
        <w:t xml:space="preserve">meetings are deemed to be written </w:t>
      </w:r>
      <w:r w:rsidRPr="007D6E0C">
        <w:rPr>
          <w:i/>
          <w:iCs/>
        </w:rPr>
        <w:t>ex parte</w:t>
      </w:r>
      <w:r w:rsidRPr="007D6E0C">
        <w:t xml:space="preserve"> presentations and must be filed consistent with rule 1.1206(b).  In proceedings governed by rule 1.49(f) or for which the Commission has made available a method of electronic filing, written </w:t>
      </w:r>
      <w:r w:rsidRPr="007D6E0C">
        <w:rPr>
          <w:i/>
          <w:iCs/>
        </w:rPr>
        <w:t xml:space="preserve">ex parte </w:t>
      </w:r>
      <w:r w:rsidRPr="007D6E0C">
        <w:t xml:space="preserve">presentations and memoranda summarizing oral </w:t>
      </w:r>
      <w:r w:rsidRPr="007D6E0C">
        <w:rPr>
          <w:i/>
          <w:iCs/>
        </w:rPr>
        <w:t xml:space="preserve">ex parte </w:t>
      </w:r>
      <w:r w:rsidRPr="007D6E0C">
        <w:t>presentations, and all attachments thereto, must be filed through the electronic comment filing system available for that proceeding, and must be filed in their native format (</w:t>
      </w:r>
      <w:r w:rsidRPr="007D6E0C">
        <w:rPr>
          <w:i/>
          <w:iCs/>
        </w:rPr>
        <w:t>e.g.</w:t>
      </w:r>
      <w:r w:rsidRPr="007D6E0C">
        <w:t xml:space="preserve">, .doc, .xml, .ppt, searchable .pdf).  Participants in this proceeding should familiarize themselves with the Commission’s </w:t>
      </w:r>
      <w:r w:rsidRPr="007D6E0C">
        <w:rPr>
          <w:i/>
          <w:iCs/>
        </w:rPr>
        <w:t xml:space="preserve">ex parte </w:t>
      </w:r>
      <w:r w:rsidRPr="007D6E0C">
        <w:t>rules.</w:t>
      </w:r>
    </w:p>
    <w:p w:rsidR="00D63EBF" w:rsidRPr="007D6E0C" w:rsidP="00D63EBF" w14:paraId="7607D40D" w14:textId="77777777">
      <w:pPr>
        <w:pStyle w:val="ParaNum"/>
      </w:pPr>
      <w:r w:rsidRPr="007D6E0C">
        <w:rPr>
          <w:i/>
        </w:rPr>
        <w:t>Filing Requirements</w:t>
      </w:r>
      <w:r w:rsidRPr="007D6E0C">
        <w:t>.—</w:t>
      </w:r>
      <w:r w:rsidRPr="007D6E0C">
        <w:rPr>
          <w:i/>
        </w:rPr>
        <w:t>Comments and Replies</w:t>
      </w:r>
      <w:r w:rsidRPr="007D6E0C">
        <w:t xml:space="preserve">.  Pursuant to </w:t>
      </w:r>
      <w:r w:rsidRPr="007D6E0C" w:rsidR="000D309F">
        <w:t>S</w:t>
      </w:r>
      <w:r w:rsidRPr="007D6E0C">
        <w:t xml:space="preserve">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7D6E0C">
        <w:rPr>
          <w:i/>
        </w:rPr>
        <w:t>See Electronic Filing of Documents in Rulemaking Proceedings</w:t>
      </w:r>
      <w:r w:rsidRPr="007D6E0C">
        <w:t>, 63 FR 24121 (1998).</w:t>
      </w:r>
    </w:p>
    <w:p w:rsidR="00D63EBF" w:rsidRPr="007D6E0C" w:rsidP="00D63EBF" w14:paraId="255EF820" w14:textId="77777777">
      <w:pPr>
        <w:pStyle w:val="ParaNum"/>
      </w:pPr>
      <w:r w:rsidRPr="007D6E0C">
        <w:t xml:space="preserve">Electronic Filers:  Comments may be filed electronically using the Internet by accessing the ECFS:  </w:t>
      </w:r>
      <w:r>
        <w:fldChar w:fldCharType="begin"/>
      </w:r>
      <w:r>
        <w:instrText xml:space="preserve"> HYPERLINK "http://apps.fcc.gov/ecfs/" </w:instrText>
      </w:r>
      <w:r>
        <w:fldChar w:fldCharType="separate"/>
      </w:r>
      <w:r w:rsidRPr="007D6E0C">
        <w:rPr>
          <w:rStyle w:val="Hyperlink"/>
        </w:rPr>
        <w:t>http://apps.fcc.gov/ecfs/</w:t>
      </w:r>
      <w:r>
        <w:fldChar w:fldCharType="end"/>
      </w:r>
      <w:r w:rsidRPr="007D6E0C">
        <w:t>.</w:t>
      </w:r>
    </w:p>
    <w:p w:rsidR="00D63EBF" w:rsidRPr="007D6E0C" w:rsidP="00D63EBF" w14:paraId="4761B1C6" w14:textId="77777777">
      <w:pPr>
        <w:pStyle w:val="ParaNum"/>
      </w:pPr>
      <w:r w:rsidRPr="007D6E0C">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63EBF" w:rsidRPr="007D6E0C" w:rsidP="00D63EBF" w14:paraId="09EDE415" w14:textId="77777777">
      <w:pPr>
        <w:pStyle w:val="ParaNum"/>
      </w:pPr>
      <w:r w:rsidRPr="007D6E0C">
        <w:t>Filings can be sent by hand or messenger delivery, by commercial overnight courier, or by first-class or overnight U.S. Postal Service mail.  All filings must be addressed to the Commission’s Secretary, Office of the Secretary, Federal Communications Commission.</w:t>
      </w:r>
    </w:p>
    <w:p w:rsidR="00D63EBF" w:rsidRPr="007D6E0C" w:rsidP="00D63EBF" w14:paraId="0653A35E" w14:textId="77777777">
      <w:pPr>
        <w:pStyle w:val="ParaNum"/>
      </w:pPr>
      <w:r w:rsidRPr="007D6E0C">
        <w:t>All hand-delivered or messenger-delivered paper filings for the Commission’s Secretary must be delivered to FCC Headquarters at 445 12</w:t>
      </w:r>
      <w:r w:rsidRPr="007D6E0C">
        <w:rPr>
          <w:vertAlign w:val="superscript"/>
        </w:rPr>
        <w:t>th</w:t>
      </w:r>
      <w:r w:rsidRPr="007D6E0C">
        <w:t xml:space="preserve"> St., SW, Room TW-A325, Washington, DC 20554.  The filing hours are 8:00 a.m. to 7:00 p.m.  All hand deliveries must be held together with rubber bands or fasteners.  Any envelopes and boxes must be disposed of </w:t>
      </w:r>
      <w:r w:rsidRPr="007D6E0C">
        <w:rPr>
          <w:u w:val="single"/>
        </w:rPr>
        <w:t>before</w:t>
      </w:r>
      <w:r w:rsidRPr="007D6E0C">
        <w:t xml:space="preserve"> entering the building.</w:t>
      </w:r>
    </w:p>
    <w:p w:rsidR="00D63EBF" w:rsidRPr="007D6E0C" w:rsidP="00D63EBF" w14:paraId="51AF074B" w14:textId="77777777">
      <w:pPr>
        <w:pStyle w:val="ParaNum"/>
      </w:pPr>
      <w:r w:rsidRPr="007D6E0C">
        <w:t>Commercial overnight mail (other than U.S. Postal Service Express Mail and Priority Mail) must be sent to 9050 Junction Drive, Annapolis Junction, MD  20743.</w:t>
      </w:r>
    </w:p>
    <w:p w:rsidR="00D63EBF" w:rsidRPr="007D6E0C" w:rsidP="00D63EBF" w14:paraId="42B7A049" w14:textId="77777777">
      <w:pPr>
        <w:pStyle w:val="ParaNum"/>
      </w:pPr>
      <w:r w:rsidRPr="007D6E0C">
        <w:t>U.S. Postal Service first-class, Express, and Priority mail must be addressed to 445 12</w:t>
      </w:r>
      <w:r w:rsidRPr="007D6E0C">
        <w:rPr>
          <w:vertAlign w:val="superscript"/>
        </w:rPr>
        <w:t>th</w:t>
      </w:r>
      <w:r w:rsidRPr="007D6E0C">
        <w:t xml:space="preserve"> Street, SW, Washington DC  20554.</w:t>
      </w:r>
    </w:p>
    <w:p w:rsidR="00D63EBF" w:rsidRPr="007D6E0C" w:rsidP="00D63EBF" w14:paraId="198CFAC5" w14:textId="77777777">
      <w:pPr>
        <w:pStyle w:val="ParaNum"/>
      </w:pPr>
      <w:r w:rsidRPr="007D6E0C">
        <w:rPr>
          <w:i/>
        </w:rPr>
        <w:t>People with Disabilities</w:t>
      </w:r>
      <w:r w:rsidRPr="007D6E0C" w:rsidR="00D40334">
        <w:t>.</w:t>
      </w:r>
      <w:r w:rsidRPr="007D6E0C">
        <w:t xml:space="preserve">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7D6E0C">
        <w:rPr>
          <w:rStyle w:val="Hyperlink"/>
        </w:rPr>
        <w:t>fcc504@fcc.gov</w:t>
      </w:r>
      <w:r>
        <w:fldChar w:fldCharType="end"/>
      </w:r>
      <w:r w:rsidRPr="007D6E0C">
        <w:t xml:space="preserve"> or call the Consumer &amp; Governmental Affairs Bureau at 202-418-0530 (voice), 202-418-0432 (tty).</w:t>
      </w:r>
    </w:p>
    <w:p w:rsidR="00D63EBF" w:rsidRPr="007D6E0C" w:rsidP="00D63EBF" w14:paraId="507D20C5" w14:textId="77777777">
      <w:pPr>
        <w:pStyle w:val="ParaNum"/>
      </w:pPr>
      <w:r w:rsidRPr="007D6E0C">
        <w:rPr>
          <w:i/>
        </w:rPr>
        <w:t>Availability of Documents</w:t>
      </w:r>
      <w:r w:rsidRPr="007D6E0C">
        <w:t xml:space="preserve">.  Comments, reply comments, and </w:t>
      </w:r>
      <w:r w:rsidRPr="007D6E0C">
        <w:rPr>
          <w:i/>
        </w:rPr>
        <w:t>ex parte</w:t>
      </w:r>
      <w:r w:rsidRPr="007D6E0C">
        <w:t xml:space="preserve"> submissions will be available for public inspection during regular business hours in the FCC Reference Center, Federal Communications Commission, 445 12</w:t>
      </w:r>
      <w:r w:rsidRPr="007D6E0C">
        <w:rPr>
          <w:vertAlign w:val="superscript"/>
        </w:rPr>
        <w:t>th</w:t>
      </w:r>
      <w:r w:rsidRPr="007D6E0C">
        <w:t xml:space="preserve"> Street, S.W., CY-A257, Washington, D.C., 20554.  These documents will also be available via ECFS.  Documents will be available electronically in ASCII, Microsoft Word, and/or Adobe Acrobat.</w:t>
      </w:r>
    </w:p>
    <w:p w:rsidR="00D63EBF" w:rsidRPr="007D6E0C" w:rsidP="00D63EBF" w14:paraId="6B5F1129" w14:textId="77777777">
      <w:pPr>
        <w:pStyle w:val="ParaNum"/>
      </w:pPr>
      <w:r w:rsidRPr="007D6E0C">
        <w:rPr>
          <w:i/>
        </w:rPr>
        <w:t>Additional Information</w:t>
      </w:r>
      <w:r w:rsidRPr="007D6E0C">
        <w:t xml:space="preserve">.  For additional information on this proceeding, contact Josh Zeldis, </w:t>
      </w:r>
      <w:r>
        <w:fldChar w:fldCharType="begin"/>
      </w:r>
      <w:r>
        <w:instrText xml:space="preserve"> HYPERLINK "mailto:Josh.Zeldis@fcc.gov" </w:instrText>
      </w:r>
      <w:r>
        <w:fldChar w:fldCharType="separate"/>
      </w:r>
      <w:r w:rsidRPr="007D6E0C">
        <w:rPr>
          <w:rStyle w:val="Hyperlink"/>
        </w:rPr>
        <w:t>Josh.Zeldis@fcc.gov</w:t>
      </w:r>
      <w:r>
        <w:fldChar w:fldCharType="end"/>
      </w:r>
      <w:r w:rsidRPr="007D6E0C">
        <w:t xml:space="preserve"> or (202) 418-0715 of the</w:t>
      </w:r>
      <w:r>
        <w:fldChar w:fldCharType="begin"/>
      </w:r>
      <w:r>
        <w:instrText xml:space="preserve"> HYPERLINK "mailto:" </w:instrText>
      </w:r>
      <w:r>
        <w:fldChar w:fldCharType="separate"/>
      </w:r>
      <w:r>
        <w:fldChar w:fldCharType="end"/>
      </w:r>
      <w:r w:rsidRPr="007D6E0C">
        <w:t xml:space="preserve"> Consumer and Governmental Affairs Bureau, Consumer Policy Division.</w:t>
      </w:r>
    </w:p>
    <w:p w:rsidR="00D63EBF" w:rsidRPr="007D6E0C" w:rsidP="00D63EBF" w14:paraId="39224BCE" w14:textId="77777777">
      <w:pPr>
        <w:pStyle w:val="Heading1"/>
        <w:rPr>
          <w:rFonts w:ascii="Times New Roman" w:hAnsi="Times New Roman"/>
        </w:rPr>
      </w:pPr>
      <w:bookmarkStart w:id="56" w:name="_Toc92617359"/>
      <w:bookmarkStart w:id="57" w:name="_Toc92790575"/>
      <w:bookmarkStart w:id="58" w:name="_Toc93202813"/>
      <w:bookmarkStart w:id="59" w:name="_Toc93211428"/>
      <w:bookmarkStart w:id="60" w:name="_Toc93232825"/>
      <w:bookmarkStart w:id="61" w:name="_Toc93234680"/>
      <w:bookmarkStart w:id="62" w:name="_Toc93823535"/>
      <w:bookmarkStart w:id="63" w:name="_Toc93838109"/>
      <w:bookmarkStart w:id="64" w:name="_Toc94410230"/>
      <w:bookmarkStart w:id="65" w:name="_Toc94425726"/>
      <w:bookmarkStart w:id="66" w:name="_Toc94523115"/>
      <w:bookmarkStart w:id="67" w:name="_Toc94529950"/>
      <w:bookmarkStart w:id="68" w:name="_Toc94695355"/>
      <w:bookmarkStart w:id="69" w:name="_Toc95053167"/>
      <w:bookmarkStart w:id="70" w:name="_Toc95185664"/>
      <w:bookmarkStart w:id="71" w:name="_Toc263955112"/>
      <w:bookmarkStart w:id="72" w:name="_Toc264045072"/>
      <w:bookmarkStart w:id="73" w:name="_Toc264358614"/>
      <w:bookmarkStart w:id="74" w:name="_Toc264469653"/>
      <w:bookmarkStart w:id="75" w:name="_Toc264626495"/>
      <w:bookmarkStart w:id="76" w:name="_Toc265149304"/>
      <w:bookmarkStart w:id="77" w:name="_Toc266187830"/>
      <w:bookmarkStart w:id="78" w:name="_Toc266448383"/>
      <w:bookmarkStart w:id="79" w:name="_Toc287607309"/>
      <w:bookmarkStart w:id="80" w:name="_Toc287607354"/>
      <w:bookmarkStart w:id="81" w:name="_Toc287619859"/>
      <w:bookmarkStart w:id="82" w:name="_Toc288826994"/>
      <w:bookmarkStart w:id="83" w:name="_Toc288827028"/>
      <w:bookmarkStart w:id="84" w:name="_Toc288827050"/>
      <w:bookmarkStart w:id="85" w:name="_Toc288835903"/>
      <w:bookmarkStart w:id="86" w:name="_Toc289258221"/>
      <w:bookmarkStart w:id="87" w:name="_Toc289272404"/>
      <w:bookmarkStart w:id="88" w:name="_Toc289710298"/>
      <w:bookmarkStart w:id="89" w:name="_Toc290020770"/>
      <w:bookmarkStart w:id="90" w:name="_Toc290020792"/>
      <w:bookmarkStart w:id="91" w:name="_Toc290020826"/>
      <w:bookmarkStart w:id="92" w:name="_Toc290036639"/>
      <w:bookmarkStart w:id="93" w:name="_Toc291091405"/>
      <w:bookmarkStart w:id="94" w:name="_Toc291091478"/>
      <w:bookmarkStart w:id="95" w:name="_Toc291489016"/>
      <w:bookmarkStart w:id="96" w:name="_Toc291489466"/>
      <w:bookmarkStart w:id="97" w:name="_Toc291843201"/>
      <w:bookmarkStart w:id="98" w:name="_Toc296071938"/>
      <w:bookmarkStart w:id="99" w:name="_Toc296071963"/>
      <w:bookmarkStart w:id="100" w:name="_Toc299702986"/>
      <w:bookmarkStart w:id="101" w:name="_Toc299703011"/>
      <w:bookmarkStart w:id="102" w:name="_Toc321413807"/>
      <w:bookmarkStart w:id="103" w:name="_Toc32311300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7D6E0C">
        <w:rPr>
          <w:rFonts w:ascii="Times New Roman" w:hAnsi="Times New Roman"/>
        </w:rPr>
        <w:t>ORDERING CLAUSES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A85947" w:rsidRPr="00F70A60" w:rsidP="00F70A60" w14:paraId="01EEE249" w14:textId="4958CE84">
      <w:pPr>
        <w:pStyle w:val="ParaNum"/>
        <w:rPr>
          <w:b/>
        </w:rPr>
      </w:pPr>
      <w:r w:rsidRPr="007D6E0C">
        <w:rPr>
          <w:b/>
        </w:rPr>
        <w:t>IT IS ORDERED</w:t>
      </w:r>
      <w:r w:rsidRPr="007D6E0C">
        <w:t xml:space="preserve">, pursuant to the authority contained in </w:t>
      </w:r>
      <w:r w:rsidRPr="007D6E0C" w:rsidR="000D309F">
        <w:t>S</w:t>
      </w:r>
      <w:r w:rsidRPr="007D6E0C">
        <w:t>ection</w:t>
      </w:r>
      <w:r w:rsidRPr="007D6E0C" w:rsidR="00690D17">
        <w:t>s 4(i)</w:t>
      </w:r>
      <w:r w:rsidRPr="007D6E0C" w:rsidR="000B2BFD">
        <w:t>-(j)</w:t>
      </w:r>
      <w:r w:rsidRPr="007D6E0C" w:rsidR="00690D17">
        <w:t xml:space="preserve">, </w:t>
      </w:r>
      <w:r w:rsidRPr="007D6E0C" w:rsidR="00306848">
        <w:t xml:space="preserve">201(b), </w:t>
      </w:r>
      <w:r w:rsidRPr="007D6E0C" w:rsidR="00690D17">
        <w:t xml:space="preserve">227, </w:t>
      </w:r>
      <w:r w:rsidRPr="007D6E0C" w:rsidR="00E64115">
        <w:t>and</w:t>
      </w:r>
      <w:r w:rsidRPr="007D6E0C" w:rsidR="0069552F">
        <w:t xml:space="preserve"> </w:t>
      </w:r>
      <w:r w:rsidRPr="007D6E0C">
        <w:t>251(e) of the Communications Act of 1934, as amended, 47 U.S.C. §</w:t>
      </w:r>
      <w:r w:rsidRPr="007D6E0C" w:rsidR="00E64115">
        <w:t>§ 154(i)</w:t>
      </w:r>
      <w:r w:rsidRPr="007D6E0C" w:rsidR="000B2BFD">
        <w:t>-(j)</w:t>
      </w:r>
      <w:r w:rsidRPr="007D6E0C" w:rsidR="00E64115">
        <w:t xml:space="preserve">, </w:t>
      </w:r>
      <w:r w:rsidRPr="007D6E0C" w:rsidR="00306848">
        <w:t xml:space="preserve">201(b), </w:t>
      </w:r>
      <w:r w:rsidRPr="007D6E0C" w:rsidR="00E64115">
        <w:t xml:space="preserve">227, </w:t>
      </w:r>
      <w:r w:rsidRPr="007D6E0C">
        <w:t>251</w:t>
      </w:r>
      <w:r w:rsidRPr="007D6E0C" w:rsidR="00D47A26">
        <w:t>(e)</w:t>
      </w:r>
      <w:r w:rsidRPr="007D6E0C">
        <w:t xml:space="preserve">, that this </w:t>
      </w:r>
      <w:r w:rsidRPr="007D6E0C">
        <w:rPr>
          <w:i/>
        </w:rPr>
        <w:t xml:space="preserve">Second Further Notice of Proposed Rulemaking </w:t>
      </w:r>
      <w:r w:rsidRPr="007D6E0C">
        <w:rPr>
          <w:b/>
        </w:rPr>
        <w:t>IS ADOPTED</w:t>
      </w:r>
      <w:r w:rsidRPr="007D6E0C">
        <w:t>.</w:t>
      </w:r>
    </w:p>
    <w:p w:rsidR="00D63EBF" w:rsidRPr="007D6E0C" w:rsidP="00F70A60" w14:paraId="16F29890" w14:textId="7479DBB7">
      <w:pPr>
        <w:pStyle w:val="ParaNum"/>
        <w:keepNext/>
        <w:widowControl/>
      </w:pPr>
      <w:r w:rsidRPr="007D6E0C">
        <w:rPr>
          <w:b/>
        </w:rPr>
        <w:t>IT IS FURTHER ORDERED</w:t>
      </w:r>
      <w:r w:rsidRPr="007D6E0C">
        <w:t xml:space="preserve"> that the Commission’s Consumer and Governmental Affairs Bureau, Reference Information Center, </w:t>
      </w:r>
      <w:r w:rsidRPr="007D6E0C">
        <w:rPr>
          <w:b/>
        </w:rPr>
        <w:t>SHALL SEND</w:t>
      </w:r>
      <w:r w:rsidRPr="007D6E0C">
        <w:t xml:space="preserve"> a copy of this </w:t>
      </w:r>
      <w:r w:rsidRPr="007D6E0C">
        <w:rPr>
          <w:i/>
        </w:rPr>
        <w:t>Second Further Notice of Proposed Rulemaking</w:t>
      </w:r>
      <w:r w:rsidRPr="007D6E0C">
        <w:t>, including the Initial Regulatory Flexibility Analysis, to the Chief Counsel for Advocacy of the Small Business Administration.</w:t>
      </w:r>
    </w:p>
    <w:p w:rsidR="00D63EBF" w:rsidRPr="007D6E0C" w:rsidP="00F70A60" w14:paraId="73D37718" w14:textId="77777777">
      <w:pPr>
        <w:keepNext/>
        <w:widowControl/>
      </w:pPr>
    </w:p>
    <w:p w:rsidR="00D63EBF" w:rsidRPr="007D6E0C" w:rsidP="00F70A60" w14:paraId="128CC90F" w14:textId="77777777">
      <w:pPr>
        <w:keepNext/>
        <w:widowControl/>
      </w:pPr>
      <w:bookmarkEnd w:id="1"/>
      <w:bookmarkEnd w:id="2"/>
      <w:r w:rsidRPr="007D6E0C">
        <w:tab/>
      </w:r>
      <w:r w:rsidRPr="007D6E0C">
        <w:tab/>
      </w:r>
      <w:r w:rsidRPr="007D6E0C">
        <w:tab/>
      </w:r>
      <w:r w:rsidRPr="007D6E0C">
        <w:tab/>
      </w:r>
      <w:r w:rsidRPr="007D6E0C">
        <w:tab/>
      </w:r>
      <w:r w:rsidRPr="007D6E0C">
        <w:tab/>
        <w:t>FEDERAL COMMUNICATIONS COMMISSION</w:t>
      </w:r>
    </w:p>
    <w:p w:rsidR="00D63EBF" w:rsidRPr="007D6E0C" w:rsidP="00F70A60" w14:paraId="3E0A094F" w14:textId="77777777">
      <w:pPr>
        <w:keepNext/>
        <w:widowControl/>
      </w:pPr>
    </w:p>
    <w:p w:rsidR="00D63EBF" w:rsidRPr="007D6E0C" w:rsidP="00F70A60" w14:paraId="2213F2C5" w14:textId="77777777">
      <w:pPr>
        <w:keepNext/>
        <w:widowControl/>
      </w:pPr>
    </w:p>
    <w:p w:rsidR="00D63EBF" w:rsidRPr="007D6E0C" w:rsidP="00F70A60" w14:paraId="72552596" w14:textId="77777777">
      <w:pPr>
        <w:keepNext/>
        <w:widowControl/>
      </w:pPr>
    </w:p>
    <w:p w:rsidR="00D63EBF" w:rsidRPr="007D6E0C" w:rsidP="00F70A60" w14:paraId="478FEA45" w14:textId="77777777">
      <w:pPr>
        <w:keepNext/>
        <w:widowControl/>
      </w:pPr>
    </w:p>
    <w:p w:rsidR="00D63EBF" w:rsidRPr="007D6E0C" w:rsidP="00F70A60" w14:paraId="771B3FCA" w14:textId="77777777">
      <w:pPr>
        <w:keepNext/>
        <w:widowControl/>
      </w:pPr>
      <w:r w:rsidRPr="007D6E0C">
        <w:tab/>
      </w:r>
      <w:r w:rsidRPr="007D6E0C">
        <w:tab/>
      </w:r>
      <w:r w:rsidRPr="007D6E0C">
        <w:tab/>
      </w:r>
      <w:r w:rsidRPr="007D6E0C">
        <w:tab/>
      </w:r>
      <w:r w:rsidRPr="007D6E0C">
        <w:tab/>
      </w:r>
      <w:r w:rsidRPr="007D6E0C">
        <w:tab/>
        <w:t>Marlene H. Dortch</w:t>
      </w:r>
    </w:p>
    <w:p w:rsidR="00D63EBF" w:rsidRPr="007D6E0C" w:rsidP="00D63EBF" w14:paraId="6B6B29B5" w14:textId="77777777">
      <w:r w:rsidRPr="007D6E0C">
        <w:tab/>
      </w:r>
      <w:r w:rsidRPr="007D6E0C">
        <w:tab/>
      </w:r>
      <w:r w:rsidRPr="007D6E0C">
        <w:tab/>
      </w:r>
      <w:r w:rsidRPr="007D6E0C">
        <w:tab/>
      </w:r>
      <w:r w:rsidRPr="007D6E0C">
        <w:tab/>
      </w:r>
      <w:r w:rsidRPr="007D6E0C">
        <w:tab/>
        <w:t>Secretary</w:t>
      </w:r>
    </w:p>
    <w:p w:rsidR="007F5A95" w14:paraId="092BF261" w14:textId="79F5D2E1">
      <w:pPr>
        <w:widowControl/>
      </w:pPr>
    </w:p>
    <w:p w:rsidR="00D63EBF" w:rsidRPr="007D6E0C" w:rsidP="00D63EBF" w14:paraId="70A68140" w14:textId="77777777">
      <w:pPr>
        <w:tabs>
          <w:tab w:val="center" w:pos="4680"/>
        </w:tabs>
        <w:sectPr w:rsidSect="001C0CCB">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code="1"/>
          <w:pgMar w:top="1440" w:right="1440" w:bottom="720" w:left="1440" w:header="720" w:footer="720" w:gutter="0"/>
          <w:pgNumType w:start="1"/>
          <w:cols w:space="720"/>
          <w:noEndnote/>
          <w:titlePg/>
          <w:docGrid w:linePitch="299"/>
        </w:sectPr>
      </w:pPr>
    </w:p>
    <w:p w:rsidR="00D63EBF" w:rsidRPr="007D6E0C" w:rsidP="00D63EBF" w14:paraId="75FE1CD2" w14:textId="77777777">
      <w:pPr>
        <w:jc w:val="center"/>
        <w:rPr>
          <w:b/>
        </w:rPr>
      </w:pPr>
      <w:r w:rsidRPr="007D6E0C">
        <w:rPr>
          <w:b/>
        </w:rPr>
        <w:t>APPENDIX A</w:t>
      </w:r>
    </w:p>
    <w:p w:rsidR="00D63EBF" w:rsidRPr="007D6E0C" w:rsidP="00D63EBF" w14:paraId="30A49D39" w14:textId="77777777">
      <w:pPr>
        <w:jc w:val="center"/>
        <w:rPr>
          <w:b/>
        </w:rPr>
      </w:pPr>
    </w:p>
    <w:p w:rsidR="00D63EBF" w:rsidRPr="007D6E0C" w:rsidP="0014644C" w14:paraId="36307424" w14:textId="77777777">
      <w:pPr>
        <w:tabs>
          <w:tab w:val="left" w:pos="0"/>
          <w:tab w:val="left" w:pos="720"/>
          <w:tab w:val="left" w:pos="1440"/>
          <w:tab w:val="left" w:pos="2160"/>
          <w:tab w:val="left" w:leader="dot" w:pos="2880"/>
          <w:tab w:val="left" w:leader="dot" w:pos="7920"/>
        </w:tabs>
        <w:spacing w:line="223" w:lineRule="auto"/>
        <w:jc w:val="center"/>
        <w:rPr>
          <w:b/>
          <w:spacing w:val="-2"/>
        </w:rPr>
      </w:pPr>
      <w:r w:rsidRPr="007D6E0C">
        <w:rPr>
          <w:b/>
          <w:spacing w:val="-2"/>
        </w:rPr>
        <w:t>List of Commenters</w:t>
      </w:r>
    </w:p>
    <w:p w:rsidR="00D63EBF" w:rsidRPr="007D6E0C" w:rsidP="00D63EBF" w14:paraId="7BE45A26" w14:textId="77777777">
      <w:pPr>
        <w:widowControl/>
        <w:rPr>
          <w:b/>
        </w:rPr>
      </w:pPr>
    </w:p>
    <w:p w:rsidR="00D63EBF" w:rsidRPr="007D6E0C" w:rsidP="00D63EBF" w14:paraId="0263522E" w14:textId="77777777">
      <w:pPr>
        <w:widowControl/>
      </w:pPr>
      <w:r w:rsidRPr="007D6E0C">
        <w:rPr>
          <w:u w:val="single"/>
        </w:rPr>
        <w:t>Commenter</w:t>
      </w:r>
      <w:r w:rsidRPr="007D6E0C">
        <w:tab/>
      </w:r>
      <w:r w:rsidRPr="007D6E0C">
        <w:tab/>
      </w:r>
      <w:r w:rsidRPr="007D6E0C">
        <w:tab/>
      </w:r>
      <w:r w:rsidRPr="007D6E0C">
        <w:tab/>
      </w:r>
      <w:r w:rsidRPr="007D6E0C">
        <w:tab/>
      </w:r>
      <w:r w:rsidRPr="007D6E0C">
        <w:tab/>
      </w:r>
      <w:r w:rsidRPr="007D6E0C">
        <w:tab/>
      </w:r>
      <w:r w:rsidRPr="007D6E0C">
        <w:tab/>
      </w:r>
      <w:r w:rsidRPr="007D6E0C">
        <w:rPr>
          <w:u w:val="single"/>
        </w:rPr>
        <w:t>Abbreviation</w:t>
      </w:r>
    </w:p>
    <w:p w:rsidR="00D63EBF" w:rsidRPr="007D6E0C" w:rsidP="00D63EBF" w14:paraId="37545141" w14:textId="77777777">
      <w:pPr>
        <w:widowControl/>
      </w:pPr>
      <w:r w:rsidRPr="007D6E0C">
        <w:t xml:space="preserve">Adva Mobile Corp. </w:t>
      </w:r>
      <w:r w:rsidRPr="007D6E0C">
        <w:rPr>
          <w:i/>
        </w:rPr>
        <w:t>et al.</w:t>
      </w:r>
      <w:r w:rsidRPr="007D6E0C">
        <w:rPr>
          <w:i/>
        </w:rPr>
        <w:tab/>
      </w:r>
      <w:r w:rsidRPr="007D6E0C">
        <w:rPr>
          <w:i/>
        </w:rPr>
        <w:tab/>
      </w:r>
      <w:r w:rsidRPr="007D6E0C">
        <w:rPr>
          <w:i/>
        </w:rPr>
        <w:tab/>
      </w:r>
      <w:r w:rsidRPr="007D6E0C">
        <w:rPr>
          <w:i/>
        </w:rPr>
        <w:tab/>
      </w:r>
      <w:r w:rsidRPr="007D6E0C">
        <w:rPr>
          <w:i/>
        </w:rPr>
        <w:tab/>
      </w:r>
      <w:r w:rsidRPr="007D6E0C">
        <w:rPr>
          <w:i/>
        </w:rPr>
        <w:tab/>
      </w:r>
      <w:r w:rsidRPr="007D6E0C">
        <w:t xml:space="preserve">Adva Mobile Corp. </w:t>
      </w:r>
      <w:r w:rsidRPr="007D6E0C">
        <w:rPr>
          <w:i/>
        </w:rPr>
        <w:t>et al.</w:t>
      </w:r>
    </w:p>
    <w:p w:rsidR="00D63EBF" w:rsidRPr="007D6E0C" w:rsidP="00D63EBF" w14:paraId="38BDFA57" w14:textId="77777777">
      <w:pPr>
        <w:widowControl/>
      </w:pPr>
      <w:r w:rsidRPr="007D6E0C">
        <w:t>The Alliance for Telecommunications Industry Solutions*</w:t>
      </w:r>
      <w:r w:rsidRPr="007D6E0C">
        <w:tab/>
      </w:r>
      <w:r w:rsidRPr="007D6E0C">
        <w:tab/>
        <w:t>ATIS</w:t>
      </w:r>
    </w:p>
    <w:p w:rsidR="00D63EBF" w:rsidRPr="007D6E0C" w:rsidP="00D63EBF" w14:paraId="6B39B046" w14:textId="77777777">
      <w:pPr>
        <w:widowControl/>
      </w:pPr>
      <w:r w:rsidRPr="007D6E0C">
        <w:t>Association of Credit and Collection Professionals</w:t>
      </w:r>
      <w:r w:rsidRPr="007D6E0C">
        <w:tab/>
      </w:r>
      <w:r w:rsidRPr="007D6E0C">
        <w:tab/>
      </w:r>
      <w:r w:rsidRPr="007D6E0C">
        <w:tab/>
        <w:t>ACA International</w:t>
      </w:r>
    </w:p>
    <w:p w:rsidR="00D63EBF" w:rsidRPr="007D6E0C" w:rsidP="00D63EBF" w14:paraId="1F2C5103" w14:textId="77777777">
      <w:pPr>
        <w:widowControl/>
      </w:pPr>
      <w:r w:rsidRPr="007D6E0C">
        <w:t>American Bankers Association</w:t>
      </w:r>
      <w:r w:rsidRPr="007D6E0C" w:rsidR="008F19A4">
        <w:t>**</w:t>
      </w:r>
      <w:r w:rsidRPr="007D6E0C">
        <w:tab/>
      </w:r>
      <w:r w:rsidRPr="007D6E0C">
        <w:tab/>
      </w:r>
      <w:r w:rsidRPr="007D6E0C">
        <w:tab/>
      </w:r>
      <w:r w:rsidRPr="007D6E0C">
        <w:tab/>
      </w:r>
      <w:r w:rsidRPr="007D6E0C">
        <w:tab/>
        <w:t>ABA</w:t>
      </w:r>
    </w:p>
    <w:p w:rsidR="00D63EBF" w:rsidRPr="007D6E0C" w:rsidP="00D63EBF" w14:paraId="022CA301" w14:textId="77777777">
      <w:pPr>
        <w:widowControl/>
      </w:pPr>
      <w:r w:rsidRPr="007D6E0C">
        <w:t>American Financial Services Association</w:t>
      </w:r>
      <w:r w:rsidRPr="007D6E0C">
        <w:tab/>
      </w:r>
      <w:r w:rsidRPr="007D6E0C">
        <w:tab/>
      </w:r>
      <w:r w:rsidRPr="007D6E0C">
        <w:tab/>
      </w:r>
      <w:r w:rsidRPr="007D6E0C">
        <w:tab/>
        <w:t>AFSA</w:t>
      </w:r>
    </w:p>
    <w:p w:rsidR="00D63EBF" w:rsidRPr="007D6E0C" w:rsidP="00D63EBF" w14:paraId="057618B6" w14:textId="77777777">
      <w:pPr>
        <w:widowControl/>
      </w:pPr>
      <w:r w:rsidRPr="007D6E0C">
        <w:t>Anthem, Inc.*</w:t>
      </w:r>
      <w:r w:rsidRPr="007D6E0C">
        <w:tab/>
      </w:r>
      <w:r w:rsidRPr="007D6E0C">
        <w:tab/>
      </w:r>
      <w:r w:rsidRPr="007D6E0C">
        <w:tab/>
      </w:r>
      <w:r w:rsidRPr="007D6E0C">
        <w:tab/>
      </w:r>
      <w:r w:rsidRPr="007D6E0C">
        <w:tab/>
      </w:r>
      <w:r w:rsidRPr="007D6E0C">
        <w:tab/>
      </w:r>
      <w:r w:rsidRPr="007D6E0C">
        <w:tab/>
      </w:r>
      <w:r w:rsidRPr="007D6E0C">
        <w:tab/>
        <w:t>Anthem</w:t>
      </w:r>
    </w:p>
    <w:p w:rsidR="00D63EBF" w:rsidRPr="007D6E0C" w:rsidP="00D63EBF" w14:paraId="1E9EAC34" w14:textId="77777777">
      <w:pPr>
        <w:widowControl/>
      </w:pPr>
      <w:r w:rsidRPr="007D6E0C">
        <w:t>Blackboard, Inc.</w:t>
      </w:r>
      <w:r w:rsidRPr="007D6E0C">
        <w:tab/>
      </w:r>
      <w:r w:rsidRPr="007D6E0C">
        <w:tab/>
      </w:r>
      <w:r w:rsidRPr="007D6E0C">
        <w:tab/>
      </w:r>
      <w:r w:rsidRPr="007D6E0C">
        <w:tab/>
      </w:r>
      <w:r w:rsidRPr="007D6E0C">
        <w:tab/>
      </w:r>
      <w:r w:rsidRPr="007D6E0C">
        <w:tab/>
      </w:r>
      <w:r w:rsidRPr="007D6E0C">
        <w:tab/>
        <w:t>Blackboard</w:t>
      </w:r>
    </w:p>
    <w:p w:rsidR="00D63EBF" w:rsidRPr="007D6E0C" w:rsidP="00D63EBF" w14:paraId="48410632" w14:textId="77777777">
      <w:pPr>
        <w:widowControl/>
      </w:pPr>
      <w:r w:rsidRPr="007D6E0C">
        <w:t>CenturyLink, Inc.</w:t>
      </w:r>
      <w:r w:rsidRPr="007D6E0C" w:rsidR="008F19A4">
        <w:t>**</w:t>
      </w:r>
      <w:r w:rsidRPr="007D6E0C">
        <w:tab/>
      </w:r>
      <w:r w:rsidRPr="007D6E0C">
        <w:tab/>
      </w:r>
      <w:r w:rsidRPr="007D6E0C">
        <w:tab/>
      </w:r>
      <w:r w:rsidRPr="007D6E0C">
        <w:tab/>
      </w:r>
      <w:r w:rsidRPr="007D6E0C">
        <w:tab/>
      </w:r>
      <w:r w:rsidRPr="007D6E0C">
        <w:tab/>
      </w:r>
      <w:r w:rsidRPr="007D6E0C">
        <w:tab/>
      </w:r>
      <w:r w:rsidRPr="007D6E0C" w:rsidR="0050239C">
        <w:t>CenturyL</w:t>
      </w:r>
      <w:r w:rsidRPr="007D6E0C">
        <w:t>ink</w:t>
      </w:r>
    </w:p>
    <w:p w:rsidR="00D63EBF" w:rsidRPr="007D6E0C" w:rsidP="00D63EBF" w14:paraId="0197896B" w14:textId="77777777">
      <w:pPr>
        <w:widowControl/>
      </w:pPr>
      <w:r w:rsidRPr="007D6E0C">
        <w:t>Coalition of Higher Education Assistance Organizations</w:t>
      </w:r>
      <w:r w:rsidRPr="007D6E0C">
        <w:tab/>
      </w:r>
      <w:r w:rsidRPr="007D6E0C">
        <w:tab/>
      </w:r>
      <w:r w:rsidRPr="007D6E0C">
        <w:tab/>
        <w:t>CHEAO</w:t>
      </w:r>
    </w:p>
    <w:p w:rsidR="00D63EBF" w:rsidRPr="007D6E0C" w:rsidP="00D63EBF" w14:paraId="2D7F7031" w14:textId="77777777">
      <w:pPr>
        <w:widowControl/>
      </w:pPr>
      <w:r w:rsidRPr="007D6E0C">
        <w:t>Comcast Corporation*</w:t>
      </w:r>
      <w:r w:rsidRPr="007D6E0C">
        <w:tab/>
      </w:r>
      <w:r w:rsidRPr="007D6E0C">
        <w:tab/>
      </w:r>
      <w:r w:rsidRPr="007D6E0C">
        <w:tab/>
      </w:r>
      <w:r w:rsidRPr="007D6E0C">
        <w:tab/>
      </w:r>
      <w:r w:rsidRPr="007D6E0C">
        <w:tab/>
      </w:r>
      <w:r w:rsidRPr="007D6E0C">
        <w:tab/>
      </w:r>
      <w:r w:rsidRPr="007D6E0C">
        <w:tab/>
        <w:t>Comcast</w:t>
      </w:r>
    </w:p>
    <w:p w:rsidR="00D63EBF" w:rsidRPr="007D6E0C" w:rsidP="00D63EBF" w14:paraId="0CFFC2A0" w14:textId="77777777">
      <w:pPr>
        <w:widowControl/>
      </w:pPr>
      <w:r w:rsidRPr="007D6E0C">
        <w:t>Consumer Bankers Association</w:t>
      </w:r>
      <w:r w:rsidRPr="007D6E0C" w:rsidR="008F19A4">
        <w:t>**</w:t>
      </w:r>
      <w:r w:rsidRPr="007D6E0C">
        <w:tab/>
      </w:r>
      <w:r w:rsidRPr="007D6E0C">
        <w:tab/>
      </w:r>
      <w:r w:rsidRPr="007D6E0C">
        <w:tab/>
      </w:r>
      <w:r w:rsidRPr="007D6E0C">
        <w:tab/>
      </w:r>
      <w:r w:rsidRPr="007D6E0C">
        <w:tab/>
        <w:t>CBA</w:t>
      </w:r>
    </w:p>
    <w:p w:rsidR="00D63EBF" w:rsidRPr="007D6E0C" w:rsidP="00D63EBF" w14:paraId="4ADA234B" w14:textId="77777777">
      <w:pPr>
        <w:widowControl/>
      </w:pPr>
      <w:r w:rsidRPr="007D6E0C">
        <w:t>Credit Union National Association*</w:t>
      </w:r>
      <w:r w:rsidRPr="007D6E0C">
        <w:tab/>
      </w:r>
      <w:r w:rsidRPr="007D6E0C">
        <w:tab/>
      </w:r>
      <w:r w:rsidRPr="007D6E0C">
        <w:tab/>
      </w:r>
      <w:r w:rsidRPr="007D6E0C">
        <w:tab/>
      </w:r>
      <w:r w:rsidRPr="007D6E0C">
        <w:tab/>
        <w:t>CUNA</w:t>
      </w:r>
    </w:p>
    <w:p w:rsidR="00D63EBF" w:rsidRPr="007D6E0C" w:rsidP="00D63EBF" w14:paraId="2D88C80E" w14:textId="77777777">
      <w:pPr>
        <w:widowControl/>
      </w:pPr>
      <w:r w:rsidRPr="007D6E0C">
        <w:t>CTIA*</w:t>
      </w:r>
      <w:r w:rsidRPr="007D6E0C">
        <w:tab/>
      </w:r>
      <w:r w:rsidRPr="007D6E0C">
        <w:tab/>
      </w:r>
      <w:r w:rsidRPr="007D6E0C">
        <w:tab/>
      </w:r>
      <w:r w:rsidRPr="007D6E0C">
        <w:tab/>
      </w:r>
      <w:r w:rsidRPr="007D6E0C">
        <w:tab/>
      </w:r>
      <w:r w:rsidRPr="007D6E0C">
        <w:tab/>
      </w:r>
      <w:r w:rsidRPr="007D6E0C">
        <w:tab/>
      </w:r>
      <w:r w:rsidRPr="007D6E0C">
        <w:tab/>
      </w:r>
      <w:r w:rsidRPr="007D6E0C">
        <w:tab/>
        <w:t>CTIA</w:t>
      </w:r>
    </w:p>
    <w:p w:rsidR="00D63EBF" w:rsidRPr="007D6E0C" w:rsidP="00D63EBF" w14:paraId="736F8E1C" w14:textId="77777777">
      <w:pPr>
        <w:widowControl/>
      </w:pPr>
      <w:r w:rsidRPr="007D6E0C">
        <w:t>District of Columbia Public Schools</w:t>
      </w:r>
      <w:r w:rsidRPr="007D6E0C">
        <w:tab/>
      </w:r>
      <w:r w:rsidRPr="007D6E0C">
        <w:tab/>
      </w:r>
      <w:r w:rsidRPr="007D6E0C">
        <w:tab/>
      </w:r>
      <w:r w:rsidRPr="007D6E0C">
        <w:tab/>
      </w:r>
      <w:r w:rsidRPr="007D6E0C">
        <w:tab/>
        <w:t>DCPS</w:t>
      </w:r>
    </w:p>
    <w:p w:rsidR="00D63EBF" w:rsidRPr="007D6E0C" w:rsidP="00D63EBF" w14:paraId="19ABBDE3" w14:textId="77777777">
      <w:pPr>
        <w:widowControl/>
      </w:pPr>
      <w:r w:rsidRPr="007D6E0C">
        <w:t>Edison Electric Institute</w:t>
      </w:r>
      <w:r w:rsidRPr="007D6E0C">
        <w:tab/>
      </w:r>
      <w:r w:rsidRPr="007D6E0C" w:rsidR="008F19A4">
        <w:t>**</w:t>
      </w:r>
      <w:r w:rsidRPr="007D6E0C" w:rsidR="008F19A4">
        <w:tab/>
      </w:r>
      <w:r w:rsidRPr="007D6E0C">
        <w:tab/>
      </w:r>
      <w:r w:rsidRPr="007D6E0C">
        <w:tab/>
      </w:r>
      <w:r w:rsidRPr="007D6E0C">
        <w:tab/>
      </w:r>
      <w:r w:rsidRPr="007D6E0C">
        <w:tab/>
      </w:r>
      <w:r w:rsidRPr="007D6E0C">
        <w:tab/>
        <w:t>EEI</w:t>
      </w:r>
    </w:p>
    <w:p w:rsidR="00D63EBF" w:rsidRPr="007D6E0C" w:rsidP="00D63EBF" w14:paraId="6CA06EBA" w14:textId="77777777">
      <w:pPr>
        <w:widowControl/>
      </w:pPr>
      <w:r w:rsidRPr="007D6E0C">
        <w:t>The Electronic Transactions Association</w:t>
      </w:r>
      <w:r w:rsidRPr="007D6E0C">
        <w:tab/>
      </w:r>
      <w:r w:rsidRPr="007D6E0C">
        <w:tab/>
      </w:r>
      <w:r w:rsidRPr="007D6E0C">
        <w:tab/>
      </w:r>
      <w:r w:rsidRPr="007D6E0C">
        <w:tab/>
      </w:r>
      <w:r w:rsidRPr="007D6E0C">
        <w:tab/>
        <w:t>ETA</w:t>
      </w:r>
    </w:p>
    <w:p w:rsidR="00D63EBF" w:rsidRPr="007D6E0C" w:rsidP="00D63EBF" w14:paraId="61C4B76D" w14:textId="77777777">
      <w:pPr>
        <w:widowControl/>
      </w:pPr>
      <w:r w:rsidRPr="007D6E0C">
        <w:t>Genesys Telecommunications Laboratories, Inc.</w:t>
      </w:r>
      <w:r w:rsidRPr="007D6E0C">
        <w:tab/>
      </w:r>
      <w:r w:rsidRPr="007D6E0C" w:rsidR="008F19A4">
        <w:t>**</w:t>
      </w:r>
      <w:r w:rsidRPr="007D6E0C" w:rsidR="008F19A4">
        <w:tab/>
      </w:r>
      <w:r w:rsidRPr="007D6E0C">
        <w:tab/>
      </w:r>
      <w:r w:rsidRPr="007D6E0C">
        <w:tab/>
        <w:t>GTL</w:t>
      </w:r>
    </w:p>
    <w:p w:rsidR="00D63EBF" w:rsidRPr="007D6E0C" w:rsidP="00D63EBF" w14:paraId="52BDB321" w14:textId="77777777">
      <w:pPr>
        <w:widowControl/>
      </w:pPr>
      <w:r w:rsidRPr="007D6E0C">
        <w:t>Telcordia Technologies, Inc. d/b/a iconectiv</w:t>
      </w:r>
      <w:r w:rsidRPr="007D6E0C">
        <w:tab/>
      </w:r>
      <w:r w:rsidRPr="007D6E0C">
        <w:tab/>
      </w:r>
      <w:r w:rsidRPr="007D6E0C">
        <w:tab/>
      </w:r>
      <w:r w:rsidRPr="007D6E0C">
        <w:tab/>
      </w:r>
      <w:r w:rsidRPr="007D6E0C" w:rsidR="006D716D">
        <w:t>iconectiv</w:t>
      </w:r>
    </w:p>
    <w:p w:rsidR="00D63EBF" w:rsidRPr="007D6E0C" w:rsidP="00D63EBF" w14:paraId="528DCD5B" w14:textId="77777777">
      <w:pPr>
        <w:widowControl/>
      </w:pPr>
      <w:r w:rsidRPr="007D6E0C">
        <w:t>Insights Association</w:t>
      </w:r>
      <w:r w:rsidRPr="007D6E0C">
        <w:tab/>
      </w:r>
      <w:r w:rsidRPr="007D6E0C">
        <w:tab/>
      </w:r>
      <w:r w:rsidRPr="007D6E0C">
        <w:tab/>
      </w:r>
      <w:r w:rsidRPr="007D6E0C">
        <w:tab/>
      </w:r>
      <w:r w:rsidRPr="007D6E0C">
        <w:tab/>
      </w:r>
      <w:r w:rsidRPr="007D6E0C">
        <w:tab/>
      </w:r>
      <w:r w:rsidRPr="007D6E0C">
        <w:tab/>
        <w:t>Insights Association</w:t>
      </w:r>
    </w:p>
    <w:p w:rsidR="00D63EBF" w:rsidRPr="007D6E0C" w:rsidP="00D63EBF" w14:paraId="250C0A21" w14:textId="77777777">
      <w:pPr>
        <w:widowControl/>
      </w:pPr>
      <w:r w:rsidRPr="007D6E0C">
        <w:t>T</w:t>
      </w:r>
      <w:r w:rsidRPr="007D6E0C" w:rsidR="00356009">
        <w:t>he Internet Association</w:t>
      </w:r>
      <w:r w:rsidRPr="007D6E0C" w:rsidR="00356009">
        <w:tab/>
      </w:r>
      <w:r w:rsidRPr="007D6E0C" w:rsidR="00356009">
        <w:tab/>
      </w:r>
      <w:r w:rsidRPr="007D6E0C" w:rsidR="00356009">
        <w:tab/>
      </w:r>
      <w:r w:rsidRPr="007D6E0C" w:rsidR="00356009">
        <w:tab/>
      </w:r>
      <w:r w:rsidRPr="007D6E0C" w:rsidR="00356009">
        <w:tab/>
      </w:r>
      <w:r w:rsidRPr="007D6E0C" w:rsidR="00356009">
        <w:tab/>
        <w:t>Internet Association</w:t>
      </w:r>
    </w:p>
    <w:p w:rsidR="00D63EBF" w:rsidRPr="007D6E0C" w:rsidP="00D63EBF" w14:paraId="59ED674F" w14:textId="77777777">
      <w:pPr>
        <w:widowControl/>
      </w:pPr>
      <w:r w:rsidRPr="007D6E0C">
        <w:t>National Association of Federally Insured Credit Unions</w:t>
      </w:r>
      <w:r w:rsidRPr="007D6E0C">
        <w:tab/>
      </w:r>
      <w:r w:rsidRPr="007D6E0C">
        <w:tab/>
      </w:r>
      <w:r w:rsidRPr="007D6E0C">
        <w:tab/>
        <w:t>NAFICU</w:t>
      </w:r>
    </w:p>
    <w:p w:rsidR="00D63EBF" w:rsidRPr="007D6E0C" w:rsidP="00D63EBF" w14:paraId="03A11AF1" w14:textId="77777777">
      <w:pPr>
        <w:rPr>
          <w:i/>
        </w:rPr>
      </w:pPr>
      <w:r w:rsidRPr="007D6E0C">
        <w:t>National Consumer Law Center on behalf of its low-income</w:t>
      </w:r>
      <w:r w:rsidRPr="007D6E0C">
        <w:tab/>
      </w:r>
      <w:r w:rsidRPr="007D6E0C">
        <w:tab/>
        <w:t xml:space="preserve">NCLC </w:t>
      </w:r>
      <w:r w:rsidRPr="007D6E0C">
        <w:rPr>
          <w:i/>
        </w:rPr>
        <w:t>et al.</w:t>
      </w:r>
    </w:p>
    <w:p w:rsidR="00D63EBF" w:rsidRPr="007D6E0C" w:rsidP="00D63EBF" w14:paraId="56934FD7" w14:textId="77777777">
      <w:r w:rsidRPr="007D6E0C">
        <w:t xml:space="preserve">   clients, and Consumer Action, Consumer Federation of America,</w:t>
      </w:r>
    </w:p>
    <w:p w:rsidR="00D63EBF" w:rsidRPr="007D6E0C" w:rsidP="00D63EBF" w14:paraId="6C6ABF19" w14:textId="77777777">
      <w:r w:rsidRPr="007D6E0C">
        <w:t xml:space="preserve">   Consumers Union</w:t>
      </w:r>
      <w:r w:rsidRPr="007D6E0C">
        <w:rPr>
          <w:i/>
        </w:rPr>
        <w:t xml:space="preserve">, </w:t>
      </w:r>
      <w:r w:rsidRPr="007D6E0C">
        <w:t>National Association of Consumer Advocates,</w:t>
      </w:r>
    </w:p>
    <w:p w:rsidR="00D63EBF" w:rsidRPr="007D6E0C" w:rsidP="00D63EBF" w14:paraId="563213AC" w14:textId="77777777">
      <w:r w:rsidRPr="007D6E0C">
        <w:t xml:space="preserve">   Public Citizen, Public Knowledge, and U.S. PIRG*</w:t>
      </w:r>
    </w:p>
    <w:p w:rsidR="00D63EBF" w:rsidRPr="007D6E0C" w:rsidP="00D63EBF" w14:paraId="5A299569" w14:textId="77777777">
      <w:pPr>
        <w:widowControl/>
      </w:pPr>
      <w:r w:rsidRPr="007D6E0C">
        <w:t>National Council of Higher Education Resources</w:t>
      </w:r>
      <w:r w:rsidRPr="007D6E0C">
        <w:tab/>
      </w:r>
      <w:r w:rsidRPr="007D6E0C">
        <w:tab/>
      </w:r>
      <w:r w:rsidRPr="007D6E0C">
        <w:tab/>
      </w:r>
      <w:r w:rsidRPr="007D6E0C">
        <w:tab/>
        <w:t>NCHER</w:t>
      </w:r>
    </w:p>
    <w:p w:rsidR="00D63EBF" w:rsidRPr="007D6E0C" w:rsidP="00D63EBF" w14:paraId="0855B484" w14:textId="77777777">
      <w:pPr>
        <w:widowControl/>
      </w:pPr>
      <w:r w:rsidRPr="007D6E0C">
        <w:t>National Retail Federation</w:t>
      </w:r>
      <w:r w:rsidRPr="007D6E0C">
        <w:tab/>
      </w:r>
      <w:r w:rsidRPr="007D6E0C">
        <w:tab/>
      </w:r>
      <w:r w:rsidRPr="007D6E0C">
        <w:tab/>
      </w:r>
      <w:r w:rsidRPr="007D6E0C">
        <w:tab/>
      </w:r>
      <w:r w:rsidRPr="007D6E0C">
        <w:tab/>
      </w:r>
      <w:r w:rsidRPr="007D6E0C">
        <w:tab/>
        <w:t>NRF</w:t>
      </w:r>
    </w:p>
    <w:p w:rsidR="00D63EBF" w:rsidRPr="007D6E0C" w:rsidP="00D63EBF" w14:paraId="5AFAD77C" w14:textId="77777777">
      <w:pPr>
        <w:widowControl/>
      </w:pPr>
      <w:r w:rsidRPr="007D6E0C">
        <w:t>National Rural Electric Cooperative Association</w:t>
      </w:r>
      <w:r w:rsidRPr="007D6E0C">
        <w:tab/>
      </w:r>
      <w:r w:rsidRPr="007D6E0C">
        <w:tab/>
      </w:r>
      <w:r w:rsidRPr="007D6E0C">
        <w:tab/>
      </w:r>
      <w:r w:rsidRPr="007D6E0C">
        <w:tab/>
        <w:t>NRECA</w:t>
      </w:r>
    </w:p>
    <w:p w:rsidR="00D63EBF" w:rsidRPr="007D6E0C" w:rsidP="00D63EBF" w14:paraId="64299E57" w14:textId="77777777">
      <w:pPr>
        <w:widowControl/>
      </w:pPr>
      <w:r w:rsidRPr="007D6E0C">
        <w:t>Neustar, Inc.*</w:t>
      </w:r>
      <w:r w:rsidRPr="007D6E0C">
        <w:tab/>
      </w:r>
      <w:r w:rsidRPr="007D6E0C">
        <w:tab/>
      </w:r>
      <w:r w:rsidRPr="007D6E0C">
        <w:tab/>
      </w:r>
      <w:r w:rsidRPr="007D6E0C">
        <w:tab/>
      </w:r>
      <w:r w:rsidRPr="007D6E0C">
        <w:tab/>
      </w:r>
      <w:r w:rsidRPr="007D6E0C">
        <w:tab/>
      </w:r>
      <w:r w:rsidRPr="007D6E0C">
        <w:tab/>
      </w:r>
      <w:r w:rsidRPr="007D6E0C">
        <w:tab/>
        <w:t>Neustar</w:t>
      </w:r>
    </w:p>
    <w:p w:rsidR="00D63EBF" w:rsidRPr="007D6E0C" w:rsidP="00D63EBF" w14:paraId="2BAC57D5" w14:textId="77777777">
      <w:pPr>
        <w:widowControl/>
      </w:pPr>
      <w:r w:rsidRPr="007D6E0C">
        <w:t>Noble Systems Corporation*</w:t>
      </w:r>
      <w:r w:rsidRPr="007D6E0C">
        <w:tab/>
      </w:r>
      <w:r w:rsidRPr="007D6E0C">
        <w:tab/>
      </w:r>
      <w:r w:rsidRPr="007D6E0C">
        <w:tab/>
      </w:r>
      <w:r w:rsidRPr="007D6E0C">
        <w:tab/>
      </w:r>
      <w:r w:rsidRPr="007D6E0C">
        <w:tab/>
      </w:r>
      <w:r w:rsidRPr="007D6E0C">
        <w:tab/>
        <w:t>NSC</w:t>
      </w:r>
    </w:p>
    <w:p w:rsidR="00D63EBF" w:rsidRPr="007D6E0C" w:rsidP="00D63EBF" w14:paraId="0DB25342" w14:textId="77777777">
      <w:pPr>
        <w:widowControl/>
      </w:pPr>
      <w:r w:rsidRPr="007D6E0C">
        <w:t>NCTA – The Internet &amp; Television Association</w:t>
      </w:r>
      <w:r w:rsidRPr="007D6E0C">
        <w:tab/>
      </w:r>
      <w:r w:rsidRPr="007D6E0C">
        <w:tab/>
      </w:r>
      <w:r w:rsidRPr="007D6E0C">
        <w:tab/>
      </w:r>
      <w:r w:rsidRPr="007D6E0C">
        <w:tab/>
        <w:t>NCTA</w:t>
      </w:r>
    </w:p>
    <w:p w:rsidR="00D63EBF" w:rsidRPr="007D6E0C" w:rsidP="00D63EBF" w14:paraId="0D30CC64" w14:textId="77777777">
      <w:pPr>
        <w:widowControl/>
      </w:pPr>
      <w:r w:rsidRPr="007D6E0C">
        <w:t>NTCA – The Rural Broadband Association</w:t>
      </w:r>
      <w:r w:rsidRPr="007D6E0C">
        <w:tab/>
      </w:r>
      <w:r w:rsidRPr="007D6E0C">
        <w:tab/>
      </w:r>
      <w:r w:rsidRPr="007D6E0C">
        <w:tab/>
      </w:r>
      <w:r w:rsidRPr="007D6E0C">
        <w:tab/>
        <w:t>NTCA</w:t>
      </w:r>
    </w:p>
    <w:p w:rsidR="00D63EBF" w:rsidRPr="007D6E0C" w:rsidP="00D63EBF" w14:paraId="241DE1C3" w14:textId="77777777">
      <w:pPr>
        <w:widowControl/>
      </w:pPr>
      <w:r w:rsidRPr="007D6E0C">
        <w:t>Professional Association for Customer Engagement</w:t>
      </w:r>
      <w:r w:rsidRPr="007D6E0C">
        <w:tab/>
      </w:r>
      <w:r w:rsidRPr="007D6E0C">
        <w:tab/>
      </w:r>
      <w:r w:rsidRPr="007D6E0C">
        <w:tab/>
        <w:t>PACE</w:t>
      </w:r>
    </w:p>
    <w:p w:rsidR="00D63EBF" w:rsidRPr="007D6E0C" w:rsidP="00D63EBF" w14:paraId="296AA99E" w14:textId="77777777">
      <w:pPr>
        <w:widowControl/>
      </w:pPr>
      <w:r w:rsidRPr="007D6E0C">
        <w:t>Retail Industry Leaders Association</w:t>
      </w:r>
      <w:r w:rsidRPr="007D6E0C">
        <w:tab/>
      </w:r>
      <w:r w:rsidRPr="007D6E0C">
        <w:tab/>
      </w:r>
      <w:r w:rsidRPr="007D6E0C">
        <w:tab/>
      </w:r>
      <w:r w:rsidRPr="007D6E0C">
        <w:tab/>
      </w:r>
      <w:r w:rsidRPr="007D6E0C">
        <w:tab/>
        <w:t>RILA</w:t>
      </w:r>
    </w:p>
    <w:p w:rsidR="00D63EBF" w:rsidRPr="007D6E0C" w:rsidP="00D63EBF" w14:paraId="7BF9D994" w14:textId="77777777">
      <w:pPr>
        <w:widowControl/>
      </w:pPr>
      <w:r w:rsidRPr="007D6E0C">
        <w:t>Student Loan Serving Alliance</w:t>
      </w:r>
      <w:r w:rsidRPr="007D6E0C">
        <w:tab/>
      </w:r>
      <w:r w:rsidRPr="007D6E0C">
        <w:tab/>
      </w:r>
      <w:r w:rsidRPr="007D6E0C">
        <w:tab/>
      </w:r>
      <w:r w:rsidRPr="007D6E0C">
        <w:tab/>
      </w:r>
      <w:r w:rsidRPr="007D6E0C">
        <w:tab/>
      </w:r>
      <w:r w:rsidRPr="007D6E0C">
        <w:tab/>
        <w:t>SLSA</w:t>
      </w:r>
    </w:p>
    <w:p w:rsidR="00D63EBF" w:rsidRPr="007D6E0C" w:rsidP="00D63EBF" w14:paraId="3B1CF209" w14:textId="77777777">
      <w:pPr>
        <w:widowControl/>
      </w:pPr>
      <w:r w:rsidRPr="007D6E0C">
        <w:t>Syniverse Technologies</w:t>
      </w:r>
      <w:r w:rsidRPr="007D6E0C">
        <w:tab/>
      </w:r>
      <w:r w:rsidRPr="007D6E0C">
        <w:tab/>
      </w:r>
      <w:r w:rsidRPr="007D6E0C">
        <w:tab/>
      </w:r>
      <w:r w:rsidRPr="007D6E0C">
        <w:tab/>
      </w:r>
      <w:r w:rsidRPr="007D6E0C">
        <w:tab/>
      </w:r>
      <w:r w:rsidRPr="007D6E0C">
        <w:tab/>
      </w:r>
      <w:r w:rsidRPr="007D6E0C">
        <w:tab/>
        <w:t>Syniverse</w:t>
      </w:r>
    </w:p>
    <w:p w:rsidR="00D63EBF" w:rsidRPr="007D6E0C" w:rsidP="00D63EBF" w14:paraId="607E1311" w14:textId="77777777">
      <w:pPr>
        <w:widowControl/>
      </w:pPr>
      <w:r w:rsidRPr="007D6E0C">
        <w:t>Tatango, Inc.</w:t>
      </w:r>
      <w:r w:rsidRPr="007D6E0C">
        <w:tab/>
      </w:r>
      <w:r w:rsidRPr="007D6E0C">
        <w:tab/>
      </w:r>
      <w:r w:rsidRPr="007D6E0C">
        <w:tab/>
      </w:r>
      <w:r w:rsidRPr="007D6E0C">
        <w:tab/>
      </w:r>
      <w:r w:rsidRPr="007D6E0C">
        <w:tab/>
      </w:r>
      <w:r w:rsidRPr="007D6E0C">
        <w:tab/>
      </w:r>
      <w:r w:rsidRPr="007D6E0C">
        <w:tab/>
      </w:r>
      <w:r w:rsidRPr="007D6E0C">
        <w:tab/>
        <w:t>Tatango</w:t>
      </w:r>
    </w:p>
    <w:p w:rsidR="00D63EBF" w:rsidRPr="007D6E0C" w:rsidP="00D63EBF" w14:paraId="5FAE5E2C" w14:textId="77777777">
      <w:pPr>
        <w:widowControl/>
      </w:pPr>
      <w:r w:rsidRPr="007D6E0C">
        <w:t>TracFone Wireless, Inc.</w:t>
      </w:r>
      <w:r w:rsidRPr="007D6E0C">
        <w:tab/>
      </w:r>
      <w:r w:rsidRPr="007D6E0C">
        <w:tab/>
      </w:r>
      <w:r w:rsidRPr="007D6E0C">
        <w:tab/>
      </w:r>
      <w:r w:rsidRPr="007D6E0C">
        <w:tab/>
      </w:r>
      <w:r w:rsidRPr="007D6E0C">
        <w:tab/>
      </w:r>
      <w:r w:rsidRPr="007D6E0C">
        <w:tab/>
      </w:r>
      <w:r w:rsidRPr="007D6E0C">
        <w:tab/>
        <w:t>TracFone</w:t>
      </w:r>
    </w:p>
    <w:p w:rsidR="00D63EBF" w:rsidRPr="007D6E0C" w:rsidP="00D63EBF" w14:paraId="3F5FA682" w14:textId="77777777">
      <w:pPr>
        <w:widowControl/>
      </w:pPr>
      <w:r w:rsidRPr="007D6E0C">
        <w:t>U.S. Chamber</w:t>
      </w:r>
      <w:r w:rsidRPr="007D6E0C" w:rsidR="004629F6">
        <w:t xml:space="preserve"> of Commerce Institute for Legal Reform</w:t>
      </w:r>
      <w:r w:rsidRPr="007D6E0C" w:rsidR="004629F6">
        <w:tab/>
      </w:r>
      <w:r w:rsidRPr="007D6E0C" w:rsidR="004629F6">
        <w:tab/>
      </w:r>
      <w:r w:rsidRPr="007D6E0C" w:rsidR="004629F6">
        <w:tab/>
      </w:r>
      <w:r w:rsidRPr="007D6E0C">
        <w:t>USCC</w:t>
      </w:r>
    </w:p>
    <w:p w:rsidR="00D63EBF" w:rsidRPr="007D6E0C" w:rsidP="00D63EBF" w14:paraId="5383B1FA" w14:textId="77777777">
      <w:pPr>
        <w:widowControl/>
      </w:pPr>
      <w:r w:rsidRPr="007D6E0C">
        <w:t>Vibes Media, LLC</w:t>
      </w:r>
      <w:r w:rsidRPr="007D6E0C">
        <w:tab/>
      </w:r>
      <w:r w:rsidRPr="007D6E0C">
        <w:tab/>
      </w:r>
      <w:r w:rsidRPr="007D6E0C">
        <w:tab/>
      </w:r>
      <w:r w:rsidRPr="007D6E0C">
        <w:tab/>
      </w:r>
      <w:r w:rsidRPr="007D6E0C">
        <w:tab/>
      </w:r>
      <w:r w:rsidRPr="007D6E0C">
        <w:tab/>
      </w:r>
      <w:r w:rsidRPr="007D6E0C">
        <w:tab/>
        <w:t>Vibes</w:t>
      </w:r>
    </w:p>
    <w:p w:rsidR="00D63EBF" w:rsidRPr="007D6E0C" w:rsidP="00D63EBF" w14:paraId="7E4F9B1C" w14:textId="77777777">
      <w:pPr>
        <w:widowControl/>
      </w:pPr>
      <w:r w:rsidRPr="007D6E0C">
        <w:t>ZipDX LLC</w:t>
      </w:r>
      <w:r w:rsidRPr="007D6E0C">
        <w:tab/>
      </w:r>
      <w:r w:rsidRPr="007D6E0C">
        <w:tab/>
      </w:r>
      <w:r w:rsidRPr="007D6E0C">
        <w:tab/>
      </w:r>
      <w:r w:rsidRPr="007D6E0C">
        <w:tab/>
      </w:r>
      <w:r w:rsidRPr="007D6E0C">
        <w:tab/>
      </w:r>
      <w:r w:rsidRPr="007D6E0C">
        <w:tab/>
      </w:r>
      <w:r w:rsidRPr="007D6E0C">
        <w:tab/>
      </w:r>
      <w:r w:rsidRPr="007D6E0C">
        <w:tab/>
        <w:t>ZipDX</w:t>
      </w:r>
    </w:p>
    <w:p w:rsidR="00D63EBF" w:rsidRPr="007D6E0C" w:rsidP="00D63EBF" w14:paraId="4EFE7276" w14:textId="77777777">
      <w:pPr>
        <w:widowControl/>
      </w:pPr>
    </w:p>
    <w:p w:rsidR="00D63EBF" w:rsidRPr="007D6E0C" w:rsidP="00D63EBF" w14:paraId="127A0B49" w14:textId="77777777">
      <w:r w:rsidRPr="007D6E0C">
        <w:t xml:space="preserve">* </w:t>
      </w:r>
      <w:r w:rsidRPr="007D6E0C" w:rsidR="00670DC6">
        <w:t xml:space="preserve">Filed </w:t>
      </w:r>
      <w:r w:rsidRPr="007D6E0C">
        <w:t>both comments and reply comment</w:t>
      </w:r>
      <w:r w:rsidRPr="007D6E0C" w:rsidR="008F19A4">
        <w:t>s</w:t>
      </w:r>
      <w:r w:rsidRPr="007D6E0C">
        <w:t>.</w:t>
      </w:r>
    </w:p>
    <w:p w:rsidR="008F19A4" w:rsidRPr="007D6E0C" w:rsidP="00D63EBF" w14:paraId="6F0FB101" w14:textId="77777777">
      <w:r w:rsidRPr="007D6E0C">
        <w:t>** Filed only reply comments.</w:t>
      </w:r>
    </w:p>
    <w:p w:rsidR="00D63EBF" w:rsidRPr="007D6E0C" w:rsidP="00D63EBF" w14:paraId="48066A20" w14:textId="77777777">
      <w:pPr>
        <w:widowControl/>
      </w:pPr>
    </w:p>
    <w:p w:rsidR="00E06D4D" w:rsidP="00D63EBF" w14:paraId="5E8A1EB5" w14:textId="77777777">
      <w:pPr>
        <w:autoSpaceDE w:val="0"/>
        <w:autoSpaceDN w:val="0"/>
        <w:adjustRightInd w:val="0"/>
        <w:jc w:val="center"/>
        <w:rPr>
          <w:b/>
        </w:rPr>
        <w:sectPr w:rsidSect="009B59ED">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sectPr>
      </w:pPr>
    </w:p>
    <w:p w:rsidR="00CA1A1E" w:rsidP="00D63EBF" w14:paraId="7AA3B1AF" w14:textId="66A80828">
      <w:pPr>
        <w:autoSpaceDE w:val="0"/>
        <w:autoSpaceDN w:val="0"/>
        <w:adjustRightInd w:val="0"/>
        <w:jc w:val="center"/>
        <w:rPr>
          <w:b/>
        </w:rPr>
        <w:sectPr w:rsidSect="009B59ED">
          <w:headerReference w:type="first" r:id="rId17"/>
          <w:footerReference w:type="first" r:id="rId18"/>
          <w:endnotePr>
            <w:numFmt w:val="decimal"/>
          </w:endnotePr>
          <w:pgSz w:w="12240" w:h="15840"/>
          <w:pgMar w:top="1440" w:right="1440" w:bottom="720" w:left="1440" w:header="720" w:footer="720" w:gutter="0"/>
          <w:cols w:space="720"/>
          <w:noEndnote/>
          <w:titlePg/>
        </w:sectPr>
      </w:pPr>
    </w:p>
    <w:p w:rsidR="00D63EBF" w:rsidRPr="007D6E0C" w:rsidP="00D63EBF" w14:paraId="6DC1185E" w14:textId="70154277">
      <w:pPr>
        <w:autoSpaceDE w:val="0"/>
        <w:autoSpaceDN w:val="0"/>
        <w:adjustRightInd w:val="0"/>
        <w:jc w:val="center"/>
        <w:rPr>
          <w:b/>
        </w:rPr>
      </w:pPr>
      <w:r w:rsidRPr="007D6E0C">
        <w:rPr>
          <w:b/>
        </w:rPr>
        <w:t xml:space="preserve">APPENDIX </w:t>
      </w:r>
      <w:r w:rsidRPr="007D6E0C" w:rsidR="002B03C1">
        <w:rPr>
          <w:b/>
        </w:rPr>
        <w:t>B</w:t>
      </w:r>
    </w:p>
    <w:p w:rsidR="00D63EBF" w:rsidRPr="007D6E0C" w:rsidP="00D63EBF" w14:paraId="23D0B5C7" w14:textId="77777777">
      <w:pPr>
        <w:widowControl/>
        <w:jc w:val="center"/>
        <w:rPr>
          <w:b/>
          <w:szCs w:val="22"/>
        </w:rPr>
      </w:pPr>
    </w:p>
    <w:p w:rsidR="00D63EBF" w:rsidRPr="007D6E0C" w:rsidP="0014644C" w14:paraId="18DA4EDD" w14:textId="77777777">
      <w:pPr>
        <w:widowControl/>
        <w:tabs>
          <w:tab w:val="left" w:pos="0"/>
          <w:tab w:val="left" w:pos="720"/>
          <w:tab w:val="left" w:pos="1440"/>
          <w:tab w:val="left" w:pos="2160"/>
          <w:tab w:val="left" w:leader="dot" w:pos="2880"/>
          <w:tab w:val="left" w:leader="dot" w:pos="7920"/>
        </w:tabs>
        <w:spacing w:line="223" w:lineRule="auto"/>
        <w:jc w:val="center"/>
        <w:rPr>
          <w:b/>
          <w:spacing w:val="-2"/>
        </w:rPr>
      </w:pPr>
      <w:r w:rsidRPr="007D6E0C">
        <w:rPr>
          <w:b/>
          <w:spacing w:val="-2"/>
        </w:rPr>
        <w:t>Initial Regulatory Flexibility Analysis</w:t>
      </w:r>
    </w:p>
    <w:p w:rsidR="00D63EBF" w:rsidRPr="007D6E0C" w:rsidP="00D63EBF" w14:paraId="0A103746" w14:textId="77777777">
      <w:pPr>
        <w:widowControl/>
        <w:tabs>
          <w:tab w:val="left" w:pos="0"/>
          <w:tab w:val="left" w:pos="720"/>
          <w:tab w:val="left" w:pos="1440"/>
          <w:tab w:val="left" w:pos="2160"/>
          <w:tab w:val="left" w:leader="dot" w:pos="2880"/>
          <w:tab w:val="left" w:leader="dot" w:pos="7920"/>
        </w:tabs>
        <w:spacing w:line="223" w:lineRule="auto"/>
        <w:jc w:val="center"/>
        <w:rPr>
          <w:b/>
          <w:spacing w:val="-2"/>
          <w:szCs w:val="22"/>
        </w:rPr>
      </w:pPr>
    </w:p>
    <w:p w:rsidR="00D63EBF" w:rsidRPr="007D6E0C" w:rsidP="00D63EBF" w14:paraId="2B253ABE" w14:textId="77777777">
      <w:pPr>
        <w:pStyle w:val="ParaNum"/>
        <w:numPr>
          <w:ilvl w:val="0"/>
          <w:numId w:val="7"/>
        </w:numPr>
        <w:tabs>
          <w:tab w:val="clear" w:pos="1080"/>
          <w:tab w:val="num" w:pos="1440"/>
        </w:tabs>
      </w:pPr>
      <w:r w:rsidRPr="007D6E0C">
        <w:t>As required by the Regulatory Flexibility Act of 1980, as amended, (RFA),</w:t>
      </w:r>
      <w:r>
        <w:rPr>
          <w:sz w:val="20"/>
          <w:vertAlign w:val="superscript"/>
        </w:rPr>
        <w:footnoteReference w:id="101"/>
      </w:r>
      <w:r w:rsidRPr="007D6E0C">
        <w:t xml:space="preserve"> the Commission has prepared this Initial Regulatory Flexibility Analysis (IRFA) of the possible significant economic impact on a substantial number of small entities by the policies and rules proposed in this </w:t>
      </w:r>
      <w:r w:rsidRPr="007D6E0C">
        <w:rPr>
          <w:i/>
        </w:rPr>
        <w:t>Second</w:t>
      </w:r>
      <w:r w:rsidRPr="007D6E0C">
        <w:t xml:space="preserve"> </w:t>
      </w:r>
      <w:r w:rsidRPr="007D6E0C">
        <w:rPr>
          <w:i/>
        </w:rPr>
        <w:t xml:space="preserve">Further Notice of Proposed Rulemaking </w:t>
      </w:r>
      <w:r w:rsidRPr="007D6E0C">
        <w:t>(Second FNPRM).  Written public comments are requested on this IRFA.  Comments must be identified as responses to the IRFA and must be filed by the deadlines for comments on the Second FNPRM provided on the first page of this document.  The Commission will send a copy of the Second FNPRM, including this IRFA, to the Chief Counsel for Advocacy of the Small Business Administration.</w:t>
      </w:r>
      <w:r>
        <w:rPr>
          <w:sz w:val="20"/>
          <w:vertAlign w:val="superscript"/>
        </w:rPr>
        <w:footnoteReference w:id="102"/>
      </w:r>
      <w:r w:rsidRPr="007D6E0C">
        <w:t xml:space="preserve">  In addition, the Second FNPRM and IRFA (or summaries thereof) will be published in the Federal Register.</w:t>
      </w:r>
      <w:r>
        <w:rPr>
          <w:sz w:val="20"/>
          <w:vertAlign w:val="superscript"/>
        </w:rPr>
        <w:footnoteReference w:id="103"/>
      </w:r>
    </w:p>
    <w:p w:rsidR="00D63EBF" w:rsidRPr="007D6E0C" w:rsidP="00D63EBF" w14:paraId="4E4B5B59" w14:textId="77777777">
      <w:pPr>
        <w:pStyle w:val="Heading2"/>
      </w:pPr>
      <w:r w:rsidRPr="007D6E0C">
        <w:t>Need for, and Objectives of, the Proposed Rules</w:t>
      </w:r>
    </w:p>
    <w:p w:rsidR="00EF7873" w:rsidRPr="007D6E0C" w:rsidP="00EF7873" w14:paraId="3BFC3462" w14:textId="40B58DB7">
      <w:pPr>
        <w:pStyle w:val="ParaNum"/>
      </w:pPr>
      <w:r w:rsidRPr="007D6E0C">
        <w:t xml:space="preserve">As required by the Commission’s rules, </w:t>
      </w:r>
      <w:r w:rsidR="004D3004">
        <w:t xml:space="preserve">voice </w:t>
      </w:r>
      <w:r w:rsidRPr="007D6E0C">
        <w:t xml:space="preserve">service providers ensure the efficient use of telephone numbers by “recycling” a telephone </w:t>
      </w:r>
      <w:r w:rsidRPr="007D6E0C" w:rsidR="00F36378">
        <w:t>number</w:t>
      </w:r>
      <w:r w:rsidRPr="007D6E0C">
        <w:t xml:space="preserve"> that was disconnected by a consumer and reassigning it to a new consumer.</w:t>
      </w:r>
      <w:r>
        <w:rPr>
          <w:rStyle w:val="FootnoteReference"/>
        </w:rPr>
        <w:footnoteReference w:id="104"/>
      </w:r>
      <w:r w:rsidRPr="007D6E0C">
        <w:t xml:space="preserve">  Consumers disconnect their old numbers and change to new telephone numbers for a variety of reasons, including switching wireless providers without porting numbers and getting new wireline telephone numbers when they move.  Once a consumer disconnects a number, he or she might not update all parties, including </w:t>
      </w:r>
      <w:r w:rsidRPr="007D6E0C" w:rsidR="00666477">
        <w:t xml:space="preserve">businesses </w:t>
      </w:r>
      <w:r w:rsidRPr="007D6E0C">
        <w:t xml:space="preserve">to which the consumer gave prior express consent and other callers from which the consumer </w:t>
      </w:r>
      <w:r w:rsidRPr="007D6E0C" w:rsidR="00666477">
        <w:t xml:space="preserve">expects </w:t>
      </w:r>
      <w:r w:rsidRPr="007D6E0C">
        <w:t>to receive calls.  When that number is reassigned to a new consumer, he or she may receive unwanted calls intended for the previous holder of the number.</w:t>
      </w:r>
    </w:p>
    <w:p w:rsidR="00EF7873" w:rsidRPr="007D6E0C" w:rsidP="00EF7873" w14:paraId="55725F47" w14:textId="7B399BAF">
      <w:pPr>
        <w:pStyle w:val="ParaNum"/>
      </w:pPr>
      <w:r w:rsidRPr="007D6E0C">
        <w:t xml:space="preserve">The problem of unwanted calls to reassigned numbers can have important consequences for both consumers and callers.  Beyond annoying the new holder of the reassigned number, a misdirected call can deprive the previous holder of the number of a desired call from </w:t>
      </w:r>
      <w:r w:rsidR="004314E0">
        <w:t>his/her</w:t>
      </w:r>
      <w:r w:rsidRPr="007D6E0C">
        <w:t xml:space="preserve"> school, health care provider, or financial institution.</w:t>
      </w:r>
      <w:r>
        <w:rPr>
          <w:rStyle w:val="FootnoteReference"/>
        </w:rPr>
        <w:footnoteReference w:id="105"/>
      </w:r>
      <w:r w:rsidRPr="007D6E0C">
        <w:t xml:space="preserve">  Additionally, in the case of robocalls to reassigned numbers, a good faith caller may be subject to liability for violations of the TCPA.</w:t>
      </w:r>
      <w:r>
        <w:rPr>
          <w:rStyle w:val="FootnoteReference"/>
        </w:rPr>
        <w:footnoteReference w:id="106"/>
      </w:r>
      <w:r w:rsidRPr="007D6E0C">
        <w:t xml:space="preserve">  That threat can have a chilling effect—causing some callers to be overly cautious and stop making wanted, lawful calls out of concern over potential liability for calling a reassigned number.</w:t>
      </w:r>
      <w:r>
        <w:rPr>
          <w:rStyle w:val="FootnoteReference"/>
        </w:rPr>
        <w:footnoteReference w:id="107"/>
      </w:r>
    </w:p>
    <w:p w:rsidR="0004694F" w:rsidRPr="007D6E0C" w:rsidP="0004694F" w14:paraId="1FBE122B" w14:textId="77777777">
      <w:pPr>
        <w:pStyle w:val="ParaNum"/>
      </w:pPr>
      <w:r w:rsidRPr="007D6E0C">
        <w:t>While existing tools can help callers identify number reassignments,</w:t>
      </w:r>
      <w:r>
        <w:rPr>
          <w:sz w:val="20"/>
          <w:vertAlign w:val="superscript"/>
        </w:rPr>
        <w:footnoteReference w:id="108"/>
      </w:r>
      <w:r w:rsidRPr="007D6E0C">
        <w:t xml:space="preserve"> “callers lack guaranteed methods to discover all reassignments” in a timely manner.</w:t>
      </w:r>
      <w:r>
        <w:rPr>
          <w:rStyle w:val="FootnoteReference"/>
        </w:rPr>
        <w:footnoteReference w:id="109"/>
      </w:r>
      <w:r w:rsidRPr="007D6E0C">
        <w:t xml:space="preserve">  Accordingly, in </w:t>
      </w:r>
      <w:r w:rsidRPr="007D6E0C" w:rsidR="00D63EBF">
        <w:t xml:space="preserve">the Second FNPRM, we propose more advanced methods of using numbering data to reduce the number of </w:t>
      </w:r>
      <w:r w:rsidRPr="007D6E0C">
        <w:t>misdirected calls.</w:t>
      </w:r>
    </w:p>
    <w:p w:rsidR="00D63EBF" w:rsidRPr="007D6E0C" w:rsidP="0004694F" w14:paraId="59CBBA43" w14:textId="77777777">
      <w:pPr>
        <w:pStyle w:val="ParaNum"/>
      </w:pPr>
      <w:r w:rsidRPr="007D6E0C">
        <w:t xml:space="preserve">Specifically, the Second FNPRM </w:t>
      </w:r>
      <w:r w:rsidRPr="007D6E0C" w:rsidR="00327742">
        <w:t xml:space="preserve">seeks comment on our proposal to create a timely and comprehensive database callers can </w:t>
      </w:r>
      <w:r w:rsidRPr="007D6E0C" w:rsidR="00124AED">
        <w:t xml:space="preserve">use </w:t>
      </w:r>
      <w:r w:rsidRPr="007D6E0C" w:rsidR="00327742">
        <w:t>to identify phone numbers that have been reassigned to another consumer.</w:t>
      </w:r>
      <w:r>
        <w:rPr>
          <w:rStyle w:val="FootnoteReference"/>
        </w:rPr>
        <w:footnoteReference w:id="110"/>
      </w:r>
      <w:r w:rsidRPr="007D6E0C" w:rsidR="00327742">
        <w:t xml:space="preserve">  The Second FNPRM</w:t>
      </w:r>
      <w:r w:rsidRPr="007D6E0C" w:rsidR="00E93CFC">
        <w:t xml:space="preserve"> also</w:t>
      </w:r>
      <w:r w:rsidRPr="007D6E0C" w:rsidR="00327742">
        <w:t xml:space="preserve"> seeks comment on </w:t>
      </w:r>
      <w:r w:rsidRPr="007D6E0C" w:rsidR="00E93CFC">
        <w:t xml:space="preserve">issues associated with </w:t>
      </w:r>
      <w:r w:rsidRPr="007D6E0C" w:rsidR="00327742">
        <w:t>three potential mechanisms for service providers to report reassigned number information and for callers to access that information, namely mandatory reporting to a single database,</w:t>
      </w:r>
      <w:r>
        <w:rPr>
          <w:rStyle w:val="FootnoteReference"/>
        </w:rPr>
        <w:footnoteReference w:id="111"/>
      </w:r>
      <w:r w:rsidRPr="007D6E0C" w:rsidR="00327742">
        <w:t xml:space="preserve"> mandatory reporting to commercial data aggregators,</w:t>
      </w:r>
      <w:r>
        <w:rPr>
          <w:rStyle w:val="FootnoteReference"/>
        </w:rPr>
        <w:footnoteReference w:id="112"/>
      </w:r>
      <w:r w:rsidRPr="007D6E0C" w:rsidR="00327742">
        <w:t xml:space="preserve"> and voluntary reporting to commercial data aggregators.</w:t>
      </w:r>
      <w:r>
        <w:rPr>
          <w:rStyle w:val="FootnoteReference"/>
        </w:rPr>
        <w:footnoteReference w:id="113"/>
      </w:r>
      <w:r w:rsidRPr="007D6E0C" w:rsidR="00327742">
        <w:t xml:space="preserve">  </w:t>
      </w:r>
      <w:r w:rsidRPr="007D6E0C" w:rsidR="00500C7D">
        <w:t>The Second FNPRM is particularly interested in comments on the types of providers that should participate,</w:t>
      </w:r>
      <w:r w:rsidRPr="007D6E0C" w:rsidR="00803331">
        <w:t xml:space="preserve"> including </w:t>
      </w:r>
      <w:r w:rsidRPr="007D6E0C" w:rsidR="00500C7D">
        <w:t>ways to address reporting for service providers that procure their numbering resources indirectly</w:t>
      </w:r>
      <w:r w:rsidRPr="007D6E0C" w:rsidR="00803331">
        <w:t xml:space="preserve"> and providers that should potentially be exempted,</w:t>
      </w:r>
      <w:r w:rsidRPr="007D6E0C" w:rsidR="00803331">
        <w:rPr>
          <w:rStyle w:val="FootnoteReference"/>
        </w:rPr>
        <w:t xml:space="preserve"> </w:t>
      </w:r>
      <w:r>
        <w:rPr>
          <w:rStyle w:val="FootnoteReference"/>
        </w:rPr>
        <w:footnoteReference w:id="114"/>
      </w:r>
      <w:r w:rsidRPr="007D6E0C" w:rsidR="00803331">
        <w:t xml:space="preserve"> </w:t>
      </w:r>
      <w:r w:rsidRPr="007D6E0C" w:rsidR="00500C7D">
        <w:t>cost recovery for service providers,</w:t>
      </w:r>
      <w:r>
        <w:rPr>
          <w:rStyle w:val="FootnoteReference"/>
        </w:rPr>
        <w:footnoteReference w:id="115"/>
      </w:r>
      <w:r w:rsidRPr="007D6E0C" w:rsidR="00500C7D">
        <w:t xml:space="preserve"> and the cost</w:t>
      </w:r>
      <w:r w:rsidRPr="007D6E0C" w:rsidR="00F1667C">
        <w:t>s</w:t>
      </w:r>
      <w:r w:rsidRPr="007D6E0C" w:rsidR="00500C7D">
        <w:t xml:space="preserve"> and benefits </w:t>
      </w:r>
      <w:r w:rsidRPr="007D6E0C" w:rsidR="00F1667C">
        <w:t>associated with</w:t>
      </w:r>
      <w:r w:rsidRPr="007D6E0C" w:rsidR="00500C7D">
        <w:t xml:space="preserve"> each mechanism.</w:t>
      </w:r>
      <w:r>
        <w:rPr>
          <w:rStyle w:val="FootnoteReference"/>
        </w:rPr>
        <w:footnoteReference w:id="116"/>
      </w:r>
      <w:r w:rsidRPr="007D6E0C" w:rsidR="00500C7D">
        <w:t xml:space="preserve">  </w:t>
      </w:r>
      <w:r w:rsidRPr="007D6E0C" w:rsidR="00327742">
        <w:t xml:space="preserve">We </w:t>
      </w:r>
      <w:r w:rsidRPr="007D6E0C" w:rsidR="00E93CFC">
        <w:t>additionally</w:t>
      </w:r>
      <w:r w:rsidRPr="007D6E0C" w:rsidR="00327742">
        <w:t xml:space="preserve"> </w:t>
      </w:r>
      <w:r w:rsidRPr="007D6E0C" w:rsidR="00E93CFC">
        <w:t xml:space="preserve">seek comment </w:t>
      </w:r>
      <w:r w:rsidRPr="007D6E0C">
        <w:t>on the information to be reported</w:t>
      </w:r>
      <w:r w:rsidRPr="007D6E0C" w:rsidR="00F1667C">
        <w:t xml:space="preserve"> by the service providers</w:t>
      </w:r>
      <w:r w:rsidRPr="007D6E0C">
        <w:t>,</w:t>
      </w:r>
      <w:r w:rsidRPr="007D6E0C" w:rsidR="00C02D23">
        <w:t xml:space="preserve"> including the specific information a caller would need to avoid misdirecting a call</w:t>
      </w:r>
      <w:r w:rsidRPr="007D6E0C" w:rsidR="00D47A2F">
        <w:t>,</w:t>
      </w:r>
      <w:r>
        <w:rPr>
          <w:rStyle w:val="FootnoteReference"/>
        </w:rPr>
        <w:footnoteReference w:id="117"/>
      </w:r>
      <w:r w:rsidRPr="007D6E0C">
        <w:t xml:space="preserve"> </w:t>
      </w:r>
      <w:r w:rsidRPr="007D6E0C" w:rsidR="00E93CFC">
        <w:t xml:space="preserve">and </w:t>
      </w:r>
      <w:r w:rsidRPr="007D6E0C">
        <w:t xml:space="preserve">the </w:t>
      </w:r>
      <w:r w:rsidRPr="007D6E0C" w:rsidR="00C02D23">
        <w:t xml:space="preserve">comprehensiveness, timeliness, format, and </w:t>
      </w:r>
      <w:r w:rsidRPr="007D6E0C" w:rsidR="003D556B">
        <w:t xml:space="preserve">criteria for </w:t>
      </w:r>
      <w:r w:rsidRPr="007D6E0C" w:rsidR="00C02D23">
        <w:t>user access</w:t>
      </w:r>
      <w:r w:rsidRPr="007D6E0C" w:rsidR="003D556B">
        <w:t xml:space="preserve"> to</w:t>
      </w:r>
      <w:r w:rsidRPr="007D6E0C" w:rsidR="00C02D23">
        <w:t xml:space="preserve"> database information</w:t>
      </w:r>
      <w:r w:rsidRPr="007D6E0C" w:rsidR="00E93CFC">
        <w:t>.</w:t>
      </w:r>
      <w:r>
        <w:rPr>
          <w:rStyle w:val="FootnoteReference"/>
        </w:rPr>
        <w:footnoteReference w:id="118"/>
      </w:r>
      <w:r w:rsidRPr="007D6E0C" w:rsidR="00C02D23">
        <w:t xml:space="preserve"> </w:t>
      </w:r>
      <w:r w:rsidRPr="007D6E0C" w:rsidR="00F1667C">
        <w:t xml:space="preserve">Finally, the Commission </w:t>
      </w:r>
      <w:r w:rsidRPr="007D6E0C">
        <w:t xml:space="preserve">seeks comment on </w:t>
      </w:r>
      <w:r w:rsidRPr="007D6E0C" w:rsidR="006E2B84">
        <w:t xml:space="preserve">incentives to </w:t>
      </w:r>
      <w:r w:rsidRPr="007D6E0C" w:rsidR="00F1667C">
        <w:t xml:space="preserve">better </w:t>
      </w:r>
      <w:r w:rsidRPr="007D6E0C" w:rsidR="006E2B84">
        <w:t>encourage use, comprehensiveness, and timeliness of the database including a potential</w:t>
      </w:r>
      <w:r w:rsidRPr="007D6E0C">
        <w:t xml:space="preserve"> safe harbor </w:t>
      </w:r>
      <w:r w:rsidRPr="007D6E0C" w:rsidR="006E2B84">
        <w:t xml:space="preserve">for </w:t>
      </w:r>
      <w:r w:rsidRPr="007D6E0C">
        <w:t>callers that make use of the information</w:t>
      </w:r>
      <w:r w:rsidRPr="007D6E0C" w:rsidR="006E2B84">
        <w:t>.</w:t>
      </w:r>
      <w:r>
        <w:rPr>
          <w:rStyle w:val="FootnoteReference"/>
        </w:rPr>
        <w:footnoteReference w:id="119"/>
      </w:r>
    </w:p>
    <w:p w:rsidR="00D63EBF" w:rsidRPr="007D6E0C" w:rsidP="00D63EBF" w14:paraId="77B5707B" w14:textId="77777777">
      <w:pPr>
        <w:pStyle w:val="Heading2"/>
      </w:pPr>
      <w:r w:rsidRPr="007D6E0C">
        <w:t>Legal Basis</w:t>
      </w:r>
    </w:p>
    <w:p w:rsidR="00D63EBF" w:rsidRPr="007D6E0C" w:rsidP="00F70A60" w14:paraId="06A91E37" w14:textId="77777777">
      <w:pPr>
        <w:pStyle w:val="ParaNum"/>
        <w:widowControl/>
      </w:pPr>
      <w:r w:rsidRPr="007D6E0C">
        <w:t xml:space="preserve">The proposed and anticipated rules are authorized under </w:t>
      </w:r>
      <w:r w:rsidRPr="007D6E0C" w:rsidR="00073773">
        <w:t xml:space="preserve">4(i), </w:t>
      </w:r>
      <w:r w:rsidRPr="007D6E0C" w:rsidR="00926207">
        <w:t xml:space="preserve">227 and </w:t>
      </w:r>
      <w:r w:rsidRPr="007D6E0C">
        <w:t xml:space="preserve">251(e) of the Communications Act of 1934, as amended, 47 U.S.C. </w:t>
      </w:r>
      <w:r w:rsidRPr="007D6E0C" w:rsidR="00926207">
        <w:t xml:space="preserve">§§ </w:t>
      </w:r>
      <w:r w:rsidRPr="007D6E0C" w:rsidR="00073773">
        <w:t xml:space="preserve">154(i), </w:t>
      </w:r>
      <w:r w:rsidRPr="007D6E0C" w:rsidR="00926207">
        <w:t xml:space="preserve">227 and </w:t>
      </w:r>
      <w:r w:rsidRPr="007D6E0C">
        <w:t>251.</w:t>
      </w:r>
    </w:p>
    <w:p w:rsidR="00D63EBF" w:rsidRPr="007D6E0C" w:rsidP="00D63EBF" w14:paraId="20F8DD74" w14:textId="77777777">
      <w:pPr>
        <w:pStyle w:val="Heading2"/>
      </w:pPr>
      <w:r w:rsidRPr="007D6E0C">
        <w:t>Description and Estimate of the Number of Small Entities to Which the Proposed Rules Will Apply</w:t>
      </w:r>
    </w:p>
    <w:p w:rsidR="00D63EBF" w:rsidRPr="007D6E0C" w:rsidP="00D63EBF" w14:paraId="06546AD5" w14:textId="77777777">
      <w:pPr>
        <w:pStyle w:val="ParaNum"/>
      </w:pPr>
      <w:r w:rsidRPr="007D6E0C">
        <w:t>The RFA directs agencies to provide a description of, and where feasible, an estimate of the number of small entities that may be affected by the proposed rules, if adopted.</w:t>
      </w:r>
      <w:r>
        <w:rPr>
          <w:rStyle w:val="FootnoteReference"/>
        </w:rPr>
        <w:footnoteReference w:id="120"/>
      </w:r>
      <w:r w:rsidRPr="007D6E0C">
        <w:t xml:space="preserve">  The RFA generally defines the term “small entity” as having the same meaning as the terms “small business,” “small organization,” and “small governmental jurisdiction.”</w:t>
      </w:r>
      <w:r>
        <w:rPr>
          <w:rStyle w:val="FootnoteReference"/>
        </w:rPr>
        <w:footnoteReference w:id="121"/>
      </w:r>
      <w:r w:rsidRPr="007D6E0C">
        <w:t xml:space="preserve">  In addition, the term “small business” has the same meaning as the term “small-business concern” under the Small Business Act.</w:t>
      </w:r>
      <w:r>
        <w:rPr>
          <w:rStyle w:val="FootnoteReference"/>
        </w:rPr>
        <w:footnoteReference w:id="122"/>
      </w:r>
      <w:r w:rsidRPr="007D6E0C">
        <w:t xml:space="preserve">  A “small-business concern” is one which:  (1) is independently owned and operated; (2) is not dominant in its field of operation; and (3) satisfies any additional criteria established by the SBA.</w:t>
      </w:r>
      <w:r>
        <w:rPr>
          <w:rStyle w:val="FootnoteReference"/>
        </w:rPr>
        <w:footnoteReference w:id="123"/>
      </w:r>
    </w:p>
    <w:p w:rsidR="00D63EBF" w:rsidRPr="007D6E0C" w:rsidP="00D63EBF" w14:paraId="6F932FFD" w14:textId="77777777">
      <w:pPr>
        <w:pStyle w:val="ParaNum"/>
      </w:pPr>
      <w:r w:rsidRPr="007D6E0C">
        <w:t>The proposed safe harbor from liability for violating the prohibitions relating to telephone solicitations using autodialers, artificial and/or prerecorded messages applies to a wide range of entities, including potentially all entities that use the telephone to advertise.  Thus, we expect that the safe harbor proposal could have a significant economic impact on a substantial number of small entities.  For instance, funeral homes, mortgage brokers, automobile dealers, newspapers and telecommunications companies could all be affected.</w:t>
      </w:r>
    </w:p>
    <w:p w:rsidR="00D63EBF" w:rsidRPr="007D6E0C" w:rsidP="00D63EBF" w14:paraId="7CA4E91A" w14:textId="77777777">
      <w:pPr>
        <w:pStyle w:val="ParaNum"/>
      </w:pPr>
      <w:r w:rsidRPr="007D6E0C">
        <w:t>In 2013, there were approximately 28.8 million small business firms in the United States, according to SBA data.</w:t>
      </w:r>
      <w:r>
        <w:rPr>
          <w:rStyle w:val="FootnoteReference"/>
        </w:rPr>
        <w:footnoteReference w:id="124"/>
      </w:r>
      <w:r w:rsidRPr="007D6E0C">
        <w:t xml:space="preserve">  Determining a precise number of small entities that would be subject to the requirements proposed in this NPRM is not readily feasible.  Therefore, we invite comment about the number of small business entities that would be subject to the proposed safe harbor in this proceeding.  After evaluating the comments, the Commission will examine further the effect the proposed safe harbor might have on small entities, and will set forth our findings in the final Regulatory Flexibility Analysis.</w:t>
      </w:r>
    </w:p>
    <w:p w:rsidR="00D63EBF" w:rsidRPr="007D6E0C" w:rsidP="00D63EBF" w14:paraId="5D8F95BC" w14:textId="77777777">
      <w:pPr>
        <w:pStyle w:val="ParaNum"/>
      </w:pPr>
      <w:r w:rsidRPr="007D6E0C">
        <w:t>The descriptions and estimates of small entities affected by the remaining proposed rules is detailed below.</w:t>
      </w:r>
    </w:p>
    <w:p w:rsidR="00D63EBF" w:rsidRPr="007D6E0C" w:rsidP="00CD6B2B" w14:paraId="687040E9" w14:textId="77777777">
      <w:pPr>
        <w:pStyle w:val="Heading3"/>
      </w:pPr>
      <w:bookmarkStart w:id="106" w:name="_Toc412097298"/>
      <w:bookmarkStart w:id="107" w:name="_Toc412382115"/>
      <w:bookmarkStart w:id="108" w:name="_Toc412409143"/>
      <w:bookmarkStart w:id="109" w:name="_Toc412409990"/>
      <w:bookmarkStart w:id="110" w:name="_Toc412410098"/>
      <w:bookmarkStart w:id="111" w:name="_Toc412410353"/>
      <w:bookmarkStart w:id="112" w:name="_Toc412557236"/>
      <w:bookmarkStart w:id="113" w:name="_Toc412557596"/>
      <w:bookmarkStart w:id="114" w:name="_Toc412574962"/>
      <w:bookmarkStart w:id="115" w:name="_Toc413425059"/>
      <w:r w:rsidRPr="007D6E0C">
        <w:t xml:space="preserve">Wireline </w:t>
      </w:r>
      <w:bookmarkEnd w:id="106"/>
      <w:bookmarkEnd w:id="107"/>
      <w:bookmarkEnd w:id="108"/>
      <w:bookmarkEnd w:id="109"/>
      <w:bookmarkEnd w:id="110"/>
      <w:bookmarkEnd w:id="111"/>
      <w:bookmarkEnd w:id="112"/>
      <w:bookmarkEnd w:id="113"/>
      <w:bookmarkEnd w:id="114"/>
      <w:bookmarkEnd w:id="115"/>
      <w:r w:rsidRPr="007D6E0C">
        <w:t>Carriers</w:t>
      </w:r>
    </w:p>
    <w:p w:rsidR="00D63EBF" w:rsidRPr="007D6E0C" w:rsidP="00D63EBF" w14:paraId="35770EE6" w14:textId="77777777">
      <w:pPr>
        <w:pStyle w:val="ParaNum"/>
      </w:pPr>
      <w:r w:rsidRPr="007D6E0C">
        <w:rPr>
          <w:i/>
        </w:rPr>
        <w:t>Wired Telecommunications Carriers.</w:t>
      </w:r>
      <w:r w:rsidRPr="007D6E0C">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125"/>
      </w:r>
      <w:r w:rsidRPr="007D6E0C">
        <w:t xml:space="preserve">  The SBA has developed a small business size standard for Wired Telecommunications Carriers, which consists of all such companies having 1,500 or fewer employees.</w:t>
      </w:r>
      <w:r>
        <w:rPr>
          <w:vertAlign w:val="superscript"/>
        </w:rPr>
        <w:footnoteReference w:id="126"/>
      </w:r>
      <w:r w:rsidRPr="007D6E0C">
        <w:t xml:space="preserve">  Census data for 2012 shows that there were 3,117 firms that operated that year.  Of this total, 3,083 operated with fewer than 1,000 employees.</w:t>
      </w:r>
      <w:r>
        <w:rPr>
          <w:vertAlign w:val="superscript"/>
        </w:rPr>
        <w:footnoteReference w:id="127"/>
      </w:r>
      <w:r w:rsidRPr="007D6E0C">
        <w:t xml:space="preserve">  Thus, under this size standard, the majority of firms in this industry can be considered small.</w:t>
      </w:r>
    </w:p>
    <w:p w:rsidR="00D63EBF" w:rsidRPr="007D6E0C" w:rsidP="00D63EBF" w14:paraId="338368BE" w14:textId="77777777">
      <w:pPr>
        <w:pStyle w:val="ParaNum"/>
      </w:pPr>
      <w:r w:rsidRPr="007D6E0C">
        <w:rPr>
          <w:i/>
        </w:rPr>
        <w:t xml:space="preserve">Local Exchange Carriers </w:t>
      </w:r>
      <w:r w:rsidRPr="007D6E0C">
        <w:t>(</w:t>
      </w:r>
      <w:r w:rsidRPr="007D6E0C">
        <w:rPr>
          <w:i/>
        </w:rPr>
        <w:t>LECs</w:t>
      </w:r>
      <w:r w:rsidRPr="007D6E0C">
        <w:t>).  Neither the Commission nor the SBA has developed a small business size standard specifically for local exchange services.  The closest applicable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128"/>
      </w:r>
      <w:r w:rsidRPr="007D6E0C">
        <w:t xml:space="preserve">  Under that size standard, such a business is small if it has 1,500 or fewer employees.</w:t>
      </w:r>
      <w:r>
        <w:rPr>
          <w:sz w:val="20"/>
          <w:vertAlign w:val="superscript"/>
        </w:rPr>
        <w:footnoteReference w:id="129"/>
      </w:r>
      <w:r w:rsidRPr="007D6E0C">
        <w:t xml:space="preserve">  Census data for 2012 show that there were 3,117 firms that operated that year.  Of this total, 3,083 operated with fewer than 1,000 employees.</w:t>
      </w:r>
      <w:r>
        <w:rPr>
          <w:sz w:val="20"/>
          <w:vertAlign w:val="superscript"/>
        </w:rPr>
        <w:footnoteReference w:id="130"/>
      </w:r>
      <w:r w:rsidRPr="007D6E0C">
        <w:t xml:space="preserve">  Consequently, the Commission estimates that most providers of local exchange service are small businesses.</w:t>
      </w:r>
    </w:p>
    <w:p w:rsidR="00D63EBF" w:rsidRPr="007D6E0C" w:rsidP="00A85947" w14:paraId="53561D09" w14:textId="77777777">
      <w:pPr>
        <w:pStyle w:val="ParaNum"/>
        <w:widowControl/>
      </w:pPr>
      <w:r w:rsidRPr="007D6E0C">
        <w:rPr>
          <w:i/>
        </w:rPr>
        <w:t xml:space="preserve">Incumbent Local Exchange Carriers </w:t>
      </w:r>
      <w:r w:rsidRPr="007D6E0C">
        <w:t>(</w:t>
      </w:r>
      <w:r w:rsidRPr="007D6E0C">
        <w:rPr>
          <w:i/>
        </w:rPr>
        <w:t>Incumbent LECs</w:t>
      </w:r>
      <w:r w:rsidRPr="007D6E0C">
        <w:t>).  Neither the Commission nor the SBA has developed a small business size standard specifically for incumbent local exchange services.  The closest applicable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131"/>
      </w:r>
      <w:r w:rsidRPr="007D6E0C">
        <w:t xml:space="preserve">  Under that size standard, such a business is small if it has 1,500 or fewer employees.</w:t>
      </w:r>
      <w:r>
        <w:rPr>
          <w:sz w:val="20"/>
          <w:vertAlign w:val="superscript"/>
        </w:rPr>
        <w:footnoteReference w:id="132"/>
      </w:r>
      <w:r w:rsidRPr="007D6E0C">
        <w:t xml:space="preserve">  Census data for 2012 show that there were 3,117 firms that operated that year.  Of this total, 3,083 operated with fewer than 1,000 employees.</w:t>
      </w:r>
      <w:r>
        <w:rPr>
          <w:sz w:val="20"/>
          <w:vertAlign w:val="superscript"/>
        </w:rPr>
        <w:footnoteReference w:id="133"/>
      </w:r>
      <w:r w:rsidRPr="007D6E0C">
        <w:t xml:space="preserve">  Consequently, the Commission estimates that most providers of incumbent local exchange service are small businesses.</w:t>
      </w:r>
    </w:p>
    <w:p w:rsidR="00D63EBF" w:rsidRPr="007D6E0C" w:rsidP="00D63EBF" w14:paraId="29A4BE35" w14:textId="77777777">
      <w:pPr>
        <w:pStyle w:val="ParaNum"/>
      </w:pPr>
      <w:r w:rsidRPr="007D6E0C">
        <w:rPr>
          <w:i/>
        </w:rPr>
        <w:t>Competitive Local Exchange Carriers (Competitive LECs), Competitive Access Providers (CAPs), Shared-Tenant Service Providers, and Other Local Service Providers</w:t>
      </w:r>
      <w:r w:rsidRPr="007D6E0C">
        <w:t>.  Neither the Commission nor the SBA has developed a small business size standard specifically for these service providers.  The appropriate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134"/>
      </w:r>
      <w:r w:rsidRPr="007D6E0C">
        <w:t xml:space="preserve">  Under that size standard, such a business is small if it has 1,500 or fewer employees.</w:t>
      </w:r>
      <w:r>
        <w:rPr>
          <w:sz w:val="20"/>
          <w:vertAlign w:val="superscript"/>
        </w:rPr>
        <w:footnoteReference w:id="135"/>
      </w:r>
      <w:r w:rsidRPr="007D6E0C">
        <w:t xml:space="preserve">  Census data for 2012 show that there were 3,117 firms that operated that year.  Of this total, 3,083 operated with fewer than 1,000 employees.</w:t>
      </w:r>
      <w:r>
        <w:rPr>
          <w:sz w:val="20"/>
          <w:vertAlign w:val="superscript"/>
        </w:rPr>
        <w:footnoteReference w:id="136"/>
      </w:r>
      <w:r w:rsidRPr="007D6E0C">
        <w:t xml:space="preserve">  Consequently, the Commission estimates that most providers of competitive local exchange service, competitive access providers, shared-tenant service providers, and other local service providers are small entities.</w:t>
      </w:r>
    </w:p>
    <w:p w:rsidR="00D63EBF" w:rsidRPr="007D6E0C" w:rsidP="00D63EBF" w14:paraId="3021CC39" w14:textId="77777777">
      <w:pPr>
        <w:pStyle w:val="ParaNum"/>
      </w:pPr>
      <w:r w:rsidRPr="007D6E0C">
        <w:t xml:space="preserve">We have included small incumbent LECs in this present RFA analysis.  As noted above, a “small business” under the RFA is one that, </w:t>
      </w:r>
      <w:r w:rsidRPr="007D6E0C">
        <w:rPr>
          <w:i/>
          <w:iCs/>
        </w:rPr>
        <w:t>inter alia</w:t>
      </w:r>
      <w:r w:rsidRPr="007D6E0C">
        <w:t>, meets the pertinent small business size standard (</w:t>
      </w:r>
      <w:r w:rsidRPr="007D6E0C">
        <w:rPr>
          <w:i/>
        </w:rPr>
        <w:t>e.g.</w:t>
      </w:r>
      <w:r w:rsidRPr="007D6E0C">
        <w:t>, a telephone communications business having 1,500 or fewer employees), and “is not dominant in its field of operation.”</w:t>
      </w:r>
      <w:r>
        <w:rPr>
          <w:vertAlign w:val="superscript"/>
        </w:rPr>
        <w:footnoteReference w:id="137"/>
      </w:r>
      <w:r w:rsidRPr="007D6E0C">
        <w:t xml:space="preserve">  The SBA’s Office of Advocacy contends that, for RFA purposes, small incumbent LECs are not dominant in their field of operation because any such dominance is not “national” in scope.</w:t>
      </w:r>
      <w:r>
        <w:rPr>
          <w:vertAlign w:val="superscript"/>
        </w:rPr>
        <w:footnoteReference w:id="138"/>
      </w:r>
      <w:r w:rsidRPr="007D6E0C">
        <w:t xml:space="preserve">  We have therefore included small incumbent LECs in this RFA analysis, although we emphasize that this RFA action has no effect on Commission analyses and determinations in other, non-RFA contexts.</w:t>
      </w:r>
    </w:p>
    <w:p w:rsidR="00D63EBF" w:rsidRPr="007D6E0C" w:rsidP="00D63EBF" w14:paraId="1BA47FCD" w14:textId="77777777">
      <w:pPr>
        <w:pStyle w:val="ParaNum"/>
      </w:pPr>
      <w:r w:rsidRPr="007D6E0C">
        <w:rPr>
          <w:i/>
        </w:rPr>
        <w:t xml:space="preserve">Interexchange Carriers.  </w:t>
      </w:r>
      <w:r w:rsidRPr="007D6E0C">
        <w:t>Neither the Commission nor the SBA has developed a small business size standard specifically for providers of interexchange services.  The appropriate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139"/>
      </w:r>
      <w:r w:rsidRPr="007D6E0C">
        <w:t xml:space="preserve">  Under that size standard, such a business is small if it has 1,500 or fewer employees.</w:t>
      </w:r>
      <w:r>
        <w:rPr>
          <w:sz w:val="20"/>
          <w:vertAlign w:val="superscript"/>
        </w:rPr>
        <w:footnoteReference w:id="140"/>
      </w:r>
      <w:r w:rsidRPr="007D6E0C">
        <w:t xml:space="preserve">  Census data for 2012 show that there were 3,117 firms that operated that year.  Of this total, 3,083 operated with fewer than 1,000 employees.</w:t>
      </w:r>
      <w:r>
        <w:rPr>
          <w:sz w:val="20"/>
          <w:vertAlign w:val="superscript"/>
        </w:rPr>
        <w:footnoteReference w:id="141"/>
      </w:r>
      <w:r w:rsidRPr="007D6E0C">
        <w:t xml:space="preserve">  Consequently, the Commission estimates that the majority of interexchange carriers are small entities.</w:t>
      </w:r>
    </w:p>
    <w:p w:rsidR="00D63EBF" w:rsidRPr="007D6E0C" w:rsidP="00D63EBF" w14:paraId="10C78DD4" w14:textId="77777777">
      <w:pPr>
        <w:pStyle w:val="ParaNum"/>
      </w:pPr>
      <w:r w:rsidRPr="007D6E0C">
        <w:rPr>
          <w:i/>
        </w:rPr>
        <w:t>Cable System Operators (Telecom Act Standard).</w:t>
      </w:r>
      <w:r w:rsidRPr="007D6E0C">
        <w:t xml:space="preserve">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vertAlign w:val="superscript"/>
        </w:rPr>
        <w:footnoteReference w:id="142"/>
      </w:r>
      <w:r w:rsidRPr="007D6E0C">
        <w:t xml:space="preserve">  There are approximately 52,403,705 cable video subscribers in the United States today.</w:t>
      </w:r>
      <w:r>
        <w:rPr>
          <w:vertAlign w:val="superscript"/>
        </w:rPr>
        <w:footnoteReference w:id="143"/>
      </w:r>
      <w:r w:rsidRPr="007D6E0C">
        <w:t xml:space="preserve">  Accordingly, an operator serving fewer than 524,037 subscribers shall be deemed a small operator if its annual revenues, when combined with the total annual revenues of all its affiliates, do not exceed $250 million in the aggregate.</w:t>
      </w:r>
      <w:r>
        <w:rPr>
          <w:vertAlign w:val="superscript"/>
        </w:rPr>
        <w:footnoteReference w:id="144"/>
      </w:r>
      <w:r w:rsidRPr="007D6E0C">
        <w:t xml:space="preserve">  Based on available data, we find that all but nine incumbent cable operators are small entities under this size standard.</w:t>
      </w:r>
      <w:r>
        <w:rPr>
          <w:vertAlign w:val="superscript"/>
        </w:rPr>
        <w:footnoteReference w:id="145"/>
      </w:r>
      <w:r w:rsidRPr="007D6E0C">
        <w:t xml:space="preserve">  We note that the Commission neither requests nor collects information on whether cable system operators are affiliated with entities whose gross annual revenues exceed $250 million.</w:t>
      </w:r>
      <w:r>
        <w:rPr>
          <w:vertAlign w:val="superscript"/>
        </w:rPr>
        <w:footnoteReference w:id="146"/>
      </w:r>
      <w:r w:rsidRPr="007D6E0C">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D63EBF" w:rsidRPr="007D6E0C" w:rsidP="00D63EBF" w14:paraId="5298B3E3" w14:textId="77777777">
      <w:pPr>
        <w:pStyle w:val="ParaNum"/>
      </w:pPr>
      <w:r w:rsidRPr="007D6E0C">
        <w:rPr>
          <w:i/>
        </w:rPr>
        <w:t>Other Toll Carriers.</w:t>
      </w:r>
      <w:r w:rsidRPr="007D6E0C">
        <w:t xml:space="preserve">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147"/>
      </w:r>
      <w:r w:rsidRPr="007D6E0C">
        <w:t xml:space="preserve">  Under that size standard, such a business is small if it has 1,500 or fewer employees.</w:t>
      </w:r>
      <w:r>
        <w:rPr>
          <w:sz w:val="20"/>
          <w:vertAlign w:val="superscript"/>
        </w:rPr>
        <w:footnoteReference w:id="148"/>
      </w:r>
      <w:r w:rsidRPr="007D6E0C">
        <w:t xml:space="preserve">  Census data for 2012 show that there were 3,117 firms that operated that year.  Of this total, 3,083 operated with fewer than 1,000 employees.</w:t>
      </w:r>
      <w:r>
        <w:rPr>
          <w:sz w:val="20"/>
          <w:vertAlign w:val="superscript"/>
        </w:rPr>
        <w:footnoteReference w:id="149"/>
      </w:r>
      <w:r w:rsidRPr="007D6E0C">
        <w:t xml:space="preserve">  Thus, under this category and the associated small business size standard, the majority of other toll carriers can be considered small.</w:t>
      </w:r>
    </w:p>
    <w:p w:rsidR="00D63EBF" w:rsidRPr="007D6E0C" w:rsidP="00CD6B2B" w14:paraId="4739FC4F" w14:textId="77777777">
      <w:pPr>
        <w:pStyle w:val="Heading3"/>
      </w:pPr>
      <w:bookmarkStart w:id="116" w:name="_Toc412097299"/>
      <w:bookmarkStart w:id="117" w:name="_Toc412382116"/>
      <w:bookmarkStart w:id="118" w:name="_Toc412409144"/>
      <w:bookmarkStart w:id="119" w:name="_Toc412409991"/>
      <w:bookmarkStart w:id="120" w:name="_Toc412410099"/>
      <w:bookmarkStart w:id="121" w:name="_Toc412410354"/>
      <w:bookmarkStart w:id="122" w:name="_Toc412557237"/>
      <w:bookmarkStart w:id="123" w:name="_Toc412557597"/>
      <w:bookmarkStart w:id="124" w:name="_Toc412574963"/>
      <w:bookmarkStart w:id="125" w:name="_Toc413425060"/>
      <w:r w:rsidRPr="007D6E0C">
        <w:t xml:space="preserve">Wireless </w:t>
      </w:r>
      <w:bookmarkEnd w:id="116"/>
      <w:bookmarkEnd w:id="117"/>
      <w:bookmarkEnd w:id="118"/>
      <w:bookmarkEnd w:id="119"/>
      <w:bookmarkEnd w:id="120"/>
      <w:bookmarkEnd w:id="121"/>
      <w:bookmarkEnd w:id="122"/>
      <w:bookmarkEnd w:id="123"/>
      <w:bookmarkEnd w:id="124"/>
      <w:bookmarkEnd w:id="125"/>
      <w:r w:rsidRPr="007D6E0C">
        <w:t>Carriers</w:t>
      </w:r>
    </w:p>
    <w:p w:rsidR="00D63EBF" w:rsidRPr="007D6E0C" w:rsidP="00D63EBF" w14:paraId="16912B4F" w14:textId="77777777">
      <w:pPr>
        <w:pStyle w:val="ParaNum"/>
      </w:pPr>
      <w:r w:rsidRPr="007D6E0C">
        <w:rPr>
          <w:i/>
        </w:rPr>
        <w:t>Wireless Telecommunications Carriers (except Satellite</w:t>
      </w:r>
      <w:r w:rsidRPr="007D6E0C">
        <w:t>).  Since 2007, the Census Bureau has placed wireless firms within this new, broad, economic census category.</w:t>
      </w:r>
      <w:r>
        <w:rPr>
          <w:sz w:val="20"/>
          <w:vertAlign w:val="superscript"/>
        </w:rPr>
        <w:footnoteReference w:id="150"/>
      </w:r>
      <w:r w:rsidRPr="007D6E0C">
        <w:t xml:space="preserve">  Under the present and prior categories, the SBA has deemed a wireless business to be small if it has 1,500 or fewer employees.</w:t>
      </w:r>
      <w:r>
        <w:rPr>
          <w:sz w:val="20"/>
          <w:vertAlign w:val="superscript"/>
        </w:rPr>
        <w:footnoteReference w:id="151"/>
      </w:r>
      <w:r w:rsidRPr="007D6E0C">
        <w:t xml:space="preserve">  For the category of Wireless Telecommunications Carriers (except Satellite), Census data for 2012 show that there were 967 firms that operated for the entire year.  Of this total, 955 firms had fewer than 1,000 employees.</w:t>
      </w:r>
      <w:r>
        <w:rPr>
          <w:sz w:val="20"/>
          <w:vertAlign w:val="superscript"/>
        </w:rPr>
        <w:footnoteReference w:id="152"/>
      </w:r>
      <w:r w:rsidRPr="007D6E0C">
        <w:t xml:space="preserve">  Thus under this category and the associated size standard, the Commission estimates that the majority of wireless telecommunications carriers (except satellite) are small entities.  Similarly, according to internally developed Commission data, 413 carriers reported that they were engaged in the provision of wireless telephony, including cellular service, Personal Communications Service (PCS), and Specialized Mobile Radio (SMR) services.</w:t>
      </w:r>
      <w:r>
        <w:rPr>
          <w:sz w:val="20"/>
          <w:vertAlign w:val="superscript"/>
        </w:rPr>
        <w:footnoteReference w:id="153"/>
      </w:r>
      <w:r w:rsidRPr="007D6E0C">
        <w:t xml:space="preserve">  Of this total, an estimated 261 have 1,500 or fewer employees.</w:t>
      </w:r>
      <w:r>
        <w:rPr>
          <w:sz w:val="20"/>
          <w:vertAlign w:val="superscript"/>
        </w:rPr>
        <w:footnoteReference w:id="154"/>
      </w:r>
      <w:r w:rsidRPr="007D6E0C">
        <w:t xml:space="preserve">  Thus, using available data, we estimate that the majority of wireless firms can be considered small.</w:t>
      </w:r>
    </w:p>
    <w:p w:rsidR="00D63EBF" w:rsidRPr="007D6E0C" w:rsidP="00A85947" w14:paraId="5A37298C" w14:textId="77777777">
      <w:pPr>
        <w:pStyle w:val="ParaNum"/>
        <w:widowControl/>
      </w:pPr>
      <w:r w:rsidRPr="007D6E0C">
        <w:rPr>
          <w:i/>
        </w:rPr>
        <w:t xml:space="preserve">Satellite Telecommunications Providers.  </w:t>
      </w:r>
      <w:r w:rsidRPr="007D6E0C">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vertAlign w:val="superscript"/>
        </w:rPr>
        <w:footnoteReference w:id="155"/>
      </w:r>
      <w:r w:rsidRPr="007D6E0C">
        <w:t xml:space="preserve">  This category has a small business size standard of $32.5 million or less in average annual receipts, under SBA rules.</w:t>
      </w:r>
      <w:r>
        <w:rPr>
          <w:sz w:val="20"/>
          <w:vertAlign w:val="superscript"/>
        </w:rPr>
        <w:footnoteReference w:id="156"/>
      </w:r>
      <w:r w:rsidRPr="007D6E0C">
        <w:t xml:space="preserve">  For this category, Census Bureau data for 2012 show that there were a total of 333 firms that operated for the entire year.</w:t>
      </w:r>
      <w:r>
        <w:rPr>
          <w:sz w:val="20"/>
          <w:vertAlign w:val="superscript"/>
        </w:rPr>
        <w:footnoteReference w:id="157"/>
      </w:r>
      <w:r w:rsidRPr="007D6E0C">
        <w:t xml:space="preserve">  Of this total, 299 firms had annual receipts of under $25 million.</w:t>
      </w:r>
      <w:r>
        <w:rPr>
          <w:sz w:val="20"/>
          <w:vertAlign w:val="superscript"/>
        </w:rPr>
        <w:footnoteReference w:id="158"/>
      </w:r>
      <w:r w:rsidRPr="007D6E0C">
        <w:t xml:space="preserve">  Consequently, we estimate that the majority of satellite telecommunications firms are small entities.</w:t>
      </w:r>
    </w:p>
    <w:p w:rsidR="00D63EBF" w:rsidRPr="007D6E0C" w:rsidP="00D63EBF" w14:paraId="1141D460" w14:textId="77777777">
      <w:pPr>
        <w:pStyle w:val="ParaNum"/>
      </w:pPr>
      <w:r w:rsidRPr="007D6E0C">
        <w:rPr>
          <w:i/>
        </w:rPr>
        <w:t>All Other Telecommunications.</w:t>
      </w:r>
      <w:r w:rsidRPr="007D6E0C">
        <w:t xml:space="preserve">  All other telecommunications comprises, </w:t>
      </w:r>
      <w:r w:rsidRPr="007D6E0C">
        <w:rPr>
          <w:i/>
        </w:rPr>
        <w:t>inter alia</w:t>
      </w:r>
      <w:r w:rsidRPr="007D6E0C">
        <w:t>,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services via client-supplied telecommunications connections are also included in this industry.”</w:t>
      </w:r>
      <w:r>
        <w:rPr>
          <w:sz w:val="20"/>
          <w:vertAlign w:val="superscript"/>
        </w:rPr>
        <w:footnoteReference w:id="159"/>
      </w:r>
      <w:r w:rsidRPr="007D6E0C">
        <w:t xml:space="preserve">  The SBA has developed a small business size standard for the category of All Other Telecommunications.</w:t>
      </w:r>
      <w:r>
        <w:rPr>
          <w:vertAlign w:val="superscript"/>
        </w:rPr>
        <w:footnoteReference w:id="160"/>
      </w:r>
      <w:r w:rsidRPr="007D6E0C">
        <w:t xml:space="preserve">  Under that size standard, such a business is small if it has $32.5 million in annual receipts.</w:t>
      </w:r>
      <w:r>
        <w:rPr>
          <w:vertAlign w:val="superscript"/>
        </w:rPr>
        <w:footnoteReference w:id="161"/>
      </w:r>
      <w:r w:rsidRPr="007D6E0C">
        <w:t xml:space="preserve">  For this category, Census Bureau data for 2012 show that there were a total of 1,442 firms that operated for the entire year.</w:t>
      </w:r>
      <w:r>
        <w:rPr>
          <w:sz w:val="20"/>
          <w:vertAlign w:val="superscript"/>
        </w:rPr>
        <w:footnoteReference w:id="162"/>
      </w:r>
      <w:r w:rsidRPr="007D6E0C">
        <w:t xml:space="preserve">  Of this total, 1,400 had annual receipts below $25 million per year.</w:t>
      </w:r>
      <w:r>
        <w:rPr>
          <w:sz w:val="20"/>
          <w:vertAlign w:val="superscript"/>
        </w:rPr>
        <w:footnoteReference w:id="163"/>
      </w:r>
      <w:r w:rsidRPr="007D6E0C">
        <w:t xml:space="preserve">  Consequently, we estimate that the majority of all other telecommunications firms are small entities.</w:t>
      </w:r>
    </w:p>
    <w:p w:rsidR="00D63EBF" w:rsidRPr="007D6E0C" w:rsidP="00CD6B2B" w14:paraId="257D2BA9" w14:textId="77777777">
      <w:pPr>
        <w:pStyle w:val="Heading3"/>
      </w:pPr>
      <w:r w:rsidRPr="007D6E0C">
        <w:t>Resellers</w:t>
      </w:r>
    </w:p>
    <w:p w:rsidR="00D63EBF" w:rsidRPr="007D6E0C" w:rsidP="00D63EBF" w14:paraId="4E00C27E" w14:textId="77777777">
      <w:pPr>
        <w:pStyle w:val="ParaNum"/>
      </w:pPr>
      <w:r w:rsidRPr="007D6E0C">
        <w:rPr>
          <w:i/>
        </w:rPr>
        <w:t>Toll Resellers.</w:t>
      </w:r>
      <w:r w:rsidRPr="007D6E0C">
        <w:t xml:space="preserve">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164"/>
      </w:r>
      <w:r w:rsidRPr="007D6E0C">
        <w:t xml:space="preserve">  The SBA has developed a small business size standard for the category of Telecommunications Resellers.</w:t>
      </w:r>
      <w:r>
        <w:rPr>
          <w:vertAlign w:val="superscript"/>
        </w:rPr>
        <w:footnoteReference w:id="165"/>
      </w:r>
      <w:r w:rsidRPr="007D6E0C">
        <w:t xml:space="preserve">  Under that size standard, such a business is small if it has 1,500 or fewer employees.</w:t>
      </w:r>
      <w:r>
        <w:rPr>
          <w:vertAlign w:val="superscript"/>
        </w:rPr>
        <w:footnoteReference w:id="166"/>
      </w:r>
      <w:r w:rsidRPr="007D6E0C">
        <w:t xml:space="preserve">  Census data for 2012 show that 1,341 firms provided resale services during that year.  Of that number, 1,341 operated with fewer than 1,000 employees.</w:t>
      </w:r>
      <w:r>
        <w:rPr>
          <w:vertAlign w:val="superscript"/>
        </w:rPr>
        <w:footnoteReference w:id="167"/>
      </w:r>
      <w:r w:rsidRPr="007D6E0C">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168"/>
      </w:r>
      <w:r w:rsidRPr="007D6E0C">
        <w:t xml:space="preserve">  Of this total, an estimated 857 have 1,500 or fewer employees.</w:t>
      </w:r>
      <w:r>
        <w:rPr>
          <w:vertAlign w:val="superscript"/>
        </w:rPr>
        <w:footnoteReference w:id="169"/>
      </w:r>
      <w:r w:rsidRPr="007D6E0C">
        <w:t xml:space="preserve">  Consequently, the Commission estimates that the majority of toll resellers are small entities.</w:t>
      </w:r>
    </w:p>
    <w:p w:rsidR="00D63EBF" w:rsidRPr="007D6E0C" w:rsidP="00D63EBF" w14:paraId="0E323C49" w14:textId="77777777">
      <w:pPr>
        <w:pStyle w:val="ParaNum"/>
      </w:pPr>
      <w:r w:rsidRPr="007D6E0C">
        <w:rPr>
          <w:i/>
        </w:rPr>
        <w:t>Local Resellers.</w:t>
      </w:r>
      <w:r w:rsidRPr="007D6E0C">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170"/>
      </w:r>
      <w:r w:rsidRPr="007D6E0C">
        <w:t xml:space="preserve">  Under that size standard, such a business is small if it has 1,500 or fewer employees.</w:t>
      </w:r>
      <w:r>
        <w:rPr>
          <w:sz w:val="20"/>
          <w:vertAlign w:val="superscript"/>
        </w:rPr>
        <w:footnoteReference w:id="171"/>
      </w:r>
      <w:r w:rsidRPr="007D6E0C">
        <w:t xml:space="preserve">  Census data for 2012 show that 1,341 firms provided resale services during that year.  Of that number, all operated with fewer than 1,000 employees.</w:t>
      </w:r>
      <w:r>
        <w:rPr>
          <w:sz w:val="20"/>
          <w:vertAlign w:val="superscript"/>
        </w:rPr>
        <w:footnoteReference w:id="172"/>
      </w:r>
      <w:r w:rsidRPr="007D6E0C">
        <w:t xml:space="preserve">  Thus, under this category and the associated small business size standard, the majority of these local resellers can be considered small entities. </w:t>
      </w:r>
    </w:p>
    <w:p w:rsidR="00D63EBF" w:rsidRPr="007D6E0C" w:rsidP="00484A4E" w14:paraId="383F6E33" w14:textId="77777777">
      <w:pPr>
        <w:pStyle w:val="ParaNum"/>
      </w:pPr>
      <w:r w:rsidRPr="007D6E0C">
        <w:rPr>
          <w:i/>
        </w:rPr>
        <w:t>Prepaid Calling Card Providers.</w:t>
      </w:r>
      <w:r w:rsidRPr="007D6E0C">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173"/>
      </w:r>
      <w:r w:rsidRPr="007D6E0C">
        <w:t xml:space="preserve">  Under that size standard, such a business is small if it has 1,500 or fewer employees.</w:t>
      </w:r>
      <w:r>
        <w:rPr>
          <w:sz w:val="20"/>
          <w:vertAlign w:val="superscript"/>
        </w:rPr>
        <w:footnoteReference w:id="174"/>
      </w:r>
      <w:r w:rsidRPr="007D6E0C">
        <w:t xml:space="preserve">  Census data for 2012 show that 1,341 firms provided resale services during that year.  Of that number, all operated with fewer than 1,000 employees.</w:t>
      </w:r>
      <w:r>
        <w:rPr>
          <w:sz w:val="20"/>
          <w:vertAlign w:val="superscript"/>
        </w:rPr>
        <w:footnoteReference w:id="175"/>
      </w:r>
      <w:r w:rsidRPr="007D6E0C">
        <w:t xml:space="preserve">  Thus, under this category and the associated small business size standard, the majority of these prepaid calling card providers can be considered small entities.</w:t>
      </w:r>
    </w:p>
    <w:p w:rsidR="00D63EBF" w:rsidRPr="007D6E0C" w:rsidP="00CD6B2B" w14:paraId="74735E69" w14:textId="77777777">
      <w:pPr>
        <w:pStyle w:val="Heading2"/>
      </w:pPr>
      <w:r w:rsidRPr="007D6E0C">
        <w:t>Description of Projected Reporting, Recordkeeping, and Other Compliance Requirements</w:t>
      </w:r>
    </w:p>
    <w:p w:rsidR="00D63EBF" w:rsidRPr="007D6E0C" w:rsidP="00A44428" w14:paraId="08F9D1B7" w14:textId="77777777">
      <w:pPr>
        <w:pStyle w:val="ParaNum"/>
      </w:pPr>
      <w:r w:rsidRPr="007D6E0C">
        <w:t xml:space="preserve">The Second FNPRM seeks comment on </w:t>
      </w:r>
      <w:r w:rsidRPr="007D6E0C" w:rsidR="00A44428">
        <w:t>its proposal to make one or more databases available to provide callers with the comprehensive and timely information they need to avoid calling reassigned numbers.</w:t>
      </w:r>
      <w:r w:rsidRPr="007D6E0C" w:rsidR="00A44428">
        <w:rPr>
          <w:rStyle w:val="FootnoteReference"/>
        </w:rPr>
        <w:t xml:space="preserve"> </w:t>
      </w:r>
      <w:r>
        <w:rPr>
          <w:rStyle w:val="FootnoteReference"/>
        </w:rPr>
        <w:footnoteReference w:id="176"/>
      </w:r>
      <w:r w:rsidRPr="007D6E0C" w:rsidR="00A44428">
        <w:t xml:space="preserve"> </w:t>
      </w:r>
      <w:r w:rsidRPr="007D6E0C">
        <w:t xml:space="preserve"> We seek to minimize the burden associated with reporting, recordkeeping, and other compliance requirements for the </w:t>
      </w:r>
      <w:r w:rsidRPr="007D6E0C" w:rsidR="00A44428">
        <w:t xml:space="preserve">proposal. </w:t>
      </w:r>
      <w:r w:rsidRPr="007D6E0C">
        <w:t xml:space="preserve"> The </w:t>
      </w:r>
      <w:r w:rsidRPr="007D6E0C" w:rsidR="00A44428">
        <w:t>proposal</w:t>
      </w:r>
      <w:r w:rsidRPr="007D6E0C">
        <w:t xml:space="preserve"> under consideration could result in additional cos</w:t>
      </w:r>
      <w:r w:rsidRPr="007D6E0C" w:rsidR="00A44428">
        <w:t>ts to regulated entities.  This proposal</w:t>
      </w:r>
      <w:r w:rsidRPr="007D6E0C">
        <w:t xml:space="preserve"> would necessitate that some voice service providers create new processes or make changes to their existing processes that would impose some additional costs to those service providers.  </w:t>
      </w:r>
      <w:r w:rsidRPr="007D6E0C" w:rsidR="00A44428">
        <w:t xml:space="preserve">We believe that </w:t>
      </w:r>
      <w:r w:rsidRPr="007D6E0C">
        <w:t>service providers already track phone number status information,</w:t>
      </w:r>
      <w:r>
        <w:rPr>
          <w:rStyle w:val="FootnoteReference"/>
        </w:rPr>
        <w:footnoteReference w:id="177"/>
      </w:r>
      <w:r w:rsidRPr="007D6E0C">
        <w:t xml:space="preserve"> and we therefore do not anticipate that these costs will be excessive.  In addition, as indicated in more detail below, the Second FNPRM also contemplates a cost recovery mechanism for expenses incurred by service providers.</w:t>
      </w:r>
      <w:r>
        <w:rPr>
          <w:rStyle w:val="FootnoteReference"/>
        </w:rPr>
        <w:footnoteReference w:id="178"/>
      </w:r>
    </w:p>
    <w:p w:rsidR="00D63EBF" w:rsidRPr="007D6E0C" w:rsidP="00CD6B2B" w14:paraId="72EF1EC9" w14:textId="77777777">
      <w:pPr>
        <w:pStyle w:val="Heading2"/>
      </w:pPr>
      <w:r w:rsidRPr="007D6E0C">
        <w:t>Steps Taken to Minimize Significant Economic Impact on Small Entities, and Significant Alternatives Considered</w:t>
      </w:r>
    </w:p>
    <w:p w:rsidR="00D63EBF" w:rsidRPr="007D6E0C" w:rsidP="00D63EBF" w14:paraId="5A7D05E5" w14:textId="77777777">
      <w:pPr>
        <w:pStyle w:val="ParaNum"/>
      </w:pPr>
      <w:r w:rsidRPr="007D6E0C">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vertAlign w:val="superscript"/>
        </w:rPr>
        <w:footnoteReference w:id="179"/>
      </w:r>
    </w:p>
    <w:p w:rsidR="00D63EBF" w:rsidRPr="007D6E0C" w:rsidP="00D63EBF" w14:paraId="09580C38" w14:textId="53716827">
      <w:pPr>
        <w:pStyle w:val="ParaNum"/>
      </w:pPr>
      <w:r w:rsidRPr="007D6E0C">
        <w:t xml:space="preserve">As indicated above, the Second FNPRM seeks comment on </w:t>
      </w:r>
      <w:r w:rsidRPr="007D6E0C" w:rsidR="00A44428">
        <w:t>a proposal to make one or more databases available so that callers can discover reassignments prior to making a</w:t>
      </w:r>
      <w:r w:rsidRPr="007D6E0C" w:rsidR="009D6337">
        <w:t xml:space="preserve"> </w:t>
      </w:r>
      <w:r w:rsidRPr="007D6E0C" w:rsidR="00A44428">
        <w:t>call.</w:t>
      </w:r>
      <w:r w:rsidRPr="007D6E0C" w:rsidR="009D6337">
        <w:t xml:space="preserve"> </w:t>
      </w:r>
      <w:r w:rsidRPr="007D6E0C" w:rsidR="00666477">
        <w:t xml:space="preserve"> </w:t>
      </w:r>
      <w:r w:rsidRPr="007D6E0C">
        <w:t xml:space="preserve">The Commission has examined both the economic burden </w:t>
      </w:r>
      <w:r w:rsidRPr="007D6E0C" w:rsidR="009D6337">
        <w:t>this proposal</w:t>
      </w:r>
      <w:r w:rsidRPr="007D6E0C">
        <w:t xml:space="preserve"> may have on </w:t>
      </w:r>
      <w:r w:rsidRPr="007D6E0C" w:rsidR="009D6337">
        <w:t xml:space="preserve">callers and </w:t>
      </w:r>
      <w:r w:rsidRPr="007D6E0C">
        <w:t xml:space="preserve">service providers and the considerable benefits to consumers </w:t>
      </w:r>
      <w:r w:rsidRPr="007D6E0C" w:rsidR="009D6337">
        <w:t xml:space="preserve">and callers </w:t>
      </w:r>
      <w:r w:rsidR="004314E0">
        <w:t>provide by a</w:t>
      </w:r>
      <w:r w:rsidRPr="007D6E0C">
        <w:t xml:space="preserve"> solution of </w:t>
      </w:r>
      <w:r w:rsidR="004314E0">
        <w:t xml:space="preserve">a </w:t>
      </w:r>
      <w:r w:rsidRPr="007D6E0C">
        <w:t>reassigned number</w:t>
      </w:r>
      <w:r w:rsidR="004314E0">
        <w:t>s</w:t>
      </w:r>
      <w:r w:rsidRPr="007D6E0C">
        <w:t xml:space="preserve"> </w:t>
      </w:r>
      <w:r w:rsidRPr="007D6E0C" w:rsidR="003D3F92">
        <w:t>database</w:t>
      </w:r>
      <w:r w:rsidRPr="007D6E0C">
        <w:t>.  Consumers are currently receiving a significant number of unwanted calls that are an annoyance and expend wasted time</w:t>
      </w:r>
      <w:r w:rsidRPr="007D6E0C" w:rsidR="009D6337">
        <w:t xml:space="preserve"> while</w:t>
      </w:r>
      <w:r w:rsidRPr="007D6E0C">
        <w:t xml:space="preserve"> other consumers are not getting the information that they solicited.</w:t>
      </w:r>
      <w:r w:rsidRPr="007D6E0C" w:rsidR="009D6337">
        <w:t xml:space="preserve">  In addition, callers are wasting considerable resources calling the wrong number and incurring potential TCPA liability.</w:t>
      </w:r>
      <w:r w:rsidRPr="007D6E0C">
        <w:t xml:space="preserve">  The Second FNPRM seeks to significantly reduce the number of unwanted calls to those that receive reas</w:t>
      </w:r>
      <w:r w:rsidRPr="007D6E0C" w:rsidR="00A44428">
        <w:t xml:space="preserve">signed numbers by informing </w:t>
      </w:r>
      <w:r w:rsidRPr="007D6E0C">
        <w:t xml:space="preserve">callers that </w:t>
      </w:r>
      <w:r w:rsidRPr="007D6E0C" w:rsidR="00124AED">
        <w:t xml:space="preserve">use </w:t>
      </w:r>
      <w:r w:rsidRPr="007D6E0C" w:rsidR="009D6337">
        <w:t>a database solution</w:t>
      </w:r>
      <w:r w:rsidRPr="007D6E0C">
        <w:t xml:space="preserve"> of the change in assignment.  The Second FNPRM also</w:t>
      </w:r>
      <w:r w:rsidRPr="007D6E0C" w:rsidR="009D6337">
        <w:t xml:space="preserve"> seeks comment on potential ways to allow </w:t>
      </w:r>
      <w:r w:rsidRPr="007D6E0C">
        <w:t xml:space="preserve">service providers </w:t>
      </w:r>
      <w:r w:rsidRPr="007D6E0C" w:rsidR="009D6337">
        <w:t xml:space="preserve">to recoup their </w:t>
      </w:r>
      <w:r w:rsidRPr="007D6E0C">
        <w:t>costs associated with reporting number reassignment information.</w:t>
      </w:r>
      <w:r>
        <w:rPr>
          <w:rStyle w:val="FootnoteReference"/>
        </w:rPr>
        <w:footnoteReference w:id="180"/>
      </w:r>
      <w:r w:rsidRPr="007D6E0C">
        <w:t xml:space="preserve">  If adopted, this cost-recovery m</w:t>
      </w:r>
      <w:r w:rsidRPr="007D6E0C" w:rsidR="009D6337">
        <w:t xml:space="preserve">echanism could negate any </w:t>
      </w:r>
      <w:r w:rsidRPr="007D6E0C">
        <w:t xml:space="preserve">service provider costs associated with the provisioning of phone number </w:t>
      </w:r>
      <w:r w:rsidRPr="007D6E0C" w:rsidR="009D6337">
        <w:t xml:space="preserve">reassignment </w:t>
      </w:r>
      <w:r w:rsidRPr="007D6E0C">
        <w:t>data.  We seek comment on the specific costs of the measures we discuss in the Second FNPRM, and ways we might further mitigate any implementation costs, including by making allowances for small and rural voice service providers</w:t>
      </w:r>
      <w:r w:rsidRPr="007D6E0C">
        <w:rPr>
          <w:rStyle w:val="FootnoteReference"/>
        </w:rPr>
        <w:t xml:space="preserve"> </w:t>
      </w:r>
      <w:r w:rsidRPr="007D6E0C" w:rsidR="00ED45E2">
        <w:t xml:space="preserve">and small business </w:t>
      </w:r>
      <w:r w:rsidRPr="007D6E0C">
        <w:t xml:space="preserve">callers that might choose to </w:t>
      </w:r>
      <w:r w:rsidRPr="007D6E0C" w:rsidR="00124AED">
        <w:t xml:space="preserve">use </w:t>
      </w:r>
      <w:r w:rsidRPr="007D6E0C">
        <w:t xml:space="preserve">a reassigned number </w:t>
      </w:r>
      <w:r w:rsidRPr="007D6E0C" w:rsidR="00ED45E2">
        <w:t>solution.</w:t>
      </w:r>
      <w:r w:rsidRPr="007D6E0C" w:rsidR="00EF71A5">
        <w:rPr>
          <w:rStyle w:val="FootnoteReference"/>
        </w:rPr>
        <w:t xml:space="preserve"> </w:t>
      </w:r>
      <w:r>
        <w:rPr>
          <w:rStyle w:val="FootnoteReference"/>
        </w:rPr>
        <w:footnoteReference w:id="181"/>
      </w:r>
    </w:p>
    <w:p w:rsidR="00D63EBF" w:rsidRPr="007D6E0C" w:rsidP="00D63EBF" w14:paraId="11D974A6" w14:textId="77777777">
      <w:pPr>
        <w:pStyle w:val="ParaNum"/>
      </w:pPr>
      <w:r w:rsidRPr="007D6E0C">
        <w:t xml:space="preserve">The Commission expects to consider the economic impact on small entities, as identified in comments filed in response to the </w:t>
      </w:r>
      <w:r w:rsidRPr="007D6E0C">
        <w:rPr>
          <w:szCs w:val="22"/>
        </w:rPr>
        <w:t>Second</w:t>
      </w:r>
      <w:r w:rsidRPr="007D6E0C">
        <w:t xml:space="preserve"> FNPRM and this IRFA, in reaching its final conclusions and taking action in this proceeding.</w:t>
      </w:r>
    </w:p>
    <w:p w:rsidR="00D63EBF" w:rsidP="00CD6B2B" w14:paraId="5E5CAF89" w14:textId="77777777">
      <w:pPr>
        <w:pStyle w:val="Heading2"/>
      </w:pPr>
      <w:r w:rsidRPr="008E6AA1">
        <w:t>Federal Rules that May Duplicate, Overlap, or Conflict with the Proposed Rules</w:t>
      </w:r>
    </w:p>
    <w:p w:rsidR="001B5E95" w:rsidP="00D63EBF" w14:paraId="24C7138E" w14:textId="1E23FDD9">
      <w:pPr>
        <w:pStyle w:val="ParaNum"/>
      </w:pPr>
      <w:r>
        <w:t>None.</w:t>
      </w:r>
    </w:p>
    <w:p w:rsidR="00B2608C" w14:paraId="2FDC9D5C" w14:textId="77777777">
      <w:pPr>
        <w:widowControl/>
        <w:sectPr w:rsidSect="00CA1A1E">
          <w:headerReference w:type="default" r:id="rId19"/>
          <w:footerReference w:type="default" r:id="rId20"/>
          <w:headerReference w:type="first" r:id="rId21"/>
          <w:footerReference w:type="first" r:id="rId22"/>
          <w:footnotePr>
            <w:numRestart w:val="eachSect"/>
          </w:footnotePr>
          <w:endnotePr>
            <w:numFmt w:val="decimal"/>
          </w:endnotePr>
          <w:type w:val="continuous"/>
          <w:pgSz w:w="12240" w:h="15840"/>
          <w:pgMar w:top="1440" w:right="1440" w:bottom="720" w:left="1440" w:header="720" w:footer="720" w:gutter="0"/>
          <w:cols w:space="720"/>
          <w:noEndnote/>
          <w:titlePg/>
        </w:sectPr>
      </w:pPr>
      <w:r>
        <w:br w:type="page"/>
      </w:r>
    </w:p>
    <w:p w:rsidR="001B5E95" w:rsidRPr="009738AB" w:rsidP="001B5E95" w14:paraId="0D5515B8" w14:textId="77777777">
      <w:pPr>
        <w:jc w:val="center"/>
        <w:rPr>
          <w:b/>
          <w:bCs/>
          <w:caps/>
          <w:szCs w:val="22"/>
        </w:rPr>
      </w:pPr>
      <w:r w:rsidRPr="009738AB">
        <w:rPr>
          <w:b/>
          <w:bCs/>
          <w:caps/>
          <w:szCs w:val="22"/>
        </w:rPr>
        <w:t>Statement of</w:t>
      </w:r>
    </w:p>
    <w:p w:rsidR="001B5E95" w:rsidP="001B5E95" w14:paraId="142EE393" w14:textId="77777777">
      <w:pPr>
        <w:jc w:val="center"/>
        <w:rPr>
          <w:b/>
          <w:bCs/>
          <w:caps/>
          <w:szCs w:val="22"/>
        </w:rPr>
      </w:pPr>
      <w:r w:rsidRPr="009738AB">
        <w:rPr>
          <w:b/>
          <w:bCs/>
          <w:caps/>
          <w:szCs w:val="22"/>
        </w:rPr>
        <w:t>chairman ajit paI</w:t>
      </w:r>
    </w:p>
    <w:p w:rsidR="001B5E95" w:rsidRPr="009738AB" w:rsidP="001B5E95" w14:paraId="65DD4CED" w14:textId="77777777">
      <w:pPr>
        <w:jc w:val="center"/>
        <w:rPr>
          <w:b/>
          <w:bCs/>
          <w:caps/>
          <w:szCs w:val="22"/>
        </w:rPr>
      </w:pPr>
    </w:p>
    <w:p w:rsidR="001B5E95" w:rsidP="001B5E95" w14:paraId="75DD07B8" w14:textId="77777777">
      <w:pPr>
        <w:ind w:left="720" w:hanging="720"/>
        <w:rPr>
          <w:szCs w:val="22"/>
        </w:rPr>
      </w:pPr>
      <w:r w:rsidRPr="009738AB">
        <w:rPr>
          <w:iCs/>
          <w:szCs w:val="22"/>
        </w:rPr>
        <w:t>Re:</w:t>
      </w:r>
      <w:r w:rsidRPr="009738AB">
        <w:rPr>
          <w:szCs w:val="22"/>
        </w:rPr>
        <w:tab/>
      </w:r>
      <w:r w:rsidRPr="009738AB">
        <w:rPr>
          <w:i/>
          <w:spacing w:val="-2"/>
          <w:szCs w:val="22"/>
        </w:rPr>
        <w:t>Advanced Methods to Target and Eliminate Unlawful Robocalls</w:t>
      </w:r>
      <w:r w:rsidRPr="009738AB">
        <w:rPr>
          <w:szCs w:val="22"/>
        </w:rPr>
        <w:t>, CG Docket No. 17-59.</w:t>
      </w:r>
    </w:p>
    <w:p w:rsidR="001B5E95" w:rsidRPr="009738AB" w:rsidP="001B5E95" w14:paraId="3B7E2610" w14:textId="77777777">
      <w:pPr>
        <w:ind w:left="720" w:hanging="720"/>
        <w:rPr>
          <w:i/>
          <w:iCs/>
          <w:szCs w:val="22"/>
        </w:rPr>
      </w:pPr>
    </w:p>
    <w:p w:rsidR="001B5E95" w:rsidP="001B5E95" w14:paraId="71871657" w14:textId="77777777">
      <w:pPr>
        <w:ind w:firstLine="720"/>
        <w:rPr>
          <w:rFonts w:eastAsia="Calibri"/>
          <w:snapToGrid/>
          <w:szCs w:val="22"/>
        </w:rPr>
      </w:pPr>
      <w:r w:rsidRPr="009738AB">
        <w:rPr>
          <w:rFonts w:eastAsia="Calibri"/>
          <w:snapToGrid/>
          <w:szCs w:val="22"/>
        </w:rPr>
        <w:t xml:space="preserve">During the final season of </w:t>
      </w:r>
      <w:r w:rsidRPr="009738AB">
        <w:rPr>
          <w:rFonts w:eastAsia="Calibri"/>
          <w:i/>
          <w:snapToGrid/>
          <w:szCs w:val="22"/>
        </w:rPr>
        <w:t>Seinfeld</w:t>
      </w:r>
      <w:r w:rsidRPr="009738AB">
        <w:rPr>
          <w:rFonts w:eastAsia="Calibri"/>
          <w:snapToGrid/>
          <w:szCs w:val="22"/>
        </w:rPr>
        <w:t>, Elaine gets a new phone number that used to belong to her recently deceased elderly neighbor.  She soon begins receiving up to six calls a day from the neighbor’s grandson, who’s looking for his Gammy.  Elaine quickly gets fed up and breaks the news to him:  “Good-bye, Bobby.  Don’t call anymore.  I’m dead now.  Gotta go.”</w:t>
      </w:r>
      <w:r>
        <w:rPr>
          <w:rStyle w:val="FootnoteReference"/>
          <w:rFonts w:eastAsia="Calibri"/>
          <w:szCs w:val="22"/>
        </w:rPr>
        <w:footnoteReference w:id="182"/>
      </w:r>
      <w:r w:rsidRPr="009738AB">
        <w:rPr>
          <w:rFonts w:eastAsia="Calibri"/>
          <w:snapToGrid/>
          <w:szCs w:val="22"/>
        </w:rPr>
        <w:t xml:space="preserve">  Unfortunately, many consumers share this frustration over getting repeated calls intended for someone else.  This is especially true in the case of robocalls to reassigned numbers.</w:t>
      </w:r>
    </w:p>
    <w:p w:rsidR="001B5E95" w:rsidRPr="009738AB" w:rsidP="001B5E95" w14:paraId="66710256" w14:textId="77777777">
      <w:pPr>
        <w:ind w:firstLine="720"/>
        <w:rPr>
          <w:rFonts w:eastAsia="Calibri"/>
          <w:snapToGrid/>
          <w:szCs w:val="22"/>
        </w:rPr>
      </w:pPr>
    </w:p>
    <w:p w:rsidR="001B5E95" w:rsidP="001B5E95" w14:paraId="18738B77" w14:textId="77777777">
      <w:pPr>
        <w:ind w:firstLine="720"/>
        <w:rPr>
          <w:rFonts w:eastAsia="Calibri"/>
          <w:snapToGrid/>
          <w:szCs w:val="22"/>
        </w:rPr>
      </w:pPr>
      <w:r w:rsidRPr="009738AB">
        <w:rPr>
          <w:rFonts w:eastAsia="Calibri"/>
          <w:snapToGrid/>
          <w:szCs w:val="22"/>
        </w:rPr>
        <w:t>Today, when you change your phone number, you probably don’t notify everyone who’s called you in the past, including businesses to which you’ve given permission to call.  So when your old number is reassigned, the new holder of that number may get calls intended for you.  These misdirected calls are a nuisance to the consumers that receive them.  And at the same time, legitimate businesses, through no fault of their own, waste their time and effort calling the wrong consumers while subjecting themselves to potential liability under the Telephone Consumer Protection Act (TCPA).</w:t>
      </w:r>
    </w:p>
    <w:p w:rsidR="001B5E95" w:rsidRPr="009738AB" w:rsidP="001B5E95" w14:paraId="23BA0F20" w14:textId="77777777">
      <w:pPr>
        <w:ind w:firstLine="720"/>
        <w:rPr>
          <w:rFonts w:eastAsia="Calibri"/>
          <w:snapToGrid/>
          <w:szCs w:val="22"/>
        </w:rPr>
      </w:pPr>
    </w:p>
    <w:p w:rsidR="001B5E95" w:rsidP="001B5E95" w14:paraId="33E30FA0" w14:textId="77777777">
      <w:pPr>
        <w:ind w:firstLine="720"/>
        <w:rPr>
          <w:rFonts w:eastAsia="Calibri"/>
          <w:snapToGrid/>
          <w:szCs w:val="22"/>
        </w:rPr>
      </w:pPr>
      <w:r w:rsidRPr="009738AB">
        <w:rPr>
          <w:rFonts w:eastAsia="Calibri"/>
          <w:snapToGrid/>
          <w:szCs w:val="22"/>
        </w:rPr>
        <w:t>What can the FCC do to tackle this reassigned numbers problem?  As the D.C. Circuit unanimously recognized last week,</w:t>
      </w:r>
      <w:r>
        <w:rPr>
          <w:rStyle w:val="FootnoteReference"/>
          <w:rFonts w:eastAsia="Calibri"/>
          <w:szCs w:val="22"/>
        </w:rPr>
        <w:footnoteReference w:id="183"/>
      </w:r>
      <w:r w:rsidRPr="009738AB">
        <w:rPr>
          <w:rFonts w:eastAsia="Calibri"/>
          <w:snapToGrid/>
          <w:szCs w:val="22"/>
        </w:rPr>
        <w:t xml:space="preserve"> we’ve been exploring ways to reduce unwanted robocalls to reassigned numbers.  And today, we take another step toward developing a solution.  Specifically, we propose to ensure that businesses have access to one or more databases that contain the comprehensive and timely information they need to avoid calling reassigned numbers.  In addition, we seek public input on whether and how the FCC should extend safe-harbor protection under the TCPA to those businesses that choose to use such a database.</w:t>
      </w:r>
    </w:p>
    <w:p w:rsidR="001B5E95" w:rsidRPr="009738AB" w:rsidP="001B5E95" w14:paraId="28DB2E2A" w14:textId="77777777">
      <w:pPr>
        <w:ind w:firstLine="720"/>
        <w:rPr>
          <w:rFonts w:eastAsia="Calibri"/>
          <w:snapToGrid/>
          <w:szCs w:val="22"/>
        </w:rPr>
      </w:pPr>
    </w:p>
    <w:p w:rsidR="001B5E95" w:rsidP="001B5E95" w14:paraId="7B86CE35" w14:textId="77777777">
      <w:pPr>
        <w:ind w:firstLine="720"/>
        <w:rPr>
          <w:rFonts w:eastAsia="Calibri"/>
          <w:snapToGrid/>
          <w:szCs w:val="22"/>
        </w:rPr>
      </w:pPr>
      <w:r w:rsidRPr="009738AB">
        <w:rPr>
          <w:rFonts w:eastAsia="Calibri"/>
          <w:snapToGrid/>
          <w:szCs w:val="22"/>
        </w:rPr>
        <w:t>We also seek comment on three different ways for service providers to report phone number reassignments and for businesses to access that information.  Should we require providers to report reassignment data to a single, FCC-designated database?  Should we make them report the information to one or more of the data aggregators in the marketplace today?  Or should we allow providers to report reassignment information to data aggregators voluntarily?  With a robust record, we hope to adopt an approach that’s easy-to-use and cost-effective for callers while minimizing the reporting burdens on service providers.</w:t>
      </w:r>
    </w:p>
    <w:p w:rsidR="001B5E95" w:rsidRPr="009738AB" w:rsidP="001B5E95" w14:paraId="7DA1B5FF" w14:textId="77777777">
      <w:pPr>
        <w:ind w:firstLine="720"/>
        <w:rPr>
          <w:rFonts w:eastAsia="Calibri"/>
          <w:snapToGrid/>
          <w:szCs w:val="22"/>
        </w:rPr>
      </w:pPr>
    </w:p>
    <w:p w:rsidR="001B5E95" w:rsidP="00B2608C" w14:paraId="5BB43050" w14:textId="574DE1A3">
      <w:pPr>
        <w:ind w:firstLine="720"/>
        <w:rPr>
          <w:rFonts w:eastAsia="Calibri"/>
          <w:snapToGrid/>
          <w:szCs w:val="22"/>
        </w:rPr>
      </w:pPr>
      <w:r w:rsidRPr="009738AB">
        <w:rPr>
          <w:rFonts w:eastAsia="Calibri"/>
          <w:snapToGrid/>
          <w:szCs w:val="22"/>
        </w:rPr>
        <w:t>As usual, our initiatives to reduce unwanted robocalls are a team effort.  Thank you to all of the staff that have worked so diligently on this item: John B. Adams, Micah Caldwell, Kurt Schroeder, Mark Stone, Patrick Webre, and Josh Zeldis from the Consumer and Governmental Affairs Bureau; William Layton, Rick Mallen, Linda Oliver, and Bill Richardson from the Office of General Counsel; William Andrle, Heather Hendrickson, Marilyn Jones, Michelle Sclater, and Ann Stevens from the Wireline Competition Bureau; Kristi Thompson from the Enforcement Bureau; Robert Cannon and Wayne Leighton from the Office of Strategic Planning and Policy Analysis; and Belford Lawson from the Office of Communications Business Opportunities.  With your efforts, we are moving one step closer to finding “Serenity Now”</w:t>
      </w:r>
      <w:r>
        <w:rPr>
          <w:rStyle w:val="FootnoteReference"/>
          <w:rFonts w:eastAsia="Calibri"/>
          <w:szCs w:val="22"/>
        </w:rPr>
        <w:footnoteReference w:id="184"/>
      </w:r>
      <w:r w:rsidRPr="009738AB">
        <w:rPr>
          <w:rFonts w:eastAsia="Calibri"/>
          <w:snapToGrid/>
          <w:szCs w:val="22"/>
        </w:rPr>
        <w:t xml:space="preserve"> from unwanted calls.</w:t>
      </w:r>
    </w:p>
    <w:p w:rsidR="0004035A" w:rsidP="001B5E95" w14:paraId="25F14FE9" w14:textId="77777777">
      <w:pPr>
        <w:jc w:val="center"/>
        <w:rPr>
          <w:b/>
          <w:bCs/>
          <w:szCs w:val="22"/>
        </w:rPr>
        <w:sectPr w:rsidSect="00B2608C">
          <w:headerReference w:type="default" r:id="rId23"/>
          <w:footerReference w:type="default" r:id="rId24"/>
          <w:headerReference w:type="first" r:id="rId25"/>
          <w:footerReference w:type="first" r:id="rId26"/>
          <w:footnotePr>
            <w:numRestart w:val="eachSect"/>
          </w:footnotePr>
          <w:endnotePr>
            <w:numFmt w:val="decimal"/>
          </w:endnotePr>
          <w:pgSz w:w="12240" w:h="15840"/>
          <w:pgMar w:top="1440" w:right="1440" w:bottom="720" w:left="1440" w:header="720" w:footer="720" w:gutter="0"/>
          <w:cols w:space="720"/>
          <w:noEndnote/>
          <w:titlePg/>
        </w:sectPr>
      </w:pPr>
    </w:p>
    <w:p w:rsidR="001B5E95" w:rsidRPr="000041E2" w:rsidP="001B5E95" w14:paraId="62D91A1A" w14:textId="6039D6C6">
      <w:pPr>
        <w:jc w:val="center"/>
        <w:rPr>
          <w:b/>
          <w:bCs/>
          <w:szCs w:val="22"/>
        </w:rPr>
      </w:pPr>
      <w:r w:rsidRPr="000041E2">
        <w:rPr>
          <w:b/>
          <w:bCs/>
          <w:szCs w:val="22"/>
        </w:rPr>
        <w:t>STATEMENT OF</w:t>
      </w:r>
    </w:p>
    <w:p w:rsidR="001B5E95" w:rsidRPr="000041E2" w:rsidP="001B5E95" w14:paraId="3DCB4C7C" w14:textId="77777777">
      <w:pPr>
        <w:jc w:val="center"/>
        <w:rPr>
          <w:i/>
          <w:iCs/>
          <w:szCs w:val="22"/>
        </w:rPr>
      </w:pPr>
      <w:r w:rsidRPr="000041E2">
        <w:rPr>
          <w:b/>
          <w:bCs/>
          <w:szCs w:val="22"/>
        </w:rPr>
        <w:t>COMMISSIONER MIGNON L. CLYBURN</w:t>
      </w:r>
      <w:r w:rsidRPr="000041E2">
        <w:rPr>
          <w:b/>
          <w:bCs/>
          <w:szCs w:val="22"/>
        </w:rPr>
        <w:br/>
      </w:r>
    </w:p>
    <w:p w:rsidR="001B5E95" w:rsidRPr="000041E2" w:rsidP="001B5E95" w14:paraId="3B42003F" w14:textId="77777777">
      <w:pPr>
        <w:tabs>
          <w:tab w:val="left" w:pos="720"/>
          <w:tab w:val="center" w:pos="4680"/>
        </w:tabs>
        <w:ind w:left="720" w:hanging="720"/>
        <w:rPr>
          <w:szCs w:val="22"/>
        </w:rPr>
      </w:pPr>
      <w:r w:rsidRPr="000041E2">
        <w:rPr>
          <w:szCs w:val="22"/>
        </w:rPr>
        <w:t xml:space="preserve">Re: </w:t>
      </w:r>
      <w:r w:rsidRPr="000041E2">
        <w:rPr>
          <w:szCs w:val="22"/>
        </w:rPr>
        <w:tab/>
      </w:r>
      <w:r w:rsidRPr="000041E2">
        <w:rPr>
          <w:i/>
          <w:spacing w:val="-2"/>
          <w:szCs w:val="22"/>
        </w:rPr>
        <w:t xml:space="preserve">Advanced Methods to Target and Eliminate Unlawful Robocalls, </w:t>
      </w:r>
      <w:r w:rsidRPr="000041E2">
        <w:rPr>
          <w:szCs w:val="22"/>
        </w:rPr>
        <w:t>CG Docket No. 17-59</w:t>
      </w:r>
      <w:r>
        <w:rPr>
          <w:szCs w:val="22"/>
        </w:rPr>
        <w:t>.</w:t>
      </w:r>
      <w:r w:rsidRPr="000041E2">
        <w:rPr>
          <w:szCs w:val="22"/>
        </w:rPr>
        <w:br/>
      </w:r>
    </w:p>
    <w:p w:rsidR="001B5E95" w:rsidRPr="000041E2" w:rsidP="001B5E95" w14:paraId="6E104A80" w14:textId="77777777">
      <w:pPr>
        <w:rPr>
          <w:szCs w:val="22"/>
        </w:rPr>
      </w:pPr>
      <w:r w:rsidRPr="000041E2">
        <w:rPr>
          <w:szCs w:val="22"/>
        </w:rPr>
        <w:tab/>
        <w:t xml:space="preserve">“Hello, this is Jason with British Luxury Automotive. </w:t>
      </w:r>
      <w:r>
        <w:rPr>
          <w:szCs w:val="22"/>
        </w:rPr>
        <w:t xml:space="preserve"> </w:t>
      </w:r>
      <w:r w:rsidRPr="000041E2">
        <w:rPr>
          <w:szCs w:val="22"/>
        </w:rPr>
        <w:t xml:space="preserve">I am calling to remind you that your 2017 Aston Martin is due for maintenance.” </w:t>
      </w:r>
      <w:r>
        <w:rPr>
          <w:szCs w:val="22"/>
        </w:rPr>
        <w:t xml:space="preserve"> </w:t>
      </w:r>
      <w:r w:rsidRPr="000041E2">
        <w:rPr>
          <w:szCs w:val="22"/>
        </w:rPr>
        <w:t>Since I have never owned such a vehicle, heaven knows I wish I did, nor have I had a prior business relationship with this company, for me, this is a clear example of an unwanted telephone call.</w:t>
      </w:r>
    </w:p>
    <w:p w:rsidR="001B5E95" w:rsidRPr="000041E2" w:rsidP="001B5E95" w14:paraId="0206F3A2" w14:textId="77777777">
      <w:pPr>
        <w:rPr>
          <w:szCs w:val="22"/>
        </w:rPr>
      </w:pPr>
      <w:r w:rsidRPr="000041E2">
        <w:rPr>
          <w:szCs w:val="22"/>
        </w:rPr>
        <w:br/>
      </w:r>
      <w:r w:rsidRPr="000041E2">
        <w:rPr>
          <w:szCs w:val="22"/>
        </w:rPr>
        <w:tab/>
        <w:t xml:space="preserve">Chances are great that millions of Americans are in possession of a reassigned number that was previously used by an individual who has done business with a company or two. </w:t>
      </w:r>
      <w:r>
        <w:rPr>
          <w:szCs w:val="22"/>
        </w:rPr>
        <w:t xml:space="preserve"> </w:t>
      </w:r>
      <w:r w:rsidRPr="000041E2">
        <w:rPr>
          <w:szCs w:val="22"/>
        </w:rPr>
        <w:t>This is not surprising given that by one estimate, approximately 100,000 telephone numbers are reassigned by wireless carriers every day.</w:t>
      </w:r>
    </w:p>
    <w:p w:rsidR="001B5E95" w:rsidRPr="000041E2" w:rsidP="001B5E95" w14:paraId="5FBD4D50" w14:textId="77777777">
      <w:pPr>
        <w:rPr>
          <w:szCs w:val="22"/>
        </w:rPr>
      </w:pPr>
    </w:p>
    <w:p w:rsidR="001B5E95" w:rsidRPr="000041E2" w:rsidP="001B5E95" w14:paraId="7C4BF07F" w14:textId="77777777">
      <w:pPr>
        <w:rPr>
          <w:szCs w:val="22"/>
        </w:rPr>
      </w:pPr>
      <w:r w:rsidRPr="000041E2">
        <w:rPr>
          <w:szCs w:val="22"/>
        </w:rPr>
        <w:tab/>
        <w:t xml:space="preserve">However, given that the largest source of informal complaints at the FCC is unwanted calls, including robocalls, we must ask ourselves an important question: </w:t>
      </w:r>
      <w:r>
        <w:rPr>
          <w:szCs w:val="22"/>
        </w:rPr>
        <w:t xml:space="preserve"> </w:t>
      </w:r>
      <w:r w:rsidRPr="000041E2">
        <w:rPr>
          <w:szCs w:val="22"/>
        </w:rPr>
        <w:t xml:space="preserve">what can this agency do about this persistent problem? </w:t>
      </w:r>
      <w:r>
        <w:rPr>
          <w:szCs w:val="22"/>
        </w:rPr>
        <w:t xml:space="preserve"> </w:t>
      </w:r>
      <w:r w:rsidRPr="000041E2">
        <w:rPr>
          <w:szCs w:val="22"/>
        </w:rPr>
        <w:t xml:space="preserve">Today, I am pleased to say, that we seek answers by teeing up a Notice of Proposed Rulemaking (NPRM) aimed at addressing the problem of unwanted calls to reassigned numbers. </w:t>
      </w:r>
    </w:p>
    <w:p w:rsidR="001B5E95" w:rsidRPr="000041E2" w:rsidP="001B5E95" w14:paraId="08562157" w14:textId="77777777">
      <w:pPr>
        <w:rPr>
          <w:szCs w:val="22"/>
        </w:rPr>
      </w:pPr>
    </w:p>
    <w:p w:rsidR="001B5E95" w:rsidRPr="000041E2" w:rsidP="001B5E95" w14:paraId="6B49BAFA" w14:textId="77777777">
      <w:pPr>
        <w:ind w:firstLine="720"/>
        <w:rPr>
          <w:szCs w:val="22"/>
        </w:rPr>
      </w:pPr>
      <w:r w:rsidRPr="000041E2">
        <w:rPr>
          <w:szCs w:val="22"/>
        </w:rPr>
        <w:t xml:space="preserve">My preference and that of most commenters to last year’s NOI would be to establish a single, comprehensive reassigned numbers database. </w:t>
      </w:r>
      <w:r>
        <w:rPr>
          <w:szCs w:val="22"/>
        </w:rPr>
        <w:t xml:space="preserve"> </w:t>
      </w:r>
      <w:r w:rsidRPr="000041E2">
        <w:rPr>
          <w:szCs w:val="22"/>
        </w:rPr>
        <w:t xml:space="preserve">This, I believe, would be the most effective means of providing callers with the information necessary to avoid making phone calls to reassigned numbers. </w:t>
      </w:r>
      <w:r>
        <w:rPr>
          <w:szCs w:val="22"/>
        </w:rPr>
        <w:t xml:space="preserve"> </w:t>
      </w:r>
      <w:r w:rsidRPr="000041E2">
        <w:rPr>
          <w:szCs w:val="22"/>
        </w:rPr>
        <w:t xml:space="preserve">The NPRM tees up this concept as one of three possible approaches for seeking reassigned number information. </w:t>
      </w:r>
      <w:r>
        <w:rPr>
          <w:szCs w:val="22"/>
        </w:rPr>
        <w:t xml:space="preserve"> </w:t>
      </w:r>
      <w:r w:rsidRPr="000041E2">
        <w:rPr>
          <w:szCs w:val="22"/>
        </w:rPr>
        <w:t>I look forward to the robust record that will follow as well as ensuring that consumer privacy is protected.</w:t>
      </w:r>
    </w:p>
    <w:p w:rsidR="001B5E95" w:rsidRPr="000041E2" w:rsidP="001B5E95" w14:paraId="069707C1" w14:textId="77777777">
      <w:pPr>
        <w:rPr>
          <w:szCs w:val="22"/>
        </w:rPr>
      </w:pPr>
    </w:p>
    <w:p w:rsidR="001B5E95" w:rsidP="001B5E95" w14:paraId="6B111F33" w14:textId="0FF42979">
      <w:pPr>
        <w:rPr>
          <w:szCs w:val="22"/>
        </w:rPr>
      </w:pPr>
      <w:r w:rsidRPr="000041E2">
        <w:rPr>
          <w:szCs w:val="22"/>
        </w:rPr>
        <w:tab/>
        <w:t xml:space="preserve">Thanks are due to the staff of the Consumer </w:t>
      </w:r>
      <w:r>
        <w:rPr>
          <w:szCs w:val="22"/>
        </w:rPr>
        <w:t>and</w:t>
      </w:r>
      <w:r w:rsidRPr="000041E2">
        <w:rPr>
          <w:szCs w:val="22"/>
        </w:rPr>
        <w:t xml:space="preserve"> Governmental Affairs Bureau for your continued efforts to combat unwanted phone calls.</w:t>
      </w:r>
    </w:p>
    <w:p w:rsidR="0004035A" w14:paraId="26B51386" w14:textId="77777777">
      <w:pPr>
        <w:widowControl/>
        <w:rPr>
          <w:szCs w:val="22"/>
        </w:rPr>
        <w:sectPr w:rsidSect="00B2608C">
          <w:headerReference w:type="first" r:id="rId27"/>
          <w:footerReference w:type="first" r:id="rId28"/>
          <w:footnotePr>
            <w:numRestart w:val="eachSect"/>
          </w:footnotePr>
          <w:endnotePr>
            <w:numFmt w:val="decimal"/>
          </w:endnotePr>
          <w:pgSz w:w="12240" w:h="15840"/>
          <w:pgMar w:top="1440" w:right="1440" w:bottom="720" w:left="1440" w:header="720" w:footer="720" w:gutter="0"/>
          <w:cols w:space="720"/>
          <w:noEndnote/>
          <w:titlePg/>
        </w:sectPr>
      </w:pPr>
    </w:p>
    <w:p w:rsidR="001B5E95" w:rsidRPr="00AF544A" w:rsidP="00F70A60" w14:paraId="553D053E" w14:textId="551426DA">
      <w:pPr>
        <w:widowControl/>
        <w:jc w:val="center"/>
        <w:rPr>
          <w:b/>
        </w:rPr>
      </w:pPr>
      <w:r w:rsidRPr="00AF544A">
        <w:rPr>
          <w:b/>
        </w:rPr>
        <w:t>STATEMENT OF</w:t>
      </w:r>
    </w:p>
    <w:p w:rsidR="001B5E95" w:rsidRPr="00AF544A" w:rsidP="001B5E95" w14:paraId="20FF0EB1" w14:textId="77777777">
      <w:pPr>
        <w:jc w:val="center"/>
        <w:rPr>
          <w:b/>
        </w:rPr>
      </w:pPr>
      <w:r w:rsidRPr="00AF544A">
        <w:rPr>
          <w:b/>
        </w:rPr>
        <w:t>COMMISSIONER MICHAEL O’RIELLY</w:t>
      </w:r>
    </w:p>
    <w:p w:rsidR="001B5E95" w:rsidRPr="00AF544A" w:rsidP="001B5E95" w14:paraId="73E356BE" w14:textId="77777777"/>
    <w:p w:rsidR="001B5E95" w:rsidRPr="00AF544A" w:rsidP="001B5E95" w14:paraId="7383AAEF" w14:textId="77777777">
      <w:pPr>
        <w:ind w:left="720" w:hanging="720"/>
        <w:rPr>
          <w:i/>
        </w:rPr>
      </w:pPr>
      <w:r w:rsidRPr="00AF544A">
        <w:t>Re:</w:t>
      </w:r>
      <w:r w:rsidRPr="00AF544A">
        <w:tab/>
      </w:r>
      <w:r w:rsidRPr="00AF544A">
        <w:rPr>
          <w:i/>
        </w:rPr>
        <w:t>Advanced Methods to Target and Eliminate Unlawful Robocalls</w:t>
      </w:r>
      <w:r w:rsidRPr="00AF544A">
        <w:t>, CG Docket No. 17-59</w:t>
      </w:r>
      <w:r>
        <w:t>.</w:t>
      </w:r>
    </w:p>
    <w:p w:rsidR="001B5E95" w:rsidRPr="00AF544A" w:rsidP="001B5E95" w14:paraId="1D419307" w14:textId="77777777">
      <w:pPr>
        <w:rPr>
          <w:i/>
        </w:rPr>
      </w:pPr>
    </w:p>
    <w:p w:rsidR="001B5E95" w:rsidP="001B5E95" w14:paraId="77B24549" w14:textId="77777777">
      <w:pPr>
        <w:ind w:firstLine="720"/>
      </w:pPr>
      <w:r>
        <w:t xml:space="preserve">Last Friday, the DC Circuit issued its long-awaited ruling on the Commission’s 2015 Telephone Consumer Protection Act (TCPA) Omnibus Order.  At the time that Order was adopted, I strenuously dissented against several key components – including the definition of an automatic telephone dialing system (ATDS) and the approach to reassigned numbers.  I argued that the prior Commission had misinterpreted the statute and ignored record evidence that the Order’s restrictions would prevent legitimate companies from calling customers that wanted to be contacted while doing nothing to stop illegal robocallers trying to scam consumers.  In its unanimous opinion, the court generally agreed that the Order was arbitrary and capricious.  </w:t>
      </w:r>
    </w:p>
    <w:p w:rsidR="001B5E95" w:rsidP="001B5E95" w14:paraId="0D19083E" w14:textId="77777777">
      <w:pPr>
        <w:ind w:firstLine="720"/>
      </w:pPr>
    </w:p>
    <w:p w:rsidR="001B5E95" w:rsidP="001B5E95" w14:paraId="145DFCC8" w14:textId="77777777">
      <w:pPr>
        <w:ind w:firstLine="720"/>
      </w:pPr>
      <w:r>
        <w:t xml:space="preserve">In light of this ruling, the Commission and impacted businesses and associations will need to consider how to undo the damage and put our TCPA rules back on solid legal and practical footing. Hopefully, several of the pending lawsuits against legitimate companies will be summarily dismissed by various courts conducting reviews. </w:t>
      </w:r>
    </w:p>
    <w:p w:rsidR="001B5E95" w:rsidP="001B5E95" w14:paraId="74B7385B" w14:textId="77777777">
      <w:pPr>
        <w:ind w:firstLine="720"/>
      </w:pPr>
    </w:p>
    <w:p w:rsidR="001B5E95" w:rsidP="001B5E95" w14:paraId="33F9E1A3" w14:textId="77777777">
      <w:pPr>
        <w:ind w:firstLine="720"/>
      </w:pPr>
      <w:r>
        <w:t xml:space="preserve">  Fortunately, nothing about the court ruling or any subsequent Commission action will lead to more </w:t>
      </w:r>
      <w:r w:rsidRPr="00191D74">
        <w:rPr>
          <w:i/>
        </w:rPr>
        <w:t>illegal</w:t>
      </w:r>
      <w:r>
        <w:t xml:space="preserve"> robocalls.  In fact, the Chairman deserves credit for proactively advancing items on call blocking and authentication that try to target calls from actual scammers.  As many of us have stated, the Commission needs to remain focused on the bad actors, many of which operate overseas and would have snubbed the mindless 2015 Order just as they have ignored the Do Not Call List, which has become costly and ineffective as well.  On the other hand, ideas that were designed to help legitimate businesses operate within the confines of the largely defunct Order need to be reexamined closely and methodically.  We certainly shouldn’t rush to judgment on any response to the court decision. </w:t>
      </w:r>
    </w:p>
    <w:p w:rsidR="001B5E95" w:rsidP="001B5E95" w14:paraId="1451F752" w14:textId="77777777">
      <w:pPr>
        <w:ind w:firstLine="720"/>
      </w:pPr>
    </w:p>
    <w:p w:rsidR="001B5E95" w:rsidP="001B5E95" w14:paraId="2789B4BF" w14:textId="77777777">
      <w:pPr>
        <w:ind w:firstLine="720"/>
      </w:pPr>
      <w:r>
        <w:t>For instance, while I support the Commission’s efforts to reduce the number of inadvertent calls to consumers who receive reassigned numbers, we have to have real data about the costs and benefits of creating a reassigned numbers database.  At the NOI stage, I noted that the true benefit of a database would be to provide legitimate callers a safe harbor from financially-crippling litigation simply because they unwittingly called a number that they thought belonged to a consenting customer.  Now that the court has tossed out the prior Commission’s illogical approach, and made clear we can decide that callers are not liable unless they have actual knowledge that the number changed hands, there may be less value or need in creating a new database, at least from a legal liability perspective.</w:t>
      </w:r>
    </w:p>
    <w:p w:rsidR="001B5E95" w:rsidP="001B5E95" w14:paraId="68E7C073" w14:textId="77777777">
      <w:pPr>
        <w:ind w:firstLine="720"/>
      </w:pPr>
    </w:p>
    <w:p w:rsidR="001B5E95" w:rsidP="001B5E95" w14:paraId="1DCEFD68" w14:textId="77777777">
      <w:pPr>
        <w:ind w:firstLine="720"/>
      </w:pPr>
      <w:r>
        <w:t xml:space="preserve">Responsible companies may still wish to use a database to keep their call lists up to date and to minimize stray calls.  However, I wonder whether the benefit of a new database will exceed the costs of creating it and potentially requiring service providers to keep it or other databases current.  Indeed, the idea that we might impose new burdens on a wide range of providers, including those we don’t normally regulate, is something that we must be very cautious to cabin to this proceeding.  In my view, the most sensible option at this point, if we proceed at all, would be to encourage voluntary reporting to existing, commercially available databases with appropriate legal protections for those that decide to do so.  I look forward to reviewing the record in this proceeding.  </w:t>
      </w:r>
    </w:p>
    <w:p w:rsidR="001B5E95" w:rsidP="001B5E95" w14:paraId="28DC3B66" w14:textId="77777777">
      <w:pPr>
        <w:ind w:firstLine="720"/>
      </w:pPr>
    </w:p>
    <w:p w:rsidR="001B5E95" w:rsidP="001B5E95" w14:paraId="23DF8FDF" w14:textId="6693FB3E">
      <w:pPr>
        <w:ind w:firstLine="720"/>
      </w:pPr>
      <w:r>
        <w:t xml:space="preserve">I vote to approve.  </w:t>
      </w:r>
      <w:r w:rsidRPr="00AF544A">
        <w:t xml:space="preserve"> </w:t>
      </w:r>
    </w:p>
    <w:p w:rsidR="0004035A" w14:paraId="614A707E" w14:textId="77777777">
      <w:pPr>
        <w:widowControl/>
        <w:sectPr w:rsidSect="00B2608C">
          <w:headerReference w:type="first" r:id="rId29"/>
          <w:footerReference w:type="first" r:id="rId30"/>
          <w:footnotePr>
            <w:numRestart w:val="eachSect"/>
          </w:footnotePr>
          <w:endnotePr>
            <w:numFmt w:val="decimal"/>
          </w:endnotePr>
          <w:pgSz w:w="12240" w:h="15840"/>
          <w:pgMar w:top="1440" w:right="1440" w:bottom="720" w:left="1440" w:header="720" w:footer="720" w:gutter="0"/>
          <w:cols w:space="720"/>
          <w:noEndnote/>
          <w:titlePg/>
        </w:sectPr>
      </w:pPr>
    </w:p>
    <w:p w:rsidR="001B5E95" w:rsidP="00F70A60" w14:paraId="50410BCD" w14:textId="77777777">
      <w:pPr>
        <w:widowControl/>
        <w:jc w:val="center"/>
        <w:rPr>
          <w:b/>
        </w:rPr>
      </w:pPr>
      <w:r>
        <w:rPr>
          <w:b/>
        </w:rPr>
        <w:t>STATEMENT OF</w:t>
      </w:r>
    </w:p>
    <w:p w:rsidR="001B5E95" w:rsidP="001B5E95" w14:paraId="6A6EA89D" w14:textId="77777777">
      <w:pPr>
        <w:jc w:val="center"/>
        <w:rPr>
          <w:b/>
        </w:rPr>
      </w:pPr>
      <w:r>
        <w:rPr>
          <w:b/>
        </w:rPr>
        <w:t>COMMISSIONER BRENDAN CARR</w:t>
      </w:r>
    </w:p>
    <w:p w:rsidR="001B5E95" w:rsidP="001B5E95" w14:paraId="32477384" w14:textId="77777777">
      <w:pPr>
        <w:jc w:val="center"/>
        <w:rPr>
          <w:b/>
        </w:rPr>
      </w:pPr>
    </w:p>
    <w:p w:rsidR="001B5E95" w:rsidP="001B5E95" w14:paraId="7A2758AE" w14:textId="77777777">
      <w:r>
        <w:t>Re:</w:t>
      </w:r>
      <w:r>
        <w:tab/>
      </w:r>
      <w:r>
        <w:rPr>
          <w:i/>
        </w:rPr>
        <w:t>Advanced Methods to Target and Eliminate Robocalls</w:t>
      </w:r>
      <w:r>
        <w:t>, CG Docket No. 17-59.</w:t>
      </w:r>
    </w:p>
    <w:p w:rsidR="001B5E95" w:rsidP="001B5E95" w14:paraId="52820139" w14:textId="77777777"/>
    <w:p w:rsidR="001B5E95" w:rsidP="001B5E95" w14:paraId="6075C4D7" w14:textId="77777777">
      <w:pPr>
        <w:ind w:firstLine="720"/>
      </w:pPr>
      <w:r>
        <w:t xml:space="preserve">In 1996, the television show “The Simpsons” featured a plotline in which Homer Simpson finds a discarded autodialer, the AT-5000, in the trash.  He uses it to place prerecorded calls to his fellow Springfield residents, telling them that they will obtain the secret to eternal happiness if they send one dollar to “Happy Dude.”  In the end, Homer is caught by the police and directed to apologize to everyone he scammed—which he does via robocall.  In his words: “If you can find it in your heart to forgive me, send one dollar to Sorry Dude.”  </w:t>
      </w:r>
    </w:p>
    <w:p w:rsidR="001B5E95" w:rsidP="001B5E95" w14:paraId="210D63D8" w14:textId="77777777">
      <w:pPr>
        <w:ind w:firstLine="720"/>
      </w:pPr>
    </w:p>
    <w:p w:rsidR="001B5E95" w:rsidP="001B5E95" w14:paraId="19BC12FD" w14:textId="77777777">
      <w:pPr>
        <w:ind w:firstLine="720"/>
      </w:pPr>
      <w:r>
        <w:t xml:space="preserve">In envisioning the pervasive nature of unwanted robocalls, “The Simpsons” might once again have predicted the future.  These intrusive calls have become a far too common nuisance for far too many Americans.  That is why Congress passed the Telephone Consumer Protection Act (TCPA) in the first place—to prevent unwanted robocalls while allowing for legitimate communications between businesses and consumers.  The FCC has an important role to play in implementing Congress’s statutory scheme.  But in 2015, the prior FCC exceeded the scope of its authority and reached a decision of “eye-popping sweep,” as a unanimous D.C. Circuit put it just last week in reversing significant parts of that decision.  </w:t>
      </w:r>
    </w:p>
    <w:p w:rsidR="001B5E95" w:rsidP="001B5E95" w14:paraId="5F312C41" w14:textId="77777777">
      <w:pPr>
        <w:ind w:firstLine="720"/>
      </w:pPr>
    </w:p>
    <w:p w:rsidR="001B5E95" w:rsidP="001B5E95" w14:paraId="7C7BAA3A" w14:textId="77777777">
      <w:pPr>
        <w:ind w:firstLine="720"/>
      </w:pPr>
      <w:r>
        <w:t>Thankfully, this FCC has been endeavoring to shift course—we have elevated robocalls to our top enforcement priority, and we have already taken important steps to combat unlawful calls.  With last week’s court decision, we now have additional clarity about the path ahead.  One issue we can tackle is a better approach to dealing with reassigned numbers.  This issue arises when a consumer gives a business permission to call them, but then their telephone number is subsequently reassigned to another consumer.  The database ideas we put forward in this Notice can help reduce the number of those unwanted calls while ensuring that we are not targeting callers that are following best practices.</w:t>
      </w:r>
    </w:p>
    <w:p w:rsidR="001B5E95" w:rsidP="001B5E95" w14:paraId="2F3E7380" w14:textId="77777777"/>
    <w:p w:rsidR="001B5E95" w:rsidP="001B5E95" w14:paraId="09E1B5DE" w14:textId="77777777">
      <w:pPr>
        <w:ind w:firstLine="720"/>
      </w:pPr>
      <w:r>
        <w:t xml:space="preserve">I want to thank my colleagues for their willingness to include several edits I requested to this item, including the addition of </w:t>
      </w:r>
      <w:r w:rsidRPr="00BA2BED">
        <w:t xml:space="preserve">data detailing the scope of the reassigned numbers problem, as well as a clearer acknowledgement that carriers </w:t>
      </w:r>
      <w:r>
        <w:t xml:space="preserve">might not be </w:t>
      </w:r>
      <w:r w:rsidRPr="00BA2BED">
        <w:t>track</w:t>
      </w:r>
      <w:r>
        <w:t>ing</w:t>
      </w:r>
      <w:r w:rsidRPr="00BA2BED">
        <w:t xml:space="preserve"> when phone numbers are reassigned.  Additionally, we correctly ask about the technical and operational costs for carriers that would participate in a reassigned numbers database.  Finally, I am glad that we are including “bigger picture” questions about how this Notice fits within the broader efforts the FCC is taking to combat robocalls and the potential impact of the D.C. Circuit’s decision on our next steps in this proceeding.</w:t>
      </w:r>
    </w:p>
    <w:p w:rsidR="001B5E95" w:rsidP="001B5E95" w14:paraId="330ABA40" w14:textId="77777777">
      <w:pPr>
        <w:ind w:firstLine="720"/>
      </w:pPr>
    </w:p>
    <w:p w:rsidR="001B5E95" w:rsidP="001B5E95" w14:paraId="3D97F05C" w14:textId="77777777">
      <w:pPr>
        <w:ind w:firstLine="720"/>
      </w:pPr>
      <w:r>
        <w:t>Thank you to the staff of the Consumer and Governmental Affairs Bureau for your hard work on this item.  It has my support and I look forward to reviewing the record as it develops.</w:t>
      </w:r>
    </w:p>
    <w:p w:rsidR="0004035A" w:rsidP="001B5E95" w14:paraId="4E2F1DA7" w14:textId="03A44F7D">
      <w:pPr>
        <w:jc w:val="center"/>
        <w:sectPr w:rsidSect="00B2608C">
          <w:headerReference w:type="first" r:id="rId31"/>
          <w:footerReference w:type="first" r:id="rId32"/>
          <w:footnotePr>
            <w:numRestart w:val="eachSect"/>
          </w:footnotePr>
          <w:endnotePr>
            <w:numFmt w:val="decimal"/>
          </w:endnotePr>
          <w:pgSz w:w="12240" w:h="15840"/>
          <w:pgMar w:top="1440" w:right="1440" w:bottom="720" w:left="1440" w:header="720" w:footer="720" w:gutter="0"/>
          <w:cols w:space="720"/>
          <w:noEndnote/>
          <w:titlePg/>
        </w:sectPr>
      </w:pPr>
    </w:p>
    <w:p w:rsidR="001B5E95" w:rsidRPr="005B3A19" w:rsidP="001B5E95" w14:paraId="1FCE57B4" w14:textId="5576EB56">
      <w:pPr>
        <w:jc w:val="center"/>
        <w:rPr>
          <w:b/>
        </w:rPr>
      </w:pPr>
      <w:r>
        <w:rPr>
          <w:b/>
        </w:rPr>
        <w:t>STATEMENT</w:t>
      </w:r>
      <w:r w:rsidRPr="005B3A19">
        <w:rPr>
          <w:b/>
        </w:rPr>
        <w:t xml:space="preserve"> OF</w:t>
      </w:r>
      <w:r w:rsidRPr="005B3A19">
        <w:rPr>
          <w:b/>
        </w:rPr>
        <w:br/>
        <w:t>COMMISSIONER JESSICA ROSENWORCEL</w:t>
      </w:r>
    </w:p>
    <w:p w:rsidR="001B5E95" w:rsidRPr="005B3A19" w:rsidP="001B5E95" w14:paraId="4A074B03" w14:textId="77777777">
      <w:pPr>
        <w:jc w:val="center"/>
        <w:rPr>
          <w:b/>
        </w:rPr>
      </w:pPr>
      <w:r w:rsidRPr="005B3A19">
        <w:rPr>
          <w:b/>
        </w:rPr>
        <w:t>APPROVING IN PART, DISSENTING IN PART</w:t>
      </w:r>
    </w:p>
    <w:p w:rsidR="001B5E95" w:rsidRPr="005B3A19" w:rsidP="001B5E95" w14:paraId="14D59BE4" w14:textId="77777777">
      <w:pPr>
        <w:jc w:val="center"/>
        <w:rPr>
          <w:b/>
        </w:rPr>
      </w:pPr>
    </w:p>
    <w:p w:rsidR="001B5E95" w:rsidP="001B5E95" w14:paraId="61CA3F96" w14:textId="77777777">
      <w:r w:rsidRPr="005B3A19">
        <w:t>Re:</w:t>
      </w:r>
      <w:r w:rsidRPr="005B3A19">
        <w:tab/>
      </w:r>
      <w:r w:rsidRPr="005B3A19">
        <w:rPr>
          <w:i/>
        </w:rPr>
        <w:t>Advanced Methods to Target and Eliminate Unlawful Robocalls</w:t>
      </w:r>
      <w:r>
        <w:t>, CG Docket No. 17-59.</w:t>
      </w:r>
    </w:p>
    <w:p w:rsidR="001B5E95" w:rsidRPr="005B3A19" w:rsidP="001B5E95" w14:paraId="26F63B74" w14:textId="77777777"/>
    <w:p w:rsidR="001B5E95" w:rsidRPr="005B3A19" w:rsidP="001B5E95" w14:paraId="4F53A270" w14:textId="77777777">
      <w:r w:rsidRPr="005B3A19">
        <w:tab/>
        <w:t xml:space="preserve">I used to think it was Rachel from Cardmember Services I disliked most.  But then it was the agent from the Internal Revenue Service with his final notice of an imminent lawsuit.  Now it’s the calls with spoofed numbers that look like family and friends but when I answer the line I get an automated voice offering me a cruise or debt relief or something else I did not ask for, do not want, and do not need.   </w:t>
      </w:r>
    </w:p>
    <w:p w:rsidR="001B5E95" w:rsidRPr="005B3A19" w:rsidP="001B5E95" w14:paraId="568B7F99" w14:textId="77777777"/>
    <w:p w:rsidR="001B5E95" w:rsidRPr="005B3A19" w:rsidP="001B5E95" w14:paraId="40AAF36A" w14:textId="77777777">
      <w:r w:rsidRPr="005B3A19">
        <w:tab/>
        <w:t>I shouldn’t have to choose which of these robocalls I detest most.  No one should.  But it’s come to this.  The sheer volume of robocalls we receive is insane.  Year-in and year-out they represent the largest single category of complaints at the Federal Communications Commission.  Our colleagues at the Federal Trade Commission report that they are the number one reason they hear from consumers, too.  Let’s put a number on just how ridiculous this situation is.  Since I started speaking a little over a minute ago—5000 robocalls have been made.  That’s crazy.</w:t>
      </w:r>
    </w:p>
    <w:p w:rsidR="001B5E95" w:rsidRPr="005B3A19" w:rsidP="001B5E95" w14:paraId="7948F362" w14:textId="77777777"/>
    <w:p w:rsidR="001B5E95" w:rsidRPr="005B3A19" w:rsidP="001B5E95" w14:paraId="7EADFA8C" w14:textId="4697C24D">
      <w:r w:rsidRPr="005B3A19">
        <w:tab/>
        <w:t xml:space="preserve">So it’s a good thing this agency has set its sights on fixing this problem.  To this end, here we initiate a rulemaking that proposes a database for reassigned numbers.  This kind of database would make it possible for calling parties to identify numbers that have been changed.  That means if someone moves and their number winds up with someone else, it would be listed here.  Then, if all goes according to plan, parties would be able </w:t>
      </w:r>
      <w:r w:rsidR="007F5A95">
        <w:t xml:space="preserve">to </w:t>
      </w:r>
      <w:r w:rsidRPr="005B3A19">
        <w:t xml:space="preserve">check this database before making calls.  </w:t>
      </w:r>
    </w:p>
    <w:p w:rsidR="001B5E95" w:rsidRPr="005B3A19" w:rsidP="001B5E95" w14:paraId="7371C81D" w14:textId="77777777"/>
    <w:p w:rsidR="001B5E95" w:rsidRPr="005B3A19" w:rsidP="001B5E95" w14:paraId="6F16F918" w14:textId="77777777">
      <w:pPr>
        <w:ind w:firstLine="720"/>
      </w:pPr>
      <w:r w:rsidRPr="005B3A19">
        <w:t xml:space="preserve">I support developing this database, so I will offer my approval in part.  But let’s get real.  This is an effort to provide a legal green light for robocallers.  As long as they consult this list before dialing, they will be free from liability under the Telephone Consumer Protection Act.  So this protects robocallers.  The real question is what are we doing to protect consumers?  The answer: Not enough.  </w:t>
      </w:r>
    </w:p>
    <w:p w:rsidR="001B5E95" w:rsidRPr="005B3A19" w:rsidP="001B5E95" w14:paraId="5F5EF199" w14:textId="77777777">
      <w:pPr>
        <w:ind w:firstLine="720"/>
      </w:pPr>
    </w:p>
    <w:p w:rsidR="001B5E95" w:rsidRPr="005B3A19" w:rsidP="001B5E95" w14:paraId="5867595D" w14:textId="77777777">
      <w:pPr>
        <w:ind w:firstLine="720"/>
      </w:pPr>
      <w:r w:rsidRPr="005B3A19">
        <w:t xml:space="preserve">It has been six months since this agency initiated an enforcement action against any robocaller.  It has been nine months since this agency proposed call authentication standards to help stop fraudulent calls.  It has been nearly a year and a half since the Robocall Strike Force identified SHAKEN/STIR as a technology to reduce robocalls that our neighbors to the north in Canada are already putting in place.  </w:t>
      </w:r>
    </w:p>
    <w:p w:rsidR="001B5E95" w:rsidRPr="005B3A19" w:rsidP="001B5E95" w14:paraId="0FDC3C60" w14:textId="77777777">
      <w:pPr>
        <w:ind w:firstLine="720"/>
      </w:pPr>
    </w:p>
    <w:p w:rsidR="001B5E95" w:rsidRPr="005B3A19" w:rsidP="001B5E95" w14:paraId="0F04DE75" w14:textId="77777777">
      <w:pPr>
        <w:ind w:firstLine="720"/>
      </w:pPr>
      <w:r w:rsidRPr="005B3A19">
        <w:t xml:space="preserve">In the meantime, the courts have just handed down a big decision when it comes to our robocall rules.  We need to respond.  That will mean defining autodialers and how they can be used to call millions of consumers.  It could also mean revisiting just how consumers can revoke consent they may have given previously to companies to make calls.  </w:t>
      </w:r>
    </w:p>
    <w:p w:rsidR="001B5E95" w:rsidRPr="005B3A19" w:rsidP="001B5E95" w14:paraId="48D6EF18" w14:textId="77777777">
      <w:pPr>
        <w:ind w:firstLine="720"/>
      </w:pPr>
    </w:p>
    <w:p w:rsidR="001B5E95" w:rsidRPr="001B5E95" w:rsidP="001B5E95" w14:paraId="69F790FC" w14:textId="6D845B4D">
      <w:pPr>
        <w:ind w:firstLine="720"/>
      </w:pPr>
      <w:r w:rsidRPr="005B3A19">
        <w:t>Add all this up and we have a lot of work to do.  And we have been too slow to do it.  Because this rulemaking takes only the smallest stab at a massive problem, I dissent in part.  When it comes to robocalls, we can and</w:t>
      </w:r>
      <w:r>
        <w:t xml:space="preserve"> should be doing so much more.</w:t>
      </w:r>
    </w:p>
    <w:sectPr w:rsidSect="00B2608C">
      <w:headerReference w:type="first" r:id="rId33"/>
      <w:footerReference w:type="first" r:id="rId34"/>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41F6" w14:paraId="14E48A67"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49254611"/>
      <w:docPartObj>
        <w:docPartGallery w:val="Page Numbers (Bottom of Page)"/>
        <w:docPartUnique/>
      </w:docPartObj>
    </w:sdtPr>
    <w:sdtEndPr>
      <w:rPr>
        <w:noProof/>
      </w:rPr>
    </w:sdtEndPr>
    <w:sdtContent>
      <w:p w:rsidR="0004035A" w:rsidP="00F70A60" w14:paraId="3D6E0786" w14:textId="77777777">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35A" w:rsidP="009B59ED" w14:paraId="51444EB2" w14:textId="77777777">
    <w:pPr>
      <w:pStyle w:val="Footer"/>
      <w:tabs>
        <w:tab w:val="clear" w:pos="8640"/>
      </w:tabs>
      <w:jc w:val="center"/>
    </w:pPr>
    <w:r>
      <w:fldChar w:fldCharType="begin"/>
    </w:r>
    <w:r>
      <w:instrText xml:space="preserve"> PAGE   \* MERGEFORMAT </w:instrText>
    </w:r>
    <w:r>
      <w:fldChar w:fldCharType="separate"/>
    </w:r>
    <w:r w:rsidR="00F70A60">
      <w:rPr>
        <w:noProof/>
      </w:rPr>
      <w:t>31</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35A" w:rsidP="009B59ED" w14:paraId="66D8A322" w14:textId="77777777">
    <w:pPr>
      <w:pStyle w:val="Footer"/>
      <w:tabs>
        <w:tab w:val="clear" w:pos="8640"/>
      </w:tabs>
      <w:jc w:val="center"/>
    </w:pPr>
    <w:r>
      <w:fldChar w:fldCharType="begin"/>
    </w:r>
    <w:r>
      <w:instrText xml:space="preserve"> PAGE   \* MERGEFORMAT </w:instrText>
    </w:r>
    <w:r>
      <w:fldChar w:fldCharType="separate"/>
    </w:r>
    <w:r w:rsidR="00F70A60">
      <w:rPr>
        <w:noProof/>
      </w:rPr>
      <w:t>32</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35A" w:rsidP="009B59ED" w14:paraId="5D6AB416" w14:textId="77777777">
    <w:pPr>
      <w:pStyle w:val="Footer"/>
      <w:tabs>
        <w:tab w:val="clear" w:pos="8640"/>
      </w:tabs>
      <w:jc w:val="center"/>
    </w:pPr>
    <w:r>
      <w:fldChar w:fldCharType="begin"/>
    </w:r>
    <w:r>
      <w:instrText xml:space="preserve"> PAGE   \* MERGEFORMAT </w:instrText>
    </w:r>
    <w:r>
      <w:fldChar w:fldCharType="separate"/>
    </w:r>
    <w:r w:rsidR="00F70A60">
      <w:rPr>
        <w:noProof/>
      </w:rPr>
      <w:t>33</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35A" w:rsidP="009B59ED" w14:paraId="12A38044" w14:textId="77777777">
    <w:pPr>
      <w:pStyle w:val="Footer"/>
      <w:tabs>
        <w:tab w:val="clear" w:pos="8640"/>
      </w:tabs>
      <w:jc w:val="center"/>
    </w:pPr>
    <w:r>
      <w:fldChar w:fldCharType="begin"/>
    </w:r>
    <w:r>
      <w:instrText xml:space="preserve"> PAGE   \* MERGEFORMAT </w:instrText>
    </w:r>
    <w:r>
      <w:fldChar w:fldCharType="separate"/>
    </w:r>
    <w:r w:rsidR="00F70A60">
      <w:rPr>
        <w:noProof/>
      </w:rPr>
      <w:t>34</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35A" w:rsidP="009B59ED" w14:paraId="345043F1" w14:textId="77777777">
    <w:pPr>
      <w:pStyle w:val="Footer"/>
      <w:tabs>
        <w:tab w:val="clear" w:pos="8640"/>
      </w:tabs>
      <w:jc w:val="center"/>
    </w:pPr>
    <w:r>
      <w:fldChar w:fldCharType="begin"/>
    </w:r>
    <w:r>
      <w:instrText xml:space="preserve"> PAGE   \* MERGEFORMAT </w:instrText>
    </w:r>
    <w:r>
      <w:fldChar w:fldCharType="separate"/>
    </w:r>
    <w:r w:rsidR="00F70A60">
      <w:rPr>
        <w:noProof/>
      </w:rPr>
      <w:t>35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6D4D" w:rsidP="001C0CCB" w14:paraId="5475A05D" w14:textId="06A85987">
    <w:pPr>
      <w:pStyle w:val="Footer"/>
      <w:jc w:val="center"/>
    </w:pPr>
    <w:r>
      <w:fldChar w:fldCharType="begin"/>
    </w:r>
    <w:r>
      <w:instrText xml:space="preserve"> PAGE  \* Arabic  \* MERGEFORMAT </w:instrText>
    </w:r>
    <w:r>
      <w:fldChar w:fldCharType="separate"/>
    </w:r>
    <w:r w:rsidR="002541F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6D4D" w:rsidP="001C0CCB" w14:paraId="32646A9A" w14:textId="77777777">
    <w:pPr>
      <w:pStyle w:val="Footer"/>
      <w:tabs>
        <w:tab w:val="clear" w:pos="4320"/>
        <w:tab w:val="left" w:pos="5556"/>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6D4D" w:rsidP="0055614C" w14:paraId="43281B56" w14:textId="77777777">
    <w:pPr>
      <w:pStyle w:val="Footer"/>
      <w:framePr w:wrap="around" w:vAnchor="text" w:hAnchor="margin" w:xAlign="center" w:y="1"/>
    </w:pPr>
    <w:r>
      <w:fldChar w:fldCharType="begin"/>
    </w:r>
    <w:r>
      <w:instrText xml:space="preserve">PAGE  </w:instrText>
    </w:r>
    <w:r>
      <w:fldChar w:fldCharType="separate"/>
    </w:r>
    <w:r>
      <w:fldChar w:fldCharType="end"/>
    </w:r>
  </w:p>
  <w:p w:rsidR="00E06D4D" w14:paraId="74AD8A9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6D4D" w:rsidP="0055614C" w14:paraId="61ADC4B2" w14:textId="6EACC6BA">
    <w:pPr>
      <w:pStyle w:val="Footer"/>
      <w:framePr w:wrap="around" w:vAnchor="text" w:hAnchor="margin" w:xAlign="center" w:y="1"/>
    </w:pPr>
    <w:r>
      <w:fldChar w:fldCharType="begin"/>
    </w:r>
    <w:r>
      <w:instrText xml:space="preserve">PAGE  </w:instrText>
    </w:r>
    <w:r>
      <w:fldChar w:fldCharType="separate"/>
    </w:r>
    <w:r>
      <w:rPr>
        <w:noProof/>
      </w:rPr>
      <w:t>22</w:t>
    </w:r>
    <w:r>
      <w:fldChar w:fldCharType="end"/>
    </w:r>
  </w:p>
  <w:p w:rsidR="00E06D4D" w14:paraId="625FDBB2"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6D4D" w:rsidP="009B59ED" w14:paraId="0A9621FD" w14:textId="3A7FFE11">
    <w:pPr>
      <w:pStyle w:val="Footer"/>
      <w:tabs>
        <w:tab w:val="clear" w:pos="8640"/>
      </w:tabs>
      <w:jc w:val="center"/>
    </w:pPr>
    <w:r>
      <w:fldChar w:fldCharType="begin"/>
    </w:r>
    <w:r>
      <w:instrText xml:space="preserve"> PAGE   \* MERGEFORMAT </w:instrText>
    </w:r>
    <w:r>
      <w:fldChar w:fldCharType="separate"/>
    </w:r>
    <w:r w:rsidR="00797968">
      <w:rPr>
        <w:noProof/>
      </w:rPr>
      <w:t>20</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35A" w:rsidP="009B59ED" w14:paraId="03FFF0E9" w14:textId="61E56428">
    <w:pPr>
      <w:pStyle w:val="Footer"/>
      <w:tabs>
        <w:tab w:val="clear" w:pos="8640"/>
      </w:tabs>
      <w:jc w:val="center"/>
    </w:pPr>
    <w:r>
      <w:fldChar w:fldCharType="begin"/>
    </w:r>
    <w:r>
      <w:instrText xml:space="preserve"> PAGE   \* MERGEFORMAT </w:instrText>
    </w:r>
    <w:r>
      <w:fldChar w:fldCharType="separate"/>
    </w:r>
    <w:r w:rsidR="00797968">
      <w:rPr>
        <w:noProof/>
      </w:rPr>
      <w:t>21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3718022"/>
      <w:docPartObj>
        <w:docPartGallery w:val="Page Numbers (Bottom of Page)"/>
        <w:docPartUnique/>
      </w:docPartObj>
    </w:sdtPr>
    <w:sdtEndPr>
      <w:rPr>
        <w:noProof/>
      </w:rPr>
    </w:sdtEndPr>
    <w:sdtContent>
      <w:p w:rsidR="00E06D4D" w:rsidP="00F70A60" w14:paraId="4A805179" w14:textId="6C145CF9">
        <w:pPr>
          <w:pStyle w:val="Footer"/>
          <w:jc w:val="center"/>
        </w:pPr>
        <w:r>
          <w:fldChar w:fldCharType="begin"/>
        </w:r>
        <w:r>
          <w:instrText xml:space="preserve"> PAGE   \* MERGEFORMAT </w:instrText>
        </w:r>
        <w:r>
          <w:fldChar w:fldCharType="separate"/>
        </w:r>
        <w:r w:rsidR="00797968">
          <w:rPr>
            <w:noProof/>
          </w:rPr>
          <w:t>30</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6D4D" w:rsidP="009B59ED" w14:paraId="280E7DDC" w14:textId="77777777">
    <w:pPr>
      <w:pStyle w:val="Footer"/>
      <w:tabs>
        <w:tab w:val="clear" w:pos="8640"/>
      </w:tabs>
      <w:jc w:val="center"/>
    </w:pPr>
    <w:r>
      <w:fldChar w:fldCharType="begin"/>
    </w:r>
    <w:r>
      <w:instrText xml:space="preserve"> PAGE   \* MERGEFORMAT </w:instrText>
    </w:r>
    <w:r>
      <w:fldChar w:fldCharType="separate"/>
    </w:r>
    <w:r w:rsidR="0004035A">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6D4D" w14:paraId="3D6A9E21" w14:textId="77777777">
      <w:r>
        <w:separator/>
      </w:r>
    </w:p>
  </w:footnote>
  <w:footnote w:type="continuationSeparator" w:id="1">
    <w:p w:rsidR="00E06D4D" w:rsidP="00C721AC" w14:paraId="63BFFF1A" w14:textId="77777777">
      <w:pPr>
        <w:spacing w:before="120"/>
        <w:rPr>
          <w:sz w:val="20"/>
        </w:rPr>
      </w:pPr>
      <w:r>
        <w:rPr>
          <w:sz w:val="20"/>
        </w:rPr>
        <w:t xml:space="preserve">(Continued from previous page)  </w:t>
      </w:r>
      <w:r>
        <w:rPr>
          <w:sz w:val="20"/>
        </w:rPr>
        <w:separator/>
      </w:r>
    </w:p>
  </w:footnote>
  <w:footnote w:type="continuationNotice" w:id="2">
    <w:p w:rsidR="00E06D4D" w:rsidP="00C721AC" w14:paraId="42EA69C1" w14:textId="77777777">
      <w:pPr>
        <w:jc w:val="right"/>
        <w:rPr>
          <w:sz w:val="20"/>
        </w:rPr>
      </w:pPr>
      <w:r>
        <w:rPr>
          <w:sz w:val="20"/>
        </w:rPr>
        <w:t>(continued….)</w:t>
      </w:r>
    </w:p>
  </w:footnote>
  <w:footnote w:id="3">
    <w:p w:rsidR="00E06D4D" w:rsidRPr="00291C99" w14:paraId="7C5E08F8" w14:textId="77777777">
      <w:pPr>
        <w:pStyle w:val="FootnoteText"/>
      </w:pPr>
      <w:r>
        <w:rPr>
          <w:rStyle w:val="FootnoteReference"/>
        </w:rPr>
        <w:footnoteRef/>
      </w:r>
      <w:r>
        <w:t xml:space="preserve"> </w:t>
      </w:r>
      <w:r w:rsidRPr="00291C99">
        <w:t>The Telephone Consumer Protection Act of 1991, Pub. L. No. 102-243, is codified at 47 U.S.C. § 227.</w:t>
      </w:r>
    </w:p>
  </w:footnote>
  <w:footnote w:id="4">
    <w:p w:rsidR="00E06D4D" w:rsidRPr="00291C99" w14:paraId="3E8B1658" w14:textId="77777777">
      <w:pPr>
        <w:pStyle w:val="FootnoteText"/>
      </w:pPr>
      <w:r w:rsidRPr="00291C99">
        <w:rPr>
          <w:rStyle w:val="FootnoteReference"/>
        </w:rPr>
        <w:footnoteRef/>
      </w:r>
      <w:r w:rsidRPr="00291C99">
        <w:t xml:space="preserve"> A number is disconnected when it is no longer used to route calls to the disconnecting subscriber of record.  </w:t>
      </w:r>
      <w:r w:rsidRPr="00291C99">
        <w:rPr>
          <w:i/>
        </w:rPr>
        <w:t xml:space="preserve">See </w:t>
      </w:r>
      <w:r w:rsidRPr="00291C99">
        <w:t xml:space="preserve">Alliance for Telecommunications Industry Solutions, ATIS-0300051 - Central Office Code (NXX) Assignment Guidelines (COCAG) at 46 (2013).  Once a number is disconnected, a service provider can designate it as an “aging number” for a period of time and subsequently reassign it to a new subscriber.  </w:t>
      </w:r>
      <w:r w:rsidRPr="00291C99">
        <w:rPr>
          <w:i/>
        </w:rPr>
        <w:t xml:space="preserve">See </w:t>
      </w:r>
      <w:r w:rsidRPr="00291C99">
        <w:t>47 CFR § 52.15(f)(ii) (“Aging numbers are disconnected numbers that are not available for assignment to another end user or customer for a specified period of time.  Numbers previously assigned to residential customers may be aged for no more than 90 days.”).</w:t>
      </w:r>
    </w:p>
  </w:footnote>
  <w:footnote w:id="5">
    <w:p w:rsidR="00E06D4D" w14:paraId="78E4F85F" w14:textId="77777777">
      <w:pPr>
        <w:pStyle w:val="FootnoteText"/>
      </w:pPr>
      <w:r>
        <w:rPr>
          <w:rStyle w:val="FootnoteReference"/>
        </w:rPr>
        <w:footnoteRef/>
      </w:r>
      <w:r>
        <w:t xml:space="preserve"> </w:t>
      </w:r>
      <w:r>
        <w:rPr>
          <w:i/>
        </w:rPr>
        <w:t xml:space="preserve">See </w:t>
      </w:r>
      <w:r w:rsidRPr="00291C99">
        <w:rPr>
          <w:i/>
        </w:rPr>
        <w:t>Advanced Methods to Target and Eliminate Unlawful Robocalls</w:t>
      </w:r>
      <w:r w:rsidRPr="00291C99">
        <w:t>, CG Docket No.17-59, Second Notice of Inquiry, 32 FCC Rcd 6007</w:t>
      </w:r>
      <w:r>
        <w:t>, 6009, para. 5</w:t>
      </w:r>
      <w:r w:rsidRPr="00291C99">
        <w:t xml:space="preserve"> (2017) (</w:t>
      </w:r>
      <w:r w:rsidRPr="00291C99">
        <w:rPr>
          <w:i/>
        </w:rPr>
        <w:t xml:space="preserve">Reassigned Numbers NOI </w:t>
      </w:r>
      <w:r w:rsidRPr="00291C99">
        <w:t xml:space="preserve">or </w:t>
      </w:r>
      <w:r w:rsidRPr="00291C99">
        <w:rPr>
          <w:i/>
        </w:rPr>
        <w:t>NOI</w:t>
      </w:r>
      <w:r>
        <w:t>); North American Numbering Plan Administrator Number Resource Utilization/Forecast Reports (average of aggregate numbers for the time period Jan. 1, 2013 through Dec. 31, 2016).</w:t>
      </w:r>
    </w:p>
  </w:footnote>
  <w:footnote w:id="6">
    <w:p w:rsidR="00E06D4D" w:rsidRPr="00291C99" w14:paraId="03193C84" w14:textId="6DC6A1CF">
      <w:pPr>
        <w:pStyle w:val="FootnoteText"/>
      </w:pPr>
      <w:r w:rsidRPr="00291C99">
        <w:rPr>
          <w:rStyle w:val="FootnoteReference"/>
        </w:rPr>
        <w:footnoteRef/>
      </w:r>
      <w:r w:rsidRPr="00291C99">
        <w:t xml:space="preserve"> </w:t>
      </w:r>
      <w:r w:rsidRPr="00291C99">
        <w:rPr>
          <w:i/>
        </w:rPr>
        <w:t>See, e.g.</w:t>
      </w:r>
      <w:r w:rsidRPr="00291C99">
        <w:t>, District of Columbia Public Schools Comments at 2 (“Recipients of our mass notifications expect them and consider them an essential part of our educational role.”); Anthem</w:t>
      </w:r>
      <w:r>
        <w:t>, Inc.</w:t>
      </w:r>
      <w:r w:rsidRPr="00291C99">
        <w:t xml:space="preserve"> Reply Comments at 1 </w:t>
      </w:r>
      <w:r>
        <w:t>(Anthem)</w:t>
      </w:r>
      <w:r w:rsidRPr="00291C99">
        <w:t xml:space="preserve"> (explaining that the health care information transmitted by Anthem is welcomed by consumers and leads to better health outcomes); A</w:t>
      </w:r>
      <w:r>
        <w:t xml:space="preserve">merican </w:t>
      </w:r>
      <w:r w:rsidRPr="00291C99">
        <w:t>B</w:t>
      </w:r>
      <w:r>
        <w:t xml:space="preserve">ankers </w:t>
      </w:r>
      <w:r w:rsidRPr="00291C99">
        <w:t>A</w:t>
      </w:r>
      <w:r>
        <w:t>ssociation</w:t>
      </w:r>
      <w:r w:rsidRPr="00291C99">
        <w:t xml:space="preserve"> Comments at 1</w:t>
      </w:r>
      <w:r>
        <w:t xml:space="preserve"> (ABA)</w:t>
      </w:r>
      <w:r w:rsidRPr="00291C99">
        <w:t xml:space="preserve"> (“Bankers regularly need to contact their customers with important, bene</w:t>
      </w:r>
      <w:r>
        <w:t>ficial, and time-critical calls…</w:t>
      </w:r>
      <w:r w:rsidRPr="00291C99">
        <w:t>”).</w:t>
      </w:r>
    </w:p>
  </w:footnote>
  <w:footnote w:id="7">
    <w:p w:rsidR="00E06D4D" w:rsidRPr="00291C99" w:rsidP="00D63EBF" w14:paraId="7A334BEC" w14:textId="3BB42423">
      <w:pPr>
        <w:pStyle w:val="FootnoteText"/>
      </w:pPr>
      <w:r w:rsidRPr="00291C99">
        <w:rPr>
          <w:rStyle w:val="FootnoteReference"/>
        </w:rPr>
        <w:footnoteRef/>
      </w:r>
      <w:r w:rsidRPr="00291C99">
        <w:t xml:space="preserve"> </w:t>
      </w:r>
      <w:r w:rsidRPr="00291C99">
        <w:rPr>
          <w:i/>
        </w:rPr>
        <w:t xml:space="preserve">See, e.g. </w:t>
      </w:r>
      <w:r w:rsidRPr="00291C99">
        <w:t>Blackboard</w:t>
      </w:r>
      <w:r>
        <w:t xml:space="preserve">, Inc. </w:t>
      </w:r>
      <w:r w:rsidRPr="00291C99">
        <w:t>Comments at 2-3</w:t>
      </w:r>
      <w:r>
        <w:t xml:space="preserve"> (Blackboard)</w:t>
      </w:r>
      <w:r w:rsidRPr="00291C99">
        <w:t>;</w:t>
      </w:r>
      <w:r w:rsidRPr="00291C99">
        <w:rPr>
          <w:i/>
        </w:rPr>
        <w:t xml:space="preserve"> </w:t>
      </w:r>
      <w:r w:rsidRPr="00291C99">
        <w:t xml:space="preserve">Comcast </w:t>
      </w:r>
      <w:r>
        <w:t xml:space="preserve">Corporation </w:t>
      </w:r>
      <w:r w:rsidRPr="00291C99">
        <w:t>Comments at 2</w:t>
      </w:r>
      <w:r>
        <w:t xml:space="preserve"> (Comcast)</w:t>
      </w:r>
      <w:r w:rsidRPr="00291C99">
        <w:t xml:space="preserve">; </w:t>
      </w:r>
      <w:r>
        <w:t>Credit Union National Association</w:t>
      </w:r>
      <w:r w:rsidRPr="00291C99">
        <w:t xml:space="preserve"> Comments at 7</w:t>
      </w:r>
      <w:r>
        <w:t xml:space="preserve"> (CUNA)</w:t>
      </w:r>
      <w:r w:rsidRPr="00291C99">
        <w:t xml:space="preserve">; </w:t>
      </w:r>
      <w:r>
        <w:t>National Association of Federally Insured Credit Unions</w:t>
      </w:r>
      <w:r w:rsidRPr="00291C99">
        <w:t xml:space="preserve"> Comments at 2</w:t>
      </w:r>
      <w:r>
        <w:t xml:space="preserve"> (NAFICU)</w:t>
      </w:r>
      <w:r w:rsidRPr="00291C99">
        <w:t xml:space="preserve">; </w:t>
      </w:r>
      <w:r w:rsidRPr="00884B3F">
        <w:t xml:space="preserve">NCTA – The Internet &amp; </w:t>
      </w:r>
      <w:r>
        <w:t>Television Association Comments</w:t>
      </w:r>
      <w:r w:rsidRPr="00291C99">
        <w:t xml:space="preserve"> at 2</w:t>
      </w:r>
      <w:r>
        <w:t xml:space="preserve"> (NCTA)</w:t>
      </w:r>
      <w:r w:rsidRPr="00291C99">
        <w:t>; Tatango</w:t>
      </w:r>
      <w:r>
        <w:t>, Inc.</w:t>
      </w:r>
      <w:r w:rsidRPr="00291C99">
        <w:t xml:space="preserve"> Comments at 3</w:t>
      </w:r>
      <w:r>
        <w:t xml:space="preserve"> (Tatango)</w:t>
      </w:r>
      <w:r w:rsidRPr="00291C99">
        <w:t xml:space="preserve">.  The TCPA requires robocallers to obtain prior express consent before making robocalls, with the consent requirements varying based on whether the call goes to a wireless or a residential phone number and whether the call is for telemarketing purposes.  </w:t>
      </w:r>
      <w:r w:rsidRPr="00291C99">
        <w:rPr>
          <w:i/>
        </w:rPr>
        <w:t>See</w:t>
      </w:r>
      <w:r w:rsidRPr="00291C99">
        <w:t xml:space="preserve"> 47 U.S.C. § 227(b)(1)(A); 47 CFR § 64.1200(a)(1)-(2); </w:t>
      </w:r>
      <w:r w:rsidRPr="00291C99">
        <w:rPr>
          <w:i/>
        </w:rPr>
        <w:t>see also</w:t>
      </w:r>
      <w:r w:rsidRPr="00291C99">
        <w:t xml:space="preserve"> </w:t>
      </w:r>
      <w:r w:rsidRPr="00291C99">
        <w:rPr>
          <w:i/>
        </w:rPr>
        <w:t>Rules and Regulations Implementing the Telephone Consumer Protection Act of 1991</w:t>
      </w:r>
      <w:r w:rsidRPr="00291C99">
        <w:t>, CG Docket No. 92-90, Report and Order, 7 FCC Rcd 8752 (1992).</w:t>
      </w:r>
    </w:p>
  </w:footnote>
  <w:footnote w:id="8">
    <w:p w:rsidR="00E06D4D" w:rsidRPr="00291C99" w:rsidP="00D63EBF" w14:paraId="1CF490E1" w14:textId="77777777">
      <w:pPr>
        <w:pStyle w:val="FootnoteText"/>
      </w:pPr>
      <w:r w:rsidRPr="00291C99">
        <w:rPr>
          <w:rStyle w:val="FootnoteReference"/>
        </w:rPr>
        <w:footnoteRef/>
      </w:r>
      <w:r w:rsidRPr="00291C99">
        <w:t xml:space="preserve"> </w:t>
      </w:r>
      <w:r w:rsidRPr="00291C99">
        <w:rPr>
          <w:i/>
        </w:rPr>
        <w:t>See, e.g.</w:t>
      </w:r>
      <w:r w:rsidRPr="00291C99">
        <w:t>,</w:t>
      </w:r>
      <w:r w:rsidRPr="00291C99">
        <w:rPr>
          <w:i/>
        </w:rPr>
        <w:t xml:space="preserve"> </w:t>
      </w:r>
      <w:r w:rsidRPr="00291C99">
        <w:t>Blackboard Comments at 4; CUNA Reply Comments at 6.</w:t>
      </w:r>
    </w:p>
  </w:footnote>
  <w:footnote w:id="9">
    <w:p w:rsidR="00E06D4D" w:rsidRPr="00291C99" w:rsidP="00D63EBF" w14:paraId="6D66C0C2" w14:textId="783A79DB">
      <w:pPr>
        <w:pStyle w:val="FootnoteText"/>
        <w:widowControl w:val="0"/>
      </w:pPr>
      <w:r w:rsidRPr="00291C99">
        <w:rPr>
          <w:rStyle w:val="FootnoteReference"/>
        </w:rPr>
        <w:footnoteRef/>
      </w:r>
      <w:r w:rsidRPr="00291C99">
        <w:t xml:space="preserve"> </w:t>
      </w:r>
      <w:r w:rsidRPr="00291C99">
        <w:rPr>
          <w:i/>
        </w:rPr>
        <w:t>See, e.g.</w:t>
      </w:r>
      <w:r w:rsidRPr="00291C99">
        <w:t xml:space="preserve">, Neustar TCPA Compliance Solutions, </w:t>
      </w:r>
      <w:r>
        <w:fldChar w:fldCharType="begin"/>
      </w:r>
      <w:r>
        <w:instrText xml:space="preserve"> HYPERLINK "https://www.neustar.biz/risk/compliance-solutions/tcpa" </w:instrText>
      </w:r>
      <w:r>
        <w:fldChar w:fldCharType="separate"/>
      </w:r>
      <w:r w:rsidRPr="00291C99">
        <w:rPr>
          <w:rStyle w:val="Hyperlink"/>
        </w:rPr>
        <w:t>https://www.neustar.biz/risk/compliance-solutions/tcpa</w:t>
      </w:r>
      <w:r>
        <w:fldChar w:fldCharType="end"/>
      </w:r>
      <w:r w:rsidRPr="00291C99">
        <w:t xml:space="preserve"> (last visited</w:t>
      </w:r>
      <w:r>
        <w:t xml:space="preserve"> Mar. 22, 2018</w:t>
      </w:r>
      <w:r w:rsidRPr="00291C99">
        <w:t xml:space="preserve">); Danal TCPA Compliance Solution, </w:t>
      </w:r>
      <w:r>
        <w:fldChar w:fldCharType="begin"/>
      </w:r>
      <w:r>
        <w:instrText xml:space="preserve"> HYPERLINK "https://tcpaconfidence.com/" </w:instrText>
      </w:r>
      <w:r>
        <w:fldChar w:fldCharType="separate"/>
      </w:r>
      <w:r w:rsidRPr="00291C99">
        <w:rPr>
          <w:rStyle w:val="Hyperlink"/>
        </w:rPr>
        <w:t>https://tcpaconfidence.com/</w:t>
      </w:r>
      <w:r>
        <w:fldChar w:fldCharType="end"/>
      </w:r>
      <w:r>
        <w:t xml:space="preserve"> (last visited Mar. 22, 2018</w:t>
      </w:r>
      <w:r w:rsidRPr="00291C99">
        <w:t xml:space="preserve">); Payfone TCPA Compliance, </w:t>
      </w:r>
      <w:r>
        <w:fldChar w:fldCharType="begin"/>
      </w:r>
      <w:r>
        <w:instrText xml:space="preserve"> HYPERLINK "https://www.payfone.com/" </w:instrText>
      </w:r>
      <w:r>
        <w:fldChar w:fldCharType="separate"/>
      </w:r>
      <w:r w:rsidRPr="00291C99">
        <w:rPr>
          <w:rStyle w:val="Hyperlink"/>
        </w:rPr>
        <w:t>https://www.payfone.com/</w:t>
      </w:r>
      <w:r>
        <w:fldChar w:fldCharType="end"/>
      </w:r>
      <w:r>
        <w:t xml:space="preserve"> (last visited Mar. 22, 2018</w:t>
      </w:r>
      <w:r w:rsidRPr="00291C99">
        <w:t xml:space="preserve">); </w:t>
      </w:r>
      <w:r w:rsidRPr="00291C99">
        <w:rPr>
          <w:i/>
        </w:rPr>
        <w:t>see also</w:t>
      </w:r>
      <w:r w:rsidRPr="00291C99">
        <w:t xml:space="preserve"> </w:t>
      </w:r>
      <w:r w:rsidRPr="00291C99">
        <w:rPr>
          <w:i/>
        </w:rPr>
        <w:t>Rules and Regulations Implementing the Telephone Consumer Protection Act of 1991</w:t>
      </w:r>
      <w:r w:rsidRPr="00291C99">
        <w:t>, Declaratory Ruling and Order, CG Docket No. 02-278, WC Docket No. 07-135, 30 FCC Rcd 7961, 7999 n.254 (2015) (</w:t>
      </w:r>
      <w:r w:rsidRPr="00291C99">
        <w:rPr>
          <w:i/>
        </w:rPr>
        <w:t>2015 TCPA Declaratory Ruling</w:t>
      </w:r>
      <w:r w:rsidRPr="00291C99">
        <w:t>) (citing comments stating that marketplace solutions to inform callers about reassigned numbers are available).</w:t>
      </w:r>
    </w:p>
  </w:footnote>
  <w:footnote w:id="10">
    <w:p w:rsidR="00E06D4D" w:rsidRPr="00291C99" w14:paraId="19FDB516" w14:textId="77777777">
      <w:pPr>
        <w:pStyle w:val="FootnoteText"/>
      </w:pPr>
      <w:r w:rsidRPr="00291C99">
        <w:rPr>
          <w:rStyle w:val="FootnoteReference"/>
        </w:rPr>
        <w:footnoteRef/>
      </w:r>
      <w:r w:rsidRPr="00291C99">
        <w:t xml:space="preserve"> </w:t>
      </w:r>
      <w:r w:rsidRPr="00291C99">
        <w:rPr>
          <w:i/>
        </w:rPr>
        <w:t>See 2015 TCPA Declaratory Ruling</w:t>
      </w:r>
      <w:r w:rsidRPr="00291C99">
        <w:t xml:space="preserve">, 30 FCC Rcd at 8007-08, para. 85; </w:t>
      </w:r>
      <w:r w:rsidRPr="00291C99">
        <w:rPr>
          <w:i/>
        </w:rPr>
        <w:t>see also id.</w:t>
      </w:r>
      <w:r w:rsidRPr="00291C99">
        <w:t xml:space="preserve"> at 8092 (Statement of Commissioner O’Rielly) (noting that existing solutions are incomplete and not timely updated).</w:t>
      </w:r>
    </w:p>
  </w:footnote>
  <w:footnote w:id="11">
    <w:p w:rsidR="00E06D4D" w:rsidRPr="00291C99" w:rsidP="00D63EBF" w14:paraId="11D60AAF" w14:textId="77777777">
      <w:pPr>
        <w:pStyle w:val="FootnoteText"/>
      </w:pPr>
      <w:r w:rsidRPr="00291C99">
        <w:rPr>
          <w:rStyle w:val="FootnoteReference"/>
        </w:rPr>
        <w:footnoteRef/>
      </w:r>
      <w:r w:rsidRPr="00291C99">
        <w:t xml:space="preserve"> </w:t>
      </w:r>
      <w:r w:rsidRPr="00291C99">
        <w:rPr>
          <w:i/>
        </w:rPr>
        <w:t>See, e.g.</w:t>
      </w:r>
      <w:r w:rsidRPr="00291C99">
        <w:t xml:space="preserve">, Comcast Comments at 10-11; NCLC </w:t>
      </w:r>
      <w:r w:rsidRPr="00291C99">
        <w:rPr>
          <w:i/>
        </w:rPr>
        <w:t>et al</w:t>
      </w:r>
      <w:r w:rsidRPr="00291C99">
        <w:t>.</w:t>
      </w:r>
      <w:r w:rsidRPr="00291C99">
        <w:rPr>
          <w:i/>
        </w:rPr>
        <w:t xml:space="preserve"> </w:t>
      </w:r>
      <w:r w:rsidRPr="00291C99">
        <w:t>Comments</w:t>
      </w:r>
      <w:r w:rsidRPr="00291C99">
        <w:rPr>
          <w:i/>
        </w:rPr>
        <w:t xml:space="preserve"> </w:t>
      </w:r>
      <w:r w:rsidRPr="00291C99">
        <w:t>at 1-4; NRECA Comments at 3; NCTA Comments at 1; RILA Comments at 3; Tracfone Comments at 1.</w:t>
      </w:r>
    </w:p>
  </w:footnote>
  <w:footnote w:id="12">
    <w:p w:rsidR="00E06D4D" w:rsidRPr="00291C99" w:rsidP="00F70A60" w14:paraId="5B6488E8" w14:textId="77777777">
      <w:pPr>
        <w:pStyle w:val="FootnoteText"/>
      </w:pPr>
      <w:r w:rsidRPr="00291C99">
        <w:rPr>
          <w:rStyle w:val="FootnoteReference"/>
        </w:rPr>
        <w:footnoteRef/>
      </w:r>
      <w:r w:rsidRPr="00291C99">
        <w:t xml:space="preserve"> </w:t>
      </w:r>
      <w:r w:rsidRPr="00291C99">
        <w:rPr>
          <w:rStyle w:val="FootnoteTextChar"/>
          <w:i/>
        </w:rPr>
        <w:t xml:space="preserve">See </w:t>
      </w:r>
      <w:r w:rsidRPr="00F70A60">
        <w:t>Letter</w:t>
      </w:r>
      <w:r w:rsidRPr="00291C99">
        <w:rPr>
          <w:rStyle w:val="FootnoteTextChar"/>
        </w:rPr>
        <w:t xml:space="preserve"> from Sen. John Thune and Sen. Edward J. Markey, U.S. Senate, to FCC Chairman Ajit Pai (Oct. 3, 2017), </w:t>
      </w:r>
      <w:r>
        <w:fldChar w:fldCharType="begin"/>
      </w:r>
      <w:r>
        <w:instrText xml:space="preserve"> HYPERLINK "https://www.commerce.senate.gov/public/_cache/files/d89fbcb8-26e5-4f60-aad6-9b7d48820f15/D0F545782498F68870B5D3EDB81F5F99.thune-markey-letter-to-fcc-re-reassigned-numbers-database.pdf" </w:instrText>
      </w:r>
      <w:r>
        <w:fldChar w:fldCharType="separate"/>
      </w:r>
      <w:r w:rsidRPr="00291C99">
        <w:rPr>
          <w:rStyle w:val="Hyperlink"/>
        </w:rPr>
        <w:t>https://www.commerce.senate.gov/public/_cache/files/d89fbcb8-26e5-4f60-aad6-9b7d48820f15/D0F545782498F68870B5D3EDB81F5F99.thune-markey-letter-to-fcc-re-reass</w:t>
      </w:r>
      <w:r w:rsidRPr="00291C99">
        <w:rPr>
          <w:rStyle w:val="FootnoteTextChar"/>
        </w:rPr>
        <w:t>r</w:t>
      </w:r>
      <w:r w:rsidRPr="00291C99">
        <w:rPr>
          <w:rStyle w:val="Hyperlink"/>
        </w:rPr>
        <w:t>igned-numbers-database.pdf</w:t>
      </w:r>
      <w:r>
        <w:fldChar w:fldCharType="end"/>
      </w:r>
      <w:r w:rsidRPr="00291C99">
        <w:rPr>
          <w:rStyle w:val="FootnoteTextChar"/>
        </w:rPr>
        <w:t xml:space="preserve">; </w:t>
      </w:r>
      <w:r w:rsidRPr="00291C99">
        <w:rPr>
          <w:rStyle w:val="FootnoteTextChar"/>
          <w:i/>
        </w:rPr>
        <w:t xml:space="preserve">see also </w:t>
      </w:r>
      <w:r w:rsidRPr="00291C99">
        <w:rPr>
          <w:rStyle w:val="FootnoteTextChar"/>
        </w:rPr>
        <w:t xml:space="preserve">Letter from Sen. John Thune and Sen. Edward J. Markey, U.S. Senate to CTIA (July 15, 2016), </w:t>
      </w:r>
      <w:r>
        <w:fldChar w:fldCharType="begin"/>
      </w:r>
      <w:r>
        <w:instrText xml:space="preserve"> HYPERLINK "https://www.markey.senate.gov/news/press-releases/senators-markey-thune-explore-how-wireless-carriers-may-reduce-unwanted-calls-and-texts" </w:instrText>
      </w:r>
      <w:r>
        <w:fldChar w:fldCharType="separate"/>
      </w:r>
      <w:r w:rsidRPr="00291C99">
        <w:rPr>
          <w:rStyle w:val="Hyperlink"/>
        </w:rPr>
        <w:t>https://www.markey.senate.gov/news/press-releases/senators-markey-thune-explore-how-wireless-carriers-may-reduce-unwanted-calls-and-texts</w:t>
      </w:r>
      <w:r>
        <w:fldChar w:fldCharType="end"/>
      </w:r>
      <w:r w:rsidRPr="00291C99">
        <w:rPr>
          <w:rStyle w:val="FootnoteTextChar"/>
        </w:rPr>
        <w:t>.</w:t>
      </w:r>
    </w:p>
  </w:footnote>
  <w:footnote w:id="13">
    <w:p w:rsidR="00E06D4D" w:rsidRPr="00291C99" w14:paraId="3AE50200" w14:textId="507FE8D2">
      <w:pPr>
        <w:pStyle w:val="FootnoteText"/>
      </w:pPr>
      <w:r w:rsidRPr="00291C99">
        <w:rPr>
          <w:rStyle w:val="FootnoteReference"/>
        </w:rPr>
        <w:footnoteRef/>
      </w:r>
      <w:r w:rsidRPr="00291C99">
        <w:t xml:space="preserve"> </w:t>
      </w:r>
      <w:r w:rsidRPr="00291C99">
        <w:rPr>
          <w:i/>
        </w:rPr>
        <w:t xml:space="preserve">See </w:t>
      </w:r>
      <w:r w:rsidRPr="00291C99">
        <w:t>U</w:t>
      </w:r>
      <w:r>
        <w:t>.S. Chamber of Commerce Institute for Legal Reform</w:t>
      </w:r>
      <w:r w:rsidRPr="00291C99">
        <w:t xml:space="preserve"> Comments at 2-3</w:t>
      </w:r>
      <w:r>
        <w:t xml:space="preserve"> (USCC)</w:t>
      </w:r>
      <w:r w:rsidRPr="00291C99">
        <w:t>.</w:t>
      </w:r>
    </w:p>
  </w:footnote>
  <w:footnote w:id="14">
    <w:p w:rsidR="00E06D4D" w:rsidRPr="00D65220" w:rsidP="00424CAC" w14:paraId="50064648" w14:textId="6D4A56FD">
      <w:pPr>
        <w:pStyle w:val="FootnoteText"/>
      </w:pPr>
      <w:r>
        <w:rPr>
          <w:rStyle w:val="FootnoteReference"/>
        </w:rPr>
        <w:footnoteRef/>
      </w:r>
      <w:r>
        <w:t xml:space="preserve"> </w:t>
      </w:r>
      <w:r>
        <w:rPr>
          <w:i/>
        </w:rPr>
        <w:t xml:space="preserve">See, e.g., </w:t>
      </w:r>
      <w:r>
        <w:t>Association of Credit and Collection Professionals (ACA International)</w:t>
      </w:r>
      <w:r w:rsidRPr="003C43B2">
        <w:t xml:space="preserve"> </w:t>
      </w:r>
      <w:r>
        <w:t>Comments at 4; CTIA Comments at 7-9; Noble Systems Corporation Comments at 1 (NSC).</w:t>
      </w:r>
    </w:p>
  </w:footnote>
  <w:footnote w:id="15">
    <w:p w:rsidR="00E06D4D" w:rsidRPr="00291C99" w14:paraId="7E8A8C0B" w14:textId="3930B25A">
      <w:pPr>
        <w:pStyle w:val="FootnoteText"/>
      </w:pPr>
      <w:r w:rsidRPr="00291C99">
        <w:rPr>
          <w:rStyle w:val="FootnoteReference"/>
        </w:rPr>
        <w:footnoteRef/>
      </w:r>
      <w:r w:rsidRPr="00291C99">
        <w:t xml:space="preserve"> </w:t>
      </w:r>
      <w:r w:rsidRPr="00291C99">
        <w:rPr>
          <w:i/>
        </w:rPr>
        <w:t>See</w:t>
      </w:r>
      <w:r w:rsidRPr="00291C99">
        <w:t xml:space="preserve"> CTIA Comments at 8-9; CenturyLink</w:t>
      </w:r>
      <w:r>
        <w:t>, Inc.</w:t>
      </w:r>
      <w:r w:rsidRPr="00291C99">
        <w:t xml:space="preserve"> Reply Comments at 4</w:t>
      </w:r>
      <w:r>
        <w:t xml:space="preserve"> (CenturyLink)</w:t>
      </w:r>
      <w:r w:rsidRPr="00291C99">
        <w:t xml:space="preserve">; </w:t>
      </w:r>
      <w:r>
        <w:t xml:space="preserve">The Electronics Transaction Association </w:t>
      </w:r>
      <w:r w:rsidRPr="00291C99">
        <w:t>Comments at 3</w:t>
      </w:r>
      <w:r>
        <w:t xml:space="preserve"> (ETA)</w:t>
      </w:r>
      <w:r w:rsidRPr="00291C99">
        <w:t>.</w:t>
      </w:r>
    </w:p>
  </w:footnote>
  <w:footnote w:id="16">
    <w:p w:rsidR="00E06D4D" w14:paraId="242B7E3B" w14:textId="77777777">
      <w:pPr>
        <w:pStyle w:val="FootnoteText"/>
      </w:pPr>
      <w:r>
        <w:rPr>
          <w:rStyle w:val="FootnoteReference"/>
        </w:rPr>
        <w:footnoteRef/>
      </w:r>
      <w:r>
        <w:t xml:space="preserve"> </w:t>
      </w:r>
      <w:r w:rsidRPr="00B67D75">
        <w:rPr>
          <w:i/>
        </w:rPr>
        <w:t>See, e.g.</w:t>
      </w:r>
      <w:r>
        <w:t>, CTIA Reply Comments at 5.</w:t>
      </w:r>
    </w:p>
  </w:footnote>
  <w:footnote w:id="17">
    <w:p w:rsidR="00E06D4D" w:rsidP="00ED7BDC" w14:paraId="33965734" w14:textId="77777777">
      <w:pPr>
        <w:pStyle w:val="FootnoteText"/>
      </w:pPr>
      <w:r>
        <w:rPr>
          <w:rStyle w:val="FootnoteReference"/>
        </w:rPr>
        <w:footnoteRef/>
      </w:r>
      <w:r>
        <w:t xml:space="preserve"> </w:t>
      </w:r>
      <w:r w:rsidRPr="008D566B">
        <w:rPr>
          <w:i/>
        </w:rPr>
        <w:t>See, e.g</w:t>
      </w:r>
      <w:r>
        <w:rPr>
          <w:i/>
        </w:rPr>
        <w:t>.</w:t>
      </w:r>
      <w:r w:rsidRPr="008D566B">
        <w:t xml:space="preserve">, </w:t>
      </w:r>
      <w:r w:rsidRPr="00F73869">
        <w:rPr>
          <w:i/>
        </w:rPr>
        <w:t>Advanced Methods to Target and Eliminate Unlawful Robocalls</w:t>
      </w:r>
      <w:r w:rsidRPr="008D566B">
        <w:t>, CG Docket No.17-59, Report and Order, FCC 17-151</w:t>
      </w:r>
      <w:r>
        <w:t xml:space="preserve"> (Nov. 17, 2017) (adopting</w:t>
      </w:r>
      <w:r w:rsidRPr="008D566B">
        <w:t xml:space="preserve"> rules to facilitate voice service providers’ blocking of illegal robocalls); </w:t>
      </w:r>
      <w:r w:rsidRPr="00F73869">
        <w:rPr>
          <w:i/>
        </w:rPr>
        <w:t>Best Insurance Contracts, Inc. and Philip Roesel, DBA Wilmington Insurance Quotes</w:t>
      </w:r>
      <w:r w:rsidRPr="008D566B">
        <w:t xml:space="preserve">, Notice of Apparent Liability for Forfeiture, </w:t>
      </w:r>
      <w:r>
        <w:t>32 FCC Rcd 6403</w:t>
      </w:r>
      <w:r w:rsidRPr="008D566B">
        <w:t xml:space="preserve"> (2017) (proposin</w:t>
      </w:r>
      <w:r>
        <w:t>g a penalty of $82 million for apparent spoofing violations</w:t>
      </w:r>
      <w:r w:rsidRPr="00032472">
        <w:t>);</w:t>
      </w:r>
      <w:r w:rsidRPr="008D566B">
        <w:rPr>
          <w:i/>
        </w:rPr>
        <w:t xml:space="preserve"> </w:t>
      </w:r>
      <w:r>
        <w:rPr>
          <w:i/>
        </w:rPr>
        <w:t>Adrian Abramovich, Marketing Strategy Leaders, Inc., and Marketing Leaders, Inc.</w:t>
      </w:r>
      <w:r>
        <w:t xml:space="preserve">  </w:t>
      </w:r>
      <w:r w:rsidRPr="008D566B">
        <w:t xml:space="preserve">Notice of Apparent Liability for Forfeiture, </w:t>
      </w:r>
      <w:r>
        <w:t>32 FCC Rcd 5418</w:t>
      </w:r>
      <w:r w:rsidRPr="008D566B">
        <w:t xml:space="preserve"> (2017) (proposin</w:t>
      </w:r>
      <w:r>
        <w:t>g a penalty of $120 million for apparent spoofing violations</w:t>
      </w:r>
      <w:r w:rsidRPr="00032472">
        <w:t>)</w:t>
      </w:r>
      <w:r>
        <w:t xml:space="preserve">; </w:t>
      </w:r>
      <w:r w:rsidRPr="008D566B">
        <w:rPr>
          <w:i/>
        </w:rPr>
        <w:t>Call Authentication Trust Anchor</w:t>
      </w:r>
      <w:r w:rsidRPr="008D566B">
        <w:t xml:space="preserve">, </w:t>
      </w:r>
      <w:r>
        <w:t xml:space="preserve">WC Docket No. 17-97, </w:t>
      </w:r>
      <w:r w:rsidRPr="008D566B">
        <w:t xml:space="preserve">Notice of Inquiry, </w:t>
      </w:r>
      <w:r>
        <w:t xml:space="preserve">FCC 17-89 </w:t>
      </w:r>
      <w:r w:rsidRPr="008D566B">
        <w:t>(</w:t>
      </w:r>
      <w:r>
        <w:t xml:space="preserve">Jul. 14, </w:t>
      </w:r>
      <w:r w:rsidRPr="008D566B">
        <w:t>2017)</w:t>
      </w:r>
      <w:r>
        <w:t xml:space="preserve"> (seeking comment on the best way to create a call authentication system).</w:t>
      </w:r>
    </w:p>
  </w:footnote>
  <w:footnote w:id="18">
    <w:p w:rsidR="00E06D4D" w:rsidRPr="00291C99" w:rsidP="00E96B04" w14:paraId="299C4174" w14:textId="77777777">
      <w:pPr>
        <w:pStyle w:val="FootnoteText"/>
      </w:pPr>
      <w:r w:rsidRPr="00291C99">
        <w:rPr>
          <w:rStyle w:val="FootnoteReference"/>
        </w:rPr>
        <w:footnoteRef/>
      </w:r>
      <w:r w:rsidRPr="00291C99">
        <w:t xml:space="preserve"> </w:t>
      </w:r>
      <w:r w:rsidRPr="00291C99">
        <w:rPr>
          <w:i/>
        </w:rPr>
        <w:t xml:space="preserve">See </w:t>
      </w:r>
      <w:r w:rsidRPr="00291C99">
        <w:t>47 U.S.C. § 251(e).</w:t>
      </w:r>
    </w:p>
  </w:footnote>
  <w:footnote w:id="19">
    <w:p w:rsidR="00E06D4D" w:rsidRPr="00291C99" w:rsidP="00E96B04" w14:paraId="6A87D7A1" w14:textId="77777777">
      <w:pPr>
        <w:pStyle w:val="FootnoteText"/>
      </w:pPr>
      <w:r w:rsidRPr="00291C99">
        <w:rPr>
          <w:rStyle w:val="FootnoteReference"/>
        </w:rPr>
        <w:footnoteRef/>
      </w:r>
      <w:r w:rsidRPr="00291C99">
        <w:t xml:space="preserve"> The Commission has interpreted Section 251(e) to confer plenary authority “over the NANP and related telephone numbering issues in the United States.”  </w:t>
      </w:r>
      <w:r w:rsidRPr="00291C99">
        <w:rPr>
          <w:i/>
        </w:rPr>
        <w:t>Local Number Portability Porting Interval and Validation Requirements, IP-Enabled Services, Telephone Number Portability</w:t>
      </w:r>
      <w:r w:rsidRPr="00291C99">
        <w:t xml:space="preserve">, WC Docket No. 07-243 et al., Report and Order, Declaratory Ruling, Order on Remand, and Notice of Proposed Rulemaking, 22 FCC Rcd 19531, 19533, para. 5 (2007). </w:t>
      </w:r>
    </w:p>
  </w:footnote>
  <w:footnote w:id="20">
    <w:p w:rsidR="00E06D4D" w14:paraId="7868292E" w14:textId="2904937F">
      <w:pPr>
        <w:pStyle w:val="FootnoteText"/>
      </w:pPr>
      <w:r w:rsidRPr="00541374">
        <w:rPr>
          <w:rStyle w:val="FootnoteReference"/>
        </w:rPr>
        <w:footnoteRef/>
      </w:r>
      <w:r w:rsidRPr="00541374">
        <w:t xml:space="preserve"> As discussed above, we believe that section 251(e) of the Act provides </w:t>
      </w:r>
      <w:r>
        <w:t xml:space="preserve">us with </w:t>
      </w:r>
      <w:r w:rsidRPr="00541374">
        <w:t xml:space="preserve">authority </w:t>
      </w:r>
      <w:r>
        <w:t>to ensure that one or more reassigned numbers databases are available to callers</w:t>
      </w:r>
      <w:r w:rsidRPr="00541374">
        <w:t xml:space="preserve">.  The recent ruling by the U.S. Court of Appeals for the D.C. Circuit in </w:t>
      </w:r>
      <w:r w:rsidRPr="00541374">
        <w:rPr>
          <w:i/>
        </w:rPr>
        <w:t>ACA International</w:t>
      </w:r>
      <w:r w:rsidRPr="00541374">
        <w:t xml:space="preserve"> </w:t>
      </w:r>
      <w:r w:rsidRPr="008B34D1">
        <w:rPr>
          <w:i/>
        </w:rPr>
        <w:t>v. FCC</w:t>
      </w:r>
      <w:r>
        <w:t>, No. 15-1211 (D.C. Cir. Mar. 16, 2018) (</w:t>
      </w:r>
      <w:r w:rsidRPr="005A095D">
        <w:rPr>
          <w:i/>
        </w:rPr>
        <w:t>ACA International</w:t>
      </w:r>
      <w:r>
        <w:t xml:space="preserve">), </w:t>
      </w:r>
      <w:r w:rsidRPr="00541374">
        <w:t xml:space="preserve">focused on interpretation of </w:t>
      </w:r>
      <w:r>
        <w:t>section 227 of the Act</w:t>
      </w:r>
      <w:r w:rsidRPr="00541374">
        <w:t xml:space="preserve">, and we </w:t>
      </w:r>
      <w:r>
        <w:t xml:space="preserve">therefore </w:t>
      </w:r>
      <w:r w:rsidRPr="00541374">
        <w:t>do not read anything in that ruling to undermine our authority to pursue a reassigned numbers database solution pursuant to section 251(e).  In fact, the court acknowledged that a reassigned numbers database could be used to address the reliance interest</w:t>
      </w:r>
      <w:r>
        <w:t>s</w:t>
      </w:r>
      <w:r w:rsidRPr="00541374">
        <w:t xml:space="preserve"> of good faith callers that the Commission had</w:t>
      </w:r>
      <w:r>
        <w:t xml:space="preserve"> attempted to meet with the one-</w:t>
      </w:r>
      <w:r w:rsidRPr="00541374">
        <w:t xml:space="preserve">call safe harbor vacated by the court.  </w:t>
      </w:r>
      <w:r w:rsidRPr="00541374">
        <w:rPr>
          <w:i/>
        </w:rPr>
        <w:t xml:space="preserve">See </w:t>
      </w:r>
      <w:r w:rsidRPr="005A095D">
        <w:rPr>
          <w:i/>
        </w:rPr>
        <w:t>ACA International</w:t>
      </w:r>
      <w:r w:rsidRPr="00541374">
        <w:t xml:space="preserve">, </w:t>
      </w:r>
      <w:r>
        <w:t xml:space="preserve">No. 15-1211, </w:t>
      </w:r>
      <w:r w:rsidRPr="00541374">
        <w:t>slip op. at 40</w:t>
      </w:r>
      <w:r>
        <w:t>.</w:t>
      </w:r>
    </w:p>
  </w:footnote>
  <w:footnote w:id="21">
    <w:p w:rsidR="00E06D4D" w:rsidRPr="00291C99" w:rsidP="00E96B04" w14:paraId="4F00C6EA" w14:textId="606F0526">
      <w:pPr>
        <w:pStyle w:val="FootnoteText"/>
      </w:pPr>
      <w:r w:rsidRPr="00291C99">
        <w:rPr>
          <w:rStyle w:val="FootnoteReference"/>
        </w:rPr>
        <w:footnoteRef/>
      </w:r>
      <w:r w:rsidRPr="00291C99">
        <w:t xml:space="preserve"> </w:t>
      </w:r>
      <w:r w:rsidRPr="00291C99">
        <w:rPr>
          <w:i/>
        </w:rPr>
        <w:t xml:space="preserve">See, e.g., </w:t>
      </w:r>
      <w:r w:rsidRPr="00291C99">
        <w:t>American Financial Services Association Comments at 1</w:t>
      </w:r>
      <w:r>
        <w:t xml:space="preserve"> (AFSA)</w:t>
      </w:r>
      <w:r w:rsidRPr="00291C99">
        <w:t>; Blackboard Comments at 8; Comcast Comments at 15; CUNA Comments at 6; NAFICU Comments at 1; NCLC</w:t>
      </w:r>
      <w:r w:rsidRPr="00291C99">
        <w:rPr>
          <w:i/>
        </w:rPr>
        <w:t xml:space="preserve"> et al.</w:t>
      </w:r>
      <w:r w:rsidRPr="00291C99">
        <w:t xml:space="preserve"> Comments at 8; </w:t>
      </w:r>
      <w:r>
        <w:t xml:space="preserve">National Council of Higher Education Resources </w:t>
      </w:r>
      <w:r w:rsidRPr="00291C99">
        <w:t>Comments at 3</w:t>
      </w:r>
      <w:r>
        <w:t xml:space="preserve"> (NCHER)</w:t>
      </w:r>
      <w:r w:rsidRPr="00291C99">
        <w:t>.</w:t>
      </w:r>
    </w:p>
  </w:footnote>
  <w:footnote w:id="22">
    <w:p w:rsidR="00E06D4D" w:rsidRPr="00291C99" w:rsidP="00C53E24" w14:paraId="6BDBECED" w14:textId="7512F330">
      <w:pPr>
        <w:pStyle w:val="FootnoteText"/>
      </w:pPr>
      <w:r w:rsidRPr="00291C99">
        <w:rPr>
          <w:rStyle w:val="FootnoteReference"/>
        </w:rPr>
        <w:footnoteRef/>
      </w:r>
      <w:r w:rsidRPr="00291C99">
        <w:t xml:space="preserve"> </w:t>
      </w:r>
      <w:r w:rsidRPr="00291C99">
        <w:rPr>
          <w:i/>
        </w:rPr>
        <w:t>See, e.g.</w:t>
      </w:r>
      <w:r w:rsidRPr="00291C99">
        <w:t>, AFSA Comments at 2 (“The current owner of the number would also be helpful.”); Comcast Comments at 16.</w:t>
      </w:r>
    </w:p>
  </w:footnote>
  <w:footnote w:id="23">
    <w:p w:rsidR="00E06D4D" w:rsidRPr="00291C99" w:rsidP="00C53E24" w14:paraId="6F1D2BD8" w14:textId="77777777">
      <w:pPr>
        <w:pStyle w:val="FootnoteText"/>
      </w:pPr>
      <w:r w:rsidRPr="00291C99">
        <w:rPr>
          <w:rStyle w:val="FootnoteReference"/>
        </w:rPr>
        <w:footnoteRef/>
      </w:r>
      <w:r w:rsidRPr="00291C99">
        <w:t xml:space="preserve"> </w:t>
      </w:r>
      <w:r w:rsidRPr="00291C99">
        <w:rPr>
          <w:i/>
        </w:rPr>
        <w:t>See, e.g.</w:t>
      </w:r>
      <w:r w:rsidRPr="00291C99">
        <w:t>, Comcast Comments at 16 (arguing that, for privacy reasons, service providers should not be required to contribute more information about their customers than necessary to achieve the objectives of a reassigned numbers database).</w:t>
      </w:r>
    </w:p>
  </w:footnote>
  <w:footnote w:id="24">
    <w:p w:rsidR="00E06D4D" w:rsidRPr="00291C99" w:rsidP="00C53E24" w14:paraId="4D27DF1A" w14:textId="77777777">
      <w:pPr>
        <w:pStyle w:val="FootnoteText"/>
      </w:pPr>
      <w:r w:rsidRPr="00291C99">
        <w:rPr>
          <w:rStyle w:val="FootnoteReference"/>
        </w:rPr>
        <w:footnoteRef/>
      </w:r>
      <w:r w:rsidRPr="00291C99">
        <w:t xml:space="preserve"> </w:t>
      </w:r>
      <w:r w:rsidRPr="00291C99">
        <w:rPr>
          <w:i/>
        </w:rPr>
        <w:t>See, e.g.</w:t>
      </w:r>
      <w:r w:rsidRPr="00291C99">
        <w:t>, Comcast Comments at 16-18.</w:t>
      </w:r>
    </w:p>
  </w:footnote>
  <w:footnote w:id="25">
    <w:p w:rsidR="00E06D4D" w:rsidRPr="00291C99" w:rsidP="00C53E24" w14:paraId="0DA6B600" w14:textId="34EA1D66">
      <w:pPr>
        <w:pStyle w:val="FootnoteText"/>
      </w:pPr>
      <w:r w:rsidRPr="00291C99">
        <w:rPr>
          <w:rStyle w:val="FootnoteReference"/>
        </w:rPr>
        <w:footnoteRef/>
      </w:r>
      <w:r w:rsidRPr="00291C99">
        <w:t xml:space="preserve"> </w:t>
      </w:r>
      <w:r w:rsidRPr="00291C99">
        <w:rPr>
          <w:i/>
        </w:rPr>
        <w:t xml:space="preserve">See, e.g., </w:t>
      </w:r>
      <w:r w:rsidRPr="00291C99">
        <w:t>AFSA Comments at 2; CUNA Comments at 3; National Council of Higher Education Resources (NCHER) Comments at 4; Tatango Comments at 4.</w:t>
      </w:r>
    </w:p>
  </w:footnote>
  <w:footnote w:id="26">
    <w:p w:rsidR="00E06D4D" w:rsidRPr="00291C99" w:rsidP="00C53E24" w14:paraId="4FA0D166" w14:textId="1F8A3C20">
      <w:pPr>
        <w:pStyle w:val="FootnoteText"/>
      </w:pPr>
      <w:r w:rsidRPr="00291C99">
        <w:rPr>
          <w:rStyle w:val="FootnoteReference"/>
        </w:rPr>
        <w:footnoteRef/>
      </w:r>
      <w:r w:rsidRPr="00291C99">
        <w:t xml:space="preserve"> </w:t>
      </w:r>
      <w:r w:rsidRPr="00291C99">
        <w:rPr>
          <w:i/>
        </w:rPr>
        <w:t xml:space="preserve">See, e.g., </w:t>
      </w:r>
      <w:r w:rsidRPr="00291C99">
        <w:t xml:space="preserve">Comcast Comments at 16-17; NCHER Comments at 4; Tatango Comments at 4; Vibes Media, LLC </w:t>
      </w:r>
      <w:r>
        <w:t xml:space="preserve"> </w:t>
      </w:r>
      <w:r w:rsidRPr="00291C99">
        <w:t>Comments at 11</w:t>
      </w:r>
      <w:r>
        <w:t xml:space="preserve"> (Vibes)</w:t>
      </w:r>
      <w:r w:rsidRPr="00291C99">
        <w:t>.</w:t>
      </w:r>
    </w:p>
  </w:footnote>
  <w:footnote w:id="27">
    <w:p w:rsidR="00E06D4D" w:rsidRPr="00291C99" w:rsidP="00C53E24" w14:paraId="678E271F" w14:textId="77777777">
      <w:pPr>
        <w:pStyle w:val="FootnoteText"/>
      </w:pPr>
      <w:r w:rsidRPr="00291C99">
        <w:rPr>
          <w:rStyle w:val="FootnoteReference"/>
        </w:rPr>
        <w:footnoteRef/>
      </w:r>
      <w:r w:rsidRPr="00291C99">
        <w:t xml:space="preserve"> Comcast Comments at 18.</w:t>
      </w:r>
    </w:p>
  </w:footnote>
  <w:footnote w:id="28">
    <w:p w:rsidR="00E06D4D" w:rsidRPr="00291C99" w:rsidP="00C53E24" w14:paraId="537FADC5" w14:textId="2396F0F1">
      <w:pPr>
        <w:pStyle w:val="FootnoteText"/>
      </w:pPr>
      <w:r w:rsidRPr="00291C99">
        <w:rPr>
          <w:rStyle w:val="FootnoteReference"/>
        </w:rPr>
        <w:footnoteRef/>
      </w:r>
      <w:r>
        <w:t xml:space="preserve"> </w:t>
      </w:r>
      <w:r w:rsidRPr="00291C99">
        <w:rPr>
          <w:i/>
        </w:rPr>
        <w:t xml:space="preserve">See, e.g., </w:t>
      </w:r>
      <w:r w:rsidRPr="00291C99">
        <w:t xml:space="preserve">Comcast Reply Comments at 4-5 (“[C]laims that establishing a database would be too burdensome because voice providers do not track disconnections and reassignments are simply incorrect.  Comcast routinely tracks such information in providing voice services—and, indeed, it is difficult to imagine how a provider could offer a viable voice service </w:t>
      </w:r>
      <w:r w:rsidRPr="00291C99">
        <w:rPr>
          <w:i/>
        </w:rPr>
        <w:t>without</w:t>
      </w:r>
      <w:r w:rsidRPr="00291C99">
        <w:t xml:space="preserve"> tracking such information.”).</w:t>
      </w:r>
      <w:r w:rsidRPr="00224359">
        <w:rPr>
          <w:snapToGrid w:val="0"/>
          <w:kern w:val="28"/>
          <w:sz w:val="22"/>
        </w:rPr>
        <w:t xml:space="preserve"> </w:t>
      </w:r>
      <w:r>
        <w:rPr>
          <w:snapToGrid w:val="0"/>
          <w:kern w:val="28"/>
          <w:sz w:val="22"/>
        </w:rPr>
        <w:t xml:space="preserve"> </w:t>
      </w:r>
      <w:r w:rsidRPr="00224359">
        <w:t xml:space="preserve">The Alliance for Telecommunications Industry Solutions (ATIS) and CTIA argue that service providers do not routinely track reassignments.  </w:t>
      </w:r>
      <w:r w:rsidRPr="00224359">
        <w:rPr>
          <w:i/>
        </w:rPr>
        <w:t xml:space="preserve">See </w:t>
      </w:r>
      <w:r w:rsidRPr="00224359">
        <w:t xml:space="preserve">ATIS Comments at 2-3; CTIA Comments at 12.  </w:t>
      </w:r>
      <w:r>
        <w:t>A</w:t>
      </w:r>
      <w:r w:rsidRPr="00224359">
        <w:t xml:space="preserve">s noted above, </w:t>
      </w:r>
      <w:r>
        <w:t xml:space="preserve">we propose </w:t>
      </w:r>
      <w:r w:rsidRPr="00224359">
        <w:t>to utilize disconnections as a proxy for reassignments.</w:t>
      </w:r>
    </w:p>
  </w:footnote>
  <w:footnote w:id="29">
    <w:p w:rsidR="00E06D4D" w:rsidRPr="00291C99" w:rsidP="00C53E24" w14:paraId="643A52C7" w14:textId="6FFBC33E">
      <w:pPr>
        <w:pStyle w:val="FootnoteText"/>
      </w:pPr>
      <w:r w:rsidRPr="00291C99">
        <w:rPr>
          <w:rStyle w:val="FootnoteReference"/>
        </w:rPr>
        <w:footnoteRef/>
      </w:r>
      <w:r w:rsidRPr="00291C99">
        <w:t xml:space="preserve"> </w:t>
      </w:r>
      <w:r w:rsidRPr="00291C99">
        <w:rPr>
          <w:i/>
        </w:rPr>
        <w:t>See, e.g.</w:t>
      </w:r>
      <w:r w:rsidRPr="00291C99">
        <w:t xml:space="preserve">, Comcast Comments at 16-17; CTIA Comments at 12-13; NCHER Comments at 4; NCLC </w:t>
      </w:r>
      <w:r w:rsidRPr="00291C99">
        <w:rPr>
          <w:i/>
        </w:rPr>
        <w:t>et al</w:t>
      </w:r>
      <w:r w:rsidRPr="00291C99">
        <w:t>.</w:t>
      </w:r>
      <w:r w:rsidRPr="00291C99">
        <w:rPr>
          <w:i/>
        </w:rPr>
        <w:t xml:space="preserve"> </w:t>
      </w:r>
      <w:r w:rsidRPr="00291C99">
        <w:t xml:space="preserve">Comments at 9; </w:t>
      </w:r>
      <w:r>
        <w:t>NSC</w:t>
      </w:r>
      <w:r w:rsidRPr="00291C99">
        <w:t xml:space="preserve"> at 8; </w:t>
      </w:r>
      <w:r>
        <w:t xml:space="preserve">Retail Industry Leaders Association </w:t>
      </w:r>
      <w:r w:rsidRPr="00291C99">
        <w:t>Comments at 12</w:t>
      </w:r>
      <w:r>
        <w:t xml:space="preserve"> (RILA)</w:t>
      </w:r>
      <w:r w:rsidRPr="00291C99">
        <w:t>; Tatango Comments at 5.</w:t>
      </w:r>
    </w:p>
  </w:footnote>
  <w:footnote w:id="30">
    <w:p w:rsidR="00E06D4D" w14:paraId="2C8691EF" w14:textId="77777777">
      <w:pPr>
        <w:pStyle w:val="FootnoteText"/>
      </w:pPr>
      <w:r>
        <w:rPr>
          <w:rStyle w:val="FootnoteReference"/>
        </w:rPr>
        <w:footnoteRef/>
      </w:r>
      <w:r>
        <w:t xml:space="preserve"> </w:t>
      </w:r>
      <w:r w:rsidRPr="00393777">
        <w:t xml:space="preserve">We </w:t>
      </w:r>
      <w:r>
        <w:t>seek comment about whether callers need reassigned number data from</w:t>
      </w:r>
      <w:r w:rsidRPr="00393777">
        <w:t xml:space="preserve"> non-interconnected V</w:t>
      </w:r>
      <w:r>
        <w:t>o</w:t>
      </w:r>
      <w:r w:rsidRPr="00393777">
        <w:t xml:space="preserve">IP </w:t>
      </w:r>
      <w:r>
        <w:t xml:space="preserve">service providers </w:t>
      </w:r>
      <w:r w:rsidRPr="00393777">
        <w:t xml:space="preserve">in an effort to ensure that a reassigned numbers database is comprehensive.  In so doing, however, we do not pre-judge whether </w:t>
      </w:r>
      <w:r>
        <w:t>treating non-interconnected VoIP service providers similarly to other types of voice service providers</w:t>
      </w:r>
      <w:r w:rsidRPr="00393777">
        <w:t xml:space="preserve"> would be appropriate in other contexts.</w:t>
      </w:r>
    </w:p>
  </w:footnote>
  <w:footnote w:id="31">
    <w:p w:rsidR="00E06D4D" w:rsidRPr="00291C99" w:rsidP="00C53E24" w14:paraId="4199380B" w14:textId="77777777">
      <w:pPr>
        <w:pStyle w:val="FootnoteText"/>
      </w:pPr>
      <w:r w:rsidRPr="00291C99">
        <w:rPr>
          <w:rStyle w:val="FootnoteReference"/>
        </w:rPr>
        <w:footnoteRef/>
      </w:r>
      <w:r w:rsidRPr="00291C99">
        <w:t xml:space="preserve"> </w:t>
      </w:r>
      <w:r w:rsidRPr="00291C99">
        <w:rPr>
          <w:i/>
        </w:rPr>
        <w:t>See</w:t>
      </w:r>
      <w:r w:rsidRPr="00291C99">
        <w:t xml:space="preserve"> CenturyLink Reply Comments at 5-6 (favoring a database containing wireless numbers).</w:t>
      </w:r>
    </w:p>
  </w:footnote>
  <w:footnote w:id="32">
    <w:p w:rsidR="00E06D4D" w:rsidRPr="00291C99" w:rsidP="00C53E24" w14:paraId="2E07DD02" w14:textId="4A5520C9">
      <w:pPr>
        <w:pStyle w:val="FootnoteText"/>
      </w:pPr>
      <w:r w:rsidRPr="00291C99">
        <w:rPr>
          <w:rStyle w:val="FootnoteReference"/>
        </w:rPr>
        <w:footnoteRef/>
      </w:r>
      <w:r w:rsidRPr="00291C99">
        <w:t xml:space="preserve"> </w:t>
      </w:r>
      <w:r w:rsidRPr="00291C99">
        <w:rPr>
          <w:i/>
        </w:rPr>
        <w:t xml:space="preserve">See </w:t>
      </w:r>
      <w:r w:rsidRPr="00291C99">
        <w:t>AFSA Comments at 1; Blackboard Comments at 8; Comcast Comments at 15; CUNA Comments at 6; Genesys Telecom</w:t>
      </w:r>
      <w:r>
        <w:t>munications Laboratories, Inc.</w:t>
      </w:r>
      <w:r w:rsidRPr="00291C99">
        <w:t xml:space="preserve"> Reply Comments at 2</w:t>
      </w:r>
      <w:r>
        <w:t xml:space="preserve"> (GTL)</w:t>
      </w:r>
      <w:r w:rsidRPr="00291C99">
        <w:t>; NAFICU Comments at 1; NCLC</w:t>
      </w:r>
      <w:r w:rsidRPr="00291C99">
        <w:rPr>
          <w:i/>
        </w:rPr>
        <w:t xml:space="preserve"> et al.</w:t>
      </w:r>
      <w:r w:rsidRPr="00291C99">
        <w:t xml:space="preserve"> Comments at 8; NCHER Comments at 3; National Retai</w:t>
      </w:r>
      <w:r>
        <w:t>l Federation</w:t>
      </w:r>
      <w:r w:rsidRPr="00291C99">
        <w:t xml:space="preserve"> Comments at 13-14</w:t>
      </w:r>
      <w:r>
        <w:t xml:space="preserve"> (NRF)</w:t>
      </w:r>
      <w:r w:rsidRPr="00291C99">
        <w:t>; NCTA Comments at 4; RILA Comments at 14; Student Loan Servicing Alliance Comments at 5</w:t>
      </w:r>
      <w:r>
        <w:t xml:space="preserve"> </w:t>
      </w:r>
      <w:r w:rsidRPr="00291C99">
        <w:t xml:space="preserve">(SLSA); </w:t>
      </w:r>
      <w:r>
        <w:t xml:space="preserve">The </w:t>
      </w:r>
      <w:r w:rsidRPr="00291C99">
        <w:t>Int</w:t>
      </w:r>
      <w:r>
        <w:t>ernet Association Comments at 4.</w:t>
      </w:r>
    </w:p>
  </w:footnote>
  <w:footnote w:id="33">
    <w:p w:rsidR="00E06D4D" w:rsidRPr="00291C99" w:rsidP="00C53E24" w14:paraId="7EB6557D" w14:textId="77777777">
      <w:pPr>
        <w:pStyle w:val="FootnoteText"/>
      </w:pPr>
      <w:r w:rsidRPr="00291C99">
        <w:rPr>
          <w:rStyle w:val="FootnoteReference"/>
        </w:rPr>
        <w:footnoteRef/>
      </w:r>
      <w:r w:rsidRPr="00291C99">
        <w:t xml:space="preserve"> Comcast Comments at 15.</w:t>
      </w:r>
    </w:p>
  </w:footnote>
  <w:footnote w:id="34">
    <w:p w:rsidR="00E06D4D" w:rsidRPr="00291C99" w:rsidP="00C53E24" w14:paraId="33FA8C5B" w14:textId="7254A778">
      <w:pPr>
        <w:pStyle w:val="FootnoteText"/>
      </w:pPr>
      <w:r w:rsidRPr="00291C99">
        <w:rPr>
          <w:rStyle w:val="FootnoteReference"/>
        </w:rPr>
        <w:footnoteRef/>
      </w:r>
      <w:r w:rsidRPr="00291C99">
        <w:t xml:space="preserve"> </w:t>
      </w:r>
      <w:r w:rsidRPr="00291C99">
        <w:rPr>
          <w:i/>
        </w:rPr>
        <w:t xml:space="preserve">See </w:t>
      </w:r>
      <w:r w:rsidRPr="00291C99">
        <w:t>AFSA Comments at 2; Comcast Comments at 15; NCHER Comments at 4; NCLC</w:t>
      </w:r>
      <w:r>
        <w:t xml:space="preserve"> </w:t>
      </w:r>
      <w:r>
        <w:rPr>
          <w:i/>
        </w:rPr>
        <w:t>et al.</w:t>
      </w:r>
      <w:r w:rsidRPr="00291C99">
        <w:t xml:space="preserve"> Comments at 9.</w:t>
      </w:r>
    </w:p>
  </w:footnote>
  <w:footnote w:id="35">
    <w:p w:rsidR="00E06D4D" w:rsidRPr="00291C99" w:rsidP="00C53E24" w14:paraId="2DE740EC" w14:textId="54CCF604">
      <w:pPr>
        <w:pStyle w:val="FootnoteText"/>
      </w:pPr>
      <w:r w:rsidRPr="00291C99">
        <w:rPr>
          <w:rStyle w:val="FootnoteReference"/>
        </w:rPr>
        <w:footnoteRef/>
      </w:r>
      <w:r w:rsidRPr="00291C99">
        <w:t xml:space="preserve"> </w:t>
      </w:r>
      <w:r w:rsidRPr="00291C99">
        <w:rPr>
          <w:i/>
        </w:rPr>
        <w:t xml:space="preserve">See </w:t>
      </w:r>
      <w:r>
        <w:t>ACA International</w:t>
      </w:r>
      <w:r w:rsidRPr="00291C99">
        <w:t xml:space="preserve"> Comments at 8; CUNA Comments at 3; NRF Comments at 11; RILA Comments at 16; SLSA Comments at 5.</w:t>
      </w:r>
    </w:p>
  </w:footnote>
  <w:footnote w:id="36">
    <w:p w:rsidR="00E06D4D" w:rsidRPr="00291C99" w:rsidP="00C53E24" w14:paraId="1BB26A9D" w14:textId="77777777">
      <w:pPr>
        <w:pStyle w:val="FootnoteText"/>
      </w:pPr>
      <w:r w:rsidRPr="00291C99">
        <w:rPr>
          <w:rStyle w:val="FootnoteReference"/>
        </w:rPr>
        <w:footnoteRef/>
      </w:r>
      <w:r w:rsidRPr="00291C99">
        <w:t xml:space="preserve"> CTIA Comments at 15.</w:t>
      </w:r>
    </w:p>
  </w:footnote>
  <w:footnote w:id="37">
    <w:p w:rsidR="00E06D4D" w:rsidRPr="00291C99" w:rsidP="00C53E24" w14:paraId="26B0CA73" w14:textId="77777777">
      <w:pPr>
        <w:pStyle w:val="FootnoteText"/>
      </w:pPr>
      <w:r w:rsidRPr="00291C99">
        <w:rPr>
          <w:rStyle w:val="FootnoteReference"/>
        </w:rPr>
        <w:footnoteRef/>
      </w:r>
      <w:r w:rsidRPr="00291C99">
        <w:t xml:space="preserve"> </w:t>
      </w:r>
      <w:r w:rsidRPr="00291C99">
        <w:rPr>
          <w:i/>
        </w:rPr>
        <w:t>See</w:t>
      </w:r>
      <w:r w:rsidRPr="00291C99">
        <w:t xml:space="preserve"> Tatango Comments at 13-14 (“Tatango believes that the frequency of updates should be dependent on the frequency with which a particular carrier reassigns numbers to new users.  For example, carriers like AT&amp;T and T-Mobile that put numbers back in service after only two days of aging, should be required to provide daily reports on numbers that are disconnected.  Daily reporting would ensure that an aggregator and its customers have time to process the disconnects before the number has been returned to service.”).</w:t>
      </w:r>
    </w:p>
  </w:footnote>
  <w:footnote w:id="38">
    <w:p w:rsidR="00E06D4D" w:rsidRPr="00291C99" w:rsidP="00C53E24" w14:paraId="67536734" w14:textId="7E5204AC">
      <w:pPr>
        <w:pStyle w:val="FootnoteText"/>
      </w:pPr>
      <w:r w:rsidRPr="00291C99">
        <w:rPr>
          <w:rStyle w:val="FootnoteReference"/>
        </w:rPr>
        <w:footnoteRef/>
      </w:r>
      <w:r w:rsidRPr="00291C99">
        <w:t xml:space="preserve"> Tatango Comments at 14; </w:t>
      </w:r>
      <w:r w:rsidRPr="00291C99">
        <w:rPr>
          <w:i/>
        </w:rPr>
        <w:t xml:space="preserve">see also </w:t>
      </w:r>
      <w:r w:rsidRPr="00291C99">
        <w:t>Consumer Bankers Association Reply Comments at 4</w:t>
      </w:r>
      <w:r>
        <w:t xml:space="preserve"> (CBA)</w:t>
      </w:r>
      <w:r w:rsidRPr="00291C99">
        <w:t>.</w:t>
      </w:r>
    </w:p>
  </w:footnote>
  <w:footnote w:id="39">
    <w:p w:rsidR="00E06D4D" w:rsidP="002F2D2C" w14:paraId="05AB3666" w14:textId="77777777">
      <w:pPr>
        <w:pStyle w:val="FootnoteText"/>
      </w:pPr>
      <w:r>
        <w:rPr>
          <w:rStyle w:val="FootnoteReference"/>
        </w:rPr>
        <w:footnoteRef/>
      </w:r>
      <w:r>
        <w:t xml:space="preserve"> </w:t>
      </w:r>
      <w:r w:rsidRPr="005B10B5">
        <w:t>47 CFR § 52.15(f)(ii).</w:t>
      </w:r>
    </w:p>
  </w:footnote>
  <w:footnote w:id="40">
    <w:p w:rsidR="00E06D4D" w:rsidRPr="00291C99" w:rsidP="00C53E24" w14:paraId="145287E0" w14:textId="2B8A2808">
      <w:pPr>
        <w:pStyle w:val="FootnoteText"/>
      </w:pPr>
      <w:r w:rsidRPr="00291C99">
        <w:rPr>
          <w:rStyle w:val="FootnoteReference"/>
        </w:rPr>
        <w:footnoteRef/>
      </w:r>
      <w:r w:rsidRPr="00291C99">
        <w:t xml:space="preserve"> </w:t>
      </w:r>
      <w:r w:rsidRPr="00291C99">
        <w:rPr>
          <w:i/>
        </w:rPr>
        <w:t>See</w:t>
      </w:r>
      <w:r w:rsidRPr="00291C99">
        <w:t xml:space="preserve"> AFSA Comments at 4; </w:t>
      </w:r>
      <w:r>
        <w:t xml:space="preserve">The </w:t>
      </w:r>
      <w:r w:rsidRPr="00291C99">
        <w:t>Internet Association Comments at 5; RILA Comments at 15; Tatango Comments at 16; Vibes Comments at 12.</w:t>
      </w:r>
    </w:p>
  </w:footnote>
  <w:footnote w:id="41">
    <w:p w:rsidR="00E06D4D" w:rsidRPr="00291C99" w:rsidP="00C53E24" w14:paraId="3D336548" w14:textId="6E2E83F5">
      <w:pPr>
        <w:pStyle w:val="FootnoteText"/>
      </w:pPr>
      <w:r w:rsidRPr="00291C99">
        <w:rPr>
          <w:rStyle w:val="FootnoteReference"/>
        </w:rPr>
        <w:footnoteRef/>
      </w:r>
      <w:r w:rsidRPr="00291C99">
        <w:t xml:space="preserve"> </w:t>
      </w:r>
      <w:r w:rsidRPr="00291C99">
        <w:rPr>
          <w:i/>
        </w:rPr>
        <w:t>See</w:t>
      </w:r>
      <w:r w:rsidRPr="00291C99">
        <w:t xml:space="preserve"> </w:t>
      </w:r>
      <w:r>
        <w:t xml:space="preserve">The </w:t>
      </w:r>
      <w:r w:rsidRPr="00291C99">
        <w:t>Internet Association Comments at 5; RILA Comments at 15.</w:t>
      </w:r>
    </w:p>
  </w:footnote>
  <w:footnote w:id="42">
    <w:p w:rsidR="00E06D4D" w:rsidRPr="00291C99" w:rsidP="00C53E24" w14:paraId="77C14AE0" w14:textId="2C067544">
      <w:pPr>
        <w:pStyle w:val="FootnoteText"/>
      </w:pPr>
      <w:r w:rsidRPr="00291C99">
        <w:rPr>
          <w:rStyle w:val="FootnoteReference"/>
        </w:rPr>
        <w:footnoteRef/>
      </w:r>
      <w:r w:rsidRPr="00291C99">
        <w:t xml:space="preserve"> </w:t>
      </w:r>
      <w:r w:rsidRPr="00291C99">
        <w:rPr>
          <w:i/>
        </w:rPr>
        <w:t>See, e.g.,</w:t>
      </w:r>
      <w:r w:rsidRPr="00291C99">
        <w:t xml:space="preserve"> </w:t>
      </w:r>
      <w:r>
        <w:t xml:space="preserve">ATIS </w:t>
      </w:r>
      <w:r w:rsidRPr="00291C99">
        <w:t>Reply Comments at 2; Comcast Comments at 18; CUNA Comments at 3; Insights Association Comments at 5; Internet Association Comments at 6; NRF Comments at 12; NCTA Comments at 5; RILA Comments at 17-18.</w:t>
      </w:r>
    </w:p>
  </w:footnote>
  <w:footnote w:id="43">
    <w:p w:rsidR="00E06D4D" w:rsidRPr="00291C99" w:rsidP="00C53E24" w14:paraId="4D627DC4" w14:textId="77777777">
      <w:pPr>
        <w:pStyle w:val="FootnoteText"/>
      </w:pPr>
      <w:r w:rsidRPr="00291C99">
        <w:rPr>
          <w:rStyle w:val="FootnoteReference"/>
        </w:rPr>
        <w:footnoteRef/>
      </w:r>
      <w:r w:rsidRPr="00291C99">
        <w:t xml:space="preserve"> </w:t>
      </w:r>
      <w:r w:rsidRPr="00291C99">
        <w:rPr>
          <w:i/>
        </w:rPr>
        <w:t>See, e.g.,</w:t>
      </w:r>
      <w:r w:rsidRPr="00291C99">
        <w:t xml:space="preserve"> CTIA Comments at 15 (commenting that any resource solution must ensure that providers do not have visibility into competitors’ disconnections); NCTA Comments at 5 (noting that competitively sensitive information needs to be protected).</w:t>
      </w:r>
    </w:p>
  </w:footnote>
  <w:footnote w:id="44">
    <w:p w:rsidR="00E06D4D" w:rsidRPr="00291C99" w:rsidP="00C53E24" w14:paraId="567FB4EC" w14:textId="77777777">
      <w:pPr>
        <w:pStyle w:val="FootnoteText"/>
      </w:pPr>
      <w:r w:rsidRPr="00291C99">
        <w:rPr>
          <w:rStyle w:val="FootnoteReference"/>
        </w:rPr>
        <w:footnoteRef/>
      </w:r>
      <w:r w:rsidRPr="00291C99">
        <w:t xml:space="preserve"> </w:t>
      </w:r>
      <w:r w:rsidRPr="00291C99">
        <w:rPr>
          <w:i/>
        </w:rPr>
        <w:t>See, e.g.</w:t>
      </w:r>
      <w:r w:rsidRPr="00291C99">
        <w:t>, NTCA Comments at 4.</w:t>
      </w:r>
    </w:p>
  </w:footnote>
  <w:footnote w:id="45">
    <w:p w:rsidR="00E06D4D" w:rsidRPr="00291C99" w:rsidP="00C53E24" w14:paraId="7C4CB113" w14:textId="77777777">
      <w:pPr>
        <w:pStyle w:val="FootnoteText"/>
      </w:pPr>
      <w:r w:rsidRPr="00291C99">
        <w:rPr>
          <w:rStyle w:val="FootnoteReference"/>
        </w:rPr>
        <w:footnoteRef/>
      </w:r>
      <w:r w:rsidRPr="00291C99">
        <w:t xml:space="preserve"> </w:t>
      </w:r>
      <w:r w:rsidRPr="00291C99">
        <w:rPr>
          <w:i/>
        </w:rPr>
        <w:t>Reassigned Numbers NOI</w:t>
      </w:r>
      <w:r w:rsidRPr="00291C99">
        <w:t>, 32 FCC Rcd at 6015, para. 26.</w:t>
      </w:r>
    </w:p>
  </w:footnote>
  <w:footnote w:id="46">
    <w:p w:rsidR="00E06D4D" w:rsidRPr="00291C99" w:rsidP="00C53E24" w14:paraId="253222F6" w14:textId="09895208">
      <w:pPr>
        <w:pStyle w:val="FootnoteText"/>
      </w:pPr>
      <w:r w:rsidRPr="00291C99">
        <w:rPr>
          <w:rStyle w:val="FootnoteReference"/>
        </w:rPr>
        <w:footnoteRef/>
      </w:r>
      <w:r w:rsidRPr="00291C99">
        <w:t xml:space="preserve"> </w:t>
      </w:r>
      <w:r w:rsidRPr="00291C99">
        <w:rPr>
          <w:i/>
        </w:rPr>
        <w:t>See, e.g.</w:t>
      </w:r>
      <w:r w:rsidRPr="00291C99">
        <w:t xml:space="preserve">, ATIS Reply Comments at 2; Comcast Comments at 18; CUNA Comments at 3; Insights Association Comments at 5; </w:t>
      </w:r>
      <w:r>
        <w:t xml:space="preserve">The </w:t>
      </w:r>
      <w:r w:rsidRPr="00291C99">
        <w:t>Internet Association Comments at 6; NRF Comments at 12; NCTA Comments at 5; RILA Comments at 17-18.</w:t>
      </w:r>
    </w:p>
  </w:footnote>
  <w:footnote w:id="47">
    <w:p w:rsidR="00E06D4D" w:rsidRPr="00291C99" w:rsidP="00C53E24" w14:paraId="0F73F0FE" w14:textId="77777777">
      <w:pPr>
        <w:pStyle w:val="FootnoteText"/>
      </w:pPr>
      <w:r w:rsidRPr="00291C99">
        <w:rPr>
          <w:rStyle w:val="FootnoteReference"/>
        </w:rPr>
        <w:footnoteRef/>
      </w:r>
      <w:r w:rsidRPr="00291C99">
        <w:t xml:space="preserve"> </w:t>
      </w:r>
      <w:r w:rsidRPr="00291C99">
        <w:rPr>
          <w:i/>
        </w:rPr>
        <w:t>See</w:t>
      </w:r>
      <w:r w:rsidRPr="00291C99">
        <w:t xml:space="preserve"> NCTA Comments at 5; NRF Comments at 12; RILA Comments at 17-18.</w:t>
      </w:r>
    </w:p>
  </w:footnote>
  <w:footnote w:id="48">
    <w:p w:rsidR="00E06D4D" w:rsidRPr="00291C99" w:rsidP="00C53E24" w14:paraId="6DF0E789" w14:textId="643C531A">
      <w:pPr>
        <w:pStyle w:val="FootnoteText"/>
      </w:pPr>
      <w:r w:rsidRPr="00291C99">
        <w:rPr>
          <w:rStyle w:val="FootnoteReference"/>
        </w:rPr>
        <w:footnoteRef/>
      </w:r>
      <w:r w:rsidRPr="00291C99">
        <w:t xml:space="preserve"> </w:t>
      </w:r>
      <w:r w:rsidRPr="00291C99">
        <w:rPr>
          <w:i/>
        </w:rPr>
        <w:t>See, e.g.</w:t>
      </w:r>
      <w:r w:rsidRPr="00291C99">
        <w:t>, AFSA Comments at 3; Blackboard Comments at 9; CUNA Comments at 3; NAFICU Comments at 1-2; NCHER Comments at 4; N</w:t>
      </w:r>
      <w:r>
        <w:t xml:space="preserve">ational Rural Electric Cooperative Association </w:t>
      </w:r>
      <w:r w:rsidRPr="00291C99">
        <w:t>Comments at 5</w:t>
      </w:r>
      <w:r>
        <w:t xml:space="preserve"> (NRECA)</w:t>
      </w:r>
      <w:r w:rsidRPr="00291C99">
        <w:t>; NRF Comments at 12; RILA Comments at 19-20.</w:t>
      </w:r>
    </w:p>
  </w:footnote>
  <w:footnote w:id="49">
    <w:p w:rsidR="00E06D4D" w:rsidRPr="00291C99" w:rsidP="00C53E24" w14:paraId="4DEF5380" w14:textId="77777777">
      <w:pPr>
        <w:pStyle w:val="FootnoteText"/>
      </w:pPr>
      <w:r w:rsidRPr="00291C99">
        <w:rPr>
          <w:rStyle w:val="FootnoteReference"/>
        </w:rPr>
        <w:footnoteRef/>
      </w:r>
      <w:r w:rsidRPr="00291C99">
        <w:t xml:space="preserve"> </w:t>
      </w:r>
      <w:r w:rsidRPr="00291C99">
        <w:rPr>
          <w:i/>
        </w:rPr>
        <w:t xml:space="preserve">See </w:t>
      </w:r>
      <w:r w:rsidRPr="00291C99">
        <w:t xml:space="preserve">USCC Comments at 3 (“There is no evidence or indication that Congress intended that TCPA compliance would require </w:t>
      </w:r>
      <w:r>
        <w:t xml:space="preserve">a </w:t>
      </w:r>
      <w:r w:rsidRPr="00291C99">
        <w:t>company to . . . monitor a database of reassigned numbers . . . .”).</w:t>
      </w:r>
    </w:p>
  </w:footnote>
  <w:footnote w:id="50">
    <w:p w:rsidR="00E06D4D" w:rsidRPr="00291C99" w:rsidP="00C53E24" w14:paraId="71634285" w14:textId="77777777">
      <w:pPr>
        <w:pStyle w:val="FootnoteText"/>
      </w:pPr>
      <w:r w:rsidRPr="00291C99">
        <w:rPr>
          <w:rStyle w:val="FootnoteReference"/>
        </w:rPr>
        <w:footnoteRef/>
      </w:r>
      <w:r w:rsidRPr="00291C99">
        <w:t xml:space="preserve"> We do not propose to rely on the TCPA to authorize or establish a reassigned numbers database.  Nor could we mandate that callers use such a database.  Although the TCPA authorized the Commission to establish a database for other purposes, </w:t>
      </w:r>
      <w:r w:rsidRPr="00291C99">
        <w:rPr>
          <w:i/>
          <w:iCs/>
        </w:rPr>
        <w:t>see</w:t>
      </w:r>
      <w:r w:rsidRPr="00291C99">
        <w:t xml:space="preserve"> 47 U.S.C. § 227(c)(3), it does not authorize other databases, and the Commission may not exceed the metes and bounds of the statute.  </w:t>
      </w:r>
      <w:r w:rsidRPr="00291C99">
        <w:rPr>
          <w:i/>
          <w:iCs/>
        </w:rPr>
        <w:t>See, e.g.</w:t>
      </w:r>
      <w:r w:rsidRPr="00291C99">
        <w:rPr>
          <w:iCs/>
        </w:rPr>
        <w:t>,</w:t>
      </w:r>
      <w:r w:rsidRPr="00291C99">
        <w:rPr>
          <w:i/>
          <w:iCs/>
        </w:rPr>
        <w:t xml:space="preserve"> Bais Yaakov of Spring Valley v. FCC</w:t>
      </w:r>
      <w:r w:rsidRPr="00291C99">
        <w:t>, 852 F.3d 1078, 1082 (D.C. Cir. 2017) (invalidating the FCC’s requirement of opt-out notices on solicited fax advertisements because “Congress has not authorized” the FCC to require such notices “[a]nd that is all we need to know”).</w:t>
      </w:r>
    </w:p>
  </w:footnote>
  <w:footnote w:id="51">
    <w:p w:rsidR="00E06D4D" w:rsidRPr="00291C99" w:rsidP="00C53E24" w14:paraId="07FBCD2C" w14:textId="77777777">
      <w:pPr>
        <w:pStyle w:val="FootnoteText"/>
      </w:pPr>
      <w:r w:rsidRPr="00291C99">
        <w:rPr>
          <w:rStyle w:val="FootnoteReference"/>
        </w:rPr>
        <w:footnoteRef/>
      </w:r>
      <w:r w:rsidRPr="00291C99">
        <w:t xml:space="preserve"> </w:t>
      </w:r>
      <w:r w:rsidRPr="00291C99">
        <w:rPr>
          <w:i/>
        </w:rPr>
        <w:t>See, e.g.</w:t>
      </w:r>
      <w:r w:rsidRPr="00291C99">
        <w:t>, ABA Reply Comments at 6-8; Anthem Comments at 2; Comcast Comments at 13-14.</w:t>
      </w:r>
    </w:p>
  </w:footnote>
  <w:footnote w:id="52">
    <w:p w:rsidR="00E06D4D" w:rsidRPr="00291C99" w:rsidP="00C53E24" w14:paraId="61FAD757" w14:textId="5D798C5F">
      <w:pPr>
        <w:pStyle w:val="FootnoteText"/>
      </w:pPr>
      <w:r w:rsidRPr="00291C99">
        <w:rPr>
          <w:rStyle w:val="FootnoteReference"/>
        </w:rPr>
        <w:footnoteRef/>
      </w:r>
      <w:r w:rsidRPr="00291C99">
        <w:t xml:space="preserve"> </w:t>
      </w:r>
      <w:r w:rsidRPr="00291C99">
        <w:rPr>
          <w:i/>
        </w:rPr>
        <w:t>See, e.g.</w:t>
      </w:r>
      <w:r w:rsidRPr="00291C99">
        <w:t xml:space="preserve">, CTIA Comments at 7; CenturyLink Reply Comments at 4; ETA Comments at 2.  We seek comment below on a potential TCPA safe harbor for callers that use a reassigned numbers database under a voluntary reporting approach. </w:t>
      </w:r>
      <w:r w:rsidRPr="00291C99">
        <w:rPr>
          <w:i/>
        </w:rPr>
        <w:t>See infra</w:t>
      </w:r>
      <w:r>
        <w:t xml:space="preserve"> para. 57</w:t>
      </w:r>
      <w:r w:rsidRPr="00291C99">
        <w:t>.</w:t>
      </w:r>
    </w:p>
  </w:footnote>
  <w:footnote w:id="53">
    <w:p w:rsidR="00E06D4D" w:rsidRPr="00291C99" w:rsidP="00C53E24" w14:paraId="6F2413F2" w14:textId="77777777">
      <w:pPr>
        <w:pStyle w:val="FootnoteText"/>
      </w:pPr>
      <w:r w:rsidRPr="00291C99">
        <w:rPr>
          <w:rStyle w:val="FootnoteReference"/>
        </w:rPr>
        <w:footnoteRef/>
      </w:r>
      <w:r w:rsidRPr="00291C99">
        <w:t xml:space="preserve"> </w:t>
      </w:r>
      <w:r w:rsidRPr="00291C99">
        <w:rPr>
          <w:i/>
        </w:rPr>
        <w:t>See, e.g.</w:t>
      </w:r>
      <w:r w:rsidRPr="00291C99">
        <w:t>, USCC Comments at 3 (arguing that a caller should be able to avail itself of a safe harbor from TCPA violations whenever it “(1) accesses and scrubs against that database/query system in a reasonable timeframe (</w:t>
      </w:r>
      <w:r w:rsidRPr="00291C99">
        <w:rPr>
          <w:i/>
        </w:rPr>
        <w:t>i.e.</w:t>
      </w:r>
      <w:r w:rsidRPr="00291C99">
        <w:t>, every 30 days), and (2) has policies and procedures (such as training) to ensure that customer records are updated to reflect phone number reassignments.”).</w:t>
      </w:r>
    </w:p>
  </w:footnote>
  <w:footnote w:id="54">
    <w:p w:rsidR="00E06D4D" w:rsidRPr="00291C99" w:rsidP="00E56388" w14:paraId="561E27F8" w14:textId="711B8E55">
      <w:pPr>
        <w:pStyle w:val="FootnoteText"/>
      </w:pPr>
      <w:r w:rsidRPr="00291C99">
        <w:rPr>
          <w:rStyle w:val="FootnoteReference"/>
        </w:rPr>
        <w:footnoteRef/>
      </w:r>
      <w:r w:rsidRPr="00291C99">
        <w:t xml:space="preserve"> </w:t>
      </w:r>
      <w:r w:rsidRPr="00291C99">
        <w:rPr>
          <w:i/>
        </w:rPr>
        <w:t>See supra</w:t>
      </w:r>
      <w:r>
        <w:t xml:space="preserve"> note 49; </w:t>
      </w:r>
      <w:r>
        <w:rPr>
          <w:i/>
        </w:rPr>
        <w:t xml:space="preserve">see also infra </w:t>
      </w:r>
      <w:r>
        <w:t>para. 57</w:t>
      </w:r>
      <w:r w:rsidRPr="00291C99">
        <w:t>.</w:t>
      </w:r>
    </w:p>
  </w:footnote>
  <w:footnote w:id="55">
    <w:p w:rsidR="00E06D4D" w:rsidRPr="00291C99" w:rsidP="00C53E24" w14:paraId="5DF03513" w14:textId="77777777">
      <w:pPr>
        <w:pStyle w:val="FootnoteText"/>
      </w:pPr>
      <w:r w:rsidRPr="00291C99">
        <w:rPr>
          <w:rStyle w:val="FootnoteReference"/>
        </w:rPr>
        <w:footnoteRef/>
      </w:r>
      <w:r w:rsidRPr="00291C99">
        <w:t xml:space="preserve"> 47 U.S.C. § 227.</w:t>
      </w:r>
    </w:p>
  </w:footnote>
  <w:footnote w:id="56">
    <w:p w:rsidR="00E06D4D" w:rsidRPr="00291C99" w:rsidP="00203845" w14:paraId="63310DE4" w14:textId="77777777">
      <w:pPr>
        <w:pStyle w:val="FootnoteText"/>
      </w:pPr>
      <w:r w:rsidRPr="00291C99">
        <w:rPr>
          <w:rStyle w:val="FootnoteReference"/>
        </w:rPr>
        <w:footnoteRef/>
      </w:r>
      <w:r w:rsidRPr="00291C99">
        <w:t xml:space="preserve"> </w:t>
      </w:r>
      <w:r w:rsidRPr="00291C99">
        <w:rPr>
          <w:i/>
        </w:rPr>
        <w:t>Reassigned Numbers NOI</w:t>
      </w:r>
      <w:r w:rsidRPr="00291C99">
        <w:t xml:space="preserve">, 32 FCC Rcd at 6013, paras. 16-19.  The four approaches identified were for service providers to: (1) report reassigned number information to an FCC-designated database; (2) report such information to commercial data aggregators or to callers directly; (3) operate their own queriable databases; or (4) make reassigned number reports available to the public.  </w:t>
      </w:r>
      <w:r w:rsidRPr="00291C99">
        <w:rPr>
          <w:i/>
        </w:rPr>
        <w:t>See id.</w:t>
      </w:r>
    </w:p>
  </w:footnote>
  <w:footnote w:id="57">
    <w:p w:rsidR="00E06D4D" w:rsidRPr="00291C99" w:rsidP="00203845" w14:paraId="6BEEC48F" w14:textId="77777777">
      <w:pPr>
        <w:pStyle w:val="FootnoteText"/>
      </w:pPr>
      <w:r w:rsidRPr="00291C99">
        <w:rPr>
          <w:rStyle w:val="FootnoteReference"/>
        </w:rPr>
        <w:footnoteRef/>
      </w:r>
      <w:r w:rsidRPr="00291C99">
        <w:t xml:space="preserve"> </w:t>
      </w:r>
      <w:r w:rsidRPr="00291C99">
        <w:rPr>
          <w:i/>
        </w:rPr>
        <w:t xml:space="preserve">See, e.g., </w:t>
      </w:r>
      <w:r w:rsidRPr="00291C99">
        <w:t>AFSA Comments at 3; Blackboard Comments at 8; Comcast Comments at 11; CUNA Comments at 3; Insights Association Comments at 4; NAFICU Comments at 1; NRF Comments at 6; NCTA Comments at 4; RILA Comments at 15.</w:t>
      </w:r>
    </w:p>
  </w:footnote>
  <w:footnote w:id="58">
    <w:p w:rsidR="00E06D4D" w:rsidRPr="00291C99" w:rsidP="00203845" w14:paraId="41F78EE5" w14:textId="77777777">
      <w:pPr>
        <w:pStyle w:val="FootnoteText"/>
      </w:pPr>
      <w:r w:rsidRPr="00291C99">
        <w:rPr>
          <w:rStyle w:val="FootnoteReference"/>
        </w:rPr>
        <w:footnoteRef/>
      </w:r>
      <w:r w:rsidRPr="00291C99">
        <w:t xml:space="preserve"> </w:t>
      </w:r>
      <w:r w:rsidRPr="00291C99">
        <w:rPr>
          <w:i/>
        </w:rPr>
        <w:t xml:space="preserve">See, e.g., </w:t>
      </w:r>
      <w:r w:rsidRPr="00291C99">
        <w:t>Tatango Comments at 11; Vibes Comments at 9.</w:t>
      </w:r>
    </w:p>
  </w:footnote>
  <w:footnote w:id="59">
    <w:p w:rsidR="00E06D4D" w14:paraId="5131C53A" w14:textId="11F60CFC">
      <w:pPr>
        <w:pStyle w:val="FootnoteText"/>
      </w:pPr>
      <w:r>
        <w:rPr>
          <w:rStyle w:val="FootnoteReference"/>
        </w:rPr>
        <w:footnoteRef/>
      </w:r>
      <w:r>
        <w:t xml:space="preserve"> </w:t>
      </w:r>
      <w:r w:rsidRPr="00344FEB">
        <w:rPr>
          <w:i/>
        </w:rPr>
        <w:t>ACA International</w:t>
      </w:r>
      <w:r>
        <w:t>, No. 15-1211, slip op. at 36.</w:t>
      </w:r>
    </w:p>
  </w:footnote>
  <w:footnote w:id="60">
    <w:p w:rsidR="00E06D4D" w14:paraId="7D681A55" w14:textId="759D1823">
      <w:pPr>
        <w:pStyle w:val="FootnoteText"/>
      </w:pPr>
      <w:r>
        <w:rPr>
          <w:rStyle w:val="FootnoteReference"/>
        </w:rPr>
        <w:footnoteRef/>
      </w:r>
      <w:r>
        <w:t xml:space="preserve"> </w:t>
      </w:r>
      <w:r w:rsidRPr="00344FEB">
        <w:rPr>
          <w:i/>
        </w:rPr>
        <w:t>ACA International</w:t>
      </w:r>
      <w:r>
        <w:t>, No. 15-1211, slip op. at 40.</w:t>
      </w:r>
    </w:p>
  </w:footnote>
  <w:footnote w:id="61">
    <w:p w:rsidR="00E06D4D" w:rsidRPr="00291C99" w:rsidP="008E771E" w14:paraId="1DC72E09" w14:textId="08DB3613">
      <w:pPr>
        <w:pStyle w:val="FootnoteText"/>
      </w:pPr>
      <w:r w:rsidRPr="00291C99">
        <w:rPr>
          <w:rStyle w:val="FootnoteReference"/>
        </w:rPr>
        <w:footnoteRef/>
      </w:r>
      <w:r w:rsidRPr="00291C99">
        <w:t xml:space="preserve"> The Local Number Portability Administrator (LNPA) oversees the NPAC, which consists of hardware and software platform(s) that host a national information database and serve as the central coordination point of local number portability function.  </w:t>
      </w:r>
      <w:r w:rsidRPr="00291C99">
        <w:rPr>
          <w:i/>
        </w:rPr>
        <w:t>See, e.g.</w:t>
      </w:r>
      <w:r w:rsidRPr="00291C99">
        <w:t xml:space="preserve">, </w:t>
      </w:r>
      <w:r w:rsidRPr="00291C99">
        <w:rPr>
          <w:i/>
          <w:iCs/>
        </w:rPr>
        <w:t>Telephone Number Portability</w:t>
      </w:r>
      <w:r w:rsidRPr="00291C99">
        <w:rPr>
          <w:iCs/>
        </w:rPr>
        <w:t xml:space="preserve">, </w:t>
      </w:r>
      <w:r w:rsidRPr="00291C99">
        <w:t xml:space="preserve">First Report and Order and Further Notice of Proposed Rulemaking, 11 FCC Rcd 8352 (1996) (establishing rules designed to implement local number portability); </w:t>
      </w:r>
      <w:r w:rsidRPr="00291C99">
        <w:rPr>
          <w:i/>
          <w:iCs/>
        </w:rPr>
        <w:t>Telephone Number Portability</w:t>
      </w:r>
      <w:r w:rsidRPr="00291C99">
        <w:rPr>
          <w:iCs/>
        </w:rPr>
        <w:t xml:space="preserve">, </w:t>
      </w:r>
      <w:r w:rsidRPr="00291C99">
        <w:t xml:space="preserve">Second Report and Order, 12 FCC Rcd 12281 (1997) (adopting the recommendation of the North American Numbering Council to, among other things, establish seven regional number portability databases); </w:t>
      </w:r>
      <w:r w:rsidRPr="00291C99">
        <w:rPr>
          <w:i/>
          <w:iCs/>
        </w:rPr>
        <w:t>Telephone Number Portability</w:t>
      </w:r>
      <w:r w:rsidRPr="00291C99">
        <w:rPr>
          <w:iCs/>
        </w:rPr>
        <w:t xml:space="preserve">, </w:t>
      </w:r>
      <w:r w:rsidRPr="00291C99">
        <w:t>Third Report and Order, 13 FCC Rcd 11701 (1997) (determining how the costs associated with local number portability should be borne by carriers).  The current LNPA is Neustar, Inc., and transition is underway to a new LNPA, Telcordia Technologies, Inc. d/b/a iconectiv</w:t>
      </w:r>
      <w:r>
        <w:t xml:space="preserve"> (iconectiv)</w:t>
      </w:r>
      <w:r w:rsidRPr="00291C99">
        <w:t xml:space="preserve">.  </w:t>
      </w:r>
      <w:r w:rsidRPr="00291C99">
        <w:rPr>
          <w:i/>
        </w:rPr>
        <w:t>Telcordia Technologies, Inc. Petition to Reform Amendment 57 and to Order a Competitive Bidding Process for Number Portability Administration et al.</w:t>
      </w:r>
      <w:r w:rsidRPr="00291C99">
        <w:t xml:space="preserve">, Order, 31 FCC Rcd 8406, para. 1 (2016), </w:t>
      </w:r>
      <w:r w:rsidRPr="00291C99">
        <w:rPr>
          <w:i/>
        </w:rPr>
        <w:t>aff’d sub nom, Neustar Inc. v. FCC</w:t>
      </w:r>
      <w:r w:rsidRPr="00291C99">
        <w:t>, No. 15-1080 (D.C. Cir. 2017) (approving iconectiv as the new LNPA).</w:t>
      </w:r>
    </w:p>
  </w:footnote>
  <w:footnote w:id="62">
    <w:p w:rsidR="00E06D4D" w:rsidRPr="00291C99" w14:paraId="7D3DCC2F" w14:textId="77777777">
      <w:pPr>
        <w:pStyle w:val="FootnoteText"/>
      </w:pPr>
      <w:r w:rsidRPr="00291C99">
        <w:rPr>
          <w:rStyle w:val="FootnoteReference"/>
        </w:rPr>
        <w:footnoteRef/>
      </w:r>
      <w:r w:rsidRPr="00291C99">
        <w:t xml:space="preserve"> </w:t>
      </w:r>
      <w:r w:rsidRPr="00291C99">
        <w:rPr>
          <w:i/>
        </w:rPr>
        <w:t>See</w:t>
      </w:r>
      <w:r w:rsidRPr="00291C99">
        <w:t xml:space="preserve"> iconectiv Comments at 7 (“[T]he NPAC is an exception database that has phone numbers that have been ported or pooled, and are presentably [sic] routable by Location Routing Number (LRN), although not necessarily assigned in every case.  Further, while all pooled numbers are available in the NPAC, it is not known which among them are assigned unless they are also ported.”).</w:t>
      </w:r>
    </w:p>
  </w:footnote>
  <w:footnote w:id="63">
    <w:p w:rsidR="00E06D4D" w:rsidRPr="00291C99" w:rsidP="00D1420E" w14:paraId="46CF1AC3" w14:textId="77777777">
      <w:pPr>
        <w:pStyle w:val="FootnoteText"/>
      </w:pPr>
      <w:r w:rsidRPr="00291C99">
        <w:rPr>
          <w:rStyle w:val="FootnoteReference"/>
        </w:rPr>
        <w:footnoteRef/>
      </w:r>
      <w:r w:rsidRPr="00291C99">
        <w:t xml:space="preserve"> iconectiv Comments at 7; </w:t>
      </w:r>
      <w:r w:rsidRPr="00291C99">
        <w:rPr>
          <w:i/>
        </w:rPr>
        <w:t>see also</w:t>
      </w:r>
      <w:r w:rsidRPr="00291C99">
        <w:t xml:space="preserve"> ATIS Reply Comments at 3-4 (arguing that the NPAC is not a suitable mechanism for reporting reassigned numbers because “[n]umber portability allows customers to retain their telephone numbers while number reassignment assumes that the customer changes their telephone number”).</w:t>
      </w:r>
    </w:p>
  </w:footnote>
  <w:footnote w:id="64">
    <w:p w:rsidR="00E06D4D" w:rsidRPr="00291C99" w:rsidP="00D1420E" w14:paraId="12429611" w14:textId="77777777">
      <w:pPr>
        <w:pStyle w:val="FootnoteText"/>
      </w:pPr>
      <w:r w:rsidRPr="00291C99">
        <w:rPr>
          <w:rStyle w:val="FootnoteReference"/>
        </w:rPr>
        <w:footnoteRef/>
      </w:r>
      <w:r w:rsidRPr="00291C99">
        <w:t xml:space="preserve"> </w:t>
      </w:r>
      <w:r w:rsidRPr="00291C99">
        <w:rPr>
          <w:i/>
        </w:rPr>
        <w:t>See</w:t>
      </w:r>
      <w:r w:rsidRPr="00291C99">
        <w:t xml:space="preserve"> NTCA Comments at 3; CTIA Comments at 11-13; ETA Comments at 3; iconectiv Comments at 8.  </w:t>
      </w:r>
      <w:r w:rsidRPr="00291C99">
        <w:rPr>
          <w:i/>
        </w:rPr>
        <w:t>But see</w:t>
      </w:r>
      <w:r w:rsidRPr="00291C99">
        <w:t xml:space="preserve"> CUNA Comments at 5 (“Deferring action while [the] NANC deliberates is an unnecessary prescription for delay.”).</w:t>
      </w:r>
    </w:p>
  </w:footnote>
  <w:footnote w:id="65">
    <w:p w:rsidR="00E06D4D" w:rsidRPr="00291C99" w:rsidP="00746AC7" w14:paraId="1F83BAE2" w14:textId="77777777">
      <w:pPr>
        <w:pStyle w:val="FootnoteText"/>
      </w:pPr>
      <w:r w:rsidRPr="00291C99">
        <w:rPr>
          <w:rStyle w:val="FootnoteReference"/>
        </w:rPr>
        <w:footnoteRef/>
      </w:r>
      <w:r w:rsidRPr="00291C99">
        <w:t xml:space="preserve"> The NANPA, currently Neustar, Inc., is responsible for the neutral administration of NANP numbering resources, subject to directives from regulatory authorities in the twenty countries that share the Plan.  </w:t>
      </w:r>
      <w:r w:rsidRPr="00291C99">
        <w:rPr>
          <w:i/>
        </w:rPr>
        <w:t>See, e.g.</w:t>
      </w:r>
      <w:r w:rsidRPr="00291C99">
        <w:t xml:space="preserve">, </w:t>
      </w:r>
      <w:r w:rsidRPr="00291C99">
        <w:rPr>
          <w:i/>
        </w:rPr>
        <w:t>North American Numbering Plan Administration</w:t>
      </w:r>
      <w:r w:rsidRPr="00291C99">
        <w:t xml:space="preserve">, Order, 19 FCC Rcd 16982 (2004); </w:t>
      </w:r>
      <w:r w:rsidRPr="00291C99">
        <w:rPr>
          <w:rFonts w:cs="Arial"/>
          <w:i/>
        </w:rPr>
        <w:t>COCAG</w:t>
      </w:r>
      <w:r w:rsidRPr="00291C99">
        <w:rPr>
          <w:rFonts w:cs="Arial"/>
        </w:rPr>
        <w:t xml:space="preserve">, Section 13, at 51-52.  The </w:t>
      </w:r>
      <w:r w:rsidRPr="00291C99">
        <w:t>NANPA’s responsibilities include assignment of Plan resources, and in the U.S. and its territories, coordination of area code relief planning and collection of utilization and forecast data.</w:t>
      </w:r>
    </w:p>
  </w:footnote>
  <w:footnote w:id="66">
    <w:p w:rsidR="00E06D4D" w:rsidRPr="00291C99" w:rsidP="00746AC7" w14:paraId="1BA52621" w14:textId="77777777">
      <w:pPr>
        <w:pStyle w:val="FootnoteText"/>
      </w:pPr>
      <w:r w:rsidRPr="00291C99">
        <w:rPr>
          <w:rStyle w:val="FootnoteReference"/>
        </w:rPr>
        <w:footnoteRef/>
      </w:r>
      <w:r w:rsidRPr="00291C99">
        <w:t xml:space="preserve"> The Pooling Administrator (PA), currently Neustar, Inc., is responsible for the overall administration of pooled numbering resources, including thousands-block pooling in areas where it has been ordered or implemented, and maintains and plans for adequate pool inventory numbering resources for the short and long term.  </w:t>
      </w:r>
      <w:r w:rsidRPr="00291C99">
        <w:rPr>
          <w:i/>
        </w:rPr>
        <w:t xml:space="preserve">COCAG </w:t>
      </w:r>
      <w:r w:rsidRPr="00291C99">
        <w:t>at</w:t>
      </w:r>
      <w:r w:rsidRPr="00291C99">
        <w:rPr>
          <w:rFonts w:cs="Arial"/>
        </w:rPr>
        <w:t xml:space="preserve"> 54.  </w:t>
      </w:r>
      <w:r w:rsidRPr="00291C99">
        <w:t xml:space="preserve">In addition, the PA also serves as the Routing Number Authority, which manages and assigns non-dialable numbers used in telephony.  </w:t>
      </w:r>
      <w:r w:rsidRPr="00291C99">
        <w:rPr>
          <w:i/>
        </w:rPr>
        <w:t>See, e.g.</w:t>
      </w:r>
      <w:r w:rsidRPr="00291C99">
        <w:t>, Letter from Thomas J. Navin, Chief, Wireline Competition Bureau, Federal Communications Commission, to Thomas M. Koutsky, Chair, North American Numbering Council (Jun. 28, 2007); Contract for Pooling Administration Services for the Federal Communications Commission, FCC Contract No FCC13C0007, Change Order # 19 (awarded through Contract Modification 16 on June 17, 2011).</w:t>
      </w:r>
    </w:p>
  </w:footnote>
  <w:footnote w:id="67">
    <w:p w:rsidR="00E06D4D" w:rsidRPr="00291C99" w14:paraId="29B4720B" w14:textId="77777777">
      <w:pPr>
        <w:pStyle w:val="FootnoteText"/>
      </w:pPr>
      <w:r w:rsidRPr="00291C99">
        <w:rPr>
          <w:rStyle w:val="FootnoteReference"/>
        </w:rPr>
        <w:footnoteRef/>
      </w:r>
      <w:r w:rsidRPr="00291C99">
        <w:t xml:space="preserve"> 47 U.S.C. § 251(e)(2).</w:t>
      </w:r>
    </w:p>
  </w:footnote>
  <w:footnote w:id="68">
    <w:p w:rsidR="00E06D4D" w14:paraId="0A87D05D" w14:textId="594FD3A8">
      <w:pPr>
        <w:pStyle w:val="FootnoteText"/>
      </w:pPr>
      <w:r>
        <w:rPr>
          <w:rStyle w:val="FootnoteReference"/>
        </w:rPr>
        <w:footnoteRef/>
      </w:r>
      <w:r>
        <w:t xml:space="preserve"> </w:t>
      </w:r>
      <w:r w:rsidRPr="00390815">
        <w:rPr>
          <w:i/>
        </w:rPr>
        <w:t>See supra</w:t>
      </w:r>
      <w:r>
        <w:t xml:space="preserve"> note 28.</w:t>
      </w:r>
    </w:p>
  </w:footnote>
  <w:footnote w:id="69">
    <w:p w:rsidR="00E06D4D" w:rsidRPr="00291C99" w:rsidP="004F147A" w14:paraId="17513463" w14:textId="77777777">
      <w:pPr>
        <w:pStyle w:val="FootnoteText"/>
      </w:pPr>
      <w:r w:rsidRPr="00291C99">
        <w:rPr>
          <w:rStyle w:val="FootnoteReference"/>
        </w:rPr>
        <w:footnoteRef/>
      </w:r>
      <w:r w:rsidRPr="00291C99">
        <w:t xml:space="preserve"> </w:t>
      </w:r>
      <w:r w:rsidRPr="00291C99">
        <w:rPr>
          <w:i/>
        </w:rPr>
        <w:t>Reassigned Numbers NOI</w:t>
      </w:r>
      <w:r w:rsidRPr="00291C99">
        <w:t>, 32 FCC Rcd at 6011-12, para. 13.</w:t>
      </w:r>
    </w:p>
  </w:footnote>
  <w:footnote w:id="70">
    <w:p w:rsidR="00E06D4D" w:rsidRPr="00291C99" w14:paraId="21538113" w14:textId="77777777">
      <w:pPr>
        <w:pStyle w:val="FootnoteText"/>
      </w:pPr>
      <w:r w:rsidRPr="00291C99">
        <w:rPr>
          <w:rStyle w:val="FootnoteReference"/>
        </w:rPr>
        <w:footnoteRef/>
      </w:r>
      <w:r w:rsidRPr="00291C99">
        <w:t xml:space="preserve"> </w:t>
      </w:r>
      <w:r w:rsidRPr="00291C99">
        <w:rPr>
          <w:i/>
        </w:rPr>
        <w:t>See</w:t>
      </w:r>
      <w:r w:rsidRPr="00291C99">
        <w:t xml:space="preserve"> Tatango Comments at 9; Tracfone Comments at 2.</w:t>
      </w:r>
    </w:p>
  </w:footnote>
  <w:footnote w:id="71">
    <w:p w:rsidR="00E06D4D" w:rsidRPr="00291C99" w:rsidP="00490FB4" w14:paraId="1B8B77D7" w14:textId="77777777">
      <w:pPr>
        <w:pStyle w:val="FootnoteText"/>
      </w:pPr>
      <w:r w:rsidRPr="00291C99">
        <w:rPr>
          <w:rStyle w:val="FootnoteReference"/>
        </w:rPr>
        <w:footnoteRef/>
      </w:r>
      <w:r w:rsidRPr="00291C99">
        <w:t xml:space="preserve"> </w:t>
      </w:r>
      <w:r w:rsidRPr="00291C99">
        <w:rPr>
          <w:i/>
        </w:rPr>
        <w:t>See</w:t>
      </w:r>
      <w:r w:rsidRPr="00291C99">
        <w:t xml:space="preserve"> 47 CFR § 52.15(f)(5) (requiring all “reporting carriers” to submit to the NANPA a utilization report of their current inventory of numbering resources); </w:t>
      </w:r>
      <w:r w:rsidRPr="00291C99">
        <w:rPr>
          <w:i/>
        </w:rPr>
        <w:t>see also id.</w:t>
      </w:r>
      <w:r w:rsidRPr="00291C99">
        <w:t xml:space="preserve"> § 52.15(f)(2) (defining reporting carriers as telecommunications carriers that receive numbering resources from the NANPA, the Pooling Administrator, or another telecommunications carrier).  In 2015, the Commission adopted a process to allow interconnected VoIP service providers to obtain direct access to numbering resources, subjecting those interconnected VoIP service providers that are approved for such access to the Commission’s utilization reporting requirements.  </w:t>
      </w:r>
      <w:r w:rsidRPr="00291C99">
        <w:rPr>
          <w:i/>
        </w:rPr>
        <w:t>See</w:t>
      </w:r>
      <w:r w:rsidRPr="00291C99">
        <w:t xml:space="preserve"> </w:t>
      </w:r>
      <w:r w:rsidRPr="00291C99">
        <w:rPr>
          <w:i/>
        </w:rPr>
        <w:t>Numbering Policies for Modern Communications et al.</w:t>
      </w:r>
      <w:r w:rsidRPr="00291C99">
        <w:t>, Report and Order, 30 FCC Rcd 6839 (2015) and 47 CFR § 52.7(i).</w:t>
      </w:r>
    </w:p>
  </w:footnote>
  <w:footnote w:id="72">
    <w:p w:rsidR="00E06D4D" w:rsidRPr="00291C99" w14:paraId="508146F3" w14:textId="77777777">
      <w:pPr>
        <w:pStyle w:val="FootnoteText"/>
      </w:pPr>
      <w:r w:rsidRPr="00291C99">
        <w:rPr>
          <w:rStyle w:val="FootnoteReference"/>
        </w:rPr>
        <w:footnoteRef/>
      </w:r>
      <w:r w:rsidRPr="00291C99">
        <w:t xml:space="preserve"> </w:t>
      </w:r>
      <w:r w:rsidRPr="00291C99">
        <w:rPr>
          <w:i/>
        </w:rPr>
        <w:t>See</w:t>
      </w:r>
      <w:r w:rsidRPr="00291C99">
        <w:t xml:space="preserve"> Tatango Comments at 9.</w:t>
      </w:r>
    </w:p>
  </w:footnote>
  <w:footnote w:id="73">
    <w:p w:rsidR="00E06D4D" w:rsidRPr="00291C99" w14:paraId="0A8BBBF0" w14:textId="77777777">
      <w:pPr>
        <w:pStyle w:val="FootnoteText"/>
      </w:pPr>
      <w:r w:rsidRPr="00291C99">
        <w:rPr>
          <w:rStyle w:val="FootnoteReference"/>
        </w:rPr>
        <w:footnoteRef/>
      </w:r>
      <w:r w:rsidRPr="00291C99">
        <w:t xml:space="preserve"> </w:t>
      </w:r>
      <w:r w:rsidRPr="00291C99">
        <w:rPr>
          <w:i/>
        </w:rPr>
        <w:t>See</w:t>
      </w:r>
      <w:r w:rsidRPr="00291C99">
        <w:t xml:space="preserve"> Tatango Comments at 9 (asserting that, in some circumstances, it may be more efficient and less costly for the service provider that was indirectly assigned a number to report a change in the status of the number).</w:t>
      </w:r>
    </w:p>
  </w:footnote>
  <w:footnote w:id="74">
    <w:p w:rsidR="00E06D4D" w:rsidRPr="00291C99" w:rsidP="00FB62DC" w14:paraId="2DB589A1" w14:textId="6ED73172">
      <w:pPr>
        <w:pStyle w:val="FootnoteText"/>
      </w:pPr>
      <w:r w:rsidRPr="00291C99">
        <w:rPr>
          <w:rStyle w:val="FootnoteReference"/>
        </w:rPr>
        <w:footnoteRef/>
      </w:r>
      <w:r w:rsidRPr="00291C99">
        <w:t xml:space="preserve"> </w:t>
      </w:r>
      <w:r w:rsidRPr="00884B3F">
        <w:t>NTCA-The Rural Broadband Association</w:t>
      </w:r>
      <w:r>
        <w:t xml:space="preserve"> </w:t>
      </w:r>
      <w:r w:rsidRPr="00291C99">
        <w:t>Comments at 3-4</w:t>
      </w:r>
      <w:r>
        <w:t xml:space="preserve"> (NTCA)</w:t>
      </w:r>
      <w:r w:rsidRPr="00291C99">
        <w:t xml:space="preserve">. </w:t>
      </w:r>
    </w:p>
  </w:footnote>
  <w:footnote w:id="75">
    <w:p w:rsidR="00E06D4D" w:rsidRPr="00291C99" w14:paraId="286DBC1B" w14:textId="161425D4">
      <w:pPr>
        <w:pStyle w:val="FootnoteText"/>
      </w:pPr>
      <w:r w:rsidRPr="00291C99">
        <w:rPr>
          <w:rStyle w:val="FootnoteReference"/>
        </w:rPr>
        <w:footnoteRef/>
      </w:r>
      <w:r w:rsidRPr="00291C99">
        <w:t xml:space="preserve"> </w:t>
      </w:r>
      <w:r w:rsidRPr="00291C99">
        <w:rPr>
          <w:i/>
        </w:rPr>
        <w:t>See supra</w:t>
      </w:r>
      <w:r>
        <w:t xml:space="preserve"> paras. 12-24</w:t>
      </w:r>
      <w:r w:rsidRPr="00291C99">
        <w:t xml:space="preserve"> (discussing the type of data that callers need from a reassigned numbers database, the frequency with which they need such information, and the format in which they need such information).</w:t>
      </w:r>
    </w:p>
  </w:footnote>
  <w:footnote w:id="76">
    <w:p w:rsidR="00E06D4D" w:rsidRPr="00291C99" w14:paraId="14D630C0" w14:textId="77777777">
      <w:pPr>
        <w:pStyle w:val="FootnoteText"/>
      </w:pPr>
      <w:r w:rsidRPr="00291C99">
        <w:rPr>
          <w:rStyle w:val="FootnoteReference"/>
        </w:rPr>
        <w:footnoteRef/>
      </w:r>
      <w:r w:rsidRPr="00291C99">
        <w:t xml:space="preserve"> NTCA Comments at 4.</w:t>
      </w:r>
    </w:p>
  </w:footnote>
  <w:footnote w:id="77">
    <w:p w:rsidR="00E06D4D" w:rsidRPr="00291C99" w14:paraId="78190086" w14:textId="77777777">
      <w:pPr>
        <w:pStyle w:val="FootnoteText"/>
      </w:pPr>
      <w:r w:rsidRPr="00291C99">
        <w:rPr>
          <w:rStyle w:val="FootnoteReference"/>
        </w:rPr>
        <w:footnoteRef/>
      </w:r>
      <w:r w:rsidRPr="00291C99">
        <w:t xml:space="preserve"> CPNI cannot be disclosed without customer consent and must be disclosed as directed by the customer.  </w:t>
      </w:r>
      <w:r w:rsidRPr="00291C99">
        <w:rPr>
          <w:i/>
        </w:rPr>
        <w:t>See</w:t>
      </w:r>
      <w:r w:rsidRPr="00291C99">
        <w:t xml:space="preserve"> 47 CFR §§ 64.2001-12.</w:t>
      </w:r>
    </w:p>
  </w:footnote>
  <w:footnote w:id="78">
    <w:p w:rsidR="00E06D4D" w:rsidRPr="00291C99" w:rsidP="00E0535A" w14:paraId="72361F85" w14:textId="77777777">
      <w:pPr>
        <w:pStyle w:val="FootnoteText"/>
      </w:pPr>
      <w:r w:rsidRPr="00291C99">
        <w:rPr>
          <w:rStyle w:val="FootnoteReference"/>
        </w:rPr>
        <w:footnoteRef/>
      </w:r>
      <w:r w:rsidRPr="00291C99">
        <w:t xml:space="preserve"> </w:t>
      </w:r>
      <w:r w:rsidRPr="00291C99">
        <w:rPr>
          <w:i/>
        </w:rPr>
        <w:t xml:space="preserve">See, e.g., </w:t>
      </w:r>
      <w:r w:rsidRPr="00291C99">
        <w:t xml:space="preserve">AFSA Comments at 4; Comcast Comments at 16; CTIA Comments at 14; NCLC </w:t>
      </w:r>
      <w:r w:rsidRPr="00291C99">
        <w:rPr>
          <w:i/>
        </w:rPr>
        <w:t>et al.</w:t>
      </w:r>
      <w:r w:rsidRPr="00291C99">
        <w:t xml:space="preserve"> Comments at 7.</w:t>
      </w:r>
    </w:p>
  </w:footnote>
  <w:footnote w:id="79">
    <w:p w:rsidR="00E06D4D" w:rsidRPr="00291C99" w:rsidP="00E0535A" w14:paraId="2164217C" w14:textId="77777777">
      <w:pPr>
        <w:pStyle w:val="FootnoteText"/>
      </w:pPr>
      <w:r w:rsidRPr="00291C99">
        <w:rPr>
          <w:rStyle w:val="FootnoteReference"/>
        </w:rPr>
        <w:footnoteRef/>
      </w:r>
      <w:r w:rsidRPr="00291C99">
        <w:t xml:space="preserve"> CTIA Comments at 14.</w:t>
      </w:r>
    </w:p>
  </w:footnote>
  <w:footnote w:id="80">
    <w:p w:rsidR="00E06D4D" w:rsidRPr="00291C99" w:rsidP="00E0535A" w14:paraId="196568BE" w14:textId="77777777">
      <w:pPr>
        <w:pStyle w:val="FootnoteText"/>
      </w:pPr>
      <w:r w:rsidRPr="00291C99">
        <w:rPr>
          <w:rStyle w:val="FootnoteReference"/>
        </w:rPr>
        <w:footnoteRef/>
      </w:r>
      <w:r w:rsidRPr="00291C99">
        <w:t xml:space="preserve"> NCLC </w:t>
      </w:r>
      <w:r w:rsidRPr="00291C99">
        <w:rPr>
          <w:i/>
        </w:rPr>
        <w:t>et al.</w:t>
      </w:r>
      <w:r w:rsidRPr="00291C99">
        <w:t xml:space="preserve"> Comments at 7.</w:t>
      </w:r>
    </w:p>
  </w:footnote>
  <w:footnote w:id="81">
    <w:p w:rsidR="00E06D4D" w14:paraId="7AB7FD2B" w14:textId="1A1968EC">
      <w:pPr>
        <w:pStyle w:val="FootnoteText"/>
      </w:pPr>
      <w:r>
        <w:rPr>
          <w:rStyle w:val="FootnoteReference"/>
        </w:rPr>
        <w:footnoteRef/>
      </w:r>
      <w:r>
        <w:t xml:space="preserve"> </w:t>
      </w:r>
      <w:r w:rsidRPr="00527200">
        <w:rPr>
          <w:i/>
        </w:rPr>
        <w:t>See, e.g.,</w:t>
      </w:r>
      <w:r>
        <w:t xml:space="preserve"> Blackboard Comments at 8; Insights Association Comments at 4; NAFICU Comments at 1; NRF Comments at 6; NCTA Comments at 4; RILA Comments at 9.</w:t>
      </w:r>
    </w:p>
  </w:footnote>
  <w:footnote w:id="82">
    <w:p w:rsidR="00E06D4D" w:rsidRPr="00291C99" w:rsidP="00B72A56" w14:paraId="626FFA91" w14:textId="77777777">
      <w:pPr>
        <w:pStyle w:val="FootnoteText"/>
      </w:pPr>
      <w:r w:rsidRPr="00291C99">
        <w:rPr>
          <w:rStyle w:val="FootnoteReference"/>
        </w:rPr>
        <w:footnoteRef/>
      </w:r>
      <w:r w:rsidRPr="00291C99">
        <w:t xml:space="preserve"> </w:t>
      </w:r>
      <w:r w:rsidRPr="00291C99">
        <w:rPr>
          <w:i/>
        </w:rPr>
        <w:t>See</w:t>
      </w:r>
      <w:r w:rsidRPr="00291C99">
        <w:t xml:space="preserve"> ABA Reply Comments at 6; Comcast Comments at 12; RILA Comments at 15-16.</w:t>
      </w:r>
    </w:p>
  </w:footnote>
  <w:footnote w:id="83">
    <w:p w:rsidR="00E06D4D" w:rsidRPr="00291C99" w:rsidP="00B72A56" w14:paraId="7CEC79B1" w14:textId="77777777">
      <w:pPr>
        <w:pStyle w:val="FootnoteText"/>
      </w:pPr>
      <w:r w:rsidRPr="00291C99">
        <w:rPr>
          <w:rStyle w:val="FootnoteReference"/>
        </w:rPr>
        <w:footnoteRef/>
      </w:r>
      <w:r w:rsidRPr="00291C99">
        <w:t xml:space="preserve"> </w:t>
      </w:r>
      <w:r w:rsidRPr="00291C99">
        <w:rPr>
          <w:i/>
        </w:rPr>
        <w:t>See</w:t>
      </w:r>
      <w:r w:rsidRPr="00291C99">
        <w:t xml:space="preserve"> NRF Comments at 6-7; RILA Comments at 9-10. </w:t>
      </w:r>
    </w:p>
  </w:footnote>
  <w:footnote w:id="84">
    <w:p w:rsidR="00E06D4D" w:rsidRPr="00291C99" w:rsidP="00A471E4" w14:paraId="17058685" w14:textId="77777777">
      <w:pPr>
        <w:pStyle w:val="FootnoteText"/>
      </w:pPr>
      <w:r w:rsidRPr="00291C99">
        <w:rPr>
          <w:rStyle w:val="FootnoteReference"/>
        </w:rPr>
        <w:footnoteRef/>
      </w:r>
      <w:r w:rsidRPr="00291C99">
        <w:t xml:space="preserve"> NCTA Comments at 4.</w:t>
      </w:r>
    </w:p>
  </w:footnote>
  <w:footnote w:id="85">
    <w:p w:rsidR="00E06D4D" w:rsidRPr="00291C99" w:rsidP="00B72A56" w14:paraId="4A0662AC" w14:textId="616C77E8">
      <w:pPr>
        <w:pStyle w:val="FootnoteText"/>
      </w:pPr>
      <w:r w:rsidRPr="00291C99">
        <w:rPr>
          <w:rStyle w:val="FootnoteReference"/>
        </w:rPr>
        <w:footnoteRef/>
      </w:r>
      <w:r w:rsidRPr="00291C99">
        <w:t xml:space="preserve"> </w:t>
      </w:r>
      <w:r w:rsidRPr="00291C99">
        <w:rPr>
          <w:i/>
        </w:rPr>
        <w:t xml:space="preserve">See </w:t>
      </w:r>
      <w:r w:rsidRPr="00291C99">
        <w:t xml:space="preserve">Adva Mobile </w:t>
      </w:r>
      <w:r>
        <w:t xml:space="preserve">Corp. </w:t>
      </w:r>
      <w:r>
        <w:rPr>
          <w:i/>
        </w:rPr>
        <w:t xml:space="preserve">et al. </w:t>
      </w:r>
      <w:r w:rsidRPr="00291C99">
        <w:t xml:space="preserve">Reply Comments at 3; </w:t>
      </w:r>
      <w:r w:rsidRPr="00291C99">
        <w:rPr>
          <w:i/>
        </w:rPr>
        <w:t>see also</w:t>
      </w:r>
      <w:r w:rsidRPr="00291C99">
        <w:t xml:space="preserve"> CTIA Comments at 13-1</w:t>
      </w:r>
      <w:r>
        <w:t>5 (arguing that a single database approach would involve several complex technical and operational challenges)</w:t>
      </w:r>
      <w:r w:rsidRPr="00291C99">
        <w:t>.</w:t>
      </w:r>
    </w:p>
  </w:footnote>
  <w:footnote w:id="86">
    <w:p w:rsidR="00E06D4D" w:rsidRPr="00291C99" w14:paraId="2A774EB6" w14:textId="586798F8">
      <w:pPr>
        <w:pStyle w:val="FootnoteText"/>
      </w:pPr>
      <w:r w:rsidRPr="00291C99">
        <w:rPr>
          <w:rStyle w:val="FootnoteReference"/>
        </w:rPr>
        <w:footnoteRef/>
      </w:r>
      <w:r w:rsidRPr="00291C99">
        <w:t xml:space="preserve"> </w:t>
      </w:r>
      <w:r w:rsidRPr="00291C99">
        <w:rPr>
          <w:i/>
        </w:rPr>
        <w:t>See supra</w:t>
      </w:r>
      <w:r>
        <w:t xml:space="preserve"> paras. 39-41</w:t>
      </w:r>
      <w:r w:rsidRPr="00291C99">
        <w:t>.</w:t>
      </w:r>
    </w:p>
  </w:footnote>
  <w:footnote w:id="87">
    <w:p w:rsidR="00E06D4D" w14:paraId="3E1355BD" w14:textId="4B8AA091">
      <w:pPr>
        <w:pStyle w:val="FootnoteText"/>
      </w:pPr>
      <w:r w:rsidRPr="00291C99">
        <w:rPr>
          <w:rStyle w:val="FootnoteReference"/>
        </w:rPr>
        <w:footnoteRef/>
      </w:r>
      <w:r w:rsidRPr="00291C99">
        <w:t xml:space="preserve"> </w:t>
      </w:r>
      <w:r w:rsidRPr="00291C99">
        <w:rPr>
          <w:i/>
        </w:rPr>
        <w:t>See supra</w:t>
      </w:r>
      <w:r>
        <w:t xml:space="preserve"> para. 42</w:t>
      </w:r>
      <w:r w:rsidRPr="00291C99">
        <w:t>.</w:t>
      </w:r>
    </w:p>
  </w:footnote>
  <w:footnote w:id="88">
    <w:p w:rsidR="00E06D4D" w:rsidRPr="00291C99" w:rsidP="00ED4A2D" w14:paraId="06CD014A" w14:textId="209DFAF0">
      <w:pPr>
        <w:pStyle w:val="FootnoteText"/>
      </w:pPr>
      <w:r>
        <w:rPr>
          <w:rStyle w:val="FootnoteReference"/>
        </w:rPr>
        <w:footnoteRef/>
      </w:r>
      <w:r>
        <w:t xml:space="preserve"> </w:t>
      </w:r>
      <w:r w:rsidRPr="004A7C9E">
        <w:rPr>
          <w:i/>
        </w:rPr>
        <w:t xml:space="preserve">See </w:t>
      </w:r>
      <w:r w:rsidRPr="00291C99">
        <w:rPr>
          <w:i/>
        </w:rPr>
        <w:t>supra</w:t>
      </w:r>
      <w:r>
        <w:t xml:space="preserve"> para. 45</w:t>
      </w:r>
      <w:r w:rsidRPr="00291C99">
        <w:rPr>
          <w:b/>
        </w:rPr>
        <w:t xml:space="preserve"> </w:t>
      </w:r>
      <w:r>
        <w:t>&amp; note 83</w:t>
      </w:r>
      <w:r w:rsidRPr="00291C99">
        <w:t>.</w:t>
      </w:r>
    </w:p>
  </w:footnote>
  <w:footnote w:id="89">
    <w:p w:rsidR="00E06D4D" w:rsidRPr="00291C99" w:rsidP="00ED4A2D" w14:paraId="01B72E42" w14:textId="2DDD5D31">
      <w:pPr>
        <w:pStyle w:val="FootnoteText"/>
      </w:pPr>
      <w:r w:rsidRPr="00291C99">
        <w:rPr>
          <w:rStyle w:val="FootnoteReference"/>
        </w:rPr>
        <w:footnoteRef/>
      </w:r>
      <w:r w:rsidRPr="00291C99">
        <w:t xml:space="preserve"> </w:t>
      </w:r>
      <w:r w:rsidRPr="00291C99">
        <w:rPr>
          <w:i/>
        </w:rPr>
        <w:t>See supra</w:t>
      </w:r>
      <w:r>
        <w:t xml:space="preserve"> note 82.</w:t>
      </w:r>
    </w:p>
  </w:footnote>
  <w:footnote w:id="90">
    <w:p w:rsidR="00E06D4D" w:rsidRPr="00291C99" w:rsidP="00B31370" w14:paraId="6B763A32" w14:textId="228AD3A5">
      <w:pPr>
        <w:pStyle w:val="FootnoteText"/>
      </w:pPr>
      <w:r w:rsidRPr="00291C99">
        <w:rPr>
          <w:rStyle w:val="FootnoteReference"/>
        </w:rPr>
        <w:footnoteRef/>
      </w:r>
      <w:r w:rsidRPr="00291C99">
        <w:t xml:space="preserve"> </w:t>
      </w:r>
      <w:r w:rsidRPr="00291C99">
        <w:rPr>
          <w:i/>
        </w:rPr>
        <w:t xml:space="preserve">See supra </w:t>
      </w:r>
      <w:r>
        <w:t>para. 11</w:t>
      </w:r>
      <w:r w:rsidRPr="00291C99">
        <w:t>.</w:t>
      </w:r>
    </w:p>
  </w:footnote>
  <w:footnote w:id="91">
    <w:p w:rsidR="00E06D4D" w:rsidRPr="00291C99" w14:paraId="31A36E0E" w14:textId="4FCA58B2">
      <w:pPr>
        <w:pStyle w:val="FootnoteText"/>
      </w:pPr>
      <w:r w:rsidRPr="00291C99">
        <w:rPr>
          <w:rStyle w:val="FootnoteReference"/>
        </w:rPr>
        <w:footnoteRef/>
      </w:r>
      <w:r w:rsidRPr="00291C99">
        <w:t xml:space="preserve"> </w:t>
      </w:r>
      <w:r w:rsidRPr="00291C99">
        <w:rPr>
          <w:i/>
        </w:rPr>
        <w:t xml:space="preserve">See, e.g., </w:t>
      </w:r>
      <w:r w:rsidRPr="00291C99">
        <w:t xml:space="preserve">CTIA Comments at 8-9; CenturyLink Reply Comments at 4; </w:t>
      </w:r>
      <w:r>
        <w:t xml:space="preserve">The Electronics Transaction Association </w:t>
      </w:r>
      <w:r w:rsidRPr="00291C99">
        <w:t>Comments at 3</w:t>
      </w:r>
      <w:r>
        <w:t xml:space="preserve"> (ETA)</w:t>
      </w:r>
      <w:r w:rsidRPr="00291C99">
        <w:t>.</w:t>
      </w:r>
    </w:p>
  </w:footnote>
  <w:footnote w:id="92">
    <w:p w:rsidR="00E06D4D" w:rsidRPr="00291C99" w14:paraId="65C1CA0D" w14:textId="69DF03A3">
      <w:pPr>
        <w:pStyle w:val="FootnoteText"/>
      </w:pPr>
      <w:r w:rsidRPr="00291C99">
        <w:rPr>
          <w:rStyle w:val="FootnoteReference"/>
        </w:rPr>
        <w:footnoteRef/>
      </w:r>
      <w:r w:rsidRPr="00291C99">
        <w:t xml:space="preserve"> </w:t>
      </w:r>
      <w:r w:rsidRPr="00291C99">
        <w:rPr>
          <w:i/>
        </w:rPr>
        <w:t>See supra</w:t>
      </w:r>
      <w:r>
        <w:t xml:space="preserve"> note 52</w:t>
      </w:r>
      <w:r w:rsidRPr="00291C99">
        <w:t>.</w:t>
      </w:r>
    </w:p>
  </w:footnote>
  <w:footnote w:id="93">
    <w:p w:rsidR="00E06D4D" w14:paraId="5671530D" w14:textId="12C08796">
      <w:pPr>
        <w:pStyle w:val="FootnoteText"/>
      </w:pPr>
      <w:r w:rsidRPr="00291C99">
        <w:rPr>
          <w:rStyle w:val="FootnoteReference"/>
        </w:rPr>
        <w:footnoteRef/>
      </w:r>
      <w:r w:rsidRPr="00291C99">
        <w:t xml:space="preserve"> </w:t>
      </w:r>
      <w:r w:rsidRPr="00291C99">
        <w:rPr>
          <w:i/>
        </w:rPr>
        <w:t>See supra</w:t>
      </w:r>
      <w:r>
        <w:t xml:space="preserve"> paras. 47-48</w:t>
      </w:r>
      <w:r w:rsidRPr="00291C99">
        <w:t>.</w:t>
      </w:r>
    </w:p>
  </w:footnote>
  <w:footnote w:id="94">
    <w:p w:rsidR="00E06D4D" w:rsidRPr="004F6B9B" w:rsidP="00ED42CF" w14:paraId="548BFD00" w14:textId="77777777">
      <w:pPr>
        <w:pStyle w:val="FootnoteText"/>
      </w:pPr>
      <w:r>
        <w:rPr>
          <w:rStyle w:val="FootnoteReference"/>
        </w:rPr>
        <w:footnoteRef/>
      </w:r>
      <w:r>
        <w:t xml:space="preserve"> Distributed Ledger Technology, sometimes referred to as “blockchain technology,” refers to a “novel and fast-evolving approach to recording and sharing data across multiple data stores (or ledgers).  This technology allows for transactions and data to be recorded, shared, and synchronized across a distributed network of different network participants.”  World Bank, Distributed Ledger Technology (DLT) and Blockchain at iv (2017); </w:t>
      </w:r>
      <w:r>
        <w:fldChar w:fldCharType="begin"/>
      </w:r>
      <w:r>
        <w:instrText xml:space="preserve"> HYPERLINK "http://documents.worldbank.org/curated/en/177911513714062215/pdf/122140-WP-PUBLIC-Distributed-Ledger-Technology-and-Blockchain-Fintech-Notes.pdf" </w:instrText>
      </w:r>
      <w:r>
        <w:fldChar w:fldCharType="separate"/>
      </w:r>
      <w:r w:rsidRPr="00B80535">
        <w:rPr>
          <w:rStyle w:val="Hyperlink"/>
        </w:rPr>
        <w:t>http://documents.worldbank.org/curated/en/177911513714062215/pdf/122140-WP-PUBLIC-Distributed-Ledger-Technology-and-Blockchain-Fintech-Notes.pdf</w:t>
      </w:r>
      <w:r>
        <w:fldChar w:fldCharType="end"/>
      </w:r>
      <w:r>
        <w:t xml:space="preserve">. </w:t>
      </w:r>
    </w:p>
  </w:footnote>
  <w:footnote w:id="95">
    <w:p w:rsidR="00E06D4D" w:rsidP="00D63EBF" w14:paraId="1975DCB1" w14:textId="77777777">
      <w:pPr>
        <w:pStyle w:val="FootnoteText"/>
      </w:pPr>
      <w:r>
        <w:rPr>
          <w:rStyle w:val="FootnoteReference"/>
        </w:rPr>
        <w:footnoteRef/>
      </w:r>
      <w:r>
        <w:t xml:space="preserve"> </w:t>
      </w:r>
      <w:r>
        <w:rPr>
          <w:i/>
        </w:rPr>
        <w:t>See</w:t>
      </w:r>
      <w:r>
        <w:t xml:space="preserve"> 5 U.S.C. § 603.</w:t>
      </w:r>
    </w:p>
  </w:footnote>
  <w:footnote w:id="96">
    <w:p w:rsidR="00E06D4D" w:rsidP="00D63EBF" w14:paraId="59A03729" w14:textId="77777777">
      <w:pPr>
        <w:pStyle w:val="FootnoteText"/>
      </w:pPr>
      <w:r>
        <w:rPr>
          <w:rStyle w:val="FootnoteReference"/>
          <w:szCs w:val="22"/>
        </w:rPr>
        <w:footnoteRef/>
      </w:r>
      <w:r>
        <w:rPr>
          <w:rStyle w:val="FootnoteReference"/>
          <w:szCs w:val="22"/>
        </w:rPr>
        <w:t xml:space="preserve"> </w:t>
      </w:r>
      <w:r>
        <w:rPr>
          <w:rStyle w:val="FootnoteReference"/>
          <w:i/>
          <w:vertAlign w:val="baseline"/>
        </w:rPr>
        <w:t>See</w:t>
      </w:r>
      <w:r>
        <w:rPr>
          <w:rStyle w:val="FootnoteReference"/>
          <w:vertAlign w:val="baseline"/>
        </w:rPr>
        <w:t xml:space="preserve"> </w:t>
      </w:r>
      <w:r>
        <w:rPr>
          <w:i/>
        </w:rPr>
        <w:t xml:space="preserve">id. </w:t>
      </w:r>
      <w:r>
        <w:rPr>
          <w:rStyle w:val="FootnoteReference"/>
          <w:vertAlign w:val="baseline"/>
        </w:rPr>
        <w:t>§ 603(a).</w:t>
      </w:r>
      <w:r w:rsidRPr="00AE7251">
        <w:rPr>
          <w:rStyle w:val="FootnoteReference"/>
          <w:vertAlign w:val="baseline"/>
        </w:rPr>
        <w:t xml:space="preserve">  </w:t>
      </w:r>
      <w:r>
        <w:rPr>
          <w:rStyle w:val="FootnoteReference"/>
          <w:vertAlign w:val="baseline"/>
        </w:rPr>
        <w:t xml:space="preserve">In addition, the </w:t>
      </w:r>
      <w:r>
        <w:rPr>
          <w:i/>
        </w:rPr>
        <w:t xml:space="preserve">Second Further </w:t>
      </w:r>
      <w:r w:rsidRPr="00AD5D67">
        <w:rPr>
          <w:rStyle w:val="FootnoteReference"/>
          <w:i/>
          <w:vertAlign w:val="baseline"/>
        </w:rPr>
        <w:t>Notice</w:t>
      </w:r>
      <w:r w:rsidRPr="00134FB6">
        <w:rPr>
          <w:i/>
        </w:rPr>
        <w:t xml:space="preserve"> </w:t>
      </w:r>
      <w:r>
        <w:rPr>
          <w:i/>
        </w:rPr>
        <w:t>of Proposed Rulemaking</w:t>
      </w:r>
      <w:r>
        <w:rPr>
          <w:rStyle w:val="FootnoteReference"/>
          <w:vertAlign w:val="baseline"/>
        </w:rPr>
        <w:t xml:space="preserve"> and IRFA (or summaries thereof) will be published in the Federal Register</w:t>
      </w:r>
      <w:r>
        <w:rPr>
          <w:rStyle w:val="FootnoteTextChar"/>
        </w:rPr>
        <w:t>.</w:t>
      </w:r>
    </w:p>
  </w:footnote>
  <w:footnote w:id="97">
    <w:p w:rsidR="00E06D4D" w:rsidP="00D63EBF" w14:paraId="7270F6F5" w14:textId="77777777">
      <w:pPr>
        <w:pStyle w:val="FootnoteText"/>
      </w:pPr>
      <w:r>
        <w:rPr>
          <w:rStyle w:val="FootnoteReference"/>
        </w:rPr>
        <w:footnoteRef/>
      </w:r>
      <w:r>
        <w:t xml:space="preserve"> </w:t>
      </w:r>
      <w:r>
        <w:rPr>
          <w:lang w:val="es-CL"/>
        </w:rPr>
        <w:t>Pub. L. No. 104-13.</w:t>
      </w:r>
    </w:p>
  </w:footnote>
  <w:footnote w:id="98">
    <w:p w:rsidR="00E06D4D" w:rsidP="00D63EBF" w14:paraId="72BF17C0" w14:textId="77777777">
      <w:pPr>
        <w:pStyle w:val="FootnoteText"/>
        <w:rPr>
          <w:lang w:val="es-ES"/>
        </w:rPr>
      </w:pPr>
      <w:r>
        <w:rPr>
          <w:rStyle w:val="FootnoteReference"/>
        </w:rPr>
        <w:footnoteRef/>
      </w:r>
      <w:r>
        <w:rPr>
          <w:lang w:val="es-CL"/>
        </w:rPr>
        <w:t xml:space="preserve"> Pub. L. No. 107-198.</w:t>
      </w:r>
    </w:p>
  </w:footnote>
  <w:footnote w:id="99">
    <w:p w:rsidR="00E06D4D" w:rsidP="00D63EBF" w14:paraId="27FF1F9B" w14:textId="77777777">
      <w:pPr>
        <w:pStyle w:val="FootnoteText"/>
      </w:pPr>
      <w:r>
        <w:rPr>
          <w:rStyle w:val="FootnoteReference"/>
        </w:rPr>
        <w:footnoteRef/>
      </w:r>
      <w:r>
        <w:t xml:space="preserve"> 44 U.S.C. § 3506(c)(4).</w:t>
      </w:r>
    </w:p>
  </w:footnote>
  <w:footnote w:id="100">
    <w:p w:rsidR="00E06D4D" w:rsidRPr="00E169D5" w:rsidP="00D63EBF" w14:paraId="016C44B8" w14:textId="77777777">
      <w:pPr>
        <w:pStyle w:val="FootnoteText"/>
        <w:rPr>
          <w:i/>
          <w:iCs/>
        </w:rPr>
      </w:pPr>
      <w:r>
        <w:rPr>
          <w:rStyle w:val="FootnoteReference"/>
        </w:rPr>
        <w:footnoteRef/>
      </w:r>
      <w:r>
        <w:t xml:space="preserve"> 47 CFR §§ 1.1200 </w:t>
      </w:r>
      <w:r>
        <w:rPr>
          <w:i/>
          <w:iCs/>
        </w:rPr>
        <w:t>et seq.</w:t>
      </w:r>
    </w:p>
  </w:footnote>
  <w:footnote w:id="101">
    <w:p w:rsidR="00E06D4D" w:rsidP="00D63EBF" w14:paraId="3194FE4B" w14:textId="77777777">
      <w:pPr>
        <w:pStyle w:val="FootnoteText"/>
      </w:pPr>
      <w:r>
        <w:rPr>
          <w:rStyle w:val="FootnoteReference"/>
        </w:rPr>
        <w:footnoteRef/>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102">
    <w:p w:rsidR="00E06D4D" w:rsidP="00D63EBF" w14:paraId="3BEC469C" w14:textId="77777777">
      <w:pPr>
        <w:pStyle w:val="FootnoteText"/>
      </w:pPr>
      <w:r>
        <w:rPr>
          <w:rStyle w:val="FootnoteReference"/>
        </w:rPr>
        <w:footnoteRef/>
      </w:r>
      <w:r>
        <w:t xml:space="preserve"> 5 U.S.C. § 603(a).</w:t>
      </w:r>
    </w:p>
  </w:footnote>
  <w:footnote w:id="103">
    <w:p w:rsidR="00E06D4D" w:rsidP="00D63EBF" w14:paraId="725D98F6" w14:textId="77777777">
      <w:pPr>
        <w:pStyle w:val="FootnoteText"/>
      </w:pPr>
      <w:r>
        <w:rPr>
          <w:rStyle w:val="FootnoteReference"/>
        </w:rPr>
        <w:footnoteRef/>
      </w:r>
      <w:r>
        <w:t xml:space="preserve"> </w:t>
      </w:r>
      <w:r>
        <w:rPr>
          <w:i/>
        </w:rPr>
        <w:t>Id.</w:t>
      </w:r>
    </w:p>
  </w:footnote>
  <w:footnote w:id="104">
    <w:p w:rsidR="00E06D4D" w:rsidP="00EF7873" w14:paraId="0BC20610" w14:textId="70D7791D">
      <w:pPr>
        <w:pStyle w:val="FootnoteText"/>
      </w:pPr>
      <w:r>
        <w:rPr>
          <w:rStyle w:val="FootnoteReference"/>
        </w:rPr>
        <w:footnoteRef/>
      </w:r>
      <w:r>
        <w:t xml:space="preserve"> </w:t>
      </w:r>
      <w:r w:rsidRPr="0056340A">
        <w:t>A number is disconnected when it is n</w:t>
      </w:r>
      <w:r>
        <w:t>o longer used to route calls to the disconnecting</w:t>
      </w:r>
      <w:r w:rsidRPr="0056340A">
        <w:t xml:space="preserve"> subscriber of record</w:t>
      </w:r>
      <w:r>
        <w:t xml:space="preserve">.  </w:t>
      </w:r>
      <w:r w:rsidRPr="00573F02">
        <w:rPr>
          <w:i/>
        </w:rPr>
        <w:t>See</w:t>
      </w:r>
      <w:r>
        <w:rPr>
          <w:i/>
        </w:rPr>
        <w:t>, e.g.,</w:t>
      </w:r>
      <w:r w:rsidRPr="00573F02">
        <w:rPr>
          <w:i/>
        </w:rPr>
        <w:t xml:space="preserve"> </w:t>
      </w:r>
      <w:r w:rsidRPr="00573F02">
        <w:t xml:space="preserve">Alliance for Telecommunications Industry Solutions, </w:t>
      </w:r>
      <w:r>
        <w:t xml:space="preserve">ATIS-0300051 - </w:t>
      </w:r>
      <w:r w:rsidRPr="00573F02">
        <w:t>Central Office Code (NXX) Assignment Guidelines (COCAG</w:t>
      </w:r>
      <w:r>
        <w:t xml:space="preserve">) </w:t>
      </w:r>
      <w:r w:rsidRPr="00573F02">
        <w:t>at 46 (2013).</w:t>
      </w:r>
      <w:r>
        <w:t xml:space="preserve">  Once a number is disconnected it can be designated as an “aging number” for a period of time and thereafter reassigned to a new subscriber.  </w:t>
      </w:r>
      <w:r w:rsidRPr="008D7168">
        <w:rPr>
          <w:i/>
        </w:rPr>
        <w:t xml:space="preserve">See </w:t>
      </w:r>
      <w:r w:rsidRPr="005B10B5">
        <w:t>47 CFR § 52.15(f)(ii) (“Aging numbers are disconnected numbers that are not available for assignment to another end user or customer for a specified period of time.  Numbers previously assigned to residential customers may be aged for no more than 90 days.”).</w:t>
      </w:r>
    </w:p>
  </w:footnote>
  <w:footnote w:id="105">
    <w:p w:rsidR="00E06D4D" w:rsidP="00EF7873" w14:paraId="2D6F4E7C" w14:textId="472B686B">
      <w:pPr>
        <w:pStyle w:val="FootnoteText"/>
      </w:pPr>
      <w:r>
        <w:rPr>
          <w:rStyle w:val="FootnoteReference"/>
        </w:rPr>
        <w:footnoteRef/>
      </w:r>
      <w:r>
        <w:t xml:space="preserve"> </w:t>
      </w:r>
      <w:r w:rsidRPr="00321033">
        <w:rPr>
          <w:i/>
        </w:rPr>
        <w:t>See, e.g.</w:t>
      </w:r>
      <w:r>
        <w:t>, District of Columbia Public Schools Comments at 2 (“Recipients of our mass notifications expect them and consider them an essential part of our educational role.”); Anthem, Inc. Reply Comments at 1 (Anthem) (explaining that the health care information transmitted by Anthem is welcomed by consumers and leads to better health outcomes); American Bankers Association Comments at 1 (ABA) (“Bankers regularly need to contact their customers with important, beneficial, and time-critical calls . . . .”).</w:t>
      </w:r>
    </w:p>
  </w:footnote>
  <w:footnote w:id="106">
    <w:p w:rsidR="00E06D4D" w:rsidRPr="000F549F" w:rsidP="00EF7873" w14:paraId="2222A724" w14:textId="5975E2F6">
      <w:pPr>
        <w:pStyle w:val="FootnoteText"/>
      </w:pPr>
      <w:r>
        <w:rPr>
          <w:rStyle w:val="FootnoteReference"/>
        </w:rPr>
        <w:footnoteRef/>
      </w:r>
      <w:r>
        <w:t xml:space="preserve"> </w:t>
      </w:r>
      <w:r>
        <w:rPr>
          <w:i/>
        </w:rPr>
        <w:t xml:space="preserve">See, e.g. </w:t>
      </w:r>
      <w:r>
        <w:t>Blackboard, Inc. Comments at 2-3 (Blackboard);</w:t>
      </w:r>
      <w:r>
        <w:rPr>
          <w:i/>
        </w:rPr>
        <w:t xml:space="preserve"> </w:t>
      </w:r>
      <w:r>
        <w:t xml:space="preserve">Comcast Corporation Comments at 2 (Comcast); Credit Union National Association Comments at 7 (CUNA); National Association of Federally Insured Credit Unions Comments at 2 (NAFICU); </w:t>
      </w:r>
      <w:r w:rsidRPr="00F26045">
        <w:t>NCTA – The Internet &amp; Television Association</w:t>
      </w:r>
      <w:r>
        <w:t xml:space="preserve"> Comments at 2 (NCTA); Tatango, Inc. Comments at 3 (Tatango).  The TCPA requires robocallers to obtain prior express consent before making robocalls, with the consent requirements varying based on whether the call goes to a wireless or a residential phone number and whether the call is for telemarketing purposes.  </w:t>
      </w:r>
      <w:r w:rsidRPr="00ED32E5">
        <w:rPr>
          <w:i/>
        </w:rPr>
        <w:t>See</w:t>
      </w:r>
      <w:r>
        <w:t xml:space="preserve"> 47 U.S.C. § 227(b)(1)(A); 47 CFR § 64.1200(a)(1)-(2); </w:t>
      </w:r>
      <w:r>
        <w:rPr>
          <w:i/>
        </w:rPr>
        <w:t>see also</w:t>
      </w:r>
      <w:r>
        <w:t xml:space="preserve"> </w:t>
      </w:r>
      <w:r>
        <w:rPr>
          <w:i/>
        </w:rPr>
        <w:t>Rules and Regulations Implementing the Telephone Consumer Protection Act of 1991</w:t>
      </w:r>
      <w:r>
        <w:t>, CG Docket No. 92-90, Report and Order, 7 FCC Rcd 8752 (1992).</w:t>
      </w:r>
    </w:p>
  </w:footnote>
  <w:footnote w:id="107">
    <w:p w:rsidR="00E06D4D" w:rsidRPr="00A15597" w:rsidP="00EF7873" w14:paraId="2672DD7B" w14:textId="77777777">
      <w:pPr>
        <w:pStyle w:val="FootnoteText"/>
      </w:pPr>
      <w:r>
        <w:rPr>
          <w:rStyle w:val="FootnoteReference"/>
        </w:rPr>
        <w:footnoteRef/>
      </w:r>
      <w:r>
        <w:t xml:space="preserve"> </w:t>
      </w:r>
      <w:r>
        <w:rPr>
          <w:i/>
        </w:rPr>
        <w:t>See, e.g.</w:t>
      </w:r>
      <w:r>
        <w:t>,</w:t>
      </w:r>
      <w:r>
        <w:rPr>
          <w:i/>
        </w:rPr>
        <w:t xml:space="preserve"> </w:t>
      </w:r>
      <w:r>
        <w:t>Blackboard Comments at 4; CUNA Reply Comments at 6.</w:t>
      </w:r>
    </w:p>
  </w:footnote>
  <w:footnote w:id="108">
    <w:p w:rsidR="00E06D4D" w:rsidP="0059066E" w14:paraId="1FA78383" w14:textId="5059E2C4">
      <w:pPr>
        <w:pStyle w:val="FootnoteText"/>
        <w:widowControl w:val="0"/>
      </w:pPr>
      <w:r>
        <w:rPr>
          <w:rStyle w:val="FootnoteReference"/>
        </w:rPr>
        <w:footnoteRef/>
      </w:r>
      <w:r>
        <w:t xml:space="preserve"> </w:t>
      </w:r>
      <w:r>
        <w:rPr>
          <w:i/>
        </w:rPr>
        <w:t>See, e.g.</w:t>
      </w:r>
      <w:r>
        <w:t xml:space="preserve">, Neustar TCPA Compliance Solutions, </w:t>
      </w:r>
      <w:r>
        <w:fldChar w:fldCharType="begin"/>
      </w:r>
      <w:r>
        <w:instrText xml:space="preserve"> HYPERLINK "https://www.neustar.biz/risk/compliance-solutions/tcpa" </w:instrText>
      </w:r>
      <w:r>
        <w:fldChar w:fldCharType="separate"/>
      </w:r>
      <w:r>
        <w:rPr>
          <w:rStyle w:val="Hyperlink"/>
        </w:rPr>
        <w:t>https://www.neustar.biz/risk/compliance-solutions/tcpa</w:t>
      </w:r>
      <w:r>
        <w:fldChar w:fldCharType="end"/>
      </w:r>
      <w:r>
        <w:t xml:space="preserve"> (last visited Mar. 22, 2018); Danal TCPA Compliance Solution, </w:t>
      </w:r>
      <w:r>
        <w:fldChar w:fldCharType="begin"/>
      </w:r>
      <w:r>
        <w:instrText xml:space="preserve"> HYPERLINK "https://tcpaconfidence.com/" </w:instrText>
      </w:r>
      <w:r>
        <w:fldChar w:fldCharType="separate"/>
      </w:r>
      <w:r>
        <w:rPr>
          <w:rStyle w:val="Hyperlink"/>
        </w:rPr>
        <w:t>https://tcpaconfidence.com/</w:t>
      </w:r>
      <w:r>
        <w:fldChar w:fldCharType="end"/>
      </w:r>
      <w:r>
        <w:t xml:space="preserve"> (last visited Mar. 22, 2018); Payfone TCPA Compliance, </w:t>
      </w:r>
      <w:r>
        <w:fldChar w:fldCharType="begin"/>
      </w:r>
      <w:r>
        <w:instrText xml:space="preserve"> HYPERLINK "https://www.payfone.com/" </w:instrText>
      </w:r>
      <w:r>
        <w:fldChar w:fldCharType="separate"/>
      </w:r>
      <w:r w:rsidRPr="00A74486">
        <w:rPr>
          <w:rStyle w:val="Hyperlink"/>
        </w:rPr>
        <w:t>https://www.payfone.com/</w:t>
      </w:r>
      <w:r>
        <w:fldChar w:fldCharType="end"/>
      </w:r>
      <w:r>
        <w:t xml:space="preserve"> (last visited Mar. 22, 2018); </w:t>
      </w:r>
      <w:r>
        <w:rPr>
          <w:i/>
        </w:rPr>
        <w:t>see also</w:t>
      </w:r>
      <w:r>
        <w:t xml:space="preserve"> </w:t>
      </w:r>
      <w:r>
        <w:rPr>
          <w:i/>
        </w:rPr>
        <w:t>Rules and Regulations Implementing the Telephone Consumer Protection Act of 1991</w:t>
      </w:r>
      <w:r>
        <w:t>, Declaratory Ruling and Order, CG Docket No. 02-278, WC Docket No. 07-135, 30 FCC Rcd 7961, 7999 n.254 (2015) (</w:t>
      </w:r>
      <w:r>
        <w:rPr>
          <w:i/>
        </w:rPr>
        <w:t>2015 TCPA Declaratory Ruling</w:t>
      </w:r>
      <w:r>
        <w:t>) (citing comments stating that marketplace solutions to inform callers about reassigned numbers are available).</w:t>
      </w:r>
    </w:p>
  </w:footnote>
  <w:footnote w:id="109">
    <w:p w:rsidR="00E06D4D" w:rsidRPr="00295373" w:rsidP="0059066E" w14:paraId="786D0B88" w14:textId="77777777">
      <w:pPr>
        <w:pStyle w:val="FootnoteText"/>
      </w:pPr>
      <w:r>
        <w:rPr>
          <w:rStyle w:val="FootnoteReference"/>
        </w:rPr>
        <w:footnoteRef/>
      </w:r>
      <w:r>
        <w:t xml:space="preserve"> </w:t>
      </w:r>
      <w:r w:rsidRPr="00295373">
        <w:rPr>
          <w:i/>
        </w:rPr>
        <w:t xml:space="preserve">See </w:t>
      </w:r>
      <w:r>
        <w:rPr>
          <w:i/>
        </w:rPr>
        <w:t>2015 TCPA Declaratory Ruling</w:t>
      </w:r>
      <w:r>
        <w:t xml:space="preserve">, 30 FCC Rcd at 8007-08, para. 85; </w:t>
      </w:r>
      <w:r w:rsidRPr="00295373">
        <w:rPr>
          <w:i/>
        </w:rPr>
        <w:t>see also id.</w:t>
      </w:r>
      <w:r>
        <w:t xml:space="preserve"> at 8092 (Statement of Commissioner O’Rielly) (noting that existing solutions are incomplete and not timely updated).</w:t>
      </w:r>
    </w:p>
  </w:footnote>
  <w:footnote w:id="110">
    <w:p w:rsidR="00E06D4D" w:rsidRPr="007D6E0C" w14:paraId="0A606389" w14:textId="0FD1AD7C">
      <w:pPr>
        <w:pStyle w:val="FootnoteText"/>
      </w:pPr>
      <w:r>
        <w:rPr>
          <w:rStyle w:val="FootnoteReference"/>
        </w:rPr>
        <w:footnoteRef/>
      </w:r>
      <w:r>
        <w:t xml:space="preserve"> Second FNPRM at paras. 8-10</w:t>
      </w:r>
      <w:r w:rsidRPr="007D6E0C">
        <w:t>.</w:t>
      </w:r>
    </w:p>
  </w:footnote>
  <w:footnote w:id="111">
    <w:p w:rsidR="00E06D4D" w:rsidRPr="007D6E0C" w14:paraId="2ED72D74" w14:textId="2D3D5973">
      <w:pPr>
        <w:pStyle w:val="FootnoteText"/>
      </w:pPr>
      <w:r w:rsidRPr="007D6E0C">
        <w:rPr>
          <w:rStyle w:val="FootnoteReference"/>
        </w:rPr>
        <w:footnoteRef/>
      </w:r>
      <w:r w:rsidRPr="007D6E0C">
        <w:t xml:space="preserve"> </w:t>
      </w:r>
      <w:r w:rsidRPr="007D6E0C">
        <w:rPr>
          <w:i/>
        </w:rPr>
        <w:t>Id.</w:t>
      </w:r>
      <w:r>
        <w:t xml:space="preserve"> at paras. 34-45</w:t>
      </w:r>
      <w:r w:rsidRPr="007D6E0C">
        <w:t>.</w:t>
      </w:r>
    </w:p>
  </w:footnote>
  <w:footnote w:id="112">
    <w:p w:rsidR="00E06D4D" w:rsidRPr="007D6E0C" w14:paraId="0FF774D7" w14:textId="6F130B27">
      <w:pPr>
        <w:pStyle w:val="FootnoteText"/>
      </w:pPr>
      <w:r w:rsidRPr="007D6E0C">
        <w:rPr>
          <w:rStyle w:val="FootnoteReference"/>
        </w:rPr>
        <w:footnoteRef/>
      </w:r>
      <w:r w:rsidRPr="007D6E0C">
        <w:t xml:space="preserve"> </w:t>
      </w:r>
      <w:r w:rsidRPr="007D6E0C">
        <w:rPr>
          <w:i/>
        </w:rPr>
        <w:t>Id.</w:t>
      </w:r>
      <w:r>
        <w:t xml:space="preserve"> at paras. 46-55</w:t>
      </w:r>
      <w:r w:rsidRPr="007D6E0C">
        <w:t>.</w:t>
      </w:r>
    </w:p>
  </w:footnote>
  <w:footnote w:id="113">
    <w:p w:rsidR="00E06D4D" w:rsidRPr="007D6E0C" w14:paraId="234A0A57" w14:textId="26DCC48F">
      <w:pPr>
        <w:pStyle w:val="FootnoteText"/>
      </w:pPr>
      <w:r w:rsidRPr="007D6E0C">
        <w:rPr>
          <w:rStyle w:val="FootnoteReference"/>
        </w:rPr>
        <w:footnoteRef/>
      </w:r>
      <w:r w:rsidRPr="007D6E0C">
        <w:t xml:space="preserve"> </w:t>
      </w:r>
      <w:r w:rsidRPr="007D6E0C">
        <w:rPr>
          <w:i/>
        </w:rPr>
        <w:t>Id.</w:t>
      </w:r>
      <w:r>
        <w:t xml:space="preserve"> at paras. 56-60</w:t>
      </w:r>
      <w:r w:rsidRPr="007D6E0C">
        <w:t>.</w:t>
      </w:r>
    </w:p>
  </w:footnote>
  <w:footnote w:id="114">
    <w:p w:rsidR="00E06D4D" w:rsidRPr="007D6E0C" w:rsidP="00803331" w14:paraId="6A7B61DA" w14:textId="3CE8136C">
      <w:pPr>
        <w:pStyle w:val="FootnoteText"/>
      </w:pPr>
      <w:r w:rsidRPr="007D6E0C">
        <w:rPr>
          <w:rStyle w:val="FootnoteReference"/>
        </w:rPr>
        <w:footnoteRef/>
      </w:r>
      <w:r w:rsidRPr="007D6E0C">
        <w:t xml:space="preserve"> </w:t>
      </w:r>
      <w:r w:rsidRPr="007D6E0C">
        <w:rPr>
          <w:i/>
        </w:rPr>
        <w:t>Id.</w:t>
      </w:r>
      <w:r>
        <w:t xml:space="preserve"> at paras. 39-41, 49</w:t>
      </w:r>
      <w:r w:rsidRPr="007D6E0C">
        <w:t>.</w:t>
      </w:r>
    </w:p>
  </w:footnote>
  <w:footnote w:id="115">
    <w:p w:rsidR="00E06D4D" w:rsidRPr="007D6E0C" w14:paraId="1A65D585" w14:textId="5B7D19F9">
      <w:pPr>
        <w:pStyle w:val="FootnoteText"/>
      </w:pPr>
      <w:r w:rsidRPr="007D6E0C">
        <w:rPr>
          <w:rStyle w:val="FootnoteReference"/>
        </w:rPr>
        <w:footnoteRef/>
      </w:r>
      <w:r w:rsidRPr="007D6E0C">
        <w:t xml:space="preserve"> </w:t>
      </w:r>
      <w:r w:rsidRPr="007D6E0C">
        <w:rPr>
          <w:i/>
        </w:rPr>
        <w:t>Id.</w:t>
      </w:r>
      <w:r>
        <w:t xml:space="preserve"> at paras. 43, 52, 59</w:t>
      </w:r>
      <w:r w:rsidRPr="007D6E0C">
        <w:t>.</w:t>
      </w:r>
    </w:p>
  </w:footnote>
  <w:footnote w:id="116">
    <w:p w:rsidR="00E06D4D" w:rsidRPr="007D6E0C" w14:paraId="4FBD0351" w14:textId="7FB08179">
      <w:pPr>
        <w:pStyle w:val="FootnoteText"/>
      </w:pPr>
      <w:r w:rsidRPr="007D6E0C">
        <w:rPr>
          <w:rStyle w:val="FootnoteReference"/>
        </w:rPr>
        <w:footnoteRef/>
      </w:r>
      <w:r w:rsidRPr="007D6E0C">
        <w:t xml:space="preserve"> </w:t>
      </w:r>
      <w:r w:rsidRPr="007D6E0C">
        <w:rPr>
          <w:i/>
        </w:rPr>
        <w:t>Id.</w:t>
      </w:r>
      <w:r>
        <w:t xml:space="preserve"> at paras. 45, 55, 60</w:t>
      </w:r>
      <w:r w:rsidRPr="007D6E0C">
        <w:t>.</w:t>
      </w:r>
    </w:p>
  </w:footnote>
  <w:footnote w:id="117">
    <w:p w:rsidR="00E06D4D" w:rsidRPr="007D6E0C" w:rsidP="00D63EBF" w14:paraId="21351684" w14:textId="1B0E128C">
      <w:pPr>
        <w:pStyle w:val="FootnoteText"/>
      </w:pPr>
      <w:r w:rsidRPr="007D6E0C">
        <w:rPr>
          <w:rStyle w:val="FootnoteReference"/>
        </w:rPr>
        <w:footnoteRef/>
      </w:r>
      <w:r w:rsidRPr="007D6E0C">
        <w:t xml:space="preserve"> </w:t>
      </w:r>
      <w:r w:rsidRPr="007D6E0C">
        <w:rPr>
          <w:i/>
        </w:rPr>
        <w:t>Id.</w:t>
      </w:r>
      <w:r>
        <w:t xml:space="preserve"> at paras. 12-17</w:t>
      </w:r>
      <w:r w:rsidRPr="007D6E0C">
        <w:t>.</w:t>
      </w:r>
    </w:p>
  </w:footnote>
  <w:footnote w:id="118">
    <w:p w:rsidR="00E06D4D" w:rsidRPr="007D6E0C" w14:paraId="0CAD8280" w14:textId="38EE21B0">
      <w:pPr>
        <w:pStyle w:val="FootnoteText"/>
      </w:pPr>
      <w:r w:rsidRPr="007D6E0C">
        <w:rPr>
          <w:rStyle w:val="FootnoteReference"/>
        </w:rPr>
        <w:footnoteRef/>
      </w:r>
      <w:r w:rsidRPr="007D6E0C">
        <w:t xml:space="preserve"> </w:t>
      </w:r>
      <w:r w:rsidRPr="007D6E0C">
        <w:rPr>
          <w:i/>
        </w:rPr>
        <w:t>Id.</w:t>
      </w:r>
      <w:r>
        <w:t xml:space="preserve"> at paras. 18-31</w:t>
      </w:r>
      <w:r w:rsidRPr="007D6E0C">
        <w:t>.</w:t>
      </w:r>
    </w:p>
  </w:footnote>
  <w:footnote w:id="119">
    <w:p w:rsidR="00E06D4D" w:rsidP="00D63EBF" w14:paraId="777412FB" w14:textId="483E94D3">
      <w:pPr>
        <w:pStyle w:val="FootnoteText"/>
      </w:pPr>
      <w:r w:rsidRPr="007D6E0C">
        <w:rPr>
          <w:rStyle w:val="FootnoteReference"/>
        </w:rPr>
        <w:footnoteRef/>
      </w:r>
      <w:r w:rsidRPr="007D6E0C">
        <w:t xml:space="preserve"> </w:t>
      </w:r>
      <w:r w:rsidRPr="007D6E0C">
        <w:rPr>
          <w:i/>
        </w:rPr>
        <w:t>Id.</w:t>
      </w:r>
      <w:r>
        <w:t xml:space="preserve"> at paras. 31, 57</w:t>
      </w:r>
      <w:r w:rsidRPr="007D6E0C">
        <w:t>.</w:t>
      </w:r>
    </w:p>
  </w:footnote>
  <w:footnote w:id="120">
    <w:p w:rsidR="00E06D4D" w:rsidRPr="003E55FE" w:rsidP="00D63EBF" w14:paraId="3B092703" w14:textId="77777777">
      <w:pPr>
        <w:pStyle w:val="FootnoteText"/>
      </w:pPr>
      <w:r w:rsidRPr="003E55FE">
        <w:rPr>
          <w:rStyle w:val="FootnoteReference"/>
        </w:rPr>
        <w:footnoteRef/>
      </w:r>
      <w:r w:rsidRPr="003E55FE">
        <w:t xml:space="preserve"> </w:t>
      </w:r>
      <w:r w:rsidRPr="003E55FE">
        <w:rPr>
          <w:i/>
        </w:rPr>
        <w:t>See</w:t>
      </w:r>
      <w:r w:rsidRPr="003E55FE">
        <w:t xml:space="preserve"> 5 U.S.C. § 603(b)(3).</w:t>
      </w:r>
    </w:p>
  </w:footnote>
  <w:footnote w:id="121">
    <w:p w:rsidR="00E06D4D" w:rsidRPr="003E55FE" w:rsidP="00D63EBF" w14:paraId="692A736E" w14:textId="77777777">
      <w:pPr>
        <w:pStyle w:val="FootnoteText"/>
      </w:pPr>
      <w:r w:rsidRPr="003E55FE">
        <w:rPr>
          <w:rStyle w:val="FootnoteReference"/>
        </w:rPr>
        <w:footnoteRef/>
      </w:r>
      <w:r w:rsidRPr="003E55FE">
        <w:t xml:space="preserve"> </w:t>
      </w:r>
      <w:r w:rsidRPr="003E55FE">
        <w:rPr>
          <w:i/>
        </w:rPr>
        <w:t>See</w:t>
      </w:r>
      <w:r w:rsidRPr="003E55FE">
        <w:t xml:space="preserve"> 5 U.S.C. § 601(6).</w:t>
      </w:r>
    </w:p>
  </w:footnote>
  <w:footnote w:id="122">
    <w:p w:rsidR="00E06D4D" w:rsidRPr="003E55FE" w:rsidP="00D63EBF" w14:paraId="1C9B3EE5" w14:textId="77777777">
      <w:pPr>
        <w:pStyle w:val="FootnoteText"/>
      </w:pPr>
      <w:r w:rsidRPr="003E55FE">
        <w:rPr>
          <w:rStyle w:val="FootnoteReference"/>
        </w:rPr>
        <w:footnoteRef/>
      </w:r>
      <w:r w:rsidRPr="003E55FE">
        <w:t xml:space="preserve"> </w:t>
      </w:r>
      <w:r w:rsidRPr="003E55FE">
        <w:rPr>
          <w:i/>
        </w:rPr>
        <w:t>See</w:t>
      </w:r>
      <w:r w:rsidRPr="003E55FE">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23">
    <w:p w:rsidR="00E06D4D" w:rsidRPr="003E55FE" w:rsidP="00D63EBF" w14:paraId="0AC89B4E" w14:textId="77777777">
      <w:pPr>
        <w:pStyle w:val="FootnoteText"/>
      </w:pPr>
      <w:r w:rsidRPr="003E55FE">
        <w:rPr>
          <w:rStyle w:val="FootnoteReference"/>
        </w:rPr>
        <w:footnoteRef/>
      </w:r>
      <w:r w:rsidRPr="003E55FE">
        <w:t xml:space="preserve"> </w:t>
      </w:r>
      <w:r w:rsidRPr="003E55FE">
        <w:rPr>
          <w:i/>
        </w:rPr>
        <w:t>See</w:t>
      </w:r>
      <w:r w:rsidRPr="003E55FE">
        <w:t xml:space="preserve"> 15 U.S.C. § 632.</w:t>
      </w:r>
    </w:p>
  </w:footnote>
  <w:footnote w:id="124">
    <w:p w:rsidR="00E06D4D" w:rsidP="00D63EBF" w14:paraId="4CFAB715" w14:textId="77777777">
      <w:pPr>
        <w:pStyle w:val="FootnoteText"/>
      </w:pPr>
      <w:r w:rsidRPr="00046698">
        <w:rPr>
          <w:rStyle w:val="FootnoteReference"/>
        </w:rPr>
        <w:footnoteRef/>
      </w:r>
      <w:r w:rsidRPr="00046698">
        <w:t xml:space="preserve"> </w:t>
      </w:r>
      <w:r w:rsidRPr="00046698">
        <w:rPr>
          <w:i/>
        </w:rPr>
        <w:t>See</w:t>
      </w:r>
      <w:r w:rsidRPr="00465C2E">
        <w:rPr>
          <w:i/>
        </w:rPr>
        <w:t xml:space="preserve"> </w:t>
      </w:r>
      <w:r w:rsidRPr="00465C2E">
        <w:t>Small Business Administration</w:t>
      </w:r>
      <w:r>
        <w:t xml:space="preserve">, Office of Advocacy Pamphlet </w:t>
      </w:r>
      <w:r w:rsidRPr="00465C2E">
        <w:t>at page 1 (June 2016); https://www.sba.gov/sites/default/files/advocacy/SB-FAQ-2016_WEB.pdf.</w:t>
      </w:r>
    </w:p>
  </w:footnote>
  <w:footnote w:id="125">
    <w:p w:rsidR="00E06D4D" w:rsidP="00D63EBF" w14:paraId="494E7FDD" w14:textId="77777777">
      <w:pPr>
        <w:pStyle w:val="FootnoteText"/>
      </w:pPr>
      <w:r>
        <w:rPr>
          <w:rStyle w:val="FootnoteReference"/>
        </w:rPr>
        <w:footnoteRef/>
      </w:r>
      <w:r>
        <w:t xml:space="preserve"> </w:t>
      </w:r>
      <w:r w:rsidRPr="00F01612">
        <w:t>U.S. Census Bureau, 2012 NAICS Definitions, “</w:t>
      </w:r>
      <w:r w:rsidRPr="00F01612">
        <w:rPr>
          <w:bCs/>
        </w:rPr>
        <w:t>517</w:t>
      </w:r>
      <w:r>
        <w:rPr>
          <w:bCs/>
        </w:rPr>
        <w:t>1</w:t>
      </w:r>
      <w:r w:rsidRPr="00F01612">
        <w:rPr>
          <w:bCs/>
        </w:rPr>
        <w:t>10 Wire</w:t>
      </w:r>
      <w:r>
        <w:rPr>
          <w:bCs/>
        </w:rPr>
        <w:t>d</w:t>
      </w:r>
      <w:r w:rsidRPr="00F01612">
        <w:rPr>
          <w:bCs/>
        </w:rPr>
        <w:t xml:space="preserve"> Telecommunications Categories”;</w:t>
      </w:r>
      <w:r w:rsidRPr="00F01612">
        <w:t xml:space="preserve"> </w:t>
      </w:r>
      <w:r>
        <w:fldChar w:fldCharType="begin"/>
      </w:r>
      <w:r>
        <w:instrText xml:space="preserve"> HYPERLINK "http://www.census.gov/cgi-bin/sssd/naics/naicsrch" </w:instrText>
      </w:r>
      <w:r>
        <w:fldChar w:fldCharType="separate"/>
      </w:r>
      <w:r w:rsidRPr="00C662B9">
        <w:rPr>
          <w:rStyle w:val="Hyperlink"/>
        </w:rPr>
        <w:t>http://www.census.gov/cgi-bin/sssd/naics/naicsrch</w:t>
      </w:r>
      <w:r>
        <w:fldChar w:fldCharType="end"/>
      </w:r>
      <w:r>
        <w:t>.</w:t>
      </w:r>
    </w:p>
  </w:footnote>
  <w:footnote w:id="126">
    <w:p w:rsidR="00E06D4D" w:rsidP="00D63EBF" w14:paraId="638C15F4" w14:textId="77777777">
      <w:pPr>
        <w:pStyle w:val="FootnoteText"/>
      </w:pPr>
      <w:r>
        <w:rPr>
          <w:rStyle w:val="FootnoteReference"/>
        </w:rPr>
        <w:footnoteRef/>
      </w:r>
      <w:r>
        <w:t xml:space="preserve"> </w:t>
      </w:r>
      <w:r w:rsidRPr="00C662B9">
        <w:rPr>
          <w:i/>
        </w:rPr>
        <w:t>See</w:t>
      </w:r>
      <w:r>
        <w:t xml:space="preserve"> 13 CFR </w:t>
      </w:r>
      <w:r w:rsidRPr="00D15B65">
        <w:t>§</w:t>
      </w:r>
      <w:r>
        <w:t xml:space="preserve"> 120.201, NAICS Code 517110.</w:t>
      </w:r>
    </w:p>
  </w:footnote>
  <w:footnote w:id="127">
    <w:p w:rsidR="00E06D4D" w:rsidRPr="00B013DC" w:rsidP="00D63EBF" w14:paraId="10331539" w14:textId="77777777">
      <w:pPr>
        <w:pStyle w:val="FootnoteText"/>
      </w:pPr>
      <w:r>
        <w:rPr>
          <w:rStyle w:val="FootnoteReference"/>
        </w:rPr>
        <w:footnoteRef/>
      </w:r>
      <w:r>
        <w:t xml:space="preserve"> 2012 U.S. Economic Census, NAICs Code </w:t>
      </w:r>
      <w:r w:rsidRPr="00F01612">
        <w:t>517</w:t>
      </w:r>
      <w:r>
        <w:t xml:space="preserve">110, at </w:t>
      </w:r>
      <w:r>
        <w:fldChar w:fldCharType="begin"/>
      </w:r>
      <w:r>
        <w:instrText xml:space="preserve"> HYPERLINK "http://factfinder.census.gov/faces/tableservices/jsf/pages/productview.xhtml?pid=ECN_2012_US_51SSSZ2&amp;prodType=table" </w:instrText>
      </w:r>
      <w:r>
        <w:fldChar w:fldCharType="separate"/>
      </w:r>
      <w:r w:rsidRPr="00BC05F7">
        <w:rPr>
          <w:rStyle w:val="Hyperlink"/>
        </w:rPr>
        <w:t>http://factfinder.census.gov/faces/tableservices/jsf/pages/productview.xhtml?pid=ECN_2012_US_51SSSZ2&amp;prodType=table</w:t>
      </w:r>
      <w:r>
        <w:fldChar w:fldCharType="end"/>
      </w:r>
      <w:r w:rsidRPr="00B013DC">
        <w:t>.</w:t>
      </w:r>
    </w:p>
  </w:footnote>
  <w:footnote w:id="128">
    <w:p w:rsidR="00E06D4D" w:rsidP="00D63EBF" w14:paraId="12C1EE8C" w14:textId="77777777">
      <w:pPr>
        <w:pStyle w:val="FootnoteText"/>
      </w:pPr>
      <w:r>
        <w:rPr>
          <w:rStyle w:val="FootnoteReference"/>
        </w:rPr>
        <w:footnoteRef/>
      </w:r>
      <w:r>
        <w:t xml:space="preserve"> </w:t>
      </w:r>
      <w:r w:rsidRPr="00F01612">
        <w:t>U.S. Census Bureau, 2012 NAICS Definitions, “</w:t>
      </w:r>
      <w:r w:rsidRPr="00F01612">
        <w:rPr>
          <w:bCs/>
        </w:rPr>
        <w:t>517</w:t>
      </w:r>
      <w:r>
        <w:rPr>
          <w:bCs/>
        </w:rPr>
        <w:t>1</w:t>
      </w:r>
      <w:r w:rsidRPr="00F01612">
        <w:rPr>
          <w:bCs/>
        </w:rPr>
        <w:t>10 Wire</w:t>
      </w:r>
      <w:r>
        <w:rPr>
          <w:bCs/>
        </w:rPr>
        <w:t>d</w:t>
      </w:r>
      <w:r w:rsidRPr="00F01612">
        <w:rPr>
          <w:bCs/>
        </w:rPr>
        <w:t xml:space="preserve"> Telecommunications Categories”;</w:t>
      </w:r>
      <w:r w:rsidRPr="00F01612">
        <w:t xml:space="preserve"> </w:t>
      </w:r>
      <w:r>
        <w:fldChar w:fldCharType="begin"/>
      </w:r>
      <w:r>
        <w:instrText xml:space="preserve"> HYPERLINK "http://www.census.gov/cgi-bin/sssd/naics/naicsrch" </w:instrText>
      </w:r>
      <w:r>
        <w:fldChar w:fldCharType="separate"/>
      </w:r>
      <w:r w:rsidRPr="00C662B9">
        <w:rPr>
          <w:rStyle w:val="Hyperlink"/>
        </w:rPr>
        <w:t>http://www.census.gov/cgi-bin/sssd/naics/naicsrch</w:t>
      </w:r>
      <w:r>
        <w:fldChar w:fldCharType="end"/>
      </w:r>
      <w:r>
        <w:t>.</w:t>
      </w:r>
    </w:p>
  </w:footnote>
  <w:footnote w:id="129">
    <w:p w:rsidR="00E06D4D" w:rsidRPr="00F01612" w:rsidP="00D63EBF" w14:paraId="34E9253C" w14:textId="77777777">
      <w:pPr>
        <w:pStyle w:val="FootnoteText"/>
        <w:rPr>
          <w:rStyle w:val="Heading2CharChar2"/>
          <w:b w:val="0"/>
        </w:rPr>
      </w:pPr>
      <w:r w:rsidRPr="00F01612">
        <w:rPr>
          <w:rStyle w:val="Footnote"/>
          <w:vertAlign w:val="superscript"/>
        </w:rPr>
        <w:footnoteRef/>
      </w:r>
      <w:r w:rsidRPr="00F01612">
        <w:rPr>
          <w:rStyle w:val="Footnote"/>
        </w:rPr>
        <w:t xml:space="preserve"> 13 CFR § 121.201, NAICS </w:t>
      </w:r>
      <w:r w:rsidRPr="00F01612">
        <w:t>code</w:t>
      </w:r>
      <w:r w:rsidRPr="00F01612">
        <w:rPr>
          <w:rStyle w:val="Footnote"/>
        </w:rPr>
        <w:t xml:space="preserve"> 517110.</w:t>
      </w:r>
    </w:p>
  </w:footnote>
  <w:footnote w:id="130">
    <w:p w:rsidR="00E06D4D" w:rsidP="00D63EBF" w14:paraId="6F46475C" w14:textId="77777777">
      <w:pPr>
        <w:pStyle w:val="FootnoteText"/>
      </w:pPr>
      <w:r>
        <w:rPr>
          <w:rStyle w:val="FootnoteReference"/>
        </w:rPr>
        <w:footnoteRef/>
      </w:r>
      <w:r>
        <w:t xml:space="preserve"> 2012 U.S. Economic Census, NAICs Code </w:t>
      </w:r>
      <w:r w:rsidRPr="00F01612">
        <w:t>517110</w:t>
      </w:r>
      <w:r>
        <w:t xml:space="preserve">, at </w:t>
      </w:r>
      <w:r>
        <w:fldChar w:fldCharType="begin"/>
      </w:r>
      <w:r>
        <w:instrText xml:space="preserve"> HYPERLINK "http://factfinder.census.gov/faces/tableservices/jsf/pages/productview.xhtml?pid=ECN_2012_US_51SSSZ5&amp;prodType=table" </w:instrText>
      </w:r>
      <w:r>
        <w:fldChar w:fldCharType="separate"/>
      </w:r>
      <w:r w:rsidRPr="000970FF">
        <w:rPr>
          <w:rStyle w:val="Hyperlink"/>
        </w:rPr>
        <w:t>http://factfinder.census.gov/faces/tableservices/jsf/pages/productview.xhtml?pid=ECN_2012_US_51SSSZ5&amp;prodType=table</w:t>
      </w:r>
      <w:r>
        <w:fldChar w:fldCharType="end"/>
      </w:r>
      <w:r>
        <w:t>.</w:t>
      </w:r>
    </w:p>
  </w:footnote>
  <w:footnote w:id="131">
    <w:p w:rsidR="00E06D4D" w:rsidP="00D63EBF" w14:paraId="762C8915" w14:textId="77777777">
      <w:pPr>
        <w:pStyle w:val="FootnoteText"/>
      </w:pPr>
      <w:r>
        <w:rPr>
          <w:rStyle w:val="FootnoteReference"/>
        </w:rPr>
        <w:footnoteRef/>
      </w:r>
      <w:r>
        <w:t xml:space="preserve"> </w:t>
      </w:r>
      <w:r w:rsidRPr="00F01612">
        <w:t>U.S. Census Bureau, 2012 NAICS Definitions, “</w:t>
      </w:r>
      <w:r w:rsidRPr="00F01612">
        <w:rPr>
          <w:bCs/>
        </w:rPr>
        <w:t>517</w:t>
      </w:r>
      <w:r>
        <w:rPr>
          <w:bCs/>
        </w:rPr>
        <w:t>1</w:t>
      </w:r>
      <w:r w:rsidRPr="00F01612">
        <w:rPr>
          <w:bCs/>
        </w:rPr>
        <w:t>10 Wire</w:t>
      </w:r>
      <w:r>
        <w:rPr>
          <w:bCs/>
        </w:rPr>
        <w:t>d</w:t>
      </w:r>
      <w:r w:rsidRPr="00F01612">
        <w:rPr>
          <w:bCs/>
        </w:rPr>
        <w:t xml:space="preserve"> Telecommunications Categories”;</w:t>
      </w:r>
      <w:r w:rsidRPr="00F01612">
        <w:t xml:space="preserve"> </w:t>
      </w:r>
      <w:r>
        <w:fldChar w:fldCharType="begin"/>
      </w:r>
      <w:r>
        <w:instrText xml:space="preserve"> HYPERLINK "http://www.census.gov/cgi-bin/sssd/naics/naicsrch" </w:instrText>
      </w:r>
      <w:r>
        <w:fldChar w:fldCharType="separate"/>
      </w:r>
      <w:r w:rsidRPr="00C662B9">
        <w:rPr>
          <w:rStyle w:val="Hyperlink"/>
        </w:rPr>
        <w:t>http://www.census.gov/cgi-bin/sssd/naics/naicsrch</w:t>
      </w:r>
      <w:r>
        <w:fldChar w:fldCharType="end"/>
      </w:r>
      <w:r>
        <w:t>.</w:t>
      </w:r>
    </w:p>
  </w:footnote>
  <w:footnote w:id="132">
    <w:p w:rsidR="00E06D4D" w:rsidRPr="00F01612" w:rsidP="00D63EBF" w14:paraId="2593E3CA" w14:textId="77777777">
      <w:pPr>
        <w:pStyle w:val="FootnoteText"/>
        <w:rPr>
          <w:rStyle w:val="Heading2CharChar2"/>
          <w:b w:val="0"/>
        </w:rPr>
      </w:pPr>
      <w:r w:rsidRPr="00F01612">
        <w:rPr>
          <w:rStyle w:val="Footnote"/>
          <w:vertAlign w:val="superscript"/>
        </w:rPr>
        <w:footnoteRef/>
      </w:r>
      <w:r w:rsidRPr="00F01612">
        <w:rPr>
          <w:rStyle w:val="Footnote"/>
        </w:rPr>
        <w:t xml:space="preserve"> 13 CFR § 121.201, NAICS </w:t>
      </w:r>
      <w:r w:rsidRPr="00F01612">
        <w:t>code</w:t>
      </w:r>
      <w:r w:rsidRPr="00F01612">
        <w:rPr>
          <w:rStyle w:val="Footnote"/>
        </w:rPr>
        <w:t xml:space="preserve"> 517110.</w:t>
      </w:r>
    </w:p>
  </w:footnote>
  <w:footnote w:id="133">
    <w:p w:rsidR="00E06D4D" w:rsidP="00D63EBF" w14:paraId="35968B49" w14:textId="77777777">
      <w:pPr>
        <w:pStyle w:val="FootnoteText"/>
      </w:pPr>
      <w:r>
        <w:rPr>
          <w:rStyle w:val="FootnoteReference"/>
        </w:rPr>
        <w:footnoteRef/>
      </w:r>
      <w:r>
        <w:t xml:space="preserve"> 2012 U.S. Economic Census, NAICs Code </w:t>
      </w:r>
      <w:r w:rsidRPr="00F01612">
        <w:t>517110</w:t>
      </w:r>
      <w:r>
        <w:t xml:space="preserve">, at </w:t>
      </w:r>
      <w:r>
        <w:fldChar w:fldCharType="begin"/>
      </w:r>
      <w:r>
        <w:instrText xml:space="preserve"> HYPERLINK "http://factfinder.census.gov/faces/tableservices/jsf/pages/productview.xhtml?pid=ECN_2012_US_51SSSZ5&amp;prodType=table" </w:instrText>
      </w:r>
      <w:r>
        <w:fldChar w:fldCharType="separate"/>
      </w:r>
      <w:r w:rsidRPr="000970FF">
        <w:rPr>
          <w:rStyle w:val="Hyperlink"/>
        </w:rPr>
        <w:t>http://factfinder.census.gov/faces/tableservices/jsf/pages/productview.xhtml?pid=ECN_2012_US_51SSSZ5&amp;prodType=table</w:t>
      </w:r>
      <w:r>
        <w:fldChar w:fldCharType="end"/>
      </w:r>
      <w:r>
        <w:t>.</w:t>
      </w:r>
    </w:p>
  </w:footnote>
  <w:footnote w:id="134">
    <w:p w:rsidR="00E06D4D" w:rsidP="00D63EBF" w14:paraId="6B6A2D42" w14:textId="77777777">
      <w:pPr>
        <w:pStyle w:val="FootnoteText"/>
      </w:pPr>
      <w:r>
        <w:rPr>
          <w:rStyle w:val="FootnoteReference"/>
        </w:rPr>
        <w:footnoteRef/>
      </w:r>
      <w:r>
        <w:t xml:space="preserve"> </w:t>
      </w:r>
      <w:r w:rsidRPr="00F01612">
        <w:t>U.S. Census Bureau, 2012 NAICS Definitions, “</w:t>
      </w:r>
      <w:r w:rsidRPr="00F01612">
        <w:rPr>
          <w:bCs/>
        </w:rPr>
        <w:t>517</w:t>
      </w:r>
      <w:r>
        <w:rPr>
          <w:bCs/>
        </w:rPr>
        <w:t>1</w:t>
      </w:r>
      <w:r w:rsidRPr="00F01612">
        <w:rPr>
          <w:bCs/>
        </w:rPr>
        <w:t>10 Wire</w:t>
      </w:r>
      <w:r>
        <w:rPr>
          <w:bCs/>
        </w:rPr>
        <w:t>d</w:t>
      </w:r>
      <w:r w:rsidRPr="00F01612">
        <w:rPr>
          <w:bCs/>
        </w:rPr>
        <w:t xml:space="preserve"> Telecommunications Categories”;</w:t>
      </w:r>
      <w:r w:rsidRPr="00F01612">
        <w:t xml:space="preserve"> </w:t>
      </w:r>
      <w:r>
        <w:fldChar w:fldCharType="begin"/>
      </w:r>
      <w:r>
        <w:instrText xml:space="preserve"> HYPERLINK "http://www.census.gov/cgi-bin/sssd/naics/naicsrch" </w:instrText>
      </w:r>
      <w:r>
        <w:fldChar w:fldCharType="separate"/>
      </w:r>
      <w:r w:rsidRPr="00C662B9">
        <w:rPr>
          <w:rStyle w:val="Hyperlink"/>
        </w:rPr>
        <w:t>http://www.census.gov/cgi-bin/sssd/naics/naicsrch</w:t>
      </w:r>
      <w:r>
        <w:fldChar w:fldCharType="end"/>
      </w:r>
      <w:r>
        <w:t>.</w:t>
      </w:r>
    </w:p>
  </w:footnote>
  <w:footnote w:id="135">
    <w:p w:rsidR="00E06D4D" w:rsidP="00D63EBF" w14:paraId="63573097" w14:textId="77777777">
      <w:pPr>
        <w:pStyle w:val="FootnoteText"/>
      </w:pPr>
      <w:r>
        <w:rPr>
          <w:rStyle w:val="FootnoteReference"/>
        </w:rPr>
        <w:footnoteRef/>
      </w:r>
      <w:r>
        <w:t xml:space="preserve"> </w:t>
      </w:r>
      <w:r w:rsidRPr="00F01612">
        <w:rPr>
          <w:rStyle w:val="FootnoteTextChar"/>
        </w:rPr>
        <w:t>13 CFR § 121.</w:t>
      </w:r>
      <w:r w:rsidRPr="00F01612">
        <w:t>201</w:t>
      </w:r>
      <w:r w:rsidRPr="00F01612">
        <w:rPr>
          <w:rStyle w:val="FootnoteTextChar"/>
        </w:rPr>
        <w:t>, NAICS code 517110.</w:t>
      </w:r>
    </w:p>
  </w:footnote>
  <w:footnote w:id="136">
    <w:p w:rsidR="00E06D4D" w:rsidP="00D63EBF" w14:paraId="22EFF530" w14:textId="77777777">
      <w:pPr>
        <w:pStyle w:val="FootnoteText"/>
      </w:pPr>
      <w:r>
        <w:rPr>
          <w:rStyle w:val="FootnoteReference"/>
        </w:rPr>
        <w:footnoteRef/>
      </w:r>
      <w:r>
        <w:t xml:space="preserve"> </w:t>
      </w:r>
      <w:r w:rsidRPr="000970FF">
        <w:t xml:space="preserve">2012 U.S. Economic Census, NAICs Code 517110, at </w:t>
      </w:r>
      <w:r>
        <w:fldChar w:fldCharType="begin"/>
      </w:r>
      <w:r>
        <w:instrText xml:space="preserve"> HYPERLINK "http://factfinder.census.gov/faces/tableservices/jsf/pages/productview.xhtml?pid=ECN_2012_US_51SSSZ5&amp;prodType=table" </w:instrText>
      </w:r>
      <w:r>
        <w:fldChar w:fldCharType="separate"/>
      </w:r>
      <w:r w:rsidRPr="000970FF">
        <w:rPr>
          <w:rStyle w:val="Hyperlink"/>
        </w:rPr>
        <w:t>http://factfinder.census.gov/faces/tableservices/jsf/pages/productview.xhtml?pid=ECN_2012_US_51SSSZ5&amp;prodType=table</w:t>
      </w:r>
      <w:r>
        <w:fldChar w:fldCharType="end"/>
      </w:r>
      <w:r>
        <w:t>.</w:t>
      </w:r>
    </w:p>
  </w:footnote>
  <w:footnote w:id="137">
    <w:p w:rsidR="00E06D4D" w:rsidRPr="00F01612" w:rsidP="00F70A60" w14:paraId="6A9DEE3A" w14:textId="77777777">
      <w:pPr>
        <w:pStyle w:val="FootnoteText"/>
      </w:pPr>
      <w:r w:rsidRPr="00F01612">
        <w:rPr>
          <w:rStyle w:val="FootnoteReference"/>
        </w:rPr>
        <w:footnoteRef/>
      </w:r>
      <w:r w:rsidRPr="00F01612">
        <w:t xml:space="preserve"> </w:t>
      </w:r>
      <w:r w:rsidRPr="00F01612">
        <w:rPr>
          <w:rStyle w:val="FootnoteTextChar"/>
        </w:rPr>
        <w:t>5 U.S.C. § 601(3).</w:t>
      </w:r>
    </w:p>
  </w:footnote>
  <w:footnote w:id="138">
    <w:p w:rsidR="00E06D4D" w:rsidRPr="00F01612" w:rsidP="00D63EBF" w14:paraId="47C92553" w14:textId="77777777">
      <w:pPr>
        <w:pStyle w:val="FootnoteText"/>
      </w:pPr>
      <w:r w:rsidRPr="00F01612">
        <w:rPr>
          <w:rStyle w:val="FootnoteReference"/>
        </w:rPr>
        <w:footnoteRef/>
      </w:r>
      <w:r w:rsidRPr="00F01612">
        <w:t xml:space="preserve"> Letter from Jere W. Glover, Chief Counsel for Advocacy, SBA, to William E. Kennard, Chairman, Federal Communications Commission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139">
    <w:p w:rsidR="00E06D4D" w:rsidP="00D63EBF" w14:paraId="0AA9BD78" w14:textId="77777777">
      <w:pPr>
        <w:pStyle w:val="FootnoteText"/>
      </w:pPr>
      <w:r>
        <w:rPr>
          <w:rStyle w:val="FootnoteReference"/>
        </w:rPr>
        <w:footnoteRef/>
      </w:r>
      <w:r>
        <w:t xml:space="preserve"> </w:t>
      </w:r>
      <w:r w:rsidRPr="00F01612">
        <w:t>U.S. Census Bureau, 2012 NAICS Definitions, “</w:t>
      </w:r>
      <w:r w:rsidRPr="00F01612">
        <w:rPr>
          <w:bCs/>
        </w:rPr>
        <w:t>517</w:t>
      </w:r>
      <w:r>
        <w:rPr>
          <w:bCs/>
        </w:rPr>
        <w:t>1</w:t>
      </w:r>
      <w:r w:rsidRPr="00F01612">
        <w:rPr>
          <w:bCs/>
        </w:rPr>
        <w:t>10 Wire</w:t>
      </w:r>
      <w:r>
        <w:rPr>
          <w:bCs/>
        </w:rPr>
        <w:t>d</w:t>
      </w:r>
      <w:r w:rsidRPr="00F01612">
        <w:rPr>
          <w:bCs/>
        </w:rPr>
        <w:t xml:space="preserve"> Telecommunications Categories”;</w:t>
      </w:r>
      <w:r w:rsidRPr="00F01612">
        <w:t xml:space="preserve"> </w:t>
      </w:r>
      <w:r>
        <w:fldChar w:fldCharType="begin"/>
      </w:r>
      <w:r>
        <w:instrText xml:space="preserve"> HYPERLINK "http://www.census.gov/cgi-bin/sssd/naics/naicsrch" </w:instrText>
      </w:r>
      <w:r>
        <w:fldChar w:fldCharType="separate"/>
      </w:r>
      <w:r w:rsidRPr="00C662B9">
        <w:rPr>
          <w:rStyle w:val="Hyperlink"/>
        </w:rPr>
        <w:t>http://www.census.gov/cgi-bin/sssd/naics/naicsrch</w:t>
      </w:r>
      <w:r>
        <w:fldChar w:fldCharType="end"/>
      </w:r>
      <w:r>
        <w:t>.</w:t>
      </w:r>
    </w:p>
  </w:footnote>
  <w:footnote w:id="140">
    <w:p w:rsidR="00E06D4D" w:rsidRPr="00F01612" w:rsidP="00D63EBF" w14:paraId="2CD64FAE" w14:textId="77777777">
      <w:pPr>
        <w:pStyle w:val="FootnoteText"/>
        <w:rPr>
          <w:rStyle w:val="Heading2CharChar2"/>
          <w:b w:val="0"/>
        </w:rPr>
      </w:pPr>
      <w:r w:rsidRPr="00F01612">
        <w:rPr>
          <w:rStyle w:val="Footnote"/>
          <w:vertAlign w:val="superscript"/>
        </w:rPr>
        <w:footnoteRef/>
      </w:r>
      <w:r w:rsidRPr="00F01612">
        <w:rPr>
          <w:rStyle w:val="Heading2CharChar2"/>
        </w:rPr>
        <w:t xml:space="preserve"> </w:t>
      </w:r>
      <w:r w:rsidRPr="00F01612">
        <w:rPr>
          <w:rStyle w:val="Footnote"/>
        </w:rPr>
        <w:t xml:space="preserve">13 CFR § 121.201, </w:t>
      </w:r>
      <w:r w:rsidRPr="00F01612">
        <w:t>NAICS</w:t>
      </w:r>
      <w:r w:rsidRPr="00F01612">
        <w:rPr>
          <w:rStyle w:val="Footnote"/>
        </w:rPr>
        <w:t xml:space="preserve"> code 517110.</w:t>
      </w:r>
    </w:p>
  </w:footnote>
  <w:footnote w:id="141">
    <w:p w:rsidR="00E06D4D" w:rsidP="00D63EBF" w14:paraId="34BB8AB2" w14:textId="77777777">
      <w:pPr>
        <w:pStyle w:val="FootnoteText"/>
      </w:pPr>
      <w:r>
        <w:rPr>
          <w:rStyle w:val="FootnoteReference"/>
        </w:rPr>
        <w:footnoteRef/>
      </w:r>
      <w:r>
        <w:t xml:space="preserve"> </w:t>
      </w:r>
      <w:r w:rsidRPr="000970FF">
        <w:t xml:space="preserve">2012 U.S. Economic Census, NAICs Code 517110, at </w:t>
      </w:r>
      <w:r>
        <w:fldChar w:fldCharType="begin"/>
      </w:r>
      <w:r>
        <w:instrText xml:space="preserve"> HYPERLINK "http://factfinder.census.gov/faces/tableservices/jsf/pages/productview.xhtml?pid=ECN_2012_US_51SSSZ5&amp;prodType=table" </w:instrText>
      </w:r>
      <w:r>
        <w:fldChar w:fldCharType="separate"/>
      </w:r>
      <w:r w:rsidRPr="000970FF">
        <w:rPr>
          <w:rStyle w:val="Hyperlink"/>
        </w:rPr>
        <w:t>http://factfinder.census.gov/faces/tableservices/jsf/pages/productview.xhtml?pid=ECN_2012_US_51SSSZ5&amp;prodType=table</w:t>
      </w:r>
      <w:r>
        <w:fldChar w:fldCharType="end"/>
      </w:r>
      <w:r>
        <w:t>.</w:t>
      </w:r>
    </w:p>
  </w:footnote>
  <w:footnote w:id="142">
    <w:p w:rsidR="00E06D4D" w:rsidP="00D63EBF" w14:paraId="19C4A941" w14:textId="77777777">
      <w:pPr>
        <w:pStyle w:val="FootnoteText"/>
      </w:pPr>
      <w:r>
        <w:rPr>
          <w:rStyle w:val="FootnoteReference"/>
        </w:rPr>
        <w:footnoteRef/>
      </w:r>
      <w:r>
        <w:t xml:space="preserve"> 47 CFR </w:t>
      </w:r>
      <w:r w:rsidRPr="00133697">
        <w:t>§</w:t>
      </w:r>
      <w:r>
        <w:t xml:space="preserve"> 76.901 (f) and notes ff. 1, 2, and 3.</w:t>
      </w:r>
    </w:p>
  </w:footnote>
  <w:footnote w:id="143">
    <w:p w:rsidR="00E06D4D" w:rsidP="00D63EBF" w14:paraId="289DED3E" w14:textId="77777777">
      <w:pPr>
        <w:pStyle w:val="FootnoteText"/>
      </w:pPr>
      <w:r>
        <w:rPr>
          <w:rStyle w:val="FootnoteReference"/>
        </w:rPr>
        <w:footnoteRef/>
      </w:r>
      <w:r>
        <w:t xml:space="preserve"> </w:t>
      </w:r>
      <w:r w:rsidRPr="002B1B38">
        <w:rPr>
          <w:i/>
        </w:rPr>
        <w:t>See</w:t>
      </w:r>
      <w:r>
        <w:t xml:space="preserve"> SNL KAGAN at </w:t>
      </w:r>
      <w:r>
        <w:fldChar w:fldCharType="begin"/>
      </w:r>
      <w:r>
        <w:instrText xml:space="preserve"> HYPERLINK "http://www.snl.com/interactivex/MultichannelIndustryBenchmarks.aspx" </w:instrText>
      </w:r>
      <w:r>
        <w:fldChar w:fldCharType="separate"/>
      </w:r>
      <w:r w:rsidRPr="006B191F">
        <w:rPr>
          <w:rStyle w:val="Hyperlink"/>
        </w:rPr>
        <w:t>www.snl.com/interactivex/MultichannelIndustryBenchmarks.aspx</w:t>
      </w:r>
      <w:r>
        <w:fldChar w:fldCharType="end"/>
      </w:r>
      <w:r>
        <w:t>.</w:t>
      </w:r>
    </w:p>
  </w:footnote>
  <w:footnote w:id="144">
    <w:p w:rsidR="00E06D4D" w:rsidP="00D63EBF" w14:paraId="4DA33A11" w14:textId="77777777">
      <w:pPr>
        <w:pStyle w:val="FootnoteText"/>
      </w:pPr>
      <w:r>
        <w:rPr>
          <w:rStyle w:val="FootnoteReference"/>
        </w:rPr>
        <w:footnoteRef/>
      </w:r>
      <w:r>
        <w:t xml:space="preserve"> </w:t>
      </w:r>
      <w:r w:rsidRPr="00133697">
        <w:t xml:space="preserve">47 CFR § </w:t>
      </w:r>
      <w:r>
        <w:t>76.901(f) and notes ff. 1, 2, and 3.</w:t>
      </w:r>
    </w:p>
  </w:footnote>
  <w:footnote w:id="145">
    <w:p w:rsidR="00E06D4D" w:rsidP="00D63EBF" w14:paraId="09F77027" w14:textId="77777777">
      <w:pPr>
        <w:pStyle w:val="FootnoteText"/>
      </w:pPr>
      <w:r>
        <w:rPr>
          <w:rStyle w:val="FootnoteReference"/>
        </w:rPr>
        <w:footnoteRef/>
      </w:r>
      <w:r>
        <w:t xml:space="preserve"> </w:t>
      </w:r>
      <w:r w:rsidRPr="002B1B38">
        <w:rPr>
          <w:i/>
        </w:rPr>
        <w:t>See</w:t>
      </w:r>
      <w:r>
        <w:t xml:space="preserve"> SNL KAGAN at </w:t>
      </w:r>
      <w:r>
        <w:fldChar w:fldCharType="begin"/>
      </w:r>
      <w:r>
        <w:instrText xml:space="preserve"> HYPERLINK "https://www.snl.com/Interactivex/TopCableMSOs.aspx" </w:instrText>
      </w:r>
      <w:r>
        <w:fldChar w:fldCharType="separate"/>
      </w:r>
      <w:r w:rsidRPr="004B2B03">
        <w:rPr>
          <w:rStyle w:val="Hyperlink"/>
        </w:rPr>
        <w:t>https://www.snl.com/Interactivex/TopCableMSOs.aspx</w:t>
      </w:r>
      <w:r>
        <w:fldChar w:fldCharType="end"/>
      </w:r>
      <w:r>
        <w:t xml:space="preserve">. </w:t>
      </w:r>
    </w:p>
  </w:footnote>
  <w:footnote w:id="146">
    <w:p w:rsidR="00E06D4D" w:rsidP="00D63EBF" w14:paraId="749630B4" w14:textId="77777777">
      <w:pPr>
        <w:pStyle w:val="FootnoteText"/>
      </w:pPr>
      <w:r>
        <w:rPr>
          <w:rStyle w:val="FootnoteReference"/>
        </w:rPr>
        <w:footnoteRef/>
      </w:r>
      <w:r>
        <w:t xml:space="preserve"> </w:t>
      </w:r>
      <w:r w:rsidRPr="00133697">
        <w:t>The Commission does receive such information on a case-by-case basis if a cable operator appeals a local franchise authority</w:t>
      </w:r>
      <w:r>
        <w:t>’</w:t>
      </w:r>
      <w:r w:rsidRPr="00133697">
        <w:t>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147">
    <w:p w:rsidR="00E06D4D" w:rsidP="00D63EBF" w14:paraId="40D74D7F" w14:textId="77777777">
      <w:pPr>
        <w:pStyle w:val="FootnoteText"/>
      </w:pPr>
      <w:r>
        <w:rPr>
          <w:rStyle w:val="FootnoteReference"/>
        </w:rPr>
        <w:footnoteRef/>
      </w:r>
      <w:r>
        <w:t xml:space="preserve"> </w:t>
      </w:r>
      <w:r w:rsidRPr="00F01612">
        <w:t>U.S. Census Bureau, 2012 NAICS Definitions, “</w:t>
      </w:r>
      <w:r w:rsidRPr="00F01612">
        <w:rPr>
          <w:bCs/>
        </w:rPr>
        <w:t>517</w:t>
      </w:r>
      <w:r>
        <w:rPr>
          <w:bCs/>
        </w:rPr>
        <w:t>1</w:t>
      </w:r>
      <w:r w:rsidRPr="00F01612">
        <w:rPr>
          <w:bCs/>
        </w:rPr>
        <w:t>10 Wire</w:t>
      </w:r>
      <w:r>
        <w:rPr>
          <w:bCs/>
        </w:rPr>
        <w:t>d</w:t>
      </w:r>
      <w:r w:rsidRPr="00F01612">
        <w:rPr>
          <w:bCs/>
        </w:rPr>
        <w:t xml:space="preserve"> Telecommunications Categories”;</w:t>
      </w:r>
      <w:r w:rsidRPr="00F01612">
        <w:t xml:space="preserve"> </w:t>
      </w:r>
      <w:r>
        <w:fldChar w:fldCharType="begin"/>
      </w:r>
      <w:r>
        <w:instrText xml:space="preserve"> HYPERLINK "http://www.census.gov/cgi-bin/sssd/naics/naicsrch" </w:instrText>
      </w:r>
      <w:r>
        <w:fldChar w:fldCharType="separate"/>
      </w:r>
      <w:r w:rsidRPr="00C662B9">
        <w:rPr>
          <w:rStyle w:val="Hyperlink"/>
        </w:rPr>
        <w:t>http://www.census.gov/cgi-bin/sssd/naics/naicsrch</w:t>
      </w:r>
      <w:r>
        <w:fldChar w:fldCharType="end"/>
      </w:r>
      <w:r>
        <w:t>.</w:t>
      </w:r>
    </w:p>
  </w:footnote>
  <w:footnote w:id="148">
    <w:p w:rsidR="00E06D4D" w:rsidRPr="00F01612" w:rsidP="00D63EBF" w14:paraId="1EC4CE64" w14:textId="77777777">
      <w:pPr>
        <w:pStyle w:val="FootnoteText"/>
        <w:rPr>
          <w:rStyle w:val="Heading2CharChar2"/>
          <w:b w:val="0"/>
        </w:rPr>
      </w:pPr>
      <w:r w:rsidRPr="00F01612">
        <w:rPr>
          <w:rStyle w:val="Footnote"/>
          <w:vertAlign w:val="superscript"/>
        </w:rPr>
        <w:footnoteRef/>
      </w:r>
      <w:r w:rsidRPr="00F01612">
        <w:rPr>
          <w:rStyle w:val="Heading2CharChar2"/>
        </w:rPr>
        <w:t xml:space="preserve"> </w:t>
      </w:r>
      <w:r w:rsidRPr="00F01612">
        <w:rPr>
          <w:rStyle w:val="Footnote"/>
        </w:rPr>
        <w:t xml:space="preserve">13 CFR § 121.201, </w:t>
      </w:r>
      <w:r w:rsidRPr="00F01612">
        <w:t>NAICS</w:t>
      </w:r>
      <w:r w:rsidRPr="00F01612">
        <w:rPr>
          <w:rStyle w:val="Footnote"/>
        </w:rPr>
        <w:t xml:space="preserve"> code 517110.</w:t>
      </w:r>
    </w:p>
  </w:footnote>
  <w:footnote w:id="149">
    <w:p w:rsidR="00E06D4D" w:rsidP="00D63EBF" w14:paraId="7F2E9037" w14:textId="77777777">
      <w:pPr>
        <w:pStyle w:val="FootnoteText"/>
      </w:pPr>
      <w:r>
        <w:rPr>
          <w:rStyle w:val="FootnoteReference"/>
        </w:rPr>
        <w:footnoteRef/>
      </w:r>
      <w:r>
        <w:t xml:space="preserve"> </w:t>
      </w:r>
      <w:r w:rsidRPr="000970FF">
        <w:t xml:space="preserve">2012 U.S. Economic Census, NAICs Code 517110, at </w:t>
      </w:r>
      <w:r>
        <w:fldChar w:fldCharType="begin"/>
      </w:r>
      <w:r>
        <w:instrText xml:space="preserve"> HYPERLINK "http://factfinder.census.gov/faces/tableservices/jsf/pages/productview.xhtml?pid=ECN_2012_US_51SSSZ5&amp;prodType=table" </w:instrText>
      </w:r>
      <w:r>
        <w:fldChar w:fldCharType="separate"/>
      </w:r>
      <w:r w:rsidRPr="000970FF">
        <w:rPr>
          <w:rStyle w:val="Hyperlink"/>
        </w:rPr>
        <w:t>http://factfinder.census.gov/faces/tableservices/jsf/pages/productview.xhtml?pid=ECN_2012_US_51SSSZ5&amp;prodType=table</w:t>
      </w:r>
      <w:r>
        <w:fldChar w:fldCharType="end"/>
      </w:r>
      <w:r>
        <w:t>.</w:t>
      </w:r>
    </w:p>
  </w:footnote>
  <w:footnote w:id="150">
    <w:p w:rsidR="00E06D4D" w:rsidRPr="00F01612" w:rsidP="00D63EBF" w14:paraId="385F8F88" w14:textId="77777777">
      <w:pPr>
        <w:pStyle w:val="FootnoteText"/>
      </w:pPr>
      <w:r w:rsidRPr="00F01612">
        <w:rPr>
          <w:rStyle w:val="FootnoteReference"/>
        </w:rPr>
        <w:footnoteRef/>
      </w:r>
      <w:r w:rsidRPr="00F01612">
        <w:t xml:space="preserve"> U.S. Census Bureau, 2012 NAICS Definitions, “</w:t>
      </w:r>
      <w:r w:rsidRPr="00F01612">
        <w:rPr>
          <w:bCs/>
        </w:rPr>
        <w:t>517210 Wireless Telecommunications Categories (Except Satellite)”;</w:t>
      </w:r>
      <w:r w:rsidRPr="00F01612">
        <w:t xml:space="preserve"> </w:t>
      </w:r>
      <w:r>
        <w:fldChar w:fldCharType="begin"/>
      </w:r>
      <w:r>
        <w:instrText xml:space="preserve"> HYPERLINK "http://www.census.gov/cgi-bin/sssd/naics/naicsrch?code=517210&amp;search=2012%20NAICS%20Search" </w:instrText>
      </w:r>
      <w:r>
        <w:fldChar w:fldCharType="separate"/>
      </w:r>
      <w:r w:rsidRPr="006F080D">
        <w:rPr>
          <w:rStyle w:val="Hyperlink"/>
        </w:rPr>
        <w:t>http://www.census.gov/cgi-bin/sssd/naics/naicsrch?code=517210&amp;search=2012%20NAICS%20Search</w:t>
      </w:r>
      <w:r>
        <w:fldChar w:fldCharType="end"/>
      </w:r>
      <w:r w:rsidRPr="00F01612">
        <w:t>.</w:t>
      </w:r>
    </w:p>
  </w:footnote>
  <w:footnote w:id="151">
    <w:p w:rsidR="00E06D4D" w:rsidRPr="00F01612" w:rsidP="00D63EBF" w14:paraId="4512307E" w14:textId="77777777">
      <w:pPr>
        <w:pStyle w:val="FootnoteText"/>
      </w:pPr>
      <w:r w:rsidRPr="00F01612">
        <w:rPr>
          <w:rStyle w:val="FootnoteReference"/>
        </w:rPr>
        <w:footnoteRef/>
      </w:r>
      <w:r w:rsidRPr="00F01612">
        <w:t xml:space="preserve"> 13 CFR § 121.201, NAICS code 517210 (2012 NAICS).  The now-superseded, pre-2007 CFR citations were 13 CFR § 121.201, NAICS codes 517211 and 517212 (referring to the 2002 NAICS).</w:t>
      </w:r>
    </w:p>
  </w:footnote>
  <w:footnote w:id="152">
    <w:p w:rsidR="00E06D4D" w:rsidP="00D63EBF" w14:paraId="65DB34AD" w14:textId="77777777">
      <w:pPr>
        <w:pStyle w:val="FootnoteText"/>
      </w:pPr>
      <w:r>
        <w:rPr>
          <w:rStyle w:val="FootnoteReference"/>
        </w:rPr>
        <w:footnoteRef/>
      </w:r>
      <w:r>
        <w:t xml:space="preserve"> 2012 U.S. Economic Census, NAICs Code </w:t>
      </w:r>
      <w:r w:rsidRPr="00F01612">
        <w:t>517210</w:t>
      </w:r>
      <w:r>
        <w:t xml:space="preserve">, at </w:t>
      </w:r>
      <w:r>
        <w:fldChar w:fldCharType="begin"/>
      </w:r>
      <w:r>
        <w:instrText xml:space="preserve"> HYPERLINK "http://factfinder.census.gov/faces/tableservices/jsf/pages/productview.xhtml?pid=ECN_2012_US_51SSSZ5&amp;prodType=table" </w:instrText>
      </w:r>
      <w:r>
        <w:fldChar w:fldCharType="separate"/>
      </w:r>
      <w:r w:rsidRPr="000970FF">
        <w:rPr>
          <w:rStyle w:val="Hyperlink"/>
        </w:rPr>
        <w:t>http://factfinder.census.gov/faces/tableservices/jsf/pages/productview.xhtml?pid=ECN_2012_US_51SSSZ5&amp;prodType=table</w:t>
      </w:r>
      <w:r>
        <w:fldChar w:fldCharType="end"/>
      </w:r>
      <w:r>
        <w:t>.</w:t>
      </w:r>
    </w:p>
  </w:footnote>
  <w:footnote w:id="153">
    <w:p w:rsidR="00E06D4D" w:rsidP="00D63EBF" w14:paraId="2580C80F" w14:textId="77777777">
      <w:pPr>
        <w:pStyle w:val="FootnoteText"/>
      </w:pPr>
      <w:r>
        <w:rPr>
          <w:rStyle w:val="FootnoteReference"/>
        </w:rPr>
        <w:footnoteRef/>
      </w:r>
      <w:r>
        <w:t xml:space="preserve"> </w:t>
      </w:r>
      <w:r w:rsidRPr="00F01612">
        <w:rPr>
          <w:rStyle w:val="Footnote"/>
          <w:i/>
        </w:rPr>
        <w:t>Trends in Telephone Service</w:t>
      </w:r>
      <w:r w:rsidRPr="00F01612">
        <w:rPr>
          <w:rStyle w:val="Footnote"/>
        </w:rPr>
        <w:t>, tbl. 5.3.</w:t>
      </w:r>
    </w:p>
  </w:footnote>
  <w:footnote w:id="154">
    <w:p w:rsidR="00E06D4D" w:rsidRPr="00147A60" w:rsidP="00D63EBF" w14:paraId="5887C0EA" w14:textId="77777777">
      <w:pPr>
        <w:pStyle w:val="FootnoteText"/>
        <w:rPr>
          <w:i/>
        </w:rPr>
      </w:pPr>
      <w:r>
        <w:rPr>
          <w:rStyle w:val="FootnoteReference"/>
        </w:rPr>
        <w:footnoteRef/>
      </w:r>
      <w:r>
        <w:t xml:space="preserve"> </w:t>
      </w:r>
      <w:r>
        <w:rPr>
          <w:i/>
        </w:rPr>
        <w:t>Id.</w:t>
      </w:r>
    </w:p>
  </w:footnote>
  <w:footnote w:id="155">
    <w:p w:rsidR="00E06D4D" w:rsidRPr="00F01612" w:rsidP="00D63EBF" w14:paraId="6B00A633" w14:textId="77777777">
      <w:pPr>
        <w:pStyle w:val="FootnoteText"/>
      </w:pPr>
      <w:r w:rsidRPr="00F01612">
        <w:rPr>
          <w:rStyle w:val="FootnoteReference"/>
        </w:rPr>
        <w:footnoteRef/>
      </w:r>
      <w:r w:rsidRPr="00F01612">
        <w:t xml:space="preserve"> U.S. Census Bureau, 2012 NAICS Definitions, “517410 Satellite Telecommunications,” </w:t>
      </w:r>
      <w:r>
        <w:fldChar w:fldCharType="begin"/>
      </w:r>
      <w:r>
        <w:instrText xml:space="preserve"> HYPERLINK "http://www.census.gov/cgi-bin/sssd/naics/naicsrch?code=517410&amp;search=2012" </w:instrText>
      </w:r>
      <w:r>
        <w:fldChar w:fldCharType="separate"/>
      </w:r>
      <w:r w:rsidRPr="006F080D">
        <w:rPr>
          <w:rStyle w:val="Hyperlink"/>
        </w:rPr>
        <w:t>http://www.census.gov/cgi-bin/sssd/naics/naicsrch?code=517410&amp;search=2012</w:t>
      </w:r>
      <w:r>
        <w:fldChar w:fldCharType="end"/>
      </w:r>
      <w:r w:rsidRPr="00F01612">
        <w:t>.</w:t>
      </w:r>
    </w:p>
  </w:footnote>
  <w:footnote w:id="156">
    <w:p w:rsidR="00E06D4D" w:rsidRPr="00F01612" w:rsidP="00D63EBF" w14:paraId="12F4E086" w14:textId="77777777">
      <w:pPr>
        <w:pStyle w:val="FootnoteText"/>
        <w:spacing w:line="120" w:lineRule="atLeast"/>
        <w:rPr>
          <w:lang w:val="fr-FR"/>
        </w:rPr>
      </w:pPr>
      <w:r w:rsidRPr="00F01612">
        <w:rPr>
          <w:rStyle w:val="FootnoteReference"/>
        </w:rPr>
        <w:footnoteRef/>
      </w:r>
      <w:r w:rsidRPr="00F01612">
        <w:rPr>
          <w:lang w:val="fr-FR"/>
        </w:rPr>
        <w:t xml:space="preserve"> 13 CFR § 121.201, NAICS Code 517410.</w:t>
      </w:r>
    </w:p>
  </w:footnote>
  <w:footnote w:id="157">
    <w:p w:rsidR="00E06D4D" w:rsidRPr="00F01612" w:rsidP="00D63EBF" w14:paraId="57564108" w14:textId="77777777">
      <w:pPr>
        <w:pStyle w:val="FootnoteText"/>
      </w:pPr>
      <w:r w:rsidRPr="00F01612">
        <w:rPr>
          <w:rStyle w:val="FootnoteReference"/>
        </w:rPr>
        <w:footnoteRef/>
      </w:r>
      <w:r w:rsidRPr="00F01612">
        <w:t xml:space="preserve"> U.S. Census Bureau, 20</w:t>
      </w:r>
      <w:r>
        <w:t>12</w:t>
      </w:r>
      <w:r w:rsidRPr="00F01612">
        <w:t xml:space="preserve"> Economic Census, Subject Series:</w:t>
      </w:r>
      <w:r>
        <w:t xml:space="preserve"> </w:t>
      </w:r>
      <w:r w:rsidRPr="00F01612">
        <w:t xml:space="preserve"> Information, “Establishment and Firm Size,” NAICS code 517410.</w:t>
      </w:r>
    </w:p>
  </w:footnote>
  <w:footnote w:id="158">
    <w:p w:rsidR="00E06D4D" w:rsidRPr="00F01612" w:rsidP="00D63EBF" w14:paraId="2309AD45" w14:textId="77777777">
      <w:pPr>
        <w:pStyle w:val="FootnoteText"/>
      </w:pPr>
      <w:r w:rsidRPr="00F01612">
        <w:rPr>
          <w:rStyle w:val="FootnoteReference"/>
        </w:rPr>
        <w:footnoteRef/>
      </w:r>
      <w:r w:rsidRPr="00F01612">
        <w:t xml:space="preserve"> </w:t>
      </w:r>
      <w:r w:rsidRPr="00F01612">
        <w:rPr>
          <w:i/>
        </w:rPr>
        <w:t>Id</w:t>
      </w:r>
      <w:r>
        <w:t>.</w:t>
      </w:r>
    </w:p>
  </w:footnote>
  <w:footnote w:id="159">
    <w:p w:rsidR="00E06D4D" w:rsidRPr="00F01612" w:rsidP="00D63EBF" w14:paraId="4548EFFB" w14:textId="77777777">
      <w:pPr>
        <w:pStyle w:val="FootnoteText"/>
      </w:pPr>
      <w:r w:rsidRPr="00F01612">
        <w:rPr>
          <w:rStyle w:val="FootnoteReference"/>
        </w:rPr>
        <w:footnoteRef/>
      </w:r>
      <w:r w:rsidRPr="00F01612">
        <w:t xml:space="preserve"> U.S. Census Bureau, 2012 NAICS Definitions, “517919 All Other Telecommunications,” </w:t>
      </w:r>
      <w:r>
        <w:fldChar w:fldCharType="begin"/>
      </w:r>
      <w:r>
        <w:instrText xml:space="preserve"> HYPERLINK "http://www.census.gov/cgi-bin/sssd/naics/naicsrch?code=517919&amp;search=2012" </w:instrText>
      </w:r>
      <w:r>
        <w:fldChar w:fldCharType="separate"/>
      </w:r>
      <w:r w:rsidRPr="006F080D">
        <w:rPr>
          <w:rStyle w:val="Hyperlink"/>
        </w:rPr>
        <w:t>http://www.census.gov/cgi-bin/sssd/naics/naicsrch?code=517919&amp;search=2012</w:t>
      </w:r>
      <w:r>
        <w:fldChar w:fldCharType="end"/>
      </w:r>
      <w:r w:rsidRPr="00F01612">
        <w:t xml:space="preserve">. </w:t>
      </w:r>
    </w:p>
  </w:footnote>
  <w:footnote w:id="160">
    <w:p w:rsidR="00E06D4D" w:rsidP="00D63EBF" w14:paraId="1A2B47B4" w14:textId="77777777">
      <w:pPr>
        <w:pStyle w:val="FootnoteText"/>
      </w:pPr>
      <w:r>
        <w:rPr>
          <w:rStyle w:val="FootnoteReference"/>
        </w:rPr>
        <w:footnoteRef/>
      </w:r>
      <w:r>
        <w:t xml:space="preserve"> </w:t>
      </w:r>
      <w:r>
        <w:rPr>
          <w:color w:val="000000"/>
        </w:rPr>
        <w:t>13 CFR § 121.201, NAICS code 517919.</w:t>
      </w:r>
    </w:p>
  </w:footnote>
  <w:footnote w:id="161">
    <w:p w:rsidR="00E06D4D" w:rsidRPr="00B013DC" w:rsidP="00D63EBF" w14:paraId="096A7DDD" w14:textId="77777777">
      <w:pPr>
        <w:pStyle w:val="FootnoteText"/>
      </w:pPr>
      <w:r>
        <w:rPr>
          <w:rStyle w:val="FootnoteReference"/>
        </w:rPr>
        <w:footnoteRef/>
      </w:r>
      <w:r>
        <w:t xml:space="preserve"> </w:t>
      </w:r>
      <w:r w:rsidRPr="00F01612">
        <w:rPr>
          <w:i/>
        </w:rPr>
        <w:t>Id</w:t>
      </w:r>
      <w:r>
        <w:t>.</w:t>
      </w:r>
    </w:p>
  </w:footnote>
  <w:footnote w:id="162">
    <w:p w:rsidR="00E06D4D" w:rsidRPr="00F01612" w:rsidP="00D63EBF" w14:paraId="556B46F9" w14:textId="77777777">
      <w:pPr>
        <w:pStyle w:val="FootnoteText"/>
      </w:pPr>
      <w:r w:rsidRPr="00F01612">
        <w:rPr>
          <w:rStyle w:val="FootnoteReference"/>
        </w:rPr>
        <w:footnoteRef/>
      </w:r>
      <w:r w:rsidRPr="00F01612">
        <w:t xml:space="preserve"> U.S. Census Bureau, 20</w:t>
      </w:r>
      <w:r>
        <w:t>12</w:t>
      </w:r>
      <w:r w:rsidRPr="00F01612">
        <w:t xml:space="preserve"> Economic Census, Subject Series:</w:t>
      </w:r>
      <w:r>
        <w:t xml:space="preserve"> </w:t>
      </w:r>
      <w:r w:rsidRPr="00F01612">
        <w:t xml:space="preserve"> Information, “Establishment and Firm Size,” NAICS code 517919.</w:t>
      </w:r>
    </w:p>
  </w:footnote>
  <w:footnote w:id="163">
    <w:p w:rsidR="00E06D4D" w:rsidRPr="00F01612" w:rsidP="00D63EBF" w14:paraId="0F8EA76F" w14:textId="77777777">
      <w:pPr>
        <w:pStyle w:val="FootnoteText"/>
      </w:pPr>
      <w:r w:rsidRPr="00F01612">
        <w:rPr>
          <w:rStyle w:val="FootnoteReference"/>
        </w:rPr>
        <w:footnoteRef/>
      </w:r>
      <w:r w:rsidRPr="00F01612">
        <w:t xml:space="preserve"> </w:t>
      </w:r>
      <w:r w:rsidRPr="00F01612">
        <w:rPr>
          <w:i/>
        </w:rPr>
        <w:t>Id</w:t>
      </w:r>
      <w:r>
        <w:t>.</w:t>
      </w:r>
    </w:p>
  </w:footnote>
  <w:footnote w:id="164">
    <w:p w:rsidR="00E06D4D" w:rsidP="00D63EBF" w14:paraId="6EBA1328" w14:textId="77777777">
      <w:pPr>
        <w:pStyle w:val="FootnoteText"/>
      </w:pPr>
      <w:r>
        <w:rPr>
          <w:rStyle w:val="FootnoteReference"/>
        </w:rPr>
        <w:footnoteRef/>
      </w:r>
      <w:r>
        <w:t xml:space="preserve"> </w:t>
      </w:r>
      <w:r w:rsidRPr="00D45BFC">
        <w:t>https://www.census.gov/cgi-bin/sssd/naics/naicsrch?input=517911&amp;search=2012+NAICS+Search&amp;search=2012</w:t>
      </w:r>
      <w:r>
        <w:t>.</w:t>
      </w:r>
    </w:p>
  </w:footnote>
  <w:footnote w:id="165">
    <w:p w:rsidR="00E06D4D" w:rsidP="00D63EBF" w14:paraId="737DCA75" w14:textId="77777777">
      <w:pPr>
        <w:pStyle w:val="FootnoteText"/>
      </w:pPr>
      <w:r>
        <w:rPr>
          <w:rStyle w:val="FootnoteReference"/>
        </w:rPr>
        <w:footnoteRef/>
      </w:r>
      <w:r>
        <w:t xml:space="preserve"> </w:t>
      </w:r>
      <w:r>
        <w:rPr>
          <w:color w:val="000000"/>
        </w:rPr>
        <w:t>13 CFR § 121.201, NAICS code 517911.</w:t>
      </w:r>
    </w:p>
  </w:footnote>
  <w:footnote w:id="166">
    <w:p w:rsidR="00E06D4D" w:rsidRPr="00B013DC" w:rsidP="00D63EBF" w14:paraId="3BCCDE1E" w14:textId="77777777">
      <w:pPr>
        <w:pStyle w:val="FootnoteText"/>
      </w:pPr>
      <w:r>
        <w:rPr>
          <w:rStyle w:val="FootnoteReference"/>
        </w:rPr>
        <w:footnoteRef/>
      </w:r>
      <w:r>
        <w:t xml:space="preserve"> </w:t>
      </w:r>
      <w:r w:rsidRPr="00F01612">
        <w:rPr>
          <w:i/>
        </w:rPr>
        <w:t>Id</w:t>
      </w:r>
      <w:r>
        <w:t>.</w:t>
      </w:r>
    </w:p>
  </w:footnote>
  <w:footnote w:id="167">
    <w:p w:rsidR="00E06D4D" w:rsidP="00D63EBF" w14:paraId="3D72093A" w14:textId="77777777">
      <w:pPr>
        <w:pStyle w:val="FootnoteText"/>
      </w:pPr>
      <w:r>
        <w:rPr>
          <w:rStyle w:val="FootnoteReference"/>
        </w:rPr>
        <w:footnoteRef/>
      </w:r>
      <w:r>
        <w:t xml:space="preserve"> 2012 U.S. Economic Census, NAICs Code </w:t>
      </w:r>
      <w:r w:rsidRPr="00F01612">
        <w:t>517</w:t>
      </w:r>
      <w:r>
        <w:t xml:space="preserve">911, at </w:t>
      </w:r>
      <w:r w:rsidRPr="0075105E">
        <w:t>https://factfinder.census.gov/faces/tableservices/jsf/pages/productview.xhtml?pid=ECN_2012_US_51SSSZ2&amp;prodType=table</w:t>
      </w:r>
      <w:r>
        <w:t>.</w:t>
      </w:r>
    </w:p>
  </w:footnote>
  <w:footnote w:id="168">
    <w:p w:rsidR="00E06D4D" w:rsidP="00D63EBF" w14:paraId="5AD8D83A" w14:textId="77777777">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69">
    <w:p w:rsidR="00E06D4D" w:rsidP="00D63EBF" w14:paraId="4BEC00F6" w14:textId="77777777">
      <w:pPr>
        <w:pStyle w:val="FootnoteText"/>
      </w:pPr>
      <w:r>
        <w:rPr>
          <w:rStyle w:val="FootnoteReference"/>
        </w:rPr>
        <w:footnoteRef/>
      </w:r>
      <w:r>
        <w:t xml:space="preserve"> </w:t>
      </w:r>
      <w:r w:rsidRPr="00E52E8F">
        <w:rPr>
          <w:i/>
        </w:rPr>
        <w:t>Id.</w:t>
      </w:r>
    </w:p>
  </w:footnote>
  <w:footnote w:id="170">
    <w:p w:rsidR="00E06D4D" w:rsidP="00D63EBF" w14:paraId="37EDB9AE" w14:textId="77777777">
      <w:pPr>
        <w:pStyle w:val="FootnoteText"/>
      </w:pPr>
      <w:r>
        <w:rPr>
          <w:rStyle w:val="FootnoteReference"/>
        </w:rPr>
        <w:footnoteRef/>
      </w:r>
      <w:r>
        <w:t xml:space="preserve"> </w:t>
      </w:r>
      <w:r w:rsidRPr="00D45BFC">
        <w:t>https://www.census.gov/cgi-bin/sssd/naics/naicsrch?input=517911&amp;search=2012+NAICS+Search&amp;search=2012</w:t>
      </w:r>
      <w:r>
        <w:t>.</w:t>
      </w:r>
    </w:p>
  </w:footnote>
  <w:footnote w:id="171">
    <w:p w:rsidR="00E06D4D" w:rsidP="00D63EBF" w14:paraId="35F919A9" w14:textId="77777777">
      <w:pPr>
        <w:pStyle w:val="FootnoteText"/>
      </w:pPr>
      <w:r>
        <w:rPr>
          <w:rStyle w:val="FootnoteReference"/>
        </w:rPr>
        <w:footnoteRef/>
      </w:r>
      <w:r>
        <w:t xml:space="preserve"> 13 </w:t>
      </w:r>
      <w:r w:rsidRPr="000A032F">
        <w:t>CFR § 121.201, NAICS code 517911.</w:t>
      </w:r>
    </w:p>
  </w:footnote>
  <w:footnote w:id="172">
    <w:p w:rsidR="00E06D4D" w:rsidP="00D63EBF" w14:paraId="305A2CE1" w14:textId="77777777">
      <w:pPr>
        <w:pStyle w:val="FootnoteText"/>
      </w:pPr>
      <w:r>
        <w:rPr>
          <w:rStyle w:val="FootnoteReference"/>
        </w:rPr>
        <w:footnoteRef/>
      </w:r>
      <w:r>
        <w:t xml:space="preserve"> </w:t>
      </w:r>
      <w:r w:rsidRPr="00F01612">
        <w:t>U.S. Census Bureau, 20</w:t>
      </w:r>
      <w:r>
        <w:t>12</w:t>
      </w:r>
      <w:r w:rsidRPr="00F01612">
        <w:t xml:space="preserve"> Economic Census, Subject Series:</w:t>
      </w:r>
      <w:r>
        <w:t xml:space="preserve"> </w:t>
      </w:r>
      <w:r w:rsidRPr="00F01612">
        <w:t xml:space="preserve"> Information, “Establishment and Firm Size,” NAICS code 51791</w:t>
      </w:r>
      <w:r>
        <w:t>1</w:t>
      </w:r>
      <w:r w:rsidRPr="00F01612">
        <w:t>.</w:t>
      </w:r>
    </w:p>
  </w:footnote>
  <w:footnote w:id="173">
    <w:p w:rsidR="00E06D4D" w:rsidP="00D63EBF" w14:paraId="0E788E54" w14:textId="77777777">
      <w:pPr>
        <w:pStyle w:val="FootnoteText"/>
      </w:pPr>
      <w:r>
        <w:rPr>
          <w:rStyle w:val="FootnoteReference"/>
        </w:rPr>
        <w:footnoteRef/>
      </w:r>
      <w:r>
        <w:t xml:space="preserve"> </w:t>
      </w:r>
      <w:r w:rsidRPr="00D45BFC">
        <w:t>https://www.census.gov/cgi-bin/sssd/naics/naicsrch?input=517911&amp;search=2012+NAICS+Search&amp;search=2012</w:t>
      </w:r>
      <w:r>
        <w:t>.</w:t>
      </w:r>
    </w:p>
  </w:footnote>
  <w:footnote w:id="174">
    <w:p w:rsidR="00E06D4D" w:rsidP="00D63EBF" w14:paraId="41F8F725" w14:textId="77777777">
      <w:pPr>
        <w:pStyle w:val="FootnoteText"/>
      </w:pPr>
      <w:r>
        <w:rPr>
          <w:rStyle w:val="FootnoteReference"/>
        </w:rPr>
        <w:footnoteRef/>
      </w:r>
      <w:r>
        <w:t xml:space="preserve"> 13 </w:t>
      </w:r>
      <w:r w:rsidRPr="000A032F">
        <w:t>CFR § 121.201, NAICS code 517911.</w:t>
      </w:r>
    </w:p>
  </w:footnote>
  <w:footnote w:id="175">
    <w:p w:rsidR="00E06D4D" w:rsidP="00D63EBF" w14:paraId="072E1CFD" w14:textId="77777777">
      <w:pPr>
        <w:pStyle w:val="FootnoteText"/>
      </w:pPr>
      <w:r>
        <w:rPr>
          <w:rStyle w:val="FootnoteReference"/>
        </w:rPr>
        <w:footnoteRef/>
      </w:r>
      <w:r>
        <w:t xml:space="preserve"> </w:t>
      </w:r>
      <w:r w:rsidRPr="00F01612">
        <w:t>U.S. Census Bureau, 20</w:t>
      </w:r>
      <w:r>
        <w:t>12</w:t>
      </w:r>
      <w:r w:rsidRPr="00F01612">
        <w:t xml:space="preserve"> Economic Census, Subject Series:</w:t>
      </w:r>
      <w:r>
        <w:t xml:space="preserve"> </w:t>
      </w:r>
      <w:r w:rsidRPr="00F01612">
        <w:t xml:space="preserve"> Information, “Establishment and Firm Size,” NAICS code 51791</w:t>
      </w:r>
      <w:r>
        <w:t>1</w:t>
      </w:r>
      <w:r w:rsidRPr="00F01612">
        <w:t>.</w:t>
      </w:r>
    </w:p>
  </w:footnote>
  <w:footnote w:id="176">
    <w:p w:rsidR="00E06D4D" w:rsidRPr="007D6E0C" w:rsidP="00A44428" w14:paraId="0F1AC186" w14:textId="2C71F529">
      <w:pPr>
        <w:pStyle w:val="FootnoteText"/>
      </w:pPr>
      <w:r>
        <w:rPr>
          <w:rStyle w:val="FootnoteReference"/>
        </w:rPr>
        <w:footnoteRef/>
      </w:r>
      <w:r>
        <w:t xml:space="preserve"> </w:t>
      </w:r>
      <w:r>
        <w:rPr>
          <w:szCs w:val="22"/>
        </w:rPr>
        <w:t>Second</w:t>
      </w:r>
      <w:r>
        <w:t xml:space="preserve"> FNPRM at paras.8-10</w:t>
      </w:r>
      <w:r w:rsidRPr="007D6E0C">
        <w:t>.</w:t>
      </w:r>
    </w:p>
  </w:footnote>
  <w:footnote w:id="177">
    <w:p w:rsidR="00E06D4D" w:rsidRPr="007D6E0C" w:rsidP="00D63EBF" w14:paraId="107EDA38" w14:textId="77777777">
      <w:pPr>
        <w:pStyle w:val="FootnoteText"/>
      </w:pPr>
      <w:r w:rsidRPr="007D6E0C">
        <w:rPr>
          <w:rStyle w:val="FootnoteReference"/>
        </w:rPr>
        <w:footnoteRef/>
      </w:r>
      <w:r w:rsidRPr="007D6E0C">
        <w:t xml:space="preserve"> </w:t>
      </w:r>
      <w:r w:rsidRPr="007D6E0C">
        <w:rPr>
          <w:i/>
        </w:rPr>
        <w:t xml:space="preserve">See, e.g., </w:t>
      </w:r>
      <w:r w:rsidRPr="007D6E0C">
        <w:t xml:space="preserve">Comcast Reply Comments at 4-5 (noting that “claims that establishing a database would be too burdensome because voice providers do not track disconnections and reassignments are simply incorrect.  Comcast routinely tracks such information in providing voice services—and, indeed, it is difficult to imagine how a provider could offer a viable voice service </w:t>
      </w:r>
      <w:r w:rsidRPr="007D6E0C">
        <w:rPr>
          <w:i/>
        </w:rPr>
        <w:t>without</w:t>
      </w:r>
      <w:r w:rsidRPr="007D6E0C">
        <w:t xml:space="preserve"> tracking such information.”)</w:t>
      </w:r>
    </w:p>
  </w:footnote>
  <w:footnote w:id="178">
    <w:p w:rsidR="00E06D4D" w:rsidP="00D63EBF" w14:paraId="6D865415" w14:textId="74991B71">
      <w:pPr>
        <w:pStyle w:val="FootnoteText"/>
      </w:pPr>
      <w:r w:rsidRPr="007D6E0C">
        <w:rPr>
          <w:rStyle w:val="FootnoteReference"/>
        </w:rPr>
        <w:footnoteRef/>
      </w:r>
      <w:r w:rsidRPr="007D6E0C">
        <w:t xml:space="preserve"> </w:t>
      </w:r>
      <w:r w:rsidRPr="007D6E0C">
        <w:rPr>
          <w:szCs w:val="22"/>
        </w:rPr>
        <w:t>Second</w:t>
      </w:r>
      <w:r>
        <w:t xml:space="preserve"> FNPRM at paras. 43, 52, 59</w:t>
      </w:r>
      <w:r w:rsidRPr="007D6E0C">
        <w:t>.</w:t>
      </w:r>
    </w:p>
  </w:footnote>
  <w:footnote w:id="179">
    <w:p w:rsidR="00E06D4D" w:rsidP="00D63EBF" w14:paraId="55549D3E" w14:textId="77777777">
      <w:pPr>
        <w:pStyle w:val="FootnoteText"/>
      </w:pPr>
      <w:r>
        <w:rPr>
          <w:rStyle w:val="FootnoteReference"/>
        </w:rPr>
        <w:footnoteRef/>
      </w:r>
      <w:r>
        <w:rPr>
          <w:lang w:val="es-ES"/>
        </w:rPr>
        <w:t xml:space="preserve"> 5 U.S.C. § 603(c).</w:t>
      </w:r>
    </w:p>
  </w:footnote>
  <w:footnote w:id="180">
    <w:p w:rsidR="00E06D4D" w:rsidRPr="007D6E0C" w14:paraId="2A2137DB" w14:textId="635A3E11">
      <w:pPr>
        <w:pStyle w:val="FootnoteText"/>
      </w:pPr>
      <w:r>
        <w:rPr>
          <w:rStyle w:val="FootnoteReference"/>
        </w:rPr>
        <w:footnoteRef/>
      </w:r>
      <w:r>
        <w:t xml:space="preserve"> </w:t>
      </w:r>
      <w:r>
        <w:rPr>
          <w:i/>
        </w:rPr>
        <w:t xml:space="preserve">See supra </w:t>
      </w:r>
      <w:r>
        <w:t>note. 78</w:t>
      </w:r>
      <w:r w:rsidRPr="007D6E0C">
        <w:t>.</w:t>
      </w:r>
    </w:p>
  </w:footnote>
  <w:footnote w:id="181">
    <w:p w:rsidR="00E06D4D" w:rsidP="00EF71A5" w14:paraId="5768885A" w14:textId="209E4762">
      <w:pPr>
        <w:pStyle w:val="FootnoteText"/>
      </w:pPr>
      <w:r w:rsidRPr="007D6E0C">
        <w:rPr>
          <w:rStyle w:val="FootnoteReference"/>
        </w:rPr>
        <w:footnoteRef/>
      </w:r>
      <w:r w:rsidRPr="007D6E0C">
        <w:t xml:space="preserve"> </w:t>
      </w:r>
      <w:r w:rsidRPr="007D6E0C">
        <w:rPr>
          <w:szCs w:val="22"/>
        </w:rPr>
        <w:t>Second</w:t>
      </w:r>
      <w:r>
        <w:t xml:space="preserve"> FNPRM at 29</w:t>
      </w:r>
      <w:r w:rsidRPr="007D6E0C">
        <w:t xml:space="preserve"> (seeking comment on ways to minimize costs so as to encourage small business callers to use a</w:t>
      </w:r>
      <w:r>
        <w:t xml:space="preserve"> reassigned number database), 42</w:t>
      </w:r>
      <w:r w:rsidRPr="007D6E0C">
        <w:t xml:space="preserve"> (seeking comment on whether smaller service providers should be able to report data less frequently and potential unique reporting burdens for small </w:t>
      </w:r>
      <w:r>
        <w:t>and rural service providers), 59</w:t>
      </w:r>
      <w:r w:rsidRPr="007D6E0C">
        <w:t xml:space="preserve"> (seeking comment on ways to encourage small service provider participation through cost recovery).</w:t>
      </w:r>
      <w:r>
        <w:t xml:space="preserve"> </w:t>
      </w:r>
    </w:p>
  </w:footnote>
  <w:footnote w:id="182">
    <w:p w:rsidR="00E06D4D" w:rsidP="001B5E95" w14:paraId="2555E808" w14:textId="77777777">
      <w:pPr>
        <w:pStyle w:val="FootnoteText"/>
      </w:pPr>
      <w:r>
        <w:rPr>
          <w:rStyle w:val="FootnoteReference"/>
        </w:rPr>
        <w:footnoteRef/>
      </w:r>
      <w:r>
        <w:t xml:space="preserve"> “The Maid,” </w:t>
      </w:r>
      <w:r w:rsidRPr="00CD57C8">
        <w:rPr>
          <w:i/>
        </w:rPr>
        <w:t>Seinfeld</w:t>
      </w:r>
      <w:r>
        <w:t xml:space="preserve">, Season 9, Episode, 19 (Apr. 30, 1998), </w:t>
      </w:r>
      <w:r w:rsidRPr="00141759">
        <w:rPr>
          <w:i/>
        </w:rPr>
        <w:t>available at</w:t>
      </w:r>
      <w:r>
        <w:t xml:space="preserve"> </w:t>
      </w:r>
      <w:r>
        <w:fldChar w:fldCharType="begin"/>
      </w:r>
      <w:r>
        <w:instrText xml:space="preserve"> HYPERLINK "http://www.seinfeldscripts.com/TheMaid.htm" </w:instrText>
      </w:r>
      <w:r>
        <w:fldChar w:fldCharType="separate"/>
      </w:r>
      <w:r w:rsidRPr="008A5B1E">
        <w:rPr>
          <w:rStyle w:val="Hyperlink"/>
        </w:rPr>
        <w:t>http://www.seinfeldscripts.com/TheMaid.htm</w:t>
      </w:r>
      <w:r>
        <w:fldChar w:fldCharType="end"/>
      </w:r>
      <w:r>
        <w:t>.</w:t>
      </w:r>
    </w:p>
  </w:footnote>
  <w:footnote w:id="183">
    <w:p w:rsidR="00E06D4D" w:rsidP="001B5E95" w14:paraId="6BB33D4A" w14:textId="77777777">
      <w:pPr>
        <w:pStyle w:val="FootnoteText"/>
      </w:pPr>
      <w:r>
        <w:rPr>
          <w:rStyle w:val="FootnoteReference"/>
        </w:rPr>
        <w:footnoteRef/>
      </w:r>
      <w:r>
        <w:t xml:space="preserve"> </w:t>
      </w:r>
      <w:r w:rsidRPr="0032655F">
        <w:rPr>
          <w:i/>
        </w:rPr>
        <w:t>ACA Int’l v. FCC</w:t>
      </w:r>
      <w:r>
        <w:t>, No. 15-1211, slip op. at 40 (D.C. Cir. Mar. 16, 2018).</w:t>
      </w:r>
    </w:p>
  </w:footnote>
  <w:footnote w:id="184">
    <w:p w:rsidR="00E06D4D" w:rsidP="001B5E95" w14:paraId="56433D89" w14:textId="77777777">
      <w:pPr>
        <w:pStyle w:val="FootnoteText"/>
      </w:pPr>
      <w:r>
        <w:rPr>
          <w:rStyle w:val="FootnoteReference"/>
        </w:rPr>
        <w:footnoteRef/>
      </w:r>
      <w:r>
        <w:t xml:space="preserve"> “The Serenity Now,” </w:t>
      </w:r>
      <w:r w:rsidRPr="00496650">
        <w:rPr>
          <w:i/>
        </w:rPr>
        <w:t>Seinfeld</w:t>
      </w:r>
      <w:r>
        <w:t xml:space="preserve">, Season 9, Episode 3 (Oct. 9, 1997), </w:t>
      </w:r>
      <w:r w:rsidRPr="00141759">
        <w:rPr>
          <w:i/>
        </w:rPr>
        <w:t>available at</w:t>
      </w:r>
      <w:r>
        <w:t xml:space="preserve"> </w:t>
      </w:r>
      <w:r>
        <w:fldChar w:fldCharType="begin"/>
      </w:r>
      <w:r>
        <w:instrText xml:space="preserve"> HYPERLINK "https://www.youtube.com/watch?v=auNAvO4NQnY" </w:instrText>
      </w:r>
      <w:r>
        <w:fldChar w:fldCharType="separate"/>
      </w:r>
      <w:r w:rsidRPr="008A5B1E">
        <w:rPr>
          <w:rStyle w:val="Hyperlink"/>
        </w:rPr>
        <w:t>https://www.youtube.com/watch?v=auNAvO4NQnY</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41F6" w14:paraId="1DB6792A"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35A" w:rsidRPr="0000701B" w:rsidP="009B59ED" w14:paraId="3EB7D4A1" w14:textId="77777777">
    <w:pPr>
      <w:pStyle w:val="Header"/>
      <w:ind w:firstLine="2880"/>
    </w:pPr>
    <w:r>
      <w:rPr>
        <w:noProof/>
      </w:rPr>
      <mc:AlternateContent>
        <mc:Choice Requires="wps">
          <w:drawing>
            <wp:anchor distT="0" distB="0" distL="114300" distR="114300" simplePos="0" relativeHeight="25168281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635">
                            <a:solidFill>
                              <a:srgbClr val="000000"/>
                            </a:solidFill>
                            <a:miter lim="800000"/>
                            <a:headEnd/>
                            <a:tailEnd/>
                          </a14:hiddenLine>
                        </a:ext>
                        <a:ext xmlns:a="http://schemas.openxmlformats.org/drawingml/2006/main" uri="{AF507438-7753-43e0-B8FC-AC1667EBCBE1}">
                          <a14:hiddenEffects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1" o:spid="_x0000_s2057"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32640" o:allowincell="f" fillcolor="black" stroked="f">
              <w10:wrap anchorx="margin"/>
            </v:rect>
          </w:pict>
        </mc:Fallback>
      </mc:AlternateContent>
    </w:r>
    <w:r>
      <w:t>Federal Communications Commission</w:t>
    </w:r>
    <w:r>
      <w:tab/>
    </w:r>
    <w:r>
      <w:rPr>
        <w:spacing w:val="-2"/>
      </w:rPr>
      <w:t>FCC 18-31</w:t>
    </w:r>
  </w:p>
  <w:p w:rsidR="0004035A" w:rsidRPr="009B59ED" w:rsidP="009B59ED" w14:paraId="2D64FABB"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35A" w:rsidRPr="0000701B" w:rsidP="009B59ED" w14:paraId="36EE80F5" w14:textId="77777777">
    <w:pPr>
      <w:pStyle w:val="Header"/>
      <w:ind w:firstLine="2880"/>
    </w:pPr>
    <w:r>
      <w:rPr>
        <w:noProof/>
      </w:rPr>
      <mc:AlternateContent>
        <mc:Choice Requires="wps">
          <w:drawing>
            <wp:anchor distT="0" distB="0" distL="114300" distR="114300" simplePos="0" relativeHeight="25167872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2" name="Rectangl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635">
                            <a:solidFill>
                              <a:srgbClr val="000000"/>
                            </a:solidFill>
                            <a:miter lim="800000"/>
                            <a:headEnd/>
                            <a:tailEnd/>
                          </a14:hiddenLine>
                        </a:ext>
                        <a:ext xmlns:a="http://schemas.openxmlformats.org/drawingml/2006/main" uri="{AF507438-7753-43e0-B8FC-AC1667EBCBE1}">
                          <a14:hiddenEffects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2" o:spid="_x0000_s2058"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36736" o:allowincell="f" fillcolor="black" stroked="f">
              <w10:wrap anchorx="margin"/>
            </v:rect>
          </w:pict>
        </mc:Fallback>
      </mc:AlternateContent>
    </w:r>
    <w:r>
      <w:t>Federal Communications Commission</w:t>
    </w:r>
    <w:r>
      <w:tab/>
    </w:r>
    <w:r>
      <w:rPr>
        <w:spacing w:val="-2"/>
      </w:rPr>
      <w:t>FCC 18-31</w:t>
    </w:r>
  </w:p>
  <w:p w:rsidR="0004035A" w:rsidRPr="009B59ED" w:rsidP="009B59ED" w14:paraId="76D60CDE"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35A" w:rsidRPr="0000701B" w:rsidP="009B59ED" w14:paraId="4D10EB1F" w14:textId="77777777">
    <w:pPr>
      <w:pStyle w:val="Header"/>
      <w:ind w:firstLine="2880"/>
    </w:pPr>
    <w:r>
      <w:rPr>
        <w:noProof/>
      </w:rPr>
      <mc:AlternateContent>
        <mc:Choice Requires="wps">
          <w:drawing>
            <wp:anchor distT="0" distB="0" distL="114300" distR="114300" simplePos="0" relativeHeight="25168076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3" name="Rectangle 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635">
                            <a:solidFill>
                              <a:srgbClr val="000000"/>
                            </a:solidFill>
                            <a:miter lim="800000"/>
                            <a:headEnd/>
                            <a:tailEnd/>
                          </a14:hiddenLine>
                        </a:ext>
                        <a:ext xmlns:a="http://schemas.openxmlformats.org/drawingml/2006/main" uri="{AF507438-7753-43e0-B8FC-AC1667EBCBE1}">
                          <a14:hiddenEffects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3" o:spid="_x0000_s205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34688" o:allowincell="f" fillcolor="black" stroked="f">
              <w10:wrap anchorx="margin"/>
            </v:rect>
          </w:pict>
        </mc:Fallback>
      </mc:AlternateContent>
    </w:r>
    <w:r>
      <w:t>Federal Communications Commission</w:t>
    </w:r>
    <w:r>
      <w:tab/>
    </w:r>
    <w:r>
      <w:rPr>
        <w:spacing w:val="-2"/>
      </w:rPr>
      <w:t>FCC 18-31</w:t>
    </w:r>
  </w:p>
  <w:p w:rsidR="0004035A" w:rsidRPr="009B59ED" w:rsidP="009B59ED" w14:paraId="1D18D616"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35A" w:rsidRPr="0000701B" w:rsidP="009B59ED" w14:paraId="5423488E" w14:textId="77777777">
    <w:pPr>
      <w:pStyle w:val="Header"/>
      <w:ind w:firstLine="2880"/>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0" name="Rectangle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635">
                            <a:solidFill>
                              <a:srgbClr val="000000"/>
                            </a:solidFill>
                            <a:miter lim="800000"/>
                            <a:headEnd/>
                            <a:tailEnd/>
                          </a14:hiddenLine>
                        </a:ext>
                        <a:ext xmlns:a="http://schemas.openxmlformats.org/drawingml/2006/main" uri="{AF507438-7753-43e0-B8FC-AC1667EBCBE1}">
                          <a14:hiddenEffects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 o:spid="_x0000_s206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38784" o:allowincell="f" fillcolor="black" stroked="f">
              <w10:wrap anchorx="margin"/>
            </v:rect>
          </w:pict>
        </mc:Fallback>
      </mc:AlternateContent>
    </w:r>
    <w:r>
      <w:t>Federal Communications Commission</w:t>
    </w:r>
    <w:r>
      <w:tab/>
    </w:r>
    <w:r>
      <w:rPr>
        <w:spacing w:val="-2"/>
      </w:rPr>
      <w:t>FCC 18-31</w:t>
    </w:r>
  </w:p>
  <w:p w:rsidR="0004035A" w:rsidRPr="009B59ED" w:rsidP="009B59ED" w14:paraId="68A356C3" w14:textId="777777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35A" w:rsidRPr="0000701B" w:rsidP="009B59ED" w14:paraId="1BB2E337" w14:textId="77777777">
    <w:pPr>
      <w:pStyle w:val="Header"/>
      <w:ind w:firstLine="2880"/>
    </w:pPr>
    <w:r>
      <w:rPr>
        <w:noProof/>
      </w:rPr>
      <mc:AlternateContent>
        <mc:Choice Requires="wps">
          <w:drawing>
            <wp:anchor distT="0" distB="0" distL="114300" distR="114300" simplePos="0" relativeHeight="25167462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9" name="Rectangle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635">
                            <a:solidFill>
                              <a:srgbClr val="000000"/>
                            </a:solidFill>
                            <a:miter lim="800000"/>
                            <a:headEnd/>
                            <a:tailEnd/>
                          </a14:hiddenLine>
                        </a:ext>
                        <a:ext xmlns:a="http://schemas.openxmlformats.org/drawingml/2006/main" uri="{AF507438-7753-43e0-B8FC-AC1667EBCBE1}">
                          <a14:hiddenEffects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9" o:spid="_x0000_s206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0832" o:allowincell="f" fillcolor="black" stroked="f">
              <w10:wrap anchorx="margin"/>
            </v:rect>
          </w:pict>
        </mc:Fallback>
      </mc:AlternateContent>
    </w:r>
    <w:r>
      <w:t>Federal Communications Commission</w:t>
    </w:r>
    <w:r>
      <w:tab/>
    </w:r>
    <w:r>
      <w:rPr>
        <w:spacing w:val="-2"/>
      </w:rPr>
      <w:t>FCC 18-31</w:t>
    </w:r>
  </w:p>
  <w:p w:rsidR="0004035A" w:rsidRPr="009B59ED" w:rsidP="009B59ED" w14:paraId="38C3665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6D4D" w:rsidRPr="0000701B" w:rsidP="00F666AC" w14:paraId="1EBE5D17" w14:textId="5EAD27C4">
    <w:pPr>
      <w:pStyle w:val="Header"/>
      <w:ind w:firstLine="2880"/>
    </w:pPr>
    <w:bookmarkStart w:id="104" w:name="_Hlk507592449"/>
    <w:r>
      <w:rPr>
        <w:noProof/>
      </w:rPr>
      <mc:AlternateContent>
        <mc:Choice Requires="wps">
          <w:drawing>
            <wp:anchor distT="0" distB="0" distL="114300" distR="114300" simplePos="0" relativeHeight="25167052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635">
                            <a:solidFill>
                              <a:srgbClr val="000000"/>
                            </a:solidFill>
                            <a:miter lim="800000"/>
                            <a:headEnd/>
                            <a:tailEnd/>
                          </a14:hiddenLine>
                        </a:ext>
                        <a:ext xmlns:a="http://schemas.openxmlformats.org/drawingml/2006/main" uri="{AF507438-7753-43e0-B8FC-AC1667EBCBE1}">
                          <a14:hiddenEffects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4928" o:allowincell="f" fillcolor="black" stroked="f">
              <w10:wrap anchorx="margin"/>
            </v:rect>
          </w:pict>
        </mc:Fallback>
      </mc:AlternateContent>
    </w:r>
    <w:r>
      <w:t>Federal Communications Commission</w:t>
    </w:r>
    <w:r>
      <w:tab/>
    </w:r>
    <w:r>
      <w:rPr>
        <w:spacing w:val="-2"/>
      </w:rPr>
      <w:t>FCC 18-31</w:t>
    </w:r>
  </w:p>
  <w:p w:rsidR="00E06D4D" w:rsidP="001C0CCB" w14:paraId="0805F341" w14:textId="77777777">
    <w:pPr>
      <w:pStyle w:val="Header"/>
    </w:pPr>
    <w:bookmarkEnd w:id="10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6D4D" w:rsidRPr="0000701B" w:rsidP="001C0CCB" w14:paraId="74E5B428" w14:textId="53BE8A9A">
    <w:pPr>
      <w:pStyle w:val="Header"/>
    </w:pPr>
    <w:r w:rsidRPr="001C35B3">
      <w:rPr>
        <w:noProof/>
        <w:highlight w:val="yellow"/>
      </w:rPr>
      <mc:AlternateContent>
        <mc:Choice Requires="wps">
          <w:drawing>
            <wp:anchor distT="0" distB="0" distL="114300" distR="114300" simplePos="0" relativeHeight="25166848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635">
                            <a:solidFill>
                              <a:srgbClr val="000000"/>
                            </a:solidFill>
                            <a:miter lim="800000"/>
                            <a:headEnd/>
                            <a:tailEnd/>
                          </a14:hiddenLine>
                        </a:ext>
                        <a:ext xmlns:a="http://schemas.openxmlformats.org/drawingml/2006/main" uri="{AF507438-7753-43e0-B8FC-AC1667EBCBE1}">
                          <a14:hiddenEffects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w10:wrap anchorx="margin"/>
            </v:rect>
          </w:pict>
        </mc:Fallback>
      </mc:AlternateContent>
    </w:r>
    <w:r>
      <w:tab/>
      <w:t>Federal Communications Commission</w:t>
    </w:r>
    <w:r>
      <w:tab/>
    </w:r>
    <w:bookmarkStart w:id="105" w:name="_Hlk494716320"/>
    <w:r>
      <w:rPr>
        <w:spacing w:val="-2"/>
      </w:rPr>
      <w:t>FCC</w:t>
    </w:r>
    <w:bookmarkEnd w:id="105"/>
    <w:r>
      <w:rPr>
        <w:spacing w:val="-2"/>
      </w:rPr>
      <w:t xml:space="preserve"> 18-31</w:t>
    </w:r>
  </w:p>
  <w:p w:rsidR="00E06D4D" w:rsidP="001C0CCB" w14:paraId="2B3D5A5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6D4D" w:rsidP="00810B6F" w14:paraId="129F64CD" w14:textId="068A3D98">
    <w:pPr>
      <w:pStyle w:val="Header"/>
      <w:rPr>
        <w:b w:val="0"/>
      </w:rPr>
    </w:pPr>
    <w:r>
      <w:tab/>
      <w:t>Federal Communications Commission</w:t>
    </w:r>
    <w:r>
      <w:tab/>
    </w:r>
    <w:r>
      <w:rPr>
        <w:spacing w:val="-2"/>
      </w:rPr>
      <w:t>FCC 18-31</w:t>
    </w:r>
  </w:p>
  <w:p w:rsidR="00E06D4D" w14:paraId="56A13E9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635">
                            <a:solidFill>
                              <a:srgbClr val="000000"/>
                            </a:solidFill>
                            <a:miter lim="800000"/>
                            <a:headEnd/>
                            <a:tailEnd/>
                          </a14:hiddenLine>
                        </a:ext>
                        <a:ext xmlns:a="http://schemas.openxmlformats.org/drawingml/2006/main" uri="{AF507438-7753-43e0-B8FC-AC1667EBCBE1}">
                          <a14:hiddenEffects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E06D4D" w14:paraId="02EC1256"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6D4D" w:rsidRPr="0000701B" w:rsidP="009B59ED" w14:paraId="3EC776B9" w14:textId="7055E6D5">
    <w:pPr>
      <w:pStyle w:val="Header"/>
      <w:ind w:firstLine="2880"/>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635">
                            <a:solidFill>
                              <a:srgbClr val="000000"/>
                            </a:solidFill>
                            <a:miter lim="800000"/>
                            <a:headEnd/>
                            <a:tailEnd/>
                          </a14:hiddenLine>
                        </a:ext>
                        <a:ext xmlns:a="http://schemas.openxmlformats.org/drawingml/2006/main" uri="{AF507438-7753-43e0-B8FC-AC1667EBCBE1}">
                          <a14:hiddenEffects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Federal Communications Commission</w:t>
    </w:r>
    <w:r>
      <w:tab/>
    </w:r>
    <w:r>
      <w:rPr>
        <w:spacing w:val="-2"/>
      </w:rPr>
      <w:t>FCC 18-31</w:t>
    </w:r>
  </w:p>
  <w:p w:rsidR="00E06D4D" w:rsidRPr="009B59ED" w:rsidP="009B59ED" w14:paraId="052271F3"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35A" w:rsidRPr="0000701B" w:rsidP="009B59ED" w14:paraId="3E7A5566" w14:textId="77777777">
    <w:pPr>
      <w:pStyle w:val="Header"/>
      <w:ind w:firstLine="2880"/>
    </w:pPr>
    <w:r>
      <w:rPr>
        <w:noProof/>
      </w:rPr>
      <mc:AlternateContent>
        <mc:Choice Requires="wps">
          <w:drawing>
            <wp:anchor distT="0" distB="0" distL="114300" distR="114300" simplePos="0" relativeHeight="25166643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7"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635">
                            <a:solidFill>
                              <a:srgbClr val="000000"/>
                            </a:solidFill>
                            <a:miter lim="800000"/>
                            <a:headEnd/>
                            <a:tailEnd/>
                          </a14:hiddenLine>
                        </a:ext>
                        <a:ext xmlns:a="http://schemas.openxmlformats.org/drawingml/2006/main" uri="{AF507438-7753-43e0-B8FC-AC1667EBCBE1}">
                          <a14:hiddenEffects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 o:spid="_x0000_s205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w10:wrap anchorx="margin"/>
            </v:rect>
          </w:pict>
        </mc:Fallback>
      </mc:AlternateContent>
    </w:r>
    <w:r>
      <w:t>Federal Communications Commission</w:t>
    </w:r>
    <w:r>
      <w:tab/>
    </w:r>
    <w:r>
      <w:rPr>
        <w:spacing w:val="-2"/>
      </w:rPr>
      <w:t>FCC 18-31</w:t>
    </w:r>
  </w:p>
  <w:p w:rsidR="0004035A" w:rsidRPr="009B59ED" w:rsidP="009B59ED" w14:paraId="762AF4C1"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6D4D" w:rsidP="00810B6F" w14:paraId="6AE741B5" w14:textId="77777777">
    <w:pPr>
      <w:pStyle w:val="Header"/>
      <w:rPr>
        <w:b w:val="0"/>
      </w:rPr>
    </w:pPr>
    <w:r>
      <w:tab/>
      <w:t>Federal Communications Commission</w:t>
    </w:r>
    <w:r>
      <w:tab/>
    </w:r>
    <w:r>
      <w:rPr>
        <w:spacing w:val="-2"/>
      </w:rPr>
      <w:t>FCC 18-31</w:t>
    </w:r>
  </w:p>
  <w:p w:rsidR="00E06D4D" w14:paraId="44D0BA5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635">
                            <a:solidFill>
                              <a:srgbClr val="000000"/>
                            </a:solidFill>
                            <a:miter lim="800000"/>
                            <a:headEnd/>
                            <a:tailEnd/>
                          </a14:hiddenLine>
                        </a:ext>
                        <a:ext xmlns:a="http://schemas.openxmlformats.org/drawingml/2006/main" uri="{AF507438-7753-43e0-B8FC-AC1667EBCBE1}">
                          <a14:hiddenEffects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p>
  <w:p w:rsidR="00E06D4D" w14:paraId="16893934"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6D4D" w:rsidRPr="0000701B" w:rsidP="009B59ED" w14:paraId="7D84EAB5" w14:textId="77777777">
    <w:pPr>
      <w:pStyle w:val="Header"/>
      <w:ind w:firstLine="2880"/>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635">
                            <a:solidFill>
                              <a:srgbClr val="000000"/>
                            </a:solidFill>
                            <a:miter lim="800000"/>
                            <a:headEnd/>
                            <a:tailEnd/>
                          </a14:hiddenLine>
                        </a:ext>
                        <a:ext xmlns:a="http://schemas.openxmlformats.org/drawingml/2006/main" uri="{AF507438-7753-43e0-B8FC-AC1667EBCBE1}">
                          <a14:hiddenEffects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5"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r>
      <w:t>Federal Communications Commission</w:t>
    </w:r>
    <w:r>
      <w:tab/>
    </w:r>
    <w:r>
      <w:rPr>
        <w:spacing w:val="-2"/>
      </w:rPr>
      <w:t>FCC 18-31</w:t>
    </w:r>
  </w:p>
  <w:p w:rsidR="00E06D4D" w:rsidRPr="009B59ED" w:rsidP="009B59ED" w14:paraId="6F2D2BFE"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35A" w:rsidP="00810B6F" w14:paraId="5F8F12DD" w14:textId="77777777">
    <w:pPr>
      <w:pStyle w:val="Header"/>
      <w:rPr>
        <w:b w:val="0"/>
      </w:rPr>
    </w:pPr>
    <w:r>
      <w:tab/>
      <w:t>Federal Communications Commission</w:t>
    </w:r>
    <w:r>
      <w:tab/>
    </w:r>
    <w:r>
      <w:rPr>
        <w:spacing w:val="-2"/>
      </w:rPr>
      <w:t>FCC 18-31</w:t>
    </w:r>
  </w:p>
  <w:p w:rsidR="0004035A" w14:paraId="0ED380E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7257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8"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635">
                            <a:solidFill>
                              <a:srgbClr val="000000"/>
                            </a:solidFill>
                            <a:miter lim="800000"/>
                            <a:headEnd/>
                            <a:tailEnd/>
                          </a14:hiddenLine>
                        </a:ext>
                        <a:ext xmlns:a="http://schemas.openxmlformats.org/drawingml/2006/main" uri="{AF507438-7753-43e0-B8FC-AC1667EBCBE1}">
                          <a14:hiddenEffects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2880" o:allowincell="f" fillcolor="black" stroked="f">
              <w10:wrap anchorx="margin"/>
            </v:rect>
          </w:pict>
        </mc:Fallback>
      </mc:AlternateContent>
    </w:r>
  </w:p>
  <w:p w:rsidR="0004035A" w14:paraId="6305D95D"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D148BA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8DE2DAD"/>
    <w:multiLevelType w:val="hybridMultilevel"/>
    <w:tmpl w:val="F086D01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0032056"/>
    <w:multiLevelType w:val="hybridMultilevel"/>
    <w:tmpl w:val="69EC173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1"/>
  </w:num>
  <w:num w:numId="7">
    <w:abstractNumId w:val="8"/>
    <w:lvlOverride w:ilvl="0">
      <w:startOverride w:val="1"/>
    </w:lvlOverride>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BF"/>
    <w:rsid w:val="00000ACC"/>
    <w:rsid w:val="00000E4A"/>
    <w:rsid w:val="000011A4"/>
    <w:rsid w:val="000015D7"/>
    <w:rsid w:val="00001608"/>
    <w:rsid w:val="000017C4"/>
    <w:rsid w:val="00001B22"/>
    <w:rsid w:val="0000225C"/>
    <w:rsid w:val="0000333E"/>
    <w:rsid w:val="000041E2"/>
    <w:rsid w:val="0000655F"/>
    <w:rsid w:val="0000701B"/>
    <w:rsid w:val="00011881"/>
    <w:rsid w:val="000134EC"/>
    <w:rsid w:val="0001360C"/>
    <w:rsid w:val="0001472E"/>
    <w:rsid w:val="00014B8A"/>
    <w:rsid w:val="000157C1"/>
    <w:rsid w:val="000213A0"/>
    <w:rsid w:val="00022386"/>
    <w:rsid w:val="000242A4"/>
    <w:rsid w:val="0002587A"/>
    <w:rsid w:val="00025CC9"/>
    <w:rsid w:val="00026820"/>
    <w:rsid w:val="000273BA"/>
    <w:rsid w:val="000279B8"/>
    <w:rsid w:val="0003047E"/>
    <w:rsid w:val="00031EB1"/>
    <w:rsid w:val="00032472"/>
    <w:rsid w:val="00035E6A"/>
    <w:rsid w:val="00036039"/>
    <w:rsid w:val="00036E4E"/>
    <w:rsid w:val="00037162"/>
    <w:rsid w:val="00037989"/>
    <w:rsid w:val="00037F90"/>
    <w:rsid w:val="0004035A"/>
    <w:rsid w:val="00041724"/>
    <w:rsid w:val="00042F61"/>
    <w:rsid w:val="000432C3"/>
    <w:rsid w:val="00044181"/>
    <w:rsid w:val="000452C9"/>
    <w:rsid w:val="00046698"/>
    <w:rsid w:val="0004694F"/>
    <w:rsid w:val="00047DB9"/>
    <w:rsid w:val="00051E93"/>
    <w:rsid w:val="00052A0E"/>
    <w:rsid w:val="00052FBD"/>
    <w:rsid w:val="000539F8"/>
    <w:rsid w:val="00056940"/>
    <w:rsid w:val="00057D67"/>
    <w:rsid w:val="00060AC8"/>
    <w:rsid w:val="000615AD"/>
    <w:rsid w:val="00062E4E"/>
    <w:rsid w:val="00063A5C"/>
    <w:rsid w:val="00064161"/>
    <w:rsid w:val="00065395"/>
    <w:rsid w:val="00065BF1"/>
    <w:rsid w:val="00066E57"/>
    <w:rsid w:val="00070540"/>
    <w:rsid w:val="00070639"/>
    <w:rsid w:val="00073773"/>
    <w:rsid w:val="00073D36"/>
    <w:rsid w:val="00074A90"/>
    <w:rsid w:val="0007568B"/>
    <w:rsid w:val="00076449"/>
    <w:rsid w:val="0007658D"/>
    <w:rsid w:val="00077188"/>
    <w:rsid w:val="00080536"/>
    <w:rsid w:val="00080707"/>
    <w:rsid w:val="0008206C"/>
    <w:rsid w:val="00082384"/>
    <w:rsid w:val="00082A50"/>
    <w:rsid w:val="000846D9"/>
    <w:rsid w:val="00084D50"/>
    <w:rsid w:val="000858E1"/>
    <w:rsid w:val="00085B57"/>
    <w:rsid w:val="00085D16"/>
    <w:rsid w:val="000875BF"/>
    <w:rsid w:val="0009005A"/>
    <w:rsid w:val="0009128D"/>
    <w:rsid w:val="00092AE4"/>
    <w:rsid w:val="00092CE8"/>
    <w:rsid w:val="00093ACA"/>
    <w:rsid w:val="000954EF"/>
    <w:rsid w:val="0009687C"/>
    <w:rsid w:val="00096D34"/>
    <w:rsid w:val="00096D8C"/>
    <w:rsid w:val="000970FF"/>
    <w:rsid w:val="00097286"/>
    <w:rsid w:val="00097AE1"/>
    <w:rsid w:val="000A032F"/>
    <w:rsid w:val="000A0D25"/>
    <w:rsid w:val="000A2154"/>
    <w:rsid w:val="000A3870"/>
    <w:rsid w:val="000A38CE"/>
    <w:rsid w:val="000A3EA3"/>
    <w:rsid w:val="000A4951"/>
    <w:rsid w:val="000A4FC1"/>
    <w:rsid w:val="000A5311"/>
    <w:rsid w:val="000A5B52"/>
    <w:rsid w:val="000A6E33"/>
    <w:rsid w:val="000A79E3"/>
    <w:rsid w:val="000B2707"/>
    <w:rsid w:val="000B2920"/>
    <w:rsid w:val="000B2BFD"/>
    <w:rsid w:val="000B2CAE"/>
    <w:rsid w:val="000B3BBB"/>
    <w:rsid w:val="000B4281"/>
    <w:rsid w:val="000B481E"/>
    <w:rsid w:val="000B4C71"/>
    <w:rsid w:val="000C0291"/>
    <w:rsid w:val="000C0B65"/>
    <w:rsid w:val="000C1B56"/>
    <w:rsid w:val="000C2339"/>
    <w:rsid w:val="000C2383"/>
    <w:rsid w:val="000C2CD2"/>
    <w:rsid w:val="000C2FFC"/>
    <w:rsid w:val="000C609C"/>
    <w:rsid w:val="000C6ED5"/>
    <w:rsid w:val="000C7428"/>
    <w:rsid w:val="000D001C"/>
    <w:rsid w:val="000D309F"/>
    <w:rsid w:val="000D346E"/>
    <w:rsid w:val="000D39AD"/>
    <w:rsid w:val="000D42A1"/>
    <w:rsid w:val="000D7035"/>
    <w:rsid w:val="000E05F9"/>
    <w:rsid w:val="000E05FE"/>
    <w:rsid w:val="000E11FA"/>
    <w:rsid w:val="000E1972"/>
    <w:rsid w:val="000E2FD6"/>
    <w:rsid w:val="000E3243"/>
    <w:rsid w:val="000E33CA"/>
    <w:rsid w:val="000E3D42"/>
    <w:rsid w:val="000E4665"/>
    <w:rsid w:val="000E6AFD"/>
    <w:rsid w:val="000F0E33"/>
    <w:rsid w:val="000F0F02"/>
    <w:rsid w:val="000F2104"/>
    <w:rsid w:val="000F25EB"/>
    <w:rsid w:val="000F2AFF"/>
    <w:rsid w:val="000F2BB9"/>
    <w:rsid w:val="000F3F1D"/>
    <w:rsid w:val="000F4192"/>
    <w:rsid w:val="000F549F"/>
    <w:rsid w:val="000F58D8"/>
    <w:rsid w:val="000F787F"/>
    <w:rsid w:val="0010065B"/>
    <w:rsid w:val="0010140F"/>
    <w:rsid w:val="00101B4D"/>
    <w:rsid w:val="00102077"/>
    <w:rsid w:val="00103606"/>
    <w:rsid w:val="001057A6"/>
    <w:rsid w:val="001064BA"/>
    <w:rsid w:val="00106BE1"/>
    <w:rsid w:val="00111220"/>
    <w:rsid w:val="00111DE9"/>
    <w:rsid w:val="00111FBC"/>
    <w:rsid w:val="00112F1A"/>
    <w:rsid w:val="00114424"/>
    <w:rsid w:val="0011573D"/>
    <w:rsid w:val="0012089E"/>
    <w:rsid w:val="00122945"/>
    <w:rsid w:val="00122BD5"/>
    <w:rsid w:val="0012414A"/>
    <w:rsid w:val="00124AED"/>
    <w:rsid w:val="00124B57"/>
    <w:rsid w:val="0012531A"/>
    <w:rsid w:val="001255DD"/>
    <w:rsid w:val="0013056C"/>
    <w:rsid w:val="00130B2C"/>
    <w:rsid w:val="0013294F"/>
    <w:rsid w:val="001333BF"/>
    <w:rsid w:val="00133697"/>
    <w:rsid w:val="00133F79"/>
    <w:rsid w:val="00134F96"/>
    <w:rsid w:val="00134FB6"/>
    <w:rsid w:val="00135039"/>
    <w:rsid w:val="0014107C"/>
    <w:rsid w:val="00141759"/>
    <w:rsid w:val="00141793"/>
    <w:rsid w:val="00141F52"/>
    <w:rsid w:val="00142B35"/>
    <w:rsid w:val="00142D61"/>
    <w:rsid w:val="00144033"/>
    <w:rsid w:val="001440AD"/>
    <w:rsid w:val="001451A4"/>
    <w:rsid w:val="001454BD"/>
    <w:rsid w:val="001454C2"/>
    <w:rsid w:val="0014644C"/>
    <w:rsid w:val="00146AEF"/>
    <w:rsid w:val="00147A60"/>
    <w:rsid w:val="00151A55"/>
    <w:rsid w:val="00153C03"/>
    <w:rsid w:val="00154D48"/>
    <w:rsid w:val="00155317"/>
    <w:rsid w:val="001559B7"/>
    <w:rsid w:val="00162402"/>
    <w:rsid w:val="00164562"/>
    <w:rsid w:val="00164F98"/>
    <w:rsid w:val="001656E9"/>
    <w:rsid w:val="00165A35"/>
    <w:rsid w:val="00166352"/>
    <w:rsid w:val="0017078D"/>
    <w:rsid w:val="001711C9"/>
    <w:rsid w:val="00171441"/>
    <w:rsid w:val="00172CD9"/>
    <w:rsid w:val="00175D60"/>
    <w:rsid w:val="001779F9"/>
    <w:rsid w:val="00180330"/>
    <w:rsid w:val="001828C9"/>
    <w:rsid w:val="0018294E"/>
    <w:rsid w:val="00182A43"/>
    <w:rsid w:val="00184BCD"/>
    <w:rsid w:val="00185938"/>
    <w:rsid w:val="00186B42"/>
    <w:rsid w:val="0019043E"/>
    <w:rsid w:val="001913CE"/>
    <w:rsid w:val="00191D74"/>
    <w:rsid w:val="00194402"/>
    <w:rsid w:val="00194A66"/>
    <w:rsid w:val="00195A16"/>
    <w:rsid w:val="00195B33"/>
    <w:rsid w:val="001961A5"/>
    <w:rsid w:val="001A0236"/>
    <w:rsid w:val="001A053F"/>
    <w:rsid w:val="001A16D1"/>
    <w:rsid w:val="001A27A1"/>
    <w:rsid w:val="001A3412"/>
    <w:rsid w:val="001A5198"/>
    <w:rsid w:val="001A5F25"/>
    <w:rsid w:val="001A61CA"/>
    <w:rsid w:val="001A7273"/>
    <w:rsid w:val="001B041F"/>
    <w:rsid w:val="001B2691"/>
    <w:rsid w:val="001B347E"/>
    <w:rsid w:val="001B3BA9"/>
    <w:rsid w:val="001B56BB"/>
    <w:rsid w:val="001B5E95"/>
    <w:rsid w:val="001B6058"/>
    <w:rsid w:val="001B664E"/>
    <w:rsid w:val="001C0083"/>
    <w:rsid w:val="001C0CCB"/>
    <w:rsid w:val="001C1B87"/>
    <w:rsid w:val="001C21FC"/>
    <w:rsid w:val="001C33E7"/>
    <w:rsid w:val="001C35B3"/>
    <w:rsid w:val="001C4905"/>
    <w:rsid w:val="001C599E"/>
    <w:rsid w:val="001C5A4C"/>
    <w:rsid w:val="001C63F5"/>
    <w:rsid w:val="001C6D08"/>
    <w:rsid w:val="001C6FCB"/>
    <w:rsid w:val="001D0877"/>
    <w:rsid w:val="001D0968"/>
    <w:rsid w:val="001D1245"/>
    <w:rsid w:val="001D6BCF"/>
    <w:rsid w:val="001D7447"/>
    <w:rsid w:val="001D7B35"/>
    <w:rsid w:val="001E01CA"/>
    <w:rsid w:val="001E078F"/>
    <w:rsid w:val="001E2195"/>
    <w:rsid w:val="001E26DF"/>
    <w:rsid w:val="001E7E48"/>
    <w:rsid w:val="001F2877"/>
    <w:rsid w:val="001F2CB6"/>
    <w:rsid w:val="001F3BB8"/>
    <w:rsid w:val="001F3C53"/>
    <w:rsid w:val="001F4CDC"/>
    <w:rsid w:val="002024BF"/>
    <w:rsid w:val="0020310E"/>
    <w:rsid w:val="00203845"/>
    <w:rsid w:val="00203EFE"/>
    <w:rsid w:val="0020437D"/>
    <w:rsid w:val="00205A96"/>
    <w:rsid w:val="002079FA"/>
    <w:rsid w:val="002111C5"/>
    <w:rsid w:val="002121BD"/>
    <w:rsid w:val="00213447"/>
    <w:rsid w:val="00215C48"/>
    <w:rsid w:val="00215F0E"/>
    <w:rsid w:val="002160C5"/>
    <w:rsid w:val="002177BB"/>
    <w:rsid w:val="00217912"/>
    <w:rsid w:val="00223FAC"/>
    <w:rsid w:val="00224249"/>
    <w:rsid w:val="00224359"/>
    <w:rsid w:val="0023100E"/>
    <w:rsid w:val="00231402"/>
    <w:rsid w:val="0023298A"/>
    <w:rsid w:val="00232A4B"/>
    <w:rsid w:val="00234120"/>
    <w:rsid w:val="00236A55"/>
    <w:rsid w:val="00237752"/>
    <w:rsid w:val="00237DB7"/>
    <w:rsid w:val="002409B7"/>
    <w:rsid w:val="00240DF6"/>
    <w:rsid w:val="00244254"/>
    <w:rsid w:val="00244579"/>
    <w:rsid w:val="00246E0E"/>
    <w:rsid w:val="00250CAC"/>
    <w:rsid w:val="00252891"/>
    <w:rsid w:val="00253802"/>
    <w:rsid w:val="002541F6"/>
    <w:rsid w:val="00254400"/>
    <w:rsid w:val="0025441D"/>
    <w:rsid w:val="00256E3C"/>
    <w:rsid w:val="0025735E"/>
    <w:rsid w:val="0026182B"/>
    <w:rsid w:val="002629CC"/>
    <w:rsid w:val="00262D53"/>
    <w:rsid w:val="002637B8"/>
    <w:rsid w:val="00263FCC"/>
    <w:rsid w:val="00266548"/>
    <w:rsid w:val="00271789"/>
    <w:rsid w:val="00271B6E"/>
    <w:rsid w:val="00271BC6"/>
    <w:rsid w:val="0027533D"/>
    <w:rsid w:val="00275CF5"/>
    <w:rsid w:val="00276CFA"/>
    <w:rsid w:val="002774DE"/>
    <w:rsid w:val="0027753B"/>
    <w:rsid w:val="0028300E"/>
    <w:rsid w:val="0028301F"/>
    <w:rsid w:val="00283175"/>
    <w:rsid w:val="00283A87"/>
    <w:rsid w:val="00285017"/>
    <w:rsid w:val="00287D59"/>
    <w:rsid w:val="00291C99"/>
    <w:rsid w:val="00292D33"/>
    <w:rsid w:val="00293B1D"/>
    <w:rsid w:val="00295020"/>
    <w:rsid w:val="00295373"/>
    <w:rsid w:val="002A01F7"/>
    <w:rsid w:val="002A0AB6"/>
    <w:rsid w:val="002A1033"/>
    <w:rsid w:val="002A2407"/>
    <w:rsid w:val="002A2D2E"/>
    <w:rsid w:val="002A303C"/>
    <w:rsid w:val="002A5DB4"/>
    <w:rsid w:val="002A5F34"/>
    <w:rsid w:val="002A65C7"/>
    <w:rsid w:val="002A71C9"/>
    <w:rsid w:val="002A7660"/>
    <w:rsid w:val="002B03C1"/>
    <w:rsid w:val="002B1B38"/>
    <w:rsid w:val="002B2234"/>
    <w:rsid w:val="002B2F5D"/>
    <w:rsid w:val="002B3D8D"/>
    <w:rsid w:val="002B437F"/>
    <w:rsid w:val="002B4DCF"/>
    <w:rsid w:val="002B6DD9"/>
    <w:rsid w:val="002B6FF3"/>
    <w:rsid w:val="002C00E8"/>
    <w:rsid w:val="002C080F"/>
    <w:rsid w:val="002C1F9D"/>
    <w:rsid w:val="002C51F1"/>
    <w:rsid w:val="002D1969"/>
    <w:rsid w:val="002D1CD2"/>
    <w:rsid w:val="002D22A7"/>
    <w:rsid w:val="002D3740"/>
    <w:rsid w:val="002D4977"/>
    <w:rsid w:val="002D699A"/>
    <w:rsid w:val="002E0005"/>
    <w:rsid w:val="002E08A0"/>
    <w:rsid w:val="002E21EC"/>
    <w:rsid w:val="002E2AC1"/>
    <w:rsid w:val="002E2C88"/>
    <w:rsid w:val="002E3320"/>
    <w:rsid w:val="002E4735"/>
    <w:rsid w:val="002E4912"/>
    <w:rsid w:val="002E641D"/>
    <w:rsid w:val="002E771A"/>
    <w:rsid w:val="002F2D2C"/>
    <w:rsid w:val="002F3C22"/>
    <w:rsid w:val="002F5372"/>
    <w:rsid w:val="002F745A"/>
    <w:rsid w:val="0030141E"/>
    <w:rsid w:val="00301464"/>
    <w:rsid w:val="00303C20"/>
    <w:rsid w:val="00303D0F"/>
    <w:rsid w:val="00304220"/>
    <w:rsid w:val="00304D3E"/>
    <w:rsid w:val="00305E46"/>
    <w:rsid w:val="00306382"/>
    <w:rsid w:val="00306848"/>
    <w:rsid w:val="003076D2"/>
    <w:rsid w:val="00310EF4"/>
    <w:rsid w:val="003117B0"/>
    <w:rsid w:val="0031615A"/>
    <w:rsid w:val="003167D0"/>
    <w:rsid w:val="00316DCE"/>
    <w:rsid w:val="003177DB"/>
    <w:rsid w:val="00317861"/>
    <w:rsid w:val="00320669"/>
    <w:rsid w:val="0032087C"/>
    <w:rsid w:val="00321033"/>
    <w:rsid w:val="00321285"/>
    <w:rsid w:val="003223DE"/>
    <w:rsid w:val="003231F0"/>
    <w:rsid w:val="00323321"/>
    <w:rsid w:val="0032482B"/>
    <w:rsid w:val="0032655F"/>
    <w:rsid w:val="00327742"/>
    <w:rsid w:val="00332B8A"/>
    <w:rsid w:val="00333381"/>
    <w:rsid w:val="003352D5"/>
    <w:rsid w:val="00341467"/>
    <w:rsid w:val="003432FE"/>
    <w:rsid w:val="003433FC"/>
    <w:rsid w:val="00343749"/>
    <w:rsid w:val="003443DB"/>
    <w:rsid w:val="00344DD9"/>
    <w:rsid w:val="00344FEB"/>
    <w:rsid w:val="003471DD"/>
    <w:rsid w:val="00350BC2"/>
    <w:rsid w:val="00351AF5"/>
    <w:rsid w:val="00352186"/>
    <w:rsid w:val="00353505"/>
    <w:rsid w:val="00354587"/>
    <w:rsid w:val="00355420"/>
    <w:rsid w:val="00356009"/>
    <w:rsid w:val="00356C94"/>
    <w:rsid w:val="00357437"/>
    <w:rsid w:val="00357E20"/>
    <w:rsid w:val="00361805"/>
    <w:rsid w:val="0036407D"/>
    <w:rsid w:val="003648C8"/>
    <w:rsid w:val="00364C20"/>
    <w:rsid w:val="003650A3"/>
    <w:rsid w:val="003660ED"/>
    <w:rsid w:val="00366B47"/>
    <w:rsid w:val="00370805"/>
    <w:rsid w:val="00371351"/>
    <w:rsid w:val="0037148C"/>
    <w:rsid w:val="0037234E"/>
    <w:rsid w:val="0037356D"/>
    <w:rsid w:val="00373695"/>
    <w:rsid w:val="00373F7C"/>
    <w:rsid w:val="003752F5"/>
    <w:rsid w:val="00376361"/>
    <w:rsid w:val="00377386"/>
    <w:rsid w:val="003805D7"/>
    <w:rsid w:val="003834E5"/>
    <w:rsid w:val="00384954"/>
    <w:rsid w:val="00384DC3"/>
    <w:rsid w:val="003854B1"/>
    <w:rsid w:val="00385CFE"/>
    <w:rsid w:val="00386E44"/>
    <w:rsid w:val="003871FD"/>
    <w:rsid w:val="00387EC8"/>
    <w:rsid w:val="00387FE6"/>
    <w:rsid w:val="0039019A"/>
    <w:rsid w:val="00390815"/>
    <w:rsid w:val="00393777"/>
    <w:rsid w:val="00393780"/>
    <w:rsid w:val="003956DD"/>
    <w:rsid w:val="00395992"/>
    <w:rsid w:val="00395FD3"/>
    <w:rsid w:val="003A02B8"/>
    <w:rsid w:val="003A22E6"/>
    <w:rsid w:val="003A2FFA"/>
    <w:rsid w:val="003A31B2"/>
    <w:rsid w:val="003A37F8"/>
    <w:rsid w:val="003A4023"/>
    <w:rsid w:val="003A4B8C"/>
    <w:rsid w:val="003A6C3D"/>
    <w:rsid w:val="003A6F74"/>
    <w:rsid w:val="003B0550"/>
    <w:rsid w:val="003B1BEA"/>
    <w:rsid w:val="003B1E65"/>
    <w:rsid w:val="003B331B"/>
    <w:rsid w:val="003B3FED"/>
    <w:rsid w:val="003B694F"/>
    <w:rsid w:val="003B6C04"/>
    <w:rsid w:val="003B6F0B"/>
    <w:rsid w:val="003C10BF"/>
    <w:rsid w:val="003C1536"/>
    <w:rsid w:val="003C154E"/>
    <w:rsid w:val="003C232B"/>
    <w:rsid w:val="003C3405"/>
    <w:rsid w:val="003C43B2"/>
    <w:rsid w:val="003D0312"/>
    <w:rsid w:val="003D29BC"/>
    <w:rsid w:val="003D3A65"/>
    <w:rsid w:val="003D3F92"/>
    <w:rsid w:val="003D4713"/>
    <w:rsid w:val="003D556B"/>
    <w:rsid w:val="003D6A79"/>
    <w:rsid w:val="003D7517"/>
    <w:rsid w:val="003E0CAF"/>
    <w:rsid w:val="003E22CB"/>
    <w:rsid w:val="003E2D52"/>
    <w:rsid w:val="003E3068"/>
    <w:rsid w:val="003E46CA"/>
    <w:rsid w:val="003E51C2"/>
    <w:rsid w:val="003E55FE"/>
    <w:rsid w:val="003E6787"/>
    <w:rsid w:val="003F171C"/>
    <w:rsid w:val="003F1CB5"/>
    <w:rsid w:val="003F381F"/>
    <w:rsid w:val="003F56A1"/>
    <w:rsid w:val="003F607C"/>
    <w:rsid w:val="003F7C17"/>
    <w:rsid w:val="004001D7"/>
    <w:rsid w:val="00401CF5"/>
    <w:rsid w:val="00403003"/>
    <w:rsid w:val="00403DD5"/>
    <w:rsid w:val="0040474B"/>
    <w:rsid w:val="00404BC7"/>
    <w:rsid w:val="0040550B"/>
    <w:rsid w:val="00405828"/>
    <w:rsid w:val="00406302"/>
    <w:rsid w:val="004066D7"/>
    <w:rsid w:val="004067F5"/>
    <w:rsid w:val="00406865"/>
    <w:rsid w:val="0040713E"/>
    <w:rsid w:val="004075B5"/>
    <w:rsid w:val="00407E0F"/>
    <w:rsid w:val="004125DB"/>
    <w:rsid w:val="00412FC5"/>
    <w:rsid w:val="00414F9E"/>
    <w:rsid w:val="004153FD"/>
    <w:rsid w:val="004159B9"/>
    <w:rsid w:val="004165D5"/>
    <w:rsid w:val="0042061B"/>
    <w:rsid w:val="00422276"/>
    <w:rsid w:val="00424262"/>
    <w:rsid w:val="004242F1"/>
    <w:rsid w:val="00424400"/>
    <w:rsid w:val="00424CAC"/>
    <w:rsid w:val="00425DDF"/>
    <w:rsid w:val="00425DF8"/>
    <w:rsid w:val="004314E0"/>
    <w:rsid w:val="00431990"/>
    <w:rsid w:val="00432D93"/>
    <w:rsid w:val="00433449"/>
    <w:rsid w:val="00434F69"/>
    <w:rsid w:val="00434FA9"/>
    <w:rsid w:val="00435207"/>
    <w:rsid w:val="00436911"/>
    <w:rsid w:val="0044010E"/>
    <w:rsid w:val="00440CD0"/>
    <w:rsid w:val="00441BCB"/>
    <w:rsid w:val="00445A00"/>
    <w:rsid w:val="004461A8"/>
    <w:rsid w:val="0045023C"/>
    <w:rsid w:val="00450477"/>
    <w:rsid w:val="00451B0F"/>
    <w:rsid w:val="00452B95"/>
    <w:rsid w:val="0045335A"/>
    <w:rsid w:val="00454F07"/>
    <w:rsid w:val="0045509F"/>
    <w:rsid w:val="00456320"/>
    <w:rsid w:val="00456680"/>
    <w:rsid w:val="00456AA2"/>
    <w:rsid w:val="0045717B"/>
    <w:rsid w:val="0045726B"/>
    <w:rsid w:val="004579EB"/>
    <w:rsid w:val="004601A3"/>
    <w:rsid w:val="00460421"/>
    <w:rsid w:val="00460780"/>
    <w:rsid w:val="00461B00"/>
    <w:rsid w:val="004623F5"/>
    <w:rsid w:val="004626A0"/>
    <w:rsid w:val="0046276D"/>
    <w:rsid w:val="004629F6"/>
    <w:rsid w:val="0046336C"/>
    <w:rsid w:val="00464912"/>
    <w:rsid w:val="00465C2E"/>
    <w:rsid w:val="00467C18"/>
    <w:rsid w:val="0047018F"/>
    <w:rsid w:val="00471080"/>
    <w:rsid w:val="004723BA"/>
    <w:rsid w:val="004725E8"/>
    <w:rsid w:val="004740DC"/>
    <w:rsid w:val="0047519A"/>
    <w:rsid w:val="00475906"/>
    <w:rsid w:val="0048004B"/>
    <w:rsid w:val="00481347"/>
    <w:rsid w:val="00481456"/>
    <w:rsid w:val="00484A13"/>
    <w:rsid w:val="00484A4E"/>
    <w:rsid w:val="004852FB"/>
    <w:rsid w:val="004877A0"/>
    <w:rsid w:val="00490FB4"/>
    <w:rsid w:val="00491306"/>
    <w:rsid w:val="00495603"/>
    <w:rsid w:val="00496650"/>
    <w:rsid w:val="004A21A3"/>
    <w:rsid w:val="004A3AFF"/>
    <w:rsid w:val="004A464E"/>
    <w:rsid w:val="004A5173"/>
    <w:rsid w:val="004A562C"/>
    <w:rsid w:val="004A72B5"/>
    <w:rsid w:val="004A7C9E"/>
    <w:rsid w:val="004B0098"/>
    <w:rsid w:val="004B18CB"/>
    <w:rsid w:val="004B2263"/>
    <w:rsid w:val="004B2B03"/>
    <w:rsid w:val="004B4F38"/>
    <w:rsid w:val="004B517E"/>
    <w:rsid w:val="004C2EE3"/>
    <w:rsid w:val="004C301C"/>
    <w:rsid w:val="004C3C0E"/>
    <w:rsid w:val="004C571B"/>
    <w:rsid w:val="004D079C"/>
    <w:rsid w:val="004D080E"/>
    <w:rsid w:val="004D0BE6"/>
    <w:rsid w:val="004D116E"/>
    <w:rsid w:val="004D11B8"/>
    <w:rsid w:val="004D18A6"/>
    <w:rsid w:val="004D1CF0"/>
    <w:rsid w:val="004D2315"/>
    <w:rsid w:val="004D253E"/>
    <w:rsid w:val="004D286F"/>
    <w:rsid w:val="004D2D51"/>
    <w:rsid w:val="004D3004"/>
    <w:rsid w:val="004D3674"/>
    <w:rsid w:val="004D3AE8"/>
    <w:rsid w:val="004D4A84"/>
    <w:rsid w:val="004D4AA8"/>
    <w:rsid w:val="004D5DE2"/>
    <w:rsid w:val="004D68F9"/>
    <w:rsid w:val="004E1351"/>
    <w:rsid w:val="004E4A17"/>
    <w:rsid w:val="004E4A22"/>
    <w:rsid w:val="004F0370"/>
    <w:rsid w:val="004F147A"/>
    <w:rsid w:val="004F3A4D"/>
    <w:rsid w:val="004F3BD4"/>
    <w:rsid w:val="004F4CC8"/>
    <w:rsid w:val="004F526B"/>
    <w:rsid w:val="004F5DF0"/>
    <w:rsid w:val="004F6B9B"/>
    <w:rsid w:val="004F6BAD"/>
    <w:rsid w:val="00500C7D"/>
    <w:rsid w:val="0050239C"/>
    <w:rsid w:val="00503235"/>
    <w:rsid w:val="0050411B"/>
    <w:rsid w:val="00504897"/>
    <w:rsid w:val="0050721A"/>
    <w:rsid w:val="0050792C"/>
    <w:rsid w:val="00511968"/>
    <w:rsid w:val="00511A67"/>
    <w:rsid w:val="00511E97"/>
    <w:rsid w:val="00514787"/>
    <w:rsid w:val="00515673"/>
    <w:rsid w:val="00515A38"/>
    <w:rsid w:val="00515E14"/>
    <w:rsid w:val="0052006F"/>
    <w:rsid w:val="0052196A"/>
    <w:rsid w:val="005230A2"/>
    <w:rsid w:val="00523A5D"/>
    <w:rsid w:val="005256EA"/>
    <w:rsid w:val="00527200"/>
    <w:rsid w:val="00527E41"/>
    <w:rsid w:val="00527F5D"/>
    <w:rsid w:val="00532436"/>
    <w:rsid w:val="00533D8C"/>
    <w:rsid w:val="0053797A"/>
    <w:rsid w:val="00541374"/>
    <w:rsid w:val="00541AAC"/>
    <w:rsid w:val="00541F28"/>
    <w:rsid w:val="005451AF"/>
    <w:rsid w:val="00552766"/>
    <w:rsid w:val="00553062"/>
    <w:rsid w:val="0055395E"/>
    <w:rsid w:val="005560D0"/>
    <w:rsid w:val="0055614C"/>
    <w:rsid w:val="00560AA7"/>
    <w:rsid w:val="00561C01"/>
    <w:rsid w:val="0056340A"/>
    <w:rsid w:val="00564E22"/>
    <w:rsid w:val="00565846"/>
    <w:rsid w:val="00566DDC"/>
    <w:rsid w:val="00567A35"/>
    <w:rsid w:val="00570AE7"/>
    <w:rsid w:val="00570E0F"/>
    <w:rsid w:val="00570EAF"/>
    <w:rsid w:val="005723D3"/>
    <w:rsid w:val="00573B1C"/>
    <w:rsid w:val="00573CB6"/>
    <w:rsid w:val="00573F02"/>
    <w:rsid w:val="00574516"/>
    <w:rsid w:val="005818B4"/>
    <w:rsid w:val="00582454"/>
    <w:rsid w:val="005827BE"/>
    <w:rsid w:val="00584E00"/>
    <w:rsid w:val="00585827"/>
    <w:rsid w:val="00586777"/>
    <w:rsid w:val="00586C14"/>
    <w:rsid w:val="005873C8"/>
    <w:rsid w:val="005902E7"/>
    <w:rsid w:val="0059066E"/>
    <w:rsid w:val="00592381"/>
    <w:rsid w:val="005923B9"/>
    <w:rsid w:val="00592E9C"/>
    <w:rsid w:val="00593A2C"/>
    <w:rsid w:val="00593A43"/>
    <w:rsid w:val="00594C32"/>
    <w:rsid w:val="005952EF"/>
    <w:rsid w:val="00597AC4"/>
    <w:rsid w:val="005A095D"/>
    <w:rsid w:val="005A2B7B"/>
    <w:rsid w:val="005A5CFD"/>
    <w:rsid w:val="005A5D99"/>
    <w:rsid w:val="005A6005"/>
    <w:rsid w:val="005B0D8F"/>
    <w:rsid w:val="005B10B5"/>
    <w:rsid w:val="005B1BAC"/>
    <w:rsid w:val="005B25CA"/>
    <w:rsid w:val="005B3A19"/>
    <w:rsid w:val="005B40F3"/>
    <w:rsid w:val="005B40F5"/>
    <w:rsid w:val="005B72EB"/>
    <w:rsid w:val="005C1823"/>
    <w:rsid w:val="005C21A0"/>
    <w:rsid w:val="005C275D"/>
    <w:rsid w:val="005C2F65"/>
    <w:rsid w:val="005C40A9"/>
    <w:rsid w:val="005C677D"/>
    <w:rsid w:val="005C68A7"/>
    <w:rsid w:val="005C7541"/>
    <w:rsid w:val="005C75C9"/>
    <w:rsid w:val="005C78B9"/>
    <w:rsid w:val="005D3422"/>
    <w:rsid w:val="005D3E07"/>
    <w:rsid w:val="005D5468"/>
    <w:rsid w:val="005D6960"/>
    <w:rsid w:val="005D6F81"/>
    <w:rsid w:val="005D7567"/>
    <w:rsid w:val="005E0344"/>
    <w:rsid w:val="005E14C2"/>
    <w:rsid w:val="005E1986"/>
    <w:rsid w:val="005E2CA3"/>
    <w:rsid w:val="005E3E3E"/>
    <w:rsid w:val="005E3ED2"/>
    <w:rsid w:val="005E4DFC"/>
    <w:rsid w:val="005E6281"/>
    <w:rsid w:val="005E75C9"/>
    <w:rsid w:val="005F09F7"/>
    <w:rsid w:val="005F0D5F"/>
    <w:rsid w:val="005F1926"/>
    <w:rsid w:val="005F2CD6"/>
    <w:rsid w:val="005F3C7F"/>
    <w:rsid w:val="005F3D56"/>
    <w:rsid w:val="005F4ECE"/>
    <w:rsid w:val="005F5077"/>
    <w:rsid w:val="005F7090"/>
    <w:rsid w:val="00601962"/>
    <w:rsid w:val="00602661"/>
    <w:rsid w:val="006044AA"/>
    <w:rsid w:val="006047D5"/>
    <w:rsid w:val="006049F4"/>
    <w:rsid w:val="006057E6"/>
    <w:rsid w:val="00607BA5"/>
    <w:rsid w:val="006104DF"/>
    <w:rsid w:val="0061180A"/>
    <w:rsid w:val="00612396"/>
    <w:rsid w:val="00612E65"/>
    <w:rsid w:val="006139C4"/>
    <w:rsid w:val="00616C93"/>
    <w:rsid w:val="00617F72"/>
    <w:rsid w:val="006215FC"/>
    <w:rsid w:val="00621E5C"/>
    <w:rsid w:val="0062248C"/>
    <w:rsid w:val="00622B6E"/>
    <w:rsid w:val="00625453"/>
    <w:rsid w:val="006263EB"/>
    <w:rsid w:val="00626A6E"/>
    <w:rsid w:val="00626EB6"/>
    <w:rsid w:val="006331EC"/>
    <w:rsid w:val="006336E3"/>
    <w:rsid w:val="00634024"/>
    <w:rsid w:val="00634130"/>
    <w:rsid w:val="006343A3"/>
    <w:rsid w:val="00635833"/>
    <w:rsid w:val="006377D3"/>
    <w:rsid w:val="00640C12"/>
    <w:rsid w:val="00640EA3"/>
    <w:rsid w:val="00641069"/>
    <w:rsid w:val="00643615"/>
    <w:rsid w:val="006438F2"/>
    <w:rsid w:val="006444D9"/>
    <w:rsid w:val="0064670A"/>
    <w:rsid w:val="00651413"/>
    <w:rsid w:val="00652112"/>
    <w:rsid w:val="006522B1"/>
    <w:rsid w:val="006545A1"/>
    <w:rsid w:val="00655D03"/>
    <w:rsid w:val="00655F3B"/>
    <w:rsid w:val="00656CFE"/>
    <w:rsid w:val="00656F91"/>
    <w:rsid w:val="00660062"/>
    <w:rsid w:val="00661047"/>
    <w:rsid w:val="0066149C"/>
    <w:rsid w:val="0066448B"/>
    <w:rsid w:val="00666137"/>
    <w:rsid w:val="00666477"/>
    <w:rsid w:val="00666B1D"/>
    <w:rsid w:val="00670DC6"/>
    <w:rsid w:val="006711A2"/>
    <w:rsid w:val="00672244"/>
    <w:rsid w:val="00672CCC"/>
    <w:rsid w:val="00673B3B"/>
    <w:rsid w:val="00677045"/>
    <w:rsid w:val="00677517"/>
    <w:rsid w:val="00677E21"/>
    <w:rsid w:val="00677FC9"/>
    <w:rsid w:val="006805EA"/>
    <w:rsid w:val="006806E8"/>
    <w:rsid w:val="00681BBC"/>
    <w:rsid w:val="00682168"/>
    <w:rsid w:val="00683388"/>
    <w:rsid w:val="00683F84"/>
    <w:rsid w:val="0068485E"/>
    <w:rsid w:val="006855F2"/>
    <w:rsid w:val="006864AD"/>
    <w:rsid w:val="00690D17"/>
    <w:rsid w:val="006925E3"/>
    <w:rsid w:val="006941D7"/>
    <w:rsid w:val="0069552F"/>
    <w:rsid w:val="006962E2"/>
    <w:rsid w:val="006967D9"/>
    <w:rsid w:val="00696C74"/>
    <w:rsid w:val="00697324"/>
    <w:rsid w:val="006975BD"/>
    <w:rsid w:val="0069767B"/>
    <w:rsid w:val="006A0654"/>
    <w:rsid w:val="006A07A7"/>
    <w:rsid w:val="006A333F"/>
    <w:rsid w:val="006A37E1"/>
    <w:rsid w:val="006A3F22"/>
    <w:rsid w:val="006A46E5"/>
    <w:rsid w:val="006A6A81"/>
    <w:rsid w:val="006A6B5F"/>
    <w:rsid w:val="006A6E04"/>
    <w:rsid w:val="006B1050"/>
    <w:rsid w:val="006B1161"/>
    <w:rsid w:val="006B12A9"/>
    <w:rsid w:val="006B181D"/>
    <w:rsid w:val="006B191F"/>
    <w:rsid w:val="006B279E"/>
    <w:rsid w:val="006B43C4"/>
    <w:rsid w:val="006B4D46"/>
    <w:rsid w:val="006B504C"/>
    <w:rsid w:val="006C0AB7"/>
    <w:rsid w:val="006C3166"/>
    <w:rsid w:val="006D06B3"/>
    <w:rsid w:val="006D0AFA"/>
    <w:rsid w:val="006D11F6"/>
    <w:rsid w:val="006D22B6"/>
    <w:rsid w:val="006D716D"/>
    <w:rsid w:val="006D778F"/>
    <w:rsid w:val="006E13C6"/>
    <w:rsid w:val="006E1444"/>
    <w:rsid w:val="006E2461"/>
    <w:rsid w:val="006E2ACC"/>
    <w:rsid w:val="006E2B84"/>
    <w:rsid w:val="006E633F"/>
    <w:rsid w:val="006E69E5"/>
    <w:rsid w:val="006E6B59"/>
    <w:rsid w:val="006E7E8E"/>
    <w:rsid w:val="006F080D"/>
    <w:rsid w:val="006F1BEF"/>
    <w:rsid w:val="006F355F"/>
    <w:rsid w:val="006F430A"/>
    <w:rsid w:val="006F549B"/>
    <w:rsid w:val="006F7393"/>
    <w:rsid w:val="006F7CE1"/>
    <w:rsid w:val="00700652"/>
    <w:rsid w:val="00701001"/>
    <w:rsid w:val="00701573"/>
    <w:rsid w:val="007017F4"/>
    <w:rsid w:val="007020E1"/>
    <w:rsid w:val="0070224F"/>
    <w:rsid w:val="00703CB8"/>
    <w:rsid w:val="007048D0"/>
    <w:rsid w:val="0071076A"/>
    <w:rsid w:val="007115F7"/>
    <w:rsid w:val="00713823"/>
    <w:rsid w:val="0071592F"/>
    <w:rsid w:val="00715CD6"/>
    <w:rsid w:val="007160E1"/>
    <w:rsid w:val="00716D57"/>
    <w:rsid w:val="00720B4C"/>
    <w:rsid w:val="00721A69"/>
    <w:rsid w:val="00725289"/>
    <w:rsid w:val="00725314"/>
    <w:rsid w:val="0072608B"/>
    <w:rsid w:val="00726420"/>
    <w:rsid w:val="007278CA"/>
    <w:rsid w:val="007329BC"/>
    <w:rsid w:val="00733D66"/>
    <w:rsid w:val="00734330"/>
    <w:rsid w:val="00734B83"/>
    <w:rsid w:val="00735F23"/>
    <w:rsid w:val="00741499"/>
    <w:rsid w:val="00742009"/>
    <w:rsid w:val="00744A8A"/>
    <w:rsid w:val="00745551"/>
    <w:rsid w:val="00746AC7"/>
    <w:rsid w:val="0074759C"/>
    <w:rsid w:val="007475EA"/>
    <w:rsid w:val="0075105E"/>
    <w:rsid w:val="0075393F"/>
    <w:rsid w:val="00754AC1"/>
    <w:rsid w:val="00754C1C"/>
    <w:rsid w:val="00754E4F"/>
    <w:rsid w:val="00756372"/>
    <w:rsid w:val="00756A0E"/>
    <w:rsid w:val="00757066"/>
    <w:rsid w:val="00757CA4"/>
    <w:rsid w:val="007637C2"/>
    <w:rsid w:val="00763E30"/>
    <w:rsid w:val="007643AB"/>
    <w:rsid w:val="00765D62"/>
    <w:rsid w:val="0076616C"/>
    <w:rsid w:val="00770E3F"/>
    <w:rsid w:val="0077139A"/>
    <w:rsid w:val="00771944"/>
    <w:rsid w:val="00775929"/>
    <w:rsid w:val="00776A6E"/>
    <w:rsid w:val="007770D7"/>
    <w:rsid w:val="00777631"/>
    <w:rsid w:val="007805CB"/>
    <w:rsid w:val="0078069B"/>
    <w:rsid w:val="00780B3F"/>
    <w:rsid w:val="00781C36"/>
    <w:rsid w:val="00781DB4"/>
    <w:rsid w:val="00783E96"/>
    <w:rsid w:val="00785689"/>
    <w:rsid w:val="00787D0E"/>
    <w:rsid w:val="007907C6"/>
    <w:rsid w:val="00791378"/>
    <w:rsid w:val="0079426C"/>
    <w:rsid w:val="00795F94"/>
    <w:rsid w:val="00796765"/>
    <w:rsid w:val="00797056"/>
    <w:rsid w:val="0079754B"/>
    <w:rsid w:val="00797968"/>
    <w:rsid w:val="007A1B05"/>
    <w:rsid w:val="007A1E6D"/>
    <w:rsid w:val="007A2719"/>
    <w:rsid w:val="007A3793"/>
    <w:rsid w:val="007A4A56"/>
    <w:rsid w:val="007A63DE"/>
    <w:rsid w:val="007A7B3B"/>
    <w:rsid w:val="007B0A11"/>
    <w:rsid w:val="007B0BE5"/>
    <w:rsid w:val="007B0E8F"/>
    <w:rsid w:val="007B0EB2"/>
    <w:rsid w:val="007B7814"/>
    <w:rsid w:val="007C05A2"/>
    <w:rsid w:val="007C0E42"/>
    <w:rsid w:val="007C1677"/>
    <w:rsid w:val="007C1D29"/>
    <w:rsid w:val="007C20A0"/>
    <w:rsid w:val="007C23D5"/>
    <w:rsid w:val="007C2EE2"/>
    <w:rsid w:val="007C32B5"/>
    <w:rsid w:val="007C58FB"/>
    <w:rsid w:val="007C5A67"/>
    <w:rsid w:val="007C5E6C"/>
    <w:rsid w:val="007C7045"/>
    <w:rsid w:val="007D0F49"/>
    <w:rsid w:val="007D2AE2"/>
    <w:rsid w:val="007D2F05"/>
    <w:rsid w:val="007D351F"/>
    <w:rsid w:val="007D3FA2"/>
    <w:rsid w:val="007D4739"/>
    <w:rsid w:val="007D48A1"/>
    <w:rsid w:val="007D580F"/>
    <w:rsid w:val="007D6044"/>
    <w:rsid w:val="007D6BFF"/>
    <w:rsid w:val="007D6E0C"/>
    <w:rsid w:val="007D6F28"/>
    <w:rsid w:val="007E025F"/>
    <w:rsid w:val="007E05BA"/>
    <w:rsid w:val="007E06C0"/>
    <w:rsid w:val="007E2189"/>
    <w:rsid w:val="007E486F"/>
    <w:rsid w:val="007E4D4A"/>
    <w:rsid w:val="007E59EE"/>
    <w:rsid w:val="007E5AD7"/>
    <w:rsid w:val="007E644B"/>
    <w:rsid w:val="007F03E7"/>
    <w:rsid w:val="007F06F9"/>
    <w:rsid w:val="007F3737"/>
    <w:rsid w:val="007F5A95"/>
    <w:rsid w:val="007F5E9B"/>
    <w:rsid w:val="007F6B18"/>
    <w:rsid w:val="00800477"/>
    <w:rsid w:val="008017C8"/>
    <w:rsid w:val="00802276"/>
    <w:rsid w:val="00802A80"/>
    <w:rsid w:val="00802D99"/>
    <w:rsid w:val="00803331"/>
    <w:rsid w:val="008042D3"/>
    <w:rsid w:val="008044C2"/>
    <w:rsid w:val="00805D5B"/>
    <w:rsid w:val="00807784"/>
    <w:rsid w:val="00810B6F"/>
    <w:rsid w:val="00810C07"/>
    <w:rsid w:val="00812189"/>
    <w:rsid w:val="00812C5C"/>
    <w:rsid w:val="00817734"/>
    <w:rsid w:val="00817FF0"/>
    <w:rsid w:val="00820DAA"/>
    <w:rsid w:val="00820EA0"/>
    <w:rsid w:val="0082110E"/>
    <w:rsid w:val="00821CC1"/>
    <w:rsid w:val="0082262B"/>
    <w:rsid w:val="0082278D"/>
    <w:rsid w:val="00822BC8"/>
    <w:rsid w:val="00822CE0"/>
    <w:rsid w:val="00822ED1"/>
    <w:rsid w:val="0082360A"/>
    <w:rsid w:val="0082794A"/>
    <w:rsid w:val="00831F1C"/>
    <w:rsid w:val="00832137"/>
    <w:rsid w:val="00834060"/>
    <w:rsid w:val="008353E1"/>
    <w:rsid w:val="00836732"/>
    <w:rsid w:val="00836A59"/>
    <w:rsid w:val="00837E9B"/>
    <w:rsid w:val="00841AB1"/>
    <w:rsid w:val="00841BDB"/>
    <w:rsid w:val="00844042"/>
    <w:rsid w:val="008440FE"/>
    <w:rsid w:val="0084472A"/>
    <w:rsid w:val="008448D6"/>
    <w:rsid w:val="008470C9"/>
    <w:rsid w:val="00854124"/>
    <w:rsid w:val="0085749F"/>
    <w:rsid w:val="00861941"/>
    <w:rsid w:val="00863318"/>
    <w:rsid w:val="00863AE6"/>
    <w:rsid w:val="00864839"/>
    <w:rsid w:val="00864993"/>
    <w:rsid w:val="00864A98"/>
    <w:rsid w:val="00864CFD"/>
    <w:rsid w:val="008673A5"/>
    <w:rsid w:val="00867D82"/>
    <w:rsid w:val="00872F4E"/>
    <w:rsid w:val="008733BE"/>
    <w:rsid w:val="00881E6D"/>
    <w:rsid w:val="008821C5"/>
    <w:rsid w:val="008849DC"/>
    <w:rsid w:val="00884B3F"/>
    <w:rsid w:val="00884C91"/>
    <w:rsid w:val="00884F06"/>
    <w:rsid w:val="00886686"/>
    <w:rsid w:val="00887BA7"/>
    <w:rsid w:val="0089029F"/>
    <w:rsid w:val="008903AF"/>
    <w:rsid w:val="008905E9"/>
    <w:rsid w:val="00892812"/>
    <w:rsid w:val="00892887"/>
    <w:rsid w:val="00892DE3"/>
    <w:rsid w:val="00892E57"/>
    <w:rsid w:val="0089317D"/>
    <w:rsid w:val="00893D56"/>
    <w:rsid w:val="00894C2A"/>
    <w:rsid w:val="00894E4E"/>
    <w:rsid w:val="00895FB4"/>
    <w:rsid w:val="00896820"/>
    <w:rsid w:val="00896AF9"/>
    <w:rsid w:val="00896FAE"/>
    <w:rsid w:val="008A0092"/>
    <w:rsid w:val="008A19F8"/>
    <w:rsid w:val="008A2B2B"/>
    <w:rsid w:val="008A2FE7"/>
    <w:rsid w:val="008A4B9F"/>
    <w:rsid w:val="008A4D5C"/>
    <w:rsid w:val="008A5737"/>
    <w:rsid w:val="008A5B1E"/>
    <w:rsid w:val="008A5D6F"/>
    <w:rsid w:val="008A674A"/>
    <w:rsid w:val="008A7A8B"/>
    <w:rsid w:val="008B1A8A"/>
    <w:rsid w:val="008B27E6"/>
    <w:rsid w:val="008B31AB"/>
    <w:rsid w:val="008B3307"/>
    <w:rsid w:val="008B34D1"/>
    <w:rsid w:val="008B4D03"/>
    <w:rsid w:val="008B513F"/>
    <w:rsid w:val="008B5882"/>
    <w:rsid w:val="008B6075"/>
    <w:rsid w:val="008B642F"/>
    <w:rsid w:val="008B6BFB"/>
    <w:rsid w:val="008C0665"/>
    <w:rsid w:val="008C162D"/>
    <w:rsid w:val="008C1DDF"/>
    <w:rsid w:val="008C23D0"/>
    <w:rsid w:val="008C255E"/>
    <w:rsid w:val="008C35EC"/>
    <w:rsid w:val="008C3810"/>
    <w:rsid w:val="008C4F8E"/>
    <w:rsid w:val="008C5A1E"/>
    <w:rsid w:val="008C5F57"/>
    <w:rsid w:val="008C68F1"/>
    <w:rsid w:val="008D01F0"/>
    <w:rsid w:val="008D0AEB"/>
    <w:rsid w:val="008D18E4"/>
    <w:rsid w:val="008D551D"/>
    <w:rsid w:val="008D566B"/>
    <w:rsid w:val="008D5DC9"/>
    <w:rsid w:val="008D7168"/>
    <w:rsid w:val="008E1999"/>
    <w:rsid w:val="008E28ED"/>
    <w:rsid w:val="008E3DF2"/>
    <w:rsid w:val="008E5B9A"/>
    <w:rsid w:val="008E6AA1"/>
    <w:rsid w:val="008E6F73"/>
    <w:rsid w:val="008E771E"/>
    <w:rsid w:val="008F11E4"/>
    <w:rsid w:val="008F149B"/>
    <w:rsid w:val="008F18C4"/>
    <w:rsid w:val="008F19A4"/>
    <w:rsid w:val="008F1B3F"/>
    <w:rsid w:val="008F46AF"/>
    <w:rsid w:val="008F51DF"/>
    <w:rsid w:val="008F581A"/>
    <w:rsid w:val="008F799A"/>
    <w:rsid w:val="00900CEE"/>
    <w:rsid w:val="00900F3D"/>
    <w:rsid w:val="00901AB5"/>
    <w:rsid w:val="00902845"/>
    <w:rsid w:val="0090286F"/>
    <w:rsid w:val="009037FB"/>
    <w:rsid w:val="00906281"/>
    <w:rsid w:val="00907888"/>
    <w:rsid w:val="009132B5"/>
    <w:rsid w:val="00913A9A"/>
    <w:rsid w:val="00913AAA"/>
    <w:rsid w:val="0091437A"/>
    <w:rsid w:val="009167AA"/>
    <w:rsid w:val="00916CD9"/>
    <w:rsid w:val="00917B13"/>
    <w:rsid w:val="00917D11"/>
    <w:rsid w:val="009209C1"/>
    <w:rsid w:val="009214BD"/>
    <w:rsid w:val="00921803"/>
    <w:rsid w:val="00923229"/>
    <w:rsid w:val="0092446D"/>
    <w:rsid w:val="0092459F"/>
    <w:rsid w:val="00924626"/>
    <w:rsid w:val="009247C1"/>
    <w:rsid w:val="00926207"/>
    <w:rsid w:val="00926503"/>
    <w:rsid w:val="009301A4"/>
    <w:rsid w:val="00931074"/>
    <w:rsid w:val="0093310A"/>
    <w:rsid w:val="00933AAD"/>
    <w:rsid w:val="009341C0"/>
    <w:rsid w:val="00935C60"/>
    <w:rsid w:val="00935FC7"/>
    <w:rsid w:val="0093630D"/>
    <w:rsid w:val="00936461"/>
    <w:rsid w:val="00936742"/>
    <w:rsid w:val="00937401"/>
    <w:rsid w:val="009379DD"/>
    <w:rsid w:val="00937C80"/>
    <w:rsid w:val="009435FC"/>
    <w:rsid w:val="009436C2"/>
    <w:rsid w:val="00944F90"/>
    <w:rsid w:val="009452AC"/>
    <w:rsid w:val="0094613D"/>
    <w:rsid w:val="0094630B"/>
    <w:rsid w:val="009520B5"/>
    <w:rsid w:val="0095383F"/>
    <w:rsid w:val="00956CD1"/>
    <w:rsid w:val="0096162B"/>
    <w:rsid w:val="00961D7B"/>
    <w:rsid w:val="00962574"/>
    <w:rsid w:val="00964B46"/>
    <w:rsid w:val="009665D2"/>
    <w:rsid w:val="0097034C"/>
    <w:rsid w:val="00970C94"/>
    <w:rsid w:val="009726D8"/>
    <w:rsid w:val="009738AB"/>
    <w:rsid w:val="00974AC1"/>
    <w:rsid w:val="009754FE"/>
    <w:rsid w:val="00976188"/>
    <w:rsid w:val="009762DC"/>
    <w:rsid w:val="00976B9E"/>
    <w:rsid w:val="00977497"/>
    <w:rsid w:val="0098077C"/>
    <w:rsid w:val="009807E5"/>
    <w:rsid w:val="009816BA"/>
    <w:rsid w:val="009818F3"/>
    <w:rsid w:val="00981C66"/>
    <w:rsid w:val="009820B0"/>
    <w:rsid w:val="00982274"/>
    <w:rsid w:val="00982582"/>
    <w:rsid w:val="009826A0"/>
    <w:rsid w:val="00982FFD"/>
    <w:rsid w:val="00983A52"/>
    <w:rsid w:val="00983A8C"/>
    <w:rsid w:val="00984502"/>
    <w:rsid w:val="0098533A"/>
    <w:rsid w:val="009860F6"/>
    <w:rsid w:val="00991ED3"/>
    <w:rsid w:val="00993FD6"/>
    <w:rsid w:val="00997C77"/>
    <w:rsid w:val="009A0D30"/>
    <w:rsid w:val="009A2B15"/>
    <w:rsid w:val="009A405D"/>
    <w:rsid w:val="009A4CDD"/>
    <w:rsid w:val="009A59C7"/>
    <w:rsid w:val="009A5D7D"/>
    <w:rsid w:val="009A6205"/>
    <w:rsid w:val="009A6D6C"/>
    <w:rsid w:val="009A72CE"/>
    <w:rsid w:val="009B3D3A"/>
    <w:rsid w:val="009B426C"/>
    <w:rsid w:val="009B4C3A"/>
    <w:rsid w:val="009B59ED"/>
    <w:rsid w:val="009B5B1D"/>
    <w:rsid w:val="009B5F17"/>
    <w:rsid w:val="009B61EB"/>
    <w:rsid w:val="009B7449"/>
    <w:rsid w:val="009C2449"/>
    <w:rsid w:val="009C2F2D"/>
    <w:rsid w:val="009C33C2"/>
    <w:rsid w:val="009C38F4"/>
    <w:rsid w:val="009C3A96"/>
    <w:rsid w:val="009C41AC"/>
    <w:rsid w:val="009C72CF"/>
    <w:rsid w:val="009C7845"/>
    <w:rsid w:val="009D04B7"/>
    <w:rsid w:val="009D0F2B"/>
    <w:rsid w:val="009D3383"/>
    <w:rsid w:val="009D5D96"/>
    <w:rsid w:val="009D6337"/>
    <w:rsid w:val="009E1A4C"/>
    <w:rsid w:val="009E1A6E"/>
    <w:rsid w:val="009E1B0C"/>
    <w:rsid w:val="009E21C3"/>
    <w:rsid w:val="009E5127"/>
    <w:rsid w:val="009E5A18"/>
    <w:rsid w:val="009E5DE2"/>
    <w:rsid w:val="009E6201"/>
    <w:rsid w:val="009E6650"/>
    <w:rsid w:val="009F2CA6"/>
    <w:rsid w:val="009F2DF2"/>
    <w:rsid w:val="009F3D63"/>
    <w:rsid w:val="009F6670"/>
    <w:rsid w:val="009F6BA1"/>
    <w:rsid w:val="009F76DB"/>
    <w:rsid w:val="00A00ED5"/>
    <w:rsid w:val="00A027CF"/>
    <w:rsid w:val="00A03D37"/>
    <w:rsid w:val="00A052E2"/>
    <w:rsid w:val="00A0537D"/>
    <w:rsid w:val="00A06D1C"/>
    <w:rsid w:val="00A0708B"/>
    <w:rsid w:val="00A11BD2"/>
    <w:rsid w:val="00A12439"/>
    <w:rsid w:val="00A15597"/>
    <w:rsid w:val="00A20599"/>
    <w:rsid w:val="00A20E6A"/>
    <w:rsid w:val="00A21F98"/>
    <w:rsid w:val="00A22179"/>
    <w:rsid w:val="00A23AB5"/>
    <w:rsid w:val="00A24A63"/>
    <w:rsid w:val="00A24E67"/>
    <w:rsid w:val="00A260D0"/>
    <w:rsid w:val="00A2754D"/>
    <w:rsid w:val="00A277E5"/>
    <w:rsid w:val="00A318A8"/>
    <w:rsid w:val="00A32C3B"/>
    <w:rsid w:val="00A33991"/>
    <w:rsid w:val="00A35627"/>
    <w:rsid w:val="00A36E15"/>
    <w:rsid w:val="00A3759A"/>
    <w:rsid w:val="00A401A1"/>
    <w:rsid w:val="00A4029C"/>
    <w:rsid w:val="00A40EE9"/>
    <w:rsid w:val="00A4219E"/>
    <w:rsid w:val="00A43215"/>
    <w:rsid w:val="00A44428"/>
    <w:rsid w:val="00A44981"/>
    <w:rsid w:val="00A45F4F"/>
    <w:rsid w:val="00A471E4"/>
    <w:rsid w:val="00A47E2F"/>
    <w:rsid w:val="00A509E8"/>
    <w:rsid w:val="00A50BDA"/>
    <w:rsid w:val="00A511E7"/>
    <w:rsid w:val="00A5605E"/>
    <w:rsid w:val="00A600A9"/>
    <w:rsid w:val="00A6042B"/>
    <w:rsid w:val="00A6187A"/>
    <w:rsid w:val="00A62587"/>
    <w:rsid w:val="00A63EDB"/>
    <w:rsid w:val="00A641E1"/>
    <w:rsid w:val="00A6623A"/>
    <w:rsid w:val="00A6639C"/>
    <w:rsid w:val="00A67553"/>
    <w:rsid w:val="00A6762C"/>
    <w:rsid w:val="00A7101A"/>
    <w:rsid w:val="00A71B1B"/>
    <w:rsid w:val="00A7253D"/>
    <w:rsid w:val="00A729A4"/>
    <w:rsid w:val="00A73D56"/>
    <w:rsid w:val="00A74486"/>
    <w:rsid w:val="00A755DD"/>
    <w:rsid w:val="00A75DF0"/>
    <w:rsid w:val="00A75E0A"/>
    <w:rsid w:val="00A774A6"/>
    <w:rsid w:val="00A8021A"/>
    <w:rsid w:val="00A818CD"/>
    <w:rsid w:val="00A81B38"/>
    <w:rsid w:val="00A82282"/>
    <w:rsid w:val="00A82D3E"/>
    <w:rsid w:val="00A83213"/>
    <w:rsid w:val="00A85947"/>
    <w:rsid w:val="00A91D19"/>
    <w:rsid w:val="00A91F12"/>
    <w:rsid w:val="00A927D7"/>
    <w:rsid w:val="00A936BF"/>
    <w:rsid w:val="00A94724"/>
    <w:rsid w:val="00A95A26"/>
    <w:rsid w:val="00A96664"/>
    <w:rsid w:val="00A96797"/>
    <w:rsid w:val="00AA111F"/>
    <w:rsid w:val="00AA1C3F"/>
    <w:rsid w:val="00AA2AFC"/>
    <w:rsid w:val="00AA3211"/>
    <w:rsid w:val="00AA3FC6"/>
    <w:rsid w:val="00AA41D2"/>
    <w:rsid w:val="00AA502B"/>
    <w:rsid w:val="00AA55B7"/>
    <w:rsid w:val="00AA5B9E"/>
    <w:rsid w:val="00AA5BF1"/>
    <w:rsid w:val="00AA5CF3"/>
    <w:rsid w:val="00AA70D5"/>
    <w:rsid w:val="00AA79EB"/>
    <w:rsid w:val="00AA7C57"/>
    <w:rsid w:val="00AB095D"/>
    <w:rsid w:val="00AB1638"/>
    <w:rsid w:val="00AB1ACD"/>
    <w:rsid w:val="00AB2407"/>
    <w:rsid w:val="00AB2423"/>
    <w:rsid w:val="00AB2869"/>
    <w:rsid w:val="00AB4076"/>
    <w:rsid w:val="00AB48A4"/>
    <w:rsid w:val="00AB53DF"/>
    <w:rsid w:val="00AB6A5E"/>
    <w:rsid w:val="00AC1DE1"/>
    <w:rsid w:val="00AC4AF1"/>
    <w:rsid w:val="00AC6346"/>
    <w:rsid w:val="00AD2252"/>
    <w:rsid w:val="00AD34DB"/>
    <w:rsid w:val="00AD3960"/>
    <w:rsid w:val="00AD3AD6"/>
    <w:rsid w:val="00AD40A4"/>
    <w:rsid w:val="00AD597F"/>
    <w:rsid w:val="00AD5D67"/>
    <w:rsid w:val="00AD669B"/>
    <w:rsid w:val="00AD6B37"/>
    <w:rsid w:val="00AE25EB"/>
    <w:rsid w:val="00AE3A35"/>
    <w:rsid w:val="00AE3EEF"/>
    <w:rsid w:val="00AE4E03"/>
    <w:rsid w:val="00AE4F31"/>
    <w:rsid w:val="00AE7251"/>
    <w:rsid w:val="00AE75DB"/>
    <w:rsid w:val="00AF003A"/>
    <w:rsid w:val="00AF0552"/>
    <w:rsid w:val="00AF2B3A"/>
    <w:rsid w:val="00AF2C3F"/>
    <w:rsid w:val="00AF3440"/>
    <w:rsid w:val="00AF38AC"/>
    <w:rsid w:val="00AF505C"/>
    <w:rsid w:val="00AF544A"/>
    <w:rsid w:val="00AF563E"/>
    <w:rsid w:val="00AF6F34"/>
    <w:rsid w:val="00AF7756"/>
    <w:rsid w:val="00B00A01"/>
    <w:rsid w:val="00B013DC"/>
    <w:rsid w:val="00B036AF"/>
    <w:rsid w:val="00B07E5C"/>
    <w:rsid w:val="00B10835"/>
    <w:rsid w:val="00B11D0A"/>
    <w:rsid w:val="00B12671"/>
    <w:rsid w:val="00B13D47"/>
    <w:rsid w:val="00B143AB"/>
    <w:rsid w:val="00B14C7C"/>
    <w:rsid w:val="00B14F7A"/>
    <w:rsid w:val="00B15DF9"/>
    <w:rsid w:val="00B164A8"/>
    <w:rsid w:val="00B2047D"/>
    <w:rsid w:val="00B230DC"/>
    <w:rsid w:val="00B23D20"/>
    <w:rsid w:val="00B23F1B"/>
    <w:rsid w:val="00B2608C"/>
    <w:rsid w:val="00B3113D"/>
    <w:rsid w:val="00B31370"/>
    <w:rsid w:val="00B3149B"/>
    <w:rsid w:val="00B316F1"/>
    <w:rsid w:val="00B31EB7"/>
    <w:rsid w:val="00B320C6"/>
    <w:rsid w:val="00B371CA"/>
    <w:rsid w:val="00B410FE"/>
    <w:rsid w:val="00B41A68"/>
    <w:rsid w:val="00B41C8B"/>
    <w:rsid w:val="00B42083"/>
    <w:rsid w:val="00B432D3"/>
    <w:rsid w:val="00B44248"/>
    <w:rsid w:val="00B4457E"/>
    <w:rsid w:val="00B45235"/>
    <w:rsid w:val="00B45923"/>
    <w:rsid w:val="00B47882"/>
    <w:rsid w:val="00B500D7"/>
    <w:rsid w:val="00B50503"/>
    <w:rsid w:val="00B51FA8"/>
    <w:rsid w:val="00B528D7"/>
    <w:rsid w:val="00B52EAA"/>
    <w:rsid w:val="00B53CDE"/>
    <w:rsid w:val="00B541C8"/>
    <w:rsid w:val="00B60039"/>
    <w:rsid w:val="00B60131"/>
    <w:rsid w:val="00B60493"/>
    <w:rsid w:val="00B653AB"/>
    <w:rsid w:val="00B65444"/>
    <w:rsid w:val="00B65BF0"/>
    <w:rsid w:val="00B6666D"/>
    <w:rsid w:val="00B6792C"/>
    <w:rsid w:val="00B67D75"/>
    <w:rsid w:val="00B70F7B"/>
    <w:rsid w:val="00B72A56"/>
    <w:rsid w:val="00B74CB6"/>
    <w:rsid w:val="00B7509D"/>
    <w:rsid w:val="00B75685"/>
    <w:rsid w:val="00B76A20"/>
    <w:rsid w:val="00B778F6"/>
    <w:rsid w:val="00B80535"/>
    <w:rsid w:val="00B811F7"/>
    <w:rsid w:val="00B827E5"/>
    <w:rsid w:val="00B83ADB"/>
    <w:rsid w:val="00B83C56"/>
    <w:rsid w:val="00B83EB4"/>
    <w:rsid w:val="00B8450E"/>
    <w:rsid w:val="00B85661"/>
    <w:rsid w:val="00B87107"/>
    <w:rsid w:val="00B90920"/>
    <w:rsid w:val="00B90F00"/>
    <w:rsid w:val="00B91326"/>
    <w:rsid w:val="00B91AD5"/>
    <w:rsid w:val="00B93753"/>
    <w:rsid w:val="00B93BD5"/>
    <w:rsid w:val="00B9576A"/>
    <w:rsid w:val="00B9738C"/>
    <w:rsid w:val="00B97D64"/>
    <w:rsid w:val="00B97F03"/>
    <w:rsid w:val="00BA1573"/>
    <w:rsid w:val="00BA2BED"/>
    <w:rsid w:val="00BA53F5"/>
    <w:rsid w:val="00BA5890"/>
    <w:rsid w:val="00BA59C9"/>
    <w:rsid w:val="00BA5DC6"/>
    <w:rsid w:val="00BA6196"/>
    <w:rsid w:val="00BA6E78"/>
    <w:rsid w:val="00BA73FF"/>
    <w:rsid w:val="00BA7481"/>
    <w:rsid w:val="00BA7567"/>
    <w:rsid w:val="00BA7709"/>
    <w:rsid w:val="00BB281B"/>
    <w:rsid w:val="00BB2A68"/>
    <w:rsid w:val="00BB3809"/>
    <w:rsid w:val="00BB3AA4"/>
    <w:rsid w:val="00BB5348"/>
    <w:rsid w:val="00BB59CC"/>
    <w:rsid w:val="00BB686A"/>
    <w:rsid w:val="00BB6A55"/>
    <w:rsid w:val="00BC0221"/>
    <w:rsid w:val="00BC05F7"/>
    <w:rsid w:val="00BC12E0"/>
    <w:rsid w:val="00BC1FAE"/>
    <w:rsid w:val="00BC2861"/>
    <w:rsid w:val="00BC3FF5"/>
    <w:rsid w:val="00BC6D8C"/>
    <w:rsid w:val="00BC78B6"/>
    <w:rsid w:val="00BD0698"/>
    <w:rsid w:val="00BD2B36"/>
    <w:rsid w:val="00BD3A8B"/>
    <w:rsid w:val="00BD440B"/>
    <w:rsid w:val="00BD7E60"/>
    <w:rsid w:val="00BE139B"/>
    <w:rsid w:val="00BE16CD"/>
    <w:rsid w:val="00BE4FC4"/>
    <w:rsid w:val="00BF1822"/>
    <w:rsid w:val="00BF23A0"/>
    <w:rsid w:val="00BF39B4"/>
    <w:rsid w:val="00BF3B0A"/>
    <w:rsid w:val="00BF5252"/>
    <w:rsid w:val="00BF532C"/>
    <w:rsid w:val="00BF5EDC"/>
    <w:rsid w:val="00BF654D"/>
    <w:rsid w:val="00BF65A7"/>
    <w:rsid w:val="00BF7C58"/>
    <w:rsid w:val="00C00085"/>
    <w:rsid w:val="00C0058D"/>
    <w:rsid w:val="00C00E38"/>
    <w:rsid w:val="00C0132A"/>
    <w:rsid w:val="00C01949"/>
    <w:rsid w:val="00C01DAB"/>
    <w:rsid w:val="00C02D23"/>
    <w:rsid w:val="00C05CA2"/>
    <w:rsid w:val="00C060FF"/>
    <w:rsid w:val="00C0683D"/>
    <w:rsid w:val="00C072CA"/>
    <w:rsid w:val="00C12080"/>
    <w:rsid w:val="00C1340D"/>
    <w:rsid w:val="00C14B7F"/>
    <w:rsid w:val="00C1553A"/>
    <w:rsid w:val="00C15B52"/>
    <w:rsid w:val="00C16D2D"/>
    <w:rsid w:val="00C20A09"/>
    <w:rsid w:val="00C20E32"/>
    <w:rsid w:val="00C21192"/>
    <w:rsid w:val="00C21CE0"/>
    <w:rsid w:val="00C229BA"/>
    <w:rsid w:val="00C23AA9"/>
    <w:rsid w:val="00C24062"/>
    <w:rsid w:val="00C24101"/>
    <w:rsid w:val="00C2421F"/>
    <w:rsid w:val="00C25A2D"/>
    <w:rsid w:val="00C2732A"/>
    <w:rsid w:val="00C315F4"/>
    <w:rsid w:val="00C322F6"/>
    <w:rsid w:val="00C3270A"/>
    <w:rsid w:val="00C34006"/>
    <w:rsid w:val="00C34053"/>
    <w:rsid w:val="00C3714C"/>
    <w:rsid w:val="00C402BB"/>
    <w:rsid w:val="00C40E19"/>
    <w:rsid w:val="00C424A4"/>
    <w:rsid w:val="00C426B1"/>
    <w:rsid w:val="00C43F69"/>
    <w:rsid w:val="00C44A59"/>
    <w:rsid w:val="00C458E2"/>
    <w:rsid w:val="00C46F0B"/>
    <w:rsid w:val="00C476C8"/>
    <w:rsid w:val="00C47A45"/>
    <w:rsid w:val="00C51625"/>
    <w:rsid w:val="00C53E24"/>
    <w:rsid w:val="00C54631"/>
    <w:rsid w:val="00C55072"/>
    <w:rsid w:val="00C556E9"/>
    <w:rsid w:val="00C5625D"/>
    <w:rsid w:val="00C56855"/>
    <w:rsid w:val="00C6227C"/>
    <w:rsid w:val="00C63D36"/>
    <w:rsid w:val="00C66160"/>
    <w:rsid w:val="00C662B9"/>
    <w:rsid w:val="00C67EB9"/>
    <w:rsid w:val="00C721AC"/>
    <w:rsid w:val="00C7311F"/>
    <w:rsid w:val="00C73B45"/>
    <w:rsid w:val="00C73B51"/>
    <w:rsid w:val="00C745E9"/>
    <w:rsid w:val="00C74854"/>
    <w:rsid w:val="00C761CF"/>
    <w:rsid w:val="00C80673"/>
    <w:rsid w:val="00C83894"/>
    <w:rsid w:val="00C83FF9"/>
    <w:rsid w:val="00C8492B"/>
    <w:rsid w:val="00C84AA7"/>
    <w:rsid w:val="00C8537E"/>
    <w:rsid w:val="00C87ED8"/>
    <w:rsid w:val="00C9078B"/>
    <w:rsid w:val="00C90D6A"/>
    <w:rsid w:val="00C937A5"/>
    <w:rsid w:val="00C9453C"/>
    <w:rsid w:val="00C94FBC"/>
    <w:rsid w:val="00C956AE"/>
    <w:rsid w:val="00CA16AC"/>
    <w:rsid w:val="00CA1A1E"/>
    <w:rsid w:val="00CA1DBE"/>
    <w:rsid w:val="00CA247E"/>
    <w:rsid w:val="00CA5777"/>
    <w:rsid w:val="00CA7032"/>
    <w:rsid w:val="00CA7A0B"/>
    <w:rsid w:val="00CB03DE"/>
    <w:rsid w:val="00CB2561"/>
    <w:rsid w:val="00CB2DF4"/>
    <w:rsid w:val="00CB47BD"/>
    <w:rsid w:val="00CB5155"/>
    <w:rsid w:val="00CB6F52"/>
    <w:rsid w:val="00CC1AE6"/>
    <w:rsid w:val="00CC242F"/>
    <w:rsid w:val="00CC435C"/>
    <w:rsid w:val="00CC5083"/>
    <w:rsid w:val="00CC643A"/>
    <w:rsid w:val="00CC72B6"/>
    <w:rsid w:val="00CD0DFF"/>
    <w:rsid w:val="00CD12FE"/>
    <w:rsid w:val="00CD2ABF"/>
    <w:rsid w:val="00CD2EC5"/>
    <w:rsid w:val="00CD31DD"/>
    <w:rsid w:val="00CD57C8"/>
    <w:rsid w:val="00CD5C07"/>
    <w:rsid w:val="00CD6B2B"/>
    <w:rsid w:val="00CD7106"/>
    <w:rsid w:val="00CE26C3"/>
    <w:rsid w:val="00CE3C56"/>
    <w:rsid w:val="00CE5CB9"/>
    <w:rsid w:val="00CE7549"/>
    <w:rsid w:val="00CE77A0"/>
    <w:rsid w:val="00CF6048"/>
    <w:rsid w:val="00CF74AE"/>
    <w:rsid w:val="00CF76CB"/>
    <w:rsid w:val="00D0045C"/>
    <w:rsid w:val="00D00470"/>
    <w:rsid w:val="00D00986"/>
    <w:rsid w:val="00D01102"/>
    <w:rsid w:val="00D01C2E"/>
    <w:rsid w:val="00D0218D"/>
    <w:rsid w:val="00D02554"/>
    <w:rsid w:val="00D028A4"/>
    <w:rsid w:val="00D041E5"/>
    <w:rsid w:val="00D04CED"/>
    <w:rsid w:val="00D0562C"/>
    <w:rsid w:val="00D0726C"/>
    <w:rsid w:val="00D10A09"/>
    <w:rsid w:val="00D13013"/>
    <w:rsid w:val="00D13A4F"/>
    <w:rsid w:val="00D1420E"/>
    <w:rsid w:val="00D15578"/>
    <w:rsid w:val="00D15B65"/>
    <w:rsid w:val="00D16FB7"/>
    <w:rsid w:val="00D177A8"/>
    <w:rsid w:val="00D17F85"/>
    <w:rsid w:val="00D21ED9"/>
    <w:rsid w:val="00D24891"/>
    <w:rsid w:val="00D25168"/>
    <w:rsid w:val="00D25A1D"/>
    <w:rsid w:val="00D25CE1"/>
    <w:rsid w:val="00D25FB5"/>
    <w:rsid w:val="00D26195"/>
    <w:rsid w:val="00D313B7"/>
    <w:rsid w:val="00D35374"/>
    <w:rsid w:val="00D35572"/>
    <w:rsid w:val="00D3592D"/>
    <w:rsid w:val="00D4011C"/>
    <w:rsid w:val="00D40334"/>
    <w:rsid w:val="00D428A2"/>
    <w:rsid w:val="00D44018"/>
    <w:rsid w:val="00D44223"/>
    <w:rsid w:val="00D44419"/>
    <w:rsid w:val="00D4501E"/>
    <w:rsid w:val="00D45BFC"/>
    <w:rsid w:val="00D45C21"/>
    <w:rsid w:val="00D46097"/>
    <w:rsid w:val="00D465FB"/>
    <w:rsid w:val="00D46B91"/>
    <w:rsid w:val="00D47071"/>
    <w:rsid w:val="00D476BF"/>
    <w:rsid w:val="00D47A26"/>
    <w:rsid w:val="00D47A2F"/>
    <w:rsid w:val="00D50F02"/>
    <w:rsid w:val="00D51A0F"/>
    <w:rsid w:val="00D51F7D"/>
    <w:rsid w:val="00D5297B"/>
    <w:rsid w:val="00D52F86"/>
    <w:rsid w:val="00D540D5"/>
    <w:rsid w:val="00D563F2"/>
    <w:rsid w:val="00D56646"/>
    <w:rsid w:val="00D577ED"/>
    <w:rsid w:val="00D578FB"/>
    <w:rsid w:val="00D601F6"/>
    <w:rsid w:val="00D60A3C"/>
    <w:rsid w:val="00D62979"/>
    <w:rsid w:val="00D634BC"/>
    <w:rsid w:val="00D63962"/>
    <w:rsid w:val="00D63A95"/>
    <w:rsid w:val="00D63EBF"/>
    <w:rsid w:val="00D64F93"/>
    <w:rsid w:val="00D65220"/>
    <w:rsid w:val="00D65F84"/>
    <w:rsid w:val="00D66195"/>
    <w:rsid w:val="00D70A29"/>
    <w:rsid w:val="00D71CF1"/>
    <w:rsid w:val="00D72174"/>
    <w:rsid w:val="00D72AC6"/>
    <w:rsid w:val="00D74186"/>
    <w:rsid w:val="00D7437E"/>
    <w:rsid w:val="00D74F31"/>
    <w:rsid w:val="00D754C1"/>
    <w:rsid w:val="00D756BB"/>
    <w:rsid w:val="00D76496"/>
    <w:rsid w:val="00D76CAB"/>
    <w:rsid w:val="00D77F09"/>
    <w:rsid w:val="00D80B3C"/>
    <w:rsid w:val="00D80BF3"/>
    <w:rsid w:val="00D814B2"/>
    <w:rsid w:val="00D82C32"/>
    <w:rsid w:val="00D82E17"/>
    <w:rsid w:val="00D83EFF"/>
    <w:rsid w:val="00D843A4"/>
    <w:rsid w:val="00D84B47"/>
    <w:rsid w:val="00D859E9"/>
    <w:rsid w:val="00D86DD2"/>
    <w:rsid w:val="00D8726B"/>
    <w:rsid w:val="00D87EE7"/>
    <w:rsid w:val="00D87EEA"/>
    <w:rsid w:val="00D87F01"/>
    <w:rsid w:val="00D90549"/>
    <w:rsid w:val="00D91623"/>
    <w:rsid w:val="00D9205C"/>
    <w:rsid w:val="00D9451E"/>
    <w:rsid w:val="00D95574"/>
    <w:rsid w:val="00D9623A"/>
    <w:rsid w:val="00D966EA"/>
    <w:rsid w:val="00D97922"/>
    <w:rsid w:val="00D97B27"/>
    <w:rsid w:val="00DA041C"/>
    <w:rsid w:val="00DA0753"/>
    <w:rsid w:val="00DA13A3"/>
    <w:rsid w:val="00DA1D36"/>
    <w:rsid w:val="00DA233B"/>
    <w:rsid w:val="00DA2529"/>
    <w:rsid w:val="00DA3349"/>
    <w:rsid w:val="00DA3C66"/>
    <w:rsid w:val="00DA4A96"/>
    <w:rsid w:val="00DA5A25"/>
    <w:rsid w:val="00DA653A"/>
    <w:rsid w:val="00DA772E"/>
    <w:rsid w:val="00DB130A"/>
    <w:rsid w:val="00DB16F2"/>
    <w:rsid w:val="00DB2903"/>
    <w:rsid w:val="00DB2EBB"/>
    <w:rsid w:val="00DB531B"/>
    <w:rsid w:val="00DB63C7"/>
    <w:rsid w:val="00DC0DB7"/>
    <w:rsid w:val="00DC10A1"/>
    <w:rsid w:val="00DC1616"/>
    <w:rsid w:val="00DC325F"/>
    <w:rsid w:val="00DC3733"/>
    <w:rsid w:val="00DC402D"/>
    <w:rsid w:val="00DC655F"/>
    <w:rsid w:val="00DC6895"/>
    <w:rsid w:val="00DD0B59"/>
    <w:rsid w:val="00DD12C4"/>
    <w:rsid w:val="00DD131E"/>
    <w:rsid w:val="00DD1335"/>
    <w:rsid w:val="00DD14C6"/>
    <w:rsid w:val="00DD1D16"/>
    <w:rsid w:val="00DD6D5A"/>
    <w:rsid w:val="00DD7EBD"/>
    <w:rsid w:val="00DD7F06"/>
    <w:rsid w:val="00DE15B5"/>
    <w:rsid w:val="00DE180E"/>
    <w:rsid w:val="00DE4436"/>
    <w:rsid w:val="00DE4D43"/>
    <w:rsid w:val="00DE5885"/>
    <w:rsid w:val="00DE707F"/>
    <w:rsid w:val="00DE7E7A"/>
    <w:rsid w:val="00DF1C79"/>
    <w:rsid w:val="00DF31C8"/>
    <w:rsid w:val="00DF4B63"/>
    <w:rsid w:val="00DF62B6"/>
    <w:rsid w:val="00DF7333"/>
    <w:rsid w:val="00DF74D1"/>
    <w:rsid w:val="00DF788F"/>
    <w:rsid w:val="00DF7F39"/>
    <w:rsid w:val="00E00702"/>
    <w:rsid w:val="00E016D1"/>
    <w:rsid w:val="00E01B4E"/>
    <w:rsid w:val="00E01C17"/>
    <w:rsid w:val="00E020E2"/>
    <w:rsid w:val="00E033B4"/>
    <w:rsid w:val="00E0353B"/>
    <w:rsid w:val="00E04509"/>
    <w:rsid w:val="00E0535A"/>
    <w:rsid w:val="00E055BD"/>
    <w:rsid w:val="00E05DF6"/>
    <w:rsid w:val="00E0648D"/>
    <w:rsid w:val="00E06D4D"/>
    <w:rsid w:val="00E07225"/>
    <w:rsid w:val="00E10609"/>
    <w:rsid w:val="00E108F2"/>
    <w:rsid w:val="00E11E41"/>
    <w:rsid w:val="00E12264"/>
    <w:rsid w:val="00E124A7"/>
    <w:rsid w:val="00E149F4"/>
    <w:rsid w:val="00E169D5"/>
    <w:rsid w:val="00E17616"/>
    <w:rsid w:val="00E20913"/>
    <w:rsid w:val="00E20A82"/>
    <w:rsid w:val="00E23440"/>
    <w:rsid w:val="00E23D35"/>
    <w:rsid w:val="00E253EB"/>
    <w:rsid w:val="00E264EA"/>
    <w:rsid w:val="00E307C7"/>
    <w:rsid w:val="00E345CA"/>
    <w:rsid w:val="00E370A8"/>
    <w:rsid w:val="00E4110F"/>
    <w:rsid w:val="00E41407"/>
    <w:rsid w:val="00E41ED8"/>
    <w:rsid w:val="00E426D4"/>
    <w:rsid w:val="00E44856"/>
    <w:rsid w:val="00E457AD"/>
    <w:rsid w:val="00E479BE"/>
    <w:rsid w:val="00E47C49"/>
    <w:rsid w:val="00E527BE"/>
    <w:rsid w:val="00E52E8F"/>
    <w:rsid w:val="00E5409F"/>
    <w:rsid w:val="00E546A0"/>
    <w:rsid w:val="00E55A20"/>
    <w:rsid w:val="00E56388"/>
    <w:rsid w:val="00E56772"/>
    <w:rsid w:val="00E62533"/>
    <w:rsid w:val="00E63AB0"/>
    <w:rsid w:val="00E63C3A"/>
    <w:rsid w:val="00E64115"/>
    <w:rsid w:val="00E64C54"/>
    <w:rsid w:val="00E71E1C"/>
    <w:rsid w:val="00E7346C"/>
    <w:rsid w:val="00E73766"/>
    <w:rsid w:val="00E73FE8"/>
    <w:rsid w:val="00E753C8"/>
    <w:rsid w:val="00E75EF7"/>
    <w:rsid w:val="00E77D5E"/>
    <w:rsid w:val="00E80655"/>
    <w:rsid w:val="00E82F7B"/>
    <w:rsid w:val="00E831F2"/>
    <w:rsid w:val="00E8445D"/>
    <w:rsid w:val="00E84FBE"/>
    <w:rsid w:val="00E9064E"/>
    <w:rsid w:val="00E91453"/>
    <w:rsid w:val="00E91BE0"/>
    <w:rsid w:val="00E93CFC"/>
    <w:rsid w:val="00E93FCE"/>
    <w:rsid w:val="00E9427C"/>
    <w:rsid w:val="00E960AB"/>
    <w:rsid w:val="00E96B04"/>
    <w:rsid w:val="00E970BA"/>
    <w:rsid w:val="00EA0BD4"/>
    <w:rsid w:val="00EA36F1"/>
    <w:rsid w:val="00EA3AC1"/>
    <w:rsid w:val="00EA4324"/>
    <w:rsid w:val="00EA4D1C"/>
    <w:rsid w:val="00EA4EC5"/>
    <w:rsid w:val="00EA63C5"/>
    <w:rsid w:val="00EA7F39"/>
    <w:rsid w:val="00EB15B5"/>
    <w:rsid w:val="00EB1EB5"/>
    <w:rsid w:val="00EB2627"/>
    <w:rsid w:val="00EB27BE"/>
    <w:rsid w:val="00EB3091"/>
    <w:rsid w:val="00EB3D0B"/>
    <w:rsid w:val="00EB5F1B"/>
    <w:rsid w:val="00EC0448"/>
    <w:rsid w:val="00EC0923"/>
    <w:rsid w:val="00EC259E"/>
    <w:rsid w:val="00EC2CEB"/>
    <w:rsid w:val="00EC37FB"/>
    <w:rsid w:val="00EC6945"/>
    <w:rsid w:val="00EC73D7"/>
    <w:rsid w:val="00EC7A10"/>
    <w:rsid w:val="00EC7EB9"/>
    <w:rsid w:val="00ED036C"/>
    <w:rsid w:val="00ED18D5"/>
    <w:rsid w:val="00ED32E5"/>
    <w:rsid w:val="00ED4262"/>
    <w:rsid w:val="00ED42CF"/>
    <w:rsid w:val="00ED45E2"/>
    <w:rsid w:val="00ED4A2D"/>
    <w:rsid w:val="00ED4C16"/>
    <w:rsid w:val="00ED50E9"/>
    <w:rsid w:val="00ED529C"/>
    <w:rsid w:val="00ED59E8"/>
    <w:rsid w:val="00ED7BDC"/>
    <w:rsid w:val="00EE0163"/>
    <w:rsid w:val="00EE0C0E"/>
    <w:rsid w:val="00EE407A"/>
    <w:rsid w:val="00EE4329"/>
    <w:rsid w:val="00EE47D2"/>
    <w:rsid w:val="00EE488C"/>
    <w:rsid w:val="00EE6488"/>
    <w:rsid w:val="00EE68A8"/>
    <w:rsid w:val="00EE7C2C"/>
    <w:rsid w:val="00EE7E3F"/>
    <w:rsid w:val="00EF1800"/>
    <w:rsid w:val="00EF225C"/>
    <w:rsid w:val="00EF23A8"/>
    <w:rsid w:val="00EF2C60"/>
    <w:rsid w:val="00EF2DD7"/>
    <w:rsid w:val="00EF39BF"/>
    <w:rsid w:val="00EF3FFB"/>
    <w:rsid w:val="00EF5100"/>
    <w:rsid w:val="00EF71A5"/>
    <w:rsid w:val="00EF73C8"/>
    <w:rsid w:val="00EF7873"/>
    <w:rsid w:val="00F01612"/>
    <w:rsid w:val="00F021FA"/>
    <w:rsid w:val="00F063C4"/>
    <w:rsid w:val="00F079C8"/>
    <w:rsid w:val="00F11D12"/>
    <w:rsid w:val="00F1373F"/>
    <w:rsid w:val="00F14550"/>
    <w:rsid w:val="00F146D5"/>
    <w:rsid w:val="00F1667C"/>
    <w:rsid w:val="00F173C9"/>
    <w:rsid w:val="00F217B7"/>
    <w:rsid w:val="00F21EFD"/>
    <w:rsid w:val="00F2347B"/>
    <w:rsid w:val="00F26045"/>
    <w:rsid w:val="00F27F02"/>
    <w:rsid w:val="00F30B29"/>
    <w:rsid w:val="00F328E9"/>
    <w:rsid w:val="00F32AEF"/>
    <w:rsid w:val="00F35FB6"/>
    <w:rsid w:val="00F36378"/>
    <w:rsid w:val="00F36A70"/>
    <w:rsid w:val="00F42F1F"/>
    <w:rsid w:val="00F455EB"/>
    <w:rsid w:val="00F46445"/>
    <w:rsid w:val="00F468C6"/>
    <w:rsid w:val="00F477F9"/>
    <w:rsid w:val="00F478E0"/>
    <w:rsid w:val="00F5232D"/>
    <w:rsid w:val="00F53C34"/>
    <w:rsid w:val="00F54A8A"/>
    <w:rsid w:val="00F55B64"/>
    <w:rsid w:val="00F56870"/>
    <w:rsid w:val="00F56DF5"/>
    <w:rsid w:val="00F603BA"/>
    <w:rsid w:val="00F603E8"/>
    <w:rsid w:val="00F625F6"/>
    <w:rsid w:val="00F62CD9"/>
    <w:rsid w:val="00F62E97"/>
    <w:rsid w:val="00F635DA"/>
    <w:rsid w:val="00F63D48"/>
    <w:rsid w:val="00F64209"/>
    <w:rsid w:val="00F64920"/>
    <w:rsid w:val="00F64EE4"/>
    <w:rsid w:val="00F6516B"/>
    <w:rsid w:val="00F666AC"/>
    <w:rsid w:val="00F67F62"/>
    <w:rsid w:val="00F70A60"/>
    <w:rsid w:val="00F7134A"/>
    <w:rsid w:val="00F729DC"/>
    <w:rsid w:val="00F73869"/>
    <w:rsid w:val="00F815CC"/>
    <w:rsid w:val="00F82725"/>
    <w:rsid w:val="00F83A64"/>
    <w:rsid w:val="00F84980"/>
    <w:rsid w:val="00F854BA"/>
    <w:rsid w:val="00F85C2C"/>
    <w:rsid w:val="00F876E4"/>
    <w:rsid w:val="00F901B8"/>
    <w:rsid w:val="00F912D2"/>
    <w:rsid w:val="00F92972"/>
    <w:rsid w:val="00F93BF5"/>
    <w:rsid w:val="00F93C3D"/>
    <w:rsid w:val="00F94343"/>
    <w:rsid w:val="00F95308"/>
    <w:rsid w:val="00F9588D"/>
    <w:rsid w:val="00F95EE1"/>
    <w:rsid w:val="00F9602C"/>
    <w:rsid w:val="00F96F3F"/>
    <w:rsid w:val="00FA58FC"/>
    <w:rsid w:val="00FA6421"/>
    <w:rsid w:val="00FA6E08"/>
    <w:rsid w:val="00FA7FEB"/>
    <w:rsid w:val="00FB1741"/>
    <w:rsid w:val="00FB2BF0"/>
    <w:rsid w:val="00FB2E0B"/>
    <w:rsid w:val="00FB5274"/>
    <w:rsid w:val="00FB6127"/>
    <w:rsid w:val="00FB62DC"/>
    <w:rsid w:val="00FB75F3"/>
    <w:rsid w:val="00FB78C1"/>
    <w:rsid w:val="00FB792C"/>
    <w:rsid w:val="00FC0957"/>
    <w:rsid w:val="00FC2DEC"/>
    <w:rsid w:val="00FC3376"/>
    <w:rsid w:val="00FC41D8"/>
    <w:rsid w:val="00FC5458"/>
    <w:rsid w:val="00FC6305"/>
    <w:rsid w:val="00FC6942"/>
    <w:rsid w:val="00FD0176"/>
    <w:rsid w:val="00FD15F5"/>
    <w:rsid w:val="00FD175C"/>
    <w:rsid w:val="00FD577E"/>
    <w:rsid w:val="00FD5B3C"/>
    <w:rsid w:val="00FD7E8F"/>
    <w:rsid w:val="00FE01DF"/>
    <w:rsid w:val="00FE28C6"/>
    <w:rsid w:val="00FE4B50"/>
    <w:rsid w:val="00FE7076"/>
    <w:rsid w:val="00FE74C7"/>
    <w:rsid w:val="00FF21A6"/>
    <w:rsid w:val="00FF30AB"/>
    <w:rsid w:val="00FF31BC"/>
    <w:rsid w:val="00FF371D"/>
    <w:rsid w:val="00FF5266"/>
    <w:rsid w:val="00FF6583"/>
    <w:rsid w:val="00FF7A72"/>
    <w:rsid w:val="36D3A4EE"/>
    <w:rsid w:val="37B75AF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968"/>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79796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797968"/>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797968"/>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797968"/>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797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797968"/>
    <w:pPr>
      <w:numPr>
        <w:ilvl w:val="5"/>
        <w:numId w:val="3"/>
      </w:numPr>
      <w:tabs>
        <w:tab w:val="left" w:pos="4320"/>
      </w:tabs>
      <w:spacing w:after="120"/>
      <w:outlineLvl w:val="5"/>
    </w:pPr>
    <w:rPr>
      <w:b/>
    </w:rPr>
  </w:style>
  <w:style w:type="paragraph" w:styleId="Heading7">
    <w:name w:val="heading 7"/>
    <w:basedOn w:val="Normal"/>
    <w:next w:val="ParaNum"/>
    <w:qFormat/>
    <w:rsid w:val="0079796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97968"/>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79796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797968"/>
    <w:pPr>
      <w:numPr>
        <w:numId w:val="2"/>
      </w:numPr>
      <w:tabs>
        <w:tab w:val="clear" w:pos="1080"/>
        <w:tab w:val="num" w:pos="1440"/>
      </w:tabs>
      <w:spacing w:after="120"/>
    </w:pPr>
  </w:style>
  <w:style w:type="paragraph" w:styleId="EndnoteText">
    <w:name w:val="endnote text"/>
    <w:basedOn w:val="Normal"/>
    <w:semiHidden/>
    <w:rsid w:val="00797968"/>
    <w:rPr>
      <w:sz w:val="20"/>
    </w:rPr>
  </w:style>
  <w:style w:type="character" w:styleId="EndnoteReference">
    <w:name w:val="endnote reference"/>
    <w:semiHidden/>
    <w:rsid w:val="00797968"/>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797968"/>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797968"/>
    <w:rPr>
      <w:rFonts w:ascii="Times New Roman" w:hAnsi="Times New Roman"/>
      <w:dstrike w:val="0"/>
      <w:color w:val="auto"/>
      <w:sz w:val="20"/>
      <w:vertAlign w:val="superscript"/>
    </w:rPr>
  </w:style>
  <w:style w:type="paragraph" w:styleId="TOC1">
    <w:name w:val="toc 1"/>
    <w:basedOn w:val="Normal"/>
    <w:next w:val="Normal"/>
    <w:semiHidden/>
    <w:rsid w:val="0079796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97968"/>
    <w:pPr>
      <w:tabs>
        <w:tab w:val="left" w:pos="720"/>
        <w:tab w:val="right" w:leader="dot" w:pos="9360"/>
      </w:tabs>
      <w:suppressAutoHyphens/>
      <w:ind w:left="720" w:right="720" w:hanging="360"/>
    </w:pPr>
    <w:rPr>
      <w:noProof/>
    </w:rPr>
  </w:style>
  <w:style w:type="paragraph" w:styleId="TOC3">
    <w:name w:val="toc 3"/>
    <w:basedOn w:val="Normal"/>
    <w:next w:val="Normal"/>
    <w:semiHidden/>
    <w:rsid w:val="0079796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9796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9796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9796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9796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9796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9796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97968"/>
    <w:pPr>
      <w:tabs>
        <w:tab w:val="right" w:pos="9360"/>
      </w:tabs>
      <w:suppressAutoHyphens/>
    </w:pPr>
  </w:style>
  <w:style w:type="character" w:customStyle="1" w:styleId="EquationCaption">
    <w:name w:val="_Equation Caption"/>
    <w:rsid w:val="00797968"/>
  </w:style>
  <w:style w:type="paragraph" w:styleId="Header">
    <w:name w:val="header"/>
    <w:basedOn w:val="Normal"/>
    <w:link w:val="HeaderChar"/>
    <w:autoRedefine/>
    <w:rsid w:val="00797968"/>
    <w:pPr>
      <w:tabs>
        <w:tab w:val="center" w:pos="4680"/>
        <w:tab w:val="right" w:pos="9360"/>
      </w:tabs>
    </w:pPr>
    <w:rPr>
      <w:b/>
    </w:rPr>
  </w:style>
  <w:style w:type="paragraph" w:styleId="Footer">
    <w:name w:val="footer"/>
    <w:basedOn w:val="Normal"/>
    <w:link w:val="FooterChar"/>
    <w:rsid w:val="00797968"/>
    <w:pPr>
      <w:tabs>
        <w:tab w:val="center" w:pos="4320"/>
        <w:tab w:val="right" w:pos="8640"/>
      </w:tabs>
    </w:pPr>
  </w:style>
  <w:style w:type="character" w:styleId="PageNumber">
    <w:name w:val="page number"/>
    <w:basedOn w:val="DefaultParagraphFont"/>
    <w:rsid w:val="00797968"/>
  </w:style>
  <w:style w:type="paragraph" w:styleId="BlockText">
    <w:name w:val="Block Text"/>
    <w:basedOn w:val="Normal"/>
    <w:rsid w:val="00797968"/>
    <w:pPr>
      <w:spacing w:after="240"/>
      <w:ind w:left="1440" w:right="1440"/>
    </w:pPr>
  </w:style>
  <w:style w:type="paragraph" w:customStyle="1" w:styleId="Paratitle">
    <w:name w:val="Para title"/>
    <w:basedOn w:val="Normal"/>
    <w:rsid w:val="00797968"/>
    <w:pPr>
      <w:tabs>
        <w:tab w:val="center" w:pos="9270"/>
      </w:tabs>
      <w:spacing w:after="240"/>
    </w:pPr>
    <w:rPr>
      <w:spacing w:val="-2"/>
    </w:rPr>
  </w:style>
  <w:style w:type="paragraph" w:customStyle="1" w:styleId="Bullet">
    <w:name w:val="Bullet"/>
    <w:basedOn w:val="Normal"/>
    <w:rsid w:val="00797968"/>
    <w:pPr>
      <w:tabs>
        <w:tab w:val="left" w:pos="2160"/>
      </w:tabs>
      <w:spacing w:after="220"/>
      <w:ind w:left="2160" w:hanging="720"/>
    </w:pPr>
  </w:style>
  <w:style w:type="paragraph" w:customStyle="1" w:styleId="TableFormat">
    <w:name w:val="TableFormat"/>
    <w:basedOn w:val="Bullet"/>
    <w:rsid w:val="00797968"/>
    <w:pPr>
      <w:tabs>
        <w:tab w:val="clear" w:pos="2160"/>
        <w:tab w:val="left" w:pos="5040"/>
      </w:tabs>
      <w:ind w:left="5040" w:hanging="3600"/>
    </w:pPr>
  </w:style>
  <w:style w:type="paragraph" w:customStyle="1" w:styleId="TOCTitle">
    <w:name w:val="TOC Title"/>
    <w:basedOn w:val="Normal"/>
    <w:rsid w:val="0079796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97968"/>
    <w:pPr>
      <w:jc w:val="center"/>
    </w:pPr>
    <w:rPr>
      <w:rFonts w:ascii="Times New Roman Bold" w:hAnsi="Times New Roman Bold"/>
      <w:b/>
      <w:bCs/>
      <w:caps/>
      <w:szCs w:val="22"/>
    </w:rPr>
  </w:style>
  <w:style w:type="character" w:styleId="Hyperlink">
    <w:name w:val="Hyperlink"/>
    <w:rsid w:val="00797968"/>
    <w:rPr>
      <w:color w:val="0000FF"/>
      <w:u w:val="single"/>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rsid w:val="00D63EBF"/>
    <w:rPr>
      <w:rFonts w:ascii="Times New Roman Bold" w:hAnsi="Times New Roman Bold"/>
      <w:b/>
      <w:caps/>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D63EBF"/>
    <w:rPr>
      <w:b/>
      <w:snapToGrid w:val="0"/>
      <w:kern w:val="28"/>
      <w:sz w:val="22"/>
    </w:rPr>
  </w:style>
  <w:style w:type="character" w:customStyle="1" w:styleId="Heading3Char">
    <w:name w:val="Heading 3 Char"/>
    <w:aliases w:val="Heading 3 Char Char Char Char Char1,Heading 3 Char Char Char Char1,Heading 3 Char Char Char1,Heading 3 Char Char1 Ch Char,Heading 3 Char1 Char Char Char,Heading 3 Char1 Char Char1,Heading 3 Char1 Char1,Heading 3 Char2 Char1 Char Char Char"/>
    <w:link w:val="Heading3"/>
    <w:rsid w:val="00D63EBF"/>
    <w:rPr>
      <w:b/>
      <w:snapToGrid w:val="0"/>
      <w:kern w:val="28"/>
      <w:sz w:val="22"/>
    </w:rPr>
  </w:style>
  <w:style w:type="character" w:customStyle="1" w:styleId="FootnoteTextChar">
    <w:name w:val="Footnote Text Char"/>
    <w:aliases w:val="Footnote Text Char Char Char Char Char,Footnote Text Char Char Char Char Char Char1 Char,Footnote Text Char1 Char,Footnote Text Char1 Char Char Char,Footnote Text Char1 Char Char Char Char1 Char,Footnote Text Char2 Char Char,fn Char"/>
    <w:link w:val="FootnoteText"/>
    <w:rsid w:val="00D63EBF"/>
  </w:style>
  <w:style w:type="character" w:customStyle="1" w:styleId="HeaderChar">
    <w:name w:val="Header Char"/>
    <w:link w:val="Header"/>
    <w:rsid w:val="00D63EBF"/>
    <w:rPr>
      <w:b/>
      <w:snapToGrid w:val="0"/>
      <w:kern w:val="28"/>
      <w:sz w:val="22"/>
    </w:rPr>
  </w:style>
  <w:style w:type="character" w:customStyle="1" w:styleId="FooterChar">
    <w:name w:val="Footer Char"/>
    <w:link w:val="Footer"/>
    <w:rsid w:val="00D63EBF"/>
    <w:rPr>
      <w:snapToGrid w:val="0"/>
      <w:kern w:val="28"/>
      <w:sz w:val="22"/>
    </w:rPr>
  </w:style>
  <w:style w:type="character" w:customStyle="1" w:styleId="ParaNumChar1">
    <w:name w:val="ParaNum Char1"/>
    <w:link w:val="ParaNum"/>
    <w:locked/>
    <w:rsid w:val="00D63EBF"/>
    <w:rPr>
      <w:snapToGrid w:val="0"/>
      <w:kern w:val="28"/>
      <w:sz w:val="22"/>
    </w:rPr>
  </w:style>
  <w:style w:type="character" w:customStyle="1" w:styleId="Footnote">
    <w:name w:val="Footnote"/>
    <w:rsid w:val="00D63EBF"/>
  </w:style>
  <w:style w:type="character" w:customStyle="1" w:styleId="Heading2CharChar2">
    <w:name w:val="Heading 2 Char Char2"/>
    <w:rsid w:val="00D63EBF"/>
    <w:rPr>
      <w:b/>
      <w:snapToGrid w:val="0"/>
      <w:kern w:val="28"/>
      <w:sz w:val="24"/>
      <w:lang w:val="en-US" w:eastAsia="en-US"/>
    </w:rPr>
  </w:style>
  <w:style w:type="character" w:styleId="CommentReference">
    <w:name w:val="annotation reference"/>
    <w:rsid w:val="00D63EBF"/>
    <w:rPr>
      <w:sz w:val="16"/>
      <w:szCs w:val="16"/>
    </w:rPr>
  </w:style>
  <w:style w:type="paragraph" w:styleId="CommentText">
    <w:name w:val="annotation text"/>
    <w:basedOn w:val="Normal"/>
    <w:link w:val="CommentTextChar"/>
    <w:rsid w:val="00D63EBF"/>
    <w:rPr>
      <w:sz w:val="20"/>
    </w:rPr>
  </w:style>
  <w:style w:type="character" w:customStyle="1" w:styleId="CommentTextChar">
    <w:name w:val="Comment Text Char"/>
    <w:link w:val="CommentText"/>
    <w:rsid w:val="00D63EBF"/>
    <w:rPr>
      <w:snapToGrid w:val="0"/>
      <w:kern w:val="28"/>
    </w:rPr>
  </w:style>
  <w:style w:type="paragraph" w:styleId="CommentSubject">
    <w:name w:val="annotation subject"/>
    <w:basedOn w:val="CommentText"/>
    <w:next w:val="CommentText"/>
    <w:link w:val="CommentSubjectChar"/>
    <w:rsid w:val="00D63EBF"/>
    <w:rPr>
      <w:b/>
      <w:bCs/>
    </w:rPr>
  </w:style>
  <w:style w:type="character" w:customStyle="1" w:styleId="CommentSubjectChar">
    <w:name w:val="Comment Subject Char"/>
    <w:link w:val="CommentSubject"/>
    <w:rsid w:val="00D63EBF"/>
    <w:rPr>
      <w:b/>
      <w:bCs/>
      <w:snapToGrid w:val="0"/>
      <w:kern w:val="28"/>
    </w:rPr>
  </w:style>
  <w:style w:type="paragraph" w:styleId="BalloonText">
    <w:name w:val="Balloon Text"/>
    <w:basedOn w:val="Normal"/>
    <w:link w:val="BalloonTextChar"/>
    <w:rsid w:val="00D63EBF"/>
    <w:rPr>
      <w:rFonts w:ascii="Segoe UI" w:hAnsi="Segoe UI" w:cs="Segoe UI"/>
      <w:sz w:val="18"/>
      <w:szCs w:val="18"/>
    </w:rPr>
  </w:style>
  <w:style w:type="character" w:customStyle="1" w:styleId="BalloonTextChar">
    <w:name w:val="Balloon Text Char"/>
    <w:link w:val="BalloonText"/>
    <w:rsid w:val="00D63EBF"/>
    <w:rPr>
      <w:rFonts w:ascii="Segoe UI" w:hAnsi="Segoe UI" w:cs="Segoe UI"/>
      <w:snapToGrid w:val="0"/>
      <w:kern w:val="28"/>
      <w:sz w:val="18"/>
      <w:szCs w:val="18"/>
    </w:rPr>
  </w:style>
  <w:style w:type="character" w:styleId="FollowedHyperlink">
    <w:name w:val="FollowedHyperlink"/>
    <w:rsid w:val="00D63EB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header" Target="header6.xml" /><Relationship Id="rId18" Type="http://schemas.openxmlformats.org/officeDocument/2006/relationships/footer" Target="footer7.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header" Target="header8.xml" /><Relationship Id="rId22" Type="http://schemas.openxmlformats.org/officeDocument/2006/relationships/footer" Target="footer9.xml" /><Relationship Id="rId23" Type="http://schemas.openxmlformats.org/officeDocument/2006/relationships/header" Target="header9.xml" /><Relationship Id="rId24" Type="http://schemas.openxmlformats.org/officeDocument/2006/relationships/footer" Target="footer10.xml" /><Relationship Id="rId25" Type="http://schemas.openxmlformats.org/officeDocument/2006/relationships/header" Target="header10.xml" /><Relationship Id="rId26" Type="http://schemas.openxmlformats.org/officeDocument/2006/relationships/footer" Target="footer11.xml" /><Relationship Id="rId27" Type="http://schemas.openxmlformats.org/officeDocument/2006/relationships/header" Target="header11.xml" /><Relationship Id="rId28" Type="http://schemas.openxmlformats.org/officeDocument/2006/relationships/footer" Target="footer12.xml" /><Relationship Id="rId29" Type="http://schemas.openxmlformats.org/officeDocument/2006/relationships/header" Target="header12.xml" /><Relationship Id="rId3" Type="http://schemas.openxmlformats.org/officeDocument/2006/relationships/webSettings" Target="webSettings.xml" /><Relationship Id="rId30" Type="http://schemas.openxmlformats.org/officeDocument/2006/relationships/footer" Target="footer13.xml" /><Relationship Id="rId31" Type="http://schemas.openxmlformats.org/officeDocument/2006/relationships/header" Target="header13.xml" /><Relationship Id="rId32" Type="http://schemas.openxmlformats.org/officeDocument/2006/relationships/footer" Target="footer14.xml" /><Relationship Id="rId33" Type="http://schemas.openxmlformats.org/officeDocument/2006/relationships/header" Target="header14.xml" /><Relationship Id="rId34" Type="http://schemas.openxmlformats.org/officeDocument/2006/relationships/footer" Target="footer15.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1842-9618-4D82-B3D1-5D906DDD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14634</Words>
  <Characters>83417</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2018-03-23T13:07:02Z</dcterms:created>
  <dcterms:modified xsi:type="dcterms:W3CDTF">2018-03-23T13:07:02Z</dcterms:modified>
</cp:coreProperties>
</file>