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6651D" w:rsidRPr="001966D8" w:rsidP="002C6C0B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20202"/>
          <w:sz w:val="22"/>
          <w:szCs w:val="22"/>
        </w:rPr>
      </w:pPr>
      <w:bookmarkStart w:id="0" w:name="_GoBack"/>
      <w:bookmarkEnd w:id="0"/>
      <w:r w:rsidRPr="001966D8">
        <w:rPr>
          <w:rFonts w:cs="TimesNewRoman,Bold"/>
          <w:b/>
          <w:bCs/>
          <w:color w:val="020202"/>
          <w:sz w:val="22"/>
          <w:szCs w:val="22"/>
        </w:rPr>
        <w:t>STATEMENT OF</w:t>
      </w:r>
    </w:p>
    <w:p w:rsidR="00395C03" w:rsidRPr="001966D8" w:rsidP="002C6C0B">
      <w:pPr>
        <w:jc w:val="center"/>
        <w:rPr>
          <w:rFonts w:cs="TimesNewRoman,Bold"/>
          <w:b/>
          <w:bCs/>
          <w:color w:val="020202"/>
          <w:sz w:val="22"/>
          <w:szCs w:val="22"/>
        </w:rPr>
      </w:pPr>
      <w:r w:rsidRPr="001966D8">
        <w:rPr>
          <w:rFonts w:cs="TimesNewRoman,Bold"/>
          <w:b/>
          <w:bCs/>
          <w:color w:val="020202"/>
          <w:sz w:val="22"/>
          <w:szCs w:val="22"/>
        </w:rPr>
        <w:t>C</w:t>
      </w:r>
      <w:r w:rsidRPr="001966D8" w:rsidR="00B6651D">
        <w:rPr>
          <w:rFonts w:cs="TimesNewRoman,Bold"/>
          <w:b/>
          <w:bCs/>
          <w:color w:val="020202"/>
          <w:sz w:val="22"/>
          <w:szCs w:val="22"/>
        </w:rPr>
        <w:t>OMMISSIONER MIGNON L. CLYBURN</w:t>
      </w:r>
    </w:p>
    <w:p w:rsidR="00B6651D" w:rsidRPr="001966D8" w:rsidP="002C6C0B">
      <w:pPr>
        <w:jc w:val="center"/>
        <w:rPr>
          <w:rFonts w:cs="TimesNewRoman,Bold"/>
          <w:b/>
          <w:bCs/>
          <w:color w:val="020202"/>
          <w:sz w:val="22"/>
          <w:szCs w:val="22"/>
        </w:rPr>
      </w:pPr>
    </w:p>
    <w:p w:rsidR="00B6651D" w:rsidRPr="001966D8" w:rsidP="000B6046">
      <w:pPr>
        <w:autoSpaceDE w:val="0"/>
        <w:autoSpaceDN w:val="0"/>
        <w:adjustRightInd w:val="0"/>
        <w:rPr>
          <w:rFonts w:cs="TimesNewRoman"/>
          <w:i/>
          <w:color w:val="020202"/>
          <w:sz w:val="22"/>
          <w:szCs w:val="22"/>
        </w:rPr>
      </w:pPr>
      <w:r w:rsidRPr="001966D8">
        <w:rPr>
          <w:rFonts w:cs="TimesNewRoman"/>
          <w:i/>
          <w:color w:val="020202"/>
          <w:sz w:val="22"/>
          <w:szCs w:val="22"/>
        </w:rPr>
        <w:t>Re:</w:t>
      </w:r>
      <w:r w:rsidR="00FF1F13">
        <w:rPr>
          <w:rFonts w:cs="TimesNewRoman"/>
          <w:i/>
          <w:color w:val="020202"/>
          <w:sz w:val="22"/>
          <w:szCs w:val="22"/>
        </w:rPr>
        <w:t xml:space="preserve"> </w:t>
      </w:r>
      <w:r w:rsidRPr="001966D8">
        <w:rPr>
          <w:rFonts w:cs="TimesNewRoman"/>
          <w:i/>
          <w:color w:val="020202"/>
          <w:sz w:val="22"/>
          <w:szCs w:val="22"/>
        </w:rPr>
        <w:t xml:space="preserve"> </w:t>
      </w:r>
      <w:r w:rsidRPr="001966D8" w:rsidR="004974C9">
        <w:rPr>
          <w:rFonts w:cs="TimesNewRoman"/>
          <w:i/>
          <w:color w:val="020202"/>
          <w:sz w:val="22"/>
          <w:szCs w:val="22"/>
        </w:rPr>
        <w:t>Amendment of Part 90 of the Commission’s Rules</w:t>
      </w:r>
      <w:r w:rsidRPr="00784F98" w:rsidR="004974C9">
        <w:rPr>
          <w:rFonts w:cs="TimesNewRoman"/>
          <w:color w:val="020202"/>
          <w:sz w:val="22"/>
          <w:szCs w:val="22"/>
        </w:rPr>
        <w:t xml:space="preserve">, </w:t>
      </w:r>
      <w:r w:rsidRPr="00784F98" w:rsidR="00784F98">
        <w:rPr>
          <w:rFonts w:cs="TimesNewRoman"/>
          <w:color w:val="020202"/>
          <w:sz w:val="22"/>
          <w:szCs w:val="22"/>
        </w:rPr>
        <w:t>WP</w:t>
      </w:r>
      <w:r w:rsidRPr="00784F98" w:rsidR="004974C9">
        <w:rPr>
          <w:rFonts w:cs="TimesNewRoman"/>
          <w:color w:val="020202"/>
          <w:sz w:val="22"/>
          <w:szCs w:val="22"/>
        </w:rPr>
        <w:t xml:space="preserve"> Docket No. 07-100</w:t>
      </w:r>
    </w:p>
    <w:p w:rsidR="00B45CE2" w:rsidRPr="001966D8" w:rsidP="00B45CE2">
      <w:pPr>
        <w:autoSpaceDE w:val="0"/>
        <w:autoSpaceDN w:val="0"/>
        <w:adjustRightInd w:val="0"/>
        <w:rPr>
          <w:rFonts w:cs="TimesNewRoman"/>
          <w:i/>
          <w:color w:val="020202"/>
          <w:sz w:val="22"/>
          <w:szCs w:val="22"/>
        </w:rPr>
      </w:pPr>
    </w:p>
    <w:p w:rsidR="00472267" w:rsidRPr="00FF1F13" w:rsidP="00685B03">
      <w:pPr>
        <w:ind w:firstLine="720"/>
        <w:rPr>
          <w:sz w:val="22"/>
        </w:rPr>
      </w:pPr>
      <w:r w:rsidRPr="00FF1F13">
        <w:rPr>
          <w:sz w:val="22"/>
        </w:rPr>
        <w:t xml:space="preserve">As </w:t>
      </w:r>
      <w:r w:rsidRPr="00FF1F13" w:rsidR="00D62B86">
        <w:rPr>
          <w:sz w:val="22"/>
        </w:rPr>
        <w:t xml:space="preserve">the </w:t>
      </w:r>
      <w:r w:rsidRPr="00FF1F13">
        <w:rPr>
          <w:sz w:val="22"/>
        </w:rPr>
        <w:t xml:space="preserve">demand </w:t>
      </w:r>
      <w:r w:rsidRPr="00FF1F13" w:rsidR="00E65CC6">
        <w:rPr>
          <w:sz w:val="22"/>
        </w:rPr>
        <w:t>for wireless services</w:t>
      </w:r>
      <w:r w:rsidRPr="00FF1F13">
        <w:rPr>
          <w:sz w:val="22"/>
        </w:rPr>
        <w:t xml:space="preserve"> continues to grow, it is imperative that </w:t>
      </w:r>
      <w:r w:rsidRPr="00FF1F13" w:rsidR="00C86D35">
        <w:rPr>
          <w:sz w:val="22"/>
        </w:rPr>
        <w:t>the FCC</w:t>
      </w:r>
      <w:r w:rsidRPr="00FF1F13" w:rsidR="00D62B86">
        <w:rPr>
          <w:sz w:val="22"/>
        </w:rPr>
        <w:t xml:space="preserve"> </w:t>
      </w:r>
      <w:r w:rsidRPr="00FF1F13">
        <w:rPr>
          <w:sz w:val="22"/>
        </w:rPr>
        <w:t>take</w:t>
      </w:r>
      <w:r w:rsidRPr="00FF1F13" w:rsidR="00C86D35">
        <w:rPr>
          <w:sz w:val="22"/>
        </w:rPr>
        <w:t>s</w:t>
      </w:r>
      <w:r w:rsidRPr="00FF1F13">
        <w:rPr>
          <w:sz w:val="22"/>
        </w:rPr>
        <w:t xml:space="preserve"> steps to ensure </w:t>
      </w:r>
      <w:r w:rsidRPr="00FF1F13" w:rsidR="00B45CE2">
        <w:rPr>
          <w:sz w:val="22"/>
        </w:rPr>
        <w:t>underutilized</w:t>
      </w:r>
      <w:r w:rsidRPr="00FF1F13">
        <w:rPr>
          <w:sz w:val="22"/>
        </w:rPr>
        <w:t xml:space="preserve"> spectrum bands are used efficiently</w:t>
      </w:r>
      <w:r w:rsidRPr="00FF1F13" w:rsidR="00B45CE2">
        <w:rPr>
          <w:sz w:val="22"/>
        </w:rPr>
        <w:t xml:space="preserve">.  </w:t>
      </w:r>
      <w:r w:rsidRPr="00FF1F13" w:rsidR="00FF47E1">
        <w:rPr>
          <w:sz w:val="22"/>
        </w:rPr>
        <w:t>T</w:t>
      </w:r>
      <w:r w:rsidRPr="00FF1F13" w:rsidR="00937524">
        <w:rPr>
          <w:sz w:val="22"/>
        </w:rPr>
        <w:t>his i</w:t>
      </w:r>
      <w:r w:rsidRPr="00FF1F13" w:rsidR="00B45CE2">
        <w:rPr>
          <w:sz w:val="22"/>
        </w:rPr>
        <w:t>s as true for spectrum allocated to public safety</w:t>
      </w:r>
      <w:r w:rsidRPr="00FF1F13" w:rsidR="001966D8">
        <w:rPr>
          <w:sz w:val="22"/>
        </w:rPr>
        <w:t xml:space="preserve"> </w:t>
      </w:r>
      <w:r w:rsidRPr="00FF1F13" w:rsidR="00B45CE2">
        <w:rPr>
          <w:sz w:val="22"/>
        </w:rPr>
        <w:t xml:space="preserve">as it is for </w:t>
      </w:r>
      <w:r w:rsidRPr="00FF1F13">
        <w:rPr>
          <w:sz w:val="22"/>
        </w:rPr>
        <w:t xml:space="preserve">the bands used to support </w:t>
      </w:r>
      <w:r w:rsidRPr="00FF1F13" w:rsidR="00B45CE2">
        <w:rPr>
          <w:sz w:val="22"/>
        </w:rPr>
        <w:t>commercial</w:t>
      </w:r>
      <w:r w:rsidRPr="00FF1F13">
        <w:rPr>
          <w:sz w:val="22"/>
        </w:rPr>
        <w:t xml:space="preserve"> wireless broadband</w:t>
      </w:r>
      <w:r w:rsidRPr="00FF1F13" w:rsidR="00B45CE2">
        <w:rPr>
          <w:sz w:val="22"/>
        </w:rPr>
        <w:t xml:space="preserve"> services.  </w:t>
      </w:r>
    </w:p>
    <w:p w:rsidR="00472267" w:rsidRPr="00FF1F13" w:rsidP="00685B03">
      <w:pPr>
        <w:ind w:firstLine="720"/>
        <w:rPr>
          <w:sz w:val="22"/>
        </w:rPr>
      </w:pPr>
    </w:p>
    <w:p w:rsidR="00B45CE2" w:rsidRPr="00FF1F13" w:rsidP="00685B03">
      <w:pPr>
        <w:ind w:firstLine="720"/>
        <w:rPr>
          <w:sz w:val="22"/>
        </w:rPr>
      </w:pPr>
      <w:r w:rsidRPr="00FF1F13">
        <w:rPr>
          <w:sz w:val="22"/>
        </w:rPr>
        <w:t>When the Commission allocated 50 megahertz of spectrum in the 4.9 GHz band</w:t>
      </w:r>
      <w:r w:rsidRPr="00FF1F13" w:rsidR="00D62B86">
        <w:rPr>
          <w:sz w:val="22"/>
        </w:rPr>
        <w:t>,</w:t>
      </w:r>
      <w:r w:rsidRPr="00FF1F13">
        <w:rPr>
          <w:sz w:val="22"/>
        </w:rPr>
        <w:t xml:space="preserve"> for fixed and mobile services</w:t>
      </w:r>
      <w:r w:rsidRPr="00FF1F13" w:rsidR="00FC04D7">
        <w:rPr>
          <w:sz w:val="22"/>
        </w:rPr>
        <w:t xml:space="preserve"> back in 200</w:t>
      </w:r>
      <w:r w:rsidRPr="00FF1F13" w:rsidR="00D62B86">
        <w:rPr>
          <w:sz w:val="22"/>
        </w:rPr>
        <w:t>2</w:t>
      </w:r>
      <w:r w:rsidRPr="00FF1F13">
        <w:rPr>
          <w:sz w:val="22"/>
        </w:rPr>
        <w:t xml:space="preserve">, </w:t>
      </w:r>
      <w:r w:rsidRPr="00FF1F13" w:rsidR="0071445C">
        <w:rPr>
          <w:sz w:val="22"/>
        </w:rPr>
        <w:t xml:space="preserve">it </w:t>
      </w:r>
      <w:r w:rsidRPr="00FF1F13" w:rsidR="007608D0">
        <w:rPr>
          <w:sz w:val="22"/>
        </w:rPr>
        <w:t xml:space="preserve">expected </w:t>
      </w:r>
      <w:r w:rsidRPr="00FF1F13" w:rsidR="00D62B86">
        <w:rPr>
          <w:sz w:val="22"/>
        </w:rPr>
        <w:t xml:space="preserve">the </w:t>
      </w:r>
      <w:r w:rsidRPr="00FF1F13" w:rsidR="007608D0">
        <w:rPr>
          <w:sz w:val="22"/>
        </w:rPr>
        <w:t xml:space="preserve">development of </w:t>
      </w:r>
      <w:r w:rsidRPr="00FF1F13">
        <w:rPr>
          <w:sz w:val="22"/>
        </w:rPr>
        <w:t>new broadband applications</w:t>
      </w:r>
      <w:r w:rsidRPr="00FF1F13" w:rsidR="001966D8">
        <w:rPr>
          <w:sz w:val="22"/>
        </w:rPr>
        <w:t xml:space="preserve"> </w:t>
      </w:r>
      <w:r w:rsidRPr="00FF1F13">
        <w:rPr>
          <w:sz w:val="22"/>
        </w:rPr>
        <w:t>such as high-speed digital technologies for scene management and dispatch operations</w:t>
      </w:r>
      <w:r w:rsidRPr="00FF1F13" w:rsidR="00D62B86">
        <w:rPr>
          <w:sz w:val="22"/>
        </w:rPr>
        <w:t xml:space="preserve"> to be widespread</w:t>
      </w:r>
      <w:r w:rsidRPr="00FF1F13">
        <w:rPr>
          <w:sz w:val="22"/>
        </w:rPr>
        <w:t xml:space="preserve">.  Unfortunately, </w:t>
      </w:r>
      <w:r w:rsidRPr="00FF1F13" w:rsidR="007608D0">
        <w:rPr>
          <w:sz w:val="22"/>
        </w:rPr>
        <w:t>l</w:t>
      </w:r>
      <w:r w:rsidRPr="00FF1F13">
        <w:rPr>
          <w:sz w:val="22"/>
        </w:rPr>
        <w:t xml:space="preserve">ocal public safety entities have </w:t>
      </w:r>
      <w:r w:rsidRPr="00FF1F13" w:rsidR="00D62B86">
        <w:rPr>
          <w:sz w:val="22"/>
        </w:rPr>
        <w:t>yet to take full</w:t>
      </w:r>
      <w:r w:rsidRPr="00FF1F13">
        <w:rPr>
          <w:sz w:val="22"/>
        </w:rPr>
        <w:t xml:space="preserve"> advantage of this band</w:t>
      </w:r>
      <w:r w:rsidRPr="00FF1F13" w:rsidR="00D62B86">
        <w:rPr>
          <w:sz w:val="22"/>
        </w:rPr>
        <w:t xml:space="preserve">. </w:t>
      </w:r>
      <w:r w:rsidRPr="00FF1F13" w:rsidR="00775E16">
        <w:rPr>
          <w:sz w:val="22"/>
        </w:rPr>
        <w:t xml:space="preserve"> </w:t>
      </w:r>
      <w:r w:rsidRPr="00FF1F13" w:rsidR="00D62B86">
        <w:rPr>
          <w:sz w:val="22"/>
        </w:rPr>
        <w:t>Of the</w:t>
      </w:r>
      <w:r w:rsidRPr="00FF1F13" w:rsidR="00937524">
        <w:rPr>
          <w:sz w:val="22"/>
        </w:rPr>
        <w:t xml:space="preserve"> </w:t>
      </w:r>
      <w:r w:rsidRPr="00FF1F13" w:rsidR="00C86D35">
        <w:rPr>
          <w:sz w:val="22"/>
        </w:rPr>
        <w:t>more than</w:t>
      </w:r>
      <w:r w:rsidRPr="00FF1F13">
        <w:rPr>
          <w:sz w:val="22"/>
        </w:rPr>
        <w:t xml:space="preserve"> </w:t>
      </w:r>
      <w:r w:rsidRPr="00FF1F13" w:rsidR="00DD38C2">
        <w:rPr>
          <w:sz w:val="22"/>
        </w:rPr>
        <w:t>90</w:t>
      </w:r>
      <w:r w:rsidRPr="00FF1F13">
        <w:rPr>
          <w:sz w:val="22"/>
        </w:rPr>
        <w:t xml:space="preserve">,000 public safety jurisdictions, fewer than </w:t>
      </w:r>
      <w:r w:rsidRPr="00FF1F13" w:rsidR="00D62B86">
        <w:rPr>
          <w:sz w:val="22"/>
        </w:rPr>
        <w:t xml:space="preserve">three </w:t>
      </w:r>
      <w:r w:rsidRPr="00FF1F13">
        <w:rPr>
          <w:sz w:val="22"/>
        </w:rPr>
        <w:t xml:space="preserve">percent hold licenses in the 4.9 GHz band. </w:t>
      </w:r>
    </w:p>
    <w:p w:rsidR="00B45CE2" w:rsidRPr="00FF1F13" w:rsidP="00685B03">
      <w:pPr>
        <w:ind w:firstLine="720"/>
        <w:rPr>
          <w:sz w:val="22"/>
        </w:rPr>
      </w:pPr>
    </w:p>
    <w:p w:rsidR="00B45CE2" w:rsidRPr="00FF1F13" w:rsidP="00685B03">
      <w:pPr>
        <w:ind w:firstLine="720"/>
        <w:rPr>
          <w:sz w:val="22"/>
        </w:rPr>
      </w:pPr>
      <w:r w:rsidRPr="00FF1F13">
        <w:rPr>
          <w:sz w:val="22"/>
        </w:rPr>
        <w:t xml:space="preserve">Fortunately, around 2015, the public safety community and equipment manufacturers began offering fresh ideas on how to make more efficient use of this band.  </w:t>
      </w:r>
      <w:r w:rsidRPr="00FF1F13" w:rsidR="000D21EC">
        <w:rPr>
          <w:sz w:val="22"/>
        </w:rPr>
        <w:t>APCO, NPSTC</w:t>
      </w:r>
      <w:r w:rsidRPr="00FF1F13" w:rsidR="003E25FB">
        <w:rPr>
          <w:sz w:val="22"/>
        </w:rPr>
        <w:t>,</w:t>
      </w:r>
      <w:r w:rsidRPr="00FF1F13" w:rsidR="000D21EC">
        <w:rPr>
          <w:sz w:val="22"/>
        </w:rPr>
        <w:t xml:space="preserve"> and others</w:t>
      </w:r>
      <w:r w:rsidRPr="00FF1F13" w:rsidR="00C86D35">
        <w:rPr>
          <w:sz w:val="22"/>
        </w:rPr>
        <w:t>,</w:t>
      </w:r>
      <w:r w:rsidRPr="00FF1F13">
        <w:rPr>
          <w:sz w:val="22"/>
        </w:rPr>
        <w:t xml:space="preserve"> recommended that public safety equipment </w:t>
      </w:r>
      <w:r w:rsidRPr="00FF1F13" w:rsidR="00D30479">
        <w:rPr>
          <w:sz w:val="22"/>
        </w:rPr>
        <w:t xml:space="preserve">include the 4.9 GHz band in chipsets that also include Wi-Fi and 4G LTE technologies.  </w:t>
      </w:r>
      <w:r w:rsidRPr="00FF1F13" w:rsidR="00E65CC6">
        <w:rPr>
          <w:sz w:val="22"/>
        </w:rPr>
        <w:t>This could allow t</w:t>
      </w:r>
      <w:r w:rsidRPr="00FF1F13" w:rsidR="008A0D92">
        <w:rPr>
          <w:sz w:val="22"/>
        </w:rPr>
        <w:t>he public safety community to benefit</w:t>
      </w:r>
      <w:r w:rsidRPr="00FF1F13" w:rsidR="00C86D35">
        <w:rPr>
          <w:sz w:val="22"/>
        </w:rPr>
        <w:t>,</w:t>
      </w:r>
      <w:r w:rsidRPr="00FF1F13" w:rsidR="008A0D92">
        <w:rPr>
          <w:sz w:val="22"/>
        </w:rPr>
        <w:t xml:space="preserve"> from </w:t>
      </w:r>
      <w:r w:rsidRPr="00FF1F13" w:rsidR="005D3194">
        <w:rPr>
          <w:sz w:val="22"/>
        </w:rPr>
        <w:t xml:space="preserve">some of the same innovative </w:t>
      </w:r>
      <w:r w:rsidRPr="00FF1F13" w:rsidR="008A0D92">
        <w:rPr>
          <w:sz w:val="22"/>
        </w:rPr>
        <w:t>technologies</w:t>
      </w:r>
      <w:r w:rsidRPr="00FF1F13" w:rsidR="005D3194">
        <w:rPr>
          <w:sz w:val="22"/>
        </w:rPr>
        <w:t xml:space="preserve"> and services</w:t>
      </w:r>
      <w:r w:rsidRPr="00FF1F13" w:rsidR="008A0D92">
        <w:rPr>
          <w:sz w:val="22"/>
        </w:rPr>
        <w:t xml:space="preserve"> </w:t>
      </w:r>
      <w:r w:rsidRPr="00FF1F13" w:rsidR="005D3194">
        <w:rPr>
          <w:sz w:val="22"/>
        </w:rPr>
        <w:t xml:space="preserve">used by </w:t>
      </w:r>
      <w:r w:rsidRPr="00FF1F13" w:rsidR="008A0D92">
        <w:rPr>
          <w:sz w:val="22"/>
        </w:rPr>
        <w:t xml:space="preserve">the </w:t>
      </w:r>
      <w:r w:rsidRPr="00FF1F13" w:rsidR="007D25F5">
        <w:rPr>
          <w:sz w:val="22"/>
        </w:rPr>
        <w:t>broader</w:t>
      </w:r>
      <w:r w:rsidRPr="00FF1F13" w:rsidR="008A0D92">
        <w:rPr>
          <w:sz w:val="22"/>
        </w:rPr>
        <w:t xml:space="preserve"> </w:t>
      </w:r>
      <w:r w:rsidRPr="00FF1F13" w:rsidR="007D25F5">
        <w:rPr>
          <w:sz w:val="22"/>
        </w:rPr>
        <w:t xml:space="preserve">consumer marketplace. </w:t>
      </w:r>
      <w:r w:rsidRPr="00FF1F13" w:rsidR="008A0D92">
        <w:rPr>
          <w:sz w:val="22"/>
        </w:rPr>
        <w:t xml:space="preserve"> </w:t>
      </w:r>
      <w:r w:rsidRPr="00FF1F13" w:rsidR="000D21EC">
        <w:rPr>
          <w:sz w:val="22"/>
        </w:rPr>
        <w:t xml:space="preserve">They </w:t>
      </w:r>
      <w:r w:rsidRPr="00FF1F13" w:rsidR="00D30479">
        <w:rPr>
          <w:sz w:val="22"/>
        </w:rPr>
        <w:t xml:space="preserve">also advised the Commission </w:t>
      </w:r>
      <w:r w:rsidRPr="00FF1F13" w:rsidR="00C86D35">
        <w:rPr>
          <w:sz w:val="22"/>
        </w:rPr>
        <w:t xml:space="preserve">to </w:t>
      </w:r>
      <w:r w:rsidRPr="00FF1F13" w:rsidR="000D21EC">
        <w:rPr>
          <w:sz w:val="22"/>
        </w:rPr>
        <w:t>permit larger, 40 megahertz</w:t>
      </w:r>
      <w:r w:rsidRPr="00FF1F13" w:rsidR="003E25FB">
        <w:rPr>
          <w:sz w:val="22"/>
        </w:rPr>
        <w:t>,</w:t>
      </w:r>
      <w:r w:rsidRPr="00FF1F13" w:rsidR="000D21EC">
        <w:rPr>
          <w:sz w:val="22"/>
        </w:rPr>
        <w:t xml:space="preserve"> </w:t>
      </w:r>
      <w:r w:rsidRPr="00FF1F13" w:rsidR="00D30479">
        <w:rPr>
          <w:sz w:val="22"/>
        </w:rPr>
        <w:t>band channels</w:t>
      </w:r>
      <w:r w:rsidRPr="00FF1F13" w:rsidR="000D21EC">
        <w:rPr>
          <w:sz w:val="22"/>
        </w:rPr>
        <w:t xml:space="preserve">, </w:t>
      </w:r>
      <w:r w:rsidRPr="00FF1F13" w:rsidR="0031524C">
        <w:rPr>
          <w:sz w:val="22"/>
        </w:rPr>
        <w:t xml:space="preserve">expand license eligibility to other members of critical infrastructure industry, </w:t>
      </w:r>
      <w:r w:rsidRPr="00FF1F13" w:rsidR="007D25F5">
        <w:rPr>
          <w:sz w:val="22"/>
        </w:rPr>
        <w:t xml:space="preserve">and </w:t>
      </w:r>
      <w:r w:rsidRPr="00FF1F13" w:rsidR="000D21EC">
        <w:rPr>
          <w:sz w:val="22"/>
        </w:rPr>
        <w:t>encourage better frequency coordination</w:t>
      </w:r>
      <w:r w:rsidRPr="00FF1F13" w:rsidR="00D30479">
        <w:rPr>
          <w:sz w:val="22"/>
        </w:rPr>
        <w:t xml:space="preserve">.  </w:t>
      </w:r>
      <w:r w:rsidRPr="00FF1F13" w:rsidR="00E65CC6">
        <w:rPr>
          <w:sz w:val="22"/>
        </w:rPr>
        <w:t xml:space="preserve">Law enforcement interest in </w:t>
      </w:r>
      <w:r w:rsidRPr="00FF1F13" w:rsidR="007D25F5">
        <w:rPr>
          <w:sz w:val="22"/>
        </w:rPr>
        <w:t>drone</w:t>
      </w:r>
      <w:r w:rsidRPr="00FF1F13" w:rsidR="00E65CC6">
        <w:rPr>
          <w:sz w:val="22"/>
        </w:rPr>
        <w:t>s</w:t>
      </w:r>
      <w:r w:rsidRPr="00FF1F13" w:rsidR="007D25F5">
        <w:rPr>
          <w:sz w:val="22"/>
        </w:rPr>
        <w:t xml:space="preserve"> and robotic technologies could fuel further innovation</w:t>
      </w:r>
      <w:r w:rsidRPr="00FF1F13" w:rsidR="00C86D35">
        <w:rPr>
          <w:sz w:val="22"/>
        </w:rPr>
        <w:t xml:space="preserve"> and the proposals in today’s</w:t>
      </w:r>
      <w:r w:rsidRPr="00FF1F13" w:rsidR="007608D0">
        <w:rPr>
          <w:sz w:val="22"/>
        </w:rPr>
        <w:t xml:space="preserve"> Further Notice b</w:t>
      </w:r>
      <w:r w:rsidRPr="00FF1F13" w:rsidR="0071445C">
        <w:rPr>
          <w:sz w:val="22"/>
        </w:rPr>
        <w:t>uild</w:t>
      </w:r>
      <w:r w:rsidRPr="00FF1F13" w:rsidR="00C86D35">
        <w:rPr>
          <w:sz w:val="22"/>
        </w:rPr>
        <w:t>s</w:t>
      </w:r>
      <w:r w:rsidRPr="00FF1F13" w:rsidR="0071445C">
        <w:rPr>
          <w:sz w:val="22"/>
        </w:rPr>
        <w:t xml:space="preserve"> upon these</w:t>
      </w:r>
      <w:r w:rsidRPr="00FF1F13" w:rsidR="007608D0">
        <w:rPr>
          <w:sz w:val="22"/>
        </w:rPr>
        <w:t xml:space="preserve"> </w:t>
      </w:r>
      <w:r w:rsidRPr="00FF1F13" w:rsidR="0071445C">
        <w:rPr>
          <w:sz w:val="22"/>
        </w:rPr>
        <w:t>recommendations</w:t>
      </w:r>
      <w:r w:rsidRPr="00FF1F13" w:rsidR="00C86D35">
        <w:rPr>
          <w:sz w:val="22"/>
        </w:rPr>
        <w:t xml:space="preserve"> and more</w:t>
      </w:r>
      <w:r w:rsidRPr="00FF1F13" w:rsidR="0071445C">
        <w:rPr>
          <w:sz w:val="22"/>
        </w:rPr>
        <w:t xml:space="preserve">.  </w:t>
      </w:r>
    </w:p>
    <w:p w:rsidR="00B45CE2" w:rsidRPr="00FF1F13" w:rsidP="00685B03">
      <w:pPr>
        <w:ind w:firstLine="720"/>
        <w:rPr>
          <w:sz w:val="22"/>
        </w:rPr>
      </w:pPr>
    </w:p>
    <w:p w:rsidR="00B45CE2" w:rsidRPr="00FF1F13" w:rsidP="00685B03">
      <w:pPr>
        <w:ind w:firstLine="720"/>
        <w:rPr>
          <w:sz w:val="22"/>
        </w:rPr>
      </w:pPr>
      <w:r w:rsidRPr="00FF1F13">
        <w:rPr>
          <w:sz w:val="22"/>
        </w:rPr>
        <w:t>So</w:t>
      </w:r>
      <w:r w:rsidRPr="00FF1F13" w:rsidR="001B5151">
        <w:rPr>
          <w:sz w:val="22"/>
        </w:rPr>
        <w:t>,</w:t>
      </w:r>
      <w:r w:rsidRPr="00FF1F13">
        <w:rPr>
          <w:sz w:val="22"/>
        </w:rPr>
        <w:t xml:space="preserve"> </w:t>
      </w:r>
      <w:r w:rsidRPr="00FF1F13">
        <w:rPr>
          <w:sz w:val="22"/>
        </w:rPr>
        <w:t xml:space="preserve">I </w:t>
      </w:r>
      <w:r w:rsidRPr="00FF1F13" w:rsidR="007608D0">
        <w:rPr>
          <w:sz w:val="22"/>
        </w:rPr>
        <w:t>am pleased to support the item</w:t>
      </w:r>
      <w:r w:rsidRPr="00FF1F13" w:rsidR="00C86D35">
        <w:rPr>
          <w:sz w:val="22"/>
        </w:rPr>
        <w:t>,</w:t>
      </w:r>
      <w:r w:rsidRPr="00FF1F13" w:rsidR="007608D0">
        <w:rPr>
          <w:sz w:val="22"/>
        </w:rPr>
        <w:t xml:space="preserve"> and</w:t>
      </w:r>
      <w:r w:rsidRPr="00FF1F13">
        <w:rPr>
          <w:sz w:val="22"/>
        </w:rPr>
        <w:t xml:space="preserve"> </w:t>
      </w:r>
      <w:r w:rsidRPr="00FF1F13">
        <w:rPr>
          <w:sz w:val="22"/>
        </w:rPr>
        <w:t xml:space="preserve">thank </w:t>
      </w:r>
      <w:r w:rsidRPr="00FF1F13" w:rsidR="00DD38C2">
        <w:rPr>
          <w:sz w:val="22"/>
        </w:rPr>
        <w:t xml:space="preserve">the </w:t>
      </w:r>
      <w:r w:rsidRPr="00FF1F13" w:rsidR="001966D8">
        <w:rPr>
          <w:sz w:val="22"/>
        </w:rPr>
        <w:t>Public Safety and Homeland Security Bureau</w:t>
      </w:r>
      <w:r w:rsidRPr="00FF1F13" w:rsidR="00DD38C2">
        <w:rPr>
          <w:sz w:val="22"/>
        </w:rPr>
        <w:t xml:space="preserve"> for </w:t>
      </w:r>
      <w:r w:rsidRPr="00FF1F13" w:rsidR="00C86D35">
        <w:rPr>
          <w:sz w:val="22"/>
        </w:rPr>
        <w:t xml:space="preserve">their </w:t>
      </w:r>
      <w:r w:rsidRPr="00FF1F13" w:rsidR="00DD38C2">
        <w:rPr>
          <w:sz w:val="22"/>
        </w:rPr>
        <w:t xml:space="preserve">work </w:t>
      </w:r>
      <w:r w:rsidRPr="00FF1F13" w:rsidR="00C86D35">
        <w:rPr>
          <w:sz w:val="22"/>
        </w:rPr>
        <w:t xml:space="preserve">on encouraging more </w:t>
      </w:r>
      <w:r w:rsidRPr="00FF1F13">
        <w:rPr>
          <w:sz w:val="22"/>
        </w:rPr>
        <w:t>efficient use of the public airwaves</w:t>
      </w:r>
      <w:r w:rsidRPr="00FF1F13" w:rsidR="00DD38C2">
        <w:rPr>
          <w:sz w:val="22"/>
        </w:rPr>
        <w:t>.</w:t>
      </w:r>
      <w:r w:rsidRPr="00FF1F13">
        <w:rPr>
          <w:sz w:val="22"/>
        </w:rPr>
        <w:t xml:space="preserve">    </w:t>
      </w:r>
    </w:p>
    <w:p w:rsidR="00BA6B8B" w:rsidRPr="00685B03" w:rsidP="00685B03">
      <w:pPr>
        <w:ind w:firstLine="720"/>
      </w:pPr>
    </w:p>
    <w:sectPr w:rsidSect="00FF1F1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51BD" w:rsidP="009A5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4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51BD" w:rsidP="009A5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B03">
      <w:rPr>
        <w:rStyle w:val="PageNumber"/>
        <w:noProof/>
      </w:rPr>
      <w:t>2</w:t>
    </w:r>
    <w:r>
      <w:rPr>
        <w:rStyle w:val="PageNumber"/>
      </w:rPr>
      <w:fldChar w:fldCharType="end"/>
    </w:r>
  </w:p>
  <w:p w:rsidR="00945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2C7B">
    <w:pPr>
      <w:pStyle w:val="Footer"/>
      <w:jc w:val="center"/>
    </w:pPr>
  </w:p>
  <w:p w:rsidR="003A2C7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03"/>
    <w:rsid w:val="0000471A"/>
    <w:rsid w:val="000052A5"/>
    <w:rsid w:val="00020277"/>
    <w:rsid w:val="00021D21"/>
    <w:rsid w:val="00023270"/>
    <w:rsid w:val="00024F49"/>
    <w:rsid w:val="000250EF"/>
    <w:rsid w:val="0003119D"/>
    <w:rsid w:val="00041AD4"/>
    <w:rsid w:val="00041C24"/>
    <w:rsid w:val="00053876"/>
    <w:rsid w:val="00065465"/>
    <w:rsid w:val="00067C7D"/>
    <w:rsid w:val="00084EC7"/>
    <w:rsid w:val="00090F7B"/>
    <w:rsid w:val="000913A1"/>
    <w:rsid w:val="000918DA"/>
    <w:rsid w:val="00091A0C"/>
    <w:rsid w:val="000A63E4"/>
    <w:rsid w:val="000B0435"/>
    <w:rsid w:val="000B0D1E"/>
    <w:rsid w:val="000B1A4C"/>
    <w:rsid w:val="000B3C70"/>
    <w:rsid w:val="000B6046"/>
    <w:rsid w:val="000B7E98"/>
    <w:rsid w:val="000C02BD"/>
    <w:rsid w:val="000C219F"/>
    <w:rsid w:val="000C469B"/>
    <w:rsid w:val="000D21EC"/>
    <w:rsid w:val="000D264E"/>
    <w:rsid w:val="000E08B8"/>
    <w:rsid w:val="000E5A87"/>
    <w:rsid w:val="000E64DB"/>
    <w:rsid w:val="000E741E"/>
    <w:rsid w:val="000F2A1F"/>
    <w:rsid w:val="000F308A"/>
    <w:rsid w:val="000F5022"/>
    <w:rsid w:val="000F6FC3"/>
    <w:rsid w:val="00100F5D"/>
    <w:rsid w:val="0010288A"/>
    <w:rsid w:val="001040A6"/>
    <w:rsid w:val="001059FA"/>
    <w:rsid w:val="00107B37"/>
    <w:rsid w:val="00122A14"/>
    <w:rsid w:val="00134A5B"/>
    <w:rsid w:val="0014359B"/>
    <w:rsid w:val="00146E8B"/>
    <w:rsid w:val="0015301E"/>
    <w:rsid w:val="00157F51"/>
    <w:rsid w:val="00166DC9"/>
    <w:rsid w:val="00170231"/>
    <w:rsid w:val="00191D21"/>
    <w:rsid w:val="00192C58"/>
    <w:rsid w:val="001966D8"/>
    <w:rsid w:val="001A0D46"/>
    <w:rsid w:val="001A1C54"/>
    <w:rsid w:val="001B37CE"/>
    <w:rsid w:val="001B5151"/>
    <w:rsid w:val="001B5823"/>
    <w:rsid w:val="001B7316"/>
    <w:rsid w:val="001C7A2B"/>
    <w:rsid w:val="001D616D"/>
    <w:rsid w:val="001E21A6"/>
    <w:rsid w:val="001E487F"/>
    <w:rsid w:val="00202AE9"/>
    <w:rsid w:val="00206BC2"/>
    <w:rsid w:val="00214EF3"/>
    <w:rsid w:val="00224A7F"/>
    <w:rsid w:val="00225F46"/>
    <w:rsid w:val="002320D3"/>
    <w:rsid w:val="00241961"/>
    <w:rsid w:val="00241F5F"/>
    <w:rsid w:val="002459CD"/>
    <w:rsid w:val="002654C9"/>
    <w:rsid w:val="00265747"/>
    <w:rsid w:val="00267567"/>
    <w:rsid w:val="002805F9"/>
    <w:rsid w:val="0028257A"/>
    <w:rsid w:val="002836FA"/>
    <w:rsid w:val="00291B72"/>
    <w:rsid w:val="002A5EF7"/>
    <w:rsid w:val="002B180B"/>
    <w:rsid w:val="002C0521"/>
    <w:rsid w:val="002C0A83"/>
    <w:rsid w:val="002C6C0B"/>
    <w:rsid w:val="002C7402"/>
    <w:rsid w:val="002D43CD"/>
    <w:rsid w:val="002E0D25"/>
    <w:rsid w:val="002E346A"/>
    <w:rsid w:val="002E7E29"/>
    <w:rsid w:val="002F18BC"/>
    <w:rsid w:val="002F23B1"/>
    <w:rsid w:val="00302CE7"/>
    <w:rsid w:val="0031524C"/>
    <w:rsid w:val="0032010C"/>
    <w:rsid w:val="00332E31"/>
    <w:rsid w:val="00334E0F"/>
    <w:rsid w:val="00337C2A"/>
    <w:rsid w:val="003472AF"/>
    <w:rsid w:val="003538F4"/>
    <w:rsid w:val="00362480"/>
    <w:rsid w:val="00364525"/>
    <w:rsid w:val="00395C03"/>
    <w:rsid w:val="00396358"/>
    <w:rsid w:val="003A2C7B"/>
    <w:rsid w:val="003A5040"/>
    <w:rsid w:val="003A5215"/>
    <w:rsid w:val="003B0511"/>
    <w:rsid w:val="003B0868"/>
    <w:rsid w:val="003B4F07"/>
    <w:rsid w:val="003C4DD9"/>
    <w:rsid w:val="003D421E"/>
    <w:rsid w:val="003D64AC"/>
    <w:rsid w:val="003E027B"/>
    <w:rsid w:val="003E0D9D"/>
    <w:rsid w:val="003E25FB"/>
    <w:rsid w:val="003F554E"/>
    <w:rsid w:val="003F6962"/>
    <w:rsid w:val="00404445"/>
    <w:rsid w:val="00405D8E"/>
    <w:rsid w:val="00414291"/>
    <w:rsid w:val="00415658"/>
    <w:rsid w:val="00415DA4"/>
    <w:rsid w:val="00422BF6"/>
    <w:rsid w:val="00425764"/>
    <w:rsid w:val="00425D20"/>
    <w:rsid w:val="004315AF"/>
    <w:rsid w:val="004446A0"/>
    <w:rsid w:val="004463D9"/>
    <w:rsid w:val="00446786"/>
    <w:rsid w:val="00446C65"/>
    <w:rsid w:val="00462CCC"/>
    <w:rsid w:val="0046357C"/>
    <w:rsid w:val="00472267"/>
    <w:rsid w:val="00483D88"/>
    <w:rsid w:val="00490EC1"/>
    <w:rsid w:val="00497085"/>
    <w:rsid w:val="004974C9"/>
    <w:rsid w:val="004A03CC"/>
    <w:rsid w:val="004A226C"/>
    <w:rsid w:val="004A42A0"/>
    <w:rsid w:val="004B5837"/>
    <w:rsid w:val="004B740B"/>
    <w:rsid w:val="004C7607"/>
    <w:rsid w:val="004D3871"/>
    <w:rsid w:val="004D4A55"/>
    <w:rsid w:val="004D79BF"/>
    <w:rsid w:val="004E0BC1"/>
    <w:rsid w:val="004E735F"/>
    <w:rsid w:val="004F0F0C"/>
    <w:rsid w:val="004F3CAE"/>
    <w:rsid w:val="004F7655"/>
    <w:rsid w:val="005001F9"/>
    <w:rsid w:val="00501E6C"/>
    <w:rsid w:val="00516E37"/>
    <w:rsid w:val="005204FB"/>
    <w:rsid w:val="005241C3"/>
    <w:rsid w:val="00530785"/>
    <w:rsid w:val="005325EB"/>
    <w:rsid w:val="00532A08"/>
    <w:rsid w:val="00536B3B"/>
    <w:rsid w:val="00536F74"/>
    <w:rsid w:val="0054450F"/>
    <w:rsid w:val="00556C03"/>
    <w:rsid w:val="005646CB"/>
    <w:rsid w:val="0057026D"/>
    <w:rsid w:val="0057400F"/>
    <w:rsid w:val="0057774F"/>
    <w:rsid w:val="005836C5"/>
    <w:rsid w:val="00583C1F"/>
    <w:rsid w:val="00584EB2"/>
    <w:rsid w:val="005A00DE"/>
    <w:rsid w:val="005B0C8C"/>
    <w:rsid w:val="005D0751"/>
    <w:rsid w:val="005D3194"/>
    <w:rsid w:val="005D414B"/>
    <w:rsid w:val="005E7BF5"/>
    <w:rsid w:val="006043D9"/>
    <w:rsid w:val="00606614"/>
    <w:rsid w:val="006127A4"/>
    <w:rsid w:val="00612909"/>
    <w:rsid w:val="00614976"/>
    <w:rsid w:val="00623027"/>
    <w:rsid w:val="00626FE0"/>
    <w:rsid w:val="006354E9"/>
    <w:rsid w:val="00637297"/>
    <w:rsid w:val="00641F10"/>
    <w:rsid w:val="006461B9"/>
    <w:rsid w:val="00654630"/>
    <w:rsid w:val="00670A97"/>
    <w:rsid w:val="00673435"/>
    <w:rsid w:val="006844D8"/>
    <w:rsid w:val="00685B03"/>
    <w:rsid w:val="0069698D"/>
    <w:rsid w:val="006A1FA3"/>
    <w:rsid w:val="006B2A8B"/>
    <w:rsid w:val="006B61E4"/>
    <w:rsid w:val="006D703E"/>
    <w:rsid w:val="006E0E30"/>
    <w:rsid w:val="006E4EAD"/>
    <w:rsid w:val="006F04B9"/>
    <w:rsid w:val="006F38AA"/>
    <w:rsid w:val="007064A6"/>
    <w:rsid w:val="00706E2A"/>
    <w:rsid w:val="00707818"/>
    <w:rsid w:val="007102FD"/>
    <w:rsid w:val="0071445C"/>
    <w:rsid w:val="00714C3E"/>
    <w:rsid w:val="007151E1"/>
    <w:rsid w:val="007247A0"/>
    <w:rsid w:val="007272E5"/>
    <w:rsid w:val="0073273C"/>
    <w:rsid w:val="00735020"/>
    <w:rsid w:val="00741F8B"/>
    <w:rsid w:val="0075656C"/>
    <w:rsid w:val="007575DA"/>
    <w:rsid w:val="007608D0"/>
    <w:rsid w:val="0076528F"/>
    <w:rsid w:val="0076729D"/>
    <w:rsid w:val="00770D20"/>
    <w:rsid w:val="00775E16"/>
    <w:rsid w:val="00784F98"/>
    <w:rsid w:val="00793771"/>
    <w:rsid w:val="007A02E8"/>
    <w:rsid w:val="007A078B"/>
    <w:rsid w:val="007A373E"/>
    <w:rsid w:val="007A3A0A"/>
    <w:rsid w:val="007A4036"/>
    <w:rsid w:val="007B4A27"/>
    <w:rsid w:val="007D25F5"/>
    <w:rsid w:val="007D6A12"/>
    <w:rsid w:val="007D7596"/>
    <w:rsid w:val="007E2062"/>
    <w:rsid w:val="007E3466"/>
    <w:rsid w:val="007F2958"/>
    <w:rsid w:val="007F57ED"/>
    <w:rsid w:val="00811CD7"/>
    <w:rsid w:val="00811E23"/>
    <w:rsid w:val="0081337F"/>
    <w:rsid w:val="00813DC7"/>
    <w:rsid w:val="00831BCB"/>
    <w:rsid w:val="00832757"/>
    <w:rsid w:val="00833253"/>
    <w:rsid w:val="00836BAF"/>
    <w:rsid w:val="00851267"/>
    <w:rsid w:val="008516B4"/>
    <w:rsid w:val="0085772C"/>
    <w:rsid w:val="008835A2"/>
    <w:rsid w:val="00896A3D"/>
    <w:rsid w:val="008A0D92"/>
    <w:rsid w:val="008A2BEA"/>
    <w:rsid w:val="008A3E31"/>
    <w:rsid w:val="008B2F92"/>
    <w:rsid w:val="008B48AA"/>
    <w:rsid w:val="008C1BC5"/>
    <w:rsid w:val="008C5D64"/>
    <w:rsid w:val="008C5FF2"/>
    <w:rsid w:val="008D4294"/>
    <w:rsid w:val="008D735D"/>
    <w:rsid w:val="008D7C9C"/>
    <w:rsid w:val="0090123F"/>
    <w:rsid w:val="00906002"/>
    <w:rsid w:val="00913E51"/>
    <w:rsid w:val="00917E15"/>
    <w:rsid w:val="009263C3"/>
    <w:rsid w:val="00926CA2"/>
    <w:rsid w:val="00927164"/>
    <w:rsid w:val="00930CCE"/>
    <w:rsid w:val="00937524"/>
    <w:rsid w:val="00937798"/>
    <w:rsid w:val="00944788"/>
    <w:rsid w:val="009451BD"/>
    <w:rsid w:val="00950A7E"/>
    <w:rsid w:val="00950E36"/>
    <w:rsid w:val="00952D1B"/>
    <w:rsid w:val="00953E43"/>
    <w:rsid w:val="0095623C"/>
    <w:rsid w:val="009646C6"/>
    <w:rsid w:val="00986ECC"/>
    <w:rsid w:val="009A524E"/>
    <w:rsid w:val="009A7450"/>
    <w:rsid w:val="009B5C22"/>
    <w:rsid w:val="009C09F2"/>
    <w:rsid w:val="009E5E35"/>
    <w:rsid w:val="009F0C7E"/>
    <w:rsid w:val="009F1D50"/>
    <w:rsid w:val="009F4C75"/>
    <w:rsid w:val="009F57BD"/>
    <w:rsid w:val="00A03EBC"/>
    <w:rsid w:val="00A0695D"/>
    <w:rsid w:val="00A115D7"/>
    <w:rsid w:val="00A2096B"/>
    <w:rsid w:val="00A23372"/>
    <w:rsid w:val="00A2788C"/>
    <w:rsid w:val="00A37799"/>
    <w:rsid w:val="00A41A80"/>
    <w:rsid w:val="00A425DC"/>
    <w:rsid w:val="00A536DA"/>
    <w:rsid w:val="00A54CBF"/>
    <w:rsid w:val="00A56485"/>
    <w:rsid w:val="00A571A8"/>
    <w:rsid w:val="00A63DB0"/>
    <w:rsid w:val="00A65B55"/>
    <w:rsid w:val="00A764B3"/>
    <w:rsid w:val="00AB5E2C"/>
    <w:rsid w:val="00AC6AF9"/>
    <w:rsid w:val="00AD1C55"/>
    <w:rsid w:val="00AD617C"/>
    <w:rsid w:val="00AD7292"/>
    <w:rsid w:val="00AF451E"/>
    <w:rsid w:val="00B00379"/>
    <w:rsid w:val="00B07A74"/>
    <w:rsid w:val="00B11C8F"/>
    <w:rsid w:val="00B13187"/>
    <w:rsid w:val="00B132C1"/>
    <w:rsid w:val="00B15E1B"/>
    <w:rsid w:val="00B27F48"/>
    <w:rsid w:val="00B33F8F"/>
    <w:rsid w:val="00B40E04"/>
    <w:rsid w:val="00B43043"/>
    <w:rsid w:val="00B45CE2"/>
    <w:rsid w:val="00B51909"/>
    <w:rsid w:val="00B60693"/>
    <w:rsid w:val="00B620A2"/>
    <w:rsid w:val="00B6651D"/>
    <w:rsid w:val="00B7422E"/>
    <w:rsid w:val="00B7689A"/>
    <w:rsid w:val="00B809E7"/>
    <w:rsid w:val="00B81C93"/>
    <w:rsid w:val="00B829FD"/>
    <w:rsid w:val="00B874DD"/>
    <w:rsid w:val="00B90A09"/>
    <w:rsid w:val="00B91A48"/>
    <w:rsid w:val="00B93D67"/>
    <w:rsid w:val="00B97689"/>
    <w:rsid w:val="00BA0C38"/>
    <w:rsid w:val="00BA0F89"/>
    <w:rsid w:val="00BA304F"/>
    <w:rsid w:val="00BA57F6"/>
    <w:rsid w:val="00BA6B8B"/>
    <w:rsid w:val="00BB096A"/>
    <w:rsid w:val="00BC0974"/>
    <w:rsid w:val="00BE30AA"/>
    <w:rsid w:val="00C12D49"/>
    <w:rsid w:val="00C12DD2"/>
    <w:rsid w:val="00C213C3"/>
    <w:rsid w:val="00C24854"/>
    <w:rsid w:val="00C33D4C"/>
    <w:rsid w:val="00C36CE1"/>
    <w:rsid w:val="00C43EE7"/>
    <w:rsid w:val="00C455EB"/>
    <w:rsid w:val="00C600BC"/>
    <w:rsid w:val="00C63FC2"/>
    <w:rsid w:val="00C7164E"/>
    <w:rsid w:val="00C75BD0"/>
    <w:rsid w:val="00C83CD6"/>
    <w:rsid w:val="00C86D35"/>
    <w:rsid w:val="00C912DE"/>
    <w:rsid w:val="00C94178"/>
    <w:rsid w:val="00CA11F8"/>
    <w:rsid w:val="00CA36D5"/>
    <w:rsid w:val="00CA43FA"/>
    <w:rsid w:val="00CA76D1"/>
    <w:rsid w:val="00CA7DC5"/>
    <w:rsid w:val="00CB233F"/>
    <w:rsid w:val="00CD03E0"/>
    <w:rsid w:val="00CD5DF8"/>
    <w:rsid w:val="00CE0B2D"/>
    <w:rsid w:val="00CF500D"/>
    <w:rsid w:val="00CF5F05"/>
    <w:rsid w:val="00CF6CB5"/>
    <w:rsid w:val="00D04A9A"/>
    <w:rsid w:val="00D06867"/>
    <w:rsid w:val="00D1074F"/>
    <w:rsid w:val="00D15E49"/>
    <w:rsid w:val="00D21453"/>
    <w:rsid w:val="00D25008"/>
    <w:rsid w:val="00D26226"/>
    <w:rsid w:val="00D30479"/>
    <w:rsid w:val="00D30AEC"/>
    <w:rsid w:val="00D340DE"/>
    <w:rsid w:val="00D41F55"/>
    <w:rsid w:val="00D44CD5"/>
    <w:rsid w:val="00D503F9"/>
    <w:rsid w:val="00D52273"/>
    <w:rsid w:val="00D53FCC"/>
    <w:rsid w:val="00D575C4"/>
    <w:rsid w:val="00D62B86"/>
    <w:rsid w:val="00D80B20"/>
    <w:rsid w:val="00D8146E"/>
    <w:rsid w:val="00D815B5"/>
    <w:rsid w:val="00D864F5"/>
    <w:rsid w:val="00D939EC"/>
    <w:rsid w:val="00D967C4"/>
    <w:rsid w:val="00D976DD"/>
    <w:rsid w:val="00DA212F"/>
    <w:rsid w:val="00DA791C"/>
    <w:rsid w:val="00DC3B06"/>
    <w:rsid w:val="00DD38C2"/>
    <w:rsid w:val="00DD6407"/>
    <w:rsid w:val="00DD6CAE"/>
    <w:rsid w:val="00DD7FF5"/>
    <w:rsid w:val="00DE29A8"/>
    <w:rsid w:val="00DE5557"/>
    <w:rsid w:val="00DF557D"/>
    <w:rsid w:val="00E03C7F"/>
    <w:rsid w:val="00E05798"/>
    <w:rsid w:val="00E111E2"/>
    <w:rsid w:val="00E11225"/>
    <w:rsid w:val="00E2424D"/>
    <w:rsid w:val="00E266D7"/>
    <w:rsid w:val="00E327A5"/>
    <w:rsid w:val="00E33779"/>
    <w:rsid w:val="00E366A5"/>
    <w:rsid w:val="00E40619"/>
    <w:rsid w:val="00E44EF9"/>
    <w:rsid w:val="00E506D8"/>
    <w:rsid w:val="00E511AF"/>
    <w:rsid w:val="00E528E0"/>
    <w:rsid w:val="00E55992"/>
    <w:rsid w:val="00E65CC6"/>
    <w:rsid w:val="00E70A56"/>
    <w:rsid w:val="00E73017"/>
    <w:rsid w:val="00E75CF5"/>
    <w:rsid w:val="00E76D14"/>
    <w:rsid w:val="00E811EC"/>
    <w:rsid w:val="00E849E6"/>
    <w:rsid w:val="00E96452"/>
    <w:rsid w:val="00EB0DF8"/>
    <w:rsid w:val="00EB51A4"/>
    <w:rsid w:val="00EC1AA9"/>
    <w:rsid w:val="00EC2F1C"/>
    <w:rsid w:val="00EC516A"/>
    <w:rsid w:val="00ED35DC"/>
    <w:rsid w:val="00ED5BAD"/>
    <w:rsid w:val="00EE6C44"/>
    <w:rsid w:val="00EF42E0"/>
    <w:rsid w:val="00F06AEC"/>
    <w:rsid w:val="00F10718"/>
    <w:rsid w:val="00F15079"/>
    <w:rsid w:val="00F15BC5"/>
    <w:rsid w:val="00F16F4E"/>
    <w:rsid w:val="00F25267"/>
    <w:rsid w:val="00F2679B"/>
    <w:rsid w:val="00F32B8C"/>
    <w:rsid w:val="00F36CA0"/>
    <w:rsid w:val="00F403BA"/>
    <w:rsid w:val="00F40FCC"/>
    <w:rsid w:val="00F4689E"/>
    <w:rsid w:val="00F52C75"/>
    <w:rsid w:val="00F55D6B"/>
    <w:rsid w:val="00F576E1"/>
    <w:rsid w:val="00F73AB5"/>
    <w:rsid w:val="00F8200F"/>
    <w:rsid w:val="00F85CA2"/>
    <w:rsid w:val="00F86ACE"/>
    <w:rsid w:val="00F903C3"/>
    <w:rsid w:val="00F91A24"/>
    <w:rsid w:val="00F95795"/>
    <w:rsid w:val="00F972B6"/>
    <w:rsid w:val="00FA407A"/>
    <w:rsid w:val="00FB2E1C"/>
    <w:rsid w:val="00FC04D7"/>
    <w:rsid w:val="00FC4A68"/>
    <w:rsid w:val="00FD1E3A"/>
    <w:rsid w:val="00FF0E24"/>
    <w:rsid w:val="00FF1F13"/>
    <w:rsid w:val="00FF47E1"/>
    <w:rsid w:val="00FF4E9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18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8BC"/>
  </w:style>
  <w:style w:type="character" w:customStyle="1" w:styleId="LouisPeraertz">
    <w:name w:val="Louis.Peraertz"/>
    <w:semiHidden/>
    <w:rsid w:val="001B5823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3A2C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2C7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2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Clyburn Comment on NPRM; Promoting Interoperability in the 700 MHz Commercial Spectrum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2018-03-23T16:26:29Z</dcterms:created>
  <dcterms:modified xsi:type="dcterms:W3CDTF">2018-03-23T16:26:29Z</dcterms:modified>
</cp:coreProperties>
</file>