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r>
              <w:rPr>
                <w:snapToGrid/>
                <w:spacing w:val="-2"/>
                <w:kern w:val="0"/>
                <w:sz w:val="22"/>
                <w:szCs w:val="22"/>
                <w:lang w:val="en-US" w:eastAsia="en-US" w:bidi="ar-SA"/>
              </w:rPr>
              <w:t xml:space="preserve">Streamlined Reauthorization Procedures for </w:t>
            </w:r>
            <w:r w:rsidR="000E5569">
              <w:rPr>
                <w:snapToGrid/>
                <w:spacing w:val="-2"/>
                <w:kern w:val="0"/>
                <w:sz w:val="22"/>
                <w:szCs w:val="22"/>
                <w:lang w:val="en-US" w:eastAsia="en-US" w:bidi="ar-SA"/>
              </w:rPr>
              <w:t>Assigned or</w:t>
            </w:r>
            <w:r>
              <w:rPr>
                <w:snapToGrid/>
                <w:spacing w:val="-2"/>
                <w:kern w:val="0"/>
                <w:sz w:val="22"/>
                <w:szCs w:val="22"/>
                <w:lang w:val="en-US" w:eastAsia="en-US" w:bidi="ar-SA"/>
              </w:rPr>
              <w:t xml:space="preserve"> Transferred </w:t>
            </w:r>
            <w:r w:rsidR="006E4560">
              <w:rPr>
                <w:snapToGrid/>
                <w:spacing w:val="-2"/>
                <w:kern w:val="0"/>
                <w:sz w:val="22"/>
                <w:szCs w:val="22"/>
                <w:lang w:val="en-US" w:eastAsia="en-US" w:bidi="ar-SA"/>
              </w:rPr>
              <w:t>Television Satellite Station</w:t>
            </w:r>
            <w:r>
              <w:rPr>
                <w:snapToGrid/>
                <w:spacing w:val="-2"/>
                <w:kern w:val="0"/>
                <w:sz w:val="22"/>
                <w:szCs w:val="22"/>
                <w:lang w:val="en-US" w:eastAsia="en-US" w:bidi="ar-SA"/>
              </w:rPr>
              <w:t xml:space="preserve">s </w:t>
            </w:r>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p>
          <w:p w:rsidR="004C2EE3" w:rsidRPr="00EE4D4B" w:rsidP="00EE4D4B">
            <w:pPr>
              <w:widowControl/>
              <w:tabs>
                <w:tab w:val="center" w:pos="4680"/>
              </w:tabs>
              <w:suppressAutoHyphens/>
              <w:rPr>
                <w:rStyle w:val="DefaultParagraphFont"/>
                <w:snapToGrid/>
                <w:spacing w:val="-2"/>
                <w:kern w:val="0"/>
                <w:sz w:val="22"/>
                <w:szCs w:val="22"/>
                <w:lang w:val="en-US" w:eastAsia="en-US" w:bidi="ar-SA"/>
              </w:rPr>
            </w:pPr>
            <w:r w:rsidRPr="00FA27CB">
              <w:rPr>
                <w:snapToGrid/>
                <w:spacing w:val="-2"/>
                <w:kern w:val="0"/>
                <w:sz w:val="22"/>
                <w:szCs w:val="22"/>
                <w:lang w:val="en-US" w:eastAsia="en-US" w:bidi="ar-SA"/>
              </w:rPr>
              <w:t>Modernization of Media Regulation Initiative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7C54F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r w:rsidRPr="00FA27CB">
              <w:rPr>
                <w:snapToGrid/>
                <w:spacing w:val="-2"/>
                <w:kern w:val="0"/>
                <w:sz w:val="22"/>
                <w:szCs w:val="22"/>
                <w:lang w:val="en-US" w:eastAsia="en-US" w:bidi="ar-SA"/>
              </w:rPr>
              <w:t xml:space="preserve">MB Docket </w:t>
            </w:r>
            <w:r w:rsidRPr="00883434">
              <w:rPr>
                <w:snapToGrid/>
                <w:spacing w:val="-2"/>
                <w:kern w:val="0"/>
                <w:sz w:val="22"/>
                <w:szCs w:val="22"/>
                <w:lang w:val="en-US" w:eastAsia="en-US" w:bidi="ar-SA"/>
              </w:rPr>
              <w:t xml:space="preserve">No. </w:t>
            </w:r>
            <w:r w:rsidRPr="00EE4D4B" w:rsidR="00883434">
              <w:rPr>
                <w:snapToGrid/>
                <w:spacing w:val="-2"/>
                <w:kern w:val="0"/>
                <w:sz w:val="22"/>
                <w:szCs w:val="22"/>
                <w:lang w:val="en-US" w:eastAsia="en-US" w:bidi="ar-SA"/>
              </w:rPr>
              <w:t>18-63</w:t>
            </w:r>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p>
          <w:p w:rsidR="000E5569" w:rsidP="007C54F8">
            <w:pPr>
              <w:widowControl/>
              <w:tabs>
                <w:tab w:val="center" w:pos="4680"/>
              </w:tabs>
              <w:suppressAutoHyphens/>
              <w:rPr>
                <w:rStyle w:val="DefaultParagraphFont"/>
                <w:snapToGrid/>
                <w:spacing w:val="-2"/>
                <w:kern w:val="0"/>
                <w:sz w:val="22"/>
                <w:szCs w:val="22"/>
                <w:lang w:val="en-US" w:eastAsia="en-US" w:bidi="ar-SA"/>
              </w:rPr>
            </w:pPr>
            <w:bookmarkStart w:id="1" w:name="_Hlk494203439"/>
          </w:p>
          <w:p w:rsidR="00FA27CB" w:rsidRPr="00FA27CB" w:rsidP="00FA27CB">
            <w:pPr>
              <w:widowControl/>
              <w:tabs>
                <w:tab w:val="center" w:pos="4680"/>
              </w:tabs>
              <w:suppressAutoHyphens/>
              <w:rPr>
                <w:rStyle w:val="DefaultParagraphFont"/>
                <w:snapToGrid/>
                <w:spacing w:val="-2"/>
                <w:kern w:val="0"/>
                <w:sz w:val="22"/>
                <w:szCs w:val="22"/>
                <w:lang w:val="en-US" w:eastAsia="en-US" w:bidi="ar-SA"/>
              </w:rPr>
            </w:pPr>
            <w:r w:rsidRPr="00FA27CB">
              <w:rPr>
                <w:snapToGrid/>
                <w:spacing w:val="-2"/>
                <w:kern w:val="0"/>
                <w:sz w:val="22"/>
                <w:szCs w:val="22"/>
                <w:lang w:val="en-US" w:eastAsia="en-US" w:bidi="ar-SA"/>
              </w:rPr>
              <w:t>MB Docket No. 17-105</w:t>
            </w:r>
            <w:bookmarkEnd w:id="1"/>
          </w:p>
          <w:p w:rsidR="004C2EE3" w:rsidP="007C54F8">
            <w:pPr>
              <w:widowControl/>
              <w:tabs>
                <w:tab w:val="center" w:pos="4680"/>
              </w:tabs>
              <w:suppressAutoHyphens/>
              <w:rPr>
                <w:rStyle w:val="DefaultParagraphFont"/>
                <w:snapToGrid w:val="0"/>
                <w:spacing w:val="-2"/>
                <w:kern w:val="28"/>
                <w:sz w:val="22"/>
                <w:lang w:val="en-US" w:eastAsia="en-US" w:bidi="ar-SA"/>
              </w:rPr>
            </w:pPr>
          </w:p>
        </w:tc>
      </w:tr>
    </w:tbl>
    <w:p w:rsidR="00841AB1" w:rsidP="00A8646E">
      <w:pPr>
        <w:pStyle w:val="StyleBoldCentered"/>
      </w:pPr>
      <w:r w:rsidRPr="003E3B51">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83434">
        <w:rPr>
          <w:b/>
          <w:spacing w:val="-2"/>
        </w:rPr>
        <w:t>March 22,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3434">
        <w:rPr>
          <w:b/>
          <w:spacing w:val="-2"/>
        </w:rPr>
        <w:t>March 2</w:t>
      </w:r>
      <w:r w:rsidR="00CC0863">
        <w:rPr>
          <w:b/>
          <w:spacing w:val="-2"/>
        </w:rPr>
        <w:t>3</w:t>
      </w:r>
      <w:r w:rsidR="00883434">
        <w:rPr>
          <w:b/>
          <w:spacing w:val="-2"/>
        </w:rPr>
        <w:t>, 2018</w:t>
      </w:r>
    </w:p>
    <w:p w:rsidR="00822CE0"/>
    <w:p w:rsidR="00FA27CB" w:rsidRPr="00FA27CB" w:rsidP="00FA27CB">
      <w:pPr>
        <w:widowControl/>
        <w:rPr>
          <w:b/>
          <w:snapToGrid/>
          <w:kern w:val="0"/>
          <w:szCs w:val="22"/>
        </w:rPr>
      </w:pPr>
      <w:r w:rsidRPr="00FA27CB">
        <w:rPr>
          <w:b/>
          <w:snapToGrid/>
          <w:kern w:val="0"/>
          <w:szCs w:val="22"/>
        </w:rPr>
        <w:t>Comment Date:  (30 days after date of publication in the Federal Register)</w:t>
      </w:r>
    </w:p>
    <w:p w:rsidR="00FA27CB" w:rsidRPr="00FA27CB" w:rsidP="00FA27CB">
      <w:pPr>
        <w:widowControl/>
        <w:rPr>
          <w:snapToGrid/>
          <w:spacing w:val="-2"/>
          <w:kern w:val="0"/>
          <w:szCs w:val="22"/>
        </w:rPr>
      </w:pPr>
      <w:r w:rsidRPr="00FA27CB">
        <w:rPr>
          <w:b/>
          <w:snapToGrid/>
          <w:kern w:val="0"/>
          <w:szCs w:val="22"/>
        </w:rPr>
        <w:t>Reply Comment Date:  (45 days after date of publication in the Federal Register)</w:t>
      </w:r>
    </w:p>
    <w:p w:rsidR="00FA27CB"/>
    <w:p w:rsidR="00E24572" w:rsidP="00E24572">
      <w:pPr>
        <w:rPr>
          <w:rFonts w:ascii="Calibri" w:hAnsi="Calibri"/>
          <w:snapToGrid/>
          <w:color w:val="1F497D"/>
          <w:kern w:val="0"/>
          <w:szCs w:val="22"/>
        </w:rPr>
      </w:pPr>
      <w:r>
        <w:t xml:space="preserve">By the Commission: Chairman Pai and Commissioners Clyburn, O’Rielly, </w:t>
      </w:r>
      <w:r w:rsidR="0001332C">
        <w:t xml:space="preserve">and Carr </w:t>
      </w:r>
      <w:r>
        <w:t xml:space="preserve">issuing separate statements. </w:t>
      </w:r>
    </w:p>
    <w:p w:rsidR="00412FC5" w:rsidP="00412FC5"/>
    <w:p w:rsidR="00883000" w:rsidRPr="00883000" w:rsidP="00184679">
      <w:pPr>
        <w:pStyle w:val="Heading1"/>
      </w:pPr>
      <w:r w:rsidRPr="00883000">
        <w:t>introduction</w:t>
      </w:r>
    </w:p>
    <w:p w:rsidR="00883000" w:rsidRPr="00883000" w:rsidP="00F255F3">
      <w:pPr>
        <w:pStyle w:val="ParaNum"/>
        <w:widowControl/>
        <w:rPr>
          <w:snapToGrid/>
        </w:rPr>
      </w:pPr>
      <w:r w:rsidRPr="00883000">
        <w:rPr>
          <w:snapToGrid/>
        </w:rPr>
        <w:t xml:space="preserve">In this Notice of Proposed Rulemaking (NPRM), we </w:t>
      </w:r>
      <w:r w:rsidR="004E4EAF">
        <w:rPr>
          <w:snapToGrid/>
        </w:rPr>
        <w:t>propose</w:t>
      </w:r>
      <w:r w:rsidR="003C03CD">
        <w:rPr>
          <w:snapToGrid/>
        </w:rPr>
        <w:t xml:space="preserve"> to streamline the process for reauthorizing television satellite stations when they are assigned or transferred </w:t>
      </w:r>
      <w:r w:rsidR="00262A25">
        <w:rPr>
          <w:snapToGrid/>
        </w:rPr>
        <w:t>in combination with their</w:t>
      </w:r>
      <w:r w:rsidR="006F7A7C">
        <w:rPr>
          <w:snapToGrid/>
        </w:rPr>
        <w:t xml:space="preserve"> previously approved</w:t>
      </w:r>
      <w:r w:rsidR="00262A25">
        <w:rPr>
          <w:snapToGrid/>
        </w:rPr>
        <w:t xml:space="preserve"> parent station</w:t>
      </w:r>
      <w:r w:rsidR="003C03CD">
        <w:rPr>
          <w:snapToGrid/>
        </w:rPr>
        <w:t>.</w:t>
      </w:r>
      <w:r w:rsidRPr="00883000">
        <w:rPr>
          <w:snapToGrid/>
        </w:rPr>
        <w:t xml:space="preserve">  </w:t>
      </w:r>
      <w:r w:rsidRPr="00CE3AA7" w:rsidR="00E80B98">
        <w:t xml:space="preserve">Under current rules, </w:t>
      </w:r>
      <w:r w:rsidR="000A312C">
        <w:t>authorized</w:t>
      </w:r>
      <w:r w:rsidRPr="00CE3AA7" w:rsidR="00E80B98">
        <w:t xml:space="preserve"> t</w:t>
      </w:r>
      <w:r w:rsidRPr="00CE3AA7" w:rsidR="00262A25">
        <w:t>elevision</w:t>
      </w:r>
      <w:r w:rsidR="00262A25">
        <w:rPr>
          <w:snapToGrid/>
        </w:rPr>
        <w:t xml:space="preserve"> sat</w:t>
      </w:r>
      <w:r w:rsidR="007512CC">
        <w:rPr>
          <w:snapToGrid/>
        </w:rPr>
        <w:t xml:space="preserve">ellite stations, which </w:t>
      </w:r>
      <w:r w:rsidR="005610BD">
        <w:rPr>
          <w:snapToGrid/>
        </w:rPr>
        <w:t xml:space="preserve">generally </w:t>
      </w:r>
      <w:r w:rsidR="007512CC">
        <w:rPr>
          <w:snapToGrid/>
        </w:rPr>
        <w:t>retransmit</w:t>
      </w:r>
      <w:r w:rsidR="00262A25">
        <w:rPr>
          <w:snapToGrid/>
        </w:rPr>
        <w:t xml:space="preserve"> some or all of the programming</w:t>
      </w:r>
      <w:r w:rsidR="00333052">
        <w:rPr>
          <w:snapToGrid/>
        </w:rPr>
        <w:t xml:space="preserve"> of their parent station, </w:t>
      </w:r>
      <w:r w:rsidR="000A312C">
        <w:t>are</w:t>
      </w:r>
      <w:r w:rsidR="00333052">
        <w:rPr>
          <w:snapToGrid/>
        </w:rPr>
        <w:t xml:space="preserve"> excepted</w:t>
      </w:r>
      <w:r w:rsidR="00262A25">
        <w:rPr>
          <w:snapToGrid/>
        </w:rPr>
        <w:t xml:space="preserve"> from media ownership limits.</w:t>
      </w:r>
      <w:r>
        <w:rPr>
          <w:rStyle w:val="FootnoteReference"/>
          <w:snapToGrid/>
          <w:kern w:val="0"/>
          <w:szCs w:val="22"/>
        </w:rPr>
        <w:footnoteReference w:id="3"/>
      </w:r>
      <w:r w:rsidR="00033272">
        <w:rPr>
          <w:snapToGrid/>
        </w:rPr>
        <w:t xml:space="preserve">  </w:t>
      </w:r>
      <w:r w:rsidR="004E4EAF">
        <w:rPr>
          <w:snapToGrid/>
        </w:rPr>
        <w:t>In order for the ex</w:t>
      </w:r>
      <w:r w:rsidR="005610BD">
        <w:rPr>
          <w:snapToGrid/>
        </w:rPr>
        <w:t>ception</w:t>
      </w:r>
      <w:r w:rsidR="004E4EAF">
        <w:rPr>
          <w:snapToGrid/>
        </w:rPr>
        <w:t xml:space="preserve"> to apply, a television station must obtain</w:t>
      </w:r>
      <w:r w:rsidR="0028154D">
        <w:rPr>
          <w:snapToGrid/>
        </w:rPr>
        <w:t xml:space="preserve"> </w:t>
      </w:r>
      <w:r w:rsidR="005610BD">
        <w:rPr>
          <w:snapToGrid/>
        </w:rPr>
        <w:t>authorization as a satellite from the Commission</w:t>
      </w:r>
      <w:r w:rsidR="008B5525">
        <w:rPr>
          <w:snapToGrid/>
        </w:rPr>
        <w:t>,</w:t>
      </w:r>
      <w:r w:rsidR="001D2188">
        <w:rPr>
          <w:snapToGrid/>
        </w:rPr>
        <w:t xml:space="preserve"> and </w:t>
      </w:r>
      <w:r w:rsidR="008B5525">
        <w:rPr>
          <w:snapToGrid/>
        </w:rPr>
        <w:t xml:space="preserve">it </w:t>
      </w:r>
      <w:r w:rsidR="001D2188">
        <w:rPr>
          <w:snapToGrid/>
        </w:rPr>
        <w:t xml:space="preserve">must be reauthorized as </w:t>
      </w:r>
      <w:r w:rsidR="007C5216">
        <w:rPr>
          <w:snapToGrid/>
        </w:rPr>
        <w:t xml:space="preserve">a </w:t>
      </w:r>
      <w:r w:rsidR="001D2188">
        <w:rPr>
          <w:snapToGrid/>
        </w:rPr>
        <w:t>satelli</w:t>
      </w:r>
      <w:r w:rsidR="008B5525">
        <w:rPr>
          <w:snapToGrid/>
        </w:rPr>
        <w:t>te at the time of assignment or</w:t>
      </w:r>
      <w:r w:rsidR="001D2188">
        <w:rPr>
          <w:snapToGrid/>
        </w:rPr>
        <w:t xml:space="preserve"> transfer of control</w:t>
      </w:r>
      <w:r w:rsidR="009A6E20">
        <w:rPr>
          <w:snapToGrid/>
        </w:rPr>
        <w:t xml:space="preserve">.  </w:t>
      </w:r>
      <w:r w:rsidR="007441C2">
        <w:rPr>
          <w:snapToGrid/>
          <w:szCs w:val="22"/>
        </w:rPr>
        <w:t xml:space="preserve">In response to the </w:t>
      </w:r>
      <w:r w:rsidRPr="00074232" w:rsidR="007441C2">
        <w:rPr>
          <w:snapToGrid/>
          <w:szCs w:val="22"/>
        </w:rPr>
        <w:t>Public Notice launching the Commission’s Modernization of Media Regulation Initiative</w:t>
      </w:r>
      <w:r w:rsidR="007441C2">
        <w:rPr>
          <w:snapToGrid/>
          <w:szCs w:val="22"/>
        </w:rPr>
        <w:t>,</w:t>
      </w:r>
      <w:r>
        <w:rPr>
          <w:snapToGrid/>
          <w:sz w:val="20"/>
          <w:vertAlign w:val="superscript"/>
        </w:rPr>
        <w:footnoteReference w:id="4"/>
      </w:r>
      <w:r w:rsidR="007441C2">
        <w:rPr>
          <w:snapToGrid/>
          <w:szCs w:val="22"/>
        </w:rPr>
        <w:t xml:space="preserve"> </w:t>
      </w:r>
      <w:r w:rsidR="00706DDA">
        <w:rPr>
          <w:snapToGrid/>
        </w:rPr>
        <w:t>commenters</w:t>
      </w:r>
      <w:r w:rsidR="007372B9">
        <w:rPr>
          <w:snapToGrid/>
        </w:rPr>
        <w:t xml:space="preserve"> assert that th</w:t>
      </w:r>
      <w:r w:rsidR="001D2188">
        <w:rPr>
          <w:snapToGrid/>
        </w:rPr>
        <w:t>e reauthorization of the satellite exception</w:t>
      </w:r>
      <w:r w:rsidR="00333052">
        <w:rPr>
          <w:snapToGrid/>
        </w:rPr>
        <w:t xml:space="preserve"> </w:t>
      </w:r>
      <w:r w:rsidR="007372B9">
        <w:rPr>
          <w:snapToGrid/>
        </w:rPr>
        <w:t>can be costly and burdensome for both the s</w:t>
      </w:r>
      <w:r w:rsidR="00655DB1">
        <w:rPr>
          <w:snapToGrid/>
        </w:rPr>
        <w:t>tation owner and the Commission.</w:t>
      </w:r>
      <w:r>
        <w:rPr>
          <w:rStyle w:val="FootnoteReference"/>
          <w:snapToGrid/>
        </w:rPr>
        <w:footnoteReference w:id="5"/>
      </w:r>
      <w:r w:rsidR="00655DB1">
        <w:rPr>
          <w:snapToGrid/>
        </w:rPr>
        <w:t xml:space="preserve"> </w:t>
      </w:r>
      <w:r w:rsidR="007372B9">
        <w:rPr>
          <w:snapToGrid/>
        </w:rPr>
        <w:t xml:space="preserve"> </w:t>
      </w:r>
      <w:r w:rsidR="00655DB1">
        <w:rPr>
          <w:snapToGrid/>
        </w:rPr>
        <w:t>W</w:t>
      </w:r>
      <w:r w:rsidR="00061390">
        <w:rPr>
          <w:snapToGrid/>
        </w:rPr>
        <w:t>e</w:t>
      </w:r>
      <w:r w:rsidR="00655DB1">
        <w:rPr>
          <w:snapToGrid/>
        </w:rPr>
        <w:t xml:space="preserve"> </w:t>
      </w:r>
      <w:r w:rsidR="00061390">
        <w:rPr>
          <w:snapToGrid/>
        </w:rPr>
        <w:t>propose to streamlin</w:t>
      </w:r>
      <w:r w:rsidR="00655DB1">
        <w:rPr>
          <w:snapToGrid/>
        </w:rPr>
        <w:t>e the</w:t>
      </w:r>
      <w:r w:rsidR="00E66B66">
        <w:rPr>
          <w:snapToGrid/>
        </w:rPr>
        <w:t xml:space="preserve"> </w:t>
      </w:r>
      <w:r w:rsidR="00655DB1">
        <w:rPr>
          <w:snapToGrid/>
        </w:rPr>
        <w:t>reauthorization process</w:t>
      </w:r>
      <w:r w:rsidR="00E66B66">
        <w:rPr>
          <w:snapToGrid/>
        </w:rPr>
        <w:t xml:space="preserve"> in order</w:t>
      </w:r>
      <w:r w:rsidR="00355BC1">
        <w:rPr>
          <w:snapToGrid/>
        </w:rPr>
        <w:t xml:space="preserve"> </w:t>
      </w:r>
      <w:r w:rsidR="0069286A">
        <w:rPr>
          <w:snapToGrid/>
        </w:rPr>
        <w:t xml:space="preserve">to eliminate </w:t>
      </w:r>
      <w:r w:rsidR="00174567">
        <w:t>potentially</w:t>
      </w:r>
      <w:r w:rsidRPr="00CE3AA7" w:rsidR="000D4A5B">
        <w:t xml:space="preserve"> </w:t>
      </w:r>
      <w:r w:rsidR="0069286A">
        <w:rPr>
          <w:snapToGrid/>
        </w:rPr>
        <w:t>needless regulatory expense and delay</w:t>
      </w:r>
      <w:r w:rsidR="0092169A">
        <w:rPr>
          <w:snapToGrid/>
        </w:rPr>
        <w:t>.</w:t>
      </w:r>
      <w:r w:rsidR="0069286A">
        <w:rPr>
          <w:snapToGrid/>
        </w:rPr>
        <w:t xml:space="preserve"> </w:t>
      </w:r>
      <w:r w:rsidR="0092169A">
        <w:rPr>
          <w:snapToGrid/>
        </w:rPr>
        <w:t xml:space="preserve"> </w:t>
      </w:r>
      <w:r w:rsidRPr="00883000">
        <w:rPr>
          <w:snapToGrid/>
        </w:rPr>
        <w:t xml:space="preserve">With this proceeding, we continue our </w:t>
      </w:r>
      <w:r w:rsidRPr="00DD0D53">
        <w:rPr>
          <w:snapToGrid/>
          <w:kern w:val="0"/>
          <w:szCs w:val="22"/>
        </w:rPr>
        <w:t>efforts</w:t>
      </w:r>
      <w:r w:rsidRPr="00883000">
        <w:rPr>
          <w:snapToGrid/>
        </w:rPr>
        <w:t xml:space="preserve"> to modernize our regulations and reduce unnecessary requirements that can impede competition and innovation in the media marketplace.</w:t>
      </w:r>
    </w:p>
    <w:p w:rsidR="00883000" w:rsidRPr="00883000" w:rsidP="00184679">
      <w:pPr>
        <w:pStyle w:val="Heading1"/>
      </w:pPr>
      <w:r w:rsidRPr="00883000">
        <w:t>BACKGROUND</w:t>
      </w:r>
    </w:p>
    <w:p w:rsidR="0099633A" w:rsidP="00F255F3">
      <w:pPr>
        <w:pStyle w:val="ParaNum"/>
        <w:widowControl/>
        <w:rPr>
          <w:snapToGrid/>
        </w:rPr>
      </w:pPr>
      <w:r w:rsidRPr="00CE3AA7">
        <w:rPr>
          <w:i/>
        </w:rPr>
        <w:t>Regulatory Treatment</w:t>
      </w:r>
      <w:r w:rsidR="009E4F71">
        <w:rPr>
          <w:i/>
          <w:snapToGrid/>
        </w:rPr>
        <w:t xml:space="preserve"> of Television Satellite Stations</w:t>
      </w:r>
      <w:r w:rsidRPr="008C0CFF" w:rsidR="008C0CFF">
        <w:rPr>
          <w:snapToGrid/>
        </w:rPr>
        <w:t xml:space="preserve">.  </w:t>
      </w:r>
      <w:r w:rsidR="00F80500">
        <w:rPr>
          <w:snapToGrid/>
        </w:rPr>
        <w:t>Television satellite stations are full-power terrestrial broadcast stations authorized under Part 73 of the Commission’s rules</w:t>
      </w:r>
      <w:r w:rsidR="001F6851">
        <w:rPr>
          <w:snapToGrid/>
        </w:rPr>
        <w:t xml:space="preserve"> that generally</w:t>
      </w:r>
      <w:r w:rsidR="00F80500">
        <w:rPr>
          <w:snapToGrid/>
        </w:rPr>
        <w:t xml:space="preserve"> retransmit some or all of the programming </w:t>
      </w:r>
      <w:r w:rsidR="008D383E">
        <w:rPr>
          <w:snapToGrid/>
        </w:rPr>
        <w:t>of another</w:t>
      </w:r>
      <w:r w:rsidR="00F80500">
        <w:rPr>
          <w:snapToGrid/>
        </w:rPr>
        <w:t xml:space="preserve"> television station</w:t>
      </w:r>
      <w:r w:rsidR="00363582">
        <w:rPr>
          <w:snapToGrid/>
        </w:rPr>
        <w:t xml:space="preserve">, known as the parent station, which typically is commonly </w:t>
      </w:r>
      <w:r w:rsidR="008D383E">
        <w:rPr>
          <w:snapToGrid/>
        </w:rPr>
        <w:t xml:space="preserve">owned or </w:t>
      </w:r>
      <w:r w:rsidR="00363582">
        <w:rPr>
          <w:snapToGrid/>
        </w:rPr>
        <w:t>operated with the satellite station</w:t>
      </w:r>
      <w:r w:rsidR="00F80500">
        <w:rPr>
          <w:snapToGrid/>
        </w:rPr>
        <w:t>.</w:t>
      </w:r>
      <w:r>
        <w:rPr>
          <w:rStyle w:val="FootnoteReference"/>
          <w:snapToGrid/>
        </w:rPr>
        <w:footnoteReference w:id="6"/>
      </w:r>
      <w:r w:rsidR="00F80500">
        <w:rPr>
          <w:snapToGrid/>
        </w:rPr>
        <w:t xml:space="preserve">  </w:t>
      </w:r>
      <w:r w:rsidR="00227C53">
        <w:t xml:space="preserve">The Commission initially authorized television satellite stations in sparsely populated areas with insufficient economic bases to </w:t>
      </w:r>
      <w:r w:rsidR="00227C53">
        <w:t xml:space="preserve">support full-service stations and more recently </w:t>
      </w:r>
      <w:r w:rsidRPr="00F255F3" w:rsidR="00227C53">
        <w:rPr>
          <w:snapToGrid/>
          <w:kern w:val="0"/>
          <w:szCs w:val="22"/>
        </w:rPr>
        <w:t>in</w:t>
      </w:r>
      <w:r w:rsidR="00227C53">
        <w:t xml:space="preserve"> larger markets when the proposed satellite could not operate as a full-service station.</w:t>
      </w:r>
      <w:r>
        <w:rPr>
          <w:rStyle w:val="FootnoteReference"/>
        </w:rPr>
        <w:footnoteReference w:id="7"/>
      </w:r>
      <w:r w:rsidR="00227C53">
        <w:t xml:space="preserve">  </w:t>
      </w:r>
      <w:r w:rsidR="007372B9">
        <w:rPr>
          <w:snapToGrid/>
        </w:rPr>
        <w:t>T</w:t>
      </w:r>
      <w:r w:rsidR="00F80500">
        <w:rPr>
          <w:snapToGrid/>
        </w:rPr>
        <w:t xml:space="preserve">elevision </w:t>
      </w:r>
      <w:r w:rsidR="00D42830">
        <w:rPr>
          <w:snapToGrid/>
        </w:rPr>
        <w:t xml:space="preserve">satellite stations </w:t>
      </w:r>
      <w:r w:rsidR="00EA557B">
        <w:rPr>
          <w:snapToGrid/>
        </w:rPr>
        <w:t xml:space="preserve">are </w:t>
      </w:r>
      <w:r w:rsidR="001F6851">
        <w:rPr>
          <w:snapToGrid/>
        </w:rPr>
        <w:t>excepted</w:t>
      </w:r>
      <w:r w:rsidR="00EA557B">
        <w:rPr>
          <w:snapToGrid/>
        </w:rPr>
        <w:t xml:space="preserve"> </w:t>
      </w:r>
      <w:r w:rsidR="00B5037B">
        <w:rPr>
          <w:snapToGrid/>
        </w:rPr>
        <w:t>from the local and national television multiple ownership limits</w:t>
      </w:r>
      <w:r w:rsidR="007372B9">
        <w:rPr>
          <w:snapToGrid/>
        </w:rPr>
        <w:t xml:space="preserve">, but from </w:t>
      </w:r>
      <w:r w:rsidR="00A4238A">
        <w:rPr>
          <w:snapToGrid/>
        </w:rPr>
        <w:t>a practical perspective</w:t>
      </w:r>
      <w:r w:rsidR="00803723">
        <w:rPr>
          <w:snapToGrid/>
        </w:rPr>
        <w:t xml:space="preserve">, </w:t>
      </w:r>
      <w:r w:rsidR="001B3000">
        <w:rPr>
          <w:snapToGrid/>
        </w:rPr>
        <w:t xml:space="preserve">the </w:t>
      </w:r>
      <w:r w:rsidR="00F61E1D">
        <w:rPr>
          <w:snapToGrid/>
        </w:rPr>
        <w:t>ownership</w:t>
      </w:r>
      <w:r w:rsidR="008D383E">
        <w:rPr>
          <w:snapToGrid/>
        </w:rPr>
        <w:t xml:space="preserve"> </w:t>
      </w:r>
      <w:r w:rsidR="00CD4628">
        <w:rPr>
          <w:snapToGrid/>
        </w:rPr>
        <w:t>exception</w:t>
      </w:r>
      <w:r w:rsidR="00595626">
        <w:rPr>
          <w:snapToGrid/>
        </w:rPr>
        <w:t xml:space="preserve"> is significant</w:t>
      </w:r>
      <w:r w:rsidR="00AE75E4">
        <w:rPr>
          <w:snapToGrid/>
        </w:rPr>
        <w:t xml:space="preserve"> </w:t>
      </w:r>
      <w:r w:rsidR="00595626">
        <w:rPr>
          <w:snapToGrid/>
        </w:rPr>
        <w:t xml:space="preserve">only </w:t>
      </w:r>
      <w:r w:rsidR="00A4238A">
        <w:rPr>
          <w:snapToGrid/>
        </w:rPr>
        <w:t>for purposes of</w:t>
      </w:r>
      <w:r w:rsidR="00595626">
        <w:rPr>
          <w:snapToGrid/>
        </w:rPr>
        <w:t xml:space="preserve"> </w:t>
      </w:r>
      <w:r w:rsidR="007A0360">
        <w:rPr>
          <w:snapToGrid/>
        </w:rPr>
        <w:t xml:space="preserve">the </w:t>
      </w:r>
      <w:r w:rsidR="007372B9">
        <w:rPr>
          <w:snapToGrid/>
        </w:rPr>
        <w:t>L</w:t>
      </w:r>
      <w:r w:rsidR="00803723">
        <w:rPr>
          <w:snapToGrid/>
        </w:rPr>
        <w:t>ocal</w:t>
      </w:r>
      <w:r w:rsidR="007A0360">
        <w:rPr>
          <w:snapToGrid/>
        </w:rPr>
        <w:t xml:space="preserve"> </w:t>
      </w:r>
      <w:r w:rsidR="007372B9">
        <w:rPr>
          <w:snapToGrid/>
        </w:rPr>
        <w:t>T</w:t>
      </w:r>
      <w:r w:rsidR="007A0360">
        <w:rPr>
          <w:snapToGrid/>
        </w:rPr>
        <w:t xml:space="preserve">elevision </w:t>
      </w:r>
      <w:r w:rsidR="007372B9">
        <w:rPr>
          <w:snapToGrid/>
        </w:rPr>
        <w:t>O</w:t>
      </w:r>
      <w:r w:rsidR="007A0360">
        <w:rPr>
          <w:snapToGrid/>
        </w:rPr>
        <w:t xml:space="preserve">wnership </w:t>
      </w:r>
      <w:r w:rsidR="007372B9">
        <w:rPr>
          <w:snapToGrid/>
        </w:rPr>
        <w:t>R</w:t>
      </w:r>
      <w:r w:rsidR="007A0360">
        <w:rPr>
          <w:snapToGrid/>
        </w:rPr>
        <w:t>ule.</w:t>
      </w:r>
      <w:r>
        <w:rPr>
          <w:rStyle w:val="FootnoteReference"/>
          <w:sz w:val="22"/>
        </w:rPr>
        <w:footnoteReference w:id="8"/>
      </w:r>
      <w:r w:rsidR="00227C53">
        <w:t xml:space="preserve">  </w:t>
      </w:r>
    </w:p>
    <w:p w:rsidR="00174567" w:rsidRPr="00174567" w:rsidP="00F255F3">
      <w:pPr>
        <w:pStyle w:val="ParaNum"/>
        <w:widowControl/>
      </w:pPr>
      <w:r>
        <w:rPr>
          <w:snapToGrid/>
        </w:rPr>
        <w:t xml:space="preserve">In 1991, the Commission revised the standards </w:t>
      </w:r>
      <w:r w:rsidR="00C001FF">
        <w:rPr>
          <w:snapToGrid/>
        </w:rPr>
        <w:t>for</w:t>
      </w:r>
      <w:r w:rsidR="00D42830">
        <w:rPr>
          <w:snapToGrid/>
        </w:rPr>
        <w:t xml:space="preserve"> </w:t>
      </w:r>
      <w:r w:rsidR="00C001FF">
        <w:rPr>
          <w:snapToGrid/>
        </w:rPr>
        <w:t>television stations seeking</w:t>
      </w:r>
      <w:r>
        <w:rPr>
          <w:snapToGrid/>
        </w:rPr>
        <w:t xml:space="preserve"> s</w:t>
      </w:r>
      <w:r w:rsidR="00F80500">
        <w:rPr>
          <w:snapToGrid/>
        </w:rPr>
        <w:t>atellite</w:t>
      </w:r>
      <w:r w:rsidR="00051C4D">
        <w:rPr>
          <w:snapToGrid/>
        </w:rPr>
        <w:t xml:space="preserve"> status</w:t>
      </w:r>
      <w:r w:rsidR="00D42830">
        <w:rPr>
          <w:snapToGrid/>
        </w:rPr>
        <w:t xml:space="preserve"> </w:t>
      </w:r>
      <w:r w:rsidR="00BD645D">
        <w:rPr>
          <w:snapToGrid/>
        </w:rPr>
        <w:t xml:space="preserve">and the corresponding </w:t>
      </w:r>
      <w:r w:rsidR="00F61E1D">
        <w:rPr>
          <w:snapToGrid/>
        </w:rPr>
        <w:t>ownership</w:t>
      </w:r>
      <w:r w:rsidR="00D42830">
        <w:rPr>
          <w:snapToGrid/>
        </w:rPr>
        <w:t xml:space="preserve"> e</w:t>
      </w:r>
      <w:r w:rsidR="001F6851">
        <w:rPr>
          <w:snapToGrid/>
        </w:rPr>
        <w:t>xception</w:t>
      </w:r>
      <w:r w:rsidR="00F80500">
        <w:rPr>
          <w:snapToGrid/>
        </w:rPr>
        <w:t>.</w:t>
      </w:r>
      <w:r>
        <w:rPr>
          <w:rStyle w:val="FootnoteReference"/>
          <w:snapToGrid/>
        </w:rPr>
        <w:footnoteReference w:id="9"/>
      </w:r>
      <w:r w:rsidR="00C001FF">
        <w:rPr>
          <w:snapToGrid/>
        </w:rPr>
        <w:t xml:space="preserve">  </w:t>
      </w:r>
      <w:r w:rsidR="001F6851">
        <w:rPr>
          <w:snapToGrid/>
        </w:rPr>
        <w:t>The</w:t>
      </w:r>
      <w:r w:rsidR="00CD4628">
        <w:rPr>
          <w:snapToGrid/>
        </w:rPr>
        <w:t xml:space="preserve"> </w:t>
      </w:r>
      <w:r w:rsidR="00C07693">
        <w:rPr>
          <w:snapToGrid/>
        </w:rPr>
        <w:t>Commission</w:t>
      </w:r>
      <w:r w:rsidR="0097053F">
        <w:rPr>
          <w:snapToGrid/>
        </w:rPr>
        <w:t xml:space="preserve"> adopted a</w:t>
      </w:r>
      <w:r w:rsidR="00BE7DF2">
        <w:rPr>
          <w:snapToGrid/>
        </w:rPr>
        <w:t xml:space="preserve"> </w:t>
      </w:r>
      <w:r w:rsidR="00816E79">
        <w:rPr>
          <w:snapToGrid/>
        </w:rPr>
        <w:t xml:space="preserve">rebuttable </w:t>
      </w:r>
      <w:r w:rsidR="00BE7DF2">
        <w:rPr>
          <w:snapToGrid/>
        </w:rPr>
        <w:t>pres</w:t>
      </w:r>
      <w:r w:rsidR="00DF7FEC">
        <w:rPr>
          <w:snapToGrid/>
        </w:rPr>
        <w:t xml:space="preserve">umption that stations </w:t>
      </w:r>
      <w:r w:rsidR="00505B9C">
        <w:rPr>
          <w:snapToGrid/>
        </w:rPr>
        <w:t xml:space="preserve">would </w:t>
      </w:r>
      <w:r w:rsidR="00DF7FEC">
        <w:rPr>
          <w:snapToGrid/>
        </w:rPr>
        <w:t>qualify for satellite status if</w:t>
      </w:r>
      <w:r w:rsidR="00505B9C">
        <w:rPr>
          <w:snapToGrid/>
        </w:rPr>
        <w:t>:  (1) there wa</w:t>
      </w:r>
      <w:r w:rsidR="00CD5493">
        <w:rPr>
          <w:snapToGrid/>
        </w:rPr>
        <w:t xml:space="preserve">s no </w:t>
      </w:r>
      <w:r w:rsidR="00983659">
        <w:rPr>
          <w:snapToGrid/>
        </w:rPr>
        <w:t>City Grade</w:t>
      </w:r>
      <w:r w:rsidR="00DF7FEC">
        <w:rPr>
          <w:snapToGrid/>
        </w:rPr>
        <w:t xml:space="preserve"> overlap between the parent and the satellite</w:t>
      </w:r>
      <w:r w:rsidR="00C9561A">
        <w:rPr>
          <w:snapToGrid/>
        </w:rPr>
        <w:t xml:space="preserve"> station</w:t>
      </w:r>
      <w:r w:rsidR="00DF7FEC">
        <w:rPr>
          <w:snapToGrid/>
        </w:rPr>
        <w:t>; (2)</w:t>
      </w:r>
      <w:r w:rsidR="00C001FF">
        <w:rPr>
          <w:snapToGrid/>
        </w:rPr>
        <w:t> </w:t>
      </w:r>
      <w:r w:rsidR="00DF7FEC">
        <w:rPr>
          <w:snapToGrid/>
        </w:rPr>
        <w:t>the</w:t>
      </w:r>
      <w:r w:rsidR="0099633A">
        <w:rPr>
          <w:snapToGrid/>
        </w:rPr>
        <w:t xml:space="preserve"> satellite </w:t>
      </w:r>
      <w:r w:rsidR="00C9561A">
        <w:rPr>
          <w:snapToGrid/>
        </w:rPr>
        <w:t xml:space="preserve">station </w:t>
      </w:r>
      <w:r w:rsidR="00E8581B">
        <w:rPr>
          <w:snapToGrid/>
        </w:rPr>
        <w:t>serve</w:t>
      </w:r>
      <w:r w:rsidR="0099633A">
        <w:rPr>
          <w:snapToGrid/>
        </w:rPr>
        <w:t>d</w:t>
      </w:r>
      <w:r w:rsidR="00E8581B">
        <w:rPr>
          <w:snapToGrid/>
        </w:rPr>
        <w:t xml:space="preserve"> an</w:t>
      </w:r>
      <w:r w:rsidR="00DF7FEC">
        <w:rPr>
          <w:snapToGrid/>
        </w:rPr>
        <w:t xml:space="preserve"> underserved area; and (3)</w:t>
      </w:r>
      <w:r w:rsidR="00505B9C">
        <w:rPr>
          <w:snapToGrid/>
        </w:rPr>
        <w:t xml:space="preserve"> no alternative operator wa</w:t>
      </w:r>
      <w:r w:rsidR="00DF7FEC">
        <w:rPr>
          <w:snapToGrid/>
        </w:rPr>
        <w:t xml:space="preserve">s ready and able to construct or to purchase and operate the satellite </w:t>
      </w:r>
      <w:r w:rsidR="00C9561A">
        <w:rPr>
          <w:snapToGrid/>
        </w:rPr>
        <w:t xml:space="preserve">station </w:t>
      </w:r>
      <w:r w:rsidR="00DF7FEC">
        <w:rPr>
          <w:snapToGrid/>
        </w:rPr>
        <w:t>as a full-service station.</w:t>
      </w:r>
      <w:r>
        <w:rPr>
          <w:rStyle w:val="FootnoteReference"/>
          <w:snapToGrid/>
        </w:rPr>
        <w:footnoteReference w:id="10"/>
      </w:r>
      <w:r w:rsidR="00393F95">
        <w:rPr>
          <w:snapToGrid/>
        </w:rPr>
        <w:t xml:space="preserve"> </w:t>
      </w:r>
      <w:r w:rsidR="00C56BF2">
        <w:rPr>
          <w:snapToGrid/>
        </w:rPr>
        <w:t xml:space="preserve"> </w:t>
      </w:r>
      <w:r w:rsidRPr="00CE3AA7" w:rsidR="003B638A">
        <w:t xml:space="preserve">The Commission established detailed </w:t>
      </w:r>
      <w:r w:rsidRPr="00F255F3" w:rsidR="003B638A">
        <w:rPr>
          <w:snapToGrid/>
        </w:rPr>
        <w:t>evidentiary</w:t>
      </w:r>
      <w:r w:rsidRPr="00CE3AA7" w:rsidR="003B638A">
        <w:t xml:space="preserve"> standards for meeting the second and third criteria</w:t>
      </w:r>
      <w:r w:rsidR="00984199">
        <w:t>.</w:t>
      </w:r>
      <w:r>
        <w:rPr>
          <w:rStyle w:val="FootnoteReference"/>
        </w:rPr>
        <w:footnoteReference w:id="11"/>
      </w:r>
      <w:r w:rsidRPr="00CE3AA7" w:rsidR="003B638A">
        <w:t xml:space="preserve"> </w:t>
      </w:r>
      <w:r w:rsidRPr="00CE3AA7" w:rsidR="0099633A">
        <w:t xml:space="preserve"> </w:t>
      </w:r>
      <w:r w:rsidRPr="00CE3AA7" w:rsidR="00BB6136">
        <w:rPr>
          <w:color w:val="000000"/>
        </w:rPr>
        <w:t>If an applicant c</w:t>
      </w:r>
      <w:r w:rsidR="00984199">
        <w:rPr>
          <w:color w:val="000000"/>
        </w:rPr>
        <w:t>ould not</w:t>
      </w:r>
      <w:r w:rsidRPr="00CE3AA7" w:rsidR="00BB6136">
        <w:rPr>
          <w:color w:val="000000"/>
        </w:rPr>
        <w:t xml:space="preserve"> qualify for the presumption, the Commission w</w:t>
      </w:r>
      <w:r w:rsidR="00984199">
        <w:rPr>
          <w:color w:val="000000"/>
        </w:rPr>
        <w:t>ould</w:t>
      </w:r>
      <w:r w:rsidRPr="00CE3AA7" w:rsidR="00BB6136">
        <w:rPr>
          <w:color w:val="000000"/>
        </w:rPr>
        <w:t xml:space="preserve"> evaluate the proposal on an </w:t>
      </w:r>
      <w:r w:rsidRPr="00CE3AA7" w:rsidR="00BB6136">
        <w:rPr>
          <w:i/>
          <w:iCs/>
          <w:color w:val="000000"/>
        </w:rPr>
        <w:t>ad hoc</w:t>
      </w:r>
      <w:r w:rsidRPr="00CE3AA7" w:rsidR="00BB6136">
        <w:rPr>
          <w:color w:val="000000"/>
        </w:rPr>
        <w:t xml:space="preserve"> basis and grant the application if there </w:t>
      </w:r>
      <w:r w:rsidR="00984199">
        <w:rPr>
          <w:color w:val="000000"/>
        </w:rPr>
        <w:t>were</w:t>
      </w:r>
      <w:r w:rsidRPr="00CE3AA7" w:rsidR="00BB6136">
        <w:rPr>
          <w:color w:val="000000"/>
        </w:rPr>
        <w:t xml:space="preserve"> compelling circumstances warrant</w:t>
      </w:r>
      <w:r w:rsidR="00984199">
        <w:rPr>
          <w:color w:val="000000"/>
        </w:rPr>
        <w:t>ing</w:t>
      </w:r>
      <w:r w:rsidRPr="00CE3AA7" w:rsidR="00BB6136">
        <w:rPr>
          <w:color w:val="000000"/>
        </w:rPr>
        <w:t xml:space="preserve"> approval.</w:t>
      </w:r>
      <w:r>
        <w:rPr>
          <w:rStyle w:val="FootnoteReference"/>
          <w:sz w:val="22"/>
        </w:rPr>
        <w:footnoteReference w:id="12"/>
      </w:r>
      <w:r w:rsidRPr="00CE3AA7" w:rsidR="00BB6136">
        <w:rPr>
          <w:color w:val="000000"/>
        </w:rPr>
        <w:t xml:space="preserve"> </w:t>
      </w:r>
      <w:r w:rsidR="0099633A">
        <w:rPr>
          <w:snapToGrid/>
        </w:rPr>
        <w:t xml:space="preserve"> </w:t>
      </w:r>
    </w:p>
    <w:p w:rsidR="00883000" w:rsidRPr="0036101E" w:rsidP="00F255F3">
      <w:pPr>
        <w:pStyle w:val="ParaNum"/>
        <w:widowControl/>
        <w:rPr>
          <w:snapToGrid/>
        </w:rPr>
      </w:pPr>
      <w:r>
        <w:t>To help</w:t>
      </w:r>
      <w:r w:rsidR="0099633A">
        <w:t xml:space="preserve"> encourag</w:t>
      </w:r>
      <w:r>
        <w:t>e</w:t>
      </w:r>
      <w:r w:rsidR="0099633A">
        <w:t xml:space="preserve"> satellite stations to air more of their own pro</w:t>
      </w:r>
      <w:r w:rsidR="002D6FF6">
        <w:t xml:space="preserve">gramming, the Commission </w:t>
      </w:r>
      <w:r w:rsidR="00057CF1">
        <w:t xml:space="preserve">eliminated </w:t>
      </w:r>
      <w:r w:rsidR="0099633A">
        <w:t xml:space="preserve">the </w:t>
      </w:r>
      <w:r w:rsidR="002D6FF6">
        <w:t xml:space="preserve">previous </w:t>
      </w:r>
      <w:r w:rsidR="0099633A">
        <w:t>requirement that no more than five percent of a station’s programming could be locally originated in order for the station to maintain its satellite status.</w:t>
      </w:r>
      <w:r>
        <w:rPr>
          <w:rStyle w:val="FootnoteReference"/>
        </w:rPr>
        <w:footnoteReference w:id="13"/>
      </w:r>
      <w:r w:rsidR="0099633A">
        <w:t xml:space="preserve">  </w:t>
      </w:r>
      <w:r w:rsidR="00816E79">
        <w:t xml:space="preserve">The Commission </w:t>
      </w:r>
      <w:r w:rsidR="00132D0D">
        <w:t xml:space="preserve">stated that </w:t>
      </w:r>
      <w:r w:rsidR="00816E79">
        <w:t>allowing satellite stations to exceed</w:t>
      </w:r>
      <w:r w:rsidR="007F4EAD">
        <w:t xml:space="preserve"> that</w:t>
      </w:r>
      <w:r w:rsidR="00254732">
        <w:t xml:space="preserve"> limit</w:t>
      </w:r>
      <w:r w:rsidR="008147D1">
        <w:t xml:space="preserve"> </w:t>
      </w:r>
      <w:r w:rsidR="00132D0D">
        <w:t>would promote its diversity and localism goals</w:t>
      </w:r>
      <w:r w:rsidR="00174567">
        <w:t>.  It</w:t>
      </w:r>
      <w:r w:rsidR="00132D0D">
        <w:t xml:space="preserve"> recognized</w:t>
      </w:r>
      <w:r w:rsidR="00174567">
        <w:t xml:space="preserve">, </w:t>
      </w:r>
      <w:r w:rsidRPr="00F255F3" w:rsidR="00174567">
        <w:rPr>
          <w:snapToGrid/>
          <w:kern w:val="0"/>
          <w:szCs w:val="22"/>
        </w:rPr>
        <w:t>however</w:t>
      </w:r>
      <w:r w:rsidR="00174567">
        <w:t>,</w:t>
      </w:r>
      <w:r w:rsidR="00132D0D">
        <w:t xml:space="preserve"> that </w:t>
      </w:r>
      <w:r w:rsidRPr="00CE3AA7" w:rsidR="00132D0D">
        <w:t xml:space="preserve">its action </w:t>
      </w:r>
      <w:r w:rsidRPr="00CE3AA7" w:rsidR="008147D1">
        <w:t xml:space="preserve">had </w:t>
      </w:r>
      <w:r w:rsidRPr="00CE3AA7" w:rsidR="00057CF1">
        <w:t xml:space="preserve">potential </w:t>
      </w:r>
      <w:r w:rsidRPr="00CE3AA7" w:rsidR="008147D1">
        <w:t xml:space="preserve">ramifications for subsequent </w:t>
      </w:r>
      <w:r w:rsidRPr="00CE3AA7" w:rsidR="007F4EAD">
        <w:t>transfers or assignments of</w:t>
      </w:r>
      <w:r w:rsidRPr="00CE3AA7" w:rsidR="008147D1">
        <w:t xml:space="preserve"> such stations</w:t>
      </w:r>
      <w:r w:rsidR="00174567">
        <w:t xml:space="preserve"> because</w:t>
      </w:r>
      <w:r w:rsidRPr="00CE3AA7" w:rsidR="009E0921">
        <w:t xml:space="preserve"> a satellite station </w:t>
      </w:r>
      <w:r w:rsidR="00174567">
        <w:t>could</w:t>
      </w:r>
      <w:r w:rsidRPr="00CE3AA7" w:rsidR="009E0921">
        <w:t xml:space="preserve"> become </w:t>
      </w:r>
      <w:r w:rsidR="00174567">
        <w:t>more like</w:t>
      </w:r>
      <w:r w:rsidRPr="00CE3AA7" w:rsidR="00174567">
        <w:t xml:space="preserve"> </w:t>
      </w:r>
      <w:r w:rsidRPr="00CE3AA7" w:rsidR="009E0921">
        <w:t>a full-service station based on its origination of local programming</w:t>
      </w:r>
      <w:r w:rsidRPr="00CE3AA7" w:rsidR="008147D1">
        <w:t>.</w:t>
      </w:r>
      <w:r>
        <w:rPr>
          <w:rStyle w:val="FootnoteReference"/>
        </w:rPr>
        <w:footnoteReference w:id="14"/>
      </w:r>
      <w:r w:rsidR="0058558B">
        <w:t xml:space="preserve">  </w:t>
      </w:r>
      <w:r w:rsidR="007E24FD">
        <w:t xml:space="preserve">Accordingly, it required applicants seeking to transfer or assign a </w:t>
      </w:r>
      <w:r w:rsidR="00984199">
        <w:t>parent/</w:t>
      </w:r>
      <w:r w:rsidR="007E24FD">
        <w:t xml:space="preserve">satellite </w:t>
      </w:r>
      <w:r w:rsidRPr="00F255F3" w:rsidR="00984199">
        <w:rPr>
          <w:snapToGrid/>
        </w:rPr>
        <w:t>combination</w:t>
      </w:r>
      <w:r w:rsidR="00984199">
        <w:t xml:space="preserve"> that otherwise would violate the Local Television Ownership Rule</w:t>
      </w:r>
      <w:r w:rsidR="007E24FD">
        <w:t xml:space="preserve"> to demonstrate that the conditions </w:t>
      </w:r>
      <w:r w:rsidR="00835CBA">
        <w:t xml:space="preserve">that had </w:t>
      </w:r>
      <w:r w:rsidR="007E24FD">
        <w:t>warrant</w:t>
      </w:r>
      <w:r w:rsidR="00835CBA">
        <w:t>ed</w:t>
      </w:r>
      <w:r w:rsidR="007E24FD">
        <w:t xml:space="preserve"> satellite status under the </w:t>
      </w:r>
      <w:r w:rsidRPr="007E24FD" w:rsidR="007E24FD">
        <w:rPr>
          <w:i/>
        </w:rPr>
        <w:t>Satellite Stations Order</w:t>
      </w:r>
      <w:r w:rsidR="007E24FD">
        <w:t xml:space="preserve"> continued to exist at the time of </w:t>
      </w:r>
      <w:r w:rsidR="00BD645D">
        <w:t xml:space="preserve">any </w:t>
      </w:r>
      <w:r w:rsidR="00C9561A">
        <w:t xml:space="preserve">subsequent </w:t>
      </w:r>
      <w:r w:rsidR="007E24FD">
        <w:t>transfer or assignment.</w:t>
      </w:r>
      <w:r>
        <w:rPr>
          <w:rStyle w:val="FootnoteReference"/>
        </w:rPr>
        <w:footnoteReference w:id="15"/>
      </w:r>
      <w:r w:rsidR="001F5412">
        <w:t xml:space="preserve"> </w:t>
      </w:r>
    </w:p>
    <w:p w:rsidR="0036101E" w:rsidRPr="008C0CFF" w:rsidP="00F255F3">
      <w:pPr>
        <w:pStyle w:val="ParaNum"/>
        <w:widowControl/>
        <w:rPr>
          <w:snapToGrid/>
        </w:rPr>
      </w:pPr>
      <w:r>
        <w:t xml:space="preserve">The transition to digital television service </w:t>
      </w:r>
      <w:r w:rsidR="002709DB">
        <w:t xml:space="preserve">in 2009 </w:t>
      </w:r>
      <w:r>
        <w:t>complicated the assessment of the first prong of t</w:t>
      </w:r>
      <w:r w:rsidR="00AE49EB">
        <w:t>he Commission’s presumptive standard</w:t>
      </w:r>
      <w:r>
        <w:t xml:space="preserve"> in that there is no digital counterpart to a station</w:t>
      </w:r>
      <w:r w:rsidR="00884837">
        <w:t xml:space="preserve">’s analog </w:t>
      </w:r>
      <w:r w:rsidR="00D6156C">
        <w:t>City Grade</w:t>
      </w:r>
      <w:r w:rsidR="00884837">
        <w:t xml:space="preserve"> contour.  </w:t>
      </w:r>
      <w:r w:rsidRPr="00F255F3" w:rsidR="00884837">
        <w:rPr>
          <w:snapToGrid/>
        </w:rPr>
        <w:t>Accordingly</w:t>
      </w:r>
      <w:r w:rsidR="00884837">
        <w:t>, i</w:t>
      </w:r>
      <w:r>
        <w:t xml:space="preserve">n the 2010/2014 </w:t>
      </w:r>
      <w:r w:rsidR="00653430">
        <w:t>Q</w:t>
      </w:r>
      <w:r>
        <w:t xml:space="preserve">uadrennial </w:t>
      </w:r>
      <w:r w:rsidR="00653430">
        <w:t>Review proceeding</w:t>
      </w:r>
      <w:r>
        <w:t>, the Commission clarified that, consistent with case law developed after the transition, it w</w:t>
      </w:r>
      <w:r w:rsidR="00AE49EB">
        <w:t>ill evaluate requests for new and</w:t>
      </w:r>
      <w:r>
        <w:t xml:space="preserve"> continued satellite status on an </w:t>
      </w:r>
      <w:r w:rsidRPr="00CE6957">
        <w:rPr>
          <w:i/>
        </w:rPr>
        <w:t>ad hoc</w:t>
      </w:r>
      <w:r>
        <w:t xml:space="preserve"> basis</w:t>
      </w:r>
      <w:r w:rsidR="00182FC3">
        <w:t>,</w:t>
      </w:r>
      <w:r>
        <w:rPr>
          <w:rStyle w:val="FootnoteReference"/>
        </w:rPr>
        <w:footnoteReference w:id="16"/>
      </w:r>
      <w:r w:rsidR="007B7128">
        <w:t xml:space="preserve">  </w:t>
      </w:r>
      <w:r w:rsidR="00806178">
        <w:t>while</w:t>
      </w:r>
      <w:r w:rsidR="00182FC3">
        <w:t>, as a practical matter,</w:t>
      </w:r>
      <w:r w:rsidR="00806178">
        <w:t xml:space="preserve"> </w:t>
      </w:r>
      <w:r w:rsidR="00884837">
        <w:t xml:space="preserve">the second and third prongs of the Commission’s </w:t>
      </w:r>
      <w:r w:rsidRPr="00F255F3" w:rsidR="00884837">
        <w:rPr>
          <w:snapToGrid/>
          <w:kern w:val="0"/>
          <w:szCs w:val="22"/>
        </w:rPr>
        <w:t>presumptive</w:t>
      </w:r>
      <w:r w:rsidR="00884837">
        <w:t xml:space="preserve"> standard </w:t>
      </w:r>
      <w:r w:rsidR="00975716">
        <w:t>still serve</w:t>
      </w:r>
      <w:r w:rsidR="00884837">
        <w:t xml:space="preserve"> as guidelines</w:t>
      </w:r>
      <w:r w:rsidR="00806178">
        <w:t xml:space="preserve"> under the</w:t>
      </w:r>
      <w:r w:rsidR="00884837">
        <w:t xml:space="preserve"> </w:t>
      </w:r>
      <w:r w:rsidRPr="00CE6957" w:rsidR="00884837">
        <w:rPr>
          <w:i/>
        </w:rPr>
        <w:t>ad hoc</w:t>
      </w:r>
      <w:r w:rsidR="00884837">
        <w:t xml:space="preserve"> review.  </w:t>
      </w:r>
      <w:r w:rsidR="007B7128">
        <w:t>T</w:t>
      </w:r>
      <w:r w:rsidR="0077387B">
        <w:t>his shift</w:t>
      </w:r>
      <w:r w:rsidR="00884837">
        <w:t xml:space="preserve"> in approach </w:t>
      </w:r>
      <w:r w:rsidR="00081637">
        <w:t xml:space="preserve">did </w:t>
      </w:r>
      <w:r w:rsidR="007B7128">
        <w:t xml:space="preserve">not change </w:t>
      </w:r>
      <w:r w:rsidR="00081637">
        <w:t xml:space="preserve">the </w:t>
      </w:r>
      <w:r w:rsidR="0077387B">
        <w:t xml:space="preserve">burden of proof </w:t>
      </w:r>
      <w:r w:rsidR="0001536A">
        <w:t xml:space="preserve">for initial satellite station authorizations </w:t>
      </w:r>
      <w:r w:rsidR="00FF5589">
        <w:t xml:space="preserve">or requests for continued </w:t>
      </w:r>
      <w:r w:rsidR="0001536A">
        <w:t>satellite status</w:t>
      </w:r>
      <w:r w:rsidRPr="00AE49EB" w:rsidR="0001536A">
        <w:t xml:space="preserve"> </w:t>
      </w:r>
      <w:r w:rsidR="00FF5589">
        <w:t xml:space="preserve">in the </w:t>
      </w:r>
      <w:r w:rsidR="0001536A">
        <w:t>transfer or assign</w:t>
      </w:r>
      <w:r w:rsidR="00FF5589">
        <w:t>ment context</w:t>
      </w:r>
      <w:r w:rsidR="0001536A">
        <w:t>.</w:t>
      </w:r>
      <w:r w:rsidR="00884837">
        <w:t xml:space="preserve">  </w:t>
      </w:r>
    </w:p>
    <w:p w:rsidR="00883000" w:rsidRPr="00883000" w:rsidP="00F255F3">
      <w:pPr>
        <w:pStyle w:val="ParaNum"/>
        <w:widowControl/>
        <w:rPr>
          <w:snapToGrid/>
          <w:kern w:val="0"/>
          <w:szCs w:val="22"/>
        </w:rPr>
      </w:pPr>
      <w:r w:rsidRPr="00883000">
        <w:rPr>
          <w:i/>
          <w:snapToGrid/>
          <w:kern w:val="0"/>
          <w:szCs w:val="22"/>
        </w:rPr>
        <w:t xml:space="preserve">Modernization of Media Regulation Initiative.  </w:t>
      </w:r>
      <w:r w:rsidRPr="00883000">
        <w:rPr>
          <w:snapToGrid/>
          <w:kern w:val="0"/>
          <w:szCs w:val="22"/>
        </w:rPr>
        <w:t xml:space="preserve">In May 2017, the Commission issued a Public Notice launching a review of its media regulations to eliminate or modify </w:t>
      </w:r>
      <w:r w:rsidR="00BD645D">
        <w:rPr>
          <w:snapToGrid/>
          <w:kern w:val="0"/>
          <w:szCs w:val="22"/>
        </w:rPr>
        <w:t>rules</w:t>
      </w:r>
      <w:r w:rsidRPr="00883000" w:rsidR="00BD645D">
        <w:rPr>
          <w:snapToGrid/>
          <w:kern w:val="0"/>
          <w:szCs w:val="22"/>
        </w:rPr>
        <w:t xml:space="preserve"> </w:t>
      </w:r>
      <w:r w:rsidRPr="00883000">
        <w:rPr>
          <w:snapToGrid/>
          <w:kern w:val="0"/>
          <w:szCs w:val="22"/>
        </w:rPr>
        <w:t>that are outdated, unnecessary</w:t>
      </w:r>
      <w:r w:rsidR="00B23926">
        <w:rPr>
          <w:snapToGrid/>
          <w:kern w:val="0"/>
          <w:szCs w:val="22"/>
        </w:rPr>
        <w:t>,</w:t>
      </w:r>
      <w:r w:rsidRPr="00883000">
        <w:rPr>
          <w:snapToGrid/>
          <w:kern w:val="0"/>
          <w:szCs w:val="22"/>
        </w:rPr>
        <w:t xml:space="preserve"> or unduly burdensome.</w:t>
      </w:r>
      <w:r>
        <w:rPr>
          <w:snapToGrid/>
          <w:kern w:val="0"/>
          <w:szCs w:val="22"/>
          <w:vertAlign w:val="superscript"/>
        </w:rPr>
        <w:footnoteReference w:id="17"/>
      </w:r>
      <w:r w:rsidRPr="00883000">
        <w:rPr>
          <w:snapToGrid/>
          <w:kern w:val="0"/>
          <w:szCs w:val="22"/>
        </w:rPr>
        <w:t xml:space="preserve">  In response to that Public Notice, </w:t>
      </w:r>
      <w:r w:rsidR="0080073D">
        <w:rPr>
          <w:snapToGrid/>
          <w:kern w:val="0"/>
          <w:szCs w:val="22"/>
        </w:rPr>
        <w:t xml:space="preserve">Gray </w:t>
      </w:r>
      <w:r w:rsidR="002A344A">
        <w:rPr>
          <w:snapToGrid/>
          <w:kern w:val="0"/>
          <w:szCs w:val="22"/>
        </w:rPr>
        <w:t>urges</w:t>
      </w:r>
      <w:r w:rsidRPr="00883000">
        <w:rPr>
          <w:snapToGrid/>
          <w:kern w:val="0"/>
          <w:szCs w:val="22"/>
        </w:rPr>
        <w:t xml:space="preserve"> the Commission </w:t>
      </w:r>
      <w:r w:rsidR="00D1506B">
        <w:rPr>
          <w:snapToGrid/>
          <w:kern w:val="0"/>
          <w:szCs w:val="22"/>
        </w:rPr>
        <w:t>to</w:t>
      </w:r>
      <w:r w:rsidR="00A4511B">
        <w:rPr>
          <w:snapToGrid/>
          <w:kern w:val="0"/>
          <w:szCs w:val="22"/>
        </w:rPr>
        <w:t xml:space="preserve"> </w:t>
      </w:r>
      <w:r w:rsidR="002A344A">
        <w:rPr>
          <w:snapToGrid/>
          <w:kern w:val="0"/>
          <w:szCs w:val="22"/>
        </w:rPr>
        <w:t>streamline the process</w:t>
      </w:r>
      <w:r w:rsidR="00043E8E">
        <w:rPr>
          <w:snapToGrid/>
          <w:kern w:val="0"/>
          <w:szCs w:val="22"/>
        </w:rPr>
        <w:t xml:space="preserve"> for demonstrating that a </w:t>
      </w:r>
      <w:r w:rsidRPr="00F255F3" w:rsidR="00043E8E">
        <w:rPr>
          <w:snapToGrid/>
        </w:rPr>
        <w:t>television</w:t>
      </w:r>
      <w:r w:rsidR="00043E8E">
        <w:rPr>
          <w:snapToGrid/>
          <w:kern w:val="0"/>
          <w:szCs w:val="22"/>
        </w:rPr>
        <w:t xml:space="preserve"> satellite s</w:t>
      </w:r>
      <w:r w:rsidR="00F9668B">
        <w:rPr>
          <w:snapToGrid/>
          <w:kern w:val="0"/>
          <w:szCs w:val="22"/>
        </w:rPr>
        <w:t>tation remains eligible for</w:t>
      </w:r>
      <w:r w:rsidR="00043E8E">
        <w:rPr>
          <w:snapToGrid/>
          <w:kern w:val="0"/>
          <w:szCs w:val="22"/>
        </w:rPr>
        <w:t xml:space="preserve"> satellite status </w:t>
      </w:r>
      <w:r w:rsidR="00984EB0">
        <w:rPr>
          <w:snapToGrid/>
          <w:kern w:val="0"/>
          <w:szCs w:val="22"/>
        </w:rPr>
        <w:t xml:space="preserve">in connection with an </w:t>
      </w:r>
      <w:r w:rsidR="00043E8E">
        <w:rPr>
          <w:snapToGrid/>
          <w:kern w:val="0"/>
          <w:szCs w:val="22"/>
        </w:rPr>
        <w:t>assignment or transfer</w:t>
      </w:r>
      <w:r w:rsidR="004D1BFF">
        <w:rPr>
          <w:snapToGrid/>
          <w:kern w:val="0"/>
          <w:szCs w:val="22"/>
        </w:rPr>
        <w:t xml:space="preserve"> of the station</w:t>
      </w:r>
      <w:r w:rsidR="00043E8E">
        <w:rPr>
          <w:snapToGrid/>
          <w:kern w:val="0"/>
          <w:szCs w:val="22"/>
        </w:rPr>
        <w:t>.</w:t>
      </w:r>
      <w:r>
        <w:rPr>
          <w:rStyle w:val="FootnoteReference"/>
          <w:snapToGrid/>
          <w:kern w:val="0"/>
          <w:szCs w:val="22"/>
        </w:rPr>
        <w:footnoteReference w:id="18"/>
      </w:r>
      <w:r w:rsidR="00043E8E">
        <w:rPr>
          <w:snapToGrid/>
          <w:kern w:val="0"/>
          <w:szCs w:val="22"/>
        </w:rPr>
        <w:t xml:space="preserve">  Gray argues that the current process for </w:t>
      </w:r>
      <w:r w:rsidRPr="00CE3AA7" w:rsidR="00D928B4">
        <w:t>reauthorizing</w:t>
      </w:r>
      <w:r w:rsidR="00984EB0">
        <w:rPr>
          <w:snapToGrid/>
          <w:kern w:val="0"/>
          <w:szCs w:val="22"/>
        </w:rPr>
        <w:t xml:space="preserve"> a </w:t>
      </w:r>
      <w:r w:rsidR="00DD51BB">
        <w:rPr>
          <w:snapToGrid/>
          <w:kern w:val="0"/>
          <w:szCs w:val="22"/>
        </w:rPr>
        <w:t xml:space="preserve">satellite </w:t>
      </w:r>
      <w:r w:rsidRPr="00CE3AA7" w:rsidR="00D928B4">
        <w:t>exception</w:t>
      </w:r>
      <w:r w:rsidR="00043E8E">
        <w:rPr>
          <w:snapToGrid/>
          <w:kern w:val="0"/>
          <w:szCs w:val="22"/>
        </w:rPr>
        <w:t xml:space="preserve"> is lengthy, costly, unnecessary, and serves no rational purpose.</w:t>
      </w:r>
      <w:r>
        <w:rPr>
          <w:rStyle w:val="FootnoteReference"/>
          <w:snapToGrid/>
          <w:kern w:val="0"/>
          <w:szCs w:val="22"/>
        </w:rPr>
        <w:footnoteReference w:id="19"/>
      </w:r>
      <w:r w:rsidR="00542521">
        <w:rPr>
          <w:snapToGrid/>
          <w:kern w:val="0"/>
          <w:szCs w:val="22"/>
        </w:rPr>
        <w:t xml:space="preserve">  Nexstar Broadcasting, Inc. (Nexstar) supports Gray’s recommendation, calling it</w:t>
      </w:r>
      <w:r w:rsidRPr="00542521" w:rsidR="00542521">
        <w:t xml:space="preserve"> </w:t>
      </w:r>
      <w:r w:rsidR="00542521">
        <w:t>“the very type of logical reform that the Commission envisioned when it commenced this [modernization] proceeding</w:t>
      </w:r>
      <w:r w:rsidR="00542521">
        <w:rPr>
          <w:snapToGrid/>
          <w:kern w:val="0"/>
          <w:szCs w:val="22"/>
        </w:rPr>
        <w:t>.”</w:t>
      </w:r>
      <w:r>
        <w:rPr>
          <w:rStyle w:val="FootnoteReference"/>
          <w:snapToGrid/>
          <w:kern w:val="0"/>
          <w:szCs w:val="22"/>
        </w:rPr>
        <w:footnoteReference w:id="20"/>
      </w:r>
      <w:r w:rsidR="00043E8E">
        <w:rPr>
          <w:snapToGrid/>
          <w:kern w:val="0"/>
          <w:szCs w:val="22"/>
        </w:rPr>
        <w:t xml:space="preserve">  </w:t>
      </w:r>
    </w:p>
    <w:p w:rsidR="00837B89" w:rsidP="00EC6AC7">
      <w:pPr>
        <w:pStyle w:val="Heading1"/>
      </w:pPr>
      <w:r w:rsidRPr="00883000">
        <w:t>discussion</w:t>
      </w:r>
    </w:p>
    <w:p w:rsidR="005560BF" w:rsidP="00F255F3">
      <w:pPr>
        <w:pStyle w:val="ParaNum"/>
        <w:widowControl/>
      </w:pPr>
      <w:r>
        <w:t>As discussed in greater detail below, w</w:t>
      </w:r>
      <w:r w:rsidR="00EC6AC7">
        <w:t xml:space="preserve">e </w:t>
      </w:r>
      <w:r>
        <w:t>tentatively conclude that</w:t>
      </w:r>
      <w:r w:rsidR="00EC6AC7">
        <w:t xml:space="preserve"> the process for reauthorizing </w:t>
      </w:r>
      <w:r w:rsidR="004E3A7A">
        <w:t xml:space="preserve">satellite </w:t>
      </w:r>
      <w:r w:rsidR="00182FC3">
        <w:t>status</w:t>
      </w:r>
      <w:r w:rsidR="00FE5682">
        <w:t xml:space="preserve"> </w:t>
      </w:r>
      <w:r w:rsidR="004E3A7A">
        <w:t>when a television satellite station is</w:t>
      </w:r>
      <w:r w:rsidR="00922D97">
        <w:t xml:space="preserve"> assigned or transferred in combination </w:t>
      </w:r>
      <w:r w:rsidR="004E3A7A">
        <w:t>with its</w:t>
      </w:r>
      <w:r w:rsidR="00922D97">
        <w:t xml:space="preserve"> </w:t>
      </w:r>
      <w:r>
        <w:t xml:space="preserve">previously approved </w:t>
      </w:r>
      <w:r w:rsidR="00922D97">
        <w:t>parent station</w:t>
      </w:r>
      <w:r>
        <w:t xml:space="preserve"> should be streamlined</w:t>
      </w:r>
      <w:r w:rsidR="00922D97">
        <w:t>.</w:t>
      </w:r>
      <w:r>
        <w:rPr>
          <w:rStyle w:val="FootnoteReference"/>
        </w:rPr>
        <w:footnoteReference w:id="21"/>
      </w:r>
      <w:r w:rsidR="004E3A7A">
        <w:t xml:space="preserve">  </w:t>
      </w:r>
      <w:r w:rsidR="002B42A6">
        <w:t>We</w:t>
      </w:r>
      <w:r w:rsidR="00556156">
        <w:t xml:space="preserve"> believe that the existing process</w:t>
      </w:r>
      <w:r w:rsidR="002B42A6">
        <w:t xml:space="preserve"> imposes an unnecessary burden on station owners </w:t>
      </w:r>
      <w:r w:rsidR="00556156">
        <w:t xml:space="preserve">by </w:t>
      </w:r>
      <w:r w:rsidR="002B42A6">
        <w:t>requir</w:t>
      </w:r>
      <w:r w:rsidR="00556156">
        <w:t>ing</w:t>
      </w:r>
      <w:r w:rsidR="002B42A6">
        <w:t xml:space="preserve"> them</w:t>
      </w:r>
      <w:r w:rsidR="002B4FED">
        <w:t xml:space="preserve"> </w:t>
      </w:r>
      <w:r w:rsidR="00F20DF6">
        <w:t>to expend</w:t>
      </w:r>
      <w:r w:rsidR="002B42A6">
        <w:t xml:space="preserve"> time and resources in demonstrating that a satellite </w:t>
      </w:r>
      <w:r w:rsidR="00182FC3">
        <w:t xml:space="preserve">exception </w:t>
      </w:r>
      <w:r w:rsidR="002B42A6">
        <w:t xml:space="preserve">is warranted </w:t>
      </w:r>
      <w:r w:rsidR="00556156">
        <w:t>for a previously approved</w:t>
      </w:r>
      <w:r>
        <w:t xml:space="preserve"> parent/satellite station combination</w:t>
      </w:r>
      <w:r w:rsidRPr="00CE3AA7" w:rsidR="00784F19">
        <w:t xml:space="preserve"> where the underlying </w:t>
      </w:r>
      <w:r w:rsidRPr="00F255F3" w:rsidR="00784F19">
        <w:rPr>
          <w:snapToGrid/>
        </w:rPr>
        <w:t>circumstances</w:t>
      </w:r>
      <w:r w:rsidRPr="00CE3AA7" w:rsidR="00784F19">
        <w:t xml:space="preserve"> have not materially changed</w:t>
      </w:r>
      <w:r w:rsidRPr="00CE3AA7" w:rsidR="002B42A6">
        <w:t>.</w:t>
      </w:r>
      <w:r>
        <w:rPr>
          <w:rStyle w:val="FootnoteReference"/>
          <w:sz w:val="22"/>
        </w:rPr>
        <w:footnoteReference w:id="22"/>
      </w:r>
      <w:r w:rsidR="002B42A6">
        <w:t xml:space="preserve">  </w:t>
      </w:r>
      <w:r w:rsidR="00FC244F">
        <w:t>Further, the time</w:t>
      </w:r>
      <w:r w:rsidRPr="00CE3AA7" w:rsidR="00FC244F">
        <w:t xml:space="preserve"> </w:t>
      </w:r>
      <w:r w:rsidRPr="00CE3AA7" w:rsidR="008E4A36">
        <w:t xml:space="preserve">and expense </w:t>
      </w:r>
      <w:r w:rsidR="00093FBF">
        <w:t>involved in</w:t>
      </w:r>
      <w:r w:rsidR="00FC244F">
        <w:t xml:space="preserve"> obtain</w:t>
      </w:r>
      <w:r w:rsidR="00093FBF">
        <w:t>ing</w:t>
      </w:r>
      <w:r w:rsidR="00FC244F">
        <w:t xml:space="preserve"> a reauthorization </w:t>
      </w:r>
      <w:r>
        <w:t xml:space="preserve">may </w:t>
      </w:r>
      <w:r w:rsidR="00FC244F">
        <w:t>create a</w:t>
      </w:r>
      <w:r w:rsidR="00ED176C">
        <w:t>n artificial</w:t>
      </w:r>
      <w:r w:rsidR="00FC244F">
        <w:t xml:space="preserve"> disincentive </w:t>
      </w:r>
      <w:r w:rsidR="00ED176C">
        <w:t xml:space="preserve">for potential purchasers of </w:t>
      </w:r>
      <w:r w:rsidR="00FC244F">
        <w:t>satellite station</w:t>
      </w:r>
      <w:r w:rsidR="00ED176C">
        <w:t xml:space="preserve">s, which typically are in rural and economically depressed areas and </w:t>
      </w:r>
      <w:r>
        <w:t xml:space="preserve">often </w:t>
      </w:r>
      <w:r w:rsidR="00ED176C">
        <w:t>in need of investment.</w:t>
      </w:r>
      <w:r>
        <w:rPr>
          <w:rStyle w:val="FootnoteReference"/>
        </w:rPr>
        <w:footnoteReference w:id="23"/>
      </w:r>
      <w:r w:rsidR="00FC244F">
        <w:t xml:space="preserve"> </w:t>
      </w:r>
      <w:r w:rsidR="00ED176C">
        <w:t xml:space="preserve"> </w:t>
      </w:r>
      <w:r w:rsidR="00FE3918">
        <w:t xml:space="preserve">In addition, as </w:t>
      </w:r>
      <w:r w:rsidR="004E3A7A">
        <w:t>Gray</w:t>
      </w:r>
      <w:r w:rsidR="00FE3918">
        <w:t xml:space="preserve"> notes, </w:t>
      </w:r>
      <w:r w:rsidR="004E3A7A">
        <w:t>the sale of a satellite station does not necessarily indicate that the underlying conditions warranting the</w:t>
      </w:r>
      <w:r w:rsidR="00182FC3">
        <w:t xml:space="preserve"> satellite authorization</w:t>
      </w:r>
      <w:r w:rsidR="002B42A6">
        <w:t xml:space="preserve"> have changed</w:t>
      </w:r>
      <w:r w:rsidR="004E3A7A">
        <w:t xml:space="preserve">, as evidenced by the fact that the Commission has never </w:t>
      </w:r>
      <w:r>
        <w:t>rejected</w:t>
      </w:r>
      <w:r>
        <w:t xml:space="preserve"> </w:t>
      </w:r>
      <w:r w:rsidR="004E3A7A">
        <w:t xml:space="preserve">a </w:t>
      </w:r>
      <w:r w:rsidR="00182FC3">
        <w:t>request for a continued satellite exception</w:t>
      </w:r>
      <w:r w:rsidR="00FE5682">
        <w:t xml:space="preserve"> </w:t>
      </w:r>
      <w:r>
        <w:t>despite the numerous reauthorization requests it has processed</w:t>
      </w:r>
      <w:r w:rsidR="004E3A7A">
        <w:t>.</w:t>
      </w:r>
      <w:r>
        <w:rPr>
          <w:rStyle w:val="FootnoteReference"/>
        </w:rPr>
        <w:footnoteReference w:id="24"/>
      </w:r>
      <w:r w:rsidR="00065FA2">
        <w:t xml:space="preserve">  This approval record</w:t>
      </w:r>
      <w:r w:rsidR="00523067">
        <w:t xml:space="preserve"> </w:t>
      </w:r>
      <w:r w:rsidR="00AE45C5">
        <w:t>raises questions as to the</w:t>
      </w:r>
      <w:r w:rsidR="00424FC1">
        <w:t xml:space="preserve"> benefit gained</w:t>
      </w:r>
      <w:r w:rsidR="00523067">
        <w:t xml:space="preserve"> by spending Commission </w:t>
      </w:r>
      <w:r w:rsidR="00F20DF6">
        <w:t>resources</w:t>
      </w:r>
      <w:r w:rsidR="00523067">
        <w:t xml:space="preserve"> on</w:t>
      </w:r>
      <w:r>
        <w:t xml:space="preserve"> time-consuming</w:t>
      </w:r>
      <w:r w:rsidR="00523067">
        <w:t xml:space="preserve"> reviews of </w:t>
      </w:r>
      <w:r>
        <w:t xml:space="preserve">detailed </w:t>
      </w:r>
      <w:r w:rsidR="00523067">
        <w:t xml:space="preserve">reauthorization </w:t>
      </w:r>
      <w:r w:rsidR="00182FC3">
        <w:t>requests</w:t>
      </w:r>
      <w:r w:rsidR="00523067">
        <w:t>.</w:t>
      </w:r>
      <w:r w:rsidR="003E51A4">
        <w:t xml:space="preserve"> </w:t>
      </w:r>
    </w:p>
    <w:p w:rsidR="00D0124C" w:rsidP="00F255F3">
      <w:pPr>
        <w:pStyle w:val="ParaNum"/>
        <w:widowControl/>
      </w:pPr>
      <w:r w:rsidRPr="00CE3AA7">
        <w:t>We</w:t>
      </w:r>
      <w:r>
        <w:t xml:space="preserve"> seek comment on</w:t>
      </w:r>
      <w:r w:rsidR="00EF1A98">
        <w:t xml:space="preserve"> </w:t>
      </w:r>
      <w:r w:rsidR="00556156">
        <w:t xml:space="preserve">ways to </w:t>
      </w:r>
      <w:r>
        <w:t>streamline the reauthorization process</w:t>
      </w:r>
      <w:r w:rsidR="00EF1A98">
        <w:t xml:space="preserve"> while also ensuring that </w:t>
      </w:r>
      <w:r w:rsidR="001A46A7">
        <w:t xml:space="preserve">the </w:t>
      </w:r>
      <w:r w:rsidR="00EF1A98">
        <w:t xml:space="preserve">process affords the Commission </w:t>
      </w:r>
      <w:r w:rsidR="00556156">
        <w:t xml:space="preserve">and the public </w:t>
      </w:r>
      <w:r w:rsidR="00EF1A98">
        <w:t>adequate information to determine whether reauthorization serves the public interest</w:t>
      </w:r>
      <w:r>
        <w:t>.</w:t>
      </w:r>
      <w:r w:rsidR="00AA79A8">
        <w:t xml:space="preserve">  </w:t>
      </w:r>
      <w:r w:rsidRPr="00CE3AA7" w:rsidR="00DF4057">
        <w:t>C</w:t>
      </w:r>
      <w:r w:rsidRPr="00CE3AA7" w:rsidR="00D421E9">
        <w:t>onsistent</w:t>
      </w:r>
      <w:r w:rsidR="00D421E9">
        <w:t xml:space="preserve"> with Gray’s proposal, </w:t>
      </w:r>
      <w:r w:rsidR="007C7F0A">
        <w:t xml:space="preserve">we </w:t>
      </w:r>
      <w:r w:rsidR="00D421E9">
        <w:t>tentatively conclude</w:t>
      </w:r>
      <w:r w:rsidR="005E47E5">
        <w:t xml:space="preserve"> that</w:t>
      </w:r>
      <w:r w:rsidR="007C7F0A">
        <w:t xml:space="preserve"> </w:t>
      </w:r>
      <w:r w:rsidRPr="00CE3AA7" w:rsidR="00DF4057">
        <w:t xml:space="preserve">the public interest will be served by permitting </w:t>
      </w:r>
      <w:r w:rsidR="005E47E5">
        <w:t>a previously approved parent/satellite station combination</w:t>
      </w:r>
      <w:r w:rsidR="007C7F0A">
        <w:t xml:space="preserve"> </w:t>
      </w:r>
      <w:r w:rsidRPr="00CE3AA7" w:rsidR="00DF4057">
        <w:t>to</w:t>
      </w:r>
      <w:r w:rsidR="007C7F0A">
        <w:t xml:space="preserve"> be assigned or tra</w:t>
      </w:r>
      <w:r w:rsidR="001C3903">
        <w:t xml:space="preserve">nsferred without the </w:t>
      </w:r>
      <w:r w:rsidRPr="00F255F3" w:rsidR="001C3903">
        <w:rPr>
          <w:snapToGrid/>
        </w:rPr>
        <w:t>reauthorization</w:t>
      </w:r>
      <w:r w:rsidR="001C3903">
        <w:t xml:space="preserve"> request </w:t>
      </w:r>
      <w:r w:rsidR="00312FEB">
        <w:t xml:space="preserve">that </w:t>
      </w:r>
      <w:r w:rsidR="001C3903">
        <w:t xml:space="preserve">currently </w:t>
      </w:r>
      <w:r w:rsidR="00312FEB">
        <w:t xml:space="preserve">is </w:t>
      </w:r>
      <w:r w:rsidR="001C3903">
        <w:t>required</w:t>
      </w:r>
      <w:r w:rsidR="007C7F0A">
        <w:t xml:space="preserve"> and without a </w:t>
      </w:r>
      <w:r w:rsidR="001E6B9F">
        <w:t xml:space="preserve">written </w:t>
      </w:r>
      <w:r w:rsidR="007C7F0A">
        <w:t>Commissio</w:t>
      </w:r>
      <w:r w:rsidR="001C3903">
        <w:t>n decision granting reauthorization</w:t>
      </w:r>
      <w:r w:rsidR="007C7F0A">
        <w:t xml:space="preserve"> if the following two conditions are met.</w:t>
      </w:r>
      <w:r>
        <w:rPr>
          <w:rStyle w:val="FootnoteReference"/>
        </w:rPr>
        <w:footnoteReference w:id="25"/>
      </w:r>
      <w:r w:rsidR="007C7F0A">
        <w:t xml:space="preserve">  First, </w:t>
      </w:r>
      <w:r w:rsidR="00E54D47">
        <w:t>as proposed by Gray,</w:t>
      </w:r>
      <w:r w:rsidR="00144E18">
        <w:t xml:space="preserve"> </w:t>
      </w:r>
      <w:r w:rsidR="003E51A4">
        <w:t xml:space="preserve">the </w:t>
      </w:r>
      <w:r w:rsidR="007C7F0A">
        <w:t>assi</w:t>
      </w:r>
      <w:r w:rsidR="000B3A43">
        <w:t>gnment or transfer application</w:t>
      </w:r>
      <w:r w:rsidR="007C7F0A">
        <w:t xml:space="preserve"> must include a certification by</w:t>
      </w:r>
      <w:r w:rsidR="00DB46BE">
        <w:t xml:space="preserve"> both </w:t>
      </w:r>
      <w:r w:rsidR="00D421E9">
        <w:t xml:space="preserve">parties to the </w:t>
      </w:r>
      <w:r w:rsidR="000B3A43">
        <w:t>transaction</w:t>
      </w:r>
      <w:r w:rsidR="00DB46BE">
        <w:t xml:space="preserve"> that the underlying circumstances that the Commission relied upon</w:t>
      </w:r>
      <w:r w:rsidR="007C7F0A">
        <w:t xml:space="preserve"> </w:t>
      </w:r>
      <w:r w:rsidR="00392B39">
        <w:t>in granting the current</w:t>
      </w:r>
      <w:r w:rsidR="00DB46BE">
        <w:t xml:space="preserve"> </w:t>
      </w:r>
      <w:r w:rsidR="00182FC3">
        <w:t>satellite authorization</w:t>
      </w:r>
      <w:r w:rsidR="001C3903">
        <w:t xml:space="preserve"> </w:t>
      </w:r>
      <w:r w:rsidR="00DB46BE">
        <w:t xml:space="preserve">have not changed materially since </w:t>
      </w:r>
      <w:r w:rsidR="00392B39">
        <w:t xml:space="preserve">the </w:t>
      </w:r>
      <w:r w:rsidR="00DB46BE">
        <w:t>issuance of th</w:t>
      </w:r>
      <w:r w:rsidR="00182FC3">
        <w:t xml:space="preserve">e </w:t>
      </w:r>
      <w:r w:rsidRPr="00CE3AA7" w:rsidR="006D0E64">
        <w:t>most recent</w:t>
      </w:r>
      <w:r w:rsidR="00182FC3">
        <w:t xml:space="preserve"> authorization</w:t>
      </w:r>
      <w:r w:rsidR="00DB46BE">
        <w:t>.</w:t>
      </w:r>
      <w:r>
        <w:rPr>
          <w:rStyle w:val="FootnoteReference"/>
        </w:rPr>
        <w:footnoteReference w:id="26"/>
      </w:r>
      <w:r w:rsidR="001E6B9F">
        <w:t xml:space="preserve">  Second, </w:t>
      </w:r>
      <w:r w:rsidRPr="00CE3AA7" w:rsidR="003A0EB9">
        <w:t xml:space="preserve">the assignment or transfer application </w:t>
      </w:r>
      <w:r w:rsidR="003A0EB9">
        <w:t xml:space="preserve">must include </w:t>
      </w:r>
      <w:r w:rsidR="001E6B9F">
        <w:t xml:space="preserve">a complete copy of the </w:t>
      </w:r>
      <w:r w:rsidR="003A0EB9">
        <w:t xml:space="preserve">most recent </w:t>
      </w:r>
      <w:r w:rsidR="001E6B9F">
        <w:t xml:space="preserve">written Commission decision </w:t>
      </w:r>
      <w:r w:rsidRPr="00CC5900" w:rsidR="00017746">
        <w:t>(e.g., Letter Order)</w:t>
      </w:r>
      <w:r w:rsidR="00017746">
        <w:t xml:space="preserve"> </w:t>
      </w:r>
      <w:r w:rsidR="001E6B9F">
        <w:t xml:space="preserve">granting the </w:t>
      </w:r>
      <w:r w:rsidR="00182FC3">
        <w:t>satellite ex</w:t>
      </w:r>
      <w:r w:rsidR="00312FEB">
        <w:t>c</w:t>
      </w:r>
      <w:r w:rsidR="00182FC3">
        <w:t>eption</w:t>
      </w:r>
      <w:r w:rsidR="001E6B9F">
        <w:t xml:space="preserve"> </w:t>
      </w:r>
      <w:r w:rsidR="003A0EB9">
        <w:t>for the current parent/satellite combination</w:t>
      </w:r>
      <w:r w:rsidR="00392B39">
        <w:t>.</w:t>
      </w:r>
      <w:r w:rsidR="00E146A5">
        <w:t xml:space="preserve">  </w:t>
      </w:r>
      <w:r w:rsidR="00D421E9">
        <w:t xml:space="preserve">As </w:t>
      </w:r>
      <w:r w:rsidR="00E146A5">
        <w:t>Gray notes</w:t>
      </w:r>
      <w:r w:rsidR="00D421E9">
        <w:t>,</w:t>
      </w:r>
      <w:r w:rsidR="00E146A5">
        <w:t xml:space="preserve"> </w:t>
      </w:r>
      <w:r w:rsidR="00E03AC1">
        <w:t xml:space="preserve">the </w:t>
      </w:r>
      <w:r w:rsidR="00F4014C">
        <w:t xml:space="preserve">existing </w:t>
      </w:r>
      <w:r w:rsidR="00D421E9">
        <w:t xml:space="preserve">petition to deny/informal comment </w:t>
      </w:r>
      <w:r w:rsidR="0033468A">
        <w:t xml:space="preserve">process </w:t>
      </w:r>
      <w:r w:rsidR="00F4014C">
        <w:t xml:space="preserve">applicable to the assignment or transfer of licenses </w:t>
      </w:r>
      <w:r w:rsidR="0033468A">
        <w:t xml:space="preserve">would </w:t>
      </w:r>
      <w:r w:rsidR="00D421E9">
        <w:t xml:space="preserve">provide </w:t>
      </w:r>
      <w:r w:rsidR="00E146A5">
        <w:t>interested parties that disagree with the applicants’ certificati</w:t>
      </w:r>
      <w:r w:rsidR="00E03AC1">
        <w:t xml:space="preserve">on </w:t>
      </w:r>
      <w:r w:rsidR="00D421E9">
        <w:t>an opportunity</w:t>
      </w:r>
      <w:r w:rsidR="00E03AC1">
        <w:t xml:space="preserve"> to</w:t>
      </w:r>
      <w:r w:rsidR="00D630FA">
        <w:t xml:space="preserve"> pre</w:t>
      </w:r>
      <w:r w:rsidR="00E03AC1">
        <w:t>sent their objections</w:t>
      </w:r>
      <w:r w:rsidR="00D630FA">
        <w:t>.</w:t>
      </w:r>
      <w:r>
        <w:rPr>
          <w:rStyle w:val="FootnoteReference"/>
        </w:rPr>
        <w:footnoteReference w:id="27"/>
      </w:r>
      <w:r w:rsidR="00D630FA">
        <w:t xml:space="preserve">  The applicants could respond within the normal pleading cycle, and the Commission </w:t>
      </w:r>
      <w:r w:rsidR="00A023CD">
        <w:t xml:space="preserve">then </w:t>
      </w:r>
      <w:r w:rsidR="00D630FA">
        <w:t>would have a record upon which to make a determination.</w:t>
      </w:r>
      <w:r w:rsidR="00B7493D">
        <w:t xml:space="preserve">  We believe that this process will provide the Commission and the public with a sufficient opportunity to review the transaction to ensure that continued satellite status is warranted.</w:t>
      </w:r>
      <w:r w:rsidR="00D630FA">
        <w:t xml:space="preserve">  </w:t>
      </w:r>
      <w:r w:rsidR="00B7493D">
        <w:t xml:space="preserve">If any objections </w:t>
      </w:r>
      <w:r w:rsidR="00AF544E">
        <w:t xml:space="preserve">to the satellite station’s reauthorization </w:t>
      </w:r>
      <w:r w:rsidR="00B7493D">
        <w:t>are raised, any decision on the application would require a written decision</w:t>
      </w:r>
      <w:r w:rsidR="00AF544E">
        <w:t xml:space="preserve"> that would include an explanation for the reauthorization decision</w:t>
      </w:r>
      <w:r w:rsidR="00B7493D">
        <w:t xml:space="preserve">.  Absent such objections, however, the application could be granted without a </w:t>
      </w:r>
      <w:r w:rsidRPr="00F255F3" w:rsidR="00B7493D">
        <w:rPr>
          <w:snapToGrid/>
          <w:kern w:val="0"/>
          <w:szCs w:val="22"/>
        </w:rPr>
        <w:t>written</w:t>
      </w:r>
      <w:r w:rsidR="00B7493D">
        <w:t xml:space="preserve"> decision (provided that there are no other issues that </w:t>
      </w:r>
      <w:r w:rsidR="00085650">
        <w:t xml:space="preserve">require </w:t>
      </w:r>
      <w:r w:rsidR="00182FC3">
        <w:t>designation</w:t>
      </w:r>
      <w:r w:rsidR="00CE664A">
        <w:t xml:space="preserve"> of the application</w:t>
      </w:r>
      <w:r w:rsidR="00182FC3">
        <w:t xml:space="preserve"> for hearing</w:t>
      </w:r>
      <w:r w:rsidR="00CE664A">
        <w:t xml:space="preserve"> or otherwise </w:t>
      </w:r>
      <w:r w:rsidR="00B7493D">
        <w:t>warrant a written decision).</w:t>
      </w:r>
    </w:p>
    <w:p w:rsidR="00EC6AC7" w:rsidP="00F255F3">
      <w:pPr>
        <w:pStyle w:val="ParaNum"/>
        <w:widowControl/>
      </w:pPr>
      <w:r>
        <w:t xml:space="preserve">We seek comment on all aspects of </w:t>
      </w:r>
      <w:r w:rsidR="00B7493D">
        <w:t xml:space="preserve">this </w:t>
      </w:r>
      <w:r>
        <w:t>proposal.</w:t>
      </w:r>
      <w:r w:rsidR="00411299">
        <w:t xml:space="preserve">  </w:t>
      </w:r>
      <w:bookmarkStart w:id="2" w:name="_Ref503512632"/>
      <w:r w:rsidRPr="00CE3AA7" w:rsidR="008167A3">
        <w:t xml:space="preserve">For example, </w:t>
      </w:r>
      <w:r w:rsidR="00A96904">
        <w:t>what impact, if any, would the proposal have on small entities?  In addition</w:t>
      </w:r>
      <w:r w:rsidR="008167A3">
        <w:t xml:space="preserve">, what </w:t>
      </w:r>
      <w:r w:rsidR="0033246B">
        <w:t xml:space="preserve">showing </w:t>
      </w:r>
      <w:r w:rsidR="008167A3">
        <w:t xml:space="preserve">should the Commission require in the event that the Commission’s most recent decision granting satellite status, which </w:t>
      </w:r>
      <w:r w:rsidR="0033246B">
        <w:t xml:space="preserve">may </w:t>
      </w:r>
      <w:r w:rsidR="00826E37">
        <w:t>never</w:t>
      </w:r>
      <w:r w:rsidR="0033246B">
        <w:t xml:space="preserve"> have been</w:t>
      </w:r>
      <w:r w:rsidR="008167A3">
        <w:t xml:space="preserve"> publish</w:t>
      </w:r>
      <w:r w:rsidR="0033246B">
        <w:t>ed</w:t>
      </w:r>
      <w:r w:rsidR="000127EB">
        <w:t xml:space="preserve"> or put in the public record</w:t>
      </w:r>
      <w:r w:rsidRPr="00CE3AA7" w:rsidR="00AE5E6A">
        <w:t>, is unavailable</w:t>
      </w:r>
      <w:r w:rsidR="001E75B5">
        <w:t xml:space="preserve"> or does not specify the facts and circumstances surrounding the grant</w:t>
      </w:r>
      <w:r w:rsidRPr="00CE3AA7" w:rsidR="008167A3">
        <w:t xml:space="preserve">?  </w:t>
      </w:r>
      <w:r w:rsidR="000E453A">
        <w:t xml:space="preserve">We </w:t>
      </w:r>
      <w:r w:rsidR="0033246B">
        <w:t xml:space="preserve">also </w:t>
      </w:r>
      <w:r w:rsidR="000E453A">
        <w:t>seek comment on h</w:t>
      </w:r>
      <w:r w:rsidR="00373572">
        <w:t xml:space="preserve">ow the </w:t>
      </w:r>
      <w:r w:rsidRPr="00F255F3" w:rsidR="00373572">
        <w:rPr>
          <w:snapToGrid/>
        </w:rPr>
        <w:t>Commission</w:t>
      </w:r>
      <w:r w:rsidR="00373572">
        <w:t xml:space="preserve"> should memorialize</w:t>
      </w:r>
      <w:r w:rsidR="000E453A">
        <w:t xml:space="preserve"> its reauthorization approval when</w:t>
      </w:r>
      <w:r w:rsidR="00794CD8">
        <w:t xml:space="preserve"> the </w:t>
      </w:r>
      <w:r w:rsidR="000A6CCA">
        <w:t xml:space="preserve">approval </w:t>
      </w:r>
      <w:r w:rsidR="000E453A">
        <w:t xml:space="preserve">of an assignment or transfer </w:t>
      </w:r>
      <w:r w:rsidR="00794CD8">
        <w:t>application</w:t>
      </w:r>
      <w:r w:rsidR="000A6CCA">
        <w:t xml:space="preserve"> is not </w:t>
      </w:r>
      <w:r w:rsidR="001E75B5">
        <w:t>a written decision</w:t>
      </w:r>
      <w:r w:rsidRPr="00CE3AA7" w:rsidR="008E2737">
        <w:t xml:space="preserve"> explaining the scope and basis of the Commission’s decision but instead is recorded only on the FCC Form 732</w:t>
      </w:r>
      <w:r w:rsidRPr="00CE3AA7" w:rsidR="0033246B">
        <w:t>.</w:t>
      </w:r>
      <w:r w:rsidR="00BB6C17">
        <w:t xml:space="preserve">  In </w:t>
      </w:r>
      <w:r w:rsidR="0072742E">
        <w:t xml:space="preserve">such circumstances, what information should </w:t>
      </w:r>
      <w:r w:rsidR="00BB6C17">
        <w:t xml:space="preserve">the Commission </w:t>
      </w:r>
      <w:r w:rsidR="0072742E">
        <w:t>include in</w:t>
      </w:r>
      <w:r w:rsidR="00BB6C17">
        <w:t xml:space="preserve"> the FCC Form 732</w:t>
      </w:r>
      <w:r w:rsidR="000A6CCA">
        <w:t xml:space="preserve"> </w:t>
      </w:r>
      <w:r w:rsidR="0072742E">
        <w:t>authorization regarding</w:t>
      </w:r>
      <w:r w:rsidR="000A6CCA">
        <w:t xml:space="preserve"> the </w:t>
      </w:r>
      <w:r w:rsidR="00BB6C17">
        <w:t>satellite station</w:t>
      </w:r>
      <w:r w:rsidR="0072742E">
        <w:t>?</w:t>
      </w:r>
      <w:r w:rsidR="00BB6C17">
        <w:t xml:space="preserve">  </w:t>
      </w:r>
      <w:bookmarkEnd w:id="2"/>
      <w:r w:rsidR="00373C43">
        <w:t xml:space="preserve">In addition, </w:t>
      </w:r>
      <w:r w:rsidR="00076867">
        <w:t xml:space="preserve">to obtain reauthorization approval, </w:t>
      </w:r>
      <w:r w:rsidR="00373C43">
        <w:t>i</w:t>
      </w:r>
      <w:r w:rsidR="000127EB">
        <w:t xml:space="preserve">s it sufficient for applicants to certify </w:t>
      </w:r>
      <w:r w:rsidR="004B7C4B">
        <w:t xml:space="preserve">generally </w:t>
      </w:r>
      <w:r w:rsidR="000127EB">
        <w:t>that there has been no material change in the circumstances that warranted the station’s</w:t>
      </w:r>
      <w:r w:rsidR="008B5CA6">
        <w:t xml:space="preserve"> </w:t>
      </w:r>
      <w:r w:rsidRPr="00CE3AA7" w:rsidR="006D0E64">
        <w:t>most recently authorized</w:t>
      </w:r>
      <w:r w:rsidRPr="00CE3AA7" w:rsidR="000127EB">
        <w:t xml:space="preserve"> </w:t>
      </w:r>
      <w:r w:rsidR="000127EB">
        <w:t>satellite status</w:t>
      </w:r>
      <w:r w:rsidR="004B35B4">
        <w:t>?</w:t>
      </w:r>
      <w:r w:rsidR="0040257C">
        <w:t xml:space="preserve">  </w:t>
      </w:r>
      <w:r w:rsidRPr="0098274C" w:rsidR="0098274C">
        <w:t>What types of changes would be considered material?  For example, would a change in contour be material</w:t>
      </w:r>
      <w:r w:rsidR="009714C1">
        <w:t xml:space="preserve"> if the lack of contour overlap was part of the basis upon which the underlying satellite status was granted</w:t>
      </w:r>
      <w:r w:rsidRPr="00996E9D" w:rsidR="0098274C">
        <w:t xml:space="preserve">?  </w:t>
      </w:r>
      <w:r w:rsidRPr="00996E9D" w:rsidR="007C223C">
        <w:t xml:space="preserve">If the current authorization is not based on a finding that the service area was underserved or on a finding that the licensee undertook a diligent but unsuccessful search for a buyer, but instead on alternative showings, what would constitute a material change in circumstances?  </w:t>
      </w:r>
      <w:r w:rsidRPr="00996E9D" w:rsidR="0098274C">
        <w:t>Alternatively</w:t>
      </w:r>
      <w:r w:rsidRPr="00996E9D" w:rsidR="00D22BF7">
        <w:t>,</w:t>
      </w:r>
      <w:r w:rsidRPr="00996E9D" w:rsidR="004B7C4B">
        <w:t xml:space="preserve"> should the Commi</w:t>
      </w:r>
      <w:r w:rsidRPr="00996E9D" w:rsidR="00801EE8">
        <w:t>ssion</w:t>
      </w:r>
      <w:r w:rsidR="00801EE8">
        <w:t xml:space="preserve"> require</w:t>
      </w:r>
      <w:r w:rsidR="00195E4A">
        <w:t xml:space="preserve"> the applicants to attest to </w:t>
      </w:r>
      <w:r w:rsidR="00D22BF7">
        <w:t>a set</w:t>
      </w:r>
      <w:r w:rsidR="00801EE8">
        <w:t xml:space="preserve"> of </w:t>
      </w:r>
      <w:r w:rsidR="004B7C4B">
        <w:t xml:space="preserve">more specific </w:t>
      </w:r>
      <w:r w:rsidR="00D22BF7">
        <w:t>facts</w:t>
      </w:r>
      <w:r w:rsidR="001F70A4">
        <w:t xml:space="preserve"> relevant to the Commission’s usual considerations in determining satellite status</w:t>
      </w:r>
      <w:r w:rsidR="00D22BF7">
        <w:t>?</w:t>
      </w:r>
      <w:r w:rsidR="00EE4D4B">
        <w:t xml:space="preserve">  </w:t>
      </w:r>
      <w:r w:rsidRPr="00CE3AA7" w:rsidR="00D22BF7">
        <w:t xml:space="preserve">For example, </w:t>
      </w:r>
      <w:r w:rsidR="00EE015E">
        <w:t xml:space="preserve">where relevant, </w:t>
      </w:r>
      <w:r w:rsidRPr="00CE3AA7" w:rsidR="00D22BF7">
        <w:t xml:space="preserve">should </w:t>
      </w:r>
      <w:r w:rsidRPr="00CE3AA7" w:rsidR="004D7679">
        <w:t xml:space="preserve">the applicants </w:t>
      </w:r>
      <w:r w:rsidR="00EE015E">
        <w:t xml:space="preserve">specifically </w:t>
      </w:r>
      <w:r w:rsidRPr="00CE3AA7" w:rsidR="004D7679">
        <w:t xml:space="preserve">certify that </w:t>
      </w:r>
      <w:r w:rsidRPr="00CE3AA7" w:rsidR="00B44EA3">
        <w:t xml:space="preserve">the service area remains underserved as </w:t>
      </w:r>
      <w:r w:rsidRPr="00CE3AA7" w:rsidR="004C2B49">
        <w:t xml:space="preserve">the Commission has defined </w:t>
      </w:r>
      <w:r w:rsidRPr="00CE3AA7" w:rsidR="00B44EA3">
        <w:t xml:space="preserve">that </w:t>
      </w:r>
      <w:r w:rsidRPr="0098274C" w:rsidR="004C2B49">
        <w:t>term</w:t>
      </w:r>
      <w:r w:rsidRPr="0098274C" w:rsidR="00B44EA3">
        <w:t>?</w:t>
      </w:r>
      <w:r>
        <w:rPr>
          <w:rStyle w:val="FootnoteReference"/>
          <w:sz w:val="22"/>
        </w:rPr>
        <w:footnoteReference w:id="28"/>
      </w:r>
      <w:r w:rsidRPr="0098274C" w:rsidR="00EE015E">
        <w:t xml:space="preserve"> </w:t>
      </w:r>
      <w:r w:rsidRPr="0098274C" w:rsidR="00F63A57">
        <w:t xml:space="preserve"> </w:t>
      </w:r>
      <w:r w:rsidRPr="00CE3AA7" w:rsidR="003B20D8">
        <w:t xml:space="preserve">What </w:t>
      </w:r>
      <w:r w:rsidR="00EE015E">
        <w:t>other</w:t>
      </w:r>
      <w:bookmarkStart w:id="3" w:name="_Hlk505774878"/>
      <w:r w:rsidR="003B20D8">
        <w:t xml:space="preserve"> specific certifications</w:t>
      </w:r>
      <w:r w:rsidR="0070591E">
        <w:t>, if any,</w:t>
      </w:r>
      <w:r w:rsidR="003B20D8">
        <w:t xml:space="preserve"> </w:t>
      </w:r>
      <w:r w:rsidR="009A1649">
        <w:t>would be useful to require</w:t>
      </w:r>
      <w:r w:rsidR="003B20D8">
        <w:t xml:space="preserve"> without defeating</w:t>
      </w:r>
      <w:r w:rsidR="00B926C5">
        <w:t xml:space="preserve"> the purpose of streamlining the reauthorization process?</w:t>
      </w:r>
      <w:bookmarkEnd w:id="3"/>
      <w:r w:rsidRPr="00CE3AA7" w:rsidR="00A27061">
        <w:t xml:space="preserve">  </w:t>
      </w:r>
    </w:p>
    <w:p w:rsidR="00DB4B83" w:rsidP="00F255F3">
      <w:pPr>
        <w:pStyle w:val="ParaNum"/>
        <w:widowControl/>
      </w:pPr>
      <w:bookmarkStart w:id="4" w:name="_Ref506534005"/>
      <w:r>
        <w:t>We also seek comment on whether any streamlined reauthorization procedures we adopt should be restricted to transactions that involve the assignment or transfer of a television satellite station in combination with its previously approved parent station.  Gray argues that satellite status should not be limited to a particular parent/satellite combination.  Rather, Gray suggests that licensees should have the flexibility to change a satellite station’s parent without needing to repeat the full showing required for an initial satellite exception.</w:t>
      </w:r>
      <w:r>
        <w:rPr>
          <w:rStyle w:val="FootnoteReference"/>
        </w:rPr>
        <w:footnoteReference w:id="29"/>
      </w:r>
      <w:r>
        <w:t xml:space="preserve">  On the other hand, satellite station determinations are fact specific inquiries that rely in part on the identity of the specific stations involved.  Unlike renewals of previously approved parent/satellite combinations, the Commission and the public have never had an opportunity to review the particular circumstances of the new combination.  Given that there may be public interest benefits associated with a change in parent station and the fact that the public has the opportunity to raise any concerns regarding a reauthorization request, we seek comment on whether we should or should not apply any streamlined process we may adopt to transactions involving a change in a satellite station’s parent.</w:t>
      </w:r>
      <w:bookmarkEnd w:id="4"/>
      <w:r w:rsidRPr="003A0EB9" w:rsidR="003A0EB9">
        <w:t xml:space="preserve"> </w:t>
      </w:r>
    </w:p>
    <w:p w:rsidR="00E62C9D" w:rsidP="00F255F3">
      <w:pPr>
        <w:pStyle w:val="ParaNum"/>
        <w:widowControl/>
      </w:pPr>
      <w:r>
        <w:rPr>
          <w:snapToGrid/>
        </w:rPr>
        <w:t>Ultimately, w</w:t>
      </w:r>
      <w:r w:rsidRPr="003E51A4">
        <w:rPr>
          <w:snapToGrid/>
        </w:rPr>
        <w:t>e believe</w:t>
      </w:r>
      <w:r w:rsidR="00BF10A5">
        <w:rPr>
          <w:snapToGrid/>
        </w:rPr>
        <w:t xml:space="preserve"> that</w:t>
      </w:r>
      <w:r w:rsidRPr="003E51A4">
        <w:rPr>
          <w:snapToGrid/>
        </w:rPr>
        <w:t xml:space="preserve"> this </w:t>
      </w:r>
      <w:r>
        <w:rPr>
          <w:snapToGrid/>
        </w:rPr>
        <w:t>proposal</w:t>
      </w:r>
      <w:r w:rsidRPr="003E51A4">
        <w:rPr>
          <w:snapToGrid/>
        </w:rPr>
        <w:t xml:space="preserve"> to streamline the reauthorization process for television satellite stations is consistent with our </w:t>
      </w:r>
      <w:r w:rsidRPr="003E51A4">
        <w:rPr>
          <w:snapToGrid/>
          <w:kern w:val="0"/>
          <w:szCs w:val="22"/>
        </w:rPr>
        <w:t>efforts</w:t>
      </w:r>
      <w:r w:rsidRPr="003E51A4">
        <w:rPr>
          <w:snapToGrid/>
        </w:rPr>
        <w:t xml:space="preserve"> to modernize our regulations and will encourage investment in such stations by removing unnecessary constraints on their transferability</w:t>
      </w:r>
      <w:r>
        <w:rPr>
          <w:snapToGrid/>
        </w:rPr>
        <w:t>.  We seek comment on the costs and benefits associated with our proposals herein</w:t>
      </w:r>
      <w:r w:rsidRPr="00CE3AA7">
        <w:t xml:space="preserve">.  </w:t>
      </w:r>
      <w:r w:rsidR="00D464E3">
        <w:t>For example, how much time, effort, and expense do reauthorization requests usually require</w:t>
      </w:r>
      <w:r w:rsidR="00A61C3C">
        <w:t xml:space="preserve"> now</w:t>
      </w:r>
      <w:r w:rsidR="00D464E3">
        <w:t xml:space="preserve">, and what </w:t>
      </w:r>
      <w:r w:rsidRPr="00CE3AA7" w:rsidR="00E340A1">
        <w:t xml:space="preserve">cost savings could be achieved by allowing licensees to certify that there have been no material changes, given that a licensee must exercise due diligence in ascertaining the facts needed to support any </w:t>
      </w:r>
      <w:r w:rsidR="00F55966">
        <w:t xml:space="preserve">such </w:t>
      </w:r>
      <w:r w:rsidRPr="00CE3AA7" w:rsidR="00E340A1">
        <w:t xml:space="preserve">certification?  </w:t>
      </w:r>
      <w:r w:rsidR="008B34E9">
        <w:t>Are there any</w:t>
      </w:r>
      <w:r w:rsidR="00D464E3">
        <w:t xml:space="preserve"> benefits other than cost savings</w:t>
      </w:r>
      <w:r w:rsidR="008B34E9">
        <w:t xml:space="preserve"> that</w:t>
      </w:r>
      <w:r w:rsidR="00D464E3">
        <w:t xml:space="preserve"> are likely to occur</w:t>
      </w:r>
      <w:r w:rsidR="00523F44">
        <w:t xml:space="preserve"> from </w:t>
      </w:r>
      <w:r w:rsidR="00D464E3">
        <w:t xml:space="preserve">streamlining, and </w:t>
      </w:r>
      <w:r w:rsidR="008B34E9">
        <w:t xml:space="preserve">if so, </w:t>
      </w:r>
      <w:r w:rsidR="00D464E3">
        <w:t>how likely are such benefits to arise from the streamlining proposal</w:t>
      </w:r>
      <w:r w:rsidR="00A61C3C">
        <w:t xml:space="preserve"> we offer</w:t>
      </w:r>
      <w:r w:rsidR="00D464E3">
        <w:t xml:space="preserve"> for comment</w:t>
      </w:r>
      <w:r w:rsidRPr="00CE3AA7" w:rsidR="00E340A1">
        <w:t>?</w:t>
      </w:r>
      <w:r w:rsidR="009714C1">
        <w:t xml:space="preserve">  Based on the Commission’s experience processing </w:t>
      </w:r>
      <w:r w:rsidR="00CD516E">
        <w:t xml:space="preserve">transactions that include </w:t>
      </w:r>
      <w:r w:rsidR="009714C1">
        <w:t>satellite station reauthorization</w:t>
      </w:r>
      <w:r w:rsidR="00CD516E">
        <w:t>s</w:t>
      </w:r>
      <w:r w:rsidR="009714C1">
        <w:t xml:space="preserve">, we do not believe that the proposals herein will </w:t>
      </w:r>
      <w:r w:rsidR="00D8499F">
        <w:t>impair</w:t>
      </w:r>
      <w:r w:rsidR="00E668D7">
        <w:t xml:space="preserve"> </w:t>
      </w:r>
      <w:r w:rsidR="009714C1">
        <w:t>our</w:t>
      </w:r>
      <w:r w:rsidR="00D8499F">
        <w:t>, or interested parties’,</w:t>
      </w:r>
      <w:r w:rsidR="009714C1">
        <w:t xml:space="preserve"> ability</w:t>
      </w:r>
      <w:r w:rsidR="00E668D7">
        <w:t xml:space="preserve"> </w:t>
      </w:r>
      <w:r w:rsidR="009714C1">
        <w:t xml:space="preserve">to </w:t>
      </w:r>
      <w:r w:rsidR="00D8499F">
        <w:t xml:space="preserve">meaningfully </w:t>
      </w:r>
      <w:r w:rsidR="009714C1">
        <w:t xml:space="preserve">review </w:t>
      </w:r>
      <w:r w:rsidR="00CD516E">
        <w:t xml:space="preserve">such </w:t>
      </w:r>
      <w:r w:rsidR="009714C1">
        <w:t>transactions</w:t>
      </w:r>
      <w:r w:rsidR="00D8499F">
        <w:t>.</w:t>
      </w:r>
      <w:r w:rsidR="00E340A1">
        <w:t xml:space="preserve">  </w:t>
      </w:r>
      <w:r w:rsidRPr="00CE3AA7" w:rsidR="00E340A1">
        <w:t>We seek comment</w:t>
      </w:r>
      <w:r w:rsidR="009714C1">
        <w:t>, however,</w:t>
      </w:r>
      <w:r w:rsidRPr="00CE3AA7" w:rsidR="00E340A1">
        <w:t xml:space="preserve"> on any negative consequences of streamlining, including </w:t>
      </w:r>
      <w:r w:rsidR="008265A7">
        <w:t xml:space="preserve">whether this proposal will require </w:t>
      </w:r>
      <w:r w:rsidRPr="00CE3AA7" w:rsidR="00E340A1">
        <w:t>applicants or other stakeholders</w:t>
      </w:r>
      <w:r w:rsidR="008265A7">
        <w:t xml:space="preserve"> to </w:t>
      </w:r>
      <w:r w:rsidR="00BD1D43">
        <w:t xml:space="preserve">incur any additional costs beyond </w:t>
      </w:r>
      <w:r w:rsidR="008265A7">
        <w:t>what they currently incur</w:t>
      </w:r>
      <w:r w:rsidRPr="00CE3AA7" w:rsidR="00E340A1">
        <w:t>.</w:t>
      </w:r>
      <w:r>
        <w:rPr>
          <w:snapToGrid/>
        </w:rPr>
        <w:t xml:space="preserve">  We also </w:t>
      </w:r>
      <w:r w:rsidR="000073AA">
        <w:rPr>
          <w:snapToGrid/>
        </w:rPr>
        <w:t>seek comment on any alternative approaches.  Any party advocating</w:t>
      </w:r>
      <w:r w:rsidR="00B12636">
        <w:rPr>
          <w:snapToGrid/>
        </w:rPr>
        <w:t xml:space="preserve"> for</w:t>
      </w:r>
      <w:r w:rsidR="000073AA">
        <w:rPr>
          <w:snapToGrid/>
        </w:rPr>
        <w:t xml:space="preserve"> </w:t>
      </w:r>
      <w:r w:rsidR="000A51AD">
        <w:rPr>
          <w:snapToGrid/>
        </w:rPr>
        <w:t xml:space="preserve">an </w:t>
      </w:r>
      <w:r w:rsidR="000073AA">
        <w:rPr>
          <w:snapToGrid/>
        </w:rPr>
        <w:t xml:space="preserve">alternative approach should </w:t>
      </w:r>
      <w:r w:rsidR="000073AA">
        <w:t>be as detailed as possible and should explain the costs and benefits of any recom</w:t>
      </w:r>
      <w:r w:rsidR="000A51AD">
        <w:t>mended approach.</w:t>
      </w:r>
    </w:p>
    <w:p w:rsidR="00883000" w:rsidRPr="00883000" w:rsidP="00184679">
      <w:pPr>
        <w:pStyle w:val="Heading1"/>
      </w:pPr>
      <w:r w:rsidRPr="00883000">
        <w:t>procedural matters</w:t>
      </w:r>
    </w:p>
    <w:p w:rsidR="00883000" w:rsidRPr="00883000" w:rsidP="00E66512">
      <w:pPr>
        <w:pStyle w:val="Heading2"/>
        <w:rPr>
          <w:snapToGrid/>
        </w:rPr>
      </w:pPr>
      <w:bookmarkStart w:id="5" w:name="_Toc395525825"/>
      <w:bookmarkStart w:id="6" w:name="_Toc395533575"/>
      <w:bookmarkStart w:id="7" w:name="_Toc395688823"/>
      <w:bookmarkStart w:id="8" w:name="_Toc396124446"/>
      <w:bookmarkStart w:id="9" w:name="_Toc396136524"/>
      <w:bookmarkStart w:id="10" w:name="_Toc396213556"/>
      <w:bookmarkStart w:id="11" w:name="_Toc396298474"/>
      <w:bookmarkStart w:id="12" w:name="_Toc402525577"/>
      <w:bookmarkStart w:id="13" w:name="_Toc404083772"/>
      <w:bookmarkStart w:id="14" w:name="_Toc404594694"/>
      <w:bookmarkStart w:id="15" w:name="_Toc407963506"/>
      <w:bookmarkStart w:id="16" w:name="_Toc408297251"/>
      <w:bookmarkStart w:id="17" w:name="_Toc411603975"/>
      <w:bookmarkStart w:id="18" w:name="_Toc422129861"/>
      <w:bookmarkStart w:id="19" w:name="_Toc423003939"/>
      <w:bookmarkStart w:id="20" w:name="_Toc423607560"/>
      <w:bookmarkStart w:id="21" w:name="_Toc424130889"/>
      <w:bookmarkStart w:id="22" w:name="_Toc424222402"/>
      <w:bookmarkStart w:id="23" w:name="_Toc424288651"/>
      <w:bookmarkStart w:id="24" w:name="_Toc425244781"/>
      <w:bookmarkStart w:id="25" w:name="_Toc426724717"/>
      <w:bookmarkStart w:id="26" w:name="_Toc427062654"/>
      <w:bookmarkStart w:id="27" w:name="_Toc428962242"/>
      <w:r w:rsidRPr="00883000">
        <w:rPr>
          <w:snapToGrid/>
        </w:rPr>
        <w:t xml:space="preserve">Initial Regulatory Flexibility Act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FE3049">
        <w:rPr>
          <w:snapToGrid/>
        </w:rPr>
        <w:t>Certification</w:t>
      </w:r>
    </w:p>
    <w:p w:rsidR="00AA7306" w:rsidP="00F255F3">
      <w:pPr>
        <w:pStyle w:val="ParaNum"/>
        <w:widowControl/>
      </w:pPr>
      <w:r>
        <w:t>The Regulatory Flexibility Act of 1980, as amended (RFA),</w:t>
      </w:r>
      <w:r>
        <w:rPr>
          <w:rStyle w:val="FootnoteReference"/>
        </w:rPr>
        <w:footnoteReference w:id="30"/>
      </w:r>
      <w:r>
        <w:t xml:space="preserve"> </w:t>
      </w:r>
      <w:r w:rsidRPr="00F255F3">
        <w:rPr>
          <w:snapToGrid/>
          <w:kern w:val="0"/>
          <w:szCs w:val="22"/>
        </w:rPr>
        <w:t>requires</w:t>
      </w:r>
      <w:r>
        <w:t xml:space="preserve"> that an initial regulatory flexibility analysis be prepared for notice-and-comment rule making proceedings, unless the agency certifies that “the rule will not, if promulgated, have a significant economic impact on a substantial number of small entities.”</w:t>
      </w:r>
      <w:r>
        <w:rPr>
          <w:rStyle w:val="FootnoteReference"/>
        </w:rPr>
        <w:footnoteReference w:id="31"/>
      </w:r>
      <w:r>
        <w:t xml:space="preserve">  The RFA generally defines the term “small entity” as having the same meaning as the </w:t>
      </w:r>
      <w:r w:rsidRPr="00F255F3">
        <w:rPr>
          <w:snapToGrid/>
        </w:rPr>
        <w:t>terms</w:t>
      </w:r>
      <w:r>
        <w:t xml:space="preserve"> “small business,” “small organization,” and “small governmental jurisdiction.”</w:t>
      </w:r>
      <w:r>
        <w:rPr>
          <w:rStyle w:val="FootnoteReference"/>
        </w:rPr>
        <w:footnoteReference w:id="32"/>
      </w:r>
      <w:r>
        <w:t xml:space="preserve">  </w:t>
      </w:r>
      <w:r>
        <w:rPr>
          <w:szCs w:val="22"/>
        </w:rPr>
        <w:t>In addition, the term “small business” has the same meaning as the term “small business concern” under the Small Business Act.</w:t>
      </w:r>
      <w:r>
        <w:rPr>
          <w:rStyle w:val="FootnoteReference"/>
          <w:szCs w:val="22"/>
        </w:rPr>
        <w:footnoteReference w:id="33"/>
      </w:r>
      <w:r>
        <w:rPr>
          <w:szCs w:val="22"/>
        </w:rPr>
        <w:t xml:space="preserve">  </w:t>
      </w:r>
      <w:r>
        <w:t>A “small business concern” is one which: (1) is independently owned and operated; (2) is not dominant in its field of operation; and (3) satisfies any additional criteria established by the Small Business Administration (SBA).</w:t>
      </w:r>
    </w:p>
    <w:p w:rsidR="00AA7306" w:rsidRPr="005A2459" w:rsidP="00F255F3">
      <w:pPr>
        <w:pStyle w:val="ParaNum"/>
        <w:widowControl/>
        <w:rPr>
          <w:snapToGrid/>
        </w:rPr>
      </w:pPr>
      <w:r w:rsidRPr="005A2459">
        <w:rPr>
          <w:snapToGrid/>
        </w:rPr>
        <w:t>In this NPRM, the Commission see</w:t>
      </w:r>
      <w:r w:rsidR="007B48DB">
        <w:rPr>
          <w:snapToGrid/>
        </w:rPr>
        <w:t>ks comment on how to streamline the process for reauthorizing television satellite stations when they are assigned or transferred in combination with their previously approved parent station</w:t>
      </w:r>
      <w:r w:rsidR="00385661">
        <w:rPr>
          <w:snapToGrid/>
        </w:rPr>
        <w:t xml:space="preserve">.  The potential </w:t>
      </w:r>
      <w:r w:rsidR="0034081F">
        <w:rPr>
          <w:snapToGrid/>
        </w:rPr>
        <w:t xml:space="preserve">rule </w:t>
      </w:r>
      <w:r w:rsidRPr="005A2459">
        <w:rPr>
          <w:snapToGrid/>
        </w:rPr>
        <w:t>changes discussed in the NPRM stem from a Public Notice issued by the Commission in May 2017 launching an initiative to modernize the Commission’s media regulations.</w:t>
      </w:r>
      <w:r>
        <w:rPr>
          <w:snapToGrid/>
          <w:vertAlign w:val="superscript"/>
        </w:rPr>
        <w:footnoteReference w:id="34"/>
      </w:r>
      <w:r w:rsidRPr="005A2459">
        <w:rPr>
          <w:snapToGrid/>
        </w:rPr>
        <w:t xml:space="preserve">  </w:t>
      </w:r>
      <w:r w:rsidR="00385661">
        <w:rPr>
          <w:snapToGrid/>
        </w:rPr>
        <w:t xml:space="preserve">Commenters in the proceeding argued that the Commission should </w:t>
      </w:r>
      <w:r w:rsidR="00385661">
        <w:rPr>
          <w:snapToGrid/>
          <w:kern w:val="0"/>
          <w:szCs w:val="22"/>
        </w:rPr>
        <w:t>streamline the process for demonstrating that a television satellite station remains eligible for satellite status in connection with an assignment or transfer of the station</w:t>
      </w:r>
      <w:r w:rsidR="00BC2234">
        <w:rPr>
          <w:snapToGrid/>
          <w:kern w:val="0"/>
          <w:szCs w:val="22"/>
        </w:rPr>
        <w:t xml:space="preserve"> because</w:t>
      </w:r>
      <w:r w:rsidR="008D31A4">
        <w:rPr>
          <w:snapToGrid/>
          <w:kern w:val="0"/>
          <w:szCs w:val="22"/>
        </w:rPr>
        <w:t>,</w:t>
      </w:r>
      <w:r w:rsidR="00BC2234">
        <w:rPr>
          <w:snapToGrid/>
          <w:kern w:val="0"/>
          <w:szCs w:val="22"/>
        </w:rPr>
        <w:t xml:space="preserve"> they contend</w:t>
      </w:r>
      <w:r w:rsidR="008D31A4">
        <w:rPr>
          <w:snapToGrid/>
          <w:kern w:val="0"/>
          <w:szCs w:val="22"/>
        </w:rPr>
        <w:t>,</w:t>
      </w:r>
      <w:r w:rsidR="00BC2234">
        <w:rPr>
          <w:snapToGrid/>
          <w:kern w:val="0"/>
          <w:szCs w:val="22"/>
        </w:rPr>
        <w:t xml:space="preserve"> </w:t>
      </w:r>
      <w:r w:rsidR="0036491F">
        <w:rPr>
          <w:snapToGrid/>
          <w:kern w:val="0"/>
          <w:szCs w:val="22"/>
        </w:rPr>
        <w:t>the current process</w:t>
      </w:r>
      <w:r w:rsidR="00385661">
        <w:rPr>
          <w:snapToGrid/>
          <w:kern w:val="0"/>
          <w:szCs w:val="22"/>
        </w:rPr>
        <w:t xml:space="preserve"> is lengthy, costly, unnecessary, and serves no rational purpose.</w:t>
      </w:r>
      <w:r>
        <w:rPr>
          <w:rStyle w:val="FootnoteReference"/>
          <w:snapToGrid/>
          <w:kern w:val="0"/>
          <w:szCs w:val="22"/>
        </w:rPr>
        <w:footnoteReference w:id="35"/>
      </w:r>
      <w:r w:rsidR="00385661">
        <w:rPr>
          <w:snapToGrid/>
          <w:kern w:val="0"/>
          <w:szCs w:val="22"/>
        </w:rPr>
        <w:t xml:space="preserve">  </w:t>
      </w:r>
      <w:r w:rsidR="00385661">
        <w:rPr>
          <w:snapToGrid/>
        </w:rPr>
        <w:t xml:space="preserve">The </w:t>
      </w:r>
      <w:r w:rsidR="005F0676">
        <w:rPr>
          <w:snapToGrid/>
        </w:rPr>
        <w:t>proposals</w:t>
      </w:r>
      <w:r w:rsidRPr="005A2459">
        <w:rPr>
          <w:snapToGrid/>
        </w:rPr>
        <w:t xml:space="preserve"> </w:t>
      </w:r>
      <w:r w:rsidR="005F0676">
        <w:rPr>
          <w:snapToGrid/>
        </w:rPr>
        <w:t>up</w:t>
      </w:r>
      <w:r w:rsidRPr="005A2459">
        <w:rPr>
          <w:snapToGrid/>
        </w:rPr>
        <w:t xml:space="preserve">on which the NPRM seeks comment are intended to </w:t>
      </w:r>
      <w:r w:rsidRPr="00F255F3">
        <w:rPr>
          <w:snapToGrid/>
          <w:kern w:val="0"/>
          <w:szCs w:val="22"/>
        </w:rPr>
        <w:t>reduce</w:t>
      </w:r>
      <w:r w:rsidRPr="005A2459">
        <w:rPr>
          <w:snapToGrid/>
        </w:rPr>
        <w:t xml:space="preserve"> unnecessary regulation and regulatory burdens that can impede competition and innovation in the media marketplace.    </w:t>
      </w:r>
    </w:p>
    <w:p w:rsidR="0034081F" w:rsidRPr="008E4998" w:rsidP="00F255F3">
      <w:pPr>
        <w:pStyle w:val="ParaNum"/>
        <w:widowControl/>
      </w:pPr>
      <w:r>
        <w:t xml:space="preserve">The Commission estimates that the rule changes proposed in this </w:t>
      </w:r>
      <w:r w:rsidRPr="000E1A7D">
        <w:t>NPRM,</w:t>
      </w:r>
      <w:r>
        <w:t xml:space="preserve"> if adopted, would reduce the time and expense associated with reauthorizing television satellite stations</w:t>
      </w:r>
      <w:r w:rsidR="00A11A1E">
        <w:t xml:space="preserve"> when they are assigned or transferred in combination with their previously approved parent station.  For example</w:t>
      </w:r>
      <w:r w:rsidR="00D82141">
        <w:t xml:space="preserve">, </w:t>
      </w:r>
      <w:r w:rsidR="00417B32">
        <w:t xml:space="preserve">the NPRM proposes that, </w:t>
      </w:r>
      <w:r w:rsidR="00D82141">
        <w:t xml:space="preserve">instead of </w:t>
      </w:r>
      <w:r w:rsidR="00417B32">
        <w:t xml:space="preserve">needing to </w:t>
      </w:r>
      <w:r w:rsidRPr="00F255F3" w:rsidR="00417B32">
        <w:rPr>
          <w:snapToGrid/>
        </w:rPr>
        <w:t>make</w:t>
      </w:r>
      <w:r w:rsidR="00417B32">
        <w:t xml:space="preserve"> </w:t>
      </w:r>
      <w:r w:rsidR="00D82141">
        <w:t xml:space="preserve">the same </w:t>
      </w:r>
      <w:r w:rsidR="00417B32">
        <w:t xml:space="preserve">type of showing that was required for the station’s </w:t>
      </w:r>
      <w:r w:rsidR="00924D0F">
        <w:t>initial satellite authorization</w:t>
      </w:r>
      <w:r w:rsidR="00417B32">
        <w:t>,</w:t>
      </w:r>
      <w:r w:rsidR="00A11A1E">
        <w:t xml:space="preserve"> </w:t>
      </w:r>
      <w:r w:rsidR="00D82141">
        <w:t>the parties to the proposed transaction</w:t>
      </w:r>
      <w:r w:rsidRPr="00883000">
        <w:rPr>
          <w:snapToGrid/>
        </w:rPr>
        <w:t xml:space="preserve"> </w:t>
      </w:r>
      <w:r w:rsidR="00417B32">
        <w:rPr>
          <w:snapToGrid/>
        </w:rPr>
        <w:t>could</w:t>
      </w:r>
      <w:r w:rsidR="00924D0F">
        <w:rPr>
          <w:snapToGrid/>
        </w:rPr>
        <w:t xml:space="preserve"> certify that there has been no material change in </w:t>
      </w:r>
      <w:r w:rsidR="00D82141">
        <w:t xml:space="preserve">the underlying circumstances </w:t>
      </w:r>
      <w:r w:rsidR="008D31A4">
        <w:t xml:space="preserve">since </w:t>
      </w:r>
      <w:r w:rsidR="00D82141">
        <w:t>the current satellite authorization</w:t>
      </w:r>
      <w:r w:rsidR="008D31A4">
        <w:t xml:space="preserve"> was granted by the Commission</w:t>
      </w:r>
      <w:r w:rsidR="00D82141">
        <w:t>.</w:t>
      </w:r>
      <w:r w:rsidR="00924D0F">
        <w:t xml:space="preserve">  In addition,</w:t>
      </w:r>
      <w:r w:rsidR="00D82141">
        <w:t xml:space="preserve"> a complete copy of the written Commission decision granting the current satellite exception </w:t>
      </w:r>
      <w:r w:rsidR="00924D0F">
        <w:t>would need to</w:t>
      </w:r>
      <w:r w:rsidR="00D82141">
        <w:t xml:space="preserve"> be provided with the assignment or transfer application</w:t>
      </w:r>
      <w:r w:rsidR="00CB673A">
        <w:t>.  The NPRM seeks comment on various aspects of the streamlining proposal</w:t>
      </w:r>
      <w:r w:rsidR="00E01057">
        <w:t xml:space="preserve"> </w:t>
      </w:r>
      <w:r w:rsidR="00CB673A">
        <w:t xml:space="preserve">and on </w:t>
      </w:r>
      <w:r w:rsidR="00CB673A">
        <w:rPr>
          <w:snapToGrid/>
        </w:rPr>
        <w:t>any alternative approaches.</w:t>
      </w:r>
    </w:p>
    <w:p w:rsidR="00883000" w:rsidRPr="00E01057" w:rsidP="00F255F3">
      <w:pPr>
        <w:pStyle w:val="ParaNum"/>
        <w:widowControl/>
      </w:pPr>
      <w:r>
        <w:t xml:space="preserve">The Commission believes that the proposals on which it seeks comment in this </w:t>
      </w:r>
      <w:r w:rsidRPr="000E1A7D">
        <w:t>NPRM</w:t>
      </w:r>
      <w:r>
        <w:t xml:space="preserve"> would reduce costs and burdens currently associated with transactions involving television satellite stations, including those that are small entities</w:t>
      </w:r>
      <w:r>
        <w:rPr>
          <w:snapToGrid/>
        </w:rPr>
        <w:t xml:space="preserve">.  </w:t>
      </w:r>
      <w:bookmarkStart w:id="28" w:name="_Hlk504990756"/>
      <w:r w:rsidRPr="00CE3AA7" w:rsidR="00B51AB8">
        <w:t>As</w:t>
      </w:r>
      <w:r>
        <w:rPr>
          <w:snapToGrid/>
        </w:rPr>
        <w:t xml:space="preserve"> transactions involving television satellite stations </w:t>
      </w:r>
      <w:r w:rsidR="00BD044D">
        <w:rPr>
          <w:snapToGrid/>
        </w:rPr>
        <w:t xml:space="preserve">usually </w:t>
      </w:r>
      <w:r>
        <w:rPr>
          <w:snapToGrid/>
        </w:rPr>
        <w:t>comprise</w:t>
      </w:r>
      <w:r w:rsidR="00BD044D">
        <w:rPr>
          <w:snapToGrid/>
        </w:rPr>
        <w:t xml:space="preserve"> a very small</w:t>
      </w:r>
      <w:r>
        <w:rPr>
          <w:snapToGrid/>
        </w:rPr>
        <w:t xml:space="preserve"> percentage of </w:t>
      </w:r>
      <w:r w:rsidR="00BD044D">
        <w:rPr>
          <w:snapToGrid/>
        </w:rPr>
        <w:t xml:space="preserve">the total number of </w:t>
      </w:r>
      <w:r>
        <w:rPr>
          <w:snapToGrid/>
        </w:rPr>
        <w:t>television transactions</w:t>
      </w:r>
      <w:r w:rsidR="008D31A4">
        <w:rPr>
          <w:snapToGrid/>
        </w:rPr>
        <w:t xml:space="preserve"> processed by the Commission</w:t>
      </w:r>
      <w:r w:rsidR="007E072E">
        <w:rPr>
          <w:snapToGrid/>
        </w:rPr>
        <w:t xml:space="preserve"> and</w:t>
      </w:r>
      <w:r w:rsidRPr="00CE3AA7" w:rsidR="00EE1F64">
        <w:t xml:space="preserve"> originate from a similarly small segment of the overall industry</w:t>
      </w:r>
      <w:r w:rsidR="007E072E">
        <w:rPr>
          <w:snapToGrid/>
        </w:rPr>
        <w:t xml:space="preserve">, the number of small entities impacted would not be </w:t>
      </w:r>
      <w:r w:rsidRPr="00CE3AA7" w:rsidR="00B51AB8">
        <w:t>substantial</w:t>
      </w:r>
      <w:r w:rsidR="007E072E">
        <w:rPr>
          <w:snapToGrid/>
        </w:rPr>
        <w:t xml:space="preserve"> for RFA purposes</w:t>
      </w:r>
      <w:r w:rsidR="00BD044D">
        <w:rPr>
          <w:snapToGrid/>
        </w:rPr>
        <w:t>.</w:t>
      </w:r>
      <w:bookmarkStart w:id="29" w:name="_Hlk504990780"/>
      <w:bookmarkEnd w:id="28"/>
      <w:r>
        <w:rPr>
          <w:rStyle w:val="FootnoteReference"/>
          <w:snapToGrid/>
        </w:rPr>
        <w:footnoteReference w:id="36"/>
      </w:r>
      <w:r>
        <w:rPr>
          <w:snapToGrid/>
        </w:rPr>
        <w:t xml:space="preserve"> </w:t>
      </w:r>
      <w:bookmarkEnd w:id="29"/>
      <w:r w:rsidR="00BD044D">
        <w:rPr>
          <w:snapToGrid/>
        </w:rPr>
        <w:t xml:space="preserve"> </w:t>
      </w:r>
      <w:r>
        <w:t xml:space="preserve">Therefore, the Commission certifies that the proposals in this </w:t>
      </w:r>
      <w:r w:rsidRPr="000E1A7D">
        <w:t>NPRM,</w:t>
      </w:r>
      <w:r>
        <w:t xml:space="preserve"> if adopted, will not have a significant economic impact on a substantial number of small entities.  The Commission will send a copy of the </w:t>
      </w:r>
      <w:r w:rsidRPr="000E1A7D">
        <w:t>NPRM,</w:t>
      </w:r>
      <w:r>
        <w:t xml:space="preserve"> including a copy of this Initial Regulatory Flexibility Certification, to the Chief Counsel for Advocacy of the SBA.</w:t>
      </w:r>
      <w:r>
        <w:rPr>
          <w:rStyle w:val="FootnoteReference"/>
        </w:rPr>
        <w:footnoteReference w:id="37"/>
      </w:r>
      <w:r>
        <w:t xml:space="preserve">  This initial certification will also be published in the Federal Register.</w:t>
      </w:r>
      <w:r>
        <w:rPr>
          <w:rStyle w:val="FootnoteReference"/>
        </w:rPr>
        <w:footnoteReference w:id="38"/>
      </w:r>
    </w:p>
    <w:p w:rsidR="00883000" w:rsidRPr="00883000" w:rsidP="00E66512">
      <w:pPr>
        <w:pStyle w:val="Heading2"/>
        <w:rPr>
          <w:snapToGrid/>
        </w:rPr>
      </w:pPr>
      <w:bookmarkStart w:id="31" w:name="_Toc290902732"/>
      <w:bookmarkStart w:id="32" w:name="_Toc290985334"/>
      <w:bookmarkStart w:id="33" w:name="_Toc396136525"/>
      <w:bookmarkStart w:id="34" w:name="_Toc396213557"/>
      <w:bookmarkStart w:id="35" w:name="_Toc396298475"/>
      <w:bookmarkStart w:id="36" w:name="_Toc402525578"/>
      <w:bookmarkStart w:id="37" w:name="_Toc404083773"/>
      <w:bookmarkStart w:id="38" w:name="_Toc404594695"/>
      <w:bookmarkStart w:id="39" w:name="_Toc407963507"/>
      <w:bookmarkStart w:id="40" w:name="_Toc408297252"/>
      <w:bookmarkStart w:id="41" w:name="_Toc411603976"/>
      <w:bookmarkStart w:id="42" w:name="_Toc422129862"/>
      <w:bookmarkStart w:id="43" w:name="_Toc423003940"/>
      <w:bookmarkStart w:id="44" w:name="_Toc423607561"/>
      <w:bookmarkStart w:id="45" w:name="_Toc424130890"/>
      <w:bookmarkStart w:id="46" w:name="_Toc424222403"/>
      <w:bookmarkStart w:id="47" w:name="_Toc424288652"/>
      <w:bookmarkStart w:id="48" w:name="_Toc425244782"/>
      <w:bookmarkStart w:id="49" w:name="_Toc426724718"/>
      <w:bookmarkStart w:id="50" w:name="_Toc427062655"/>
      <w:bookmarkStart w:id="51" w:name="_Toc428962243"/>
      <w:r w:rsidRPr="00883000">
        <w:rPr>
          <w:snapToGrid/>
        </w:rPr>
        <w:t>Initial Paperwork Reduction Act Analysis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83000" w:rsidRPr="00883000" w:rsidP="00F255F3">
      <w:pPr>
        <w:pStyle w:val="ParaNum"/>
        <w:widowControl/>
        <w:rPr>
          <w:snapToGrid/>
          <w:kern w:val="0"/>
          <w:szCs w:val="22"/>
        </w:rPr>
      </w:pPr>
      <w:r w:rsidRPr="00883000">
        <w:rPr>
          <w:snapToGrid/>
          <w:kern w:val="0"/>
          <w:szCs w:val="22"/>
        </w:rPr>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w:t>
      </w:r>
      <w:r w:rsidRPr="00F255F3">
        <w:rPr>
          <w:snapToGrid/>
        </w:rPr>
        <w:t>Reduction</w:t>
      </w:r>
      <w:r w:rsidRPr="00883000">
        <w:rPr>
          <w:snapToGrid/>
          <w:kern w:val="0"/>
          <w:szCs w:val="22"/>
        </w:rPr>
        <w:t xml:space="preserve"> Act of 1995, Public Law 104-13.  In addition, pursuant to the Small Business Paperwork Relief Act of 2002, Public Law 107-198, </w:t>
      </w:r>
      <w:r w:rsidRPr="00883000">
        <w:rPr>
          <w:i/>
          <w:snapToGrid/>
          <w:kern w:val="0"/>
          <w:szCs w:val="22"/>
        </w:rPr>
        <w:t>see</w:t>
      </w:r>
      <w:r w:rsidRPr="00883000">
        <w:rPr>
          <w:snapToGrid/>
          <w:kern w:val="0"/>
          <w:szCs w:val="22"/>
        </w:rPr>
        <w:t xml:space="preserve"> 44 U.S.C. </w:t>
      </w:r>
      <w:r w:rsidRPr="00994054" w:rsidR="00D9707A">
        <w:rPr>
          <w:snapToGrid/>
          <w:kern w:val="0"/>
          <w:szCs w:val="22"/>
        </w:rPr>
        <w:t>§</w:t>
      </w:r>
      <w:r w:rsidR="00D9707A">
        <w:rPr>
          <w:snapToGrid/>
          <w:kern w:val="0"/>
          <w:szCs w:val="22"/>
        </w:rPr>
        <w:t xml:space="preserve"> </w:t>
      </w:r>
      <w:r w:rsidRPr="00883000">
        <w:rPr>
          <w:snapToGrid/>
          <w:kern w:val="0"/>
          <w:szCs w:val="22"/>
        </w:rPr>
        <w:t>3506(c)(4), we seek specific comment on how we might further reduce the information collection burden for small business concerns with fewer than 25 employees.</w:t>
      </w:r>
    </w:p>
    <w:p w:rsidR="00883000" w:rsidRPr="00883000" w:rsidP="00E66512">
      <w:pPr>
        <w:pStyle w:val="Heading2"/>
        <w:rPr>
          <w:snapToGrid/>
        </w:rPr>
      </w:pPr>
      <w:bookmarkStart w:id="52" w:name="_Toc395525827"/>
      <w:bookmarkStart w:id="53" w:name="_Toc395533577"/>
      <w:bookmarkStart w:id="54" w:name="_Toc395688825"/>
      <w:bookmarkStart w:id="55" w:name="_Toc396124448"/>
      <w:bookmarkStart w:id="56" w:name="_Toc396136526"/>
      <w:bookmarkStart w:id="57" w:name="_Toc396213558"/>
      <w:bookmarkStart w:id="58" w:name="_Toc396298476"/>
      <w:bookmarkStart w:id="59" w:name="_Toc402525579"/>
      <w:bookmarkStart w:id="60" w:name="_Toc404083774"/>
      <w:bookmarkStart w:id="61" w:name="_Toc404594696"/>
      <w:bookmarkStart w:id="62" w:name="_Toc407963508"/>
      <w:bookmarkStart w:id="63" w:name="_Toc408297253"/>
      <w:bookmarkStart w:id="64" w:name="_Toc411603977"/>
      <w:bookmarkStart w:id="65" w:name="_Toc422129863"/>
      <w:bookmarkStart w:id="66" w:name="_Toc423003941"/>
      <w:bookmarkStart w:id="67" w:name="_Toc423607562"/>
      <w:bookmarkStart w:id="68" w:name="_Toc424130891"/>
      <w:bookmarkStart w:id="69" w:name="_Toc424222404"/>
      <w:bookmarkStart w:id="70" w:name="_Toc424288653"/>
      <w:bookmarkStart w:id="71" w:name="_Toc425244783"/>
      <w:bookmarkStart w:id="72" w:name="_Toc426724719"/>
      <w:bookmarkStart w:id="73" w:name="_Toc427062656"/>
      <w:bookmarkStart w:id="74" w:name="_Toc428962244"/>
      <w:r w:rsidRPr="00883000">
        <w:rPr>
          <w:snapToGrid/>
        </w:rPr>
        <w:t>Ex Parte Rules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83000" w:rsidRPr="00883000" w:rsidP="00F255F3">
      <w:pPr>
        <w:pStyle w:val="ParaNum"/>
        <w:widowControl/>
        <w:rPr>
          <w:snapToGrid/>
          <w:kern w:val="0"/>
          <w:szCs w:val="22"/>
        </w:rPr>
      </w:pPr>
      <w:bookmarkStart w:id="75" w:name="_Toc395525828"/>
      <w:bookmarkStart w:id="76" w:name="_Toc395533578"/>
      <w:bookmarkStart w:id="77" w:name="_Toc395688826"/>
      <w:bookmarkStart w:id="78" w:name="_Toc396124449"/>
      <w:r w:rsidRPr="00883000">
        <w:rPr>
          <w:snapToGrid/>
          <w:kern w:val="0"/>
          <w:szCs w:val="22"/>
          <w:u w:val="single"/>
        </w:rPr>
        <w:t>Permit-But-Disclose</w:t>
      </w:r>
      <w:r w:rsidRPr="00883000">
        <w:rPr>
          <w:snapToGrid/>
          <w:kern w:val="0"/>
          <w:szCs w:val="22"/>
        </w:rPr>
        <w:t xml:space="preserve">.  This </w:t>
      </w:r>
      <w:r w:rsidRPr="00837B89">
        <w:rPr>
          <w:snapToGrid/>
        </w:rPr>
        <w:t>proceeding</w:t>
      </w:r>
      <w:r w:rsidRPr="00883000">
        <w:rPr>
          <w:snapToGrid/>
          <w:kern w:val="0"/>
          <w:szCs w:val="22"/>
        </w:rPr>
        <w:t xml:space="preserve"> shall be treated as a “permit-but-disclose” proceeding in accordance with the Commission’s </w:t>
      </w:r>
      <w:r w:rsidRPr="00883000">
        <w:rPr>
          <w:i/>
          <w:iCs/>
          <w:snapToGrid/>
          <w:kern w:val="0"/>
          <w:szCs w:val="22"/>
        </w:rPr>
        <w:t xml:space="preserve">ex parte </w:t>
      </w:r>
      <w:r w:rsidRPr="00883000">
        <w:rPr>
          <w:snapToGrid/>
          <w:kern w:val="0"/>
          <w:szCs w:val="22"/>
        </w:rPr>
        <w:t>rules.</w:t>
      </w:r>
      <w:r>
        <w:rPr>
          <w:snapToGrid/>
          <w:kern w:val="0"/>
          <w:szCs w:val="22"/>
          <w:vertAlign w:val="superscript"/>
        </w:rPr>
        <w:footnoteReference w:id="39"/>
      </w:r>
      <w:r w:rsidRPr="00883000">
        <w:rPr>
          <w:snapToGrid/>
          <w:kern w:val="0"/>
          <w:szCs w:val="22"/>
        </w:rPr>
        <w:t xml:space="preserve">  Persons making </w:t>
      </w:r>
      <w:r w:rsidRPr="00883000">
        <w:rPr>
          <w:i/>
          <w:snapToGrid/>
          <w:kern w:val="0"/>
          <w:szCs w:val="22"/>
        </w:rPr>
        <w:t xml:space="preserve">ex parte </w:t>
      </w:r>
      <w:r w:rsidRPr="00883000">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83000">
        <w:rPr>
          <w:i/>
          <w:iCs/>
          <w:snapToGrid/>
          <w:kern w:val="0"/>
          <w:szCs w:val="22"/>
        </w:rPr>
        <w:t xml:space="preserve">ex parte </w:t>
      </w:r>
      <w:r w:rsidRPr="00883000">
        <w:rPr>
          <w:snapToGrid/>
          <w:kern w:val="0"/>
          <w:szCs w:val="22"/>
        </w:rPr>
        <w:t xml:space="preserve">presentations are reminded that memoranda summarizing the presentation must (1) list all persons attending or otherwise </w:t>
      </w:r>
      <w:r w:rsidRPr="00F255F3">
        <w:rPr>
          <w:snapToGrid/>
        </w:rPr>
        <w:t>participating</w:t>
      </w:r>
      <w:r w:rsidRPr="00883000">
        <w:rPr>
          <w:snapToGrid/>
          <w:kern w:val="0"/>
          <w:szCs w:val="22"/>
        </w:rPr>
        <w:t xml:space="preserve"> in the meeting at which the </w:t>
      </w:r>
      <w:r w:rsidRPr="00883000">
        <w:rPr>
          <w:i/>
          <w:iCs/>
          <w:snapToGrid/>
          <w:kern w:val="0"/>
          <w:szCs w:val="22"/>
        </w:rPr>
        <w:t xml:space="preserve">ex parte </w:t>
      </w:r>
      <w:r w:rsidRPr="00883000">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83000">
        <w:rPr>
          <w:i/>
          <w:iCs/>
          <w:snapToGrid/>
          <w:kern w:val="0"/>
          <w:szCs w:val="22"/>
        </w:rPr>
        <w:t xml:space="preserve">ex parte </w:t>
      </w:r>
      <w:r w:rsidRPr="00883000">
        <w:rPr>
          <w:snapToGrid/>
          <w:kern w:val="0"/>
          <w:szCs w:val="22"/>
        </w:rPr>
        <w:t xml:space="preserve">meetings are deemed to be written </w:t>
      </w:r>
      <w:r w:rsidRPr="00883000">
        <w:rPr>
          <w:i/>
          <w:iCs/>
          <w:snapToGrid/>
          <w:kern w:val="0"/>
          <w:szCs w:val="22"/>
        </w:rPr>
        <w:t>ex parte</w:t>
      </w:r>
      <w:r w:rsidRPr="00883000">
        <w:rPr>
          <w:snapToGrid/>
          <w:kern w:val="0"/>
          <w:szCs w:val="22"/>
        </w:rPr>
        <w:t xml:space="preserve"> presentations and must be filed consistent with rule 1.1206(b).  In proceedings governed by rule 1.49(f) or for which the Commission has made available a method of electronic filing, written </w:t>
      </w:r>
      <w:r w:rsidRPr="00883000">
        <w:rPr>
          <w:i/>
          <w:iCs/>
          <w:snapToGrid/>
          <w:kern w:val="0"/>
          <w:szCs w:val="22"/>
        </w:rPr>
        <w:t xml:space="preserve">ex parte </w:t>
      </w:r>
      <w:r w:rsidRPr="00883000">
        <w:rPr>
          <w:snapToGrid/>
          <w:kern w:val="0"/>
          <w:szCs w:val="22"/>
        </w:rPr>
        <w:t xml:space="preserve">presentations and memoranda summarizing oral </w:t>
      </w:r>
      <w:r w:rsidRPr="00883000">
        <w:rPr>
          <w:i/>
          <w:iCs/>
          <w:snapToGrid/>
          <w:kern w:val="0"/>
          <w:szCs w:val="22"/>
        </w:rPr>
        <w:t xml:space="preserve">ex parte </w:t>
      </w:r>
      <w:r w:rsidRPr="00883000">
        <w:rPr>
          <w:snapToGrid/>
          <w:kern w:val="0"/>
          <w:szCs w:val="22"/>
        </w:rPr>
        <w:t>presentations, and all attachments thereto, must be filed through the electronic comment filing system available for that proceeding, and must be filed in their native format (</w:t>
      </w:r>
      <w:r w:rsidRPr="00883000">
        <w:rPr>
          <w:i/>
          <w:iCs/>
          <w:snapToGrid/>
          <w:kern w:val="0"/>
          <w:szCs w:val="22"/>
        </w:rPr>
        <w:t>e.g.</w:t>
      </w:r>
      <w:r w:rsidRPr="00883000">
        <w:rPr>
          <w:snapToGrid/>
          <w:kern w:val="0"/>
          <w:szCs w:val="22"/>
        </w:rPr>
        <w:t xml:space="preserve">, .doc, .xml, .ppt, searchable .pdf).  Participants in this proceeding should familiarize themselves with the Commission’s </w:t>
      </w:r>
      <w:r w:rsidRPr="00883000">
        <w:rPr>
          <w:i/>
          <w:iCs/>
          <w:snapToGrid/>
          <w:kern w:val="0"/>
          <w:szCs w:val="22"/>
        </w:rPr>
        <w:t xml:space="preserve">ex parte </w:t>
      </w:r>
      <w:r w:rsidRPr="00883000">
        <w:rPr>
          <w:snapToGrid/>
          <w:kern w:val="0"/>
          <w:szCs w:val="22"/>
        </w:rPr>
        <w:t>rules.</w:t>
      </w:r>
    </w:p>
    <w:p w:rsidR="00883000" w:rsidRPr="00883000" w:rsidP="00E66512">
      <w:pPr>
        <w:pStyle w:val="Heading2"/>
        <w:rPr>
          <w:snapToGrid/>
        </w:rPr>
      </w:pPr>
      <w:bookmarkStart w:id="79" w:name="_Toc396136527"/>
      <w:bookmarkStart w:id="80" w:name="_Toc396213559"/>
      <w:bookmarkStart w:id="81" w:name="_Toc396298477"/>
      <w:bookmarkStart w:id="82" w:name="_Toc402525580"/>
      <w:bookmarkStart w:id="83" w:name="_Toc404083775"/>
      <w:bookmarkStart w:id="84" w:name="_Toc404594697"/>
      <w:bookmarkStart w:id="85" w:name="_Toc407963509"/>
      <w:bookmarkStart w:id="86" w:name="_Toc408297254"/>
      <w:bookmarkStart w:id="87" w:name="_Toc411603978"/>
      <w:bookmarkStart w:id="88" w:name="_Toc422129864"/>
      <w:bookmarkStart w:id="89" w:name="_Toc423003942"/>
      <w:bookmarkStart w:id="90" w:name="_Toc423607563"/>
      <w:bookmarkStart w:id="91" w:name="_Toc424130892"/>
      <w:bookmarkStart w:id="92" w:name="_Toc424222405"/>
      <w:bookmarkStart w:id="93" w:name="_Toc424288654"/>
      <w:bookmarkStart w:id="94" w:name="_Toc425244784"/>
      <w:bookmarkStart w:id="95" w:name="_Toc426724720"/>
      <w:bookmarkStart w:id="96" w:name="_Toc427062657"/>
      <w:bookmarkStart w:id="97" w:name="_Toc428962245"/>
      <w:r w:rsidRPr="00883000">
        <w:rPr>
          <w:snapToGrid/>
        </w:rPr>
        <w:t xml:space="preserve">Filing </w:t>
      </w:r>
      <w:bookmarkEnd w:id="75"/>
      <w:bookmarkEnd w:id="76"/>
      <w:bookmarkEnd w:id="77"/>
      <w:bookmarkEnd w:id="78"/>
      <w:r w:rsidRPr="00883000">
        <w:rPr>
          <w:snapToGrid/>
        </w:rPr>
        <w:t>Requirements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83000" w:rsidRPr="00883000" w:rsidP="00F255F3">
      <w:pPr>
        <w:pStyle w:val="ParaNum"/>
        <w:widowControl/>
        <w:rPr>
          <w:snapToGrid/>
          <w:kern w:val="0"/>
          <w:szCs w:val="22"/>
        </w:rPr>
      </w:pPr>
      <w:bookmarkStart w:id="98" w:name="_Toc395525829"/>
      <w:bookmarkStart w:id="99" w:name="_Toc395533579"/>
      <w:bookmarkStart w:id="100" w:name="_Toc395688827"/>
      <w:bookmarkStart w:id="101" w:name="_Toc396124450"/>
      <w:r w:rsidRPr="00883000">
        <w:rPr>
          <w:snapToGrid/>
          <w:kern w:val="0"/>
          <w:szCs w:val="22"/>
          <w:u w:val="single"/>
        </w:rPr>
        <w:t>Comments and Replies</w:t>
      </w:r>
      <w:r w:rsidRPr="00883000">
        <w:rPr>
          <w:snapToGrid/>
          <w:kern w:val="0"/>
          <w:szCs w:val="22"/>
        </w:rPr>
        <w:t xml:space="preserve">.  Pursuant to sections 1.415 and 1.419 of the Commission’s rules, 47 CFR §§ 1.415, 1.419, interested parties may file comments and reply comments on or before the dates indicated on the first page of this </w:t>
      </w:r>
      <w:r w:rsidRPr="00837B89">
        <w:rPr>
          <w:snapToGrid/>
        </w:rPr>
        <w:t>document</w:t>
      </w:r>
      <w:r w:rsidRPr="00883000">
        <w:rPr>
          <w:snapToGrid/>
          <w:kern w:val="0"/>
          <w:szCs w:val="22"/>
        </w:rPr>
        <w:t xml:space="preserve">.  Comments may be filed using the Commission’s Electronic Comment Filing System (ECFS).  </w:t>
      </w:r>
      <w:r w:rsidRPr="00883000">
        <w:rPr>
          <w:i/>
          <w:snapToGrid/>
          <w:kern w:val="0"/>
          <w:szCs w:val="22"/>
        </w:rPr>
        <w:t>Electronic Filing of Documents in Rulemaking Proceedings</w:t>
      </w:r>
      <w:r w:rsidRPr="00883000">
        <w:rPr>
          <w:snapToGrid/>
          <w:kern w:val="0"/>
          <w:szCs w:val="22"/>
        </w:rPr>
        <w:t>, 63 FR 24121 (1998).</w:t>
      </w:r>
    </w:p>
    <w:p w:rsidR="00883000" w:rsidRPr="00883000" w:rsidP="00DD0D53">
      <w:pPr>
        <w:widowControl/>
        <w:numPr>
          <w:ilvl w:val="0"/>
          <w:numId w:val="3"/>
        </w:numPr>
        <w:spacing w:after="120"/>
        <w:rPr>
          <w:snapToGrid/>
          <w:kern w:val="0"/>
          <w:szCs w:val="22"/>
        </w:rPr>
      </w:pPr>
      <w:r w:rsidRPr="00883000">
        <w:rPr>
          <w:snapToGrid/>
          <w:kern w:val="0"/>
          <w:szCs w:val="22"/>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883000">
        <w:rPr>
          <w:snapToGrid/>
          <w:color w:val="0000FF"/>
          <w:kern w:val="0"/>
          <w:szCs w:val="22"/>
          <w:u w:val="single"/>
        </w:rPr>
        <w:t>http://fjallfoss.fcc.gov/ecfs2/</w:t>
      </w:r>
      <w:r>
        <w:fldChar w:fldCharType="end"/>
      </w:r>
      <w:r w:rsidRPr="00883000">
        <w:rPr>
          <w:snapToGrid/>
          <w:kern w:val="0"/>
          <w:szCs w:val="22"/>
        </w:rPr>
        <w:t>.</w:t>
      </w:r>
    </w:p>
    <w:p w:rsidR="00883000" w:rsidRPr="00883000" w:rsidP="00DD0D53">
      <w:pPr>
        <w:widowControl/>
        <w:numPr>
          <w:ilvl w:val="0"/>
          <w:numId w:val="3"/>
        </w:numPr>
        <w:spacing w:after="120"/>
        <w:rPr>
          <w:snapToGrid/>
          <w:kern w:val="0"/>
          <w:szCs w:val="22"/>
        </w:rPr>
      </w:pPr>
      <w:r w:rsidRPr="00883000">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83000" w:rsidRPr="00883000" w:rsidP="00883000">
      <w:pPr>
        <w:widowControl/>
        <w:spacing w:after="120"/>
        <w:ind w:left="1080"/>
        <w:rPr>
          <w:snapToGrid/>
          <w:kern w:val="0"/>
          <w:szCs w:val="22"/>
        </w:rPr>
      </w:pPr>
      <w:r w:rsidRPr="00883000">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83000" w:rsidRPr="00883000" w:rsidP="00DD0D53">
      <w:pPr>
        <w:widowControl/>
        <w:numPr>
          <w:ilvl w:val="0"/>
          <w:numId w:val="3"/>
        </w:numPr>
        <w:spacing w:after="120"/>
        <w:rPr>
          <w:snapToGrid/>
          <w:kern w:val="0"/>
          <w:szCs w:val="22"/>
        </w:rPr>
      </w:pPr>
      <w:r w:rsidRPr="00883000">
        <w:rPr>
          <w:snapToGrid/>
          <w:kern w:val="0"/>
          <w:szCs w:val="22"/>
        </w:rPr>
        <w:t>All hand-delivered or messenger-delivered paper filings for the Commission’s Secretary must be delivered to FCC Headquarters at 445 12</w:t>
      </w:r>
      <w:r w:rsidRPr="00883000">
        <w:rPr>
          <w:snapToGrid/>
          <w:kern w:val="0"/>
          <w:szCs w:val="22"/>
          <w:vertAlign w:val="superscript"/>
        </w:rPr>
        <w:t>th</w:t>
      </w:r>
      <w:r w:rsidRPr="00883000">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883000">
        <w:rPr>
          <w:snapToGrid/>
          <w:kern w:val="0"/>
          <w:szCs w:val="22"/>
          <w:u w:val="single"/>
        </w:rPr>
        <w:t>before</w:t>
      </w:r>
      <w:r w:rsidRPr="00883000">
        <w:rPr>
          <w:snapToGrid/>
          <w:kern w:val="0"/>
          <w:szCs w:val="22"/>
        </w:rPr>
        <w:t xml:space="preserve"> entering the building.  </w:t>
      </w:r>
    </w:p>
    <w:p w:rsidR="00883000" w:rsidRPr="00883000" w:rsidP="00DD0D53">
      <w:pPr>
        <w:widowControl/>
        <w:numPr>
          <w:ilvl w:val="0"/>
          <w:numId w:val="3"/>
        </w:numPr>
        <w:spacing w:after="120"/>
        <w:rPr>
          <w:snapToGrid/>
          <w:kern w:val="0"/>
          <w:szCs w:val="22"/>
        </w:rPr>
      </w:pPr>
      <w:r w:rsidRPr="00883000">
        <w:rPr>
          <w:snapToGrid/>
          <w:kern w:val="0"/>
          <w:szCs w:val="22"/>
        </w:rPr>
        <w:t>Commercial overnight mail (other than U.S. Postal Service Express Mail and Priority Mail) must be sent to 9050 Junction Drive, Annapolis Junction, MD 20701.</w:t>
      </w:r>
    </w:p>
    <w:p w:rsidR="00883000" w:rsidRPr="00883000" w:rsidP="00F255F3">
      <w:pPr>
        <w:widowControl/>
        <w:numPr>
          <w:ilvl w:val="0"/>
          <w:numId w:val="3"/>
        </w:numPr>
        <w:spacing w:after="120"/>
        <w:rPr>
          <w:snapToGrid/>
          <w:kern w:val="0"/>
          <w:szCs w:val="22"/>
        </w:rPr>
      </w:pPr>
      <w:r w:rsidRPr="00883000">
        <w:rPr>
          <w:snapToGrid/>
          <w:kern w:val="0"/>
          <w:szCs w:val="22"/>
        </w:rPr>
        <w:t>U.S. Postal Service first-class, Express, and Priority mail must be addressed to 445 12th Street, SW, Washington, DC 20554.</w:t>
      </w:r>
    </w:p>
    <w:p w:rsidR="00883000" w:rsidRPr="00883000" w:rsidP="00F255F3">
      <w:pPr>
        <w:pStyle w:val="ParaNum"/>
        <w:widowControl/>
        <w:rPr>
          <w:snapToGrid/>
          <w:kern w:val="0"/>
          <w:szCs w:val="22"/>
        </w:rPr>
      </w:pPr>
      <w:r w:rsidRPr="00883000">
        <w:rPr>
          <w:snapToGrid/>
          <w:kern w:val="0"/>
          <w:szCs w:val="22"/>
          <w:u w:val="single"/>
        </w:rPr>
        <w:t>Availability of Documents</w:t>
      </w:r>
      <w:r w:rsidRPr="00883000">
        <w:rPr>
          <w:snapToGrid/>
          <w:kern w:val="0"/>
          <w:szCs w:val="22"/>
        </w:rPr>
        <w:t xml:space="preserve">.  Comments, reply comments, and </w:t>
      </w:r>
      <w:r w:rsidRPr="00883000">
        <w:rPr>
          <w:i/>
          <w:snapToGrid/>
          <w:kern w:val="0"/>
          <w:szCs w:val="22"/>
        </w:rPr>
        <w:t>ex parte</w:t>
      </w:r>
      <w:r w:rsidRPr="00883000">
        <w:rPr>
          <w:snapToGrid/>
          <w:kern w:val="0"/>
          <w:szCs w:val="22"/>
        </w:rPr>
        <w:t xml:space="preserve"> submissions will be available for public inspection during regular </w:t>
      </w:r>
      <w:r w:rsidRPr="00837B89">
        <w:rPr>
          <w:snapToGrid/>
        </w:rPr>
        <w:t>business</w:t>
      </w:r>
      <w:r w:rsidRPr="00883000">
        <w:rPr>
          <w:snapToGrid/>
          <w:kern w:val="0"/>
          <w:szCs w:val="22"/>
        </w:rPr>
        <w:t xml:space="preserve"> hours in the FCC Reference Center, Federal Communications Commission, 445 12</w:t>
      </w:r>
      <w:r w:rsidRPr="00883000">
        <w:rPr>
          <w:snapToGrid/>
          <w:kern w:val="0"/>
          <w:szCs w:val="22"/>
          <w:vertAlign w:val="superscript"/>
        </w:rPr>
        <w:t>th</w:t>
      </w:r>
      <w:r w:rsidRPr="00883000">
        <w:rPr>
          <w:snapToGrid/>
          <w:kern w:val="0"/>
          <w:szCs w:val="22"/>
        </w:rPr>
        <w:t xml:space="preserve"> Street, S.W., CY-A257, Washington, D.C. 20554.  These documents will also be available via ECFS.  Documents will be available electronically in ASCII, Microsoft Word, and/or Adobe Acrobat.</w:t>
      </w:r>
    </w:p>
    <w:p w:rsidR="00883000" w:rsidRPr="00883000" w:rsidP="00F255F3">
      <w:pPr>
        <w:pStyle w:val="ParaNum"/>
        <w:widowControl/>
        <w:rPr>
          <w:snapToGrid/>
          <w:kern w:val="0"/>
          <w:szCs w:val="22"/>
        </w:rPr>
      </w:pPr>
      <w:r w:rsidRPr="00883000">
        <w:rPr>
          <w:snapToGrid/>
          <w:kern w:val="0"/>
          <w:szCs w:val="22"/>
          <w:u w:val="single"/>
        </w:rPr>
        <w:t>People with Disabilities</w:t>
      </w:r>
      <w:r w:rsidRPr="00883000">
        <w:rPr>
          <w:snapToGrid/>
          <w:kern w:val="0"/>
          <w:szCs w:val="22"/>
        </w:rPr>
        <w:t>.</w:t>
      </w:r>
      <w:r w:rsidRPr="00883000">
        <w:rPr>
          <w:i/>
          <w:snapToGrid/>
          <w:kern w:val="0"/>
          <w:szCs w:val="22"/>
        </w:rPr>
        <w:t xml:space="preserve">  </w:t>
      </w:r>
      <w:r w:rsidRPr="00883000">
        <w:rPr>
          <w:snapToGrid/>
          <w:kern w:val="0"/>
          <w:szCs w:val="22"/>
        </w:rPr>
        <w:t xml:space="preserve">To request </w:t>
      </w:r>
      <w:r w:rsidRPr="00F255F3">
        <w:rPr>
          <w:snapToGrid/>
        </w:rPr>
        <w:t>materials</w:t>
      </w:r>
      <w:r w:rsidRPr="00883000">
        <w:rPr>
          <w:snapToGrid/>
          <w:kern w:val="0"/>
          <w:szCs w:val="22"/>
        </w:rPr>
        <w:t xml:space="preserve">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883000">
        <w:rPr>
          <w:snapToGrid/>
          <w:color w:val="0000FF"/>
          <w:kern w:val="0"/>
          <w:szCs w:val="22"/>
          <w:u w:val="single"/>
        </w:rPr>
        <w:t>fcc504@fcc.gov</w:t>
      </w:r>
      <w:r>
        <w:fldChar w:fldCharType="end"/>
      </w:r>
      <w:r w:rsidRPr="00883000">
        <w:rPr>
          <w:snapToGrid/>
          <w:kern w:val="0"/>
          <w:szCs w:val="22"/>
        </w:rPr>
        <w:t xml:space="preserve"> or call the FCC’s Consumer and Governmental Affairs Bureau at (202) 418-0530 (voice), (202) 418-0432 (TTY).  </w:t>
      </w:r>
    </w:p>
    <w:p w:rsidR="00883000" w:rsidRPr="00883000" w:rsidP="00E66512">
      <w:pPr>
        <w:pStyle w:val="Heading2"/>
        <w:rPr>
          <w:snapToGrid/>
        </w:rPr>
      </w:pPr>
      <w:bookmarkStart w:id="102" w:name="_Toc390092102"/>
      <w:bookmarkStart w:id="103" w:name="_Toc390439618"/>
      <w:bookmarkStart w:id="104" w:name="_Toc390691266"/>
      <w:bookmarkStart w:id="105" w:name="_Toc391051494"/>
      <w:bookmarkStart w:id="106" w:name="_Toc391052909"/>
      <w:bookmarkStart w:id="107" w:name="_Toc392781421"/>
      <w:bookmarkStart w:id="108" w:name="_Toc396136528"/>
      <w:bookmarkStart w:id="109" w:name="_Toc396213560"/>
      <w:bookmarkStart w:id="110" w:name="_Toc396298478"/>
      <w:bookmarkStart w:id="111" w:name="_Toc402525581"/>
      <w:bookmarkStart w:id="112" w:name="_Toc404083776"/>
      <w:bookmarkStart w:id="113" w:name="_Toc404594698"/>
      <w:bookmarkStart w:id="114" w:name="_Toc407963510"/>
      <w:bookmarkStart w:id="115" w:name="_Toc408297255"/>
      <w:bookmarkStart w:id="116" w:name="_Toc411603979"/>
      <w:bookmarkStart w:id="117" w:name="_Toc422129865"/>
      <w:bookmarkStart w:id="118" w:name="_Toc423003943"/>
      <w:bookmarkStart w:id="119" w:name="_Toc423607564"/>
      <w:bookmarkStart w:id="120" w:name="_Toc424130893"/>
      <w:bookmarkStart w:id="121" w:name="_Toc424222406"/>
      <w:bookmarkStart w:id="122" w:name="_Toc424288655"/>
      <w:bookmarkStart w:id="123" w:name="_Toc425244785"/>
      <w:bookmarkStart w:id="124" w:name="_Toc426724721"/>
      <w:bookmarkStart w:id="125" w:name="_Toc427062658"/>
      <w:bookmarkStart w:id="126" w:name="_Toc428962246"/>
      <w:r w:rsidRPr="00883000">
        <w:rPr>
          <w:snapToGrid/>
        </w:rPr>
        <w:t>Additional Information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83000" w:rsidRPr="00883000" w:rsidP="00F255F3">
      <w:pPr>
        <w:pStyle w:val="ParaNum"/>
        <w:widowControl/>
        <w:rPr>
          <w:snapToGrid/>
          <w:kern w:val="0"/>
          <w:szCs w:val="22"/>
        </w:rPr>
      </w:pPr>
      <w:r w:rsidRPr="00883000">
        <w:rPr>
          <w:snapToGrid/>
          <w:kern w:val="0"/>
          <w:szCs w:val="22"/>
        </w:rPr>
        <w:t xml:space="preserve">For additional information </w:t>
      </w:r>
      <w:r w:rsidRPr="00837B89">
        <w:rPr>
          <w:snapToGrid/>
        </w:rPr>
        <w:t>on</w:t>
      </w:r>
      <w:r w:rsidRPr="00883000">
        <w:rPr>
          <w:snapToGrid/>
          <w:kern w:val="0"/>
          <w:szCs w:val="22"/>
        </w:rPr>
        <w:t xml:space="preserve"> this </w:t>
      </w:r>
      <w:r w:rsidRPr="00F255F3">
        <w:rPr>
          <w:snapToGrid/>
        </w:rPr>
        <w:t>proceeding</w:t>
      </w:r>
      <w:r w:rsidRPr="00883000">
        <w:rPr>
          <w:snapToGrid/>
          <w:kern w:val="0"/>
          <w:szCs w:val="22"/>
        </w:rPr>
        <w:t xml:space="preserve">, contact </w:t>
      </w:r>
      <w:r w:rsidR="00771F6F">
        <w:rPr>
          <w:snapToGrid/>
          <w:kern w:val="0"/>
          <w:szCs w:val="22"/>
        </w:rPr>
        <w:t>Julie Salovaara</w:t>
      </w:r>
      <w:r w:rsidRPr="00883000">
        <w:rPr>
          <w:snapToGrid/>
          <w:kern w:val="0"/>
          <w:szCs w:val="22"/>
        </w:rPr>
        <w:t xml:space="preserve"> of the </w:t>
      </w:r>
      <w:r w:rsidR="00E51FCE">
        <w:rPr>
          <w:snapToGrid/>
          <w:kern w:val="0"/>
          <w:szCs w:val="22"/>
        </w:rPr>
        <w:t>Industry Analysis</w:t>
      </w:r>
      <w:r w:rsidRPr="00883000">
        <w:rPr>
          <w:snapToGrid/>
          <w:kern w:val="0"/>
          <w:szCs w:val="22"/>
        </w:rPr>
        <w:t xml:space="preserve"> Division, Media Bureau, at </w:t>
      </w:r>
      <w:r w:rsidR="002958ED">
        <w:rPr>
          <w:snapToGrid/>
          <w:kern w:val="0"/>
          <w:szCs w:val="22"/>
        </w:rPr>
        <w:t>Julie.Salovarra@fcc.gov</w:t>
      </w:r>
      <w:r w:rsidR="00D9707A">
        <w:rPr>
          <w:snapToGrid/>
          <w:kern w:val="0"/>
          <w:szCs w:val="22"/>
        </w:rPr>
        <w:t xml:space="preserve"> </w:t>
      </w:r>
      <w:r w:rsidRPr="00883000">
        <w:rPr>
          <w:snapToGrid/>
          <w:kern w:val="0"/>
          <w:szCs w:val="22"/>
        </w:rPr>
        <w:t>or</w:t>
      </w:r>
      <w:r w:rsidRPr="00883000">
        <w:rPr>
          <w:snapToGrid/>
          <w:color w:val="0000FF"/>
          <w:kern w:val="0"/>
          <w:szCs w:val="22"/>
        </w:rPr>
        <w:t xml:space="preserve"> </w:t>
      </w:r>
      <w:r w:rsidR="00D9707A">
        <w:rPr>
          <w:snapToGrid/>
          <w:kern w:val="0"/>
          <w:szCs w:val="22"/>
        </w:rPr>
        <w:t>(202) 418-2</w:t>
      </w:r>
      <w:r w:rsidR="00771F6F">
        <w:rPr>
          <w:snapToGrid/>
          <w:kern w:val="0"/>
          <w:szCs w:val="22"/>
        </w:rPr>
        <w:t>330</w:t>
      </w:r>
      <w:r w:rsidRPr="00883000">
        <w:rPr>
          <w:snapToGrid/>
          <w:kern w:val="0"/>
          <w:szCs w:val="22"/>
        </w:rPr>
        <w:t>.</w:t>
      </w:r>
    </w:p>
    <w:p w:rsidR="00883000" w:rsidRPr="00883000" w:rsidP="00184679">
      <w:pPr>
        <w:pStyle w:val="Heading1"/>
        <w:rPr>
          <w:snapToGrid/>
        </w:rPr>
      </w:pPr>
      <w:bookmarkStart w:id="127" w:name="_Toc422129866"/>
      <w:bookmarkStart w:id="128" w:name="_Toc423003944"/>
      <w:bookmarkStart w:id="129" w:name="_Toc423607565"/>
      <w:bookmarkStart w:id="130" w:name="_Toc424130894"/>
      <w:bookmarkStart w:id="131" w:name="_Toc424222407"/>
      <w:bookmarkStart w:id="132" w:name="_Toc424288656"/>
      <w:bookmarkStart w:id="133" w:name="_Toc425244786"/>
      <w:bookmarkStart w:id="134" w:name="_Toc426724722"/>
      <w:bookmarkStart w:id="135" w:name="_Toc427062659"/>
      <w:bookmarkStart w:id="136" w:name="_Toc428962247"/>
      <w:bookmarkEnd w:id="98"/>
      <w:bookmarkEnd w:id="99"/>
      <w:bookmarkEnd w:id="100"/>
      <w:bookmarkEnd w:id="101"/>
      <w:r w:rsidRPr="00883000">
        <w:rPr>
          <w:snapToGrid/>
        </w:rPr>
        <w:t>ordering clauses</w:t>
      </w:r>
      <w:bookmarkEnd w:id="127"/>
      <w:bookmarkEnd w:id="128"/>
      <w:bookmarkEnd w:id="129"/>
      <w:bookmarkEnd w:id="130"/>
      <w:bookmarkEnd w:id="131"/>
      <w:bookmarkEnd w:id="132"/>
      <w:bookmarkEnd w:id="133"/>
      <w:bookmarkEnd w:id="134"/>
      <w:bookmarkEnd w:id="135"/>
      <w:bookmarkEnd w:id="136"/>
    </w:p>
    <w:p w:rsidR="00883000" w:rsidRPr="00883000" w:rsidP="00F255F3">
      <w:pPr>
        <w:pStyle w:val="ParaNum"/>
        <w:widowControl/>
        <w:rPr>
          <w:snapToGrid/>
          <w:kern w:val="0"/>
          <w:szCs w:val="22"/>
        </w:rPr>
      </w:pPr>
      <w:r w:rsidRPr="00883000">
        <w:rPr>
          <w:snapToGrid/>
          <w:kern w:val="0"/>
          <w:szCs w:val="22"/>
        </w:rPr>
        <w:t xml:space="preserve">Accordingly, </w:t>
      </w:r>
      <w:r w:rsidRPr="00883000">
        <w:rPr>
          <w:b/>
          <w:snapToGrid/>
          <w:kern w:val="0"/>
          <w:szCs w:val="22"/>
        </w:rPr>
        <w:t>IT IS ORDERED</w:t>
      </w:r>
      <w:r w:rsidRPr="00883000">
        <w:rPr>
          <w:snapToGrid/>
          <w:kern w:val="0"/>
          <w:szCs w:val="22"/>
        </w:rPr>
        <w:t xml:space="preserve"> that, </w:t>
      </w:r>
      <w:r w:rsidRPr="00F255F3">
        <w:rPr>
          <w:snapToGrid/>
        </w:rPr>
        <w:t>pursuant</w:t>
      </w:r>
      <w:r w:rsidRPr="00883000">
        <w:rPr>
          <w:snapToGrid/>
          <w:kern w:val="0"/>
          <w:szCs w:val="22"/>
        </w:rPr>
        <w:t xml:space="preserve"> to the authority found in sections </w:t>
      </w:r>
      <w:r w:rsidRPr="00994054">
        <w:rPr>
          <w:snapToGrid/>
          <w:kern w:val="0"/>
          <w:szCs w:val="22"/>
        </w:rPr>
        <w:t xml:space="preserve">1, 4(i), 4(j), </w:t>
      </w:r>
      <w:r w:rsidRPr="007548E7">
        <w:rPr>
          <w:snapToGrid/>
          <w:kern w:val="0"/>
          <w:szCs w:val="22"/>
        </w:rPr>
        <w:t>303(r)</w:t>
      </w:r>
      <w:r w:rsidRPr="00994054">
        <w:rPr>
          <w:snapToGrid/>
          <w:kern w:val="0"/>
          <w:szCs w:val="22"/>
        </w:rPr>
        <w:t xml:space="preserve">, 309, and </w:t>
      </w:r>
      <w:r w:rsidRPr="00CE3AA7" w:rsidR="00322407">
        <w:t>310</w:t>
      </w:r>
      <w:r w:rsidRPr="00994054">
        <w:rPr>
          <w:snapToGrid/>
          <w:kern w:val="0"/>
          <w:szCs w:val="22"/>
        </w:rPr>
        <w:t xml:space="preserve"> of the Communications Act of 1934, as amended, 47 U.S.C. §§ 151, 154(i), 154(j), </w:t>
      </w:r>
      <w:r w:rsidRPr="007548E7">
        <w:rPr>
          <w:snapToGrid/>
          <w:kern w:val="0"/>
          <w:szCs w:val="22"/>
        </w:rPr>
        <w:t>303(r)</w:t>
      </w:r>
      <w:r w:rsidRPr="00994054">
        <w:rPr>
          <w:snapToGrid/>
          <w:kern w:val="0"/>
          <w:szCs w:val="22"/>
        </w:rPr>
        <w:t xml:space="preserve">, 309, and </w:t>
      </w:r>
      <w:r w:rsidRPr="00CE3AA7" w:rsidR="00322407">
        <w:t>310</w:t>
      </w:r>
      <w:r w:rsidRPr="00883000">
        <w:rPr>
          <w:snapToGrid/>
          <w:kern w:val="0"/>
          <w:szCs w:val="22"/>
        </w:rPr>
        <w:t xml:space="preserve">, this Notice of Proposed Rulemaking </w:t>
      </w:r>
      <w:r w:rsidRPr="00883000">
        <w:rPr>
          <w:b/>
          <w:snapToGrid/>
          <w:kern w:val="0"/>
          <w:szCs w:val="22"/>
        </w:rPr>
        <w:t>IS ADOPTED</w:t>
      </w:r>
      <w:r w:rsidRPr="00026054">
        <w:rPr>
          <w:snapToGrid/>
          <w:kern w:val="0"/>
          <w:szCs w:val="22"/>
        </w:rPr>
        <w:t xml:space="preserve">. </w:t>
      </w:r>
      <w:r w:rsidRPr="00883000">
        <w:rPr>
          <w:b/>
          <w:snapToGrid/>
          <w:kern w:val="0"/>
          <w:szCs w:val="22"/>
        </w:rPr>
        <w:t xml:space="preserve"> </w:t>
      </w:r>
    </w:p>
    <w:p w:rsidR="00883434" w:rsidP="00EE4D4B">
      <w:pPr>
        <w:pStyle w:val="ParaNum"/>
        <w:keepNext/>
        <w:keepLines/>
        <w:widowControl/>
        <w:rPr>
          <w:snapToGrid/>
          <w:kern w:val="0"/>
          <w:szCs w:val="22"/>
        </w:rPr>
      </w:pPr>
      <w:r w:rsidRPr="00883000">
        <w:rPr>
          <w:b/>
          <w:snapToGrid/>
          <w:kern w:val="0"/>
          <w:szCs w:val="22"/>
        </w:rPr>
        <w:t>IT IS FURTHER ORDERED</w:t>
      </w:r>
      <w:r w:rsidRPr="00883000">
        <w:rPr>
          <w:snapToGrid/>
          <w:kern w:val="0"/>
          <w:szCs w:val="22"/>
        </w:rPr>
        <w:t xml:space="preserve"> that the Commission’s Consumer and Governmental Affairs Bureau, Reference Information Center, </w:t>
      </w:r>
      <w:r w:rsidRPr="00883000">
        <w:rPr>
          <w:b/>
          <w:snapToGrid/>
          <w:kern w:val="0"/>
          <w:szCs w:val="22"/>
        </w:rPr>
        <w:t>SHALL SEND</w:t>
      </w:r>
      <w:r w:rsidRPr="00883000">
        <w:rPr>
          <w:snapToGrid/>
          <w:kern w:val="0"/>
          <w:szCs w:val="22"/>
        </w:rPr>
        <w:t xml:space="preserve"> a copy of </w:t>
      </w:r>
      <w:r w:rsidRPr="00837B89">
        <w:rPr>
          <w:snapToGrid/>
        </w:rPr>
        <w:t>this</w:t>
      </w:r>
      <w:r w:rsidRPr="00883000">
        <w:rPr>
          <w:snapToGrid/>
          <w:kern w:val="0"/>
          <w:szCs w:val="22"/>
        </w:rPr>
        <w:t xml:space="preserve"> Notice of Proposed Rulemaking, including the Initial Regulatory Flexibility Act </w:t>
      </w:r>
      <w:r w:rsidR="002B4C36">
        <w:rPr>
          <w:snapToGrid/>
          <w:kern w:val="0"/>
          <w:szCs w:val="22"/>
        </w:rPr>
        <w:t>Certification</w:t>
      </w:r>
      <w:r w:rsidRPr="00883000">
        <w:rPr>
          <w:snapToGrid/>
          <w:kern w:val="0"/>
          <w:szCs w:val="22"/>
        </w:rPr>
        <w:t xml:space="preserve">, to the Chief Counsel for Advocacy of the Small Business </w:t>
      </w:r>
      <w:r w:rsidRPr="00F255F3">
        <w:rPr>
          <w:snapToGrid/>
        </w:rPr>
        <w:t>Administration</w:t>
      </w:r>
      <w:r w:rsidRPr="00883000">
        <w:rPr>
          <w:snapToGrid/>
          <w:kern w:val="0"/>
          <w:szCs w:val="22"/>
        </w:rPr>
        <w:t>.</w:t>
      </w:r>
    </w:p>
    <w:p w:rsidR="00EE4D4B" w:rsidP="00EE4D4B">
      <w:pPr>
        <w:keepNext/>
        <w:keepLines/>
      </w:pPr>
      <w:r>
        <w:tab/>
      </w:r>
      <w:r>
        <w:tab/>
      </w:r>
      <w:r>
        <w:tab/>
      </w:r>
      <w:r>
        <w:tab/>
      </w:r>
      <w:r>
        <w:tab/>
      </w:r>
      <w:r>
        <w:tab/>
        <w:t>FEDERAL COMMUNICATIONS COMMISSION</w:t>
      </w:r>
    </w:p>
    <w:p w:rsidR="00EE4D4B" w:rsidP="00EE4D4B">
      <w:pPr>
        <w:keepNext/>
        <w:keepLines/>
      </w:pPr>
    </w:p>
    <w:p w:rsidR="00EE4D4B" w:rsidP="00EE4D4B">
      <w:pPr>
        <w:keepNext/>
        <w:keepLines/>
      </w:pPr>
    </w:p>
    <w:p w:rsidR="00EE4D4B" w:rsidP="00EE4D4B">
      <w:pPr>
        <w:keepNext/>
        <w:keepLines/>
      </w:pPr>
    </w:p>
    <w:p w:rsidR="00EE4D4B" w:rsidP="00EE4D4B">
      <w:pPr>
        <w:keepNext/>
        <w:keepLines/>
      </w:pPr>
    </w:p>
    <w:p w:rsidR="00EE4D4B" w:rsidP="00EE4D4B">
      <w:pPr>
        <w:keepNext/>
        <w:keepLines/>
      </w:pPr>
      <w:r>
        <w:tab/>
      </w:r>
      <w:r>
        <w:tab/>
      </w:r>
      <w:r>
        <w:tab/>
      </w:r>
      <w:r>
        <w:tab/>
      </w:r>
      <w:r>
        <w:tab/>
      </w:r>
      <w:r>
        <w:tab/>
        <w:t>Marlene H. Dortch</w:t>
      </w:r>
    </w:p>
    <w:p w:rsidR="00EE4D4B" w:rsidP="00EE4D4B">
      <w:pPr>
        <w:keepNext/>
        <w:keepLines/>
      </w:pPr>
      <w:r>
        <w:tab/>
      </w:r>
      <w:r>
        <w:tab/>
      </w:r>
      <w:r>
        <w:tab/>
      </w:r>
      <w:r>
        <w:tab/>
      </w:r>
      <w:r>
        <w:tab/>
      </w:r>
      <w:r>
        <w:tab/>
        <w:t>Secretary</w:t>
      </w:r>
    </w:p>
    <w:p w:rsidR="00EE4D4B" w:rsidP="00EE4D4B">
      <w:pPr>
        <w:pStyle w:val="ParaNum"/>
        <w:keepNext/>
        <w:keepLines/>
        <w:widowControl/>
        <w:numPr>
          <w:ilvl w:val="0"/>
          <w:numId w:val="0"/>
        </w:numPr>
        <w:rPr>
          <w:snapToGrid/>
          <w:kern w:val="0"/>
          <w:szCs w:val="22"/>
        </w:rPr>
      </w:pPr>
    </w:p>
    <w:p w:rsidR="00EE4D4B" w:rsidRPr="00EE4D4B" w:rsidP="00EE4D4B">
      <w:pPr>
        <w:pStyle w:val="ParaNum"/>
        <w:keepNext/>
        <w:keepLines/>
        <w:widowControl/>
        <w:numPr>
          <w:ilvl w:val="0"/>
          <w:numId w:val="0"/>
        </w:numPr>
        <w:rPr>
          <w:snapToGrid/>
          <w:kern w:val="0"/>
          <w:szCs w:val="22"/>
        </w:rPr>
        <w:sectPr w:rsidSect="00E24572">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pPr>
    </w:p>
    <w:p w:rsidR="00883434" w:rsidRPr="005577AD" w:rsidP="00883434">
      <w:pPr>
        <w:jc w:val="center"/>
        <w:rPr>
          <w:b/>
          <w:bCs/>
          <w:caps/>
          <w:szCs w:val="22"/>
        </w:rPr>
      </w:pPr>
      <w:r w:rsidRPr="005577AD">
        <w:rPr>
          <w:b/>
          <w:bCs/>
          <w:caps/>
          <w:szCs w:val="22"/>
        </w:rPr>
        <w:t>Statement of</w:t>
      </w:r>
    </w:p>
    <w:p w:rsidR="00883434" w:rsidRPr="005577AD" w:rsidP="00883434">
      <w:pPr>
        <w:jc w:val="center"/>
        <w:rPr>
          <w:b/>
          <w:bCs/>
          <w:caps/>
          <w:szCs w:val="22"/>
        </w:rPr>
      </w:pPr>
      <w:r>
        <w:rPr>
          <w:b/>
          <w:bCs/>
          <w:caps/>
          <w:szCs w:val="22"/>
        </w:rPr>
        <w:t>chairman ajit pai</w:t>
      </w:r>
    </w:p>
    <w:p w:rsidR="00883434" w:rsidRPr="005577AD" w:rsidP="00883434">
      <w:pPr>
        <w:jc w:val="center"/>
        <w:rPr>
          <w:b/>
          <w:bCs/>
          <w:caps/>
          <w:szCs w:val="22"/>
        </w:rPr>
      </w:pPr>
    </w:p>
    <w:p w:rsidR="00883434" w:rsidP="00883434">
      <w:pPr>
        <w:widowControl/>
        <w:suppressAutoHyphens/>
        <w:ind w:left="720" w:hanging="720"/>
        <w:rPr>
          <w:szCs w:val="22"/>
        </w:rPr>
      </w:pPr>
      <w:r w:rsidRPr="005577AD">
        <w:rPr>
          <w:iCs/>
          <w:szCs w:val="22"/>
        </w:rPr>
        <w:t>Re:</w:t>
      </w:r>
      <w:r>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883434" w:rsidP="00883434">
      <w:pPr>
        <w:widowControl/>
        <w:suppressAutoHyphens/>
        <w:ind w:left="720" w:hanging="720"/>
        <w:rPr>
          <w:szCs w:val="22"/>
        </w:rPr>
      </w:pPr>
    </w:p>
    <w:p w:rsidR="005D3F9C" w:rsidP="005D3F9C">
      <w:pPr>
        <w:spacing w:after="120"/>
        <w:ind w:firstLine="720"/>
        <w:rPr>
          <w:rFonts w:eastAsia="Calibri"/>
          <w:snapToGrid/>
        </w:rPr>
      </w:pPr>
      <w:r>
        <w:rPr>
          <w:rFonts w:eastAsia="Calibri"/>
          <w:snapToGrid/>
        </w:rPr>
        <w:t>I</w:t>
      </w:r>
      <w:r w:rsidRPr="00477261">
        <w:rPr>
          <w:rFonts w:eastAsia="Calibri"/>
          <w:snapToGrid/>
        </w:rPr>
        <w:t>n 19</w:t>
      </w:r>
      <w:r>
        <w:rPr>
          <w:rFonts w:eastAsia="Calibri"/>
          <w:snapToGrid/>
        </w:rPr>
        <w:t>91</w:t>
      </w:r>
      <w:r w:rsidRPr="00477261">
        <w:rPr>
          <w:rFonts w:eastAsia="Calibri"/>
          <w:snapToGrid/>
        </w:rPr>
        <w:t xml:space="preserve">, </w:t>
      </w:r>
      <w:r w:rsidRPr="00F90106">
        <w:rPr>
          <w:rFonts w:eastAsia="Calibri"/>
          <w:i/>
          <w:snapToGrid/>
        </w:rPr>
        <w:t>Terminator 2</w:t>
      </w:r>
      <w:r>
        <w:rPr>
          <w:rFonts w:eastAsia="Calibri"/>
          <w:snapToGrid/>
        </w:rPr>
        <w:t xml:space="preserve"> was released.  </w:t>
      </w:r>
      <w:r w:rsidRPr="00477261">
        <w:rPr>
          <w:rFonts w:eastAsia="Calibri"/>
          <w:snapToGrid/>
        </w:rPr>
        <w:t xml:space="preserve">That same year, the FCC </w:t>
      </w:r>
      <w:r>
        <w:rPr>
          <w:rFonts w:eastAsia="Calibri"/>
          <w:snapToGrid/>
        </w:rPr>
        <w:t>revised its standards for television satellite stations.  These are</w:t>
      </w:r>
      <w:r w:rsidRPr="00495D8D">
        <w:t xml:space="preserve"> </w:t>
      </w:r>
      <w:r w:rsidRPr="00D400E0">
        <w:t xml:space="preserve">full-power terrestrial broadcast stations that generally retransmit some or all of the programming of another television station </w:t>
      </w:r>
      <w:r>
        <w:t>(</w:t>
      </w:r>
      <w:r w:rsidRPr="00D400E0">
        <w:t>known as the parent station</w:t>
      </w:r>
      <w:r>
        <w:t>)</w:t>
      </w:r>
      <w:r>
        <w:rPr>
          <w:rFonts w:eastAsia="Calibri"/>
          <w:snapToGrid/>
        </w:rPr>
        <w:t>.  Among other things, the FCC required applicants seeking to transfer or assign a parent/satellite station combination to show that the conditions originally warranting satellite status still applied.</w:t>
      </w:r>
    </w:p>
    <w:p w:rsidR="005D3F9C" w:rsidRPr="00477261" w:rsidP="005D3F9C">
      <w:pPr>
        <w:spacing w:after="120"/>
        <w:ind w:firstLine="720"/>
        <w:rPr>
          <w:rFonts w:eastAsia="Calibri"/>
          <w:snapToGrid/>
        </w:rPr>
      </w:pPr>
      <w:r>
        <w:rPr>
          <w:rFonts w:eastAsia="Calibri"/>
          <w:snapToGrid/>
        </w:rPr>
        <w:t xml:space="preserve">However, public input on our media modernization initiative suggests that </w:t>
      </w:r>
      <w:r>
        <w:t>the current reauthorization process is lengthy, expensive, and burdensome.  It can dissuade potential purchasers from buying satellite stations, which usually are in rural and economically depressed areas and in need of investment.</w:t>
      </w:r>
    </w:p>
    <w:p w:rsidR="005D3F9C" w:rsidRPr="00477261" w:rsidP="005D3F9C">
      <w:pPr>
        <w:spacing w:after="120"/>
        <w:ind w:firstLine="720"/>
        <w:rPr>
          <w:rFonts w:eastAsia="Calibri"/>
          <w:snapToGrid/>
        </w:rPr>
      </w:pPr>
      <w:r>
        <w:rPr>
          <w:rFonts w:eastAsia="Calibri"/>
          <w:snapToGrid/>
        </w:rPr>
        <w:t xml:space="preserve">So today, like Arnold Schwarzenegger in </w:t>
      </w:r>
      <w:r w:rsidRPr="00F90106">
        <w:rPr>
          <w:rFonts w:eastAsia="Calibri"/>
          <w:i/>
          <w:snapToGrid/>
        </w:rPr>
        <w:t>Terminator 2</w:t>
      </w:r>
      <w:r>
        <w:rPr>
          <w:rFonts w:eastAsia="Calibri"/>
          <w:snapToGrid/>
        </w:rPr>
        <w:t xml:space="preserve">, we propose to say to it: “Hasta la vista, baby.”  Specifically, we suggest streamlining the process for demonstrating that a satellite station remains eligible for satellite status when it’s assigned or transferred in combination with its previously-approved parent station.  The basic point is this:  If nothing material has changed, we don’t need or want additional paperwork.  Our </w:t>
      </w:r>
      <w:r>
        <w:t>aim is to reduce burdens on station owners while still ensuring that the Commission can determine whether reauthorization serves the public interest.</w:t>
      </w:r>
    </w:p>
    <w:p w:rsidR="005D3F9C" w:rsidP="005D3F9C">
      <w:pPr>
        <w:spacing w:after="120"/>
        <w:ind w:firstLine="720"/>
        <w:rPr>
          <w:rFonts w:eastAsia="Calibri"/>
          <w:snapToGrid/>
        </w:rPr>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xml:space="preserve">: </w:t>
      </w:r>
      <w:r>
        <w:rPr>
          <w:rFonts w:eastAsia="Calibri"/>
          <w:snapToGrid/>
        </w:rPr>
        <w:t xml:space="preserve">from the Media Bureau, </w:t>
      </w:r>
      <w:r w:rsidRPr="00477261">
        <w:rPr>
          <w:rFonts w:eastAsia="Calibri"/>
          <w:snapToGrid/>
        </w:rPr>
        <w:t>Ben Arden</w:t>
      </w:r>
      <w:r>
        <w:rPr>
          <w:rFonts w:eastAsia="Calibri"/>
          <w:snapToGrid/>
        </w:rPr>
        <w:t xml:space="preserve"> (who traveled all the way back from Rwanda just to present this item!)</w:t>
      </w:r>
      <w:r w:rsidRPr="00477261">
        <w:rPr>
          <w:rFonts w:eastAsia="Calibri"/>
          <w:snapToGrid/>
        </w:rPr>
        <w:t xml:space="preserve">, Michelle Carey, Brendan Holland, </w:t>
      </w:r>
      <w:r>
        <w:rPr>
          <w:rFonts w:eastAsia="Calibri"/>
          <w:snapToGrid/>
        </w:rPr>
        <w:t xml:space="preserve">Julie Salovaara, </w:t>
      </w:r>
      <w:r w:rsidRPr="00477261">
        <w:rPr>
          <w:rFonts w:eastAsia="Calibri"/>
          <w:snapToGrid/>
        </w:rPr>
        <w:t xml:space="preserve">and </w:t>
      </w:r>
      <w:r>
        <w:rPr>
          <w:rFonts w:eastAsia="Calibri"/>
          <w:snapToGrid/>
        </w:rPr>
        <w:t>Sarah Whitesell</w:t>
      </w:r>
      <w:r w:rsidRPr="00477261">
        <w:rPr>
          <w:rFonts w:eastAsia="Calibri"/>
          <w:snapToGrid/>
        </w:rPr>
        <w:t>, and</w:t>
      </w:r>
      <w:r>
        <w:rPr>
          <w:rFonts w:eastAsia="Calibri"/>
          <w:snapToGrid/>
        </w:rPr>
        <w:t xml:space="preserve"> from the Office of General Counsel,</w:t>
      </w:r>
      <w:r w:rsidRPr="00477261">
        <w:rPr>
          <w:rFonts w:eastAsia="Calibri"/>
          <w:snapToGrid/>
        </w:rPr>
        <w:t xml:space="preserve"> Dave Konczal</w:t>
      </w:r>
      <w:r>
        <w:rPr>
          <w:rFonts w:eastAsia="Calibri"/>
          <w:snapToGrid/>
        </w:rPr>
        <w:t xml:space="preserve"> and Royce Sherlock</w:t>
      </w:r>
      <w:r w:rsidRPr="00477261">
        <w:rPr>
          <w:rFonts w:eastAsia="Calibri"/>
          <w:i/>
          <w:snapToGrid/>
        </w:rPr>
        <w:t>.</w:t>
      </w:r>
      <w:r w:rsidRPr="00477261">
        <w:rPr>
          <w:rFonts w:eastAsia="Calibri"/>
          <w:snapToGrid/>
        </w:rPr>
        <w:t xml:space="preserve">  </w:t>
      </w:r>
      <w:r>
        <w:rPr>
          <w:rFonts w:eastAsia="Calibri"/>
          <w:snapToGrid/>
        </w:rPr>
        <w:t>Should the record warrant, it’s safe to say:  They’ll be back.</w:t>
      </w:r>
    </w:p>
    <w:p w:rsidR="005D3F9C" w:rsidP="00883434">
      <w:pPr>
        <w:widowControl/>
        <w:suppressAutoHyphens/>
        <w:ind w:left="720" w:hanging="720"/>
        <w:rPr>
          <w:snapToGrid/>
          <w:spacing w:val="-2"/>
          <w:kern w:val="0"/>
          <w:szCs w:val="22"/>
        </w:rPr>
        <w:sectPr w:rsidSect="0014218E">
          <w:footerReference w:type="defaul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883434" w:rsidRPr="005577AD" w:rsidP="00883434">
      <w:pPr>
        <w:jc w:val="center"/>
        <w:rPr>
          <w:b/>
          <w:bCs/>
          <w:caps/>
          <w:szCs w:val="22"/>
        </w:rPr>
      </w:pPr>
      <w:r w:rsidRPr="005577AD">
        <w:rPr>
          <w:b/>
          <w:bCs/>
          <w:caps/>
          <w:szCs w:val="22"/>
        </w:rPr>
        <w:t>Statement of</w:t>
      </w:r>
    </w:p>
    <w:p w:rsidR="00883434" w:rsidRPr="005577AD" w:rsidP="00883434">
      <w:pPr>
        <w:jc w:val="center"/>
        <w:rPr>
          <w:b/>
          <w:bCs/>
          <w:caps/>
          <w:szCs w:val="22"/>
        </w:rPr>
      </w:pPr>
      <w:r>
        <w:rPr>
          <w:b/>
          <w:bCs/>
          <w:caps/>
          <w:szCs w:val="22"/>
        </w:rPr>
        <w:t>commissioner mignon l. clyburn</w:t>
      </w:r>
    </w:p>
    <w:p w:rsidR="00883434" w:rsidRPr="005577AD" w:rsidP="00883434">
      <w:pPr>
        <w:jc w:val="center"/>
        <w:rPr>
          <w:b/>
          <w:bCs/>
          <w:caps/>
          <w:szCs w:val="22"/>
        </w:rPr>
      </w:pPr>
    </w:p>
    <w:p w:rsidR="00883434" w:rsidP="00883434">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883434" w:rsidP="00883434">
      <w:pPr>
        <w:ind w:left="720" w:hanging="720"/>
        <w:rPr>
          <w:szCs w:val="22"/>
        </w:rPr>
      </w:pPr>
    </w:p>
    <w:p w:rsidR="002D737A" w:rsidP="002D737A">
      <w:pPr>
        <w:spacing w:after="120"/>
        <w:rPr>
          <w:snapToGrid/>
          <w:kern w:val="0"/>
          <w:sz w:val="24"/>
        </w:rPr>
      </w:pPr>
      <w:r>
        <w:tab/>
        <w:t xml:space="preserve">Throughout my nearly nine years of service on the FCC, I have supported proposals that increase the viability and standing of our nation’s smallest broadcasters. </w:t>
      </w:r>
      <w:r w:rsidR="00B95E29">
        <w:t xml:space="preserve"> </w:t>
      </w:r>
      <w:r>
        <w:t>By streamlining the process for the reauthorization of “television satellite stations when they are assigned or transferred in combination with their previously approved parent station,” the proposal before us today has the potential to fit squarely within this goal while not unduly harming the public interest.</w:t>
      </w:r>
    </w:p>
    <w:p w:rsidR="002D737A" w:rsidP="002D737A">
      <w:pPr>
        <w:spacing w:after="120"/>
      </w:pPr>
      <w:r>
        <w:tab/>
        <w:t>I will acknowledge that my preference would have been to vote on the originally circulated version of this item, which tentatively concluded that “changing a station’s parent constitutes a material change in the underlying circumstances that the Commission relied upon in granting the most recent authorization.”  Nonetheless and importantly, the item still acknowledges that transactions involving a change in a satellite station’s parent are fact specific and may have public interest implications.</w:t>
      </w:r>
    </w:p>
    <w:p w:rsidR="002D737A" w:rsidP="002D737A">
      <w:pPr>
        <w:spacing w:after="120"/>
      </w:pPr>
      <w:r>
        <w:tab/>
        <w:t xml:space="preserve">So, I will vote to approve the item and look forward to the record that follows. </w:t>
      </w:r>
      <w:r w:rsidR="00B95E29">
        <w:t xml:space="preserve"> </w:t>
      </w:r>
      <w:r>
        <w:t xml:space="preserve">My thanks to the Media Bureau staff, including </w:t>
      </w:r>
      <w:bookmarkStart w:id="137" w:name="_Hlk509329477"/>
      <w:r>
        <w:t xml:space="preserve">Michelle Carey, Julie Salovaara, </w:t>
      </w:r>
      <w:r w:rsidR="00B95E29">
        <w:t xml:space="preserve"> </w:t>
      </w:r>
      <w:r>
        <w:t>Ben Arden, Brendan Holland and Sarah Whitesell for their work on this item.</w:t>
      </w:r>
      <w:bookmarkEnd w:id="137"/>
    </w:p>
    <w:p w:rsidR="002D737A" w:rsidP="00883434">
      <w:pPr>
        <w:ind w:left="720" w:hanging="720"/>
        <w:rPr>
          <w:szCs w:val="22"/>
        </w:rPr>
        <w:sectPr w:rsidSect="0014218E">
          <w:footerReference w:type="defaul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883434" w:rsidRPr="005577AD" w:rsidP="00883434">
      <w:pPr>
        <w:jc w:val="center"/>
        <w:rPr>
          <w:b/>
          <w:bCs/>
          <w:caps/>
          <w:szCs w:val="22"/>
        </w:rPr>
      </w:pPr>
      <w:r w:rsidRPr="005577AD">
        <w:rPr>
          <w:b/>
          <w:bCs/>
          <w:caps/>
          <w:szCs w:val="22"/>
        </w:rPr>
        <w:t>Statement of</w:t>
      </w:r>
    </w:p>
    <w:p w:rsidR="00883434" w:rsidRPr="005577AD" w:rsidP="00883434">
      <w:pPr>
        <w:jc w:val="center"/>
        <w:rPr>
          <w:b/>
          <w:bCs/>
          <w:caps/>
          <w:szCs w:val="22"/>
        </w:rPr>
      </w:pPr>
      <w:r>
        <w:rPr>
          <w:b/>
          <w:bCs/>
          <w:caps/>
          <w:szCs w:val="22"/>
        </w:rPr>
        <w:t>commissioner michael o’rielly</w:t>
      </w:r>
    </w:p>
    <w:p w:rsidR="00883434" w:rsidRPr="005577AD" w:rsidP="00883434">
      <w:pPr>
        <w:jc w:val="center"/>
        <w:rPr>
          <w:b/>
          <w:bCs/>
          <w:caps/>
          <w:szCs w:val="22"/>
        </w:rPr>
      </w:pPr>
    </w:p>
    <w:p w:rsidR="00883434" w:rsidP="00883434">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EE4D4B" w:rsidP="00883434">
      <w:pPr>
        <w:ind w:left="720" w:hanging="720"/>
        <w:rPr>
          <w:szCs w:val="22"/>
        </w:rPr>
      </w:pPr>
    </w:p>
    <w:p w:rsidR="00AC1A7B" w:rsidP="002D737A">
      <w:pPr>
        <w:spacing w:after="120"/>
        <w:ind w:firstLine="720"/>
        <w:rPr>
          <w:snapToGrid/>
          <w:szCs w:val="22"/>
        </w:rPr>
      </w:pPr>
      <w:r>
        <w:rPr>
          <w:szCs w:val="22"/>
        </w:rPr>
        <w:t xml:space="preserve">Today we appropriately launch an additional rulemaking to modernize the Commission’s regulatory burdens for over-the-air broadcasters.  Specifically, this item proposes </w:t>
      </w:r>
      <w:r>
        <w:t>to streamline costly, lengthy applications for reauthorizing broadcast satellite waivers when a satellite station is assigned or transferred</w:t>
      </w:r>
      <w:r>
        <w:rPr>
          <w:szCs w:val="22"/>
        </w:rPr>
        <w:t xml:space="preserve">.  Ultimately, this item will save both applicable broadcasters and the Commission significant resources.  </w:t>
      </w:r>
    </w:p>
    <w:p w:rsidR="00AC1A7B" w:rsidP="002D737A">
      <w:pPr>
        <w:spacing w:after="120"/>
        <w:ind w:firstLine="720"/>
      </w:pPr>
      <w:r>
        <w:rPr>
          <w:szCs w:val="22"/>
        </w:rPr>
        <w:t>Importantly, satellite stations are generally located</w:t>
      </w:r>
      <w:r>
        <w:t xml:space="preserve"> in rural and economically troubled areas.  Yet, our current rules requiring the filing of unnecessary paperwork creates a disincentive to invest in these stations.  I characterize these applications as “unnecessary” because they typically require the restatement of what was previously filed to obtain an original waiver and, despite numerous reauthorization requests since 1991 – at least 100, the Commission has never used information in these applications to deny such a petition.  </w:t>
      </w:r>
    </w:p>
    <w:p w:rsidR="00AC1A7B" w:rsidP="002D737A">
      <w:pPr>
        <w:spacing w:after="120"/>
        <w:ind w:firstLine="720"/>
      </w:pPr>
      <w:r>
        <w:t xml:space="preserve">Therefore, I am pleased that this item tentatively concludes to streamline the process for reauthorizing satellite waivers when a satellite station is assigned or transferred in combination with its approved parent station.  I also appreciate the Chairman and Commissioner Clyburn working with my office to ask questions on whether we should also streamline the process when a satellite station’s parent changes.  Again, if the original intent of this waiver was to help struggling stations, the condition of the satellite station, not the parent station, should be our primary focus.  </w:t>
      </w:r>
    </w:p>
    <w:p w:rsidR="00AC1A7B" w:rsidP="002D737A">
      <w:pPr>
        <w:ind w:left="720"/>
        <w:rPr>
          <w:szCs w:val="22"/>
        </w:rPr>
        <w:sectPr w:rsidSect="0014218E">
          <w:footerReference w:type="default" r:id="rId14"/>
          <w:footnotePr>
            <w:numRestart w:val="eachSect"/>
          </w:footnotePr>
          <w:endnotePr>
            <w:numFmt w:val="decimal"/>
          </w:endnotePr>
          <w:pgSz w:w="12240" w:h="15840"/>
          <w:pgMar w:top="1440" w:right="1440" w:bottom="720" w:left="1440" w:header="720" w:footer="720" w:gutter="0"/>
          <w:cols w:space="720"/>
          <w:noEndnote/>
          <w:docGrid w:linePitch="299"/>
        </w:sectPr>
      </w:pPr>
      <w:r>
        <w:t>I approve.</w:t>
      </w:r>
    </w:p>
    <w:p w:rsidR="00EE4D4B" w:rsidRPr="005577AD" w:rsidP="00EE4D4B">
      <w:pPr>
        <w:jc w:val="center"/>
        <w:rPr>
          <w:b/>
          <w:bCs/>
          <w:caps/>
          <w:szCs w:val="22"/>
        </w:rPr>
      </w:pPr>
      <w:r w:rsidRPr="005577AD">
        <w:rPr>
          <w:b/>
          <w:bCs/>
          <w:caps/>
          <w:szCs w:val="22"/>
        </w:rPr>
        <w:t>Statement of</w:t>
      </w:r>
    </w:p>
    <w:p w:rsidR="00EE4D4B" w:rsidRPr="005577AD" w:rsidP="00EE4D4B">
      <w:pPr>
        <w:jc w:val="center"/>
        <w:rPr>
          <w:b/>
          <w:bCs/>
          <w:caps/>
          <w:szCs w:val="22"/>
        </w:rPr>
      </w:pPr>
      <w:r>
        <w:rPr>
          <w:b/>
          <w:bCs/>
          <w:caps/>
          <w:szCs w:val="22"/>
        </w:rPr>
        <w:t>commissioner brendan carr</w:t>
      </w:r>
    </w:p>
    <w:p w:rsidR="00EE4D4B" w:rsidRPr="005577AD" w:rsidP="00EE4D4B">
      <w:pPr>
        <w:jc w:val="center"/>
        <w:rPr>
          <w:b/>
          <w:bCs/>
          <w:caps/>
          <w:szCs w:val="22"/>
        </w:rPr>
      </w:pPr>
    </w:p>
    <w:p w:rsidR="00EE4D4B" w:rsidP="00EE4D4B">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5D3F9C" w:rsidP="00EE4D4B">
      <w:pPr>
        <w:ind w:left="720" w:hanging="720"/>
        <w:rPr>
          <w:szCs w:val="22"/>
        </w:rPr>
      </w:pPr>
    </w:p>
    <w:p w:rsidR="005D3F9C" w:rsidP="002D737A">
      <w:pPr>
        <w:spacing w:after="120"/>
        <w:ind w:firstLine="720"/>
        <w:rPr>
          <w:snapToGrid/>
          <w:kern w:val="0"/>
          <w:szCs w:val="22"/>
        </w:rPr>
      </w:pPr>
      <w:r>
        <w:rPr>
          <w:szCs w:val="22"/>
        </w:rPr>
        <w:t>The Commission has long recognized that satellite stations serve the public interest by bringing television service to sparsely populated communities—ones that might otherwise receive no over-the-air signal.  Since as far back as 1954, the FCC has authorized these stations, and it has exempted them from the agency’s local ownership limits to help attract investment in parts of the country that provide little economic incentive for full-service broadcasters to operate.</w:t>
      </w:r>
    </w:p>
    <w:p w:rsidR="005D3F9C" w:rsidP="002D737A">
      <w:pPr>
        <w:spacing w:after="120"/>
        <w:ind w:firstLine="720"/>
        <w:rPr>
          <w:szCs w:val="22"/>
        </w:rPr>
      </w:pPr>
      <w:r>
        <w:rPr>
          <w:szCs w:val="22"/>
        </w:rPr>
        <w:t xml:space="preserve">But in 1991, the FCC determined that before a station could qualify for this exemption from our media ownership rules, it must make a detailed and particularized showing, including demonstrations that go to signal contours and the underserved nature of the local community.  The Commission has been requiring applicants to make this same detailed showing when seeking to reauthorize an existing satellite station in connection with an ownership transfer or assignment, even when the underlying facts and circumstances have not changed in any material way.   </w:t>
      </w:r>
    </w:p>
    <w:p w:rsidR="005D3F9C" w:rsidP="002D737A">
      <w:pPr>
        <w:spacing w:after="120"/>
        <w:ind w:firstLine="720"/>
        <w:rPr>
          <w:szCs w:val="22"/>
        </w:rPr>
      </w:pPr>
      <w:r>
        <w:rPr>
          <w:szCs w:val="22"/>
        </w:rPr>
        <w:t>The record developed in our media modernization proceeding suggests that this redundant regulatory process might be deterring needed investment, particularly in rural and economically depressed areas of the country.  Indeed, despite the significant costs both to applicants that must make the showing and to the FCC in reviewing and processing the submissions, the agency has never rejected a reauthorization request.</w:t>
      </w:r>
    </w:p>
    <w:p w:rsidR="005D3F9C" w:rsidP="002D737A">
      <w:pPr>
        <w:spacing w:after="120"/>
        <w:ind w:firstLine="720"/>
        <w:rPr>
          <w:szCs w:val="22"/>
        </w:rPr>
      </w:pPr>
      <w:r>
        <w:rPr>
          <w:szCs w:val="22"/>
        </w:rPr>
        <w:t>So I support the proposal to streamline these reviews, which includes a check to ensure that interested parties have an opportunity to contest the use of these simplified procedures and preserves the FCC’s ability to assess on a case-by-case basis whether the relief will serve the public interest.</w:t>
      </w:r>
    </w:p>
    <w:p w:rsidR="005D3F9C" w:rsidP="002D737A">
      <w:pPr>
        <w:spacing w:after="120"/>
        <w:ind w:firstLine="720"/>
        <w:rPr>
          <w:szCs w:val="22"/>
        </w:rPr>
      </w:pPr>
      <w:r>
        <w:rPr>
          <w:szCs w:val="22"/>
        </w:rPr>
        <w:t>A redundant regulatory process should not be what stands in the way of investment in television service for any community.  I want to thank the Media Bureau for its work on this item.  I look forward to reviewing the record as it develops.</w:t>
      </w:r>
    </w:p>
    <w:p w:rsidR="005D3F9C" w:rsidP="00EE4D4B">
      <w:pPr>
        <w:ind w:left="720" w:hanging="720"/>
        <w:rPr>
          <w:szCs w:val="22"/>
        </w:rPr>
      </w:pPr>
    </w:p>
    <w:sectPr w:rsidSect="0014218E">
      <w:foot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6A7" w:rsidP="0055614C">
    <w:pPr>
      <w:pStyle w:val="Footer"/>
      <w:framePr w:wrap="around" w:vAnchor="text" w:hAnchor="margin" w:xAlign="center" w:y="1"/>
    </w:pPr>
    <w:r>
      <w:fldChar w:fldCharType="begin"/>
    </w:r>
    <w:r>
      <w:instrText xml:space="preserve">PAGE  </w:instrText>
    </w:r>
    <w:r>
      <w:fldChar w:fldCharType="separate"/>
    </w:r>
    <w:r>
      <w:rPr>
        <w:noProof/>
      </w:rPr>
      <w:t>11</w:t>
    </w:r>
    <w:r>
      <w:fldChar w:fldCharType="end"/>
    </w:r>
  </w:p>
  <w:p w:rsidR="00DB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4163185"/>
      <w:docPartObj>
        <w:docPartGallery w:val="Page Numbers (Bottom of Page)"/>
        <w:docPartUnique/>
      </w:docPartObj>
    </w:sdtPr>
    <w:sdtEndPr>
      <w:rPr>
        <w:noProof/>
      </w:rPr>
    </w:sdtEndPr>
    <w:sdtContent>
      <w:p w:rsidR="00DB06A7" w:rsidP="00E24572">
        <w:pPr>
          <w:pStyle w:val="Footer"/>
          <w:jc w:val="center"/>
        </w:pPr>
        <w:r>
          <w:fldChar w:fldCharType="begin"/>
        </w:r>
        <w:r>
          <w:instrText xml:space="preserve"> PAGE   \* MERGEFORMAT </w:instrText>
        </w:r>
        <w:r>
          <w:fldChar w:fldCharType="separate"/>
        </w:r>
        <w:r w:rsidR="00730E8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6A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4973138"/>
      <w:docPartObj>
        <w:docPartGallery w:val="Page Numbers (Bottom of Page)"/>
        <w:docPartUnique/>
      </w:docPartObj>
    </w:sdtPr>
    <w:sdtEndPr>
      <w:rPr>
        <w:noProof/>
      </w:rPr>
    </w:sdtEndPr>
    <w:sdtContent>
      <w:p w:rsidR="00F277FB" w:rsidP="00E24572">
        <w:pPr>
          <w:pStyle w:val="Footer"/>
          <w:jc w:val="center"/>
        </w:pPr>
        <w:r>
          <w:fldChar w:fldCharType="begin"/>
        </w:r>
        <w:r>
          <w:instrText xml:space="preserve"> PAGE   \* MERGEFORMAT </w:instrText>
        </w:r>
        <w:r>
          <w:fldChar w:fldCharType="separate"/>
        </w:r>
        <w:r w:rsidR="00996348">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2647227"/>
      <w:docPartObj>
        <w:docPartGallery w:val="Page Numbers (Bottom of Page)"/>
        <w:docPartUnique/>
      </w:docPartObj>
    </w:sdtPr>
    <w:sdtEndPr>
      <w:rPr>
        <w:noProof/>
      </w:rPr>
    </w:sdtEndPr>
    <w:sdtContent>
      <w:p w:rsidR="00F277FB" w:rsidP="00E24572">
        <w:pPr>
          <w:pStyle w:val="Footer"/>
          <w:jc w:val="center"/>
        </w:pPr>
        <w:r>
          <w:fldChar w:fldCharType="begin"/>
        </w:r>
        <w:r>
          <w:instrText xml:space="preserve"> PAGE   \* MERGEFORMAT </w:instrText>
        </w:r>
        <w:r>
          <w:fldChar w:fldCharType="separate"/>
        </w:r>
        <w:r w:rsidR="00996348">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7700366"/>
      <w:docPartObj>
        <w:docPartGallery w:val="Page Numbers (Bottom of Page)"/>
        <w:docPartUnique/>
      </w:docPartObj>
    </w:sdtPr>
    <w:sdtEndPr>
      <w:rPr>
        <w:noProof/>
      </w:rPr>
    </w:sdtEndPr>
    <w:sdtContent>
      <w:p w:rsidR="00F277FB" w:rsidP="00E24572">
        <w:pPr>
          <w:pStyle w:val="Footer"/>
          <w:jc w:val="center"/>
        </w:pPr>
        <w:r>
          <w:fldChar w:fldCharType="begin"/>
        </w:r>
        <w:r>
          <w:instrText xml:space="preserve"> PAGE   \* MERGEFORMAT </w:instrText>
        </w:r>
        <w:r>
          <w:fldChar w:fldCharType="separate"/>
        </w:r>
        <w:r w:rsidR="00996348">
          <w:rPr>
            <w:noProof/>
          </w:rPr>
          <w:t>12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4417625"/>
      <w:docPartObj>
        <w:docPartGallery w:val="Page Numbers (Bottom of Page)"/>
        <w:docPartUnique/>
      </w:docPartObj>
    </w:sdtPr>
    <w:sdtEndPr>
      <w:rPr>
        <w:noProof/>
      </w:rPr>
    </w:sdtEndPr>
    <w:sdtContent>
      <w:p w:rsidR="00F277FB" w:rsidP="00E24572">
        <w:pPr>
          <w:pStyle w:val="Footer"/>
          <w:jc w:val="center"/>
        </w:pPr>
        <w:r>
          <w:fldChar w:fldCharType="begin"/>
        </w:r>
        <w:r>
          <w:instrText xml:space="preserve"> PAGE   \* MERGEFORMAT </w:instrText>
        </w:r>
        <w:r>
          <w:fldChar w:fldCharType="separate"/>
        </w:r>
        <w:r w:rsidR="0099634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0FA6">
      <w:r>
        <w:separator/>
      </w:r>
    </w:p>
  </w:footnote>
  <w:footnote w:type="continuationSeparator" w:id="1">
    <w:p w:rsidR="00CE0FA6" w:rsidP="00C721AC">
      <w:pPr>
        <w:spacing w:before="120"/>
        <w:rPr>
          <w:sz w:val="20"/>
        </w:rPr>
      </w:pPr>
      <w:r>
        <w:rPr>
          <w:sz w:val="20"/>
        </w:rPr>
        <w:t xml:space="preserve">(Continued from previous page)  </w:t>
      </w:r>
      <w:r>
        <w:rPr>
          <w:sz w:val="20"/>
        </w:rPr>
        <w:separator/>
      </w:r>
    </w:p>
  </w:footnote>
  <w:footnote w:type="continuationNotice" w:id="2">
    <w:p w:rsidR="00CE0FA6" w:rsidP="00C721AC">
      <w:pPr>
        <w:jc w:val="right"/>
        <w:rPr>
          <w:sz w:val="20"/>
        </w:rPr>
      </w:pPr>
      <w:r>
        <w:rPr>
          <w:sz w:val="20"/>
        </w:rPr>
        <w:t>(continued….)</w:t>
      </w:r>
    </w:p>
  </w:footnote>
  <w:footnote w:id="3">
    <w:p w:rsidR="00DB06A7" w:rsidP="00262A25">
      <w:pPr>
        <w:pStyle w:val="FootnoteText"/>
      </w:pPr>
      <w:r>
        <w:rPr>
          <w:rStyle w:val="FootnoteReference"/>
        </w:rPr>
        <w:footnoteRef/>
      </w:r>
      <w:r>
        <w:t xml:space="preserve"> 47 CFR § 73.3555, Note 5.</w:t>
      </w:r>
    </w:p>
  </w:footnote>
  <w:footnote w:id="4">
    <w:p w:rsidR="00DB06A7" w:rsidP="00655DB1">
      <w:pPr>
        <w:pStyle w:val="FootnoteText"/>
      </w:pPr>
      <w:r>
        <w:rPr>
          <w:rStyle w:val="FootnoteReference"/>
        </w:rPr>
        <w:footnoteRef/>
      </w:r>
      <w:r>
        <w:t xml:space="preserve"> </w:t>
      </w:r>
      <w:r>
        <w:rPr>
          <w:i/>
        </w:rPr>
        <w:t xml:space="preserve">See </w:t>
      </w:r>
      <w:r w:rsidRPr="00A7050C">
        <w:rPr>
          <w:i/>
        </w:rPr>
        <w:t>Commission Launches Modernization of Media Regulation Initiative</w:t>
      </w:r>
      <w:r w:rsidRPr="00A7050C">
        <w:t>, Public Notice</w:t>
      </w:r>
      <w:r>
        <w:t>, 32 FCC Rcd 4406</w:t>
      </w:r>
      <w:r w:rsidRPr="00A7050C">
        <w:t xml:space="preserve"> (MB 2017)</w:t>
      </w:r>
      <w:r>
        <w:t xml:space="preserve"> </w:t>
      </w:r>
      <w:r w:rsidRPr="00A7050C">
        <w:t>(</w:t>
      </w:r>
      <w:r w:rsidRPr="00A7050C">
        <w:rPr>
          <w:i/>
        </w:rPr>
        <w:t>Modernization Initiative Public Notice</w:t>
      </w:r>
      <w:r>
        <w:t xml:space="preserve">).   </w:t>
      </w:r>
    </w:p>
  </w:footnote>
  <w:footnote w:id="5">
    <w:p w:rsidR="00DB06A7" w:rsidP="00655DB1">
      <w:pPr>
        <w:pStyle w:val="FootnoteText"/>
      </w:pPr>
      <w:r>
        <w:rPr>
          <w:rStyle w:val="FootnoteReference"/>
        </w:rPr>
        <w:footnoteRef/>
      </w:r>
      <w:r>
        <w:t xml:space="preserve"> Letter from Kevin P. Latek, Executive Vice President, Gray Television, Inc. (Gray), to Marlene H. Dortch, Secretary, FCC, MB Docket No. 17-105 (filed June 26, 2017) (Gray June 26, 2017 </w:t>
      </w:r>
      <w:r w:rsidRPr="005506C8">
        <w:rPr>
          <w:i/>
        </w:rPr>
        <w:t>Ex Parte</w:t>
      </w:r>
      <w:r>
        <w:t xml:space="preserve"> Letter).</w:t>
      </w:r>
    </w:p>
  </w:footnote>
  <w:footnote w:id="6">
    <w:p w:rsidR="00DB06A7" w:rsidRPr="007372B9">
      <w:pPr>
        <w:pStyle w:val="FootnoteText"/>
      </w:pPr>
      <w:r>
        <w:rPr>
          <w:rStyle w:val="FootnoteReference"/>
        </w:rPr>
        <w:footnoteRef/>
      </w:r>
      <w:r>
        <w:t xml:space="preserve"> </w:t>
      </w:r>
      <w:r>
        <w:rPr>
          <w:i/>
        </w:rPr>
        <w:t xml:space="preserve">See </w:t>
      </w:r>
      <w:r w:rsidRPr="000521E4">
        <w:rPr>
          <w:i/>
        </w:rPr>
        <w:t>Television Satellite Stations Review of Policy and Rules</w:t>
      </w:r>
      <w:r>
        <w:t>, Report and Order, 6 FCC Rcd 4212, 4212, para. 3 (1991) (</w:t>
      </w:r>
      <w:r w:rsidRPr="000521E4">
        <w:rPr>
          <w:i/>
        </w:rPr>
        <w:t>Satellite Stations Order</w:t>
      </w:r>
      <w:r>
        <w:t>).</w:t>
      </w:r>
    </w:p>
  </w:footnote>
  <w:footnote w:id="7">
    <w:p w:rsidR="00DB06A7" w:rsidRPr="00227C53">
      <w:pPr>
        <w:pStyle w:val="FootnoteText"/>
      </w:pPr>
      <w:r>
        <w:rPr>
          <w:rStyle w:val="FootnoteReference"/>
        </w:rPr>
        <w:footnoteRef/>
      </w:r>
      <w:r>
        <w:t xml:space="preserve"> </w:t>
      </w:r>
      <w:r w:rsidR="009714C1">
        <w:rPr>
          <w:i/>
        </w:rPr>
        <w:t>Id.</w:t>
      </w:r>
      <w:r>
        <w:t xml:space="preserve"> at 4212, para. 5.</w:t>
      </w:r>
    </w:p>
  </w:footnote>
  <w:footnote w:id="8">
    <w:p w:rsidR="00DB06A7" w:rsidRPr="00CE3AA7" w:rsidP="007372B9">
      <w:pPr>
        <w:pStyle w:val="FootnoteText"/>
      </w:pPr>
      <w:r w:rsidRPr="00CE3AA7">
        <w:rPr>
          <w:rStyle w:val="FootnoteReference"/>
        </w:rPr>
        <w:footnoteRef/>
      </w:r>
      <w:r w:rsidRPr="00CE3AA7">
        <w:t xml:space="preserve"> The ownership exception is set forth in Note 5 of Section 73.3555.  47 CFR § 73.3555, Note 5.  The Local Television Ownership Rule prohibits an entity from owning or controlling more than two television stations in the same local market.  </w:t>
      </w:r>
      <w:r w:rsidRPr="00CE3AA7">
        <w:rPr>
          <w:i/>
        </w:rPr>
        <w:t>Id.</w:t>
      </w:r>
      <w:r w:rsidRPr="00CE3AA7">
        <w:t xml:space="preserve"> § 73.3555(b).  The National Television Multiple Ownership Rule prohibits entities from owning or controlling television stations that, in the aggregate, reach more than 39 percent of the television households in the country.  </w:t>
      </w:r>
      <w:r w:rsidRPr="00CE3AA7">
        <w:rPr>
          <w:i/>
        </w:rPr>
        <w:t>Id</w:t>
      </w:r>
      <w:r w:rsidRPr="00CE3AA7">
        <w:t xml:space="preserve">. § 73.3555(e).  The satellite exception does not have practical relevance for the national television cap.  Households are not double-counted when a satellite station and its parent operate in the same local television market, and the Note 5 exception does not apply when a satellite station and its parent operate in separate markets.  </w:t>
      </w:r>
      <w:r w:rsidRPr="00CE3AA7">
        <w:rPr>
          <w:i/>
        </w:rPr>
        <w:t xml:space="preserve">Broadcast Television National Ownership Rules, Review of </w:t>
      </w:r>
      <w:r w:rsidR="00A45653">
        <w:rPr>
          <w:i/>
        </w:rPr>
        <w:t>t</w:t>
      </w:r>
      <w:r w:rsidRPr="00CE3AA7" w:rsidR="00A45653">
        <w:rPr>
          <w:i/>
        </w:rPr>
        <w:t xml:space="preserve">he </w:t>
      </w:r>
      <w:r w:rsidRPr="00CE3AA7" w:rsidR="00D423CC">
        <w:rPr>
          <w:i/>
        </w:rPr>
        <w:t>Commission</w:t>
      </w:r>
      <w:r w:rsidR="00D423CC">
        <w:rPr>
          <w:i/>
        </w:rPr>
        <w:t>’</w:t>
      </w:r>
      <w:r w:rsidRPr="00CE3AA7" w:rsidR="00D423CC">
        <w:rPr>
          <w:i/>
        </w:rPr>
        <w:t>s</w:t>
      </w:r>
      <w:r w:rsidRPr="00CE3AA7">
        <w:rPr>
          <w:i/>
        </w:rPr>
        <w:t xml:space="preserve"> Regulations Governing Television Broadcasting, Television Satellite Stations Review of Policy and Rules</w:t>
      </w:r>
      <w:r w:rsidRPr="00CE3AA7">
        <w:t>, Report and Order, 15 FCC Rcd 20743, 20745-50, paras. 4-23 (1999).</w:t>
      </w:r>
    </w:p>
  </w:footnote>
  <w:footnote w:id="9">
    <w:p w:rsidR="00DB06A7" w:rsidRPr="00230CEB">
      <w:pPr>
        <w:pStyle w:val="FootnoteText"/>
      </w:pPr>
      <w:r>
        <w:rPr>
          <w:rStyle w:val="FootnoteReference"/>
        </w:rPr>
        <w:footnoteRef/>
      </w:r>
      <w:r>
        <w:t xml:space="preserve"> </w:t>
      </w:r>
      <w:r w:rsidRPr="000521E4">
        <w:rPr>
          <w:i/>
        </w:rPr>
        <w:t>Satellite St</w:t>
      </w:r>
      <w:r>
        <w:rPr>
          <w:i/>
        </w:rPr>
        <w:t>ations Order</w:t>
      </w:r>
      <w:r>
        <w:t xml:space="preserve">, 6 FCC Rcd at 4213-15, paras. 12-20.  Gray seems to suggest that the satellite exception also applies to the Commission’s Main Studio Rule.  </w:t>
      </w:r>
      <w:r>
        <w:rPr>
          <w:i/>
        </w:rPr>
        <w:t xml:space="preserve">See </w:t>
      </w:r>
      <w:r>
        <w:t xml:space="preserve">Gray June 26, 2017 </w:t>
      </w:r>
      <w:r w:rsidRPr="005506C8">
        <w:rPr>
          <w:i/>
        </w:rPr>
        <w:t>Ex Parte</w:t>
      </w:r>
      <w:r>
        <w:t xml:space="preserve"> Letter at 1; </w:t>
      </w:r>
      <w:r w:rsidRPr="00846EF7">
        <w:rPr>
          <w:i/>
        </w:rPr>
        <w:t>but see id.</w:t>
      </w:r>
      <w:r>
        <w:t xml:space="preserve"> at 2 (distinguishing the satellite exception from the Main Studio waiver).  We clarify that waivers of the Main Studio Rule had to be obtained separately from satellite exceptions to the multiple ownership rules and that this NPRM has no implications for waivers of the Main Studio Rule, which are now largely superseded by the recent elimination of that rule.  </w:t>
      </w:r>
      <w:r>
        <w:rPr>
          <w:i/>
        </w:rPr>
        <w:t xml:space="preserve">See </w:t>
      </w:r>
      <w:r w:rsidRPr="002F088E">
        <w:rPr>
          <w:i/>
        </w:rPr>
        <w:t>Elimination of Main Studio Rule</w:t>
      </w:r>
      <w:r w:rsidRPr="002F088E">
        <w:t>, Report and Order</w:t>
      </w:r>
      <w:r>
        <w:t xml:space="preserve">, 32 FCC Rcd 8158, 8167-68, 8173, paras. 16, 26 </w:t>
      </w:r>
      <w:r w:rsidRPr="002F088E">
        <w:t>(2017).</w:t>
      </w:r>
      <w:r>
        <w:t xml:space="preserve"> </w:t>
      </w:r>
    </w:p>
  </w:footnote>
  <w:footnote w:id="10">
    <w:p w:rsidR="00DB06A7" w:rsidRPr="0099633A">
      <w:pPr>
        <w:pStyle w:val="FootnoteText"/>
      </w:pPr>
      <w:r>
        <w:rPr>
          <w:rStyle w:val="FootnoteReference"/>
        </w:rPr>
        <w:footnoteRef/>
      </w:r>
      <w:r w:rsidRPr="00CE3AA7">
        <w:t xml:space="preserve"> </w:t>
      </w:r>
      <w:r w:rsidRPr="00CE3AA7">
        <w:rPr>
          <w:i/>
        </w:rPr>
        <w:t>Satellite Stations Order</w:t>
      </w:r>
      <w:r w:rsidRPr="00CE3AA7">
        <w:t>, 6 FCC Rcd at 4213-14, 4214-15, paras. 12, 18-20</w:t>
      </w:r>
      <w:r>
        <w:t xml:space="preserve">; </w:t>
      </w:r>
      <w:r>
        <w:rPr>
          <w:i/>
        </w:rPr>
        <w:t>s</w:t>
      </w:r>
      <w:r w:rsidRPr="00CE3AA7">
        <w:rPr>
          <w:i/>
        </w:rPr>
        <w:t>ee also</w:t>
      </w:r>
      <w:r w:rsidRPr="00CE3AA7">
        <w:t xml:space="preserve"> </w:t>
      </w:r>
      <w:r w:rsidRPr="00CE3AA7">
        <w:rPr>
          <w:i/>
          <w:color w:val="000000"/>
        </w:rPr>
        <w:t xml:space="preserve">Broadcast Television </w:t>
      </w:r>
      <w:r>
        <w:rPr>
          <w:i/>
          <w:color w:val="000000"/>
        </w:rPr>
        <w:t>National</w:t>
      </w:r>
      <w:r w:rsidRPr="00CE3AA7">
        <w:rPr>
          <w:i/>
          <w:color w:val="000000"/>
        </w:rPr>
        <w:t xml:space="preserve"> Ownership Rules</w:t>
      </w:r>
      <w:r>
        <w:rPr>
          <w:i/>
          <w:color w:val="000000"/>
        </w:rPr>
        <w:t>,</w:t>
      </w:r>
      <w:r w:rsidRPr="00CE3AA7">
        <w:rPr>
          <w:i/>
          <w:color w:val="000000"/>
        </w:rPr>
        <w:t xml:space="preserve"> Review of the </w:t>
      </w:r>
      <w:r w:rsidRPr="00CE3AA7" w:rsidR="00A45653">
        <w:rPr>
          <w:i/>
          <w:color w:val="000000"/>
        </w:rPr>
        <w:t>Commission</w:t>
      </w:r>
      <w:r w:rsidR="00A45653">
        <w:rPr>
          <w:i/>
          <w:color w:val="000000"/>
        </w:rPr>
        <w:t>’</w:t>
      </w:r>
      <w:r w:rsidRPr="00CE3AA7" w:rsidR="00A45653">
        <w:rPr>
          <w:i/>
          <w:color w:val="000000"/>
        </w:rPr>
        <w:t>s</w:t>
      </w:r>
      <w:r w:rsidRPr="00CE3AA7">
        <w:rPr>
          <w:i/>
          <w:color w:val="000000"/>
        </w:rPr>
        <w:t xml:space="preserve"> Regulations Governing Television </w:t>
      </w:r>
      <w:r>
        <w:rPr>
          <w:i/>
          <w:color w:val="000000"/>
        </w:rPr>
        <w:t>Broadcasting,</w:t>
      </w:r>
      <w:r w:rsidRPr="00CE3AA7">
        <w:rPr>
          <w:i/>
          <w:color w:val="000000"/>
        </w:rPr>
        <w:t xml:space="preserve"> Television Satellite Stations Review of Policy </w:t>
      </w:r>
      <w:r>
        <w:rPr>
          <w:i/>
          <w:color w:val="000000"/>
        </w:rPr>
        <w:t>and</w:t>
      </w:r>
      <w:r w:rsidRPr="00CE3AA7">
        <w:rPr>
          <w:i/>
          <w:color w:val="000000"/>
        </w:rPr>
        <w:t xml:space="preserve"> Rules</w:t>
      </w:r>
      <w:r w:rsidRPr="00CE3AA7">
        <w:rPr>
          <w:color w:val="000000"/>
        </w:rPr>
        <w:t xml:space="preserve">, 15 FCC Rcd 20743, 20745, para. 4 (1999) (“The Commission does not authorize satellite operation unless it is demonstrated that the frequency would likely go unused otherwise. </w:t>
      </w:r>
      <w:r>
        <w:rPr>
          <w:color w:val="000000"/>
        </w:rPr>
        <w:t xml:space="preserve"> </w:t>
      </w:r>
      <w:r w:rsidRPr="00CE3AA7">
        <w:rPr>
          <w:color w:val="000000"/>
        </w:rPr>
        <w:t>As a result, satellite stations typically operate in areas that are likely to provide television broadcasters relatively little opportunity for growth and profit when compared with larger markets.”).</w:t>
      </w:r>
    </w:p>
  </w:footnote>
  <w:footnote w:id="11">
    <w:p w:rsidR="00DB06A7">
      <w:pPr>
        <w:pStyle w:val="FootnoteText"/>
      </w:pPr>
      <w:r>
        <w:rPr>
          <w:rStyle w:val="FootnoteReference"/>
        </w:rPr>
        <w:footnoteRef/>
      </w:r>
      <w:r>
        <w:t xml:space="preserve"> Regarding the second criterion, an area would qualify as underserved if:  (1) there were two or fewer full-service stations licensed to the proposed satellite’s community of license (the “transmission test”) and (2) at least 25 percent of the area within the proposed satellite’s Grade B contour—but outside the parent’s Grade B contour—received four or fewer television services, including educational, satellite, low-power, and translator services, but excluding the proposed satellite service (the “reception test”).  Under the third criterion, a diligent search for an alternative operator could be evidenced in various ways, such as the listing of the station with a broker, the paucity of resulting inquiries, and the reasons for any failed negotiations.  </w:t>
      </w:r>
      <w:r w:rsidRPr="00CE3AA7">
        <w:rPr>
          <w:i/>
        </w:rPr>
        <w:t>Satellite Stations Order</w:t>
      </w:r>
      <w:r w:rsidRPr="00CE3AA7">
        <w:t xml:space="preserve">, 6 FCC Rcd at </w:t>
      </w:r>
      <w:r>
        <w:t xml:space="preserve">4215, paras. 19-20.  </w:t>
      </w:r>
    </w:p>
  </w:footnote>
  <w:footnote w:id="12">
    <w:p w:rsidR="00DB06A7" w:rsidRPr="00CE3AA7" w:rsidP="00DD52D0">
      <w:pPr>
        <w:pStyle w:val="FootnoteText"/>
        <w:rPr>
          <w:i/>
        </w:rPr>
      </w:pPr>
      <w:r w:rsidRPr="00CE3AA7">
        <w:rPr>
          <w:rStyle w:val="FootnoteReference"/>
        </w:rPr>
        <w:footnoteRef/>
      </w:r>
      <w:r w:rsidRPr="00CE3AA7">
        <w:t xml:space="preserve"> </w:t>
      </w:r>
      <w:r w:rsidRPr="00CE3AA7">
        <w:rPr>
          <w:i/>
        </w:rPr>
        <w:t>Satellite Stations Order</w:t>
      </w:r>
      <w:r w:rsidRPr="00CE3AA7">
        <w:t>, 6 FCC Rcd at 4214, para. 14</w:t>
      </w:r>
      <w:r w:rsidRPr="0098274C" w:rsidR="0098274C">
        <w:t>.</w:t>
      </w:r>
      <w:r w:rsidR="0098274C">
        <w:t xml:space="preserve">  </w:t>
      </w:r>
      <w:r w:rsidRPr="0098274C" w:rsidR="0098274C">
        <w:rPr>
          <w:color w:val="000000"/>
        </w:rPr>
        <w:t xml:space="preserve">The Commission </w:t>
      </w:r>
      <w:r w:rsidR="00D8499F">
        <w:rPr>
          <w:color w:val="000000"/>
        </w:rPr>
        <w:t>has</w:t>
      </w:r>
      <w:r w:rsidRPr="0098274C" w:rsidR="0098274C">
        <w:rPr>
          <w:color w:val="000000"/>
        </w:rPr>
        <w:t xml:space="preserve"> accepted alternative showings under the </w:t>
      </w:r>
      <w:r w:rsidRPr="005D3F9C" w:rsidR="0098274C">
        <w:rPr>
          <w:i/>
          <w:color w:val="000000"/>
        </w:rPr>
        <w:t>ad hoc</w:t>
      </w:r>
      <w:r w:rsidRPr="0098274C" w:rsidR="0098274C">
        <w:rPr>
          <w:color w:val="000000"/>
        </w:rPr>
        <w:t xml:space="preserve"> standard based on various criteria, including expert declarations as to the signal quality, geographic conditions, and/or market conditions and the expected difficulty of finding a buyer to operate the station on a standalone basis. </w:t>
      </w:r>
      <w:r w:rsidR="009714C1">
        <w:rPr>
          <w:color w:val="000000"/>
        </w:rPr>
        <w:t xml:space="preserve"> </w:t>
      </w:r>
      <w:r w:rsidRPr="0098274C" w:rsidR="0098274C">
        <w:rPr>
          <w:i/>
          <w:color w:val="000000"/>
        </w:rPr>
        <w:t>See, e.g.,</w:t>
      </w:r>
      <w:r w:rsidRPr="0098274C" w:rsidR="0098274C">
        <w:rPr>
          <w:color w:val="000000"/>
        </w:rPr>
        <w:t xml:space="preserve"> </w:t>
      </w:r>
      <w:r w:rsidRPr="0098274C" w:rsidR="0098274C">
        <w:rPr>
          <w:i/>
          <w:color w:val="000000"/>
          <w:szCs w:val="22"/>
        </w:rPr>
        <w:t>Shareholders of Tribune Co., Transferors &amp; Sam Zell, et al. Transferees &amp; Applications for the Renewal of License of KTLA(TV), Los Angeles, California, et al.</w:t>
      </w:r>
      <w:r w:rsidRPr="0098274C" w:rsidR="0098274C">
        <w:rPr>
          <w:color w:val="000000"/>
          <w:szCs w:val="22"/>
        </w:rPr>
        <w:t xml:space="preserve">, 22 FCC Rcd 21266, 21282-83, paras. 49-52 (2007); </w:t>
      </w:r>
      <w:r w:rsidRPr="0098274C" w:rsidR="0098274C">
        <w:rPr>
          <w:i/>
        </w:rPr>
        <w:t>David D. Burns, Esq. Gregory L. Masters, Esq.</w:t>
      </w:r>
      <w:r w:rsidRPr="0098274C" w:rsidR="0098274C">
        <w:t>, 22 FCC Rcd 19218, 19219-20 (MB 2007)</w:t>
      </w:r>
      <w:r w:rsidRPr="0098274C" w:rsidR="0098274C">
        <w:rPr>
          <w:color w:val="000000"/>
        </w:rPr>
        <w:t>.</w:t>
      </w:r>
    </w:p>
  </w:footnote>
  <w:footnote w:id="13">
    <w:p w:rsidR="00DB06A7">
      <w:pPr>
        <w:pStyle w:val="FootnoteText"/>
      </w:pPr>
      <w:r>
        <w:rPr>
          <w:rStyle w:val="FootnoteReference"/>
        </w:rPr>
        <w:footnoteRef/>
      </w:r>
      <w:r>
        <w:t xml:space="preserve"> </w:t>
      </w:r>
      <w:r>
        <w:rPr>
          <w:i/>
        </w:rPr>
        <w:t>Satellite Stations Order</w:t>
      </w:r>
      <w:r>
        <w:t>, 6 FCC Rcd at 4215-16, paras. 21-25.</w:t>
      </w:r>
    </w:p>
  </w:footnote>
  <w:footnote w:id="14">
    <w:p w:rsidR="00DB06A7">
      <w:pPr>
        <w:pStyle w:val="FootnoteText"/>
      </w:pPr>
      <w:r>
        <w:rPr>
          <w:rStyle w:val="FootnoteReference"/>
        </w:rPr>
        <w:footnoteRef/>
      </w:r>
      <w:r>
        <w:t xml:space="preserve"> </w:t>
      </w:r>
      <w:r w:rsidR="00CD516E">
        <w:rPr>
          <w:i/>
        </w:rPr>
        <w:t>Id.</w:t>
      </w:r>
      <w:r>
        <w:t xml:space="preserve"> at 4215-16, paras. 23-24.</w:t>
      </w:r>
    </w:p>
  </w:footnote>
  <w:footnote w:id="15">
    <w:p w:rsidR="00DB06A7">
      <w:pPr>
        <w:pStyle w:val="FootnoteText"/>
      </w:pPr>
      <w:r>
        <w:rPr>
          <w:rStyle w:val="FootnoteReference"/>
        </w:rPr>
        <w:footnoteRef/>
      </w:r>
      <w:r>
        <w:t xml:space="preserve"> </w:t>
      </w:r>
      <w:r w:rsidR="00CD516E">
        <w:rPr>
          <w:i/>
        </w:rPr>
        <w:t>Id.</w:t>
      </w:r>
      <w:r>
        <w:t xml:space="preserve"> at 4215-16, para. 24.</w:t>
      </w:r>
    </w:p>
  </w:footnote>
  <w:footnote w:id="16">
    <w:p w:rsidR="00DB06A7" w:rsidRPr="00CD5493">
      <w:pPr>
        <w:pStyle w:val="FootnoteText"/>
        <w:rPr>
          <w:b/>
        </w:rPr>
      </w:pPr>
      <w:r>
        <w:rPr>
          <w:rStyle w:val="FootnoteReference"/>
        </w:rPr>
        <w:footnoteRef/>
      </w:r>
      <w:r>
        <w:t xml:space="preserv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Second Report and Order</w:t>
      </w:r>
      <w:r w:rsidRPr="00392EA3">
        <w:rPr>
          <w:color w:val="212121"/>
        </w:rPr>
        <w:t>,</w:t>
      </w:r>
      <w:r>
        <w:rPr>
          <w:rFonts w:ascii="Arial" w:hAnsi="Arial" w:cs="Arial"/>
          <w:color w:val="212121"/>
          <w:sz w:val="21"/>
          <w:szCs w:val="21"/>
        </w:rPr>
        <w:t xml:space="preserve"> </w:t>
      </w:r>
      <w:r w:rsidRPr="00025823">
        <w:rPr>
          <w:snapToGrid w:val="0"/>
        </w:rPr>
        <w:t>31 FCC Rcd 9864</w:t>
      </w:r>
      <w:r>
        <w:rPr>
          <w:snapToGrid w:val="0"/>
        </w:rPr>
        <w:t>, 9876, para. 32 n.72 (2016).</w:t>
      </w:r>
    </w:p>
  </w:footnote>
  <w:footnote w:id="17">
    <w:p w:rsidR="00DB06A7" w:rsidRPr="005D1086" w:rsidP="00883000">
      <w:pPr>
        <w:pStyle w:val="FootnoteText"/>
      </w:pPr>
      <w:r>
        <w:rPr>
          <w:rStyle w:val="FootnoteReference"/>
        </w:rPr>
        <w:footnoteRef/>
      </w:r>
      <w:r>
        <w:t xml:space="preserve"> </w:t>
      </w:r>
      <w:r w:rsidRPr="005D1086">
        <w:rPr>
          <w:i/>
        </w:rPr>
        <w:t>Modernization Initiative Public Notice</w:t>
      </w:r>
      <w:r w:rsidRPr="00837B89">
        <w:t>,</w:t>
      </w:r>
      <w:r>
        <w:t xml:space="preserve"> 32 FCC Rcd at 4406.</w:t>
      </w:r>
    </w:p>
  </w:footnote>
  <w:footnote w:id="18">
    <w:p w:rsidR="00DB06A7" w:rsidRPr="00BE735B">
      <w:pPr>
        <w:pStyle w:val="FootnoteText"/>
        <w:rPr>
          <w:b/>
        </w:rPr>
      </w:pPr>
      <w:r>
        <w:rPr>
          <w:rStyle w:val="FootnoteReference"/>
        </w:rPr>
        <w:footnoteRef/>
      </w:r>
      <w:r>
        <w:t xml:space="preserve"> Gray June 26, 2017 </w:t>
      </w:r>
      <w:r w:rsidRPr="005506C8">
        <w:rPr>
          <w:i/>
        </w:rPr>
        <w:t>Ex Parte</w:t>
      </w:r>
      <w:r>
        <w:t xml:space="preserve"> Letter at 1.</w:t>
      </w:r>
    </w:p>
  </w:footnote>
  <w:footnote w:id="19">
    <w:p w:rsidR="00DB06A7">
      <w:pPr>
        <w:pStyle w:val="FootnoteText"/>
      </w:pPr>
      <w:r>
        <w:rPr>
          <w:rStyle w:val="FootnoteReference"/>
        </w:rPr>
        <w:footnoteRef/>
      </w:r>
      <w:r>
        <w:t xml:space="preserve"> </w:t>
      </w:r>
      <w:r w:rsidRPr="00E668D7" w:rsidR="00CD516E">
        <w:rPr>
          <w:i/>
        </w:rPr>
        <w:t>Id</w:t>
      </w:r>
      <w:r w:rsidR="00CD516E">
        <w:t>.</w:t>
      </w:r>
      <w:r>
        <w:t xml:space="preserve"> at 2.</w:t>
      </w:r>
    </w:p>
  </w:footnote>
  <w:footnote w:id="20">
    <w:p w:rsidR="00DB06A7">
      <w:pPr>
        <w:pStyle w:val="FootnoteText"/>
      </w:pPr>
      <w:r>
        <w:rPr>
          <w:rStyle w:val="FootnoteReference"/>
        </w:rPr>
        <w:footnoteRef/>
      </w:r>
      <w:r>
        <w:t xml:space="preserve"> Nexstar Comments at 18-19.</w:t>
      </w:r>
    </w:p>
  </w:footnote>
  <w:footnote w:id="21">
    <w:p w:rsidR="00DB06A7">
      <w:pPr>
        <w:pStyle w:val="FootnoteText"/>
      </w:pPr>
      <w:r>
        <w:rPr>
          <w:rStyle w:val="FootnoteReference"/>
        </w:rPr>
        <w:footnoteRef/>
      </w:r>
      <w:r>
        <w:t xml:space="preserve"> As explained below, we propose to limit the application of any streamlined procedures we may adopt to transactions involving the satellite station and the station that the Commission considered to be its parent at the time that it granted satellite status</w:t>
      </w:r>
      <w:r w:rsidR="005D3F9C">
        <w:t xml:space="preserve"> or most recently re</w:t>
      </w:r>
      <w:r w:rsidRPr="00CE3AA7">
        <w:t>authorized satellite status, whichever is later.</w:t>
      </w:r>
      <w:r>
        <w:t xml:space="preserve">  Thus, our preliminary view is that any new procedures would not apply when a licensee seeks approval for a transaction that would replace the current parent station with a different parent station.  </w:t>
      </w:r>
      <w:r w:rsidRPr="00386F75">
        <w:rPr>
          <w:i/>
        </w:rPr>
        <w:t>See infra</w:t>
      </w:r>
      <w:r>
        <w:t xml:space="preserve"> para. </w:t>
      </w:r>
      <w:r w:rsidR="006B2827">
        <w:fldChar w:fldCharType="begin"/>
      </w:r>
      <w:r w:rsidR="006B2827">
        <w:instrText xml:space="preserve"> REF _Ref506534005 \r \h </w:instrText>
      </w:r>
      <w:r w:rsidR="006B2827">
        <w:fldChar w:fldCharType="separate"/>
      </w:r>
      <w:r w:rsidR="006B2827">
        <w:t>10</w:t>
      </w:r>
      <w:r w:rsidR="006B2827">
        <w:fldChar w:fldCharType="end"/>
      </w:r>
      <w:r>
        <w:t>.</w:t>
      </w:r>
    </w:p>
  </w:footnote>
  <w:footnote w:id="22">
    <w:p w:rsidR="00DB06A7" w:rsidRPr="00CE3AA7">
      <w:pPr>
        <w:pStyle w:val="FootnoteText"/>
      </w:pPr>
      <w:r w:rsidRPr="00CE3AA7">
        <w:rPr>
          <w:rStyle w:val="FootnoteReference"/>
        </w:rPr>
        <w:footnoteRef/>
      </w:r>
      <w:r w:rsidRPr="00CE3AA7">
        <w:t xml:space="preserve"> </w:t>
      </w:r>
      <w:r w:rsidRPr="00CE3AA7">
        <w:rPr>
          <w:i/>
        </w:rPr>
        <w:t xml:space="preserve">See </w:t>
      </w:r>
      <w:r w:rsidRPr="00CE3AA7">
        <w:t xml:space="preserve">Gray June 26, 2017 </w:t>
      </w:r>
      <w:r w:rsidRPr="00CE3AA7">
        <w:rPr>
          <w:i/>
        </w:rPr>
        <w:t>Ex Parte</w:t>
      </w:r>
      <w:r w:rsidRPr="00CE3AA7">
        <w:t xml:space="preserve"> Letter at 3; </w:t>
      </w:r>
      <w:r w:rsidRPr="00CE3AA7">
        <w:rPr>
          <w:i/>
        </w:rPr>
        <w:t>see also</w:t>
      </w:r>
      <w:r w:rsidRPr="00CE3AA7">
        <w:t xml:space="preserve"> Nexstar Comments at 18-19.</w:t>
      </w:r>
    </w:p>
  </w:footnote>
  <w:footnote w:id="23">
    <w:p w:rsidR="00DB06A7">
      <w:pPr>
        <w:pStyle w:val="FootnoteText"/>
      </w:pPr>
      <w:r>
        <w:rPr>
          <w:rStyle w:val="FootnoteReference"/>
        </w:rPr>
        <w:footnoteRef/>
      </w:r>
      <w:r>
        <w:t xml:space="preserve"> </w:t>
      </w:r>
      <w:r>
        <w:rPr>
          <w:i/>
        </w:rPr>
        <w:t xml:space="preserve">See </w:t>
      </w:r>
      <w:r>
        <w:t xml:space="preserve">Gray June 26, 2017 </w:t>
      </w:r>
      <w:r w:rsidRPr="005506C8">
        <w:rPr>
          <w:i/>
        </w:rPr>
        <w:t>Ex Parte</w:t>
      </w:r>
      <w:r>
        <w:t xml:space="preserve"> Letter at 2.</w:t>
      </w:r>
    </w:p>
  </w:footnote>
  <w:footnote w:id="24">
    <w:p w:rsidR="00DB06A7">
      <w:pPr>
        <w:pStyle w:val="FootnoteText"/>
      </w:pPr>
      <w:r>
        <w:rPr>
          <w:rStyle w:val="FootnoteReference"/>
        </w:rPr>
        <w:footnoteRef/>
      </w:r>
      <w:r>
        <w:t xml:space="preserve"> </w:t>
      </w:r>
      <w:r>
        <w:rPr>
          <w:i/>
        </w:rPr>
        <w:t xml:space="preserve">See </w:t>
      </w:r>
      <w:r w:rsidRPr="00E668D7" w:rsidR="00CD516E">
        <w:rPr>
          <w:i/>
        </w:rPr>
        <w:t>id</w:t>
      </w:r>
      <w:r>
        <w:t>.</w:t>
      </w:r>
    </w:p>
  </w:footnote>
  <w:footnote w:id="25">
    <w:p w:rsidR="00DB06A7" w:rsidRPr="00E62C9D">
      <w:pPr>
        <w:pStyle w:val="FootnoteText"/>
      </w:pPr>
      <w:r>
        <w:rPr>
          <w:rStyle w:val="FootnoteReference"/>
        </w:rPr>
        <w:footnoteRef/>
      </w:r>
      <w:r>
        <w:t xml:space="preserve"> </w:t>
      </w:r>
      <w:r w:rsidRPr="00E668D7" w:rsidR="00CD516E">
        <w:rPr>
          <w:i/>
        </w:rPr>
        <w:t>Id</w:t>
      </w:r>
      <w:r w:rsidR="00CD516E">
        <w:t>.</w:t>
      </w:r>
      <w:r>
        <w:t xml:space="preserve"> at 3.  We note that any action related to satellite station reauthorizations would not prejudge whether a written decision </w:t>
      </w:r>
      <w:r w:rsidRPr="00CE3AA7">
        <w:t xml:space="preserve">on the </w:t>
      </w:r>
      <w:r>
        <w:t xml:space="preserve">assignment or </w:t>
      </w:r>
      <w:r w:rsidRPr="00CE3AA7">
        <w:t xml:space="preserve">transfer of control application </w:t>
      </w:r>
      <w:r>
        <w:t xml:space="preserve">may be necessary for other reasons. </w:t>
      </w:r>
    </w:p>
  </w:footnote>
  <w:footnote w:id="26">
    <w:p w:rsidR="004F26F2">
      <w:pPr>
        <w:pStyle w:val="FootnoteText"/>
      </w:pPr>
      <w:r>
        <w:rPr>
          <w:rStyle w:val="FootnoteReference"/>
        </w:rPr>
        <w:footnoteRef/>
      </w:r>
      <w:r>
        <w:t xml:space="preserve"> </w:t>
      </w:r>
      <w:r w:rsidRPr="00E668D7" w:rsidR="00CD516E">
        <w:rPr>
          <w:i/>
        </w:rPr>
        <w:t>Id</w:t>
      </w:r>
      <w:r>
        <w:t xml:space="preserve">.  </w:t>
      </w:r>
      <w:r w:rsidR="00FC0232">
        <w:t xml:space="preserve">We </w:t>
      </w:r>
      <w:r w:rsidR="007D7B37">
        <w:t>note that</w:t>
      </w:r>
      <w:r w:rsidR="00393D34">
        <w:t xml:space="preserve"> </w:t>
      </w:r>
      <w:r w:rsidR="007D7B37">
        <w:t>r</w:t>
      </w:r>
      <w:r w:rsidR="009A5349">
        <w:t xml:space="preserve">eauthorization requests </w:t>
      </w:r>
      <w:r w:rsidR="00393D34">
        <w:t xml:space="preserve">generally </w:t>
      </w:r>
      <w:r w:rsidR="009A5349">
        <w:t>are submitted</w:t>
      </w:r>
      <w:r w:rsidR="007D7B37">
        <w:t xml:space="preserve"> as part of an assignment or transfer application and that both parties </w:t>
      </w:r>
      <w:r w:rsidR="00393D34">
        <w:t xml:space="preserve">must </w:t>
      </w:r>
      <w:r w:rsidR="007D7B37">
        <w:t xml:space="preserve">certify to the accuracy of the information in the application.  Thus, we do not believe </w:t>
      </w:r>
      <w:r w:rsidR="00393D34">
        <w:t>that requiring</w:t>
      </w:r>
      <w:r w:rsidR="009A5349">
        <w:t xml:space="preserve"> both pa</w:t>
      </w:r>
      <w:r w:rsidR="00393D34">
        <w:t xml:space="preserve">rties to </w:t>
      </w:r>
      <w:r w:rsidR="009A5349">
        <w:t xml:space="preserve">certify </w:t>
      </w:r>
      <w:r w:rsidR="00393D34">
        <w:t xml:space="preserve">that no material changes have occurred </w:t>
      </w:r>
      <w:r w:rsidR="009A5349">
        <w:t xml:space="preserve">would </w:t>
      </w:r>
      <w:r w:rsidR="00393D34">
        <w:t>be unreasonable</w:t>
      </w:r>
      <w:r w:rsidR="009A5349">
        <w:t>, and further it would enhance the reliability and accountability of the proposed certification process.</w:t>
      </w:r>
    </w:p>
  </w:footnote>
  <w:footnote w:id="27">
    <w:p w:rsidR="00DB06A7">
      <w:pPr>
        <w:pStyle w:val="FootnoteText"/>
      </w:pPr>
      <w:r>
        <w:rPr>
          <w:rStyle w:val="FootnoteReference"/>
        </w:rPr>
        <w:footnoteRef/>
      </w:r>
      <w:r>
        <w:t xml:space="preserve"> </w:t>
      </w:r>
      <w:r>
        <w:rPr>
          <w:i/>
        </w:rPr>
        <w:t xml:space="preserve">See </w:t>
      </w:r>
      <w:r w:rsidRPr="00E668D7" w:rsidR="00CD516E">
        <w:rPr>
          <w:i/>
        </w:rPr>
        <w:t>id</w:t>
      </w:r>
      <w:r w:rsidR="00CD516E">
        <w:t>.</w:t>
      </w:r>
      <w:r>
        <w:t xml:space="preserve"> at 4; Letter from John R. Feore, Cooley, LLP, Counsel to Gray Television, Inc., to Marlene H. Dortch, Secretary, FCC, MB Docket No. 17-105 at 1 (filed Oct. 11, 2017).</w:t>
      </w:r>
    </w:p>
  </w:footnote>
  <w:footnote w:id="28">
    <w:p w:rsidR="00DB06A7" w:rsidRPr="00CE3AA7">
      <w:pPr>
        <w:pStyle w:val="FootnoteText"/>
      </w:pPr>
      <w:r w:rsidRPr="00CE3AA7">
        <w:rPr>
          <w:rStyle w:val="FootnoteReference"/>
        </w:rPr>
        <w:footnoteRef/>
      </w:r>
      <w:r w:rsidRPr="00CE3AA7">
        <w:t xml:space="preserve"> </w:t>
      </w:r>
      <w:r w:rsidRPr="00EE015E">
        <w:rPr>
          <w:i/>
        </w:rPr>
        <w:t>See, e.g.</w:t>
      </w:r>
      <w:r>
        <w:t xml:space="preserve">, </w:t>
      </w:r>
      <w:r w:rsidRPr="00CE3AA7">
        <w:rPr>
          <w:i/>
        </w:rPr>
        <w:t>Satellite Stations Order</w:t>
      </w:r>
      <w:r w:rsidRPr="00CE3AA7">
        <w:t>, 6 FCC Rcd at 4215, para. 19.</w:t>
      </w:r>
    </w:p>
  </w:footnote>
  <w:footnote w:id="29">
    <w:p w:rsidR="00F90A23" w:rsidP="00F90A23">
      <w:pPr>
        <w:pStyle w:val="FootnoteText"/>
      </w:pPr>
      <w:r>
        <w:rPr>
          <w:rStyle w:val="FootnoteReference"/>
        </w:rPr>
        <w:footnoteRef/>
      </w:r>
      <w:r>
        <w:t xml:space="preserve"> Gray June 26, 2017 </w:t>
      </w:r>
      <w:r w:rsidRPr="005506C8">
        <w:rPr>
          <w:i/>
        </w:rPr>
        <w:t>Ex Parte</w:t>
      </w:r>
      <w:r>
        <w:t xml:space="preserve"> Letter at 3-4.</w:t>
      </w:r>
    </w:p>
  </w:footnote>
  <w:footnote w:id="30">
    <w:p w:rsidR="00DB06A7" w:rsidP="00AA7306">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 </w:t>
      </w:r>
    </w:p>
  </w:footnote>
  <w:footnote w:id="31">
    <w:p w:rsidR="00DB06A7" w:rsidP="00AA7306">
      <w:pPr>
        <w:pStyle w:val="FootnoteText"/>
      </w:pPr>
      <w:r>
        <w:rPr>
          <w:rStyle w:val="FootnoteReference"/>
        </w:rPr>
        <w:footnoteRef/>
      </w:r>
      <w:r>
        <w:t xml:space="preserve"> 5 U.S.C. § 605(b).</w:t>
      </w:r>
    </w:p>
  </w:footnote>
  <w:footnote w:id="32">
    <w:p w:rsidR="00DB06A7" w:rsidP="00AA7306">
      <w:pPr>
        <w:pStyle w:val="FootnoteText"/>
      </w:pPr>
      <w:r>
        <w:rPr>
          <w:rStyle w:val="FootnoteReference"/>
        </w:rPr>
        <w:footnoteRef/>
      </w:r>
      <w:r>
        <w:t xml:space="preserve"> </w:t>
      </w:r>
      <w:r w:rsidRPr="00E668D7" w:rsidR="00CD516E">
        <w:rPr>
          <w:i/>
        </w:rPr>
        <w:t>Id</w:t>
      </w:r>
      <w:r w:rsidR="00CD516E">
        <w:t>.</w:t>
      </w:r>
      <w:r>
        <w:t xml:space="preserve"> § 601(6).</w:t>
      </w:r>
    </w:p>
  </w:footnote>
  <w:footnote w:id="33">
    <w:p w:rsidR="00DB06A7" w:rsidP="00AA7306">
      <w:pPr>
        <w:pStyle w:val="FootnoteText"/>
        <w:rPr>
          <w:color w:val="000000"/>
        </w:rPr>
      </w:pPr>
      <w:r>
        <w:rPr>
          <w:rStyle w:val="FootnoteReference"/>
          <w:color w:val="000000"/>
        </w:rPr>
        <w:footnoteRef/>
      </w:r>
      <w:r>
        <w:rPr>
          <w:color w:val="000000"/>
        </w:rPr>
        <w:t xml:space="preserve"> </w:t>
      </w:r>
      <w:r w:rsidRPr="00E668D7" w:rsidR="00CD516E">
        <w:rPr>
          <w:i/>
          <w:color w:val="000000"/>
        </w:rPr>
        <w:t>Id</w:t>
      </w:r>
      <w:r w:rsidR="00CD516E">
        <w:rPr>
          <w:color w:val="000000"/>
        </w:rPr>
        <w:t>.</w:t>
      </w:r>
      <w:r>
        <w:rPr>
          <w:color w:val="000000"/>
        </w:rPr>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4">
    <w:p w:rsidR="00DB06A7" w:rsidRPr="00233559" w:rsidP="00AA7306">
      <w:pPr>
        <w:pStyle w:val="FootnoteText"/>
      </w:pPr>
      <w:r>
        <w:rPr>
          <w:rStyle w:val="FootnoteReference"/>
        </w:rPr>
        <w:footnoteRef/>
      </w:r>
      <w:r>
        <w:t xml:space="preserve"> </w:t>
      </w:r>
      <w:r>
        <w:rPr>
          <w:i/>
        </w:rPr>
        <w:t xml:space="preserve">See generally </w:t>
      </w:r>
      <w:r w:rsidRPr="00A7050C">
        <w:rPr>
          <w:i/>
        </w:rPr>
        <w:t>Modernization Initiative Public Notice</w:t>
      </w:r>
      <w:r>
        <w:t>, 32 FCC Rcd 4406 (initiating a review of rules applicable to media entities to eliminate or modify regulations that are outdated, unnecessary, or unduly burdensome).</w:t>
      </w:r>
    </w:p>
  </w:footnote>
  <w:footnote w:id="35">
    <w:p w:rsidR="00DB06A7" w:rsidP="00385661">
      <w:pPr>
        <w:pStyle w:val="FootnoteText"/>
      </w:pPr>
      <w:r>
        <w:rPr>
          <w:rStyle w:val="FootnoteReference"/>
        </w:rPr>
        <w:footnoteRef/>
      </w:r>
      <w:r>
        <w:t xml:space="preserve"> Gray June 26, 2017 </w:t>
      </w:r>
      <w:r w:rsidRPr="005506C8">
        <w:rPr>
          <w:i/>
        </w:rPr>
        <w:t>Ex Parte</w:t>
      </w:r>
      <w:r>
        <w:t xml:space="preserve"> Letter at 1-2; Nexstar Comments at 18-19.</w:t>
      </w:r>
    </w:p>
  </w:footnote>
  <w:footnote w:id="36">
    <w:p w:rsidR="00DB06A7" w:rsidRPr="008A2235">
      <w:pPr>
        <w:pStyle w:val="FootnoteText"/>
      </w:pPr>
      <w:r>
        <w:rPr>
          <w:rStyle w:val="FootnoteReference"/>
        </w:rPr>
        <w:footnoteRef/>
      </w:r>
      <w:r>
        <w:t xml:space="preserve"> </w:t>
      </w:r>
      <w:bookmarkStart w:id="30" w:name="_Hlk504990719"/>
      <w:r>
        <w:t xml:space="preserve">For example, based on Media Bureau staff analysis of the Commission’s </w:t>
      </w:r>
      <w:r w:rsidRPr="003844EE">
        <w:t>Consolidated Database System</w:t>
      </w:r>
      <w:r>
        <w:t xml:space="preserve"> (CDBS) transaction data, in 2017, only eight of the 161 full-power commercial television stations transferred or assigned (excluding pro forma transactions) were satellite stations.  </w:t>
      </w:r>
      <w:r>
        <w:rPr>
          <w:i/>
        </w:rPr>
        <w:t xml:space="preserve">See </w:t>
      </w:r>
      <w:r w:rsidRPr="003F7662">
        <w:rPr>
          <w:i/>
        </w:rPr>
        <w:t>Bonten Media Group, LLC</w:t>
      </w:r>
      <w:r>
        <w:t xml:space="preserve">, Letter Order, 32 FCC Rcd 5133 (MB 2017); </w:t>
      </w:r>
      <w:r w:rsidRPr="003F7662">
        <w:rPr>
          <w:i/>
        </w:rPr>
        <w:t>Applications for Consent to Transfer Control of License Subsidiaries of Media General, Inc. from Shareholders of Media General, Inc. to Nexstar Media Group, Inc.</w:t>
      </w:r>
      <w:r w:rsidRPr="00CF25DB">
        <w:t>, Memorandum Opinion and Order</w:t>
      </w:r>
      <w:r>
        <w:t>, 32 FCC Rcd 183 (MB 2017).  Based on staff experience, the percentage of satellite stations in the overall transaction data for 2017 is consistent with previous full-year transaction data.</w:t>
      </w:r>
      <w:r>
        <w:t xml:space="preserve"> </w:t>
      </w:r>
      <w:r>
        <w:t xml:space="preserve">  </w:t>
      </w:r>
      <w:bookmarkEnd w:id="30"/>
    </w:p>
  </w:footnote>
  <w:footnote w:id="37">
    <w:p w:rsidR="00DB06A7" w:rsidP="00E01057">
      <w:pPr>
        <w:pStyle w:val="FootnoteText"/>
      </w:pPr>
      <w:r>
        <w:rPr>
          <w:rStyle w:val="FootnoteReference"/>
        </w:rPr>
        <w:footnoteRef/>
      </w:r>
      <w:r>
        <w:t xml:space="preserve"> 5 U.S.C. § 605(b).</w:t>
      </w:r>
    </w:p>
  </w:footnote>
  <w:footnote w:id="38">
    <w:p w:rsidR="00DB06A7" w:rsidP="00E01057">
      <w:pPr>
        <w:pStyle w:val="FootnoteText"/>
      </w:pPr>
      <w:r>
        <w:rPr>
          <w:rStyle w:val="FootnoteReference"/>
        </w:rPr>
        <w:footnoteRef/>
      </w:r>
      <w:r>
        <w:t xml:space="preserve"> </w:t>
      </w:r>
      <w:r>
        <w:rPr>
          <w:i/>
        </w:rPr>
        <w:t>Id</w:t>
      </w:r>
      <w:r>
        <w:t>.</w:t>
      </w:r>
    </w:p>
  </w:footnote>
  <w:footnote w:id="39">
    <w:p w:rsidR="00DB06A7" w:rsidP="00883000">
      <w:pPr>
        <w:pStyle w:val="FootnoteText"/>
      </w:pPr>
      <w:r>
        <w:rPr>
          <w:rStyle w:val="FootnoteReference"/>
        </w:rPr>
        <w:footnoteRef/>
      </w:r>
      <w:r>
        <w:rPr>
          <w:lang w:val="da-DK"/>
        </w:rPr>
        <w:t xml:space="preserve"> 47 CFR §§ 1.1200 </w:t>
      </w:r>
      <w:r>
        <w:rPr>
          <w:i/>
          <w:iCs/>
          <w:lang w:val="da-DK"/>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6A7" w:rsidP="00810B6F">
    <w:pPr>
      <w:pStyle w:val="Header"/>
      <w:rPr>
        <w:b w:val="0"/>
      </w:rPr>
    </w:pPr>
    <w:r>
      <w:tab/>
      <w:t>Federal Communications Commission</w:t>
    </w:r>
    <w:r>
      <w:tab/>
    </w:r>
    <w:r w:rsidR="00EE4D4B">
      <w:t>FCC 18-34</w:t>
    </w:r>
  </w:p>
  <w:p w:rsidR="00DB06A7" w:rsidRPr="0099534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6A7"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B25A0">
      <w:rPr>
        <w:spacing w:val="-2"/>
      </w:rPr>
      <w:t>F</w:t>
    </w:r>
    <w:r w:rsidR="0095020A">
      <w:rPr>
        <w:spacing w:val="-2"/>
      </w:rPr>
      <w:t>C</w:t>
    </w:r>
    <w:r w:rsidR="005B25A0">
      <w:rPr>
        <w:spacing w:val="-2"/>
      </w:rPr>
      <w:t>C 18-34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4"/>
  </w:num>
  <w:num w:numId="4">
    <w:abstractNumId w:val="6"/>
    <w:lvlOverride w:ilvl="0">
      <w:startOverride w:val="1"/>
    </w:lvlOverride>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
  </w:num>
  <w:num w:numId="36">
    <w:abstractNumId w:val="5"/>
  </w:num>
  <w:num w:numId="37">
    <w:abstractNumId w:val="2"/>
  </w:num>
  <w:num w:numId="38">
    <w:abstractNumId w:val="0"/>
  </w:num>
  <w:num w:numId="39">
    <w:abstractNumId w:val="6"/>
    <w:lvlOverride w:ilvl="0">
      <w:startOverride w:val="1"/>
    </w:lvlOverride>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14D0"/>
    <w:rsid w:val="00003A5F"/>
    <w:rsid w:val="00004866"/>
    <w:rsid w:val="00005946"/>
    <w:rsid w:val="000073AA"/>
    <w:rsid w:val="000127EB"/>
    <w:rsid w:val="0001332C"/>
    <w:rsid w:val="000133C9"/>
    <w:rsid w:val="00014BB0"/>
    <w:rsid w:val="00014FA3"/>
    <w:rsid w:val="0001536A"/>
    <w:rsid w:val="00016444"/>
    <w:rsid w:val="00017746"/>
    <w:rsid w:val="00025823"/>
    <w:rsid w:val="00026054"/>
    <w:rsid w:val="00026687"/>
    <w:rsid w:val="00027EF7"/>
    <w:rsid w:val="0003053D"/>
    <w:rsid w:val="00033272"/>
    <w:rsid w:val="00036039"/>
    <w:rsid w:val="00037F90"/>
    <w:rsid w:val="0004132D"/>
    <w:rsid w:val="00043E8E"/>
    <w:rsid w:val="000479A4"/>
    <w:rsid w:val="00051270"/>
    <w:rsid w:val="00051C4D"/>
    <w:rsid w:val="000521E4"/>
    <w:rsid w:val="00053D42"/>
    <w:rsid w:val="00057CF1"/>
    <w:rsid w:val="00060359"/>
    <w:rsid w:val="00061390"/>
    <w:rsid w:val="00062036"/>
    <w:rsid w:val="0006308E"/>
    <w:rsid w:val="00065FA2"/>
    <w:rsid w:val="00066BEF"/>
    <w:rsid w:val="00066E60"/>
    <w:rsid w:val="00072499"/>
    <w:rsid w:val="00074232"/>
    <w:rsid w:val="00076867"/>
    <w:rsid w:val="00081637"/>
    <w:rsid w:val="000832CF"/>
    <w:rsid w:val="00083E0C"/>
    <w:rsid w:val="00084CE9"/>
    <w:rsid w:val="00085650"/>
    <w:rsid w:val="00085980"/>
    <w:rsid w:val="00086988"/>
    <w:rsid w:val="000875BF"/>
    <w:rsid w:val="0008781D"/>
    <w:rsid w:val="00092A3B"/>
    <w:rsid w:val="00093FBF"/>
    <w:rsid w:val="00094453"/>
    <w:rsid w:val="00096D8C"/>
    <w:rsid w:val="00097316"/>
    <w:rsid w:val="0009760A"/>
    <w:rsid w:val="00097F13"/>
    <w:rsid w:val="000A06D8"/>
    <w:rsid w:val="000A0756"/>
    <w:rsid w:val="000A1F31"/>
    <w:rsid w:val="000A2205"/>
    <w:rsid w:val="000A312C"/>
    <w:rsid w:val="000A4636"/>
    <w:rsid w:val="000A4DB7"/>
    <w:rsid w:val="000A51AD"/>
    <w:rsid w:val="000A6CCA"/>
    <w:rsid w:val="000A7910"/>
    <w:rsid w:val="000B00F8"/>
    <w:rsid w:val="000B0A06"/>
    <w:rsid w:val="000B2529"/>
    <w:rsid w:val="000B3A43"/>
    <w:rsid w:val="000B5974"/>
    <w:rsid w:val="000C0B65"/>
    <w:rsid w:val="000C2188"/>
    <w:rsid w:val="000C6332"/>
    <w:rsid w:val="000D2F31"/>
    <w:rsid w:val="000D3088"/>
    <w:rsid w:val="000D4719"/>
    <w:rsid w:val="000D4A5B"/>
    <w:rsid w:val="000D4DB5"/>
    <w:rsid w:val="000D7E4C"/>
    <w:rsid w:val="000E05FE"/>
    <w:rsid w:val="000E1133"/>
    <w:rsid w:val="000E1A7D"/>
    <w:rsid w:val="000E2694"/>
    <w:rsid w:val="000E318A"/>
    <w:rsid w:val="000E3D42"/>
    <w:rsid w:val="000E453A"/>
    <w:rsid w:val="000E5569"/>
    <w:rsid w:val="000F1B9D"/>
    <w:rsid w:val="000F2810"/>
    <w:rsid w:val="000F4ED5"/>
    <w:rsid w:val="000F4F27"/>
    <w:rsid w:val="000F57DB"/>
    <w:rsid w:val="000F69CA"/>
    <w:rsid w:val="00101FA4"/>
    <w:rsid w:val="00113540"/>
    <w:rsid w:val="00115EA2"/>
    <w:rsid w:val="00121DD5"/>
    <w:rsid w:val="00122BD5"/>
    <w:rsid w:val="00123232"/>
    <w:rsid w:val="00127067"/>
    <w:rsid w:val="00132D0D"/>
    <w:rsid w:val="00133F79"/>
    <w:rsid w:val="00133F7F"/>
    <w:rsid w:val="00134A09"/>
    <w:rsid w:val="00134E25"/>
    <w:rsid w:val="001356BF"/>
    <w:rsid w:val="00137F84"/>
    <w:rsid w:val="00140109"/>
    <w:rsid w:val="0014218E"/>
    <w:rsid w:val="00142F0C"/>
    <w:rsid w:val="00144E18"/>
    <w:rsid w:val="001459D5"/>
    <w:rsid w:val="00151610"/>
    <w:rsid w:val="00151DF3"/>
    <w:rsid w:val="001554AF"/>
    <w:rsid w:val="001554BA"/>
    <w:rsid w:val="001623F2"/>
    <w:rsid w:val="001628C3"/>
    <w:rsid w:val="001636F1"/>
    <w:rsid w:val="00164A90"/>
    <w:rsid w:val="001663AB"/>
    <w:rsid w:val="00174567"/>
    <w:rsid w:val="00177D87"/>
    <w:rsid w:val="001828C6"/>
    <w:rsid w:val="00182EBB"/>
    <w:rsid w:val="00182FC3"/>
    <w:rsid w:val="00184679"/>
    <w:rsid w:val="00185603"/>
    <w:rsid w:val="00187F56"/>
    <w:rsid w:val="00191C20"/>
    <w:rsid w:val="001946C9"/>
    <w:rsid w:val="00194A66"/>
    <w:rsid w:val="0019536A"/>
    <w:rsid w:val="00195E4A"/>
    <w:rsid w:val="001A04A2"/>
    <w:rsid w:val="001A0937"/>
    <w:rsid w:val="001A1E9C"/>
    <w:rsid w:val="001A46A7"/>
    <w:rsid w:val="001A5E5D"/>
    <w:rsid w:val="001A65F4"/>
    <w:rsid w:val="001B1FD3"/>
    <w:rsid w:val="001B3000"/>
    <w:rsid w:val="001C37AF"/>
    <w:rsid w:val="001C3903"/>
    <w:rsid w:val="001C52E8"/>
    <w:rsid w:val="001C5DB5"/>
    <w:rsid w:val="001D17C6"/>
    <w:rsid w:val="001D2188"/>
    <w:rsid w:val="001D51EF"/>
    <w:rsid w:val="001D6BCF"/>
    <w:rsid w:val="001E01CA"/>
    <w:rsid w:val="001E1056"/>
    <w:rsid w:val="001E204F"/>
    <w:rsid w:val="001E3D2E"/>
    <w:rsid w:val="001E61AE"/>
    <w:rsid w:val="001E6B9F"/>
    <w:rsid w:val="001E75B5"/>
    <w:rsid w:val="001F5412"/>
    <w:rsid w:val="001F6851"/>
    <w:rsid w:val="001F70A4"/>
    <w:rsid w:val="00202004"/>
    <w:rsid w:val="002041BF"/>
    <w:rsid w:val="002044B1"/>
    <w:rsid w:val="00204AFF"/>
    <w:rsid w:val="002140B1"/>
    <w:rsid w:val="00217048"/>
    <w:rsid w:val="0021729B"/>
    <w:rsid w:val="00220A84"/>
    <w:rsid w:val="00227C53"/>
    <w:rsid w:val="00230CEB"/>
    <w:rsid w:val="00233559"/>
    <w:rsid w:val="0024292F"/>
    <w:rsid w:val="00242A8A"/>
    <w:rsid w:val="00246B29"/>
    <w:rsid w:val="00247310"/>
    <w:rsid w:val="002476DA"/>
    <w:rsid w:val="00250261"/>
    <w:rsid w:val="00252039"/>
    <w:rsid w:val="00254732"/>
    <w:rsid w:val="0025754E"/>
    <w:rsid w:val="00257ACF"/>
    <w:rsid w:val="00260121"/>
    <w:rsid w:val="00260C8E"/>
    <w:rsid w:val="00260FC3"/>
    <w:rsid w:val="00262A25"/>
    <w:rsid w:val="00263329"/>
    <w:rsid w:val="00264A69"/>
    <w:rsid w:val="00264EA6"/>
    <w:rsid w:val="00266A03"/>
    <w:rsid w:val="00266B13"/>
    <w:rsid w:val="002709DB"/>
    <w:rsid w:val="002753FD"/>
    <w:rsid w:val="00275CF5"/>
    <w:rsid w:val="00276EA5"/>
    <w:rsid w:val="0027766C"/>
    <w:rsid w:val="00277FB3"/>
    <w:rsid w:val="00280390"/>
    <w:rsid w:val="0028154D"/>
    <w:rsid w:val="00282184"/>
    <w:rsid w:val="00282A20"/>
    <w:rsid w:val="0028301F"/>
    <w:rsid w:val="00283485"/>
    <w:rsid w:val="002840D5"/>
    <w:rsid w:val="00285017"/>
    <w:rsid w:val="00285F93"/>
    <w:rsid w:val="00287447"/>
    <w:rsid w:val="002938E7"/>
    <w:rsid w:val="002941E1"/>
    <w:rsid w:val="002958ED"/>
    <w:rsid w:val="002A080D"/>
    <w:rsid w:val="002A2D2E"/>
    <w:rsid w:val="002A344A"/>
    <w:rsid w:val="002A376B"/>
    <w:rsid w:val="002A41C2"/>
    <w:rsid w:val="002A4315"/>
    <w:rsid w:val="002B1B4B"/>
    <w:rsid w:val="002B1F4D"/>
    <w:rsid w:val="002B31FE"/>
    <w:rsid w:val="002B3BDD"/>
    <w:rsid w:val="002B42A6"/>
    <w:rsid w:val="002B4C36"/>
    <w:rsid w:val="002B4FED"/>
    <w:rsid w:val="002B753F"/>
    <w:rsid w:val="002C00E8"/>
    <w:rsid w:val="002C0F66"/>
    <w:rsid w:val="002C296C"/>
    <w:rsid w:val="002C3933"/>
    <w:rsid w:val="002C3AC0"/>
    <w:rsid w:val="002C5031"/>
    <w:rsid w:val="002C5E0D"/>
    <w:rsid w:val="002C6B81"/>
    <w:rsid w:val="002C737A"/>
    <w:rsid w:val="002C76D3"/>
    <w:rsid w:val="002D3745"/>
    <w:rsid w:val="002D6FF6"/>
    <w:rsid w:val="002D71F9"/>
    <w:rsid w:val="002D737A"/>
    <w:rsid w:val="002E10C2"/>
    <w:rsid w:val="002E7F54"/>
    <w:rsid w:val="002F088E"/>
    <w:rsid w:val="00300171"/>
    <w:rsid w:val="00304F7F"/>
    <w:rsid w:val="00306359"/>
    <w:rsid w:val="00312B25"/>
    <w:rsid w:val="00312FEB"/>
    <w:rsid w:val="00313AA9"/>
    <w:rsid w:val="0031755C"/>
    <w:rsid w:val="00317912"/>
    <w:rsid w:val="00321BB6"/>
    <w:rsid w:val="00322407"/>
    <w:rsid w:val="003231FF"/>
    <w:rsid w:val="00323BE9"/>
    <w:rsid w:val="003247C6"/>
    <w:rsid w:val="00324FDF"/>
    <w:rsid w:val="00332380"/>
    <w:rsid w:val="0033246B"/>
    <w:rsid w:val="00333052"/>
    <w:rsid w:val="0033468A"/>
    <w:rsid w:val="00336A0B"/>
    <w:rsid w:val="0034081F"/>
    <w:rsid w:val="00343634"/>
    <w:rsid w:val="00343749"/>
    <w:rsid w:val="00346C20"/>
    <w:rsid w:val="0034709B"/>
    <w:rsid w:val="003519C2"/>
    <w:rsid w:val="003527EA"/>
    <w:rsid w:val="00352ACD"/>
    <w:rsid w:val="00355BC1"/>
    <w:rsid w:val="003560FC"/>
    <w:rsid w:val="0035723D"/>
    <w:rsid w:val="0036101E"/>
    <w:rsid w:val="003611B3"/>
    <w:rsid w:val="0036195A"/>
    <w:rsid w:val="00362819"/>
    <w:rsid w:val="00363582"/>
    <w:rsid w:val="00363789"/>
    <w:rsid w:val="00363EBF"/>
    <w:rsid w:val="0036491F"/>
    <w:rsid w:val="003660ED"/>
    <w:rsid w:val="00366AC4"/>
    <w:rsid w:val="00370187"/>
    <w:rsid w:val="003720C7"/>
    <w:rsid w:val="00373572"/>
    <w:rsid w:val="00373C43"/>
    <w:rsid w:val="0037586E"/>
    <w:rsid w:val="00376BF3"/>
    <w:rsid w:val="0038007A"/>
    <w:rsid w:val="003844EE"/>
    <w:rsid w:val="00385661"/>
    <w:rsid w:val="00386F75"/>
    <w:rsid w:val="00392B39"/>
    <w:rsid w:val="00392EA3"/>
    <w:rsid w:val="003939BB"/>
    <w:rsid w:val="00393D34"/>
    <w:rsid w:val="00393F95"/>
    <w:rsid w:val="003A0EB9"/>
    <w:rsid w:val="003B0112"/>
    <w:rsid w:val="003B0550"/>
    <w:rsid w:val="003B20D8"/>
    <w:rsid w:val="003B638A"/>
    <w:rsid w:val="003B694F"/>
    <w:rsid w:val="003B712B"/>
    <w:rsid w:val="003C0231"/>
    <w:rsid w:val="003C03CD"/>
    <w:rsid w:val="003C07EF"/>
    <w:rsid w:val="003C14FA"/>
    <w:rsid w:val="003C27D6"/>
    <w:rsid w:val="003D5B29"/>
    <w:rsid w:val="003E3B51"/>
    <w:rsid w:val="003E51A4"/>
    <w:rsid w:val="003E5FC7"/>
    <w:rsid w:val="003E627F"/>
    <w:rsid w:val="003F1183"/>
    <w:rsid w:val="003F171C"/>
    <w:rsid w:val="003F2A83"/>
    <w:rsid w:val="003F2BD5"/>
    <w:rsid w:val="003F50F7"/>
    <w:rsid w:val="003F6814"/>
    <w:rsid w:val="003F6D64"/>
    <w:rsid w:val="003F7662"/>
    <w:rsid w:val="00400C2B"/>
    <w:rsid w:val="00400CAF"/>
    <w:rsid w:val="0040257C"/>
    <w:rsid w:val="00403C34"/>
    <w:rsid w:val="0040574E"/>
    <w:rsid w:val="004075DB"/>
    <w:rsid w:val="00407EAB"/>
    <w:rsid w:val="00411299"/>
    <w:rsid w:val="00412221"/>
    <w:rsid w:val="00412FC5"/>
    <w:rsid w:val="00414DA8"/>
    <w:rsid w:val="00417851"/>
    <w:rsid w:val="00417B32"/>
    <w:rsid w:val="00417EB7"/>
    <w:rsid w:val="00422276"/>
    <w:rsid w:val="004242F1"/>
    <w:rsid w:val="00424CB8"/>
    <w:rsid w:val="00424FC1"/>
    <w:rsid w:val="0042533C"/>
    <w:rsid w:val="00430622"/>
    <w:rsid w:val="00436213"/>
    <w:rsid w:val="00436557"/>
    <w:rsid w:val="004374BB"/>
    <w:rsid w:val="00442099"/>
    <w:rsid w:val="00445A00"/>
    <w:rsid w:val="00445F99"/>
    <w:rsid w:val="00451B0F"/>
    <w:rsid w:val="00452248"/>
    <w:rsid w:val="00452F0C"/>
    <w:rsid w:val="00455CD8"/>
    <w:rsid w:val="00457611"/>
    <w:rsid w:val="004612A7"/>
    <w:rsid w:val="00462C89"/>
    <w:rsid w:val="00462F8D"/>
    <w:rsid w:val="00463984"/>
    <w:rsid w:val="00467698"/>
    <w:rsid w:val="004705EF"/>
    <w:rsid w:val="00472561"/>
    <w:rsid w:val="00477261"/>
    <w:rsid w:val="00477E45"/>
    <w:rsid w:val="00480FF6"/>
    <w:rsid w:val="00481D0D"/>
    <w:rsid w:val="00482517"/>
    <w:rsid w:val="00484006"/>
    <w:rsid w:val="00484885"/>
    <w:rsid w:val="00487EF4"/>
    <w:rsid w:val="004903F4"/>
    <w:rsid w:val="004928CD"/>
    <w:rsid w:val="00495D8D"/>
    <w:rsid w:val="00495F79"/>
    <w:rsid w:val="00497888"/>
    <w:rsid w:val="00497B13"/>
    <w:rsid w:val="004A0865"/>
    <w:rsid w:val="004A246B"/>
    <w:rsid w:val="004B3587"/>
    <w:rsid w:val="004B35B4"/>
    <w:rsid w:val="004B4889"/>
    <w:rsid w:val="004B49AA"/>
    <w:rsid w:val="004B6D6B"/>
    <w:rsid w:val="004B7C4B"/>
    <w:rsid w:val="004C2B49"/>
    <w:rsid w:val="004C2EE3"/>
    <w:rsid w:val="004C4A9A"/>
    <w:rsid w:val="004C52A6"/>
    <w:rsid w:val="004C5380"/>
    <w:rsid w:val="004D1BFF"/>
    <w:rsid w:val="004D3D24"/>
    <w:rsid w:val="004D6F07"/>
    <w:rsid w:val="004D7679"/>
    <w:rsid w:val="004E1A7E"/>
    <w:rsid w:val="004E30EA"/>
    <w:rsid w:val="004E3A7A"/>
    <w:rsid w:val="004E4A22"/>
    <w:rsid w:val="004E4EAF"/>
    <w:rsid w:val="004F1374"/>
    <w:rsid w:val="004F26F2"/>
    <w:rsid w:val="004F47D1"/>
    <w:rsid w:val="004F4EF1"/>
    <w:rsid w:val="00504E76"/>
    <w:rsid w:val="00505B9C"/>
    <w:rsid w:val="005067C1"/>
    <w:rsid w:val="00510EFF"/>
    <w:rsid w:val="00511313"/>
    <w:rsid w:val="00511968"/>
    <w:rsid w:val="00513009"/>
    <w:rsid w:val="00515B70"/>
    <w:rsid w:val="00517A63"/>
    <w:rsid w:val="00523067"/>
    <w:rsid w:val="00523F44"/>
    <w:rsid w:val="00524238"/>
    <w:rsid w:val="00524DA6"/>
    <w:rsid w:val="00526007"/>
    <w:rsid w:val="005260C6"/>
    <w:rsid w:val="0053201B"/>
    <w:rsid w:val="00542521"/>
    <w:rsid w:val="00545625"/>
    <w:rsid w:val="00550031"/>
    <w:rsid w:val="005506C8"/>
    <w:rsid w:val="00553021"/>
    <w:rsid w:val="00554E64"/>
    <w:rsid w:val="005560BF"/>
    <w:rsid w:val="0055614C"/>
    <w:rsid w:val="00556156"/>
    <w:rsid w:val="005577AD"/>
    <w:rsid w:val="005610BD"/>
    <w:rsid w:val="00563115"/>
    <w:rsid w:val="00563CE2"/>
    <w:rsid w:val="0056460A"/>
    <w:rsid w:val="00570368"/>
    <w:rsid w:val="00570481"/>
    <w:rsid w:val="00573E4E"/>
    <w:rsid w:val="00577116"/>
    <w:rsid w:val="00582E9B"/>
    <w:rsid w:val="00583635"/>
    <w:rsid w:val="0058558B"/>
    <w:rsid w:val="00592E92"/>
    <w:rsid w:val="00593796"/>
    <w:rsid w:val="0059429B"/>
    <w:rsid w:val="00594872"/>
    <w:rsid w:val="00595626"/>
    <w:rsid w:val="005963D7"/>
    <w:rsid w:val="00596773"/>
    <w:rsid w:val="005A0FCC"/>
    <w:rsid w:val="005A2459"/>
    <w:rsid w:val="005A48DF"/>
    <w:rsid w:val="005B25A0"/>
    <w:rsid w:val="005B4ECC"/>
    <w:rsid w:val="005B78EB"/>
    <w:rsid w:val="005C0F34"/>
    <w:rsid w:val="005C11DC"/>
    <w:rsid w:val="005D1086"/>
    <w:rsid w:val="005D3F9C"/>
    <w:rsid w:val="005D7123"/>
    <w:rsid w:val="005E14C2"/>
    <w:rsid w:val="005E47E5"/>
    <w:rsid w:val="005F0676"/>
    <w:rsid w:val="005F1694"/>
    <w:rsid w:val="005F641B"/>
    <w:rsid w:val="005F7D5D"/>
    <w:rsid w:val="00600CA0"/>
    <w:rsid w:val="0060110B"/>
    <w:rsid w:val="00607BA5"/>
    <w:rsid w:val="0061180A"/>
    <w:rsid w:val="0061180B"/>
    <w:rsid w:val="0061522B"/>
    <w:rsid w:val="00623C62"/>
    <w:rsid w:val="006246FB"/>
    <w:rsid w:val="006248E6"/>
    <w:rsid w:val="00626EB6"/>
    <w:rsid w:val="00630993"/>
    <w:rsid w:val="006364EA"/>
    <w:rsid w:val="00636887"/>
    <w:rsid w:val="00636D1D"/>
    <w:rsid w:val="00642B22"/>
    <w:rsid w:val="00644729"/>
    <w:rsid w:val="006533B1"/>
    <w:rsid w:val="00653430"/>
    <w:rsid w:val="00655896"/>
    <w:rsid w:val="00655D03"/>
    <w:rsid w:val="00655DB1"/>
    <w:rsid w:val="0065718A"/>
    <w:rsid w:val="00661601"/>
    <w:rsid w:val="006631BF"/>
    <w:rsid w:val="006638C0"/>
    <w:rsid w:val="00665719"/>
    <w:rsid w:val="0067468E"/>
    <w:rsid w:val="00676F0D"/>
    <w:rsid w:val="00682D17"/>
    <w:rsid w:val="00683388"/>
    <w:rsid w:val="00683F84"/>
    <w:rsid w:val="0069286A"/>
    <w:rsid w:val="00693543"/>
    <w:rsid w:val="006A040A"/>
    <w:rsid w:val="006A2A9C"/>
    <w:rsid w:val="006A6A81"/>
    <w:rsid w:val="006A6B99"/>
    <w:rsid w:val="006A7130"/>
    <w:rsid w:val="006B09FF"/>
    <w:rsid w:val="006B2524"/>
    <w:rsid w:val="006B2827"/>
    <w:rsid w:val="006B3C22"/>
    <w:rsid w:val="006B45FF"/>
    <w:rsid w:val="006B694F"/>
    <w:rsid w:val="006C0FEE"/>
    <w:rsid w:val="006C74EA"/>
    <w:rsid w:val="006D0E64"/>
    <w:rsid w:val="006D136B"/>
    <w:rsid w:val="006D3607"/>
    <w:rsid w:val="006D472A"/>
    <w:rsid w:val="006E187D"/>
    <w:rsid w:val="006E4560"/>
    <w:rsid w:val="006E4775"/>
    <w:rsid w:val="006E58B6"/>
    <w:rsid w:val="006E6E3D"/>
    <w:rsid w:val="006E72E3"/>
    <w:rsid w:val="006F3648"/>
    <w:rsid w:val="006F6BCD"/>
    <w:rsid w:val="006F7393"/>
    <w:rsid w:val="006F7A7C"/>
    <w:rsid w:val="0070131E"/>
    <w:rsid w:val="00701500"/>
    <w:rsid w:val="0070224F"/>
    <w:rsid w:val="00702F7B"/>
    <w:rsid w:val="0070475C"/>
    <w:rsid w:val="0070591E"/>
    <w:rsid w:val="00706239"/>
    <w:rsid w:val="00706BAE"/>
    <w:rsid w:val="00706DDA"/>
    <w:rsid w:val="00710806"/>
    <w:rsid w:val="007115F7"/>
    <w:rsid w:val="00711820"/>
    <w:rsid w:val="0071190A"/>
    <w:rsid w:val="00714C6A"/>
    <w:rsid w:val="00716C28"/>
    <w:rsid w:val="0071751F"/>
    <w:rsid w:val="0072189E"/>
    <w:rsid w:val="00723C76"/>
    <w:rsid w:val="00725007"/>
    <w:rsid w:val="0072742E"/>
    <w:rsid w:val="00730E80"/>
    <w:rsid w:val="00730EF1"/>
    <w:rsid w:val="007372B9"/>
    <w:rsid w:val="00742D1D"/>
    <w:rsid w:val="00743CB3"/>
    <w:rsid w:val="007441C2"/>
    <w:rsid w:val="00745F30"/>
    <w:rsid w:val="007512CC"/>
    <w:rsid w:val="007541F6"/>
    <w:rsid w:val="007548E7"/>
    <w:rsid w:val="007556DC"/>
    <w:rsid w:val="00761EC1"/>
    <w:rsid w:val="00762756"/>
    <w:rsid w:val="007707F2"/>
    <w:rsid w:val="00771F6F"/>
    <w:rsid w:val="0077387B"/>
    <w:rsid w:val="0078487E"/>
    <w:rsid w:val="00784F19"/>
    <w:rsid w:val="00785689"/>
    <w:rsid w:val="00785FA3"/>
    <w:rsid w:val="00791583"/>
    <w:rsid w:val="00792D28"/>
    <w:rsid w:val="00794CD8"/>
    <w:rsid w:val="0079754B"/>
    <w:rsid w:val="007A0360"/>
    <w:rsid w:val="007A064B"/>
    <w:rsid w:val="007A1E6D"/>
    <w:rsid w:val="007A374F"/>
    <w:rsid w:val="007A60D4"/>
    <w:rsid w:val="007A7D1E"/>
    <w:rsid w:val="007B0EB2"/>
    <w:rsid w:val="007B311E"/>
    <w:rsid w:val="007B48DB"/>
    <w:rsid w:val="007B7128"/>
    <w:rsid w:val="007C223C"/>
    <w:rsid w:val="007C5216"/>
    <w:rsid w:val="007C54F8"/>
    <w:rsid w:val="007C5AC8"/>
    <w:rsid w:val="007C5BD7"/>
    <w:rsid w:val="007C6231"/>
    <w:rsid w:val="007C7F0A"/>
    <w:rsid w:val="007D4149"/>
    <w:rsid w:val="007D47D5"/>
    <w:rsid w:val="007D56A5"/>
    <w:rsid w:val="007D699E"/>
    <w:rsid w:val="007D7B37"/>
    <w:rsid w:val="007E003F"/>
    <w:rsid w:val="007E072E"/>
    <w:rsid w:val="007E24FD"/>
    <w:rsid w:val="007E4517"/>
    <w:rsid w:val="007E54A2"/>
    <w:rsid w:val="007E6B00"/>
    <w:rsid w:val="007E7D97"/>
    <w:rsid w:val="007F1C91"/>
    <w:rsid w:val="007F1FEC"/>
    <w:rsid w:val="007F47FF"/>
    <w:rsid w:val="007F4EAD"/>
    <w:rsid w:val="0080073D"/>
    <w:rsid w:val="008010DF"/>
    <w:rsid w:val="00801EE8"/>
    <w:rsid w:val="00803723"/>
    <w:rsid w:val="0080506F"/>
    <w:rsid w:val="00806025"/>
    <w:rsid w:val="00806178"/>
    <w:rsid w:val="00806E1C"/>
    <w:rsid w:val="00810B6F"/>
    <w:rsid w:val="008147D1"/>
    <w:rsid w:val="00815645"/>
    <w:rsid w:val="008167A3"/>
    <w:rsid w:val="00816E79"/>
    <w:rsid w:val="008211D3"/>
    <w:rsid w:val="00822CE0"/>
    <w:rsid w:val="008247C8"/>
    <w:rsid w:val="008265A7"/>
    <w:rsid w:val="00826E37"/>
    <w:rsid w:val="00831DE9"/>
    <w:rsid w:val="00835CBA"/>
    <w:rsid w:val="008374CB"/>
    <w:rsid w:val="00837817"/>
    <w:rsid w:val="00837B89"/>
    <w:rsid w:val="00841AB1"/>
    <w:rsid w:val="00846EF7"/>
    <w:rsid w:val="00847FDC"/>
    <w:rsid w:val="00852451"/>
    <w:rsid w:val="008525C3"/>
    <w:rsid w:val="0085384B"/>
    <w:rsid w:val="00856310"/>
    <w:rsid w:val="00857B11"/>
    <w:rsid w:val="00863448"/>
    <w:rsid w:val="008756DD"/>
    <w:rsid w:val="008814DA"/>
    <w:rsid w:val="00883000"/>
    <w:rsid w:val="00883434"/>
    <w:rsid w:val="00883FD9"/>
    <w:rsid w:val="00884837"/>
    <w:rsid w:val="00884BA7"/>
    <w:rsid w:val="0088520C"/>
    <w:rsid w:val="0089097B"/>
    <w:rsid w:val="0089156E"/>
    <w:rsid w:val="00894791"/>
    <w:rsid w:val="00894C81"/>
    <w:rsid w:val="00896C55"/>
    <w:rsid w:val="008A2235"/>
    <w:rsid w:val="008B16E0"/>
    <w:rsid w:val="008B1C9C"/>
    <w:rsid w:val="008B34E9"/>
    <w:rsid w:val="008B5525"/>
    <w:rsid w:val="008B5CA6"/>
    <w:rsid w:val="008B601A"/>
    <w:rsid w:val="008B7914"/>
    <w:rsid w:val="008C0CFF"/>
    <w:rsid w:val="008C1D14"/>
    <w:rsid w:val="008C405A"/>
    <w:rsid w:val="008C4622"/>
    <w:rsid w:val="008C606E"/>
    <w:rsid w:val="008C68F1"/>
    <w:rsid w:val="008D23F4"/>
    <w:rsid w:val="008D31A4"/>
    <w:rsid w:val="008D31CF"/>
    <w:rsid w:val="008D383E"/>
    <w:rsid w:val="008D3984"/>
    <w:rsid w:val="008D4B28"/>
    <w:rsid w:val="008E2737"/>
    <w:rsid w:val="008E2EA3"/>
    <w:rsid w:val="008E4998"/>
    <w:rsid w:val="008E4A36"/>
    <w:rsid w:val="008E52B6"/>
    <w:rsid w:val="008E5A15"/>
    <w:rsid w:val="008E7D56"/>
    <w:rsid w:val="008F04F4"/>
    <w:rsid w:val="008F7A8C"/>
    <w:rsid w:val="008F7DD5"/>
    <w:rsid w:val="00900D50"/>
    <w:rsid w:val="009017F3"/>
    <w:rsid w:val="009038B8"/>
    <w:rsid w:val="00916B88"/>
    <w:rsid w:val="00921483"/>
    <w:rsid w:val="0092169A"/>
    <w:rsid w:val="00921803"/>
    <w:rsid w:val="00922D97"/>
    <w:rsid w:val="00923EA6"/>
    <w:rsid w:val="00924832"/>
    <w:rsid w:val="00924D0F"/>
    <w:rsid w:val="00926503"/>
    <w:rsid w:val="0092729F"/>
    <w:rsid w:val="0092740A"/>
    <w:rsid w:val="00931F2D"/>
    <w:rsid w:val="00932548"/>
    <w:rsid w:val="00932AD9"/>
    <w:rsid w:val="00934598"/>
    <w:rsid w:val="0094035A"/>
    <w:rsid w:val="00941843"/>
    <w:rsid w:val="00943786"/>
    <w:rsid w:val="0095020A"/>
    <w:rsid w:val="00950697"/>
    <w:rsid w:val="00952D26"/>
    <w:rsid w:val="009560B3"/>
    <w:rsid w:val="009611A5"/>
    <w:rsid w:val="009618B2"/>
    <w:rsid w:val="00962786"/>
    <w:rsid w:val="00962E3A"/>
    <w:rsid w:val="0096301D"/>
    <w:rsid w:val="0097053F"/>
    <w:rsid w:val="009714C1"/>
    <w:rsid w:val="009726D8"/>
    <w:rsid w:val="00973CB4"/>
    <w:rsid w:val="0097425B"/>
    <w:rsid w:val="00975227"/>
    <w:rsid w:val="00975716"/>
    <w:rsid w:val="00975844"/>
    <w:rsid w:val="009763B3"/>
    <w:rsid w:val="00976426"/>
    <w:rsid w:val="0097652C"/>
    <w:rsid w:val="009766DF"/>
    <w:rsid w:val="00976E30"/>
    <w:rsid w:val="0098006D"/>
    <w:rsid w:val="0098274C"/>
    <w:rsid w:val="00983659"/>
    <w:rsid w:val="00984199"/>
    <w:rsid w:val="009842F1"/>
    <w:rsid w:val="009843E4"/>
    <w:rsid w:val="00984EB0"/>
    <w:rsid w:val="00992FFA"/>
    <w:rsid w:val="00994054"/>
    <w:rsid w:val="00994A16"/>
    <w:rsid w:val="00995222"/>
    <w:rsid w:val="00995343"/>
    <w:rsid w:val="0099633A"/>
    <w:rsid w:val="00996348"/>
    <w:rsid w:val="00996E9D"/>
    <w:rsid w:val="009A1649"/>
    <w:rsid w:val="009A5349"/>
    <w:rsid w:val="009A5702"/>
    <w:rsid w:val="009A6E20"/>
    <w:rsid w:val="009B2274"/>
    <w:rsid w:val="009B7E74"/>
    <w:rsid w:val="009C0648"/>
    <w:rsid w:val="009C07B0"/>
    <w:rsid w:val="009C0ABA"/>
    <w:rsid w:val="009C3A7A"/>
    <w:rsid w:val="009C5BC6"/>
    <w:rsid w:val="009C5F08"/>
    <w:rsid w:val="009C77BB"/>
    <w:rsid w:val="009D11B5"/>
    <w:rsid w:val="009D3AB5"/>
    <w:rsid w:val="009D5C38"/>
    <w:rsid w:val="009E084D"/>
    <w:rsid w:val="009E0921"/>
    <w:rsid w:val="009E35A8"/>
    <w:rsid w:val="009E4F71"/>
    <w:rsid w:val="009F1FA2"/>
    <w:rsid w:val="009F20FB"/>
    <w:rsid w:val="009F4823"/>
    <w:rsid w:val="009F4D5D"/>
    <w:rsid w:val="009F4D9C"/>
    <w:rsid w:val="009F6625"/>
    <w:rsid w:val="009F76DB"/>
    <w:rsid w:val="009F7D35"/>
    <w:rsid w:val="00A00AE8"/>
    <w:rsid w:val="00A023CD"/>
    <w:rsid w:val="00A03DCF"/>
    <w:rsid w:val="00A04208"/>
    <w:rsid w:val="00A1031F"/>
    <w:rsid w:val="00A11A1E"/>
    <w:rsid w:val="00A167ED"/>
    <w:rsid w:val="00A27061"/>
    <w:rsid w:val="00A3029C"/>
    <w:rsid w:val="00A32392"/>
    <w:rsid w:val="00A32C3B"/>
    <w:rsid w:val="00A33925"/>
    <w:rsid w:val="00A4238A"/>
    <w:rsid w:val="00A44C51"/>
    <w:rsid w:val="00A4511B"/>
    <w:rsid w:val="00A45653"/>
    <w:rsid w:val="00A45840"/>
    <w:rsid w:val="00A45CF4"/>
    <w:rsid w:val="00A45F4F"/>
    <w:rsid w:val="00A50E2D"/>
    <w:rsid w:val="00A600A9"/>
    <w:rsid w:val="00A60A56"/>
    <w:rsid w:val="00A61C3C"/>
    <w:rsid w:val="00A63068"/>
    <w:rsid w:val="00A64525"/>
    <w:rsid w:val="00A7050C"/>
    <w:rsid w:val="00A71A22"/>
    <w:rsid w:val="00A71C10"/>
    <w:rsid w:val="00A80161"/>
    <w:rsid w:val="00A80574"/>
    <w:rsid w:val="00A81A63"/>
    <w:rsid w:val="00A81D66"/>
    <w:rsid w:val="00A829CF"/>
    <w:rsid w:val="00A83967"/>
    <w:rsid w:val="00A83A03"/>
    <w:rsid w:val="00A85174"/>
    <w:rsid w:val="00A8646E"/>
    <w:rsid w:val="00A873E7"/>
    <w:rsid w:val="00A87E9F"/>
    <w:rsid w:val="00A96904"/>
    <w:rsid w:val="00AA3120"/>
    <w:rsid w:val="00AA49AC"/>
    <w:rsid w:val="00AA55B7"/>
    <w:rsid w:val="00AA5B9E"/>
    <w:rsid w:val="00AA7306"/>
    <w:rsid w:val="00AA79A8"/>
    <w:rsid w:val="00AB05AA"/>
    <w:rsid w:val="00AB1CFF"/>
    <w:rsid w:val="00AB2407"/>
    <w:rsid w:val="00AB53DF"/>
    <w:rsid w:val="00AB5492"/>
    <w:rsid w:val="00AB5A1B"/>
    <w:rsid w:val="00AC1A7B"/>
    <w:rsid w:val="00AC42C4"/>
    <w:rsid w:val="00AD09E2"/>
    <w:rsid w:val="00AD0F10"/>
    <w:rsid w:val="00AD2451"/>
    <w:rsid w:val="00AD248F"/>
    <w:rsid w:val="00AD6DF9"/>
    <w:rsid w:val="00AE1553"/>
    <w:rsid w:val="00AE3463"/>
    <w:rsid w:val="00AE45C5"/>
    <w:rsid w:val="00AE49EB"/>
    <w:rsid w:val="00AE5E6A"/>
    <w:rsid w:val="00AE642E"/>
    <w:rsid w:val="00AE75E4"/>
    <w:rsid w:val="00AF544E"/>
    <w:rsid w:val="00B00B4B"/>
    <w:rsid w:val="00B02021"/>
    <w:rsid w:val="00B03DB9"/>
    <w:rsid w:val="00B07AF8"/>
    <w:rsid w:val="00B07E5C"/>
    <w:rsid w:val="00B108AA"/>
    <w:rsid w:val="00B12636"/>
    <w:rsid w:val="00B1519C"/>
    <w:rsid w:val="00B153B2"/>
    <w:rsid w:val="00B169DD"/>
    <w:rsid w:val="00B209B7"/>
    <w:rsid w:val="00B2233A"/>
    <w:rsid w:val="00B23926"/>
    <w:rsid w:val="00B25042"/>
    <w:rsid w:val="00B2618F"/>
    <w:rsid w:val="00B27781"/>
    <w:rsid w:val="00B31347"/>
    <w:rsid w:val="00B32F8A"/>
    <w:rsid w:val="00B34440"/>
    <w:rsid w:val="00B346E6"/>
    <w:rsid w:val="00B349C0"/>
    <w:rsid w:val="00B41FE2"/>
    <w:rsid w:val="00B44EA3"/>
    <w:rsid w:val="00B5037B"/>
    <w:rsid w:val="00B51AB8"/>
    <w:rsid w:val="00B51F6A"/>
    <w:rsid w:val="00B54084"/>
    <w:rsid w:val="00B54200"/>
    <w:rsid w:val="00B548CA"/>
    <w:rsid w:val="00B55D1F"/>
    <w:rsid w:val="00B56074"/>
    <w:rsid w:val="00B60BDD"/>
    <w:rsid w:val="00B62EE4"/>
    <w:rsid w:val="00B67EC4"/>
    <w:rsid w:val="00B7493D"/>
    <w:rsid w:val="00B811F7"/>
    <w:rsid w:val="00B86BFC"/>
    <w:rsid w:val="00B90327"/>
    <w:rsid w:val="00B926C5"/>
    <w:rsid w:val="00B9491A"/>
    <w:rsid w:val="00B95E29"/>
    <w:rsid w:val="00BA21A6"/>
    <w:rsid w:val="00BA2DBB"/>
    <w:rsid w:val="00BA3F51"/>
    <w:rsid w:val="00BA5254"/>
    <w:rsid w:val="00BA5DC6"/>
    <w:rsid w:val="00BA6196"/>
    <w:rsid w:val="00BA69AC"/>
    <w:rsid w:val="00BA7B8A"/>
    <w:rsid w:val="00BB0049"/>
    <w:rsid w:val="00BB316A"/>
    <w:rsid w:val="00BB3D65"/>
    <w:rsid w:val="00BB4DB9"/>
    <w:rsid w:val="00BB6136"/>
    <w:rsid w:val="00BB6C17"/>
    <w:rsid w:val="00BC0D83"/>
    <w:rsid w:val="00BC2234"/>
    <w:rsid w:val="00BC3B6C"/>
    <w:rsid w:val="00BC3C65"/>
    <w:rsid w:val="00BC6D8C"/>
    <w:rsid w:val="00BC74EA"/>
    <w:rsid w:val="00BD044D"/>
    <w:rsid w:val="00BD1D43"/>
    <w:rsid w:val="00BD645D"/>
    <w:rsid w:val="00BE39AC"/>
    <w:rsid w:val="00BE5B8E"/>
    <w:rsid w:val="00BE6AB3"/>
    <w:rsid w:val="00BE735B"/>
    <w:rsid w:val="00BE7DF2"/>
    <w:rsid w:val="00BF0E6B"/>
    <w:rsid w:val="00BF10A5"/>
    <w:rsid w:val="00C001FF"/>
    <w:rsid w:val="00C03460"/>
    <w:rsid w:val="00C04E4D"/>
    <w:rsid w:val="00C07693"/>
    <w:rsid w:val="00C11688"/>
    <w:rsid w:val="00C1180D"/>
    <w:rsid w:val="00C122A3"/>
    <w:rsid w:val="00C13C13"/>
    <w:rsid w:val="00C2631A"/>
    <w:rsid w:val="00C34006"/>
    <w:rsid w:val="00C374EF"/>
    <w:rsid w:val="00C378CD"/>
    <w:rsid w:val="00C40D9C"/>
    <w:rsid w:val="00C41CB7"/>
    <w:rsid w:val="00C42218"/>
    <w:rsid w:val="00C4239D"/>
    <w:rsid w:val="00C426B1"/>
    <w:rsid w:val="00C4413D"/>
    <w:rsid w:val="00C463FD"/>
    <w:rsid w:val="00C5440C"/>
    <w:rsid w:val="00C56BF2"/>
    <w:rsid w:val="00C57ADA"/>
    <w:rsid w:val="00C649A3"/>
    <w:rsid w:val="00C64E97"/>
    <w:rsid w:val="00C66160"/>
    <w:rsid w:val="00C71F30"/>
    <w:rsid w:val="00C721AC"/>
    <w:rsid w:val="00C730EE"/>
    <w:rsid w:val="00C75176"/>
    <w:rsid w:val="00C75DFE"/>
    <w:rsid w:val="00C77CEC"/>
    <w:rsid w:val="00C83169"/>
    <w:rsid w:val="00C8654E"/>
    <w:rsid w:val="00C865F2"/>
    <w:rsid w:val="00C87E59"/>
    <w:rsid w:val="00C87EA8"/>
    <w:rsid w:val="00C90D6A"/>
    <w:rsid w:val="00C9561A"/>
    <w:rsid w:val="00C957CA"/>
    <w:rsid w:val="00C95A1A"/>
    <w:rsid w:val="00CA247E"/>
    <w:rsid w:val="00CA3AAF"/>
    <w:rsid w:val="00CA427B"/>
    <w:rsid w:val="00CA632E"/>
    <w:rsid w:val="00CB027C"/>
    <w:rsid w:val="00CB0DA1"/>
    <w:rsid w:val="00CB2087"/>
    <w:rsid w:val="00CB3865"/>
    <w:rsid w:val="00CB673A"/>
    <w:rsid w:val="00CC0863"/>
    <w:rsid w:val="00CC185F"/>
    <w:rsid w:val="00CC501A"/>
    <w:rsid w:val="00CC5900"/>
    <w:rsid w:val="00CC72B6"/>
    <w:rsid w:val="00CD0819"/>
    <w:rsid w:val="00CD0B5E"/>
    <w:rsid w:val="00CD4628"/>
    <w:rsid w:val="00CD516E"/>
    <w:rsid w:val="00CD5493"/>
    <w:rsid w:val="00CD6607"/>
    <w:rsid w:val="00CD70C0"/>
    <w:rsid w:val="00CD7B40"/>
    <w:rsid w:val="00CE0FA6"/>
    <w:rsid w:val="00CE2375"/>
    <w:rsid w:val="00CE2937"/>
    <w:rsid w:val="00CE3AA7"/>
    <w:rsid w:val="00CE3CDA"/>
    <w:rsid w:val="00CE5DAC"/>
    <w:rsid w:val="00CE5F91"/>
    <w:rsid w:val="00CE664A"/>
    <w:rsid w:val="00CE6957"/>
    <w:rsid w:val="00CE7CCA"/>
    <w:rsid w:val="00CF002D"/>
    <w:rsid w:val="00CF210D"/>
    <w:rsid w:val="00CF25DB"/>
    <w:rsid w:val="00D0124C"/>
    <w:rsid w:val="00D0218D"/>
    <w:rsid w:val="00D03372"/>
    <w:rsid w:val="00D06600"/>
    <w:rsid w:val="00D1506B"/>
    <w:rsid w:val="00D20B30"/>
    <w:rsid w:val="00D22BF7"/>
    <w:rsid w:val="00D25FB5"/>
    <w:rsid w:val="00D279D8"/>
    <w:rsid w:val="00D3227C"/>
    <w:rsid w:val="00D33514"/>
    <w:rsid w:val="00D347E3"/>
    <w:rsid w:val="00D3660A"/>
    <w:rsid w:val="00D400E0"/>
    <w:rsid w:val="00D40EFD"/>
    <w:rsid w:val="00D421E9"/>
    <w:rsid w:val="00D423CC"/>
    <w:rsid w:val="00D42830"/>
    <w:rsid w:val="00D44223"/>
    <w:rsid w:val="00D464E3"/>
    <w:rsid w:val="00D4650A"/>
    <w:rsid w:val="00D508B8"/>
    <w:rsid w:val="00D5312C"/>
    <w:rsid w:val="00D55280"/>
    <w:rsid w:val="00D6156C"/>
    <w:rsid w:val="00D630FA"/>
    <w:rsid w:val="00D660A2"/>
    <w:rsid w:val="00D71EFA"/>
    <w:rsid w:val="00D7398F"/>
    <w:rsid w:val="00D75455"/>
    <w:rsid w:val="00D806CE"/>
    <w:rsid w:val="00D806F7"/>
    <w:rsid w:val="00D82141"/>
    <w:rsid w:val="00D83660"/>
    <w:rsid w:val="00D8499F"/>
    <w:rsid w:val="00D86057"/>
    <w:rsid w:val="00D90445"/>
    <w:rsid w:val="00D91D0D"/>
    <w:rsid w:val="00D928B4"/>
    <w:rsid w:val="00D935C5"/>
    <w:rsid w:val="00D946F5"/>
    <w:rsid w:val="00D9707A"/>
    <w:rsid w:val="00D972F7"/>
    <w:rsid w:val="00DA0EB0"/>
    <w:rsid w:val="00DA193B"/>
    <w:rsid w:val="00DA2529"/>
    <w:rsid w:val="00DA2AF9"/>
    <w:rsid w:val="00DA7B0C"/>
    <w:rsid w:val="00DB06A7"/>
    <w:rsid w:val="00DB130A"/>
    <w:rsid w:val="00DB2EBB"/>
    <w:rsid w:val="00DB3B18"/>
    <w:rsid w:val="00DB46BE"/>
    <w:rsid w:val="00DB4B83"/>
    <w:rsid w:val="00DB69F7"/>
    <w:rsid w:val="00DC10A1"/>
    <w:rsid w:val="00DC2692"/>
    <w:rsid w:val="00DC655F"/>
    <w:rsid w:val="00DC7764"/>
    <w:rsid w:val="00DD0B59"/>
    <w:rsid w:val="00DD0D53"/>
    <w:rsid w:val="00DD1478"/>
    <w:rsid w:val="00DD2D34"/>
    <w:rsid w:val="00DD51BB"/>
    <w:rsid w:val="00DD52D0"/>
    <w:rsid w:val="00DD7A50"/>
    <w:rsid w:val="00DD7EBD"/>
    <w:rsid w:val="00DE53ED"/>
    <w:rsid w:val="00DE6C56"/>
    <w:rsid w:val="00DE7BEB"/>
    <w:rsid w:val="00DF0AD6"/>
    <w:rsid w:val="00DF144A"/>
    <w:rsid w:val="00DF4057"/>
    <w:rsid w:val="00DF4E14"/>
    <w:rsid w:val="00DF5784"/>
    <w:rsid w:val="00DF62B6"/>
    <w:rsid w:val="00DF7FEC"/>
    <w:rsid w:val="00E01057"/>
    <w:rsid w:val="00E03AC1"/>
    <w:rsid w:val="00E045C5"/>
    <w:rsid w:val="00E07225"/>
    <w:rsid w:val="00E112DF"/>
    <w:rsid w:val="00E13B87"/>
    <w:rsid w:val="00E146A5"/>
    <w:rsid w:val="00E15D9C"/>
    <w:rsid w:val="00E16462"/>
    <w:rsid w:val="00E24572"/>
    <w:rsid w:val="00E30DF1"/>
    <w:rsid w:val="00E324A3"/>
    <w:rsid w:val="00E340A1"/>
    <w:rsid w:val="00E341BB"/>
    <w:rsid w:val="00E36F22"/>
    <w:rsid w:val="00E45309"/>
    <w:rsid w:val="00E463E4"/>
    <w:rsid w:val="00E471B5"/>
    <w:rsid w:val="00E472B1"/>
    <w:rsid w:val="00E47919"/>
    <w:rsid w:val="00E50121"/>
    <w:rsid w:val="00E5070E"/>
    <w:rsid w:val="00E51FCE"/>
    <w:rsid w:val="00E53768"/>
    <w:rsid w:val="00E53C9D"/>
    <w:rsid w:val="00E5409F"/>
    <w:rsid w:val="00E54D47"/>
    <w:rsid w:val="00E54D5C"/>
    <w:rsid w:val="00E5533E"/>
    <w:rsid w:val="00E561D9"/>
    <w:rsid w:val="00E60754"/>
    <w:rsid w:val="00E62C9D"/>
    <w:rsid w:val="00E62CB1"/>
    <w:rsid w:val="00E63E06"/>
    <w:rsid w:val="00E64862"/>
    <w:rsid w:val="00E66512"/>
    <w:rsid w:val="00E668D7"/>
    <w:rsid w:val="00E66B66"/>
    <w:rsid w:val="00E71299"/>
    <w:rsid w:val="00E72347"/>
    <w:rsid w:val="00E73257"/>
    <w:rsid w:val="00E76A2E"/>
    <w:rsid w:val="00E76C6C"/>
    <w:rsid w:val="00E80B98"/>
    <w:rsid w:val="00E81312"/>
    <w:rsid w:val="00E823F6"/>
    <w:rsid w:val="00E83089"/>
    <w:rsid w:val="00E8581B"/>
    <w:rsid w:val="00E85C6D"/>
    <w:rsid w:val="00E87E4E"/>
    <w:rsid w:val="00E950D1"/>
    <w:rsid w:val="00EA0B9A"/>
    <w:rsid w:val="00EA0BEC"/>
    <w:rsid w:val="00EA2CF8"/>
    <w:rsid w:val="00EA557B"/>
    <w:rsid w:val="00EB11FB"/>
    <w:rsid w:val="00EB1895"/>
    <w:rsid w:val="00EC08C0"/>
    <w:rsid w:val="00EC2615"/>
    <w:rsid w:val="00EC49B1"/>
    <w:rsid w:val="00EC6AC7"/>
    <w:rsid w:val="00EC6AC8"/>
    <w:rsid w:val="00EC6FCF"/>
    <w:rsid w:val="00ED0DE6"/>
    <w:rsid w:val="00ED176C"/>
    <w:rsid w:val="00ED33D1"/>
    <w:rsid w:val="00ED645C"/>
    <w:rsid w:val="00EE015E"/>
    <w:rsid w:val="00EE07AC"/>
    <w:rsid w:val="00EE1F64"/>
    <w:rsid w:val="00EE4D4B"/>
    <w:rsid w:val="00EE4D9E"/>
    <w:rsid w:val="00EE5C4E"/>
    <w:rsid w:val="00EE6488"/>
    <w:rsid w:val="00EE7E30"/>
    <w:rsid w:val="00EF121B"/>
    <w:rsid w:val="00EF1A98"/>
    <w:rsid w:val="00EF6A02"/>
    <w:rsid w:val="00EF6C35"/>
    <w:rsid w:val="00EF7B4A"/>
    <w:rsid w:val="00F00039"/>
    <w:rsid w:val="00F021FA"/>
    <w:rsid w:val="00F04853"/>
    <w:rsid w:val="00F06746"/>
    <w:rsid w:val="00F070C6"/>
    <w:rsid w:val="00F074CD"/>
    <w:rsid w:val="00F10688"/>
    <w:rsid w:val="00F110FB"/>
    <w:rsid w:val="00F11207"/>
    <w:rsid w:val="00F13E9D"/>
    <w:rsid w:val="00F14A9D"/>
    <w:rsid w:val="00F16917"/>
    <w:rsid w:val="00F20DF6"/>
    <w:rsid w:val="00F21B21"/>
    <w:rsid w:val="00F23A33"/>
    <w:rsid w:val="00F255F3"/>
    <w:rsid w:val="00F25C43"/>
    <w:rsid w:val="00F25EB9"/>
    <w:rsid w:val="00F277FB"/>
    <w:rsid w:val="00F30793"/>
    <w:rsid w:val="00F3182B"/>
    <w:rsid w:val="00F3372C"/>
    <w:rsid w:val="00F35616"/>
    <w:rsid w:val="00F362AA"/>
    <w:rsid w:val="00F4014C"/>
    <w:rsid w:val="00F40402"/>
    <w:rsid w:val="00F435A3"/>
    <w:rsid w:val="00F445F4"/>
    <w:rsid w:val="00F4722C"/>
    <w:rsid w:val="00F51503"/>
    <w:rsid w:val="00F51888"/>
    <w:rsid w:val="00F53AD9"/>
    <w:rsid w:val="00F54BDD"/>
    <w:rsid w:val="00F55966"/>
    <w:rsid w:val="00F56926"/>
    <w:rsid w:val="00F603DF"/>
    <w:rsid w:val="00F61E1D"/>
    <w:rsid w:val="00F62E97"/>
    <w:rsid w:val="00F6302A"/>
    <w:rsid w:val="00F63A57"/>
    <w:rsid w:val="00F64209"/>
    <w:rsid w:val="00F67BD3"/>
    <w:rsid w:val="00F71A52"/>
    <w:rsid w:val="00F73947"/>
    <w:rsid w:val="00F7455A"/>
    <w:rsid w:val="00F75F30"/>
    <w:rsid w:val="00F80500"/>
    <w:rsid w:val="00F90106"/>
    <w:rsid w:val="00F9026B"/>
    <w:rsid w:val="00F90A23"/>
    <w:rsid w:val="00F91408"/>
    <w:rsid w:val="00F928F7"/>
    <w:rsid w:val="00F938B6"/>
    <w:rsid w:val="00F93BF5"/>
    <w:rsid w:val="00F9668B"/>
    <w:rsid w:val="00FA118F"/>
    <w:rsid w:val="00FA27CB"/>
    <w:rsid w:val="00FA2CC0"/>
    <w:rsid w:val="00FA4356"/>
    <w:rsid w:val="00FA55AE"/>
    <w:rsid w:val="00FB024A"/>
    <w:rsid w:val="00FB1D03"/>
    <w:rsid w:val="00FB69FA"/>
    <w:rsid w:val="00FB6A72"/>
    <w:rsid w:val="00FB7CDF"/>
    <w:rsid w:val="00FC0232"/>
    <w:rsid w:val="00FC244F"/>
    <w:rsid w:val="00FC4012"/>
    <w:rsid w:val="00FC54D3"/>
    <w:rsid w:val="00FD3DD2"/>
    <w:rsid w:val="00FD4843"/>
    <w:rsid w:val="00FD6BAF"/>
    <w:rsid w:val="00FE3049"/>
    <w:rsid w:val="00FE3918"/>
    <w:rsid w:val="00FE5682"/>
    <w:rsid w:val="00FE57F4"/>
    <w:rsid w:val="00FE7E6B"/>
    <w:rsid w:val="00FF4BB4"/>
    <w:rsid w:val="00FF5589"/>
    <w:rsid w:val="00FF6F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04"/>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20200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202004"/>
    <w:pPr>
      <w:keepNext/>
      <w:numPr>
        <w:ilvl w:val="1"/>
        <w:numId w:val="2"/>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202004"/>
    <w:pPr>
      <w:keepNext/>
      <w:numPr>
        <w:ilvl w:val="2"/>
        <w:numId w:val="2"/>
      </w:numPr>
      <w:tabs>
        <w:tab w:val="left" w:pos="2160"/>
      </w:tabs>
      <w:spacing w:after="120"/>
      <w:outlineLvl w:val="2"/>
    </w:pPr>
    <w:rPr>
      <w:b/>
    </w:rPr>
  </w:style>
  <w:style w:type="paragraph" w:styleId="Heading4">
    <w:name w:val="heading 4"/>
    <w:basedOn w:val="Normal"/>
    <w:next w:val="ParaNum"/>
    <w:qFormat/>
    <w:rsid w:val="00202004"/>
    <w:pPr>
      <w:keepNext/>
      <w:numPr>
        <w:ilvl w:val="3"/>
        <w:numId w:val="2"/>
      </w:numPr>
      <w:tabs>
        <w:tab w:val="left" w:pos="2880"/>
      </w:tabs>
      <w:spacing w:after="120"/>
      <w:outlineLvl w:val="3"/>
    </w:pPr>
    <w:rPr>
      <w:b/>
    </w:rPr>
  </w:style>
  <w:style w:type="paragraph" w:styleId="Heading5">
    <w:name w:val="heading 5"/>
    <w:basedOn w:val="Normal"/>
    <w:next w:val="ParaNum"/>
    <w:qFormat/>
    <w:rsid w:val="0020200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202004"/>
    <w:pPr>
      <w:numPr>
        <w:ilvl w:val="5"/>
        <w:numId w:val="2"/>
      </w:numPr>
      <w:tabs>
        <w:tab w:val="left" w:pos="4320"/>
      </w:tabs>
      <w:spacing w:after="120"/>
      <w:outlineLvl w:val="5"/>
    </w:pPr>
    <w:rPr>
      <w:b/>
    </w:rPr>
  </w:style>
  <w:style w:type="paragraph" w:styleId="Heading7">
    <w:name w:val="heading 7"/>
    <w:basedOn w:val="Normal"/>
    <w:next w:val="ParaNum"/>
    <w:qFormat/>
    <w:rsid w:val="0020200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0200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0200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02004"/>
    <w:pPr>
      <w:numPr>
        <w:numId w:val="1"/>
      </w:numPr>
      <w:tabs>
        <w:tab w:val="clear" w:pos="1080"/>
        <w:tab w:val="num" w:pos="1440"/>
      </w:tabs>
      <w:spacing w:after="120"/>
    </w:pPr>
  </w:style>
  <w:style w:type="paragraph" w:styleId="EndnoteText">
    <w:name w:val="endnote text"/>
    <w:basedOn w:val="Normal"/>
    <w:semiHidden/>
    <w:rsid w:val="00202004"/>
    <w:rPr>
      <w:sz w:val="20"/>
    </w:rPr>
  </w:style>
  <w:style w:type="character" w:styleId="EndnoteReference">
    <w:name w:val="endnote reference"/>
    <w:semiHidden/>
    <w:rsid w:val="00202004"/>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20200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202004"/>
    <w:rPr>
      <w:rFonts w:ascii="Times New Roman" w:hAnsi="Times New Roman"/>
      <w:dstrike w:val="0"/>
      <w:color w:val="auto"/>
      <w:sz w:val="20"/>
      <w:vertAlign w:val="superscript"/>
    </w:rPr>
  </w:style>
  <w:style w:type="paragraph" w:styleId="TOC1">
    <w:name w:val="toc 1"/>
    <w:basedOn w:val="Normal"/>
    <w:next w:val="Normal"/>
    <w:semiHidden/>
    <w:rsid w:val="002020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2004"/>
    <w:pPr>
      <w:tabs>
        <w:tab w:val="left" w:pos="720"/>
        <w:tab w:val="right" w:leader="dot" w:pos="9360"/>
      </w:tabs>
      <w:suppressAutoHyphens/>
      <w:ind w:left="720" w:right="720" w:hanging="360"/>
    </w:pPr>
    <w:rPr>
      <w:noProof/>
    </w:rPr>
  </w:style>
  <w:style w:type="paragraph" w:styleId="TOC3">
    <w:name w:val="toc 3"/>
    <w:basedOn w:val="Normal"/>
    <w:next w:val="Normal"/>
    <w:semiHidden/>
    <w:rsid w:val="002020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20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20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20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20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20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20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2004"/>
    <w:pPr>
      <w:tabs>
        <w:tab w:val="right" w:pos="9360"/>
      </w:tabs>
      <w:suppressAutoHyphens/>
    </w:pPr>
  </w:style>
  <w:style w:type="character" w:customStyle="1" w:styleId="EquationCaption">
    <w:name w:val="_Equation Caption"/>
    <w:rsid w:val="00202004"/>
  </w:style>
  <w:style w:type="paragraph" w:styleId="Header">
    <w:name w:val="header"/>
    <w:basedOn w:val="Normal"/>
    <w:autoRedefine/>
    <w:rsid w:val="00202004"/>
    <w:pPr>
      <w:tabs>
        <w:tab w:val="center" w:pos="4680"/>
        <w:tab w:val="right" w:pos="9360"/>
      </w:tabs>
    </w:pPr>
    <w:rPr>
      <w:b/>
    </w:rPr>
  </w:style>
  <w:style w:type="paragraph" w:styleId="Footer">
    <w:name w:val="footer"/>
    <w:basedOn w:val="Normal"/>
    <w:link w:val="FooterChar"/>
    <w:rsid w:val="00202004"/>
    <w:pPr>
      <w:tabs>
        <w:tab w:val="center" w:pos="4320"/>
        <w:tab w:val="right" w:pos="8640"/>
      </w:tabs>
    </w:pPr>
  </w:style>
  <w:style w:type="character" w:styleId="PageNumber">
    <w:name w:val="page number"/>
    <w:basedOn w:val="DefaultParagraphFont"/>
    <w:rsid w:val="00202004"/>
  </w:style>
  <w:style w:type="paragraph" w:styleId="BlockText">
    <w:name w:val="Block Text"/>
    <w:basedOn w:val="Normal"/>
    <w:rsid w:val="00202004"/>
    <w:pPr>
      <w:spacing w:after="240"/>
      <w:ind w:left="1440" w:right="1440"/>
    </w:pPr>
  </w:style>
  <w:style w:type="paragraph" w:customStyle="1" w:styleId="Paratitle">
    <w:name w:val="Para title"/>
    <w:basedOn w:val="Normal"/>
    <w:rsid w:val="00202004"/>
    <w:pPr>
      <w:tabs>
        <w:tab w:val="center" w:pos="9270"/>
      </w:tabs>
      <w:spacing w:after="240"/>
    </w:pPr>
    <w:rPr>
      <w:spacing w:val="-2"/>
    </w:rPr>
  </w:style>
  <w:style w:type="paragraph" w:customStyle="1" w:styleId="Bullet">
    <w:name w:val="Bullet"/>
    <w:basedOn w:val="Normal"/>
    <w:rsid w:val="00202004"/>
    <w:pPr>
      <w:tabs>
        <w:tab w:val="left" w:pos="2160"/>
      </w:tabs>
      <w:spacing w:after="220"/>
      <w:ind w:left="2160" w:hanging="720"/>
    </w:pPr>
  </w:style>
  <w:style w:type="paragraph" w:customStyle="1" w:styleId="TableFormat">
    <w:name w:val="TableFormat"/>
    <w:basedOn w:val="Bullet"/>
    <w:rsid w:val="00202004"/>
    <w:pPr>
      <w:tabs>
        <w:tab w:val="clear" w:pos="2160"/>
        <w:tab w:val="left" w:pos="5040"/>
      </w:tabs>
      <w:ind w:left="5040" w:hanging="3600"/>
    </w:pPr>
  </w:style>
  <w:style w:type="paragraph" w:customStyle="1" w:styleId="TOCTitle">
    <w:name w:val="TOC Title"/>
    <w:basedOn w:val="Normal"/>
    <w:rsid w:val="002020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2004"/>
    <w:pPr>
      <w:jc w:val="center"/>
    </w:pPr>
    <w:rPr>
      <w:rFonts w:ascii="Times New Roman Bold" w:hAnsi="Times New Roman Bold"/>
      <w:b/>
      <w:bCs/>
      <w:caps/>
      <w:szCs w:val="22"/>
    </w:rPr>
  </w:style>
  <w:style w:type="character" w:styleId="Hyperlink">
    <w:name w:val="Hyperlink"/>
    <w:rsid w:val="00202004"/>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FA27CB"/>
  </w:style>
  <w:style w:type="character" w:customStyle="1" w:styleId="FooterChar">
    <w:name w:val="Footer Char"/>
    <w:link w:val="Footer"/>
    <w:rsid w:val="00FA27CB"/>
    <w:rPr>
      <w:snapToGrid w:val="0"/>
      <w:kern w:val="28"/>
      <w:sz w:val="22"/>
    </w:rPr>
  </w:style>
  <w:style w:type="character" w:customStyle="1" w:styleId="UnresolvedMention1">
    <w:name w:val="Unresolved Mention1"/>
    <w:uiPriority w:val="99"/>
    <w:semiHidden/>
    <w:unhideWhenUsed/>
    <w:rsid w:val="008247C8"/>
    <w:rPr>
      <w:color w:val="808080"/>
      <w:shd w:val="clear" w:color="auto" w:fill="E6E6E6"/>
    </w:rPr>
  </w:style>
  <w:style w:type="paragraph" w:styleId="BalloonText">
    <w:name w:val="Balloon Text"/>
    <w:basedOn w:val="Normal"/>
    <w:link w:val="BalloonTextChar"/>
    <w:rsid w:val="00FA118F"/>
    <w:rPr>
      <w:rFonts w:ascii="Segoe UI" w:hAnsi="Segoe UI" w:cs="Segoe UI"/>
      <w:sz w:val="18"/>
      <w:szCs w:val="18"/>
    </w:rPr>
  </w:style>
  <w:style w:type="character" w:customStyle="1" w:styleId="BalloonTextChar">
    <w:name w:val="Balloon Text Char"/>
    <w:link w:val="BalloonText"/>
    <w:rsid w:val="00FA118F"/>
    <w:rPr>
      <w:rFonts w:ascii="Segoe UI" w:hAnsi="Segoe UI" w:cs="Segoe UI"/>
      <w:snapToGrid w:val="0"/>
      <w:kern w:val="28"/>
      <w:sz w:val="18"/>
      <w:szCs w:val="18"/>
    </w:rPr>
  </w:style>
  <w:style w:type="character" w:styleId="CommentReference">
    <w:name w:val="annotation reference"/>
    <w:rsid w:val="00FA118F"/>
    <w:rPr>
      <w:sz w:val="16"/>
      <w:szCs w:val="16"/>
    </w:rPr>
  </w:style>
  <w:style w:type="paragraph" w:styleId="CommentText">
    <w:name w:val="annotation text"/>
    <w:basedOn w:val="Normal"/>
    <w:link w:val="CommentTextChar"/>
    <w:rsid w:val="00FA118F"/>
    <w:rPr>
      <w:sz w:val="20"/>
    </w:rPr>
  </w:style>
  <w:style w:type="character" w:customStyle="1" w:styleId="CommentTextChar">
    <w:name w:val="Comment Text Char"/>
    <w:link w:val="CommentText"/>
    <w:rsid w:val="00FA118F"/>
    <w:rPr>
      <w:snapToGrid w:val="0"/>
      <w:kern w:val="28"/>
    </w:rPr>
  </w:style>
  <w:style w:type="paragraph" w:styleId="CommentSubject">
    <w:name w:val="annotation subject"/>
    <w:basedOn w:val="CommentText"/>
    <w:next w:val="CommentText"/>
    <w:link w:val="CommentSubjectChar"/>
    <w:rsid w:val="00FA118F"/>
    <w:rPr>
      <w:b/>
      <w:bCs/>
    </w:rPr>
  </w:style>
  <w:style w:type="character" w:customStyle="1" w:styleId="CommentSubjectChar">
    <w:name w:val="Comment Subject Char"/>
    <w:link w:val="CommentSubject"/>
    <w:rsid w:val="00FA118F"/>
    <w:rPr>
      <w:b/>
      <w:bCs/>
      <w:snapToGrid w:val="0"/>
      <w:kern w:val="28"/>
    </w:rPr>
  </w:style>
  <w:style w:type="character" w:styleId="FollowedHyperlink">
    <w:name w:val="FollowedHyperlink"/>
    <w:rsid w:val="00723C76"/>
    <w:rPr>
      <w:color w:val="954F72"/>
      <w:u w:val="single"/>
    </w:rPr>
  </w:style>
  <w:style w:type="character" w:customStyle="1" w:styleId="UnresolvedMention2">
    <w:name w:val="Unresolved Mention2"/>
    <w:uiPriority w:val="99"/>
    <w:semiHidden/>
    <w:unhideWhenUsed/>
    <w:rsid w:val="00137F84"/>
    <w:rPr>
      <w:color w:val="808080"/>
      <w:shd w:val="clear" w:color="auto" w:fill="E6E6E6"/>
    </w:rPr>
  </w:style>
  <w:style w:type="paragraph" w:styleId="Revision">
    <w:name w:val="Revision"/>
    <w:hidden/>
    <w:uiPriority w:val="99"/>
    <w:semiHidden/>
    <w:rsid w:val="00257AC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2C7C-6FD6-4471-94E1-BA1E42D6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2018-03-23T10:43:06Z</dcterms:created>
  <dcterms:modified xsi:type="dcterms:W3CDTF">2018-03-23T10:43:06Z</dcterms:modified>
</cp:coreProperties>
</file>