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4329E8" w:rsidRPr="00590AFD" w:rsidP="004329E8">
            <w:pPr>
              <w:widowControl w:val="0"/>
              <w:tabs>
                <w:tab w:val="center" w:pos="4680"/>
              </w:tabs>
              <w:suppressAutoHyphens/>
              <w:rPr>
                <w:rStyle w:val="DefaultParagraphFont"/>
                <w:snapToGrid w:val="0"/>
                <w:spacing w:val="-2"/>
                <w:kern w:val="28"/>
                <w:sz w:val="22"/>
                <w:lang w:val="en-US" w:eastAsia="en-US" w:bidi="ar-SA"/>
              </w:rPr>
            </w:pPr>
            <w:r w:rsidRPr="00590AFD">
              <w:rPr>
                <w:snapToGrid w:val="0"/>
                <w:spacing w:val="-2"/>
                <w:kern w:val="28"/>
                <w:sz w:val="22"/>
                <w:lang w:val="en-US" w:eastAsia="en-US" w:bidi="ar-SA"/>
              </w:rPr>
              <w:t>In the Matter of</w:t>
            </w:r>
          </w:p>
          <w:p w:rsidR="004329E8" w:rsidRPr="00590AFD" w:rsidP="004329E8">
            <w:pPr>
              <w:widowControl w:val="0"/>
              <w:tabs>
                <w:tab w:val="center" w:pos="4680"/>
              </w:tabs>
              <w:suppressAutoHyphens/>
              <w:rPr>
                <w:rStyle w:val="DefaultParagraphFont"/>
                <w:snapToGrid w:val="0"/>
                <w:spacing w:val="-2"/>
                <w:kern w:val="28"/>
                <w:sz w:val="22"/>
                <w:lang w:val="en-US" w:eastAsia="en-US" w:bidi="ar-SA"/>
              </w:rPr>
            </w:pPr>
          </w:p>
          <w:p w:rsidR="00D87D27" w:rsidP="004329E8">
            <w:pPr>
              <w:widowControl w:val="0"/>
              <w:tabs>
                <w:tab w:val="center" w:pos="4680"/>
              </w:tabs>
              <w:suppressAutoHyphens/>
              <w:rPr>
                <w:rStyle w:val="DefaultParagraphFont"/>
                <w:snapToGrid w:val="0"/>
                <w:spacing w:val="-2"/>
                <w:kern w:val="28"/>
                <w:sz w:val="22"/>
                <w:lang w:val="en-US" w:eastAsia="en-US" w:bidi="ar-SA"/>
              </w:rPr>
            </w:pPr>
            <w:r w:rsidRPr="00590AFD">
              <w:rPr>
                <w:snapToGrid w:val="0"/>
                <w:spacing w:val="-2"/>
                <w:kern w:val="28"/>
                <w:sz w:val="22"/>
                <w:lang w:val="en-US" w:eastAsia="en-US" w:bidi="ar-SA"/>
              </w:rPr>
              <w:t>Modernization of Media Regulation Initiative</w:t>
            </w:r>
            <w:r>
              <w:rPr>
                <w:snapToGrid w:val="0"/>
                <w:spacing w:val="-2"/>
                <w:kern w:val="28"/>
                <w:sz w:val="22"/>
                <w:lang w:val="en-US" w:eastAsia="en-US" w:bidi="ar-SA"/>
              </w:rPr>
              <w:t>:</w:t>
            </w:r>
          </w:p>
          <w:p w:rsidR="00D87D27" w:rsidP="004329E8">
            <w:pPr>
              <w:widowControl w:val="0"/>
              <w:tabs>
                <w:tab w:val="center" w:pos="4680"/>
              </w:tabs>
              <w:suppressAutoHyphens/>
              <w:rPr>
                <w:rStyle w:val="DefaultParagraphFont"/>
                <w:snapToGrid w:val="0"/>
                <w:spacing w:val="-2"/>
                <w:kern w:val="28"/>
                <w:sz w:val="22"/>
                <w:lang w:val="en-US" w:eastAsia="en-US" w:bidi="ar-SA"/>
              </w:rPr>
            </w:pPr>
            <w:r w:rsidRPr="00590AFD">
              <w:rPr>
                <w:snapToGrid w:val="0"/>
                <w:spacing w:val="-2"/>
                <w:kern w:val="28"/>
                <w:sz w:val="22"/>
                <w:lang w:val="en-US" w:eastAsia="en-US" w:bidi="ar-SA"/>
              </w:rPr>
              <w:t xml:space="preserve"> </w:t>
            </w:r>
          </w:p>
          <w:p w:rsidR="004329E8" w:rsidRPr="00590AFD" w:rsidP="004329E8">
            <w:pPr>
              <w:widowControl w:val="0"/>
              <w:tabs>
                <w:tab w:val="center" w:pos="4680"/>
              </w:tabs>
              <w:suppressAutoHyphens/>
              <w:rPr>
                <w:rStyle w:val="DefaultParagraphFont"/>
                <w:snapToGrid w:val="0"/>
                <w:spacing w:val="-2"/>
                <w:kern w:val="28"/>
                <w:sz w:val="22"/>
                <w:lang w:val="en-US" w:eastAsia="en-US" w:bidi="ar-SA"/>
              </w:rPr>
            </w:pPr>
            <w:r w:rsidRPr="00590AFD">
              <w:rPr>
                <w:snapToGrid w:val="0"/>
                <w:spacing w:val="-2"/>
                <w:kern w:val="28"/>
                <w:sz w:val="22"/>
                <w:lang w:val="en-US" w:eastAsia="en-US" w:bidi="ar-SA"/>
              </w:rPr>
              <w:t>Amendment of Parts 27, 54, 73, 74, and 76</w:t>
            </w:r>
          </w:p>
          <w:p w:rsidR="004C2EE3" w:rsidRPr="007115F7" w:rsidP="007115F7">
            <w:pPr>
              <w:widowControl w:val="0"/>
              <w:tabs>
                <w:tab w:val="center" w:pos="4680"/>
              </w:tabs>
              <w:suppressAutoHyphens/>
              <w:rPr>
                <w:rStyle w:val="DefaultParagraphFont"/>
                <w:snapToGrid w:val="0"/>
                <w:spacing w:val="-2"/>
                <w:kern w:val="28"/>
                <w:sz w:val="22"/>
                <w:lang w:val="en-US" w:eastAsia="en-US" w:bidi="ar-SA"/>
              </w:rPr>
            </w:pPr>
            <w:r w:rsidRPr="00590AFD">
              <w:rPr>
                <w:snapToGrid w:val="0"/>
                <w:spacing w:val="-2"/>
                <w:kern w:val="28"/>
                <w:sz w:val="22"/>
                <w:lang w:val="en-US" w:eastAsia="en-US" w:bidi="ar-SA"/>
              </w:rPr>
              <w:t xml:space="preserve">of the Commission’s Rules </w:t>
            </w:r>
            <w:r>
              <w:rPr>
                <w:snapToGrid w:val="0"/>
                <w:kern w:val="28"/>
                <w:sz w:val="22"/>
                <w:lang w:val="en-US" w:eastAsia="en-US" w:bidi="ar-SA"/>
              </w:rPr>
              <w:t>to Delete Rules Made Obsolete by the Digital Television Transition</w:t>
            </w:r>
          </w:p>
        </w:tc>
        <w:tc>
          <w:tcPr>
            <w:tcW w:w="630" w:type="dxa"/>
          </w:tcPr>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D87D27" w:rsidRPr="004329E8" w:rsidP="00D87D2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pPr>
              <w:widowControl w:val="0"/>
              <w:tabs>
                <w:tab w:val="center" w:pos="4680"/>
              </w:tabs>
              <w:suppressAutoHyphens/>
              <w:rPr>
                <w:rStyle w:val="DefaultParagraphFont"/>
                <w:snapToGrid w:val="0"/>
                <w:spacing w:val="-2"/>
                <w:kern w:val="28"/>
                <w:sz w:val="22"/>
                <w:lang w:val="en-US" w:eastAsia="en-US" w:bidi="ar-SA"/>
              </w:rPr>
            </w:pPr>
          </w:p>
          <w:p w:rsidR="004C2EE3">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4C2EE3" w:rsidP="004329E8">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MB Docket No. 17-105</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5D4194">
        <w:rPr>
          <w:b/>
          <w:spacing w:val="-2"/>
        </w:rPr>
        <w:t>January 2</w:t>
      </w:r>
      <w:r w:rsidR="00CD5AC3">
        <w:rPr>
          <w:b/>
          <w:spacing w:val="-2"/>
        </w:rPr>
        <w:t>4</w:t>
      </w:r>
      <w:r w:rsidR="00216B58">
        <w:rPr>
          <w:b/>
          <w:spacing w:val="-2"/>
        </w:rPr>
        <w:t>,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D4194">
        <w:rPr>
          <w:b/>
          <w:spacing w:val="-2"/>
        </w:rPr>
        <w:t>January 2</w:t>
      </w:r>
      <w:r w:rsidR="00CD5AC3">
        <w:rPr>
          <w:b/>
          <w:spacing w:val="-2"/>
        </w:rPr>
        <w:t>4</w:t>
      </w:r>
      <w:r w:rsidR="005D4194">
        <w:rPr>
          <w:b/>
          <w:spacing w:val="-2"/>
        </w:rPr>
        <w:t>, 201</w:t>
      </w:r>
      <w:r w:rsidR="00216B58">
        <w:rPr>
          <w:b/>
          <w:spacing w:val="-2"/>
        </w:rPr>
        <w:t>8</w:t>
      </w:r>
    </w:p>
    <w:p w:rsidR="00822CE0"/>
    <w:p w:rsidR="004C2EE3">
      <w:pPr>
        <w:rPr>
          <w:spacing w:val="-2"/>
        </w:rPr>
      </w:pPr>
      <w:r>
        <w:t xml:space="preserve">By </w:t>
      </w:r>
      <w:r w:rsidR="004E4A22">
        <w:t>the</w:t>
      </w:r>
      <w:r w:rsidR="002A2D2E">
        <w:t xml:space="preserve"> </w:t>
      </w:r>
      <w:r w:rsidR="004329E8">
        <w:rPr>
          <w:spacing w:val="-2"/>
        </w:rPr>
        <w:t>Commission</w:t>
      </w:r>
      <w:r>
        <w:rPr>
          <w:spacing w:val="-2"/>
        </w:rPr>
        <w:t>:</w:t>
      </w:r>
    </w:p>
    <w:p w:rsidR="00412FC5" w:rsidP="00412FC5"/>
    <w:p w:rsidR="004329E8" w:rsidRPr="00590AFD" w:rsidP="004329E8">
      <w:pPr>
        <w:pStyle w:val="ParaNum"/>
        <w:widowControl/>
      </w:pPr>
      <w:r w:rsidRPr="001E2477">
        <w:t xml:space="preserve">In this </w:t>
      </w:r>
      <w:r w:rsidRPr="002533BA">
        <w:rPr>
          <w:szCs w:val="22"/>
        </w:rPr>
        <w:t>Order</w:t>
      </w:r>
      <w:r w:rsidRPr="001E2477">
        <w:t xml:space="preserve">, we make </w:t>
      </w:r>
      <w:r w:rsidRPr="00590AFD">
        <w:t>non</w:t>
      </w:r>
      <w:r>
        <w:t>-</w:t>
      </w:r>
      <w:r w:rsidRPr="00590AFD">
        <w:t>substantive, editorial revisions to Parts 27, 54, 73, 74, and 76 of the Commission’s rules</w:t>
      </w:r>
      <w:r>
        <w:t xml:space="preserve"> as part of our continuing</w:t>
      </w:r>
      <w:r w:rsidRPr="00590AFD">
        <w:t xml:space="preserve"> efforts to modernize our </w:t>
      </w:r>
      <w:r>
        <w:t xml:space="preserve">media </w:t>
      </w:r>
      <w:r w:rsidRPr="00590AFD">
        <w:t>regulations and eliminate unnecessary rule</w:t>
      </w:r>
      <w:r>
        <w:t>s</w:t>
      </w:r>
      <w:r w:rsidRPr="00590AFD">
        <w:t>.</w:t>
      </w:r>
      <w:r>
        <w:rPr>
          <w:rStyle w:val="FootnoteReference"/>
        </w:rPr>
        <w:footnoteReference w:id="3"/>
      </w:r>
      <w:r w:rsidRPr="00590AFD">
        <w:t xml:space="preserve">  </w:t>
      </w:r>
      <w:r>
        <w:t>T</w:t>
      </w:r>
      <w:r w:rsidRPr="00590AFD">
        <w:t xml:space="preserve">hese revisions delete rule provisions that are without current legal effect and </w:t>
      </w:r>
      <w:r>
        <w:t xml:space="preserve">are therefore </w:t>
      </w:r>
      <w:r w:rsidRPr="00590AFD">
        <w:t>obsolete</w:t>
      </w:r>
      <w:r>
        <w:t>.</w:t>
      </w:r>
      <w:r>
        <w:rPr>
          <w:rStyle w:val="FootnoteReference"/>
        </w:rPr>
        <w:footnoteReference w:id="4"/>
      </w:r>
      <w:r>
        <w:t xml:space="preserve">  </w:t>
      </w:r>
      <w:r w:rsidRPr="00590AFD">
        <w:t xml:space="preserve">  </w:t>
      </w:r>
    </w:p>
    <w:p w:rsidR="004329E8" w:rsidRPr="00590AFD" w:rsidP="004329E8">
      <w:pPr>
        <w:pStyle w:val="ParaNum"/>
        <w:widowControl/>
      </w:pPr>
      <w:bookmarkStart w:id="1" w:name="_Hlk499791286"/>
      <w:r w:rsidRPr="00590AFD">
        <w:t xml:space="preserve">We </w:t>
      </w:r>
      <w:r w:rsidRPr="00452327">
        <w:t>delete</w:t>
      </w:r>
      <w:r w:rsidRPr="00590AFD">
        <w:t xml:space="preserve"> </w:t>
      </w:r>
      <w:r w:rsidRPr="00EA7953">
        <w:t>rules</w:t>
      </w:r>
      <w:r w:rsidRPr="00590AFD">
        <w:t xml:space="preserve"> </w:t>
      </w:r>
      <w:r w:rsidRPr="002533BA">
        <w:rPr>
          <w:szCs w:val="22"/>
        </w:rPr>
        <w:t>that</w:t>
      </w:r>
      <w:r>
        <w:t xml:space="preserve"> impose consumer notification and station interference protection obligations relating to the analog-to-digital transition for full power television broadcast stations </w:t>
      </w:r>
      <w:r w:rsidRPr="00590AFD">
        <w:t xml:space="preserve">(DTV transition), which </w:t>
      </w:r>
      <w:r>
        <w:t xml:space="preserve">concluded </w:t>
      </w:r>
      <w:r w:rsidRPr="00590AFD">
        <w:t>on June 12, 2009.</w:t>
      </w:r>
      <w:r>
        <w:rPr>
          <w:rStyle w:val="FootnoteReference"/>
        </w:rPr>
        <w:footnoteReference w:id="5"/>
      </w:r>
      <w:r w:rsidRPr="00590AFD">
        <w:t xml:space="preserve">  </w:t>
      </w:r>
      <w:bookmarkEnd w:id="1"/>
      <w:r w:rsidRPr="00590AFD">
        <w:t xml:space="preserve">In particular, we delete </w:t>
      </w:r>
      <w:r w:rsidRPr="008935E1">
        <w:t>Sections 27.20,</w:t>
      </w:r>
      <w:r>
        <w:rPr>
          <w:rStyle w:val="FootnoteReference"/>
        </w:rPr>
        <w:footnoteReference w:id="6"/>
      </w:r>
      <w:r w:rsidRPr="008935E1">
        <w:t xml:space="preserve"> 54.418,</w:t>
      </w:r>
      <w:r>
        <w:rPr>
          <w:rStyle w:val="FootnoteReference"/>
        </w:rPr>
        <w:footnoteReference w:id="7"/>
      </w:r>
      <w:r w:rsidRPr="008935E1">
        <w:t xml:space="preserve"> </w:t>
      </w:r>
      <w:r>
        <w:t>73.616(a) and the accompanying Note,</w:t>
      </w:r>
      <w:r>
        <w:rPr>
          <w:rStyle w:val="FootnoteReference"/>
        </w:rPr>
        <w:footnoteReference w:id="8"/>
      </w:r>
      <w:r>
        <w:t xml:space="preserve"> </w:t>
      </w:r>
      <w:r w:rsidRPr="008935E1">
        <w:t>73.674,</w:t>
      </w:r>
      <w:r>
        <w:rPr>
          <w:rStyle w:val="FootnoteReference"/>
        </w:rPr>
        <w:footnoteReference w:id="9"/>
      </w:r>
      <w:r w:rsidRPr="008935E1">
        <w:t xml:space="preserve"> 73.3526(e)(11)(iv),</w:t>
      </w:r>
      <w:r>
        <w:rPr>
          <w:rStyle w:val="FootnoteReference"/>
        </w:rPr>
        <w:footnoteReference w:id="10"/>
      </w:r>
      <w:r w:rsidRPr="008935E1">
        <w:t xml:space="preserve"> </w:t>
      </w:r>
      <w:r w:rsidRPr="00842D5E">
        <w:t>73.3527(e)(13)</w:t>
      </w:r>
      <w:r>
        <w:rPr>
          <w:rStyle w:val="FootnoteReference"/>
        </w:rPr>
        <w:footnoteReference w:id="11"/>
      </w:r>
      <w:r w:rsidRPr="00842D5E">
        <w:t xml:space="preserve"> </w:t>
      </w:r>
      <w:r w:rsidRPr="008935E1">
        <w:t xml:space="preserve">and </w:t>
      </w:r>
      <w:bookmarkStart w:id="3" w:name="_Hlk499632971"/>
      <w:r w:rsidRPr="008935E1">
        <w:t>76.1630</w:t>
      </w:r>
      <w:bookmarkEnd w:id="3"/>
      <w:r>
        <w:rPr>
          <w:rStyle w:val="FootnoteReference"/>
        </w:rPr>
        <w:footnoteReference w:id="12"/>
      </w:r>
      <w:r w:rsidRPr="00590AFD">
        <w:t xml:space="preserve"> of the Commission’s rules, which are without current legal effect and obsolete.</w:t>
      </w:r>
      <w:r>
        <w:t xml:space="preserve">  We also delete the Note to Section </w:t>
      </w:r>
      <w:r w:rsidRPr="00C35B14">
        <w:t>73.625(a)(1),</w:t>
      </w:r>
      <w:r>
        <w:t xml:space="preserve"> which sets forth outdated DTV principal community coverage minimum field strength requirements applicable to certain television broadcast licensees.</w:t>
      </w:r>
      <w:r>
        <w:rPr>
          <w:rStyle w:val="FootnoteReference"/>
        </w:rPr>
        <w:footnoteReference w:id="13"/>
      </w:r>
    </w:p>
    <w:p w:rsidR="004329E8" w:rsidRPr="00590AFD" w:rsidP="004329E8">
      <w:pPr>
        <w:pStyle w:val="ParaNum"/>
        <w:widowControl/>
      </w:pPr>
      <w:r>
        <w:t xml:space="preserve">In </w:t>
      </w:r>
      <w:r w:rsidRPr="002533BA">
        <w:rPr>
          <w:szCs w:val="22"/>
        </w:rPr>
        <w:t>addition</w:t>
      </w:r>
      <w:r>
        <w:t>, w</w:t>
      </w:r>
      <w:r w:rsidRPr="00590AFD">
        <w:t xml:space="preserve">e </w:t>
      </w:r>
      <w:r w:rsidRPr="00EA7953">
        <w:t>delete</w:t>
      </w:r>
      <w:r w:rsidRPr="00590AFD">
        <w:t xml:space="preserve"> rules</w:t>
      </w:r>
      <w:r>
        <w:t xml:space="preserve"> that were adopted in conjunction with full </w:t>
      </w:r>
      <w:r w:rsidRPr="00590AFD">
        <w:t xml:space="preserve">power analog television broadcasting, </w:t>
      </w:r>
      <w:r>
        <w:t>which</w:t>
      </w:r>
      <w:r w:rsidRPr="00590AFD">
        <w:t xml:space="preserve"> is no longer permitted.</w:t>
      </w:r>
      <w:r>
        <w:rPr>
          <w:rStyle w:val="FootnoteReference"/>
          <w:sz w:val="22"/>
        </w:rPr>
        <w:footnoteReference w:id="14"/>
      </w:r>
      <w:r w:rsidRPr="00590AFD">
        <w:t xml:space="preserve">  Specifically, we delete </w:t>
      </w:r>
      <w:r w:rsidRPr="008935E1">
        <w:t xml:space="preserve">Sections </w:t>
      </w:r>
      <w:r>
        <w:t>73.607,</w:t>
      </w:r>
      <w:r>
        <w:rPr>
          <w:rStyle w:val="FootnoteReference"/>
        </w:rPr>
        <w:footnoteReference w:id="15"/>
      </w:r>
      <w:r>
        <w:t xml:space="preserve"> </w:t>
      </w:r>
      <w:r w:rsidRPr="008935E1">
        <w:t>73.610,</w:t>
      </w:r>
      <w:r>
        <w:rPr>
          <w:rStyle w:val="FootnoteReference"/>
        </w:rPr>
        <w:footnoteReference w:id="16"/>
      </w:r>
      <w:r w:rsidRPr="008935E1">
        <w:t xml:space="preserve"> 73.611,</w:t>
      </w:r>
      <w:r>
        <w:rPr>
          <w:rStyle w:val="FootnoteReference"/>
        </w:rPr>
        <w:footnoteReference w:id="17"/>
      </w:r>
      <w:r w:rsidRPr="008935E1">
        <w:t xml:space="preserve"> 73.671(d),</w:t>
      </w:r>
      <w:r>
        <w:rPr>
          <w:rStyle w:val="FootnoteReference"/>
        </w:rPr>
        <w:footnoteReference w:id="18"/>
      </w:r>
      <w:r w:rsidRPr="008935E1">
        <w:t xml:space="preserve"> 73.6011,</w:t>
      </w:r>
      <w:r>
        <w:rPr>
          <w:rStyle w:val="FootnoteReference"/>
        </w:rPr>
        <w:footnoteReference w:id="19"/>
      </w:r>
      <w:r w:rsidRPr="008935E1">
        <w:t xml:space="preserve"> 73.6016,</w:t>
      </w:r>
      <w:r>
        <w:rPr>
          <w:rStyle w:val="FootnoteReference"/>
        </w:rPr>
        <w:footnoteReference w:id="20"/>
      </w:r>
      <w:r w:rsidRPr="008935E1">
        <w:t xml:space="preserve"> and 74.705</w:t>
      </w:r>
      <w:r>
        <w:rPr>
          <w:rStyle w:val="FootnoteReference"/>
        </w:rPr>
        <w:footnoteReference w:id="21"/>
      </w:r>
      <w:r w:rsidRPr="00590AFD">
        <w:t xml:space="preserve"> of the Commission’s rules, which are without current legal effect and obsolete.</w:t>
      </w:r>
      <w:r>
        <w:t xml:space="preserve">  In addition, we amend Section 73.606 of our rules</w:t>
      </w:r>
      <w:r>
        <w:rPr>
          <w:rStyle w:val="FootnoteReference"/>
        </w:rPr>
        <w:footnoteReference w:id="22"/>
      </w:r>
      <w:r>
        <w:t xml:space="preserve"> by deleting the Table of Allotments applicable to full power analog television broadcast service and cross-referencing Section 73.622(i), which sets forth the </w:t>
      </w:r>
      <w:r w:rsidRPr="003C3AA3">
        <w:t xml:space="preserve">Post-Transition Table of DTV Allotments </w:t>
      </w:r>
      <w:r>
        <w:t>and is the “successor regulation” to Section 73.606.</w:t>
      </w:r>
      <w:r>
        <w:rPr>
          <w:rStyle w:val="FootnoteReference"/>
        </w:rPr>
        <w:footnoteReference w:id="23"/>
      </w:r>
    </w:p>
    <w:p w:rsidR="004329E8" w:rsidRPr="00590AFD" w:rsidP="004329E8">
      <w:pPr>
        <w:pStyle w:val="ParaNum"/>
        <w:widowControl/>
      </w:pPr>
      <w:r w:rsidRPr="00590AFD">
        <w:t xml:space="preserve"> The </w:t>
      </w:r>
      <w:r w:rsidRPr="00EA7953">
        <w:t>rule</w:t>
      </w:r>
      <w:r w:rsidRPr="00590AFD">
        <w:t xml:space="preserve"> </w:t>
      </w:r>
      <w:r w:rsidRPr="002533BA">
        <w:rPr>
          <w:szCs w:val="22"/>
        </w:rPr>
        <w:t>revisions</w:t>
      </w:r>
      <w:r w:rsidRPr="00590AFD">
        <w:t xml:space="preserve"> adopted in this Order and set forth in the attached Appendix are non</w:t>
      </w:r>
      <w:r>
        <w:t>-</w:t>
      </w:r>
      <w:r w:rsidRPr="00590AFD">
        <w:t>substantive, editorial revisions.  Because these revisions merely eliminate provisions that are no longer effective and thus obsolete, we find good cause to conclude that notice and comment procedures are unnecessary and would not serve any useful purpose.</w:t>
      </w:r>
      <w:r>
        <w:rPr>
          <w:rStyle w:val="FootnoteReference"/>
          <w:sz w:val="22"/>
        </w:rPr>
        <w:footnoteReference w:id="24"/>
      </w:r>
      <w:r w:rsidRPr="00590AFD">
        <w:t xml:space="preserve">  For the same reason, </w:t>
      </w:r>
      <w:r>
        <w:t xml:space="preserve">and to expedite the elimination of such obsolete references for the benefit of the public, </w:t>
      </w:r>
      <w:r w:rsidRPr="00590AFD">
        <w:t>we find good cause to make these rule revisions effective upon publication in the Federal Register.</w:t>
      </w:r>
      <w:r>
        <w:rPr>
          <w:rStyle w:val="FootnoteReference"/>
          <w:sz w:val="22"/>
        </w:rPr>
        <w:footnoteReference w:id="25"/>
      </w:r>
    </w:p>
    <w:p w:rsidR="004329E8" w:rsidRPr="00590AFD" w:rsidP="004329E8">
      <w:pPr>
        <w:pStyle w:val="ParaNum"/>
        <w:widowControl/>
      </w:pPr>
      <w:r w:rsidRPr="002533BA">
        <w:rPr>
          <w:szCs w:val="22"/>
        </w:rPr>
        <w:t>Because</w:t>
      </w:r>
      <w:r w:rsidRPr="00590AFD">
        <w:t xml:space="preserve"> </w:t>
      </w:r>
      <w:r>
        <w:t xml:space="preserve">these rule changes do not require </w:t>
      </w:r>
      <w:r w:rsidRPr="00590AFD">
        <w:t>notice and comment, the Regulatory Flexibility Act</w:t>
      </w:r>
      <w:r>
        <w:rPr>
          <w:rStyle w:val="FootnoteReference"/>
          <w:sz w:val="22"/>
        </w:rPr>
        <w:footnoteReference w:id="26"/>
      </w:r>
      <w:r w:rsidRPr="00590AFD">
        <w:t xml:space="preserve"> does not apply.</w:t>
      </w:r>
    </w:p>
    <w:p w:rsidR="004329E8" w:rsidRPr="00590AFD" w:rsidP="004329E8">
      <w:pPr>
        <w:pStyle w:val="ParaNum"/>
        <w:widowControl/>
      </w:pPr>
      <w:bookmarkStart w:id="6" w:name="_Hlk502647480"/>
      <w:r w:rsidRPr="00590AFD">
        <w:t xml:space="preserve">This </w:t>
      </w:r>
      <w:r w:rsidRPr="002533BA">
        <w:rPr>
          <w:szCs w:val="22"/>
        </w:rPr>
        <w:t>Order</w:t>
      </w:r>
      <w:r w:rsidRPr="00590AFD">
        <w:t xml:space="preserve"> does not contain new or modified information collection requirements subject to the Paperwork Reduction Act of 1995 (PRA).</w:t>
      </w:r>
      <w:r>
        <w:rPr>
          <w:rStyle w:val="FootnoteReference"/>
          <w:sz w:val="22"/>
        </w:rPr>
        <w:footnoteReference w:id="27"/>
      </w:r>
      <w:r w:rsidRPr="00590AFD">
        <w:t xml:space="preserve">  In addition, therefore, it does not contain any new or modified information collection burden for small business concerns with fewer than 25 employees, pursuant to the Small Business Paperwork Relief Act of 2002.</w:t>
      </w:r>
      <w:r>
        <w:rPr>
          <w:rStyle w:val="FootnoteReference"/>
          <w:sz w:val="22"/>
        </w:rPr>
        <w:footnoteReference w:id="28"/>
      </w:r>
      <w:r w:rsidRPr="00590AFD">
        <w:t xml:space="preserve"> </w:t>
      </w:r>
    </w:p>
    <w:p w:rsidR="004329E8" w:rsidRPr="00590AFD" w:rsidP="004329E8">
      <w:pPr>
        <w:pStyle w:val="ParaNum"/>
        <w:widowControl/>
      </w:pPr>
      <w:bookmarkEnd w:id="6"/>
      <w:r>
        <w:rPr>
          <w:rStyle w:val="documentbody"/>
        </w:rPr>
        <w:t xml:space="preserve">The </w:t>
      </w:r>
      <w:r w:rsidRPr="0064168D">
        <w:rPr>
          <w:szCs w:val="22"/>
        </w:rPr>
        <w:t>Commission</w:t>
      </w:r>
      <w:r>
        <w:rPr>
          <w:rStyle w:val="documentbody"/>
        </w:rPr>
        <w:t xml:space="preserve"> will send a copy of the Order in a report to Congress and the Government Accountability Office pursuant to the Congressional Review Act.</w:t>
      </w:r>
      <w:r>
        <w:rPr>
          <w:rStyle w:val="FootnoteReference"/>
        </w:rPr>
        <w:footnoteReference w:id="29"/>
      </w:r>
    </w:p>
    <w:p w:rsidR="004329E8" w:rsidRPr="00590AFD" w:rsidP="004329E8">
      <w:pPr>
        <w:pStyle w:val="ParaNum"/>
        <w:widowControl/>
      </w:pPr>
      <w:r w:rsidRPr="00590AFD">
        <w:t xml:space="preserve">For more </w:t>
      </w:r>
      <w:r w:rsidRPr="002533BA">
        <w:rPr>
          <w:szCs w:val="22"/>
        </w:rPr>
        <w:t>information</w:t>
      </w:r>
      <w:r w:rsidRPr="00590AFD">
        <w:t xml:space="preserve"> about this proceeding, contact Raelynn Remy of the Policy Division, Media Bureau, at raelynn.remy@fcc.gov or (202) 418-2120.</w:t>
      </w:r>
    </w:p>
    <w:p w:rsidR="002C00E8" w:rsidP="004329E8">
      <w:pPr>
        <w:pStyle w:val="ParaNum"/>
        <w:widowControl/>
      </w:pPr>
      <w:r w:rsidRPr="002533BA">
        <w:rPr>
          <w:szCs w:val="22"/>
        </w:rPr>
        <w:t>Accordingly</w:t>
      </w:r>
      <w:r w:rsidRPr="00590AFD">
        <w:t xml:space="preserve">, </w:t>
      </w:r>
      <w:r w:rsidRPr="00590AFD">
        <w:rPr>
          <w:b/>
        </w:rPr>
        <w:t>IT IS ORDERED THAT</w:t>
      </w:r>
      <w:r w:rsidRPr="00590AFD">
        <w:t xml:space="preserve">, effective upon publication in the Federal Register, Parts 27, 54, 73, 74, and 76 of the Commission’s rules </w:t>
      </w:r>
      <w:r w:rsidRPr="00590AFD">
        <w:rPr>
          <w:b/>
        </w:rPr>
        <w:t>ARE AMENDED</w:t>
      </w:r>
      <w:r w:rsidRPr="00590AFD">
        <w:t>, as set forth in the attached Appendix, pursuant to the authority contained in sections 4(i) and 303(r) of the Communications Act of 1934, as amended, 47 U.S.C. §§ 154(i), 303(r)</w:t>
      </w:r>
      <w:r>
        <w:t xml:space="preserve"> and in </w:t>
      </w:r>
      <w:r w:rsidRPr="004329E8">
        <w:rPr>
          <w:color w:val="000000"/>
        </w:rPr>
        <w:t>Sections </w:t>
      </w:r>
      <w:r w:rsidRPr="004329E8">
        <w:rPr>
          <w:rStyle w:val="cosearchterm"/>
          <w:bCs/>
          <w:color w:val="000000"/>
        </w:rPr>
        <w:t>553</w:t>
      </w:r>
      <w:r w:rsidRPr="004329E8">
        <w:rPr>
          <w:color w:val="000000"/>
        </w:rPr>
        <w:t>(</w:t>
      </w:r>
      <w:r w:rsidRPr="004329E8">
        <w:rPr>
          <w:rStyle w:val="cosearchterm"/>
          <w:bCs/>
          <w:color w:val="000000"/>
        </w:rPr>
        <w:t>b</w:t>
      </w:r>
      <w:r w:rsidRPr="004329E8">
        <w:rPr>
          <w:color w:val="000000"/>
        </w:rPr>
        <w:t>)(3)(</w:t>
      </w:r>
      <w:r w:rsidRPr="004329E8">
        <w:rPr>
          <w:rStyle w:val="cosearchterm"/>
          <w:bCs/>
          <w:color w:val="000000"/>
        </w:rPr>
        <w:t>B</w:t>
      </w:r>
      <w:r w:rsidRPr="004329E8">
        <w:rPr>
          <w:color w:val="000000"/>
        </w:rPr>
        <w:t>) and 553(d)(3) of the Administrative Procedure Act, 5 U.S.C §§ </w:t>
      </w:r>
      <w:r w:rsidRPr="004329E8">
        <w:rPr>
          <w:rStyle w:val="cosearchterm"/>
          <w:bCs/>
          <w:color w:val="000000"/>
        </w:rPr>
        <w:t>553</w:t>
      </w:r>
      <w:r w:rsidRPr="004329E8">
        <w:rPr>
          <w:color w:val="000000"/>
        </w:rPr>
        <w:t>(</w:t>
      </w:r>
      <w:r w:rsidRPr="004329E8">
        <w:rPr>
          <w:rStyle w:val="cosearchterm"/>
          <w:bCs/>
          <w:color w:val="000000"/>
        </w:rPr>
        <w:t>b</w:t>
      </w:r>
      <w:r w:rsidRPr="004329E8">
        <w:rPr>
          <w:color w:val="000000"/>
        </w:rPr>
        <w:t>)(3)(</w:t>
      </w:r>
      <w:r w:rsidRPr="004329E8">
        <w:rPr>
          <w:rStyle w:val="cosearchterm"/>
          <w:bCs/>
          <w:color w:val="000000"/>
        </w:rPr>
        <w:t>B</w:t>
      </w:r>
      <w:r w:rsidRPr="004329E8">
        <w:rPr>
          <w:rStyle w:val="cosearchterm"/>
          <w:color w:val="000000"/>
        </w:rPr>
        <w:t>), 553(d)(3)</w:t>
      </w:r>
      <w:r w:rsidRPr="00590AFD">
        <w:t>.</w:t>
      </w:r>
    </w:p>
    <w:p w:rsidR="004329E8" w:rsidP="0017296B">
      <w:r>
        <w:tab/>
      </w:r>
      <w:r>
        <w:tab/>
      </w:r>
      <w:r>
        <w:tab/>
      </w:r>
      <w:r>
        <w:tab/>
      </w:r>
      <w:r>
        <w:tab/>
      </w:r>
      <w:r>
        <w:tab/>
        <w:t>FEDERAL COMMUNICATIONS COMMISSION</w:t>
      </w:r>
    </w:p>
    <w:p w:rsidR="004329E8" w:rsidP="0017296B"/>
    <w:p w:rsidR="004329E8" w:rsidP="0017296B"/>
    <w:p w:rsidR="004329E8" w:rsidP="0017296B"/>
    <w:p w:rsidR="004329E8" w:rsidP="0017296B"/>
    <w:p w:rsidR="004329E8" w:rsidP="0017296B">
      <w:r>
        <w:tab/>
      </w:r>
      <w:r>
        <w:tab/>
      </w:r>
      <w:r>
        <w:tab/>
      </w:r>
      <w:r>
        <w:tab/>
      </w:r>
      <w:r>
        <w:tab/>
      </w:r>
      <w:r>
        <w:tab/>
        <w:t>Marlene H. Dortch</w:t>
      </w:r>
    </w:p>
    <w:p w:rsidR="004329E8" w:rsidP="0017296B">
      <w:pPr>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4329E8" w:rsidRPr="00E75F5B" w:rsidP="004329E8">
      <w:pPr>
        <w:jc w:val="center"/>
        <w:rPr>
          <w:b/>
        </w:rPr>
      </w:pPr>
      <w:r w:rsidRPr="00E75F5B">
        <w:rPr>
          <w:b/>
        </w:rPr>
        <w:t>APPENDIX</w:t>
      </w:r>
    </w:p>
    <w:p w:rsidR="004329E8" w:rsidRPr="00E75F5B" w:rsidP="004329E8">
      <w:pPr>
        <w:jc w:val="center"/>
        <w:rPr>
          <w:b/>
        </w:rPr>
      </w:pPr>
    </w:p>
    <w:p w:rsidR="004329E8" w:rsidRPr="00590AFD" w:rsidP="004329E8">
      <w:pPr>
        <w:jc w:val="center"/>
        <w:rPr>
          <w:b/>
        </w:rPr>
      </w:pPr>
      <w:r w:rsidRPr="00E75F5B">
        <w:rPr>
          <w:b/>
        </w:rPr>
        <w:t>Final Rules</w:t>
      </w:r>
    </w:p>
    <w:p w:rsidR="004329E8" w:rsidRPr="00590AFD" w:rsidP="004329E8"/>
    <w:p w:rsidR="004329E8" w:rsidRPr="00590AFD" w:rsidP="004329E8">
      <w:r w:rsidRPr="00590AFD">
        <w:t>The Federal Communications Commission amends 47 CFR Part 27 as set forth below:</w:t>
      </w:r>
    </w:p>
    <w:p w:rsidR="004329E8" w:rsidRPr="00590AFD" w:rsidP="004329E8"/>
    <w:p w:rsidR="004329E8" w:rsidRPr="00590AFD" w:rsidP="004329E8">
      <w:r w:rsidRPr="00590AFD">
        <w:t>PART 27 — MISCELLANEOUS WIRELESS COMMUNICATIONS SERVICES</w:t>
      </w:r>
    </w:p>
    <w:p w:rsidR="004329E8" w:rsidRPr="00590AFD" w:rsidP="004329E8"/>
    <w:p w:rsidR="004329E8" w:rsidRPr="00590AFD" w:rsidP="004329E8">
      <w:pPr>
        <w:pStyle w:val="ParaNum"/>
        <w:numPr>
          <w:ilvl w:val="0"/>
          <w:numId w:val="7"/>
        </w:numPr>
        <w:spacing w:after="0"/>
        <w:ind w:left="810" w:hanging="810"/>
      </w:pPr>
      <w:r w:rsidRPr="00590AFD">
        <w:t>The authority citation for Part 27 continues to read as follows:</w:t>
      </w:r>
    </w:p>
    <w:p w:rsidR="004329E8" w:rsidRPr="00590AFD" w:rsidP="004329E8"/>
    <w:p w:rsidR="004329E8" w:rsidRPr="00590AFD" w:rsidP="004329E8">
      <w:r w:rsidRPr="00590AFD">
        <w:t>AUTHORITY: 47 U.S.C. 154, 301, 302a, 303, 307, 309, 332, 336, 337, 1403, 1404, 1451, and 1452, unless otherwise noted.</w:t>
      </w:r>
    </w:p>
    <w:p w:rsidR="004329E8" w:rsidRPr="00590AFD" w:rsidP="004329E8"/>
    <w:p w:rsidR="004329E8" w:rsidRPr="00590AFD" w:rsidP="004329E8">
      <w:pPr>
        <w:pStyle w:val="ParaNum"/>
        <w:numPr>
          <w:ilvl w:val="0"/>
          <w:numId w:val="7"/>
        </w:numPr>
        <w:spacing w:after="0"/>
        <w:ind w:left="810" w:hanging="810"/>
      </w:pPr>
      <w:r w:rsidRPr="00590AFD">
        <w:t>Remove § 27.20.</w:t>
      </w:r>
    </w:p>
    <w:p w:rsidR="004329E8" w:rsidRPr="00590AFD" w:rsidP="004329E8"/>
    <w:p w:rsidR="004329E8" w:rsidRPr="00412C1A" w:rsidP="004329E8">
      <w:pPr>
        <w:rPr>
          <w:b/>
        </w:rPr>
      </w:pPr>
      <w:r w:rsidRPr="00590AFD">
        <w:t xml:space="preserve">§ 27.20  </w:t>
      </w:r>
      <w:r w:rsidRPr="00412C1A">
        <w:rPr>
          <w:b/>
        </w:rPr>
        <w:t>[Removed]</w:t>
      </w:r>
    </w:p>
    <w:p w:rsidR="004329E8" w:rsidRPr="00590AFD" w:rsidP="004329E8"/>
    <w:p w:rsidR="004329E8" w:rsidRPr="00590AFD" w:rsidP="004329E8">
      <w:r w:rsidRPr="00590AFD">
        <w:t>The Federal Communications Commission amends 47 CFR Part 54 as set forth below:</w:t>
      </w:r>
    </w:p>
    <w:p w:rsidR="004329E8" w:rsidRPr="00590AFD" w:rsidP="004329E8"/>
    <w:p w:rsidR="004329E8" w:rsidRPr="00590AFD" w:rsidP="004329E8">
      <w:r w:rsidRPr="00590AFD">
        <w:t>PART 54 — UNIVERSAL SERVICE</w:t>
      </w:r>
    </w:p>
    <w:p w:rsidR="004329E8" w:rsidRPr="00590AFD" w:rsidP="004329E8"/>
    <w:p w:rsidR="004329E8" w:rsidRPr="00590AFD" w:rsidP="004329E8">
      <w:pPr>
        <w:pStyle w:val="ParaNum"/>
        <w:numPr>
          <w:ilvl w:val="0"/>
          <w:numId w:val="9"/>
        </w:numPr>
        <w:spacing w:after="0"/>
        <w:ind w:left="810" w:hanging="810"/>
      </w:pPr>
      <w:r w:rsidRPr="00590AFD">
        <w:t>The authority citation for Part 54 continues to read as follows:</w:t>
      </w:r>
    </w:p>
    <w:p w:rsidR="004329E8" w:rsidRPr="00590AFD" w:rsidP="004329E8"/>
    <w:p w:rsidR="004329E8" w:rsidRPr="00590AFD" w:rsidP="004329E8">
      <w:r w:rsidRPr="00590AFD">
        <w:t>AUTHORITY: 47 U.S.C. 151, 154(i), 155, 201, 205, 214, 219, 220, 254, 303(r), 403, and 1302, unless otherwise noted.</w:t>
      </w:r>
    </w:p>
    <w:p w:rsidR="004329E8" w:rsidRPr="00590AFD" w:rsidP="004329E8"/>
    <w:p w:rsidR="004329E8" w:rsidRPr="00590AFD" w:rsidP="004329E8">
      <w:pPr>
        <w:pStyle w:val="ParaNum"/>
        <w:numPr>
          <w:ilvl w:val="0"/>
          <w:numId w:val="9"/>
        </w:numPr>
        <w:spacing w:after="0"/>
        <w:ind w:left="810" w:hanging="810"/>
      </w:pPr>
      <w:r w:rsidRPr="00590AFD">
        <w:t>Remove § 54.418.</w:t>
      </w:r>
    </w:p>
    <w:p w:rsidR="004329E8" w:rsidRPr="00590AFD" w:rsidP="004329E8">
      <w:pPr>
        <w:pStyle w:val="ParaNum"/>
        <w:numPr>
          <w:ilvl w:val="0"/>
          <w:numId w:val="0"/>
        </w:numPr>
        <w:spacing w:after="0"/>
        <w:ind w:left="2250"/>
      </w:pPr>
    </w:p>
    <w:p w:rsidR="004329E8" w:rsidRPr="00412C1A" w:rsidP="004329E8">
      <w:pPr>
        <w:rPr>
          <w:b/>
        </w:rPr>
      </w:pPr>
      <w:r w:rsidRPr="00590AFD">
        <w:t xml:space="preserve">§ 54.418 </w:t>
      </w:r>
      <w:r>
        <w:t xml:space="preserve"> </w:t>
      </w:r>
      <w:r w:rsidRPr="00412C1A">
        <w:rPr>
          <w:b/>
        </w:rPr>
        <w:t>[Removed]</w:t>
      </w:r>
    </w:p>
    <w:p w:rsidR="004329E8" w:rsidRPr="00590AFD" w:rsidP="004329E8"/>
    <w:p w:rsidR="004329E8" w:rsidRPr="00590AFD" w:rsidP="004329E8">
      <w:r w:rsidRPr="00590AFD">
        <w:t>The Federal Communications Commission amends 47 CFR Part 73 as set forth below:</w:t>
      </w:r>
    </w:p>
    <w:p w:rsidR="004329E8" w:rsidRPr="00590AFD" w:rsidP="004329E8"/>
    <w:p w:rsidR="004329E8" w:rsidRPr="00590AFD" w:rsidP="004329E8">
      <w:r w:rsidRPr="00590AFD">
        <w:t xml:space="preserve">PART 73 </w:t>
      </w:r>
      <w:r w:rsidRPr="00590AFD">
        <w:softHyphen/>
        <w:t>— RADIO BROADCAST SERVICES</w:t>
      </w:r>
    </w:p>
    <w:p w:rsidR="004329E8" w:rsidRPr="00590AFD" w:rsidP="004329E8"/>
    <w:p w:rsidR="004329E8" w:rsidRPr="00590AFD" w:rsidP="004329E8">
      <w:pPr>
        <w:pStyle w:val="ParaNum"/>
        <w:numPr>
          <w:ilvl w:val="0"/>
          <w:numId w:val="10"/>
        </w:numPr>
        <w:spacing w:after="0"/>
        <w:ind w:hanging="720"/>
      </w:pPr>
      <w:r w:rsidRPr="00590AFD">
        <w:t>The authority citation for Part 73 continues to read as follows:</w:t>
      </w:r>
    </w:p>
    <w:p w:rsidR="004329E8" w:rsidRPr="00590AFD" w:rsidP="004329E8"/>
    <w:p w:rsidR="004329E8" w:rsidRPr="00590AFD" w:rsidP="004329E8">
      <w:r w:rsidRPr="00590AFD">
        <w:t>AUTHORITY: 47 U.S.C. 154, 303, 309, 310, 334, 336, and 339.</w:t>
      </w:r>
    </w:p>
    <w:p w:rsidR="004329E8" w:rsidRPr="00590AFD" w:rsidP="004329E8"/>
    <w:p w:rsidR="004329E8" w:rsidRPr="00590AFD" w:rsidP="004329E8">
      <w:pPr>
        <w:pStyle w:val="ParaNum"/>
        <w:numPr>
          <w:ilvl w:val="0"/>
          <w:numId w:val="10"/>
        </w:numPr>
        <w:spacing w:after="0"/>
        <w:ind w:hanging="720"/>
      </w:pPr>
      <w:bookmarkStart w:id="7" w:name="_Hlk500148734"/>
      <w:r>
        <w:t>Amend</w:t>
      </w:r>
      <w:r w:rsidRPr="00590AFD">
        <w:t xml:space="preserve"> § 73.606</w:t>
      </w:r>
      <w:r>
        <w:t xml:space="preserve"> to read as follows:</w:t>
      </w:r>
    </w:p>
    <w:p w:rsidR="004329E8" w:rsidRPr="00590AFD" w:rsidP="004329E8">
      <w:bookmarkEnd w:id="7"/>
    </w:p>
    <w:p w:rsidR="004329E8" w:rsidP="004329E8">
      <w:pPr>
        <w:rPr>
          <w:b/>
        </w:rPr>
      </w:pPr>
      <w:r w:rsidRPr="00590AFD">
        <w:t xml:space="preserve">§ 73.606 </w:t>
      </w:r>
      <w:r>
        <w:t xml:space="preserve"> </w:t>
      </w:r>
      <w:r w:rsidRPr="00A0785D">
        <w:t xml:space="preserve"> </w:t>
      </w:r>
      <w:r w:rsidRPr="0064168D">
        <w:t>The table of allotments set forth in Section 73.622(i) of this Part contains the channels designated for the listed communities in the United States, its Territories, and possessions. Channels designated with an asterisk are assigned for use by noncommercial educational broadcast stations only.</w:t>
      </w:r>
    </w:p>
    <w:p w:rsidR="004329E8" w:rsidP="004329E8">
      <w:pPr>
        <w:rPr>
          <w:b/>
        </w:rPr>
      </w:pPr>
    </w:p>
    <w:p w:rsidR="004329E8" w:rsidP="004329E8">
      <w:pPr>
        <w:pStyle w:val="ParaNum"/>
        <w:numPr>
          <w:ilvl w:val="0"/>
          <w:numId w:val="10"/>
        </w:numPr>
        <w:spacing w:after="0"/>
        <w:ind w:hanging="720"/>
      </w:pPr>
      <w:r>
        <w:t xml:space="preserve">Remove </w:t>
      </w:r>
      <w:r w:rsidRPr="00F37808">
        <w:t>§ 73</w:t>
      </w:r>
      <w:r>
        <w:t>.607.</w:t>
      </w:r>
    </w:p>
    <w:p w:rsidR="004329E8" w:rsidRPr="00F37808" w:rsidP="004329E8">
      <w:pPr>
        <w:pStyle w:val="ParaNum"/>
        <w:numPr>
          <w:ilvl w:val="0"/>
          <w:numId w:val="0"/>
        </w:numPr>
        <w:spacing w:after="0"/>
        <w:ind w:left="2880"/>
      </w:pPr>
    </w:p>
    <w:p w:rsidR="004329E8" w:rsidRPr="00F37808" w:rsidP="004329E8">
      <w:pPr>
        <w:rPr>
          <w:b/>
        </w:rPr>
      </w:pPr>
      <w:r>
        <w:t>§ 73.607</w:t>
      </w:r>
      <w:r w:rsidRPr="00F37808">
        <w:t xml:space="preserve">  </w:t>
      </w:r>
      <w:r w:rsidRPr="00F37808">
        <w:rPr>
          <w:b/>
        </w:rPr>
        <w:t>[Removed]</w:t>
      </w:r>
    </w:p>
    <w:p w:rsidR="004329E8" w:rsidRPr="00590AFD" w:rsidP="004329E8"/>
    <w:p w:rsidR="004329E8" w:rsidRPr="00590AFD" w:rsidP="004329E8">
      <w:pPr>
        <w:pStyle w:val="ParaNum"/>
        <w:numPr>
          <w:ilvl w:val="0"/>
          <w:numId w:val="10"/>
        </w:numPr>
        <w:spacing w:after="0"/>
        <w:ind w:hanging="720"/>
      </w:pPr>
      <w:r w:rsidRPr="00590AFD">
        <w:t>Remove § 73.610.</w:t>
      </w:r>
    </w:p>
    <w:p w:rsidR="004329E8" w:rsidRPr="00590AFD" w:rsidP="004329E8"/>
    <w:p w:rsidR="004329E8" w:rsidRPr="00412C1A" w:rsidP="004329E8">
      <w:pPr>
        <w:rPr>
          <w:b/>
        </w:rPr>
      </w:pPr>
      <w:r w:rsidRPr="00590AFD">
        <w:t xml:space="preserve">§ 73.610 </w:t>
      </w:r>
      <w:r>
        <w:t xml:space="preserve"> </w:t>
      </w:r>
      <w:r w:rsidRPr="00412C1A">
        <w:rPr>
          <w:b/>
        </w:rPr>
        <w:t>[Removed]</w:t>
      </w:r>
    </w:p>
    <w:p w:rsidR="004329E8" w:rsidRPr="00590AFD" w:rsidP="004329E8"/>
    <w:p w:rsidR="004329E8" w:rsidRPr="00590AFD" w:rsidP="004329E8">
      <w:pPr>
        <w:pStyle w:val="ParaNum"/>
        <w:numPr>
          <w:ilvl w:val="0"/>
          <w:numId w:val="10"/>
        </w:numPr>
        <w:spacing w:after="0"/>
        <w:ind w:hanging="720"/>
      </w:pPr>
      <w:r w:rsidRPr="00590AFD">
        <w:t xml:space="preserve">Remove </w:t>
      </w:r>
      <w:bookmarkStart w:id="8" w:name="_Hlk500147427"/>
      <w:r w:rsidRPr="00590AFD">
        <w:t xml:space="preserve">§ </w:t>
      </w:r>
      <w:bookmarkEnd w:id="8"/>
      <w:r w:rsidRPr="00590AFD">
        <w:t>73.611.</w:t>
      </w:r>
    </w:p>
    <w:p w:rsidR="004329E8" w:rsidRPr="00590AFD" w:rsidP="004329E8"/>
    <w:p w:rsidR="004329E8" w:rsidP="004329E8">
      <w:pPr>
        <w:rPr>
          <w:b/>
        </w:rPr>
      </w:pPr>
      <w:r w:rsidRPr="00590AFD">
        <w:t xml:space="preserve">§ 73.611 </w:t>
      </w:r>
      <w:r>
        <w:t xml:space="preserve"> </w:t>
      </w:r>
      <w:r w:rsidRPr="00412C1A">
        <w:rPr>
          <w:b/>
        </w:rPr>
        <w:t>[Removed]</w:t>
      </w:r>
    </w:p>
    <w:p w:rsidR="004329E8" w:rsidP="004329E8">
      <w:pPr>
        <w:rPr>
          <w:b/>
        </w:rPr>
      </w:pPr>
    </w:p>
    <w:p w:rsidR="004329E8" w:rsidP="004329E8">
      <w:pPr>
        <w:pStyle w:val="ListParagraph"/>
        <w:numPr>
          <w:ilvl w:val="0"/>
          <w:numId w:val="10"/>
        </w:numPr>
        <w:ind w:left="0" w:firstLine="0"/>
      </w:pPr>
      <w:bookmarkStart w:id="9" w:name="_Hlk500148048"/>
      <w:r>
        <w:t xml:space="preserve">Remove </w:t>
      </w:r>
      <w:r w:rsidRPr="00B04C6D">
        <w:t>§</w:t>
      </w:r>
      <w:r>
        <w:t xml:space="preserve"> 73</w:t>
      </w:r>
      <w:bookmarkEnd w:id="9"/>
      <w:r>
        <w:t xml:space="preserve">.616(a) and Note to </w:t>
      </w:r>
      <w:r w:rsidRPr="00B04C6D">
        <w:t>§</w:t>
      </w:r>
      <w:r>
        <w:t xml:space="preserve"> 73.616(a).</w:t>
      </w:r>
    </w:p>
    <w:p w:rsidR="004329E8" w:rsidP="004329E8">
      <w:pPr>
        <w:pStyle w:val="ListParagraph"/>
        <w:ind w:left="0"/>
      </w:pPr>
    </w:p>
    <w:p w:rsidR="004329E8" w:rsidP="004329E8">
      <w:pPr>
        <w:pStyle w:val="ListParagraph"/>
        <w:ind w:left="0"/>
        <w:rPr>
          <w:b/>
        </w:rPr>
      </w:pPr>
      <w:r w:rsidRPr="00B04C6D">
        <w:t>§</w:t>
      </w:r>
      <w:r>
        <w:t xml:space="preserve"> 73.616(a) and Note to </w:t>
      </w:r>
      <w:r w:rsidRPr="00B04C6D">
        <w:t>§</w:t>
      </w:r>
      <w:r>
        <w:t xml:space="preserve"> 73.616(a)</w:t>
      </w:r>
      <w:r>
        <w:rPr>
          <w:b/>
        </w:rPr>
        <w:t xml:space="preserve"> [Removed]</w:t>
      </w:r>
    </w:p>
    <w:p w:rsidR="004329E8" w:rsidP="004329E8">
      <w:pPr>
        <w:pStyle w:val="ListParagraph"/>
        <w:ind w:left="0"/>
        <w:rPr>
          <w:b/>
        </w:rPr>
      </w:pPr>
    </w:p>
    <w:p w:rsidR="004329E8" w:rsidP="004329E8">
      <w:pPr>
        <w:pStyle w:val="ParaNum"/>
        <w:numPr>
          <w:ilvl w:val="0"/>
          <w:numId w:val="10"/>
        </w:numPr>
        <w:spacing w:after="0"/>
        <w:ind w:hanging="720"/>
      </w:pPr>
      <w:r>
        <w:t xml:space="preserve">Remove Note to Paragraph (a)(1) of </w:t>
      </w:r>
      <w:r w:rsidRPr="007C0785">
        <w:t>§ 73.</w:t>
      </w:r>
      <w:r>
        <w:t>625(a)(1).</w:t>
      </w:r>
    </w:p>
    <w:p w:rsidR="004329E8" w:rsidP="004329E8">
      <w:pPr>
        <w:pStyle w:val="ParaNum"/>
        <w:numPr>
          <w:ilvl w:val="0"/>
          <w:numId w:val="0"/>
        </w:numPr>
        <w:spacing w:after="0"/>
        <w:ind w:left="2880"/>
      </w:pPr>
    </w:p>
    <w:p w:rsidR="004329E8" w:rsidP="004329E8">
      <w:r>
        <w:t xml:space="preserve">Note to paragraph (a)(1) </w:t>
      </w:r>
      <w:r w:rsidRPr="00412C1A">
        <w:rPr>
          <w:b/>
        </w:rPr>
        <w:t>[Removed]</w:t>
      </w:r>
    </w:p>
    <w:p w:rsidR="004329E8" w:rsidP="004329E8">
      <w:pPr>
        <w:pStyle w:val="ParaNum"/>
        <w:numPr>
          <w:ilvl w:val="0"/>
          <w:numId w:val="0"/>
        </w:numPr>
        <w:spacing w:after="0"/>
        <w:ind w:left="2880"/>
      </w:pPr>
    </w:p>
    <w:p w:rsidR="004329E8" w:rsidRPr="00590AFD" w:rsidP="004329E8">
      <w:pPr>
        <w:pStyle w:val="ParaNum"/>
        <w:numPr>
          <w:ilvl w:val="0"/>
          <w:numId w:val="10"/>
        </w:numPr>
        <w:spacing w:after="0"/>
        <w:ind w:hanging="720"/>
      </w:pPr>
      <w:r w:rsidRPr="00590AFD">
        <w:t>Remove § 73.671(d).</w:t>
      </w:r>
    </w:p>
    <w:p w:rsidR="004329E8" w:rsidRPr="00590AFD" w:rsidP="004329E8"/>
    <w:p w:rsidR="004329E8" w:rsidRPr="00590AFD" w:rsidP="004329E8">
      <w:bookmarkStart w:id="10" w:name="_Hlk500148332"/>
      <w:r w:rsidRPr="00590AFD">
        <w:t xml:space="preserve">§ 73.671(d) </w:t>
      </w:r>
      <w:r>
        <w:t xml:space="preserve"> </w:t>
      </w:r>
      <w:r w:rsidRPr="00412C1A">
        <w:rPr>
          <w:b/>
        </w:rPr>
        <w:t>[Removed]</w:t>
      </w:r>
    </w:p>
    <w:p w:rsidR="004329E8" w:rsidRPr="00590AFD" w:rsidP="004329E8">
      <w:bookmarkEnd w:id="10"/>
    </w:p>
    <w:p w:rsidR="004329E8" w:rsidRPr="00590AFD" w:rsidP="004329E8">
      <w:pPr>
        <w:pStyle w:val="ParaNum"/>
        <w:numPr>
          <w:ilvl w:val="0"/>
          <w:numId w:val="10"/>
        </w:numPr>
        <w:spacing w:after="0"/>
        <w:ind w:hanging="720"/>
      </w:pPr>
      <w:r w:rsidRPr="00590AFD">
        <w:t>Remove § 73.674.</w:t>
      </w:r>
    </w:p>
    <w:p w:rsidR="004329E8" w:rsidRPr="00590AFD" w:rsidP="004329E8"/>
    <w:p w:rsidR="004329E8" w:rsidRPr="00590AFD" w:rsidP="004329E8">
      <w:r w:rsidRPr="00590AFD">
        <w:t xml:space="preserve">§ 73.674 </w:t>
      </w:r>
      <w:r>
        <w:t xml:space="preserve"> </w:t>
      </w:r>
      <w:r w:rsidRPr="00412C1A">
        <w:rPr>
          <w:b/>
        </w:rPr>
        <w:t>[Removed]</w:t>
      </w:r>
    </w:p>
    <w:p w:rsidR="004329E8" w:rsidRPr="00590AFD" w:rsidP="004329E8"/>
    <w:p w:rsidR="004329E8" w:rsidP="004329E8">
      <w:pPr>
        <w:pStyle w:val="ParaNum"/>
        <w:numPr>
          <w:ilvl w:val="0"/>
          <w:numId w:val="10"/>
        </w:numPr>
        <w:spacing w:after="0"/>
        <w:ind w:hanging="720"/>
      </w:pPr>
      <w:r w:rsidRPr="00590AFD">
        <w:t>Remove § 73.3526(e)(11)(iv).</w:t>
      </w:r>
    </w:p>
    <w:p w:rsidR="004329E8" w:rsidP="004329E8">
      <w:pPr>
        <w:pStyle w:val="ParaNum"/>
        <w:numPr>
          <w:ilvl w:val="0"/>
          <w:numId w:val="0"/>
        </w:numPr>
        <w:spacing w:after="0"/>
        <w:ind w:left="2880"/>
      </w:pPr>
    </w:p>
    <w:p w:rsidR="004329E8" w:rsidP="004329E8">
      <w:pPr>
        <w:rPr>
          <w:b/>
        </w:rPr>
      </w:pPr>
      <w:r w:rsidRPr="00DD2669">
        <w:t xml:space="preserve">§ 73.3526(e)(11)(iv)  </w:t>
      </w:r>
      <w:r w:rsidRPr="00DD2669">
        <w:rPr>
          <w:b/>
        </w:rPr>
        <w:t>[Removed]</w:t>
      </w:r>
    </w:p>
    <w:p w:rsidR="004329E8" w:rsidP="004329E8"/>
    <w:p w:rsidR="004329E8" w:rsidP="004329E8">
      <w:pPr>
        <w:pStyle w:val="ParaNum"/>
        <w:numPr>
          <w:ilvl w:val="0"/>
          <w:numId w:val="10"/>
        </w:numPr>
        <w:spacing w:after="0"/>
        <w:ind w:hanging="720"/>
      </w:pPr>
      <w:r>
        <w:t xml:space="preserve">Remove </w:t>
      </w:r>
      <w:r w:rsidRPr="00842D5E">
        <w:t>§</w:t>
      </w:r>
      <w:r>
        <w:t xml:space="preserve"> 73.3527(e)(13).</w:t>
      </w:r>
    </w:p>
    <w:p w:rsidR="004329E8" w:rsidP="004329E8">
      <w:pPr>
        <w:pStyle w:val="ParaNum"/>
        <w:numPr>
          <w:ilvl w:val="0"/>
          <w:numId w:val="0"/>
        </w:numPr>
        <w:spacing w:after="0"/>
        <w:ind w:left="2160"/>
      </w:pPr>
    </w:p>
    <w:p w:rsidR="004329E8" w:rsidP="004329E8">
      <w:r>
        <w:t>§ 73.3527(e)(13</w:t>
      </w:r>
      <w:r w:rsidRPr="00842D5E">
        <w:t xml:space="preserve">)  </w:t>
      </w:r>
      <w:r w:rsidRPr="00C2230D">
        <w:rPr>
          <w:b/>
        </w:rPr>
        <w:t>[Removed]</w:t>
      </w:r>
    </w:p>
    <w:p w:rsidR="004329E8" w:rsidP="004329E8">
      <w:pPr>
        <w:pStyle w:val="ParaNum"/>
        <w:numPr>
          <w:ilvl w:val="0"/>
          <w:numId w:val="0"/>
        </w:numPr>
        <w:spacing w:after="0"/>
        <w:ind w:left="2880"/>
      </w:pPr>
    </w:p>
    <w:p w:rsidR="004329E8" w:rsidRPr="00590AFD" w:rsidP="004329E8">
      <w:pPr>
        <w:pStyle w:val="ParaNum"/>
        <w:numPr>
          <w:ilvl w:val="0"/>
          <w:numId w:val="10"/>
        </w:numPr>
        <w:spacing w:after="0"/>
        <w:ind w:hanging="720"/>
      </w:pPr>
      <w:r w:rsidRPr="00590AFD">
        <w:t>Remove § 73.6011.</w:t>
      </w:r>
    </w:p>
    <w:p w:rsidR="004329E8" w:rsidRPr="00590AFD" w:rsidP="004329E8"/>
    <w:p w:rsidR="004329E8" w:rsidRPr="00590AFD" w:rsidP="004329E8">
      <w:r w:rsidRPr="00590AFD">
        <w:t xml:space="preserve">§ 73.6011 </w:t>
      </w:r>
      <w:r>
        <w:t xml:space="preserve"> </w:t>
      </w:r>
      <w:r w:rsidRPr="00412C1A">
        <w:rPr>
          <w:b/>
        </w:rPr>
        <w:t>[Removed]</w:t>
      </w:r>
    </w:p>
    <w:p w:rsidR="004329E8" w:rsidRPr="00590AFD" w:rsidP="004329E8"/>
    <w:p w:rsidR="004329E8" w:rsidRPr="00590AFD" w:rsidP="004329E8">
      <w:pPr>
        <w:pStyle w:val="ParaNum"/>
        <w:numPr>
          <w:ilvl w:val="0"/>
          <w:numId w:val="10"/>
        </w:numPr>
        <w:spacing w:after="0"/>
        <w:ind w:hanging="720"/>
      </w:pPr>
      <w:r w:rsidRPr="00590AFD">
        <w:t>Remove § 73.6016.</w:t>
      </w:r>
    </w:p>
    <w:p w:rsidR="004329E8" w:rsidRPr="00590AFD" w:rsidP="004329E8"/>
    <w:p w:rsidR="004329E8" w:rsidRPr="00590AFD" w:rsidP="004329E8">
      <w:pPr>
        <w:pStyle w:val="ParaNum"/>
        <w:numPr>
          <w:ilvl w:val="0"/>
          <w:numId w:val="0"/>
        </w:numPr>
        <w:spacing w:after="0"/>
      </w:pPr>
      <w:r w:rsidRPr="00590AFD">
        <w:t xml:space="preserve">§ 73.6016 </w:t>
      </w:r>
      <w:r>
        <w:t xml:space="preserve"> </w:t>
      </w:r>
      <w:r w:rsidRPr="00412C1A">
        <w:rPr>
          <w:b/>
        </w:rPr>
        <w:t>[Removed]</w:t>
      </w:r>
    </w:p>
    <w:p w:rsidR="004329E8" w:rsidRPr="00590AFD" w:rsidP="004329E8"/>
    <w:p w:rsidR="004329E8" w:rsidRPr="00590AFD" w:rsidP="004329E8">
      <w:r w:rsidRPr="00590AFD">
        <w:t>The Federal Communications Commission amends 47 CFR Part 74 as set forth below:</w:t>
      </w:r>
    </w:p>
    <w:p w:rsidR="004329E8" w:rsidRPr="00590AFD" w:rsidP="004329E8"/>
    <w:p w:rsidR="004329E8" w:rsidRPr="00590AFD" w:rsidP="004329E8">
      <w:r w:rsidRPr="00590AFD">
        <w:t>Part 74 — EXPERIMENTAL RADIO, AUXILIARY, SPECIAL BROADCAST AND OTHER PROGRAM DISTRIBUTIONAL SERVICES</w:t>
      </w:r>
    </w:p>
    <w:p w:rsidR="004329E8" w:rsidRPr="00590AFD" w:rsidP="004329E8"/>
    <w:p w:rsidR="004329E8" w:rsidRPr="00590AFD" w:rsidP="004329E8">
      <w:pPr>
        <w:pStyle w:val="ParaNum"/>
        <w:numPr>
          <w:ilvl w:val="0"/>
          <w:numId w:val="11"/>
        </w:numPr>
        <w:spacing w:after="0"/>
        <w:ind w:hanging="720"/>
      </w:pPr>
      <w:r w:rsidRPr="00590AFD">
        <w:t>The authority citation for Part 74 continues to read as follows:</w:t>
      </w:r>
    </w:p>
    <w:p w:rsidR="004329E8" w:rsidRPr="00590AFD" w:rsidP="004329E8"/>
    <w:p w:rsidR="004329E8" w:rsidRPr="00590AFD" w:rsidP="004329E8">
      <w:r w:rsidRPr="00590AFD">
        <w:t>AUTHORITY: 47 U.S.C. 154, 302a, 303, 307, 309, 310, 336 and 554.</w:t>
      </w:r>
    </w:p>
    <w:p w:rsidR="004329E8" w:rsidRPr="00590AFD" w:rsidP="004329E8"/>
    <w:p w:rsidR="004329E8" w:rsidRPr="00590AFD" w:rsidP="004329E8">
      <w:pPr>
        <w:pStyle w:val="ParaNum"/>
        <w:numPr>
          <w:ilvl w:val="0"/>
          <w:numId w:val="11"/>
        </w:numPr>
        <w:spacing w:after="0"/>
        <w:ind w:hanging="720"/>
      </w:pPr>
      <w:r w:rsidRPr="00590AFD">
        <w:t>Remove § 74.705.</w:t>
      </w:r>
    </w:p>
    <w:p w:rsidR="004329E8" w:rsidRPr="00590AFD" w:rsidP="004329E8"/>
    <w:p w:rsidR="004329E8" w:rsidRPr="00590AFD" w:rsidP="004329E8">
      <w:r w:rsidRPr="00590AFD">
        <w:t xml:space="preserve">§ 74.705 </w:t>
      </w:r>
      <w:r>
        <w:t xml:space="preserve"> </w:t>
      </w:r>
      <w:r w:rsidRPr="00412C1A">
        <w:rPr>
          <w:b/>
        </w:rPr>
        <w:t>[Removed]</w:t>
      </w:r>
    </w:p>
    <w:p w:rsidR="004329E8" w:rsidRPr="00590AFD" w:rsidP="004329E8"/>
    <w:p w:rsidR="004329E8" w:rsidRPr="00590AFD" w:rsidP="004329E8">
      <w:r w:rsidRPr="00590AFD">
        <w:t>The Federal Communications Commission amends 47 CFR Part 76 as set forth below:</w:t>
      </w:r>
    </w:p>
    <w:p w:rsidR="004329E8" w:rsidRPr="00590AFD" w:rsidP="004329E8"/>
    <w:p w:rsidR="004329E8" w:rsidRPr="00590AFD" w:rsidP="004329E8">
      <w:r w:rsidRPr="00590AFD">
        <w:t>Part 76 — MULTICHANNEL VIDEO AND CABLE TELEVISION SERVICE</w:t>
      </w:r>
    </w:p>
    <w:p w:rsidR="004329E8" w:rsidRPr="00590AFD" w:rsidP="004329E8"/>
    <w:p w:rsidR="004329E8" w:rsidRPr="00590AFD" w:rsidP="004329E8">
      <w:pPr>
        <w:pStyle w:val="ParaNum"/>
        <w:numPr>
          <w:ilvl w:val="0"/>
          <w:numId w:val="8"/>
        </w:numPr>
        <w:spacing w:after="0"/>
        <w:ind w:hanging="720"/>
      </w:pPr>
      <w:r w:rsidRPr="00590AFD">
        <w:t>The authority citation for Part 76 continues to read as follows:</w:t>
      </w:r>
    </w:p>
    <w:p w:rsidR="004329E8" w:rsidRPr="00590AFD" w:rsidP="004329E8"/>
    <w:p w:rsidR="004329E8" w:rsidRPr="00590AFD" w:rsidP="004329E8">
      <w:r w:rsidRPr="00590AFD">
        <w:t>AUTHORITY:  47 U.S.C. 151, 152, 153, 154, 301, 302, 302a, 303, 303a, 307, 308, 309, 312, 315, 317, 325, 338, 339, 340, 341, 503, 521, 522, 531, 532, 534, 535, 536, 537, 543, 544, 544a, 545, 548, 549, 552, 554, 556, 558, 560, 561, 571, 572, 573.</w:t>
      </w:r>
    </w:p>
    <w:p w:rsidR="004329E8" w:rsidRPr="00590AFD" w:rsidP="004329E8"/>
    <w:p w:rsidR="004329E8" w:rsidRPr="00590AFD" w:rsidP="004329E8">
      <w:pPr>
        <w:pStyle w:val="ParaNum"/>
        <w:numPr>
          <w:ilvl w:val="0"/>
          <w:numId w:val="8"/>
        </w:numPr>
        <w:spacing w:after="0"/>
        <w:ind w:hanging="720"/>
      </w:pPr>
      <w:r w:rsidRPr="00590AFD">
        <w:t>Remove § 76.1630.</w:t>
      </w:r>
    </w:p>
    <w:p w:rsidR="004329E8" w:rsidRPr="00590AFD" w:rsidP="004329E8"/>
    <w:p w:rsidR="004329E8" w:rsidRPr="00412C1A" w:rsidP="004329E8">
      <w:r w:rsidRPr="00590AFD">
        <w:t>§ 76.1630</w:t>
      </w:r>
      <w:r>
        <w:t xml:space="preserve"> </w:t>
      </w:r>
      <w:r w:rsidRPr="00590AFD">
        <w:t xml:space="preserve"> </w:t>
      </w:r>
      <w:r w:rsidRPr="00412C1A">
        <w:rPr>
          <w:b/>
        </w:rPr>
        <w:t>[Removed]</w:t>
      </w:r>
    </w:p>
    <w:p w:rsidR="004329E8" w:rsidP="0017296B"/>
    <w:p w:rsidR="004329E8" w:rsidRPr="002C00E8" w:rsidP="004329E8">
      <w:pPr>
        <w:pStyle w:val="ParaNum"/>
        <w:widowControl/>
        <w:numPr>
          <w:ilvl w:val="0"/>
          <w:numId w:val="0"/>
        </w:numPr>
      </w:pPr>
    </w:p>
    <w:sectPr w:rsidSect="004329E8">
      <w:headerReference w:type="first" r:id="rId12"/>
      <w:footerReference w:type="first" r:id="rId13"/>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4329E8" w:rsidP="004329E8">
    <w:pPr>
      <w:pStyle w:val="Footer"/>
      <w:jc w:val="center"/>
    </w:pPr>
    <w:r>
      <w:fldChar w:fldCharType="begin"/>
    </w:r>
    <w:r>
      <w:instrText xml:space="preserve"> PAGE   \* MERGEFORMAT </w:instrText>
    </w:r>
    <w:r>
      <w:fldChar w:fldCharType="separate"/>
    </w:r>
    <w:r w:rsidR="002078E1">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329E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29E8" w:rsidP="004329E8">
    <w:pPr>
      <w:pStyle w:val="Footer"/>
      <w:jc w:val="center"/>
    </w:pPr>
    <w:r>
      <w:fldChar w:fldCharType="begin"/>
    </w:r>
    <w:r>
      <w:instrText xml:space="preserve"> PAGE   \* MERGEFORMAT </w:instrText>
    </w:r>
    <w:r>
      <w:fldChar w:fldCharType="separate"/>
    </w:r>
    <w:r w:rsidR="00216B58">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1044">
      <w:r>
        <w:separator/>
      </w:r>
    </w:p>
  </w:footnote>
  <w:footnote w:type="continuationSeparator" w:id="1">
    <w:p w:rsidR="00AD1044" w:rsidP="00C721AC">
      <w:pPr>
        <w:spacing w:before="120"/>
        <w:rPr>
          <w:sz w:val="20"/>
        </w:rPr>
      </w:pPr>
      <w:r>
        <w:rPr>
          <w:sz w:val="20"/>
        </w:rPr>
        <w:t xml:space="preserve">(Continued from previous page)  </w:t>
      </w:r>
      <w:r>
        <w:rPr>
          <w:sz w:val="20"/>
        </w:rPr>
        <w:separator/>
      </w:r>
    </w:p>
  </w:footnote>
  <w:footnote w:type="continuationNotice" w:id="2">
    <w:p w:rsidR="00AD1044" w:rsidP="00C721AC">
      <w:pPr>
        <w:jc w:val="right"/>
        <w:rPr>
          <w:sz w:val="20"/>
        </w:rPr>
      </w:pPr>
      <w:r>
        <w:rPr>
          <w:sz w:val="20"/>
        </w:rPr>
        <w:t>(continued….)</w:t>
      </w:r>
    </w:p>
  </w:footnote>
  <w:footnote w:id="3">
    <w:p w:rsidR="004329E8" w:rsidP="004329E8">
      <w:pPr>
        <w:pStyle w:val="FootnoteText"/>
      </w:pPr>
      <w:r>
        <w:rPr>
          <w:rStyle w:val="FootnoteReference"/>
        </w:rPr>
        <w:footnoteRef/>
      </w:r>
      <w:r>
        <w:t xml:space="preserve"> </w:t>
      </w:r>
      <w:r w:rsidRPr="00F33813">
        <w:rPr>
          <w:i/>
        </w:rPr>
        <w:t>Commission Launches Modernization of Media Regulation Initiative</w:t>
      </w:r>
      <w:r w:rsidRPr="00F33813">
        <w:t>, Public Notice, 32 FCC Rcd 4406 (MB 2017) (</w:t>
      </w:r>
      <w:r w:rsidRPr="00F33813">
        <w:rPr>
          <w:i/>
        </w:rPr>
        <w:t>Modernization Initiative Public Notice</w:t>
      </w:r>
      <w:r w:rsidRPr="00F33813">
        <w:t>)</w:t>
      </w:r>
      <w:r>
        <w:t xml:space="preserve">.    </w:t>
      </w:r>
    </w:p>
  </w:footnote>
  <w:footnote w:id="4">
    <w:p w:rsidR="004329E8" w:rsidP="004329E8">
      <w:pPr>
        <w:pStyle w:val="FootnoteText"/>
      </w:pPr>
      <w:r>
        <w:rPr>
          <w:rStyle w:val="FootnoteReference"/>
        </w:rPr>
        <w:footnoteRef/>
      </w:r>
      <w:r>
        <w:t xml:space="preserve"> We delegate authority to the Media Bureau to make conforming amendments to other Commission rules that cross-reference the rule sections deleted in this Order. </w:t>
      </w:r>
    </w:p>
  </w:footnote>
  <w:footnote w:id="5">
    <w:p w:rsidR="004329E8" w:rsidP="004329E8">
      <w:pPr>
        <w:pStyle w:val="FootnoteText"/>
      </w:pPr>
      <w:r>
        <w:rPr>
          <w:rStyle w:val="FootnoteReference"/>
        </w:rPr>
        <w:footnoteRef/>
      </w:r>
      <w:r>
        <w:t xml:space="preserve"> </w:t>
      </w:r>
      <w:r w:rsidRPr="00AC1060">
        <w:t xml:space="preserve">DTV Delay Act, Pub. L. No.111-4, 123 Stat. 112 (2009).  On February 11, 2009, the DTV Delay Act was signed by the President and enacted into law.  In the DTV Delay Act, Congress extended the date for the completion of the nationwide DTV transition </w:t>
      </w:r>
      <w:r>
        <w:t xml:space="preserve">for full power stations </w:t>
      </w:r>
      <w:r w:rsidRPr="00AC1060">
        <w:t>from February 17, 2009 to June 12, 2009.  The DTV Delay Act (codified at 47 U.S.C. §§ 309(j)(14) and 337(e)) amend</w:t>
      </w:r>
      <w:r>
        <w:t>ed</w:t>
      </w:r>
      <w:r w:rsidRPr="00AC1060">
        <w:t xml:space="preserve"> Section 309(j)(14) of the Communications Act to establish June 12, 2009 as the new nationwide deadline for the end of analog transmissions by full-power stations.  47 U.S.C. § 309(j)(14)(A) (“A full-power television broadcast license that authorizes analog television service may not be renewed to authorize such service for a period that extends beyond June 12, 2009.”).  </w:t>
      </w:r>
      <w:r w:rsidRPr="00E75F5B">
        <w:rPr>
          <w:i/>
        </w:rPr>
        <w:t>See also</w:t>
      </w:r>
      <w:r w:rsidRPr="00AC1060">
        <w:t xml:space="preserve"> 47 U.S.C. § 337(e)(1) (“Any full-power television station licensee that holds a television broadcast license to operate between 698 and 806 megahertz may not operate at that frequency after June 12, 2009.”).  </w:t>
      </w:r>
      <w:r>
        <w:t xml:space="preserve">For Class A stations, the Commission established September 1, 2015 as the deadline to terminate analog operations.  </w:t>
      </w:r>
      <w:r w:rsidRPr="00314C1F">
        <w:rPr>
          <w:i/>
        </w:rPr>
        <w:t>Media Bureau Reminds Class A Television Stations of September 1, 2015 Digital Transition Date</w:t>
      </w:r>
      <w:r w:rsidRPr="00314C1F">
        <w:t>, Public Notice, 30 FCC Rcd 8500 (MB, 2015).</w:t>
      </w:r>
      <w:r w:rsidRPr="00AC1060">
        <w:t xml:space="preserve">  </w:t>
      </w:r>
    </w:p>
  </w:footnote>
  <w:footnote w:id="6">
    <w:p w:rsidR="004329E8" w:rsidP="004329E8">
      <w:pPr>
        <w:pStyle w:val="FootnoteText"/>
      </w:pPr>
      <w:r>
        <w:rPr>
          <w:rStyle w:val="FootnoteReference"/>
        </w:rPr>
        <w:footnoteRef/>
      </w:r>
      <w:r>
        <w:t xml:space="preserve"> </w:t>
      </w:r>
      <w:r w:rsidRPr="0015290B">
        <w:t>47 CFR § 27.20</w:t>
      </w:r>
      <w:r>
        <w:t xml:space="preserve"> (requiring certain wireless licensees to file quarterly reports with the Commission indicating whether they have made outreach efforts to educate consumers about the DTV transition).</w:t>
      </w:r>
    </w:p>
  </w:footnote>
  <w:footnote w:id="7">
    <w:p w:rsidR="004329E8" w:rsidRPr="00F075D1" w:rsidP="004329E8">
      <w:pPr>
        <w:pStyle w:val="FootnoteText"/>
        <w:rPr>
          <w:i/>
        </w:rPr>
      </w:pPr>
      <w:r>
        <w:rPr>
          <w:rStyle w:val="FootnoteReference"/>
        </w:rPr>
        <w:footnoteRef/>
      </w:r>
      <w:r>
        <w:t xml:space="preserve"> </w:t>
      </w:r>
      <w:bookmarkStart w:id="2" w:name="_Hlk499790588"/>
      <w:r>
        <w:rPr>
          <w:i/>
        </w:rPr>
        <w:t>Id.</w:t>
      </w:r>
      <w:r>
        <w:t xml:space="preserve"> </w:t>
      </w:r>
      <w:r w:rsidRPr="0015290B">
        <w:t>§</w:t>
      </w:r>
      <w:bookmarkEnd w:id="2"/>
      <w:r>
        <w:t xml:space="preserve"> 54.418 (requiring eligible telecommunications carriers that receive federal universal service funds to provide their Lifeline and Link-Up customers with notices about the DTV transition).  Although neither this rule nor Section 27.20 (referenced in</w:t>
      </w:r>
      <w:r>
        <w:rPr>
          <w:i/>
        </w:rPr>
        <w:t xml:space="preserve"> </w:t>
      </w:r>
      <w:r w:rsidR="005D4194">
        <w:t xml:space="preserve">note </w:t>
      </w:r>
      <w:r w:rsidRPr="005D4194">
        <w:t>4</w:t>
      </w:r>
      <w:r>
        <w:t xml:space="preserve"> </w:t>
      </w:r>
      <w:r>
        <w:rPr>
          <w:i/>
        </w:rPr>
        <w:t>supra</w:t>
      </w:r>
      <w:r>
        <w:t xml:space="preserve">) are contained in parts of Title 47 of the Code of Federal Regulations identified in the </w:t>
      </w:r>
      <w:r>
        <w:rPr>
          <w:i/>
        </w:rPr>
        <w:t>Modernization Initiative Public Notice</w:t>
      </w:r>
      <w:r>
        <w:t xml:space="preserve">, </w:t>
      </w:r>
      <w:r w:rsidRPr="00F33813">
        <w:t xml:space="preserve">32 FCC Rcd </w:t>
      </w:r>
      <w:r>
        <w:t xml:space="preserve">at </w:t>
      </w:r>
      <w:r w:rsidRPr="00F33813">
        <w:t>440</w:t>
      </w:r>
      <w:r>
        <w:t>9, these rules establish regulatory obligations designed to facilitate the DTV transition and thus are within the scope of our review in MB Docket No. 17-105.</w:t>
      </w:r>
    </w:p>
  </w:footnote>
  <w:footnote w:id="8">
    <w:p w:rsidR="004329E8" w:rsidP="004329E8">
      <w:pPr>
        <w:pStyle w:val="FootnoteText"/>
      </w:pPr>
      <w:r>
        <w:rPr>
          <w:rStyle w:val="FootnoteReference"/>
        </w:rPr>
        <w:footnoteRef/>
      </w:r>
      <w:r>
        <w:t xml:space="preserve"> </w:t>
      </w:r>
      <w:r>
        <w:rPr>
          <w:i/>
        </w:rPr>
        <w:t>Id.</w:t>
      </w:r>
      <w:r>
        <w:t xml:space="preserve"> </w:t>
      </w:r>
      <w:r w:rsidRPr="0015290B">
        <w:t>§</w:t>
      </w:r>
      <w:r>
        <w:t xml:space="preserve"> 73.616(a) and Note (imposing certain station interference protection obligations on applicants </w:t>
      </w:r>
      <w:r w:rsidRPr="00F24E58">
        <w:t xml:space="preserve">seeking facilities that </w:t>
      </w:r>
      <w:r>
        <w:t>“</w:t>
      </w:r>
      <w:r w:rsidRPr="00F24E58">
        <w:t>will operate prior to the end of the DTV transition</w:t>
      </w:r>
      <w:r>
        <w:t>”).</w:t>
      </w:r>
    </w:p>
  </w:footnote>
  <w:footnote w:id="9">
    <w:p w:rsidR="004329E8" w:rsidP="004329E8">
      <w:pPr>
        <w:pStyle w:val="FootnoteText"/>
      </w:pPr>
      <w:r>
        <w:rPr>
          <w:rStyle w:val="FootnoteReference"/>
        </w:rPr>
        <w:footnoteRef/>
      </w:r>
      <w:r>
        <w:t xml:space="preserve"> </w:t>
      </w:r>
      <w:r>
        <w:rPr>
          <w:i/>
        </w:rPr>
        <w:t>Id.</w:t>
      </w:r>
      <w:r>
        <w:t xml:space="preserve"> </w:t>
      </w:r>
      <w:r w:rsidRPr="0015290B">
        <w:t>§</w:t>
      </w:r>
      <w:r>
        <w:t xml:space="preserve"> 73.674 (requiring full power educational television broadcast licensees and permittees to air specified educational campaigns about the DTV transition).</w:t>
      </w:r>
    </w:p>
  </w:footnote>
  <w:footnote w:id="10">
    <w:p w:rsidR="004329E8" w:rsidP="004329E8">
      <w:pPr>
        <w:pStyle w:val="FootnoteText"/>
      </w:pPr>
      <w:r>
        <w:rPr>
          <w:rStyle w:val="FootnoteReference"/>
        </w:rPr>
        <w:footnoteRef/>
      </w:r>
      <w:r>
        <w:t xml:space="preserve"> </w:t>
      </w:r>
      <w:r>
        <w:rPr>
          <w:i/>
        </w:rPr>
        <w:t>Id.</w:t>
      </w:r>
      <w:r>
        <w:t xml:space="preserve"> </w:t>
      </w:r>
      <w:r w:rsidRPr="0015290B">
        <w:t>§</w:t>
      </w:r>
      <w:r>
        <w:t xml:space="preserve"> 73.</w:t>
      </w:r>
      <w:r w:rsidRPr="000D3B64">
        <w:t>3526(e)(11)(iv)</w:t>
      </w:r>
      <w:r>
        <w:t xml:space="preserve"> (requiring full power commercial television broadcast stations to place in their public inspection files a completed DTV Consumer Education Quarterly Activity Report).</w:t>
      </w:r>
    </w:p>
  </w:footnote>
  <w:footnote w:id="11">
    <w:p w:rsidR="004329E8" w:rsidP="004329E8">
      <w:pPr>
        <w:pStyle w:val="FootnoteText"/>
      </w:pPr>
      <w:r>
        <w:rPr>
          <w:rStyle w:val="FootnoteReference"/>
        </w:rPr>
        <w:footnoteRef/>
      </w:r>
      <w:r>
        <w:t xml:space="preserve"> </w:t>
      </w:r>
      <w:r w:rsidRPr="00C2230D">
        <w:rPr>
          <w:i/>
        </w:rPr>
        <w:t>Id.</w:t>
      </w:r>
      <w:r>
        <w:t xml:space="preserve"> § 73.3527(e)(13</w:t>
      </w:r>
      <w:r w:rsidRPr="00842D5E">
        <w:t xml:space="preserve">) (requiring full power </w:t>
      </w:r>
      <w:r>
        <w:t>non</w:t>
      </w:r>
      <w:r w:rsidRPr="00842D5E">
        <w:t xml:space="preserve">commercial </w:t>
      </w:r>
      <w:r>
        <w:t xml:space="preserve">educational </w:t>
      </w:r>
      <w:r w:rsidRPr="00842D5E">
        <w:t>television broadcast stations to place in their public inspection files a completed DTV Consumer Education Quarterly Activity Report).</w:t>
      </w:r>
    </w:p>
  </w:footnote>
  <w:footnote w:id="12">
    <w:p w:rsidR="004329E8" w:rsidP="004329E8">
      <w:pPr>
        <w:pStyle w:val="FootnoteText"/>
      </w:pPr>
      <w:r>
        <w:rPr>
          <w:rStyle w:val="FootnoteReference"/>
        </w:rPr>
        <w:footnoteRef/>
      </w:r>
      <w:r>
        <w:t xml:space="preserve"> </w:t>
      </w:r>
      <w:r>
        <w:rPr>
          <w:i/>
        </w:rPr>
        <w:t>Id.</w:t>
      </w:r>
      <w:r>
        <w:t xml:space="preserve"> </w:t>
      </w:r>
      <w:r w:rsidRPr="0015290B">
        <w:t>§</w:t>
      </w:r>
      <w:r>
        <w:t xml:space="preserve"> 76.1630 (requiring m</w:t>
      </w:r>
      <w:r w:rsidRPr="00575CA7">
        <w:t xml:space="preserve">ultichannel video programming distributors </w:t>
      </w:r>
      <w:r>
        <w:t>to</w:t>
      </w:r>
      <w:r w:rsidRPr="00575CA7">
        <w:t xml:space="preserve"> </w:t>
      </w:r>
      <w:r>
        <w:t xml:space="preserve">inform </w:t>
      </w:r>
      <w:r w:rsidRPr="00575CA7">
        <w:t xml:space="preserve">subscribers about the </w:t>
      </w:r>
      <w:r>
        <w:t xml:space="preserve">DTV </w:t>
      </w:r>
      <w:r w:rsidRPr="00575CA7">
        <w:t xml:space="preserve">transition </w:t>
      </w:r>
      <w:r>
        <w:t>via</w:t>
      </w:r>
      <w:r w:rsidRPr="00575CA7">
        <w:t xml:space="preserve"> monthly bills or </w:t>
      </w:r>
      <w:r>
        <w:t>notices)</w:t>
      </w:r>
      <w:r w:rsidRPr="00575CA7">
        <w:t>.</w:t>
      </w:r>
    </w:p>
  </w:footnote>
  <w:footnote w:id="13">
    <w:p w:rsidR="004329E8" w:rsidP="004329E8">
      <w:pPr>
        <w:pStyle w:val="FootnoteText"/>
      </w:pPr>
      <w:r>
        <w:rPr>
          <w:rStyle w:val="FootnoteReference"/>
        </w:rPr>
        <w:footnoteRef/>
      </w:r>
      <w:r>
        <w:t xml:space="preserve"> </w:t>
      </w:r>
      <w:r w:rsidRPr="00B431B1">
        <w:rPr>
          <w:i/>
        </w:rPr>
        <w:t>Id.</w:t>
      </w:r>
      <w:r w:rsidRPr="00B431B1">
        <w:t xml:space="preserve"> §</w:t>
      </w:r>
      <w:r>
        <w:t xml:space="preserve"> 73.625(a)(1), Note.</w:t>
      </w:r>
    </w:p>
  </w:footnote>
  <w:footnote w:id="14">
    <w:p w:rsidR="004329E8" w:rsidRPr="00AC57C5" w:rsidP="004329E8">
      <w:pPr>
        <w:pStyle w:val="FootnoteText"/>
        <w:rPr>
          <w:i/>
        </w:rPr>
      </w:pPr>
      <w:r>
        <w:rPr>
          <w:rStyle w:val="FootnoteReference"/>
        </w:rPr>
        <w:footnoteRef/>
      </w:r>
      <w:r>
        <w:t xml:space="preserve"> </w:t>
      </w:r>
      <w:bookmarkStart w:id="4" w:name="_Hlk499632844"/>
      <w:r>
        <w:t xml:space="preserve">47 U.S.C. § </w:t>
      </w:r>
      <w:bookmarkEnd w:id="4"/>
      <w:r>
        <w:t xml:space="preserve">309(j)(14)(A).  We note that low power television and TV translator stations are permitted to continue to operate in analog until their DTV transition date of July 13, 2021.  </w:t>
      </w:r>
      <w:r>
        <w:rPr>
          <w:i/>
        </w:rPr>
        <w:t xml:space="preserve">See </w:t>
      </w:r>
      <w:r>
        <w:rPr>
          <w:i/>
          <w:snapToGrid w:val="0"/>
        </w:rPr>
        <w:t>The Incentive Auction Task Force and Media Bureau Announce Procedures for Low Power Television, Television Translator and Replacement Translator Stations During the Post-Incentive Auction Transition</w:t>
      </w:r>
      <w:r>
        <w:rPr>
          <w:snapToGrid w:val="0"/>
        </w:rPr>
        <w:t>, Public Notice, 32 FCC Rcd 3860, 3874, para. 36 (2017).  The Commission will eliminate rules that have become obsolete as a result of that transition after the transition is completed.</w:t>
      </w:r>
    </w:p>
  </w:footnote>
  <w:footnote w:id="15">
    <w:p w:rsidR="004329E8" w:rsidRPr="000E357A" w:rsidP="004329E8">
      <w:pPr>
        <w:pStyle w:val="FootnoteText"/>
      </w:pPr>
      <w:r>
        <w:rPr>
          <w:rStyle w:val="FootnoteReference"/>
        </w:rPr>
        <w:footnoteRef/>
      </w:r>
      <w:r>
        <w:t xml:space="preserve"> 47 CFR </w:t>
      </w:r>
      <w:r w:rsidRPr="00B679B0">
        <w:t>§</w:t>
      </w:r>
      <w:r>
        <w:t xml:space="preserve"> </w:t>
      </w:r>
      <w:r w:rsidRPr="00C35B14">
        <w:t>73.607 (</w:t>
      </w:r>
      <w:r>
        <w:t xml:space="preserve">governing applications for construction of television broadcast stations filed by analog full power stations). </w:t>
      </w:r>
    </w:p>
  </w:footnote>
  <w:footnote w:id="16">
    <w:p w:rsidR="004329E8" w:rsidRPr="00E665EA" w:rsidP="004329E8">
      <w:pPr>
        <w:pStyle w:val="FootnoteText"/>
      </w:pPr>
      <w:r w:rsidRPr="00E665EA">
        <w:rPr>
          <w:rStyle w:val="FootnoteReference"/>
        </w:rPr>
        <w:footnoteRef/>
      </w:r>
      <w:r w:rsidRPr="00E665EA">
        <w:t xml:space="preserve"> </w:t>
      </w:r>
      <w:r w:rsidRPr="000E357A">
        <w:rPr>
          <w:i/>
        </w:rPr>
        <w:t>Id.</w:t>
      </w:r>
      <w:r w:rsidRPr="000E357A">
        <w:t xml:space="preserve"> §</w:t>
      </w:r>
      <w:r w:rsidRPr="00E665EA">
        <w:t xml:space="preserve"> 73.610 (establishing requirements for minimum distance separations between full power analog television broadcast stations).</w:t>
      </w:r>
    </w:p>
  </w:footnote>
  <w:footnote w:id="17">
    <w:p w:rsidR="004329E8" w:rsidRPr="009D5B2F" w:rsidP="004329E8">
      <w:pPr>
        <w:pStyle w:val="FootnoteText"/>
      </w:pPr>
      <w:r w:rsidRPr="00E665EA">
        <w:rPr>
          <w:rStyle w:val="FootnoteReference"/>
        </w:rPr>
        <w:footnoteRef/>
      </w:r>
      <w:r w:rsidRPr="00E665EA">
        <w:t xml:space="preserve"> </w:t>
      </w:r>
      <w:r w:rsidRPr="000E357A">
        <w:rPr>
          <w:i/>
        </w:rPr>
        <w:t>Id.</w:t>
      </w:r>
      <w:r w:rsidRPr="000E357A">
        <w:t xml:space="preserve"> §</w:t>
      </w:r>
      <w:r w:rsidRPr="00E665EA">
        <w:t xml:space="preserve"> 73.611 (establishing reference point and distance computation requirements to be applied by the Commission in considering petitions to amend the Table of Allotments applicable to full power analog television broadcast service</w:t>
      </w:r>
      <w:r w:rsidRPr="009D5B2F">
        <w:t xml:space="preserve">).  </w:t>
      </w:r>
    </w:p>
  </w:footnote>
  <w:footnote w:id="18">
    <w:p w:rsidR="004329E8" w:rsidRPr="009D5B2F" w:rsidP="004329E8">
      <w:pPr>
        <w:pStyle w:val="FootnoteText"/>
      </w:pPr>
      <w:r w:rsidRPr="009D5B2F">
        <w:rPr>
          <w:rStyle w:val="FootnoteReference"/>
        </w:rPr>
        <w:footnoteRef/>
      </w:r>
      <w:r w:rsidRPr="009D5B2F">
        <w:t xml:space="preserve"> </w:t>
      </w:r>
      <w:r w:rsidRPr="009D5B2F">
        <w:rPr>
          <w:i/>
        </w:rPr>
        <w:t>Id.</w:t>
      </w:r>
      <w:r w:rsidRPr="009D5B2F">
        <w:t xml:space="preserve"> § 73.671(d) (establishing a processing guideline for assessing whether an analog television broadcast licensee has complied with children’s programming requirements).    </w:t>
      </w:r>
    </w:p>
  </w:footnote>
  <w:footnote w:id="19">
    <w:p w:rsidR="004329E8" w:rsidRPr="009D5B2F" w:rsidP="004329E8">
      <w:pPr>
        <w:pStyle w:val="FootnoteText"/>
      </w:pPr>
      <w:r w:rsidRPr="009D5B2F">
        <w:rPr>
          <w:rStyle w:val="FootnoteReference"/>
        </w:rPr>
        <w:footnoteRef/>
      </w:r>
      <w:r w:rsidRPr="009D5B2F">
        <w:t xml:space="preserve"> </w:t>
      </w:r>
      <w:r w:rsidRPr="009D5B2F">
        <w:rPr>
          <w:i/>
        </w:rPr>
        <w:t>Id.</w:t>
      </w:r>
      <w:r w:rsidRPr="009D5B2F">
        <w:t xml:space="preserve"> § 73.6011 (establishing requirements for protection of full power analog television broadcast stations by Class A television stations). </w:t>
      </w:r>
    </w:p>
  </w:footnote>
  <w:footnote w:id="20">
    <w:p w:rsidR="004329E8" w:rsidRPr="009D5B2F" w:rsidP="004329E8">
      <w:pPr>
        <w:pStyle w:val="FootnoteText"/>
      </w:pPr>
      <w:r w:rsidRPr="009D5B2F">
        <w:rPr>
          <w:rStyle w:val="FootnoteReference"/>
        </w:rPr>
        <w:footnoteRef/>
      </w:r>
      <w:r w:rsidRPr="009D5B2F">
        <w:t xml:space="preserve"> </w:t>
      </w:r>
      <w:r w:rsidRPr="009D5B2F">
        <w:rPr>
          <w:i/>
        </w:rPr>
        <w:t>Id.</w:t>
      </w:r>
      <w:r w:rsidRPr="009D5B2F">
        <w:t xml:space="preserve"> § 73.6016 (establishing requirements for protection of full power analog television broadcast stations by Digital Class A stations). </w:t>
      </w:r>
    </w:p>
  </w:footnote>
  <w:footnote w:id="21">
    <w:p w:rsidR="004329E8" w:rsidP="004329E8">
      <w:pPr>
        <w:pStyle w:val="FootnoteText"/>
      </w:pPr>
      <w:r w:rsidRPr="009D5B2F">
        <w:rPr>
          <w:rStyle w:val="FootnoteReference"/>
        </w:rPr>
        <w:footnoteRef/>
      </w:r>
      <w:r w:rsidRPr="009D5B2F">
        <w:t xml:space="preserve"> </w:t>
      </w:r>
      <w:r w:rsidRPr="009D5B2F">
        <w:rPr>
          <w:i/>
        </w:rPr>
        <w:t>Id.</w:t>
      </w:r>
      <w:r w:rsidRPr="009D5B2F">
        <w:t xml:space="preserve"> § 74.705 (establishing requirements for protection of full power analog television broadcast stations by low power television and television translator stations).  </w:t>
      </w:r>
    </w:p>
  </w:footnote>
  <w:footnote w:id="22">
    <w:p w:rsidR="004329E8" w:rsidP="004329E8">
      <w:pPr>
        <w:pStyle w:val="FootnoteText"/>
      </w:pPr>
      <w:r>
        <w:rPr>
          <w:rStyle w:val="FootnoteReference"/>
        </w:rPr>
        <w:footnoteRef/>
      </w:r>
      <w:r>
        <w:t xml:space="preserve"> </w:t>
      </w:r>
      <w:r>
        <w:rPr>
          <w:i/>
        </w:rPr>
        <w:t>Id.</w:t>
      </w:r>
      <w:r w:rsidRPr="00B679B0">
        <w:t xml:space="preserve"> § 73.606</w:t>
      </w:r>
      <w:r w:rsidRPr="00DB644E">
        <w:t>.</w:t>
      </w:r>
      <w:r>
        <w:t xml:space="preserve">  </w:t>
      </w:r>
    </w:p>
  </w:footnote>
  <w:footnote w:id="23">
    <w:p w:rsidR="004329E8" w:rsidP="004329E8">
      <w:pPr>
        <w:pStyle w:val="FootnoteText"/>
      </w:pPr>
      <w:r>
        <w:rPr>
          <w:rStyle w:val="FootnoteReference"/>
        </w:rPr>
        <w:footnoteRef/>
      </w:r>
      <w:r>
        <w:t xml:space="preserve"> </w:t>
      </w:r>
      <w:r w:rsidRPr="004329E8">
        <w:rPr>
          <w:color w:val="000000"/>
        </w:rPr>
        <w:t xml:space="preserve">Section 73.606 (the analog TV Table of Allotments) is referenced in the statutory definition of a “qualified noncommercial educational television station” that qualifies for must carry rights, although the statute also refers to “any successor regulation” to Section 73.606.  47 U.S.C. § 535(l)(1)(B) (defining “qualified noncommercial educational television station” as, among other things, “a full-service station or translator if such station or translator is licensed to a channel reserved for noncommercial educational use pursuant to section 73.606 of title 47, Code of Federal Regulations, or any successor regulations thereto”).  </w:t>
      </w:r>
      <w:r w:rsidRPr="004329E8">
        <w:rPr>
          <w:i/>
          <w:color w:val="000000"/>
        </w:rPr>
        <w:t>See also</w:t>
      </w:r>
      <w:r w:rsidRPr="004329E8">
        <w:rPr>
          <w:color w:val="000000"/>
        </w:rPr>
        <w:t xml:space="preserve"> 47 CFR § 76.55(a)(3)(ii) (same).  The “successor regulation” to Section 73.606 is Section 73.622(i), the </w:t>
      </w:r>
      <w:bookmarkStart w:id="5" w:name="_Hlk502918419"/>
      <w:r w:rsidRPr="004329E8">
        <w:rPr>
          <w:color w:val="000000"/>
        </w:rPr>
        <w:t>Post-Transition Table of DTV Allotments</w:t>
      </w:r>
      <w:bookmarkEnd w:id="5"/>
      <w:r w:rsidRPr="004329E8">
        <w:rPr>
          <w:color w:val="000000"/>
        </w:rPr>
        <w:t>.  During the post-incentive auction transition process, the Commission has explained that it will not </w:t>
      </w:r>
      <w:r w:rsidRPr="004329E8">
        <w:rPr>
          <w:rStyle w:val="cosearchterm"/>
          <w:bCs/>
          <w:color w:val="000000"/>
        </w:rPr>
        <w:t>use</w:t>
      </w:r>
      <w:r w:rsidRPr="004329E8">
        <w:rPr>
          <w:color w:val="000000"/>
        </w:rPr>
        <w:t> a codified </w:t>
      </w:r>
      <w:r w:rsidRPr="004329E8">
        <w:rPr>
          <w:rStyle w:val="cosearchterm"/>
          <w:bCs/>
          <w:color w:val="000000"/>
        </w:rPr>
        <w:t>Table</w:t>
      </w:r>
      <w:r w:rsidRPr="004329E8">
        <w:rPr>
          <w:color w:val="000000"/>
        </w:rPr>
        <w:t xml:space="preserve"> of Allotments to implement post-auction channel changes and that the Media Bureau intends to initiate a proceeding to amend Section 73.622 of the rules to reflect all new full power channel assignments as well as NCE status in a revised Table of Allotments.  </w:t>
      </w:r>
      <w:r w:rsidRPr="004329E8">
        <w:rPr>
          <w:i/>
          <w:color w:val="000000"/>
        </w:rPr>
        <w:t>See</w:t>
      </w:r>
      <w:r w:rsidRPr="004329E8">
        <w:rPr>
          <w:color w:val="000000"/>
        </w:rPr>
        <w:t xml:space="preserve"> </w:t>
      </w:r>
      <w:r w:rsidRPr="004329E8">
        <w:rPr>
          <w:rStyle w:val="Emphasis"/>
          <w:color w:val="000000"/>
        </w:rPr>
        <w:t>Expanding the Economic and Innovation Opportunities of Spectrum Through Incentive Auctions</w:t>
      </w:r>
      <w:r w:rsidRPr="004329E8">
        <w:rPr>
          <w:color w:val="000000"/>
        </w:rPr>
        <w:t>, GN Docket No. 12-268, Report and Order, 29 FCC Rcd 6567, 6789-90, para. 544 and n.1545 (2014).</w:t>
      </w:r>
    </w:p>
  </w:footnote>
  <w:footnote w:id="24">
    <w:p w:rsidR="004329E8" w:rsidRPr="00F7137E" w:rsidP="004329E8">
      <w:pPr>
        <w:pStyle w:val="FootnoteText"/>
      </w:pPr>
      <w:r>
        <w:rPr>
          <w:rStyle w:val="FootnoteReference"/>
        </w:rPr>
        <w:footnoteRef/>
      </w:r>
      <w:r>
        <w:t xml:space="preserve"> 5 U.S.C. § 553(b)(3)(B).</w:t>
      </w:r>
    </w:p>
  </w:footnote>
  <w:footnote w:id="25">
    <w:p w:rsidR="004329E8" w:rsidRPr="00F7137E" w:rsidP="004329E8">
      <w:pPr>
        <w:pStyle w:val="FootnoteText"/>
      </w:pPr>
      <w:r>
        <w:rPr>
          <w:rStyle w:val="FootnoteReference"/>
        </w:rPr>
        <w:footnoteRef/>
      </w:r>
      <w:r>
        <w:t xml:space="preserve"> </w:t>
      </w:r>
      <w:r>
        <w:rPr>
          <w:i/>
        </w:rPr>
        <w:t xml:space="preserve">Id. </w:t>
      </w:r>
      <w:r>
        <w:t>§ 553(d)(3).</w:t>
      </w:r>
    </w:p>
  </w:footnote>
  <w:footnote w:id="26">
    <w:p w:rsidR="004329E8" w:rsidRPr="00231720" w:rsidP="004329E8">
      <w:pPr>
        <w:pStyle w:val="FootnoteText"/>
      </w:pPr>
      <w:r>
        <w:rPr>
          <w:rStyle w:val="FootnoteReference"/>
        </w:rPr>
        <w:footnoteRef/>
      </w:r>
      <w:r>
        <w:t xml:space="preserve"> </w:t>
      </w:r>
      <w:r>
        <w:rPr>
          <w:i/>
        </w:rPr>
        <w:t xml:space="preserve">Id. </w:t>
      </w:r>
      <w:r>
        <w:t xml:space="preserve">§ 601 </w:t>
      </w:r>
      <w:r>
        <w:rPr>
          <w:i/>
        </w:rPr>
        <w:t xml:space="preserve">et seq.  See id. </w:t>
      </w:r>
      <w:r>
        <w:t>§ 601(2).</w:t>
      </w:r>
    </w:p>
  </w:footnote>
  <w:footnote w:id="27">
    <w:p w:rsidR="004329E8" w:rsidP="004329E8">
      <w:pPr>
        <w:pStyle w:val="FootnoteText"/>
      </w:pPr>
      <w:r>
        <w:rPr>
          <w:rStyle w:val="FootnoteReference"/>
        </w:rPr>
        <w:footnoteRef/>
      </w:r>
      <w:r>
        <w:t xml:space="preserve"> Public Law 104-13.</w:t>
      </w:r>
    </w:p>
  </w:footnote>
  <w:footnote w:id="28">
    <w:p w:rsidR="004329E8" w:rsidRPr="004F4F16" w:rsidP="004329E8">
      <w:pPr>
        <w:pStyle w:val="FootnoteText"/>
      </w:pPr>
      <w:r>
        <w:rPr>
          <w:rStyle w:val="FootnoteReference"/>
        </w:rPr>
        <w:footnoteRef/>
      </w:r>
      <w:r>
        <w:t xml:space="preserve"> Public Law 107-198; </w:t>
      </w:r>
      <w:r>
        <w:rPr>
          <w:i/>
        </w:rPr>
        <w:t xml:space="preserve">see </w:t>
      </w:r>
      <w:r>
        <w:t>44 U.S.C. 3506(c)(4).</w:t>
      </w:r>
    </w:p>
  </w:footnote>
  <w:footnote w:id="29">
    <w:p w:rsidR="004329E8" w:rsidP="004329E8">
      <w:pPr>
        <w:pStyle w:val="FootnoteText"/>
      </w:pPr>
      <w:r>
        <w:rPr>
          <w:rStyle w:val="FootnoteReference"/>
        </w:rPr>
        <w:footnoteRef/>
      </w:r>
      <w:r>
        <w:t xml:space="preserve"> </w:t>
      </w:r>
      <w:r>
        <w:rPr>
          <w:rStyle w:val="documentbody"/>
          <w:i/>
          <w:szCs w:val="22"/>
        </w:rPr>
        <w:t>See</w:t>
      </w:r>
      <w:r>
        <w:rPr>
          <w:rStyle w:val="documentbody"/>
          <w:szCs w:val="22"/>
        </w:rPr>
        <w:t xml:space="preserve"> 5 U.S.C. § 801(a)(1)(A).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D5AC3">
      <w:t>FCC 18-3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AD1044">
      <w:tab/>
      <w:t>Federal Communications Commission</w:t>
    </w:r>
    <w:r w:rsidR="00AD1044">
      <w:tab/>
    </w:r>
    <w:r w:rsidR="00CD5AC3">
      <w:rPr>
        <w:spacing w:val="-2"/>
      </w:rPr>
      <w:t>FCC 18-3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194" w:rsidP="00810B6F">
    <w:pPr>
      <w:pStyle w:val="Header"/>
      <w:rPr>
        <w:b w:val="0"/>
      </w:rPr>
    </w:pPr>
    <w:r>
      <w:rPr>
        <w:noProof/>
      </w:rPr>
      <w:pict>
        <v:rect id="_x0000_s2051" style="width:468pt;height:0.95pt;margin-top:12.65pt;margin-left:0.6pt;mso-position-horizontal-relative:margin;position:absolute;visibility:visible;z-index:-251656192" o:allowincell="f" fillcolor="black" stroked="f" strokeweight="0.05pt">
          <w10:wrap anchorx="margin"/>
        </v:rect>
      </w:pict>
    </w:r>
    <w:r w:rsidR="00AD1044">
      <w:tab/>
      <w:t>Federal Communications Commission</w:t>
    </w:r>
    <w:r w:rsidR="00AD1044">
      <w:tab/>
    </w:r>
    <w:r w:rsidR="00CD5AC3">
      <w:rPr>
        <w:spacing w:val="-2"/>
      </w:rPr>
      <w:t>FCC 18-3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AF32FF"/>
    <w:multiLevelType w:val="hybridMultilevel"/>
    <w:tmpl w:val="4AE216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D07C68"/>
    <w:multiLevelType w:val="hybridMultilevel"/>
    <w:tmpl w:val="C512D5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5FC28E0"/>
    <w:multiLevelType w:val="hybridMultilevel"/>
    <w:tmpl w:val="81D65B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8335608"/>
    <w:multiLevelType w:val="hybridMultilevel"/>
    <w:tmpl w:val="E81652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874300C"/>
    <w:multiLevelType w:val="hybridMultilevel"/>
    <w:tmpl w:val="81D65B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8"/>
  </w:num>
  <w:num w:numId="5">
    <w:abstractNumId w:val="5"/>
  </w:num>
  <w:num w:numId="6">
    <w:abstractNumId w:val="0"/>
  </w:num>
  <w:num w:numId="7">
    <w:abstractNumId w:val="7"/>
  </w:num>
  <w:num w:numId="8">
    <w:abstractNumId w:val="2"/>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1E4D"/>
    <w:rsid w:val="00035B91"/>
    <w:rsid w:val="00036039"/>
    <w:rsid w:val="00037F90"/>
    <w:rsid w:val="000875BF"/>
    <w:rsid w:val="00096D8C"/>
    <w:rsid w:val="000C0B65"/>
    <w:rsid w:val="000D3B64"/>
    <w:rsid w:val="000E05FE"/>
    <w:rsid w:val="000E357A"/>
    <w:rsid w:val="000E3D42"/>
    <w:rsid w:val="00122BD5"/>
    <w:rsid w:val="00133F79"/>
    <w:rsid w:val="0015290B"/>
    <w:rsid w:val="0017296B"/>
    <w:rsid w:val="0018382B"/>
    <w:rsid w:val="00194A66"/>
    <w:rsid w:val="001D6BCF"/>
    <w:rsid w:val="001E01CA"/>
    <w:rsid w:val="001E2477"/>
    <w:rsid w:val="002078E1"/>
    <w:rsid w:val="00216B58"/>
    <w:rsid w:val="00231720"/>
    <w:rsid w:val="002533BA"/>
    <w:rsid w:val="00254867"/>
    <w:rsid w:val="00275CF5"/>
    <w:rsid w:val="0028301F"/>
    <w:rsid w:val="00285017"/>
    <w:rsid w:val="002A2D2E"/>
    <w:rsid w:val="002C00E8"/>
    <w:rsid w:val="00314C1F"/>
    <w:rsid w:val="00343749"/>
    <w:rsid w:val="003660ED"/>
    <w:rsid w:val="003B0550"/>
    <w:rsid w:val="003B694F"/>
    <w:rsid w:val="003C3AA3"/>
    <w:rsid w:val="003F171C"/>
    <w:rsid w:val="00412C1A"/>
    <w:rsid w:val="00412FC5"/>
    <w:rsid w:val="00422276"/>
    <w:rsid w:val="004242F1"/>
    <w:rsid w:val="004329E8"/>
    <w:rsid w:val="00445A00"/>
    <w:rsid w:val="00451B0F"/>
    <w:rsid w:val="00452327"/>
    <w:rsid w:val="004C2EE3"/>
    <w:rsid w:val="004E4A22"/>
    <w:rsid w:val="004F4F16"/>
    <w:rsid w:val="00511968"/>
    <w:rsid w:val="00522139"/>
    <w:rsid w:val="0055614C"/>
    <w:rsid w:val="00575CA7"/>
    <w:rsid w:val="00590AFD"/>
    <w:rsid w:val="005D4194"/>
    <w:rsid w:val="005E14C2"/>
    <w:rsid w:val="005F4728"/>
    <w:rsid w:val="00607BA5"/>
    <w:rsid w:val="0061180A"/>
    <w:rsid w:val="00626EB6"/>
    <w:rsid w:val="0064168D"/>
    <w:rsid w:val="00655D03"/>
    <w:rsid w:val="00683388"/>
    <w:rsid w:val="00683F84"/>
    <w:rsid w:val="006A6A81"/>
    <w:rsid w:val="006F7393"/>
    <w:rsid w:val="0070224F"/>
    <w:rsid w:val="007115F7"/>
    <w:rsid w:val="00785689"/>
    <w:rsid w:val="0079754B"/>
    <w:rsid w:val="007A1E6D"/>
    <w:rsid w:val="007B0EB2"/>
    <w:rsid w:val="007C0785"/>
    <w:rsid w:val="00810B6F"/>
    <w:rsid w:val="00822CE0"/>
    <w:rsid w:val="00841AB1"/>
    <w:rsid w:val="00842D5E"/>
    <w:rsid w:val="008935E1"/>
    <w:rsid w:val="008C68F1"/>
    <w:rsid w:val="00921803"/>
    <w:rsid w:val="00926503"/>
    <w:rsid w:val="009726D8"/>
    <w:rsid w:val="009D37D9"/>
    <w:rsid w:val="009D5B2F"/>
    <w:rsid w:val="009F76DB"/>
    <w:rsid w:val="00A0785D"/>
    <w:rsid w:val="00A32C3B"/>
    <w:rsid w:val="00A45F4F"/>
    <w:rsid w:val="00A600A9"/>
    <w:rsid w:val="00AA55B7"/>
    <w:rsid w:val="00AA5B9E"/>
    <w:rsid w:val="00AB2407"/>
    <w:rsid w:val="00AB53DF"/>
    <w:rsid w:val="00AC1060"/>
    <w:rsid w:val="00AC57C5"/>
    <w:rsid w:val="00AD1044"/>
    <w:rsid w:val="00B04C6D"/>
    <w:rsid w:val="00B07E5C"/>
    <w:rsid w:val="00B37D9E"/>
    <w:rsid w:val="00B431B1"/>
    <w:rsid w:val="00B679B0"/>
    <w:rsid w:val="00B811F7"/>
    <w:rsid w:val="00BA5DC6"/>
    <w:rsid w:val="00BA6196"/>
    <w:rsid w:val="00BC6D8C"/>
    <w:rsid w:val="00C1424A"/>
    <w:rsid w:val="00C2230D"/>
    <w:rsid w:val="00C34006"/>
    <w:rsid w:val="00C35B14"/>
    <w:rsid w:val="00C426B1"/>
    <w:rsid w:val="00C66160"/>
    <w:rsid w:val="00C721AC"/>
    <w:rsid w:val="00C90D6A"/>
    <w:rsid w:val="00CA247E"/>
    <w:rsid w:val="00CC72B6"/>
    <w:rsid w:val="00CD5AC3"/>
    <w:rsid w:val="00D0218D"/>
    <w:rsid w:val="00D25FB5"/>
    <w:rsid w:val="00D44223"/>
    <w:rsid w:val="00D87D27"/>
    <w:rsid w:val="00DA2529"/>
    <w:rsid w:val="00DB130A"/>
    <w:rsid w:val="00DB2EBB"/>
    <w:rsid w:val="00DB644E"/>
    <w:rsid w:val="00DC10A1"/>
    <w:rsid w:val="00DC655F"/>
    <w:rsid w:val="00DD0B59"/>
    <w:rsid w:val="00DD2669"/>
    <w:rsid w:val="00DD7EBD"/>
    <w:rsid w:val="00DF62B6"/>
    <w:rsid w:val="00E07225"/>
    <w:rsid w:val="00E5409F"/>
    <w:rsid w:val="00E665EA"/>
    <w:rsid w:val="00E75F5B"/>
    <w:rsid w:val="00EA7953"/>
    <w:rsid w:val="00EE6488"/>
    <w:rsid w:val="00F021FA"/>
    <w:rsid w:val="00F075D1"/>
    <w:rsid w:val="00F24E58"/>
    <w:rsid w:val="00F33813"/>
    <w:rsid w:val="00F37808"/>
    <w:rsid w:val="00F62E97"/>
    <w:rsid w:val="00F64209"/>
    <w:rsid w:val="00F7137E"/>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B58"/>
    <w:pPr>
      <w:widowControl w:val="0"/>
    </w:pPr>
    <w:rPr>
      <w:snapToGrid w:val="0"/>
      <w:kern w:val="28"/>
      <w:sz w:val="22"/>
    </w:rPr>
  </w:style>
  <w:style w:type="paragraph" w:styleId="Heading1">
    <w:name w:val="heading 1"/>
    <w:basedOn w:val="Normal"/>
    <w:next w:val="ParaNum"/>
    <w:qFormat/>
    <w:rsid w:val="00216B5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16B58"/>
    <w:pPr>
      <w:keepNext/>
      <w:numPr>
        <w:ilvl w:val="1"/>
        <w:numId w:val="3"/>
      </w:numPr>
      <w:spacing w:after="120"/>
      <w:outlineLvl w:val="1"/>
    </w:pPr>
    <w:rPr>
      <w:b/>
    </w:rPr>
  </w:style>
  <w:style w:type="paragraph" w:styleId="Heading3">
    <w:name w:val="heading 3"/>
    <w:basedOn w:val="Normal"/>
    <w:next w:val="ParaNum"/>
    <w:qFormat/>
    <w:rsid w:val="00216B58"/>
    <w:pPr>
      <w:keepNext/>
      <w:numPr>
        <w:ilvl w:val="2"/>
        <w:numId w:val="3"/>
      </w:numPr>
      <w:tabs>
        <w:tab w:val="left" w:pos="2160"/>
      </w:tabs>
      <w:spacing w:after="120"/>
      <w:outlineLvl w:val="2"/>
    </w:pPr>
    <w:rPr>
      <w:b/>
    </w:rPr>
  </w:style>
  <w:style w:type="paragraph" w:styleId="Heading4">
    <w:name w:val="heading 4"/>
    <w:basedOn w:val="Normal"/>
    <w:next w:val="ParaNum"/>
    <w:qFormat/>
    <w:rsid w:val="00216B58"/>
    <w:pPr>
      <w:keepNext/>
      <w:numPr>
        <w:ilvl w:val="3"/>
        <w:numId w:val="3"/>
      </w:numPr>
      <w:tabs>
        <w:tab w:val="left" w:pos="2880"/>
      </w:tabs>
      <w:spacing w:after="120"/>
      <w:outlineLvl w:val="3"/>
    </w:pPr>
    <w:rPr>
      <w:b/>
    </w:rPr>
  </w:style>
  <w:style w:type="paragraph" w:styleId="Heading5">
    <w:name w:val="heading 5"/>
    <w:basedOn w:val="Normal"/>
    <w:next w:val="ParaNum"/>
    <w:qFormat/>
    <w:rsid w:val="00216B5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16B58"/>
    <w:pPr>
      <w:numPr>
        <w:ilvl w:val="5"/>
        <w:numId w:val="3"/>
      </w:numPr>
      <w:tabs>
        <w:tab w:val="left" w:pos="4320"/>
      </w:tabs>
      <w:spacing w:after="120"/>
      <w:outlineLvl w:val="5"/>
    </w:pPr>
    <w:rPr>
      <w:b/>
    </w:rPr>
  </w:style>
  <w:style w:type="paragraph" w:styleId="Heading7">
    <w:name w:val="heading 7"/>
    <w:basedOn w:val="Normal"/>
    <w:next w:val="ParaNum"/>
    <w:qFormat/>
    <w:rsid w:val="00216B5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16B5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16B5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216B58"/>
    <w:pPr>
      <w:numPr>
        <w:numId w:val="2"/>
      </w:numPr>
      <w:tabs>
        <w:tab w:val="clear" w:pos="1080"/>
        <w:tab w:val="num" w:pos="1440"/>
      </w:tabs>
      <w:spacing w:after="120"/>
    </w:pPr>
  </w:style>
  <w:style w:type="paragraph" w:styleId="EndnoteText">
    <w:name w:val="endnote text"/>
    <w:basedOn w:val="Normal"/>
    <w:semiHidden/>
    <w:rsid w:val="00216B58"/>
    <w:rPr>
      <w:sz w:val="20"/>
    </w:rPr>
  </w:style>
  <w:style w:type="character" w:styleId="EndnoteReference">
    <w:name w:val="endnote reference"/>
    <w:semiHidden/>
    <w:rsid w:val="00216B58"/>
    <w:rPr>
      <w:vertAlign w:val="superscript"/>
    </w:rPr>
  </w:style>
  <w:style w:type="paragraph" w:styleId="FootnoteText">
    <w:name w:val="footnote text"/>
    <w:rsid w:val="00216B58"/>
    <w:pPr>
      <w:spacing w:after="120"/>
    </w:pPr>
  </w:style>
  <w:style w:type="character" w:styleId="FootnoteReference">
    <w:name w:val="footnote reference"/>
    <w:rsid w:val="00216B58"/>
    <w:rPr>
      <w:rFonts w:ascii="Times New Roman" w:hAnsi="Times New Roman"/>
      <w:dstrike w:val="0"/>
      <w:color w:val="auto"/>
      <w:sz w:val="20"/>
      <w:vertAlign w:val="superscript"/>
    </w:rPr>
  </w:style>
  <w:style w:type="paragraph" w:styleId="TOC1">
    <w:name w:val="toc 1"/>
    <w:basedOn w:val="Normal"/>
    <w:next w:val="Normal"/>
    <w:semiHidden/>
    <w:rsid w:val="00216B5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16B58"/>
    <w:pPr>
      <w:tabs>
        <w:tab w:val="left" w:pos="720"/>
        <w:tab w:val="right" w:leader="dot" w:pos="9360"/>
      </w:tabs>
      <w:suppressAutoHyphens/>
      <w:ind w:left="720" w:right="720" w:hanging="360"/>
    </w:pPr>
    <w:rPr>
      <w:noProof/>
    </w:rPr>
  </w:style>
  <w:style w:type="paragraph" w:styleId="TOC3">
    <w:name w:val="toc 3"/>
    <w:basedOn w:val="Normal"/>
    <w:next w:val="Normal"/>
    <w:semiHidden/>
    <w:rsid w:val="00216B5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16B5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16B5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16B5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16B5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16B5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16B5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16B58"/>
    <w:pPr>
      <w:tabs>
        <w:tab w:val="right" w:pos="9360"/>
      </w:tabs>
      <w:suppressAutoHyphens/>
    </w:pPr>
  </w:style>
  <w:style w:type="character" w:customStyle="1" w:styleId="EquationCaption">
    <w:name w:val="_Equation Caption"/>
    <w:rsid w:val="00216B58"/>
  </w:style>
  <w:style w:type="paragraph" w:styleId="Header">
    <w:name w:val="header"/>
    <w:basedOn w:val="Normal"/>
    <w:autoRedefine/>
    <w:rsid w:val="00216B58"/>
    <w:pPr>
      <w:tabs>
        <w:tab w:val="center" w:pos="4680"/>
        <w:tab w:val="right" w:pos="9360"/>
      </w:tabs>
    </w:pPr>
    <w:rPr>
      <w:b/>
    </w:rPr>
  </w:style>
  <w:style w:type="paragraph" w:styleId="Footer">
    <w:name w:val="footer"/>
    <w:basedOn w:val="Normal"/>
    <w:link w:val="FooterChar"/>
    <w:rsid w:val="00216B58"/>
    <w:pPr>
      <w:tabs>
        <w:tab w:val="center" w:pos="4320"/>
        <w:tab w:val="right" w:pos="8640"/>
      </w:tabs>
    </w:pPr>
  </w:style>
  <w:style w:type="character" w:styleId="PageNumber">
    <w:name w:val="page number"/>
    <w:rsid w:val="00216B58"/>
  </w:style>
  <w:style w:type="paragraph" w:styleId="BlockText">
    <w:name w:val="Block Text"/>
    <w:basedOn w:val="Normal"/>
    <w:rsid w:val="00216B58"/>
    <w:pPr>
      <w:spacing w:after="240"/>
      <w:ind w:left="1440" w:right="1440"/>
    </w:pPr>
  </w:style>
  <w:style w:type="paragraph" w:customStyle="1" w:styleId="Paratitle">
    <w:name w:val="Para title"/>
    <w:basedOn w:val="Normal"/>
    <w:rsid w:val="00216B58"/>
    <w:pPr>
      <w:tabs>
        <w:tab w:val="center" w:pos="9270"/>
      </w:tabs>
      <w:spacing w:after="240"/>
    </w:pPr>
    <w:rPr>
      <w:spacing w:val="-2"/>
    </w:rPr>
  </w:style>
  <w:style w:type="paragraph" w:customStyle="1" w:styleId="Bullet">
    <w:name w:val="Bullet"/>
    <w:basedOn w:val="Normal"/>
    <w:rsid w:val="00216B58"/>
    <w:pPr>
      <w:tabs>
        <w:tab w:val="left" w:pos="2160"/>
      </w:tabs>
      <w:spacing w:after="220"/>
      <w:ind w:left="2160" w:hanging="720"/>
    </w:pPr>
  </w:style>
  <w:style w:type="paragraph" w:customStyle="1" w:styleId="TableFormat">
    <w:name w:val="TableFormat"/>
    <w:basedOn w:val="Bullet"/>
    <w:rsid w:val="00216B58"/>
    <w:pPr>
      <w:tabs>
        <w:tab w:val="clear" w:pos="2160"/>
        <w:tab w:val="left" w:pos="5040"/>
      </w:tabs>
      <w:ind w:left="5040" w:hanging="3600"/>
    </w:pPr>
  </w:style>
  <w:style w:type="paragraph" w:customStyle="1" w:styleId="TOCTitle">
    <w:name w:val="TOC Title"/>
    <w:basedOn w:val="Normal"/>
    <w:rsid w:val="00216B5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16B58"/>
    <w:pPr>
      <w:jc w:val="center"/>
    </w:pPr>
    <w:rPr>
      <w:rFonts w:ascii="Times New Roman Bold" w:hAnsi="Times New Roman Bold"/>
      <w:b/>
      <w:bCs/>
      <w:caps/>
      <w:szCs w:val="22"/>
    </w:rPr>
  </w:style>
  <w:style w:type="character" w:styleId="Hyperlink">
    <w:name w:val="Hyperlink"/>
    <w:rsid w:val="00216B58"/>
    <w:rPr>
      <w:color w:val="0000FF"/>
      <w:u w:val="single"/>
    </w:rPr>
  </w:style>
  <w:style w:type="character" w:customStyle="1" w:styleId="cosearchterm">
    <w:name w:val="co_searchterm"/>
    <w:rsid w:val="004329E8"/>
  </w:style>
  <w:style w:type="character" w:customStyle="1" w:styleId="ParaNumChar">
    <w:name w:val="ParaNum Char"/>
    <w:link w:val="ParaNum"/>
    <w:rsid w:val="004329E8"/>
    <w:rPr>
      <w:snapToGrid w:val="0"/>
      <w:kern w:val="28"/>
      <w:sz w:val="22"/>
    </w:rPr>
  </w:style>
  <w:style w:type="character" w:customStyle="1" w:styleId="documentbody">
    <w:name w:val="documentbody"/>
    <w:rsid w:val="004329E8"/>
  </w:style>
  <w:style w:type="character" w:styleId="Emphasis">
    <w:name w:val="Emphasis"/>
    <w:uiPriority w:val="20"/>
    <w:qFormat/>
    <w:rsid w:val="004329E8"/>
    <w:rPr>
      <w:i/>
      <w:iCs/>
    </w:rPr>
  </w:style>
  <w:style w:type="paragraph" w:styleId="ListParagraph">
    <w:name w:val="List Paragraph"/>
    <w:basedOn w:val="Normal"/>
    <w:uiPriority w:val="34"/>
    <w:qFormat/>
    <w:rsid w:val="004329E8"/>
    <w:pPr>
      <w:ind w:left="720"/>
      <w:contextualSpacing/>
    </w:pPr>
  </w:style>
  <w:style w:type="character" w:customStyle="1" w:styleId="FooterChar">
    <w:name w:val="Footer Char"/>
    <w:link w:val="Footer"/>
    <w:rsid w:val="004329E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microsoft.com/office/2006/relationships/keyMapCustomizations" Target="customizations.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F0317-07E7-4A5D-8AD4-D5D81D87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2018-01-25T14:59:56Z</dcterms:created>
  <dcterms:modified xsi:type="dcterms:W3CDTF">2018-01-25T14:59:56Z</dcterms:modified>
</cp:coreProperties>
</file>