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14:paraId="22275E43"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5B57FF03" w14:textId="77777777">
      <w:pPr>
        <w:pStyle w:val="StyleBoldCentered"/>
      </w:pPr>
      <w:r>
        <w:t>F</w:t>
      </w:r>
      <w:r>
        <w:rPr>
          <w:caps w:val="0"/>
        </w:rPr>
        <w:t>ederal Communications Commission</w:t>
      </w:r>
    </w:p>
    <w:p w:rsidR="004C2EE3" w:rsidP="00096D8C" w14:paraId="59DF0BA7" w14:textId="77777777">
      <w:pPr>
        <w:pStyle w:val="StyleBoldCentered"/>
      </w:pPr>
      <w:r>
        <w:rPr>
          <w:caps w:val="0"/>
        </w:rPr>
        <w:t>Washington, D.C. 20554</w:t>
      </w:r>
    </w:p>
    <w:p w:rsidR="004C2EE3" w:rsidP="0070224F" w14:paraId="5CCEDF48" w14:textId="77777777"/>
    <w:p w:rsidR="004C2EE3" w:rsidP="0070224F" w14:paraId="0758B04A"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96A8B07"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14:paraId="706FC645" w14:textId="73E311D9">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14:paraId="0B163889" w14:textId="77777777">
            <w:pPr>
              <w:widowControl w:val="0"/>
              <w:tabs>
                <w:tab w:val="center" w:pos="4680"/>
              </w:tabs>
              <w:suppressAutoHyphens/>
              <w:rPr>
                <w:rStyle w:val="DefaultParagraphFont"/>
                <w:snapToGrid w:val="0"/>
                <w:spacing w:val="-2"/>
                <w:kern w:val="28"/>
                <w:sz w:val="22"/>
                <w:lang w:val="en-US" w:eastAsia="en-US" w:bidi="ar-SA"/>
              </w:rPr>
            </w:pPr>
          </w:p>
          <w:p w:rsidR="004C2EE3" w:rsidP="007115F7" w14:paraId="6E838FCC"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William F. Crowell</w:t>
            </w:r>
          </w:p>
          <w:p w:rsidR="006F75FE" w:rsidP="007115F7" w14:paraId="48306F82" w14:textId="77777777">
            <w:pPr>
              <w:widowControl w:val="0"/>
              <w:tabs>
                <w:tab w:val="center" w:pos="4680"/>
              </w:tabs>
              <w:suppressAutoHyphens/>
              <w:rPr>
                <w:rStyle w:val="DefaultParagraphFont"/>
                <w:snapToGrid w:val="0"/>
                <w:spacing w:val="-2"/>
                <w:kern w:val="28"/>
                <w:sz w:val="22"/>
                <w:lang w:val="en-US" w:eastAsia="en-US" w:bidi="ar-SA"/>
              </w:rPr>
            </w:pPr>
          </w:p>
          <w:p w:rsidR="006F75FE" w:rsidP="007115F7" w14:paraId="0532A55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Application to Renew License for Amateur</w:t>
            </w:r>
          </w:p>
          <w:p w:rsidR="006F75FE" w:rsidRPr="007115F7" w:rsidP="007115F7" w14:paraId="02FEEA82"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Radio Service Station W6WBJ</w:t>
            </w:r>
          </w:p>
        </w:tc>
        <w:tc>
          <w:tcPr>
            <w:tcW w:w="630" w:type="dxa"/>
          </w:tcPr>
          <w:p w:rsidR="004C2EE3" w14:paraId="08772B29"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5EBF84A2"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74502949"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424CBC6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14:paraId="14E457A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CB73DB" w14:paraId="170400F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14:paraId="0FA57593" w14:textId="77777777">
            <w:pPr>
              <w:widowControl w:val="0"/>
              <w:tabs>
                <w:tab w:val="center" w:pos="4680"/>
              </w:tabs>
              <w:suppressAutoHyphens/>
              <w:rPr>
                <w:rStyle w:val="DefaultParagraphFont"/>
                <w:snapToGrid w:val="0"/>
                <w:spacing w:val="-2"/>
                <w:kern w:val="28"/>
                <w:sz w:val="22"/>
                <w:lang w:val="en-US" w:eastAsia="en-US" w:bidi="ar-SA"/>
              </w:rPr>
            </w:pPr>
          </w:p>
          <w:p w:rsidR="000F31FB" w:rsidP="000F31FB" w14:paraId="1A52542A"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WT Docket No. 08-20</w:t>
            </w:r>
          </w:p>
          <w:p w:rsidR="006F75FE" w14:paraId="4F17C603" w14:textId="77777777">
            <w:pPr>
              <w:widowControl w:val="0"/>
              <w:tabs>
                <w:tab w:val="center" w:pos="4680"/>
              </w:tabs>
              <w:suppressAutoHyphens/>
              <w:rPr>
                <w:rStyle w:val="DefaultParagraphFont"/>
                <w:snapToGrid w:val="0"/>
                <w:spacing w:val="-2"/>
                <w:kern w:val="28"/>
                <w:sz w:val="22"/>
                <w:lang w:val="en-US" w:eastAsia="en-US" w:bidi="ar-SA"/>
              </w:rPr>
            </w:pPr>
          </w:p>
          <w:p w:rsidR="006F75FE" w14:paraId="5E143CBA"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FCC File No. 0002928684</w:t>
            </w:r>
          </w:p>
        </w:tc>
      </w:tr>
    </w:tbl>
    <w:p w:rsidR="004C2EE3" w:rsidP="0070224F" w14:paraId="1764751F" w14:textId="77777777"/>
    <w:p w:rsidR="00841AB1" w:rsidP="00F021FA" w14:paraId="03EDD71E" w14:textId="77777777">
      <w:pPr>
        <w:pStyle w:val="StyleBoldCentered"/>
      </w:pPr>
      <w:r>
        <w:t>MEMORANDUM OPINION AND ORDER</w:t>
      </w:r>
    </w:p>
    <w:p w:rsidR="004C2EE3" w14:paraId="56625DDB" w14:textId="77777777">
      <w:pPr>
        <w:tabs>
          <w:tab w:val="left" w:pos="-720"/>
        </w:tabs>
        <w:suppressAutoHyphens/>
        <w:spacing w:line="227" w:lineRule="auto"/>
        <w:rPr>
          <w:spacing w:val="-2"/>
        </w:rPr>
      </w:pPr>
    </w:p>
    <w:p w:rsidR="004C2EE3" w:rsidP="00133F79" w14:paraId="16B79119" w14:textId="0AB28406">
      <w:pPr>
        <w:tabs>
          <w:tab w:val="left" w:pos="720"/>
          <w:tab w:val="right" w:pos="9360"/>
        </w:tabs>
        <w:suppressAutoHyphens/>
        <w:spacing w:line="227" w:lineRule="auto"/>
        <w:rPr>
          <w:spacing w:val="-2"/>
        </w:rPr>
      </w:pPr>
      <w:r>
        <w:rPr>
          <w:b/>
          <w:spacing w:val="-2"/>
        </w:rPr>
        <w:t xml:space="preserve">Adopted:  </w:t>
      </w:r>
      <w:r w:rsidR="00EB28D8">
        <w:rPr>
          <w:b/>
          <w:spacing w:val="-2"/>
        </w:rPr>
        <w:t>April 20,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D18EB">
        <w:rPr>
          <w:b/>
          <w:spacing w:val="-2"/>
        </w:rPr>
        <w:t>April 26, 2018</w:t>
      </w:r>
    </w:p>
    <w:p w:rsidR="00822CE0" w14:paraId="1B462D33" w14:textId="77777777"/>
    <w:p w:rsidR="004C2EE3" w14:paraId="6E40AB15" w14:textId="722D3329">
      <w:pPr>
        <w:rPr>
          <w:spacing w:val="-2"/>
        </w:rPr>
      </w:pPr>
      <w:r>
        <w:t xml:space="preserve">By </w:t>
      </w:r>
      <w:r w:rsidR="004E4A22">
        <w:t>the</w:t>
      </w:r>
      <w:r w:rsidR="002A2D2E">
        <w:t xml:space="preserve"> </w:t>
      </w:r>
      <w:r w:rsidR="006F75FE">
        <w:rPr>
          <w:spacing w:val="-2"/>
        </w:rPr>
        <w:t>Commission:</w:t>
      </w:r>
      <w:r w:rsidR="00EB28D8">
        <w:rPr>
          <w:spacing w:val="-2"/>
        </w:rPr>
        <w:t xml:space="preserve"> Commissioner O’Rielly issuing a statement.</w:t>
      </w:r>
    </w:p>
    <w:p w:rsidR="00822CE0" w14:paraId="41F02F41" w14:textId="77777777">
      <w:pPr>
        <w:rPr>
          <w:spacing w:val="-2"/>
        </w:rPr>
      </w:pPr>
    </w:p>
    <w:p w:rsidR="002C00E8" w:rsidP="002C00E8" w14:paraId="73029878" w14:textId="77777777">
      <w:pPr>
        <w:pStyle w:val="Heading1"/>
      </w:pPr>
      <w:r>
        <w:t>INTRODUCTION</w:t>
      </w:r>
    </w:p>
    <w:p w:rsidR="006F75FE" w:rsidP="009976B3" w14:paraId="45A02B41" w14:textId="1F6A55F1">
      <w:pPr>
        <w:pStyle w:val="ParaNum"/>
      </w:pPr>
      <w:r>
        <w:t xml:space="preserve">This Memorandum </w:t>
      </w:r>
      <w:r w:rsidR="005D6941">
        <w:t xml:space="preserve">Opinion </w:t>
      </w:r>
      <w:r>
        <w:t>and Order</w:t>
      </w:r>
      <w:r w:rsidR="00603962">
        <w:t xml:space="preserve"> den</w:t>
      </w:r>
      <w:r w:rsidR="00F91DAA">
        <w:t xml:space="preserve">ies </w:t>
      </w:r>
      <w:r w:rsidR="00606768">
        <w:t>an interlocutory ap</w:t>
      </w:r>
      <w:r w:rsidR="00815635">
        <w:t xml:space="preserve">peal </w:t>
      </w:r>
      <w:r w:rsidR="00603962">
        <w:t xml:space="preserve">by William </w:t>
      </w:r>
      <w:r w:rsidR="005F3800">
        <w:t xml:space="preserve">F. </w:t>
      </w:r>
      <w:r w:rsidR="00603962">
        <w:t>Crowell (Crowell).</w:t>
      </w:r>
      <w:r>
        <w:rPr>
          <w:rStyle w:val="FootnoteReference"/>
        </w:rPr>
        <w:footnoteReference w:id="3"/>
      </w:r>
      <w:r w:rsidR="00603962">
        <w:t xml:space="preserve">  Crowell seeks review of a decision by </w:t>
      </w:r>
      <w:r w:rsidR="00AA0536">
        <w:t xml:space="preserve">Chief </w:t>
      </w:r>
      <w:r w:rsidR="00603962">
        <w:t>Administrative Law Judge</w:t>
      </w:r>
      <w:r w:rsidR="00DB44DE">
        <w:t xml:space="preserve"> </w:t>
      </w:r>
      <w:r w:rsidR="00815635">
        <w:t xml:space="preserve">Richard L. </w:t>
      </w:r>
      <w:r w:rsidR="00603962">
        <w:t>Sippel</w:t>
      </w:r>
      <w:r w:rsidR="00B860E1">
        <w:t xml:space="preserve"> </w:t>
      </w:r>
      <w:r w:rsidR="00815635">
        <w:t xml:space="preserve">(ALJ) </w:t>
      </w:r>
      <w:r w:rsidR="00DB44DE">
        <w:t xml:space="preserve">that </w:t>
      </w:r>
      <w:r w:rsidR="00B860E1">
        <w:t xml:space="preserve">denied </w:t>
      </w:r>
      <w:r w:rsidR="00603962">
        <w:t xml:space="preserve">his </w:t>
      </w:r>
      <w:r w:rsidR="005A0B46">
        <w:t xml:space="preserve">Petition </w:t>
      </w:r>
      <w:r w:rsidR="00603962">
        <w:t xml:space="preserve">to </w:t>
      </w:r>
      <w:r w:rsidR="00F91DAA">
        <w:t xml:space="preserve">Disqualify the </w:t>
      </w:r>
      <w:r w:rsidR="00E86DE7">
        <w:t>ALJ</w:t>
      </w:r>
      <w:r w:rsidR="00603962">
        <w:t>.</w:t>
      </w:r>
      <w:r>
        <w:rPr>
          <w:rStyle w:val="FootnoteReference"/>
        </w:rPr>
        <w:footnoteReference w:id="4"/>
      </w:r>
      <w:r w:rsidR="00603962">
        <w:t xml:space="preserve">  We </w:t>
      </w:r>
      <w:r w:rsidR="00B860E1">
        <w:t xml:space="preserve">find </w:t>
      </w:r>
      <w:r w:rsidR="00793ADD">
        <w:t xml:space="preserve">that Crowell did not make </w:t>
      </w:r>
      <w:r w:rsidR="00B860E1">
        <w:t xml:space="preserve">the requisite showing of bias </w:t>
      </w:r>
      <w:r w:rsidR="00793ADD">
        <w:t xml:space="preserve">necessary </w:t>
      </w:r>
      <w:r w:rsidR="00B860E1">
        <w:t>to warrant the ALJ’s disqualification from this proceeding</w:t>
      </w:r>
      <w:r w:rsidR="00606768">
        <w:t xml:space="preserve"> and </w:t>
      </w:r>
      <w:r w:rsidR="00CE3978">
        <w:t xml:space="preserve">therefore </w:t>
      </w:r>
      <w:r w:rsidR="00606768">
        <w:t>deny his appeal</w:t>
      </w:r>
      <w:r w:rsidR="00B860E1">
        <w:t>.</w:t>
      </w:r>
    </w:p>
    <w:p w:rsidR="006F75FE" w:rsidP="006F75FE" w14:paraId="2CA8399A" w14:textId="77777777">
      <w:pPr>
        <w:pStyle w:val="Heading1"/>
      </w:pPr>
      <w:r>
        <w:t>BACKGROUND</w:t>
      </w:r>
    </w:p>
    <w:p w:rsidR="006F75FE" w:rsidP="009976B3" w14:paraId="4CB68C61" w14:textId="7732E3CA">
      <w:pPr>
        <w:pStyle w:val="ParaNum"/>
      </w:pPr>
      <w:r>
        <w:t>Crowell is the licensee of Amateur Radio Service Station W6WBJ.  He filed the above-captioned application for renewal of license for the Station on February 28, 2007.</w:t>
      </w:r>
      <w:r>
        <w:rPr>
          <w:rStyle w:val="FootnoteReference"/>
        </w:rPr>
        <w:footnoteReference w:id="5"/>
      </w:r>
      <w:r>
        <w:t xml:space="preserve">  On February 12, 2008, the Mobility Division of the Wireless Telecommunications Bureau </w:t>
      </w:r>
      <w:r w:rsidR="00CA6C5E">
        <w:t xml:space="preserve">initiated </w:t>
      </w:r>
      <w:r>
        <w:t>a hearing before the ALJ to determine whether the application for renewal should be granted.</w:t>
      </w:r>
      <w:r>
        <w:rPr>
          <w:rStyle w:val="FootnoteReference"/>
        </w:rPr>
        <w:footnoteReference w:id="6"/>
      </w:r>
    </w:p>
    <w:p w:rsidR="0020070B" w:rsidP="00CE3978" w14:paraId="7C221461" w14:textId="6A5840FB">
      <w:pPr>
        <w:pStyle w:val="ParaNum"/>
      </w:pPr>
      <w:r>
        <w:t>Pursuant to Section 309(e) of the Communications Act of 1934, as amended (the Act), the Commission is required to designate an applica</w:t>
      </w:r>
      <w:r w:rsidR="009F7AA5">
        <w:t xml:space="preserve">tion for evidentiary hearing if there is </w:t>
      </w:r>
      <w:r>
        <w:t xml:space="preserve">a substantial and material question of fact </w:t>
      </w:r>
      <w:r w:rsidR="009F7AA5">
        <w:t>as to</w:t>
      </w:r>
      <w:r>
        <w:t xml:space="preserve"> whether grant of a license application would serve the public interest, convenience, and necessity.</w:t>
      </w:r>
      <w:r>
        <w:rPr>
          <w:rStyle w:val="FootnoteReference"/>
        </w:rPr>
        <w:footnoteReference w:id="7"/>
      </w:r>
      <w:r>
        <w:t xml:space="preserve">  The Mobility Division</w:t>
      </w:r>
      <w:r w:rsidR="00CE3978">
        <w:t>’s</w:t>
      </w:r>
      <w:r>
        <w:t xml:space="preserve"> Hearing Designation Order </w:t>
      </w:r>
      <w:r w:rsidR="000348C4">
        <w:t xml:space="preserve">specified </w:t>
      </w:r>
      <w:r>
        <w:t xml:space="preserve">six </w:t>
      </w:r>
      <w:r w:rsidR="005F3800">
        <w:t>issues to be determined at the h</w:t>
      </w:r>
      <w:r>
        <w:t>earing:</w:t>
      </w:r>
      <w:r w:rsidR="00920529">
        <w:t xml:space="preserve"> </w:t>
      </w:r>
      <w:r>
        <w:t>(a)</w:t>
      </w:r>
      <w:r w:rsidR="009B46C4">
        <w:t> </w:t>
      </w:r>
      <w:r w:rsidR="001A0240">
        <w:t xml:space="preserve">whether Crowell </w:t>
      </w:r>
      <w:r>
        <w:t>violated Section 333 of the Act</w:t>
      </w:r>
      <w:r>
        <w:rPr>
          <w:rStyle w:val="FootnoteReference"/>
        </w:rPr>
        <w:footnoteReference w:id="8"/>
      </w:r>
      <w:r>
        <w:t xml:space="preserve"> and Section 97.101(d) of the Commission’s </w:t>
      </w:r>
      <w:r w:rsidR="00920529">
        <w:t>r</w:t>
      </w:r>
      <w:r>
        <w:t>ules</w:t>
      </w:r>
      <w:r>
        <w:rPr>
          <w:rStyle w:val="FootnoteReference"/>
        </w:rPr>
        <w:footnoteReference w:id="9"/>
      </w:r>
      <w:r>
        <w:t xml:space="preserve"> by intentionally interfering with and/or otherwise interrupting radio </w:t>
      </w:r>
      <w:r>
        <w:t>communications; (b)</w:t>
      </w:r>
      <w:r w:rsidR="009B46C4">
        <w:t> </w:t>
      </w:r>
      <w:r w:rsidR="001A0240">
        <w:t xml:space="preserve">whether Crowell </w:t>
      </w:r>
      <w:r>
        <w:t>vio</w:t>
      </w:r>
      <w:r w:rsidR="00920529">
        <w:t>lated Section 97.113(b) of the r</w:t>
      </w:r>
      <w:r>
        <w:t>ules</w:t>
      </w:r>
      <w:r>
        <w:rPr>
          <w:rStyle w:val="FootnoteReference"/>
        </w:rPr>
        <w:footnoteReference w:id="10"/>
      </w:r>
      <w:r>
        <w:t xml:space="preserve"> by transmitting one-way communications on amateur frequencies; (c)</w:t>
      </w:r>
      <w:r w:rsidR="009B46C4">
        <w:t> </w:t>
      </w:r>
      <w:r w:rsidR="001A0240">
        <w:t xml:space="preserve">whether Crowell </w:t>
      </w:r>
      <w:r>
        <w:t xml:space="preserve">violated Section 97.113(a)(4) of the </w:t>
      </w:r>
      <w:r w:rsidR="00920529">
        <w:t>r</w:t>
      </w:r>
      <w:r>
        <w:t>ules</w:t>
      </w:r>
      <w:r>
        <w:rPr>
          <w:rStyle w:val="FootnoteReference"/>
        </w:rPr>
        <w:footnoteReference w:id="11"/>
      </w:r>
      <w:r>
        <w:t xml:space="preserve"> by transmitting indecent language; (d)</w:t>
      </w:r>
      <w:r w:rsidR="009B46C4">
        <w:t> </w:t>
      </w:r>
      <w:r w:rsidR="001A0240">
        <w:t xml:space="preserve">whether Crowell </w:t>
      </w:r>
      <w:r>
        <w:t xml:space="preserve">violated Section 97.113(a)(4) of the </w:t>
      </w:r>
      <w:r w:rsidR="00920529">
        <w:t>r</w:t>
      </w:r>
      <w:r>
        <w:t>ules</w:t>
      </w:r>
      <w:r>
        <w:rPr>
          <w:rStyle w:val="FootnoteReference"/>
        </w:rPr>
        <w:footnoteReference w:id="12"/>
      </w:r>
      <w:r>
        <w:t xml:space="preserve"> by transmitting music; (e)</w:t>
      </w:r>
      <w:r w:rsidR="009B46C4">
        <w:t> </w:t>
      </w:r>
      <w:r w:rsidR="001A0240">
        <w:t xml:space="preserve">whether Crowell </w:t>
      </w:r>
      <w:r w:rsidR="00C766CE">
        <w:t>is qualified to be and remain a Commission licensee; and (f)</w:t>
      </w:r>
      <w:r w:rsidR="009B46C4">
        <w:t> </w:t>
      </w:r>
      <w:r w:rsidR="001A0240">
        <w:t xml:space="preserve">whether Crowell </w:t>
      </w:r>
      <w:r w:rsidR="00C766CE">
        <w:t>should be granted the captioned application for renewal filed on February 28, 2007.</w:t>
      </w:r>
      <w:r w:rsidRPr="00CE3978" w:rsidR="00CE3978">
        <w:rPr>
          <w:rStyle w:val="FootnoteReference"/>
        </w:rPr>
        <w:t xml:space="preserve"> </w:t>
      </w:r>
      <w:r>
        <w:rPr>
          <w:rStyle w:val="FootnoteReference"/>
        </w:rPr>
        <w:footnoteReference w:id="13"/>
      </w:r>
    </w:p>
    <w:p w:rsidR="00AC766B" w:rsidP="009976B3" w14:paraId="4274C4E6" w14:textId="131A86ED">
      <w:pPr>
        <w:pStyle w:val="ParaNum"/>
      </w:pPr>
      <w:r>
        <w:t>On July 29, 2010,</w:t>
      </w:r>
      <w:r w:rsidR="00387E7C">
        <w:t xml:space="preserve"> while discovery was ongoing,</w:t>
      </w:r>
      <w:r>
        <w:t xml:space="preserve"> </w:t>
      </w:r>
      <w:r w:rsidR="00AA5B15">
        <w:t xml:space="preserve">the </w:t>
      </w:r>
      <w:r>
        <w:t>ALJ</w:t>
      </w:r>
      <w:r w:rsidR="00462572">
        <w:t xml:space="preserve"> denied as moot </w:t>
      </w:r>
      <w:r w:rsidR="00606768">
        <w:t xml:space="preserve">Crowell’s </w:t>
      </w:r>
      <w:r w:rsidR="00462572">
        <w:t>motion to modify filing deadlines</w:t>
      </w:r>
      <w:r>
        <w:t>.</w:t>
      </w:r>
      <w:r>
        <w:rPr>
          <w:rStyle w:val="FootnoteReference"/>
        </w:rPr>
        <w:footnoteReference w:id="14"/>
      </w:r>
      <w:r>
        <w:t xml:space="preserve">  In the Order denying that </w:t>
      </w:r>
      <w:r w:rsidR="00953A04">
        <w:t>m</w:t>
      </w:r>
      <w:r>
        <w:t>otion,</w:t>
      </w:r>
      <w:r w:rsidR="009412D1">
        <w:t xml:space="preserve"> </w:t>
      </w:r>
      <w:r w:rsidR="008732DF">
        <w:t xml:space="preserve">the ALJ warned Crowell that </w:t>
      </w:r>
      <w:r w:rsidR="009412D1">
        <w:t xml:space="preserve">“due to the offensive nature of contents of </w:t>
      </w:r>
      <w:r w:rsidR="006138A1">
        <w:t>[Crowell’s]</w:t>
      </w:r>
      <w:r w:rsidR="009412D1">
        <w:t xml:space="preserve"> Motion,”</w:t>
      </w:r>
      <w:r>
        <w:t xml:space="preserve"> </w:t>
      </w:r>
      <w:r w:rsidR="00606768">
        <w:t>his conduct might be considered an abuse of process bearing on his character.</w:t>
      </w:r>
      <w:r>
        <w:rPr>
          <w:rStyle w:val="FootnoteReference"/>
        </w:rPr>
        <w:footnoteReference w:id="15"/>
      </w:r>
      <w:r w:rsidR="00387E7C">
        <w:t xml:space="preserve">  The ALJ ordered Crowell to show cause “as to why there shou</w:t>
      </w:r>
      <w:r w:rsidR="00571C5B">
        <w:t>ld be no abuse of process issue</w:t>
      </w:r>
      <w:r w:rsidR="00387E7C">
        <w:t xml:space="preserve"> added.”</w:t>
      </w:r>
      <w:r>
        <w:rPr>
          <w:rStyle w:val="FootnoteReference"/>
        </w:rPr>
        <w:footnoteReference w:id="16"/>
      </w:r>
    </w:p>
    <w:p w:rsidR="0009100F" w:rsidP="009976B3" w14:paraId="14B2888B" w14:textId="49D3EF59">
      <w:pPr>
        <w:pStyle w:val="ParaNum"/>
      </w:pPr>
      <w:r>
        <w:t xml:space="preserve">On </w:t>
      </w:r>
      <w:r w:rsidR="008303D6">
        <w:t>August 30, 2010</w:t>
      </w:r>
      <w:r>
        <w:t xml:space="preserve">, Crowell filed </w:t>
      </w:r>
      <w:r w:rsidR="009F7AA5">
        <w:t xml:space="preserve">his </w:t>
      </w:r>
      <w:r>
        <w:t>Reply to</w:t>
      </w:r>
      <w:r w:rsidR="009F7AA5">
        <w:t xml:space="preserve"> the</w:t>
      </w:r>
      <w:r>
        <w:t xml:space="preserve"> Order to Show Cause and Petition to Disqualify ALJ.</w:t>
      </w:r>
      <w:r>
        <w:rPr>
          <w:rStyle w:val="FootnoteReference"/>
        </w:rPr>
        <w:footnoteReference w:id="17"/>
      </w:r>
      <w:r>
        <w:t xml:space="preserve">  </w:t>
      </w:r>
      <w:r w:rsidR="00E260F9">
        <w:t xml:space="preserve">The ALJ ordered </w:t>
      </w:r>
      <w:r w:rsidR="008303D6">
        <w:t>Crowell to make each of these filings separately</w:t>
      </w:r>
      <w:r w:rsidR="00606768">
        <w:t xml:space="preserve"> because the petition to disqualify was not responsive to the Show Cause Order</w:t>
      </w:r>
      <w:r w:rsidR="008303D6">
        <w:t>.</w:t>
      </w:r>
      <w:r>
        <w:rPr>
          <w:rStyle w:val="FootnoteReference"/>
        </w:rPr>
        <w:footnoteReference w:id="18"/>
      </w:r>
      <w:r w:rsidR="008303D6">
        <w:t xml:space="preserve">  On September 21, Crowell filed his response to the </w:t>
      </w:r>
      <w:r w:rsidR="00606768">
        <w:t>Show Cause Order</w:t>
      </w:r>
      <w:r w:rsidR="008303D6">
        <w:t>.</w:t>
      </w:r>
      <w:r>
        <w:rPr>
          <w:rStyle w:val="FootnoteReference"/>
        </w:rPr>
        <w:footnoteReference w:id="19"/>
      </w:r>
      <w:r w:rsidR="008303D6">
        <w:t xml:space="preserve">  On October 7, Crowell filed his petition to disqualify</w:t>
      </w:r>
      <w:r w:rsidR="005A0B46">
        <w:t xml:space="preserve"> the </w:t>
      </w:r>
      <w:r w:rsidR="008303D6">
        <w:t>ALJ.</w:t>
      </w:r>
      <w:r>
        <w:rPr>
          <w:rStyle w:val="FootnoteReference"/>
        </w:rPr>
        <w:footnoteReference w:id="20"/>
      </w:r>
      <w:r w:rsidR="00C83CC8">
        <w:t xml:space="preserve"> </w:t>
      </w:r>
    </w:p>
    <w:p w:rsidR="00163A74" w:rsidP="009976B3" w14:paraId="4307F1DB" w14:textId="6C70CC95">
      <w:pPr>
        <w:pStyle w:val="ParaNum"/>
      </w:pPr>
      <w:r>
        <w:t>In his October 7 petition, Crowell asserted</w:t>
      </w:r>
      <w:r w:rsidR="00EC22D2">
        <w:t xml:space="preserve">, </w:t>
      </w:r>
      <w:r w:rsidR="00EE5550">
        <w:rPr>
          <w:i/>
        </w:rPr>
        <w:t>inter alia</w:t>
      </w:r>
      <w:r w:rsidR="00EC22D2">
        <w:t>,</w:t>
      </w:r>
      <w:r>
        <w:t xml:space="preserve"> that </w:t>
      </w:r>
      <w:r w:rsidR="005A0B46">
        <w:t xml:space="preserve">the </w:t>
      </w:r>
      <w:r>
        <w:t xml:space="preserve">ALJ had </w:t>
      </w:r>
      <w:r w:rsidR="005A0B46">
        <w:t xml:space="preserve">displayed </w:t>
      </w:r>
      <w:r>
        <w:t xml:space="preserve">personal animus toward him, incorrectly construed and/or applied the law, </w:t>
      </w:r>
      <w:r w:rsidR="00347E30">
        <w:t>and was “immoral” and “</w:t>
      </w:r>
      <w:r w:rsidR="006A3D06">
        <w:t>devious</w:t>
      </w:r>
      <w:r w:rsidR="00347E30">
        <w:t>”</w:t>
      </w:r>
      <w:r w:rsidR="006A3D06">
        <w:t xml:space="preserve"> because he did not permit Crowell to brief an issue</w:t>
      </w:r>
      <w:r w:rsidR="00484B32">
        <w:t xml:space="preserve"> upon Crowell’s request</w:t>
      </w:r>
      <w:r w:rsidR="006A3D06">
        <w:t>.</w:t>
      </w:r>
      <w:r>
        <w:rPr>
          <w:rStyle w:val="FootnoteReference"/>
        </w:rPr>
        <w:footnoteReference w:id="21"/>
      </w:r>
      <w:r w:rsidR="00347E30">
        <w:t xml:space="preserve">  The ALJ denied Crowell’s petition to disqualify.</w:t>
      </w:r>
      <w:r>
        <w:rPr>
          <w:rStyle w:val="FootnoteReference"/>
        </w:rPr>
        <w:footnoteReference w:id="22"/>
      </w:r>
      <w:r w:rsidR="00347E30">
        <w:t xml:space="preserve">  </w:t>
      </w:r>
      <w:r w:rsidR="00606768">
        <w:t xml:space="preserve">Finding </w:t>
      </w:r>
      <w:r w:rsidR="00347E30">
        <w:t>that</w:t>
      </w:r>
      <w:r w:rsidR="0020070B">
        <w:t xml:space="preserve"> Crowell</w:t>
      </w:r>
      <w:r w:rsidR="00347E30">
        <w:t xml:space="preserve"> “ha[d] not made one fact-specific allegation, nor any legal argument based in fact to support his broad, conclusory charges,</w:t>
      </w:r>
      <w:r w:rsidR="002611F0">
        <w:t>”</w:t>
      </w:r>
      <w:r w:rsidR="00347E30">
        <w:t xml:space="preserve"> </w:t>
      </w:r>
      <w:r w:rsidR="00887DE8">
        <w:t xml:space="preserve">the </w:t>
      </w:r>
      <w:r w:rsidR="005F3800">
        <w:t>ALJ</w:t>
      </w:r>
      <w:r w:rsidR="00347E30">
        <w:t xml:space="preserve"> found that Crowell</w:t>
      </w:r>
      <w:r w:rsidR="0020070B">
        <w:t xml:space="preserve"> “failed to state any reason why the Presiding Judge should not continue to preside in the preparation, discovery, and trial of the captioned Commission proceeding</w:t>
      </w:r>
      <w:r w:rsidR="00347E30">
        <w:t>.”</w:t>
      </w:r>
      <w:r>
        <w:rPr>
          <w:rStyle w:val="FootnoteReference"/>
        </w:rPr>
        <w:footnoteReference w:id="23"/>
      </w:r>
      <w:r w:rsidR="00347E30">
        <w:t xml:space="preserve">  Crowell appealed the ALJ’s refusal to </w:t>
      </w:r>
      <w:r w:rsidR="00347E30">
        <w:t>disqualify himself</w:t>
      </w:r>
      <w:r w:rsidR="00571C5B">
        <w:t>.</w:t>
      </w:r>
      <w:r>
        <w:rPr>
          <w:rStyle w:val="FootnoteReference"/>
        </w:rPr>
        <w:footnoteReference w:id="24"/>
      </w:r>
      <w:r w:rsidR="00571C5B">
        <w:t xml:space="preserve">  On April 7, 2017,</w:t>
      </w:r>
      <w:r w:rsidR="00D801D3">
        <w:t xml:space="preserve"> pursuant to </w:t>
      </w:r>
      <w:r w:rsidR="00920529">
        <w:t>Section</w:t>
      </w:r>
      <w:r w:rsidR="00D801D3">
        <w:t xml:space="preserve"> 1.245(b)(4)</w:t>
      </w:r>
      <w:r w:rsidR="00920529">
        <w:t xml:space="preserve"> of the Commission’s </w:t>
      </w:r>
      <w:r w:rsidR="00EF19ED">
        <w:t>R</w:t>
      </w:r>
      <w:r w:rsidR="00920529">
        <w:t>ules</w:t>
      </w:r>
      <w:r w:rsidR="008627F0">
        <w:t>,</w:t>
      </w:r>
      <w:r>
        <w:rPr>
          <w:rStyle w:val="FootnoteReference"/>
        </w:rPr>
        <w:footnoteReference w:id="25"/>
      </w:r>
      <w:r w:rsidR="00347E30">
        <w:t xml:space="preserve"> the ALJ certified his appeal to the Commission.</w:t>
      </w:r>
      <w:r>
        <w:rPr>
          <w:rStyle w:val="FootnoteReference"/>
        </w:rPr>
        <w:footnoteReference w:id="26"/>
      </w:r>
      <w:r w:rsidR="00887DE8">
        <w:t xml:space="preserve">  </w:t>
      </w:r>
    </w:p>
    <w:p w:rsidR="00163A74" w:rsidP="003B7679" w14:paraId="7822E740" w14:textId="0A92FF05">
      <w:pPr>
        <w:pStyle w:val="Heading1"/>
      </w:pPr>
      <w:r>
        <w:t>discussion</w:t>
      </w:r>
    </w:p>
    <w:p w:rsidR="00CB7A77" w:rsidP="009976B3" w14:paraId="79BA1063" w14:textId="10CD53D3">
      <w:pPr>
        <w:pStyle w:val="ParaNum"/>
      </w:pPr>
      <w:r>
        <w:t>U</w:t>
      </w:r>
      <w:r w:rsidR="00A76BED">
        <w:t xml:space="preserve">nder </w:t>
      </w:r>
      <w:r w:rsidR="0035482B">
        <w:t>the Commission’s Rules, “[a]ny party may request the presiding officer to withdraw on grounds of personal bias or other disqualification.”</w:t>
      </w:r>
      <w:r>
        <w:rPr>
          <w:rStyle w:val="FootnoteReference"/>
        </w:rPr>
        <w:footnoteReference w:id="27"/>
      </w:r>
      <w:r w:rsidR="007E4D86">
        <w:t xml:space="preserve">  </w:t>
      </w:r>
      <w:r w:rsidR="00D01DEB">
        <w:t>The Commission has</w:t>
      </w:r>
      <w:r w:rsidR="007E4D86">
        <w:t xml:space="preserve"> held that “[i]n order to justify a request to disqualify the Presiding Judge from an adjudicatory proceeding, a party must demonstrate personal bias or prejudice impairing the Presiding Judge’s ability to act in an impartial manner.”</w:t>
      </w:r>
      <w:r>
        <w:rPr>
          <w:rStyle w:val="FootnoteReference"/>
        </w:rPr>
        <w:footnoteReference w:id="28"/>
      </w:r>
      <w:r w:rsidR="00CA2B68">
        <w:t xml:space="preserve">  </w:t>
      </w:r>
      <w:r>
        <w:t xml:space="preserve">We </w:t>
      </w:r>
      <w:r w:rsidR="00C80A32">
        <w:t>operate under a “strong presumption that the ALJ has acted in a fair an</w:t>
      </w:r>
      <w:r>
        <w:t>d impartial manner,</w:t>
      </w:r>
      <w:r w:rsidR="00C80A32">
        <w:t>”</w:t>
      </w:r>
      <w:r>
        <w:rPr>
          <w:rStyle w:val="FootnoteReference"/>
        </w:rPr>
        <w:footnoteReference w:id="29"/>
      </w:r>
      <w:r>
        <w:t xml:space="preserve"> and the burden, which past rulings have described as “a heavy one,” is on the party alleging bias.</w:t>
      </w:r>
      <w:r>
        <w:rPr>
          <w:rStyle w:val="FootnoteReference"/>
        </w:rPr>
        <w:footnoteReference w:id="30"/>
      </w:r>
    </w:p>
    <w:p w:rsidR="008816AE" w:rsidP="009976B3" w14:paraId="639A3C31" w14:textId="7D46D095">
      <w:pPr>
        <w:pStyle w:val="ParaNum"/>
      </w:pPr>
      <w:r>
        <w:t>The Commission has held that “[o]rdinarily, ‘[t]he alleged bias and prejudice to be disqualifying must stem from an extrajudicial source and result in an opinion on the merits on some basis other than what the judge learned from his participation in the case.’”</w:t>
      </w:r>
      <w:r>
        <w:rPr>
          <w:rStyle w:val="FootnoteReference"/>
        </w:rPr>
        <w:footnoteReference w:id="31"/>
      </w:r>
      <w:r>
        <w:t xml:space="preserve">  However, because “it is not always possible to establish an extra-judicial source of bias,” Commission precedent has </w:t>
      </w:r>
      <w:r w:rsidR="00EC22D2">
        <w:t xml:space="preserve">held </w:t>
      </w:r>
      <w:r>
        <w:t>that “the comments and rulings of the trier of fact may be relevant to the existence of prejudice.”</w:t>
      </w:r>
      <w:r>
        <w:rPr>
          <w:rStyle w:val="FootnoteReference"/>
        </w:rPr>
        <w:footnoteReference w:id="32"/>
      </w:r>
      <w:r>
        <w:t xml:space="preserve">  While an ALJ’s rulings may be relevant to establishing bias, “the </w:t>
      </w:r>
      <w:r w:rsidRPr="00DF1363">
        <w:rPr>
          <w:i/>
        </w:rPr>
        <w:t>substance</w:t>
      </w:r>
      <w:r>
        <w:t xml:space="preserve"> of an ALJ’s interlocutory rulings are not a basis for disqualification because they are subject to review.”</w:t>
      </w:r>
      <w:r>
        <w:rPr>
          <w:rStyle w:val="FootnoteReference"/>
        </w:rPr>
        <w:footnoteReference w:id="33"/>
      </w:r>
      <w:r>
        <w:t xml:space="preserve">  And whenever a party claims bias based on matters arising during the proceeding, the relevant inquiry is whether the ALJ displayed a “deep-seated favoritism or antagonism that would make fair judgment impossible.”</w:t>
      </w:r>
      <w:r>
        <w:rPr>
          <w:rStyle w:val="FootnoteReference"/>
        </w:rPr>
        <w:footnoteReference w:id="34"/>
      </w:r>
    </w:p>
    <w:p w:rsidR="00CA2B68" w:rsidP="009976B3" w14:paraId="510A5965" w14:textId="6459CC33">
      <w:pPr>
        <w:pStyle w:val="ParaNum"/>
      </w:pPr>
      <w:r>
        <w:t xml:space="preserve">We have examined Crowell’s claims </w:t>
      </w:r>
      <w:r w:rsidR="001669C1">
        <w:t xml:space="preserve">of bias </w:t>
      </w:r>
      <w:r>
        <w:t xml:space="preserve">in accordance with </w:t>
      </w:r>
      <w:r w:rsidR="00287138">
        <w:t>our precedent</w:t>
      </w:r>
      <w:r w:rsidR="001669C1">
        <w:t>, a t</w:t>
      </w:r>
      <w:r>
        <w:t xml:space="preserve">ask made more difficult because Crowell provides virtually no detailed factual support </w:t>
      </w:r>
      <w:r w:rsidR="00B01FBE">
        <w:t>or refer</w:t>
      </w:r>
      <w:r w:rsidR="009F0812">
        <w:t>e</w:t>
      </w:r>
      <w:r w:rsidR="00B01FBE">
        <w:t xml:space="preserve">nces to the record </w:t>
      </w:r>
      <w:r>
        <w:t xml:space="preserve">for his allegations.  </w:t>
      </w:r>
      <w:r w:rsidR="001669C1">
        <w:t xml:space="preserve">We understand Crowell to make </w:t>
      </w:r>
      <w:r w:rsidR="00FE48B7">
        <w:t xml:space="preserve">three </w:t>
      </w:r>
      <w:r w:rsidR="00263530">
        <w:t>general</w:t>
      </w:r>
      <w:r w:rsidR="00FE48B7">
        <w:t xml:space="preserve"> claims</w:t>
      </w:r>
      <w:r w:rsidR="00E61540">
        <w:t xml:space="preserve"> </w:t>
      </w:r>
      <w:r w:rsidR="001669C1">
        <w:t xml:space="preserve">to </w:t>
      </w:r>
      <w:r w:rsidR="00E61540">
        <w:t xml:space="preserve">support </w:t>
      </w:r>
      <w:r w:rsidR="001669C1">
        <w:t>his charge of bias.</w:t>
      </w:r>
      <w:r>
        <w:rPr>
          <w:rStyle w:val="FootnoteReference"/>
        </w:rPr>
        <w:footnoteReference w:id="35"/>
      </w:r>
      <w:r w:rsidR="001669C1">
        <w:t xml:space="preserve">  </w:t>
      </w:r>
      <w:r w:rsidR="00FE48B7">
        <w:t xml:space="preserve">First, Crowell claims that </w:t>
      </w:r>
      <w:r w:rsidR="00AB79C1">
        <w:t xml:space="preserve">the </w:t>
      </w:r>
      <w:r w:rsidR="00FE48B7">
        <w:t xml:space="preserve">ALJ has </w:t>
      </w:r>
      <w:r w:rsidR="00AB79C1">
        <w:t xml:space="preserve">displayed </w:t>
      </w:r>
      <w:r w:rsidR="00FE48B7">
        <w:t xml:space="preserve">personal animus toward him.  Second, Crowell alleges that </w:t>
      </w:r>
      <w:r w:rsidR="00AB79C1">
        <w:t xml:space="preserve">the </w:t>
      </w:r>
      <w:r w:rsidR="00E61540">
        <w:t>ALJ</w:t>
      </w:r>
      <w:r w:rsidR="00CB73DB">
        <w:t xml:space="preserve"> </w:t>
      </w:r>
      <w:r w:rsidR="00FE48B7">
        <w:t>misconstrue</w:t>
      </w:r>
      <w:r w:rsidR="00AB79C1">
        <w:t>d</w:t>
      </w:r>
      <w:r w:rsidR="00FE48B7">
        <w:t xml:space="preserve"> and/or misapplie</w:t>
      </w:r>
      <w:r w:rsidR="00AB79C1">
        <w:t>d</w:t>
      </w:r>
      <w:r w:rsidR="00FE48B7">
        <w:t xml:space="preserve"> the law</w:t>
      </w:r>
      <w:r w:rsidR="00F24F21">
        <w:t xml:space="preserve"> in his consideration of this case</w:t>
      </w:r>
      <w:r w:rsidR="00FE48B7">
        <w:t xml:space="preserve">.  Third, Crowell asserts that </w:t>
      </w:r>
      <w:r w:rsidR="00163A74">
        <w:t xml:space="preserve">the </w:t>
      </w:r>
      <w:r w:rsidR="00E61540">
        <w:t>ALJ</w:t>
      </w:r>
      <w:r w:rsidR="00FE48B7">
        <w:t xml:space="preserve"> </w:t>
      </w:r>
      <w:r w:rsidR="009F0812">
        <w:t xml:space="preserve">made unjustified rulings, including one barring Crowell </w:t>
      </w:r>
      <w:r w:rsidR="00B53BE1">
        <w:t xml:space="preserve">from briefing </w:t>
      </w:r>
      <w:r w:rsidR="00E61540">
        <w:t>an issue</w:t>
      </w:r>
      <w:r w:rsidR="00791D26">
        <w:t xml:space="preserve"> during discovery</w:t>
      </w:r>
      <w:r w:rsidR="00B53BE1">
        <w:t xml:space="preserve">.  </w:t>
      </w:r>
      <w:r w:rsidR="00AF5E71">
        <w:t>As stated, b</w:t>
      </w:r>
      <w:r w:rsidR="008E27AD">
        <w:t xml:space="preserve">ecause Crowell has not alleged that </w:t>
      </w:r>
      <w:r w:rsidR="00163A74">
        <w:t xml:space="preserve">the </w:t>
      </w:r>
      <w:r w:rsidR="008E27AD">
        <w:t xml:space="preserve">ALJ has relied on knowledge acquired outside of this proceeding, the pertinent standard is whether the </w:t>
      </w:r>
      <w:r w:rsidR="00E61540">
        <w:t>ALJ</w:t>
      </w:r>
      <w:r w:rsidR="008E27AD">
        <w:t xml:space="preserve"> has displayed </w:t>
      </w:r>
      <w:r w:rsidR="00F5492C">
        <w:t>“favoritism or antagonism that would make fair judgment impossible</w:t>
      </w:r>
      <w:r w:rsidR="008E27AD">
        <w:t>.”</w:t>
      </w:r>
      <w:r>
        <w:rPr>
          <w:rStyle w:val="FootnoteReference"/>
        </w:rPr>
        <w:footnoteReference w:id="36"/>
      </w:r>
      <w:r w:rsidR="008E27AD">
        <w:t xml:space="preserve">  As explained below, we find that </w:t>
      </w:r>
      <w:r w:rsidR="00163A74">
        <w:t xml:space="preserve">the </w:t>
      </w:r>
      <w:r w:rsidR="008E27AD">
        <w:t xml:space="preserve">ALJ has </w:t>
      </w:r>
      <w:r w:rsidR="00EF19ED">
        <w:t>not displayed such favoritism or antagonism</w:t>
      </w:r>
      <w:r w:rsidR="008E27AD">
        <w:t>.</w:t>
      </w:r>
    </w:p>
    <w:p w:rsidR="00FC283D" w:rsidP="009976B3" w14:paraId="15145940" w14:textId="0195FD08">
      <w:pPr>
        <w:pStyle w:val="ParaNum"/>
      </w:pPr>
      <w:r>
        <w:t xml:space="preserve">Crowell </w:t>
      </w:r>
      <w:r w:rsidR="009F0812">
        <w:t xml:space="preserve">asserts </w:t>
      </w:r>
      <w:r>
        <w:t xml:space="preserve">that </w:t>
      </w:r>
      <w:r w:rsidR="009F0812">
        <w:t xml:space="preserve">the </w:t>
      </w:r>
      <w:r>
        <w:t xml:space="preserve">ALJ has </w:t>
      </w:r>
      <w:r w:rsidR="009F0812">
        <w:t xml:space="preserve">displayed </w:t>
      </w:r>
      <w:r>
        <w:t>personal animu</w:t>
      </w:r>
      <w:r w:rsidR="001563E0">
        <w:t xml:space="preserve">s toward him because the </w:t>
      </w:r>
      <w:r w:rsidR="00E61540">
        <w:t>ALJ</w:t>
      </w:r>
      <w:r w:rsidR="001563E0">
        <w:t xml:space="preserve"> “becomes very angry and yells at </w:t>
      </w:r>
      <w:r w:rsidR="009F0812">
        <w:t xml:space="preserve">me </w:t>
      </w:r>
      <w:r w:rsidR="001563E0">
        <w:t>during conference hearings</w:t>
      </w:r>
      <w:r>
        <w:t>.</w:t>
      </w:r>
      <w:r w:rsidR="001563E0">
        <w:t>”</w:t>
      </w:r>
      <w:r>
        <w:rPr>
          <w:rStyle w:val="FootnoteReference"/>
        </w:rPr>
        <w:footnoteReference w:id="37"/>
      </w:r>
      <w:r w:rsidR="001563E0">
        <w:t xml:space="preserve">  Crowell identifies </w:t>
      </w:r>
      <w:r w:rsidR="009F0812">
        <w:t>a single</w:t>
      </w:r>
      <w:r w:rsidR="001563E0">
        <w:t xml:space="preserve"> </w:t>
      </w:r>
      <w:r w:rsidR="00825B71">
        <w:t xml:space="preserve">specific </w:t>
      </w:r>
      <w:r w:rsidR="001563E0">
        <w:t>occasion in which</w:t>
      </w:r>
      <w:r w:rsidR="009F0812">
        <w:t xml:space="preserve"> the </w:t>
      </w:r>
      <w:r w:rsidR="00E61540">
        <w:t>ALJ</w:t>
      </w:r>
      <w:r w:rsidR="001563E0">
        <w:t xml:space="preserve"> allegedly “got really mad and yelled at me during a conference hearing</w:t>
      </w:r>
      <w:r w:rsidR="00825B71">
        <w:t xml:space="preserve"> because I exposed how the Commission was violating its own rule [footnote omitted] that documents are deemed filed upon receipt by sending its mail to an outlying facility for irradiation before opening it</w:t>
      </w:r>
      <w:r w:rsidR="001563E0">
        <w:t>.”</w:t>
      </w:r>
      <w:r>
        <w:rPr>
          <w:rStyle w:val="FootnoteReference"/>
        </w:rPr>
        <w:footnoteReference w:id="38"/>
      </w:r>
      <w:r>
        <w:t xml:space="preserve">  </w:t>
      </w:r>
      <w:r w:rsidR="000956C4">
        <w:t xml:space="preserve">The </w:t>
      </w:r>
      <w:r w:rsidR="00E61540">
        <w:t>ALJ</w:t>
      </w:r>
      <w:r w:rsidR="000956C4">
        <w:t xml:space="preserve"> admits that he “may have become a bit testy while maintaining order” during</w:t>
      </w:r>
      <w:r w:rsidR="001563E0">
        <w:t xml:space="preserve"> the conference call, but </w:t>
      </w:r>
      <w:r w:rsidR="00C4070B">
        <w:t xml:space="preserve">denies that he became </w:t>
      </w:r>
      <w:r w:rsidR="006746DD">
        <w:t xml:space="preserve">very </w:t>
      </w:r>
      <w:r w:rsidR="00C4070B">
        <w:t>angry or yelled.</w:t>
      </w:r>
      <w:r>
        <w:rPr>
          <w:rStyle w:val="FootnoteReference"/>
        </w:rPr>
        <w:footnoteReference w:id="39"/>
      </w:r>
      <w:r w:rsidR="00C4070B">
        <w:t xml:space="preserve">  Crowell’s allegations fall short of the standard required for disqualification.</w:t>
      </w:r>
      <w:r w:rsidR="007833F9">
        <w:t xml:space="preserve">  </w:t>
      </w:r>
      <w:r w:rsidR="00825B71">
        <w:t xml:space="preserve">Rather they </w:t>
      </w:r>
      <w:r w:rsidR="00FF4DCD">
        <w:t>land</w:t>
      </w:r>
      <w:r w:rsidR="00825B71">
        <w:t xml:space="preserve"> within the principle </w:t>
      </w:r>
      <w:r w:rsidR="00C4070B">
        <w:t>that “expressions of impatience, dissatisfaction, annoyance, and even anger, that are within the bounds of what imperfect men and women</w:t>
      </w:r>
      <w:r w:rsidR="00920529">
        <w:t xml:space="preserve"> . . . </w:t>
      </w:r>
      <w:r w:rsidR="00C4070B">
        <w:t xml:space="preserve">sometimes display” do not </w:t>
      </w:r>
      <w:r w:rsidR="00825B71">
        <w:t xml:space="preserve">warrant </w:t>
      </w:r>
      <w:r w:rsidR="00C4070B">
        <w:t>disqualification.</w:t>
      </w:r>
      <w:r>
        <w:rPr>
          <w:rStyle w:val="FootnoteReference"/>
        </w:rPr>
        <w:footnoteReference w:id="40"/>
      </w:r>
      <w:r w:rsidR="00C4070B">
        <w:t xml:space="preserve">  Crowell’s claim describes </w:t>
      </w:r>
      <w:r w:rsidR="00825B71">
        <w:t xml:space="preserve">no more than </w:t>
      </w:r>
      <w:r w:rsidR="00C4070B">
        <w:t>th</w:t>
      </w:r>
      <w:r w:rsidR="005C090C">
        <w:t>e</w:t>
      </w:r>
      <w:r w:rsidR="00C4070B">
        <w:t xml:space="preserve"> type of ordinary impatience</w:t>
      </w:r>
      <w:r w:rsidR="00CD475B">
        <w:t xml:space="preserve"> that </w:t>
      </w:r>
      <w:r w:rsidR="005C090C">
        <w:t xml:space="preserve">well </w:t>
      </w:r>
      <w:r w:rsidR="00CD475B">
        <w:t>might arise during the course of a</w:t>
      </w:r>
      <w:r w:rsidR="005C090C">
        <w:t xml:space="preserve"> hotly-contested </w:t>
      </w:r>
      <w:r w:rsidR="00CD475B">
        <w:t>hearing</w:t>
      </w:r>
      <w:r w:rsidR="00C4070B">
        <w:t>.</w:t>
      </w:r>
      <w:r>
        <w:rPr>
          <w:rStyle w:val="FootnoteReference"/>
        </w:rPr>
        <w:footnoteReference w:id="41"/>
      </w:r>
    </w:p>
    <w:p w:rsidR="00C4070B" w:rsidP="009976B3" w14:paraId="48B0B2C2" w14:textId="64027F04">
      <w:pPr>
        <w:pStyle w:val="ParaNum"/>
      </w:pPr>
      <w:r>
        <w:t xml:space="preserve">Crowell’s claim that disqualification is </w:t>
      </w:r>
      <w:r w:rsidR="003F5EC1">
        <w:t xml:space="preserve">warranted </w:t>
      </w:r>
      <w:r>
        <w:t>because</w:t>
      </w:r>
      <w:r w:rsidR="00CD475B">
        <w:t xml:space="preserve"> the </w:t>
      </w:r>
      <w:r>
        <w:t>ALJ misconstrue</w:t>
      </w:r>
      <w:r w:rsidR="00CD475B">
        <w:t>d</w:t>
      </w:r>
      <w:r>
        <w:t xml:space="preserve"> and/or misapplie</w:t>
      </w:r>
      <w:r w:rsidR="00CD475B">
        <w:t>d</w:t>
      </w:r>
      <w:r>
        <w:t xml:space="preserve"> the law </w:t>
      </w:r>
      <w:r w:rsidR="00A04E6E">
        <w:t>is similarly misplaced</w:t>
      </w:r>
      <w:r>
        <w:t xml:space="preserve">.  Crowell outlines two areas where he </w:t>
      </w:r>
      <w:r w:rsidR="00CD475B">
        <w:t xml:space="preserve">alleges that </w:t>
      </w:r>
      <w:r>
        <w:t xml:space="preserve">the </w:t>
      </w:r>
      <w:r w:rsidR="00E61540">
        <w:t>ALJ</w:t>
      </w:r>
      <w:r>
        <w:t xml:space="preserve"> </w:t>
      </w:r>
      <w:r w:rsidR="00CD475B">
        <w:t xml:space="preserve">made erroneous rulings on </w:t>
      </w:r>
      <w:r w:rsidR="008E27AD">
        <w:t>a matter of law</w:t>
      </w:r>
      <w:r w:rsidR="00CD475B">
        <w:t xml:space="preserve">, namely that the ALJ </w:t>
      </w:r>
      <w:r>
        <w:t>(a) refuse</w:t>
      </w:r>
      <w:r w:rsidR="00CD475B">
        <w:t>d</w:t>
      </w:r>
      <w:r>
        <w:t xml:space="preserve"> to apply the </w:t>
      </w:r>
      <w:r>
        <w:rPr>
          <w:i/>
        </w:rPr>
        <w:t>Red Lion</w:t>
      </w:r>
      <w:r>
        <w:rPr>
          <w:rStyle w:val="FootnoteReference"/>
        </w:rPr>
        <w:footnoteReference w:id="42"/>
      </w:r>
      <w:r>
        <w:t xml:space="preserve"> and </w:t>
      </w:r>
      <w:r>
        <w:rPr>
          <w:i/>
        </w:rPr>
        <w:t>Sable Communications</w:t>
      </w:r>
      <w:r>
        <w:rPr>
          <w:rStyle w:val="FootnoteReference"/>
        </w:rPr>
        <w:footnoteReference w:id="43"/>
      </w:r>
      <w:r>
        <w:t xml:space="preserve"> Supreme Court cases to </w:t>
      </w:r>
      <w:r w:rsidR="00CD475B">
        <w:t xml:space="preserve">the </w:t>
      </w:r>
      <w:r>
        <w:t>amateur radio service;</w:t>
      </w:r>
      <w:r>
        <w:rPr>
          <w:rStyle w:val="FootnoteReference"/>
        </w:rPr>
        <w:footnoteReference w:id="44"/>
      </w:r>
      <w:r w:rsidR="006D56EC">
        <w:t xml:space="preserve"> and</w:t>
      </w:r>
      <w:r>
        <w:t xml:space="preserve"> (b) applie</w:t>
      </w:r>
      <w:r w:rsidR="00CD475B">
        <w:t>d</w:t>
      </w:r>
      <w:r>
        <w:t xml:space="preserve"> the Commission’s Character </w:t>
      </w:r>
      <w:r w:rsidR="00780C5B">
        <w:t>Policy Statement</w:t>
      </w:r>
      <w:r>
        <w:rPr>
          <w:rStyle w:val="FootnoteReference"/>
        </w:rPr>
        <w:footnoteReference w:id="45"/>
      </w:r>
      <w:r w:rsidR="00780C5B">
        <w:t xml:space="preserve"> </w:t>
      </w:r>
      <w:r>
        <w:t xml:space="preserve">to amateur radio </w:t>
      </w:r>
      <w:r w:rsidR="00F43474">
        <w:t>operators</w:t>
      </w:r>
      <w:r>
        <w:t>.</w:t>
      </w:r>
      <w:r>
        <w:rPr>
          <w:rStyle w:val="FootnoteReference"/>
        </w:rPr>
        <w:footnoteReference w:id="46"/>
      </w:r>
      <w:r>
        <w:t xml:space="preserve">  </w:t>
      </w:r>
      <w:r w:rsidR="00CD475B">
        <w:t xml:space="preserve">A mere disagreement on a point of law does not constitute a basis for disqualification.  </w:t>
      </w:r>
      <w:r w:rsidR="008C1956">
        <w:t>T</w:t>
      </w:r>
      <w:r>
        <w:t>he process by which legal errors are resolved is the appeal</w:t>
      </w:r>
      <w:r w:rsidR="008C1956">
        <w:t>s</w:t>
      </w:r>
      <w:r w:rsidR="006813DC">
        <w:t xml:space="preserve"> process</w:t>
      </w:r>
      <w:r w:rsidR="008C1956">
        <w:t>; “judicial rulings alone almost never constitute a valid basis for a bias or partiality motion</w:t>
      </w:r>
      <w:r w:rsidR="006813DC">
        <w:t>.</w:t>
      </w:r>
      <w:r w:rsidR="008C1956">
        <w:t>”</w:t>
      </w:r>
      <w:r>
        <w:rPr>
          <w:rStyle w:val="FootnoteReference"/>
        </w:rPr>
        <w:footnoteReference w:id="47"/>
      </w:r>
      <w:r>
        <w:t xml:space="preserve"> </w:t>
      </w:r>
      <w:r w:rsidR="006813DC">
        <w:t xml:space="preserve"> </w:t>
      </w:r>
      <w:r w:rsidR="008C1956">
        <w:t xml:space="preserve">To </w:t>
      </w:r>
      <w:r w:rsidR="009C4887">
        <w:t xml:space="preserve">justify </w:t>
      </w:r>
      <w:r w:rsidR="008C1956">
        <w:t>disqualification, a party must show that the ruling displays</w:t>
      </w:r>
      <w:r w:rsidR="00D551B9">
        <w:t xml:space="preserve"> </w:t>
      </w:r>
      <w:r w:rsidR="00AF5E71">
        <w:t xml:space="preserve">evidence of </w:t>
      </w:r>
      <w:r w:rsidR="00D551B9">
        <w:t>“f</w:t>
      </w:r>
      <w:r w:rsidR="006138A1">
        <w:t>avoritism or antagonism</w:t>
      </w:r>
      <w:r w:rsidR="008C1956">
        <w:t>.</w:t>
      </w:r>
      <w:r w:rsidR="00D551B9">
        <w:t>”</w:t>
      </w:r>
      <w:r>
        <w:rPr>
          <w:rStyle w:val="FootnoteReference"/>
        </w:rPr>
        <w:footnoteReference w:id="48"/>
      </w:r>
      <w:r w:rsidR="006138A1">
        <w:t xml:space="preserve">  Nothing in Crowell’s appeal gives us reason to believe </w:t>
      </w:r>
      <w:r w:rsidR="009C4887">
        <w:t xml:space="preserve">the </w:t>
      </w:r>
      <w:r w:rsidR="006138A1">
        <w:t>ALJ</w:t>
      </w:r>
      <w:r w:rsidR="009C4887">
        <w:t xml:space="preserve">’s </w:t>
      </w:r>
      <w:r w:rsidR="006138A1">
        <w:t>legal conclusions were driven by “favoritism or antagonism.”</w:t>
      </w:r>
      <w:r>
        <w:rPr>
          <w:rStyle w:val="FootnoteReference"/>
        </w:rPr>
        <w:footnoteReference w:id="49"/>
      </w:r>
    </w:p>
    <w:p w:rsidR="00C5252F" w:rsidP="009976B3" w14:paraId="06115825" w14:textId="047D7F29">
      <w:pPr>
        <w:pStyle w:val="ParaNum"/>
      </w:pPr>
      <w:r>
        <w:t>Crowell’s last argument</w:t>
      </w:r>
      <w:r w:rsidR="00F679D6">
        <w:t xml:space="preserve">, that ALJ Sippel showed bias </w:t>
      </w:r>
      <w:r w:rsidR="006A6A98">
        <w:t>in his rulings</w:t>
      </w:r>
      <w:r w:rsidR="00340B04">
        <w:t>,</w:t>
      </w:r>
      <w:r w:rsidR="006A6A98">
        <w:t xml:space="preserve"> also fails.  </w:t>
      </w:r>
      <w:r>
        <w:t>Crowell argues that the ALJ “refused [his] request to brief [an] issue in order to prove that some of [his] motions had been denied due to supposed late filing</w:t>
      </w:r>
      <w:r w:rsidR="00920529">
        <w:t xml:space="preserve"> . . . </w:t>
      </w:r>
      <w:r>
        <w:t xml:space="preserve">when they were timely filed, and then he wrote a conference summary which failed to state that </w:t>
      </w:r>
      <w:r w:rsidR="008E27AD">
        <w:t>[Crowell]</w:t>
      </w:r>
      <w:r>
        <w:t xml:space="preserve"> raised the issue.”</w:t>
      </w:r>
      <w:r>
        <w:rPr>
          <w:rStyle w:val="FootnoteReference"/>
        </w:rPr>
        <w:footnoteReference w:id="50"/>
      </w:r>
      <w:r>
        <w:t xml:space="preserve">  </w:t>
      </w:r>
      <w:r w:rsidR="00E47766">
        <w:t xml:space="preserve">The </w:t>
      </w:r>
      <w:r w:rsidR="00462572">
        <w:t xml:space="preserve">ALJ </w:t>
      </w:r>
      <w:r w:rsidR="00F679D6">
        <w:t>responds that this was a “routine event of case management” and that he “summariz[ed] his recollection of the subjects discussed at the conference.”</w:t>
      </w:r>
      <w:r>
        <w:rPr>
          <w:rStyle w:val="FootnoteReference"/>
        </w:rPr>
        <w:footnoteReference w:id="51"/>
      </w:r>
      <w:r w:rsidR="00F679D6">
        <w:t xml:space="preserve">  He further </w:t>
      </w:r>
      <w:r w:rsidR="00462572">
        <w:t>states</w:t>
      </w:r>
      <w:r w:rsidR="00F679D6">
        <w:t xml:space="preserve"> that “[t]o encumber the record with details of each and every matter that Crowell contrives would waste an endless amount of time and resources.”</w:t>
      </w:r>
      <w:r>
        <w:rPr>
          <w:rStyle w:val="FootnoteReference"/>
        </w:rPr>
        <w:footnoteReference w:id="52"/>
      </w:r>
      <w:r w:rsidR="00F679D6">
        <w:t xml:space="preserve">  </w:t>
      </w:r>
      <w:r w:rsidR="00E47766">
        <w:t xml:space="preserve">Crowell gives us no </w:t>
      </w:r>
      <w:r w:rsidR="00775F00">
        <w:t xml:space="preserve">reason </w:t>
      </w:r>
      <w:r w:rsidR="00E47766">
        <w:t xml:space="preserve">to believe that this matter involves anything other than a routine procedural ruling that does not justify </w:t>
      </w:r>
      <w:r w:rsidR="00F679D6">
        <w:t>disqualification.  The Supreme Court has held that a “judge’s ordinary efforts at courtroom administration</w:t>
      </w:r>
      <w:r w:rsidR="00920529">
        <w:t xml:space="preserve"> . . . </w:t>
      </w:r>
      <w:r w:rsidR="00F679D6">
        <w:t>remain immune” from bias challenges.</w:t>
      </w:r>
      <w:r>
        <w:rPr>
          <w:rStyle w:val="FootnoteReference"/>
        </w:rPr>
        <w:footnoteReference w:id="53"/>
      </w:r>
      <w:r w:rsidR="00F679D6">
        <w:t xml:space="preserve">  Crowell describes just the sort of courtroom administration </w:t>
      </w:r>
      <w:r w:rsidR="001E0A69">
        <w:t xml:space="preserve">in which </w:t>
      </w:r>
      <w:r w:rsidR="00F679D6">
        <w:t>we expect an ALJ to engage.</w:t>
      </w:r>
      <w:r>
        <w:rPr>
          <w:rStyle w:val="FootnoteReference"/>
        </w:rPr>
        <w:footnoteReference w:id="54"/>
      </w:r>
      <w:r w:rsidR="00F679D6">
        <w:t xml:space="preserve">  </w:t>
      </w:r>
      <w:r w:rsidR="00791D26">
        <w:t>Crowell is</w:t>
      </w:r>
      <w:r>
        <w:t xml:space="preserve"> free to raise challenges to the denial of his motions on appeal, after a final order disposing of the case has been issued.</w:t>
      </w:r>
      <w:r>
        <w:rPr>
          <w:rStyle w:val="FootnoteReference"/>
        </w:rPr>
        <w:footnoteReference w:id="55"/>
      </w:r>
      <w:r w:rsidR="00E47766">
        <w:t xml:space="preserve">  Similarly, we find no merit to Crowell’s allegation that the ALJ displayed bias </w:t>
      </w:r>
      <w:r w:rsidR="00483F59">
        <w:t>by “accus[ing] me of contempt,” a reference to the ALJ’s Show Cause Order.</w:t>
      </w:r>
      <w:r>
        <w:rPr>
          <w:rStyle w:val="FootnoteReference"/>
        </w:rPr>
        <w:footnoteReference w:id="56"/>
      </w:r>
      <w:r w:rsidR="00483F59">
        <w:t xml:space="preserve">  Crowell is </w:t>
      </w:r>
      <w:r w:rsidR="008D364E">
        <w:t xml:space="preserve">also </w:t>
      </w:r>
      <w:r w:rsidR="00483F59">
        <w:t>free to challenge th</w:t>
      </w:r>
      <w:r w:rsidR="00AC074C">
        <w:t>e Show Cause Order</w:t>
      </w:r>
      <w:r w:rsidR="00602562">
        <w:t xml:space="preserve"> </w:t>
      </w:r>
      <w:r w:rsidR="00483F59">
        <w:t>at the appropriate time.</w:t>
      </w:r>
    </w:p>
    <w:p w:rsidR="006F75FE" w:rsidP="006F75FE" w14:paraId="626F3DBC" w14:textId="77777777">
      <w:pPr>
        <w:pStyle w:val="Heading1"/>
      </w:pPr>
      <w:r>
        <w:t>ORDERING CLAUSES</w:t>
      </w:r>
    </w:p>
    <w:p w:rsidR="006F75FE" w:rsidP="009976B3" w14:paraId="60A03B46" w14:textId="38F86294">
      <w:pPr>
        <w:pStyle w:val="ParaNum"/>
      </w:pPr>
      <w:r>
        <w:t>IT IS ORDERED that the</w:t>
      </w:r>
      <w:r w:rsidR="007833F9">
        <w:t xml:space="preserve"> </w:t>
      </w:r>
      <w:r w:rsidRPr="004F3015" w:rsidR="008D364E">
        <w:t xml:space="preserve">Licensee’s Appeal to the Commission from </w:t>
      </w:r>
      <w:r w:rsidR="00476132">
        <w:t xml:space="preserve">the </w:t>
      </w:r>
      <w:r w:rsidRPr="004F3015" w:rsidR="008D364E">
        <w:t>ALJ’s Denial of Motion to Disqualify Him Pursuant to 47 C.F.R., Chapter I, Subchapter A, Part 1, Subpart B § 1.245 [47 C.F.R., Chapter I, Subchapter A, Part 1, Subpart B, § 1.301]</w:t>
      </w:r>
      <w:r w:rsidR="008D364E">
        <w:t>, WT Docket No. 08-20 (filed April 10, 2017</w:t>
      </w:r>
      <w:r w:rsidR="00AC074C">
        <w:t xml:space="preserve">, </w:t>
      </w:r>
      <w:r>
        <w:t>by William Crowell</w:t>
      </w:r>
      <w:r w:rsidR="00AC074C">
        <w:t>)</w:t>
      </w:r>
      <w:r>
        <w:t xml:space="preserve"> is DENIED.</w:t>
      </w:r>
    </w:p>
    <w:p w:rsidR="006F75FE" w:rsidP="006F75FE" w14:paraId="191268A5" w14:textId="3D4C538E">
      <w:pPr>
        <w:pStyle w:val="ParaNum"/>
        <w:numPr>
          <w:ilvl w:val="0"/>
          <w:numId w:val="0"/>
        </w:numPr>
      </w:pPr>
    </w:p>
    <w:p w:rsidR="00C05670" w:rsidP="006F75FE" w14:paraId="342E4355" w14:textId="77777777">
      <w:pPr>
        <w:pStyle w:val="ParaNum"/>
        <w:numPr>
          <w:ilvl w:val="0"/>
          <w:numId w:val="0"/>
        </w:numPr>
      </w:pPr>
    </w:p>
    <w:p w:rsidR="007E4C79" w:rsidP="0017296B" w14:paraId="506699FA" w14:textId="77777777">
      <w:r>
        <w:tab/>
      </w:r>
      <w:r>
        <w:tab/>
      </w:r>
      <w:r>
        <w:tab/>
      </w:r>
      <w:r>
        <w:tab/>
      </w:r>
      <w:r>
        <w:tab/>
      </w:r>
      <w:r>
        <w:tab/>
        <w:t>FEDERAL COMMUNICATIONS COMMISSION</w:t>
      </w:r>
    </w:p>
    <w:p w:rsidR="007E4C79" w:rsidP="0017296B" w14:paraId="0B2DDDA5" w14:textId="77777777"/>
    <w:p w:rsidR="007E4C79" w:rsidP="0017296B" w14:paraId="799CC3E7" w14:textId="77777777"/>
    <w:p w:rsidR="007E4C79" w:rsidP="0017296B" w14:paraId="0E146145" w14:textId="77777777"/>
    <w:p w:rsidR="007E4C79" w:rsidP="0017296B" w14:paraId="3EE43A5B" w14:textId="77777777"/>
    <w:p w:rsidR="007E4C79" w:rsidP="0017296B" w14:paraId="549F87EE" w14:textId="77777777">
      <w:r>
        <w:tab/>
      </w:r>
      <w:r>
        <w:tab/>
      </w:r>
      <w:r>
        <w:tab/>
      </w:r>
      <w:r>
        <w:tab/>
      </w:r>
      <w:r>
        <w:tab/>
      </w:r>
      <w:r>
        <w:tab/>
        <w:t>Marlene H. Dortch</w:t>
      </w:r>
    </w:p>
    <w:p w:rsidR="007E4C79" w:rsidP="0017296B" w14:paraId="072E8B42" w14:textId="77777777">
      <w:r>
        <w:tab/>
      </w:r>
      <w:r>
        <w:tab/>
      </w:r>
      <w:r>
        <w:tab/>
      </w:r>
      <w:r>
        <w:tab/>
      </w:r>
      <w:r>
        <w:tab/>
      </w:r>
      <w:r>
        <w:tab/>
        <w:t>Secretary</w:t>
      </w:r>
    </w:p>
    <w:p w:rsidR="009938DF" w:rsidP="006F75FE" w14:paraId="4538F0F8" w14:textId="183BD9A4">
      <w:pPr>
        <w:pStyle w:val="ParaNum"/>
        <w:numPr>
          <w:ilvl w:val="0"/>
          <w:numId w:val="0"/>
        </w:numPr>
        <w:ind w:left="4320"/>
      </w:pPr>
    </w:p>
    <w:p w:rsidR="009938DF" w14:paraId="152CF6B9" w14:textId="77777777">
      <w:pPr>
        <w:widowControl/>
      </w:pPr>
      <w:r>
        <w:br w:type="page"/>
      </w:r>
    </w:p>
    <w:p w:rsidR="009938DF" w:rsidRPr="00F812B4" w:rsidP="009938DF" w14:paraId="47D97292" w14:textId="77777777">
      <w:pPr>
        <w:jc w:val="center"/>
        <w:rPr>
          <w:b/>
          <w:szCs w:val="22"/>
        </w:rPr>
      </w:pPr>
      <w:r w:rsidRPr="00F812B4">
        <w:rPr>
          <w:b/>
          <w:szCs w:val="22"/>
        </w:rPr>
        <w:t>STATEMENT OF</w:t>
      </w:r>
    </w:p>
    <w:p w:rsidR="009938DF" w:rsidRPr="00F812B4" w:rsidP="009938DF" w14:paraId="7C0D1EBB" w14:textId="77777777">
      <w:pPr>
        <w:jc w:val="center"/>
        <w:rPr>
          <w:b/>
          <w:szCs w:val="22"/>
        </w:rPr>
      </w:pPr>
      <w:r w:rsidRPr="00F812B4">
        <w:rPr>
          <w:b/>
          <w:szCs w:val="22"/>
        </w:rPr>
        <w:t>COMMISSIONER MICHAEL O’RIELLY</w:t>
      </w:r>
    </w:p>
    <w:p w:rsidR="009938DF" w:rsidRPr="00F812B4" w:rsidP="009938DF" w14:paraId="1E60E804" w14:textId="77777777">
      <w:pPr>
        <w:ind w:firstLine="720"/>
        <w:rPr>
          <w:szCs w:val="22"/>
        </w:rPr>
      </w:pPr>
    </w:p>
    <w:p w:rsidR="009938DF" w:rsidP="009938DF" w14:paraId="06B1B381" w14:textId="77777777">
      <w:pPr>
        <w:rPr>
          <w:i/>
          <w:szCs w:val="22"/>
        </w:rPr>
      </w:pPr>
      <w:r w:rsidRPr="00F812B4">
        <w:rPr>
          <w:szCs w:val="22"/>
        </w:rPr>
        <w:t>Re:</w:t>
      </w:r>
      <w:r w:rsidRPr="00F812B4">
        <w:rPr>
          <w:szCs w:val="22"/>
        </w:rPr>
        <w:tab/>
      </w:r>
      <w:r>
        <w:rPr>
          <w:i/>
          <w:szCs w:val="22"/>
        </w:rPr>
        <w:t xml:space="preserve">Patrick Sullivan and Lake Broadcasting, Inc. For Commission Consent to the Assignment of </w:t>
      </w:r>
    </w:p>
    <w:p w:rsidR="009938DF" w:rsidP="009938DF" w14:paraId="6A400B5E" w14:textId="77777777">
      <w:pPr>
        <w:ind w:firstLine="720"/>
        <w:rPr>
          <w:szCs w:val="22"/>
        </w:rPr>
      </w:pPr>
      <w:r>
        <w:rPr>
          <w:i/>
          <w:szCs w:val="22"/>
        </w:rPr>
        <w:t xml:space="preserve">License of FM Translator Station W238CE, Montgomery, Alabama, </w:t>
      </w:r>
      <w:r>
        <w:rPr>
          <w:szCs w:val="22"/>
        </w:rPr>
        <w:t xml:space="preserve">MB Docket No. 14-82; </w:t>
      </w:r>
    </w:p>
    <w:p w:rsidR="009938DF" w:rsidRPr="006D6E9D" w:rsidP="009938DF" w14:paraId="3600F522" w14:textId="77777777">
      <w:pPr>
        <w:ind w:left="720"/>
        <w:rPr>
          <w:szCs w:val="22"/>
        </w:rPr>
      </w:pPr>
      <w:r>
        <w:rPr>
          <w:i/>
          <w:szCs w:val="22"/>
        </w:rPr>
        <w:t>William F. Crowell, Application to Renew License for Amateur Radio Service Station W6WBJ</w:t>
      </w:r>
      <w:r>
        <w:rPr>
          <w:szCs w:val="22"/>
        </w:rPr>
        <w:t>, WT Docket No. 08-20</w:t>
      </w:r>
    </w:p>
    <w:p w:rsidR="009938DF" w:rsidP="009938DF" w14:paraId="5DC8E6FA" w14:textId="77777777">
      <w:pPr>
        <w:ind w:firstLine="720"/>
        <w:rPr>
          <w:szCs w:val="22"/>
        </w:rPr>
      </w:pPr>
    </w:p>
    <w:p w:rsidR="009938DF" w:rsidP="009938DF" w14:paraId="7F51E58D" w14:textId="77777777">
      <w:pPr>
        <w:ind w:firstLine="720"/>
        <w:rPr>
          <w:szCs w:val="22"/>
        </w:rPr>
      </w:pPr>
      <w:r>
        <w:rPr>
          <w:szCs w:val="22"/>
        </w:rPr>
        <w:t xml:space="preserve">While I approve these items confirming that the requisite showing of bias necessary to disqualify an ALJ was not met, and therefore the appeal must be denied, I feel it is important to make a few observations.  </w:t>
      </w:r>
    </w:p>
    <w:p w:rsidR="009938DF" w:rsidP="009938DF" w14:paraId="03E03F2C" w14:textId="77777777">
      <w:pPr>
        <w:ind w:firstLine="720"/>
        <w:rPr>
          <w:szCs w:val="22"/>
        </w:rPr>
      </w:pPr>
    </w:p>
    <w:p w:rsidR="009938DF" w:rsidP="009938DF" w14:paraId="4CE432A8" w14:textId="77777777">
      <w:pPr>
        <w:ind w:firstLine="720"/>
        <w:rPr>
          <w:szCs w:val="22"/>
        </w:rPr>
      </w:pPr>
      <w:r>
        <w:rPr>
          <w:szCs w:val="22"/>
        </w:rPr>
        <w:t xml:space="preserve">While the bias burden may not have been met because it rightfully remains high, I am concerned that the ALJ took unnecessary actions in these situations.  For example, denying a motion to dismiss in order to pursue a case on the character of someone who decided to withdraw his application to be a Commission licensee appears to me to be a questionable use of resources.  </w:t>
      </w:r>
    </w:p>
    <w:p w:rsidR="009938DF" w:rsidP="009938DF" w14:paraId="69782F4B" w14:textId="77777777">
      <w:pPr>
        <w:ind w:firstLine="720"/>
        <w:rPr>
          <w:szCs w:val="22"/>
        </w:rPr>
      </w:pPr>
    </w:p>
    <w:p w:rsidR="009938DF" w:rsidP="009938DF" w14:paraId="42BB4F66" w14:textId="77777777">
      <w:pPr>
        <w:ind w:firstLine="720"/>
        <w:rPr>
          <w:szCs w:val="22"/>
        </w:rPr>
      </w:pPr>
      <w:r>
        <w:rPr>
          <w:szCs w:val="22"/>
        </w:rPr>
        <w:t xml:space="preserve">The Sullivan item also describes a “lengthy prehearing process” of over three years.  Three years!  This is an absurd amount of time needed to resolve such a matter and reinforces to me the need to fully weigh the costs and benefits of the ALJ process.  </w:t>
      </w:r>
    </w:p>
    <w:p w:rsidR="009938DF" w:rsidP="009938DF" w14:paraId="26E1DF43" w14:textId="77777777">
      <w:pPr>
        <w:ind w:firstLine="720"/>
        <w:rPr>
          <w:szCs w:val="22"/>
        </w:rPr>
      </w:pPr>
    </w:p>
    <w:p w:rsidR="009938DF" w:rsidP="009938DF" w14:paraId="423ED3B3" w14:textId="77777777">
      <w:pPr>
        <w:ind w:firstLine="720"/>
        <w:rPr>
          <w:szCs w:val="22"/>
        </w:rPr>
      </w:pPr>
      <w:r>
        <w:rPr>
          <w:szCs w:val="22"/>
        </w:rPr>
        <w:t xml:space="preserve">On a larger scale, complaints about the ALJ process are not isolated incidents but paint a picture of questionable decisions coupled with an elevated level of inefficiency.  It seems to me that too often the Commission has had to reverse the decisions of the ALJ or address one ALJ decision or another.  To its credit, the media bureau has begun to use paper hearings to completely avoid this bureaucratic mess.  This reality only reaffirms my call to consider eliminating the ALJ process altogether.    </w:t>
      </w:r>
    </w:p>
    <w:p w:rsidR="009938DF" w:rsidP="009938DF" w14:paraId="7F4C4301" w14:textId="77777777">
      <w:pPr>
        <w:ind w:firstLine="720"/>
        <w:rPr>
          <w:szCs w:val="22"/>
        </w:rPr>
      </w:pPr>
    </w:p>
    <w:p w:rsidR="009938DF" w:rsidRPr="00094F71" w:rsidP="009938DF" w14:paraId="2BB37A6C" w14:textId="77777777">
      <w:pPr>
        <w:ind w:firstLine="720"/>
        <w:rPr>
          <w:rFonts w:cstheme="minorHAnsi"/>
          <w:color w:val="000000" w:themeColor="text1"/>
          <w:sz w:val="24"/>
          <w:szCs w:val="24"/>
        </w:rPr>
      </w:pPr>
    </w:p>
    <w:p w:rsidR="006F75FE" w:rsidRPr="006F75FE" w:rsidP="006F75FE" w14:paraId="58B02BB0" w14:textId="77777777">
      <w:pPr>
        <w:pStyle w:val="ParaNum"/>
        <w:numPr>
          <w:ilvl w:val="0"/>
          <w:numId w:val="0"/>
        </w:numPr>
        <w:ind w:left="4320"/>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D297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F7D5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4D2F83A" w14:textId="7FB66E22">
    <w:pPr>
      <w:pStyle w:val="Footer"/>
      <w:framePr w:wrap="around" w:vAnchor="text" w:hAnchor="margin" w:xAlign="center" w:y="1"/>
    </w:pPr>
    <w:r>
      <w:fldChar w:fldCharType="begin"/>
    </w:r>
    <w:r>
      <w:instrText xml:space="preserve">PAGE  </w:instrText>
    </w:r>
    <w:r>
      <w:fldChar w:fldCharType="separate"/>
    </w:r>
    <w:r w:rsidR="00364B72">
      <w:rPr>
        <w:noProof/>
      </w:rPr>
      <w:t>2</w:t>
    </w:r>
    <w:r>
      <w:fldChar w:fldCharType="end"/>
    </w:r>
  </w:p>
  <w:p w:rsidR="00D25FB5" w14:paraId="3C899F5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39DA7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5038" w14:paraId="4D1C351C" w14:textId="77777777">
      <w:r>
        <w:separator/>
      </w:r>
    </w:p>
  </w:footnote>
  <w:footnote w:type="continuationSeparator" w:id="1">
    <w:p w:rsidR="00535038" w:rsidP="00C721AC" w14:paraId="64555AD8" w14:textId="77777777">
      <w:pPr>
        <w:spacing w:before="120"/>
        <w:rPr>
          <w:sz w:val="20"/>
        </w:rPr>
      </w:pPr>
      <w:r>
        <w:rPr>
          <w:sz w:val="20"/>
        </w:rPr>
        <w:t xml:space="preserve">(Continued from previous page)  </w:t>
      </w:r>
      <w:r>
        <w:rPr>
          <w:sz w:val="20"/>
        </w:rPr>
        <w:separator/>
      </w:r>
    </w:p>
  </w:footnote>
  <w:footnote w:type="continuationNotice" w:id="2">
    <w:p w:rsidR="00535038" w:rsidP="00C721AC" w14:paraId="2134AB68" w14:textId="77777777">
      <w:pPr>
        <w:jc w:val="right"/>
        <w:rPr>
          <w:sz w:val="20"/>
        </w:rPr>
      </w:pPr>
      <w:r>
        <w:rPr>
          <w:sz w:val="20"/>
        </w:rPr>
        <w:t>(continued….)</w:t>
      </w:r>
    </w:p>
  </w:footnote>
  <w:footnote w:id="3">
    <w:p w:rsidR="00722C3A" w:rsidRPr="004F3015" w14:paraId="14A4A7A1" w14:textId="092D0D16">
      <w:pPr>
        <w:pStyle w:val="FootnoteText"/>
      </w:pPr>
      <w:r>
        <w:rPr>
          <w:rStyle w:val="FootnoteReference"/>
        </w:rPr>
        <w:footnoteRef/>
      </w:r>
      <w:r>
        <w:t xml:space="preserve"> </w:t>
      </w:r>
      <w:r w:rsidRPr="004F3015" w:rsidR="007733FB">
        <w:t xml:space="preserve">Licensee’s Appeal to the Commission from </w:t>
      </w:r>
      <w:r w:rsidR="00C372B3">
        <w:t xml:space="preserve">the </w:t>
      </w:r>
      <w:r w:rsidRPr="004F3015" w:rsidR="007733FB">
        <w:t>ALJ’s Denial of Motion to Disqualify Him Pursuant to 47 C.F.R., Chapter I, Subchapter A, Part 1, Subpart B § 1.245</w:t>
      </w:r>
      <w:r w:rsidRPr="004F3015" w:rsidR="004F3015">
        <w:t xml:space="preserve"> [47 C.F.R., Chapter I, Subchapter A, Part 1, Subpart B, § 1.301]</w:t>
      </w:r>
      <w:r w:rsidR="004F3015">
        <w:t xml:space="preserve">, WT Docket No. 08-20 (filed April 10, 2017) (Crowell </w:t>
      </w:r>
      <w:r w:rsidR="00656AE1">
        <w:t>AFR</w:t>
      </w:r>
      <w:r w:rsidR="004F3015">
        <w:t>).</w:t>
      </w:r>
    </w:p>
  </w:footnote>
  <w:footnote w:id="4">
    <w:p w:rsidR="00815635" w:rsidRPr="00137275" w14:paraId="614E500A" w14:textId="4C063861">
      <w:pPr>
        <w:pStyle w:val="FootnoteText"/>
      </w:pPr>
      <w:r>
        <w:rPr>
          <w:rStyle w:val="FootnoteReference"/>
        </w:rPr>
        <w:footnoteRef/>
      </w:r>
      <w:r>
        <w:t xml:space="preserve"> </w:t>
      </w:r>
      <w:r w:rsidR="00137275">
        <w:rPr>
          <w:i/>
        </w:rPr>
        <w:t xml:space="preserve">See infra </w:t>
      </w:r>
      <w:r w:rsidR="00137275">
        <w:t xml:space="preserve">note </w:t>
      </w:r>
      <w:r w:rsidR="00606768">
        <w:t>[</w:t>
      </w:r>
      <w:r w:rsidR="00137275">
        <w:t>18</w:t>
      </w:r>
      <w:r w:rsidR="00606768">
        <w:t>]</w:t>
      </w:r>
      <w:r w:rsidR="00137275">
        <w:t xml:space="preserve"> (Crowell’s petition) and note</w:t>
      </w:r>
      <w:r w:rsidR="00606768">
        <w:t xml:space="preserve"> [</w:t>
      </w:r>
      <w:r w:rsidR="00137275">
        <w:t>20</w:t>
      </w:r>
      <w:r w:rsidR="00606768">
        <w:t>]</w:t>
      </w:r>
      <w:r w:rsidR="00137275">
        <w:t xml:space="preserve"> (ALJ’s denial).</w:t>
      </w:r>
    </w:p>
  </w:footnote>
  <w:footnote w:id="5">
    <w:p w:rsidR="00C540A2" w14:paraId="0BBF9466" w14:textId="77777777">
      <w:pPr>
        <w:pStyle w:val="FootnoteText"/>
      </w:pPr>
      <w:r>
        <w:rPr>
          <w:rStyle w:val="FootnoteReference"/>
        </w:rPr>
        <w:footnoteRef/>
      </w:r>
      <w:r w:rsidR="001E1A58">
        <w:t xml:space="preserve"> </w:t>
      </w:r>
      <w:r w:rsidR="004F3015">
        <w:t>FCC File No. 0002928684.</w:t>
      </w:r>
    </w:p>
  </w:footnote>
  <w:footnote w:id="6">
    <w:p w:rsidR="00AA0536" w14:paraId="4FACB66A" w14:textId="7BE0C3C4">
      <w:pPr>
        <w:pStyle w:val="FootnoteText"/>
      </w:pPr>
      <w:r>
        <w:rPr>
          <w:rStyle w:val="FootnoteReference"/>
        </w:rPr>
        <w:footnoteRef/>
      </w:r>
      <w:r w:rsidR="005F3800">
        <w:t xml:space="preserve"> </w:t>
      </w:r>
      <w:r w:rsidRPr="001E1A58" w:rsidR="001E1A58">
        <w:rPr>
          <w:i/>
        </w:rPr>
        <w:t>William F. Crowell, Application to Renew License for Amateur Radio Service Station W6WBJ</w:t>
      </w:r>
      <w:r w:rsidR="001E1A58">
        <w:t>,</w:t>
      </w:r>
      <w:r w:rsidR="009E07A6">
        <w:t xml:space="preserve"> Hearing Designation Order,</w:t>
      </w:r>
      <w:r w:rsidR="001E1A58">
        <w:t xml:space="preserve"> 23 FCC Rcd 1865 (WTB 2008) (</w:t>
      </w:r>
      <w:r w:rsidR="001E1A58">
        <w:rPr>
          <w:i/>
        </w:rPr>
        <w:t>Hearing Designation Order</w:t>
      </w:r>
      <w:r w:rsidR="001E1A58">
        <w:t>).</w:t>
      </w:r>
      <w:r w:rsidR="00C540A2">
        <w:t xml:space="preserve">  </w:t>
      </w:r>
      <w:r w:rsidR="005F3800">
        <w:t>The h</w:t>
      </w:r>
      <w:r>
        <w:t xml:space="preserve">earing was initially before ALJ Steinberg.  On January 8, 2009, upon </w:t>
      </w:r>
      <w:r w:rsidR="00F65DD3">
        <w:t>his</w:t>
      </w:r>
      <w:r>
        <w:t xml:space="preserve"> retirement, the case was reassigned to </w:t>
      </w:r>
      <w:r w:rsidR="00606768">
        <w:t xml:space="preserve">Chief </w:t>
      </w:r>
      <w:r w:rsidR="001E1A58">
        <w:t>ALJ</w:t>
      </w:r>
      <w:r>
        <w:t xml:space="preserve"> Sippel.</w:t>
      </w:r>
    </w:p>
  </w:footnote>
  <w:footnote w:id="7">
    <w:p w:rsidR="00C540A2" w14:paraId="2FDEE48A" w14:textId="77777777">
      <w:pPr>
        <w:pStyle w:val="FootnoteText"/>
      </w:pPr>
      <w:r>
        <w:rPr>
          <w:rStyle w:val="FootnoteReference"/>
        </w:rPr>
        <w:footnoteRef/>
      </w:r>
      <w:r>
        <w:t xml:space="preserve"> </w:t>
      </w:r>
      <w:r w:rsidR="009E07A6">
        <w:t>47 U.S.C. § 309(e).</w:t>
      </w:r>
    </w:p>
  </w:footnote>
  <w:footnote w:id="8">
    <w:p w:rsidR="00C238C8" w14:paraId="4402A2EA" w14:textId="77777777">
      <w:pPr>
        <w:pStyle w:val="FootnoteText"/>
      </w:pPr>
      <w:r>
        <w:rPr>
          <w:rStyle w:val="FootnoteReference"/>
        </w:rPr>
        <w:footnoteRef/>
      </w:r>
      <w:r>
        <w:t xml:space="preserve"> </w:t>
      </w:r>
      <w:r w:rsidR="009E07A6">
        <w:t>47 U.S.C. § 333.</w:t>
      </w:r>
    </w:p>
  </w:footnote>
  <w:footnote w:id="9">
    <w:p w:rsidR="00C238C8" w14:paraId="3430CA8B" w14:textId="77777777">
      <w:pPr>
        <w:pStyle w:val="FootnoteText"/>
      </w:pPr>
      <w:r>
        <w:rPr>
          <w:rStyle w:val="FootnoteReference"/>
        </w:rPr>
        <w:footnoteRef/>
      </w:r>
      <w:r>
        <w:t xml:space="preserve"> </w:t>
      </w:r>
      <w:r w:rsidR="009E07A6">
        <w:t xml:space="preserve">47 CFR § </w:t>
      </w:r>
      <w:r>
        <w:t>97.101(d)</w:t>
      </w:r>
      <w:r w:rsidR="009E07A6">
        <w:t>.</w:t>
      </w:r>
    </w:p>
  </w:footnote>
  <w:footnote w:id="10">
    <w:p w:rsidR="00C238C8" w14:paraId="4ED700AD" w14:textId="77777777">
      <w:pPr>
        <w:pStyle w:val="FootnoteText"/>
      </w:pPr>
      <w:r>
        <w:rPr>
          <w:rStyle w:val="FootnoteReference"/>
        </w:rPr>
        <w:footnoteRef/>
      </w:r>
      <w:r>
        <w:t xml:space="preserve"> </w:t>
      </w:r>
      <w:r w:rsidR="009B65E2">
        <w:t>47 CFR § 97.113(b).</w:t>
      </w:r>
    </w:p>
  </w:footnote>
  <w:footnote w:id="11">
    <w:p w:rsidR="00C238C8" w14:paraId="2941BFF2" w14:textId="77777777">
      <w:pPr>
        <w:pStyle w:val="FootnoteText"/>
      </w:pPr>
      <w:r>
        <w:rPr>
          <w:rStyle w:val="FootnoteReference"/>
        </w:rPr>
        <w:footnoteRef/>
      </w:r>
      <w:r>
        <w:t xml:space="preserve"> </w:t>
      </w:r>
      <w:r w:rsidR="009B65E2">
        <w:t>47 CFR § 97.113(a)(4).</w:t>
      </w:r>
    </w:p>
  </w:footnote>
  <w:footnote w:id="12">
    <w:p w:rsidR="00C238C8" w:rsidRPr="009B65E2" w14:paraId="5A6D6B3F" w14:textId="77777777">
      <w:pPr>
        <w:pStyle w:val="FootnoteText"/>
      </w:pPr>
      <w:r>
        <w:rPr>
          <w:rStyle w:val="FootnoteReference"/>
        </w:rPr>
        <w:footnoteRef/>
      </w:r>
      <w:r>
        <w:t xml:space="preserve"> </w:t>
      </w:r>
      <w:r w:rsidR="009B65E2">
        <w:rPr>
          <w:i/>
        </w:rPr>
        <w:t>Id.</w:t>
      </w:r>
    </w:p>
  </w:footnote>
  <w:footnote w:id="13">
    <w:p w:rsidR="00CE3978" w:rsidRPr="009B65E2" w:rsidP="00CE3978" w14:paraId="48F73803" w14:textId="65CCAC05">
      <w:pPr>
        <w:pStyle w:val="FootnoteText"/>
      </w:pPr>
      <w:r>
        <w:rPr>
          <w:rStyle w:val="FootnoteReference"/>
        </w:rPr>
        <w:footnoteRef/>
      </w:r>
      <w:r>
        <w:t xml:space="preserve"> </w:t>
      </w:r>
      <w:r>
        <w:rPr>
          <w:i/>
        </w:rPr>
        <w:t>Hearing Designation Order</w:t>
      </w:r>
      <w:r>
        <w:t xml:space="preserve">, 23 FCC Rcd at 1865, para. 1.  Since this hearing was commenced, the Enforcement Bureau issued a Forfeiture Order against Crowell for “intentionally causing interference to other amateur radio operators and transmitting prohibited communications, including music.”  </w:t>
      </w:r>
      <w:r>
        <w:rPr>
          <w:i/>
        </w:rPr>
        <w:t>William F. Crowell</w:t>
      </w:r>
      <w:r>
        <w:t>, Forfeiture Order, 31 FCC Rcd 8700, 8700</w:t>
      </w:r>
      <w:r w:rsidR="002362AB">
        <w:t>,</w:t>
      </w:r>
      <w:r>
        <w:t xml:space="preserve"> para. 1 (EB 2016).  The hearing has been stayed pending the expected litigation of that Order.  </w:t>
      </w:r>
      <w:r>
        <w:rPr>
          <w:i/>
        </w:rPr>
        <w:t>William F. Crowell</w:t>
      </w:r>
      <w:r>
        <w:t>, Order, WT Docket No. 08-20, FCC 17M-21 (rel. Apr. 10, 2017).</w:t>
      </w:r>
    </w:p>
  </w:footnote>
  <w:footnote w:id="14">
    <w:p w:rsidR="00C238C8" w:rsidRPr="00462572" w14:paraId="32B842E7" w14:textId="0CE2D655">
      <w:pPr>
        <w:pStyle w:val="FootnoteText"/>
      </w:pPr>
      <w:r>
        <w:rPr>
          <w:rStyle w:val="FootnoteReference"/>
        </w:rPr>
        <w:footnoteRef/>
      </w:r>
      <w:r>
        <w:t xml:space="preserve"> </w:t>
      </w:r>
      <w:r w:rsidR="00462572">
        <w:rPr>
          <w:i/>
        </w:rPr>
        <w:t>William F. Crowell</w:t>
      </w:r>
      <w:r w:rsidR="00462572">
        <w:t xml:space="preserve">, Order, </w:t>
      </w:r>
      <w:r w:rsidR="00D76944">
        <w:t xml:space="preserve">WT Docket No. 08-20, </w:t>
      </w:r>
      <w:r w:rsidR="00BA26E3">
        <w:t>FCC 10M-04</w:t>
      </w:r>
      <w:r w:rsidR="00462572">
        <w:t xml:space="preserve"> (</w:t>
      </w:r>
      <w:r w:rsidR="00BA26E3">
        <w:t>rel.</w:t>
      </w:r>
      <w:r w:rsidR="00462572">
        <w:t xml:space="preserve"> July 29, 2010).</w:t>
      </w:r>
    </w:p>
  </w:footnote>
  <w:footnote w:id="15">
    <w:p w:rsidR="00606768" w:rsidRPr="00462572" w:rsidP="00606768" w14:paraId="248E58EB" w14:textId="77777777">
      <w:pPr>
        <w:pStyle w:val="FootnoteText"/>
      </w:pPr>
      <w:r>
        <w:rPr>
          <w:rStyle w:val="FootnoteReference"/>
        </w:rPr>
        <w:footnoteRef/>
      </w:r>
      <w:r>
        <w:t xml:space="preserve"> </w:t>
      </w:r>
      <w:r>
        <w:rPr>
          <w:i/>
        </w:rPr>
        <w:t>Id.</w:t>
      </w:r>
      <w:r>
        <w:t xml:space="preserve"> at 1, 7-8.</w:t>
      </w:r>
    </w:p>
  </w:footnote>
  <w:footnote w:id="16">
    <w:p w:rsidR="00C238C8" w:rsidRPr="00D86205" w14:paraId="1F6C9D2E" w14:textId="77777777">
      <w:pPr>
        <w:pStyle w:val="FootnoteText"/>
      </w:pPr>
      <w:r>
        <w:rPr>
          <w:rStyle w:val="FootnoteReference"/>
        </w:rPr>
        <w:footnoteRef/>
      </w:r>
      <w:r>
        <w:t xml:space="preserve"> </w:t>
      </w:r>
      <w:r w:rsidR="00D86205">
        <w:rPr>
          <w:i/>
        </w:rPr>
        <w:t>Id.</w:t>
      </w:r>
      <w:r w:rsidR="00D86205">
        <w:t xml:space="preserve"> at 9.</w:t>
      </w:r>
    </w:p>
  </w:footnote>
  <w:footnote w:id="17">
    <w:p w:rsidR="00C238C8" w14:paraId="24D6A05D" w14:textId="77777777">
      <w:pPr>
        <w:pStyle w:val="FootnoteText"/>
      </w:pPr>
      <w:r>
        <w:rPr>
          <w:rStyle w:val="FootnoteReference"/>
        </w:rPr>
        <w:footnoteRef/>
      </w:r>
      <w:r>
        <w:t xml:space="preserve"> </w:t>
      </w:r>
      <w:r w:rsidR="00D86205">
        <w:t>Applicant’s Reply to Order to Show Cause and Petition to Disqualify ALJ, WT Docket No. 08-20 (</w:t>
      </w:r>
      <w:r w:rsidR="00920529">
        <w:t xml:space="preserve">filed </w:t>
      </w:r>
      <w:r w:rsidR="00D86205">
        <w:t>August 30, 2010).</w:t>
      </w:r>
    </w:p>
  </w:footnote>
  <w:footnote w:id="18">
    <w:p w:rsidR="00C238C8" w:rsidRPr="005A0B46" w14:paraId="58D2E188" w14:textId="1A03ABCB">
      <w:pPr>
        <w:pStyle w:val="FootnoteText"/>
      </w:pPr>
      <w:r>
        <w:rPr>
          <w:rStyle w:val="FootnoteReference"/>
        </w:rPr>
        <w:footnoteRef/>
      </w:r>
      <w:r>
        <w:t xml:space="preserve"> </w:t>
      </w:r>
      <w:r w:rsidR="006A3D06">
        <w:rPr>
          <w:i/>
        </w:rPr>
        <w:t>William F. Crowell</w:t>
      </w:r>
      <w:r w:rsidR="006A3D06">
        <w:t>, Order,</w:t>
      </w:r>
      <w:r w:rsidR="00D76944">
        <w:t xml:space="preserve"> WT Docket No. 08-20,</w:t>
      </w:r>
      <w:r w:rsidR="006A3D06">
        <w:t xml:space="preserve"> </w:t>
      </w:r>
      <w:r w:rsidR="00BA26E3">
        <w:t>FCC 10M-07</w:t>
      </w:r>
      <w:r w:rsidR="006A3D06">
        <w:t xml:space="preserve"> (</w:t>
      </w:r>
      <w:r w:rsidR="00BA26E3">
        <w:t>rel.</w:t>
      </w:r>
      <w:r w:rsidR="006A3D06">
        <w:t xml:space="preserve"> Sept</w:t>
      </w:r>
      <w:r w:rsidR="00920529">
        <w:t>.</w:t>
      </w:r>
      <w:r w:rsidR="006A3D06">
        <w:t xml:space="preserve"> 15, 2010).</w:t>
      </w:r>
      <w:r w:rsidR="005A0B46">
        <w:t xml:space="preserve"> </w:t>
      </w:r>
    </w:p>
  </w:footnote>
  <w:footnote w:id="19">
    <w:p w:rsidR="00C238C8" w14:paraId="2D22FEC4" w14:textId="77777777">
      <w:pPr>
        <w:pStyle w:val="FootnoteText"/>
      </w:pPr>
      <w:r>
        <w:rPr>
          <w:rStyle w:val="FootnoteReference"/>
        </w:rPr>
        <w:footnoteRef/>
      </w:r>
      <w:r>
        <w:t xml:space="preserve"> </w:t>
      </w:r>
      <w:r w:rsidR="006A3D06">
        <w:t>Applicant’s Response to Order to Show Cause [FCC 10M-04, released July 29, 2010], WT Docket No. 08-20 (filed September 21, 2010).</w:t>
      </w:r>
    </w:p>
  </w:footnote>
  <w:footnote w:id="20">
    <w:p w:rsidR="00C238C8" w14:paraId="32946F4F" w14:textId="77777777">
      <w:pPr>
        <w:pStyle w:val="FootnoteText"/>
      </w:pPr>
      <w:r>
        <w:rPr>
          <w:rStyle w:val="FootnoteReference"/>
        </w:rPr>
        <w:footnoteRef/>
      </w:r>
      <w:r>
        <w:t xml:space="preserve"> </w:t>
      </w:r>
      <w:r w:rsidR="006A3D06">
        <w:t>Applicant’s Petition to Disqualify ALJ [47 C.F.R., Part 1, Subpart B, § 1.245], WT Docket No. 08-20 (filed October 7, 2010).</w:t>
      </w:r>
    </w:p>
  </w:footnote>
  <w:footnote w:id="21">
    <w:p w:rsidR="00C238C8" w:rsidRPr="006A3D06" w14:paraId="037EF5D5" w14:textId="627669A9">
      <w:pPr>
        <w:pStyle w:val="FootnoteText"/>
      </w:pPr>
      <w:r>
        <w:rPr>
          <w:rStyle w:val="FootnoteReference"/>
        </w:rPr>
        <w:footnoteRef/>
      </w:r>
      <w:r>
        <w:t xml:space="preserve"> </w:t>
      </w:r>
      <w:r w:rsidR="006A3D06">
        <w:rPr>
          <w:i/>
        </w:rPr>
        <w:t>Id.</w:t>
      </w:r>
      <w:r w:rsidR="00656AE1">
        <w:t xml:space="preserve"> at 7-8, 10-11, 15-16.</w:t>
      </w:r>
      <w:r w:rsidR="00F050C0">
        <w:t xml:space="preserve">  </w:t>
      </w:r>
      <w:r w:rsidR="00BB376B">
        <w:t>Crowell listed a total of 17 ways in which the ALJ allegedly acted “Immorally, Deceitfully and Pre</w:t>
      </w:r>
      <w:r w:rsidR="008627F0">
        <w:t>j</w:t>
      </w:r>
      <w:r w:rsidR="00BB376B">
        <w:t>udicially.”</w:t>
      </w:r>
    </w:p>
  </w:footnote>
  <w:footnote w:id="22">
    <w:p w:rsidR="00C238C8" w:rsidRPr="00484B32" w14:paraId="38A98E79" w14:textId="39170037">
      <w:pPr>
        <w:pStyle w:val="FootnoteText"/>
      </w:pPr>
      <w:r>
        <w:rPr>
          <w:rStyle w:val="FootnoteReference"/>
        </w:rPr>
        <w:footnoteRef/>
      </w:r>
      <w:r>
        <w:t xml:space="preserve"> </w:t>
      </w:r>
      <w:r w:rsidR="00484B32">
        <w:rPr>
          <w:i/>
        </w:rPr>
        <w:t>William F. Crowell</w:t>
      </w:r>
      <w:r w:rsidR="00484B32">
        <w:t>, Memorandum Opinion and Order,</w:t>
      </w:r>
      <w:r w:rsidR="00D76944">
        <w:t xml:space="preserve"> WT Docket No. 08-20,</w:t>
      </w:r>
      <w:r w:rsidR="00484B32">
        <w:t xml:space="preserve"> </w:t>
      </w:r>
      <w:r w:rsidR="00BD2D8F">
        <w:t xml:space="preserve">FCC </w:t>
      </w:r>
      <w:r w:rsidR="00BA26E3">
        <w:t>17M-13</w:t>
      </w:r>
      <w:r w:rsidR="00484B32">
        <w:t xml:space="preserve"> (</w:t>
      </w:r>
      <w:r w:rsidR="00BA26E3">
        <w:t>rel.</w:t>
      </w:r>
      <w:r w:rsidR="00920529">
        <w:t xml:space="preserve"> Mar.</w:t>
      </w:r>
      <w:r w:rsidR="00484B32">
        <w:t xml:space="preserve"> 28, 2017).</w:t>
      </w:r>
    </w:p>
  </w:footnote>
  <w:footnote w:id="23">
    <w:p w:rsidR="00C238C8" w:rsidRPr="00484B32" w14:paraId="5BCB843C" w14:textId="77777777">
      <w:pPr>
        <w:pStyle w:val="FootnoteText"/>
      </w:pPr>
      <w:r>
        <w:rPr>
          <w:rStyle w:val="FootnoteReference"/>
        </w:rPr>
        <w:footnoteRef/>
      </w:r>
      <w:r>
        <w:t xml:space="preserve"> </w:t>
      </w:r>
      <w:r w:rsidR="00484B32">
        <w:rPr>
          <w:i/>
        </w:rPr>
        <w:t>Id.</w:t>
      </w:r>
      <w:r w:rsidR="00484B32">
        <w:t xml:space="preserve"> at 10.</w:t>
      </w:r>
    </w:p>
  </w:footnote>
  <w:footnote w:id="24">
    <w:p w:rsidR="00C238C8" w14:paraId="299CC831" w14:textId="77777777">
      <w:pPr>
        <w:pStyle w:val="FootnoteText"/>
      </w:pPr>
      <w:r>
        <w:rPr>
          <w:rStyle w:val="FootnoteReference"/>
        </w:rPr>
        <w:footnoteRef/>
      </w:r>
      <w:r>
        <w:t xml:space="preserve"> </w:t>
      </w:r>
      <w:r w:rsidR="00BD2D8F">
        <w:t>Crowell AFR</w:t>
      </w:r>
      <w:r w:rsidR="00BA26E3">
        <w:t>.</w:t>
      </w:r>
    </w:p>
  </w:footnote>
  <w:footnote w:id="25">
    <w:p w:rsidR="00887DE8" w14:paraId="42CCD6B1" w14:textId="4B4F0338">
      <w:pPr>
        <w:pStyle w:val="FootnoteText"/>
      </w:pPr>
      <w:r>
        <w:rPr>
          <w:rStyle w:val="FootnoteReference"/>
        </w:rPr>
        <w:footnoteRef/>
      </w:r>
      <w:r>
        <w:t xml:space="preserve"> 47 CFR § 1.245(b)(4).</w:t>
      </w:r>
    </w:p>
  </w:footnote>
  <w:footnote w:id="26">
    <w:p w:rsidR="0035482B" w14:paraId="7EB8C3D5" w14:textId="4557394F">
      <w:pPr>
        <w:pStyle w:val="FootnoteText"/>
      </w:pPr>
      <w:r>
        <w:rPr>
          <w:rStyle w:val="FootnoteReference"/>
        </w:rPr>
        <w:footnoteRef/>
      </w:r>
      <w:r w:rsidR="00571C5B">
        <w:t xml:space="preserve"> </w:t>
      </w:r>
      <w:r w:rsidR="00571C5B">
        <w:rPr>
          <w:i/>
        </w:rPr>
        <w:t>William F. Crowell</w:t>
      </w:r>
      <w:r w:rsidR="00571C5B">
        <w:t>, Order,</w:t>
      </w:r>
      <w:r w:rsidR="00D76944">
        <w:t xml:space="preserve"> WT Docket No. 08-20</w:t>
      </w:r>
      <w:r w:rsidR="00571C5B">
        <w:t xml:space="preserve"> FCC 17M-24 (rel. May 16, 2017). On April 7, 2017,</w:t>
      </w:r>
      <w:r w:rsidR="00C238C8">
        <w:t xml:space="preserve"> </w:t>
      </w:r>
      <w:r>
        <w:t>ALJ Sippel found that Crowell’</w:t>
      </w:r>
      <w:r w:rsidR="007E4D86">
        <w:t xml:space="preserve">s appeal was not timely, but “as a contingency” </w:t>
      </w:r>
      <w:r w:rsidR="00571C5B">
        <w:t>stated he would forward the</w:t>
      </w:r>
      <w:r w:rsidR="007E4D86">
        <w:t xml:space="preserve"> appeal to the Commission.</w:t>
      </w:r>
      <w:r w:rsidR="00BA26E3">
        <w:t xml:space="preserve">  </w:t>
      </w:r>
      <w:r w:rsidR="00571C5B">
        <w:rPr>
          <w:i/>
        </w:rPr>
        <w:t>William F. Crowell</w:t>
      </w:r>
      <w:r w:rsidR="00571C5B">
        <w:t>, Order,</w:t>
      </w:r>
      <w:r w:rsidR="00D76944">
        <w:t xml:space="preserve"> WT Docket No. 08-20,</w:t>
      </w:r>
      <w:r w:rsidR="00571C5B">
        <w:t xml:space="preserve"> FCC 17M-18 (rel. Apr</w:t>
      </w:r>
      <w:r w:rsidR="00920529">
        <w:t>.</w:t>
      </w:r>
      <w:r w:rsidR="00571C5B">
        <w:t xml:space="preserve"> 7, 2017),</w:t>
      </w:r>
      <w:r w:rsidR="00BA26E3">
        <w:t xml:space="preserve"> at 1.</w:t>
      </w:r>
      <w:r w:rsidR="00FA10A5">
        <w:t xml:space="preserve">  Because </w:t>
      </w:r>
      <w:r w:rsidR="003B0B79">
        <w:t xml:space="preserve">we </w:t>
      </w:r>
      <w:r w:rsidR="00FA10A5">
        <w:t xml:space="preserve">decide this appeal on other grounds, </w:t>
      </w:r>
      <w:r w:rsidR="003B0B79">
        <w:t>we</w:t>
      </w:r>
      <w:r w:rsidR="00FA10A5">
        <w:t xml:space="preserve"> need not address the timeliness </w:t>
      </w:r>
      <w:r w:rsidR="008627F0">
        <w:t>of Crowell’s appeal.</w:t>
      </w:r>
    </w:p>
  </w:footnote>
  <w:footnote w:id="27">
    <w:p w:rsidR="00CA2B68" w14:paraId="113DBFE3" w14:textId="13E44303">
      <w:pPr>
        <w:pStyle w:val="FootnoteText"/>
      </w:pPr>
      <w:r>
        <w:rPr>
          <w:rStyle w:val="FootnoteReference"/>
        </w:rPr>
        <w:footnoteRef/>
      </w:r>
      <w:r>
        <w:t xml:space="preserve"> 47 CFR § 1.245(b).</w:t>
      </w:r>
    </w:p>
  </w:footnote>
  <w:footnote w:id="28">
    <w:p w:rsidR="007E4D86" w:rsidRPr="007E4D86" w14:paraId="08F72489" w14:textId="676270AE">
      <w:pPr>
        <w:pStyle w:val="FootnoteText"/>
      </w:pPr>
      <w:r>
        <w:rPr>
          <w:rStyle w:val="FootnoteReference"/>
        </w:rPr>
        <w:footnoteRef/>
      </w:r>
      <w:r>
        <w:t xml:space="preserve"> </w:t>
      </w:r>
      <w:r>
        <w:rPr>
          <w:i/>
        </w:rPr>
        <w:t>Family B’casting, Inc.</w:t>
      </w:r>
      <w:r>
        <w:t>, 17 FCC Rcd 19332</w:t>
      </w:r>
      <w:r w:rsidR="00571C5B">
        <w:t>, 19333</w:t>
      </w:r>
      <w:r w:rsidR="002362AB">
        <w:t>,</w:t>
      </w:r>
      <w:r>
        <w:t xml:space="preserve"> </w:t>
      </w:r>
      <w:r w:rsidR="00571C5B">
        <w:t>para.</w:t>
      </w:r>
      <w:r>
        <w:t xml:space="preserve"> 7</w:t>
      </w:r>
      <w:r w:rsidR="00CA2B68">
        <w:t xml:space="preserve"> (2002)</w:t>
      </w:r>
      <w:r>
        <w:t>.</w:t>
      </w:r>
    </w:p>
  </w:footnote>
  <w:footnote w:id="29">
    <w:p w:rsidR="00C80A32" w14:paraId="36D82443" w14:textId="0C8B20A9">
      <w:pPr>
        <w:pStyle w:val="FootnoteText"/>
      </w:pPr>
      <w:r>
        <w:rPr>
          <w:rStyle w:val="FootnoteReference"/>
        </w:rPr>
        <w:footnoteRef/>
      </w:r>
      <w:r>
        <w:t xml:space="preserve"> </w:t>
      </w:r>
      <w:r w:rsidR="00D01DEB">
        <w:rPr>
          <w:i/>
        </w:rPr>
        <w:t>Catalina Radio</w:t>
      </w:r>
      <w:r w:rsidR="00D801D3">
        <w:t>, 5 FCC Rcd 3710, 3710</w:t>
      </w:r>
      <w:r w:rsidR="002362AB">
        <w:t>,</w:t>
      </w:r>
      <w:r w:rsidR="00D801D3">
        <w:t xml:space="preserve"> para. 7 (1990).</w:t>
      </w:r>
    </w:p>
  </w:footnote>
  <w:footnote w:id="30">
    <w:p w:rsidR="00CB7A77" w:rsidRPr="00CB7A77" w14:paraId="301575D5" w14:textId="6F1D708B">
      <w:pPr>
        <w:pStyle w:val="FootnoteText"/>
      </w:pPr>
      <w:r>
        <w:rPr>
          <w:rStyle w:val="FootnoteReference"/>
        </w:rPr>
        <w:footnoteRef/>
      </w:r>
      <w:r>
        <w:t xml:space="preserve"> </w:t>
      </w:r>
      <w:r>
        <w:rPr>
          <w:i/>
        </w:rPr>
        <w:t>Family B’casting, Inc.</w:t>
      </w:r>
      <w:r>
        <w:t>, 17 FCC Rcd at 19333</w:t>
      </w:r>
      <w:r w:rsidR="002362AB">
        <w:t>,</w:t>
      </w:r>
      <w:r>
        <w:t xml:space="preserve"> para. 7.</w:t>
      </w:r>
    </w:p>
  </w:footnote>
  <w:footnote w:id="31">
    <w:p w:rsidR="008816AE" w:rsidRPr="00256738" w:rsidP="008816AE" w14:paraId="2F041744" w14:textId="5EDF8745">
      <w:pPr>
        <w:pStyle w:val="FootnoteText"/>
      </w:pPr>
      <w:r>
        <w:rPr>
          <w:rStyle w:val="FootnoteReference"/>
        </w:rPr>
        <w:footnoteRef/>
      </w:r>
      <w:r>
        <w:t xml:space="preserve"> </w:t>
      </w:r>
      <w:r>
        <w:rPr>
          <w:i/>
        </w:rPr>
        <w:t>Applications of WWOR-TV, Inc. for Renewal of License of Station WWOR(TV), Secaucus, New Jersey</w:t>
      </w:r>
      <w:r>
        <w:t>, 4 FCC Rcd 6155, 6155</w:t>
      </w:r>
      <w:r w:rsidR="002362AB">
        <w:t>,</w:t>
      </w:r>
      <w:r>
        <w:t xml:space="preserve"> para. 4 (1989)</w:t>
      </w:r>
      <w:r w:rsidR="00EC7E78">
        <w:t xml:space="preserve"> (</w:t>
      </w:r>
      <w:r w:rsidR="00EC7E78">
        <w:rPr>
          <w:i/>
        </w:rPr>
        <w:t>WWOR-TV, Inc.</w:t>
      </w:r>
      <w:r w:rsidR="00EC7E78">
        <w:t>)</w:t>
      </w:r>
      <w:r>
        <w:t xml:space="preserve"> (quoting </w:t>
      </w:r>
      <w:r>
        <w:rPr>
          <w:i/>
        </w:rPr>
        <w:t>United States v. Grinne</w:t>
      </w:r>
      <w:r w:rsidR="00DA19F1">
        <w:rPr>
          <w:i/>
        </w:rPr>
        <w:t>l</w:t>
      </w:r>
      <w:r>
        <w:rPr>
          <w:i/>
        </w:rPr>
        <w:t>l Corp.</w:t>
      </w:r>
      <w:r>
        <w:t>, 384 U.S. 563, 583 (1966)).</w:t>
      </w:r>
    </w:p>
  </w:footnote>
  <w:footnote w:id="32">
    <w:p w:rsidR="008816AE" w:rsidRPr="00256738" w:rsidP="008816AE" w14:paraId="4AFD6205" w14:textId="6FF11C76">
      <w:pPr>
        <w:pStyle w:val="FootnoteText"/>
      </w:pPr>
      <w:r>
        <w:rPr>
          <w:rStyle w:val="FootnoteReference"/>
        </w:rPr>
        <w:footnoteRef/>
      </w:r>
      <w:r>
        <w:t xml:space="preserve"> </w:t>
      </w:r>
      <w:r>
        <w:rPr>
          <w:i/>
        </w:rPr>
        <w:t>KAYE B’casting, Inc.</w:t>
      </w:r>
      <w:r>
        <w:t>, 35 FCC 2d 548, 548</w:t>
      </w:r>
      <w:r w:rsidR="002362AB">
        <w:t>,</w:t>
      </w:r>
      <w:r>
        <w:t xml:space="preserve"> para. 3 (1972); </w:t>
      </w:r>
      <w:r>
        <w:rPr>
          <w:i/>
        </w:rPr>
        <w:t>accord. Liteky v. United States</w:t>
      </w:r>
      <w:r>
        <w:t xml:space="preserve">, 510 U.S. 540, 551 (1994) (while an “‘extrajudicial source’ … is the only </w:t>
      </w:r>
      <w:r>
        <w:rPr>
          <w:i/>
        </w:rPr>
        <w:t>common</w:t>
      </w:r>
      <w:r>
        <w:t xml:space="preserve"> basis, [it is] not the exclusive one, since it is not the </w:t>
      </w:r>
      <w:r>
        <w:rPr>
          <w:i/>
        </w:rPr>
        <w:t xml:space="preserve">exclusive </w:t>
      </w:r>
      <w:r>
        <w:t>reason a predisposition can be wrongful or inappropriate”).</w:t>
      </w:r>
    </w:p>
  </w:footnote>
  <w:footnote w:id="33">
    <w:p w:rsidR="008816AE" w:rsidRPr="00256738" w:rsidP="008816AE" w14:paraId="75A63D3E" w14:textId="5CD8654C">
      <w:pPr>
        <w:pStyle w:val="FootnoteText"/>
      </w:pPr>
      <w:r>
        <w:rPr>
          <w:rStyle w:val="FootnoteReference"/>
        </w:rPr>
        <w:footnoteRef/>
      </w:r>
      <w:r>
        <w:t xml:space="preserve"> </w:t>
      </w:r>
      <w:r>
        <w:rPr>
          <w:i/>
        </w:rPr>
        <w:t>WWOR-TV, Inc</w:t>
      </w:r>
      <w:r>
        <w:t>, 4 FCC Rcd at 6155</w:t>
      </w:r>
      <w:r w:rsidR="002362AB">
        <w:t>,</w:t>
      </w:r>
      <w:r>
        <w:t xml:space="preserve"> para. 4 (emphasis added).</w:t>
      </w:r>
    </w:p>
  </w:footnote>
  <w:footnote w:id="34">
    <w:p w:rsidR="008816AE" w:rsidP="008816AE" w14:paraId="05887527" w14:textId="773EC7F4">
      <w:pPr>
        <w:pStyle w:val="FootnoteText"/>
      </w:pPr>
      <w:r>
        <w:rPr>
          <w:rStyle w:val="FootnoteReference"/>
        </w:rPr>
        <w:footnoteRef/>
      </w:r>
      <w:r>
        <w:t xml:space="preserve"> </w:t>
      </w:r>
      <w:r>
        <w:rPr>
          <w:i/>
        </w:rPr>
        <w:t>Family B’casting, Inc.</w:t>
      </w:r>
      <w:r>
        <w:t>, 17 FCC Rcd at 19334</w:t>
      </w:r>
      <w:r w:rsidR="002362AB">
        <w:t>,</w:t>
      </w:r>
      <w:r>
        <w:t xml:space="preserve"> para. 8 (quoting </w:t>
      </w:r>
      <w:r>
        <w:rPr>
          <w:i/>
        </w:rPr>
        <w:t>Liteky</w:t>
      </w:r>
      <w:r>
        <w:t>, 510 U.S. at 555).</w:t>
      </w:r>
    </w:p>
  </w:footnote>
  <w:footnote w:id="35">
    <w:p w:rsidR="00B01FBE" w14:paraId="524AE2FB" w14:textId="369B8B8A">
      <w:pPr>
        <w:pStyle w:val="FootnoteText"/>
      </w:pPr>
      <w:r>
        <w:rPr>
          <w:rStyle w:val="FootnoteReference"/>
        </w:rPr>
        <w:footnoteRef/>
      </w:r>
      <w:r>
        <w:t xml:space="preserve"> Crowell AFR at 3-5.</w:t>
      </w:r>
    </w:p>
  </w:footnote>
  <w:footnote w:id="36">
    <w:p w:rsidR="006D56EC" w:rsidRPr="006D56EC" w14:paraId="70DC3854" w14:textId="5734EBC3">
      <w:pPr>
        <w:pStyle w:val="FootnoteText"/>
      </w:pPr>
      <w:r>
        <w:rPr>
          <w:rStyle w:val="FootnoteReference"/>
        </w:rPr>
        <w:footnoteRef/>
      </w:r>
      <w:r>
        <w:t xml:space="preserve"> </w:t>
      </w:r>
      <w:r w:rsidR="00F5492C">
        <w:rPr>
          <w:i/>
        </w:rPr>
        <w:t>Family B’casting, Inc.</w:t>
      </w:r>
      <w:r w:rsidR="00F5492C">
        <w:t>, 17 FCC Rcd at 19334</w:t>
      </w:r>
      <w:r w:rsidR="002362AB">
        <w:t>,</w:t>
      </w:r>
      <w:r w:rsidR="00F5492C">
        <w:t xml:space="preserve"> para. 8 (quoting </w:t>
      </w:r>
      <w:r w:rsidR="00F5492C">
        <w:rPr>
          <w:i/>
        </w:rPr>
        <w:t>Liteky</w:t>
      </w:r>
      <w:r w:rsidR="00F5492C">
        <w:t>, 510 U.S. at 555)</w:t>
      </w:r>
      <w:r>
        <w:t>.</w:t>
      </w:r>
    </w:p>
  </w:footnote>
  <w:footnote w:id="37">
    <w:p w:rsidR="006D56EC" w14:paraId="4B69F41D" w14:textId="0D1F509D">
      <w:pPr>
        <w:pStyle w:val="FootnoteText"/>
      </w:pPr>
      <w:r>
        <w:rPr>
          <w:rStyle w:val="FootnoteReference"/>
        </w:rPr>
        <w:footnoteRef/>
      </w:r>
      <w:r>
        <w:t xml:space="preserve"> </w:t>
      </w:r>
      <w:r w:rsidR="00BD2D8F">
        <w:t>Crowell AFR at 3.</w:t>
      </w:r>
      <w:r w:rsidR="009F0812">
        <w:t xml:space="preserve">  </w:t>
      </w:r>
    </w:p>
  </w:footnote>
  <w:footnote w:id="38">
    <w:p w:rsidR="006D56EC" w:rsidRPr="006A6A98" w14:paraId="3AC6D148" w14:textId="10919A95">
      <w:pPr>
        <w:pStyle w:val="FootnoteText"/>
      </w:pPr>
      <w:r>
        <w:rPr>
          <w:rStyle w:val="FootnoteReference"/>
        </w:rPr>
        <w:footnoteRef/>
      </w:r>
      <w:r>
        <w:t xml:space="preserve"> </w:t>
      </w:r>
      <w:r w:rsidR="00BD2D8F">
        <w:rPr>
          <w:i/>
        </w:rPr>
        <w:t>Id.</w:t>
      </w:r>
      <w:r w:rsidR="00BD2D8F">
        <w:t xml:space="preserve"> at 4.</w:t>
      </w:r>
      <w:r w:rsidR="009F0812">
        <w:t xml:space="preserve"> </w:t>
      </w:r>
      <w:r w:rsidR="00F0360C">
        <w:t>Crowell provides no suppor</w:t>
      </w:r>
      <w:r w:rsidR="0088393D">
        <w:t xml:space="preserve">t for his allegation that the ALJ has been free to “falsely disparage, defame and deprecate me.”  </w:t>
      </w:r>
      <w:r w:rsidR="0088393D">
        <w:rPr>
          <w:i/>
        </w:rPr>
        <w:t xml:space="preserve">Id. </w:t>
      </w:r>
      <w:r w:rsidR="0088393D">
        <w:t xml:space="preserve">at 3.  </w:t>
      </w:r>
      <w:r w:rsidR="006A6A98">
        <w:t xml:space="preserve">Crowell also does not explain what he means by accusing the ALJ of likening Crowell to a child molester or computer hacker.  </w:t>
      </w:r>
      <w:r w:rsidR="006A6A98">
        <w:rPr>
          <w:i/>
        </w:rPr>
        <w:t xml:space="preserve">Id. </w:t>
      </w:r>
      <w:r w:rsidR="006A6A98">
        <w:t>at 5.</w:t>
      </w:r>
    </w:p>
  </w:footnote>
  <w:footnote w:id="39">
    <w:p w:rsidR="006D56EC" w:rsidRPr="00BD2D8F" w14:paraId="78577B56" w14:textId="40DAABAF">
      <w:pPr>
        <w:pStyle w:val="FootnoteText"/>
      </w:pPr>
      <w:r>
        <w:rPr>
          <w:rStyle w:val="FootnoteReference"/>
        </w:rPr>
        <w:footnoteRef/>
      </w:r>
      <w:r>
        <w:t xml:space="preserve"> </w:t>
      </w:r>
      <w:r w:rsidR="00BD2D8F">
        <w:rPr>
          <w:i/>
        </w:rPr>
        <w:t>William F. Crowell</w:t>
      </w:r>
      <w:r w:rsidR="00BD2D8F">
        <w:t>, Order,</w:t>
      </w:r>
      <w:r w:rsidR="00D76944">
        <w:t xml:space="preserve"> WT Docket No. 08-20,</w:t>
      </w:r>
      <w:r w:rsidR="00BD2D8F">
        <w:t xml:space="preserve"> FCC 17M-24 (rel. May 16, 2017), at 4.</w:t>
      </w:r>
    </w:p>
  </w:footnote>
  <w:footnote w:id="40">
    <w:p w:rsidR="006D56EC" w:rsidRPr="006D56EC" w14:paraId="24651DC4" w14:textId="77777777">
      <w:pPr>
        <w:pStyle w:val="FootnoteText"/>
      </w:pPr>
      <w:r>
        <w:rPr>
          <w:rStyle w:val="FootnoteReference"/>
        </w:rPr>
        <w:footnoteRef/>
      </w:r>
      <w:r>
        <w:t xml:space="preserve"> </w:t>
      </w:r>
      <w:r>
        <w:rPr>
          <w:i/>
        </w:rPr>
        <w:t>Liteky</w:t>
      </w:r>
      <w:r w:rsidR="00BD2D8F">
        <w:t>, 510 U.S. at 555-56</w:t>
      </w:r>
      <w:r w:rsidR="004A30E3">
        <w:t>.</w:t>
      </w:r>
    </w:p>
  </w:footnote>
  <w:footnote w:id="41">
    <w:p w:rsidR="00C4070B" w:rsidRPr="00A67FE3" w14:paraId="56339DDA" w14:textId="0C16AF1C">
      <w:pPr>
        <w:pStyle w:val="FootnoteText"/>
      </w:pPr>
      <w:r>
        <w:rPr>
          <w:rStyle w:val="FootnoteReference"/>
        </w:rPr>
        <w:footnoteRef/>
      </w:r>
      <w:r>
        <w:t xml:space="preserve"> </w:t>
      </w:r>
      <w:r w:rsidR="006672FF">
        <w:t>H</w:t>
      </w:r>
      <w:r w:rsidR="00A67FE3">
        <w:t>arsh remarks support a bias challenge</w:t>
      </w:r>
      <w:r w:rsidR="006672FF">
        <w:t xml:space="preserve"> only</w:t>
      </w:r>
      <w:r w:rsidR="00A67FE3">
        <w:t xml:space="preserve"> “if they reveal such a high degree of favoritism or antagonism as to make fair judgment impossible.”  </w:t>
      </w:r>
      <w:r w:rsidR="00A67FE3">
        <w:rPr>
          <w:i/>
        </w:rPr>
        <w:t>Liteky</w:t>
      </w:r>
      <w:r w:rsidR="00A67FE3">
        <w:t>, 510 U.S. at 555</w:t>
      </w:r>
      <w:r w:rsidR="009F7AA5">
        <w:t xml:space="preserve"> (</w:t>
      </w:r>
      <w:r w:rsidR="00A67FE3">
        <w:t xml:space="preserve">citing </w:t>
      </w:r>
      <w:r w:rsidR="00A67FE3">
        <w:rPr>
          <w:i/>
        </w:rPr>
        <w:t>Berger v. United States</w:t>
      </w:r>
      <w:r w:rsidR="00A67FE3">
        <w:t>, 255 U.S.</w:t>
      </w:r>
      <w:r w:rsidR="00602562">
        <w:t xml:space="preserve"> 22,</w:t>
      </w:r>
      <w:r w:rsidR="00A67FE3">
        <w:t xml:space="preserve"> 28</w:t>
      </w:r>
      <w:r w:rsidR="00602562">
        <w:t xml:space="preserve"> (1921)</w:t>
      </w:r>
      <w:r w:rsidR="00A67FE3">
        <w:t xml:space="preserve"> (finding bias where </w:t>
      </w:r>
      <w:r w:rsidR="00F65DD3">
        <w:t>j</w:t>
      </w:r>
      <w:r w:rsidR="00A67FE3">
        <w:t>udge, in espionage case against G</w:t>
      </w:r>
      <w:r w:rsidR="00A40FE9">
        <w:t>erman-American defendants, said that German-Americans’ “hearts are reeking with disloyalty”)</w:t>
      </w:r>
      <w:r w:rsidR="009F7AA5">
        <w:t>);</w:t>
      </w:r>
      <w:r w:rsidR="00EC22D2">
        <w:t xml:space="preserve"> </w:t>
      </w:r>
      <w:r w:rsidR="009F7AA5">
        <w:rPr>
          <w:i/>
        </w:rPr>
        <w:t>s</w:t>
      </w:r>
      <w:r w:rsidR="00016F8C">
        <w:rPr>
          <w:i/>
        </w:rPr>
        <w:t>ee also</w:t>
      </w:r>
      <w:r w:rsidR="00016F8C">
        <w:t xml:space="preserve"> </w:t>
      </w:r>
      <w:r w:rsidR="00016F8C">
        <w:rPr>
          <w:i/>
        </w:rPr>
        <w:t>In re Marshall</w:t>
      </w:r>
      <w:r w:rsidR="00016F8C">
        <w:t xml:space="preserve">, 721 F. 3d 1032, 1043 (7th Cir. 2013) (judge’s description of Defendant as having “extremely dirty hands” did not require disqualification because it was “the product of [the judge’s] frustration with [Defendant’s] behavior throughout the litigation”); </w:t>
      </w:r>
      <w:r w:rsidR="00016F8C">
        <w:rPr>
          <w:i/>
        </w:rPr>
        <w:t>Chianelli v. EPA</w:t>
      </w:r>
      <w:r w:rsidR="00016F8C">
        <w:t>, 8 F.</w:t>
      </w:r>
      <w:r w:rsidR="00602562">
        <w:t xml:space="preserve"> </w:t>
      </w:r>
      <w:r w:rsidR="00016F8C">
        <w:t>App’x 971,</w:t>
      </w:r>
      <w:r w:rsidR="00656AE1">
        <w:t xml:space="preserve"> 978, 981</w:t>
      </w:r>
      <w:r w:rsidR="00016F8C">
        <w:t xml:space="preserve"> (Fed. Cir. 2001) (ALJ’s description of Plaintiff as a “pure troublemaker,” while “clearly inappropriate,” did not require recusal)</w:t>
      </w:r>
      <w:r w:rsidR="00A40FE9">
        <w:t xml:space="preserve">.  Crowell’s allegations do not </w:t>
      </w:r>
      <w:r w:rsidR="006138A1">
        <w:t xml:space="preserve">meet </w:t>
      </w:r>
      <w:r w:rsidR="00656AE1">
        <w:t>the</w:t>
      </w:r>
      <w:r w:rsidR="006138A1">
        <w:t xml:space="preserve"> standard</w:t>
      </w:r>
      <w:r w:rsidR="00656AE1">
        <w:t xml:space="preserve"> established by </w:t>
      </w:r>
      <w:r w:rsidR="00EC22D2">
        <w:t xml:space="preserve">this </w:t>
      </w:r>
      <w:r w:rsidR="00656AE1">
        <w:t>precedent</w:t>
      </w:r>
      <w:r w:rsidR="00A40FE9">
        <w:t>.</w:t>
      </w:r>
    </w:p>
  </w:footnote>
  <w:footnote w:id="42">
    <w:p w:rsidR="00571C5B" w:rsidRPr="00571C5B" w14:paraId="153B9023" w14:textId="21392E56">
      <w:pPr>
        <w:pStyle w:val="FootnoteText"/>
      </w:pPr>
      <w:r>
        <w:rPr>
          <w:rStyle w:val="FootnoteReference"/>
        </w:rPr>
        <w:footnoteRef/>
      </w:r>
      <w:r>
        <w:t xml:space="preserve"> </w:t>
      </w:r>
      <w:r>
        <w:rPr>
          <w:i/>
        </w:rPr>
        <w:t>Red Lion B’casting v. FCC</w:t>
      </w:r>
      <w:r>
        <w:t>, 395 U.S. 367 (1969).</w:t>
      </w:r>
    </w:p>
  </w:footnote>
  <w:footnote w:id="43">
    <w:p w:rsidR="00571C5B" w:rsidRPr="00571C5B" w14:paraId="29153D52" w14:textId="4D974799">
      <w:pPr>
        <w:pStyle w:val="FootnoteText"/>
      </w:pPr>
      <w:r>
        <w:rPr>
          <w:rStyle w:val="FootnoteReference"/>
        </w:rPr>
        <w:footnoteRef/>
      </w:r>
      <w:r>
        <w:t xml:space="preserve"> </w:t>
      </w:r>
      <w:r>
        <w:rPr>
          <w:i/>
        </w:rPr>
        <w:t>Sable Commn’s of California, Inc. v. FCC</w:t>
      </w:r>
      <w:r>
        <w:t>, 492 U.S. 115 (1989).</w:t>
      </w:r>
    </w:p>
  </w:footnote>
  <w:footnote w:id="44">
    <w:p w:rsidR="006D56EC" w14:paraId="2EDE4BE1" w14:textId="77777777">
      <w:pPr>
        <w:pStyle w:val="FootnoteText"/>
      </w:pPr>
      <w:r>
        <w:rPr>
          <w:rStyle w:val="FootnoteReference"/>
        </w:rPr>
        <w:footnoteRef/>
      </w:r>
      <w:r>
        <w:t xml:space="preserve"> </w:t>
      </w:r>
      <w:r w:rsidR="00BD2D8F">
        <w:t>Crowell AFR at 4.</w:t>
      </w:r>
    </w:p>
  </w:footnote>
  <w:footnote w:id="45">
    <w:p w:rsidR="00780C5B" w:rsidRPr="001A33E6" w14:paraId="0D311F15" w14:textId="7456784D">
      <w:pPr>
        <w:pStyle w:val="FootnoteText"/>
      </w:pPr>
      <w:r>
        <w:rPr>
          <w:rStyle w:val="FootnoteReference"/>
        </w:rPr>
        <w:footnoteRef/>
      </w:r>
      <w:r w:rsidR="001A33E6">
        <w:t xml:space="preserve"> </w:t>
      </w:r>
      <w:r w:rsidR="001A33E6">
        <w:rPr>
          <w:i/>
        </w:rPr>
        <w:t>Policy Regarding Character Qualifications in B’cast Licensing</w:t>
      </w:r>
      <w:r w:rsidR="001A33E6">
        <w:t>, 102 FCC 2d 1179 (1986)</w:t>
      </w:r>
      <w:r w:rsidR="00A31477">
        <w:t xml:space="preserve"> (</w:t>
      </w:r>
      <w:r w:rsidR="00A31477">
        <w:rPr>
          <w:i/>
        </w:rPr>
        <w:t>Character Policy Statement</w:t>
      </w:r>
      <w:r w:rsidR="00A31477">
        <w:t>).</w:t>
      </w:r>
    </w:p>
  </w:footnote>
  <w:footnote w:id="46">
    <w:p w:rsidR="006D56EC" w:rsidRPr="00BD2D8F" w14:paraId="2111CF75" w14:textId="367A350D">
      <w:pPr>
        <w:pStyle w:val="FootnoteText"/>
      </w:pPr>
      <w:r>
        <w:rPr>
          <w:rStyle w:val="FootnoteReference"/>
        </w:rPr>
        <w:footnoteRef/>
      </w:r>
      <w:r>
        <w:t xml:space="preserve"> </w:t>
      </w:r>
      <w:r w:rsidR="00780C5B">
        <w:t xml:space="preserve">Crowell AFR </w:t>
      </w:r>
      <w:r w:rsidR="00BD2D8F">
        <w:t>at 5.</w:t>
      </w:r>
      <w:r w:rsidR="000B34A0">
        <w:t xml:space="preserve">  </w:t>
      </w:r>
    </w:p>
  </w:footnote>
  <w:footnote w:id="47">
    <w:p w:rsidR="006F2517" w:rsidRPr="008C1956" w14:paraId="43507161" w14:textId="0F7AA53C">
      <w:pPr>
        <w:pStyle w:val="FootnoteText"/>
      </w:pPr>
      <w:r>
        <w:rPr>
          <w:rStyle w:val="FootnoteReference"/>
        </w:rPr>
        <w:footnoteRef/>
      </w:r>
      <w:r w:rsidR="008C1956">
        <w:t xml:space="preserve"> </w:t>
      </w:r>
      <w:r w:rsidR="008C1956">
        <w:rPr>
          <w:i/>
        </w:rPr>
        <w:t>Liteky</w:t>
      </w:r>
      <w:r w:rsidR="008C1956">
        <w:t xml:space="preserve">, 510 U.S. at 555; </w:t>
      </w:r>
      <w:r w:rsidR="008C1956">
        <w:rPr>
          <w:i/>
        </w:rPr>
        <w:t>see also</w:t>
      </w:r>
      <w:r>
        <w:t xml:space="preserve"> </w:t>
      </w:r>
      <w:r>
        <w:rPr>
          <w:i/>
        </w:rPr>
        <w:t>Belue v. Leventhal</w:t>
      </w:r>
      <w:r>
        <w:t>, 640 F. 3d 567, 575 (4th Cir. 2011) (“Dissatisfaction with a judge’s views on the merits of a case may present ample g</w:t>
      </w:r>
      <w:r w:rsidR="00920529">
        <w:t>rounds for appeal, but rarely—</w:t>
      </w:r>
      <w:r>
        <w:t>if ever</w:t>
      </w:r>
      <w:r w:rsidR="00920529">
        <w:t>—</w:t>
      </w:r>
      <w:r>
        <w:t>presents a basis for recusal”)</w:t>
      </w:r>
      <w:r w:rsidR="008C1956">
        <w:t xml:space="preserve">; </w:t>
      </w:r>
      <w:r w:rsidR="008C1956">
        <w:rPr>
          <w:i/>
        </w:rPr>
        <w:t>James A. Kay</w:t>
      </w:r>
      <w:r w:rsidR="008C1956">
        <w:t>, 12 FCC Rcd 15662 (1997) (</w:t>
      </w:r>
      <w:r w:rsidR="00221A14">
        <w:t xml:space="preserve">fact that </w:t>
      </w:r>
      <w:r w:rsidR="008C1956">
        <w:t>ALJ’s finding</w:t>
      </w:r>
      <w:r w:rsidR="00914152">
        <w:t>s</w:t>
      </w:r>
      <w:r w:rsidR="008C1956">
        <w:t xml:space="preserve"> </w:t>
      </w:r>
      <w:r w:rsidR="00221A14">
        <w:t xml:space="preserve">were </w:t>
      </w:r>
      <w:r w:rsidR="008C1956">
        <w:t>vacated</w:t>
      </w:r>
      <w:r w:rsidR="00914152">
        <w:t xml:space="preserve"> in</w:t>
      </w:r>
      <w:r w:rsidR="008C1956">
        <w:t xml:space="preserve"> Remand Order did not show disqualifying bias).</w:t>
      </w:r>
    </w:p>
  </w:footnote>
  <w:footnote w:id="48">
    <w:p w:rsidR="006D56EC" w:rsidRPr="006D56EC" w14:paraId="001A60B9" w14:textId="41335487">
      <w:pPr>
        <w:pStyle w:val="FootnoteText"/>
      </w:pPr>
      <w:r>
        <w:rPr>
          <w:rStyle w:val="FootnoteReference"/>
        </w:rPr>
        <w:footnoteRef/>
      </w:r>
      <w:r>
        <w:t xml:space="preserve"> </w:t>
      </w:r>
      <w:r w:rsidR="00AF5E71">
        <w:rPr>
          <w:i/>
        </w:rPr>
        <w:t>Family B’casting, Inc.</w:t>
      </w:r>
      <w:r w:rsidR="00AF5E71">
        <w:t>, 17 FCC Rcd at 19334</w:t>
      </w:r>
      <w:r w:rsidR="002362AB">
        <w:t>,</w:t>
      </w:r>
      <w:r w:rsidR="00AF5E71">
        <w:t xml:space="preserve"> para. 8 (quoting </w:t>
      </w:r>
      <w:r w:rsidR="00AF5E71">
        <w:rPr>
          <w:i/>
        </w:rPr>
        <w:t>Liteky</w:t>
      </w:r>
      <w:r w:rsidR="00AF5E71">
        <w:t>, 510 U.S. at 555).</w:t>
      </w:r>
    </w:p>
  </w:footnote>
  <w:footnote w:id="49">
    <w:p w:rsidR="006138A1" w:rsidRPr="00D801D3" w:rsidP="006138A1" w14:paraId="0EFD3B74" w14:textId="1809A6CF">
      <w:pPr>
        <w:pStyle w:val="FootnoteText"/>
      </w:pPr>
      <w:r>
        <w:rPr>
          <w:rStyle w:val="FootnoteReference"/>
        </w:rPr>
        <w:footnoteRef/>
      </w:r>
      <w:r>
        <w:t xml:space="preserve"> </w:t>
      </w:r>
      <w:r w:rsidR="001E0A69">
        <w:t>In fact</w:t>
      </w:r>
      <w:r>
        <w:t xml:space="preserve">, Crowell admits that </w:t>
      </w:r>
      <w:r w:rsidR="00D166DA">
        <w:t xml:space="preserve">the </w:t>
      </w:r>
      <w:r>
        <w:t>ALJ</w:t>
      </w:r>
      <w:r w:rsidR="00D166DA">
        <w:t xml:space="preserve">’s </w:t>
      </w:r>
      <w:r>
        <w:t xml:space="preserve">position on </w:t>
      </w:r>
      <w:r>
        <w:rPr>
          <w:i/>
        </w:rPr>
        <w:t>Red Lion</w:t>
      </w:r>
      <w:r>
        <w:t xml:space="preserve"> and </w:t>
      </w:r>
      <w:r>
        <w:rPr>
          <w:i/>
        </w:rPr>
        <w:t>Sable Communications</w:t>
      </w:r>
      <w:r>
        <w:t xml:space="preserve"> is consistent with </w:t>
      </w:r>
      <w:r w:rsidR="00AF5E71">
        <w:t>FCC precedent</w:t>
      </w:r>
      <w:r>
        <w:t>.</w:t>
      </w:r>
      <w:r w:rsidR="00F65DD3">
        <w:t xml:space="preserve">  Crowell AFR at 4</w:t>
      </w:r>
      <w:r w:rsidR="00AC074C">
        <w:t>, citing</w:t>
      </w:r>
      <w:r w:rsidR="00A54749">
        <w:t xml:space="preserve"> </w:t>
      </w:r>
      <w:r w:rsidR="00A54749">
        <w:rPr>
          <w:i/>
        </w:rPr>
        <w:t>David Hildebrand</w:t>
      </w:r>
      <w:r w:rsidR="00E61540">
        <w:t>, 2 FCC R</w:t>
      </w:r>
      <w:r w:rsidR="00A54749">
        <w:t>cd 2708 (1987).</w:t>
      </w:r>
      <w:r>
        <w:t xml:space="preserve">  And he offers </w:t>
      </w:r>
      <w:r w:rsidR="00D166DA">
        <w:t xml:space="preserve">only a conclusory claim that </w:t>
      </w:r>
      <w:r>
        <w:t xml:space="preserve">the Character </w:t>
      </w:r>
      <w:r w:rsidR="00D166DA">
        <w:t xml:space="preserve">Policy Statement </w:t>
      </w:r>
      <w:r>
        <w:t>should not apply to amateur radio operators</w:t>
      </w:r>
      <w:r w:rsidR="004B6D49">
        <w:t>.</w:t>
      </w:r>
      <w:r w:rsidR="007911F4">
        <w:t xml:space="preserve">  Whether the Commission agrees with the ALJ</w:t>
      </w:r>
      <w:r w:rsidR="00E61540">
        <w:t>’s interpretation</w:t>
      </w:r>
      <w:r w:rsidR="007911F4">
        <w:t xml:space="preserve"> is not at issue in this appeal, but Crowell </w:t>
      </w:r>
      <w:r w:rsidR="001E0A69">
        <w:t>gives us no</w:t>
      </w:r>
      <w:r w:rsidR="007911F4">
        <w:t xml:space="preserve"> reason to believe that these </w:t>
      </w:r>
      <w:r w:rsidR="00A54749">
        <w:t>conclusions</w:t>
      </w:r>
      <w:r w:rsidR="007911F4">
        <w:t xml:space="preserve"> evince favoritism</w:t>
      </w:r>
      <w:r w:rsidR="00F71C38">
        <w:t xml:space="preserve"> or antagonism</w:t>
      </w:r>
      <w:r w:rsidR="007911F4">
        <w:t>.</w:t>
      </w:r>
      <w:r w:rsidR="00D801D3">
        <w:t xml:space="preserve">  </w:t>
      </w:r>
      <w:r w:rsidR="00D801D3">
        <w:rPr>
          <w:i/>
        </w:rPr>
        <w:t>See Applications of Webster-Fuller Comm’s Associates</w:t>
      </w:r>
      <w:r w:rsidR="00D801D3">
        <w:t>, 4 FCC Rcd 4952, 4953</w:t>
      </w:r>
      <w:r w:rsidR="002362AB">
        <w:t>,</w:t>
      </w:r>
      <w:r w:rsidR="00D801D3">
        <w:t xml:space="preserve"> para. 7 (1989) (“Without considering whether we agree with each of the ALJ’s rulings, he has set forth reasons supporting his orders that do not in any way evidence bias.”).</w:t>
      </w:r>
    </w:p>
  </w:footnote>
  <w:footnote w:id="50">
    <w:p w:rsidR="006D56EC" w14:paraId="23DE84FF" w14:textId="77777777">
      <w:pPr>
        <w:pStyle w:val="FootnoteText"/>
      </w:pPr>
      <w:r>
        <w:rPr>
          <w:rStyle w:val="FootnoteReference"/>
        </w:rPr>
        <w:footnoteRef/>
      </w:r>
      <w:r>
        <w:t xml:space="preserve"> </w:t>
      </w:r>
      <w:r w:rsidR="00BE53E0">
        <w:t>Crowell AFR at 4.</w:t>
      </w:r>
    </w:p>
  </w:footnote>
  <w:footnote w:id="51">
    <w:p w:rsidR="006D56EC" w14:paraId="2AA0E0CB" w14:textId="6165DB46">
      <w:pPr>
        <w:pStyle w:val="FootnoteText"/>
      </w:pPr>
      <w:r>
        <w:rPr>
          <w:rStyle w:val="FootnoteReference"/>
        </w:rPr>
        <w:footnoteRef/>
      </w:r>
      <w:r>
        <w:t xml:space="preserve"> </w:t>
      </w:r>
      <w:r w:rsidR="00BE53E0">
        <w:rPr>
          <w:i/>
        </w:rPr>
        <w:t>William F. Crowell</w:t>
      </w:r>
      <w:r w:rsidR="00BE53E0">
        <w:t>, Order,</w:t>
      </w:r>
      <w:r w:rsidR="00D76944">
        <w:t xml:space="preserve"> WT Docket No. 08-20,</w:t>
      </w:r>
      <w:r w:rsidR="00BE53E0">
        <w:t xml:space="preserve"> FCC 17M-24 (rel. May 16, 2017), at 4.</w:t>
      </w:r>
    </w:p>
  </w:footnote>
  <w:footnote w:id="52">
    <w:p w:rsidR="006D56EC" w:rsidRPr="00BE53E0" w14:paraId="78DC9399" w14:textId="77777777">
      <w:pPr>
        <w:pStyle w:val="FootnoteText"/>
      </w:pPr>
      <w:r>
        <w:rPr>
          <w:rStyle w:val="FootnoteReference"/>
        </w:rPr>
        <w:footnoteRef/>
      </w:r>
      <w:r>
        <w:t xml:space="preserve"> </w:t>
      </w:r>
      <w:r w:rsidR="00BE53E0">
        <w:rPr>
          <w:i/>
        </w:rPr>
        <w:t>Id.</w:t>
      </w:r>
      <w:r w:rsidR="00BE53E0">
        <w:t xml:space="preserve"> at 5.</w:t>
      </w:r>
    </w:p>
  </w:footnote>
  <w:footnote w:id="53">
    <w:p w:rsidR="00F679D6" w:rsidRPr="00F679D6" w14:paraId="41175C34" w14:textId="748539E7">
      <w:pPr>
        <w:pStyle w:val="FootnoteText"/>
      </w:pPr>
      <w:r>
        <w:rPr>
          <w:rStyle w:val="FootnoteReference"/>
        </w:rPr>
        <w:footnoteRef/>
      </w:r>
      <w:r>
        <w:t xml:space="preserve"> </w:t>
      </w:r>
      <w:r>
        <w:rPr>
          <w:i/>
        </w:rPr>
        <w:t>Liteky</w:t>
      </w:r>
      <w:r>
        <w:t>, 510 U.S. at 556 (finding that “the questions [the judge] put to certain witnesses</w:t>
      </w:r>
      <w:r w:rsidR="00920529">
        <w:t xml:space="preserve"> . . . </w:t>
      </w:r>
      <w:r>
        <w:t xml:space="preserve">and his post-trial refusal to allow petitioners to appeal </w:t>
      </w:r>
      <w:r>
        <w:rPr>
          <w:i/>
        </w:rPr>
        <w:t>in forma pauperis</w:t>
      </w:r>
      <w:r>
        <w:t>” did not amount to bias requiring disqualification)</w:t>
      </w:r>
      <w:r w:rsidR="00AC074C">
        <w:t xml:space="preserve">.  </w:t>
      </w:r>
      <w:r w:rsidR="00AC074C">
        <w:rPr>
          <w:i/>
        </w:rPr>
        <w:t>S</w:t>
      </w:r>
      <w:r w:rsidR="000078BB">
        <w:rPr>
          <w:i/>
        </w:rPr>
        <w:t>ee also United States v. Nickl</w:t>
      </w:r>
      <w:r w:rsidR="000078BB">
        <w:t>, 427 F. 3d 1286, 1298-99 (10th Cir. 2005) (“the court’s refusal to grant defense counsel’s requests for a continuance to brief [certain] issues and for an additional jury instruction</w:t>
      </w:r>
      <w:r w:rsidR="00920529">
        <w:t xml:space="preserve"> . . . </w:t>
      </w:r>
      <w:r w:rsidR="000078BB">
        <w:t>are merely adverse rulings, and do not in themselves support a bias charge”)</w:t>
      </w:r>
      <w:r>
        <w:t>.</w:t>
      </w:r>
    </w:p>
  </w:footnote>
  <w:footnote w:id="54">
    <w:p w:rsidR="008E27AD" w:rsidRPr="008E27AD" w14:paraId="3839080A" w14:textId="0C998B2E">
      <w:pPr>
        <w:pStyle w:val="FootnoteText"/>
      </w:pPr>
      <w:r>
        <w:rPr>
          <w:rStyle w:val="FootnoteReference"/>
        </w:rPr>
        <w:footnoteRef/>
      </w:r>
      <w:r>
        <w:t xml:space="preserve"> </w:t>
      </w:r>
      <w:r w:rsidR="004B4E9B">
        <w:rPr>
          <w:i/>
        </w:rPr>
        <w:t>See</w:t>
      </w:r>
      <w:r>
        <w:rPr>
          <w:i/>
        </w:rPr>
        <w:t xml:space="preserve"> Family B’casting</w:t>
      </w:r>
      <w:r>
        <w:t xml:space="preserve">, 17 FCC Rcd </w:t>
      </w:r>
      <w:r w:rsidR="0031056F">
        <w:t>at 19334-35, para.</w:t>
      </w:r>
      <w:r>
        <w:t xml:space="preserve"> 11 (“The Commission accords its administrative law judges discretion in regulating the course of evidentiary hearings.”); </w:t>
      </w:r>
      <w:r w:rsidR="00EB534B">
        <w:rPr>
          <w:i/>
        </w:rPr>
        <w:t>Herring B’casting, Inc.</w:t>
      </w:r>
      <w:r w:rsidR="00EB534B">
        <w:t>, 26 FCC Rcd 8971, 8984-85, paras. 41-42 (2011) (adverse procedural rulin</w:t>
      </w:r>
      <w:r w:rsidR="00571C5B">
        <w:t>g “f[e]ll far short of meeting</w:t>
      </w:r>
      <w:r w:rsidR="00920529">
        <w:t xml:space="preserve"> . . . </w:t>
      </w:r>
      <w:r w:rsidR="00571C5B">
        <w:t>[the] ‘</w:t>
      </w:r>
      <w:r w:rsidR="00EB534B">
        <w:t>heav</w:t>
      </w:r>
      <w:r w:rsidR="00571C5B">
        <w:t>y</w:t>
      </w:r>
      <w:r w:rsidR="00EB534B">
        <w:t xml:space="preserve"> burden’ of ‘demonstrat[ing] personal bias</w:t>
      </w:r>
      <w:r w:rsidR="00571C5B">
        <w:t xml:space="preserve"> or prejudice impairing the Presiding Judge’s ability to act in an impartial manner’</w:t>
      </w:r>
      <w:r w:rsidR="00EB534B">
        <w:t>”);</w:t>
      </w:r>
      <w:r>
        <w:t xml:space="preserve"> </w:t>
      </w:r>
      <w:r>
        <w:rPr>
          <w:i/>
        </w:rPr>
        <w:t>Center for Study and Application of Black Economic Development</w:t>
      </w:r>
      <w:r>
        <w:t>, 7 FCC Rcd 3101, 31</w:t>
      </w:r>
      <w:r w:rsidR="0031056F">
        <w:t>04, para.</w:t>
      </w:r>
      <w:r>
        <w:t xml:space="preserve"> 9 (Rev. Bd. 1992) (ALJ’s efforts to “focus” a pre-hearing conference </w:t>
      </w:r>
      <w:r w:rsidR="00AC074C">
        <w:t xml:space="preserve">were </w:t>
      </w:r>
      <w:r>
        <w:t>consistent with discretion to direct course of proceeding).</w:t>
      </w:r>
    </w:p>
  </w:footnote>
  <w:footnote w:id="55">
    <w:p w:rsidR="00106FCC" w:rsidRPr="00EF19ED" w14:paraId="7EF6369B" w14:textId="4C6EE94A">
      <w:pPr>
        <w:pStyle w:val="FootnoteText"/>
        <w:rPr>
          <w:i/>
        </w:rPr>
      </w:pPr>
      <w:r>
        <w:rPr>
          <w:rStyle w:val="FootnoteReference"/>
        </w:rPr>
        <w:footnoteRef/>
      </w:r>
      <w:r>
        <w:t xml:space="preserve"> </w:t>
      </w:r>
      <w:r>
        <w:rPr>
          <w:i/>
        </w:rPr>
        <w:t>See Catalina Radio</w:t>
      </w:r>
      <w:r>
        <w:t>, 5 FCC Rcd</w:t>
      </w:r>
      <w:r w:rsidR="00D801D3">
        <w:t xml:space="preserve"> at</w:t>
      </w:r>
      <w:r>
        <w:t xml:space="preserve"> 3710</w:t>
      </w:r>
      <w:r w:rsidR="00D801D3">
        <w:t>, para. 5</w:t>
      </w:r>
      <w:r>
        <w:t xml:space="preserve"> (“[A]dverse interlocutory rulings by the ALJ may, pursuant to 47 C.F.R. § 1.276, be appealed after the release of the initial decision, and any error of fact or law may be corrected on review.”)</w:t>
      </w:r>
      <w:r w:rsidR="00EF19ED">
        <w:t xml:space="preserve">; </w:t>
      </w:r>
      <w:r w:rsidR="00EF19ED">
        <w:rPr>
          <w:i/>
        </w:rPr>
        <w:t>WWOR-TV, Inc</w:t>
      </w:r>
      <w:r w:rsidR="00EF19ED">
        <w:t>, 4 FCC Rcd at 6155</w:t>
      </w:r>
      <w:r w:rsidR="002362AB">
        <w:t>,</w:t>
      </w:r>
      <w:r w:rsidR="00EF19ED">
        <w:t xml:space="preserve"> para. 4 (“the </w:t>
      </w:r>
      <w:r w:rsidRPr="00FF4DCD" w:rsidR="00EF19ED">
        <w:t>substance</w:t>
      </w:r>
      <w:r w:rsidR="00EF19ED">
        <w:t xml:space="preserve"> of an ALJ’s interlocutory rulings are not a basis for disqualification because they are subject to review”).</w:t>
      </w:r>
    </w:p>
  </w:footnote>
  <w:footnote w:id="56">
    <w:p w:rsidR="00483F59" w:rsidRPr="00483F59" w14:paraId="38A98F20" w14:textId="400BBF3B">
      <w:pPr>
        <w:pStyle w:val="FootnoteText"/>
        <w:rPr>
          <w:i/>
        </w:rPr>
      </w:pPr>
      <w:r>
        <w:rPr>
          <w:rStyle w:val="FootnoteReference"/>
        </w:rPr>
        <w:footnoteRef/>
      </w:r>
      <w:r>
        <w:t xml:space="preserve"> Crowell AFR at 3.  </w:t>
      </w:r>
      <w:r>
        <w:rPr>
          <w:i/>
        </w:rPr>
        <w:t>See also</w:t>
      </w:r>
      <w:r w:rsidR="00FC605E">
        <w:rPr>
          <w:i/>
        </w:rPr>
        <w:t xml:space="preserve"> id.</w:t>
      </w:r>
      <w:r w:rsidR="00FC605E">
        <w:t xml:space="preserve"> (</w:t>
      </w:r>
      <w:r>
        <w:t>“He tries to bully me by . . . threats of contempt (abuse of process).</w:t>
      </w:r>
      <w:r w:rsidR="00FC605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B72" w14:paraId="2FDB92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626" w:rsidP="00454626" w14:paraId="789E4E04"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FCC 18-52</w:t>
    </w:r>
  </w:p>
  <w:p w:rsidR="00D25FB5" w:rsidRPr="00AC5B1C" w:rsidP="00AC5B1C" w14:paraId="48D12DDB" w14:textId="7D616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41185C" w14:textId="1DBD945C">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815635">
      <w:t>FCC 1</w:t>
    </w:r>
    <w:r w:rsidR="00C62482">
      <w:t>8</w:t>
    </w:r>
    <w:r w:rsidR="00815635">
      <w:t>-</w:t>
    </w:r>
    <w:r w:rsidR="00EB28D8">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E"/>
    <w:rsid w:val="0000771C"/>
    <w:rsid w:val="000078BB"/>
    <w:rsid w:val="00016F8C"/>
    <w:rsid w:val="000348C4"/>
    <w:rsid w:val="00036039"/>
    <w:rsid w:val="00037F90"/>
    <w:rsid w:val="000813B8"/>
    <w:rsid w:val="000875BF"/>
    <w:rsid w:val="0009100F"/>
    <w:rsid w:val="0009139C"/>
    <w:rsid w:val="00094F71"/>
    <w:rsid w:val="000956C4"/>
    <w:rsid w:val="00096D8C"/>
    <w:rsid w:val="000B0C28"/>
    <w:rsid w:val="000B34A0"/>
    <w:rsid w:val="000C0B65"/>
    <w:rsid w:val="000C5619"/>
    <w:rsid w:val="000C7ACC"/>
    <w:rsid w:val="000D5512"/>
    <w:rsid w:val="000E05FE"/>
    <w:rsid w:val="000E3D42"/>
    <w:rsid w:val="000F31FB"/>
    <w:rsid w:val="00106FCC"/>
    <w:rsid w:val="00122BD5"/>
    <w:rsid w:val="0013226A"/>
    <w:rsid w:val="00133F79"/>
    <w:rsid w:val="00137275"/>
    <w:rsid w:val="001563E0"/>
    <w:rsid w:val="00163A74"/>
    <w:rsid w:val="001669C1"/>
    <w:rsid w:val="001679D6"/>
    <w:rsid w:val="0017296B"/>
    <w:rsid w:val="00194A66"/>
    <w:rsid w:val="001A0240"/>
    <w:rsid w:val="001A33E6"/>
    <w:rsid w:val="001D5AE9"/>
    <w:rsid w:val="001D6BCF"/>
    <w:rsid w:val="001D7F6E"/>
    <w:rsid w:val="001E01CA"/>
    <w:rsid w:val="001E0A69"/>
    <w:rsid w:val="001E1A58"/>
    <w:rsid w:val="001F4B3F"/>
    <w:rsid w:val="0020070B"/>
    <w:rsid w:val="002135FF"/>
    <w:rsid w:val="00221A14"/>
    <w:rsid w:val="00233D4A"/>
    <w:rsid w:val="002362AB"/>
    <w:rsid w:val="00242183"/>
    <w:rsid w:val="00242738"/>
    <w:rsid w:val="00245A77"/>
    <w:rsid w:val="002461A3"/>
    <w:rsid w:val="00256738"/>
    <w:rsid w:val="002611F0"/>
    <w:rsid w:val="00263530"/>
    <w:rsid w:val="00275CF5"/>
    <w:rsid w:val="0028301F"/>
    <w:rsid w:val="00285017"/>
    <w:rsid w:val="00287138"/>
    <w:rsid w:val="002A2D2E"/>
    <w:rsid w:val="002C00E8"/>
    <w:rsid w:val="002F001E"/>
    <w:rsid w:val="00307299"/>
    <w:rsid w:val="0031056F"/>
    <w:rsid w:val="00323B03"/>
    <w:rsid w:val="00324CB1"/>
    <w:rsid w:val="00340512"/>
    <w:rsid w:val="00340B04"/>
    <w:rsid w:val="00343749"/>
    <w:rsid w:val="00347E30"/>
    <w:rsid w:val="0035482B"/>
    <w:rsid w:val="00355C5F"/>
    <w:rsid w:val="00362831"/>
    <w:rsid w:val="00364B72"/>
    <w:rsid w:val="003660ED"/>
    <w:rsid w:val="0038650D"/>
    <w:rsid w:val="00387E7C"/>
    <w:rsid w:val="003A0334"/>
    <w:rsid w:val="003B0550"/>
    <w:rsid w:val="003B0B79"/>
    <w:rsid w:val="003B16B5"/>
    <w:rsid w:val="003B694F"/>
    <w:rsid w:val="003B7679"/>
    <w:rsid w:val="003F0069"/>
    <w:rsid w:val="003F00F5"/>
    <w:rsid w:val="003F171C"/>
    <w:rsid w:val="003F5EC1"/>
    <w:rsid w:val="00412FC5"/>
    <w:rsid w:val="00420ADE"/>
    <w:rsid w:val="00422276"/>
    <w:rsid w:val="004242F1"/>
    <w:rsid w:val="00444F76"/>
    <w:rsid w:val="00445228"/>
    <w:rsid w:val="00445A00"/>
    <w:rsid w:val="00447237"/>
    <w:rsid w:val="00451B0F"/>
    <w:rsid w:val="00454626"/>
    <w:rsid w:val="00455311"/>
    <w:rsid w:val="00462572"/>
    <w:rsid w:val="00476132"/>
    <w:rsid w:val="00483F59"/>
    <w:rsid w:val="00484B32"/>
    <w:rsid w:val="00491AC6"/>
    <w:rsid w:val="00492689"/>
    <w:rsid w:val="004A30E3"/>
    <w:rsid w:val="004B4E9B"/>
    <w:rsid w:val="004B6D49"/>
    <w:rsid w:val="004C2EE3"/>
    <w:rsid w:val="004C71F2"/>
    <w:rsid w:val="004E4A22"/>
    <w:rsid w:val="004F3015"/>
    <w:rsid w:val="004F4BC0"/>
    <w:rsid w:val="00511968"/>
    <w:rsid w:val="00521465"/>
    <w:rsid w:val="00535038"/>
    <w:rsid w:val="0055614C"/>
    <w:rsid w:val="0056791F"/>
    <w:rsid w:val="00571C5B"/>
    <w:rsid w:val="00592230"/>
    <w:rsid w:val="005A0B46"/>
    <w:rsid w:val="005C090C"/>
    <w:rsid w:val="005D6941"/>
    <w:rsid w:val="005E14C2"/>
    <w:rsid w:val="005E750C"/>
    <w:rsid w:val="005F022B"/>
    <w:rsid w:val="005F3800"/>
    <w:rsid w:val="00600922"/>
    <w:rsid w:val="00602562"/>
    <w:rsid w:val="00603829"/>
    <w:rsid w:val="00603962"/>
    <w:rsid w:val="00606768"/>
    <w:rsid w:val="00607BA5"/>
    <w:rsid w:val="0061180A"/>
    <w:rsid w:val="006138A1"/>
    <w:rsid w:val="00616BC7"/>
    <w:rsid w:val="00623CFD"/>
    <w:rsid w:val="00626EB6"/>
    <w:rsid w:val="00635B38"/>
    <w:rsid w:val="00637AD2"/>
    <w:rsid w:val="00650CFB"/>
    <w:rsid w:val="00651315"/>
    <w:rsid w:val="00655D03"/>
    <w:rsid w:val="00656AE1"/>
    <w:rsid w:val="006672FF"/>
    <w:rsid w:val="006746DD"/>
    <w:rsid w:val="006813DC"/>
    <w:rsid w:val="00683388"/>
    <w:rsid w:val="00683F84"/>
    <w:rsid w:val="006864BA"/>
    <w:rsid w:val="006A3D06"/>
    <w:rsid w:val="006A6A81"/>
    <w:rsid w:val="006A6A98"/>
    <w:rsid w:val="006D56EC"/>
    <w:rsid w:val="006D6E9D"/>
    <w:rsid w:val="006F2517"/>
    <w:rsid w:val="006F54DA"/>
    <w:rsid w:val="006F7393"/>
    <w:rsid w:val="006F75FE"/>
    <w:rsid w:val="0070224F"/>
    <w:rsid w:val="00707978"/>
    <w:rsid w:val="007115F7"/>
    <w:rsid w:val="0072014C"/>
    <w:rsid w:val="00722C3A"/>
    <w:rsid w:val="007602C6"/>
    <w:rsid w:val="007733FB"/>
    <w:rsid w:val="00775F00"/>
    <w:rsid w:val="00780C5B"/>
    <w:rsid w:val="007833F9"/>
    <w:rsid w:val="00785689"/>
    <w:rsid w:val="007911F4"/>
    <w:rsid w:val="00791D26"/>
    <w:rsid w:val="00793ADD"/>
    <w:rsid w:val="007942E9"/>
    <w:rsid w:val="0079754B"/>
    <w:rsid w:val="007A1E6D"/>
    <w:rsid w:val="007A28A2"/>
    <w:rsid w:val="007B0EB2"/>
    <w:rsid w:val="007C77DC"/>
    <w:rsid w:val="007E220B"/>
    <w:rsid w:val="007E4C79"/>
    <w:rsid w:val="007E4D86"/>
    <w:rsid w:val="0080253A"/>
    <w:rsid w:val="00810B6F"/>
    <w:rsid w:val="00815635"/>
    <w:rsid w:val="00822CE0"/>
    <w:rsid w:val="00824425"/>
    <w:rsid w:val="00824BC4"/>
    <w:rsid w:val="00824FFC"/>
    <w:rsid w:val="00825B71"/>
    <w:rsid w:val="008303D6"/>
    <w:rsid w:val="0083341E"/>
    <w:rsid w:val="00841AB1"/>
    <w:rsid w:val="00843150"/>
    <w:rsid w:val="008570B2"/>
    <w:rsid w:val="008627F0"/>
    <w:rsid w:val="008732DF"/>
    <w:rsid w:val="008816AE"/>
    <w:rsid w:val="0088393D"/>
    <w:rsid w:val="00887DE8"/>
    <w:rsid w:val="008952DB"/>
    <w:rsid w:val="008C1956"/>
    <w:rsid w:val="008C333C"/>
    <w:rsid w:val="008C68F1"/>
    <w:rsid w:val="008D364E"/>
    <w:rsid w:val="008E27AD"/>
    <w:rsid w:val="008E293F"/>
    <w:rsid w:val="008E5053"/>
    <w:rsid w:val="008F1910"/>
    <w:rsid w:val="00914152"/>
    <w:rsid w:val="00920529"/>
    <w:rsid w:val="00921803"/>
    <w:rsid w:val="00926503"/>
    <w:rsid w:val="00930301"/>
    <w:rsid w:val="009359AB"/>
    <w:rsid w:val="009412D1"/>
    <w:rsid w:val="00953A04"/>
    <w:rsid w:val="009726D8"/>
    <w:rsid w:val="009938DF"/>
    <w:rsid w:val="009976B3"/>
    <w:rsid w:val="009B32A4"/>
    <w:rsid w:val="009B46C4"/>
    <w:rsid w:val="009B65E2"/>
    <w:rsid w:val="009C4887"/>
    <w:rsid w:val="009E07A6"/>
    <w:rsid w:val="009F0812"/>
    <w:rsid w:val="009F76DB"/>
    <w:rsid w:val="009F7AA5"/>
    <w:rsid w:val="00A04E6E"/>
    <w:rsid w:val="00A21DF3"/>
    <w:rsid w:val="00A31477"/>
    <w:rsid w:val="00A32C3B"/>
    <w:rsid w:val="00A40FE9"/>
    <w:rsid w:val="00A45F4F"/>
    <w:rsid w:val="00A54749"/>
    <w:rsid w:val="00A57BA8"/>
    <w:rsid w:val="00A600A9"/>
    <w:rsid w:val="00A64016"/>
    <w:rsid w:val="00A67FE3"/>
    <w:rsid w:val="00A76BED"/>
    <w:rsid w:val="00A76D06"/>
    <w:rsid w:val="00A95293"/>
    <w:rsid w:val="00A9705A"/>
    <w:rsid w:val="00AA0536"/>
    <w:rsid w:val="00AA55B7"/>
    <w:rsid w:val="00AA5B15"/>
    <w:rsid w:val="00AA5B9E"/>
    <w:rsid w:val="00AB2407"/>
    <w:rsid w:val="00AB53DF"/>
    <w:rsid w:val="00AB79C1"/>
    <w:rsid w:val="00AC074C"/>
    <w:rsid w:val="00AC1640"/>
    <w:rsid w:val="00AC5B1C"/>
    <w:rsid w:val="00AC766B"/>
    <w:rsid w:val="00AD01E8"/>
    <w:rsid w:val="00AE554F"/>
    <w:rsid w:val="00AF5E71"/>
    <w:rsid w:val="00B01FBE"/>
    <w:rsid w:val="00B07E5C"/>
    <w:rsid w:val="00B53BE1"/>
    <w:rsid w:val="00B802B3"/>
    <w:rsid w:val="00B811F7"/>
    <w:rsid w:val="00B860E1"/>
    <w:rsid w:val="00BA26E3"/>
    <w:rsid w:val="00BA5DC6"/>
    <w:rsid w:val="00BA6196"/>
    <w:rsid w:val="00BB376B"/>
    <w:rsid w:val="00BC6D8C"/>
    <w:rsid w:val="00BD2D8F"/>
    <w:rsid w:val="00BE53E0"/>
    <w:rsid w:val="00BE67CB"/>
    <w:rsid w:val="00C05670"/>
    <w:rsid w:val="00C238C8"/>
    <w:rsid w:val="00C34006"/>
    <w:rsid w:val="00C3423A"/>
    <w:rsid w:val="00C372B3"/>
    <w:rsid w:val="00C4070B"/>
    <w:rsid w:val="00C42290"/>
    <w:rsid w:val="00C426B1"/>
    <w:rsid w:val="00C5252F"/>
    <w:rsid w:val="00C540A2"/>
    <w:rsid w:val="00C62482"/>
    <w:rsid w:val="00C66160"/>
    <w:rsid w:val="00C721AC"/>
    <w:rsid w:val="00C73994"/>
    <w:rsid w:val="00C766CE"/>
    <w:rsid w:val="00C80A32"/>
    <w:rsid w:val="00C83CC8"/>
    <w:rsid w:val="00C90D6A"/>
    <w:rsid w:val="00C95746"/>
    <w:rsid w:val="00CA247E"/>
    <w:rsid w:val="00CA2B68"/>
    <w:rsid w:val="00CA6525"/>
    <w:rsid w:val="00CA6C5E"/>
    <w:rsid w:val="00CB60B9"/>
    <w:rsid w:val="00CB670B"/>
    <w:rsid w:val="00CB73DB"/>
    <w:rsid w:val="00CB7A77"/>
    <w:rsid w:val="00CC4DD6"/>
    <w:rsid w:val="00CC72B6"/>
    <w:rsid w:val="00CD18EB"/>
    <w:rsid w:val="00CD475B"/>
    <w:rsid w:val="00CE3978"/>
    <w:rsid w:val="00D01DEB"/>
    <w:rsid w:val="00D0218D"/>
    <w:rsid w:val="00D166DA"/>
    <w:rsid w:val="00D25FB5"/>
    <w:rsid w:val="00D37D91"/>
    <w:rsid w:val="00D43E57"/>
    <w:rsid w:val="00D44223"/>
    <w:rsid w:val="00D551B9"/>
    <w:rsid w:val="00D76944"/>
    <w:rsid w:val="00D801D3"/>
    <w:rsid w:val="00D83D82"/>
    <w:rsid w:val="00D8570D"/>
    <w:rsid w:val="00D86205"/>
    <w:rsid w:val="00DA19F1"/>
    <w:rsid w:val="00DA2529"/>
    <w:rsid w:val="00DB05AC"/>
    <w:rsid w:val="00DB130A"/>
    <w:rsid w:val="00DB2EBB"/>
    <w:rsid w:val="00DB44DE"/>
    <w:rsid w:val="00DC10A1"/>
    <w:rsid w:val="00DC655F"/>
    <w:rsid w:val="00DD0B59"/>
    <w:rsid w:val="00DD7EBD"/>
    <w:rsid w:val="00DF1363"/>
    <w:rsid w:val="00DF62B6"/>
    <w:rsid w:val="00E07225"/>
    <w:rsid w:val="00E246B7"/>
    <w:rsid w:val="00E260F9"/>
    <w:rsid w:val="00E47611"/>
    <w:rsid w:val="00E47766"/>
    <w:rsid w:val="00E5409F"/>
    <w:rsid w:val="00E61540"/>
    <w:rsid w:val="00E86DE7"/>
    <w:rsid w:val="00E93846"/>
    <w:rsid w:val="00EB28D8"/>
    <w:rsid w:val="00EB534B"/>
    <w:rsid w:val="00EC22D2"/>
    <w:rsid w:val="00EC7E78"/>
    <w:rsid w:val="00ED5F9D"/>
    <w:rsid w:val="00EE5550"/>
    <w:rsid w:val="00EE6488"/>
    <w:rsid w:val="00EF19ED"/>
    <w:rsid w:val="00F021FA"/>
    <w:rsid w:val="00F0360C"/>
    <w:rsid w:val="00F039C6"/>
    <w:rsid w:val="00F050C0"/>
    <w:rsid w:val="00F24F21"/>
    <w:rsid w:val="00F343AF"/>
    <w:rsid w:val="00F41B07"/>
    <w:rsid w:val="00F43474"/>
    <w:rsid w:val="00F5492C"/>
    <w:rsid w:val="00F56711"/>
    <w:rsid w:val="00F62E97"/>
    <w:rsid w:val="00F64209"/>
    <w:rsid w:val="00F65DD3"/>
    <w:rsid w:val="00F679D6"/>
    <w:rsid w:val="00F71C38"/>
    <w:rsid w:val="00F812B4"/>
    <w:rsid w:val="00F83A2A"/>
    <w:rsid w:val="00F91DAA"/>
    <w:rsid w:val="00F93BF5"/>
    <w:rsid w:val="00FA10A5"/>
    <w:rsid w:val="00FB37E7"/>
    <w:rsid w:val="00FB7677"/>
    <w:rsid w:val="00FC283D"/>
    <w:rsid w:val="00FC5545"/>
    <w:rsid w:val="00FC605E"/>
    <w:rsid w:val="00FE48B7"/>
    <w:rsid w:val="00FF4D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3C"/>
    <w:pPr>
      <w:widowControl w:val="0"/>
    </w:pPr>
    <w:rPr>
      <w:snapToGrid w:val="0"/>
      <w:kern w:val="28"/>
      <w:sz w:val="22"/>
    </w:rPr>
  </w:style>
  <w:style w:type="paragraph" w:styleId="Heading1">
    <w:name w:val="heading 1"/>
    <w:basedOn w:val="Normal"/>
    <w:next w:val="ParaNum"/>
    <w:qFormat/>
    <w:rsid w:val="008C33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C333C"/>
    <w:pPr>
      <w:keepNext/>
      <w:numPr>
        <w:ilvl w:val="1"/>
        <w:numId w:val="3"/>
      </w:numPr>
      <w:spacing w:after="120"/>
      <w:outlineLvl w:val="1"/>
    </w:pPr>
    <w:rPr>
      <w:b/>
    </w:rPr>
  </w:style>
  <w:style w:type="paragraph" w:styleId="Heading3">
    <w:name w:val="heading 3"/>
    <w:basedOn w:val="Normal"/>
    <w:next w:val="ParaNum"/>
    <w:qFormat/>
    <w:rsid w:val="008C333C"/>
    <w:pPr>
      <w:keepNext/>
      <w:numPr>
        <w:ilvl w:val="2"/>
        <w:numId w:val="3"/>
      </w:numPr>
      <w:tabs>
        <w:tab w:val="left" w:pos="2160"/>
      </w:tabs>
      <w:spacing w:after="120"/>
      <w:outlineLvl w:val="2"/>
    </w:pPr>
    <w:rPr>
      <w:b/>
    </w:rPr>
  </w:style>
  <w:style w:type="paragraph" w:styleId="Heading4">
    <w:name w:val="heading 4"/>
    <w:basedOn w:val="Normal"/>
    <w:next w:val="ParaNum"/>
    <w:qFormat/>
    <w:rsid w:val="008C333C"/>
    <w:pPr>
      <w:keepNext/>
      <w:numPr>
        <w:ilvl w:val="3"/>
        <w:numId w:val="3"/>
      </w:numPr>
      <w:tabs>
        <w:tab w:val="left" w:pos="2880"/>
      </w:tabs>
      <w:spacing w:after="120"/>
      <w:outlineLvl w:val="3"/>
    </w:pPr>
    <w:rPr>
      <w:b/>
    </w:rPr>
  </w:style>
  <w:style w:type="paragraph" w:styleId="Heading5">
    <w:name w:val="heading 5"/>
    <w:basedOn w:val="Normal"/>
    <w:next w:val="ParaNum"/>
    <w:qFormat/>
    <w:rsid w:val="008C333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C333C"/>
    <w:pPr>
      <w:numPr>
        <w:ilvl w:val="5"/>
        <w:numId w:val="3"/>
      </w:numPr>
      <w:tabs>
        <w:tab w:val="left" w:pos="4320"/>
      </w:tabs>
      <w:spacing w:after="120"/>
      <w:outlineLvl w:val="5"/>
    </w:pPr>
    <w:rPr>
      <w:b/>
    </w:rPr>
  </w:style>
  <w:style w:type="paragraph" w:styleId="Heading7">
    <w:name w:val="heading 7"/>
    <w:basedOn w:val="Normal"/>
    <w:next w:val="ParaNum"/>
    <w:qFormat/>
    <w:rsid w:val="008C333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C33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C33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8C333C"/>
    <w:pPr>
      <w:numPr>
        <w:numId w:val="2"/>
      </w:numPr>
      <w:tabs>
        <w:tab w:val="clear" w:pos="1080"/>
        <w:tab w:val="num" w:pos="1440"/>
      </w:tabs>
      <w:spacing w:after="120"/>
    </w:pPr>
  </w:style>
  <w:style w:type="paragraph" w:styleId="EndnoteText">
    <w:name w:val="endnote text"/>
    <w:basedOn w:val="Normal"/>
    <w:semiHidden/>
    <w:rsid w:val="008C333C"/>
    <w:rPr>
      <w:sz w:val="20"/>
    </w:rPr>
  </w:style>
  <w:style w:type="character" w:styleId="EndnoteReference">
    <w:name w:val="endnote reference"/>
    <w:semiHidden/>
    <w:rsid w:val="008C333C"/>
    <w:rPr>
      <w:vertAlign w:val="superscript"/>
    </w:rPr>
  </w:style>
  <w:style w:type="paragraph" w:styleId="FootnoteText">
    <w:name w:val="footnote text"/>
    <w:rsid w:val="008C333C"/>
    <w:pPr>
      <w:spacing w:after="120"/>
    </w:pPr>
  </w:style>
  <w:style w:type="character" w:styleId="FootnoteReference">
    <w:name w:val="footnote reference"/>
    <w:rsid w:val="008C333C"/>
    <w:rPr>
      <w:rFonts w:ascii="Times New Roman" w:hAnsi="Times New Roman"/>
      <w:dstrike w:val="0"/>
      <w:color w:val="auto"/>
      <w:sz w:val="20"/>
      <w:vertAlign w:val="superscript"/>
    </w:rPr>
  </w:style>
  <w:style w:type="paragraph" w:styleId="TOC1">
    <w:name w:val="toc 1"/>
    <w:basedOn w:val="Normal"/>
    <w:next w:val="Normal"/>
    <w:semiHidden/>
    <w:rsid w:val="008C33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C333C"/>
    <w:pPr>
      <w:tabs>
        <w:tab w:val="left" w:pos="720"/>
        <w:tab w:val="right" w:leader="dot" w:pos="9360"/>
      </w:tabs>
      <w:suppressAutoHyphens/>
      <w:ind w:left="720" w:right="720" w:hanging="360"/>
    </w:pPr>
    <w:rPr>
      <w:noProof/>
    </w:rPr>
  </w:style>
  <w:style w:type="paragraph" w:styleId="TOC3">
    <w:name w:val="toc 3"/>
    <w:basedOn w:val="Normal"/>
    <w:next w:val="Normal"/>
    <w:semiHidden/>
    <w:rsid w:val="008C33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C33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C33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C33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C33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C33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C33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C333C"/>
    <w:pPr>
      <w:tabs>
        <w:tab w:val="right" w:pos="9360"/>
      </w:tabs>
      <w:suppressAutoHyphens/>
    </w:pPr>
  </w:style>
  <w:style w:type="character" w:customStyle="1" w:styleId="EquationCaption">
    <w:name w:val="_Equation Caption"/>
    <w:rsid w:val="008C333C"/>
  </w:style>
  <w:style w:type="paragraph" w:styleId="Header">
    <w:name w:val="header"/>
    <w:basedOn w:val="Normal"/>
    <w:autoRedefine/>
    <w:rsid w:val="008C333C"/>
    <w:pPr>
      <w:tabs>
        <w:tab w:val="center" w:pos="4680"/>
        <w:tab w:val="right" w:pos="9360"/>
      </w:tabs>
    </w:pPr>
    <w:rPr>
      <w:b/>
    </w:rPr>
  </w:style>
  <w:style w:type="paragraph" w:styleId="Footer">
    <w:name w:val="footer"/>
    <w:basedOn w:val="Normal"/>
    <w:rsid w:val="008C333C"/>
    <w:pPr>
      <w:tabs>
        <w:tab w:val="center" w:pos="4320"/>
        <w:tab w:val="right" w:pos="8640"/>
      </w:tabs>
    </w:pPr>
  </w:style>
  <w:style w:type="character" w:styleId="PageNumber">
    <w:name w:val="page number"/>
    <w:basedOn w:val="DefaultParagraphFont"/>
    <w:rsid w:val="008C333C"/>
  </w:style>
  <w:style w:type="paragraph" w:styleId="BlockText">
    <w:name w:val="Block Text"/>
    <w:basedOn w:val="Normal"/>
    <w:rsid w:val="008C333C"/>
    <w:pPr>
      <w:spacing w:after="240"/>
      <w:ind w:left="1440" w:right="1440"/>
    </w:pPr>
  </w:style>
  <w:style w:type="paragraph" w:customStyle="1" w:styleId="Paratitle">
    <w:name w:val="Para title"/>
    <w:basedOn w:val="Normal"/>
    <w:rsid w:val="008C333C"/>
    <w:pPr>
      <w:tabs>
        <w:tab w:val="center" w:pos="9270"/>
      </w:tabs>
      <w:spacing w:after="240"/>
    </w:pPr>
    <w:rPr>
      <w:spacing w:val="-2"/>
    </w:rPr>
  </w:style>
  <w:style w:type="paragraph" w:customStyle="1" w:styleId="Bullet">
    <w:name w:val="Bullet"/>
    <w:basedOn w:val="Normal"/>
    <w:rsid w:val="008C333C"/>
    <w:pPr>
      <w:tabs>
        <w:tab w:val="left" w:pos="2160"/>
      </w:tabs>
      <w:spacing w:after="220"/>
      <w:ind w:left="2160" w:hanging="720"/>
    </w:pPr>
  </w:style>
  <w:style w:type="paragraph" w:customStyle="1" w:styleId="TableFormat">
    <w:name w:val="TableFormat"/>
    <w:basedOn w:val="Bullet"/>
    <w:rsid w:val="008C333C"/>
    <w:pPr>
      <w:tabs>
        <w:tab w:val="clear" w:pos="2160"/>
        <w:tab w:val="left" w:pos="5040"/>
      </w:tabs>
      <w:ind w:left="5040" w:hanging="3600"/>
    </w:pPr>
  </w:style>
  <w:style w:type="paragraph" w:customStyle="1" w:styleId="TOCTitle">
    <w:name w:val="TOC Title"/>
    <w:basedOn w:val="Normal"/>
    <w:rsid w:val="008C33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333C"/>
    <w:pPr>
      <w:jc w:val="center"/>
    </w:pPr>
    <w:rPr>
      <w:rFonts w:ascii="Times New Roman Bold" w:hAnsi="Times New Roman Bold"/>
      <w:b/>
      <w:bCs/>
      <w:caps/>
      <w:szCs w:val="22"/>
    </w:rPr>
  </w:style>
  <w:style w:type="character" w:styleId="Hyperlink">
    <w:name w:val="Hyperlink"/>
    <w:rsid w:val="008C333C"/>
    <w:rPr>
      <w:color w:val="0000FF"/>
      <w:u w:val="single"/>
    </w:rPr>
  </w:style>
  <w:style w:type="paragraph" w:styleId="BalloonText">
    <w:name w:val="Balloon Text"/>
    <w:basedOn w:val="Normal"/>
    <w:link w:val="BalloonTextChar"/>
    <w:rsid w:val="006F75FE"/>
    <w:rPr>
      <w:rFonts w:ascii="Segoe UI" w:hAnsi="Segoe UI" w:cs="Segoe UI"/>
      <w:sz w:val="18"/>
      <w:szCs w:val="18"/>
    </w:rPr>
  </w:style>
  <w:style w:type="character" w:customStyle="1" w:styleId="BalloonTextChar">
    <w:name w:val="Balloon Text Char"/>
    <w:basedOn w:val="DefaultParagraphFont"/>
    <w:link w:val="BalloonText"/>
    <w:rsid w:val="006F75FE"/>
    <w:rPr>
      <w:rFonts w:ascii="Segoe UI" w:hAnsi="Segoe UI" w:cs="Segoe UI"/>
      <w:snapToGrid w:val="0"/>
      <w:kern w:val="28"/>
      <w:sz w:val="18"/>
      <w:szCs w:val="18"/>
    </w:rPr>
  </w:style>
  <w:style w:type="character" w:styleId="CommentReference">
    <w:name w:val="annotation reference"/>
    <w:basedOn w:val="DefaultParagraphFont"/>
    <w:rsid w:val="00650CFB"/>
    <w:rPr>
      <w:sz w:val="16"/>
      <w:szCs w:val="16"/>
    </w:rPr>
  </w:style>
  <w:style w:type="paragraph" w:styleId="CommentText">
    <w:name w:val="annotation text"/>
    <w:basedOn w:val="Normal"/>
    <w:link w:val="CommentTextChar"/>
    <w:rsid w:val="00650CFB"/>
    <w:rPr>
      <w:sz w:val="20"/>
    </w:rPr>
  </w:style>
  <w:style w:type="character" w:customStyle="1" w:styleId="CommentTextChar">
    <w:name w:val="Comment Text Char"/>
    <w:basedOn w:val="DefaultParagraphFont"/>
    <w:link w:val="CommentText"/>
    <w:rsid w:val="00650CFB"/>
    <w:rPr>
      <w:snapToGrid w:val="0"/>
      <w:kern w:val="28"/>
    </w:rPr>
  </w:style>
  <w:style w:type="paragraph" w:styleId="CommentSubject">
    <w:name w:val="annotation subject"/>
    <w:basedOn w:val="CommentText"/>
    <w:next w:val="CommentText"/>
    <w:link w:val="CommentSubjectChar"/>
    <w:rsid w:val="00650CFB"/>
    <w:rPr>
      <w:b/>
      <w:bCs/>
    </w:rPr>
  </w:style>
  <w:style w:type="character" w:customStyle="1" w:styleId="CommentSubjectChar">
    <w:name w:val="Comment Subject Char"/>
    <w:basedOn w:val="CommentTextChar"/>
    <w:link w:val="CommentSubject"/>
    <w:rsid w:val="00650CFB"/>
    <w:rPr>
      <w:b/>
      <w:bCs/>
      <w:snapToGrid w:val="0"/>
      <w:kern w:val="28"/>
    </w:rPr>
  </w:style>
  <w:style w:type="paragraph" w:styleId="Revision">
    <w:name w:val="Revision"/>
    <w:hidden/>
    <w:uiPriority w:val="99"/>
    <w:semiHidden/>
    <w:rsid w:val="00F83A2A"/>
    <w:rPr>
      <w:snapToGrid w:val="0"/>
      <w:kern w:val="28"/>
      <w:sz w:val="22"/>
    </w:rPr>
  </w:style>
  <w:style w:type="character" w:styleId="Emphasis">
    <w:name w:val="Emphasis"/>
    <w:basedOn w:val="DefaultParagraphFont"/>
    <w:uiPriority w:val="20"/>
    <w:qFormat/>
    <w:rsid w:val="00930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08C2-74AD-4FB4-8B8F-0B0428F5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2018-04-26T17:01:18Z</dcterms:created>
  <dcterms:modified xsi:type="dcterms:W3CDTF">2018-04-26T17:01:18Z</dcterms:modified>
</cp:coreProperties>
</file>