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80F32" w:rsidP="00080F32">
      <w:pPr>
        <w:jc w:val="center"/>
        <w:rPr>
          <w:b/>
        </w:rPr>
      </w:pPr>
      <w:r w:rsidRPr="00C13A9E">
        <w:rPr>
          <w:b/>
        </w:rPr>
        <w:t xml:space="preserve">STATEMENT OF </w:t>
      </w:r>
    </w:p>
    <w:p w:rsidR="00080F32" w:rsidRPr="00D10CDE" w:rsidP="00080F32">
      <w:pPr>
        <w:jc w:val="center"/>
        <w:rPr>
          <w:rFonts w:ascii="Times New Roman Bold" w:hAnsi="Times New Roman Bold"/>
          <w:b/>
          <w:caps/>
        </w:rPr>
      </w:pPr>
      <w:r>
        <w:rPr>
          <w:rFonts w:ascii="Times New Roman Bold" w:hAnsi="Times New Roman Bold"/>
          <w:b/>
          <w:caps/>
        </w:rPr>
        <w:t xml:space="preserve">Commissioner </w:t>
      </w:r>
      <w:r w:rsidR="00C70A8D">
        <w:rPr>
          <w:rFonts w:ascii="Times New Roman Bold" w:hAnsi="Times New Roman Bold"/>
          <w:b/>
          <w:caps/>
        </w:rPr>
        <w:t>Brendan Carr</w:t>
      </w:r>
    </w:p>
    <w:p w:rsidR="00080F32" w:rsidP="00080F32"/>
    <w:p w:rsidR="00023B75" w:rsidRPr="008154AA" w:rsidP="00023B75">
      <w:pPr>
        <w:tabs>
          <w:tab w:val="left" w:pos="720"/>
          <w:tab w:val="center" w:pos="4680"/>
        </w:tabs>
        <w:ind w:left="720" w:hanging="720"/>
      </w:pPr>
      <w:r>
        <w:t>Re:</w:t>
      </w:r>
      <w:r>
        <w:tab/>
      </w:r>
      <w:r w:rsidRPr="00731B02">
        <w:rPr>
          <w:i/>
          <w:spacing w:val="-2"/>
        </w:rPr>
        <w:t>The Uniendo a Puerto Rico Fund and the Connect USVI Fund</w:t>
      </w:r>
      <w:r>
        <w:t xml:space="preserve">, </w:t>
      </w:r>
      <w:r>
        <w:rPr>
          <w:i/>
        </w:rPr>
        <w:t>et al.</w:t>
      </w:r>
      <w:r w:rsidR="00D44167">
        <w:t>, WC Docket Nos. 18-143</w:t>
      </w:r>
      <w:r>
        <w:t xml:space="preserve">, 10-90, 14-58 </w:t>
      </w:r>
    </w:p>
    <w:p w:rsidR="00023B75" w:rsidP="00023B75"/>
    <w:p w:rsidR="002B35ED" w:rsidP="002B35ED">
      <w:pPr>
        <w:spacing w:after="120"/>
        <w:ind w:firstLine="720"/>
      </w:pPr>
      <w:r w:rsidRPr="004A2E38">
        <w:t>Last fall, Hurricanes Irma and Maria brought widespread d</w:t>
      </w:r>
      <w:r>
        <w:t>amage</w:t>
      </w:r>
      <w:r w:rsidRPr="004A2E38">
        <w:t xml:space="preserve"> to Puerto Rico and the U.S. Virgin Islands.</w:t>
      </w:r>
      <w:r>
        <w:t xml:space="preserve">  While telecommunications companies have been working for months to restore networks that were damaged in the storms, much more work remains to be done.  For example, the FCC found in March that four percent of cell sites in Puerto Rico and 12 percent of cell sites in the U.S. Virgin Islands remained out of service.</w:t>
      </w:r>
      <w:r>
        <w:rPr>
          <w:rStyle w:val="FootnoteReference"/>
        </w:rPr>
        <w:footnoteReference w:id="3"/>
      </w:r>
      <w:r>
        <w:t xml:space="preserve">  With respect to wireline networks, some companies have told us that they have been able to restore service to only a portion of their customer base.  And continued power outages are compounding already challenging network restoration efforts – for example, by some estimates, as of mid-April, more than 50,000 customers remained without power in Puerto Rico.</w:t>
      </w:r>
      <w:r>
        <w:rPr>
          <w:rStyle w:val="FootnoteReference"/>
        </w:rPr>
        <w:footnoteReference w:id="4"/>
      </w:r>
    </w:p>
    <w:p w:rsidR="002B35ED" w:rsidP="002B35ED">
      <w:pPr>
        <w:spacing w:after="120"/>
        <w:ind w:firstLine="720"/>
      </w:pPr>
      <w:r>
        <w:t xml:space="preserve">It’s going to take a lot of work and financial resources to repair the destruction caused by Hurricanes Irma and Maria.  And with the 2018 hurricane season rapidly approaching, it is even more imperative that the FCC act swiftly to assist with restoration efforts.  That’s why I’m glad this Commission has taken several concrete steps to do just that.  The agency has deployed teams, issued emergency authorizations, waived rules, and helped facilitate access to fuel and other resources.  Additionally, FCC leadership quickly stood up a task force dedicated to assisting with recovery efforts and collecting information the agency can use to support disaster preparedness.  Last October, we advanced nearly $66 million in universal service funding to help get networks back online in Puerto Rico and the Virgin Islands. </w:t>
      </w:r>
    </w:p>
    <w:p w:rsidR="002B35ED" w:rsidP="002B35ED">
      <w:pPr>
        <w:spacing w:after="120"/>
        <w:ind w:firstLine="720"/>
      </w:pPr>
      <w:r>
        <w:t>The item we adopt today would build on those efforts in three key ways.  First, we take steps to allow carriers to make continued use of last fall’s advanced support payments.  Second, we provide up to an additional $64 million in immediate funding to help carriers restore damaged facilities right now.  Third, we propose to make nearly $890 million in long-term funding available to support the deployment of fixed and mobile broadband networks.  Taking these steps will allow providers to rebuild and speed up efforts to harden broadband infrastructure to prevent a repeat of the 2017 hurricane season.</w:t>
      </w:r>
    </w:p>
    <w:p w:rsidR="002B35ED" w:rsidP="002B35ED">
      <w:pPr>
        <w:spacing w:after="120"/>
        <w:ind w:firstLine="720"/>
      </w:pPr>
      <w:r>
        <w:t>In considering this item, I’m glad my colleagues agreed to include edits to increase accountability and ensure that limited universal service funds are used for their intended purpose.  By more clearly delineating what constitutes eligible short-term expenditures, as well as requiring carriers to comply with document retention and auditing requirements, we will incentivize the prudent spending of program funds while at the same time helping to restore communications services where they are most needed.</w:t>
      </w:r>
    </w:p>
    <w:p w:rsidR="00023B75" w:rsidRPr="00C06C87" w:rsidP="002B35ED">
      <w:pPr>
        <w:spacing w:after="120"/>
        <w:ind w:right="72" w:firstLine="720"/>
        <w:rPr>
          <w:rFonts w:eastAsia="Calibri"/>
          <w:szCs w:val="22"/>
        </w:rPr>
      </w:pPr>
      <w:r>
        <w:t>So this item has my support.  I look forward to reviewing the record as it develops and continuing to work with my colleagues and all stakeholders to find ways we can continue to assist with hurricane restoration efforts.</w:t>
      </w:r>
    </w:p>
    <w:p w:rsidR="004E428F" w:rsidP="00023B75">
      <w:pPr>
        <w:ind w:left="720" w:hanging="720"/>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4E428F" w:rsidRPr="007A13E7" w:rsidP="004E428F">
      <w:pPr>
        <w:jc w:val="center"/>
        <w:rPr>
          <w:rFonts w:ascii="Times New Roman Bold" w:hAnsi="Times New Roman Bold"/>
          <w:b/>
          <w:caps/>
          <w:lang w:val="es-CL"/>
        </w:rPr>
      </w:pPr>
      <w:r w:rsidRPr="007A13E7">
        <w:rPr>
          <w:rFonts w:ascii="Times New Roman Bold" w:hAnsi="Times New Roman Bold"/>
          <w:b/>
          <w:caps/>
          <w:lang w:val="es-CL"/>
        </w:rPr>
        <w:t>Declaración de</w:t>
      </w:r>
      <w:r>
        <w:rPr>
          <w:rFonts w:ascii="Times New Roman Bold" w:hAnsi="Times New Roman Bold"/>
          <w:b/>
          <w:caps/>
          <w:lang w:val="es-CL"/>
        </w:rPr>
        <w:t>l</w:t>
      </w:r>
    </w:p>
    <w:p w:rsidR="004E428F" w:rsidRPr="007A13E7" w:rsidP="004E428F">
      <w:pPr>
        <w:jc w:val="center"/>
        <w:rPr>
          <w:rFonts w:ascii="Times New Roman Bold" w:hAnsi="Times New Roman Bold"/>
          <w:b/>
          <w:caps/>
        </w:rPr>
      </w:pPr>
      <w:r>
        <w:rPr>
          <w:rFonts w:ascii="Times New Roman Bold" w:hAnsi="Times New Roman Bold"/>
          <w:b/>
          <w:caps/>
          <w:lang w:val="es-CL"/>
        </w:rPr>
        <w:t>Comisionado</w:t>
      </w:r>
      <w:r w:rsidRPr="007A13E7">
        <w:rPr>
          <w:rFonts w:ascii="Times New Roman Bold" w:hAnsi="Times New Roman Bold"/>
          <w:b/>
          <w:caps/>
          <w:lang w:val="es-CL"/>
        </w:rPr>
        <w:t xml:space="preserve"> de la FCC, </w:t>
      </w:r>
      <w:r>
        <w:rPr>
          <w:rFonts w:ascii="Times New Roman Bold" w:hAnsi="Times New Roman Bold"/>
          <w:b/>
          <w:caps/>
          <w:lang w:val="es-CL"/>
        </w:rPr>
        <w:t>Brendan Carr</w:t>
      </w:r>
    </w:p>
    <w:p w:rsidR="004E428F" w:rsidRPr="007A13E7" w:rsidP="004E428F"/>
    <w:p w:rsidR="004E428F" w:rsidRPr="007A13E7" w:rsidP="004E428F">
      <w:pPr>
        <w:ind w:left="1800" w:right="72" w:hanging="1800"/>
      </w:pPr>
      <w:r w:rsidRPr="007A13E7">
        <w:t>Con referencia a:</w:t>
      </w:r>
      <w:r w:rsidRPr="007A13E7">
        <w:tab/>
      </w:r>
      <w:r w:rsidRPr="007A13E7">
        <w:rPr>
          <w:i/>
          <w:spacing w:val="-2"/>
        </w:rPr>
        <w:t>Uni</w:t>
      </w:r>
      <w:r w:rsidR="00061F2F">
        <w:rPr>
          <w:i/>
          <w:spacing w:val="-2"/>
        </w:rPr>
        <w:t xml:space="preserve">endo a Puerto Rico Fund y </w:t>
      </w:r>
      <w:r w:rsidRPr="007A13E7">
        <w:rPr>
          <w:i/>
          <w:spacing w:val="-2"/>
        </w:rPr>
        <w:t>Connect USVI Fund</w:t>
      </w:r>
      <w:r w:rsidRPr="007A13E7">
        <w:t xml:space="preserve">, </w:t>
      </w:r>
      <w:r w:rsidRPr="007A13E7">
        <w:rPr>
          <w:i/>
        </w:rPr>
        <w:t>et al.</w:t>
      </w:r>
      <w:r w:rsidRPr="007A13E7">
        <w:t>, WC Docket Nos. 18-143, 10-90, 14-58</w:t>
      </w:r>
    </w:p>
    <w:p w:rsidR="004E428F" w:rsidRPr="007A13E7" w:rsidP="004E428F">
      <w:pPr>
        <w:ind w:left="1800" w:right="72" w:hanging="1800"/>
      </w:pPr>
    </w:p>
    <w:p w:rsidR="002B35ED" w:rsidRPr="00396F8C" w:rsidP="002B35ED">
      <w:pPr>
        <w:spacing w:after="120"/>
        <w:ind w:firstLine="720"/>
        <w:rPr>
          <w:bCs/>
          <w:lang w:val="es-CL"/>
        </w:rPr>
      </w:pPr>
      <w:r w:rsidRPr="00396F8C">
        <w:rPr>
          <w:lang w:val="es-ES_tradnl"/>
        </w:rPr>
        <w:t>El oto</w:t>
      </w:r>
      <w:r w:rsidRPr="00396F8C">
        <w:rPr>
          <w:bCs/>
          <w:lang w:val="es-CL"/>
        </w:rPr>
        <w:t>ño</w:t>
      </w:r>
      <w:r w:rsidRPr="00396F8C">
        <w:rPr>
          <w:lang w:val="es-ES_tradnl"/>
        </w:rPr>
        <w:t xml:space="preserve"> pasado, los huracanes Irma y M</w:t>
      </w:r>
      <w:r w:rsidRPr="00396F8C">
        <w:rPr>
          <w:bCs/>
          <w:lang w:val="es-CL"/>
        </w:rPr>
        <w:t>aría causaron extensos daños en Puerto Rico y en las Islas Vírgenes de los Estados Unidos. Aunque las compañías de telecomunicaciones han estado trabajando durante meses para restablecer las redes dañadas por las tormentas, aún queda mucho más trabajo por completar. Por ejemplo, la FCC determinó en marzo que el cuatro por ciento de los emplazamientos celulares en Puerto Rico y el doce por ciento de los emplazamientos celulares en las Islas Vírgenes d</w:t>
      </w:r>
      <w:r>
        <w:rPr>
          <w:bCs/>
          <w:lang w:val="es-CL"/>
        </w:rPr>
        <w:t xml:space="preserve">e los Estados Unidos aun están </w:t>
      </w:r>
      <w:r w:rsidRPr="00396F8C">
        <w:rPr>
          <w:bCs/>
          <w:lang w:val="es-CL"/>
        </w:rPr>
        <w:t>fuera de servicio.</w:t>
      </w:r>
      <w:r>
        <w:rPr>
          <w:rStyle w:val="FootnoteReference"/>
          <w:bCs/>
          <w:lang w:val="es-CL"/>
        </w:rPr>
        <w:footnoteReference w:id="5"/>
      </w:r>
      <w:r w:rsidRPr="00396F8C">
        <w:rPr>
          <w:bCs/>
          <w:lang w:val="es-CL"/>
        </w:rPr>
        <w:t xml:space="preserve"> </w:t>
      </w:r>
      <w:r>
        <w:rPr>
          <w:bCs/>
          <w:lang w:val="es-CL"/>
        </w:rPr>
        <w:t xml:space="preserve"> </w:t>
      </w:r>
      <w:r w:rsidRPr="00396F8C">
        <w:rPr>
          <w:bCs/>
          <w:lang w:val="es-CL"/>
        </w:rPr>
        <w:t>Respecto a las redes fijas, algunas compañías nos han dicho que solamente han logrado restablecer el servicio a una porción de su clientela. Y las continuas interrupciones del suministro de energía eléctrica agregan dificultad a los ya complejos esfuerzos de restablecimiento de las redes. Por ejemplo, según algunas estimaciones, a mediados de abril más de 50 mil consumidores seguían sin sumin</w:t>
      </w:r>
      <w:r>
        <w:rPr>
          <w:bCs/>
          <w:lang w:val="es-CL"/>
        </w:rPr>
        <w:t>istro eléctrico en Puerto Rico.</w:t>
      </w:r>
      <w:r>
        <w:rPr>
          <w:rStyle w:val="FootnoteReference"/>
          <w:bCs/>
          <w:lang w:val="es-CL"/>
        </w:rPr>
        <w:footnoteReference w:id="6"/>
      </w:r>
    </w:p>
    <w:p w:rsidR="002B35ED" w:rsidRPr="00396F8C" w:rsidP="002B35ED">
      <w:pPr>
        <w:spacing w:after="120"/>
        <w:ind w:firstLine="720"/>
        <w:rPr>
          <w:bCs/>
          <w:lang w:val="es-CL"/>
        </w:rPr>
      </w:pPr>
      <w:r w:rsidRPr="00396F8C">
        <w:rPr>
          <w:bCs/>
          <w:lang w:val="es-CL"/>
        </w:rPr>
        <w:t xml:space="preserve">Reparar la destrucción causada por los huracanes Irma y María requerirá mucho trabajo y recursos financieros. </w:t>
      </w:r>
      <w:r>
        <w:rPr>
          <w:bCs/>
          <w:lang w:val="es-CL"/>
        </w:rPr>
        <w:t xml:space="preserve"> </w:t>
      </w:r>
      <w:r w:rsidRPr="00396F8C">
        <w:rPr>
          <w:bCs/>
          <w:lang w:val="es-CL"/>
        </w:rPr>
        <w:t xml:space="preserve">Y con la inminente llegada de la temporada de huracanes 2018, es aún más imperativo que la FCC actúe ágilmente, para asistir en los esfuerzos de recuperación. </w:t>
      </w:r>
      <w:r>
        <w:rPr>
          <w:bCs/>
          <w:lang w:val="es-CL"/>
        </w:rPr>
        <w:t xml:space="preserve"> </w:t>
      </w:r>
      <w:r w:rsidRPr="00396F8C">
        <w:rPr>
          <w:bCs/>
          <w:lang w:val="es-CL"/>
        </w:rPr>
        <w:t xml:space="preserve">Por eso estoy contento de que esta Comisión haya dado varios pasos concretos justamente en esa dirección. </w:t>
      </w:r>
      <w:r>
        <w:rPr>
          <w:bCs/>
          <w:lang w:val="es-CL"/>
        </w:rPr>
        <w:t xml:space="preserve"> </w:t>
      </w:r>
      <w:r w:rsidRPr="00396F8C">
        <w:rPr>
          <w:bCs/>
          <w:lang w:val="es-CL"/>
        </w:rPr>
        <w:t xml:space="preserve">La agencia ha emplazado equipos de trabajo, ha emitido autorizaciones de emergencia, ha aplicado exenciones y ha ayudado a facilitar el acceso a combustibles y otros recursos. </w:t>
      </w:r>
      <w:r>
        <w:rPr>
          <w:bCs/>
          <w:lang w:val="es-CL"/>
        </w:rPr>
        <w:t xml:space="preserve"> </w:t>
      </w:r>
      <w:r w:rsidRPr="00396F8C">
        <w:rPr>
          <w:bCs/>
          <w:lang w:val="es-CL"/>
        </w:rPr>
        <w:t>Adicionalmente, el liderazgo de la FCC rápidamente formó un equipo de trabajo dedicado a apoyar los esfuerzos de recuperación y a recopilar información que la agencia puede usar para apoyar la preparación para situaciones de desastre. En octubre pasado, adelantamos un monto cercano a los $66 millones de una financiación del servicio universal para ayudar a restablecer la conexión de las redes en Puerto Rico y en las Islas Vírgenes.</w:t>
      </w:r>
    </w:p>
    <w:p w:rsidR="002B35ED" w:rsidRPr="00396F8C" w:rsidP="002B35ED">
      <w:pPr>
        <w:spacing w:after="120"/>
        <w:ind w:firstLine="720"/>
        <w:rPr>
          <w:bCs/>
          <w:lang w:val="es-CL"/>
        </w:rPr>
      </w:pPr>
      <w:r w:rsidRPr="00396F8C">
        <w:rPr>
          <w:bCs/>
          <w:lang w:val="es-CL"/>
        </w:rPr>
        <w:t xml:space="preserve">La disposición que adoptamos hoy aprovechará esos esfuerzos de tres maneras clave: Primero, damos pasos conducentes a permitirle a los proveedores dar uso continuado a los desembolsos de apoyo anticipados el otoño pasado. </w:t>
      </w:r>
      <w:r>
        <w:rPr>
          <w:bCs/>
          <w:lang w:val="es-CL"/>
        </w:rPr>
        <w:t xml:space="preserve"> </w:t>
      </w:r>
      <w:r w:rsidRPr="00396F8C">
        <w:rPr>
          <w:bCs/>
          <w:lang w:val="es-CL"/>
        </w:rPr>
        <w:t xml:space="preserve">Segundo, proporcionamos fondos adicionales por hasta $64 millones en financiamiento inmediato para ayudar a los proveedores a restablecer ahora mismo las instalaciones dañadas. Tercero, proponemos dar acceso a un monto cercano a los $890 millones en financiamiento de largo plazo, disponibles para respaldar el desarrollo de redes de banda ancha fija y móvil. </w:t>
      </w:r>
      <w:r>
        <w:rPr>
          <w:bCs/>
          <w:lang w:val="es-CL"/>
        </w:rPr>
        <w:t xml:space="preserve"> </w:t>
      </w:r>
      <w:r w:rsidRPr="00396F8C">
        <w:rPr>
          <w:bCs/>
          <w:lang w:val="es-CL"/>
        </w:rPr>
        <w:t>La adopción de estas medidas permitirá a los proveedores reconstruir y acelerar los esfuerzos destinados a reforzar la infraestructura de banda ancha para evitar que se repita el escenario de la temporada de huracanes 2017.</w:t>
      </w:r>
    </w:p>
    <w:p w:rsidR="002B35ED" w:rsidRPr="00396F8C" w:rsidP="002B35ED">
      <w:pPr>
        <w:spacing w:after="120"/>
        <w:ind w:firstLine="720"/>
        <w:rPr>
          <w:bCs/>
          <w:lang w:val="es-CL"/>
        </w:rPr>
      </w:pPr>
      <w:r w:rsidRPr="00396F8C">
        <w:rPr>
          <w:bCs/>
          <w:lang w:val="es-CL"/>
        </w:rPr>
        <w:t xml:space="preserve">Al considerar esta disposición, me alegra que mis colegas hayan acordado incluir revisiones destinadas a reforzar la rendición de cuentas y a asegurar que los limitados fondos del servicio universal sean usados para el propósito al que han sido destinados. </w:t>
      </w:r>
      <w:r>
        <w:rPr>
          <w:bCs/>
          <w:lang w:val="es-CL"/>
        </w:rPr>
        <w:t xml:space="preserve"> </w:t>
      </w:r>
      <w:r w:rsidRPr="00396F8C">
        <w:rPr>
          <w:bCs/>
          <w:lang w:val="es-CL"/>
        </w:rPr>
        <w:t>Al delinear con mayor claridad lo que constituye costos de corto plazo elegibles y exigir a los proveedores el cumplimiento de la conservación de documentos y de los requisitos de auditorías, incentivaremos el gasto prudente de los fondos del programa y a la vez ayudaremos a restablecer los servicios de comunicaciones donde más se necesitan.</w:t>
      </w:r>
    </w:p>
    <w:p w:rsidR="004E428F" w:rsidP="002B35ED">
      <w:pPr>
        <w:spacing w:after="120"/>
        <w:ind w:firstLine="720"/>
      </w:pPr>
      <w:r w:rsidRPr="00396F8C">
        <w:rPr>
          <w:bCs/>
          <w:lang w:val="es-CL"/>
        </w:rPr>
        <w:t xml:space="preserve">Así que doy mi apoyo a esta disposición. </w:t>
      </w:r>
      <w:r>
        <w:rPr>
          <w:bCs/>
          <w:lang w:val="es-CL"/>
        </w:rPr>
        <w:t xml:space="preserve"> </w:t>
      </w:r>
      <w:r w:rsidRPr="00396F8C">
        <w:rPr>
          <w:bCs/>
          <w:lang w:val="es-CL"/>
        </w:rPr>
        <w:t>Espero con entusiasmo revisar el expediente a medida que se desarrolla y continuar trabajando con mis colegas y con todas las partes interesadas para encontrar formas destinadas a seguir apoyando los esfuerzos de recuperación tras los huracanes.</w:t>
      </w:r>
      <w:bookmarkStart w:id="0" w:name="_GoBack"/>
      <w:bookmarkEnd w:id="0"/>
      <w:r w:rsidRPr="00FD1194">
        <w:rPr>
          <w:bCs/>
          <w:lang w:val="es-CL"/>
        </w:rPr>
        <w:t xml:space="preserve"> </w:t>
      </w:r>
    </w:p>
    <w:p w:rsidR="00122BD5" w:rsidRPr="00D41BA0" w:rsidP="00023B75">
      <w:pPr>
        <w:ind w:left="720" w:hanging="720"/>
      </w:pPr>
    </w:p>
    <w:sectPr w:rsidSect="0055614C">
      <w:footerReference w:type="first" r:id="rId10"/>
      <w:footnotePr>
        <w:numRestart w:val="eachSect"/>
      </w:foot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023B75">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E428F">
    <w:pPr>
      <w:pStyle w:val="Footer"/>
      <w:tabs>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28F" w:rsidP="004E428F">
    <w:pPr>
      <w:pStyle w:val="Footer"/>
      <w:tabs>
        <w:tab w:val="clear" w:pos="8640"/>
      </w:tabs>
      <w:jc w:val="cen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5912">
      <w:r>
        <w:separator/>
      </w:r>
    </w:p>
  </w:footnote>
  <w:footnote w:type="continuationSeparator" w:id="1">
    <w:p w:rsidR="000D5912" w:rsidP="00C721AC">
      <w:pPr>
        <w:spacing w:before="120"/>
        <w:rPr>
          <w:sz w:val="20"/>
        </w:rPr>
      </w:pPr>
      <w:r>
        <w:rPr>
          <w:sz w:val="20"/>
        </w:rPr>
        <w:t xml:space="preserve">(Continued from previous page)  </w:t>
      </w:r>
      <w:r>
        <w:rPr>
          <w:sz w:val="20"/>
        </w:rPr>
        <w:separator/>
      </w:r>
    </w:p>
  </w:footnote>
  <w:footnote w:type="continuationNotice" w:id="2">
    <w:p w:rsidR="000D5912" w:rsidP="00C721AC">
      <w:pPr>
        <w:jc w:val="right"/>
        <w:rPr>
          <w:sz w:val="20"/>
        </w:rPr>
      </w:pPr>
      <w:r>
        <w:rPr>
          <w:sz w:val="20"/>
        </w:rPr>
        <w:t>(continued….)</w:t>
      </w:r>
    </w:p>
  </w:footnote>
  <w:footnote w:id="3">
    <w:p w:rsidR="002B35ED" w:rsidRPr="00F43E41" w:rsidP="002B35ED">
      <w:pPr>
        <w:pStyle w:val="FootnoteText"/>
      </w:pPr>
      <w:r w:rsidRPr="00F43E41">
        <w:rPr>
          <w:rStyle w:val="FootnoteReference"/>
        </w:rPr>
        <w:footnoteRef/>
      </w:r>
      <w:r w:rsidRPr="00F43E41">
        <w:t xml:space="preserve"> Communications Status Report for Areas Impacted by Hurricane Maria (Mar. 21, 2018), </w:t>
      </w:r>
      <w:r>
        <w:fldChar w:fldCharType="begin"/>
      </w:r>
      <w:r>
        <w:instrText xml:space="preserve"> HYPERLINK "https://apps.fcc.gov/edocs_public/attachmatch/DOC-349827A1.pdf" </w:instrText>
      </w:r>
      <w:r>
        <w:fldChar w:fldCharType="separate"/>
      </w:r>
      <w:r w:rsidRPr="00F43E41">
        <w:rPr>
          <w:rStyle w:val="Hyperlink"/>
        </w:rPr>
        <w:t>https://apps.fcc.gov/edocs_public/attachmatch/DOC-349827A1.pdf</w:t>
      </w:r>
      <w:r>
        <w:fldChar w:fldCharType="end"/>
      </w:r>
      <w:r w:rsidRPr="00F43E41">
        <w:t xml:space="preserve">. </w:t>
      </w:r>
    </w:p>
  </w:footnote>
  <w:footnote w:id="4">
    <w:p w:rsidR="002B35ED" w:rsidP="002B35ED">
      <w:pPr>
        <w:pStyle w:val="FootnoteText"/>
      </w:pPr>
      <w:r w:rsidRPr="003957E6">
        <w:rPr>
          <w:rStyle w:val="FootnoteReference"/>
        </w:rPr>
        <w:footnoteRef/>
      </w:r>
      <w:r w:rsidRPr="003957E6">
        <w:t xml:space="preserve"> Trevor Houser and Peter Marsters, Rhodium Group, </w:t>
      </w:r>
      <w:r w:rsidRPr="003957E6">
        <w:rPr>
          <w:i/>
        </w:rPr>
        <w:t>In a Class of its Own Within the US</w:t>
      </w:r>
      <w:r w:rsidRPr="003957E6">
        <w:t xml:space="preserve"> (Apr. 12, 2018), </w:t>
      </w:r>
      <w:r>
        <w:fldChar w:fldCharType="begin"/>
      </w:r>
      <w:r>
        <w:instrText xml:space="preserve"> HYPERLINK "https://rhg.com/research/puerto-rico-hurricane-maria-worlds-second-largest-blackout/" </w:instrText>
      </w:r>
      <w:r>
        <w:fldChar w:fldCharType="separate"/>
      </w:r>
      <w:r w:rsidRPr="003957E6">
        <w:rPr>
          <w:rStyle w:val="Hyperlink"/>
        </w:rPr>
        <w:t>https://rhg.com/research/puerto-rico-hurricane-maria-worlds-second-largest-blackout/</w:t>
      </w:r>
      <w:r>
        <w:fldChar w:fldCharType="end"/>
      </w:r>
      <w:r w:rsidRPr="003957E6">
        <w:t>.</w:t>
      </w:r>
      <w:r>
        <w:t xml:space="preserve">  </w:t>
      </w:r>
    </w:p>
  </w:footnote>
  <w:footnote w:id="5">
    <w:p w:rsidR="002B35ED" w:rsidRPr="00396F8C" w:rsidP="002B35ED">
      <w:pPr>
        <w:pStyle w:val="FootnoteText"/>
      </w:pPr>
      <w:r>
        <w:rPr>
          <w:rStyle w:val="FootnoteReference"/>
        </w:rPr>
        <w:footnoteRef/>
      </w:r>
      <w:r w:rsidRPr="00396F8C">
        <w:t xml:space="preserve"> </w:t>
      </w:r>
      <w:r w:rsidRPr="007B0043">
        <w:rPr>
          <w:rFonts w:eastAsia="Calibri"/>
        </w:rPr>
        <w:t xml:space="preserve">Informe del estado de las comunicaciones para las zonas afectadas por el huracán María </w:t>
      </w:r>
      <w:r w:rsidRPr="00396F8C">
        <w:rPr>
          <w:rFonts w:eastAsia="Calibri"/>
        </w:rPr>
        <w:t>(</w:t>
      </w:r>
      <w:r w:rsidRPr="00C5664D">
        <w:rPr>
          <w:rFonts w:eastAsia="Calibri"/>
        </w:rPr>
        <w:t>21 de marzo de 2018</w:t>
      </w:r>
      <w:r w:rsidRPr="00396F8C">
        <w:rPr>
          <w:rFonts w:eastAsia="Calibri"/>
        </w:rPr>
        <w:t xml:space="preserve">), </w:t>
      </w:r>
      <w:r>
        <w:fldChar w:fldCharType="begin"/>
      </w:r>
      <w:r>
        <w:instrText xml:space="preserve"> HYPERLINK "https://apps.fcc.gov/edocs_public/attachmatch/DOC-349827A1.pdf" </w:instrText>
      </w:r>
      <w:r>
        <w:fldChar w:fldCharType="separate"/>
      </w:r>
      <w:r w:rsidRPr="00D13684">
        <w:rPr>
          <w:rStyle w:val="Hyperlink"/>
          <w:rFonts w:eastAsia="Calibri"/>
        </w:rPr>
        <w:t>https://apps.fcc.gov/edocs_public/attachmatch/DOC-349827A1.pdf</w:t>
      </w:r>
      <w:r>
        <w:fldChar w:fldCharType="end"/>
      </w:r>
      <w:r w:rsidRPr="00396F8C">
        <w:rPr>
          <w:rFonts w:eastAsia="Calibri"/>
        </w:rPr>
        <w:t>.</w:t>
      </w:r>
    </w:p>
  </w:footnote>
  <w:footnote w:id="6">
    <w:p w:rsidR="002B35ED" w:rsidP="002B35ED">
      <w:pPr>
        <w:pStyle w:val="FootnoteText"/>
      </w:pPr>
      <w:r w:rsidRPr="00396F8C">
        <w:rPr>
          <w:rStyle w:val="FootnoteReference"/>
        </w:rPr>
        <w:footnoteRef/>
      </w:r>
      <w:r w:rsidRPr="00396F8C">
        <w:t xml:space="preserve"> </w:t>
      </w:r>
      <w:r w:rsidRPr="00396F8C">
        <w:rPr>
          <w:rFonts w:eastAsia="Calibri"/>
        </w:rPr>
        <w:t xml:space="preserve">Trevor Houser and Peter Marsters, Rhodium Group, </w:t>
      </w:r>
      <w:r w:rsidRPr="00D77477">
        <w:rPr>
          <w:rFonts w:eastAsia="Calibri"/>
          <w:i/>
        </w:rPr>
        <w:t>En una cl</w:t>
      </w:r>
      <w:r>
        <w:rPr>
          <w:rFonts w:eastAsia="Calibri"/>
          <w:i/>
        </w:rPr>
        <w:t>ase propia dentro de los Estados Unidos</w:t>
      </w:r>
      <w:r w:rsidRPr="00396F8C">
        <w:rPr>
          <w:rFonts w:eastAsia="Calibri"/>
        </w:rPr>
        <w:t xml:space="preserve"> (</w:t>
      </w:r>
      <w:r w:rsidRPr="00D77477">
        <w:rPr>
          <w:rFonts w:eastAsia="Calibri"/>
        </w:rPr>
        <w:t>12 de abril de 2018</w:t>
      </w:r>
      <w:r w:rsidRPr="00396F8C">
        <w:rPr>
          <w:rFonts w:eastAsia="Calibri"/>
        </w:rPr>
        <w:t xml:space="preserve">), </w:t>
      </w:r>
      <w:r>
        <w:fldChar w:fldCharType="begin"/>
      </w:r>
      <w:r>
        <w:instrText xml:space="preserve"> HYPERLINK "https://rhg.com/research/puerto-rico-hurricane-maria-worlds-second-largest-blackout/" </w:instrText>
      </w:r>
      <w:r>
        <w:fldChar w:fldCharType="separate"/>
      </w:r>
      <w:r w:rsidRPr="00D13684">
        <w:rPr>
          <w:rStyle w:val="Hyperlink"/>
          <w:rFonts w:eastAsia="Calibri"/>
        </w:rPr>
        <w:t>https://rhg.com/research/puerto-rico-hurricane-maria-worlds-second-largest-blackout/</w:t>
      </w:r>
      <w:r>
        <w:fldChar w:fldCharType="end"/>
      </w:r>
      <w:r w:rsidRPr="00F9509B">
        <w:rPr>
          <w:rFonts w:eastAsia="Calibri"/>
          <w:color w:val="222A35"/>
        </w:rPr>
        <w:t>.</w:t>
      </w:r>
      <w:r w:rsidRPr="00F9509B">
        <w:rPr>
          <w:rFonts w:ascii="Calibri" w:eastAsia="Calibri" w:hAnsi="Calibri"/>
          <w:color w:val="222A35"/>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65622">
      <w:t>FCC 17-155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023B75">
      <w:rPr>
        <w:spacing w:val="-2"/>
      </w:rPr>
      <w:t>18-</w:t>
    </w:r>
    <w:r w:rsidR="00E82010">
      <w:rPr>
        <w:spacing w:val="-2"/>
      </w:rPr>
      <w:t>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uiPriority w:val="99"/>
    <w:rsid w:val="00D4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