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4A2F9C" w14:paraId="44CAFCCD" w14:textId="77777777">
      <w:pPr>
        <w:jc w:val="center"/>
        <w:rPr>
          <w:b/>
          <w:bCs/>
          <w:caps/>
          <w:szCs w:val="22"/>
        </w:rPr>
      </w:pPr>
      <w:bookmarkStart w:id="0" w:name="_GoBack"/>
      <w:bookmarkEnd w:id="0"/>
      <w:r w:rsidRPr="005577AD">
        <w:rPr>
          <w:b/>
          <w:bCs/>
          <w:caps/>
          <w:szCs w:val="22"/>
        </w:rPr>
        <w:t>Statement of</w:t>
      </w:r>
    </w:p>
    <w:p w:rsidR="00DE72D3" w:rsidRPr="005577AD" w:rsidP="004A2F9C" w14:paraId="3A510CA1" w14:textId="77777777">
      <w:pPr>
        <w:jc w:val="center"/>
        <w:rPr>
          <w:b/>
          <w:bCs/>
          <w:caps/>
          <w:szCs w:val="22"/>
        </w:rPr>
      </w:pPr>
      <w:r>
        <w:rPr>
          <w:b/>
          <w:bCs/>
          <w:caps/>
          <w:szCs w:val="22"/>
        </w:rPr>
        <w:t>chairman ajit pai</w:t>
      </w:r>
    </w:p>
    <w:p w:rsidR="00DE72D3" w:rsidRPr="005577AD" w:rsidP="004A2F9C" w14:paraId="525E5341" w14:textId="77777777">
      <w:pPr>
        <w:jc w:val="center"/>
        <w:rPr>
          <w:b/>
          <w:bCs/>
          <w:caps/>
          <w:szCs w:val="22"/>
        </w:rPr>
      </w:pPr>
    </w:p>
    <w:p w:rsidR="004A2F9C" w:rsidRPr="00F668D9" w:rsidP="004A2F9C" w14:paraId="0D5B6B3E" w14:textId="77777777">
      <w:pPr>
        <w:ind w:left="720" w:hanging="720"/>
      </w:pPr>
      <w:r w:rsidRPr="00F668D9">
        <w:t>Re:</w:t>
      </w:r>
      <w:r w:rsidRPr="00F668D9">
        <w:tab/>
      </w:r>
      <w:r w:rsidRPr="009F1A90">
        <w:rPr>
          <w:i/>
        </w:rPr>
        <w:t>Amendment of Parts 1, 21, 73, 74 and 101 of the Commission’s Rules to Facilitate the Provision of Fixed and Mobile Broadband Access, Educational and Other Advanced Services in the 2150-2162 and 2500-2690 MHz Bands</w:t>
      </w:r>
      <w:r>
        <w:rPr>
          <w:i/>
        </w:rPr>
        <w:t>,</w:t>
      </w:r>
      <w:r w:rsidRPr="009F1A90">
        <w:t xml:space="preserve"> </w:t>
      </w:r>
      <w:r w:rsidRPr="003E3134">
        <w:t>WT Docket No. 03-66 (Terminated)</w:t>
      </w:r>
      <w:r>
        <w:rPr>
          <w:i/>
        </w:rPr>
        <w:t>;</w:t>
      </w:r>
      <w:r w:rsidRPr="009F1A90">
        <w:t xml:space="preserve"> </w:t>
      </w:r>
      <w:r w:rsidRPr="009F1A90">
        <w:rPr>
          <w:i/>
        </w:rPr>
        <w:t>Transforming the 2.5 GHz Band</w:t>
      </w:r>
      <w:r>
        <w:rPr>
          <w:i/>
        </w:rPr>
        <w:t xml:space="preserve">, </w:t>
      </w:r>
      <w:r w:rsidRPr="003E3134">
        <w:t>WT Docket No. 18-120</w:t>
      </w:r>
    </w:p>
    <w:p w:rsidR="00DE72D3" w:rsidRPr="005577AD" w:rsidP="004A2F9C" w14:paraId="0B076350" w14:textId="77777777">
      <w:pPr>
        <w:ind w:firstLine="720"/>
        <w:rPr>
          <w:szCs w:val="22"/>
        </w:rPr>
      </w:pPr>
    </w:p>
    <w:p w:rsidR="00612B43" w:rsidP="004A2F9C" w14:paraId="786588BC" w14:textId="6354DC0B">
      <w:pPr>
        <w:ind w:firstLine="720"/>
        <w:rPr>
          <w:rFonts w:eastAsia="Calibri"/>
          <w:snapToGrid/>
        </w:rPr>
      </w:pPr>
      <w:r>
        <w:rPr>
          <w:rFonts w:eastAsia="Calibri"/>
          <w:snapToGrid/>
        </w:rPr>
        <w:t>Currently, a large portion of the 2.5 G</w:t>
      </w:r>
      <w:r w:rsidR="0070125D">
        <w:rPr>
          <w:rFonts w:eastAsia="Calibri"/>
          <w:snapToGrid/>
        </w:rPr>
        <w:t xml:space="preserve">Hz band </w:t>
      </w:r>
      <w:r w:rsidR="00C16833">
        <w:rPr>
          <w:rFonts w:eastAsia="Calibri"/>
          <w:snapToGrid/>
        </w:rPr>
        <w:t>in</w:t>
      </w:r>
      <w:r w:rsidR="0070125D">
        <w:rPr>
          <w:rFonts w:eastAsia="Calibri"/>
          <w:snapToGrid/>
        </w:rPr>
        <w:t xml:space="preserve"> approximately half of the United States l</w:t>
      </w:r>
      <w:r w:rsidR="005B0467">
        <w:rPr>
          <w:rFonts w:eastAsia="Calibri"/>
          <w:snapToGrid/>
        </w:rPr>
        <w:t>ies</w:t>
      </w:r>
      <w:r w:rsidR="0070125D">
        <w:rPr>
          <w:rFonts w:eastAsia="Calibri"/>
          <w:snapToGrid/>
        </w:rPr>
        <w:t xml:space="preserve"> fallow.  </w:t>
      </w:r>
      <w:r w:rsidR="00BA3AE6">
        <w:rPr>
          <w:rFonts w:eastAsia="Calibri"/>
          <w:snapToGrid/>
        </w:rPr>
        <w:t xml:space="preserve">And </w:t>
      </w:r>
      <w:r w:rsidR="00EA7CFB">
        <w:rPr>
          <w:rFonts w:eastAsia="Calibri"/>
          <w:snapToGrid/>
        </w:rPr>
        <w:t>it’s</w:t>
      </w:r>
      <w:r w:rsidR="00BA3AE6">
        <w:rPr>
          <w:rFonts w:eastAsia="Calibri"/>
          <w:snapToGrid/>
        </w:rPr>
        <w:t xml:space="preserve"> been that way for more than 20 years.  </w:t>
      </w:r>
      <w:r w:rsidR="00B368D5">
        <w:rPr>
          <w:rFonts w:eastAsia="Calibri"/>
          <w:snapToGrid/>
        </w:rPr>
        <w:t>Th</w:t>
      </w:r>
      <w:r w:rsidR="00EA7CFB">
        <w:rPr>
          <w:rFonts w:eastAsia="Calibri"/>
          <w:snapToGrid/>
        </w:rPr>
        <w:t>is</w:t>
      </w:r>
      <w:r w:rsidR="00B368D5">
        <w:rPr>
          <w:rFonts w:eastAsia="Calibri"/>
          <w:snapToGrid/>
        </w:rPr>
        <w:t xml:space="preserve"> </w:t>
      </w:r>
      <w:r w:rsidR="00C64B58">
        <w:rPr>
          <w:rFonts w:eastAsia="Calibri"/>
          <w:snapToGrid/>
        </w:rPr>
        <w:t>must</w:t>
      </w:r>
      <w:r w:rsidR="00B368D5">
        <w:rPr>
          <w:rFonts w:eastAsia="Calibri"/>
          <w:snapToGrid/>
        </w:rPr>
        <w:t xml:space="preserve"> change</w:t>
      </w:r>
      <w:r w:rsidR="00125302">
        <w:rPr>
          <w:rFonts w:eastAsia="Calibri"/>
          <w:snapToGrid/>
        </w:rPr>
        <w:t xml:space="preserve">.  We need </w:t>
      </w:r>
      <w:r w:rsidRPr="00125302" w:rsidR="00125302">
        <w:rPr>
          <w:rFonts w:eastAsia="Calibri"/>
          <w:snapToGrid/>
        </w:rPr>
        <w:t xml:space="preserve">to get this valuable spectrum into the hands of those who will provide service, including 5G, to </w:t>
      </w:r>
      <w:r w:rsidR="00125302">
        <w:rPr>
          <w:rFonts w:eastAsia="Calibri"/>
          <w:snapToGrid/>
        </w:rPr>
        <w:t>American</w:t>
      </w:r>
      <w:r w:rsidR="00AE0CC3">
        <w:rPr>
          <w:rFonts w:eastAsia="Calibri"/>
          <w:snapToGrid/>
        </w:rPr>
        <w:t>s</w:t>
      </w:r>
      <w:r w:rsidRPr="00125302" w:rsidR="00125302">
        <w:rPr>
          <w:rFonts w:eastAsia="Calibri"/>
          <w:snapToGrid/>
        </w:rPr>
        <w:t xml:space="preserve"> across the country, particularly in rural areas where the spectrum is currently mostly unused</w:t>
      </w:r>
      <w:r w:rsidR="00125302">
        <w:rPr>
          <w:rFonts w:eastAsia="Calibri"/>
          <w:snapToGrid/>
        </w:rPr>
        <w:t>.  So today, we</w:t>
      </w:r>
      <w:r>
        <w:rPr>
          <w:rFonts w:eastAsia="Calibri"/>
          <w:snapToGrid/>
        </w:rPr>
        <w:t xml:space="preserve"> take the first step to</w:t>
      </w:r>
      <w:r w:rsidR="00AE0CC3">
        <w:rPr>
          <w:rFonts w:eastAsia="Calibri"/>
          <w:snapToGrid/>
        </w:rPr>
        <w:t>ward</w:t>
      </w:r>
      <w:r>
        <w:rPr>
          <w:rFonts w:eastAsia="Calibri"/>
          <w:snapToGrid/>
        </w:rPr>
        <w:t xml:space="preserve"> </w:t>
      </w:r>
      <w:r w:rsidR="00EA7CFB">
        <w:rPr>
          <w:rFonts w:eastAsia="Calibri"/>
          <w:snapToGrid/>
        </w:rPr>
        <w:t xml:space="preserve">putting that </w:t>
      </w:r>
      <w:r w:rsidR="005705FD">
        <w:rPr>
          <w:rFonts w:eastAsia="Calibri"/>
          <w:snapToGrid/>
        </w:rPr>
        <w:t xml:space="preserve">asset </w:t>
      </w:r>
      <w:r w:rsidR="00EA7CFB">
        <w:rPr>
          <w:rFonts w:eastAsia="Calibri"/>
          <w:snapToGrid/>
        </w:rPr>
        <w:t xml:space="preserve">to </w:t>
      </w:r>
      <w:r w:rsidR="005705FD">
        <w:rPr>
          <w:rFonts w:eastAsia="Calibri"/>
          <w:snapToGrid/>
        </w:rPr>
        <w:t>work</w:t>
      </w:r>
      <w:r w:rsidR="00737C14">
        <w:rPr>
          <w:rFonts w:eastAsia="Calibri"/>
          <w:snapToGrid/>
        </w:rPr>
        <w:t xml:space="preserve">.  </w:t>
      </w:r>
      <w:r w:rsidR="00EA7CFB">
        <w:rPr>
          <w:rFonts w:eastAsia="Calibri"/>
          <w:snapToGrid/>
        </w:rPr>
        <w:t xml:space="preserve"> </w:t>
      </w:r>
    </w:p>
    <w:p w:rsidR="004A2F9C" w:rsidP="004A2F9C" w14:paraId="7695969F" w14:textId="77777777">
      <w:pPr>
        <w:ind w:firstLine="720"/>
        <w:rPr>
          <w:rFonts w:eastAsia="Calibri"/>
          <w:snapToGrid/>
        </w:rPr>
      </w:pPr>
    </w:p>
    <w:p w:rsidR="00700F33" w:rsidP="004A2F9C" w14:paraId="3579B2EE" w14:textId="1E8B932D">
      <w:pPr>
        <w:ind w:firstLine="720"/>
        <w:rPr>
          <w:rFonts w:eastAsia="Calibri"/>
          <w:snapToGrid/>
        </w:rPr>
      </w:pPr>
      <w:r>
        <w:rPr>
          <w:rFonts w:eastAsia="Calibri"/>
          <w:snapToGrid/>
        </w:rPr>
        <w:t>We’re thinking openly and broadly a</w:t>
      </w:r>
      <w:r w:rsidR="009D5EA2">
        <w:rPr>
          <w:rFonts w:eastAsia="Calibri"/>
          <w:snapToGrid/>
        </w:rPr>
        <w:t xml:space="preserve">s we </w:t>
      </w:r>
      <w:r>
        <w:rPr>
          <w:rFonts w:eastAsia="Calibri"/>
          <w:snapToGrid/>
        </w:rPr>
        <w:t xml:space="preserve">look at licenses in </w:t>
      </w:r>
      <w:r w:rsidR="00C57E4A">
        <w:rPr>
          <w:rFonts w:eastAsia="Calibri"/>
          <w:snapToGrid/>
        </w:rPr>
        <w:t>the 2.5 GHz band</w:t>
      </w:r>
      <w:r w:rsidR="009870BC">
        <w:rPr>
          <w:rFonts w:eastAsia="Calibri"/>
          <w:snapToGrid/>
        </w:rPr>
        <w:t>’s</w:t>
      </w:r>
      <w:r w:rsidR="00C57E4A">
        <w:rPr>
          <w:rFonts w:eastAsia="Calibri"/>
          <w:snapToGrid/>
        </w:rPr>
        <w:t xml:space="preserve"> </w:t>
      </w:r>
      <w:r w:rsidR="009870BC">
        <w:rPr>
          <w:rFonts w:eastAsia="Calibri"/>
          <w:snapToGrid/>
        </w:rPr>
        <w:t>Educational Broadcasting Service</w:t>
      </w:r>
      <w:r>
        <w:rPr>
          <w:rFonts w:eastAsia="Calibri"/>
          <w:snapToGrid/>
        </w:rPr>
        <w:t xml:space="preserve">, </w:t>
      </w:r>
      <w:r w:rsidR="009870BC">
        <w:rPr>
          <w:rFonts w:eastAsia="Calibri"/>
          <w:snapToGrid/>
        </w:rPr>
        <w:t>or EBS</w:t>
      </w:r>
      <w:r w:rsidR="00612417">
        <w:rPr>
          <w:rFonts w:eastAsia="Calibri"/>
          <w:snapToGrid/>
        </w:rPr>
        <w:t xml:space="preserve">.  </w:t>
      </w:r>
      <w:r>
        <w:rPr>
          <w:rFonts w:eastAsia="Calibri"/>
          <w:snapToGrid/>
        </w:rPr>
        <w:t xml:space="preserve">One </w:t>
      </w:r>
      <w:r w:rsidR="003D5F24">
        <w:rPr>
          <w:rFonts w:eastAsia="Calibri"/>
          <w:snapToGrid/>
        </w:rPr>
        <w:t>example</w:t>
      </w:r>
      <w:r>
        <w:rPr>
          <w:rFonts w:eastAsia="Calibri"/>
          <w:snapToGrid/>
        </w:rPr>
        <w:t>:</w:t>
      </w:r>
      <w:r w:rsidR="003D5F24">
        <w:rPr>
          <w:rFonts w:eastAsia="Calibri"/>
          <w:snapToGrid/>
        </w:rPr>
        <w:t xml:space="preserve"> w</w:t>
      </w:r>
      <w:r w:rsidRPr="00FB77A4" w:rsidR="00FB77A4">
        <w:rPr>
          <w:rFonts w:eastAsia="Calibri"/>
          <w:snapToGrid/>
        </w:rPr>
        <w:t xml:space="preserve">e ask about </w:t>
      </w:r>
      <w:r>
        <w:rPr>
          <w:rFonts w:eastAsia="Calibri"/>
          <w:snapToGrid/>
        </w:rPr>
        <w:t xml:space="preserve">giving </w:t>
      </w:r>
      <w:r w:rsidRPr="00FB77A4" w:rsidR="00FB77A4">
        <w:rPr>
          <w:rFonts w:eastAsia="Calibri"/>
          <w:snapToGrid/>
        </w:rPr>
        <w:t xml:space="preserve">existing EBS licensees, along with other educational entities and Tribal communities, the </w:t>
      </w:r>
      <w:r>
        <w:rPr>
          <w:rFonts w:eastAsia="Calibri"/>
          <w:snapToGrid/>
        </w:rPr>
        <w:t xml:space="preserve">chance </w:t>
      </w:r>
      <w:r w:rsidRPr="00FB77A4" w:rsidR="00FB77A4">
        <w:rPr>
          <w:rFonts w:eastAsia="Calibri"/>
          <w:snapToGrid/>
        </w:rPr>
        <w:t xml:space="preserve">to </w:t>
      </w:r>
      <w:r w:rsidR="00563304">
        <w:rPr>
          <w:rFonts w:eastAsia="Calibri"/>
          <w:snapToGrid/>
        </w:rPr>
        <w:t>obtain</w:t>
      </w:r>
      <w:r w:rsidRPr="00FB77A4" w:rsidR="00563304">
        <w:rPr>
          <w:rFonts w:eastAsia="Calibri"/>
          <w:snapToGrid/>
        </w:rPr>
        <w:t xml:space="preserve"> </w:t>
      </w:r>
      <w:r w:rsidR="00D44382">
        <w:rPr>
          <w:rFonts w:eastAsia="Calibri"/>
          <w:snapToGrid/>
        </w:rPr>
        <w:t xml:space="preserve">new </w:t>
      </w:r>
      <w:r w:rsidRPr="00FB77A4" w:rsidR="00FB77A4">
        <w:rPr>
          <w:rFonts w:eastAsia="Calibri"/>
          <w:snapToGrid/>
        </w:rPr>
        <w:t xml:space="preserve">priority licenses </w:t>
      </w:r>
      <w:r w:rsidR="00563304">
        <w:rPr>
          <w:rFonts w:eastAsia="Calibri"/>
          <w:snapToGrid/>
        </w:rPr>
        <w:t>and then auctioning</w:t>
      </w:r>
      <w:r w:rsidRPr="00FB77A4" w:rsidR="00FB77A4">
        <w:rPr>
          <w:rFonts w:eastAsia="Calibri"/>
          <w:snapToGrid/>
        </w:rPr>
        <w:t xml:space="preserve"> off the remaining white spaces.</w:t>
      </w:r>
      <w:r w:rsidR="00563304">
        <w:rPr>
          <w:rFonts w:eastAsia="Calibri"/>
          <w:snapToGrid/>
        </w:rPr>
        <w:t xml:space="preserve">  </w:t>
      </w:r>
      <w:r w:rsidR="000F360E">
        <w:rPr>
          <w:rFonts w:eastAsia="Calibri"/>
          <w:snapToGrid/>
        </w:rPr>
        <w:t xml:space="preserve">We also propose to </w:t>
      </w:r>
      <w:r w:rsidR="00EC7492">
        <w:rPr>
          <w:rFonts w:eastAsia="Calibri"/>
          <w:snapToGrid/>
        </w:rPr>
        <w:t xml:space="preserve">give current users more </w:t>
      </w:r>
      <w:r w:rsidR="00F65030">
        <w:rPr>
          <w:rFonts w:eastAsia="Calibri"/>
          <w:snapToGrid/>
        </w:rPr>
        <w:t>flexibility</w:t>
      </w:r>
      <w:r w:rsidR="00365F16">
        <w:rPr>
          <w:rFonts w:eastAsia="Calibri"/>
          <w:snapToGrid/>
        </w:rPr>
        <w:t xml:space="preserve">, such as </w:t>
      </w:r>
      <w:r w:rsidR="00EC7492">
        <w:rPr>
          <w:rFonts w:eastAsia="Calibri"/>
          <w:snapToGrid/>
        </w:rPr>
        <w:t xml:space="preserve">by </w:t>
      </w:r>
      <w:r w:rsidR="00365F16">
        <w:rPr>
          <w:rFonts w:eastAsia="Calibri"/>
          <w:snapToGrid/>
        </w:rPr>
        <w:t>standardizing</w:t>
      </w:r>
      <w:r w:rsidR="006C4BDA">
        <w:rPr>
          <w:rFonts w:eastAsia="Calibri"/>
          <w:snapToGrid/>
        </w:rPr>
        <w:t xml:space="preserve"> l</w:t>
      </w:r>
      <w:r w:rsidR="004352A5">
        <w:rPr>
          <w:rFonts w:eastAsia="Calibri"/>
          <w:snapToGrid/>
        </w:rPr>
        <w:t xml:space="preserve">icense areas and eliminating outdated restrictions on lease terms and </w:t>
      </w:r>
      <w:r w:rsidR="00EC7492">
        <w:rPr>
          <w:rFonts w:eastAsia="Calibri"/>
          <w:snapToGrid/>
        </w:rPr>
        <w:t xml:space="preserve">how </w:t>
      </w:r>
      <w:r w:rsidR="00784A83">
        <w:rPr>
          <w:rFonts w:eastAsia="Calibri"/>
          <w:snapToGrid/>
        </w:rPr>
        <w:t>the</w:t>
      </w:r>
      <w:r w:rsidR="004352A5">
        <w:rPr>
          <w:rFonts w:eastAsia="Calibri"/>
          <w:snapToGrid/>
        </w:rPr>
        <w:t xml:space="preserve"> </w:t>
      </w:r>
      <w:r w:rsidR="00EC7492">
        <w:rPr>
          <w:rFonts w:eastAsia="Calibri"/>
          <w:snapToGrid/>
        </w:rPr>
        <w:t>spectrum</w:t>
      </w:r>
      <w:r w:rsidR="00784A83">
        <w:rPr>
          <w:rFonts w:eastAsia="Calibri"/>
          <w:snapToGrid/>
        </w:rPr>
        <w:t xml:space="preserve"> is used</w:t>
      </w:r>
      <w:r w:rsidR="006C3755">
        <w:rPr>
          <w:rFonts w:eastAsia="Calibri"/>
          <w:snapToGrid/>
        </w:rPr>
        <w:t>.</w:t>
      </w:r>
    </w:p>
    <w:p w:rsidR="004A2F9C" w:rsidP="004A2F9C" w14:paraId="63C04633" w14:textId="77777777">
      <w:pPr>
        <w:ind w:firstLine="720"/>
        <w:rPr>
          <w:rFonts w:eastAsia="Calibri"/>
          <w:snapToGrid/>
        </w:rPr>
      </w:pPr>
    </w:p>
    <w:p w:rsidR="007F4C47" w:rsidP="004A2F9C" w14:paraId="487CBAA9" w14:textId="79F41EAE">
      <w:pPr>
        <w:ind w:firstLine="720"/>
        <w:rPr>
          <w:rFonts w:eastAsia="Calibri"/>
          <w:snapToGrid/>
        </w:rPr>
      </w:pPr>
      <w:r>
        <w:rPr>
          <w:rFonts w:eastAsia="Calibri"/>
          <w:snapToGrid/>
        </w:rPr>
        <w:t xml:space="preserve">I’m looking forward to beginning this process because I’m bullish on its end: making more </w:t>
      </w:r>
      <w:r>
        <w:rPr>
          <w:rFonts w:eastAsia="Calibri"/>
          <w:snapToGrid/>
        </w:rPr>
        <w:t xml:space="preserve">spectrum available for </w:t>
      </w:r>
      <w:r>
        <w:rPr>
          <w:rFonts w:eastAsia="Calibri"/>
          <w:snapToGrid/>
        </w:rPr>
        <w:t>the mobile services consumers increasingly rely upon</w:t>
      </w:r>
      <w:r>
        <w:rPr>
          <w:rFonts w:eastAsia="Calibri"/>
          <w:snapToGrid/>
        </w:rPr>
        <w:t xml:space="preserve">.  </w:t>
      </w:r>
    </w:p>
    <w:p w:rsidR="004A2F9C" w:rsidP="004A2F9C" w14:paraId="6251F6DB" w14:textId="77777777">
      <w:pPr>
        <w:ind w:firstLine="720"/>
        <w:rPr>
          <w:rFonts w:eastAsia="Calibri"/>
          <w:snapToGrid/>
        </w:rPr>
      </w:pPr>
    </w:p>
    <w:p w:rsidR="00122BD5" w:rsidRPr="00E1314F" w:rsidP="004A2F9C" w14:paraId="74641C46" w14:textId="2549F2D2">
      <w:pPr>
        <w:ind w:firstLine="720"/>
        <w:rPr>
          <w:rFonts w:eastAsia="Calibri"/>
          <w:i/>
          <w:snapToGrid/>
        </w:rPr>
      </w:pPr>
      <w:r>
        <w:rPr>
          <w:rFonts w:eastAsia="Calibri"/>
          <w:snapToGrid/>
        </w:rPr>
        <w:t xml:space="preserve">I’d like to thank the staff who worked on this item: Chas Eberle, </w:t>
      </w:r>
      <w:r w:rsidR="00F42026">
        <w:rPr>
          <w:rFonts w:eastAsia="Calibri"/>
          <w:snapToGrid/>
        </w:rPr>
        <w:t xml:space="preserve">Nese Guendelsberger, </w:t>
      </w:r>
      <w:r w:rsidR="00BA100C">
        <w:rPr>
          <w:rFonts w:eastAsia="Calibri"/>
          <w:snapToGrid/>
        </w:rPr>
        <w:t xml:space="preserve">John Schauble, Catherine Schroeder, Blaise Scinto, Dana Shaffer, Nadja Sodos Wallace, Don Stockdale, </w:t>
      </w:r>
      <w:r w:rsidR="00F42026">
        <w:rPr>
          <w:rFonts w:eastAsia="Calibri"/>
          <w:snapToGrid/>
        </w:rPr>
        <w:t xml:space="preserve">Joel Taubenblatt, </w:t>
      </w:r>
      <w:r w:rsidR="00BA100C">
        <w:rPr>
          <w:rFonts w:eastAsia="Calibri"/>
          <w:snapToGrid/>
        </w:rPr>
        <w:t>and Nancy Zaczek</w:t>
      </w:r>
      <w:r>
        <w:rPr>
          <w:rFonts w:eastAsia="Calibri"/>
          <w:snapToGrid/>
        </w:rPr>
        <w:t xml:space="preserve"> from the Wireless Telecommunications Bureau</w:t>
      </w:r>
      <w:r w:rsidR="00BA100C">
        <w:rPr>
          <w:rFonts w:eastAsia="Calibri"/>
          <w:snapToGrid/>
        </w:rPr>
        <w:t xml:space="preserve">; and </w:t>
      </w:r>
      <w:r>
        <w:rPr>
          <w:rFonts w:eastAsia="Calibri"/>
          <w:snapToGrid/>
        </w:rPr>
        <w:t xml:space="preserve">David Horowitz, </w:t>
      </w:r>
      <w:r w:rsidR="00BA100C">
        <w:rPr>
          <w:rFonts w:eastAsia="Calibri"/>
          <w:snapToGrid/>
        </w:rPr>
        <w:t xml:space="preserve">Keith McCrickard, and </w:t>
      </w:r>
      <w:r>
        <w:rPr>
          <w:rFonts w:eastAsia="Calibri"/>
          <w:snapToGrid/>
        </w:rPr>
        <w:t>B</w:t>
      </w:r>
      <w:r w:rsidR="00BA100C">
        <w:rPr>
          <w:rFonts w:eastAsia="Calibri"/>
          <w:snapToGrid/>
        </w:rPr>
        <w:t>ill Richardson</w:t>
      </w:r>
      <w:r>
        <w:rPr>
          <w:rFonts w:eastAsia="Calibri"/>
          <w:snapToGrid/>
        </w:rPr>
        <w:t xml:space="preserve"> from the Office of General Counsel.</w:t>
      </w:r>
      <w:r w:rsidR="00CE1295">
        <w:rPr>
          <w:rFonts w:eastAsia="Calibri"/>
          <w:snapToGrid/>
        </w:rPr>
        <w:t xml:space="preserve">  Unlike much of the 2.5 GHz band, </w:t>
      </w:r>
      <w:r w:rsidR="00D0108B">
        <w:rPr>
          <w:rFonts w:eastAsia="Calibri"/>
          <w:snapToGrid/>
        </w:rPr>
        <w:t xml:space="preserve">you put your talents to </w:t>
      </w:r>
      <w:r w:rsidR="005F09C6">
        <w:rPr>
          <w:rFonts w:eastAsia="Calibri"/>
          <w:snapToGrid/>
        </w:rPr>
        <w:t xml:space="preserve">productive </w:t>
      </w:r>
      <w:r w:rsidR="00D0108B">
        <w:rPr>
          <w:rFonts w:eastAsia="Calibri"/>
          <w:snapToGrid/>
        </w:rPr>
        <w:t xml:space="preserve">use for the American people </w:t>
      </w:r>
      <w:r w:rsidR="005705FD">
        <w:rPr>
          <w:rFonts w:eastAsia="Calibri"/>
          <w:snapToGrid/>
        </w:rPr>
        <w:t>every day</w:t>
      </w:r>
      <w:r w:rsidR="00D0108B">
        <w:rPr>
          <w:rFonts w:eastAsia="Calibri"/>
          <w:snapToGrid/>
        </w:rPr>
        <w:t xml:space="preserve">.  </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1806" w14:paraId="44F575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0B91D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D8991B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1806" w14:paraId="25D0A14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69DB1F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1806" w14:paraId="375F5F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542D8"/>
    <w:rsid w:val="00064396"/>
    <w:rsid w:val="00081B84"/>
    <w:rsid w:val="00085110"/>
    <w:rsid w:val="000875BF"/>
    <w:rsid w:val="00094E39"/>
    <w:rsid w:val="00096D8C"/>
    <w:rsid w:val="000B3C3D"/>
    <w:rsid w:val="000B77C8"/>
    <w:rsid w:val="000C0B65"/>
    <w:rsid w:val="000C3FD8"/>
    <w:rsid w:val="000E05FE"/>
    <w:rsid w:val="000E3D42"/>
    <w:rsid w:val="000F360E"/>
    <w:rsid w:val="000F6718"/>
    <w:rsid w:val="00106AE8"/>
    <w:rsid w:val="00122BD5"/>
    <w:rsid w:val="00125302"/>
    <w:rsid w:val="00133F79"/>
    <w:rsid w:val="00135EF4"/>
    <w:rsid w:val="00174033"/>
    <w:rsid w:val="00176031"/>
    <w:rsid w:val="00192459"/>
    <w:rsid w:val="00194A66"/>
    <w:rsid w:val="00195834"/>
    <w:rsid w:val="001B55D8"/>
    <w:rsid w:val="001C151E"/>
    <w:rsid w:val="001C776A"/>
    <w:rsid w:val="001D5D91"/>
    <w:rsid w:val="001D6BCF"/>
    <w:rsid w:val="001E01CA"/>
    <w:rsid w:val="001F0D8F"/>
    <w:rsid w:val="00201EE7"/>
    <w:rsid w:val="00215D1C"/>
    <w:rsid w:val="00234732"/>
    <w:rsid w:val="00242BD4"/>
    <w:rsid w:val="00275CF5"/>
    <w:rsid w:val="0028301F"/>
    <w:rsid w:val="00284130"/>
    <w:rsid w:val="00285017"/>
    <w:rsid w:val="002A2D2E"/>
    <w:rsid w:val="00321113"/>
    <w:rsid w:val="00343749"/>
    <w:rsid w:val="00365F16"/>
    <w:rsid w:val="003660ED"/>
    <w:rsid w:val="003B0550"/>
    <w:rsid w:val="003B694F"/>
    <w:rsid w:val="003D5F24"/>
    <w:rsid w:val="003E0D3E"/>
    <w:rsid w:val="003E3134"/>
    <w:rsid w:val="003F0491"/>
    <w:rsid w:val="003F171C"/>
    <w:rsid w:val="00401A3F"/>
    <w:rsid w:val="00412FC5"/>
    <w:rsid w:val="00414B5F"/>
    <w:rsid w:val="00422276"/>
    <w:rsid w:val="004242F1"/>
    <w:rsid w:val="0043315E"/>
    <w:rsid w:val="004352A5"/>
    <w:rsid w:val="00445A00"/>
    <w:rsid w:val="00451B0F"/>
    <w:rsid w:val="00477261"/>
    <w:rsid w:val="004A2F9C"/>
    <w:rsid w:val="004C2EE3"/>
    <w:rsid w:val="004E4A22"/>
    <w:rsid w:val="004F6053"/>
    <w:rsid w:val="00511968"/>
    <w:rsid w:val="00511C94"/>
    <w:rsid w:val="00512077"/>
    <w:rsid w:val="00514D04"/>
    <w:rsid w:val="00535B03"/>
    <w:rsid w:val="00535E18"/>
    <w:rsid w:val="0055614C"/>
    <w:rsid w:val="005577AD"/>
    <w:rsid w:val="00563304"/>
    <w:rsid w:val="005705FD"/>
    <w:rsid w:val="005737B9"/>
    <w:rsid w:val="005762F3"/>
    <w:rsid w:val="00583D11"/>
    <w:rsid w:val="005B0467"/>
    <w:rsid w:val="005B1806"/>
    <w:rsid w:val="005E14C2"/>
    <w:rsid w:val="005F09C6"/>
    <w:rsid w:val="00607BA5"/>
    <w:rsid w:val="00612417"/>
    <w:rsid w:val="00612B43"/>
    <w:rsid w:val="00626EB6"/>
    <w:rsid w:val="006556F1"/>
    <w:rsid w:val="00655D03"/>
    <w:rsid w:val="00662195"/>
    <w:rsid w:val="00683388"/>
    <w:rsid w:val="00683F84"/>
    <w:rsid w:val="006A6A81"/>
    <w:rsid w:val="006C3755"/>
    <w:rsid w:val="006C4BDA"/>
    <w:rsid w:val="006E7A00"/>
    <w:rsid w:val="006F7393"/>
    <w:rsid w:val="00700F33"/>
    <w:rsid w:val="0070125D"/>
    <w:rsid w:val="0070224F"/>
    <w:rsid w:val="007115F7"/>
    <w:rsid w:val="00723EAA"/>
    <w:rsid w:val="00737C14"/>
    <w:rsid w:val="0076012A"/>
    <w:rsid w:val="00764BBE"/>
    <w:rsid w:val="00771A36"/>
    <w:rsid w:val="00784A83"/>
    <w:rsid w:val="00785689"/>
    <w:rsid w:val="0079754B"/>
    <w:rsid w:val="007A1E6D"/>
    <w:rsid w:val="007B0EB2"/>
    <w:rsid w:val="007E799F"/>
    <w:rsid w:val="007F2CCA"/>
    <w:rsid w:val="007F2D17"/>
    <w:rsid w:val="007F4C47"/>
    <w:rsid w:val="00810B6F"/>
    <w:rsid w:val="00814051"/>
    <w:rsid w:val="00815815"/>
    <w:rsid w:val="00822CE0"/>
    <w:rsid w:val="00841AB1"/>
    <w:rsid w:val="00856510"/>
    <w:rsid w:val="00896273"/>
    <w:rsid w:val="008A2F3F"/>
    <w:rsid w:val="008C68F1"/>
    <w:rsid w:val="0090076B"/>
    <w:rsid w:val="00921803"/>
    <w:rsid w:val="00922AF4"/>
    <w:rsid w:val="00926503"/>
    <w:rsid w:val="009726D8"/>
    <w:rsid w:val="009870BC"/>
    <w:rsid w:val="009D141E"/>
    <w:rsid w:val="009D5EA2"/>
    <w:rsid w:val="009F1A90"/>
    <w:rsid w:val="009F76DB"/>
    <w:rsid w:val="00A21265"/>
    <w:rsid w:val="00A32C3B"/>
    <w:rsid w:val="00A45F4F"/>
    <w:rsid w:val="00A523E5"/>
    <w:rsid w:val="00A600A9"/>
    <w:rsid w:val="00A86128"/>
    <w:rsid w:val="00AA55B7"/>
    <w:rsid w:val="00AA5B9E"/>
    <w:rsid w:val="00AB0DF4"/>
    <w:rsid w:val="00AB1DC2"/>
    <w:rsid w:val="00AB2136"/>
    <w:rsid w:val="00AB2407"/>
    <w:rsid w:val="00AB53DF"/>
    <w:rsid w:val="00AB7216"/>
    <w:rsid w:val="00AD355B"/>
    <w:rsid w:val="00AD3C6E"/>
    <w:rsid w:val="00AE0CC3"/>
    <w:rsid w:val="00B00EAD"/>
    <w:rsid w:val="00B07E5C"/>
    <w:rsid w:val="00B368D5"/>
    <w:rsid w:val="00B65215"/>
    <w:rsid w:val="00B811F7"/>
    <w:rsid w:val="00BA04AD"/>
    <w:rsid w:val="00BA100C"/>
    <w:rsid w:val="00BA3AE6"/>
    <w:rsid w:val="00BA5DC6"/>
    <w:rsid w:val="00BA6196"/>
    <w:rsid w:val="00BB62D8"/>
    <w:rsid w:val="00BC6D8C"/>
    <w:rsid w:val="00C16833"/>
    <w:rsid w:val="00C34006"/>
    <w:rsid w:val="00C426B1"/>
    <w:rsid w:val="00C44C04"/>
    <w:rsid w:val="00C548D6"/>
    <w:rsid w:val="00C56EF9"/>
    <w:rsid w:val="00C57E4A"/>
    <w:rsid w:val="00C64028"/>
    <w:rsid w:val="00C64B58"/>
    <w:rsid w:val="00C66160"/>
    <w:rsid w:val="00C721AC"/>
    <w:rsid w:val="00C765F5"/>
    <w:rsid w:val="00C90D6A"/>
    <w:rsid w:val="00CA247E"/>
    <w:rsid w:val="00CA2BEA"/>
    <w:rsid w:val="00CB7984"/>
    <w:rsid w:val="00CC72B6"/>
    <w:rsid w:val="00CE1295"/>
    <w:rsid w:val="00D0108B"/>
    <w:rsid w:val="00D0218D"/>
    <w:rsid w:val="00D11848"/>
    <w:rsid w:val="00D25FB5"/>
    <w:rsid w:val="00D41BA0"/>
    <w:rsid w:val="00D44223"/>
    <w:rsid w:val="00D44382"/>
    <w:rsid w:val="00D615B1"/>
    <w:rsid w:val="00D72B5F"/>
    <w:rsid w:val="00D77E62"/>
    <w:rsid w:val="00D870FF"/>
    <w:rsid w:val="00D949D2"/>
    <w:rsid w:val="00DA1C6B"/>
    <w:rsid w:val="00DA2529"/>
    <w:rsid w:val="00DB130A"/>
    <w:rsid w:val="00DB2EBB"/>
    <w:rsid w:val="00DC10A1"/>
    <w:rsid w:val="00DC655F"/>
    <w:rsid w:val="00DD0B59"/>
    <w:rsid w:val="00DD7EBD"/>
    <w:rsid w:val="00DE72D3"/>
    <w:rsid w:val="00DF62B6"/>
    <w:rsid w:val="00E07225"/>
    <w:rsid w:val="00E1314F"/>
    <w:rsid w:val="00E5409F"/>
    <w:rsid w:val="00E802B8"/>
    <w:rsid w:val="00EA7CFB"/>
    <w:rsid w:val="00EB2CFA"/>
    <w:rsid w:val="00EC52B9"/>
    <w:rsid w:val="00EC5706"/>
    <w:rsid w:val="00EC7492"/>
    <w:rsid w:val="00EE08C9"/>
    <w:rsid w:val="00EE6488"/>
    <w:rsid w:val="00F007D4"/>
    <w:rsid w:val="00F021FA"/>
    <w:rsid w:val="00F04D79"/>
    <w:rsid w:val="00F40CED"/>
    <w:rsid w:val="00F42026"/>
    <w:rsid w:val="00F42AFB"/>
    <w:rsid w:val="00F5122F"/>
    <w:rsid w:val="00F62E97"/>
    <w:rsid w:val="00F64209"/>
    <w:rsid w:val="00F65030"/>
    <w:rsid w:val="00F668D9"/>
    <w:rsid w:val="00F7545A"/>
    <w:rsid w:val="00F90106"/>
    <w:rsid w:val="00F93BF5"/>
    <w:rsid w:val="00FA6841"/>
    <w:rsid w:val="00FB77A4"/>
    <w:rsid w:val="00FC45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F9C"/>
    <w:pPr>
      <w:widowControl w:val="0"/>
    </w:pPr>
    <w:rPr>
      <w:snapToGrid w:val="0"/>
      <w:kern w:val="28"/>
      <w:sz w:val="22"/>
    </w:rPr>
  </w:style>
  <w:style w:type="paragraph" w:styleId="Heading1">
    <w:name w:val="heading 1"/>
    <w:basedOn w:val="Normal"/>
    <w:next w:val="ParaNum"/>
    <w:qFormat/>
    <w:rsid w:val="004A2F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A2F9C"/>
    <w:pPr>
      <w:keepNext/>
      <w:numPr>
        <w:ilvl w:val="1"/>
        <w:numId w:val="3"/>
      </w:numPr>
      <w:spacing w:after="120"/>
      <w:outlineLvl w:val="1"/>
    </w:pPr>
    <w:rPr>
      <w:b/>
    </w:rPr>
  </w:style>
  <w:style w:type="paragraph" w:styleId="Heading3">
    <w:name w:val="heading 3"/>
    <w:basedOn w:val="Normal"/>
    <w:next w:val="ParaNum"/>
    <w:qFormat/>
    <w:rsid w:val="004A2F9C"/>
    <w:pPr>
      <w:keepNext/>
      <w:numPr>
        <w:ilvl w:val="2"/>
        <w:numId w:val="3"/>
      </w:numPr>
      <w:tabs>
        <w:tab w:val="left" w:pos="2160"/>
      </w:tabs>
      <w:spacing w:after="120"/>
      <w:outlineLvl w:val="2"/>
    </w:pPr>
    <w:rPr>
      <w:b/>
    </w:rPr>
  </w:style>
  <w:style w:type="paragraph" w:styleId="Heading4">
    <w:name w:val="heading 4"/>
    <w:basedOn w:val="Normal"/>
    <w:next w:val="ParaNum"/>
    <w:qFormat/>
    <w:rsid w:val="004A2F9C"/>
    <w:pPr>
      <w:keepNext/>
      <w:numPr>
        <w:ilvl w:val="3"/>
        <w:numId w:val="3"/>
      </w:numPr>
      <w:tabs>
        <w:tab w:val="left" w:pos="2880"/>
      </w:tabs>
      <w:spacing w:after="120"/>
      <w:outlineLvl w:val="3"/>
    </w:pPr>
    <w:rPr>
      <w:b/>
    </w:rPr>
  </w:style>
  <w:style w:type="paragraph" w:styleId="Heading5">
    <w:name w:val="heading 5"/>
    <w:basedOn w:val="Normal"/>
    <w:next w:val="ParaNum"/>
    <w:qFormat/>
    <w:rsid w:val="004A2F9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A2F9C"/>
    <w:pPr>
      <w:numPr>
        <w:ilvl w:val="5"/>
        <w:numId w:val="3"/>
      </w:numPr>
      <w:tabs>
        <w:tab w:val="left" w:pos="4320"/>
      </w:tabs>
      <w:spacing w:after="120"/>
      <w:outlineLvl w:val="5"/>
    </w:pPr>
    <w:rPr>
      <w:b/>
    </w:rPr>
  </w:style>
  <w:style w:type="paragraph" w:styleId="Heading7">
    <w:name w:val="heading 7"/>
    <w:basedOn w:val="Normal"/>
    <w:next w:val="ParaNum"/>
    <w:qFormat/>
    <w:rsid w:val="004A2F9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A2F9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A2F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4A2F9C"/>
    <w:pPr>
      <w:numPr>
        <w:numId w:val="2"/>
      </w:numPr>
      <w:tabs>
        <w:tab w:val="clear" w:pos="1080"/>
        <w:tab w:val="num" w:pos="1440"/>
      </w:tabs>
      <w:spacing w:after="120"/>
    </w:pPr>
  </w:style>
  <w:style w:type="paragraph" w:styleId="EndnoteText">
    <w:name w:val="endnote text"/>
    <w:basedOn w:val="Normal"/>
    <w:semiHidden/>
    <w:rsid w:val="004A2F9C"/>
    <w:rPr>
      <w:sz w:val="20"/>
    </w:rPr>
  </w:style>
  <w:style w:type="character" w:styleId="EndnoteReference">
    <w:name w:val="endnote reference"/>
    <w:semiHidden/>
    <w:rsid w:val="004A2F9C"/>
    <w:rPr>
      <w:vertAlign w:val="superscript"/>
    </w:rPr>
  </w:style>
  <w:style w:type="paragraph" w:styleId="FootnoteText">
    <w:name w:val="footnote text"/>
    <w:rsid w:val="004A2F9C"/>
    <w:pPr>
      <w:spacing w:after="120"/>
    </w:pPr>
  </w:style>
  <w:style w:type="character" w:styleId="FootnoteReference">
    <w:name w:val="footnote reference"/>
    <w:rsid w:val="004A2F9C"/>
    <w:rPr>
      <w:rFonts w:ascii="Times New Roman" w:hAnsi="Times New Roman"/>
      <w:dstrike w:val="0"/>
      <w:color w:val="auto"/>
      <w:sz w:val="20"/>
      <w:vertAlign w:val="superscript"/>
    </w:rPr>
  </w:style>
  <w:style w:type="paragraph" w:styleId="TOC1">
    <w:name w:val="toc 1"/>
    <w:basedOn w:val="Normal"/>
    <w:next w:val="Normal"/>
    <w:semiHidden/>
    <w:rsid w:val="004A2F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A2F9C"/>
    <w:pPr>
      <w:tabs>
        <w:tab w:val="left" w:pos="720"/>
        <w:tab w:val="right" w:leader="dot" w:pos="9360"/>
      </w:tabs>
      <w:suppressAutoHyphens/>
      <w:ind w:left="720" w:right="720" w:hanging="360"/>
    </w:pPr>
    <w:rPr>
      <w:noProof/>
    </w:rPr>
  </w:style>
  <w:style w:type="paragraph" w:styleId="TOC3">
    <w:name w:val="toc 3"/>
    <w:basedOn w:val="Normal"/>
    <w:next w:val="Normal"/>
    <w:semiHidden/>
    <w:rsid w:val="004A2F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A2F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A2F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A2F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A2F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A2F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A2F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A2F9C"/>
    <w:pPr>
      <w:tabs>
        <w:tab w:val="right" w:pos="9360"/>
      </w:tabs>
      <w:suppressAutoHyphens/>
    </w:pPr>
  </w:style>
  <w:style w:type="character" w:customStyle="1" w:styleId="EquationCaption">
    <w:name w:val="_Equation Caption"/>
    <w:rsid w:val="004A2F9C"/>
  </w:style>
  <w:style w:type="paragraph" w:styleId="Header">
    <w:name w:val="header"/>
    <w:basedOn w:val="Normal"/>
    <w:autoRedefine/>
    <w:rsid w:val="004A2F9C"/>
    <w:pPr>
      <w:tabs>
        <w:tab w:val="center" w:pos="4680"/>
        <w:tab w:val="right" w:pos="9360"/>
      </w:tabs>
    </w:pPr>
    <w:rPr>
      <w:b/>
    </w:rPr>
  </w:style>
  <w:style w:type="paragraph" w:styleId="Footer">
    <w:name w:val="footer"/>
    <w:basedOn w:val="Normal"/>
    <w:rsid w:val="004A2F9C"/>
    <w:pPr>
      <w:tabs>
        <w:tab w:val="center" w:pos="4320"/>
        <w:tab w:val="right" w:pos="8640"/>
      </w:tabs>
    </w:pPr>
  </w:style>
  <w:style w:type="character" w:styleId="PageNumber">
    <w:name w:val="page number"/>
    <w:basedOn w:val="DefaultParagraphFont"/>
    <w:rsid w:val="004A2F9C"/>
  </w:style>
  <w:style w:type="paragraph" w:styleId="BlockText">
    <w:name w:val="Block Text"/>
    <w:basedOn w:val="Normal"/>
    <w:rsid w:val="004A2F9C"/>
    <w:pPr>
      <w:spacing w:after="240"/>
      <w:ind w:left="1440" w:right="1440"/>
    </w:pPr>
  </w:style>
  <w:style w:type="paragraph" w:customStyle="1" w:styleId="Paratitle">
    <w:name w:val="Para title"/>
    <w:basedOn w:val="Normal"/>
    <w:rsid w:val="004A2F9C"/>
    <w:pPr>
      <w:tabs>
        <w:tab w:val="center" w:pos="9270"/>
      </w:tabs>
      <w:spacing w:after="240"/>
    </w:pPr>
    <w:rPr>
      <w:spacing w:val="-2"/>
    </w:rPr>
  </w:style>
  <w:style w:type="paragraph" w:customStyle="1" w:styleId="Bullet">
    <w:name w:val="Bullet"/>
    <w:basedOn w:val="Normal"/>
    <w:rsid w:val="004A2F9C"/>
    <w:pPr>
      <w:tabs>
        <w:tab w:val="left" w:pos="2160"/>
      </w:tabs>
      <w:spacing w:after="220"/>
      <w:ind w:left="2160" w:hanging="720"/>
    </w:pPr>
  </w:style>
  <w:style w:type="paragraph" w:customStyle="1" w:styleId="TableFormat">
    <w:name w:val="TableFormat"/>
    <w:basedOn w:val="Bullet"/>
    <w:rsid w:val="004A2F9C"/>
    <w:pPr>
      <w:tabs>
        <w:tab w:val="clear" w:pos="2160"/>
        <w:tab w:val="left" w:pos="5040"/>
      </w:tabs>
      <w:ind w:left="5040" w:hanging="3600"/>
    </w:pPr>
  </w:style>
  <w:style w:type="paragraph" w:customStyle="1" w:styleId="TOCTitle">
    <w:name w:val="TOC Title"/>
    <w:basedOn w:val="Normal"/>
    <w:rsid w:val="004A2F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2F9C"/>
    <w:pPr>
      <w:jc w:val="center"/>
    </w:pPr>
    <w:rPr>
      <w:rFonts w:ascii="Times New Roman Bold" w:hAnsi="Times New Roman Bold"/>
      <w:b/>
      <w:bCs/>
      <w:caps/>
      <w:szCs w:val="22"/>
    </w:rPr>
  </w:style>
  <w:style w:type="character" w:styleId="Hyperlink">
    <w:name w:val="Hyperlink"/>
    <w:rsid w:val="004A2F9C"/>
    <w:rPr>
      <w:color w:val="0000FF"/>
      <w:u w:val="single"/>
    </w:rPr>
  </w:style>
  <w:style w:type="character" w:styleId="CommentReference">
    <w:name w:val="annotation reference"/>
    <w:basedOn w:val="DefaultParagraphFont"/>
    <w:rsid w:val="00D77E62"/>
    <w:rPr>
      <w:sz w:val="16"/>
      <w:szCs w:val="16"/>
    </w:rPr>
  </w:style>
  <w:style w:type="paragraph" w:styleId="CommentText">
    <w:name w:val="annotation text"/>
    <w:basedOn w:val="Normal"/>
    <w:link w:val="CommentTextChar"/>
    <w:rsid w:val="00D77E62"/>
    <w:rPr>
      <w:sz w:val="20"/>
    </w:rPr>
  </w:style>
  <w:style w:type="character" w:customStyle="1" w:styleId="CommentTextChar">
    <w:name w:val="Comment Text Char"/>
    <w:basedOn w:val="DefaultParagraphFont"/>
    <w:link w:val="CommentText"/>
    <w:rsid w:val="00D77E62"/>
    <w:rPr>
      <w:snapToGrid w:val="0"/>
      <w:kern w:val="28"/>
    </w:rPr>
  </w:style>
  <w:style w:type="paragraph" w:styleId="CommentSubject">
    <w:name w:val="annotation subject"/>
    <w:basedOn w:val="CommentText"/>
    <w:next w:val="CommentText"/>
    <w:link w:val="CommentSubjectChar"/>
    <w:rsid w:val="00D77E62"/>
    <w:rPr>
      <w:b/>
      <w:bCs/>
    </w:rPr>
  </w:style>
  <w:style w:type="character" w:customStyle="1" w:styleId="CommentSubjectChar">
    <w:name w:val="Comment Subject Char"/>
    <w:basedOn w:val="CommentTextChar"/>
    <w:link w:val="CommentSubject"/>
    <w:rsid w:val="00D77E62"/>
    <w:rPr>
      <w:b/>
      <w:bCs/>
      <w:snapToGrid w:val="0"/>
      <w:kern w:val="28"/>
    </w:rPr>
  </w:style>
  <w:style w:type="paragraph" w:styleId="BalloonText">
    <w:name w:val="Balloon Text"/>
    <w:basedOn w:val="Normal"/>
    <w:link w:val="BalloonTextChar"/>
    <w:rsid w:val="00D77E62"/>
    <w:rPr>
      <w:rFonts w:ascii="Segoe UI" w:hAnsi="Segoe UI" w:cs="Segoe UI"/>
      <w:sz w:val="18"/>
      <w:szCs w:val="18"/>
    </w:rPr>
  </w:style>
  <w:style w:type="character" w:customStyle="1" w:styleId="BalloonTextChar">
    <w:name w:val="Balloon Text Char"/>
    <w:basedOn w:val="DefaultParagraphFont"/>
    <w:link w:val="BalloonText"/>
    <w:rsid w:val="00D77E6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B752-6F00-4FD0-B002-0F9C103D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2018-05-10T20:33:30Z</dcterms:created>
  <dcterms:modified xsi:type="dcterms:W3CDTF">2018-05-10T20:33:30Z</dcterms:modified>
</cp:coreProperties>
</file>