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C3223" w:rsidRPr="00765DA9" w:rsidP="008C3223">
      <w:pPr>
        <w:widowControl/>
        <w:jc w:val="center"/>
        <w:rPr>
          <w:b/>
          <w:szCs w:val="22"/>
        </w:rPr>
      </w:pPr>
      <w:r w:rsidRPr="00BD3623">
        <w:rPr>
          <w:b/>
          <w:kern w:val="0"/>
          <w:szCs w:val="22"/>
        </w:rPr>
        <w:t>Before</w:t>
      </w:r>
      <w:r w:rsidRPr="00765DA9">
        <w:rPr>
          <w:b/>
          <w:szCs w:val="22"/>
        </w:rPr>
        <w:t xml:space="preserve"> the</w:t>
      </w:r>
    </w:p>
    <w:p w:rsidR="008C3223" w:rsidRPr="00BD3623" w:rsidP="008C3223">
      <w:pPr>
        <w:pStyle w:val="StyleBoldCentered"/>
        <w:rPr>
          <w:rFonts w:ascii="Times New Roman" w:hAnsi="Times New Roman"/>
        </w:rPr>
      </w:pPr>
      <w:r w:rsidRPr="00BD3623">
        <w:rPr>
          <w:rFonts w:ascii="Times New Roman" w:hAnsi="Times New Roman"/>
        </w:rPr>
        <w:t>F</w:t>
      </w:r>
      <w:r w:rsidRPr="00BD3623">
        <w:rPr>
          <w:rFonts w:ascii="Times New Roman" w:hAnsi="Times New Roman"/>
          <w:caps w:val="0"/>
        </w:rPr>
        <w:t>ederal Communications Commission</w:t>
      </w:r>
    </w:p>
    <w:p w:rsidR="008C3223" w:rsidRPr="00BD3623" w:rsidP="008C3223">
      <w:pPr>
        <w:pStyle w:val="StyleBoldCentered"/>
        <w:rPr>
          <w:rFonts w:ascii="Times New Roman" w:hAnsi="Times New Roman"/>
        </w:rPr>
      </w:pPr>
      <w:r w:rsidRPr="00BD3623">
        <w:rPr>
          <w:rFonts w:ascii="Times New Roman" w:hAnsi="Times New Roman"/>
          <w:caps w:val="0"/>
        </w:rPr>
        <w:t>Washington, D.C. 20554</w:t>
      </w:r>
    </w:p>
    <w:p w:rsidR="008C3223" w:rsidRPr="00765DA9" w:rsidP="008C3223">
      <w:pPr>
        <w:rPr>
          <w:szCs w:val="22"/>
        </w:rPr>
      </w:pPr>
    </w:p>
    <w:p w:rsidR="008C3223" w:rsidRPr="00765DA9" w:rsidP="008C3223">
      <w:pPr>
        <w:rPr>
          <w:szCs w:val="22"/>
        </w:rPr>
      </w:pPr>
    </w:p>
    <w:tbl>
      <w:tblPr>
        <w:tblW w:w="9576" w:type="dxa"/>
        <w:tblLayout w:type="fixed"/>
        <w:tblLook w:val="0000"/>
      </w:tblPr>
      <w:tblGrid>
        <w:gridCol w:w="4698"/>
        <w:gridCol w:w="630"/>
        <w:gridCol w:w="4248"/>
      </w:tblGrid>
      <w:tr w:rsidTr="00CD6C98">
        <w:tblPrEx>
          <w:tblW w:w="9576" w:type="dxa"/>
          <w:tblLayout w:type="fixed"/>
          <w:tblLook w:val="0000"/>
        </w:tblPrEx>
        <w:tc>
          <w:tcPr>
            <w:tcW w:w="4698" w:type="dxa"/>
          </w:tcPr>
          <w:p w:rsidR="008C3223" w:rsidRPr="00765DA9" w:rsidP="00CD6C98">
            <w:pPr>
              <w:tabs>
                <w:tab w:val="center" w:pos="4680"/>
              </w:tabs>
              <w:suppressAutoHyphens/>
              <w:rPr>
                <w:spacing w:val="-2"/>
                <w:szCs w:val="22"/>
              </w:rPr>
            </w:pPr>
            <w:r w:rsidRPr="00765DA9">
              <w:rPr>
                <w:spacing w:val="-2"/>
                <w:szCs w:val="22"/>
              </w:rPr>
              <w:t>In the Matter of</w:t>
            </w:r>
          </w:p>
          <w:p w:rsidR="008C3223" w:rsidRPr="00765DA9" w:rsidP="00CD6C98">
            <w:pPr>
              <w:tabs>
                <w:tab w:val="center" w:pos="4680"/>
              </w:tabs>
              <w:suppressAutoHyphens/>
              <w:rPr>
                <w:spacing w:val="-2"/>
                <w:szCs w:val="22"/>
              </w:rPr>
            </w:pPr>
          </w:p>
          <w:p w:rsidR="008C3223" w:rsidRPr="00765DA9" w:rsidP="00CD6C98">
            <w:pPr>
              <w:tabs>
                <w:tab w:val="center" w:pos="4680"/>
              </w:tabs>
              <w:suppressAutoHyphens/>
              <w:rPr>
                <w:spacing w:val="-2"/>
                <w:szCs w:val="22"/>
              </w:rPr>
            </w:pPr>
            <w:r w:rsidRPr="00F3006F">
              <w:rPr>
                <w:spacing w:val="-2"/>
                <w:szCs w:val="22"/>
              </w:rPr>
              <w:t>Updating the Intercarrier Compensation Regime to Eliminate Access Arbitrage</w:t>
            </w:r>
          </w:p>
        </w:tc>
        <w:tc>
          <w:tcPr>
            <w:tcW w:w="630" w:type="dxa"/>
          </w:tcPr>
          <w:p w:rsidR="008C3223" w:rsidRPr="00765DA9" w:rsidP="00CD6C98">
            <w:pPr>
              <w:tabs>
                <w:tab w:val="center" w:pos="4680"/>
              </w:tabs>
              <w:suppressAutoHyphens/>
              <w:rPr>
                <w:b/>
                <w:spacing w:val="-2"/>
                <w:szCs w:val="22"/>
              </w:rPr>
            </w:pPr>
            <w:r w:rsidRPr="00765DA9">
              <w:rPr>
                <w:b/>
                <w:spacing w:val="-2"/>
                <w:szCs w:val="22"/>
              </w:rPr>
              <w:t>)</w:t>
            </w:r>
          </w:p>
          <w:p w:rsidR="008C3223" w:rsidRPr="00765DA9" w:rsidP="00CD6C98">
            <w:pPr>
              <w:tabs>
                <w:tab w:val="center" w:pos="4680"/>
              </w:tabs>
              <w:suppressAutoHyphens/>
              <w:rPr>
                <w:b/>
                <w:spacing w:val="-2"/>
                <w:szCs w:val="22"/>
              </w:rPr>
            </w:pPr>
            <w:r w:rsidRPr="00765DA9">
              <w:rPr>
                <w:b/>
                <w:spacing w:val="-2"/>
                <w:szCs w:val="22"/>
              </w:rPr>
              <w:t>)</w:t>
            </w:r>
          </w:p>
          <w:p w:rsidR="008C3223" w:rsidRPr="00765DA9" w:rsidP="00CD6C98">
            <w:pPr>
              <w:tabs>
                <w:tab w:val="center" w:pos="4680"/>
              </w:tabs>
              <w:suppressAutoHyphens/>
              <w:rPr>
                <w:b/>
                <w:spacing w:val="-2"/>
                <w:szCs w:val="22"/>
              </w:rPr>
            </w:pPr>
            <w:r w:rsidRPr="00765DA9">
              <w:rPr>
                <w:b/>
                <w:spacing w:val="-2"/>
                <w:szCs w:val="22"/>
              </w:rPr>
              <w:t>)</w:t>
            </w:r>
          </w:p>
          <w:p w:rsidR="008C3223" w:rsidRPr="00765DA9" w:rsidP="00CD6C98">
            <w:pPr>
              <w:tabs>
                <w:tab w:val="center" w:pos="4680"/>
              </w:tabs>
              <w:suppressAutoHyphens/>
              <w:rPr>
                <w:b/>
                <w:spacing w:val="-2"/>
                <w:szCs w:val="22"/>
              </w:rPr>
            </w:pPr>
            <w:r w:rsidRPr="00765DA9">
              <w:rPr>
                <w:b/>
                <w:spacing w:val="-2"/>
                <w:szCs w:val="22"/>
              </w:rPr>
              <w:t>)</w:t>
            </w:r>
          </w:p>
          <w:p w:rsidR="008C3223" w:rsidRPr="00765DA9" w:rsidP="00CD6C98">
            <w:pPr>
              <w:tabs>
                <w:tab w:val="center" w:pos="4680"/>
              </w:tabs>
              <w:suppressAutoHyphens/>
              <w:rPr>
                <w:b/>
                <w:spacing w:val="-2"/>
                <w:szCs w:val="22"/>
              </w:rPr>
            </w:pPr>
          </w:p>
        </w:tc>
        <w:tc>
          <w:tcPr>
            <w:tcW w:w="4248" w:type="dxa"/>
          </w:tcPr>
          <w:p w:rsidR="008C3223" w:rsidRPr="00765DA9" w:rsidP="00CD6C98">
            <w:pPr>
              <w:pStyle w:val="TOAHeading"/>
              <w:tabs>
                <w:tab w:val="center" w:pos="4680"/>
                <w:tab w:val="clear" w:pos="9360"/>
              </w:tabs>
              <w:rPr>
                <w:spacing w:val="-2"/>
                <w:szCs w:val="22"/>
              </w:rPr>
            </w:pPr>
          </w:p>
          <w:p w:rsidR="008C3223" w:rsidRPr="00765DA9" w:rsidP="00CD6C98">
            <w:pPr>
              <w:tabs>
                <w:tab w:val="center" w:pos="4680"/>
              </w:tabs>
              <w:suppressAutoHyphens/>
              <w:rPr>
                <w:spacing w:val="-2"/>
                <w:szCs w:val="22"/>
              </w:rPr>
            </w:pPr>
          </w:p>
          <w:p w:rsidR="008C3223" w:rsidRPr="00765DA9" w:rsidP="00CD6C98">
            <w:pPr>
              <w:tabs>
                <w:tab w:val="center" w:pos="4680"/>
              </w:tabs>
              <w:suppressAutoHyphens/>
              <w:rPr>
                <w:spacing w:val="-2"/>
                <w:szCs w:val="22"/>
              </w:rPr>
            </w:pPr>
            <w:r>
              <w:rPr>
                <w:spacing w:val="-2"/>
                <w:szCs w:val="22"/>
              </w:rPr>
              <w:t>W</w:t>
            </w:r>
            <w:r w:rsidRPr="00765DA9">
              <w:rPr>
                <w:spacing w:val="-2"/>
                <w:szCs w:val="22"/>
              </w:rPr>
              <w:t xml:space="preserve">C Docket No. </w:t>
            </w:r>
            <w:r>
              <w:rPr>
                <w:spacing w:val="-2"/>
                <w:szCs w:val="22"/>
              </w:rPr>
              <w:t>18</w:t>
            </w:r>
            <w:r w:rsidRPr="00765DA9">
              <w:rPr>
                <w:spacing w:val="-2"/>
                <w:szCs w:val="22"/>
              </w:rPr>
              <w:t>-</w:t>
            </w:r>
            <w:r>
              <w:rPr>
                <w:spacing w:val="-2"/>
                <w:szCs w:val="22"/>
              </w:rPr>
              <w:t>155</w:t>
            </w:r>
          </w:p>
        </w:tc>
      </w:tr>
    </w:tbl>
    <w:p w:rsidR="008C3223" w:rsidRPr="00765DA9" w:rsidP="008C3223">
      <w:pPr>
        <w:rPr>
          <w:szCs w:val="22"/>
        </w:rPr>
      </w:pPr>
    </w:p>
    <w:p w:rsidR="008C3223" w:rsidRPr="00BD3623" w:rsidP="008C3223">
      <w:pPr>
        <w:pStyle w:val="StyleBoldCentered"/>
        <w:rPr>
          <w:rFonts w:ascii="Times New Roman" w:hAnsi="Times New Roman"/>
        </w:rPr>
      </w:pPr>
      <w:r w:rsidRPr="00BD3623">
        <w:rPr>
          <w:rFonts w:ascii="Times New Roman" w:hAnsi="Times New Roman"/>
        </w:rPr>
        <w:t>Notice of proposed rulemaking</w:t>
      </w:r>
    </w:p>
    <w:p w:rsidR="008C3223" w:rsidRPr="00765DA9" w:rsidP="008C3223">
      <w:pPr>
        <w:tabs>
          <w:tab w:val="left" w:pos="-720"/>
        </w:tabs>
        <w:suppressAutoHyphens/>
        <w:spacing w:line="227" w:lineRule="auto"/>
        <w:rPr>
          <w:spacing w:val="-2"/>
          <w:szCs w:val="22"/>
        </w:rPr>
      </w:pPr>
    </w:p>
    <w:p w:rsidR="008C3223" w:rsidRPr="00765DA9" w:rsidP="008C3223">
      <w:pPr>
        <w:tabs>
          <w:tab w:val="left" w:pos="720"/>
          <w:tab w:val="right" w:pos="9360"/>
        </w:tabs>
        <w:suppressAutoHyphens/>
        <w:spacing w:line="227" w:lineRule="auto"/>
        <w:rPr>
          <w:spacing w:val="-2"/>
          <w:szCs w:val="22"/>
        </w:rPr>
      </w:pPr>
      <w:r w:rsidRPr="00765DA9">
        <w:rPr>
          <w:b/>
          <w:spacing w:val="-2"/>
          <w:szCs w:val="22"/>
        </w:rPr>
        <w:t xml:space="preserve">Adopted:  </w:t>
      </w:r>
      <w:r>
        <w:rPr>
          <w:b/>
          <w:spacing w:val="-2"/>
          <w:szCs w:val="22"/>
        </w:rPr>
        <w:t>June 4, 2018</w:t>
      </w:r>
      <w:r w:rsidRPr="00765DA9">
        <w:rPr>
          <w:b/>
          <w:spacing w:val="-2"/>
          <w:szCs w:val="22"/>
        </w:rPr>
        <w:tab/>
        <w:t xml:space="preserve">Released:  </w:t>
      </w:r>
      <w:r>
        <w:rPr>
          <w:b/>
          <w:spacing w:val="-2"/>
          <w:szCs w:val="22"/>
        </w:rPr>
        <w:t>June 5, 2018</w:t>
      </w:r>
    </w:p>
    <w:p w:rsidR="008C3223" w:rsidRPr="00765DA9" w:rsidP="008C3223">
      <w:pPr>
        <w:rPr>
          <w:szCs w:val="22"/>
        </w:rPr>
      </w:pPr>
    </w:p>
    <w:p w:rsidR="008C3223" w:rsidRPr="00765DA9" w:rsidP="008C3223">
      <w:pPr>
        <w:rPr>
          <w:b/>
          <w:szCs w:val="22"/>
        </w:rPr>
      </w:pPr>
      <w:r>
        <w:rPr>
          <w:b/>
          <w:szCs w:val="22"/>
        </w:rPr>
        <w:t>Comment Date:  [</w:t>
      </w:r>
      <w:r>
        <w:rPr>
          <w:b/>
          <w:szCs w:val="22"/>
        </w:rPr>
        <w:t>21</w:t>
      </w:r>
      <w:r w:rsidRPr="00765DA9">
        <w:rPr>
          <w:b/>
          <w:szCs w:val="22"/>
        </w:rPr>
        <w:t xml:space="preserve"> days after publication in the Federal Register</w:t>
      </w:r>
      <w:r>
        <w:rPr>
          <w:b/>
          <w:szCs w:val="22"/>
        </w:rPr>
        <w:t>]</w:t>
      </w:r>
      <w:r w:rsidRPr="00765DA9">
        <w:rPr>
          <w:b/>
          <w:szCs w:val="22"/>
        </w:rPr>
        <w:t xml:space="preserve"> </w:t>
      </w:r>
    </w:p>
    <w:p w:rsidR="008C3223" w:rsidRPr="00765DA9" w:rsidP="008C3223">
      <w:pPr>
        <w:rPr>
          <w:b/>
          <w:szCs w:val="22"/>
        </w:rPr>
      </w:pPr>
      <w:r>
        <w:rPr>
          <w:b/>
          <w:szCs w:val="22"/>
        </w:rPr>
        <w:t xml:space="preserve">Reply Comment </w:t>
      </w:r>
      <w:r>
        <w:rPr>
          <w:b/>
          <w:szCs w:val="22"/>
        </w:rPr>
        <w:t>Date:  [</w:t>
      </w:r>
      <w:r>
        <w:rPr>
          <w:b/>
          <w:szCs w:val="22"/>
        </w:rPr>
        <w:t>35</w:t>
      </w:r>
      <w:r w:rsidRPr="00765DA9">
        <w:rPr>
          <w:b/>
          <w:szCs w:val="22"/>
        </w:rPr>
        <w:t xml:space="preserve"> days after publication in the Federal Register</w:t>
      </w:r>
      <w:r>
        <w:rPr>
          <w:b/>
          <w:szCs w:val="22"/>
        </w:rPr>
        <w:t>]</w:t>
      </w:r>
    </w:p>
    <w:p w:rsidR="008C3223" w:rsidP="008C3223">
      <w:pPr>
        <w:tabs>
          <w:tab w:val="left" w:pos="360"/>
          <w:tab w:val="right" w:leader="dot" w:pos="9360"/>
        </w:tabs>
        <w:rPr>
          <w:szCs w:val="22"/>
        </w:rPr>
      </w:pPr>
    </w:p>
    <w:p w:rsidR="008C3223" w:rsidRPr="00216DE2" w:rsidP="008C3223">
      <w:pPr>
        <w:tabs>
          <w:tab w:val="left" w:pos="360"/>
          <w:tab w:val="right" w:leader="dot" w:pos="9360"/>
        </w:tabs>
        <w:rPr>
          <w:spacing w:val="-2"/>
          <w:szCs w:val="22"/>
        </w:rPr>
      </w:pPr>
      <w:r w:rsidRPr="00765DA9">
        <w:rPr>
          <w:szCs w:val="22"/>
        </w:rPr>
        <w:t>By the</w:t>
      </w:r>
      <w:r w:rsidRPr="00765DA9">
        <w:rPr>
          <w:spacing w:val="-2"/>
          <w:szCs w:val="22"/>
        </w:rPr>
        <w:t xml:space="preserve"> Commission:</w:t>
      </w:r>
    </w:p>
    <w:p w:rsidR="008C3223" w:rsidP="008C3223">
      <w:pPr>
        <w:pStyle w:val="TOCTitle"/>
      </w:pPr>
      <w:bookmarkStart w:id="0" w:name="TOChere"/>
      <w:bookmarkStart w:id="1" w:name="_Hlk504724761"/>
      <w:bookmarkStart w:id="2" w:name="_Hlk504737393"/>
      <w:bookmarkStart w:id="3" w:name="_Toc384127372"/>
      <w:bookmarkStart w:id="4" w:name="_Toc384236056"/>
      <w:bookmarkStart w:id="5" w:name="_Toc384996348"/>
      <w:bookmarkStart w:id="6" w:name="_Toc385257442"/>
      <w:bookmarkStart w:id="7" w:name="_Toc385345086"/>
      <w:bookmarkStart w:id="8" w:name="_Toc385422981"/>
      <w:bookmarkStart w:id="9" w:name="_Toc385946362"/>
      <w:bookmarkStart w:id="10" w:name="_Toc385956737"/>
      <w:bookmarkStart w:id="11" w:name="_Toc386119488"/>
      <w:bookmarkStart w:id="12" w:name="_Toc386202205"/>
      <w:bookmarkStart w:id="13" w:name="_Toc386538020"/>
      <w:bookmarkStart w:id="14" w:name="_Toc386628294"/>
      <w:bookmarkStart w:id="15" w:name="_Toc386647680"/>
      <w:bookmarkStart w:id="16" w:name="_Toc386783819"/>
      <w:bookmarkStart w:id="17" w:name="_Toc388511508"/>
      <w:bookmarkStart w:id="18" w:name="_Toc437358142"/>
      <w:bookmarkStart w:id="19" w:name="_Toc437426652"/>
      <w:bookmarkStart w:id="20" w:name="_Toc437526126"/>
      <w:bookmarkStart w:id="21" w:name="_Toc438049496"/>
      <w:bookmarkStart w:id="22" w:name="_Toc440991903"/>
      <w:bookmarkStart w:id="23" w:name="_Toc440993469"/>
      <w:bookmarkStart w:id="24" w:name="_Toc441043890"/>
      <w:bookmarkStart w:id="25" w:name="_Toc442801768"/>
      <w:bookmarkStart w:id="26" w:name="_Toc442888022"/>
      <w:bookmarkStart w:id="27" w:name="_Toc444868831"/>
      <w:bookmarkStart w:id="28" w:name="_Toc446424591"/>
      <w:bookmarkStart w:id="29" w:name="_Toc447036300"/>
      <w:bookmarkStart w:id="30" w:name="_Toc501619884"/>
      <w:bookmarkStart w:id="31" w:name="_Toc387246407"/>
      <w:r>
        <w:t>Table of Contents</w:t>
      </w:r>
    </w:p>
    <w:p w:rsidR="008C3223" w:rsidP="008C3223">
      <w:pPr>
        <w:pStyle w:val="Paratitle"/>
      </w:pPr>
      <w:r>
        <w:tab/>
        <w:t>Par</w:t>
      </w:r>
      <w:bookmarkStart w:id="32" w:name="start_here"/>
      <w:bookmarkEnd w:id="32"/>
      <w:r>
        <w:t>a.</w:t>
      </w:r>
    </w:p>
    <w:p w:rsidR="008C3223" w:rsidRPr="00FC08C4" w:rsidP="008C3223">
      <w:pPr>
        <w:pStyle w:val="TOC1"/>
        <w:rPr>
          <w:rFonts w:ascii="Calibri" w:hAnsi="Calibri"/>
          <w:caps w:val="0"/>
          <w:snapToGrid/>
          <w:kern w:val="0"/>
          <w:szCs w:val="22"/>
        </w:rPr>
      </w:pPr>
      <w:r w:rsidRPr="00AB4484">
        <w:t>I.</w:t>
      </w:r>
      <w:r w:rsidRPr="00FC08C4">
        <w:rPr>
          <w:rFonts w:ascii="Calibri" w:hAnsi="Calibri"/>
          <w:caps w:val="0"/>
          <w:snapToGrid/>
          <w:kern w:val="0"/>
          <w:szCs w:val="22"/>
        </w:rPr>
        <w:tab/>
      </w:r>
      <w:r w:rsidRPr="00AB4484">
        <w:t>Introduction</w:t>
      </w:r>
      <w:r>
        <w:tab/>
        <w:t>1</w:t>
      </w:r>
    </w:p>
    <w:p w:rsidR="008C3223" w:rsidRPr="00FC08C4" w:rsidP="008C3223">
      <w:pPr>
        <w:pStyle w:val="TOC1"/>
        <w:rPr>
          <w:rFonts w:ascii="Calibri" w:hAnsi="Calibri"/>
          <w:caps w:val="0"/>
          <w:snapToGrid/>
          <w:kern w:val="0"/>
          <w:szCs w:val="22"/>
        </w:rPr>
      </w:pPr>
      <w:r>
        <w:t>II.</w:t>
      </w:r>
      <w:r w:rsidRPr="00FC08C4">
        <w:rPr>
          <w:rFonts w:ascii="Calibri" w:hAnsi="Calibri"/>
          <w:caps w:val="0"/>
          <w:snapToGrid/>
          <w:kern w:val="0"/>
          <w:szCs w:val="22"/>
        </w:rPr>
        <w:tab/>
      </w:r>
      <w:r>
        <w:t>BACKGROUND</w:t>
      </w:r>
      <w:r>
        <w:tab/>
        <w:t>4</w:t>
      </w:r>
    </w:p>
    <w:p w:rsidR="008C3223" w:rsidRPr="00FC08C4" w:rsidP="008C3223">
      <w:pPr>
        <w:pStyle w:val="TOC2"/>
        <w:tabs>
          <w:tab w:val="left" w:pos="360"/>
        </w:tabs>
        <w:rPr>
          <w:rFonts w:ascii="Calibri" w:hAnsi="Calibri"/>
          <w:snapToGrid/>
          <w:kern w:val="0"/>
          <w:szCs w:val="22"/>
        </w:rPr>
      </w:pPr>
      <w:r>
        <w:t>A.</w:t>
      </w:r>
      <w:r w:rsidRPr="00FC08C4">
        <w:rPr>
          <w:rFonts w:ascii="Calibri" w:hAnsi="Calibri"/>
          <w:snapToGrid/>
          <w:kern w:val="0"/>
          <w:szCs w:val="22"/>
        </w:rPr>
        <w:tab/>
      </w:r>
      <w:r>
        <w:t>The Current Access Stimulation Rules</w:t>
      </w:r>
      <w:r>
        <w:tab/>
        <w:t>4</w:t>
      </w:r>
    </w:p>
    <w:p w:rsidR="008C3223" w:rsidRPr="00FC08C4" w:rsidP="008C3223">
      <w:pPr>
        <w:pStyle w:val="TOC2"/>
        <w:tabs>
          <w:tab w:val="left" w:pos="360"/>
        </w:tabs>
        <w:rPr>
          <w:rFonts w:ascii="Calibri" w:hAnsi="Calibri"/>
          <w:snapToGrid/>
          <w:kern w:val="0"/>
          <w:szCs w:val="22"/>
        </w:rPr>
      </w:pPr>
      <w:r>
        <w:t>B.</w:t>
      </w:r>
      <w:r w:rsidRPr="00FC08C4">
        <w:rPr>
          <w:rFonts w:ascii="Calibri" w:hAnsi="Calibri"/>
          <w:snapToGrid/>
          <w:kern w:val="0"/>
          <w:szCs w:val="22"/>
        </w:rPr>
        <w:tab/>
      </w:r>
      <w:r w:rsidRPr="00AB4484">
        <w:rPr>
          <w:shd w:val="clear" w:color="auto" w:fill="FFFFFF"/>
        </w:rPr>
        <w:t xml:space="preserve">Arbitrage Schemes After the </w:t>
      </w:r>
      <w:r w:rsidRPr="00AB4484">
        <w:rPr>
          <w:i/>
          <w:shd w:val="clear" w:color="auto" w:fill="FFFFFF"/>
        </w:rPr>
        <w:t>USF/ICC Transformation Order</w:t>
      </w:r>
      <w:r>
        <w:tab/>
        <w:t>6</w:t>
      </w:r>
    </w:p>
    <w:p w:rsidR="008C3223" w:rsidRPr="00FC08C4" w:rsidP="008C3223">
      <w:pPr>
        <w:pStyle w:val="TOC1"/>
        <w:rPr>
          <w:rFonts w:ascii="Calibri" w:hAnsi="Calibri"/>
          <w:caps w:val="0"/>
          <w:snapToGrid/>
          <w:kern w:val="0"/>
          <w:szCs w:val="22"/>
        </w:rPr>
      </w:pPr>
      <w:r w:rsidRPr="00AB4484">
        <w:t>III.</w:t>
      </w:r>
      <w:r w:rsidRPr="00FC08C4">
        <w:rPr>
          <w:rFonts w:ascii="Calibri" w:hAnsi="Calibri"/>
          <w:caps w:val="0"/>
          <w:snapToGrid/>
          <w:kern w:val="0"/>
          <w:szCs w:val="22"/>
        </w:rPr>
        <w:tab/>
      </w:r>
      <w:r w:rsidRPr="00AB4484">
        <w:t>DISCUSSION</w:t>
      </w:r>
      <w:r>
        <w:tab/>
        <w:t>8</w:t>
      </w:r>
    </w:p>
    <w:p w:rsidR="008C3223" w:rsidRPr="00FC08C4" w:rsidP="008C3223">
      <w:pPr>
        <w:pStyle w:val="TOC2"/>
        <w:tabs>
          <w:tab w:val="left" w:pos="360"/>
        </w:tabs>
        <w:rPr>
          <w:rFonts w:ascii="Calibri" w:hAnsi="Calibri"/>
          <w:snapToGrid/>
          <w:kern w:val="0"/>
          <w:szCs w:val="22"/>
        </w:rPr>
      </w:pPr>
      <w:r>
        <w:t>A.</w:t>
      </w:r>
      <w:r w:rsidRPr="00FC08C4">
        <w:rPr>
          <w:rFonts w:ascii="Calibri" w:hAnsi="Calibri"/>
          <w:snapToGrid/>
          <w:kern w:val="0"/>
          <w:szCs w:val="22"/>
        </w:rPr>
        <w:tab/>
      </w:r>
      <w:r>
        <w:t>Requiring Access-Stimulating LECs Either to Be Financially Responsible for Calls Delivered to Their Networks or to Accept Direct Connections</w:t>
      </w:r>
      <w:r>
        <w:tab/>
        <w:t>9</w:t>
      </w:r>
    </w:p>
    <w:p w:rsidR="008C3223" w:rsidRPr="00FC08C4" w:rsidP="008C3223">
      <w:pPr>
        <w:pStyle w:val="TOC2"/>
        <w:tabs>
          <w:tab w:val="left" w:pos="360"/>
        </w:tabs>
        <w:rPr>
          <w:rFonts w:ascii="Calibri" w:hAnsi="Calibri"/>
          <w:snapToGrid/>
          <w:kern w:val="0"/>
          <w:szCs w:val="22"/>
        </w:rPr>
      </w:pPr>
      <w:r>
        <w:t>B.</w:t>
      </w:r>
      <w:r w:rsidRPr="00FC08C4">
        <w:rPr>
          <w:rFonts w:ascii="Calibri" w:hAnsi="Calibri"/>
          <w:snapToGrid/>
          <w:kern w:val="0"/>
          <w:szCs w:val="22"/>
        </w:rPr>
        <w:tab/>
      </w:r>
      <w:r>
        <w:t>Requiring All Access-Stimulating LECs to Transition to Bill-and-Keep</w:t>
      </w:r>
      <w:r>
        <w:tab/>
        <w:t>24</w:t>
      </w:r>
    </w:p>
    <w:p w:rsidR="008C3223" w:rsidRPr="00FC08C4" w:rsidP="008C3223">
      <w:pPr>
        <w:pStyle w:val="TOC2"/>
        <w:tabs>
          <w:tab w:val="left" w:pos="360"/>
        </w:tabs>
        <w:rPr>
          <w:rFonts w:ascii="Calibri" w:hAnsi="Calibri"/>
          <w:snapToGrid/>
          <w:kern w:val="0"/>
          <w:szCs w:val="22"/>
        </w:rPr>
      </w:pPr>
      <w:r>
        <w:t>C.</w:t>
      </w:r>
      <w:r w:rsidRPr="00FC08C4">
        <w:rPr>
          <w:rFonts w:ascii="Calibri" w:hAnsi="Calibri"/>
          <w:snapToGrid/>
          <w:kern w:val="0"/>
          <w:szCs w:val="22"/>
        </w:rPr>
        <w:tab/>
      </w:r>
      <w:r>
        <w:t>Defining Access Stimulation</w:t>
      </w:r>
      <w:r>
        <w:tab/>
        <w:t>26</w:t>
      </w:r>
    </w:p>
    <w:p w:rsidR="008C3223" w:rsidRPr="00FC08C4" w:rsidP="008C3223">
      <w:pPr>
        <w:pStyle w:val="TOC2"/>
        <w:tabs>
          <w:tab w:val="left" w:pos="360"/>
        </w:tabs>
        <w:rPr>
          <w:rFonts w:ascii="Calibri" w:hAnsi="Calibri"/>
          <w:snapToGrid/>
          <w:kern w:val="0"/>
          <w:szCs w:val="22"/>
        </w:rPr>
      </w:pPr>
      <w:r>
        <w:t>D.</w:t>
      </w:r>
      <w:r w:rsidRPr="00FC08C4">
        <w:rPr>
          <w:rFonts w:ascii="Calibri" w:hAnsi="Calibri"/>
          <w:snapToGrid/>
          <w:kern w:val="0"/>
          <w:szCs w:val="22"/>
        </w:rPr>
        <w:tab/>
      </w:r>
      <w:r>
        <w:t>Addressing Other Arbitrage Schemes, and Alternative Approaches to Arbitrage</w:t>
      </w:r>
      <w:r>
        <w:tab/>
        <w:t>29</w:t>
      </w:r>
    </w:p>
    <w:p w:rsidR="008C3223" w:rsidRPr="00FC08C4" w:rsidP="008C3223">
      <w:pPr>
        <w:pStyle w:val="TOC2"/>
        <w:tabs>
          <w:tab w:val="left" w:pos="360"/>
        </w:tabs>
        <w:rPr>
          <w:rFonts w:ascii="Calibri" w:hAnsi="Calibri"/>
          <w:snapToGrid/>
          <w:kern w:val="0"/>
          <w:szCs w:val="22"/>
        </w:rPr>
      </w:pPr>
      <w:r>
        <w:t>E.</w:t>
      </w:r>
      <w:r w:rsidRPr="00FC08C4">
        <w:rPr>
          <w:rFonts w:ascii="Calibri" w:hAnsi="Calibri"/>
          <w:snapToGrid/>
          <w:kern w:val="0"/>
          <w:szCs w:val="22"/>
        </w:rPr>
        <w:tab/>
      </w:r>
      <w:r>
        <w:t>Other Issues</w:t>
      </w:r>
      <w:r>
        <w:tab/>
        <w:t>34</w:t>
      </w:r>
    </w:p>
    <w:p w:rsidR="008C3223" w:rsidRPr="00FC08C4" w:rsidP="008C3223">
      <w:pPr>
        <w:pStyle w:val="TOC2"/>
        <w:tabs>
          <w:tab w:val="left" w:pos="360"/>
        </w:tabs>
        <w:rPr>
          <w:rFonts w:ascii="Calibri" w:hAnsi="Calibri"/>
          <w:snapToGrid/>
          <w:kern w:val="0"/>
          <w:szCs w:val="22"/>
        </w:rPr>
      </w:pPr>
      <w:r>
        <w:t>F.</w:t>
      </w:r>
      <w:r w:rsidRPr="00FC08C4">
        <w:rPr>
          <w:rFonts w:ascii="Calibri" w:hAnsi="Calibri"/>
          <w:snapToGrid/>
          <w:kern w:val="0"/>
          <w:szCs w:val="22"/>
        </w:rPr>
        <w:tab/>
      </w:r>
      <w:r>
        <w:t>Legal Authority</w:t>
      </w:r>
      <w:r>
        <w:tab/>
        <w:t>36</w:t>
      </w:r>
    </w:p>
    <w:p w:rsidR="008C3223" w:rsidRPr="00FC08C4" w:rsidP="008C3223">
      <w:pPr>
        <w:pStyle w:val="TOC1"/>
        <w:rPr>
          <w:rFonts w:ascii="Calibri" w:hAnsi="Calibri"/>
          <w:caps w:val="0"/>
          <w:snapToGrid/>
          <w:kern w:val="0"/>
          <w:szCs w:val="22"/>
        </w:rPr>
      </w:pPr>
      <w:r w:rsidRPr="00AB4484">
        <w:t>IV.</w:t>
      </w:r>
      <w:r w:rsidRPr="00FC08C4">
        <w:rPr>
          <w:rFonts w:ascii="Calibri" w:hAnsi="Calibri"/>
          <w:caps w:val="0"/>
          <w:snapToGrid/>
          <w:kern w:val="0"/>
          <w:szCs w:val="22"/>
        </w:rPr>
        <w:tab/>
      </w:r>
      <w:r w:rsidRPr="00AB4484">
        <w:t>Rule revisions</w:t>
      </w:r>
      <w:r>
        <w:tab/>
        <w:t>37</w:t>
      </w:r>
    </w:p>
    <w:p w:rsidR="008C3223" w:rsidRPr="00FC08C4" w:rsidP="008C3223">
      <w:pPr>
        <w:pStyle w:val="TOC1"/>
        <w:rPr>
          <w:rFonts w:ascii="Calibri" w:hAnsi="Calibri"/>
          <w:caps w:val="0"/>
          <w:snapToGrid/>
          <w:kern w:val="0"/>
          <w:szCs w:val="22"/>
        </w:rPr>
      </w:pPr>
      <w:r w:rsidRPr="00AB4484">
        <w:t>V.</w:t>
      </w:r>
      <w:r w:rsidRPr="00FC08C4">
        <w:rPr>
          <w:rFonts w:ascii="Calibri" w:hAnsi="Calibri"/>
          <w:caps w:val="0"/>
          <w:snapToGrid/>
          <w:kern w:val="0"/>
          <w:szCs w:val="22"/>
        </w:rPr>
        <w:tab/>
      </w:r>
      <w:r w:rsidRPr="00AB4484">
        <w:t>Procedural Matters</w:t>
      </w:r>
      <w:r>
        <w:tab/>
        <w:t>38</w:t>
      </w:r>
    </w:p>
    <w:p w:rsidR="008C3223" w:rsidRPr="00FC08C4" w:rsidP="008C3223">
      <w:pPr>
        <w:pStyle w:val="TOC1"/>
        <w:rPr>
          <w:rFonts w:ascii="Calibri" w:hAnsi="Calibri"/>
          <w:caps w:val="0"/>
          <w:snapToGrid/>
          <w:kern w:val="0"/>
          <w:szCs w:val="22"/>
        </w:rPr>
      </w:pPr>
      <w:r w:rsidRPr="00AB4484">
        <w:t>VI.</w:t>
      </w:r>
      <w:r w:rsidRPr="00FC08C4">
        <w:rPr>
          <w:rFonts w:ascii="Calibri" w:hAnsi="Calibri"/>
          <w:caps w:val="0"/>
          <w:snapToGrid/>
          <w:kern w:val="0"/>
          <w:szCs w:val="22"/>
        </w:rPr>
        <w:tab/>
      </w:r>
      <w:r w:rsidRPr="00AB4484">
        <w:t>Ordering Clauses</w:t>
      </w:r>
      <w:r>
        <w:tab/>
        <w:t>44</w:t>
      </w:r>
    </w:p>
    <w:p w:rsidR="008C3223" w:rsidRPr="0091631C" w:rsidP="008C3223">
      <w:pPr>
        <w:pStyle w:val="TOC2"/>
        <w:tabs>
          <w:tab w:val="left" w:pos="360"/>
        </w:tabs>
        <w:rPr>
          <w:szCs w:val="22"/>
        </w:rPr>
      </w:pPr>
      <w:bookmarkEnd w:id="0"/>
      <w:r w:rsidRPr="00B578C2">
        <w:rPr>
          <w:szCs w:val="22"/>
        </w:rPr>
        <w:t>APPENDIX A – Proposed Rules</w:t>
      </w:r>
    </w:p>
    <w:p w:rsidR="008C3223" w:rsidRPr="0091631C" w:rsidP="008C3223">
      <w:pPr>
        <w:pStyle w:val="TOC2"/>
        <w:tabs>
          <w:tab w:val="left" w:pos="360"/>
        </w:tabs>
      </w:pPr>
      <w:r>
        <w:rPr>
          <w:szCs w:val="22"/>
        </w:rPr>
        <w:t xml:space="preserve">APPENDIX B – </w:t>
      </w:r>
      <w:r w:rsidRPr="00B578C2">
        <w:rPr>
          <w:szCs w:val="22"/>
        </w:rPr>
        <w:t>Initial Regulatory Flexibility Analysis</w:t>
      </w:r>
    </w:p>
    <w:p w:rsidR="008C3223" w:rsidRPr="004843F0" w:rsidP="008C3223">
      <w:pPr>
        <w:rPr>
          <w:spacing w:val="-2"/>
          <w:szCs w:val="22"/>
        </w:rPr>
      </w:pPr>
      <w:bookmarkEnd w:id="1"/>
      <w:bookmarkEnd w:id="2"/>
    </w:p>
    <w:p w:rsidR="008C3223" w:rsidRPr="00BD3623" w:rsidP="008C3223">
      <w:pPr>
        <w:pStyle w:val="Heading1"/>
        <w:tabs>
          <w:tab w:val="num" w:pos="720"/>
        </w:tabs>
        <w:rPr>
          <w:rFonts w:ascii="Times New Roman" w:hAnsi="Times New Roman"/>
          <w:szCs w:val="22"/>
        </w:rPr>
      </w:pPr>
      <w:bookmarkStart w:id="33" w:name="_Toc502754724"/>
      <w:bookmarkStart w:id="34" w:name="_Toc503186585"/>
      <w:bookmarkStart w:id="35" w:name="_Toc503346258"/>
      <w:bookmarkStart w:id="36" w:name="_Toc503392248"/>
      <w:bookmarkStart w:id="37" w:name="_Toc503868222"/>
      <w:bookmarkStart w:id="38" w:name="_Toc504674557"/>
      <w:bookmarkStart w:id="39" w:name="_Toc504675199"/>
      <w:bookmarkStart w:id="40" w:name="_Toc504724535"/>
      <w:bookmarkStart w:id="41" w:name="_Toc504737255"/>
      <w:bookmarkStart w:id="42" w:name="_Toc505273794"/>
      <w:bookmarkStart w:id="43" w:name="_Toc505671953"/>
      <w:bookmarkStart w:id="44" w:name="_Toc506382508"/>
      <w:bookmarkStart w:id="45" w:name="_Toc507683716"/>
      <w:bookmarkStart w:id="46" w:name="_Toc508018618"/>
      <w:bookmarkStart w:id="47" w:name="_Toc510697463"/>
      <w:bookmarkStart w:id="48" w:name="_Toc511389207"/>
      <w:bookmarkStart w:id="49" w:name="_Toc511389257"/>
      <w:bookmarkStart w:id="50" w:name="_Toc511809343"/>
      <w:bookmarkStart w:id="51" w:name="_Toc511829200"/>
      <w:bookmarkStart w:id="52" w:name="_Toc511908578"/>
      <w:bookmarkStart w:id="53" w:name="_Toc512342130"/>
      <w:bookmarkStart w:id="54" w:name="_Toc512432197"/>
      <w:bookmarkStart w:id="55" w:name="_Toc512602222"/>
      <w:bookmarkStart w:id="56" w:name="_Toc512609405"/>
      <w:bookmarkStart w:id="57" w:name="_Toc513022569"/>
      <w:bookmarkStart w:id="58" w:name="_Toc513112759"/>
      <w:bookmarkStart w:id="59" w:name="_Toc515635360"/>
      <w:bookmarkStart w:id="60" w:name="_Toc515868101"/>
      <w:r w:rsidRPr="00BD3623">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C3223" w:rsidP="008C3223">
      <w:pPr>
        <w:pStyle w:val="ParaNum"/>
        <w:numPr>
          <w:ilvl w:val="0"/>
          <w:numId w:val="12"/>
        </w:numPr>
        <w:tabs>
          <w:tab w:val="clear" w:pos="1080"/>
        </w:tabs>
        <w:snapToGrid w:val="0"/>
        <w:rPr>
          <w:szCs w:val="22"/>
        </w:rPr>
      </w:pPr>
      <w:bookmarkStart w:id="61" w:name="_Hlk501532233"/>
      <w:bookmarkStart w:id="62" w:name="_Toc437358143"/>
      <w:bookmarkStart w:id="63" w:name="_Toc437426653"/>
      <w:bookmarkStart w:id="64" w:name="_Toc437526127"/>
      <w:bookmarkStart w:id="65" w:name="_Toc438049497"/>
      <w:bookmarkStart w:id="66" w:name="_Toc437358145"/>
      <w:bookmarkStart w:id="67" w:name="_Toc437426657"/>
      <w:bookmarkStart w:id="68" w:name="_Toc437526131"/>
      <w:r w:rsidRPr="009539A8">
        <w:rPr>
          <w:szCs w:val="22"/>
        </w:rPr>
        <w:t>The Commission has long recognized that arbitrage opportunities in the intercarrier compensation (ICC) system harm consumers, undermine broadband deployment</w:t>
      </w:r>
      <w:r>
        <w:rPr>
          <w:szCs w:val="22"/>
        </w:rPr>
        <w:t>,</w:t>
      </w:r>
      <w:r w:rsidRPr="009539A8">
        <w:rPr>
          <w:szCs w:val="22"/>
        </w:rPr>
        <w:t xml:space="preserve"> and distort competition.</w:t>
      </w:r>
      <w:r>
        <w:rPr>
          <w:rStyle w:val="FootnoteReference"/>
          <w:szCs w:val="22"/>
        </w:rPr>
        <w:footnoteReference w:id="3"/>
      </w:r>
      <w:r w:rsidRPr="009539A8">
        <w:rPr>
          <w:szCs w:val="22"/>
        </w:rPr>
        <w:t xml:space="preserve">  Despite the Commission’s adoption of a national, default bill-and-keep framework as the ultimate end </w:t>
      </w:r>
      <w:r w:rsidRPr="009539A8">
        <w:rPr>
          <w:szCs w:val="22"/>
        </w:rPr>
        <w:t xml:space="preserve">state </w:t>
      </w:r>
      <w:r>
        <w:rPr>
          <w:szCs w:val="22"/>
        </w:rPr>
        <w:t xml:space="preserve">for the exchange </w:t>
      </w:r>
      <w:r w:rsidRPr="009539A8">
        <w:rPr>
          <w:szCs w:val="22"/>
        </w:rPr>
        <w:t>of all telecommunications traffic and its efforts to reduce wasteful arbitrage,</w:t>
      </w:r>
      <w:r>
        <w:rPr>
          <w:rStyle w:val="FootnoteReference"/>
          <w:szCs w:val="22"/>
        </w:rPr>
        <w:footnoteReference w:id="4"/>
      </w:r>
      <w:r w:rsidRPr="009539A8">
        <w:rPr>
          <w:szCs w:val="22"/>
        </w:rPr>
        <w:t xml:space="preserve"> a variety of arbitrage schemes continue to evolve and once again flourish.</w:t>
      </w:r>
    </w:p>
    <w:p w:rsidR="008C3223" w:rsidP="008C3223">
      <w:pPr>
        <w:pStyle w:val="ParaNum"/>
        <w:numPr>
          <w:ilvl w:val="0"/>
          <w:numId w:val="12"/>
        </w:numPr>
        <w:tabs>
          <w:tab w:val="clear" w:pos="1080"/>
        </w:tabs>
        <w:snapToGrid w:val="0"/>
        <w:rPr>
          <w:szCs w:val="22"/>
        </w:rPr>
      </w:pPr>
      <w:r w:rsidRPr="009539A8">
        <w:rPr>
          <w:szCs w:val="22"/>
        </w:rPr>
        <w:t>In examining the issues in 2011, the Commission found access stimulation to be the most widespread access arbitrage scheme.</w:t>
      </w:r>
      <w:r>
        <w:rPr>
          <w:rStyle w:val="FootnoteReference"/>
          <w:szCs w:val="22"/>
        </w:rPr>
        <w:footnoteReference w:id="5"/>
      </w:r>
      <w:r w:rsidRPr="009539A8">
        <w:rPr>
          <w:szCs w:val="22"/>
        </w:rPr>
        <w:t xml:space="preserve">  </w:t>
      </w:r>
      <w:r>
        <w:rPr>
          <w:szCs w:val="22"/>
        </w:rPr>
        <w:t xml:space="preserve">It appears that continues to be the case today.  </w:t>
      </w:r>
      <w:r w:rsidRPr="00622949">
        <w:rPr>
          <w:szCs w:val="22"/>
        </w:rPr>
        <w:t xml:space="preserve">Access stimulation </w:t>
      </w:r>
      <w:r>
        <w:rPr>
          <w:szCs w:val="22"/>
        </w:rPr>
        <w:t xml:space="preserve">(also known as traffic pumping) </w:t>
      </w:r>
      <w:r w:rsidRPr="00622949">
        <w:rPr>
          <w:szCs w:val="22"/>
        </w:rPr>
        <w:t xml:space="preserve">occurs when a </w:t>
      </w:r>
      <w:r>
        <w:rPr>
          <w:szCs w:val="22"/>
        </w:rPr>
        <w:t>local exchange carrier (</w:t>
      </w:r>
      <w:r w:rsidRPr="00622949">
        <w:rPr>
          <w:szCs w:val="22"/>
        </w:rPr>
        <w:t>LEC</w:t>
      </w:r>
      <w:r>
        <w:rPr>
          <w:szCs w:val="22"/>
        </w:rPr>
        <w:t>)</w:t>
      </w:r>
      <w:r w:rsidRPr="00622949">
        <w:rPr>
          <w:szCs w:val="22"/>
        </w:rPr>
        <w:t xml:space="preserve"> with relatively-high switched access rates enters into an arrangement to terminate calls</w:t>
      </w:r>
      <w:r>
        <w:rPr>
          <w:szCs w:val="22"/>
        </w:rPr>
        <w:t>—often in a remote area—</w:t>
      </w:r>
      <w:r w:rsidRPr="00622949">
        <w:rPr>
          <w:szCs w:val="22"/>
        </w:rPr>
        <w:t>for an entity with a high call volume operation, such as a chat line, adult entertainment calls, and “free” conference calls, collectively high call volume services.</w:t>
      </w:r>
      <w:r>
        <w:rPr>
          <w:rStyle w:val="FootnoteReference"/>
          <w:szCs w:val="22"/>
        </w:rPr>
        <w:footnoteReference w:id="6"/>
      </w:r>
      <w:r>
        <w:rPr>
          <w:szCs w:val="22"/>
        </w:rPr>
        <w:t xml:space="preserve">  The Commission adopted rules governing access-stimulating LECs aimed at reducing their ability to profit from providing access to high call volume services.  </w:t>
      </w:r>
      <w:r w:rsidRPr="009261CF">
        <w:rPr>
          <w:szCs w:val="22"/>
        </w:rPr>
        <w:t xml:space="preserve">To circumvent the Commission’s rules, access-stimulating LECs have adjusted their practices, and now they support </w:t>
      </w:r>
      <w:r>
        <w:rPr>
          <w:szCs w:val="22"/>
        </w:rPr>
        <w:t>such</w:t>
      </w:r>
      <w:r w:rsidRPr="009261CF">
        <w:rPr>
          <w:szCs w:val="22"/>
        </w:rPr>
        <w:t xml:space="preserve"> services by interposing intermediate providers of switched access service not subject to the Commission’s existing access stimulation rules in the call route, thereby increasing the access charges </w:t>
      </w:r>
      <w:r w:rsidRPr="001568E4">
        <w:t>interexchange carriers</w:t>
      </w:r>
      <w:r>
        <w:t xml:space="preserve"> (</w:t>
      </w:r>
      <w:r w:rsidRPr="009261CF">
        <w:rPr>
          <w:szCs w:val="22"/>
        </w:rPr>
        <w:t>IXCs) must pay.</w:t>
      </w:r>
      <w:r>
        <w:rPr>
          <w:rStyle w:val="FootnoteReference"/>
          <w:szCs w:val="22"/>
        </w:rPr>
        <w:footnoteReference w:id="7"/>
      </w:r>
    </w:p>
    <w:p w:rsidR="008C3223" w:rsidRPr="008C3079" w:rsidP="008C3223">
      <w:pPr>
        <w:pStyle w:val="ParaNum"/>
        <w:numPr>
          <w:ilvl w:val="0"/>
          <w:numId w:val="12"/>
        </w:numPr>
        <w:tabs>
          <w:tab w:val="clear" w:pos="1080"/>
          <w:tab w:val="num" w:pos="1440"/>
        </w:tabs>
        <w:snapToGrid w:val="0"/>
        <w:rPr>
          <w:szCs w:val="22"/>
        </w:rPr>
      </w:pPr>
      <w:r w:rsidRPr="006306BF">
        <w:rPr>
          <w:szCs w:val="22"/>
        </w:rPr>
        <w:t xml:space="preserve">In this Notice of Proposed Rulemaking (Notice), to eliminate financial incentives to engage in access stimulation, </w:t>
      </w:r>
      <w:r w:rsidRPr="00AB1D8E">
        <w:rPr>
          <w:szCs w:val="22"/>
        </w:rPr>
        <w:t xml:space="preserve">we propose </w:t>
      </w:r>
      <w:r>
        <w:t>to adopt rules to give access-stimulating LECs</w:t>
      </w:r>
      <w:r>
        <w:rPr>
          <w:rStyle w:val="FootnoteReference"/>
        </w:rPr>
        <w:footnoteReference w:id="8"/>
      </w:r>
      <w:r>
        <w:t xml:space="preserve"> two choices about how they connect to IXCs.</w:t>
      </w:r>
      <w:r>
        <w:rPr>
          <w:rStyle w:val="FootnoteReference"/>
        </w:rPr>
        <w:footnoteReference w:id="9"/>
      </w:r>
      <w:r>
        <w:t xml:space="preserve">  First, an access-stimulating LEC can choose to be financially responsible for calls delivered to its network so it, rather than IXCs, pays for the delivery of calls to its end office or the functional equivalent.  Or, second, instead of accepting this financial responsibility, an access-stimulating</w:t>
      </w:r>
      <w:r w:rsidRPr="001568E4">
        <w:t xml:space="preserve"> </w:t>
      </w:r>
      <w:r>
        <w:t>LEC can</w:t>
      </w:r>
      <w:r w:rsidRPr="001568E4">
        <w:t xml:space="preserve"> </w:t>
      </w:r>
      <w:r>
        <w:t xml:space="preserve">choose to </w:t>
      </w:r>
      <w:r w:rsidRPr="001568E4">
        <w:t>accept direct connections</w:t>
      </w:r>
      <w:r>
        <w:t xml:space="preserve"> either from the IXC or an intermediate access provider of the IXC’s choice</w:t>
      </w:r>
      <w:r w:rsidRPr="001568E4">
        <w:t xml:space="preserve">, allowing IXCs to bypass </w:t>
      </w:r>
      <w:r>
        <w:t>intermediate access providers selected by the access-stimulating LEC</w:t>
      </w:r>
      <w:r w:rsidRPr="001568E4">
        <w:t xml:space="preserve">.  </w:t>
      </w:r>
      <w:r>
        <w:t>In the alternative, we seek comment on moving all traffic bound for an access-stimulating LEC to bill-and-keep.  We</w:t>
      </w:r>
      <w:r w:rsidRPr="001568E4">
        <w:t xml:space="preserve"> also seek comment on additional </w:t>
      </w:r>
      <w:r>
        <w:t xml:space="preserve">alleged ICC </w:t>
      </w:r>
      <w:r w:rsidRPr="001568E4">
        <w:t xml:space="preserve">arbitrage schemes </w:t>
      </w:r>
      <w:r>
        <w:t xml:space="preserve">and </w:t>
      </w:r>
      <w:r w:rsidRPr="001568E4">
        <w:t xml:space="preserve">ways </w:t>
      </w:r>
      <w:r>
        <w:t>to eradicate these</w:t>
      </w:r>
      <w:r w:rsidRPr="001568E4">
        <w:t xml:space="preserve"> schemes</w:t>
      </w:r>
      <w:r>
        <w:t xml:space="preserve">.  </w:t>
      </w:r>
    </w:p>
    <w:p w:rsidR="008C3223" w:rsidRPr="001568E4" w:rsidP="008C3223">
      <w:pPr>
        <w:pStyle w:val="Heading1"/>
        <w:rPr>
          <w:szCs w:val="22"/>
        </w:rPr>
      </w:pPr>
      <w:bookmarkStart w:id="69" w:name="_Toc507683717"/>
      <w:bookmarkStart w:id="70" w:name="_Toc508018619"/>
      <w:bookmarkStart w:id="71" w:name="_Toc510697464"/>
      <w:bookmarkStart w:id="72" w:name="_Toc511389208"/>
      <w:bookmarkStart w:id="73" w:name="_Toc511389258"/>
      <w:bookmarkStart w:id="74" w:name="_Toc511809344"/>
      <w:bookmarkStart w:id="75" w:name="_Toc511829201"/>
      <w:bookmarkStart w:id="76" w:name="_Toc511908579"/>
      <w:bookmarkStart w:id="77" w:name="_Toc512342131"/>
      <w:bookmarkStart w:id="78" w:name="_Toc512432198"/>
      <w:bookmarkStart w:id="79" w:name="_Toc512602223"/>
      <w:bookmarkStart w:id="80" w:name="_Toc512609406"/>
      <w:bookmarkStart w:id="81" w:name="_Toc513022570"/>
      <w:bookmarkStart w:id="82" w:name="_Toc513112760"/>
      <w:bookmarkStart w:id="83" w:name="_Toc515635361"/>
      <w:bookmarkStart w:id="84" w:name="_Toc515868102"/>
      <w:bookmarkStart w:id="85" w:name="_Toc501619885"/>
      <w:bookmarkStart w:id="86" w:name="_Toc502754725"/>
      <w:bookmarkStart w:id="87" w:name="_Toc503186586"/>
      <w:bookmarkStart w:id="88" w:name="_Toc503346259"/>
      <w:bookmarkStart w:id="89" w:name="_Toc503392249"/>
      <w:bookmarkStart w:id="90" w:name="_Toc503868223"/>
      <w:bookmarkStart w:id="91" w:name="_Toc504674558"/>
      <w:bookmarkStart w:id="92" w:name="_Toc504675200"/>
      <w:bookmarkStart w:id="93" w:name="_Toc504724536"/>
      <w:bookmarkStart w:id="94" w:name="_Toc504737256"/>
      <w:bookmarkStart w:id="95" w:name="_Toc505273795"/>
      <w:bookmarkStart w:id="96" w:name="_Toc505671954"/>
      <w:bookmarkStart w:id="97" w:name="_Toc506382509"/>
      <w:bookmarkEnd w:id="61"/>
      <w:r>
        <w:t>BACKGROUND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8C3223" w:rsidRPr="00765DA9" w:rsidP="008C3223">
      <w:pPr>
        <w:pStyle w:val="Heading2"/>
      </w:pPr>
      <w:bookmarkStart w:id="98" w:name="_Toc504674559"/>
      <w:bookmarkStart w:id="99" w:name="_Toc504675201"/>
      <w:bookmarkStart w:id="100" w:name="_Toc504724537"/>
      <w:bookmarkStart w:id="101" w:name="_Toc504737257"/>
      <w:bookmarkStart w:id="102" w:name="_Toc505273796"/>
      <w:bookmarkStart w:id="103" w:name="_Toc505671955"/>
      <w:bookmarkStart w:id="104" w:name="_Toc506382510"/>
      <w:bookmarkStart w:id="105" w:name="_Toc507683718"/>
      <w:bookmarkStart w:id="106" w:name="_Toc508018620"/>
      <w:bookmarkStart w:id="107" w:name="_Toc510697465"/>
      <w:bookmarkStart w:id="108" w:name="_Toc511389209"/>
      <w:bookmarkStart w:id="109" w:name="_Toc511389259"/>
      <w:bookmarkStart w:id="110" w:name="_Toc511809345"/>
      <w:bookmarkStart w:id="111" w:name="_Toc511829202"/>
      <w:bookmarkStart w:id="112" w:name="_Toc511908580"/>
      <w:bookmarkStart w:id="113" w:name="_Toc512342132"/>
      <w:bookmarkStart w:id="114" w:name="_Toc512432199"/>
      <w:bookmarkStart w:id="115" w:name="_Toc512602224"/>
      <w:bookmarkStart w:id="116" w:name="_Toc512609407"/>
      <w:bookmarkStart w:id="117" w:name="_Toc513022571"/>
      <w:bookmarkStart w:id="118" w:name="_Toc513112761"/>
      <w:bookmarkStart w:id="119" w:name="_Toc515635362"/>
      <w:bookmarkStart w:id="120" w:name="_Toc515868103"/>
      <w:bookmarkEnd w:id="85"/>
      <w:bookmarkEnd w:id="86"/>
      <w:bookmarkEnd w:id="87"/>
      <w:bookmarkEnd w:id="88"/>
      <w:bookmarkEnd w:id="89"/>
      <w:bookmarkEnd w:id="90"/>
      <w:bookmarkEnd w:id="91"/>
      <w:bookmarkEnd w:id="92"/>
      <w:bookmarkEnd w:id="93"/>
      <w:bookmarkEnd w:id="94"/>
      <w:bookmarkEnd w:id="95"/>
      <w:bookmarkEnd w:id="96"/>
      <w:bookmarkEnd w:id="97"/>
      <w:r>
        <w:t>The Current Access Stimulation Rules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C3223" w:rsidP="008C3223">
      <w:pPr>
        <w:pStyle w:val="ParaNum"/>
      </w:pPr>
      <w:r>
        <w:t xml:space="preserve">To reduce access stimulation, as part of the </w:t>
      </w:r>
      <w:r>
        <w:rPr>
          <w:i/>
        </w:rPr>
        <w:t>USF</w:t>
      </w:r>
      <w:r w:rsidRPr="00291D35">
        <w:rPr>
          <w:i/>
        </w:rPr>
        <w:t>/ICC Transformation Order</w:t>
      </w:r>
      <w:r>
        <w:t xml:space="preserve">, the Commission defined “access stimulation” as </w:t>
      </w:r>
      <w:r w:rsidRPr="00BD3623">
        <w:t>occurring when two conditions are met.</w:t>
      </w:r>
      <w:r w:rsidRPr="0053000D">
        <w:t xml:space="preserve">  First, the </w:t>
      </w:r>
      <w:r>
        <w:t xml:space="preserve">involved </w:t>
      </w:r>
      <w:r w:rsidRPr="0053000D">
        <w:t>LEC must have a “revenue sharing agreement,” which may be “express, implied, written or oral” that “over the course of the agreement, would directly or indirectly result in a net payment to the other party (including affiliates) to the agreement, in which payment</w:t>
      </w:r>
      <w:r>
        <w:t>”</w:t>
      </w:r>
      <w:r w:rsidRPr="0053000D">
        <w:t xml:space="preserve"> by the LEC is “based on the billing or collection of access charges from interexchange carriers or wireless carriers.”</w:t>
      </w:r>
      <w:r>
        <w:rPr>
          <w:rStyle w:val="FootnoteReference"/>
          <w:szCs w:val="22"/>
        </w:rPr>
        <w:footnoteReference w:id="10"/>
      </w:r>
      <w:bookmarkStart w:id="121" w:name="_Hlk504670256"/>
      <w:r>
        <w:t xml:space="preserve">  </w:t>
      </w:r>
      <w:r w:rsidRPr="00C01E63">
        <w:t>Second, the LEC must also meet one of two traffic tests.  An access-stimulating LEC either has “an interstate terminating-to-originating traffic ratio of at least 3:1 in a calendar month, has had more than a 100 percent growth in interstate originating and/or terminating switched access minutes of use in a month compared to the same month in the preceding year.”</w:t>
      </w:r>
      <w:r>
        <w:rPr>
          <w:rStyle w:val="FootnoteReference"/>
          <w:szCs w:val="22"/>
        </w:rPr>
        <w:footnoteReference w:id="11"/>
      </w:r>
      <w:r>
        <w:t xml:space="preserve">  </w:t>
      </w:r>
      <w:r w:rsidRPr="001016EF">
        <w:rPr>
          <w:szCs w:val="22"/>
        </w:rPr>
        <w:t>Even if a LEC no longer meets either of these traffic tests, once it is considered to have engaged in access stimulation, this regulatory classification persists so long as the LEC maintains any revenue sharing agreement.</w:t>
      </w:r>
      <w:r>
        <w:rPr>
          <w:rStyle w:val="FootnoteReference"/>
          <w:szCs w:val="22"/>
        </w:rPr>
        <w:footnoteReference w:id="12"/>
      </w:r>
    </w:p>
    <w:p w:rsidR="008C3223" w:rsidP="008C3223">
      <w:pPr>
        <w:pStyle w:val="ParaNum"/>
        <w:rPr>
          <w:rStyle w:val="CommentReference"/>
        </w:rPr>
      </w:pPr>
      <w:r w:rsidRPr="00C01E63">
        <w:rPr>
          <w:szCs w:val="22"/>
        </w:rPr>
        <w:t>A LEC that is engaged in access stimulation is required by our rules to reduce its access charges</w:t>
      </w:r>
      <w:r>
        <w:rPr>
          <w:szCs w:val="22"/>
        </w:rPr>
        <w:t xml:space="preserve"> either by adjusting its rates to account for its high traffic volumes (if a rate-of-return LEC) or to reduce its access charges to those of the price cap LEC with the lowest switched access rates in the state (if a competitive LEC).</w:t>
      </w:r>
      <w:r>
        <w:rPr>
          <w:rStyle w:val="FootnoteReference"/>
          <w:szCs w:val="22"/>
        </w:rPr>
        <w:footnoteReference w:id="13"/>
      </w:r>
      <w:r>
        <w:rPr>
          <w:szCs w:val="22"/>
        </w:rPr>
        <w:t xml:space="preserve">  These reduced rates lower the cost to IXCs and the amount received by the LEC and the provider of high call volume services with which it has a revenue sharing agreement.</w:t>
      </w:r>
    </w:p>
    <w:p w:rsidR="008C3223" w:rsidRPr="00765DA9" w:rsidP="008C3223">
      <w:pPr>
        <w:pStyle w:val="Heading2"/>
        <w:rPr>
          <w:shd w:val="clear" w:color="auto" w:fill="FFFFFF"/>
        </w:rPr>
      </w:pPr>
      <w:bookmarkStart w:id="122" w:name="_Toc504674563"/>
      <w:bookmarkStart w:id="123" w:name="_Toc504675205"/>
      <w:bookmarkStart w:id="124" w:name="_Toc504724541"/>
      <w:bookmarkStart w:id="125" w:name="_Toc504737261"/>
      <w:bookmarkStart w:id="126" w:name="_Toc505273800"/>
      <w:bookmarkStart w:id="127" w:name="_Toc505671959"/>
      <w:bookmarkStart w:id="128" w:name="_Toc506382514"/>
      <w:bookmarkStart w:id="129" w:name="_Toc507683720"/>
      <w:bookmarkStart w:id="130" w:name="_Toc508018622"/>
      <w:bookmarkStart w:id="131" w:name="_Toc510697467"/>
      <w:bookmarkStart w:id="132" w:name="_Toc511389210"/>
      <w:bookmarkStart w:id="133" w:name="_Toc511389260"/>
      <w:bookmarkStart w:id="134" w:name="_Toc511809346"/>
      <w:bookmarkStart w:id="135" w:name="_Toc511829203"/>
      <w:bookmarkStart w:id="136" w:name="_Toc511908581"/>
      <w:bookmarkStart w:id="137" w:name="_Toc512342133"/>
      <w:bookmarkStart w:id="138" w:name="_Toc512432200"/>
      <w:bookmarkStart w:id="139" w:name="_Toc512602225"/>
      <w:bookmarkStart w:id="140" w:name="_Toc512609408"/>
      <w:bookmarkStart w:id="141" w:name="_Toc513022572"/>
      <w:bookmarkStart w:id="142" w:name="_Toc513112762"/>
      <w:bookmarkStart w:id="143" w:name="_Toc515635363"/>
      <w:bookmarkStart w:id="144" w:name="_Toc515868104"/>
      <w:bookmarkEnd w:id="121"/>
      <w:r w:rsidRPr="00765DA9">
        <w:rPr>
          <w:shd w:val="clear" w:color="auto" w:fill="FFFFFF"/>
        </w:rPr>
        <w:t xml:space="preserve">Arbitrage Schemes After the </w:t>
      </w:r>
      <w:r w:rsidRPr="00765DA9">
        <w:rPr>
          <w:i/>
          <w:shd w:val="clear" w:color="auto" w:fill="FFFFFF"/>
        </w:rPr>
        <w:t>USF/ICC Transformation Order</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8C3223" w:rsidRPr="00765DA9" w:rsidP="008C3223">
      <w:pPr>
        <w:pStyle w:val="ParaNum"/>
      </w:pPr>
      <w:r>
        <w:t xml:space="preserve">Last year, the Wireline Competition Bureau (Bureau) issued a public notice seeking to refresh the record on ICC issues raised by the Commission in the </w:t>
      </w:r>
      <w:r w:rsidRPr="00C65106">
        <w:rPr>
          <w:i/>
        </w:rPr>
        <w:t>USF/ICC Transformation Order</w:t>
      </w:r>
      <w:r>
        <w:t>.</w:t>
      </w:r>
      <w:r>
        <w:rPr>
          <w:rStyle w:val="FootnoteReference"/>
          <w:szCs w:val="22"/>
        </w:rPr>
        <w:footnoteReference w:id="14"/>
      </w:r>
      <w:r>
        <w:t xml:space="preserve">  In response to that public notice, commenters argue that, notwithstanding </w:t>
      </w:r>
      <w:r w:rsidRPr="00765DA9">
        <w:t>prior Commission action, arbitrage continues as “companies engaged in access stimulation use a variety of tactics to prevent interexchange carriers from avoiding their excessive charges.”</w:t>
      </w:r>
      <w:r>
        <w:rPr>
          <w:rStyle w:val="FootnoteReference"/>
          <w:szCs w:val="22"/>
        </w:rPr>
        <w:footnoteReference w:id="15"/>
      </w:r>
      <w:r>
        <w:t xml:space="preserve">  The record indicates that </w:t>
      </w:r>
      <w:r w:rsidRPr="00BD3623">
        <w:t xml:space="preserve">today’s access arbitrage schemes are often enabled by </w:t>
      </w:r>
      <w:r>
        <w:t>the use of</w:t>
      </w:r>
      <w:r w:rsidRPr="00BD3623">
        <w:t xml:space="preserve"> </w:t>
      </w:r>
      <w:r>
        <w:t>intermediate access providers selected by the terminating LECs</w:t>
      </w:r>
      <w:r w:rsidRPr="00BD3623">
        <w:t>.</w:t>
      </w:r>
      <w:r>
        <w:rPr>
          <w:rStyle w:val="FootnoteReference"/>
        </w:rPr>
        <w:footnoteReference w:id="16"/>
      </w:r>
      <w:r w:rsidRPr="00BD3623">
        <w:t xml:space="preserve">  </w:t>
      </w:r>
      <w:r>
        <w:t>W</w:t>
      </w:r>
      <w:r w:rsidRPr="00BD3623">
        <w:t xml:space="preserve">hen an </w:t>
      </w:r>
      <w:r>
        <w:t>intermediate access provider</w:t>
      </w:r>
      <w:r w:rsidRPr="00BD3623">
        <w:t xml:space="preserve"> is in the call path, the IXC pays access charges</w:t>
      </w:r>
      <w:r>
        <w:t xml:space="preserve"> </w:t>
      </w:r>
      <w:r w:rsidRPr="00180D19">
        <w:t>on a per-minute-of-use (MOU) basis</w:t>
      </w:r>
      <w:r w:rsidRPr="00BD3623">
        <w:t xml:space="preserve"> to the </w:t>
      </w:r>
      <w:r>
        <w:t>intermediate access provider</w:t>
      </w:r>
      <w:r w:rsidRPr="00BD3623">
        <w:t xml:space="preserve"> and </w:t>
      </w:r>
      <w:r>
        <w:t xml:space="preserve">to </w:t>
      </w:r>
      <w:r w:rsidRPr="00BD3623">
        <w:t>the terminating LEC</w:t>
      </w:r>
      <w:r>
        <w:t>.</w:t>
      </w:r>
      <w:r>
        <w:rPr>
          <w:rStyle w:val="FootnoteReference"/>
          <w:szCs w:val="22"/>
        </w:rPr>
        <w:footnoteReference w:id="17"/>
      </w:r>
      <w:r>
        <w:t xml:space="preserve">  This tactic evades existing Commission rules intended to stop access stimulation to the extent that an intermediate access provider is not captured by the definition of “access stimulation,” and thus, is not subject to those rules.</w:t>
      </w:r>
      <w:r>
        <w:rPr>
          <w:rStyle w:val="FootnoteReference"/>
        </w:rPr>
        <w:footnoteReference w:id="18"/>
      </w:r>
    </w:p>
    <w:p w:rsidR="008C3223" w:rsidP="008C3223">
      <w:pPr>
        <w:pStyle w:val="ParaNum"/>
        <w:rPr>
          <w:snapToGrid/>
          <w:szCs w:val="22"/>
        </w:rPr>
      </w:pPr>
      <w:r w:rsidRPr="00F33306">
        <w:rPr>
          <w:snapToGrid/>
          <w:szCs w:val="22"/>
        </w:rPr>
        <w:t>Recent complaint</w:t>
      </w:r>
      <w:r>
        <w:rPr>
          <w:snapToGrid/>
          <w:szCs w:val="22"/>
        </w:rPr>
        <w:t xml:space="preserve"> activity</w:t>
      </w:r>
      <w:r w:rsidRPr="00F33306">
        <w:rPr>
          <w:snapToGrid/>
          <w:szCs w:val="22"/>
        </w:rPr>
        <w:t xml:space="preserve"> </w:t>
      </w:r>
      <w:r>
        <w:rPr>
          <w:snapToGrid/>
          <w:szCs w:val="22"/>
        </w:rPr>
        <w:t xml:space="preserve">suggests </w:t>
      </w:r>
      <w:r w:rsidRPr="00F33306">
        <w:rPr>
          <w:snapToGrid/>
          <w:szCs w:val="22"/>
        </w:rPr>
        <w:t>that much of the post-</w:t>
      </w:r>
      <w:r w:rsidRPr="00F33306">
        <w:rPr>
          <w:i/>
          <w:snapToGrid/>
          <w:szCs w:val="22"/>
        </w:rPr>
        <w:t>USF/ICC Transformation Order</w:t>
      </w:r>
      <w:r w:rsidRPr="00F33306">
        <w:rPr>
          <w:snapToGrid/>
          <w:szCs w:val="22"/>
        </w:rPr>
        <w:t xml:space="preserve"> access arbitrage activity specifically involves LECs that use </w:t>
      </w:r>
      <w:r>
        <w:rPr>
          <w:snapToGrid/>
          <w:szCs w:val="22"/>
        </w:rPr>
        <w:t>centralized equal access (CEA)</w:t>
      </w:r>
      <w:r w:rsidRPr="00F33306">
        <w:rPr>
          <w:snapToGrid/>
          <w:szCs w:val="22"/>
        </w:rPr>
        <w:t xml:space="preserve"> providers to connect to IXCs.</w:t>
      </w:r>
      <w:r>
        <w:rPr>
          <w:rStyle w:val="FootnoteReference"/>
          <w:snapToGrid/>
          <w:szCs w:val="22"/>
        </w:rPr>
        <w:footnoteReference w:id="19"/>
      </w:r>
      <w:r w:rsidRPr="00F33306">
        <w:rPr>
          <w:snapToGrid/>
          <w:szCs w:val="22"/>
        </w:rPr>
        <w:t xml:space="preserve">  CEA providers are a specialized type of </w:t>
      </w:r>
      <w:r>
        <w:rPr>
          <w:snapToGrid/>
          <w:szCs w:val="22"/>
        </w:rPr>
        <w:t>intermediate access provider</w:t>
      </w:r>
      <w:r w:rsidRPr="00F33306">
        <w:rPr>
          <w:snapToGrid/>
          <w:szCs w:val="22"/>
        </w:rPr>
        <w:t xml:space="preserve"> </w:t>
      </w:r>
      <w:r w:rsidRPr="00F33306">
        <w:rPr>
          <w:snapToGrid/>
          <w:szCs w:val="22"/>
        </w:rPr>
        <w:t>that were formed</w:t>
      </w:r>
      <w:r>
        <w:rPr>
          <w:snapToGrid/>
          <w:szCs w:val="22"/>
        </w:rPr>
        <w:t xml:space="preserve"> in the 1980s</w:t>
      </w:r>
      <w:r w:rsidRPr="00F33306">
        <w:rPr>
          <w:snapToGrid/>
          <w:szCs w:val="22"/>
        </w:rPr>
        <w:t xml:space="preserve"> to implement long distance equal access obligations (permitting end users to use 1+ dialing to reach the IXC of their choice) and to aggregate traffic for connection between rural incumbent LECs and other networks, particularly those of IXCs.</w:t>
      </w:r>
      <w:r>
        <w:rPr>
          <w:rStyle w:val="FootnoteReference"/>
          <w:snapToGrid/>
          <w:szCs w:val="22"/>
        </w:rPr>
        <w:footnoteReference w:id="20"/>
      </w:r>
      <w:r w:rsidRPr="00F33306">
        <w:rPr>
          <w:snapToGrid/>
          <w:szCs w:val="22"/>
        </w:rPr>
        <w:t xml:space="preserve">  There are currently three CEA providers, and the LECs that use them (subtending LECs)</w:t>
      </w:r>
      <w:r w:rsidRPr="00F33306">
        <w:rPr>
          <w:snapToGrid/>
          <w:szCs w:val="22"/>
        </w:rPr>
        <w:t xml:space="preserve"> </w:t>
      </w:r>
      <w:r w:rsidRPr="00F33306">
        <w:rPr>
          <w:snapToGrid/>
          <w:szCs w:val="22"/>
        </w:rPr>
        <w:t>have traditionally been reliant on CEA providers for this equal access implementation as well as traffic measurement</w:t>
      </w:r>
      <w:r>
        <w:rPr>
          <w:snapToGrid/>
          <w:szCs w:val="22"/>
        </w:rPr>
        <w:t xml:space="preserve"> and billing</w:t>
      </w:r>
      <w:r w:rsidRPr="00F33306">
        <w:rPr>
          <w:snapToGrid/>
          <w:szCs w:val="22"/>
        </w:rPr>
        <w:t>.</w:t>
      </w:r>
      <w:r>
        <w:rPr>
          <w:rStyle w:val="FootnoteReference"/>
          <w:snapToGrid/>
          <w:szCs w:val="22"/>
        </w:rPr>
        <w:footnoteReference w:id="21"/>
      </w:r>
    </w:p>
    <w:p w:rsidR="008C3223" w:rsidRPr="00BD3623" w:rsidP="008C3223">
      <w:pPr>
        <w:pStyle w:val="Heading1"/>
        <w:rPr>
          <w:rFonts w:ascii="Times New Roman" w:hAnsi="Times New Roman"/>
          <w:szCs w:val="22"/>
        </w:rPr>
      </w:pPr>
      <w:bookmarkStart w:id="145" w:name="_Toc504674564"/>
      <w:bookmarkStart w:id="146" w:name="_Toc504675206"/>
      <w:bookmarkStart w:id="147" w:name="_Toc504724542"/>
      <w:bookmarkStart w:id="148" w:name="_Toc504737262"/>
      <w:bookmarkStart w:id="149" w:name="_Toc505273801"/>
      <w:bookmarkStart w:id="150" w:name="_Toc505671960"/>
      <w:bookmarkStart w:id="151" w:name="_Toc506382516"/>
      <w:bookmarkStart w:id="152" w:name="_Toc507683722"/>
      <w:bookmarkStart w:id="153" w:name="_Toc508018624"/>
      <w:bookmarkStart w:id="154" w:name="_Toc510697469"/>
      <w:bookmarkStart w:id="155" w:name="_Toc511389211"/>
      <w:bookmarkStart w:id="156" w:name="_Toc511389261"/>
      <w:bookmarkStart w:id="157" w:name="_Toc511809347"/>
      <w:bookmarkStart w:id="158" w:name="_Toc511829204"/>
      <w:bookmarkStart w:id="159" w:name="_Toc511908582"/>
      <w:bookmarkStart w:id="160" w:name="_Toc512342134"/>
      <w:bookmarkStart w:id="161" w:name="_Toc512432201"/>
      <w:bookmarkStart w:id="162" w:name="_Toc512602226"/>
      <w:bookmarkStart w:id="163" w:name="_Toc512609409"/>
      <w:bookmarkStart w:id="164" w:name="_Toc513022573"/>
      <w:bookmarkStart w:id="165" w:name="_Toc513112763"/>
      <w:bookmarkStart w:id="166" w:name="_Toc515635364"/>
      <w:bookmarkStart w:id="167" w:name="_Toc515868105"/>
      <w:bookmarkStart w:id="168" w:name="_Toc501619887"/>
      <w:bookmarkStart w:id="169" w:name="_Toc502754727"/>
      <w:bookmarkStart w:id="170" w:name="_Toc503186588"/>
      <w:bookmarkStart w:id="171" w:name="_Toc503346261"/>
      <w:bookmarkStart w:id="172" w:name="_Toc503392251"/>
      <w:bookmarkStart w:id="173" w:name="_Toc503868225"/>
      <w:bookmarkStart w:id="174" w:name="_Hlk501532794"/>
      <w:r w:rsidRPr="00BD3623">
        <w:rPr>
          <w:rFonts w:ascii="Times New Roman" w:hAnsi="Times New Roman"/>
          <w:szCs w:val="22"/>
        </w:rPr>
        <w:t>DISCUSSION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8C3223" w:rsidP="008C3223">
      <w:pPr>
        <w:pStyle w:val="ParaNum"/>
        <w:numPr>
          <w:ilvl w:val="0"/>
          <w:numId w:val="12"/>
        </w:numPr>
        <w:tabs>
          <w:tab w:val="clear" w:pos="1080"/>
          <w:tab w:val="num" w:pos="1440"/>
        </w:tabs>
        <w:snapToGrid w:val="0"/>
        <w:rPr>
          <w:szCs w:val="22"/>
        </w:rPr>
      </w:pPr>
      <w:bookmarkStart w:id="175" w:name="_Toc504674565"/>
      <w:bookmarkStart w:id="176" w:name="_Toc504675207"/>
      <w:bookmarkEnd w:id="168"/>
      <w:bookmarkEnd w:id="169"/>
      <w:bookmarkEnd w:id="170"/>
      <w:bookmarkEnd w:id="171"/>
      <w:bookmarkEnd w:id="172"/>
      <w:bookmarkEnd w:id="173"/>
      <w:r>
        <w:rPr>
          <w:szCs w:val="22"/>
        </w:rPr>
        <w:t xml:space="preserve">We propose solutions to </w:t>
      </w:r>
      <w:r w:rsidRPr="00765DA9">
        <w:rPr>
          <w:szCs w:val="22"/>
        </w:rPr>
        <w:t xml:space="preserve">the </w:t>
      </w:r>
      <w:r>
        <w:rPr>
          <w:szCs w:val="22"/>
        </w:rPr>
        <w:t xml:space="preserve">persistent, </w:t>
      </w:r>
      <w:r w:rsidRPr="00765DA9">
        <w:rPr>
          <w:szCs w:val="22"/>
        </w:rPr>
        <w:t>costly</w:t>
      </w:r>
      <w:r>
        <w:rPr>
          <w:szCs w:val="22"/>
        </w:rPr>
        <w:t>,</w:t>
      </w:r>
      <w:r w:rsidRPr="00765DA9">
        <w:rPr>
          <w:szCs w:val="22"/>
        </w:rPr>
        <w:t xml:space="preserve"> and inefficient </w:t>
      </w:r>
      <w:r>
        <w:rPr>
          <w:szCs w:val="22"/>
        </w:rPr>
        <w:t xml:space="preserve">access stimulation </w:t>
      </w:r>
      <w:r w:rsidRPr="00765DA9">
        <w:rPr>
          <w:szCs w:val="22"/>
        </w:rPr>
        <w:t xml:space="preserve">arbitrage scheme described here </w:t>
      </w:r>
      <w:r>
        <w:rPr>
          <w:szCs w:val="22"/>
        </w:rPr>
        <w:t xml:space="preserve">and seek comment on how to prevent other types of </w:t>
      </w:r>
      <w:r w:rsidRPr="00765DA9">
        <w:rPr>
          <w:szCs w:val="22"/>
        </w:rPr>
        <w:t>arbitrage</w:t>
      </w:r>
      <w:r>
        <w:rPr>
          <w:szCs w:val="22"/>
        </w:rPr>
        <w:t>.  We are mindful of the fact that practices adjust to regulatory change; therefore we invite comment on how to avoid introducing incentives for new types of arbitrage to arise.</w:t>
      </w:r>
    </w:p>
    <w:p w:rsidR="008C3223" w:rsidRPr="00765DA9" w:rsidP="008C3223">
      <w:pPr>
        <w:pStyle w:val="Heading2"/>
        <w:numPr>
          <w:ilvl w:val="1"/>
          <w:numId w:val="14"/>
        </w:numPr>
      </w:pPr>
      <w:bookmarkStart w:id="177" w:name="_Toc511389212"/>
      <w:bookmarkStart w:id="178" w:name="_Toc511389262"/>
      <w:bookmarkStart w:id="179" w:name="_Toc511809348"/>
      <w:bookmarkStart w:id="180" w:name="_Toc511829205"/>
      <w:bookmarkStart w:id="181" w:name="_Toc511908583"/>
      <w:bookmarkStart w:id="182" w:name="_Toc512342135"/>
      <w:bookmarkStart w:id="183" w:name="_Toc512432202"/>
      <w:bookmarkStart w:id="184" w:name="_Toc512602227"/>
      <w:bookmarkStart w:id="185" w:name="_Toc512609410"/>
      <w:bookmarkStart w:id="186" w:name="_Toc513022574"/>
      <w:bookmarkStart w:id="187" w:name="_Toc513112764"/>
      <w:bookmarkStart w:id="188" w:name="_Toc515635365"/>
      <w:bookmarkStart w:id="189" w:name="_Toc515868106"/>
      <w:bookmarkStart w:id="190" w:name="_Hlk505091652"/>
      <w:bookmarkStart w:id="191" w:name="_Toc501015537"/>
      <w:bookmarkStart w:id="192" w:name="_Toc500949131"/>
      <w:bookmarkStart w:id="193" w:name="_Toc500782492"/>
      <w:bookmarkStart w:id="194" w:name="_Toc500780591"/>
      <w:bookmarkStart w:id="195" w:name="_Toc500768441"/>
      <w:bookmarkStart w:id="196" w:name="_Toc504737263"/>
      <w:bookmarkStart w:id="197" w:name="_Toc504724543"/>
      <w:bookmarkStart w:id="198" w:name="_Toc505273802"/>
      <w:r>
        <w:t>Requiring Access-Stimulating LECs Either to Be Financially Responsible for Calls Delivered to Their Network</w:t>
      </w:r>
      <w:bookmarkEnd w:id="177"/>
      <w:bookmarkEnd w:id="178"/>
      <w:r>
        <w:t xml:space="preserve">s or to </w:t>
      </w:r>
      <w:r w:rsidRPr="00CF61D6">
        <w:rPr>
          <w:szCs w:val="22"/>
        </w:rPr>
        <w:t>Accept Direct Connections</w:t>
      </w:r>
      <w:bookmarkEnd w:id="179"/>
      <w:bookmarkEnd w:id="180"/>
      <w:bookmarkEnd w:id="181"/>
      <w:bookmarkEnd w:id="182"/>
      <w:bookmarkEnd w:id="183"/>
      <w:bookmarkEnd w:id="184"/>
      <w:bookmarkEnd w:id="185"/>
      <w:bookmarkEnd w:id="186"/>
      <w:bookmarkEnd w:id="187"/>
      <w:bookmarkEnd w:id="188"/>
      <w:bookmarkEnd w:id="189"/>
    </w:p>
    <w:p w:rsidR="008C3223" w:rsidP="008C3223">
      <w:pPr>
        <w:pStyle w:val="ParaNum"/>
        <w:tabs>
          <w:tab w:val="left" w:pos="1440"/>
        </w:tabs>
        <w:rPr>
          <w:szCs w:val="22"/>
        </w:rPr>
      </w:pPr>
      <w:bookmarkEnd w:id="190"/>
      <w:r>
        <w:rPr>
          <w:szCs w:val="22"/>
        </w:rPr>
        <w:t xml:space="preserve">To rid the ICC system of the inefficiencies caused by access stimulation relating to intermediate access providers, </w:t>
      </w:r>
      <w:bookmarkStart w:id="199" w:name="_Hlk513025350"/>
      <w:r>
        <w:rPr>
          <w:szCs w:val="22"/>
        </w:rPr>
        <w:t>we propose to require access-stimulating LECs to choose either to:  (i) bear the financial responsibility for the delivery of terminating traffic to their end office,</w:t>
      </w:r>
      <w:r>
        <w:rPr>
          <w:rStyle w:val="FootnoteReference"/>
          <w:szCs w:val="22"/>
        </w:rPr>
        <w:footnoteReference w:id="22"/>
      </w:r>
      <w:r>
        <w:rPr>
          <w:szCs w:val="22"/>
        </w:rPr>
        <w:t xml:space="preserve"> or functional equivalent, or; (ii) accept </w:t>
      </w:r>
      <w:r>
        <w:t>direct connections from either the IXC or an intermediate access provider of the IXC’s choice</w:t>
      </w:r>
      <w:r>
        <w:rPr>
          <w:szCs w:val="22"/>
        </w:rPr>
        <w:t>.</w:t>
      </w:r>
      <w:r>
        <w:rPr>
          <w:rStyle w:val="FootnoteReference"/>
          <w:szCs w:val="22"/>
        </w:rPr>
        <w:footnoteReference w:id="23"/>
      </w:r>
    </w:p>
    <w:p w:rsidR="008C3223" w:rsidP="008C3223">
      <w:pPr>
        <w:pStyle w:val="ParaNum"/>
        <w:tabs>
          <w:tab w:val="left" w:pos="1440"/>
        </w:tabs>
        <w:rPr>
          <w:szCs w:val="22"/>
        </w:rPr>
      </w:pPr>
      <w:bookmarkEnd w:id="199"/>
      <w:r w:rsidRPr="00D60DE6">
        <w:rPr>
          <w:i/>
          <w:szCs w:val="22"/>
        </w:rPr>
        <w:t>Revised Financial Responsibility</w:t>
      </w:r>
      <w:r w:rsidRPr="00D60DE6">
        <w:rPr>
          <w:szCs w:val="22"/>
        </w:rPr>
        <w:t xml:space="preserve">. </w:t>
      </w:r>
      <w:r w:rsidRPr="00D60DE6">
        <w:rPr>
          <w:i/>
          <w:szCs w:val="22"/>
        </w:rPr>
        <w:t xml:space="preserve"> </w:t>
      </w:r>
      <w:r w:rsidRPr="00D60DE6">
        <w:rPr>
          <w:szCs w:val="22"/>
        </w:rPr>
        <w:t>We seek comment on the first prong of our proposal and the impact it will have on access stimulation schemes.  Under this prong, a</w:t>
      </w:r>
      <w:r>
        <w:rPr>
          <w:szCs w:val="22"/>
        </w:rPr>
        <w:t>n access-stimulating</w:t>
      </w:r>
      <w:r w:rsidRPr="00D60DE6">
        <w:rPr>
          <w:szCs w:val="22"/>
        </w:rPr>
        <w:t xml:space="preserve"> LEC </w:t>
      </w:r>
      <w:r>
        <w:rPr>
          <w:szCs w:val="22"/>
        </w:rPr>
        <w:t xml:space="preserve">that does not offer direct connections to IXCs </w:t>
      </w:r>
      <w:r w:rsidRPr="00D60DE6">
        <w:rPr>
          <w:szCs w:val="22"/>
        </w:rPr>
        <w:t xml:space="preserve">would bear all financial responsibility for applicable </w:t>
      </w:r>
      <w:r>
        <w:rPr>
          <w:szCs w:val="22"/>
        </w:rPr>
        <w:t>intermediate access provider</w:t>
      </w:r>
      <w:r w:rsidRPr="00D60DE6">
        <w:rPr>
          <w:szCs w:val="22"/>
        </w:rPr>
        <w:t xml:space="preserve"> terminating charges normally assessed to an IXC</w:t>
      </w:r>
      <w:r>
        <w:rPr>
          <w:szCs w:val="22"/>
        </w:rPr>
        <w:t xml:space="preserve"> (from the point of indirect interconnection to the access-stimulating LEC’s end office or functional equivalent)</w:t>
      </w:r>
      <w:r w:rsidRPr="00D60DE6">
        <w:rPr>
          <w:szCs w:val="22"/>
        </w:rPr>
        <w:t xml:space="preserve">, </w:t>
      </w:r>
      <w:r>
        <w:rPr>
          <w:szCs w:val="22"/>
        </w:rPr>
        <w:t xml:space="preserve">and would be prohibited from </w:t>
      </w:r>
      <w:r w:rsidRPr="00D60DE6">
        <w:rPr>
          <w:szCs w:val="22"/>
        </w:rPr>
        <w:t>assessing transport charges</w:t>
      </w:r>
      <w:r>
        <w:rPr>
          <w:szCs w:val="22"/>
        </w:rPr>
        <w:t xml:space="preserve"> for any portion of transport </w:t>
      </w:r>
      <w:r w:rsidRPr="00D60DE6">
        <w:rPr>
          <w:szCs w:val="22"/>
        </w:rPr>
        <w:t xml:space="preserve">between the </w:t>
      </w:r>
      <w:r>
        <w:rPr>
          <w:szCs w:val="22"/>
        </w:rPr>
        <w:t>intermediate access provider</w:t>
      </w:r>
      <w:r w:rsidRPr="00D60DE6">
        <w:rPr>
          <w:szCs w:val="22"/>
        </w:rPr>
        <w:t xml:space="preserve"> and the LEC’s end office</w:t>
      </w:r>
      <w:r>
        <w:rPr>
          <w:szCs w:val="22"/>
        </w:rPr>
        <w:t xml:space="preserve"> or functional equivalent that the LEC, itself, provides</w:t>
      </w:r>
      <w:r w:rsidRPr="00D60DE6">
        <w:rPr>
          <w:szCs w:val="22"/>
        </w:rPr>
        <w:t>.</w:t>
      </w:r>
      <w:r>
        <w:rPr>
          <w:szCs w:val="22"/>
        </w:rPr>
        <w:t xml:space="preserve">  </w:t>
      </w:r>
      <w:r w:rsidRPr="00D60DE6">
        <w:rPr>
          <w:szCs w:val="22"/>
        </w:rPr>
        <w:t xml:space="preserve">What are the advantages of </w:t>
      </w:r>
      <w:r>
        <w:rPr>
          <w:szCs w:val="22"/>
        </w:rPr>
        <w:t xml:space="preserve">placing </w:t>
      </w:r>
      <w:r w:rsidRPr="00D60DE6">
        <w:rPr>
          <w:szCs w:val="22"/>
        </w:rPr>
        <w:t>the financial responsibility for delivery of traffic to its end office, or functional equivalent</w:t>
      </w:r>
      <w:r>
        <w:rPr>
          <w:szCs w:val="22"/>
        </w:rPr>
        <w:t>, on the access-stimulating LEC</w:t>
      </w:r>
      <w:r w:rsidRPr="00D60DE6">
        <w:rPr>
          <w:szCs w:val="22"/>
        </w:rPr>
        <w:t>?  Are there disadvantages?</w:t>
      </w:r>
    </w:p>
    <w:p w:rsidR="008C3223" w:rsidP="008C3223">
      <w:pPr>
        <w:pStyle w:val="ParaNum"/>
        <w:tabs>
          <w:tab w:val="left" w:pos="1440"/>
        </w:tabs>
        <w:rPr>
          <w:szCs w:val="22"/>
        </w:rPr>
      </w:pPr>
      <w:r>
        <w:rPr>
          <w:szCs w:val="22"/>
        </w:rPr>
        <w:t>What implementation issues does this part of our proposal raise?  What steps would intermediate access providers need to take to bill access-stimulating LECs for terminating access and to not bill IXCs?  How much time do access-stimulating LECs and intermediate access providers need to make modifications necessary to accomplish this proposed change in financial responsibility?  We propose to require carriers to come into compliance with these requirements within 45 days of the effective date of any revised rule.  Is that timeframe sufficient?  For example, is it possible to implement necessary billing system changes within that time frame?  We similarly propose to require any carriers that newly qualify as access-stimulating LECs to come into compliance with these requirements within 45 days of such qualification.</w:t>
      </w:r>
    </w:p>
    <w:p w:rsidR="008C3223" w:rsidP="008C3223">
      <w:pPr>
        <w:pStyle w:val="ParaNum"/>
      </w:pPr>
      <w:bookmarkStart w:id="200" w:name="_Hlk513031678"/>
      <w:r>
        <w:t>For purposes of this proposal, we propose to define “intermediate access provider” as “</w:t>
      </w:r>
      <w:r w:rsidRPr="00AA08E1">
        <w:t xml:space="preserve">any entity that carries or processes traffic at any point between the final </w:t>
      </w:r>
      <w:r>
        <w:t>i</w:t>
      </w:r>
      <w:r w:rsidRPr="00AA08E1">
        <w:t xml:space="preserve">nterexchange </w:t>
      </w:r>
      <w:r>
        <w:t>c</w:t>
      </w:r>
      <w:r w:rsidRPr="00AA08E1">
        <w:t xml:space="preserve">arrier in a call path and the carrier providing </w:t>
      </w:r>
      <w:r>
        <w:t>e</w:t>
      </w:r>
      <w:r w:rsidRPr="00AA08E1">
        <w:t xml:space="preserve">nd </w:t>
      </w:r>
      <w:r>
        <w:t>o</w:t>
      </w:r>
      <w:r w:rsidRPr="00AA08E1">
        <w:t xml:space="preserve">ffice </w:t>
      </w:r>
      <w:r>
        <w:t>a</w:t>
      </w:r>
      <w:r w:rsidRPr="00AA08E1">
        <w:t xml:space="preserve">ccess </w:t>
      </w:r>
      <w:r>
        <w:t>s</w:t>
      </w:r>
      <w:r w:rsidRPr="00AA08E1">
        <w:t>ervice.</w:t>
      </w:r>
      <w:r>
        <w:t>”</w:t>
      </w:r>
      <w:r>
        <w:rPr>
          <w:rStyle w:val="FootnoteReference"/>
          <w:szCs w:val="22"/>
        </w:rPr>
        <w:footnoteReference w:id="24"/>
      </w:r>
      <w:r>
        <w:t xml:space="preserve">  We seek comment on the use of this definition in this context.  Does it adequately capture the types of intermediate access providers currently benefiting from access stimulation schemes?  Is it too narrow or too broad?</w:t>
      </w:r>
      <w:bookmarkEnd w:id="200"/>
    </w:p>
    <w:p w:rsidR="008C3223" w:rsidRPr="00E53385" w:rsidP="008C3223">
      <w:pPr>
        <w:pStyle w:val="ParaNum"/>
        <w:tabs>
          <w:tab w:val="left" w:pos="1440"/>
        </w:tabs>
        <w:rPr>
          <w:szCs w:val="22"/>
        </w:rPr>
      </w:pPr>
      <w:bookmarkStart w:id="201" w:name="_Toc500782493"/>
      <w:bookmarkStart w:id="202" w:name="_Toc500780592"/>
      <w:bookmarkStart w:id="203" w:name="_Toc500768442"/>
      <w:bookmarkStart w:id="204" w:name="_Toc500949132"/>
      <w:bookmarkStart w:id="205" w:name="_Toc501015538"/>
      <w:bookmarkStart w:id="206" w:name="_Toc505273804"/>
      <w:bookmarkStart w:id="207" w:name="_Toc505671963"/>
      <w:bookmarkStart w:id="208" w:name="_Toc506382518"/>
      <w:bookmarkEnd w:id="191"/>
      <w:bookmarkEnd w:id="192"/>
      <w:bookmarkEnd w:id="193"/>
      <w:bookmarkEnd w:id="194"/>
      <w:bookmarkEnd w:id="195"/>
      <w:bookmarkEnd w:id="196"/>
      <w:bookmarkEnd w:id="197"/>
      <w:bookmarkEnd w:id="198"/>
      <w:r>
        <w:rPr>
          <w:rStyle w:val="PageNumber"/>
          <w:i/>
          <w:szCs w:val="22"/>
        </w:rPr>
        <w:t>Direct Connection</w:t>
      </w:r>
      <w:r>
        <w:rPr>
          <w:rStyle w:val="PageNumber"/>
          <w:szCs w:val="22"/>
        </w:rPr>
        <w:t xml:space="preserve">. </w:t>
      </w:r>
      <w:r>
        <w:rPr>
          <w:rStyle w:val="PageNumber"/>
          <w:i/>
          <w:szCs w:val="22"/>
        </w:rPr>
        <w:t xml:space="preserve"> </w:t>
      </w:r>
      <w:r w:rsidRPr="00054697">
        <w:rPr>
          <w:rStyle w:val="PageNumber"/>
          <w:szCs w:val="22"/>
        </w:rPr>
        <w:t xml:space="preserve">Commenters </w:t>
      </w:r>
      <w:r>
        <w:t>have argued that the volume of traffic bound for access-stimulating LECs justifies direct connections, but allege that access-stimulating LECs currently refuse to accept such connections.</w:t>
      </w:r>
      <w:r>
        <w:rPr>
          <w:rStyle w:val="FootnoteReference"/>
        </w:rPr>
        <w:footnoteReference w:id="25"/>
      </w:r>
      <w:r>
        <w:t xml:space="preserve">  Direct connections do not pass through intermediate switches and are offered on a capacity basis at monthly-recurring rates, as opposed to a per-MOU rate.  If there is a sufficient volume of traffic, the monthly charges for direct connections can often be substantially lower than per-MOU rates for an equivalent amount of traffic.</w:t>
      </w:r>
      <w:r>
        <w:rPr>
          <w:rStyle w:val="FootnoteReference"/>
        </w:rPr>
        <w:footnoteReference w:id="26"/>
      </w:r>
      <w:r>
        <w:t xml:space="preserve">  As the second prong of our proposal, we propose to provide access-stimulating LECs the option to offer to connect directly to the IXC or an intermediate access provider of the IXC’s choice</w:t>
      </w:r>
      <w:r>
        <w:rPr>
          <w:rStyle w:val="FootnoteReference"/>
        </w:rPr>
        <w:footnoteReference w:id="27"/>
      </w:r>
      <w:r>
        <w:t xml:space="preserve"> as an alternative to bearing financial responsibility for intermediate access provider charges and ceasing to bill their own transport charges.  Under this proposal, IXCs would have the option of selecting an intermediate access provider that would bill the IXC for transport to the access-stimulating LEC on a dedicated basis.  We seek comment on this proposal and on how best to implement it.  </w:t>
      </w:r>
      <w:bookmarkStart w:id="209" w:name="_Hlk512962486"/>
      <w:r>
        <w:t>We note that as a result of this election, an IXC would have the choice to connect with an access-stimulating LEC directly or indirectly through the LEC’s existing intermediate access provider or another IXC directly connecting to the access-stimulating LEC.</w:t>
      </w:r>
      <w:bookmarkEnd w:id="209"/>
    </w:p>
    <w:p w:rsidR="008C3223" w:rsidRPr="00FA6F37" w:rsidP="008C3223">
      <w:pPr>
        <w:pStyle w:val="ParaNum"/>
        <w:numPr>
          <w:ilvl w:val="0"/>
          <w:numId w:val="0"/>
        </w:numPr>
        <w:tabs>
          <w:tab w:val="left" w:pos="1440"/>
        </w:tabs>
        <w:rPr>
          <w:szCs w:val="22"/>
        </w:rPr>
      </w:pPr>
      <w:r>
        <w:rPr>
          <w:noProof/>
          <w:snapToGrid/>
          <w:szCs w:val="22"/>
        </w:rPr>
        <w:pict>
          <v:group id="_x0000_s1025" style="width:447pt;height:319.95pt;margin-top:9.4pt;margin-left:6.3pt;position:absolute;z-index:251658240" coordorigin="1566,4319" coordsize="8940,6399">
            <v:group id="_x0000_s1026" style="width:8940;height:4441;left:1566;position:absolute;top:4319" coordorigin="1566,4319" coordsize="8940,4441">
              <v:group id="_x0000_s1027" style="width:8940;height:2387;left:1566;position:absolute;top:4319" coordorigin="1566,4319" coordsize="8940,2387">
                <v:group id="_x0000_s1028" style="width:3474;height:678;left:3628;position:absolute;top:6028" coordorigin="3628,6028" coordsize="3474,67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9" type="#_x0000_t88" style="width:144;height:2743;left:5297;mso-wrap-distance-bottom:0;mso-wrap-distance-left:9;mso-wrap-distance-right:9;mso-wrap-distance-top:0;mso-wrap-style:square;position:absolute;rotation:90;top:4728;visibility:visible;v-text-anchor:middle" adj="102" strokeweight="1.25pt">
                    <v:stroke joinstyle="miter" dashstyle="1 1"/>
                  </v:shape>
                  <v:shapetype id="_x0000_t202" coordsize="21600,21600" o:spt="202" path="m,l,21600r21600,l21600,xe">
                    <v:stroke joinstyle="miter"/>
                    <v:path gradientshapeok="t" o:connecttype="rect"/>
                  </v:shapetype>
                  <v:shape id="TextBox 13" o:spid="_x0000_s1030" type="#_x0000_t202" style="width:3474;height:559;left:3628;mso-wrap-distance-bottom:0;mso-wrap-distance-left:9;mso-wrap-distance-right:9;mso-wrap-distance-top:0;position:absolute;top:6147;visibility:visible;v-text-anchor:top" filled="f" stroked="f">
                    <v:textbox style="mso-fit-shape-to-text:t">
                      <w:txbxContent>
                        <w:p w:rsidR="008C3223" w:rsidP="008C3223">
                          <w:pPr>
                            <w:pStyle w:val="NormalWeb"/>
                            <w:jc w:val="center"/>
                          </w:pPr>
                          <w:r w:rsidRPr="00641CC2">
                            <w:rPr>
                              <w:rFonts w:ascii="Calibri" w:hAnsi="Calibri"/>
                              <w:i/>
                              <w:iCs/>
                              <w:color w:val="000000"/>
                              <w:kern w:val="24"/>
                              <w:sz w:val="17"/>
                              <w:szCs w:val="17"/>
                            </w:rPr>
                            <w:t xml:space="preserve">IXC previously bore cost –  </w:t>
                          </w:r>
                        </w:p>
                        <w:p w:rsidR="008C3223" w:rsidP="008C3223">
                          <w:pPr>
                            <w:pStyle w:val="NormalWeb"/>
                            <w:jc w:val="center"/>
                          </w:pPr>
                          <w:r w:rsidRPr="00641CC2">
                            <w:rPr>
                              <w:rFonts w:ascii="Calibri" w:hAnsi="Calibri"/>
                              <w:i/>
                              <w:iCs/>
                              <w:color w:val="000000"/>
                              <w:kern w:val="24"/>
                              <w:sz w:val="17"/>
                              <w:szCs w:val="17"/>
                            </w:rPr>
                            <w:t>Access-Stimulating LEC would now bear cost</w:t>
                          </w:r>
                        </w:p>
                      </w:txbxContent>
                    </v:textbox>
                  </v:shape>
                </v:group>
                <v:group id="_x0000_s1031" style="width:8940;height:1621;left:1566;position:absolute;top:4319" coordorigin="1566,4319" coordsize="8940,1621">
                  <v:shape id="TextBox 3" o:spid="_x0000_s1032" type="#_x0000_t202" style="width:1623;height:994;left:4007;mso-wrap-distance-bottom:0;mso-wrap-distance-left:9;mso-wrap-distance-right:9;mso-wrap-distance-top:0;mso-wrap-style:square;position:absolute;top:4946;visibility:visible;v-text-anchor:top" filled="f" strokeweight="1pt">
                    <v:textbox style="mso-fit-shape-to-text:t">
                      <w:txbxContent>
                        <w:p w:rsidR="008C3223" w:rsidP="008C3223">
                          <w:pPr>
                            <w:pStyle w:val="NormalWeb"/>
                            <w:jc w:val="center"/>
                          </w:pPr>
                          <w:r w:rsidRPr="00641CC2">
                            <w:rPr>
                              <w:rFonts w:ascii="Calibri" w:hAnsi="Calibri"/>
                              <w:color w:val="000000"/>
                              <w:kern w:val="24"/>
                              <w:sz w:val="17"/>
                              <w:szCs w:val="17"/>
                            </w:rPr>
                            <w:t>Access-Stimulating LEC’s existing Intermediate Access Provider</w:t>
                          </w:r>
                        </w:p>
                      </w:txbxContent>
                    </v:textbox>
                  </v:shape>
                  <v:shape id="TextBox 4" o:spid="_x0000_s1033" type="#_x0000_t202" style="width:1467;height:579;left:6741;mso-wrap-distance-bottom:0;mso-wrap-distance-left:9;mso-wrap-distance-right:9;mso-wrap-distance-top:0;mso-wrap-style:square;position:absolute;top:5153;visibility:visible;v-text-anchor:top" filled="f" strokeweight="1pt">
                    <v:textbox style="mso-fit-shape-to-text:t">
                      <w:txbxContent>
                        <w:p w:rsidR="008C3223" w:rsidP="008C3223">
                          <w:pPr>
                            <w:pStyle w:val="NormalWeb"/>
                            <w:jc w:val="center"/>
                          </w:pPr>
                          <w:r w:rsidRPr="00641CC2">
                            <w:rPr>
                              <w:rFonts w:ascii="Calibri" w:hAnsi="Calibri"/>
                              <w:color w:val="000000"/>
                              <w:kern w:val="24"/>
                              <w:sz w:val="17"/>
                              <w:szCs w:val="17"/>
                            </w:rPr>
                            <w:t>Access Stimulating LEC</w:t>
                          </w:r>
                        </w:p>
                      </w:txbxContent>
                    </v:textbox>
                  </v:shape>
                  <v:shape id="TextBox 5" o:spid="_x0000_s1034" type="#_x0000_t202" style="width:1347;height:372;left:1710;mso-wrap-distance-bottom:0;mso-wrap-distance-left:9;mso-wrap-distance-right:9;mso-wrap-distance-top:0;mso-wrap-style:square;position:absolute;top:5260;visibility:visible;v-text-anchor:middle" filled="f" strokeweight="1pt">
                    <v:textbox style="mso-fit-shape-to-text:t">
                      <w:txbxContent>
                        <w:p w:rsidR="008C3223" w:rsidP="008C3223">
                          <w:pPr>
                            <w:pStyle w:val="NormalWeb"/>
                            <w:jc w:val="center"/>
                          </w:pPr>
                          <w:r w:rsidRPr="00641CC2">
                            <w:rPr>
                              <w:rFonts w:ascii="Calibri" w:hAnsi="Calibri"/>
                              <w:color w:val="000000"/>
                              <w:kern w:val="24"/>
                              <w:sz w:val="17"/>
                              <w:szCs w:val="17"/>
                            </w:rPr>
                            <w:t>IXC</w:t>
                          </w:r>
                        </w:p>
                      </w:txbxContent>
                    </v:textbox>
                  </v:shape>
                  <v:shape id="TextBox 6" o:spid="_x0000_s1035" type="#_x0000_t202" style="width:1405;height:787;left:9101;mso-wrap-distance-bottom:0;mso-wrap-distance-left:9;mso-wrap-distance-right:9;mso-wrap-distance-top:0;mso-wrap-style:square;position:absolute;top:5060;visibility:visible;v-text-anchor:top" filled="f" strokeweight="1pt">
                    <v:textbox style="mso-fit-shape-to-text:t">
                      <w:txbxContent>
                        <w:p w:rsidR="008C3223" w:rsidP="008C3223">
                          <w:pPr>
                            <w:pStyle w:val="NormalWeb"/>
                            <w:jc w:val="center"/>
                          </w:pPr>
                          <w:r w:rsidRPr="00641CC2">
                            <w:rPr>
                              <w:rFonts w:ascii="Calibri" w:hAnsi="Calibri"/>
                              <w:color w:val="000000"/>
                              <w:kern w:val="24"/>
                              <w:sz w:val="17"/>
                              <w:szCs w:val="17"/>
                            </w:rPr>
                            <w:t>Access Stimulating LEC’s customer</w:t>
                          </w:r>
                        </w:p>
                      </w:txbxContent>
                    </v:textbox>
                  </v:shape>
                  <v:shape id="TextBox 8" o:spid="_x0000_s1036" type="#_x0000_t202" style="width:7832;height:400;left:1566;mso-wrap-distance-bottom:0;mso-wrap-distance-left:9;mso-wrap-distance-right:9;mso-wrap-distance-top:0;position:absolute;top:4319;visibility:visible;v-text-anchor:top" filled="f" stroked="f">
                    <v:textbox style="mso-fit-shape-to-text:t">
                      <w:txbxContent>
                        <w:p w:rsidR="008C3223" w:rsidP="008C3223">
                          <w:pPr>
                            <w:pStyle w:val="NormalWeb"/>
                          </w:pPr>
                          <w:r w:rsidRPr="00641CC2">
                            <w:rPr>
                              <w:rFonts w:ascii="Calibri" w:hAnsi="Calibri"/>
                              <w:b/>
                              <w:bCs/>
                              <w:color w:val="000000"/>
                              <w:kern w:val="24"/>
                              <w:sz w:val="21"/>
                              <w:szCs w:val="21"/>
                              <w:u w:val="single"/>
                            </w:rPr>
                            <w:t>Access-Stimulating LEC’s Option #1:  Bear Its Selected Intermediate Provider’s Cost</w:t>
                          </w:r>
                        </w:p>
                      </w:txbxContent>
                    </v:textbox>
                  </v:shape>
                  <v:shapetype id="_x0000_t32" coordsize="21600,21600" o:spt="32" o:oned="t" path="m,l21600,21600e" filled="f">
                    <v:path arrowok="t" fillok="f" o:connecttype="none"/>
                    <o:lock v:ext="edit" shapetype="t"/>
                  </v:shapetype>
                  <v:shape id="Straight Arrow Connector 16" o:spid="_x0000_s1037" type="#_x0000_t32" style="width:936;height:6;flip:y;left:3054;mso-wrap-distance-bottom:0;mso-wrap-distance-left:9;mso-wrap-distance-right:9;mso-wrap-distance-top:0;mso-wrap-style:square;position:absolute;top:5443;visibility:visible" strokeweight="1pt">
                    <v:stroke joinstyle="miter" endarrow="block"/>
                  </v:shape>
                  <v:shape id="Straight Arrow Connector 17" o:spid="_x0000_s1038" type="#_x0000_t32" style="width:1094;height:5;left:5630;mso-wrap-distance-bottom:0;mso-wrap-distance-left:9;mso-wrap-distance-right:9;mso-wrap-distance-top:0;mso-wrap-style:square;position:absolute;top:5443;visibility:visible" strokeweight="1pt">
                    <v:stroke joinstyle="miter" endarrow="block"/>
                  </v:shape>
                  <v:shape id="Straight Arrow Connector 18" o:spid="_x0000_s1039" type="#_x0000_t32" style="width:878;height:0;flip:y;left:8208;mso-wrap-distance-bottom:0;mso-wrap-distance-left:9;mso-wrap-distance-right:9;mso-wrap-distance-top:0;mso-wrap-style:square;position:absolute;top:5444;visibility:visible" strokeweight="1pt">
                    <v:stroke joinstyle="miter" endarrow="block"/>
                  </v:shape>
                </v:group>
              </v:group>
              <v:group id="_x0000_s1040" style="width:8939;height:1832;left:1566;position:absolute;top:6928" coordorigin="1566,6928" coordsize="8939,1832">
                <v:shape id="TextBox 11" o:spid="_x0000_s1041" type="#_x0000_t202" style="width:8837;height:400;left:1566;mso-wrap-distance-bottom:0;mso-wrap-distance-left:9;mso-wrap-distance-right:9;mso-wrap-distance-top:0;position:absolute;top:6928;visibility:visible;v-text-anchor:top" filled="f" stroked="f">
                  <v:textbox style="mso-fit-shape-to-text:t">
                    <w:txbxContent>
                      <w:p w:rsidR="008C3223" w:rsidP="008C3223">
                        <w:pPr>
                          <w:pStyle w:val="NormalWeb"/>
                        </w:pPr>
                        <w:r w:rsidRPr="00641CC2">
                          <w:rPr>
                            <w:rFonts w:ascii="Calibri" w:hAnsi="Calibri"/>
                            <w:b/>
                            <w:bCs/>
                            <w:color w:val="000000"/>
                            <w:kern w:val="24"/>
                            <w:sz w:val="21"/>
                            <w:szCs w:val="21"/>
                            <w:u w:val="single"/>
                          </w:rPr>
                          <w:t>Access-Stimulating LEC’s Option #2:  Accept Direct Connection, Providing the IXC a Choice</w:t>
                        </w:r>
                        <w:r w:rsidRPr="00641CC2">
                          <w:rPr>
                            <w:rFonts w:ascii="Calibri" w:hAnsi="Calibri"/>
                            <w:b/>
                            <w:bCs/>
                            <w:color w:val="000000"/>
                            <w:kern w:val="24"/>
                            <w:sz w:val="21"/>
                            <w:szCs w:val="21"/>
                          </w:rPr>
                          <w:t>:</w:t>
                        </w:r>
                      </w:p>
                    </w:txbxContent>
                  </v:textbox>
                </v:shape>
                <v:group id="_x0000_s1042" style="width:8798;height:1511;left:1707;position:absolute;top:7249" coordorigin="1707,7249" coordsize="8798,1511">
                  <v:group id="_x0000_s1043" style="width:8798;height:1259;left:1707;position:absolute;top:7501" coordorigin="1707,7501" coordsize="8798,1259">
                    <v:group id="_x0000_s1044" style="width:3687;height:504;left:3053;position:absolute;top:8256" coordorigin="3053,8256" coordsize="3687,504">
                      <v:shape id="Right Brace 14" o:spid="_x0000_s1045" type="#_x0000_t88" style="width:173;height:3687;left:4810;mso-wrap-distance-bottom:0;mso-wrap-distance-left:9;mso-wrap-distance-right:9;mso-wrap-distance-top:0;mso-wrap-style:square;position:absolute;rotation:90;top:6499;visibility:visible;v-text-anchor:middle" adj="102" strokeweight="1.25pt">
                        <v:stroke joinstyle="miter" dashstyle="1 1"/>
                      </v:shape>
                      <v:shape id="TextBox 15" o:spid="_x0000_s1046" type="#_x0000_t202" style="width:3127;height:352;left:3326;mso-wrap-distance-bottom:0;mso-wrap-distance-left:9;mso-wrap-distance-right:9;mso-wrap-distance-top:0;mso-wrap-style:square;position:absolute;top:8408;visibility:visible;v-text-anchor:top" filled="f" stroked="f">
                        <v:textbox style="mso-fit-shape-to-text:t">
                          <w:txbxContent>
                            <w:p w:rsidR="008C3223" w:rsidP="008C3223">
                              <w:pPr>
                                <w:pStyle w:val="NormalWeb"/>
                                <w:jc w:val="center"/>
                              </w:pPr>
                              <w:r w:rsidRPr="00641CC2">
                                <w:rPr>
                                  <w:rFonts w:ascii="Calibri" w:hAnsi="Calibri"/>
                                  <w:i/>
                                  <w:iCs/>
                                  <w:color w:val="000000"/>
                                  <w:kern w:val="24"/>
                                  <w:sz w:val="17"/>
                                  <w:szCs w:val="17"/>
                                </w:rPr>
                                <w:t>IXC arranges and would bear cost</w:t>
                              </w:r>
                            </w:p>
                          </w:txbxContent>
                        </v:textbox>
                      </v:shape>
                    </v:group>
                    <v:group id="_x0000_s1047" style="width:8798;height:787;left:1707;position:absolute;top:7501" coordorigin="1707,7501" coordsize="8798,787">
                      <v:shape id="TextBox 7" o:spid="_x0000_s1048" type="#_x0000_t202" style="width:1467;height:579;left:6741;mso-wrap-distance-bottom:0;mso-wrap-distance-left:9;mso-wrap-distance-right:9;mso-wrap-distance-top:0;mso-wrap-style:square;position:absolute;top:7601;visibility:visible;v-text-anchor:top" filled="f" strokeweight="1pt">
                        <v:textbox style="mso-fit-shape-to-text:t">
                          <w:txbxContent>
                            <w:p w:rsidR="008C3223" w:rsidP="008C3223">
                              <w:pPr>
                                <w:pStyle w:val="NormalWeb"/>
                                <w:jc w:val="center"/>
                              </w:pPr>
                              <w:r w:rsidRPr="00641CC2">
                                <w:rPr>
                                  <w:rFonts w:ascii="Calibri" w:hAnsi="Calibri"/>
                                  <w:color w:val="000000"/>
                                  <w:kern w:val="24"/>
                                  <w:sz w:val="17"/>
                                  <w:szCs w:val="17"/>
                                </w:rPr>
                                <w:t>Access Stimulating LEC</w:t>
                              </w:r>
                            </w:p>
                          </w:txbxContent>
                        </v:textbox>
                      </v:shape>
                      <v:shape id="TextBox 9" o:spid="_x0000_s1049" type="#_x0000_t202" style="width:1404;height:787;left:9101;mso-wrap-distance-bottom:0;mso-wrap-distance-left:9;mso-wrap-distance-right:9;mso-wrap-distance-top:0;mso-wrap-style:square;position:absolute;top:7501;visibility:visible;v-text-anchor:top" filled="f" strokeweight="1pt">
                        <v:textbox style="mso-fit-shape-to-text:t">
                          <w:txbxContent>
                            <w:p w:rsidR="008C3223" w:rsidP="008C3223">
                              <w:pPr>
                                <w:pStyle w:val="NormalWeb"/>
                                <w:jc w:val="center"/>
                              </w:pPr>
                              <w:r w:rsidRPr="00641CC2">
                                <w:rPr>
                                  <w:rFonts w:ascii="Calibri" w:hAnsi="Calibri"/>
                                  <w:color w:val="000000"/>
                                  <w:kern w:val="24"/>
                                  <w:sz w:val="17"/>
                                  <w:szCs w:val="17"/>
                                </w:rPr>
                                <w:t>Access Stimulating LEC’s customer</w:t>
                              </w:r>
                            </w:p>
                          </w:txbxContent>
                        </v:textbox>
                      </v:shape>
                      <v:shape id="TextBox 10" o:spid="_x0000_s1050" type="#_x0000_t202" style="width:1347;height:372;left:1707;mso-wrap-distance-bottom:0;mso-wrap-distance-left:9;mso-wrap-distance-right:9;mso-wrap-distance-top:0;mso-wrap-style:square;position:absolute;top:7700;visibility:visible;v-text-anchor:middle" filled="f" strokeweight="1pt">
                        <v:textbox style="mso-fit-shape-to-text:t">
                          <w:txbxContent>
                            <w:p w:rsidR="008C3223" w:rsidP="008C3223">
                              <w:pPr>
                                <w:pStyle w:val="NormalWeb"/>
                                <w:jc w:val="center"/>
                              </w:pPr>
                              <w:r w:rsidRPr="00641CC2">
                                <w:rPr>
                                  <w:rFonts w:ascii="Calibri" w:hAnsi="Calibri"/>
                                  <w:color w:val="000000"/>
                                  <w:kern w:val="24"/>
                                  <w:sz w:val="17"/>
                                  <w:szCs w:val="17"/>
                                </w:rPr>
                                <w:t>IXC</w:t>
                              </w:r>
                            </w:p>
                          </w:txbxContent>
                        </v:textbox>
                      </v:shape>
                      <v:shape id="Straight Arrow Connector 19" o:spid="_x0000_s1051" type="#_x0000_t32" style="width:3672;height:5;left:3054;mso-wrap-distance-bottom:0;mso-wrap-distance-left:9;mso-wrap-distance-right:9;mso-wrap-distance-top:0;mso-wrap-style:square;position:absolute;top:7892;visibility:visible" strokeweight="1pt">
                        <v:stroke joinstyle="miter" endarrow="block"/>
                      </v:shape>
                      <v:shape id="Straight Arrow Connector 20" o:spid="_x0000_s1052" type="#_x0000_t32" style="width:878;height:0;left:8208;mso-wrap-distance-bottom:0;mso-wrap-distance-left:9;mso-wrap-distance-right:9;mso-wrap-distance-top:0;mso-wrap-style:square;position:absolute;top:7897;visibility:visible" strokeweight="1pt">
                        <v:stroke joinstyle="miter" endarrow="block"/>
                      </v:shape>
                    </v:group>
                  </v:group>
                  <v:shape id="TextBox 24" o:spid="_x0000_s1053" type="#_x0000_t202" style="width:1799;height:352;left:1864;mso-wrap-distance-bottom:0;mso-wrap-distance-left:9;mso-wrap-distance-right:9;mso-wrap-distance-top:0;mso-wrap-style:square;position:absolute;top:7249;visibility:visible;v-text-anchor:top" filled="f" stroked="f">
                    <v:textbox style="mso-fit-shape-to-text:t">
                      <w:txbxContent>
                        <w:p w:rsidR="008C3223" w:rsidP="008C3223">
                          <w:pPr>
                            <w:pStyle w:val="NormalWeb"/>
                          </w:pPr>
                          <w:r w:rsidRPr="00641CC2">
                            <w:rPr>
                              <w:rFonts w:ascii="Calibri" w:hAnsi="Calibri"/>
                              <w:b/>
                              <w:bCs/>
                              <w:i/>
                              <w:iCs/>
                              <w:color w:val="000000"/>
                              <w:kern w:val="24"/>
                              <w:sz w:val="17"/>
                              <w:szCs w:val="17"/>
                            </w:rPr>
                            <w:t>Connect Directly:</w:t>
                          </w:r>
                        </w:p>
                      </w:txbxContent>
                    </v:textbox>
                  </v:shape>
                </v:group>
              </v:group>
            </v:group>
            <v:group id="_x0000_s1054" style="width:8795;height:1857;left:1710;position:absolute;top:8861" coordorigin="1710,8861" coordsize="8795,1857">
              <v:shape id="TextBox 37" o:spid="_x0000_s1055" type="#_x0000_t202" style="width:5009;height:352;left:1864;mso-wrap-distance-bottom:0;mso-wrap-distance-left:9;mso-wrap-distance-right:9;mso-wrap-distance-top:0;mso-wrap-style:square;position:absolute;top:8861;visibility:visible;v-text-anchor:top" filled="f" stroked="f">
                <v:textbox style="mso-fit-shape-to-text:t">
                  <w:txbxContent>
                    <w:p w:rsidR="008C3223" w:rsidP="008C3223">
                      <w:pPr>
                        <w:pStyle w:val="NormalWeb"/>
                      </w:pPr>
                      <w:r w:rsidRPr="00641CC2">
                        <w:rPr>
                          <w:rFonts w:ascii="Calibri" w:hAnsi="Calibri"/>
                          <w:b/>
                          <w:bCs/>
                          <w:i/>
                          <w:iCs/>
                          <w:color w:val="000000"/>
                          <w:kern w:val="24"/>
                          <w:sz w:val="17"/>
                          <w:szCs w:val="17"/>
                        </w:rPr>
                        <w:t>Connect Indirectly Through IXC’s Choice of Intermediate Provider:</w:t>
                      </w:r>
                    </w:p>
                  </w:txbxContent>
                </v:textbox>
              </v:shape>
              <v:group id="_x0000_s1056" style="width:8795;height:1524;left:1710;position:absolute;top:9194" coordorigin="1710,9194" coordsize="8795,1524">
                <v:group id="_x0000_s1057" style="width:3672;height:494;left:3053;position:absolute;top:10224" coordorigin="3053,10224" coordsize="3672,494">
                  <v:shape id="Right Brace 28" o:spid="_x0000_s1058" type="#_x0000_t88" style="width:173;height:3672;left:4802;mso-wrap-distance-bottom:0;mso-wrap-distance-left:9;mso-wrap-distance-right:9;mso-wrap-distance-top:0;mso-wrap-style:square;position:absolute;rotation:90;top:8475;visibility:visible;v-text-anchor:middle" adj="107" strokeweight="1.25pt">
                    <v:stroke joinstyle="miter" dashstyle="1 1"/>
                  </v:shape>
                  <v:shape id="TextBox 29" o:spid="_x0000_s1059" type="#_x0000_t202" style="width:3127;height:352;left:3345;mso-wrap-distance-bottom:0;mso-wrap-distance-left:9;mso-wrap-distance-right:9;mso-wrap-distance-top:0;mso-wrap-style:square;position:absolute;top:10366;visibility:visible;v-text-anchor:top" filled="f" stroked="f">
                    <v:textbox style="mso-fit-shape-to-text:t">
                      <w:txbxContent>
                        <w:p w:rsidR="008C3223" w:rsidP="008C3223">
                          <w:pPr>
                            <w:pStyle w:val="NormalWeb"/>
                            <w:jc w:val="center"/>
                          </w:pPr>
                          <w:r w:rsidRPr="00641CC2">
                            <w:rPr>
                              <w:rFonts w:ascii="Calibri" w:hAnsi="Calibri"/>
                              <w:i/>
                              <w:iCs/>
                              <w:color w:val="000000"/>
                              <w:kern w:val="24"/>
                              <w:sz w:val="17"/>
                              <w:szCs w:val="17"/>
                            </w:rPr>
                            <w:t>IXC arranges and would bear cost</w:t>
                          </w:r>
                        </w:p>
                      </w:txbxContent>
                    </v:textbox>
                  </v:shape>
                </v:group>
                <v:group id="_x0000_s1060" style="width:8795;height:994;left:1710;position:absolute;top:9194" coordorigin="1710,9194" coordsize="8795,994">
                  <v:shape id="TextBox 25" o:spid="_x0000_s1061" type="#_x0000_t202" style="width:1469;height:579;left:6734;mso-wrap-distance-bottom:0;mso-wrap-distance-left:9;mso-wrap-distance-right:9;mso-wrap-distance-top:0;mso-wrap-style:square;position:absolute;top:9387;visibility:visible;v-text-anchor:top" filled="f" strokeweight="1pt">
                    <v:textbox style="mso-fit-shape-to-text:t">
                      <w:txbxContent>
                        <w:p w:rsidR="008C3223" w:rsidP="008C3223">
                          <w:pPr>
                            <w:pStyle w:val="NormalWeb"/>
                            <w:jc w:val="center"/>
                          </w:pPr>
                          <w:r w:rsidRPr="00641CC2">
                            <w:rPr>
                              <w:rFonts w:ascii="Calibri" w:hAnsi="Calibri"/>
                              <w:color w:val="000000"/>
                              <w:kern w:val="24"/>
                              <w:sz w:val="17"/>
                              <w:szCs w:val="17"/>
                            </w:rPr>
                            <w:t>Access Stimulating LEC</w:t>
                          </w:r>
                        </w:p>
                      </w:txbxContent>
                    </v:textbox>
                  </v:shape>
                  <v:shape id="TextBox 27" o:spid="_x0000_s1062" type="#_x0000_t202" style="width:1347;height:994;left:4146;mso-wrap-distance-bottom:0;mso-wrap-distance-left:9;mso-wrap-distance-right:9;mso-wrap-distance-top:0;mso-wrap-style:square;position:absolute;top:9194;visibility:visible;v-text-anchor:top" filled="f" strokeweight="1pt">
                    <v:textbox style="mso-fit-shape-to-text:t">
                      <w:txbxContent>
                        <w:p w:rsidR="008C3223" w:rsidP="008C3223">
                          <w:pPr>
                            <w:pStyle w:val="NormalWeb"/>
                            <w:jc w:val="center"/>
                          </w:pPr>
                          <w:r w:rsidRPr="00641CC2">
                            <w:rPr>
                              <w:rFonts w:ascii="Calibri" w:hAnsi="Calibri"/>
                              <w:color w:val="000000"/>
                              <w:kern w:val="24"/>
                              <w:sz w:val="17"/>
                              <w:szCs w:val="17"/>
                            </w:rPr>
                            <w:t>Intermediate Access Provider of the IXC’s choosing</w:t>
                          </w:r>
                        </w:p>
                      </w:txbxContent>
                    </v:textbox>
                  </v:shape>
                  <v:shape id="Straight Arrow Connector 30" o:spid="_x0000_s1063" type="#_x0000_t32" style="width:1238;height:6;flip:y;left:5486;mso-wrap-distance-bottom:0;mso-wrap-distance-left:9;mso-wrap-distance-right:9;mso-wrap-distance-top:0;mso-wrap-style:square;position:absolute;top:9682;visibility:visible" strokeweight="1pt">
                    <v:stroke joinstyle="miter" endarrow="block"/>
                  </v:shape>
                  <v:shape id="TextBox 40" o:spid="_x0000_s1064" type="#_x0000_t202" style="width:1347;height:372;left:1710;mso-wrap-distance-bottom:0;mso-wrap-distance-left:9;mso-wrap-distance-right:9;mso-wrap-distance-top:0;mso-wrap-style:square;position:absolute;top:9498;visibility:visible;v-text-anchor:middle" filled="f" strokeweight="1pt">
                    <v:textbox style="mso-fit-shape-to-text:t">
                      <w:txbxContent>
                        <w:p w:rsidR="008C3223" w:rsidP="008C3223">
                          <w:pPr>
                            <w:pStyle w:val="NormalWeb"/>
                            <w:jc w:val="center"/>
                          </w:pPr>
                          <w:r w:rsidRPr="00641CC2">
                            <w:rPr>
                              <w:rFonts w:ascii="Calibri" w:hAnsi="Calibri"/>
                              <w:color w:val="000000"/>
                              <w:kern w:val="24"/>
                              <w:sz w:val="17"/>
                              <w:szCs w:val="17"/>
                            </w:rPr>
                            <w:t>IXC</w:t>
                          </w:r>
                        </w:p>
                      </w:txbxContent>
                    </v:textbox>
                  </v:shape>
                  <v:shape id="Straight Arrow Connector 41" o:spid="_x0000_s1065" type="#_x0000_t32" style="width:1080;height:1;left:3054;mso-wrap-distance-bottom:0;mso-wrap-distance-left:9;mso-wrap-distance-right:9;mso-wrap-distance-top:0;mso-wrap-style:square;position:absolute;top:9687;visibility:visible" strokeweight="1pt">
                    <v:stroke joinstyle="miter" endarrow="block"/>
                  </v:shape>
                  <v:shape id="TextBox 93" o:spid="_x0000_s1066" type="#_x0000_t202" style="width:1404;height:787;left:9101;mso-wrap-distance-bottom:0;mso-wrap-distance-left:9;mso-wrap-distance-right:9;mso-wrap-distance-top:0;mso-wrap-style:square;position:absolute;top:9286;visibility:visible;v-text-anchor:top" filled="f" strokeweight="1pt">
                    <v:textbox style="mso-fit-shape-to-text:t">
                      <w:txbxContent>
                        <w:p w:rsidR="008C3223" w:rsidP="008C3223">
                          <w:pPr>
                            <w:pStyle w:val="NormalWeb"/>
                            <w:jc w:val="center"/>
                          </w:pPr>
                          <w:r w:rsidRPr="00641CC2">
                            <w:rPr>
                              <w:rFonts w:ascii="Calibri" w:hAnsi="Calibri"/>
                              <w:color w:val="000000"/>
                              <w:kern w:val="24"/>
                              <w:sz w:val="17"/>
                              <w:szCs w:val="17"/>
                            </w:rPr>
                            <w:t>Access Stimulating LEC’s customer</w:t>
                          </w:r>
                        </w:p>
                      </w:txbxContent>
                    </v:textbox>
                  </v:shape>
                  <v:shape id="Straight Arrow Connector 94" o:spid="_x0000_s1067" type="#_x0000_t32" style="width:878;height:0;left:8207;mso-wrap-distance-bottom:0;mso-wrap-distance-left:9;mso-wrap-distance-right:9;mso-wrap-distance-top:0;mso-wrap-style:square;position:absolute;top:9673;visibility:visible" strokeweight="1pt">
                    <v:stroke joinstyle="miter" endarrow="block"/>
                  </v:shape>
                </v:group>
              </v:group>
            </v:group>
          </v:group>
        </w:pict>
      </w:r>
      <w:r>
        <w:rPr>
          <w:szCs w:val="22"/>
        </w:rPr>
        <w:pict>
          <v:rect id="Rectangle 52" o:spid="_x0000_i1068" style="width:467.4pt;height:332.55pt;mso-left-percent:-10001;mso-position-horizontal-relative:char;mso-position-vertical-relative:line;mso-top-percent:-10001;mso-wrap-distance-bottom:0;mso-wrap-distance-left:9pt;mso-wrap-distance-right:9pt;mso-wrap-distance-top:0;mso-wrap-style:square;visibility:visible;v-text-anchor:middle" filled="f" strokeweight="1.5pt">
            <w10:wrap type="none"/>
            <w10:anchorlock/>
          </v:rect>
        </w:pict>
      </w:r>
    </w:p>
    <w:p w:rsidR="008C3223" w:rsidRPr="000D554A" w:rsidP="008C3223">
      <w:pPr>
        <w:pStyle w:val="ParaNum"/>
        <w:rPr>
          <w:rStyle w:val="PageNumber"/>
          <w:szCs w:val="22"/>
        </w:rPr>
      </w:pPr>
      <w:r>
        <w:t>For direct connections between an IXC (or an intermediate access provider of the IXC’s choosing) and an access-stimulating LEC to be established, not only must the access-stimulating LEC be willing and able to accept direct connections, but arrangements need to be made between the IXCs seeking to avail themselves of such connections and the LEC.  If we adopt the approach we propose today, how long should we give existing access-stimulating LECs to indicate their willingness to accept direct connections and how long should we give them to implement those direct connections?  How detailed a timeline should we adopt for this process?  Should we adopt rules regarding the conduct of any negotiations for direct connections?  For example, should we adopt a timeframe within which negotiations must be concluded before the LEC must assume financial responsibility for the delivery of traffic or the impasse submitted to arbitration?  Similarly, if, at some later date, an access-stimulating LEC decides to offer direct connections, what process should the access-stimulating LEC need to follow to cease bearing the financial obligation for the intermediate access provider</w:t>
      </w:r>
      <w:r>
        <w:rPr>
          <w:rStyle w:val="PageNumber"/>
          <w:szCs w:val="22"/>
        </w:rPr>
        <w:t>s’</w:t>
      </w:r>
      <w:r w:rsidRPr="00036C16">
        <w:rPr>
          <w:rStyle w:val="PageNumber"/>
          <w:szCs w:val="22"/>
        </w:rPr>
        <w:t xml:space="preserve"> </w:t>
      </w:r>
      <w:r>
        <w:t>charges?  How should we address LECs that meet the definition of access-stimulating LEC after adoption of our rules?  If they chose to offer direct connections, what time frame should we provide for making and implementing that decision?</w:t>
      </w:r>
    </w:p>
    <w:p w:rsidR="008C3223" w:rsidRPr="00652F17" w:rsidP="008C3223">
      <w:pPr>
        <w:pStyle w:val="ParaNum"/>
        <w:tabs>
          <w:tab w:val="left" w:pos="1440"/>
        </w:tabs>
        <w:rPr>
          <w:szCs w:val="22"/>
        </w:rPr>
      </w:pPr>
      <w:r>
        <w:t xml:space="preserve">We propose to adopt a rule that makes clear </w:t>
      </w:r>
      <w:r w:rsidRPr="000D554A">
        <w:rPr>
          <w:rStyle w:val="PageNumber"/>
          <w:szCs w:val="22"/>
        </w:rPr>
        <w:t xml:space="preserve">that allowing access-stimulating LECs to accept direct connection as a means of not bearing financial responsibility for </w:t>
      </w:r>
      <w:r>
        <w:rPr>
          <w:rStyle w:val="PageNumber"/>
          <w:szCs w:val="22"/>
        </w:rPr>
        <w:t>intermediate access provider</w:t>
      </w:r>
      <w:r w:rsidRPr="000D554A">
        <w:rPr>
          <w:rStyle w:val="PageNumber"/>
          <w:szCs w:val="22"/>
        </w:rPr>
        <w:t xml:space="preserve"> charges does not carry with it an obligation for such LECs to extend their networks absent a request and an independent obligation to do so.  Is this a reasonable limitation?  Are there any other limitations or exceptions we should apply</w:t>
      </w:r>
      <w:r>
        <w:rPr>
          <w:rStyle w:val="PageNumber"/>
          <w:szCs w:val="22"/>
        </w:rPr>
        <w:t>?</w:t>
      </w:r>
      <w:r w:rsidRPr="000D554A">
        <w:rPr>
          <w:szCs w:val="22"/>
        </w:rPr>
        <w:t xml:space="preserve"> </w:t>
      </w:r>
      <w:r>
        <w:rPr>
          <w:szCs w:val="22"/>
        </w:rPr>
        <w:t xml:space="preserve"> </w:t>
      </w:r>
      <w:r w:rsidRPr="00CD0380">
        <w:t xml:space="preserve">Are there other rules we should adopt to help providers implement the option to accept direct connections if a provider </w:t>
      </w:r>
      <w:r>
        <w:t>makes that choice</w:t>
      </w:r>
      <w:r w:rsidRPr="00CD0380">
        <w:t>?</w:t>
      </w:r>
      <w:r>
        <w:t xml:space="preserve">  For example, because IXCs are not currently directly connected to access-stimulating LECs in the scenario to which our proposal applies, a third-party vendor may need to connect the two networks via dedicated transport such as, perhaps, the current intermediate access provider.</w:t>
      </w:r>
      <w:r>
        <w:rPr>
          <w:rStyle w:val="FootnoteReference"/>
        </w:rPr>
        <w:footnoteReference w:id="28"/>
      </w:r>
      <w:r>
        <w:t xml:space="preserve">  Are there any rules that we should adopt to facilitate such arrangements?</w:t>
      </w:r>
      <w:r>
        <w:rPr>
          <w:rStyle w:val="FootnoteReference"/>
        </w:rPr>
        <w:footnoteReference w:id="29"/>
      </w:r>
    </w:p>
    <w:p w:rsidR="008C3223" w:rsidP="008C3223">
      <w:pPr>
        <w:pStyle w:val="ParaNum"/>
        <w:tabs>
          <w:tab w:val="left" w:pos="1440"/>
        </w:tabs>
      </w:pPr>
      <w:r>
        <w:t>One result of permitting access-stimulating LECs that subtend CEA providers to connect with IXCs directly (or an intermediate access provider of an IXC’s choice) would be to end the “mandatory use” policy applicable to some CEA providers, at least with respect to access-stimulating LECs.</w:t>
      </w:r>
      <w:r>
        <w:rPr>
          <w:rStyle w:val="FootnoteReference"/>
        </w:rPr>
        <w:footnoteReference w:id="30"/>
      </w:r>
      <w:r>
        <w:t xml:space="preserve">  Historically, this mandatory use policy has permitted the CEA providers in Iowa and South Dakota </w:t>
      </w:r>
      <w:r w:rsidRPr="008040E7">
        <w:t xml:space="preserve">to require IXCs to connect to LECs that subtend </w:t>
      </w:r>
      <w:r>
        <w:t xml:space="preserve">the CEA provider </w:t>
      </w:r>
      <w:r w:rsidRPr="008040E7">
        <w:t xml:space="preserve">indirectly through </w:t>
      </w:r>
      <w:r>
        <w:t>the CEA provider</w:t>
      </w:r>
      <w:r w:rsidRPr="008040E7">
        <w:t xml:space="preserve">’s tandem switch rather than indirectly through another </w:t>
      </w:r>
      <w:r>
        <w:t>intermediate access provider</w:t>
      </w:r>
      <w:r w:rsidRPr="008040E7">
        <w:t xml:space="preserve"> or directly to the subtending LEC</w:t>
      </w:r>
      <w:r>
        <w:t xml:space="preserve">.  In initially permitting this practice almost thirty years ago, the Commission concluded that it </w:t>
      </w:r>
      <w:r w:rsidRPr="00BD3623">
        <w:t>“[did] not believe that the mandatory termination requirement for interstate traffic is unreasonable or differs substantially from the normal way access is provided, as both an originating and terminating servic</w:t>
      </w:r>
      <w:r>
        <w:t>e by the local exchange company.</w:t>
      </w:r>
      <w:r w:rsidRPr="00BD3623">
        <w:t>”</w:t>
      </w:r>
      <w:r>
        <w:rPr>
          <w:rStyle w:val="FootnoteReference"/>
        </w:rPr>
        <w:footnoteReference w:id="31"/>
      </w:r>
    </w:p>
    <w:p w:rsidR="008C3223" w:rsidP="008C3223">
      <w:pPr>
        <w:pStyle w:val="ParaNum"/>
        <w:rPr>
          <w:rStyle w:val="PageNumber"/>
          <w:szCs w:val="22"/>
        </w:rPr>
      </w:pPr>
      <w:r>
        <w:t>It appears that access stimulation, particularly when practiced by competitive LECs, which were formed well after CEA providers were established, presents a reasonable circumstance for departing from the policy of permitting mandatory use requirements because delivery of such traffic, particularly in the pertinent volumes, was not the purpose for which CEA providers were formed.  We seek comment on this assumption, and on the impact of this proposal on CEA providers, on the LECs that subtend CEA providers, and on the customers of such subtending LECs.  For example, t</w:t>
      </w:r>
      <w:r>
        <w:rPr>
          <w:rStyle w:val="PageNumber"/>
          <w:szCs w:val="22"/>
        </w:rPr>
        <w:t>o the extent that creating the opportunity for access-stimulation traffic to bypass CEA providers threatens the viability of CEA providers, we seek comment on whether and how this potential effect should be addressed.  A</w:t>
      </w:r>
      <w:r w:rsidRPr="00765DA9">
        <w:rPr>
          <w:rStyle w:val="PageNumber"/>
          <w:szCs w:val="22"/>
        </w:rPr>
        <w:t>re there other companies that can perform the traditional functions of CEA providers, includ</w:t>
      </w:r>
      <w:r>
        <w:rPr>
          <w:rStyle w:val="PageNumber"/>
          <w:szCs w:val="22"/>
        </w:rPr>
        <w:t>ing equal access implementation and traffic measurement and billing</w:t>
      </w:r>
      <w:r w:rsidRPr="00765DA9">
        <w:rPr>
          <w:rStyle w:val="PageNumber"/>
          <w:szCs w:val="22"/>
        </w:rPr>
        <w:t>?</w:t>
      </w:r>
      <w:r>
        <w:rPr>
          <w:rStyle w:val="PageNumber"/>
          <w:szCs w:val="22"/>
        </w:rPr>
        <w:t xml:space="preserve">  Recognizing that most states do not have CEA providers, are there ways that equal access and traffic identification and measurement are handled by small LECs in those states that can inform our decision making in this proceeding?</w:t>
      </w:r>
    </w:p>
    <w:p w:rsidR="008C3223" w:rsidRPr="00D42DF0" w:rsidP="008C3223">
      <w:pPr>
        <w:pStyle w:val="ParaNum"/>
        <w:tabs>
          <w:tab w:val="left" w:pos="1440"/>
        </w:tabs>
        <w:rPr>
          <w:rStyle w:val="PageNumber"/>
          <w:szCs w:val="22"/>
        </w:rPr>
      </w:pPr>
      <w:r>
        <w:rPr>
          <w:rStyle w:val="PageNumber"/>
          <w:i/>
          <w:szCs w:val="22"/>
        </w:rPr>
        <w:t>Notice Requirement</w:t>
      </w:r>
      <w:r>
        <w:rPr>
          <w:rStyle w:val="PageNumber"/>
          <w:szCs w:val="22"/>
        </w:rPr>
        <w:t xml:space="preserve">.  </w:t>
      </w:r>
      <w:r w:rsidRPr="00036C16">
        <w:rPr>
          <w:rStyle w:val="PageNumber"/>
          <w:szCs w:val="22"/>
        </w:rPr>
        <w:t>We propose to require access</w:t>
      </w:r>
      <w:r>
        <w:rPr>
          <w:rStyle w:val="PageNumber"/>
          <w:szCs w:val="22"/>
        </w:rPr>
        <w:t>-</w:t>
      </w:r>
      <w:r w:rsidRPr="00036C16">
        <w:rPr>
          <w:rStyle w:val="PageNumber"/>
          <w:szCs w:val="22"/>
        </w:rPr>
        <w:t xml:space="preserve">stimulating LECs to notify affected IXCs and </w:t>
      </w:r>
      <w:r>
        <w:rPr>
          <w:rStyle w:val="PageNumber"/>
          <w:szCs w:val="22"/>
        </w:rPr>
        <w:t>intermediate access providers</w:t>
      </w:r>
      <w:r w:rsidRPr="00036C16">
        <w:rPr>
          <w:rStyle w:val="PageNumber"/>
          <w:szCs w:val="22"/>
        </w:rPr>
        <w:t xml:space="preserve"> of their intent to accept </w:t>
      </w:r>
      <w:r>
        <w:rPr>
          <w:rStyle w:val="PageNumber"/>
          <w:szCs w:val="22"/>
        </w:rPr>
        <w:t xml:space="preserve">financial responsibility for calls delivered to their networks or to accept </w:t>
      </w:r>
      <w:r w:rsidRPr="00036C16">
        <w:rPr>
          <w:rStyle w:val="PageNumber"/>
          <w:szCs w:val="22"/>
        </w:rPr>
        <w:t>direct connections</w:t>
      </w:r>
      <w:r>
        <w:rPr>
          <w:rStyle w:val="PageNumber"/>
          <w:szCs w:val="22"/>
        </w:rPr>
        <w:t xml:space="preserve"> from IXCs or intermediate access providers of the IXCs’ choosing</w:t>
      </w:r>
      <w:r w:rsidRPr="00036C16">
        <w:rPr>
          <w:rStyle w:val="PageNumber"/>
          <w:szCs w:val="22"/>
        </w:rPr>
        <w:t xml:space="preserve">.  </w:t>
      </w:r>
      <w:r>
        <w:rPr>
          <w:rStyle w:val="PageNumber"/>
          <w:szCs w:val="22"/>
        </w:rPr>
        <w:t xml:space="preserve">Should we also require the access-stimulating LEC to provide public, written notice of its choice to the Commission?  </w:t>
      </w:r>
      <w:r w:rsidRPr="00036C16">
        <w:rPr>
          <w:rStyle w:val="PageNumber"/>
          <w:szCs w:val="22"/>
        </w:rPr>
        <w:t xml:space="preserve">Should we provide </w:t>
      </w:r>
      <w:r>
        <w:rPr>
          <w:rStyle w:val="PageNumber"/>
          <w:szCs w:val="22"/>
        </w:rPr>
        <w:t xml:space="preserve">specific requirements regarding </w:t>
      </w:r>
      <w:r w:rsidRPr="00036C16">
        <w:rPr>
          <w:rStyle w:val="PageNumber"/>
          <w:szCs w:val="22"/>
        </w:rPr>
        <w:t>the form</w:t>
      </w:r>
      <w:r>
        <w:rPr>
          <w:rStyle w:val="PageNumber"/>
          <w:szCs w:val="22"/>
        </w:rPr>
        <w:t xml:space="preserve"> and content</w:t>
      </w:r>
      <w:r w:rsidRPr="00036C16">
        <w:rPr>
          <w:rStyle w:val="PageNumber"/>
          <w:szCs w:val="22"/>
        </w:rPr>
        <w:t xml:space="preserve"> of such notice</w:t>
      </w:r>
      <w:r>
        <w:rPr>
          <w:rStyle w:val="PageNumber"/>
          <w:szCs w:val="22"/>
        </w:rPr>
        <w:t xml:space="preserve">?  For example, should we require an access-stimulating LEC to accept direct connections at current points of interconnection (POI) with intermediate access providers, as well as at the LECs’ end office, and to provide notice of those locations?  Or, should we allow an access-stimulating LEC to choose where to provide POIs and to specify those locations in its notice?  </w:t>
      </w:r>
      <w:r w:rsidRPr="00036C16">
        <w:rPr>
          <w:rStyle w:val="PageNumber"/>
          <w:szCs w:val="22"/>
        </w:rPr>
        <w:t>Should access-stimulating LECs also provide notice to the Commission</w:t>
      </w:r>
      <w:r>
        <w:rPr>
          <w:rStyle w:val="PageNumber"/>
          <w:szCs w:val="22"/>
        </w:rPr>
        <w:t xml:space="preserve"> and state commissions</w:t>
      </w:r>
      <w:r w:rsidRPr="00036C16">
        <w:rPr>
          <w:rStyle w:val="PageNumber"/>
          <w:szCs w:val="22"/>
        </w:rPr>
        <w:t xml:space="preserve"> of their choice to accept direct connections</w:t>
      </w:r>
      <w:r>
        <w:rPr>
          <w:rStyle w:val="PageNumber"/>
          <w:szCs w:val="22"/>
        </w:rPr>
        <w:t xml:space="preserve"> and of the location of their POIs</w:t>
      </w:r>
      <w:r w:rsidRPr="00036C16">
        <w:rPr>
          <w:rStyle w:val="PageNumber"/>
          <w:szCs w:val="22"/>
        </w:rPr>
        <w:t>?</w:t>
      </w:r>
      <w:r>
        <w:rPr>
          <w:rStyle w:val="PageNumber"/>
          <w:szCs w:val="22"/>
        </w:rPr>
        <w:t xml:space="preserve">  To ensure that the investment made by an IXC to extend its network to directly interconnect with an access-stimulating LEC is not stranded, should an access-stimulating LEC be prohibited from ending its election of direct connections once made?  Should such a prohibition be permanent or for a specified period of time?</w:t>
      </w:r>
    </w:p>
    <w:p w:rsidR="008C3223" w:rsidP="008C3223">
      <w:pPr>
        <w:pStyle w:val="ParaNum"/>
        <w:tabs>
          <w:tab w:val="left" w:pos="1440"/>
        </w:tabs>
        <w:rPr>
          <w:rStyle w:val="PageNumber"/>
          <w:szCs w:val="22"/>
        </w:rPr>
      </w:pPr>
      <w:r>
        <w:rPr>
          <w:rStyle w:val="PageNumber"/>
          <w:i/>
          <w:szCs w:val="22"/>
        </w:rPr>
        <w:t>Impact of this Proposal</w:t>
      </w:r>
      <w:r w:rsidRPr="002502EB">
        <w:rPr>
          <w:rStyle w:val="PageNumber"/>
          <w:szCs w:val="22"/>
        </w:rPr>
        <w:t xml:space="preserve">. </w:t>
      </w:r>
      <w:r>
        <w:rPr>
          <w:rStyle w:val="PageNumber"/>
          <w:szCs w:val="22"/>
        </w:rPr>
        <w:t xml:space="preserve"> We seek comment on the costs and benefits of our proposal.  </w:t>
      </w:r>
      <w:r w:rsidRPr="00765DA9">
        <w:rPr>
          <w:rStyle w:val="PageNumber"/>
          <w:szCs w:val="22"/>
        </w:rPr>
        <w:t>To what extent will</w:t>
      </w:r>
      <w:r>
        <w:rPr>
          <w:rStyle w:val="PageNumber"/>
          <w:szCs w:val="22"/>
        </w:rPr>
        <w:t xml:space="preserve"> our two-pronged proposal a</w:t>
      </w:r>
      <w:r w:rsidRPr="00765DA9">
        <w:rPr>
          <w:rStyle w:val="PageNumber"/>
          <w:szCs w:val="22"/>
        </w:rPr>
        <w:t xml:space="preserve">lleviate market distortions created by the ability of access-stimulating LECs to bill for switched transport services at rates that our rules have not required to be reduced below 2011 interstate levels?  Will </w:t>
      </w:r>
      <w:r>
        <w:rPr>
          <w:rStyle w:val="PageNumber"/>
          <w:szCs w:val="22"/>
        </w:rPr>
        <w:t xml:space="preserve">the incentives created by our proposal for access-stimulating LECs to accept direct connections (to avoid bearing intermediate access provider charges imposed by a provider of the access-stimulating LEC’s choosing) </w:t>
      </w:r>
      <w:r w:rsidRPr="00765DA9">
        <w:rPr>
          <w:rStyle w:val="PageNumber"/>
          <w:szCs w:val="22"/>
        </w:rPr>
        <w:t>alleviate the problem of IXCs paying relatively-high tandem-switched transport rates</w:t>
      </w:r>
      <w:r>
        <w:rPr>
          <w:rStyle w:val="PageNumber"/>
          <w:szCs w:val="22"/>
        </w:rPr>
        <w:t xml:space="preserve"> </w:t>
      </w:r>
      <w:r w:rsidRPr="00765DA9">
        <w:rPr>
          <w:rStyle w:val="PageNumber"/>
          <w:szCs w:val="22"/>
        </w:rPr>
        <w:t xml:space="preserve">by </w:t>
      </w:r>
      <w:r>
        <w:rPr>
          <w:rStyle w:val="PageNumber"/>
          <w:szCs w:val="22"/>
        </w:rPr>
        <w:t>giving</w:t>
      </w:r>
      <w:r w:rsidRPr="00765DA9">
        <w:rPr>
          <w:rStyle w:val="PageNumber"/>
          <w:szCs w:val="22"/>
        </w:rPr>
        <w:t xml:space="preserve"> IXCs </w:t>
      </w:r>
      <w:r>
        <w:rPr>
          <w:rStyle w:val="PageNumber"/>
          <w:szCs w:val="22"/>
        </w:rPr>
        <w:t>more options to reach end users?</w:t>
      </w:r>
    </w:p>
    <w:p w:rsidR="008C3223" w:rsidP="008C3223">
      <w:pPr>
        <w:pStyle w:val="ParaNum"/>
        <w:widowControl/>
        <w:rPr>
          <w:rStyle w:val="PageNumber"/>
          <w:szCs w:val="22"/>
        </w:rPr>
      </w:pPr>
      <w:r>
        <w:rPr>
          <w:rStyle w:val="PageNumber"/>
          <w:szCs w:val="22"/>
        </w:rPr>
        <w:t>H</w:t>
      </w:r>
      <w:r w:rsidRPr="00765DA9">
        <w:rPr>
          <w:rStyle w:val="PageNumber"/>
          <w:szCs w:val="22"/>
        </w:rPr>
        <w:t xml:space="preserve">ow will </w:t>
      </w:r>
      <w:r>
        <w:rPr>
          <w:rStyle w:val="PageNumber"/>
          <w:szCs w:val="22"/>
        </w:rPr>
        <w:t>our proposal a</w:t>
      </w:r>
      <w:r w:rsidRPr="00765DA9">
        <w:rPr>
          <w:rStyle w:val="PageNumber"/>
          <w:szCs w:val="22"/>
        </w:rPr>
        <w:t xml:space="preserve">ffect incentives for carriers to migrate their </w:t>
      </w:r>
      <w:r>
        <w:rPr>
          <w:rStyle w:val="PageNumber"/>
          <w:szCs w:val="22"/>
        </w:rPr>
        <w:t>services</w:t>
      </w:r>
      <w:r w:rsidRPr="00765DA9">
        <w:rPr>
          <w:rStyle w:val="PageNumber"/>
          <w:szCs w:val="22"/>
        </w:rPr>
        <w:t xml:space="preserve"> to IP?  To what extent do parties expect that direct connections would be provided in time division multiplexed (TDM) format rather than IP?</w:t>
      </w:r>
      <w:r>
        <w:rPr>
          <w:rStyle w:val="FootnoteReference"/>
          <w:szCs w:val="22"/>
        </w:rPr>
        <w:footnoteReference w:id="32"/>
      </w:r>
      <w:r w:rsidRPr="00765DA9">
        <w:rPr>
          <w:rStyle w:val="PageNumber"/>
          <w:szCs w:val="22"/>
        </w:rPr>
        <w:t xml:space="preserve">  Are there circumstances </w:t>
      </w:r>
      <w:r>
        <w:rPr>
          <w:rStyle w:val="PageNumber"/>
          <w:szCs w:val="22"/>
        </w:rPr>
        <w:t>under</w:t>
      </w:r>
      <w:r w:rsidRPr="00765DA9">
        <w:rPr>
          <w:rStyle w:val="PageNumber"/>
          <w:szCs w:val="22"/>
        </w:rPr>
        <w:t xml:space="preserve"> which an access-stimulating LEC should be required, upon request, to interconnect using IP rather than TDM and bear any costs necessary to do so?</w:t>
      </w:r>
      <w:r>
        <w:rPr>
          <w:rStyle w:val="FootnoteReference"/>
          <w:szCs w:val="22"/>
        </w:rPr>
        <w:footnoteReference w:id="33"/>
      </w:r>
      <w:r w:rsidRPr="00765DA9">
        <w:rPr>
          <w:rStyle w:val="PageNumber"/>
          <w:szCs w:val="22"/>
        </w:rPr>
        <w:t xml:space="preserve">  </w:t>
      </w:r>
      <w:r>
        <w:rPr>
          <w:rStyle w:val="PageNumber"/>
          <w:szCs w:val="22"/>
        </w:rPr>
        <w:t>Are calls bound for high call volume service providers</w:t>
      </w:r>
      <w:r w:rsidRPr="00765DA9">
        <w:rPr>
          <w:rStyle w:val="PageNumber"/>
          <w:szCs w:val="22"/>
        </w:rPr>
        <w:t xml:space="preserve"> ultimately converted to IP for delivery?</w:t>
      </w:r>
      <w:r>
        <w:rPr>
          <w:rStyle w:val="PageNumber"/>
          <w:szCs w:val="22"/>
        </w:rPr>
        <w:t xml:space="preserve">  Would requiring IP interconnection obviate the need to convert TDM traffic to IP for delivery?</w:t>
      </w:r>
    </w:p>
    <w:p w:rsidR="008C3223" w:rsidRPr="005650C9" w:rsidP="008C3223">
      <w:pPr>
        <w:pStyle w:val="ParaNum"/>
        <w:tabs>
          <w:tab w:val="left" w:pos="1440"/>
        </w:tabs>
      </w:pPr>
      <w:r>
        <w:rPr>
          <w:i/>
        </w:rPr>
        <w:t>NTCA et al.</w:t>
      </w:r>
      <w:r w:rsidRPr="005650C9">
        <w:rPr>
          <w:i/>
        </w:rPr>
        <w:t xml:space="preserve"> Proposal</w:t>
      </w:r>
      <w:r>
        <w:t>.</w:t>
      </w:r>
      <w:bookmarkStart w:id="210" w:name="_Hlk511988807"/>
      <w:r>
        <w:rPr>
          <w:rStyle w:val="CommentReference"/>
        </w:rPr>
        <w:t xml:space="preserve">  </w:t>
      </w:r>
      <w:r>
        <w:rPr>
          <w:szCs w:val="22"/>
        </w:rPr>
        <w:t>NTCA et al. has recommended that we adopt rules similar to the first prong of our proposal, but without providing an access-stimulating LEC the option of electing to accept direct connections as a means of avoiding bearing intermediate access provider charges.</w:t>
      </w:r>
      <w:r>
        <w:rPr>
          <w:rStyle w:val="FootnoteReference"/>
          <w:szCs w:val="22"/>
        </w:rPr>
        <w:footnoteReference w:id="34"/>
      </w:r>
      <w:r>
        <w:rPr>
          <w:szCs w:val="22"/>
        </w:rPr>
        <w:t xml:space="preserve">  Under the NTCA et al. proposal, within 45 days of the effective date of the implementing rules, access-stimulating LECs would be required to revise their tariffs to remove any terminating interstate tandem switching and tandem transport charges of their own and also begin to assume financial responsibility for all intermediate switched access provider interstate tandem switching and transport charges for traffic bound for such access-stimulating LECs.  The NTCA et al. proposal would also require access-stimulating LECs to provide written notice to all affected providers, including intermediate access provider</w:t>
      </w:r>
      <w:r>
        <w:rPr>
          <w:rStyle w:val="PageNumber"/>
          <w:szCs w:val="22"/>
        </w:rPr>
        <w:t>s</w:t>
      </w:r>
      <w:r>
        <w:rPr>
          <w:szCs w:val="22"/>
        </w:rPr>
        <w:t>, of the substance of these tariff revisions at the time that such tariff revisions are filed, as well as the fact that such access-stimulating LECs will be bearing financial responsibility for pertinent intermediate switched access provider interstate tandem switching and transport charges.</w:t>
      </w:r>
      <w:bookmarkEnd w:id="210"/>
    </w:p>
    <w:p w:rsidR="008C3223" w:rsidP="008C3223">
      <w:pPr>
        <w:pStyle w:val="ParaNum"/>
      </w:pPr>
      <w:r>
        <w:t xml:space="preserve">Although the </w:t>
      </w:r>
      <w:r>
        <w:rPr>
          <w:szCs w:val="22"/>
        </w:rPr>
        <w:t xml:space="preserve">NTCA et al. </w:t>
      </w:r>
      <w:r>
        <w:t>proposal does not preclude an access-stimulating LEC from avoiding incurring intermediate access provider charges by beginning to accept direct connections, it also does not provide IXCs any incentive to accept offers of direct connection from such LECs.  By permitting access-stimulating LECs to elect to accept direct connections, our proposal seeks to provide a formal means by which access-stimulating LECs may eventually avoid incurring intermediate access provider charges.  We seek comment on the NTCA et al. proposal both as an independent proposal and also as it relates to our proposal above.</w:t>
      </w:r>
    </w:p>
    <w:p w:rsidR="008C3223" w:rsidP="00B245E3">
      <w:pPr>
        <w:pStyle w:val="ParaNum"/>
        <w:widowControl/>
      </w:pPr>
      <w:bookmarkStart w:id="211" w:name="_Hlk512599930"/>
      <w:r>
        <w:rPr>
          <w:i/>
        </w:rPr>
        <w:t>CenturyLink Proposal</w:t>
      </w:r>
      <w:r>
        <w:t>.  CenturyLink suggests that we consider an approach similar to our proposal, but with broader applicability.</w:t>
      </w:r>
      <w:r>
        <w:rPr>
          <w:rStyle w:val="FootnoteReference"/>
        </w:rPr>
        <w:footnoteReference w:id="35"/>
      </w:r>
      <w:r>
        <w:t xml:space="preserve">  Rather than focusing on access-stimulating LECs, CenturyLink recommends shifting financial responsibility to any LEC that declines to accept a request for direct interconnection for the purpose of terminating access traffic.</w:t>
      </w:r>
      <w:r>
        <w:rPr>
          <w:rStyle w:val="FootnoteReference"/>
        </w:rPr>
        <w:footnoteReference w:id="36"/>
      </w:r>
      <w:r>
        <w:t xml:space="preserve">  We seek comment on this recommendation.  What would be the impact of such an approach on the affected companies and their customers?</w:t>
      </w:r>
    </w:p>
    <w:p w:rsidR="008C3223" w:rsidRPr="00765DA9" w:rsidP="008C3223">
      <w:pPr>
        <w:pStyle w:val="Heading2"/>
      </w:pPr>
      <w:bookmarkStart w:id="212" w:name="_Toc507683725"/>
      <w:bookmarkStart w:id="213" w:name="_Toc508018627"/>
      <w:bookmarkStart w:id="214" w:name="_Toc510697472"/>
      <w:bookmarkStart w:id="215" w:name="_Toc511389214"/>
      <w:bookmarkStart w:id="216" w:name="_Toc511389264"/>
      <w:bookmarkStart w:id="217" w:name="_Toc511809349"/>
      <w:bookmarkStart w:id="218" w:name="_Toc511829206"/>
      <w:bookmarkStart w:id="219" w:name="_Toc511908584"/>
      <w:bookmarkStart w:id="220" w:name="_Toc512342136"/>
      <w:bookmarkStart w:id="221" w:name="_Toc512432203"/>
      <w:bookmarkStart w:id="222" w:name="_Toc512602228"/>
      <w:bookmarkStart w:id="223" w:name="_Toc512609411"/>
      <w:bookmarkStart w:id="224" w:name="_Toc513022575"/>
      <w:bookmarkStart w:id="225" w:name="_Toc513112765"/>
      <w:bookmarkStart w:id="226" w:name="_Toc515635366"/>
      <w:bookmarkStart w:id="227" w:name="_Toc515868107"/>
      <w:bookmarkEnd w:id="211"/>
      <w:r w:rsidRPr="00765DA9">
        <w:t>R</w:t>
      </w:r>
      <w:r>
        <w:t>equiring All Access-Stimulating LECs to Transition to Bill-and-Keep</w:t>
      </w:r>
      <w:bookmarkEnd w:id="201"/>
      <w:bookmarkEnd w:id="202"/>
      <w:bookmarkEnd w:id="203"/>
      <w:bookmarkEnd w:id="204"/>
      <w:bookmarkEnd w:id="205"/>
      <w:bookmarkEnd w:id="206"/>
      <w:bookmarkEnd w:id="207"/>
      <w:bookmarkEnd w:id="208"/>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8C3223" w:rsidRPr="005B6393" w:rsidP="008C3223">
      <w:pPr>
        <w:pStyle w:val="ParaNum"/>
        <w:numPr>
          <w:ilvl w:val="0"/>
          <w:numId w:val="12"/>
        </w:numPr>
        <w:tabs>
          <w:tab w:val="clear" w:pos="1080"/>
          <w:tab w:val="left" w:pos="1440"/>
        </w:tabs>
        <w:snapToGrid w:val="0"/>
        <w:rPr>
          <w:szCs w:val="22"/>
        </w:rPr>
      </w:pPr>
      <w:r>
        <w:rPr>
          <w:szCs w:val="22"/>
        </w:rPr>
        <w:t xml:space="preserve">If we do not adopt rules requiring access-stimulating LECs to either choose to accept financial responsibility for the delivery of calls or to accept direct connections, should we </w:t>
      </w:r>
      <w:r w:rsidRPr="005B6393">
        <w:rPr>
          <w:szCs w:val="22"/>
        </w:rPr>
        <w:t>reduce all terminating tandem switching, common transport, and tandem-switched transport rate elements for access stimulators to bill-and-keep</w:t>
      </w:r>
      <w:r>
        <w:rPr>
          <w:szCs w:val="22"/>
        </w:rPr>
        <w:t>?</w:t>
      </w:r>
      <w:r>
        <w:rPr>
          <w:rStyle w:val="FootnoteReference"/>
          <w:szCs w:val="22"/>
        </w:rPr>
        <w:footnoteReference w:id="37"/>
      </w:r>
      <w:r w:rsidRPr="005B6393">
        <w:rPr>
          <w:szCs w:val="22"/>
        </w:rPr>
        <w:t xml:space="preserve">  </w:t>
      </w:r>
      <w:r>
        <w:rPr>
          <w:szCs w:val="22"/>
        </w:rPr>
        <w:t xml:space="preserve">Moving these access charges to bill-and-keep would be consistent </w:t>
      </w:r>
      <w:r w:rsidRPr="005B6393">
        <w:rPr>
          <w:szCs w:val="22"/>
        </w:rPr>
        <w:t xml:space="preserve">with </w:t>
      </w:r>
      <w:r>
        <w:rPr>
          <w:szCs w:val="22"/>
        </w:rPr>
        <w:t>our</w:t>
      </w:r>
      <w:r w:rsidRPr="005B6393">
        <w:rPr>
          <w:szCs w:val="22"/>
        </w:rPr>
        <w:t xml:space="preserve"> overarching goal</w:t>
      </w:r>
      <w:r>
        <w:rPr>
          <w:szCs w:val="22"/>
        </w:rPr>
        <w:t>s</w:t>
      </w:r>
      <w:r w:rsidRPr="005B6393">
        <w:rPr>
          <w:szCs w:val="22"/>
        </w:rPr>
        <w:t xml:space="preserve"> of discourag</w:t>
      </w:r>
      <w:r>
        <w:rPr>
          <w:szCs w:val="22"/>
        </w:rPr>
        <w:t>ing</w:t>
      </w:r>
      <w:r w:rsidRPr="005B6393">
        <w:rPr>
          <w:szCs w:val="22"/>
        </w:rPr>
        <w:t xml:space="preserve"> arbitrage</w:t>
      </w:r>
      <w:r>
        <w:rPr>
          <w:szCs w:val="22"/>
        </w:rPr>
        <w:t>,</w:t>
      </w:r>
      <w:r w:rsidRPr="005B6393">
        <w:rPr>
          <w:szCs w:val="22"/>
        </w:rPr>
        <w:t xml:space="preserve"> in </w:t>
      </w:r>
      <w:r>
        <w:rPr>
          <w:szCs w:val="22"/>
        </w:rPr>
        <w:t>particular</w:t>
      </w:r>
      <w:r w:rsidRPr="005B6393">
        <w:rPr>
          <w:szCs w:val="22"/>
        </w:rPr>
        <w:t xml:space="preserve"> access stimulation, </w:t>
      </w:r>
      <w:r>
        <w:rPr>
          <w:szCs w:val="22"/>
        </w:rPr>
        <w:t xml:space="preserve">and ultimately transitioning all traffic to bill-and-keep.  It would also be </w:t>
      </w:r>
      <w:r w:rsidRPr="005B6393">
        <w:rPr>
          <w:szCs w:val="22"/>
        </w:rPr>
        <w:t xml:space="preserve">consistent with the Commission’s finding in the </w:t>
      </w:r>
      <w:r w:rsidRPr="005B6393">
        <w:rPr>
          <w:i/>
          <w:szCs w:val="22"/>
        </w:rPr>
        <w:t>USF/ICC Transformation Order</w:t>
      </w:r>
      <w:r w:rsidRPr="005B6393">
        <w:rPr>
          <w:szCs w:val="22"/>
        </w:rPr>
        <w:t xml:space="preserve"> that with respect to terminating traffic, the LEC’s end user is the cost causer</w:t>
      </w:r>
      <w:r w:rsidRPr="005B6393">
        <w:rPr>
          <w:szCs w:val="22"/>
        </w:rPr>
        <w:t xml:space="preserve"> </w:t>
      </w:r>
      <w:r w:rsidRPr="005B6393">
        <w:rPr>
          <w:szCs w:val="22"/>
        </w:rPr>
        <w:t>and therefore the LEC should look first to its subscribers to recover the costs of it network.</w:t>
      </w:r>
      <w:r>
        <w:rPr>
          <w:rStyle w:val="FootnoteReference"/>
          <w:szCs w:val="22"/>
        </w:rPr>
        <w:footnoteReference w:id="38"/>
      </w:r>
      <w:r w:rsidRPr="005B6393">
        <w:rPr>
          <w:szCs w:val="22"/>
        </w:rPr>
        <w:t xml:space="preserve">  </w:t>
      </w:r>
      <w:r>
        <w:rPr>
          <w:szCs w:val="22"/>
        </w:rPr>
        <w:t xml:space="preserve">To what extent would this approach </w:t>
      </w:r>
      <w:r w:rsidRPr="005B6393">
        <w:rPr>
          <w:szCs w:val="22"/>
        </w:rPr>
        <w:t xml:space="preserve">resolve </w:t>
      </w:r>
      <w:r>
        <w:rPr>
          <w:szCs w:val="22"/>
        </w:rPr>
        <w:t xml:space="preserve">the </w:t>
      </w:r>
      <w:r w:rsidRPr="005B6393">
        <w:rPr>
          <w:szCs w:val="22"/>
        </w:rPr>
        <w:t>access arbitrage concerns</w:t>
      </w:r>
      <w:r>
        <w:rPr>
          <w:szCs w:val="22"/>
        </w:rPr>
        <w:t xml:space="preserve"> identified in this Notice?</w:t>
      </w:r>
      <w:r w:rsidRPr="005B6393">
        <w:rPr>
          <w:szCs w:val="22"/>
        </w:rPr>
        <w:t xml:space="preserve">  </w:t>
      </w:r>
      <w:r>
        <w:rPr>
          <w:szCs w:val="22"/>
        </w:rPr>
        <w:t xml:space="preserve">We also seek comment on how this approach fits with the other proposals in this Notice.  For example, if we reduce all terminating access charges to bill-and-keep is there any remaining incentive for carriers to stimulate traffic?  </w:t>
      </w:r>
      <w:r w:rsidRPr="005B6393">
        <w:rPr>
          <w:szCs w:val="22"/>
        </w:rPr>
        <w:t>We also seek comment on any implementation issues or concerns related to the proposal</w:t>
      </w:r>
      <w:r>
        <w:rPr>
          <w:szCs w:val="22"/>
        </w:rPr>
        <w:t xml:space="preserve">.  </w:t>
      </w:r>
      <w:r w:rsidRPr="005B6393">
        <w:rPr>
          <w:szCs w:val="22"/>
        </w:rPr>
        <w:t>Should</w:t>
      </w:r>
      <w:r w:rsidRPr="005B6393">
        <w:rPr>
          <w:szCs w:val="22"/>
        </w:rPr>
        <w:t xml:space="preserve"> </w:t>
      </w:r>
      <w:r w:rsidRPr="005B6393">
        <w:rPr>
          <w:szCs w:val="22"/>
        </w:rPr>
        <w:t>we provide for a transition period to bill-and-keep for access stimulators?  If so, how long should the transition last and what steps should it include?</w:t>
      </w:r>
      <w:r>
        <w:rPr>
          <w:rStyle w:val="FootnoteReference"/>
          <w:szCs w:val="22"/>
        </w:rPr>
        <w:footnoteReference w:id="39"/>
      </w:r>
    </w:p>
    <w:p w:rsidR="008C3223" w:rsidRPr="0084388B" w:rsidP="008C3223">
      <w:pPr>
        <w:pStyle w:val="ParaNum"/>
        <w:numPr>
          <w:ilvl w:val="0"/>
          <w:numId w:val="12"/>
        </w:numPr>
        <w:tabs>
          <w:tab w:val="clear" w:pos="1080"/>
          <w:tab w:val="left" w:pos="1440"/>
        </w:tabs>
        <w:snapToGrid w:val="0"/>
        <w:rPr>
          <w:szCs w:val="22"/>
        </w:rPr>
      </w:pPr>
      <w:bookmarkStart w:id="228" w:name="_Hlk515868725"/>
      <w:r w:rsidRPr="0084388B">
        <w:rPr>
          <w:szCs w:val="22"/>
        </w:rPr>
        <w:t xml:space="preserve">We also seek comment on whether to require </w:t>
      </w:r>
      <w:r>
        <w:rPr>
          <w:szCs w:val="22"/>
        </w:rPr>
        <w:t xml:space="preserve">an </w:t>
      </w:r>
      <w:r w:rsidRPr="0084388B">
        <w:rPr>
          <w:szCs w:val="22"/>
        </w:rPr>
        <w:t xml:space="preserve">access-stimulating LEC to transition </w:t>
      </w:r>
      <w:r>
        <w:rPr>
          <w:szCs w:val="22"/>
        </w:rPr>
        <w:t>its</w:t>
      </w:r>
      <w:r w:rsidRPr="0084388B">
        <w:rPr>
          <w:szCs w:val="22"/>
        </w:rPr>
        <w:t xml:space="preserve"> dedicated transport and originating rates to bill-and-keep.  The only potential access arbitrage scheme of which we are aware regarding originating access concerns 8YY traffic, which we leave for separate consideration.  Outside the 8YY context, are there arbitrage schemes involving originating access about which we should be concerned?  Can they be addressed by a transition to bill-and-keep or by other proposals in this Notice?</w:t>
      </w:r>
    </w:p>
    <w:p w:rsidR="008C3223" w:rsidP="008C3223">
      <w:pPr>
        <w:pStyle w:val="Heading2"/>
      </w:pPr>
      <w:bookmarkStart w:id="229" w:name="_Toc511389215"/>
      <w:bookmarkStart w:id="230" w:name="_Toc511389265"/>
      <w:bookmarkStart w:id="231" w:name="_Toc511809350"/>
      <w:bookmarkStart w:id="232" w:name="_Toc511829207"/>
      <w:bookmarkStart w:id="233" w:name="_Toc511908585"/>
      <w:bookmarkStart w:id="234" w:name="_Toc512342137"/>
      <w:bookmarkStart w:id="235" w:name="_Toc512432204"/>
      <w:bookmarkStart w:id="236" w:name="_Toc512602229"/>
      <w:bookmarkStart w:id="237" w:name="_Toc512609412"/>
      <w:bookmarkStart w:id="238" w:name="_Toc513022576"/>
      <w:bookmarkStart w:id="239" w:name="_Toc513112766"/>
      <w:bookmarkStart w:id="240" w:name="_Toc515635367"/>
      <w:bookmarkStart w:id="241" w:name="_Toc515868108"/>
      <w:bookmarkStart w:id="242" w:name="_Toc504674567"/>
      <w:bookmarkStart w:id="243" w:name="_Toc504675209"/>
      <w:bookmarkEnd w:id="175"/>
      <w:bookmarkEnd w:id="176"/>
      <w:bookmarkEnd w:id="228"/>
      <w:r>
        <w:t>Defining Access Stimulation</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8C3223" w:rsidRPr="008150FB" w:rsidP="008C3223">
      <w:pPr>
        <w:pStyle w:val="ParaNum"/>
        <w:numPr>
          <w:ilvl w:val="0"/>
          <w:numId w:val="12"/>
        </w:numPr>
        <w:tabs>
          <w:tab w:val="clear" w:pos="1080"/>
          <w:tab w:val="num" w:pos="1440"/>
        </w:tabs>
        <w:snapToGrid w:val="0"/>
        <w:rPr>
          <w:szCs w:val="22"/>
        </w:rPr>
      </w:pPr>
      <w:bookmarkStart w:id="244" w:name="_Toc500780594"/>
      <w:bookmarkStart w:id="245" w:name="_Toc500782495"/>
      <w:bookmarkEnd w:id="242"/>
      <w:bookmarkEnd w:id="243"/>
      <w:r w:rsidRPr="008150FB">
        <w:rPr>
          <w:szCs w:val="22"/>
        </w:rPr>
        <w:t>Given evid</w:t>
      </w:r>
      <w:r w:rsidRPr="000C6012">
        <w:rPr>
          <w:szCs w:val="22"/>
        </w:rPr>
        <w:t xml:space="preserve">ence that access stimulation schemes are still being perpetrated notwithstanding </w:t>
      </w:r>
      <w:r>
        <w:rPr>
          <w:szCs w:val="22"/>
        </w:rPr>
        <w:t>our</w:t>
      </w:r>
      <w:r w:rsidRPr="000C6012">
        <w:rPr>
          <w:szCs w:val="22"/>
        </w:rPr>
        <w:t xml:space="preserve"> existing rules, we seek comment on whether</w:t>
      </w:r>
      <w:r>
        <w:rPr>
          <w:szCs w:val="22"/>
        </w:rPr>
        <w:t>, and if so how,</w:t>
      </w:r>
      <w:r w:rsidRPr="000C6012">
        <w:rPr>
          <w:szCs w:val="22"/>
        </w:rPr>
        <w:t xml:space="preserve"> </w:t>
      </w:r>
      <w:r>
        <w:rPr>
          <w:szCs w:val="22"/>
        </w:rPr>
        <w:t xml:space="preserve">to </w:t>
      </w:r>
      <w:r w:rsidRPr="000C6012">
        <w:rPr>
          <w:szCs w:val="22"/>
        </w:rPr>
        <w:t>revise the current definition of access stimulation</w:t>
      </w:r>
      <w:r>
        <w:rPr>
          <w:szCs w:val="22"/>
        </w:rPr>
        <w:t xml:space="preserve"> to more accurately and effectively target harmful access stimulation practices.</w:t>
      </w:r>
      <w:r>
        <w:rPr>
          <w:rStyle w:val="FootnoteReference"/>
          <w:szCs w:val="22"/>
        </w:rPr>
        <w:footnoteReference w:id="40"/>
      </w:r>
      <w:r w:rsidRPr="008150FB">
        <w:rPr>
          <w:szCs w:val="22"/>
        </w:rPr>
        <w:t xml:space="preserve">  What has been the impact of the current definition</w:t>
      </w:r>
      <w:r w:rsidRPr="000C6012">
        <w:rPr>
          <w:szCs w:val="22"/>
        </w:rPr>
        <w:t xml:space="preserve"> over the last seven years?  Has it proved effective at identifying actors t</w:t>
      </w:r>
      <w:r>
        <w:rPr>
          <w:szCs w:val="22"/>
        </w:rPr>
        <w:t>hat are distorting the ICC</w:t>
      </w:r>
      <w:r w:rsidRPr="000C6012">
        <w:rPr>
          <w:szCs w:val="22"/>
        </w:rPr>
        <w:t xml:space="preserve"> system for their own gain?  If not, how </w:t>
      </w:r>
      <w:r>
        <w:rPr>
          <w:szCs w:val="22"/>
        </w:rPr>
        <w:t xml:space="preserve">can </w:t>
      </w:r>
      <w:r w:rsidRPr="000C6012">
        <w:rPr>
          <w:szCs w:val="22"/>
        </w:rPr>
        <w:t>we revise the definition to more accurately identify the</w:t>
      </w:r>
      <w:r>
        <w:rPr>
          <w:szCs w:val="22"/>
        </w:rPr>
        <w:t>se types of</w:t>
      </w:r>
      <w:r w:rsidRPr="000C6012">
        <w:rPr>
          <w:szCs w:val="22"/>
        </w:rPr>
        <w:t xml:space="preserve"> </w:t>
      </w:r>
      <w:r>
        <w:rPr>
          <w:szCs w:val="22"/>
        </w:rPr>
        <w:t xml:space="preserve">harmful </w:t>
      </w:r>
      <w:r w:rsidRPr="000C6012">
        <w:rPr>
          <w:szCs w:val="22"/>
        </w:rPr>
        <w:t>practice</w:t>
      </w:r>
      <w:r>
        <w:rPr>
          <w:szCs w:val="22"/>
        </w:rPr>
        <w:t>s</w:t>
      </w:r>
      <w:r w:rsidRPr="000C6012">
        <w:rPr>
          <w:szCs w:val="22"/>
        </w:rPr>
        <w:t xml:space="preserve">? </w:t>
      </w:r>
      <w:r>
        <w:rPr>
          <w:szCs w:val="22"/>
        </w:rPr>
        <w:t xml:space="preserve"> </w:t>
      </w:r>
      <w:r w:rsidRPr="000C6012">
        <w:rPr>
          <w:szCs w:val="22"/>
        </w:rPr>
        <w:t>Should we, for example, modify the</w:t>
      </w:r>
      <w:r>
        <w:rPr>
          <w:szCs w:val="22"/>
        </w:rPr>
        <w:t xml:space="preserve"> ratios or </w:t>
      </w:r>
      <w:r w:rsidRPr="000C6012">
        <w:rPr>
          <w:szCs w:val="22"/>
        </w:rPr>
        <w:t xml:space="preserve">triggers in the definition?  If so, how should those </w:t>
      </w:r>
      <w:r>
        <w:rPr>
          <w:szCs w:val="22"/>
        </w:rPr>
        <w:t xml:space="preserve">ratios or </w:t>
      </w:r>
      <w:r w:rsidRPr="000C6012">
        <w:rPr>
          <w:szCs w:val="22"/>
        </w:rPr>
        <w:t>triggers be modified?</w:t>
      </w:r>
      <w:r>
        <w:rPr>
          <w:rStyle w:val="FootnoteReference"/>
          <w:szCs w:val="22"/>
        </w:rPr>
        <w:footnoteReference w:id="41"/>
      </w:r>
      <w:r w:rsidRPr="008150FB">
        <w:rPr>
          <w:szCs w:val="22"/>
        </w:rPr>
        <w:t xml:space="preserve">  S</w:t>
      </w:r>
      <w:r w:rsidRPr="000C6012">
        <w:rPr>
          <w:szCs w:val="22"/>
        </w:rPr>
        <w:t xml:space="preserve">hould we adopt triggers that relate to the stimulation of tandem and transport services?  If so, what </w:t>
      </w:r>
      <w:r>
        <w:rPr>
          <w:szCs w:val="22"/>
        </w:rPr>
        <w:t>should those triggers</w:t>
      </w:r>
      <w:r w:rsidRPr="000C6012">
        <w:rPr>
          <w:szCs w:val="22"/>
        </w:rPr>
        <w:t xml:space="preserve"> be?  Is the current revenue sharing </w:t>
      </w:r>
      <w:r>
        <w:rPr>
          <w:szCs w:val="22"/>
        </w:rPr>
        <w:t>agreement requirement</w:t>
      </w:r>
      <w:r w:rsidRPr="000C6012">
        <w:rPr>
          <w:szCs w:val="22"/>
        </w:rPr>
        <w:t xml:space="preserve"> in our rules sufficiently broad or should it be revised, and if so how?</w:t>
      </w:r>
      <w:r>
        <w:rPr>
          <w:rStyle w:val="FootnoteReference"/>
          <w:szCs w:val="22"/>
        </w:rPr>
        <w:footnoteReference w:id="42"/>
      </w:r>
      <w:r w:rsidRPr="008150FB">
        <w:rPr>
          <w:szCs w:val="22"/>
        </w:rPr>
        <w:t xml:space="preserve">  Or, should we remove the revenue sharing portion of the definition, </w:t>
      </w:r>
      <w:r w:rsidRPr="000C6012">
        <w:rPr>
          <w:szCs w:val="22"/>
        </w:rPr>
        <w:t>because access stimulation seems to be occurring in some instances even in the absence of revenue sharing?</w:t>
      </w:r>
      <w:r>
        <w:rPr>
          <w:rStyle w:val="FootnoteReference"/>
          <w:szCs w:val="22"/>
        </w:rPr>
        <w:footnoteReference w:id="43"/>
      </w:r>
      <w:r>
        <w:rPr>
          <w:szCs w:val="22"/>
        </w:rPr>
        <w:t xml:space="preserve">  Do commenters believe that revenue sharing alone is an indication of access stimulation?  If so, should we revise our rules so that the existence of a revenue sharing agreement triggers the access stimulation rule?  How will we know if parties are engaged in revenue sharing?  </w:t>
      </w:r>
      <w:r w:rsidRPr="00D42DF0">
        <w:rPr>
          <w:szCs w:val="22"/>
        </w:rPr>
        <w:t>Should we require these parties to self-report?</w:t>
      </w:r>
      <w:r>
        <w:rPr>
          <w:rStyle w:val="FootnoteReference"/>
          <w:szCs w:val="22"/>
        </w:rPr>
        <w:footnoteReference w:id="44"/>
      </w:r>
      <w:r w:rsidRPr="00D42DF0">
        <w:rPr>
          <w:szCs w:val="22"/>
        </w:rPr>
        <w:t xml:space="preserve">  If so, we seek comment on how to implement a self-reporting requirement.</w:t>
      </w:r>
    </w:p>
    <w:p w:rsidR="008C3223" w:rsidP="008C3223">
      <w:pPr>
        <w:pStyle w:val="ParaNum"/>
        <w:numPr>
          <w:ilvl w:val="0"/>
          <w:numId w:val="12"/>
        </w:numPr>
        <w:tabs>
          <w:tab w:val="clear" w:pos="1080"/>
          <w:tab w:val="left" w:pos="1440"/>
        </w:tabs>
        <w:snapToGrid w:val="0"/>
        <w:rPr>
          <w:szCs w:val="22"/>
        </w:rPr>
      </w:pPr>
      <w:r w:rsidRPr="00765DA9">
        <w:rPr>
          <w:szCs w:val="22"/>
        </w:rPr>
        <w:t xml:space="preserve">Alternatively, </w:t>
      </w:r>
      <w:r>
        <w:rPr>
          <w:szCs w:val="22"/>
        </w:rPr>
        <w:t>based on parties’ experience with our existing access stimulation rules, is there reason to find that access stimulation itself is unjust and unreasonable because of the imposition of excess charges on IXCs, wireless carriers, and their customers?</w:t>
      </w:r>
      <w:r w:rsidRPr="007D63BF">
        <w:rPr>
          <w:rStyle w:val="FootnoteReference"/>
          <w:szCs w:val="22"/>
        </w:rPr>
        <w:t xml:space="preserve"> </w:t>
      </w:r>
      <w:r>
        <w:rPr>
          <w:rStyle w:val="FootnoteReference"/>
          <w:szCs w:val="22"/>
        </w:rPr>
        <w:footnoteReference w:id="45"/>
      </w:r>
      <w:r w:rsidRPr="008300ED">
        <w:rPr>
          <w:szCs w:val="22"/>
        </w:rPr>
        <w:t xml:space="preserve">  Or, is there a subset of such activities that we should separately identify as unlawful?</w:t>
      </w:r>
    </w:p>
    <w:p w:rsidR="008C3223" w:rsidP="008C3223">
      <w:pPr>
        <w:pStyle w:val="ParaNum"/>
        <w:rPr>
          <w:szCs w:val="22"/>
        </w:rPr>
      </w:pPr>
      <w:r>
        <w:rPr>
          <w:szCs w:val="22"/>
        </w:rPr>
        <w:t>To address specific concerns identified in the record, commenters should also consider the extent to which the access stimulation definition should be revised to address intermediate access provider</w:t>
      </w:r>
      <w:r>
        <w:rPr>
          <w:rStyle w:val="PageNumber"/>
          <w:szCs w:val="22"/>
        </w:rPr>
        <w:t>s</w:t>
      </w:r>
      <w:r>
        <w:rPr>
          <w:szCs w:val="22"/>
        </w:rPr>
        <w:t>.  Do intermediate access providers that are not engaged in access stimulation as defined in our current rules nevertheless benefit from access stimulation schemes?  To remove incentives for intermediate access providers to enable access arbitrage schemes,</w:t>
      </w:r>
      <w:r>
        <w:rPr>
          <w:szCs w:val="22"/>
        </w:rPr>
        <w:t xml:space="preserve"> </w:t>
      </w:r>
      <w:r>
        <w:rPr>
          <w:szCs w:val="22"/>
        </w:rPr>
        <w:t>aside from the proposals discussed above, s</w:t>
      </w:r>
      <w:r w:rsidRPr="00765DA9">
        <w:rPr>
          <w:szCs w:val="22"/>
        </w:rPr>
        <w:t xml:space="preserve">hould we </w:t>
      </w:r>
      <w:r>
        <w:rPr>
          <w:szCs w:val="22"/>
        </w:rPr>
        <w:t xml:space="preserve">adopt new </w:t>
      </w:r>
      <w:r w:rsidRPr="00765DA9">
        <w:rPr>
          <w:szCs w:val="22"/>
        </w:rPr>
        <w:t>access stimulation rules</w:t>
      </w:r>
      <w:r>
        <w:rPr>
          <w:szCs w:val="22"/>
        </w:rPr>
        <w:t>, or modify our existing rules,</w:t>
      </w:r>
      <w:r w:rsidRPr="00765DA9">
        <w:rPr>
          <w:szCs w:val="22"/>
        </w:rPr>
        <w:t xml:space="preserve"> to </w:t>
      </w:r>
      <w:r>
        <w:rPr>
          <w:szCs w:val="22"/>
        </w:rPr>
        <w:t>apply specifically</w:t>
      </w:r>
      <w:r w:rsidRPr="00765DA9">
        <w:rPr>
          <w:szCs w:val="22"/>
        </w:rPr>
        <w:t xml:space="preserve"> </w:t>
      </w:r>
      <w:r>
        <w:rPr>
          <w:szCs w:val="22"/>
        </w:rPr>
        <w:t>to intermediate access provider</w:t>
      </w:r>
      <w:r>
        <w:rPr>
          <w:rStyle w:val="PageNumber"/>
          <w:szCs w:val="22"/>
        </w:rPr>
        <w:t>s</w:t>
      </w:r>
      <w:r w:rsidRPr="00765DA9">
        <w:rPr>
          <w:szCs w:val="22"/>
        </w:rPr>
        <w:t xml:space="preserve">?  </w:t>
      </w:r>
      <w:r>
        <w:rPr>
          <w:szCs w:val="22"/>
        </w:rPr>
        <w:t>W</w:t>
      </w:r>
      <w:r w:rsidRPr="00765DA9">
        <w:rPr>
          <w:szCs w:val="22"/>
        </w:rPr>
        <w:t xml:space="preserve">ould </w:t>
      </w:r>
      <w:r>
        <w:rPr>
          <w:szCs w:val="22"/>
        </w:rPr>
        <w:t>doing so</w:t>
      </w:r>
      <w:r w:rsidRPr="00765DA9">
        <w:rPr>
          <w:szCs w:val="22"/>
        </w:rPr>
        <w:t xml:space="preserve"> be unduly burdensome</w:t>
      </w:r>
      <w:r>
        <w:rPr>
          <w:szCs w:val="22"/>
        </w:rPr>
        <w:t xml:space="preserve"> to intermediate access provider</w:t>
      </w:r>
      <w:r>
        <w:rPr>
          <w:rStyle w:val="PageNumber"/>
          <w:szCs w:val="22"/>
        </w:rPr>
        <w:t>s</w:t>
      </w:r>
      <w:r w:rsidRPr="00036C16">
        <w:rPr>
          <w:rStyle w:val="PageNumber"/>
          <w:szCs w:val="22"/>
        </w:rPr>
        <w:t xml:space="preserve"> </w:t>
      </w:r>
      <w:r>
        <w:rPr>
          <w:szCs w:val="22"/>
        </w:rPr>
        <w:t>or small LECs who subtend them</w:t>
      </w:r>
      <w:r w:rsidRPr="00765DA9">
        <w:rPr>
          <w:szCs w:val="22"/>
        </w:rPr>
        <w:t xml:space="preserve">?  Are there technical obstacles that would make it infeasible for </w:t>
      </w:r>
      <w:r>
        <w:rPr>
          <w:szCs w:val="22"/>
        </w:rPr>
        <w:t>intermediate access provider</w:t>
      </w:r>
      <w:r>
        <w:rPr>
          <w:rStyle w:val="PageNumber"/>
          <w:szCs w:val="22"/>
        </w:rPr>
        <w:t>s</w:t>
      </w:r>
      <w:r w:rsidRPr="00036C16">
        <w:rPr>
          <w:rStyle w:val="PageNumber"/>
          <w:szCs w:val="22"/>
        </w:rPr>
        <w:t xml:space="preserve"> </w:t>
      </w:r>
      <w:r w:rsidRPr="00765DA9">
        <w:rPr>
          <w:szCs w:val="22"/>
        </w:rPr>
        <w:t>to comply with the</w:t>
      </w:r>
      <w:r>
        <w:rPr>
          <w:szCs w:val="22"/>
        </w:rPr>
        <w:t xml:space="preserve"> </w:t>
      </w:r>
      <w:r w:rsidRPr="00765DA9">
        <w:rPr>
          <w:szCs w:val="22"/>
        </w:rPr>
        <w:t xml:space="preserve">Commission’s </w:t>
      </w:r>
      <w:r>
        <w:rPr>
          <w:szCs w:val="22"/>
        </w:rPr>
        <w:t>current, or any modified,</w:t>
      </w:r>
      <w:r w:rsidRPr="00765DA9">
        <w:rPr>
          <w:szCs w:val="22"/>
        </w:rPr>
        <w:t xml:space="preserve"> access stimulation rules?  </w:t>
      </w:r>
      <w:r>
        <w:rPr>
          <w:szCs w:val="22"/>
        </w:rPr>
        <w:t xml:space="preserve">Would a requirement that access-stimulating subtending LECs notify the intermediate access provider that they are engaged in access stimulation and identify the traffic that is being stimulated provide a practical solution?  </w:t>
      </w:r>
    </w:p>
    <w:p w:rsidR="008C3223" w:rsidP="008C3223">
      <w:pPr>
        <w:pStyle w:val="Heading2"/>
      </w:pPr>
      <w:bookmarkStart w:id="246" w:name="_Toc511389216"/>
      <w:bookmarkStart w:id="247" w:name="_Toc511389266"/>
      <w:bookmarkStart w:id="248" w:name="_Toc511809351"/>
      <w:bookmarkStart w:id="249" w:name="_Toc511829208"/>
      <w:bookmarkStart w:id="250" w:name="_Toc511908586"/>
      <w:bookmarkStart w:id="251" w:name="_Toc512342138"/>
      <w:bookmarkStart w:id="252" w:name="_Toc512432205"/>
      <w:bookmarkStart w:id="253" w:name="_Toc512602230"/>
      <w:bookmarkStart w:id="254" w:name="_Toc512609413"/>
      <w:bookmarkStart w:id="255" w:name="_Toc513022577"/>
      <w:bookmarkStart w:id="256" w:name="_Toc513112767"/>
      <w:bookmarkStart w:id="257" w:name="_Toc515635368"/>
      <w:bookmarkStart w:id="258" w:name="_Toc515868109"/>
      <w:bookmarkEnd w:id="244"/>
      <w:bookmarkEnd w:id="245"/>
      <w:r>
        <w:t>Addressing Other Arbitrage Schemes</w:t>
      </w:r>
      <w:bookmarkEnd w:id="246"/>
      <w:bookmarkEnd w:id="247"/>
      <w:bookmarkEnd w:id="248"/>
      <w:bookmarkEnd w:id="249"/>
      <w:bookmarkEnd w:id="250"/>
      <w:r>
        <w:t>, and Alternative Approaches to Arbitrage</w:t>
      </w:r>
      <w:bookmarkEnd w:id="251"/>
      <w:bookmarkEnd w:id="252"/>
      <w:bookmarkEnd w:id="253"/>
      <w:bookmarkEnd w:id="254"/>
      <w:bookmarkEnd w:id="255"/>
      <w:bookmarkEnd w:id="256"/>
      <w:bookmarkEnd w:id="257"/>
      <w:bookmarkEnd w:id="258"/>
    </w:p>
    <w:p w:rsidR="008C3223" w:rsidP="008C3223">
      <w:pPr>
        <w:pStyle w:val="ParaNum"/>
        <w:rPr>
          <w:szCs w:val="22"/>
        </w:rPr>
      </w:pPr>
      <w:r>
        <w:rPr>
          <w:szCs w:val="22"/>
        </w:rPr>
        <w:t>The record indicates the existence of at least three other types of arbitrage schemes.</w:t>
      </w:r>
      <w:r w:rsidRPr="00765DA9">
        <w:rPr>
          <w:szCs w:val="22"/>
        </w:rPr>
        <w:t xml:space="preserve"> </w:t>
      </w:r>
      <w:r>
        <w:rPr>
          <w:szCs w:val="22"/>
        </w:rPr>
        <w:t xml:space="preserve"> We seek comment on the prevalence and impact of these types of schemes described in more detail below.  Will any of the rules we propose today help retard these schemes?  Are there other rules we should adopt to prevent these schemes?</w:t>
      </w:r>
    </w:p>
    <w:p w:rsidR="008C3223" w:rsidP="008C3223">
      <w:pPr>
        <w:pStyle w:val="ParaNum"/>
        <w:rPr>
          <w:snapToGrid/>
          <w:szCs w:val="22"/>
        </w:rPr>
      </w:pPr>
      <w:r>
        <w:rPr>
          <w:szCs w:val="22"/>
        </w:rPr>
        <w:t xml:space="preserve">First, parties describe an </w:t>
      </w:r>
      <w:r w:rsidRPr="00765DA9">
        <w:rPr>
          <w:szCs w:val="22"/>
        </w:rPr>
        <w:t xml:space="preserve">access arbitrage scheme </w:t>
      </w:r>
      <w:r w:rsidRPr="00BD3623">
        <w:rPr>
          <w:szCs w:val="22"/>
        </w:rPr>
        <w:t>involving</w:t>
      </w:r>
      <w:r w:rsidRPr="00765DA9">
        <w:rPr>
          <w:szCs w:val="22"/>
        </w:rPr>
        <w:t xml:space="preserve"> a revenue sharing </w:t>
      </w:r>
      <w:r>
        <w:rPr>
          <w:szCs w:val="22"/>
        </w:rPr>
        <w:t xml:space="preserve">or other type of </w:t>
      </w:r>
      <w:r w:rsidRPr="00765DA9">
        <w:rPr>
          <w:szCs w:val="22"/>
        </w:rPr>
        <w:t xml:space="preserve">agreement between </w:t>
      </w:r>
      <w:r>
        <w:rPr>
          <w:szCs w:val="22"/>
        </w:rPr>
        <w:t>an intermediate access provider</w:t>
      </w:r>
      <w:r w:rsidRPr="00765DA9">
        <w:rPr>
          <w:szCs w:val="22"/>
        </w:rPr>
        <w:t xml:space="preserve"> </w:t>
      </w:r>
      <w:r w:rsidRPr="009206C4">
        <w:rPr>
          <w:szCs w:val="22"/>
        </w:rPr>
        <w:t>and a terminating carrier that may not meet the definition of access stimulation under our rules, such a</w:t>
      </w:r>
      <w:r w:rsidRPr="00765DA9">
        <w:rPr>
          <w:szCs w:val="22"/>
        </w:rPr>
        <w:t>s</w:t>
      </w:r>
      <w:r>
        <w:rPr>
          <w:szCs w:val="22"/>
        </w:rPr>
        <w:t xml:space="preserve"> a</w:t>
      </w:r>
      <w:r w:rsidRPr="00765DA9">
        <w:rPr>
          <w:szCs w:val="22"/>
        </w:rPr>
        <w:t xml:space="preserve"> </w:t>
      </w:r>
      <w:r>
        <w:rPr>
          <w:szCs w:val="22"/>
        </w:rPr>
        <w:t>Commercial Mobile Radio Service (</w:t>
      </w:r>
      <w:r w:rsidRPr="00765DA9">
        <w:rPr>
          <w:szCs w:val="22"/>
        </w:rPr>
        <w:t>CMRS</w:t>
      </w:r>
      <w:r>
        <w:rPr>
          <w:szCs w:val="22"/>
        </w:rPr>
        <w:t>)</w:t>
      </w:r>
      <w:r w:rsidRPr="00765DA9">
        <w:rPr>
          <w:szCs w:val="22"/>
        </w:rPr>
        <w:t xml:space="preserve"> </w:t>
      </w:r>
      <w:r w:rsidRPr="00BD3623">
        <w:rPr>
          <w:szCs w:val="22"/>
        </w:rPr>
        <w:t>carrier</w:t>
      </w:r>
      <w:r w:rsidRPr="00765DA9">
        <w:rPr>
          <w:szCs w:val="22"/>
        </w:rPr>
        <w:t>.</w:t>
      </w:r>
      <w:r>
        <w:rPr>
          <w:rStyle w:val="FootnoteReference"/>
          <w:szCs w:val="22"/>
        </w:rPr>
        <w:footnoteReference w:id="46"/>
      </w:r>
      <w:r w:rsidRPr="00765DA9">
        <w:rPr>
          <w:szCs w:val="22"/>
        </w:rPr>
        <w:t xml:space="preserve">  </w:t>
      </w:r>
      <w:r>
        <w:rPr>
          <w:szCs w:val="22"/>
        </w:rPr>
        <w:t>CMRS carriers are prohibited from tariffing access charges.</w:t>
      </w:r>
      <w:r>
        <w:rPr>
          <w:rStyle w:val="FootnoteReference"/>
          <w:szCs w:val="22"/>
        </w:rPr>
        <w:footnoteReference w:id="47"/>
      </w:r>
      <w:r>
        <w:rPr>
          <w:szCs w:val="22"/>
        </w:rPr>
        <w:t xml:space="preserve">  However, intermediate access provider</w:t>
      </w:r>
      <w:r>
        <w:rPr>
          <w:rStyle w:val="PageNumber"/>
          <w:szCs w:val="22"/>
        </w:rPr>
        <w:t>s</w:t>
      </w:r>
      <w:r w:rsidRPr="00036C16">
        <w:rPr>
          <w:rStyle w:val="PageNumber"/>
          <w:szCs w:val="22"/>
        </w:rPr>
        <w:t xml:space="preserve"> </w:t>
      </w:r>
      <w:r>
        <w:rPr>
          <w:szCs w:val="22"/>
        </w:rPr>
        <w:t xml:space="preserve">that transport traffic from an IXC to CMRS carriers can charge for access services through filed tariffs or negotiated agreements.  Some </w:t>
      </w:r>
      <w:r w:rsidRPr="00765DA9">
        <w:rPr>
          <w:szCs w:val="22"/>
        </w:rPr>
        <w:t xml:space="preserve">IXCs </w:t>
      </w:r>
      <w:r>
        <w:rPr>
          <w:szCs w:val="22"/>
        </w:rPr>
        <w:t xml:space="preserve">claim </w:t>
      </w:r>
      <w:r w:rsidRPr="00765DA9">
        <w:rPr>
          <w:szCs w:val="22"/>
        </w:rPr>
        <w:t xml:space="preserve">that certain CMRS carriers </w:t>
      </w:r>
      <w:r>
        <w:rPr>
          <w:szCs w:val="22"/>
        </w:rPr>
        <w:t>that previously offered direct connections between their networks and the IXCs’ networks have begun to use intermediate access provider</w:t>
      </w:r>
      <w:r>
        <w:rPr>
          <w:rStyle w:val="PageNumber"/>
          <w:szCs w:val="22"/>
        </w:rPr>
        <w:t>s</w:t>
      </w:r>
      <w:r w:rsidRPr="00036C16">
        <w:rPr>
          <w:rStyle w:val="PageNumber"/>
          <w:szCs w:val="22"/>
        </w:rPr>
        <w:t xml:space="preserve"> </w:t>
      </w:r>
      <w:r>
        <w:rPr>
          <w:szCs w:val="22"/>
        </w:rPr>
        <w:t>to terminate their traffic from IXCs, to reap the benefit of alleged revenue sharing agreements with the intermediate access provider</w:t>
      </w:r>
      <w:r>
        <w:rPr>
          <w:rStyle w:val="PageNumber"/>
          <w:szCs w:val="22"/>
        </w:rPr>
        <w:t>s</w:t>
      </w:r>
      <w:r>
        <w:rPr>
          <w:szCs w:val="22"/>
        </w:rPr>
        <w:t>.</w:t>
      </w:r>
      <w:r>
        <w:rPr>
          <w:rStyle w:val="FootnoteReference"/>
          <w:szCs w:val="22"/>
        </w:rPr>
        <w:footnoteReference w:id="48"/>
      </w:r>
      <w:r>
        <w:rPr>
          <w:szCs w:val="22"/>
        </w:rPr>
        <w:t xml:space="preserve">  Should we adopt rules that discourage all revenue sharing agreements between terminating providers and intermediate access provider</w:t>
      </w:r>
      <w:r>
        <w:rPr>
          <w:rStyle w:val="PageNumber"/>
          <w:szCs w:val="22"/>
        </w:rPr>
        <w:t>s</w:t>
      </w:r>
      <w:r>
        <w:rPr>
          <w:szCs w:val="22"/>
        </w:rPr>
        <w:t xml:space="preserve">?  If a terminating provider requires that some or all traffic be routed through an intermediate access provider, should we require the terminating provider to pay the intermediate access provider’s charges?  Or are there instances where it is most </w:t>
      </w:r>
      <w:r w:rsidRPr="00303E42">
        <w:rPr>
          <w:szCs w:val="22"/>
        </w:rPr>
        <w:t xml:space="preserve">efficient </w:t>
      </w:r>
      <w:r w:rsidRPr="00303E42">
        <w:t>or beneficial in other ways for a carrier</w:t>
      </w:r>
      <w:r w:rsidRPr="00303E42">
        <w:rPr>
          <w:szCs w:val="22"/>
        </w:rPr>
        <w:t xml:space="preserve"> to</w:t>
      </w:r>
      <w:r>
        <w:rPr>
          <w:szCs w:val="22"/>
        </w:rPr>
        <w:t xml:space="preserve"> require traffic be routed through an intermediate access provider?</w:t>
      </w:r>
      <w:r>
        <w:rPr>
          <w:rStyle w:val="FootnoteReference"/>
          <w:szCs w:val="22"/>
        </w:rPr>
        <w:footnoteReference w:id="49"/>
      </w:r>
      <w:r>
        <w:rPr>
          <w:szCs w:val="22"/>
        </w:rPr>
        <w:t xml:space="preserve">  What would be the costs and benefits of requiring a terminating provider that requires the use of a specific intermediate access provider to pay the intermediate access provider’s charges? </w:t>
      </w:r>
      <w:bookmarkStart w:id="259" w:name="_Hlk512599958"/>
      <w:r>
        <w:rPr>
          <w:szCs w:val="22"/>
        </w:rPr>
        <w:t xml:space="preserve"> </w:t>
      </w:r>
      <w:bookmarkEnd w:id="259"/>
      <w:r>
        <w:rPr>
          <w:szCs w:val="22"/>
        </w:rPr>
        <w:t>And would the cost-benefit analysis change if we focused any such rules on large terminating providers—i.e., those with 100,000 or more “lines” at the holding company level?</w:t>
      </w:r>
    </w:p>
    <w:p w:rsidR="008C3223" w:rsidP="00B245E3">
      <w:pPr>
        <w:pStyle w:val="ParaNum"/>
        <w:widowControl/>
        <w:rPr>
          <w:szCs w:val="22"/>
        </w:rPr>
      </w:pPr>
      <w:r w:rsidRPr="00AE7485">
        <w:rPr>
          <w:szCs w:val="22"/>
        </w:rPr>
        <w:t>Second,</w:t>
      </w:r>
      <w:r w:rsidRPr="00AE7485">
        <w:rPr>
          <w:i/>
          <w:szCs w:val="22"/>
        </w:rPr>
        <w:t xml:space="preserve"> </w:t>
      </w:r>
      <w:r w:rsidRPr="00AE7485">
        <w:rPr>
          <w:szCs w:val="22"/>
        </w:rPr>
        <w:t xml:space="preserve">because LECs and </w:t>
      </w:r>
      <w:r>
        <w:rPr>
          <w:szCs w:val="22"/>
        </w:rPr>
        <w:t>intermediate access provider</w:t>
      </w:r>
      <w:r>
        <w:rPr>
          <w:rStyle w:val="PageNumber"/>
          <w:szCs w:val="22"/>
        </w:rPr>
        <w:t>s</w:t>
      </w:r>
      <w:r w:rsidRPr="00036C16">
        <w:rPr>
          <w:rStyle w:val="PageNumber"/>
          <w:szCs w:val="22"/>
        </w:rPr>
        <w:t xml:space="preserve"> </w:t>
      </w:r>
      <w:r w:rsidRPr="00AE7485">
        <w:rPr>
          <w:szCs w:val="22"/>
        </w:rPr>
        <w:t xml:space="preserve">receive greater compensation from IXCs the further the LEC or </w:t>
      </w:r>
      <w:r>
        <w:rPr>
          <w:szCs w:val="22"/>
        </w:rPr>
        <w:t>intermediate access provider</w:t>
      </w:r>
      <w:r w:rsidRPr="00AE7485">
        <w:rPr>
          <w:szCs w:val="22"/>
        </w:rPr>
        <w:t xml:space="preserve"> carries the traffic to reach a </w:t>
      </w:r>
      <w:r>
        <w:rPr>
          <w:szCs w:val="22"/>
        </w:rPr>
        <w:t>POI</w:t>
      </w:r>
      <w:r w:rsidRPr="00AE7485">
        <w:rPr>
          <w:szCs w:val="22"/>
        </w:rPr>
        <w:t xml:space="preserve"> with the IXC, some commenters allege that LECs have changed their POI with IXCs for the sole purpose of artificially inflating their per-MOU, per-mile transport rates and revenue.</w:t>
      </w:r>
      <w:r>
        <w:rPr>
          <w:rStyle w:val="FootnoteReference"/>
          <w:szCs w:val="22"/>
        </w:rPr>
        <w:footnoteReference w:id="50"/>
      </w:r>
      <w:r w:rsidRPr="00AE7485">
        <w:rPr>
          <w:szCs w:val="22"/>
        </w:rPr>
        <w:t xml:space="preserve">  This scheme is often referred to as mileage pumping.  Shortly after the </w:t>
      </w:r>
      <w:r w:rsidRPr="00AE7485">
        <w:rPr>
          <w:i/>
          <w:szCs w:val="22"/>
        </w:rPr>
        <w:t>USF/ICC Transformation Order</w:t>
      </w:r>
      <w:r w:rsidRPr="00AE7485">
        <w:rPr>
          <w:szCs w:val="22"/>
        </w:rPr>
        <w:t>, the Commission released an order addressing this practice finding such network changes were merely sham arrangements and that the LECs did not have the unilateral right under their tariffs to make such changes.</w:t>
      </w:r>
      <w:r>
        <w:rPr>
          <w:rStyle w:val="FootnoteReference"/>
          <w:szCs w:val="22"/>
        </w:rPr>
        <w:footnoteReference w:id="51"/>
      </w:r>
      <w:r w:rsidRPr="00AE7485">
        <w:rPr>
          <w:szCs w:val="22"/>
        </w:rPr>
        <w:t xml:space="preserve">  Nevertheless, allegations of mileage pumping continue.  </w:t>
      </w:r>
      <w:r>
        <w:rPr>
          <w:szCs w:val="22"/>
        </w:rPr>
        <w:t>We seek comment on the prevalence of this practice, its impact in the market, and the likely effect of the rules proposed in this Notice on this concern.</w:t>
      </w:r>
      <w:r w:rsidRPr="00952091">
        <w:rPr>
          <w:rStyle w:val="CommentReference"/>
          <w:sz w:val="22"/>
          <w:szCs w:val="22"/>
        </w:rPr>
        <w:t xml:space="preserve"> </w:t>
      </w:r>
      <w:r w:rsidRPr="00952091">
        <w:rPr>
          <w:rStyle w:val="CommentReference"/>
          <w:sz w:val="22"/>
          <w:szCs w:val="22"/>
        </w:rPr>
        <w:t xml:space="preserve"> </w:t>
      </w:r>
      <w:r w:rsidRPr="00AE7485">
        <w:rPr>
          <w:szCs w:val="22"/>
        </w:rPr>
        <w:t>What more can we do to prevent these practices?</w:t>
      </w:r>
    </w:p>
    <w:p w:rsidR="008C3223" w:rsidP="008C3223">
      <w:pPr>
        <w:pStyle w:val="ParaNum"/>
        <w:rPr>
          <w:szCs w:val="22"/>
        </w:rPr>
      </w:pPr>
      <w:r>
        <w:rPr>
          <w:szCs w:val="22"/>
        </w:rPr>
        <w:t xml:space="preserve">Third, some commenters raise </w:t>
      </w:r>
      <w:r w:rsidRPr="00765DA9">
        <w:rPr>
          <w:szCs w:val="22"/>
        </w:rPr>
        <w:t xml:space="preserve">concerns </w:t>
      </w:r>
      <w:r>
        <w:rPr>
          <w:szCs w:val="22"/>
        </w:rPr>
        <w:t xml:space="preserve">about </w:t>
      </w:r>
      <w:r w:rsidRPr="00765DA9">
        <w:rPr>
          <w:szCs w:val="22"/>
        </w:rPr>
        <w:t>the addition of superfluous network facilities for which the LEC can bill switched access charges, but the rates for which are not subject to the current transition to bill-and-keep</w:t>
      </w:r>
      <w:r>
        <w:rPr>
          <w:szCs w:val="22"/>
        </w:rPr>
        <w:t>.</w:t>
      </w:r>
      <w:r>
        <w:rPr>
          <w:rStyle w:val="FootnoteReference"/>
          <w:szCs w:val="22"/>
        </w:rPr>
        <w:footnoteReference w:id="52"/>
      </w:r>
      <w:r>
        <w:rPr>
          <w:szCs w:val="22"/>
        </w:rPr>
        <w:t xml:space="preserve">  This practice is sometimes referred to as </w:t>
      </w:r>
      <w:r w:rsidRPr="00765DA9">
        <w:rPr>
          <w:szCs w:val="22"/>
        </w:rPr>
        <w:t>“daisy chaining</w:t>
      </w:r>
      <w:r w:rsidRPr="00765DA9">
        <w:rPr>
          <w:szCs w:val="22"/>
        </w:rPr>
        <w:t>.</w:t>
      </w:r>
      <w:r w:rsidRPr="00765DA9">
        <w:rPr>
          <w:szCs w:val="22"/>
        </w:rPr>
        <w:t>”</w:t>
      </w:r>
      <w:r>
        <w:rPr>
          <w:rStyle w:val="FootnoteReference"/>
          <w:szCs w:val="22"/>
        </w:rPr>
        <w:footnoteReference w:id="53"/>
      </w:r>
      <w:r>
        <w:rPr>
          <w:szCs w:val="22"/>
        </w:rPr>
        <w:t xml:space="preserve">  This practice may</w:t>
      </w:r>
      <w:r w:rsidRPr="00765DA9">
        <w:rPr>
          <w:szCs w:val="22"/>
        </w:rPr>
        <w:t xml:space="preserve"> inefficient</w:t>
      </w:r>
      <w:r>
        <w:rPr>
          <w:szCs w:val="22"/>
        </w:rPr>
        <w:t>ly</w:t>
      </w:r>
      <w:r w:rsidRPr="00765DA9">
        <w:rPr>
          <w:szCs w:val="22"/>
        </w:rPr>
        <w:t xml:space="preserve"> </w:t>
      </w:r>
      <w:r>
        <w:rPr>
          <w:szCs w:val="22"/>
        </w:rPr>
        <w:t>inflate per-mile charges</w:t>
      </w:r>
      <w:r w:rsidRPr="00765DA9">
        <w:rPr>
          <w:szCs w:val="22"/>
        </w:rPr>
        <w:t xml:space="preserve"> </w:t>
      </w:r>
      <w:r>
        <w:rPr>
          <w:szCs w:val="22"/>
        </w:rPr>
        <w:t>and</w:t>
      </w:r>
      <w:r w:rsidRPr="00765DA9">
        <w:rPr>
          <w:szCs w:val="22"/>
        </w:rPr>
        <w:t xml:space="preserve"> insert unnecessary facilities to justify assessment of additional rate elements, such as remote switches that subtend end offices.</w:t>
      </w:r>
      <w:r>
        <w:rPr>
          <w:szCs w:val="22"/>
        </w:rPr>
        <w:t xml:space="preserve">  What actions can we take to prevent daisy chaining?</w:t>
      </w:r>
    </w:p>
    <w:p w:rsidR="008C3223" w:rsidRPr="00867195" w:rsidP="008C3223">
      <w:pPr>
        <w:pStyle w:val="ParaNum"/>
        <w:rPr>
          <w:szCs w:val="22"/>
        </w:rPr>
      </w:pPr>
      <w:r>
        <w:t>Would the CenturyLink suggestion of shifting financial responsibility to LECs that decline to accept direct connections eliminate or reduce the three types of inefficient routing schemes described above?</w:t>
      </w:r>
      <w:r>
        <w:rPr>
          <w:rStyle w:val="FootnoteReference"/>
          <w:szCs w:val="22"/>
        </w:rPr>
        <w:footnoteReference w:id="54"/>
      </w:r>
      <w:r>
        <w:t xml:space="preserve">  Even if an IXC chose not to seek a direct connection, would the risk of IXCs seeking direct connections provide a disciplining counterweight to some providers’ incentives to engage in mileage pumping or daisy-chaining?  What would be the impact on affected parties?</w:t>
      </w:r>
    </w:p>
    <w:p w:rsidR="008C3223" w:rsidP="008C3223">
      <w:pPr>
        <w:pStyle w:val="Heading2"/>
      </w:pPr>
      <w:bookmarkStart w:id="260" w:name="_Toc512342139"/>
      <w:bookmarkStart w:id="261" w:name="_Toc512432206"/>
      <w:bookmarkStart w:id="262" w:name="_Toc512602231"/>
      <w:bookmarkStart w:id="263" w:name="_Toc512609414"/>
      <w:bookmarkStart w:id="264" w:name="_Toc513022578"/>
      <w:bookmarkStart w:id="265" w:name="_Toc513112768"/>
      <w:bookmarkStart w:id="266" w:name="_Toc515635369"/>
      <w:bookmarkStart w:id="267" w:name="_Toc515868110"/>
      <w:r>
        <w:t>Other Issues</w:t>
      </w:r>
      <w:bookmarkEnd w:id="260"/>
      <w:bookmarkEnd w:id="261"/>
      <w:bookmarkEnd w:id="262"/>
      <w:bookmarkEnd w:id="263"/>
      <w:bookmarkEnd w:id="264"/>
      <w:bookmarkEnd w:id="265"/>
      <w:bookmarkEnd w:id="266"/>
      <w:bookmarkEnd w:id="267"/>
    </w:p>
    <w:p w:rsidR="008C3223" w:rsidP="008C3223">
      <w:pPr>
        <w:pStyle w:val="ParaNum"/>
        <w:rPr>
          <w:szCs w:val="22"/>
        </w:rPr>
      </w:pPr>
      <w:r>
        <w:rPr>
          <w:szCs w:val="22"/>
        </w:rPr>
        <w:t>We recognize that a</w:t>
      </w:r>
      <w:r w:rsidRPr="00765DA9">
        <w:rPr>
          <w:szCs w:val="22"/>
        </w:rPr>
        <w:t>ny action we take</w:t>
      </w:r>
      <w:r>
        <w:rPr>
          <w:szCs w:val="22"/>
        </w:rPr>
        <w:t xml:space="preserve"> to address access arbitrage may</w:t>
      </w:r>
      <w:r w:rsidRPr="00765DA9">
        <w:rPr>
          <w:szCs w:val="22"/>
        </w:rPr>
        <w:t xml:space="preserve"> </w:t>
      </w:r>
      <w:r w:rsidRPr="00765DA9">
        <w:rPr>
          <w:szCs w:val="22"/>
        </w:rPr>
        <w:t>affect</w:t>
      </w:r>
      <w:r>
        <w:rPr>
          <w:szCs w:val="22"/>
        </w:rPr>
        <w:t xml:space="preserve"> the costs to </w:t>
      </w:r>
      <w:r w:rsidRPr="00765DA9">
        <w:rPr>
          <w:szCs w:val="22"/>
        </w:rPr>
        <w:t xml:space="preserve">carriers </w:t>
      </w:r>
      <w:r>
        <w:rPr>
          <w:szCs w:val="22"/>
        </w:rPr>
        <w:t xml:space="preserve">and their customers and the choices they </w:t>
      </w:r>
      <w:r w:rsidRPr="00765DA9">
        <w:rPr>
          <w:szCs w:val="22"/>
        </w:rPr>
        <w:t xml:space="preserve">make, as </w:t>
      </w:r>
      <w:r>
        <w:rPr>
          <w:szCs w:val="22"/>
        </w:rPr>
        <w:t xml:space="preserve">they provide and </w:t>
      </w:r>
      <w:r w:rsidRPr="00765DA9">
        <w:rPr>
          <w:szCs w:val="22"/>
        </w:rPr>
        <w:t xml:space="preserve">receive </w:t>
      </w:r>
      <w:r w:rsidRPr="00BD3623">
        <w:rPr>
          <w:szCs w:val="22"/>
        </w:rPr>
        <w:t>telecommunications services.</w:t>
      </w:r>
      <w:r w:rsidRPr="00765DA9">
        <w:rPr>
          <w:szCs w:val="22"/>
        </w:rPr>
        <w:t xml:space="preserve">  Consumers that enjoy </w:t>
      </w:r>
      <w:r>
        <w:rPr>
          <w:szCs w:val="22"/>
        </w:rPr>
        <w:t xml:space="preserve">high call volume </w:t>
      </w:r>
      <w:r w:rsidRPr="00765DA9">
        <w:rPr>
          <w:szCs w:val="22"/>
        </w:rPr>
        <w:t>services could be affected by regulatory adjustments targeting arbitrage.</w:t>
      </w:r>
      <w:r>
        <w:rPr>
          <w:rStyle w:val="FootnoteReference"/>
          <w:szCs w:val="22"/>
        </w:rPr>
        <w:footnoteReference w:id="55"/>
      </w:r>
      <w:r w:rsidRPr="00765DA9">
        <w:rPr>
          <w:szCs w:val="22"/>
        </w:rPr>
        <w:t xml:space="preserve">  Are there efficiencies that are in the public’s interest in what some describe as arbitrage?  Would address</w:t>
      </w:r>
      <w:r>
        <w:rPr>
          <w:szCs w:val="22"/>
        </w:rPr>
        <w:t xml:space="preserve">ing </w:t>
      </w:r>
      <w:r w:rsidRPr="00765DA9">
        <w:rPr>
          <w:szCs w:val="22"/>
        </w:rPr>
        <w:t xml:space="preserve">the </w:t>
      </w:r>
      <w:r>
        <w:rPr>
          <w:szCs w:val="22"/>
        </w:rPr>
        <w:t>arbitrage</w:t>
      </w:r>
      <w:r w:rsidRPr="00765DA9">
        <w:rPr>
          <w:szCs w:val="22"/>
        </w:rPr>
        <w:t xml:space="preserve"> described here</w:t>
      </w:r>
      <w:r>
        <w:rPr>
          <w:szCs w:val="22"/>
        </w:rPr>
        <w:t xml:space="preserve"> unfairly advantage any particular competitor or class of competitors?</w:t>
      </w:r>
      <w:r w:rsidRPr="00765DA9">
        <w:rPr>
          <w:szCs w:val="22"/>
        </w:rPr>
        <w:t xml:space="preserve"> </w:t>
      </w:r>
      <w:r>
        <w:rPr>
          <w:szCs w:val="22"/>
        </w:rPr>
        <w:t xml:space="preserve"> I</w:t>
      </w:r>
      <w:r w:rsidRPr="00765DA9">
        <w:rPr>
          <w:szCs w:val="22"/>
        </w:rPr>
        <w:t xml:space="preserve">f </w:t>
      </w:r>
      <w:r>
        <w:rPr>
          <w:szCs w:val="22"/>
        </w:rPr>
        <w:t>so</w:t>
      </w:r>
      <w:r w:rsidRPr="00765DA9">
        <w:rPr>
          <w:szCs w:val="22"/>
        </w:rPr>
        <w:t>, are there alternative means to address the</w:t>
      </w:r>
      <w:r>
        <w:rPr>
          <w:szCs w:val="22"/>
        </w:rPr>
        <w:t xml:space="preserve"> arbitrage</w:t>
      </w:r>
      <w:r w:rsidRPr="00765DA9">
        <w:rPr>
          <w:szCs w:val="22"/>
        </w:rPr>
        <w:t xml:space="preserve"> issues described here and present</w:t>
      </w:r>
      <w:r>
        <w:rPr>
          <w:szCs w:val="22"/>
        </w:rPr>
        <w:t>ed</w:t>
      </w:r>
      <w:r w:rsidRPr="00765DA9">
        <w:rPr>
          <w:szCs w:val="22"/>
        </w:rPr>
        <w:t xml:space="preserve"> in the record?</w:t>
      </w:r>
      <w:r>
        <w:rPr>
          <w:rStyle w:val="FootnoteReference"/>
          <w:szCs w:val="22"/>
        </w:rPr>
        <w:footnoteReference w:id="56"/>
      </w:r>
      <w:r w:rsidRPr="00765DA9">
        <w:rPr>
          <w:szCs w:val="22"/>
        </w:rPr>
        <w:t xml:space="preserve">  </w:t>
      </w:r>
      <w:r>
        <w:rPr>
          <w:szCs w:val="22"/>
        </w:rPr>
        <w:t>How would the changes proposed herein affect small businesses?</w:t>
      </w:r>
    </w:p>
    <w:p w:rsidR="008C3223" w:rsidP="008C3223">
      <w:pPr>
        <w:pStyle w:val="ParaNum"/>
        <w:rPr>
          <w:szCs w:val="22"/>
        </w:rPr>
      </w:pPr>
      <w:r w:rsidRPr="00765DA9">
        <w:rPr>
          <w:szCs w:val="22"/>
        </w:rPr>
        <w:t xml:space="preserve">In the </w:t>
      </w:r>
      <w:r w:rsidRPr="00765DA9">
        <w:rPr>
          <w:i/>
          <w:kern w:val="0"/>
          <w:szCs w:val="22"/>
        </w:rPr>
        <w:t>USF/ICC Transformation Order</w:t>
      </w:r>
      <w:r w:rsidRPr="00765DA9">
        <w:rPr>
          <w:kern w:val="0"/>
          <w:szCs w:val="22"/>
        </w:rPr>
        <w:t>,</w:t>
      </w:r>
      <w:r w:rsidRPr="00765DA9">
        <w:rPr>
          <w:szCs w:val="22"/>
        </w:rPr>
        <w:t xml:space="preserve"> the Commission considered direct costs imposed on consumers </w:t>
      </w:r>
      <w:r w:rsidRPr="00BD3623">
        <w:rPr>
          <w:szCs w:val="22"/>
        </w:rPr>
        <w:t>by</w:t>
      </w:r>
      <w:r w:rsidRPr="00765DA9">
        <w:rPr>
          <w:szCs w:val="22"/>
        </w:rPr>
        <w:t xml:space="preserve"> </w:t>
      </w:r>
      <w:r w:rsidRPr="00765DA9">
        <w:rPr>
          <w:szCs w:val="22"/>
        </w:rPr>
        <w:t>arbitrage schemes.</w:t>
      </w:r>
      <w:r>
        <w:rPr>
          <w:rStyle w:val="FootnoteReference"/>
          <w:szCs w:val="22"/>
        </w:rPr>
        <w:footnoteReference w:id="57"/>
      </w:r>
      <w:r w:rsidRPr="00765DA9">
        <w:rPr>
          <w:szCs w:val="22"/>
        </w:rPr>
        <w:t xml:space="preserve">  </w:t>
      </w:r>
      <w:r>
        <w:rPr>
          <w:szCs w:val="22"/>
        </w:rPr>
        <w:t>The Commission also found that access stimulation diverts “capital away from more productive uses such as broadband deployment.”</w:t>
      </w:r>
      <w:r>
        <w:rPr>
          <w:rStyle w:val="FootnoteReference"/>
          <w:szCs w:val="22"/>
        </w:rPr>
        <w:footnoteReference w:id="58"/>
      </w:r>
      <w:r>
        <w:rPr>
          <w:szCs w:val="22"/>
        </w:rPr>
        <w:t xml:space="preserve">  We believe this continues to be true.  </w:t>
      </w:r>
      <w:r w:rsidRPr="00BD3623">
        <w:rPr>
          <w:szCs w:val="22"/>
        </w:rPr>
        <w:t>Are</w:t>
      </w:r>
      <w:r w:rsidRPr="00765DA9">
        <w:rPr>
          <w:szCs w:val="22"/>
        </w:rPr>
        <w:t xml:space="preserve"> there additional, more-current data available to estimate </w:t>
      </w:r>
      <w:r>
        <w:rPr>
          <w:szCs w:val="22"/>
        </w:rPr>
        <w:t xml:space="preserve">the annual cost of </w:t>
      </w:r>
      <w:r w:rsidRPr="00765DA9">
        <w:rPr>
          <w:szCs w:val="22"/>
        </w:rPr>
        <w:t xml:space="preserve">arbitrage schemes </w:t>
      </w:r>
      <w:r>
        <w:rPr>
          <w:szCs w:val="22"/>
        </w:rPr>
        <w:t xml:space="preserve">to </w:t>
      </w:r>
      <w:r w:rsidRPr="00765DA9">
        <w:rPr>
          <w:szCs w:val="22"/>
        </w:rPr>
        <w:t>companies, long distance rate payers, and consumers in general?</w:t>
      </w:r>
      <w:r>
        <w:rPr>
          <w:rStyle w:val="FootnoteReference"/>
          <w:szCs w:val="22"/>
        </w:rPr>
        <w:footnoteReference w:id="59"/>
      </w:r>
      <w:r w:rsidRPr="00765DA9">
        <w:rPr>
          <w:szCs w:val="22"/>
        </w:rPr>
        <w:t xml:space="preserve">  Likewise, </w:t>
      </w:r>
      <w:r w:rsidRPr="00BD3623">
        <w:rPr>
          <w:szCs w:val="22"/>
        </w:rPr>
        <w:t>are</w:t>
      </w:r>
      <w:r w:rsidRPr="00765DA9">
        <w:rPr>
          <w:szCs w:val="22"/>
        </w:rPr>
        <w:t xml:space="preserve"> there data available to quantify the </w:t>
      </w:r>
      <w:r>
        <w:rPr>
          <w:szCs w:val="22"/>
        </w:rPr>
        <w:t>resources</w:t>
      </w:r>
      <w:r w:rsidRPr="00765DA9">
        <w:rPr>
          <w:szCs w:val="22"/>
        </w:rPr>
        <w:t xml:space="preserve"> being diverted from infrastructure investment because of arbitrage schemes?</w:t>
      </w:r>
      <w:r>
        <w:rPr>
          <w:rStyle w:val="FootnoteReference"/>
          <w:szCs w:val="22"/>
        </w:rPr>
        <w:footnoteReference w:id="60"/>
      </w:r>
      <w:r w:rsidRPr="00765DA9">
        <w:rPr>
          <w:szCs w:val="22"/>
        </w:rPr>
        <w:t xml:space="preserve">  To what degree are consumers indirectly affected by potential</w:t>
      </w:r>
      <w:r>
        <w:rPr>
          <w:szCs w:val="22"/>
        </w:rPr>
        <w:t>ly</w:t>
      </w:r>
      <w:r w:rsidRPr="00765DA9">
        <w:rPr>
          <w:szCs w:val="22"/>
        </w:rPr>
        <w:t xml:space="preserve"> inefficient networking and cost recovery due to current regulations and the exploitation of those regulations?</w:t>
      </w:r>
      <w:r>
        <w:rPr>
          <w:rStyle w:val="FootnoteReference"/>
          <w:szCs w:val="22"/>
        </w:rPr>
        <w:footnoteReference w:id="61"/>
      </w:r>
      <w:r>
        <w:rPr>
          <w:szCs w:val="22"/>
        </w:rPr>
        <w:t xml:space="preserve">  Are there other costs or benefits we should consider?</w:t>
      </w:r>
      <w:r>
        <w:rPr>
          <w:rStyle w:val="FootnoteReference"/>
          <w:szCs w:val="22"/>
        </w:rPr>
        <w:footnoteReference w:id="62"/>
      </w:r>
    </w:p>
    <w:p w:rsidR="008C3223" w:rsidRPr="00765DA9" w:rsidP="008C3223">
      <w:pPr>
        <w:pStyle w:val="Heading2"/>
      </w:pPr>
      <w:bookmarkStart w:id="268" w:name="_Toc504674572"/>
      <w:bookmarkStart w:id="269" w:name="_Toc504675214"/>
      <w:bookmarkStart w:id="270" w:name="_Toc504724552"/>
      <w:bookmarkStart w:id="271" w:name="_Toc504737272"/>
      <w:bookmarkStart w:id="272" w:name="_Toc505273811"/>
      <w:bookmarkStart w:id="273" w:name="_Toc505671970"/>
      <w:bookmarkStart w:id="274" w:name="_Toc506382525"/>
      <w:bookmarkStart w:id="275" w:name="_Toc507683731"/>
      <w:bookmarkStart w:id="276" w:name="_Toc508018633"/>
      <w:bookmarkStart w:id="277" w:name="_Toc510697478"/>
      <w:bookmarkStart w:id="278" w:name="_Toc511389217"/>
      <w:bookmarkStart w:id="279" w:name="_Toc511389267"/>
      <w:bookmarkStart w:id="280" w:name="_Toc511809352"/>
      <w:bookmarkStart w:id="281" w:name="_Toc511829209"/>
      <w:bookmarkStart w:id="282" w:name="_Toc511908587"/>
      <w:bookmarkStart w:id="283" w:name="_Toc512342140"/>
      <w:bookmarkStart w:id="284" w:name="_Toc512432207"/>
      <w:bookmarkStart w:id="285" w:name="_Toc512602232"/>
      <w:bookmarkStart w:id="286" w:name="_Toc512609415"/>
      <w:bookmarkStart w:id="287" w:name="_Toc513022579"/>
      <w:bookmarkStart w:id="288" w:name="_Toc513112769"/>
      <w:bookmarkStart w:id="289" w:name="_Toc515635370"/>
      <w:bookmarkStart w:id="290" w:name="_Toc515868111"/>
      <w:r w:rsidRPr="00765DA9">
        <w:t>Legal Authority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8C3223" w:rsidP="008C3223">
      <w:pPr>
        <w:pStyle w:val="ParaNum"/>
        <w:tabs>
          <w:tab w:val="left" w:pos="1440"/>
        </w:tabs>
        <w:rPr>
          <w:szCs w:val="22"/>
        </w:rPr>
      </w:pPr>
      <w:r>
        <w:rPr>
          <w:szCs w:val="22"/>
        </w:rPr>
        <w:t xml:space="preserve">The proposals in this Notice, targeted to address the particular issues described in the record, continue the work the Commission began in the </w:t>
      </w:r>
      <w:r>
        <w:rPr>
          <w:i/>
          <w:szCs w:val="22"/>
        </w:rPr>
        <w:t xml:space="preserve">USF/ICC Transformation </w:t>
      </w:r>
      <w:r w:rsidRPr="00D61859">
        <w:rPr>
          <w:i/>
          <w:szCs w:val="22"/>
        </w:rPr>
        <w:t>Order</w:t>
      </w:r>
      <w:r>
        <w:rPr>
          <w:i/>
          <w:szCs w:val="22"/>
        </w:rPr>
        <w:t xml:space="preserve"> </w:t>
      </w:r>
      <w:r>
        <w:rPr>
          <w:szCs w:val="22"/>
        </w:rPr>
        <w:t xml:space="preserve">to stop economically wasteful arbitrage activity and the damage it causes in telecommunications markets.  Therefore, we rely on the legal authority the Commission set forth in the </w:t>
      </w:r>
      <w:r w:rsidRPr="00765DA9">
        <w:rPr>
          <w:i/>
          <w:szCs w:val="22"/>
        </w:rPr>
        <w:t>USF/ICC Transformation Order</w:t>
      </w:r>
      <w:r>
        <w:rPr>
          <w:szCs w:val="22"/>
        </w:rPr>
        <w:t>,</w:t>
      </w:r>
      <w:r w:rsidRPr="00765DA9">
        <w:rPr>
          <w:szCs w:val="22"/>
        </w:rPr>
        <w:t xml:space="preserve"> </w:t>
      </w:r>
      <w:r>
        <w:rPr>
          <w:szCs w:val="22"/>
        </w:rPr>
        <w:t>as support for</w:t>
      </w:r>
      <w:r w:rsidRPr="00765DA9">
        <w:rPr>
          <w:szCs w:val="22"/>
        </w:rPr>
        <w:t xml:space="preserve"> modifications to rules we propose</w:t>
      </w:r>
      <w:r>
        <w:rPr>
          <w:szCs w:val="22"/>
        </w:rPr>
        <w:t xml:space="preserve"> in this Notice.</w:t>
      </w:r>
      <w:r>
        <w:rPr>
          <w:rStyle w:val="FootnoteReference"/>
          <w:szCs w:val="22"/>
        </w:rPr>
        <w:footnoteReference w:id="63"/>
      </w:r>
      <w:r w:rsidRPr="00765DA9">
        <w:rPr>
          <w:szCs w:val="22"/>
        </w:rPr>
        <w:t xml:space="preserve">  </w:t>
      </w:r>
      <w:r>
        <w:rPr>
          <w:szCs w:val="22"/>
        </w:rPr>
        <w:t>The Commission made clear that its rules to address access arbitrage would result in interstate access rates “consistent with section 201(b) of the Act.”</w:t>
      </w:r>
      <w:r>
        <w:rPr>
          <w:rStyle w:val="FootnoteReference"/>
          <w:szCs w:val="22"/>
        </w:rPr>
        <w:footnoteReference w:id="64"/>
      </w:r>
      <w:r>
        <w:rPr>
          <w:szCs w:val="22"/>
        </w:rPr>
        <w:t xml:space="preserve">  The Commission likewise found that “[o]ur statutory authority to implement bill-and-keep as the default framework for the exchange of traffic with LECs flows directly from sections 251(b)(5) and 201(b) of the Act.”</w:t>
      </w:r>
      <w:r>
        <w:rPr>
          <w:rStyle w:val="FootnoteReference"/>
          <w:szCs w:val="22"/>
        </w:rPr>
        <w:footnoteReference w:id="65"/>
      </w:r>
      <w:r>
        <w:rPr>
          <w:szCs w:val="22"/>
        </w:rPr>
        <w:t xml:space="preserve">  We seek comment on whether additional statutory authority is available, or necessary, to support the actions proposed here.</w:t>
      </w:r>
    </w:p>
    <w:p w:rsidR="008C3223" w:rsidRPr="00A36085" w:rsidP="008C3223">
      <w:pPr>
        <w:pStyle w:val="Heading1"/>
        <w:rPr>
          <w:rFonts w:ascii="Times New Roman" w:hAnsi="Times New Roman"/>
          <w:szCs w:val="22"/>
        </w:rPr>
      </w:pPr>
      <w:bookmarkStart w:id="291" w:name="_Toc507683732"/>
      <w:bookmarkStart w:id="292" w:name="_Toc508018634"/>
      <w:bookmarkStart w:id="293" w:name="_Toc510697479"/>
      <w:bookmarkStart w:id="294" w:name="_Toc511389218"/>
      <w:bookmarkStart w:id="295" w:name="_Toc511389268"/>
      <w:bookmarkStart w:id="296" w:name="_Toc511809353"/>
      <w:bookmarkStart w:id="297" w:name="_Toc511829210"/>
      <w:bookmarkStart w:id="298" w:name="_Toc511908588"/>
      <w:bookmarkStart w:id="299" w:name="_Toc512342141"/>
      <w:bookmarkStart w:id="300" w:name="_Toc512432208"/>
      <w:bookmarkStart w:id="301" w:name="_Toc512602233"/>
      <w:bookmarkStart w:id="302" w:name="_Toc512609416"/>
      <w:bookmarkStart w:id="303" w:name="_Toc513022580"/>
      <w:bookmarkStart w:id="304" w:name="_Toc513112770"/>
      <w:bookmarkStart w:id="305" w:name="_Toc515635371"/>
      <w:bookmarkStart w:id="306" w:name="_Toc515868112"/>
      <w:r w:rsidRPr="00A36085">
        <w:rPr>
          <w:rFonts w:ascii="Times New Roman" w:hAnsi="Times New Roman"/>
          <w:szCs w:val="22"/>
        </w:rPr>
        <w:t>Rule revisions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8C3223" w:rsidP="008C3223">
      <w:pPr>
        <w:pStyle w:val="ParaNum"/>
      </w:pPr>
      <w:bookmarkStart w:id="307" w:name="_Toc504674574"/>
      <w:bookmarkStart w:id="308" w:name="_Toc504675216"/>
      <w:bookmarkStart w:id="309" w:name="_Toc504724554"/>
      <w:bookmarkStart w:id="310" w:name="_Toc504737274"/>
      <w:bookmarkStart w:id="311" w:name="_Toc505273813"/>
      <w:r w:rsidRPr="00765DA9">
        <w:t>We seek comment on the r</w:t>
      </w:r>
      <w:r>
        <w:t>ule changes proposed in Appendix</w:t>
      </w:r>
      <w:r w:rsidRPr="00765DA9">
        <w:t xml:space="preserve"> A.</w:t>
      </w:r>
      <w:r>
        <w:rPr>
          <w:rStyle w:val="FootnoteReference"/>
          <w:szCs w:val="22"/>
        </w:rPr>
        <w:footnoteReference w:id="66"/>
      </w:r>
      <w:r w:rsidRPr="00765DA9">
        <w:t xml:space="preserve">  What, if any, other rule additions or modifications </w:t>
      </w:r>
      <w:r>
        <w:t xml:space="preserve">should we make to </w:t>
      </w:r>
      <w:r w:rsidRPr="00765DA9">
        <w:t xml:space="preserve">codify these proposals?  Are there any conforming rule changes that commenters consider necessary?  </w:t>
      </w:r>
      <w:r w:rsidRPr="00BB2410">
        <w:rPr>
          <w:szCs w:val="22"/>
        </w:rPr>
        <w:t>For example, we intend for any rules that we adopt to apply not only to interstate traffic, but also intrastate traffic.</w:t>
      </w:r>
      <w:r>
        <w:rPr>
          <w:rStyle w:val="FootnoteReference"/>
          <w:szCs w:val="22"/>
        </w:rPr>
        <w:footnoteReference w:id="67"/>
      </w:r>
      <w:r w:rsidRPr="00BB2410">
        <w:rPr>
          <w:szCs w:val="22"/>
        </w:rPr>
        <w:t xml:space="preserve">  Do our proposed rules adequately address this?</w:t>
      </w:r>
      <w:r>
        <w:rPr>
          <w:szCs w:val="22"/>
        </w:rPr>
        <w:t xml:space="preserve">  </w:t>
      </w:r>
      <w:r w:rsidRPr="00765DA9">
        <w:t xml:space="preserve">Are there any conflicts or inconsistencies between existing rules and those proposed herein?  We ask commenters to provide any other proposed actions and rule additions or modifications </w:t>
      </w:r>
      <w:r>
        <w:t>we</w:t>
      </w:r>
      <w:r w:rsidRPr="00765DA9">
        <w:t xml:space="preserve"> should consider to address the access arbitrage schemes described in this Notice</w:t>
      </w:r>
      <w:r>
        <w:t xml:space="preserve"> including updates to any relevant comments or proposals made in response to the </w:t>
      </w:r>
      <w:r>
        <w:rPr>
          <w:i/>
        </w:rPr>
        <w:t>USF/ICC Transformation FNPRM</w:t>
      </w:r>
      <w:r w:rsidRPr="00765DA9">
        <w:t>.</w:t>
      </w:r>
    </w:p>
    <w:p w:rsidR="008C3223" w:rsidRPr="00BD3623" w:rsidP="008C3223">
      <w:pPr>
        <w:pStyle w:val="Heading1"/>
        <w:rPr>
          <w:rFonts w:ascii="Times New Roman" w:hAnsi="Times New Roman"/>
          <w:szCs w:val="22"/>
        </w:rPr>
      </w:pPr>
      <w:bookmarkStart w:id="312" w:name="_Toc505671972"/>
      <w:bookmarkStart w:id="313" w:name="_Toc506382527"/>
      <w:bookmarkStart w:id="314" w:name="_Toc507683733"/>
      <w:bookmarkStart w:id="315" w:name="_Toc508018635"/>
      <w:bookmarkStart w:id="316" w:name="_Toc510697480"/>
      <w:bookmarkStart w:id="317" w:name="_Toc511389219"/>
      <w:bookmarkStart w:id="318" w:name="_Toc511389269"/>
      <w:bookmarkStart w:id="319" w:name="_Toc511809354"/>
      <w:bookmarkStart w:id="320" w:name="_Toc511829211"/>
      <w:bookmarkStart w:id="321" w:name="_Toc511908589"/>
      <w:bookmarkStart w:id="322" w:name="_Toc512342142"/>
      <w:bookmarkStart w:id="323" w:name="_Toc512432209"/>
      <w:bookmarkStart w:id="324" w:name="_Toc512602234"/>
      <w:bookmarkStart w:id="325" w:name="_Toc512609417"/>
      <w:bookmarkStart w:id="326" w:name="_Toc513022581"/>
      <w:bookmarkStart w:id="327" w:name="_Toc513112771"/>
      <w:bookmarkStart w:id="328" w:name="_Toc515635372"/>
      <w:bookmarkStart w:id="329" w:name="_Toc515868113"/>
      <w:r w:rsidRPr="00BD3623">
        <w:rPr>
          <w:rFonts w:ascii="Times New Roman" w:hAnsi="Times New Roman"/>
          <w:szCs w:val="22"/>
        </w:rPr>
        <w:t>Procedural Matters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8C3223" w:rsidRPr="00765DA9" w:rsidP="008C3223">
      <w:pPr>
        <w:pStyle w:val="ParaNum"/>
        <w:tabs>
          <w:tab w:val="left" w:pos="1440"/>
        </w:tabs>
        <w:spacing w:before="120"/>
        <w:rPr>
          <w:szCs w:val="22"/>
        </w:rPr>
      </w:pPr>
      <w:r>
        <w:rPr>
          <w:i/>
          <w:szCs w:val="22"/>
        </w:rPr>
        <w:t>Filing Instructions</w:t>
      </w:r>
      <w:r>
        <w:rPr>
          <w:szCs w:val="22"/>
        </w:rPr>
        <w:t xml:space="preserve">. </w:t>
      </w:r>
      <w:r>
        <w:rPr>
          <w:i/>
          <w:szCs w:val="22"/>
        </w:rPr>
        <w:t xml:space="preserve"> </w:t>
      </w:r>
      <w:r w:rsidRPr="00765DA9">
        <w:rPr>
          <w:szCs w:val="22"/>
        </w:rPr>
        <w:t xml:space="preserve">Pursuant to </w:t>
      </w:r>
      <w:r>
        <w:rPr>
          <w:szCs w:val="22"/>
        </w:rPr>
        <w:t>s</w:t>
      </w:r>
      <w:r w:rsidRPr="00765DA9">
        <w:rPr>
          <w:szCs w:val="22"/>
        </w:rPr>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65DA9">
        <w:rPr>
          <w:i/>
          <w:szCs w:val="22"/>
        </w:rPr>
        <w:t>See Electronic Filing of Documents in Rulemaking Proceedings</w:t>
      </w:r>
      <w:r w:rsidRPr="00765DA9">
        <w:rPr>
          <w:szCs w:val="22"/>
        </w:rPr>
        <w:t>, 63 FR 24121 (1998).</w:t>
      </w:r>
    </w:p>
    <w:p w:rsidR="008C3223" w:rsidRPr="00765DA9" w:rsidP="008C3223">
      <w:pPr>
        <w:numPr>
          <w:ilvl w:val="0"/>
          <w:numId w:val="11"/>
        </w:numPr>
        <w:spacing w:before="120" w:after="120"/>
        <w:rPr>
          <w:szCs w:val="22"/>
        </w:rPr>
      </w:pPr>
      <w:bookmarkEnd w:id="62"/>
      <w:bookmarkEnd w:id="63"/>
      <w:bookmarkEnd w:id="64"/>
      <w:bookmarkEnd w:id="65"/>
      <w:bookmarkEnd w:id="66"/>
      <w:bookmarkEnd w:id="67"/>
      <w:bookmarkEnd w:id="68"/>
      <w:bookmarkEnd w:id="174"/>
      <w:r w:rsidRPr="00765DA9">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765DA9">
        <w:rPr>
          <w:rStyle w:val="Hyperlink"/>
          <w:szCs w:val="22"/>
        </w:rPr>
        <w:t>https://www.fcc.gov/ecfs/</w:t>
      </w:r>
      <w:r>
        <w:fldChar w:fldCharType="end"/>
      </w:r>
    </w:p>
    <w:p w:rsidR="008C3223" w:rsidRPr="00765DA9" w:rsidP="008C3223">
      <w:pPr>
        <w:numPr>
          <w:ilvl w:val="0"/>
          <w:numId w:val="11"/>
        </w:numPr>
        <w:spacing w:before="120" w:after="120"/>
        <w:rPr>
          <w:szCs w:val="22"/>
        </w:rPr>
      </w:pPr>
      <w:r w:rsidRPr="00765DA9">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C3223" w:rsidRPr="00765DA9" w:rsidP="008C3223">
      <w:pPr>
        <w:spacing w:before="120" w:after="120"/>
        <w:ind w:left="1080"/>
        <w:rPr>
          <w:szCs w:val="22"/>
        </w:rPr>
      </w:pPr>
      <w:r w:rsidRPr="00765DA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C3223" w:rsidRPr="00765DA9" w:rsidP="008C3223">
      <w:pPr>
        <w:numPr>
          <w:ilvl w:val="1"/>
          <w:numId w:val="11"/>
        </w:numPr>
        <w:spacing w:before="120" w:after="120"/>
        <w:rPr>
          <w:szCs w:val="22"/>
        </w:rPr>
      </w:pPr>
      <w:r w:rsidRPr="00765DA9">
        <w:rPr>
          <w:szCs w:val="22"/>
        </w:rPr>
        <w:t>All hand-delivered or messenger-delivered paper filings for the Commission’s Secretary must be delivered to FCC Headquarters at 445 12</w:t>
      </w:r>
      <w:r w:rsidRPr="00765DA9">
        <w:rPr>
          <w:szCs w:val="22"/>
          <w:vertAlign w:val="superscript"/>
        </w:rPr>
        <w:t>th</w:t>
      </w:r>
      <w:r w:rsidRPr="00765DA9">
        <w:rPr>
          <w:szCs w:val="22"/>
        </w:rPr>
        <w:t xml:space="preserve"> St., SW, Room TW-A325, Washington, DC 20554.  The filing hours are 8:00 a.m. to 7:00 p.m.  All hand deliveries must be held together with rubber bands or fasteners.  Any envelopes and boxes must be disposed of </w:t>
      </w:r>
      <w:r w:rsidRPr="00765DA9">
        <w:rPr>
          <w:szCs w:val="22"/>
          <w:u w:val="single"/>
        </w:rPr>
        <w:t>before</w:t>
      </w:r>
      <w:r w:rsidRPr="00765DA9">
        <w:rPr>
          <w:szCs w:val="22"/>
        </w:rPr>
        <w:t xml:space="preserve"> entering the building.</w:t>
      </w:r>
    </w:p>
    <w:p w:rsidR="008C3223" w:rsidRPr="00765DA9" w:rsidP="008C3223">
      <w:pPr>
        <w:numPr>
          <w:ilvl w:val="0"/>
          <w:numId w:val="10"/>
        </w:numPr>
        <w:spacing w:before="120" w:after="120"/>
        <w:rPr>
          <w:szCs w:val="22"/>
        </w:rPr>
      </w:pPr>
      <w:r w:rsidRPr="00765DA9">
        <w:rPr>
          <w:szCs w:val="22"/>
        </w:rPr>
        <w:t>Commercial overnight mail (other than U.S. Postal Service Express Mail and Priority Mail) must be sent to 9050 Junction Drive, Annapolis Junction, MD 20701.</w:t>
      </w:r>
    </w:p>
    <w:p w:rsidR="008C3223" w:rsidRPr="00765DA9" w:rsidP="008C3223">
      <w:pPr>
        <w:numPr>
          <w:ilvl w:val="0"/>
          <w:numId w:val="10"/>
        </w:numPr>
        <w:spacing w:before="120" w:after="120"/>
        <w:rPr>
          <w:szCs w:val="22"/>
        </w:rPr>
      </w:pPr>
      <w:r w:rsidRPr="00765DA9">
        <w:rPr>
          <w:szCs w:val="22"/>
        </w:rPr>
        <w:t>U.S. Postal Service first-class, Express, and Priority mail must be addressed to 445 12</w:t>
      </w:r>
      <w:r w:rsidRPr="00765DA9">
        <w:rPr>
          <w:szCs w:val="22"/>
          <w:vertAlign w:val="superscript"/>
        </w:rPr>
        <w:t>th</w:t>
      </w:r>
      <w:r w:rsidRPr="00765DA9">
        <w:rPr>
          <w:szCs w:val="22"/>
        </w:rPr>
        <w:t xml:space="preserve"> Street, SW, Washington, DC 20554.</w:t>
      </w:r>
    </w:p>
    <w:p w:rsidR="008C3223" w:rsidRPr="00765DA9" w:rsidP="00B245E3">
      <w:pPr>
        <w:pStyle w:val="ParaNum"/>
        <w:widowControl/>
        <w:rPr>
          <w:szCs w:val="22"/>
        </w:rPr>
      </w:pPr>
      <w:r w:rsidRPr="00765DA9">
        <w:rPr>
          <w:i/>
          <w:szCs w:val="22"/>
        </w:rPr>
        <w:t>People with Disabilities</w:t>
      </w:r>
      <w:r w:rsidRPr="00765DA9">
        <w:rPr>
          <w:szCs w:val="22"/>
        </w:rPr>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765DA9">
        <w:rPr>
          <w:rStyle w:val="Hyperlink"/>
          <w:szCs w:val="22"/>
        </w:rPr>
        <w:t>fcc504@fcc.gov</w:t>
      </w:r>
      <w:r>
        <w:fldChar w:fldCharType="end"/>
      </w:r>
      <w:r w:rsidRPr="00765DA9">
        <w:rPr>
          <w:szCs w:val="22"/>
        </w:rPr>
        <w:t xml:space="preserve"> or call the Consumer &amp; Governmental Affairs Bureau at 202-418-0530 (voice), 202-418-0432 (tty).</w:t>
      </w:r>
    </w:p>
    <w:p w:rsidR="008C3223" w:rsidRPr="00765DA9" w:rsidP="008C3223">
      <w:pPr>
        <w:pStyle w:val="ParaNum"/>
        <w:rPr>
          <w:szCs w:val="22"/>
        </w:rPr>
      </w:pPr>
      <w:r>
        <w:rPr>
          <w:i/>
          <w:szCs w:val="22"/>
        </w:rPr>
        <w:t xml:space="preserve">Ex Parte </w:t>
      </w:r>
      <w:r w:rsidRPr="00106D33">
        <w:rPr>
          <w:i/>
          <w:szCs w:val="22"/>
        </w:rPr>
        <w:t>Requirements</w:t>
      </w:r>
      <w:r>
        <w:rPr>
          <w:szCs w:val="22"/>
        </w:rPr>
        <w:t xml:space="preserve">.  </w:t>
      </w:r>
      <w:r w:rsidRPr="00106D33">
        <w:rPr>
          <w:szCs w:val="22"/>
        </w:rPr>
        <w:t>This</w:t>
      </w:r>
      <w:r w:rsidRPr="00765DA9">
        <w:rPr>
          <w:szCs w:val="22"/>
        </w:rPr>
        <w:t xml:space="preserve"> proceeding shall be treated as a “permit-but-disclose” proceeding in accordance with the Commission’s </w:t>
      </w:r>
      <w:r w:rsidRPr="00765DA9">
        <w:rPr>
          <w:i/>
          <w:szCs w:val="22"/>
        </w:rPr>
        <w:t xml:space="preserve">ex parte </w:t>
      </w:r>
      <w:r w:rsidRPr="00765DA9">
        <w:rPr>
          <w:szCs w:val="22"/>
        </w:rPr>
        <w:t>rules.</w:t>
      </w:r>
      <w:r>
        <w:rPr>
          <w:rStyle w:val="FootnoteReference"/>
          <w:szCs w:val="22"/>
        </w:rPr>
        <w:footnoteReference w:id="68"/>
      </w:r>
      <w:r w:rsidRPr="00765DA9">
        <w:rPr>
          <w:szCs w:val="22"/>
        </w:rPr>
        <w:t xml:space="preserve">  Persons making </w:t>
      </w:r>
      <w:r w:rsidRPr="00765DA9">
        <w:rPr>
          <w:i/>
          <w:szCs w:val="22"/>
        </w:rPr>
        <w:t xml:space="preserve">ex parte </w:t>
      </w:r>
      <w:r w:rsidRPr="00765DA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65DA9">
        <w:rPr>
          <w:i/>
          <w:szCs w:val="22"/>
        </w:rPr>
        <w:t xml:space="preserve">ex parte </w:t>
      </w:r>
      <w:r w:rsidRPr="00765DA9">
        <w:rPr>
          <w:szCs w:val="22"/>
        </w:rPr>
        <w:t xml:space="preserve">presentations are reminded that memoranda summarizing the presentation must:  (1) list all persons attending or otherwise participating in the meeting at which the </w:t>
      </w:r>
      <w:r w:rsidRPr="00765DA9">
        <w:rPr>
          <w:i/>
          <w:szCs w:val="22"/>
        </w:rPr>
        <w:t xml:space="preserve">ex parte </w:t>
      </w:r>
      <w:r w:rsidRPr="00765DA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65DA9">
        <w:rPr>
          <w:i/>
          <w:szCs w:val="22"/>
        </w:rPr>
        <w:t xml:space="preserve">ex parte </w:t>
      </w:r>
      <w:r w:rsidRPr="00765DA9">
        <w:rPr>
          <w:szCs w:val="22"/>
        </w:rPr>
        <w:t xml:space="preserve">meetings are deemed to be written </w:t>
      </w:r>
      <w:r w:rsidRPr="00765DA9">
        <w:rPr>
          <w:i/>
          <w:szCs w:val="22"/>
        </w:rPr>
        <w:t>ex parte</w:t>
      </w:r>
      <w:r w:rsidRPr="00765DA9">
        <w:rPr>
          <w:szCs w:val="22"/>
        </w:rPr>
        <w:t xml:space="preserve"> presentations and must be filed consistent with Rule 1.1206(b).  In proceedings governed by Rule 1.49(f) or for which the Commission has made available a method of electronic filing, written </w:t>
      </w:r>
      <w:r w:rsidRPr="00765DA9">
        <w:rPr>
          <w:i/>
          <w:szCs w:val="22"/>
        </w:rPr>
        <w:t xml:space="preserve">ex parte </w:t>
      </w:r>
      <w:r w:rsidRPr="00765DA9">
        <w:rPr>
          <w:szCs w:val="22"/>
        </w:rPr>
        <w:t xml:space="preserve">presentations and memoranda summarizing oral </w:t>
      </w:r>
      <w:r w:rsidRPr="00765DA9">
        <w:rPr>
          <w:i/>
          <w:szCs w:val="22"/>
        </w:rPr>
        <w:t xml:space="preserve">ex parte </w:t>
      </w:r>
      <w:r w:rsidRPr="00765DA9">
        <w:rPr>
          <w:szCs w:val="22"/>
        </w:rPr>
        <w:t>presentations, and all attachments thereto, must be filed through the electronic comment filing system available for that proceeding, and must be filed in their native format (e.g</w:t>
      </w:r>
      <w:r w:rsidRPr="00765DA9">
        <w:rPr>
          <w:i/>
          <w:szCs w:val="22"/>
        </w:rPr>
        <w:t>.</w:t>
      </w:r>
      <w:r w:rsidRPr="00765DA9">
        <w:rPr>
          <w:szCs w:val="22"/>
        </w:rPr>
        <w:t xml:space="preserve">, .doc, .xml, .ppt, searchable .pdf).  Participants in this proceeding should familiarize themselves with the Commission’s </w:t>
      </w:r>
      <w:r w:rsidRPr="00765DA9">
        <w:rPr>
          <w:i/>
          <w:szCs w:val="22"/>
        </w:rPr>
        <w:t xml:space="preserve">ex parte </w:t>
      </w:r>
      <w:r w:rsidRPr="00765DA9">
        <w:rPr>
          <w:szCs w:val="22"/>
        </w:rPr>
        <w:t>rules.</w:t>
      </w:r>
    </w:p>
    <w:p w:rsidR="008C3223" w:rsidRPr="00765DA9" w:rsidP="008C3223">
      <w:pPr>
        <w:pStyle w:val="ParaNum"/>
        <w:rPr>
          <w:szCs w:val="22"/>
        </w:rPr>
      </w:pPr>
      <w:r w:rsidRPr="00106D33">
        <w:rPr>
          <w:i/>
          <w:szCs w:val="22"/>
        </w:rPr>
        <w:t>Paperwork Reduction Act Analysis</w:t>
      </w:r>
      <w:r>
        <w:rPr>
          <w:szCs w:val="22"/>
        </w:rPr>
        <w:t xml:space="preserve">.  </w:t>
      </w:r>
      <w:r w:rsidRPr="00765DA9">
        <w:rPr>
          <w:szCs w:val="22"/>
        </w:rPr>
        <w:t xml:space="preserve">This document contains proposed new and modified information collection requirements.  The Commission, as part of its continuing effort to reduce paperwork burdens, invites the general public and the Office of Management and Budget to comment on the information collection requirements contained in this document, as required by the Paperwork Reduction Act of 1995, Public Law 104-13.  In addition, pursuant to the Small Business Paperwork Relief Act of 2002, Public Law 107-198, </w:t>
      </w:r>
      <w:r w:rsidRPr="00765DA9">
        <w:rPr>
          <w:i/>
          <w:szCs w:val="22"/>
        </w:rPr>
        <w:t>see</w:t>
      </w:r>
      <w:r w:rsidRPr="00765DA9">
        <w:rPr>
          <w:szCs w:val="22"/>
        </w:rPr>
        <w:t xml:space="preserve"> 44 U.S.C. </w:t>
      </w:r>
      <w:r>
        <w:rPr>
          <w:szCs w:val="22"/>
        </w:rPr>
        <w:t xml:space="preserve">§ </w:t>
      </w:r>
      <w:r w:rsidRPr="00765DA9">
        <w:rPr>
          <w:szCs w:val="22"/>
        </w:rPr>
        <w:t>3506(c)(4), we seek specific comment on how we might further reduce the information collection burden for small business concerns with fewer than 25 employees.</w:t>
      </w:r>
      <w:r>
        <w:rPr>
          <w:rStyle w:val="FootnoteReference"/>
          <w:szCs w:val="22"/>
        </w:rPr>
        <w:footnoteReference w:id="69"/>
      </w:r>
    </w:p>
    <w:p w:rsidR="008C3223" w:rsidRPr="00765DA9" w:rsidP="008C3223">
      <w:pPr>
        <w:pStyle w:val="ParaNum"/>
        <w:rPr>
          <w:szCs w:val="22"/>
        </w:rPr>
      </w:pPr>
      <w:r w:rsidRPr="00106D33">
        <w:rPr>
          <w:i/>
          <w:szCs w:val="22"/>
        </w:rPr>
        <w:t>Initial Regulatory Flexibility Act Analysis</w:t>
      </w:r>
      <w:r>
        <w:rPr>
          <w:szCs w:val="22"/>
        </w:rPr>
        <w:t xml:space="preserve">.  </w:t>
      </w:r>
      <w:r w:rsidRPr="00765DA9">
        <w:rPr>
          <w:szCs w:val="22"/>
        </w:rPr>
        <w:t>Pursuant to the Regulatory Flexibility Act (RFA),</w:t>
      </w:r>
      <w:r>
        <w:rPr>
          <w:rStyle w:val="FootnoteReference"/>
          <w:szCs w:val="22"/>
        </w:rPr>
        <w:footnoteReference w:id="70"/>
      </w:r>
      <w:r w:rsidRPr="00765DA9">
        <w:rPr>
          <w:szCs w:val="22"/>
        </w:rPr>
        <w:t xml:space="preserve"> </w:t>
      </w:r>
      <w:r>
        <w:rPr>
          <w:szCs w:val="22"/>
        </w:rPr>
        <w:t>we have</w:t>
      </w:r>
      <w:r w:rsidRPr="00765DA9">
        <w:rPr>
          <w:szCs w:val="22"/>
        </w:rPr>
        <w:t xml:space="preserve"> prepared an Initial Regulatory Flexibility Analysis (IRFA) of the possible significant economic impact on small entities of the policies and actions considered in this Notice.  </w:t>
      </w:r>
      <w:r>
        <w:rPr>
          <w:szCs w:val="22"/>
        </w:rPr>
        <w:t>The Commission prepared an IRFA to accompany the first Further Notice of Proposed Rulemaking in this docket.</w:t>
      </w:r>
      <w:r>
        <w:rPr>
          <w:rStyle w:val="FootnoteReference"/>
          <w:szCs w:val="22"/>
        </w:rPr>
        <w:footnoteReference w:id="71"/>
      </w:r>
      <w:r>
        <w:rPr>
          <w:szCs w:val="22"/>
        </w:rPr>
        <w:t xml:space="preserve">  The questions asked in this Notice are different than those the Commission sought comment on previously.  Therefore, we have prepared a new IRFA to reflect the substance of this Notice.  </w:t>
      </w:r>
      <w:r w:rsidRPr="00765DA9">
        <w:rPr>
          <w:szCs w:val="22"/>
        </w:rPr>
        <w:t>The text of the</w:t>
      </w:r>
      <w:r>
        <w:rPr>
          <w:szCs w:val="22"/>
        </w:rPr>
        <w:t xml:space="preserve"> IRFA is set forth in Appendix B</w:t>
      </w:r>
      <w:r w:rsidRPr="00765DA9">
        <w:rPr>
          <w:szCs w:val="22"/>
        </w:rPr>
        <w:t xml:space="preserve">.  Written public comments are requested on this IRFA.  Comments must be identified as responses to the IRFA and must be filed by the deadlines for comments on the </w:t>
      </w:r>
      <w:r>
        <w:rPr>
          <w:szCs w:val="22"/>
        </w:rPr>
        <w:t>Notice</w:t>
      </w:r>
      <w:r w:rsidRPr="00765DA9">
        <w:rPr>
          <w:szCs w:val="22"/>
        </w:rPr>
        <w:t xml:space="preserve">.  The Commission’s Consumer and Governmental Affairs Bureau, Reference Information Center, will send a copy of the </w:t>
      </w:r>
      <w:r>
        <w:rPr>
          <w:szCs w:val="22"/>
        </w:rPr>
        <w:t>Notice,</w:t>
      </w:r>
      <w:r w:rsidRPr="00765DA9">
        <w:rPr>
          <w:szCs w:val="22"/>
        </w:rPr>
        <w:t xml:space="preserve"> including the IRFA, to the Chief Counsel for Advocacy of the Small Business Administration.</w:t>
      </w:r>
      <w:r>
        <w:rPr>
          <w:rStyle w:val="FootnoteReference"/>
          <w:szCs w:val="22"/>
        </w:rPr>
        <w:footnoteReference w:id="72"/>
      </w:r>
    </w:p>
    <w:p w:rsidR="008C3223" w:rsidRPr="00765DA9" w:rsidP="00B245E3">
      <w:pPr>
        <w:pStyle w:val="ParaNum"/>
        <w:widowControl/>
        <w:tabs>
          <w:tab w:val="left" w:pos="1440"/>
        </w:tabs>
        <w:rPr>
          <w:szCs w:val="22"/>
        </w:rPr>
      </w:pPr>
      <w:r>
        <w:rPr>
          <w:i/>
          <w:szCs w:val="22"/>
        </w:rPr>
        <w:t>Contact Person</w:t>
      </w:r>
      <w:r>
        <w:rPr>
          <w:szCs w:val="22"/>
        </w:rPr>
        <w:t xml:space="preserve">. </w:t>
      </w:r>
      <w:r>
        <w:rPr>
          <w:i/>
          <w:szCs w:val="22"/>
        </w:rPr>
        <w:t xml:space="preserve"> </w:t>
      </w:r>
      <w:r w:rsidRPr="00765DA9">
        <w:rPr>
          <w:szCs w:val="22"/>
        </w:rPr>
        <w:t>For further infor</w:t>
      </w:r>
      <w:bookmarkStart w:id="330" w:name="_GoBack"/>
      <w:bookmarkEnd w:id="330"/>
      <w:r w:rsidRPr="00765DA9">
        <w:rPr>
          <w:szCs w:val="22"/>
        </w:rPr>
        <w:t xml:space="preserve">mation about this proceeding, please contact Edward Krachmer, FCC Wireline Competition Bureau, Pricing Policy Division, Room 5-A230, 445 12th Street, S.W., Washington, D.C. 20554, (202) 418-1525, </w:t>
      </w:r>
      <w:r>
        <w:fldChar w:fldCharType="begin"/>
      </w:r>
      <w:r>
        <w:instrText xml:space="preserve"> HYPERLINK "mailto:Edward.Krachmer@fcc.gov" </w:instrText>
      </w:r>
      <w:r>
        <w:fldChar w:fldCharType="separate"/>
      </w:r>
      <w:r w:rsidRPr="00765DA9">
        <w:rPr>
          <w:rStyle w:val="Hyperlink"/>
          <w:szCs w:val="22"/>
        </w:rPr>
        <w:t>Edward.Krachmer@fcc.gov</w:t>
      </w:r>
      <w:r>
        <w:fldChar w:fldCharType="end"/>
      </w:r>
      <w:r w:rsidRPr="00765DA9">
        <w:rPr>
          <w:rStyle w:val="Hyperlink"/>
          <w:szCs w:val="22"/>
        </w:rPr>
        <w:t>.</w:t>
      </w:r>
    </w:p>
    <w:p w:rsidR="008C3223" w:rsidRPr="00BD3623" w:rsidP="008C3223">
      <w:pPr>
        <w:pStyle w:val="Heading1"/>
        <w:rPr>
          <w:rFonts w:ascii="Times New Roman" w:hAnsi="Times New Roman"/>
          <w:szCs w:val="22"/>
        </w:rPr>
      </w:pPr>
      <w:bookmarkStart w:id="331" w:name="_Toc504674580"/>
      <w:bookmarkStart w:id="332" w:name="_Toc504675222"/>
      <w:bookmarkStart w:id="333" w:name="_Toc504724560"/>
      <w:bookmarkStart w:id="334" w:name="_Toc504737280"/>
      <w:bookmarkStart w:id="335" w:name="_Toc505273819"/>
      <w:bookmarkStart w:id="336" w:name="_Toc505671978"/>
      <w:bookmarkStart w:id="337" w:name="_Toc506382533"/>
      <w:bookmarkStart w:id="338" w:name="_Toc507683739"/>
      <w:bookmarkStart w:id="339" w:name="_Toc508018641"/>
      <w:bookmarkStart w:id="340" w:name="_Toc510697486"/>
      <w:bookmarkStart w:id="341" w:name="_Toc511389225"/>
      <w:bookmarkStart w:id="342" w:name="_Toc511389275"/>
      <w:bookmarkStart w:id="343" w:name="_Toc511809360"/>
      <w:bookmarkStart w:id="344" w:name="_Toc511829217"/>
      <w:bookmarkStart w:id="345" w:name="_Toc511908595"/>
      <w:bookmarkStart w:id="346" w:name="_Toc512342148"/>
      <w:bookmarkStart w:id="347" w:name="_Toc512432215"/>
      <w:bookmarkStart w:id="348" w:name="_Toc512602240"/>
      <w:bookmarkStart w:id="349" w:name="_Toc512609423"/>
      <w:bookmarkStart w:id="350" w:name="_Toc513022587"/>
      <w:bookmarkStart w:id="351" w:name="_Toc513112777"/>
      <w:bookmarkStart w:id="352" w:name="_Toc515635378"/>
      <w:bookmarkStart w:id="353" w:name="_Toc515868114"/>
      <w:r w:rsidRPr="00BD3623">
        <w:rPr>
          <w:rFonts w:ascii="Times New Roman" w:hAnsi="Times New Roman"/>
          <w:szCs w:val="22"/>
        </w:rPr>
        <w:t>Ordering Clauses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8C3223" w:rsidRPr="00765DA9" w:rsidP="008C3223">
      <w:pPr>
        <w:pStyle w:val="ParaNum"/>
        <w:tabs>
          <w:tab w:val="left" w:pos="1440"/>
        </w:tabs>
        <w:rPr>
          <w:szCs w:val="22"/>
        </w:rPr>
      </w:pPr>
      <w:r w:rsidRPr="00765DA9">
        <w:rPr>
          <w:szCs w:val="22"/>
        </w:rPr>
        <w:t xml:space="preserve">Accordingly, IT IS ORDERED that, pursuant to sections 1, 2, 4(i), 201-206, </w:t>
      </w:r>
      <w:r>
        <w:rPr>
          <w:szCs w:val="22"/>
        </w:rPr>
        <w:t xml:space="preserve">214, </w:t>
      </w:r>
      <w:r w:rsidRPr="00765DA9">
        <w:rPr>
          <w:szCs w:val="22"/>
        </w:rPr>
        <w:t xml:space="preserve">218-220, 251, 252, 254, 256, 303(r), and 403 of the Communications Act of 1934, as amended, and section 706 of the Telecommunications Act of 1996, 47 U.S.C. </w:t>
      </w:r>
      <w:bookmarkStart w:id="354" w:name="_Hlk494792030"/>
      <w:r w:rsidRPr="00765DA9">
        <w:rPr>
          <w:szCs w:val="22"/>
        </w:rPr>
        <w:t xml:space="preserve">§§ 151, 152, </w:t>
      </w:r>
      <w:bookmarkEnd w:id="354"/>
      <w:r w:rsidRPr="00765DA9">
        <w:rPr>
          <w:szCs w:val="22"/>
        </w:rPr>
        <w:t>154(i), 201-206, 218-220, 251, 252, 254, 256</w:t>
      </w:r>
      <w:r>
        <w:rPr>
          <w:szCs w:val="22"/>
        </w:rPr>
        <w:t>, 303(r), and 403, and section 1.1</w:t>
      </w:r>
      <w:r w:rsidRPr="00765DA9">
        <w:rPr>
          <w:szCs w:val="22"/>
        </w:rPr>
        <w:t xml:space="preserve"> of the Commission’s rules, 47 CFR § 1.1</w:t>
      </w:r>
      <w:r>
        <w:rPr>
          <w:szCs w:val="22"/>
        </w:rPr>
        <w:t>,</w:t>
      </w:r>
      <w:r w:rsidRPr="00765DA9">
        <w:rPr>
          <w:szCs w:val="22"/>
        </w:rPr>
        <w:t xml:space="preserve"> this Notice of Proposed Rulemaking IS ADOPTED.</w:t>
      </w:r>
    </w:p>
    <w:p w:rsidR="008C3223" w:rsidRPr="00765DA9" w:rsidP="008C3223">
      <w:pPr>
        <w:pStyle w:val="ParaNum"/>
        <w:tabs>
          <w:tab w:val="left" w:pos="1440"/>
        </w:tabs>
        <w:rPr>
          <w:szCs w:val="22"/>
        </w:rPr>
      </w:pPr>
      <w:r w:rsidRPr="00765DA9">
        <w:rPr>
          <w:szCs w:val="22"/>
        </w:rPr>
        <w:t>IT IS FURTHER ORDERED that pursuant to applicable procedures set forth in sections 1.415 and 1.419 of the Commission’s Rules, 47 CFR §§ 1.415, 1.419, interested parties may file comments on this Notice of Prop</w:t>
      </w:r>
      <w:r>
        <w:rPr>
          <w:szCs w:val="22"/>
        </w:rPr>
        <w:t>osed Rulemaking on or before 21</w:t>
      </w:r>
      <w:r w:rsidRPr="00765DA9">
        <w:rPr>
          <w:szCs w:val="22"/>
        </w:rPr>
        <w:t xml:space="preserve"> days after publication of the Notice of Proposed Rulemaking in the Federal Register and</w:t>
      </w:r>
      <w:r>
        <w:rPr>
          <w:szCs w:val="22"/>
        </w:rPr>
        <w:t xml:space="preserve"> reply comments on or before 35</w:t>
      </w:r>
      <w:r w:rsidRPr="00765DA9">
        <w:rPr>
          <w:szCs w:val="22"/>
        </w:rPr>
        <w:t xml:space="preserve"> days after publication </w:t>
      </w:r>
      <w:r>
        <w:rPr>
          <w:szCs w:val="22"/>
        </w:rPr>
        <w:t xml:space="preserve">of the Notice of Proposed Rulemaking </w:t>
      </w:r>
      <w:r w:rsidRPr="00765DA9">
        <w:rPr>
          <w:szCs w:val="22"/>
        </w:rPr>
        <w:t>in the Federal Register.</w:t>
      </w:r>
    </w:p>
    <w:p w:rsidR="008C3223" w:rsidRPr="00765DA9" w:rsidP="008C3223">
      <w:pPr>
        <w:pStyle w:val="ParaNum"/>
        <w:tabs>
          <w:tab w:val="left" w:pos="1440"/>
        </w:tabs>
        <w:rPr>
          <w:szCs w:val="22"/>
        </w:rPr>
      </w:pPr>
      <w:r w:rsidRPr="00BD3623">
        <w:rPr>
          <w:szCs w:val="22"/>
        </w:rPr>
        <w:t xml:space="preserve">IT IS FURTHER ORDERED that the Commission’s Consumer </w:t>
      </w:r>
      <w:r>
        <w:rPr>
          <w:szCs w:val="22"/>
        </w:rPr>
        <w:t>and Governmental Affairs</w:t>
      </w:r>
      <w:r w:rsidRPr="00BD3623">
        <w:rPr>
          <w:szCs w:val="22"/>
        </w:rPr>
        <w:t xml:space="preserve"> Bureau, Reference Information Center, SHALL SEND a copy of the Notice of Proposed Rulemaking, including the Initial Regulatory Flexibility Analysis, to the Chief Counsel for Advocacy of the Small Business Administration.</w:t>
      </w:r>
    </w:p>
    <w:p w:rsidR="008C3223" w:rsidRPr="00765DA9" w:rsidP="008C3223">
      <w:pPr>
        <w:pStyle w:val="ParaNum"/>
        <w:numPr>
          <w:ilvl w:val="0"/>
          <w:numId w:val="0"/>
        </w:numPr>
        <w:spacing w:after="0"/>
        <w:ind w:left="3600" w:firstLine="720"/>
        <w:rPr>
          <w:szCs w:val="22"/>
        </w:rPr>
      </w:pPr>
    </w:p>
    <w:p w:rsidR="008C3223" w:rsidRPr="00765DA9" w:rsidP="008C3223">
      <w:pPr>
        <w:ind w:left="3600" w:firstLine="720"/>
        <w:rPr>
          <w:szCs w:val="22"/>
        </w:rPr>
      </w:pPr>
      <w:r w:rsidRPr="00765DA9">
        <w:rPr>
          <w:szCs w:val="22"/>
        </w:rPr>
        <w:t>FEDERAL COMMUNICATIONS COMMISSION</w:t>
      </w:r>
    </w:p>
    <w:p w:rsidR="008C3223" w:rsidRPr="00765DA9" w:rsidP="008C3223">
      <w:pPr>
        <w:rPr>
          <w:szCs w:val="22"/>
        </w:rPr>
      </w:pPr>
    </w:p>
    <w:p w:rsidR="008C3223" w:rsidRPr="00765DA9" w:rsidP="008C3223">
      <w:pPr>
        <w:rPr>
          <w:szCs w:val="22"/>
        </w:rPr>
      </w:pPr>
    </w:p>
    <w:p w:rsidR="008C3223" w:rsidRPr="00765DA9" w:rsidP="008C3223">
      <w:pPr>
        <w:rPr>
          <w:szCs w:val="22"/>
        </w:rPr>
      </w:pPr>
    </w:p>
    <w:p w:rsidR="008C3223" w:rsidRPr="00765DA9" w:rsidP="008C3223">
      <w:pPr>
        <w:rPr>
          <w:szCs w:val="22"/>
        </w:rPr>
      </w:pPr>
    </w:p>
    <w:p w:rsidR="008C3223" w:rsidRPr="00765DA9" w:rsidP="008C3223">
      <w:pPr>
        <w:rPr>
          <w:szCs w:val="22"/>
        </w:rPr>
      </w:pPr>
      <w:r w:rsidRPr="00765DA9">
        <w:rPr>
          <w:szCs w:val="22"/>
        </w:rPr>
        <w:tab/>
      </w:r>
      <w:r w:rsidRPr="00765DA9">
        <w:rPr>
          <w:szCs w:val="22"/>
        </w:rPr>
        <w:tab/>
      </w:r>
      <w:r w:rsidRPr="00765DA9">
        <w:rPr>
          <w:szCs w:val="22"/>
        </w:rPr>
        <w:tab/>
      </w:r>
      <w:r w:rsidRPr="00765DA9">
        <w:rPr>
          <w:szCs w:val="22"/>
        </w:rPr>
        <w:tab/>
      </w:r>
      <w:r w:rsidRPr="00765DA9">
        <w:rPr>
          <w:szCs w:val="22"/>
        </w:rPr>
        <w:tab/>
      </w:r>
      <w:r w:rsidRPr="00765DA9">
        <w:rPr>
          <w:szCs w:val="22"/>
        </w:rPr>
        <w:tab/>
        <w:t>Marlene H. Dortch</w:t>
      </w:r>
    </w:p>
    <w:p w:rsidR="008C3223" w:rsidP="008C3223">
      <w:pPr>
        <w:rPr>
          <w:szCs w:val="22"/>
        </w:rPr>
        <w:sectPr w:rsidSect="007D5736">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cols w:space="720"/>
          <w:noEndnote/>
          <w:titlePg/>
          <w:docGrid w:linePitch="299"/>
        </w:sectPr>
      </w:pPr>
      <w:r w:rsidRPr="00765DA9">
        <w:rPr>
          <w:szCs w:val="22"/>
        </w:rPr>
        <w:tab/>
      </w:r>
      <w:r w:rsidRPr="00765DA9">
        <w:rPr>
          <w:szCs w:val="22"/>
        </w:rPr>
        <w:tab/>
      </w:r>
      <w:r w:rsidRPr="00765DA9">
        <w:rPr>
          <w:szCs w:val="22"/>
        </w:rPr>
        <w:tab/>
      </w:r>
      <w:r w:rsidRPr="00765DA9">
        <w:rPr>
          <w:szCs w:val="22"/>
        </w:rPr>
        <w:tab/>
      </w:r>
      <w:r w:rsidRPr="00765DA9">
        <w:rPr>
          <w:szCs w:val="22"/>
        </w:rPr>
        <w:tab/>
      </w:r>
      <w:r w:rsidRPr="00765DA9">
        <w:rPr>
          <w:szCs w:val="22"/>
        </w:rPr>
        <w:tab/>
        <w:t>Secretary</w:t>
      </w:r>
    </w:p>
    <w:p w:rsidR="008C3223" w:rsidRPr="00BD3623" w:rsidP="008C3223">
      <w:pPr>
        <w:keepNext/>
        <w:widowControl/>
        <w:jc w:val="center"/>
        <w:rPr>
          <w:b/>
          <w:szCs w:val="22"/>
        </w:rPr>
      </w:pPr>
      <w:r w:rsidRPr="00BD3623">
        <w:rPr>
          <w:b/>
          <w:szCs w:val="22"/>
        </w:rPr>
        <w:t>APPENDIX A</w:t>
      </w:r>
    </w:p>
    <w:p w:rsidR="008C3223" w:rsidRPr="00753B3A" w:rsidP="008C3223">
      <w:pPr>
        <w:jc w:val="center"/>
        <w:rPr>
          <w:b/>
          <w:szCs w:val="22"/>
        </w:rPr>
      </w:pPr>
    </w:p>
    <w:p w:rsidR="008C3223" w:rsidP="008C3223">
      <w:pPr>
        <w:jc w:val="center"/>
        <w:rPr>
          <w:b/>
          <w:szCs w:val="22"/>
        </w:rPr>
      </w:pPr>
      <w:r w:rsidRPr="00753B3A">
        <w:rPr>
          <w:b/>
          <w:szCs w:val="22"/>
        </w:rPr>
        <w:t>Proposed Rules</w:t>
      </w:r>
    </w:p>
    <w:p w:rsidR="008C3223" w:rsidRPr="00753B3A" w:rsidP="008C3223">
      <w:pPr>
        <w:rPr>
          <w:szCs w:val="22"/>
        </w:rPr>
      </w:pPr>
    </w:p>
    <w:p w:rsidR="008C3223" w:rsidRPr="00753B3A" w:rsidP="008C3223">
      <w:pPr>
        <w:rPr>
          <w:szCs w:val="22"/>
        </w:rPr>
      </w:pPr>
      <w:r w:rsidRPr="00753B3A">
        <w:rPr>
          <w:szCs w:val="22"/>
        </w:rPr>
        <w:t xml:space="preserve">For the reasons set forth above, the Federal Communications Commission proposes to amend Part </w:t>
      </w:r>
      <w:r>
        <w:rPr>
          <w:szCs w:val="22"/>
        </w:rPr>
        <w:t xml:space="preserve">51 </w:t>
      </w:r>
      <w:r w:rsidRPr="00753B3A">
        <w:rPr>
          <w:szCs w:val="22"/>
        </w:rPr>
        <w:t>of Title 47 of the Code of Federal Regulations as follows:</w:t>
      </w:r>
    </w:p>
    <w:p w:rsidR="008C3223" w:rsidRPr="00753B3A" w:rsidP="008C3223">
      <w:pPr>
        <w:rPr>
          <w:szCs w:val="22"/>
        </w:rPr>
      </w:pPr>
    </w:p>
    <w:p w:rsidR="008C3223" w:rsidRPr="00753B3A" w:rsidP="008C3223">
      <w:pPr>
        <w:jc w:val="center"/>
        <w:rPr>
          <w:szCs w:val="22"/>
        </w:rPr>
      </w:pPr>
      <w:r w:rsidRPr="00753B3A">
        <w:rPr>
          <w:b/>
          <w:bCs/>
          <w:szCs w:val="22"/>
        </w:rPr>
        <w:t>PART 51—INTERCONNECTION</w:t>
      </w:r>
    </w:p>
    <w:p w:rsidR="008C3223" w:rsidRPr="00753B3A" w:rsidP="008C3223">
      <w:pPr>
        <w:rPr>
          <w:szCs w:val="22"/>
        </w:rPr>
      </w:pPr>
    </w:p>
    <w:p w:rsidR="008C3223" w:rsidRPr="00753B3A" w:rsidP="008C3223">
      <w:pPr>
        <w:rPr>
          <w:szCs w:val="22"/>
        </w:rPr>
      </w:pPr>
    </w:p>
    <w:p w:rsidR="008C3223" w:rsidP="008C3223">
      <w:pPr>
        <w:ind w:firstLine="360"/>
        <w:rPr>
          <w:szCs w:val="22"/>
        </w:rPr>
      </w:pPr>
      <w:r w:rsidRPr="00753B3A">
        <w:rPr>
          <w:szCs w:val="22"/>
        </w:rPr>
        <w:t>1.</w:t>
      </w:r>
      <w:r w:rsidRPr="00753B3A">
        <w:rPr>
          <w:szCs w:val="22"/>
        </w:rPr>
        <w:tab/>
        <w:t xml:space="preserve">The authority citation </w:t>
      </w:r>
      <w:r w:rsidRPr="00753B3A">
        <w:rPr>
          <w:snapToGrid/>
          <w:szCs w:val="22"/>
        </w:rPr>
        <w:t>for</w:t>
      </w:r>
      <w:r w:rsidRPr="00753B3A">
        <w:rPr>
          <w:szCs w:val="22"/>
        </w:rPr>
        <w:t xml:space="preserve"> part 51 continues to read as follows:</w:t>
      </w:r>
    </w:p>
    <w:p w:rsidR="008C3223" w:rsidRPr="00753B3A" w:rsidP="008C3223">
      <w:pPr>
        <w:rPr>
          <w:szCs w:val="22"/>
        </w:rPr>
      </w:pPr>
    </w:p>
    <w:p w:rsidR="008C3223" w:rsidRPr="00753B3A" w:rsidP="008C3223">
      <w:pPr>
        <w:rPr>
          <w:szCs w:val="22"/>
        </w:rPr>
      </w:pPr>
      <w:r w:rsidRPr="00753B3A">
        <w:rPr>
          <w:szCs w:val="22"/>
        </w:rPr>
        <w:t>AUTHORITY: Sections 1–5, 7, 201–05, 207–09, 218, 220, 225–27, 251–54, 256, 271, 303(r), 332, 706</w:t>
      </w:r>
    </w:p>
    <w:p w:rsidR="008C3223" w:rsidRPr="00753B3A" w:rsidP="008C3223">
      <w:pPr>
        <w:rPr>
          <w:szCs w:val="22"/>
        </w:rPr>
      </w:pPr>
      <w:r w:rsidRPr="00753B3A">
        <w:rPr>
          <w:szCs w:val="22"/>
        </w:rPr>
        <w:t>of the Telecommunication Act of 1996, 48 Stat. 1070, as amended, 1077; 47 U.S.C. 151–55, 157, 201–05, 207–09, 218, 220, 225–27, 251–54, 256, 271, 303(r), 332, 1302, 47 U.S.C. 157 note, unless otherwise noted.</w:t>
      </w:r>
    </w:p>
    <w:p w:rsidR="008C3223" w:rsidRPr="00753B3A" w:rsidP="008C3223">
      <w:pPr>
        <w:rPr>
          <w:szCs w:val="22"/>
        </w:rPr>
      </w:pPr>
    </w:p>
    <w:p w:rsidR="008C3223" w:rsidRPr="00753B3A" w:rsidP="008C3223">
      <w:pPr>
        <w:rPr>
          <w:szCs w:val="22"/>
        </w:rPr>
      </w:pPr>
    </w:p>
    <w:p w:rsidR="008C3223" w:rsidRPr="00753B3A" w:rsidP="008C3223">
      <w:pPr>
        <w:rPr>
          <w:b/>
          <w:szCs w:val="22"/>
        </w:rPr>
      </w:pPr>
      <w:r w:rsidRPr="00753B3A">
        <w:rPr>
          <w:b/>
          <w:szCs w:val="22"/>
        </w:rPr>
        <w:t>§ 51.903 [amended]</w:t>
      </w:r>
    </w:p>
    <w:p w:rsidR="008C3223" w:rsidP="008C3223">
      <w:pPr>
        <w:rPr>
          <w:szCs w:val="22"/>
        </w:rPr>
      </w:pPr>
      <w:r w:rsidRPr="00753B3A">
        <w:rPr>
          <w:szCs w:val="22"/>
        </w:rPr>
        <w:t>47 CFR § 51.903</w:t>
      </w:r>
    </w:p>
    <w:p w:rsidR="008C3223" w:rsidRPr="00753B3A" w:rsidP="008C3223">
      <w:pPr>
        <w:rPr>
          <w:szCs w:val="22"/>
        </w:rPr>
      </w:pPr>
    </w:p>
    <w:p w:rsidR="008C3223" w:rsidRPr="00753B3A" w:rsidP="008C3223">
      <w:pPr>
        <w:ind w:left="720" w:hanging="360"/>
        <w:rPr>
          <w:szCs w:val="22"/>
        </w:rPr>
      </w:pPr>
      <w:r w:rsidRPr="00753B3A">
        <w:rPr>
          <w:szCs w:val="22"/>
        </w:rPr>
        <w:t>2.</w:t>
      </w:r>
      <w:r w:rsidRPr="00753B3A">
        <w:rPr>
          <w:szCs w:val="22"/>
        </w:rPr>
        <w:tab/>
        <w:t>Amend § 51.903 by adding paragraphs (k) and (l) to read as follows:</w:t>
      </w:r>
    </w:p>
    <w:p w:rsidR="008C3223" w:rsidRPr="00753B3A" w:rsidP="008C3223">
      <w:pPr>
        <w:pStyle w:val="Default"/>
        <w:rPr>
          <w:rFonts w:ascii="Times New Roman" w:hAnsi="Times New Roman" w:cs="Times New Roman"/>
          <w:sz w:val="22"/>
          <w:szCs w:val="22"/>
        </w:rPr>
      </w:pPr>
    </w:p>
    <w:p w:rsidR="008C3223" w:rsidRPr="00753B3A" w:rsidP="008C3223">
      <w:pPr>
        <w:pStyle w:val="Default"/>
        <w:rPr>
          <w:rFonts w:ascii="Times New Roman" w:hAnsi="Times New Roman" w:cs="Times New Roman"/>
          <w:b/>
          <w:bCs/>
          <w:sz w:val="22"/>
          <w:szCs w:val="22"/>
        </w:rPr>
      </w:pPr>
      <w:r w:rsidRPr="00753B3A">
        <w:rPr>
          <w:rFonts w:ascii="Times New Roman" w:hAnsi="Times New Roman" w:cs="Times New Roman"/>
          <w:b/>
          <w:bCs/>
          <w:sz w:val="22"/>
          <w:szCs w:val="22"/>
        </w:rPr>
        <w:t>§ 51.903 Definitions.</w:t>
      </w:r>
    </w:p>
    <w:p w:rsidR="008C3223" w:rsidP="008C3223">
      <w:pPr>
        <w:pStyle w:val="Default"/>
        <w:rPr>
          <w:rFonts w:ascii="Times New Roman" w:hAnsi="Times New Roman" w:cs="Times New Roman"/>
          <w:b/>
          <w:bCs/>
          <w:sz w:val="22"/>
          <w:szCs w:val="22"/>
        </w:rPr>
      </w:pPr>
    </w:p>
    <w:p w:rsidR="008C3223" w:rsidRPr="00753B3A" w:rsidP="008C3223">
      <w:pPr>
        <w:pStyle w:val="Default"/>
        <w:rPr>
          <w:rFonts w:ascii="Times New Roman" w:hAnsi="Times New Roman" w:cs="Times New Roman"/>
          <w:sz w:val="22"/>
          <w:szCs w:val="22"/>
        </w:rPr>
      </w:pPr>
      <w:r w:rsidRPr="00753B3A">
        <w:rPr>
          <w:rFonts w:ascii="Times New Roman" w:hAnsi="Times New Roman" w:cs="Times New Roman"/>
          <w:sz w:val="22"/>
          <w:szCs w:val="22"/>
        </w:rPr>
        <w:t>*****</w:t>
      </w:r>
    </w:p>
    <w:p w:rsidR="008C3223" w:rsidRPr="00753B3A" w:rsidP="008C3223">
      <w:pPr>
        <w:pStyle w:val="Default"/>
        <w:rPr>
          <w:rFonts w:ascii="Times New Roman" w:hAnsi="Times New Roman" w:cs="Times New Roman"/>
          <w:sz w:val="22"/>
          <w:szCs w:val="22"/>
        </w:rPr>
      </w:pPr>
    </w:p>
    <w:p w:rsidR="008C3223" w:rsidP="008C3223">
      <w:pPr>
        <w:pStyle w:val="Default"/>
        <w:rPr>
          <w:rFonts w:ascii="Times New Roman" w:hAnsi="Times New Roman" w:cs="Times New Roman"/>
          <w:sz w:val="22"/>
          <w:szCs w:val="22"/>
        </w:rPr>
      </w:pPr>
      <w:r w:rsidRPr="00753B3A">
        <w:rPr>
          <w:rFonts w:ascii="Times New Roman" w:hAnsi="Times New Roman" w:cs="Times New Roman"/>
          <w:sz w:val="22"/>
          <w:szCs w:val="22"/>
        </w:rPr>
        <w:t>(k)</w:t>
      </w:r>
      <w:r w:rsidRPr="00753B3A">
        <w:rPr>
          <w:rFonts w:ascii="Times New Roman" w:hAnsi="Times New Roman" w:cs="Times New Roman"/>
          <w:sz w:val="22"/>
          <w:szCs w:val="22"/>
        </w:rPr>
        <w:tab/>
        <w:t>Access Stimulation has the same meaning as that term is defined in § 61.3(bbb) of this chapter.</w:t>
      </w:r>
    </w:p>
    <w:p w:rsidR="008C3223" w:rsidRPr="00753B3A" w:rsidP="008C3223">
      <w:pPr>
        <w:pStyle w:val="Default"/>
        <w:ind w:left="720"/>
        <w:rPr>
          <w:rFonts w:ascii="Times New Roman" w:hAnsi="Times New Roman" w:cs="Times New Roman"/>
          <w:sz w:val="22"/>
          <w:szCs w:val="22"/>
        </w:rPr>
      </w:pPr>
    </w:p>
    <w:p w:rsidR="008C3223" w:rsidP="008C3223">
      <w:pPr>
        <w:pStyle w:val="Default"/>
        <w:rPr>
          <w:rFonts w:ascii="Times New Roman" w:hAnsi="Times New Roman" w:cs="Times New Roman"/>
          <w:sz w:val="22"/>
          <w:szCs w:val="22"/>
        </w:rPr>
      </w:pPr>
      <w:r w:rsidRPr="00AA08E1">
        <w:rPr>
          <w:rFonts w:ascii="Times New Roman" w:hAnsi="Times New Roman" w:cs="Times New Roman"/>
          <w:sz w:val="22"/>
          <w:szCs w:val="22"/>
        </w:rPr>
        <w:t>(l)</w:t>
      </w:r>
      <w:r w:rsidRPr="00AA08E1">
        <w:rPr>
          <w:rFonts w:ascii="Times New Roman" w:hAnsi="Times New Roman" w:cs="Times New Roman"/>
          <w:sz w:val="22"/>
          <w:szCs w:val="22"/>
        </w:rPr>
        <w:tab/>
      </w:r>
      <w:r>
        <w:rPr>
          <w:rFonts w:ascii="Times New Roman" w:hAnsi="Times New Roman" w:cs="Times New Roman"/>
          <w:sz w:val="22"/>
          <w:szCs w:val="22"/>
        </w:rPr>
        <w:t>Intermediate Access P</w:t>
      </w:r>
      <w:r w:rsidRPr="00AA08E1">
        <w:rPr>
          <w:rFonts w:ascii="Times New Roman" w:hAnsi="Times New Roman" w:cs="Times New Roman"/>
          <w:sz w:val="22"/>
          <w:szCs w:val="22"/>
        </w:rPr>
        <w:t>rovider m</w:t>
      </w:r>
      <w:r>
        <w:rPr>
          <w:rFonts w:ascii="Times New Roman" w:hAnsi="Times New Roman" w:cs="Times New Roman"/>
          <w:sz w:val="22"/>
          <w:szCs w:val="22"/>
        </w:rPr>
        <w:t>eans a</w:t>
      </w:r>
      <w:r w:rsidRPr="00AA08E1">
        <w:rPr>
          <w:rFonts w:ascii="Times New Roman" w:hAnsi="Times New Roman" w:cs="Times New Roman"/>
          <w:sz w:val="22"/>
          <w:szCs w:val="22"/>
        </w:rPr>
        <w:t xml:space="preserve">ny entity that carries or processes traffic at any point between the final </w:t>
      </w:r>
      <w:r>
        <w:rPr>
          <w:rFonts w:ascii="Times New Roman" w:hAnsi="Times New Roman" w:cs="Times New Roman"/>
          <w:sz w:val="22"/>
          <w:szCs w:val="22"/>
        </w:rPr>
        <w:t>I</w:t>
      </w:r>
      <w:r w:rsidRPr="00AA08E1">
        <w:rPr>
          <w:rFonts w:ascii="Times New Roman" w:hAnsi="Times New Roman" w:cs="Times New Roman"/>
          <w:sz w:val="22"/>
          <w:szCs w:val="22"/>
        </w:rPr>
        <w:t xml:space="preserve">nterexchange </w:t>
      </w:r>
      <w:r>
        <w:rPr>
          <w:rFonts w:ascii="Times New Roman" w:hAnsi="Times New Roman" w:cs="Times New Roman"/>
          <w:sz w:val="22"/>
          <w:szCs w:val="22"/>
        </w:rPr>
        <w:t>C</w:t>
      </w:r>
      <w:r w:rsidRPr="00AA08E1">
        <w:rPr>
          <w:rFonts w:ascii="Times New Roman" w:hAnsi="Times New Roman" w:cs="Times New Roman"/>
          <w:sz w:val="22"/>
          <w:szCs w:val="22"/>
        </w:rPr>
        <w:t>arrier in a call path and the carrier provi</w:t>
      </w:r>
      <w:r>
        <w:rPr>
          <w:rFonts w:ascii="Times New Roman" w:hAnsi="Times New Roman" w:cs="Times New Roman"/>
          <w:sz w:val="22"/>
          <w:szCs w:val="22"/>
        </w:rPr>
        <w:t>ding End Office Access Service.</w:t>
      </w:r>
    </w:p>
    <w:p w:rsidR="008C3223" w:rsidP="008C3223">
      <w:pPr>
        <w:pStyle w:val="Default"/>
        <w:rPr>
          <w:rFonts w:ascii="Times New Roman" w:hAnsi="Times New Roman" w:cs="Times New Roman"/>
          <w:sz w:val="22"/>
          <w:szCs w:val="22"/>
        </w:rPr>
      </w:pPr>
    </w:p>
    <w:p w:rsidR="008C3223" w:rsidRPr="00753B3A" w:rsidP="008C3223">
      <w:pPr>
        <w:pStyle w:val="Default"/>
        <w:rPr>
          <w:rFonts w:ascii="Times New Roman" w:hAnsi="Times New Roman" w:cs="Times New Roman"/>
          <w:sz w:val="22"/>
          <w:szCs w:val="22"/>
        </w:rPr>
      </w:pPr>
      <w:r>
        <w:rPr>
          <w:rFonts w:ascii="Times New Roman" w:hAnsi="Times New Roman" w:cs="Times New Roman"/>
          <w:sz w:val="22"/>
          <w:szCs w:val="22"/>
        </w:rPr>
        <w:t>(m)</w:t>
      </w:r>
      <w:r>
        <w:rPr>
          <w:rFonts w:ascii="Times New Roman" w:hAnsi="Times New Roman" w:cs="Times New Roman"/>
          <w:sz w:val="22"/>
          <w:szCs w:val="22"/>
        </w:rPr>
        <w:tab/>
        <w:t>Interexchange Carrier means a telecommunications carrier that uses the exchange access or information access services of another telecommunications carrier for the provision of telecommunications.</w:t>
      </w:r>
    </w:p>
    <w:p w:rsidR="008C3223" w:rsidRPr="00753B3A" w:rsidP="008C3223">
      <w:pPr>
        <w:pStyle w:val="Default"/>
        <w:rPr>
          <w:rFonts w:ascii="Times New Roman" w:hAnsi="Times New Roman" w:cs="Times New Roman"/>
          <w:sz w:val="22"/>
          <w:szCs w:val="22"/>
        </w:rPr>
      </w:pPr>
    </w:p>
    <w:p w:rsidR="008C3223" w:rsidRPr="00753B3A" w:rsidP="008C3223">
      <w:pPr>
        <w:pStyle w:val="Default"/>
        <w:rPr>
          <w:rFonts w:ascii="Times New Roman" w:hAnsi="Times New Roman" w:cs="Times New Roman"/>
          <w:sz w:val="22"/>
          <w:szCs w:val="22"/>
        </w:rPr>
      </w:pPr>
    </w:p>
    <w:p w:rsidR="008C3223" w:rsidRPr="00753B3A" w:rsidP="008C3223">
      <w:pPr>
        <w:pStyle w:val="Default"/>
        <w:ind w:left="720" w:hanging="360"/>
        <w:rPr>
          <w:rFonts w:ascii="Times New Roman" w:hAnsi="Times New Roman" w:cs="Times New Roman"/>
          <w:sz w:val="22"/>
          <w:szCs w:val="22"/>
        </w:rPr>
      </w:pPr>
      <w:r w:rsidRPr="00753B3A">
        <w:rPr>
          <w:rFonts w:ascii="Times New Roman" w:hAnsi="Times New Roman" w:cs="Times New Roman"/>
          <w:sz w:val="22"/>
          <w:szCs w:val="22"/>
        </w:rPr>
        <w:t>3.</w:t>
      </w:r>
      <w:r w:rsidRPr="00753B3A">
        <w:rPr>
          <w:rFonts w:ascii="Times New Roman" w:hAnsi="Times New Roman" w:cs="Times New Roman"/>
          <w:sz w:val="22"/>
          <w:szCs w:val="22"/>
        </w:rPr>
        <w:tab/>
        <w:t>Section 51.914 is added to read as follows:</w:t>
      </w:r>
    </w:p>
    <w:p w:rsidR="008C3223" w:rsidRPr="00753B3A" w:rsidP="008C3223">
      <w:pPr>
        <w:pStyle w:val="Default"/>
        <w:ind w:firstLine="720"/>
        <w:rPr>
          <w:rFonts w:ascii="Times New Roman" w:hAnsi="Times New Roman" w:cs="Times New Roman"/>
          <w:sz w:val="22"/>
          <w:szCs w:val="22"/>
        </w:rPr>
      </w:pPr>
    </w:p>
    <w:p w:rsidR="008C3223" w:rsidRPr="00753B3A" w:rsidP="008C3223">
      <w:pPr>
        <w:pStyle w:val="Default"/>
        <w:rPr>
          <w:rFonts w:ascii="Times New Roman" w:hAnsi="Times New Roman" w:cs="Times New Roman"/>
          <w:b/>
          <w:bCs/>
          <w:sz w:val="22"/>
          <w:szCs w:val="22"/>
        </w:rPr>
      </w:pPr>
      <w:r w:rsidRPr="00753B3A">
        <w:rPr>
          <w:rFonts w:ascii="Times New Roman" w:hAnsi="Times New Roman" w:cs="Times New Roman"/>
          <w:b/>
          <w:bCs/>
          <w:sz w:val="22"/>
          <w:szCs w:val="22"/>
          <w:u w:val="single"/>
        </w:rPr>
        <w:t>§ 51.914 Additional Provisions Applicable to Access Stimulation Traffic</w:t>
      </w:r>
      <w:r w:rsidRPr="00753B3A">
        <w:rPr>
          <w:rFonts w:ascii="Times New Roman" w:hAnsi="Times New Roman" w:cs="Times New Roman"/>
          <w:b/>
          <w:bCs/>
          <w:sz w:val="22"/>
          <w:szCs w:val="22"/>
        </w:rPr>
        <w:t>.</w:t>
      </w:r>
    </w:p>
    <w:p w:rsidR="008C3223" w:rsidRPr="00753B3A" w:rsidP="008C3223">
      <w:pPr>
        <w:pStyle w:val="Default"/>
        <w:rPr>
          <w:rFonts w:ascii="Times New Roman" w:hAnsi="Times New Roman" w:cs="Times New Roman"/>
          <w:sz w:val="22"/>
          <w:szCs w:val="22"/>
        </w:rPr>
      </w:pPr>
    </w:p>
    <w:p w:rsidR="008C3223" w:rsidP="008C3223">
      <w:pPr>
        <w:pStyle w:val="Default"/>
        <w:ind w:left="1080" w:hanging="360"/>
        <w:rPr>
          <w:rFonts w:ascii="Times New Roman" w:hAnsi="Times New Roman" w:cs="Times New Roman"/>
          <w:sz w:val="22"/>
          <w:szCs w:val="22"/>
        </w:rPr>
      </w:pPr>
      <w:r w:rsidRPr="00753B3A">
        <w:rPr>
          <w:rFonts w:ascii="Times New Roman" w:hAnsi="Times New Roman" w:cs="Times New Roman"/>
          <w:sz w:val="22"/>
          <w:szCs w:val="22"/>
        </w:rPr>
        <w:t>(a)</w:t>
      </w:r>
      <w:r w:rsidRPr="00753B3A">
        <w:rPr>
          <w:rFonts w:ascii="Times New Roman" w:hAnsi="Times New Roman" w:cs="Times New Roman"/>
          <w:sz w:val="22"/>
          <w:szCs w:val="22"/>
        </w:rPr>
        <w:tab/>
      </w:r>
      <w:r w:rsidRPr="00DC3B98">
        <w:rPr>
          <w:rFonts w:ascii="Times New Roman" w:hAnsi="Times New Roman" w:cs="Times New Roman"/>
          <w:sz w:val="22"/>
          <w:szCs w:val="22"/>
        </w:rPr>
        <w:t xml:space="preserve">Notwithstanding any other provision of the Commission’s rules, if a local exchange carrier is engaged in Access Stimulation, it shall within 45 days of commencing </w:t>
      </w:r>
      <w:r>
        <w:rPr>
          <w:rFonts w:ascii="Times New Roman" w:hAnsi="Times New Roman" w:cs="Times New Roman"/>
          <w:sz w:val="22"/>
          <w:szCs w:val="22"/>
        </w:rPr>
        <w:t>Access Stimulation</w:t>
      </w:r>
      <w:r w:rsidRPr="00DC3B98">
        <w:rPr>
          <w:rFonts w:ascii="Times New Roman" w:hAnsi="Times New Roman" w:cs="Times New Roman"/>
          <w:sz w:val="22"/>
          <w:szCs w:val="22"/>
        </w:rPr>
        <w:t>, or within 45 days of [the effective date of this rule], whichever is later:</w:t>
      </w:r>
    </w:p>
    <w:p w:rsidR="008C3223" w:rsidRPr="00753B3A" w:rsidP="008C3223">
      <w:pPr>
        <w:pStyle w:val="Default"/>
        <w:ind w:left="1080" w:hanging="360"/>
        <w:rPr>
          <w:rFonts w:ascii="Times New Roman" w:hAnsi="Times New Roman" w:cs="Times New Roman"/>
          <w:sz w:val="22"/>
          <w:szCs w:val="22"/>
        </w:rPr>
      </w:pPr>
    </w:p>
    <w:p w:rsidR="008C3223" w:rsidP="008C3223">
      <w:pPr>
        <w:pStyle w:val="Default"/>
        <w:tabs>
          <w:tab w:val="left" w:pos="1440"/>
        </w:tabs>
        <w:ind w:left="1800" w:hanging="720"/>
        <w:rPr>
          <w:rFonts w:ascii="Times New Roman" w:hAnsi="Times New Roman" w:cs="Times New Roman"/>
          <w:sz w:val="22"/>
          <w:szCs w:val="22"/>
        </w:rPr>
      </w:pPr>
      <w:r w:rsidRPr="00753B3A">
        <w:rPr>
          <w:rFonts w:ascii="Times New Roman" w:hAnsi="Times New Roman" w:cs="Times New Roman"/>
          <w:sz w:val="22"/>
          <w:szCs w:val="22"/>
        </w:rPr>
        <w:t>(</w:t>
      </w:r>
      <w:r>
        <w:rPr>
          <w:rFonts w:ascii="Times New Roman" w:hAnsi="Times New Roman" w:cs="Times New Roman"/>
          <w:sz w:val="22"/>
          <w:szCs w:val="22"/>
        </w:rPr>
        <w:t>1)</w:t>
      </w:r>
      <w:r>
        <w:rPr>
          <w:rFonts w:ascii="Times New Roman" w:hAnsi="Times New Roman" w:cs="Times New Roman"/>
          <w:sz w:val="22"/>
          <w:szCs w:val="22"/>
        </w:rPr>
        <w:tab/>
        <w:t>(i)</w:t>
      </w:r>
      <w:r>
        <w:rPr>
          <w:rFonts w:ascii="Times New Roman" w:hAnsi="Times New Roman" w:cs="Times New Roman"/>
          <w:sz w:val="22"/>
          <w:szCs w:val="22"/>
        </w:rPr>
        <w:tab/>
      </w:r>
      <w:r w:rsidRPr="00DC3B98">
        <w:rPr>
          <w:rFonts w:ascii="Times New Roman" w:hAnsi="Times New Roman" w:cs="Times New Roman"/>
          <w:sz w:val="22"/>
          <w:szCs w:val="22"/>
        </w:rPr>
        <w:t xml:space="preserve">not bill any affected </w:t>
      </w:r>
      <w:r>
        <w:rPr>
          <w:rFonts w:ascii="Times New Roman" w:hAnsi="Times New Roman" w:cs="Times New Roman"/>
          <w:sz w:val="22"/>
          <w:szCs w:val="22"/>
        </w:rPr>
        <w:t>Interexchange Carrier</w:t>
      </w:r>
      <w:r w:rsidRPr="00DC3B98">
        <w:rPr>
          <w:rFonts w:ascii="Times New Roman" w:hAnsi="Times New Roman" w:cs="Times New Roman"/>
          <w:sz w:val="22"/>
          <w:szCs w:val="22"/>
        </w:rPr>
        <w:t xml:space="preserve"> or any </w:t>
      </w:r>
      <w:r>
        <w:rPr>
          <w:rFonts w:ascii="Times New Roman" w:hAnsi="Times New Roman" w:cs="Times New Roman"/>
          <w:sz w:val="22"/>
          <w:szCs w:val="22"/>
        </w:rPr>
        <w:t>Intermediate Access Provider</w:t>
      </w:r>
      <w:r w:rsidRPr="00DC3B98">
        <w:rPr>
          <w:rFonts w:ascii="Times New Roman" w:hAnsi="Times New Roman" w:cs="Times New Roman"/>
          <w:sz w:val="22"/>
          <w:szCs w:val="22"/>
        </w:rPr>
        <w:t xml:space="preserve"> for the terminating switched access tandem switching or any terminating </w:t>
      </w:r>
      <w:r>
        <w:rPr>
          <w:rFonts w:ascii="Times New Roman" w:hAnsi="Times New Roman" w:cs="Times New Roman"/>
          <w:sz w:val="22"/>
          <w:szCs w:val="22"/>
        </w:rPr>
        <w:t>s</w:t>
      </w:r>
      <w:r w:rsidRPr="00DC3B98">
        <w:rPr>
          <w:rFonts w:ascii="Times New Roman" w:hAnsi="Times New Roman" w:cs="Times New Roman"/>
          <w:sz w:val="22"/>
          <w:szCs w:val="22"/>
        </w:rPr>
        <w:t>witched access transport charges for any traffic between such local exchange carrier’s terminating end office or equivalent and the associated access tandem switch</w:t>
      </w:r>
      <w:r>
        <w:rPr>
          <w:rFonts w:ascii="Times New Roman" w:hAnsi="Times New Roman" w:cs="Times New Roman"/>
          <w:sz w:val="22"/>
          <w:szCs w:val="22"/>
        </w:rPr>
        <w:t>; and</w:t>
      </w:r>
    </w:p>
    <w:p w:rsidR="008C3223" w:rsidP="008C3223">
      <w:pPr>
        <w:pStyle w:val="Default"/>
        <w:ind w:left="1440" w:hanging="360"/>
        <w:rPr>
          <w:rFonts w:ascii="Times New Roman" w:hAnsi="Times New Roman" w:cs="Times New Roman"/>
          <w:sz w:val="22"/>
          <w:szCs w:val="22"/>
        </w:rPr>
      </w:pPr>
    </w:p>
    <w:p w:rsidR="008C3223" w:rsidP="008C3223">
      <w:pPr>
        <w:pStyle w:val="Default"/>
        <w:ind w:left="1800" w:hanging="36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t>a</w:t>
      </w:r>
      <w:r w:rsidRPr="00DC3B98">
        <w:rPr>
          <w:rFonts w:ascii="Times New Roman" w:hAnsi="Times New Roman" w:cs="Times New Roman"/>
          <w:sz w:val="22"/>
          <w:szCs w:val="22"/>
        </w:rPr>
        <w:t xml:space="preserve">ssume financial responsibility for the applicable </w:t>
      </w:r>
      <w:r>
        <w:rPr>
          <w:rFonts w:ascii="Times New Roman" w:hAnsi="Times New Roman" w:cs="Times New Roman"/>
          <w:sz w:val="22"/>
          <w:szCs w:val="22"/>
        </w:rPr>
        <w:t xml:space="preserve">Intermediate Access Provider </w:t>
      </w:r>
      <w:r w:rsidRPr="00DC3B98">
        <w:rPr>
          <w:rFonts w:ascii="Times New Roman" w:hAnsi="Times New Roman" w:cs="Times New Roman"/>
          <w:sz w:val="22"/>
          <w:szCs w:val="22"/>
        </w:rPr>
        <w:t>terminating tandem switching and terminating switched transport access charges</w:t>
      </w:r>
      <w:r>
        <w:rPr>
          <w:rFonts w:ascii="Times New Roman" w:hAnsi="Times New Roman" w:cs="Times New Roman"/>
          <w:sz w:val="22"/>
          <w:szCs w:val="22"/>
        </w:rPr>
        <w:t xml:space="preserve"> relating to traffic bound for the access-stimulating local exchange carrier</w:t>
      </w:r>
      <w:r w:rsidRPr="00DC3B98">
        <w:rPr>
          <w:rFonts w:ascii="Times New Roman" w:hAnsi="Times New Roman" w:cs="Times New Roman"/>
          <w:sz w:val="22"/>
          <w:szCs w:val="22"/>
        </w:rPr>
        <w:t>; or</w:t>
      </w:r>
    </w:p>
    <w:p w:rsidR="008C3223" w:rsidP="008C3223">
      <w:pPr>
        <w:pStyle w:val="Default"/>
        <w:ind w:left="1440" w:hanging="360"/>
        <w:rPr>
          <w:rFonts w:ascii="Times New Roman" w:hAnsi="Times New Roman" w:cs="Times New Roman"/>
          <w:sz w:val="22"/>
          <w:szCs w:val="22"/>
        </w:rPr>
      </w:pPr>
    </w:p>
    <w:p w:rsidR="008C3223" w:rsidP="008C3223">
      <w:pPr>
        <w:pStyle w:val="Default"/>
        <w:ind w:left="1440" w:hanging="360"/>
        <w:rPr>
          <w:rFonts w:ascii="Times New Roman" w:hAnsi="Times New Roman" w:cs="Times New Roman"/>
          <w:sz w:val="22"/>
          <w:szCs w:val="22"/>
        </w:rPr>
      </w:pPr>
      <w:r>
        <w:rPr>
          <w:rFonts w:ascii="Times New Roman" w:hAnsi="Times New Roman" w:cs="Times New Roman"/>
          <w:sz w:val="22"/>
          <w:szCs w:val="22"/>
        </w:rPr>
        <w:t xml:space="preserve">(2)  </w:t>
      </w:r>
      <w:r w:rsidRPr="00DC3B98">
        <w:rPr>
          <w:rFonts w:ascii="Times New Roman" w:hAnsi="Times New Roman" w:cs="Times New Roman"/>
          <w:sz w:val="22"/>
          <w:szCs w:val="22"/>
        </w:rPr>
        <w:t xml:space="preserve">upon request of an </w:t>
      </w:r>
      <w:r>
        <w:rPr>
          <w:rFonts w:ascii="Times New Roman" w:hAnsi="Times New Roman" w:cs="Times New Roman"/>
          <w:sz w:val="22"/>
          <w:szCs w:val="22"/>
        </w:rPr>
        <w:t>Interexchange Carrier</w:t>
      </w:r>
      <w:r w:rsidRPr="00DC3B98">
        <w:rPr>
          <w:rFonts w:ascii="Times New Roman" w:hAnsi="Times New Roman" w:cs="Times New Roman"/>
          <w:sz w:val="22"/>
          <w:szCs w:val="22"/>
        </w:rPr>
        <w:t xml:space="preserve"> for direct-trunked transport service, provision and enable direct-trunked transport service </w:t>
      </w:r>
      <w:r>
        <w:rPr>
          <w:rFonts w:ascii="Times New Roman" w:hAnsi="Times New Roman" w:cs="Times New Roman"/>
          <w:sz w:val="22"/>
          <w:szCs w:val="22"/>
        </w:rPr>
        <w:t xml:space="preserve">to either the Interexchange Carrier or an Intermediate Access Provider of the Interexchange Carrier’s choosing </w:t>
      </w:r>
      <w:r w:rsidRPr="00DC3B98">
        <w:rPr>
          <w:rFonts w:ascii="Times New Roman" w:hAnsi="Times New Roman" w:cs="Times New Roman"/>
          <w:sz w:val="22"/>
          <w:szCs w:val="22"/>
        </w:rPr>
        <w:t>within [[period of time]] of such a request.</w:t>
      </w:r>
    </w:p>
    <w:p w:rsidR="008C3223" w:rsidP="008C3223">
      <w:pPr>
        <w:pStyle w:val="Default"/>
        <w:ind w:left="1440" w:hanging="360"/>
        <w:rPr>
          <w:rFonts w:ascii="Times New Roman" w:hAnsi="Times New Roman" w:cs="Times New Roman"/>
          <w:sz w:val="22"/>
          <w:szCs w:val="22"/>
        </w:rPr>
      </w:pPr>
    </w:p>
    <w:p w:rsidR="008C3223" w:rsidP="008C3223">
      <w:pPr>
        <w:pStyle w:val="Default"/>
        <w:ind w:left="1080" w:hanging="360"/>
        <w:rPr>
          <w:rFonts w:ascii="Times New Roman" w:hAnsi="Times New Roman" w:cs="Times New Roman"/>
          <w:sz w:val="22"/>
          <w:szCs w:val="22"/>
        </w:rPr>
      </w:pPr>
      <w:r>
        <w:rPr>
          <w:rFonts w:ascii="Times New Roman" w:hAnsi="Times New Roman" w:cs="Times New Roman"/>
          <w:sz w:val="22"/>
          <w:szCs w:val="22"/>
        </w:rPr>
        <w:t xml:space="preserve">(b)  </w:t>
      </w:r>
      <w:r w:rsidRPr="00DC3B98">
        <w:rPr>
          <w:rFonts w:ascii="Times New Roman" w:hAnsi="Times New Roman" w:cs="Times New Roman"/>
          <w:sz w:val="22"/>
          <w:szCs w:val="22"/>
        </w:rPr>
        <w:t xml:space="preserve">Notwithstanding any other provision of the Commission’s rules, if a local exchange carrier is engaged in Access Stimulation, it shall within 45 days of commencing </w:t>
      </w:r>
      <w:r>
        <w:rPr>
          <w:rFonts w:ascii="Times New Roman" w:hAnsi="Times New Roman" w:cs="Times New Roman"/>
          <w:sz w:val="22"/>
          <w:szCs w:val="22"/>
        </w:rPr>
        <w:t>Access Stimulation</w:t>
      </w:r>
      <w:r w:rsidRPr="00DC3B98">
        <w:rPr>
          <w:rFonts w:ascii="Times New Roman" w:hAnsi="Times New Roman" w:cs="Times New Roman"/>
          <w:sz w:val="22"/>
          <w:szCs w:val="22"/>
        </w:rPr>
        <w:t xml:space="preserve">, or within 45 days of [the effective date of this rule], whichever is later, notify in writing all </w:t>
      </w:r>
      <w:r>
        <w:rPr>
          <w:rFonts w:ascii="Times New Roman" w:hAnsi="Times New Roman" w:cs="Times New Roman"/>
          <w:sz w:val="22"/>
          <w:szCs w:val="22"/>
        </w:rPr>
        <w:t>Intermediate Access Provider</w:t>
      </w:r>
      <w:r w:rsidRPr="00DC3B98">
        <w:rPr>
          <w:rFonts w:ascii="Times New Roman" w:hAnsi="Times New Roman" w:cs="Times New Roman"/>
          <w:sz w:val="22"/>
          <w:szCs w:val="22"/>
        </w:rPr>
        <w:t xml:space="preserve">s which it subtends and </w:t>
      </w:r>
      <w:r>
        <w:rPr>
          <w:rFonts w:ascii="Times New Roman" w:hAnsi="Times New Roman" w:cs="Times New Roman"/>
          <w:sz w:val="22"/>
          <w:szCs w:val="22"/>
        </w:rPr>
        <w:t>Interexchange Carrier</w:t>
      </w:r>
      <w:r w:rsidRPr="00DC3B98">
        <w:rPr>
          <w:rFonts w:ascii="Times New Roman" w:hAnsi="Times New Roman" w:cs="Times New Roman"/>
          <w:sz w:val="22"/>
          <w:szCs w:val="22"/>
        </w:rPr>
        <w:t>s with which it does business of the following:</w:t>
      </w:r>
    </w:p>
    <w:p w:rsidR="008C3223" w:rsidP="008C3223">
      <w:pPr>
        <w:pStyle w:val="Default"/>
        <w:rPr>
          <w:rFonts w:ascii="Times New Roman" w:hAnsi="Times New Roman" w:cs="Times New Roman"/>
          <w:sz w:val="22"/>
          <w:szCs w:val="22"/>
        </w:rPr>
      </w:pPr>
    </w:p>
    <w:p w:rsidR="008C3223" w:rsidP="008C3223">
      <w:pPr>
        <w:pStyle w:val="Default"/>
        <w:ind w:left="1440" w:hanging="3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DC3B98">
        <w:rPr>
          <w:rFonts w:ascii="Times New Roman" w:hAnsi="Times New Roman" w:cs="Times New Roman"/>
          <w:sz w:val="22"/>
          <w:szCs w:val="22"/>
        </w:rPr>
        <w:t>that it is a local exchange carrier engaged in Access Stimulation;</w:t>
      </w:r>
    </w:p>
    <w:p w:rsidR="008C3223" w:rsidRPr="00DC3B98" w:rsidP="008C3223">
      <w:pPr>
        <w:pStyle w:val="Default"/>
        <w:ind w:left="1440" w:hanging="360"/>
        <w:rPr>
          <w:rFonts w:ascii="Times New Roman" w:hAnsi="Times New Roman" w:cs="Times New Roman"/>
          <w:sz w:val="22"/>
          <w:szCs w:val="22"/>
        </w:rPr>
      </w:pPr>
    </w:p>
    <w:p w:rsidR="008C3223" w:rsidP="008C3223">
      <w:pPr>
        <w:pStyle w:val="Default"/>
        <w:ind w:left="1440" w:hanging="360"/>
        <w:rPr>
          <w:rFonts w:ascii="Times New Roman" w:hAnsi="Times New Roman" w:cs="Times New Roman"/>
          <w:sz w:val="22"/>
          <w:szCs w:val="22"/>
        </w:rPr>
      </w:pPr>
      <w:r w:rsidRPr="00DC3B98">
        <w:rPr>
          <w:rFonts w:ascii="Times New Roman" w:hAnsi="Times New Roman" w:cs="Times New Roman"/>
          <w:sz w:val="22"/>
          <w:szCs w:val="22"/>
        </w:rPr>
        <w:t xml:space="preserve">(2)  </w:t>
      </w:r>
      <w:r>
        <w:rPr>
          <w:rFonts w:ascii="Times New Roman" w:hAnsi="Times New Roman" w:cs="Times New Roman"/>
          <w:sz w:val="22"/>
          <w:szCs w:val="22"/>
        </w:rPr>
        <w:t>that it will either:</w:t>
      </w:r>
      <w:r w:rsidRPr="00216EE6">
        <w:t xml:space="preserve"> </w:t>
      </w:r>
      <w:r w:rsidRPr="00216EE6">
        <w:rPr>
          <w:rFonts w:ascii="Times New Roman" w:hAnsi="Times New Roman" w:cs="Times New Roman"/>
          <w:sz w:val="22"/>
          <w:szCs w:val="22"/>
        </w:rPr>
        <w:t xml:space="preserve">(i) obtain and pay for </w:t>
      </w:r>
      <w:r>
        <w:rPr>
          <w:rFonts w:ascii="Times New Roman" w:hAnsi="Times New Roman" w:cs="Times New Roman"/>
          <w:sz w:val="22"/>
          <w:szCs w:val="22"/>
        </w:rPr>
        <w:t xml:space="preserve">terminating </w:t>
      </w:r>
      <w:r w:rsidRPr="00216EE6">
        <w:rPr>
          <w:rFonts w:ascii="Times New Roman" w:hAnsi="Times New Roman" w:cs="Times New Roman"/>
          <w:sz w:val="22"/>
          <w:szCs w:val="22"/>
        </w:rPr>
        <w:t xml:space="preserve">access services from </w:t>
      </w:r>
      <w:r>
        <w:rPr>
          <w:rFonts w:ascii="Times New Roman" w:hAnsi="Times New Roman" w:cs="Times New Roman"/>
          <w:sz w:val="22"/>
          <w:szCs w:val="22"/>
        </w:rPr>
        <w:t>Intermediate Access Provider</w:t>
      </w:r>
      <w:r w:rsidRPr="00216EE6">
        <w:rPr>
          <w:rFonts w:ascii="Times New Roman" w:hAnsi="Times New Roman" w:cs="Times New Roman"/>
          <w:sz w:val="22"/>
          <w:szCs w:val="22"/>
        </w:rPr>
        <w:t xml:space="preserve">s for such traffic as of that date; or (ii) offer direct-trunked transport service to any affected </w:t>
      </w:r>
      <w:r>
        <w:rPr>
          <w:rFonts w:ascii="Times New Roman" w:hAnsi="Times New Roman" w:cs="Times New Roman"/>
          <w:sz w:val="22"/>
          <w:szCs w:val="22"/>
        </w:rPr>
        <w:t>Interexchange Carrier (or to an Intermediate Access Provider of the Interexchange Carrier’s choosing)</w:t>
      </w:r>
      <w:r w:rsidRPr="00DC3B98">
        <w:rPr>
          <w:rFonts w:ascii="Times New Roman" w:hAnsi="Times New Roman" w:cs="Times New Roman"/>
          <w:sz w:val="22"/>
          <w:szCs w:val="22"/>
        </w:rPr>
        <w:t>; and</w:t>
      </w:r>
    </w:p>
    <w:p w:rsidR="008C3223" w:rsidRPr="00DC3B98" w:rsidP="008C3223">
      <w:pPr>
        <w:pStyle w:val="Default"/>
        <w:ind w:left="1440" w:hanging="360"/>
        <w:rPr>
          <w:rFonts w:ascii="Times New Roman" w:hAnsi="Times New Roman" w:cs="Times New Roman"/>
          <w:sz w:val="22"/>
          <w:szCs w:val="22"/>
        </w:rPr>
      </w:pPr>
    </w:p>
    <w:p w:rsidR="008C3223" w:rsidP="008C3223">
      <w:pPr>
        <w:pStyle w:val="Default"/>
        <w:ind w:left="1440" w:hanging="360"/>
        <w:rPr>
          <w:rFonts w:ascii="Times New Roman" w:hAnsi="Times New Roman" w:cs="Times New Roman"/>
          <w:sz w:val="22"/>
          <w:szCs w:val="22"/>
        </w:rPr>
      </w:pPr>
      <w:r w:rsidRPr="00DC3B98">
        <w:rPr>
          <w:rFonts w:ascii="Times New Roman" w:hAnsi="Times New Roman" w:cs="Times New Roman"/>
          <w:sz w:val="22"/>
          <w:szCs w:val="22"/>
        </w:rPr>
        <w:t xml:space="preserve">(3)  to the extent that the local exchange carrier engaged in Access Stimulation intends to comply with </w:t>
      </w:r>
      <w:r>
        <w:rPr>
          <w:rFonts w:ascii="Times New Roman" w:hAnsi="Times New Roman" w:cs="Times New Roman"/>
          <w:sz w:val="22"/>
          <w:szCs w:val="22"/>
        </w:rPr>
        <w:t xml:space="preserve">§ </w:t>
      </w:r>
      <w:r w:rsidRPr="00DC3B98">
        <w:rPr>
          <w:rFonts w:ascii="Times New Roman" w:hAnsi="Times New Roman" w:cs="Times New Roman"/>
          <w:sz w:val="22"/>
          <w:szCs w:val="22"/>
        </w:rPr>
        <w:t xml:space="preserve">51.914(a) through electing the option described in </w:t>
      </w:r>
      <w:r>
        <w:rPr>
          <w:rFonts w:ascii="Times New Roman" w:hAnsi="Times New Roman" w:cs="Times New Roman"/>
          <w:sz w:val="22"/>
          <w:szCs w:val="22"/>
        </w:rPr>
        <w:t xml:space="preserve">§ </w:t>
      </w:r>
      <w:r w:rsidRPr="00DC3B98">
        <w:rPr>
          <w:rFonts w:ascii="Times New Roman" w:hAnsi="Times New Roman" w:cs="Times New Roman"/>
          <w:sz w:val="22"/>
          <w:szCs w:val="22"/>
        </w:rPr>
        <w:t>51.914(a)(2), designate where on its network it will accept the requested direct connection.</w:t>
      </w:r>
    </w:p>
    <w:p w:rsidR="008C3223" w:rsidP="008C3223">
      <w:pPr>
        <w:pStyle w:val="Default"/>
        <w:rPr>
          <w:rFonts w:ascii="Times New Roman" w:hAnsi="Times New Roman" w:cs="Times New Roman"/>
          <w:sz w:val="22"/>
          <w:szCs w:val="22"/>
        </w:rPr>
      </w:pPr>
    </w:p>
    <w:p w:rsidR="008C3223" w:rsidRPr="00DC3B98" w:rsidP="008C3223">
      <w:pPr>
        <w:pStyle w:val="Default"/>
        <w:ind w:left="1080" w:hanging="360"/>
        <w:rPr>
          <w:rFonts w:ascii="Times New Roman" w:hAnsi="Times New Roman" w:cs="Times New Roman"/>
          <w:sz w:val="22"/>
          <w:szCs w:val="22"/>
        </w:rPr>
      </w:pPr>
      <w:r w:rsidRPr="00DC3B98">
        <w:rPr>
          <w:rFonts w:ascii="Times New Roman" w:hAnsi="Times New Roman" w:cs="Times New Roman"/>
          <w:sz w:val="22"/>
          <w:szCs w:val="22"/>
        </w:rPr>
        <w:t xml:space="preserve">(c)  Nothing in this </w:t>
      </w:r>
      <w:r>
        <w:rPr>
          <w:rFonts w:ascii="Times New Roman" w:hAnsi="Times New Roman" w:cs="Times New Roman"/>
          <w:sz w:val="22"/>
          <w:szCs w:val="22"/>
        </w:rPr>
        <w:t xml:space="preserve">§ </w:t>
      </w:r>
      <w:r w:rsidRPr="00DC3B98">
        <w:rPr>
          <w:rFonts w:ascii="Times New Roman" w:hAnsi="Times New Roman" w:cs="Times New Roman"/>
          <w:sz w:val="22"/>
          <w:szCs w:val="22"/>
        </w:rPr>
        <w:t>51.914 creates an independent obligation for a local exchange carrier to construct new facilities other than, as necessary, adding switch trunk ports.</w:t>
      </w:r>
    </w:p>
    <w:p w:rsidR="008C3223" w:rsidRPr="00DC3B98" w:rsidP="008C3223">
      <w:pPr>
        <w:pStyle w:val="Default"/>
        <w:ind w:left="1080" w:hanging="360"/>
        <w:rPr>
          <w:rFonts w:ascii="Times New Roman" w:hAnsi="Times New Roman" w:cs="Times New Roman"/>
          <w:sz w:val="22"/>
          <w:szCs w:val="22"/>
        </w:rPr>
      </w:pPr>
    </w:p>
    <w:p w:rsidR="008C3223" w:rsidP="008C3223">
      <w:pPr>
        <w:pStyle w:val="Default"/>
        <w:ind w:left="1080" w:hanging="360"/>
        <w:rPr>
          <w:rFonts w:ascii="Times New Roman" w:hAnsi="Times New Roman" w:cs="Times New Roman"/>
          <w:sz w:val="22"/>
          <w:szCs w:val="22"/>
        </w:rPr>
      </w:pPr>
      <w:r w:rsidRPr="00DC3B98">
        <w:rPr>
          <w:rFonts w:ascii="Times New Roman" w:hAnsi="Times New Roman" w:cs="Times New Roman"/>
          <w:sz w:val="22"/>
          <w:szCs w:val="22"/>
        </w:rPr>
        <w:t>(d)</w:t>
      </w:r>
      <w:r w:rsidRPr="00DC3B98">
        <w:rPr>
          <w:rFonts w:ascii="Times New Roman" w:hAnsi="Times New Roman" w:cs="Times New Roman"/>
          <w:sz w:val="22"/>
          <w:szCs w:val="22"/>
        </w:rPr>
        <w:tab/>
      </w:r>
      <w:r>
        <w:rPr>
          <w:rFonts w:ascii="Times New Roman" w:hAnsi="Times New Roman" w:cs="Times New Roman"/>
          <w:sz w:val="22"/>
          <w:szCs w:val="22"/>
        </w:rPr>
        <w:t xml:space="preserve">In the event that an Intermediate Access Provider receives notice under § 51.914(b) that a local exchange carrier engaged in Access Stimulation will be obtaining and paying for terminating access service from such Intermediate Access Provider, an Intermediate Access Provider shall not bill Interexchange Carriers </w:t>
      </w:r>
      <w:r w:rsidRPr="00DC3B98">
        <w:rPr>
          <w:rFonts w:ascii="Times New Roman" w:hAnsi="Times New Roman" w:cs="Times New Roman"/>
          <w:sz w:val="22"/>
          <w:szCs w:val="22"/>
        </w:rPr>
        <w:t>terminating tandem switching and terminating switched transport access</w:t>
      </w:r>
      <w:r>
        <w:rPr>
          <w:rFonts w:ascii="Times New Roman" w:hAnsi="Times New Roman" w:cs="Times New Roman"/>
          <w:sz w:val="22"/>
          <w:szCs w:val="22"/>
        </w:rPr>
        <w:t xml:space="preserve"> for traffic bound for such local exchange carrier but, instead bill such local exchange carrier for such services.</w:t>
      </w:r>
    </w:p>
    <w:p w:rsidR="008C3223" w:rsidP="008C3223">
      <w:pPr>
        <w:pStyle w:val="Default"/>
        <w:ind w:left="1080" w:hanging="360"/>
        <w:rPr>
          <w:rFonts w:ascii="Times New Roman" w:hAnsi="Times New Roman" w:cs="Times New Roman"/>
          <w:sz w:val="22"/>
          <w:szCs w:val="22"/>
        </w:rPr>
      </w:pPr>
    </w:p>
    <w:p w:rsidR="008C3223" w:rsidP="008C3223">
      <w:pPr>
        <w:pStyle w:val="Default"/>
        <w:ind w:left="1080" w:hanging="36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Notwithstanding any provision of this § 51.914</w:t>
      </w:r>
      <w:r w:rsidRPr="00DC3B98">
        <w:rPr>
          <w:rFonts w:ascii="Times New Roman" w:hAnsi="Times New Roman" w:cs="Times New Roman"/>
          <w:sz w:val="22"/>
          <w:szCs w:val="22"/>
        </w:rPr>
        <w:t xml:space="preserve">, any carrier that is not itself engaged in </w:t>
      </w:r>
      <w:r>
        <w:rPr>
          <w:rFonts w:ascii="Times New Roman" w:hAnsi="Times New Roman" w:cs="Times New Roman"/>
          <w:sz w:val="22"/>
          <w:szCs w:val="22"/>
        </w:rPr>
        <w:t>Access Stimulation</w:t>
      </w:r>
      <w:r w:rsidRPr="00DC3B98">
        <w:rPr>
          <w:rFonts w:ascii="Times New Roman" w:hAnsi="Times New Roman" w:cs="Times New Roman"/>
          <w:sz w:val="22"/>
          <w:szCs w:val="22"/>
        </w:rPr>
        <w:t>, as that term is defined in §</w:t>
      </w:r>
      <w:r>
        <w:rPr>
          <w:rFonts w:ascii="Times New Roman" w:hAnsi="Times New Roman" w:cs="Times New Roman"/>
          <w:sz w:val="22"/>
          <w:szCs w:val="22"/>
        </w:rPr>
        <w:t xml:space="preserve"> </w:t>
      </w:r>
      <w:r w:rsidRPr="00DC3B98">
        <w:rPr>
          <w:rFonts w:ascii="Times New Roman" w:hAnsi="Times New Roman" w:cs="Times New Roman"/>
          <w:sz w:val="22"/>
          <w:szCs w:val="22"/>
        </w:rPr>
        <w:t xml:space="preserve">61.3(bbb), but </w:t>
      </w:r>
      <w:r>
        <w:rPr>
          <w:rFonts w:ascii="Times New Roman" w:hAnsi="Times New Roman" w:cs="Times New Roman"/>
          <w:sz w:val="22"/>
          <w:szCs w:val="22"/>
        </w:rPr>
        <w:t xml:space="preserve">serves as an Intermediate Access Provider with respect to traffic bound for an </w:t>
      </w:r>
      <w:r w:rsidRPr="00DC3B98">
        <w:rPr>
          <w:rFonts w:ascii="Times New Roman" w:hAnsi="Times New Roman" w:cs="Times New Roman"/>
          <w:sz w:val="22"/>
          <w:szCs w:val="22"/>
        </w:rPr>
        <w:t xml:space="preserve">access-stimulating local exchange carrier, shall not itself be deemed a local exchange carrier engaged in </w:t>
      </w:r>
      <w:r>
        <w:rPr>
          <w:rFonts w:ascii="Times New Roman" w:hAnsi="Times New Roman" w:cs="Times New Roman"/>
          <w:sz w:val="22"/>
          <w:szCs w:val="22"/>
        </w:rPr>
        <w:t>Access Stimulation</w:t>
      </w:r>
      <w:r w:rsidRPr="00DC3B98">
        <w:rPr>
          <w:rFonts w:ascii="Times New Roman" w:hAnsi="Times New Roman" w:cs="Times New Roman"/>
          <w:sz w:val="22"/>
          <w:szCs w:val="22"/>
        </w:rPr>
        <w:t xml:space="preserve"> or be </w:t>
      </w:r>
      <w:r>
        <w:rPr>
          <w:rFonts w:ascii="Times New Roman" w:hAnsi="Times New Roman" w:cs="Times New Roman"/>
          <w:sz w:val="22"/>
          <w:szCs w:val="22"/>
        </w:rPr>
        <w:t>affect</w:t>
      </w:r>
      <w:r w:rsidRPr="00DC3B98">
        <w:rPr>
          <w:rFonts w:ascii="Times New Roman" w:hAnsi="Times New Roman" w:cs="Times New Roman"/>
          <w:sz w:val="22"/>
          <w:szCs w:val="22"/>
        </w:rPr>
        <w:t xml:space="preserve">ed by this rule </w:t>
      </w:r>
      <w:r>
        <w:rPr>
          <w:rFonts w:ascii="Times New Roman" w:hAnsi="Times New Roman" w:cs="Times New Roman"/>
          <w:sz w:val="22"/>
          <w:szCs w:val="22"/>
        </w:rPr>
        <w:t>other than § 51.914(d).</w:t>
      </w:r>
    </w:p>
    <w:p w:rsidR="008C3223" w:rsidP="008C3223">
      <w:pPr>
        <w:pStyle w:val="Default"/>
        <w:ind w:left="1080" w:hanging="360"/>
        <w:rPr>
          <w:rFonts w:ascii="Times New Roman" w:hAnsi="Times New Roman" w:cs="Times New Roman"/>
          <w:sz w:val="22"/>
          <w:szCs w:val="22"/>
        </w:rPr>
      </w:pPr>
    </w:p>
    <w:p w:rsidR="008C3223" w:rsidRPr="00753B3A" w:rsidP="008C3223">
      <w:pPr>
        <w:pStyle w:val="Default"/>
        <w:rPr>
          <w:rFonts w:ascii="Times New Roman" w:hAnsi="Times New Roman" w:cs="Times New Roman"/>
          <w:sz w:val="22"/>
          <w:szCs w:val="22"/>
        </w:rPr>
      </w:pPr>
    </w:p>
    <w:p w:rsidR="008C3223" w:rsidRPr="00753B3A" w:rsidP="008C3223">
      <w:pPr>
        <w:pStyle w:val="Default"/>
        <w:rPr>
          <w:rFonts w:ascii="Times New Roman" w:hAnsi="Times New Roman" w:cs="Times New Roman"/>
          <w:b/>
          <w:sz w:val="22"/>
          <w:szCs w:val="22"/>
        </w:rPr>
      </w:pPr>
      <w:r w:rsidRPr="00753B3A">
        <w:rPr>
          <w:rFonts w:ascii="Times New Roman" w:hAnsi="Times New Roman" w:cs="Times New Roman"/>
          <w:b/>
          <w:sz w:val="22"/>
          <w:szCs w:val="22"/>
        </w:rPr>
        <w:t>§ 51.917 [amended]</w:t>
      </w:r>
    </w:p>
    <w:p w:rsidR="008C3223" w:rsidP="008C3223">
      <w:pPr>
        <w:pStyle w:val="Default"/>
        <w:rPr>
          <w:rFonts w:ascii="Times New Roman" w:hAnsi="Times New Roman" w:cs="Times New Roman"/>
          <w:sz w:val="22"/>
          <w:szCs w:val="22"/>
        </w:rPr>
      </w:pPr>
    </w:p>
    <w:p w:rsidR="008C3223" w:rsidP="008C3223">
      <w:pPr>
        <w:pStyle w:val="Default"/>
        <w:rPr>
          <w:rFonts w:ascii="Times New Roman" w:hAnsi="Times New Roman" w:cs="Times New Roman"/>
          <w:sz w:val="22"/>
          <w:szCs w:val="22"/>
        </w:rPr>
      </w:pPr>
      <w:r w:rsidRPr="00753B3A">
        <w:rPr>
          <w:rFonts w:ascii="Times New Roman" w:hAnsi="Times New Roman" w:cs="Times New Roman"/>
          <w:sz w:val="22"/>
          <w:szCs w:val="22"/>
        </w:rPr>
        <w:t>47 CFR § 51.917</w:t>
      </w:r>
    </w:p>
    <w:p w:rsidR="008C3223" w:rsidRPr="00753B3A" w:rsidP="008C3223">
      <w:pPr>
        <w:pStyle w:val="Default"/>
        <w:rPr>
          <w:rFonts w:ascii="Times New Roman" w:hAnsi="Times New Roman" w:cs="Times New Roman"/>
          <w:sz w:val="22"/>
          <w:szCs w:val="22"/>
        </w:rPr>
      </w:pPr>
    </w:p>
    <w:p w:rsidR="008C3223" w:rsidRPr="00753B3A" w:rsidP="008C3223">
      <w:pPr>
        <w:pStyle w:val="Default"/>
        <w:ind w:left="720" w:hanging="360"/>
        <w:rPr>
          <w:rFonts w:ascii="Times New Roman" w:hAnsi="Times New Roman" w:cs="Times New Roman"/>
          <w:sz w:val="22"/>
          <w:szCs w:val="22"/>
        </w:rPr>
      </w:pPr>
      <w:r w:rsidRPr="00753B3A">
        <w:rPr>
          <w:rFonts w:ascii="Times New Roman" w:hAnsi="Times New Roman" w:cs="Times New Roman"/>
          <w:sz w:val="22"/>
          <w:szCs w:val="22"/>
        </w:rPr>
        <w:t>4.</w:t>
      </w:r>
      <w:r w:rsidRPr="00753B3A">
        <w:rPr>
          <w:rFonts w:ascii="Times New Roman" w:hAnsi="Times New Roman" w:cs="Times New Roman"/>
          <w:sz w:val="22"/>
          <w:szCs w:val="22"/>
        </w:rPr>
        <w:tab/>
        <w:t>Amend § 51.917 by revising paragraph (c) as follows:</w:t>
      </w:r>
    </w:p>
    <w:p w:rsidR="008C3223" w:rsidRPr="00753B3A" w:rsidP="008C3223">
      <w:pPr>
        <w:pStyle w:val="Default"/>
        <w:rPr>
          <w:rFonts w:ascii="Times New Roman" w:hAnsi="Times New Roman" w:cs="Times New Roman"/>
          <w:sz w:val="22"/>
          <w:szCs w:val="22"/>
        </w:rPr>
      </w:pPr>
    </w:p>
    <w:p w:rsidR="008C3223" w:rsidP="008C3223">
      <w:pPr>
        <w:spacing w:after="120"/>
        <w:jc w:val="center"/>
        <w:rPr>
          <w:szCs w:val="22"/>
        </w:rPr>
        <w:sectPr w:rsidSect="00665335">
          <w:pgSz w:w="12240" w:h="15840"/>
          <w:pgMar w:top="1440" w:right="1440" w:bottom="720" w:left="1440" w:header="720" w:footer="720" w:gutter="0"/>
          <w:cols w:space="720"/>
          <w:noEndnote/>
          <w:docGrid w:linePitch="299"/>
        </w:sectPr>
      </w:pPr>
      <w:r w:rsidRPr="00753B3A">
        <w:rPr>
          <w:szCs w:val="22"/>
        </w:rPr>
        <w:t>Remove “</w:t>
      </w:r>
      <w:r>
        <w:rPr>
          <w:szCs w:val="22"/>
        </w:rPr>
        <w:t>access stimulation</w:t>
      </w:r>
      <w:r w:rsidRPr="00753B3A">
        <w:rPr>
          <w:szCs w:val="22"/>
        </w:rPr>
        <w:t>” and add, in its place, “Access Stimulation”.</w:t>
      </w:r>
    </w:p>
    <w:p w:rsidR="008C3223" w:rsidRPr="00765DA9" w:rsidP="008C3223">
      <w:pPr>
        <w:widowControl/>
        <w:jc w:val="center"/>
        <w:rPr>
          <w:szCs w:val="22"/>
        </w:rPr>
      </w:pPr>
      <w:r w:rsidRPr="00765DA9">
        <w:rPr>
          <w:b/>
          <w:szCs w:val="22"/>
        </w:rPr>
        <w:t>APPENDIX B</w:t>
      </w:r>
    </w:p>
    <w:p w:rsidR="008C3223" w:rsidRPr="00765DA9" w:rsidP="008C3223">
      <w:pPr>
        <w:jc w:val="center"/>
        <w:rPr>
          <w:b/>
          <w:szCs w:val="22"/>
        </w:rPr>
      </w:pPr>
    </w:p>
    <w:p w:rsidR="008C3223" w:rsidRPr="00765DA9" w:rsidP="008C3223">
      <w:pPr>
        <w:jc w:val="center"/>
        <w:rPr>
          <w:b/>
          <w:szCs w:val="22"/>
        </w:rPr>
      </w:pPr>
      <w:r w:rsidRPr="00765DA9">
        <w:rPr>
          <w:b/>
          <w:szCs w:val="22"/>
        </w:rPr>
        <w:t>Initial Regulatory Flexibility Analysis</w:t>
      </w:r>
    </w:p>
    <w:p w:rsidR="008C3223" w:rsidRPr="00765DA9" w:rsidP="008C3223">
      <w:pPr>
        <w:rPr>
          <w:szCs w:val="22"/>
        </w:rPr>
      </w:pPr>
    </w:p>
    <w:p w:rsidR="008C3223" w:rsidRPr="008A5F91" w:rsidP="008C3223">
      <w:pPr>
        <w:pStyle w:val="ParaNum"/>
        <w:numPr>
          <w:ilvl w:val="0"/>
          <w:numId w:val="15"/>
        </w:numPr>
        <w:tabs>
          <w:tab w:val="clear" w:pos="1080"/>
        </w:tabs>
        <w:rPr>
          <w:szCs w:val="22"/>
        </w:rPr>
      </w:pPr>
      <w:r w:rsidRPr="008A5F91">
        <w:rPr>
          <w:szCs w:val="22"/>
        </w:rPr>
        <w:t>As required by the Regulatory Flexibility Act of 1980, as amended (RFA),</w:t>
      </w:r>
      <w:r>
        <w:rPr>
          <w:rStyle w:val="FootnoteReference"/>
          <w:szCs w:val="22"/>
        </w:rPr>
        <w:footnoteReference w:id="73"/>
      </w:r>
      <w:r w:rsidRPr="008A5F91">
        <w:rPr>
          <w:szCs w:val="22"/>
        </w:rPr>
        <w:t xml:space="preserve"> </w:t>
      </w:r>
      <w:r>
        <w:rPr>
          <w:szCs w:val="22"/>
        </w:rPr>
        <w:t xml:space="preserve">we have </w:t>
      </w:r>
      <w:r w:rsidRPr="008A5F91">
        <w:rPr>
          <w:szCs w:val="22"/>
        </w:rPr>
        <w:t xml:space="preserve">prepared this Initial Regulatory Flexibility Analysis (IRFA) of the possible significant economic impact on a substantial number of small entities by the policies and rules proposed in this Notice of Proposed Rulemaking (Notice).  </w:t>
      </w:r>
      <w:r>
        <w:rPr>
          <w:szCs w:val="22"/>
        </w:rPr>
        <w:t>We request</w:t>
      </w:r>
      <w:r w:rsidRPr="008A5F91">
        <w:rPr>
          <w:szCs w:val="22"/>
        </w:rPr>
        <w:t xml:space="preserve"> written public comments on this IRFA.  Comments must be identified as responses to the IRFA and must be filed by the deadlines for comments provided on the first page of the Notice.  </w:t>
      </w:r>
      <w:r>
        <w:rPr>
          <w:szCs w:val="22"/>
        </w:rPr>
        <w:t>We</w:t>
      </w:r>
      <w:r w:rsidRPr="008A5F91">
        <w:rPr>
          <w:szCs w:val="22"/>
        </w:rPr>
        <w:t xml:space="preserve"> will send a copy of the Notice, including this IRFA, to the Chief Counsel for Advocacy of the Small Business Administration (SBA).</w:t>
      </w:r>
      <w:r>
        <w:rPr>
          <w:rStyle w:val="FootnoteReference"/>
          <w:szCs w:val="22"/>
        </w:rPr>
        <w:footnoteReference w:id="74"/>
      </w:r>
      <w:r w:rsidRPr="008A5F91">
        <w:rPr>
          <w:szCs w:val="22"/>
        </w:rPr>
        <w:t xml:space="preserve">  In addition, the Notice and IRFA (or summaries thereof) will be published in the Federal Register.</w:t>
      </w:r>
    </w:p>
    <w:p w:rsidR="008C3223" w:rsidRPr="00765DA9" w:rsidP="008C3223">
      <w:pPr>
        <w:pStyle w:val="ParaNum"/>
        <w:numPr>
          <w:ilvl w:val="0"/>
          <w:numId w:val="0"/>
        </w:numPr>
        <w:tabs>
          <w:tab w:val="num" w:pos="1440"/>
        </w:tabs>
        <w:ind w:left="1440" w:hanging="720"/>
        <w:rPr>
          <w:b/>
          <w:szCs w:val="22"/>
        </w:rPr>
      </w:pPr>
      <w:r w:rsidRPr="00765DA9">
        <w:rPr>
          <w:b/>
          <w:szCs w:val="22"/>
        </w:rPr>
        <w:t>A.</w:t>
      </w:r>
      <w:r w:rsidRPr="00765DA9">
        <w:rPr>
          <w:b/>
          <w:szCs w:val="22"/>
        </w:rPr>
        <w:tab/>
        <w:t xml:space="preserve">Need for, and Objective of, the </w:t>
      </w:r>
      <w:r>
        <w:rPr>
          <w:b/>
          <w:szCs w:val="22"/>
        </w:rPr>
        <w:t>Proposed Rules</w:t>
      </w:r>
    </w:p>
    <w:p w:rsidR="008C3223" w:rsidP="008C3223">
      <w:pPr>
        <w:pStyle w:val="ParaNum"/>
      </w:pPr>
      <w:r>
        <w:rPr>
          <w:szCs w:val="22"/>
        </w:rPr>
        <w:t xml:space="preserve">In the </w:t>
      </w:r>
      <w:r>
        <w:rPr>
          <w:i/>
          <w:szCs w:val="22"/>
        </w:rPr>
        <w:t>USF/ICC Transformation FNPRM</w:t>
      </w:r>
      <w:r>
        <w:rPr>
          <w:szCs w:val="22"/>
        </w:rPr>
        <w:t>, the Commission sought comment on additional steps to implement the bill-and-keep regime as well as possible communications network definitional changes, the appropriate recovery mechanisms going forward and VoIP and IP-to-IP related intercarrier compensation issues.</w:t>
      </w:r>
      <w:r>
        <w:rPr>
          <w:rStyle w:val="FootnoteReference"/>
          <w:szCs w:val="22"/>
        </w:rPr>
        <w:footnoteReference w:id="75"/>
      </w:r>
      <w:r>
        <w:rPr>
          <w:szCs w:val="22"/>
        </w:rPr>
        <w:t xml:space="preserve"> </w:t>
      </w:r>
      <w:r>
        <w:rPr>
          <w:i/>
          <w:szCs w:val="22"/>
        </w:rPr>
        <w:t xml:space="preserve"> </w:t>
      </w:r>
      <w:r>
        <w:rPr>
          <w:szCs w:val="22"/>
        </w:rPr>
        <w:t>In this Notice</w:t>
      </w:r>
      <w:r w:rsidRPr="00765DA9">
        <w:rPr>
          <w:szCs w:val="22"/>
        </w:rPr>
        <w:t xml:space="preserve"> we propose</w:t>
      </w:r>
      <w:r>
        <w:rPr>
          <w:szCs w:val="22"/>
        </w:rPr>
        <w:t xml:space="preserve"> to adopt rules to address access arbitrage schemes that persist despite previous Commission action. </w:t>
      </w:r>
      <w:r w:rsidRPr="00765DA9">
        <w:rPr>
          <w:szCs w:val="22"/>
        </w:rPr>
        <w:t xml:space="preserve"> </w:t>
      </w:r>
      <w:bookmarkStart w:id="355" w:name="_Hlk512933079"/>
      <w:r>
        <w:rPr>
          <w:szCs w:val="22"/>
        </w:rPr>
        <w:t>W</w:t>
      </w:r>
      <w:r w:rsidRPr="00AB1D8E">
        <w:rPr>
          <w:szCs w:val="22"/>
        </w:rPr>
        <w:t xml:space="preserve">e propose </w:t>
      </w:r>
      <w:r>
        <w:t>to adopt rules to give access-stimulating LECs two choices about how they connect to IXCs.</w:t>
      </w:r>
      <w:r>
        <w:rPr>
          <w:rStyle w:val="FootnoteReference"/>
        </w:rPr>
        <w:footnoteReference w:id="76"/>
      </w:r>
      <w:r>
        <w:t xml:space="preserve">  First, an access-stimulating LEC can choose to be financially responsible for calls delivered to its networks so it, rather than IXCs, pays for the delivery of calls to its end office or the functional equivalent.  Or, second, instead of accepting this financial responsibility, an access-stimulating</w:t>
      </w:r>
      <w:r w:rsidRPr="001568E4">
        <w:t xml:space="preserve"> </w:t>
      </w:r>
      <w:r>
        <w:t>LEC can</w:t>
      </w:r>
      <w:r w:rsidRPr="001568E4">
        <w:t xml:space="preserve"> </w:t>
      </w:r>
      <w:bookmarkStart w:id="356" w:name="_Hlk513025502"/>
      <w:r>
        <w:t xml:space="preserve">choose to </w:t>
      </w:r>
      <w:r>
        <w:rPr>
          <w:szCs w:val="22"/>
        </w:rPr>
        <w:t xml:space="preserve">accept </w:t>
      </w:r>
      <w:r>
        <w:t>direct connections from either the IXC or an intermediate access provider of the IXC’s choosing</w:t>
      </w:r>
      <w:bookmarkEnd w:id="356"/>
      <w:r w:rsidRPr="001568E4">
        <w:t xml:space="preserve">.  </w:t>
      </w:r>
      <w:r>
        <w:t>In the alternative, we seek comment on moving all traffic bound for an access-stimulating LEC to bill-and-keep.</w:t>
      </w:r>
      <w:r>
        <w:rPr>
          <w:rStyle w:val="FootnoteReference"/>
        </w:rPr>
        <w:footnoteReference w:id="77"/>
      </w:r>
      <w:r>
        <w:t xml:space="preserve">  The Notice also seeks comment on potential revisions to the definition of access stimulation, in particular to address intermediate access provider</w:t>
      </w:r>
      <w:r>
        <w:rPr>
          <w:rStyle w:val="PageNumber"/>
          <w:szCs w:val="22"/>
        </w:rPr>
        <w:t>s</w:t>
      </w:r>
      <w:r>
        <w:t>.</w:t>
      </w:r>
      <w:r>
        <w:rPr>
          <w:rStyle w:val="FootnoteReference"/>
        </w:rPr>
        <w:footnoteReference w:id="78"/>
      </w:r>
      <w:r>
        <w:t xml:space="preserve">  The record in this proceeding suggests additional access arbitrage activities are occurring, including: (1) use of intermediate access provider</w:t>
      </w:r>
      <w:r>
        <w:rPr>
          <w:rStyle w:val="PageNumber"/>
          <w:szCs w:val="22"/>
        </w:rPr>
        <w:t>s</w:t>
      </w:r>
      <w:r w:rsidRPr="00036C16">
        <w:rPr>
          <w:rStyle w:val="PageNumber"/>
          <w:szCs w:val="22"/>
        </w:rPr>
        <w:t xml:space="preserve"> </w:t>
      </w:r>
      <w:r>
        <w:t>by Commercial Mobile Radio Carriers; (2) mileage pumping; and (3) daisy chaining.</w:t>
      </w:r>
      <w:r>
        <w:rPr>
          <w:rStyle w:val="FootnoteReference"/>
        </w:rPr>
        <w:footnoteReference w:id="79"/>
      </w:r>
      <w:r>
        <w:t xml:space="preserve">  Comment is sought on how best to address these activities.  The Notice seeks comment on the costs and benefits of these proposals.</w:t>
      </w:r>
      <w:r>
        <w:rPr>
          <w:rStyle w:val="FootnoteReference"/>
        </w:rPr>
        <w:footnoteReference w:id="80"/>
      </w:r>
      <w:bookmarkEnd w:id="355"/>
    </w:p>
    <w:p w:rsidR="008C3223" w:rsidRPr="00765DA9" w:rsidP="008C3223">
      <w:pPr>
        <w:pStyle w:val="ParaNum"/>
        <w:numPr>
          <w:ilvl w:val="0"/>
          <w:numId w:val="0"/>
        </w:numPr>
        <w:ind w:left="1440" w:hanging="720"/>
        <w:rPr>
          <w:szCs w:val="22"/>
        </w:rPr>
      </w:pPr>
      <w:r w:rsidRPr="00765DA9">
        <w:rPr>
          <w:b/>
          <w:szCs w:val="22"/>
        </w:rPr>
        <w:t>B.</w:t>
      </w:r>
      <w:r w:rsidRPr="00765DA9">
        <w:rPr>
          <w:b/>
          <w:szCs w:val="22"/>
        </w:rPr>
        <w:tab/>
        <w:t>Legal Basis</w:t>
      </w:r>
    </w:p>
    <w:p w:rsidR="008C3223" w:rsidRPr="00765DA9" w:rsidP="008C3223">
      <w:pPr>
        <w:pStyle w:val="ParaNum"/>
        <w:rPr>
          <w:szCs w:val="22"/>
        </w:rPr>
      </w:pPr>
      <w:r w:rsidRPr="00765DA9">
        <w:rPr>
          <w:szCs w:val="22"/>
        </w:rPr>
        <w:t xml:space="preserve">The legal basis for any action that may be taken pursuant to this Notice is contained in sections 1, 2, 4(i), 201-206, </w:t>
      </w:r>
      <w:r>
        <w:rPr>
          <w:szCs w:val="22"/>
        </w:rPr>
        <w:t xml:space="preserve">214, </w:t>
      </w:r>
      <w:r w:rsidRPr="00765DA9">
        <w:rPr>
          <w:szCs w:val="22"/>
        </w:rPr>
        <w:t xml:space="preserve">218-220, 251, 252, 254, 256, 303(r), and 403 of the Communications Act of 1934, as amended, 47 U.S.C. §§ 151, 152, 154(i), 201-206, </w:t>
      </w:r>
      <w:r>
        <w:rPr>
          <w:szCs w:val="22"/>
        </w:rPr>
        <w:t xml:space="preserve">214, </w:t>
      </w:r>
      <w:r w:rsidRPr="00765DA9">
        <w:rPr>
          <w:szCs w:val="22"/>
        </w:rPr>
        <w:t>218-220, 251, 252, 254, 256, 303(r), and 403.</w:t>
      </w:r>
    </w:p>
    <w:p w:rsidR="008C3223" w:rsidRPr="00765DA9" w:rsidP="008C3223">
      <w:pPr>
        <w:pStyle w:val="ParaNum"/>
        <w:numPr>
          <w:ilvl w:val="0"/>
          <w:numId w:val="0"/>
        </w:numPr>
        <w:ind w:left="1440" w:hanging="720"/>
        <w:rPr>
          <w:b/>
          <w:szCs w:val="22"/>
        </w:rPr>
      </w:pPr>
      <w:r w:rsidRPr="00765DA9">
        <w:rPr>
          <w:b/>
          <w:szCs w:val="22"/>
        </w:rPr>
        <w:t>C.</w:t>
      </w:r>
      <w:r w:rsidRPr="00765DA9">
        <w:rPr>
          <w:b/>
          <w:szCs w:val="22"/>
        </w:rPr>
        <w:tab/>
        <w:t>Description and Estimate of the Number of Small Entities to Which the Proposed Rules Will Apply</w:t>
      </w:r>
    </w:p>
    <w:p w:rsidR="008C3223" w:rsidRPr="00765DA9" w:rsidP="008C3223">
      <w:pPr>
        <w:pStyle w:val="ParaNum"/>
        <w:rPr>
          <w:szCs w:val="22"/>
        </w:rPr>
      </w:pPr>
      <w:bookmarkStart w:id="357" w:name="_Toc412097293"/>
      <w:bookmarkStart w:id="358" w:name="_Toc412382110"/>
      <w:bookmarkStart w:id="359" w:name="_Toc412409138"/>
      <w:bookmarkStart w:id="360" w:name="_Toc412409985"/>
      <w:bookmarkStart w:id="361" w:name="_Toc412410093"/>
      <w:bookmarkStart w:id="362" w:name="_Toc412410348"/>
      <w:bookmarkStart w:id="363" w:name="_Toc412557232"/>
      <w:bookmarkStart w:id="364" w:name="_Toc412557592"/>
      <w:bookmarkStart w:id="365" w:name="_Toc412574958"/>
      <w:bookmarkStart w:id="366" w:name="_Toc413425055"/>
      <w:bookmarkStart w:id="367" w:name="_Toc446424673"/>
      <w:bookmarkStart w:id="368" w:name="_Toc447036382"/>
      <w:bookmarkStart w:id="369" w:name="_Toc503186651"/>
      <w:bookmarkStart w:id="370" w:name="_Toc503346301"/>
      <w:bookmarkStart w:id="371" w:name="_Toc503392304"/>
      <w:bookmarkStart w:id="372" w:name="_Toc503868265"/>
      <w:r w:rsidRPr="00765DA9">
        <w:rPr>
          <w:szCs w:val="22"/>
        </w:rPr>
        <w:t>The RFA directs agencies to provide a description of, and where feasible, an estimate of the number of small entities that may be affected by the proposed rule revisions, if adopted.</w:t>
      </w:r>
      <w:r>
        <w:rPr>
          <w:rStyle w:val="FootnoteReference"/>
          <w:szCs w:val="22"/>
        </w:rPr>
        <w:footnoteReference w:id="81"/>
      </w:r>
      <w:r w:rsidRPr="00765DA9">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82"/>
      </w:r>
      <w:r w:rsidRPr="00765DA9">
        <w:rPr>
          <w:szCs w:val="22"/>
        </w:rPr>
        <w:t xml:space="preserve">  In addition, the term “small business” has the same meaning as the term “small-business concern” under the Small Business Act.</w:t>
      </w:r>
      <w:r>
        <w:rPr>
          <w:rStyle w:val="FootnoteReference"/>
          <w:kern w:val="0"/>
          <w:szCs w:val="22"/>
        </w:rPr>
        <w:footnoteReference w:id="83"/>
      </w:r>
      <w:r w:rsidRPr="00765DA9">
        <w:rPr>
          <w:szCs w:val="22"/>
        </w:rPr>
        <w:t xml:space="preserve">  A “small-business concern” is one which:  (1) is independently owned and operated; (2) is not dominant in its field of operation; and (3) satisfies any additional criteria established by the SBA.</w:t>
      </w:r>
      <w:r>
        <w:rPr>
          <w:rStyle w:val="FootnoteReference"/>
          <w:kern w:val="0"/>
          <w:szCs w:val="22"/>
        </w:rPr>
        <w:footnoteReference w:id="84"/>
      </w:r>
    </w:p>
    <w:p w:rsidR="008C3223" w:rsidRPr="00765DA9" w:rsidP="008C3223">
      <w:pPr>
        <w:pStyle w:val="ParaNum"/>
        <w:rPr>
          <w:szCs w:val="22"/>
        </w:rPr>
      </w:pPr>
      <w:r w:rsidRPr="00765DA9">
        <w:rPr>
          <w:i/>
          <w:szCs w:val="22"/>
        </w:rPr>
        <w:t>Small Businesses, Small Organizations, Small Governmental Jurisdictions</w:t>
      </w:r>
      <w:r w:rsidRPr="00765DA9">
        <w:rPr>
          <w:szCs w:val="22"/>
        </w:rPr>
        <w:t>.  Our actions, over time, may affect small entities that are not easily categorized at present.  We therefore describe here, at the outset, three comprehensive small entity size standards that could be directly affected herein.</w:t>
      </w:r>
      <w:r>
        <w:rPr>
          <w:rStyle w:val="FootnoteReference"/>
          <w:szCs w:val="22"/>
        </w:rPr>
        <w:footnoteReference w:id="85"/>
      </w:r>
      <w:r w:rsidRPr="00765DA9">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86"/>
      </w:r>
      <w:r w:rsidRPr="00765DA9">
        <w:rPr>
          <w:szCs w:val="22"/>
        </w:rPr>
        <w:t xml:space="preserve">  These types of small businesses represent 99.9% of all businesses in the United States which translates to 28.8 million businesses.</w:t>
      </w:r>
      <w:r>
        <w:rPr>
          <w:rStyle w:val="FootnoteReference"/>
          <w:szCs w:val="22"/>
        </w:rPr>
        <w:footnoteReference w:id="87"/>
      </w:r>
      <w:r w:rsidRPr="00765DA9">
        <w:rPr>
          <w:szCs w:val="22"/>
        </w:rPr>
        <w:t xml:space="preserve">  Next, the type of small entity described as a “small organization” is generally “any not-for-profit enterprise which is independently owned and operated and is not dominant in its field.”</w:t>
      </w:r>
      <w:r>
        <w:rPr>
          <w:rStyle w:val="FootnoteReference"/>
          <w:szCs w:val="22"/>
        </w:rPr>
        <w:footnoteReference w:id="88"/>
      </w:r>
      <w:r w:rsidRPr="00765DA9">
        <w:rPr>
          <w:szCs w:val="22"/>
        </w:rPr>
        <w:t xml:space="preserve">  </w:t>
      </w:r>
      <w:r w:rsidRPr="00F932C5">
        <w:rPr>
          <w:szCs w:val="22"/>
        </w:rPr>
        <w:t xml:space="preserve">Nationwide, as of </w:t>
      </w:r>
      <w:r w:rsidRPr="00F932C5">
        <w:t xml:space="preserve"> </w:t>
      </w:r>
      <w:r w:rsidRPr="00835723">
        <w:t>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89"/>
      </w:r>
      <w:r w:rsidRPr="00835723">
        <w:t xml:space="preserve"> </w:t>
      </w:r>
      <w:r w:rsidRPr="00F932C5">
        <w:rPr>
          <w:szCs w:val="22"/>
        </w:rPr>
        <w:t xml:space="preserve"> </w:t>
      </w:r>
      <w:r w:rsidRPr="00765DA9">
        <w:rPr>
          <w:szCs w:val="22"/>
        </w:rPr>
        <w:t>Finally, the small entity described as a “small governmental jurisdiction” is defined generally as “governments of cities, towns, townships, villages, school districts, or special districts, with a population of less than fifty thousand.”</w:t>
      </w:r>
      <w:r>
        <w:rPr>
          <w:rStyle w:val="FootnoteReference"/>
          <w:szCs w:val="22"/>
        </w:rPr>
        <w:footnoteReference w:id="90"/>
      </w:r>
      <w:r w:rsidRPr="00765DA9">
        <w:rPr>
          <w:szCs w:val="22"/>
        </w:rPr>
        <w:t xml:space="preserve">  </w:t>
      </w:r>
      <w:r w:rsidRPr="00835723">
        <w:t>U.S. Census Bureau data from the 2012 Census of Governments</w:t>
      </w:r>
      <w:r>
        <w:rPr>
          <w:rStyle w:val="FootnoteReference"/>
        </w:rPr>
        <w:footnoteReference w:id="91"/>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92"/>
      </w:r>
      <w:r w:rsidRPr="0066448F">
        <w:t xml:space="preserve">  </w:t>
      </w:r>
      <w:r>
        <w:t>Of this number there wer</w:t>
      </w:r>
      <w:r w:rsidRPr="00835723">
        <w:t>e 37, 132 General purpose governments (county</w:t>
      </w:r>
      <w:r>
        <w:rPr>
          <w:rStyle w:val="FootnoteReference"/>
        </w:rPr>
        <w:footnoteReference w:id="93"/>
      </w:r>
      <w:r w:rsidRPr="00835723">
        <w:t>, municipal and town or township</w:t>
      </w:r>
      <w:r>
        <w:rPr>
          <w:rStyle w:val="FootnoteReference"/>
        </w:rPr>
        <w:footnoteReference w:id="94"/>
      </w:r>
      <w:r w:rsidRPr="00835723">
        <w:t>) with populations of less than 50,000 and 12,184 Special purpose governments (independent school districts</w:t>
      </w:r>
      <w:r>
        <w:rPr>
          <w:rStyle w:val="FootnoteReference"/>
        </w:rPr>
        <w:footnoteReference w:id="95"/>
      </w:r>
      <w:r w:rsidRPr="00835723">
        <w:t xml:space="preserve"> and special districts</w:t>
      </w:r>
      <w:r>
        <w:rPr>
          <w:rStyle w:val="FootnoteReference"/>
        </w:rPr>
        <w:footnoteReference w:id="96"/>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97"/>
      </w:r>
      <w:r w:rsidRPr="00835723">
        <w:t xml:space="preserve"> Based on this data we estimate that at least 49,316 local government jurisdictions fall in the category of “small governmental jurisdictions.”</w:t>
      </w:r>
      <w:r>
        <w:rPr>
          <w:rStyle w:val="FootnoteReference"/>
        </w:rPr>
        <w:footnoteReference w:id="98"/>
      </w:r>
    </w:p>
    <w:p w:rsidR="008C3223" w:rsidRPr="00765DA9" w:rsidP="008C3223">
      <w:pPr>
        <w:pStyle w:val="ParaNum"/>
        <w:rPr>
          <w:szCs w:val="22"/>
        </w:rPr>
      </w:pPr>
      <w:r w:rsidRPr="00765DA9">
        <w:rPr>
          <w:i/>
          <w:szCs w:val="22"/>
        </w:rPr>
        <w:t>Wired Telecommunications Carriers</w:t>
      </w:r>
      <w:r w:rsidRPr="00765DA9">
        <w:rPr>
          <w:szCs w:val="22"/>
        </w:rP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Cs w:val="22"/>
        </w:rPr>
        <w:footnoteReference w:id="99"/>
      </w:r>
      <w:r w:rsidRPr="00765DA9">
        <w:rPr>
          <w:szCs w:val="22"/>
        </w:rPr>
        <w:t xml:space="preserve">  The SBA has developed a small business size standard for Wired Telecommunications Carriers, which consists of all such companies having 1,500 or fewer employees.</w:t>
      </w:r>
      <w:r>
        <w:rPr>
          <w:rStyle w:val="FootnoteReference"/>
          <w:szCs w:val="22"/>
        </w:rPr>
        <w:footnoteReference w:id="100"/>
      </w:r>
      <w:r w:rsidRPr="00765DA9">
        <w:rPr>
          <w:szCs w:val="22"/>
        </w:rPr>
        <w:t xml:space="preserve">  Census data for 2012 show that there were 3,117 firms that operated that year.  Of this total, 3,083 operated with fewer than 1,000 employees.  Thus, under this size standard, the majority of firms in this industry can be considered small.</w:t>
      </w:r>
    </w:p>
    <w:p w:rsidR="008C3223" w:rsidRPr="00765DA9" w:rsidP="008C3223">
      <w:pPr>
        <w:pStyle w:val="ParaNum"/>
        <w:rPr>
          <w:szCs w:val="22"/>
        </w:rPr>
      </w:pPr>
      <w:r w:rsidRPr="00765DA9">
        <w:rPr>
          <w:i/>
          <w:szCs w:val="22"/>
        </w:rPr>
        <w:t>Local Exchange Carriers (LECs)</w:t>
      </w:r>
      <w:r w:rsidRPr="00765DA9">
        <w:rPr>
          <w:szCs w:val="22"/>
        </w:rPr>
        <w:t xml:space="preserve">.  </w:t>
      </w:r>
      <w:r w:rsidRPr="009D3C44">
        <w:t>Neither the Commission nor the SBA has developed a size standard for small businesses specifically applicable to local exchange services.  The closest applicable NAICS Code category is Wired Telecommunications Carriers</w:t>
      </w:r>
      <w:r>
        <w:t xml:space="preserve"> and</w:t>
      </w:r>
      <w:r w:rsidRPr="009D3C44">
        <w:t xml:space="preserve"> </w:t>
      </w:r>
      <w:r>
        <w:t>u</w:t>
      </w:r>
      <w:r w:rsidRPr="009D3C44">
        <w:t>nder the applicable SBA size standard, such a business is small if it has 1,500 or fewer employees.</w:t>
      </w:r>
      <w:r>
        <w:rPr>
          <w:rStyle w:val="FootnoteReference"/>
        </w:rPr>
        <w:footnoteReference w:id="101"/>
      </w:r>
      <w:r w:rsidRPr="009D3C44">
        <w:t xml:space="preserve">  </w:t>
      </w:r>
      <w:r>
        <w:t>U.S. C</w:t>
      </w:r>
      <w:r w:rsidRPr="009D3C44">
        <w:t>ensus data for 2012 show that there were 3,117 firms t</w:t>
      </w:r>
      <w:r>
        <w:t>hat operated that year.  Of that</w:t>
      </w:r>
      <w:r w:rsidRPr="009D3C44">
        <w:t xml:space="preserve"> total, 3,083 operated with fewer than 1,000 employees.</w:t>
      </w:r>
      <w:r>
        <w:rPr>
          <w:sz w:val="20"/>
          <w:vertAlign w:val="superscript"/>
        </w:rPr>
        <w:footnoteReference w:id="102"/>
      </w:r>
      <w:r w:rsidRPr="009D3C44">
        <w:t xml:space="preserve">  </w:t>
      </w:r>
      <w:r w:rsidRPr="00765DA9">
        <w:rPr>
          <w:szCs w:val="22"/>
        </w:rPr>
        <w:t xml:space="preserve">Thus under this category and the associated size standard, the Commission estimates that the majority of </w:t>
      </w:r>
      <w:r>
        <w:rPr>
          <w:szCs w:val="22"/>
        </w:rPr>
        <w:t xml:space="preserve">local exchange carriers </w:t>
      </w:r>
      <w:r w:rsidRPr="00765DA9">
        <w:rPr>
          <w:szCs w:val="22"/>
        </w:rPr>
        <w:t>are small entities.</w:t>
      </w:r>
    </w:p>
    <w:p w:rsidR="008C3223" w:rsidRPr="00765DA9" w:rsidP="008C3223">
      <w:pPr>
        <w:pStyle w:val="ParaNum"/>
        <w:rPr>
          <w:szCs w:val="22"/>
        </w:rPr>
      </w:pPr>
      <w:r w:rsidRPr="00765DA9">
        <w:rPr>
          <w:i/>
          <w:szCs w:val="22"/>
        </w:rPr>
        <w:t>Incumbent LECs</w:t>
      </w:r>
      <w:r w:rsidRPr="00765DA9">
        <w:rPr>
          <w:szCs w:val="22"/>
        </w:rPr>
        <w:t>.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Pr>
          <w:rStyle w:val="FootnoteReference"/>
          <w:szCs w:val="22"/>
        </w:rPr>
        <w:footnoteReference w:id="103"/>
      </w:r>
      <w:r w:rsidRPr="00765DA9">
        <w:rPr>
          <w:szCs w:val="22"/>
        </w:rPr>
        <w:t xml:space="preserve">  According to Commission data, 3,117 firms operated in that year.  Of this total, 3,083 operated with fewer than 1,000 employees.</w:t>
      </w:r>
      <w:r>
        <w:rPr>
          <w:rStyle w:val="FootnoteReference"/>
          <w:szCs w:val="22"/>
        </w:rPr>
        <w:footnoteReference w:id="104"/>
      </w:r>
      <w:r w:rsidRPr="00765DA9">
        <w:rPr>
          <w:szCs w:val="22"/>
        </w:rPr>
        <w:t xml:space="preserve">  Consequently, the Commission estimates that most providers of incumbent local exchange service are small businesses that may be affected by the rules and policies adopted.  Three hundred and seven (307) Incumbent Local Exchange Carriers reported that they were incumbent local exchange service providers.</w:t>
      </w:r>
      <w:r>
        <w:rPr>
          <w:rStyle w:val="FootnoteReference"/>
          <w:kern w:val="0"/>
          <w:szCs w:val="22"/>
        </w:rPr>
        <w:footnoteReference w:id="105"/>
      </w:r>
      <w:r w:rsidRPr="00765DA9">
        <w:rPr>
          <w:szCs w:val="22"/>
        </w:rPr>
        <w:t xml:space="preserve">  Of this total, an estimated 1,006 have 1,500 or fewer employees.</w:t>
      </w:r>
      <w:r>
        <w:rPr>
          <w:rStyle w:val="FootnoteReference"/>
          <w:szCs w:val="22"/>
        </w:rPr>
        <w:footnoteReference w:id="106"/>
      </w:r>
    </w:p>
    <w:p w:rsidR="008C3223" w:rsidRPr="00765DA9" w:rsidP="008C3223">
      <w:pPr>
        <w:pStyle w:val="ParaNum"/>
        <w:rPr>
          <w:szCs w:val="22"/>
        </w:rPr>
      </w:pPr>
      <w:r w:rsidRPr="00765DA9">
        <w:rPr>
          <w:i/>
          <w:szCs w:val="22"/>
        </w:rPr>
        <w:t>Competitive Local Exchange Carriers (Competitive LECs), Competitive Access Providers (CAPs), Shared-Tenant Service Providers, and Other Local Service Providers</w:t>
      </w:r>
      <w:r w:rsidRPr="00765DA9">
        <w:rPr>
          <w:szCs w:val="22"/>
        </w:rPr>
        <w:t>.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rStyle w:val="FootnoteReference"/>
          <w:szCs w:val="22"/>
        </w:rPr>
        <w:footnoteReference w:id="107"/>
      </w:r>
      <w:r w:rsidRPr="00765DA9">
        <w:rPr>
          <w:szCs w:val="22"/>
        </w:rPr>
        <w:t xml:space="preserve">  U.S. Census data for 2012 indicate that 3,117 firms operated during that year.  Of that number, 3,083 operated with fewer than 1,000 employees.</w:t>
      </w:r>
      <w:r>
        <w:rPr>
          <w:rStyle w:val="FootnoteReference"/>
          <w:szCs w:val="22"/>
        </w:rPr>
        <w:footnoteReference w:id="108"/>
      </w:r>
      <w:r w:rsidRPr="00765DA9">
        <w:rPr>
          <w:szCs w:val="22"/>
        </w:rP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  Of these 1,442 carriers, an estimated 1,256 have 1,500 or fewer employees.  In addition, 17 carriers have reported that they are Shared-Tenant Service Providers, and all 17 are estimated to have 1,500 or fewer employees.  Also, 72 carriers have reported that they are Other Local Service Providers.  Of this total, 70 have 1,500 or fewer employees.  Consequently, based on internally researched FCC data, the Commission estimates that most providers of competitive local exchange service, competitive access providers, Shared-Tenant Service Providers, and Other Local Service Providers are small entities.</w:t>
      </w:r>
    </w:p>
    <w:p w:rsidR="008C3223" w:rsidRPr="00765DA9" w:rsidP="008C3223">
      <w:pPr>
        <w:pStyle w:val="ParaNum"/>
        <w:rPr>
          <w:szCs w:val="22"/>
        </w:rPr>
      </w:pPr>
      <w:r w:rsidRPr="00765DA9">
        <w:rPr>
          <w:szCs w:val="22"/>
        </w:rPr>
        <w:t>We have included small incumbent LECs in this present RFA analysis.  As noted above, a “small business” under the RFA is one that, inter alia, meets the pertinent small business size standard (e.g., a telephone communications business having 1,500 or fewer employees), and “is not dominant in its field of operation.”</w:t>
      </w:r>
      <w:r>
        <w:rPr>
          <w:rStyle w:val="FootnoteReference"/>
          <w:szCs w:val="22"/>
        </w:rPr>
        <w:footnoteReference w:id="109"/>
      </w:r>
      <w:r w:rsidRPr="00765DA9">
        <w:rPr>
          <w:szCs w:val="22"/>
        </w:rPr>
        <w:t xml:space="preserve">  The SBA’s Office of Advocacy contends that, for RFA purposes, small incumbent LECs are not dominant in their field of operation because any such dominance is not “national” in scope.</w:t>
      </w:r>
      <w:r>
        <w:rPr>
          <w:rStyle w:val="FootnoteReference"/>
          <w:szCs w:val="22"/>
        </w:rPr>
        <w:footnoteReference w:id="110"/>
      </w:r>
      <w:r w:rsidRPr="00765DA9">
        <w:rPr>
          <w:szCs w:val="22"/>
        </w:rPr>
        <w:t xml:space="preserve">  We have therefore included small incumbent LECs in this RFA analysis, although we emphasize that this RFA action has no effect on Commission analyses and determinations in other, non-RFA contexts.</w:t>
      </w:r>
    </w:p>
    <w:p w:rsidR="008C3223" w:rsidRPr="00765DA9" w:rsidP="008C3223">
      <w:pPr>
        <w:pStyle w:val="ParaNum"/>
        <w:rPr>
          <w:szCs w:val="22"/>
        </w:rPr>
      </w:pPr>
      <w:r w:rsidRPr="00765DA9">
        <w:rPr>
          <w:i/>
          <w:szCs w:val="22"/>
        </w:rPr>
        <w:t>Interexchange Carriers (IXCs)</w:t>
      </w:r>
      <w:r w:rsidRPr="00765DA9">
        <w:rPr>
          <w:szCs w:val="22"/>
        </w:rPr>
        <w:t>.  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Pr>
          <w:rStyle w:val="FootnoteReference"/>
          <w:szCs w:val="22"/>
        </w:rPr>
        <w:footnoteReference w:id="111"/>
      </w:r>
      <w:r w:rsidRPr="00765DA9">
        <w:rPr>
          <w:szCs w:val="22"/>
        </w:rPr>
        <w:t xml:space="preserve">  U.S. Census data for 2012 indicates that 3,117 firms operated during that year.  Of that number, 3,083 operated with fewer than 1,000 employees.</w:t>
      </w:r>
      <w:r>
        <w:rPr>
          <w:rStyle w:val="FootnoteReference"/>
          <w:szCs w:val="22"/>
        </w:rPr>
        <w:footnoteReference w:id="112"/>
      </w:r>
      <w:r w:rsidRPr="00765DA9">
        <w:rPr>
          <w:szCs w:val="22"/>
        </w:rPr>
        <w:t xml:space="preserve">  According to internally developed Commission data, 359 companies reported that their primary telecommunications service activity was the provision of interexchange services.</w:t>
      </w:r>
      <w:r>
        <w:rPr>
          <w:rStyle w:val="FootnoteReference"/>
          <w:szCs w:val="22"/>
        </w:rPr>
        <w:footnoteReference w:id="113"/>
      </w:r>
      <w:r w:rsidRPr="00765DA9">
        <w:rPr>
          <w:szCs w:val="22"/>
        </w:rPr>
        <w:t xml:space="preserve">  Of this total, an estimated 317 have 1,500 or fewer employees.  Consequently, the Commission estimates that the majority of IXCs are small entities.</w:t>
      </w:r>
    </w:p>
    <w:p w:rsidR="008C3223" w:rsidRPr="00765DA9" w:rsidP="008C3223">
      <w:pPr>
        <w:pStyle w:val="ParaNum"/>
        <w:rPr>
          <w:szCs w:val="22"/>
        </w:rPr>
      </w:pPr>
      <w:r w:rsidRPr="00765DA9">
        <w:rPr>
          <w:i/>
          <w:szCs w:val="22"/>
        </w:rPr>
        <w:t>Local Resellers</w:t>
      </w:r>
      <w:r w:rsidRPr="00765DA9">
        <w:rPr>
          <w:szCs w:val="22"/>
        </w:rPr>
        <w:t>.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Style w:val="FootnoteReference"/>
          <w:szCs w:val="22"/>
        </w:rPr>
        <w:footnoteReference w:id="114"/>
      </w:r>
      <w:r w:rsidRPr="00765DA9">
        <w:rPr>
          <w:szCs w:val="22"/>
        </w:rPr>
        <w:t xml:space="preserve">  Under that size standard, such a business is small if it has 1,500 or fewer employees.</w:t>
      </w:r>
      <w:r>
        <w:rPr>
          <w:rStyle w:val="FootnoteReference"/>
          <w:szCs w:val="22"/>
        </w:rPr>
        <w:footnoteReference w:id="115"/>
      </w:r>
      <w:r w:rsidRPr="00765DA9">
        <w:rPr>
          <w:szCs w:val="22"/>
        </w:rPr>
        <w:t xml:space="preserve">  Census data for 2012 show that 1,341 firms provided resale services during that year.  Of that number, all operated with fewer than 1,000 employees.  Thus, under this category and the associated small business size standard, the majority of these resellers can be considered small entities.</w:t>
      </w:r>
    </w:p>
    <w:p w:rsidR="008C3223" w:rsidRPr="00765DA9" w:rsidP="008C3223">
      <w:pPr>
        <w:pStyle w:val="ParaNum"/>
        <w:rPr>
          <w:szCs w:val="22"/>
        </w:rPr>
      </w:pPr>
      <w:r w:rsidRPr="00765DA9">
        <w:rPr>
          <w:i/>
          <w:szCs w:val="22"/>
        </w:rPr>
        <w:t>Toll Resellers</w:t>
      </w:r>
      <w:r w:rsidRPr="00765DA9">
        <w:rPr>
          <w:szCs w:val="22"/>
        </w:rPr>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Style w:val="FootnoteReference"/>
          <w:szCs w:val="22"/>
        </w:rPr>
        <w:footnoteReference w:id="116"/>
      </w:r>
      <w:r w:rsidRPr="00765DA9">
        <w:rPr>
          <w:szCs w:val="22"/>
        </w:rPr>
        <w:t xml:space="preserve">  The SBA has developed a small business size standard for the category of Telecommunications Resellers.</w:t>
      </w:r>
      <w:r>
        <w:rPr>
          <w:rStyle w:val="FootnoteReference"/>
          <w:szCs w:val="22"/>
        </w:rPr>
        <w:footnoteReference w:id="117"/>
      </w:r>
      <w:r w:rsidRPr="00765DA9">
        <w:rPr>
          <w:szCs w:val="22"/>
        </w:rPr>
        <w:t xml:space="preserve">  Under that size standard, such a business is small if it has 1,500 or fewer employees.</w:t>
      </w:r>
      <w:r>
        <w:rPr>
          <w:rStyle w:val="FootnoteReference"/>
          <w:szCs w:val="22"/>
        </w:rPr>
        <w:footnoteReference w:id="118"/>
      </w:r>
      <w:r w:rsidRPr="00765DA9">
        <w:rPr>
          <w:szCs w:val="22"/>
        </w:rPr>
        <w:t xml:space="preserve">  Census data for 2012 show that 1,341 firms provided resale services during that year.  Of that number, 1,341 operated with fewer than 1,000 employees.  Thus, under this category and the associated small business size standard, the majority of these resellers can be considered small entities.  According to Commission data, 881 carriers have reported that they are engaged in the provision of toll resale services.  Of this total, an estimated 857 have 1,500 or fewer employees.  Consequently, the Commission estimates that the majority of toll resellers are small entities.</w:t>
      </w:r>
    </w:p>
    <w:p w:rsidR="008C3223" w:rsidRPr="00765DA9" w:rsidP="008C3223">
      <w:pPr>
        <w:pStyle w:val="ParaNum"/>
        <w:rPr>
          <w:szCs w:val="22"/>
        </w:rPr>
      </w:pPr>
      <w:r w:rsidRPr="00765DA9">
        <w:rPr>
          <w:i/>
          <w:szCs w:val="22"/>
        </w:rPr>
        <w:t>Other Toll Carriers</w:t>
      </w:r>
      <w:r w:rsidRPr="00765DA9">
        <w:rPr>
          <w:szCs w:val="22"/>
        </w:rP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rStyle w:val="FootnoteReference"/>
          <w:szCs w:val="22"/>
        </w:rPr>
        <w:footnoteReference w:id="119"/>
      </w:r>
      <w:r w:rsidRPr="00765DA9">
        <w:rPr>
          <w:szCs w:val="22"/>
        </w:rPr>
        <w:t xml:space="preserve">  Census data for 2012 shows that there were 3,117 firms that operated that year.  Of this total, 3,083 operated with fewer than 1,000 employees.</w:t>
      </w:r>
      <w:r>
        <w:rPr>
          <w:rStyle w:val="FootnoteReference"/>
          <w:szCs w:val="22"/>
        </w:rPr>
        <w:footnoteReference w:id="120"/>
      </w:r>
      <w:r w:rsidRPr="00765DA9">
        <w:rPr>
          <w:szCs w:val="22"/>
        </w:rPr>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rStyle w:val="FootnoteReference"/>
          <w:szCs w:val="22"/>
        </w:rPr>
        <w:footnoteReference w:id="121"/>
      </w:r>
      <w:r w:rsidRPr="00765DA9">
        <w:rPr>
          <w:szCs w:val="22"/>
        </w:rPr>
        <w:t xml:space="preserve">  Of these, an estimated 279 have 1,500 or fewer employees.  Consequently, the Commission estimates that most Other Toll Carriers are small entities.</w:t>
      </w:r>
    </w:p>
    <w:p w:rsidR="008C3223" w:rsidRPr="00765DA9" w:rsidP="008C3223">
      <w:pPr>
        <w:pStyle w:val="ParaNum"/>
        <w:rPr>
          <w:szCs w:val="22"/>
        </w:rPr>
      </w:pPr>
      <w:r w:rsidRPr="00765DA9">
        <w:rPr>
          <w:i/>
          <w:szCs w:val="22"/>
        </w:rPr>
        <w:t>Prepaid Calling Card Providers</w:t>
      </w:r>
      <w:r w:rsidRPr="00765DA9">
        <w:rPr>
          <w:szCs w:val="22"/>
        </w:rPr>
        <w:t>.  The SBA has developed a definition for small businesses within the category of Telecommunications Resellers.  Under that SBA definition, such a business is small if it has 1,500 or fewer employees.</w:t>
      </w:r>
      <w:r>
        <w:rPr>
          <w:rStyle w:val="FootnoteReference"/>
          <w:szCs w:val="22"/>
        </w:rPr>
        <w:footnoteReference w:id="122"/>
      </w:r>
      <w:r w:rsidRPr="00765DA9">
        <w:rPr>
          <w:szCs w:val="22"/>
        </w:rPr>
        <w:t xml:space="preserve">  According to the Commission's Form 499 Filer Database, 500 companies reported that they were engaged in the provision of prepaid calling cards.</w:t>
      </w:r>
      <w:r>
        <w:rPr>
          <w:rStyle w:val="FootnoteReference"/>
          <w:szCs w:val="22"/>
        </w:rPr>
        <w:footnoteReference w:id="123"/>
      </w:r>
      <w:r w:rsidRPr="00765DA9">
        <w:rPr>
          <w:szCs w:val="22"/>
        </w:rPr>
        <w:t xml:space="preserve">  The Commission does not have data regarding how many of these 500 companies have 1,500 or fewer employees.  Consequently, the Commission estimates that there are 500 or fewer prepaid calling card providers that may be affected by the rules.</w:t>
      </w:r>
    </w:p>
    <w:p w:rsidR="008C3223" w:rsidRPr="00765DA9" w:rsidP="008C3223">
      <w:pPr>
        <w:pStyle w:val="ParaNum"/>
        <w:rPr>
          <w:szCs w:val="22"/>
        </w:rPr>
      </w:pPr>
      <w:r w:rsidRPr="00765DA9">
        <w:rPr>
          <w:i/>
          <w:szCs w:val="22"/>
        </w:rPr>
        <w:t>Wireless Telecommunications Carriers (except Satellite)</w:t>
      </w:r>
      <w:r w:rsidRPr="00765DA9">
        <w:rPr>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Cs w:val="22"/>
        </w:rPr>
        <w:footnoteReference w:id="124"/>
      </w:r>
      <w:r w:rsidRPr="00765DA9">
        <w:rPr>
          <w:szCs w:val="22"/>
        </w:rPr>
        <w:t xml:space="preserve">  The appropriate size standard under SBA rules is that such a business is small if it has 1,500 or fewer employees.</w:t>
      </w:r>
      <w:r>
        <w:rPr>
          <w:rStyle w:val="FootnoteReference"/>
          <w:szCs w:val="22"/>
        </w:rPr>
        <w:footnoteReference w:id="125"/>
      </w:r>
      <w:r w:rsidRPr="00765DA9">
        <w:rPr>
          <w:szCs w:val="22"/>
        </w:rPr>
        <w:t xml:space="preserve">  For this industry, U.S. Census data for 2012 show that there were 967 firms that operated for the entire year.</w:t>
      </w:r>
      <w:r>
        <w:rPr>
          <w:rStyle w:val="FootnoteReference"/>
          <w:szCs w:val="22"/>
        </w:rPr>
        <w:footnoteReference w:id="126"/>
      </w:r>
      <w:r w:rsidRPr="00765DA9">
        <w:rPr>
          <w:szCs w:val="22"/>
        </w:rPr>
        <w:t xml:space="preserve">  Of this total, 955 firms had employment of 999 or fewer employees and 12 had employment of 1000 employees or more.</w:t>
      </w:r>
      <w:r>
        <w:rPr>
          <w:rStyle w:val="FootnoteReference"/>
          <w:szCs w:val="22"/>
        </w:rPr>
        <w:footnoteReference w:id="127"/>
      </w:r>
      <w:r w:rsidRPr="00765DA9">
        <w:rPr>
          <w:szCs w:val="22"/>
        </w:rPr>
        <w:t xml:space="preserve">  Thus under this category and the associated size standard, the Commission estimates that the majority of wireless telecommunications carriers (except satellite) are small entities.</w:t>
      </w:r>
    </w:p>
    <w:p w:rsidR="008C3223" w:rsidRPr="00765DA9" w:rsidP="008C3223">
      <w:pPr>
        <w:pStyle w:val="ParaNum"/>
        <w:rPr>
          <w:szCs w:val="22"/>
        </w:rPr>
      </w:pPr>
      <w:r w:rsidRPr="00765DA9">
        <w:rPr>
          <w:szCs w:val="22"/>
        </w:rPr>
        <w:t>The Commission’s own data—available in its Universal Licensing System—indicate that, as of October 25, 2016, there are 280 Cellular licensees that may be affected by our actions today.</w:t>
      </w:r>
      <w:r>
        <w:rPr>
          <w:rStyle w:val="FootnoteReference"/>
          <w:szCs w:val="22"/>
        </w:rPr>
        <w:footnoteReference w:id="128"/>
      </w:r>
      <w:r w:rsidRPr="00765DA9">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rStyle w:val="FootnoteReference"/>
          <w:szCs w:val="22"/>
        </w:rPr>
        <w:footnoteReference w:id="129"/>
      </w:r>
      <w:r w:rsidRPr="00765DA9">
        <w:rPr>
          <w:szCs w:val="22"/>
        </w:rPr>
        <w:t xml:space="preserve">  Of this total, an estimated 261 have 1,500 or fewer employees, and 152 have more than 1,500 employees.  Thus, using available data, we estimate that the majority of wireless firms can be considered small.</w:t>
      </w:r>
    </w:p>
    <w:p w:rsidR="008C3223" w:rsidRPr="00765DA9" w:rsidP="008C3223">
      <w:pPr>
        <w:pStyle w:val="ParaNum"/>
        <w:rPr>
          <w:szCs w:val="22"/>
        </w:rPr>
      </w:pPr>
      <w:r w:rsidRPr="00765DA9">
        <w:rPr>
          <w:i/>
          <w:szCs w:val="22"/>
        </w:rPr>
        <w:t>Wireless Communications Services</w:t>
      </w:r>
      <w:r w:rsidRPr="00765DA9">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130"/>
      </w:r>
      <w:r w:rsidRPr="00765DA9">
        <w:rPr>
          <w:szCs w:val="22"/>
        </w:rPr>
        <w:t xml:space="preserve">  The SBA has approved these definitions.</w:t>
      </w:r>
      <w:r>
        <w:rPr>
          <w:rStyle w:val="FootnoteReference"/>
          <w:szCs w:val="22"/>
        </w:rPr>
        <w:footnoteReference w:id="131"/>
      </w:r>
    </w:p>
    <w:p w:rsidR="008C3223" w:rsidRPr="00765DA9" w:rsidP="008C3223">
      <w:pPr>
        <w:pStyle w:val="ParaNum"/>
        <w:rPr>
          <w:szCs w:val="22"/>
        </w:rPr>
      </w:pPr>
      <w:r w:rsidRPr="00765DA9">
        <w:rPr>
          <w:i/>
          <w:szCs w:val="22"/>
        </w:rPr>
        <w:t>Wireless Telephony</w:t>
      </w:r>
      <w:r w:rsidRPr="00765DA9">
        <w:rPr>
          <w:szCs w:val="22"/>
        </w:rPr>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szCs w:val="22"/>
        </w:rPr>
        <w:footnoteReference w:id="132"/>
      </w:r>
      <w:r w:rsidRPr="00765DA9">
        <w:rPr>
          <w:szCs w:val="22"/>
        </w:rPr>
        <w:t xml:space="preserve">  Under the SBA small business size standard, a business is small if it has 1,500 or fewer employees.</w:t>
      </w:r>
      <w:r>
        <w:rPr>
          <w:rStyle w:val="FootnoteReference"/>
          <w:szCs w:val="22"/>
        </w:rPr>
        <w:footnoteReference w:id="133"/>
      </w:r>
      <w:r w:rsidRPr="00765DA9">
        <w:rPr>
          <w:szCs w:val="22"/>
        </w:rPr>
        <w:t xml:space="preserve">  According to Commission data, 413 carriers reported that they were engaged in wireless telephony.</w:t>
      </w:r>
      <w:r>
        <w:rPr>
          <w:rStyle w:val="FootnoteReference"/>
          <w:szCs w:val="22"/>
        </w:rPr>
        <w:footnoteReference w:id="134"/>
      </w:r>
      <w:r w:rsidRPr="00765DA9">
        <w:rPr>
          <w:szCs w:val="22"/>
        </w:rPr>
        <w:t xml:space="preserve">  Of these, an estimated 261 have 1,500 or fewer employees and 152 have more than 1,500 employees.  Therefore, a little less than one third of these entities can be considered small.</w:t>
      </w:r>
    </w:p>
    <w:p w:rsidR="008C3223" w:rsidRPr="00765DA9" w:rsidP="008C3223">
      <w:pPr>
        <w:pStyle w:val="ParaNum"/>
        <w:rPr>
          <w:szCs w:val="22"/>
        </w:rPr>
      </w:pPr>
      <w:r w:rsidRPr="00765DA9">
        <w:rPr>
          <w:i/>
          <w:szCs w:val="22"/>
        </w:rPr>
        <w:t>Cable and Other Subscription Programming</w:t>
      </w:r>
      <w:r w:rsidRPr="00765DA9">
        <w:rPr>
          <w:szCs w:val="22"/>
        </w:rPr>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szCs w:val="22"/>
        </w:rPr>
        <w:footnoteReference w:id="135"/>
      </w:r>
      <w:r w:rsidRPr="00765DA9">
        <w:rPr>
          <w:szCs w:val="22"/>
        </w:rPr>
        <w:t xml:space="preserve"> The SBA has established a size standard for this industry stating that a business in this industry is small if it has 1,500 or fewer employees.</w:t>
      </w:r>
      <w:r>
        <w:rPr>
          <w:rStyle w:val="FootnoteReference"/>
          <w:szCs w:val="22"/>
        </w:rPr>
        <w:footnoteReference w:id="136"/>
      </w:r>
      <w:r w:rsidRPr="00765DA9">
        <w:rPr>
          <w:szCs w:val="22"/>
        </w:rPr>
        <w:t xml:space="preserve">  The 2012 Economic Census indicates that 367 firms were operational for that entire year.  Of this total, 357 operated with less than 1,000 employees.</w:t>
      </w:r>
      <w:r>
        <w:rPr>
          <w:rStyle w:val="FootnoteReference"/>
          <w:szCs w:val="22"/>
        </w:rPr>
        <w:footnoteReference w:id="137"/>
      </w:r>
      <w:r w:rsidRPr="00765DA9">
        <w:rPr>
          <w:szCs w:val="22"/>
        </w:rPr>
        <w:t xml:space="preserve">  Accordingly we conclude that a substantial majority of firms in this industry are small under the applicable SBA size standard.</w:t>
      </w:r>
    </w:p>
    <w:p w:rsidR="008C3223" w:rsidRPr="00765DA9" w:rsidP="008C3223">
      <w:pPr>
        <w:pStyle w:val="ParaNum"/>
        <w:rPr>
          <w:szCs w:val="22"/>
        </w:rPr>
      </w:pPr>
      <w:r w:rsidRPr="00765DA9">
        <w:rPr>
          <w:i/>
          <w:szCs w:val="22"/>
        </w:rPr>
        <w:t>Cable Companies and Systems (Rate Regulation)</w:t>
      </w:r>
      <w:r w:rsidRPr="00765DA9">
        <w:rPr>
          <w:szCs w:val="22"/>
        </w:rPr>
        <w:t>.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138"/>
      </w:r>
      <w:r w:rsidRPr="00765DA9">
        <w:rPr>
          <w:szCs w:val="22"/>
        </w:rPr>
        <w:t xml:space="preserve">  Industry data indicate that there are currently 4,600 active cable systems in the United States.</w:t>
      </w:r>
      <w:r>
        <w:rPr>
          <w:rStyle w:val="FootnoteReference"/>
          <w:szCs w:val="22"/>
        </w:rPr>
        <w:footnoteReference w:id="139"/>
      </w:r>
      <w:r w:rsidRPr="00765DA9">
        <w:rPr>
          <w:szCs w:val="22"/>
        </w:rPr>
        <w:t xml:space="preserve">  Of this total, all but eleven cable operators nationwide are small under the 400,000-subscriber size standard.</w:t>
      </w:r>
      <w:r>
        <w:rPr>
          <w:rStyle w:val="FootnoteReference"/>
          <w:szCs w:val="22"/>
        </w:rPr>
        <w:footnoteReference w:id="140"/>
      </w:r>
      <w:r w:rsidRPr="00765DA9">
        <w:rPr>
          <w:szCs w:val="22"/>
        </w:rPr>
        <w:t xml:space="preserve">  In addition, under the Commission’s rate regulation rules, a “small system” is a cable system serving 15,000 or fewer subscribers.</w:t>
      </w:r>
      <w:r>
        <w:rPr>
          <w:rStyle w:val="FootnoteReference"/>
          <w:szCs w:val="22"/>
        </w:rPr>
        <w:footnoteReference w:id="141"/>
      </w:r>
      <w:r w:rsidRPr="00765DA9">
        <w:rPr>
          <w:szCs w:val="22"/>
        </w:rPr>
        <w:t xml:space="preserve">  Current Commission records show 4,600 cable systems nationwide.  Of this total, 3,900 cable systems have fewer than 15,000 subscribers, and 700 systems have 15,000 or more subscribers, based on the same records.</w:t>
      </w:r>
      <w:r>
        <w:rPr>
          <w:rStyle w:val="FootnoteReference"/>
          <w:szCs w:val="22"/>
        </w:rPr>
        <w:footnoteReference w:id="142"/>
      </w:r>
      <w:r w:rsidRPr="00765DA9">
        <w:rPr>
          <w:szCs w:val="22"/>
        </w:rPr>
        <w:t xml:space="preserve">  Thus, under this standard as well, we estimate that most cable systems are small entities.</w:t>
      </w:r>
    </w:p>
    <w:p w:rsidR="008C3223" w:rsidRPr="00765DA9" w:rsidP="008C3223">
      <w:pPr>
        <w:pStyle w:val="ParaNum"/>
        <w:rPr>
          <w:szCs w:val="22"/>
        </w:rPr>
      </w:pPr>
      <w:r w:rsidRPr="00765DA9">
        <w:rPr>
          <w:i/>
          <w:szCs w:val="22"/>
        </w:rPr>
        <w:t>Cable System Operators (Telecom Act Standard)</w:t>
      </w:r>
      <w:r w:rsidRPr="00765DA9">
        <w:rPr>
          <w:szCs w:val="22"/>
        </w:rPr>
        <w:t>.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143"/>
      </w:r>
      <w:r w:rsidRPr="00765DA9">
        <w:rPr>
          <w:szCs w:val="22"/>
        </w:rPr>
        <w:t xml:space="preserve">  There are approximately 52,403,705 cable video subscribers in the United States today.</w:t>
      </w:r>
      <w:r>
        <w:rPr>
          <w:rStyle w:val="FootnoteReference"/>
          <w:szCs w:val="22"/>
        </w:rPr>
        <w:footnoteReference w:id="144"/>
      </w:r>
      <w:r w:rsidRPr="00765DA9">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Cs w:val="22"/>
        </w:rPr>
        <w:footnoteReference w:id="145"/>
      </w:r>
      <w:r w:rsidRPr="00765DA9">
        <w:rPr>
          <w:szCs w:val="22"/>
        </w:rPr>
        <w:t xml:space="preserve">  Based on available data, we find that all but nine incumbent cable operators are small entities under this size standard.</w:t>
      </w:r>
      <w:r>
        <w:rPr>
          <w:rStyle w:val="FootnoteReference"/>
          <w:szCs w:val="22"/>
        </w:rPr>
        <w:footnoteReference w:id="146"/>
      </w:r>
      <w:r w:rsidRPr="00765DA9">
        <w:rPr>
          <w:szCs w:val="22"/>
        </w:rP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147"/>
      </w:r>
      <w:r w:rsidRPr="00765DA9">
        <w:rPr>
          <w:szCs w:val="22"/>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8C3223" w:rsidRPr="00765DA9" w:rsidP="008C3223">
      <w:pPr>
        <w:pStyle w:val="ParaNum"/>
        <w:rPr>
          <w:szCs w:val="22"/>
        </w:rPr>
      </w:pPr>
      <w:r w:rsidRPr="00765DA9">
        <w:rPr>
          <w:i/>
          <w:szCs w:val="22"/>
        </w:rPr>
        <w:t>All Other Telecommunications</w:t>
      </w:r>
      <w:r w:rsidRPr="00765DA9">
        <w:rPr>
          <w:szCs w:val="22"/>
        </w:rPr>
        <w:t>.  The “All Other Telecommunications”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Cs w:val="22"/>
        </w:rPr>
        <w:footnoteReference w:id="148"/>
      </w:r>
      <w:r w:rsidRPr="00765DA9">
        <w:rPr>
          <w:szCs w:val="22"/>
        </w:rPr>
        <w:t xml:space="preserve">  The SBA has developed a small business size standard for “All Other Telecommunications,” which consists of all such firms with gross annual receipts of $32.5 million or less.</w:t>
      </w:r>
      <w:r>
        <w:rPr>
          <w:rStyle w:val="FootnoteReference"/>
          <w:szCs w:val="22"/>
        </w:rPr>
        <w:footnoteReference w:id="149"/>
      </w:r>
      <w:r w:rsidRPr="00765DA9">
        <w:rPr>
          <w:szCs w:val="22"/>
        </w:rPr>
        <w:t xml:space="preserve">  For this category, U.S. Census data for 2012 show that there were 1,442 firms that operated for the entire year.  Of these firms, a total of 1,400 had gross annual receipts of less than $25 million.</w:t>
      </w:r>
      <w:r>
        <w:rPr>
          <w:rStyle w:val="FootnoteReference"/>
          <w:szCs w:val="22"/>
        </w:rPr>
        <w:footnoteReference w:id="150"/>
      </w:r>
      <w:r w:rsidRPr="00765DA9">
        <w:rPr>
          <w:szCs w:val="22"/>
        </w:rPr>
        <w:t xml:space="preserve">  Thus a majority of “All Other Telecommunications” firms potentially may be affected by our action can be considered small.</w:t>
      </w:r>
    </w:p>
    <w:p w:rsidR="008C3223" w:rsidRPr="00765DA9" w:rsidP="008C3223">
      <w:pPr>
        <w:pStyle w:val="ParaNum"/>
        <w:numPr>
          <w:ilvl w:val="0"/>
          <w:numId w:val="0"/>
        </w:numPr>
        <w:ind w:left="1440" w:hanging="720"/>
        <w:rPr>
          <w:b/>
          <w:szCs w:val="22"/>
        </w:rPr>
      </w:pPr>
      <w:r w:rsidRPr="00765DA9">
        <w:rPr>
          <w:b/>
          <w:szCs w:val="22"/>
        </w:rPr>
        <w:t>D.</w:t>
      </w:r>
      <w:r w:rsidRPr="00765DA9">
        <w:rPr>
          <w:b/>
          <w:szCs w:val="22"/>
        </w:rPr>
        <w:tab/>
        <w:t>Description of Projected Reporting, Recordkeeping, and Other Compliance Requirements for Small Entities</w:t>
      </w:r>
    </w:p>
    <w:p w:rsidR="008C3223" w:rsidRPr="00765DA9" w:rsidP="008C3223">
      <w:pPr>
        <w:pStyle w:val="ParaNum"/>
        <w:rPr>
          <w:szCs w:val="22"/>
        </w:rPr>
      </w:pPr>
      <w:r w:rsidRPr="00765DA9">
        <w:rPr>
          <w:szCs w:val="22"/>
        </w:rPr>
        <w:t>The Notice proposes and seeks comment on rule changes</w:t>
      </w:r>
      <w:r>
        <w:rPr>
          <w:szCs w:val="22"/>
        </w:rPr>
        <w:t xml:space="preserve"> that will affect LECs and intermediate access provider</w:t>
      </w:r>
      <w:r>
        <w:rPr>
          <w:rStyle w:val="PageNumber"/>
          <w:szCs w:val="22"/>
        </w:rPr>
        <w:t>s</w:t>
      </w:r>
      <w:r>
        <w:rPr>
          <w:szCs w:val="22"/>
        </w:rPr>
        <w:t>,</w:t>
      </w:r>
      <w:r w:rsidRPr="00765DA9">
        <w:rPr>
          <w:szCs w:val="22"/>
        </w:rPr>
        <w:t xml:space="preserve"> including CEA</w:t>
      </w:r>
      <w:r>
        <w:rPr>
          <w:szCs w:val="22"/>
        </w:rPr>
        <w:t xml:space="preserve"> providers</w:t>
      </w:r>
      <w:r w:rsidRPr="00765DA9">
        <w:rPr>
          <w:szCs w:val="22"/>
        </w:rPr>
        <w:t xml:space="preserve">.  The Notice proposes rules to further limit or eliminate the occurrence of access arbitrage, including access stimulation, which could reduce potential reporting requirements.  One </w:t>
      </w:r>
      <w:r>
        <w:rPr>
          <w:szCs w:val="22"/>
        </w:rPr>
        <w:t>possible result</w:t>
      </w:r>
      <w:r w:rsidRPr="00765DA9">
        <w:rPr>
          <w:szCs w:val="22"/>
        </w:rPr>
        <w:t xml:space="preserve"> of the proposed rules </w:t>
      </w:r>
      <w:r>
        <w:rPr>
          <w:szCs w:val="22"/>
        </w:rPr>
        <w:t>would be greater</w:t>
      </w:r>
      <w:r w:rsidRPr="00765DA9">
        <w:rPr>
          <w:szCs w:val="22"/>
        </w:rPr>
        <w:t xml:space="preserve"> availability of direct connections between IXCs and access-stimulating LECs to avoid the use of intervening third parties, including CEA</w:t>
      </w:r>
      <w:r>
        <w:rPr>
          <w:szCs w:val="22"/>
        </w:rPr>
        <w:t xml:space="preserve"> providers</w:t>
      </w:r>
      <w:r w:rsidRPr="00765DA9">
        <w:rPr>
          <w:szCs w:val="22"/>
        </w:rPr>
        <w:t>, and thus create more efficient and economical network connections.</w:t>
      </w:r>
      <w:r>
        <w:rPr>
          <w:rStyle w:val="FootnoteReference"/>
          <w:szCs w:val="22"/>
        </w:rPr>
        <w:footnoteReference w:id="151"/>
      </w:r>
      <w:r w:rsidRPr="00765DA9">
        <w:rPr>
          <w:szCs w:val="22"/>
        </w:rPr>
        <w:t xml:space="preserve">  Direct connections wou</w:t>
      </w:r>
      <w:r>
        <w:rPr>
          <w:szCs w:val="22"/>
        </w:rPr>
        <w:t>ld also likely reduce record</w:t>
      </w:r>
      <w:r w:rsidRPr="00765DA9">
        <w:rPr>
          <w:szCs w:val="22"/>
        </w:rPr>
        <w:t xml:space="preserve">keeping requirements.  Specifically, we propose amending our rules to </w:t>
      </w:r>
      <w:r>
        <w:rPr>
          <w:szCs w:val="22"/>
        </w:rPr>
        <w:t>allow</w:t>
      </w:r>
      <w:r w:rsidRPr="00765DA9">
        <w:rPr>
          <w:szCs w:val="22"/>
        </w:rPr>
        <w:t xml:space="preserve"> access-stimulating LECs </w:t>
      </w:r>
      <w:r>
        <w:rPr>
          <w:szCs w:val="22"/>
        </w:rPr>
        <w:t>to choose either to be financially responsible for the delivery of calls to their networks or to accept direct connections from</w:t>
      </w:r>
      <w:r w:rsidRPr="00765DA9">
        <w:rPr>
          <w:szCs w:val="22"/>
        </w:rPr>
        <w:t xml:space="preserve"> IXCs</w:t>
      </w:r>
      <w:r>
        <w:rPr>
          <w:szCs w:val="22"/>
        </w:rPr>
        <w:t xml:space="preserve"> or from intermediate access providers of the IXC’s choosing</w:t>
      </w:r>
      <w:r w:rsidRPr="00765DA9">
        <w:rPr>
          <w:szCs w:val="22"/>
        </w:rPr>
        <w:t>.</w:t>
      </w:r>
      <w:r>
        <w:rPr>
          <w:szCs w:val="22"/>
        </w:rPr>
        <w:t xml:space="preserve">  The proposed rules also contain notification requirements for access-stimulating LECs, which may impact small entities.</w:t>
      </w:r>
      <w:r>
        <w:rPr>
          <w:rStyle w:val="FootnoteReference"/>
          <w:szCs w:val="22"/>
        </w:rPr>
        <w:footnoteReference w:id="152"/>
      </w:r>
      <w:r>
        <w:rPr>
          <w:szCs w:val="22"/>
        </w:rPr>
        <w:t xml:space="preserve">  Some of these requirements may also involve tariff changes.</w:t>
      </w:r>
    </w:p>
    <w:p w:rsidR="008C3223" w:rsidRPr="00765DA9" w:rsidP="008C3223">
      <w:pPr>
        <w:pStyle w:val="ParaNum"/>
        <w:rPr>
          <w:szCs w:val="22"/>
        </w:rPr>
      </w:pPr>
      <w:r w:rsidRPr="00765DA9">
        <w:rPr>
          <w:szCs w:val="22"/>
        </w:rPr>
        <w:t xml:space="preserve">The Notice also seeks comment on other actions the Commission could take to further discourage or eliminate access arbitrage activity.  Rules which achieve these objectives could potentially </w:t>
      </w:r>
      <w:r>
        <w:rPr>
          <w:szCs w:val="22"/>
        </w:rPr>
        <w:t>affect record</w:t>
      </w:r>
      <w:r w:rsidRPr="00765DA9">
        <w:rPr>
          <w:szCs w:val="22"/>
        </w:rPr>
        <w:t>keeping and reporting requirements.</w:t>
      </w:r>
    </w:p>
    <w:p w:rsidR="008C3223" w:rsidRPr="00765DA9" w:rsidP="008C3223">
      <w:pPr>
        <w:pStyle w:val="ParaNum"/>
        <w:numPr>
          <w:ilvl w:val="0"/>
          <w:numId w:val="0"/>
        </w:numPr>
        <w:ind w:left="1440" w:hanging="720"/>
        <w:rPr>
          <w:b/>
          <w:szCs w:val="22"/>
        </w:rPr>
      </w:pPr>
      <w:r w:rsidRPr="00765DA9">
        <w:rPr>
          <w:b/>
          <w:szCs w:val="22"/>
        </w:rPr>
        <w:t>E.</w:t>
      </w:r>
      <w:r w:rsidRPr="00765DA9">
        <w:rPr>
          <w:b/>
          <w:szCs w:val="22"/>
        </w:rPr>
        <w:tab/>
        <w:t>Steps Taken to Minimize the Significant Economic Impact on Small Entities, and Significant Alternatives Considered</w:t>
      </w:r>
    </w:p>
    <w:p w:rsidR="008C3223" w:rsidRPr="00765DA9" w:rsidP="008C3223">
      <w:pPr>
        <w:pStyle w:val="ParaNum"/>
        <w:rPr>
          <w:szCs w:val="22"/>
        </w:rPr>
      </w:pPr>
      <w:r w:rsidRPr="00765DA9">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szCs w:val="22"/>
        </w:rPr>
        <w:footnoteReference w:id="153"/>
      </w:r>
    </w:p>
    <w:p w:rsidR="008C3223" w:rsidP="008C3223">
      <w:pPr>
        <w:pStyle w:val="ParaNum"/>
      </w:pPr>
      <w:r w:rsidRPr="00765DA9">
        <w:rPr>
          <w:szCs w:val="22"/>
        </w:rPr>
        <w:t xml:space="preserve">This Notice invites comment on a number of proposals and alternatives to modify or adopt access arbitrage rules and on the legality of access stimulation generally.  </w:t>
      </w:r>
      <w:r>
        <w:rPr>
          <w:szCs w:val="22"/>
        </w:rPr>
        <w:t xml:space="preserve">The Commission has found these arbitrage practices inefficient and to ultimately increase consumer telecommunications rates.  </w:t>
      </w:r>
      <w:r w:rsidRPr="00765DA9">
        <w:rPr>
          <w:szCs w:val="22"/>
        </w:rPr>
        <w:t>The Notice proposes rules to further limit or eliminate the occurrence of access stimulation</w:t>
      </w:r>
      <w:r>
        <w:rPr>
          <w:szCs w:val="22"/>
        </w:rPr>
        <w:t xml:space="preserve"> as well as other access arbitrage in turn promoting the efficient function of the nation’s telecommunications network.  We believe that if companies are able to operate with greater efficiency this will benefit the communications network as a whole, and its users, by allowing companies to increase their investment in broadband deployment</w:t>
      </w:r>
      <w:r w:rsidRPr="00765DA9">
        <w:rPr>
          <w:szCs w:val="22"/>
        </w:rPr>
        <w:t xml:space="preserve">. </w:t>
      </w:r>
      <w:r>
        <w:rPr>
          <w:szCs w:val="22"/>
        </w:rPr>
        <w:t xml:space="preserve"> Thus, w</w:t>
      </w:r>
      <w:r w:rsidRPr="00AB1D8E">
        <w:rPr>
          <w:szCs w:val="22"/>
        </w:rPr>
        <w:t xml:space="preserve">e propose </w:t>
      </w:r>
      <w:r>
        <w:t>to adopt rules to give access-stimulating LECs two choices about how they connect to IXCs.</w:t>
      </w:r>
      <w:r>
        <w:rPr>
          <w:rStyle w:val="FootnoteReference"/>
        </w:rPr>
        <w:footnoteReference w:id="154"/>
      </w:r>
      <w:r>
        <w:t xml:space="preserve">  First, an access-stimulating LEC can choose to be financially responsible for calls delivered to its networks so it, rather than IXCs, pays for the delivery of calls to its end office or the functional equivalent.  Or, second, instead of accepting this financial responsibility, an access-stimulating </w:t>
      </w:r>
      <w:r w:rsidRPr="001568E4">
        <w:t xml:space="preserve"> </w:t>
      </w:r>
      <w:r>
        <w:t>LEC can</w:t>
      </w:r>
      <w:r w:rsidRPr="001568E4">
        <w:t xml:space="preserve"> </w:t>
      </w:r>
      <w:r>
        <w:t xml:space="preserve">choose to </w:t>
      </w:r>
      <w:r>
        <w:rPr>
          <w:szCs w:val="22"/>
        </w:rPr>
        <w:t xml:space="preserve">accept </w:t>
      </w:r>
      <w:r>
        <w:t>direct connections from either the IXC or an intermediate access provider of the IXC’s choosing</w:t>
      </w:r>
      <w:r w:rsidRPr="001568E4">
        <w:t xml:space="preserve">.  </w:t>
      </w:r>
      <w:r>
        <w:t>In the alternative, we seek comment on moving all traffic bound for an access-stimulating LEC to bill-and-keep.</w:t>
      </w:r>
      <w:r>
        <w:rPr>
          <w:rStyle w:val="FootnoteReference"/>
        </w:rPr>
        <w:footnoteReference w:id="155"/>
      </w:r>
      <w:r>
        <w:t xml:space="preserve">  The Notice also seeks comment on potential revisions to the definition of access stimulation, in particular to address intermediate access provider</w:t>
      </w:r>
      <w:r>
        <w:rPr>
          <w:rStyle w:val="PageNumber"/>
          <w:szCs w:val="22"/>
        </w:rPr>
        <w:t>s</w:t>
      </w:r>
      <w:r>
        <w:t>.</w:t>
      </w:r>
      <w:r>
        <w:rPr>
          <w:rStyle w:val="FootnoteReference"/>
        </w:rPr>
        <w:footnoteReference w:id="156"/>
      </w:r>
      <w:r>
        <w:t xml:space="preserve">  The record in this proceeding suggests additional access arbitrage activities are occurring, including: (1) use of intermediate access provider</w:t>
      </w:r>
      <w:r>
        <w:rPr>
          <w:rStyle w:val="PageNumber"/>
          <w:szCs w:val="22"/>
        </w:rPr>
        <w:t>s</w:t>
      </w:r>
      <w:r w:rsidRPr="00036C16">
        <w:rPr>
          <w:rStyle w:val="PageNumber"/>
          <w:szCs w:val="22"/>
        </w:rPr>
        <w:t xml:space="preserve"> </w:t>
      </w:r>
      <w:r>
        <w:t>by Commercial Mobile Radio Carriers; (2) mileage pumping; and (3) daisy chaining.</w:t>
      </w:r>
      <w:r>
        <w:rPr>
          <w:rStyle w:val="FootnoteReference"/>
        </w:rPr>
        <w:footnoteReference w:id="157"/>
      </w:r>
      <w:r>
        <w:t xml:space="preserve">  Comment is sought on how best to address these activities.  The Notice seeks comment on the costs and benefits of these proposals.</w:t>
      </w:r>
      <w:r>
        <w:rPr>
          <w:rStyle w:val="FootnoteReference"/>
        </w:rPr>
        <w:footnoteReference w:id="158"/>
      </w:r>
      <w:r>
        <w:t xml:space="preserve">  Providing carriers, especially small carriers, with options will enable them to best assess the financial effects on their operation allowing them to determine how best to respond.</w:t>
      </w:r>
    </w:p>
    <w:p w:rsidR="008C3223" w:rsidRPr="00765DA9" w:rsidP="008C3223">
      <w:pPr>
        <w:pStyle w:val="ParaNum"/>
        <w:rPr>
          <w:szCs w:val="22"/>
        </w:rPr>
      </w:pPr>
      <w:r w:rsidRPr="00765DA9">
        <w:rPr>
          <w:szCs w:val="22"/>
        </w:rPr>
        <w:t xml:space="preserve">The Notice also seeks comment on other actions </w:t>
      </w:r>
      <w:r>
        <w:rPr>
          <w:szCs w:val="22"/>
        </w:rPr>
        <w:t>we can</w:t>
      </w:r>
      <w:r w:rsidRPr="00765DA9">
        <w:rPr>
          <w:szCs w:val="22"/>
        </w:rPr>
        <w:t xml:space="preserve"> take to further discourage or eliminate access arbitrage activity.  </w:t>
      </w:r>
      <w:r>
        <w:rPr>
          <w:szCs w:val="22"/>
        </w:rPr>
        <w:t>C</w:t>
      </w:r>
      <w:r w:rsidRPr="00765DA9">
        <w:rPr>
          <w:szCs w:val="22"/>
        </w:rPr>
        <w:t xml:space="preserve">omment is sought on alternatives to </w:t>
      </w:r>
      <w:r>
        <w:rPr>
          <w:szCs w:val="22"/>
        </w:rPr>
        <w:t>our proposal</w:t>
      </w:r>
      <w:r w:rsidRPr="00765DA9">
        <w:rPr>
          <w:szCs w:val="22"/>
        </w:rPr>
        <w:t xml:space="preserve"> that </w:t>
      </w:r>
      <w:r>
        <w:rPr>
          <w:szCs w:val="22"/>
        </w:rPr>
        <w:t>c</w:t>
      </w:r>
      <w:r w:rsidRPr="00765DA9">
        <w:rPr>
          <w:szCs w:val="22"/>
        </w:rPr>
        <w:t xml:space="preserve">ould be considered to achieve our objectives with </w:t>
      </w:r>
      <w:r>
        <w:rPr>
          <w:szCs w:val="22"/>
        </w:rPr>
        <w:t xml:space="preserve">potentially </w:t>
      </w:r>
      <w:r w:rsidRPr="00765DA9">
        <w:rPr>
          <w:szCs w:val="22"/>
        </w:rPr>
        <w:t>less impact on small entities.</w:t>
      </w:r>
    </w:p>
    <w:p w:rsidR="008C3223" w:rsidRPr="00765DA9" w:rsidP="008C3223">
      <w:pPr>
        <w:pStyle w:val="ParaNum"/>
        <w:numPr>
          <w:ilvl w:val="0"/>
          <w:numId w:val="0"/>
        </w:numPr>
        <w:ind w:left="1440" w:hanging="720"/>
        <w:rPr>
          <w:b/>
          <w:szCs w:val="22"/>
        </w:rPr>
      </w:pPr>
      <w:r w:rsidRPr="00765DA9">
        <w:rPr>
          <w:b/>
          <w:szCs w:val="22"/>
        </w:rPr>
        <w:t>F.</w:t>
      </w:r>
      <w:r w:rsidRPr="00765DA9">
        <w:rPr>
          <w:b/>
          <w:szCs w:val="22"/>
        </w:rPr>
        <w:tab/>
        <w:t>Federal Rules that May Duplicate, Overlap, or Conflict with the Proposed Rules</w:t>
      </w:r>
    </w:p>
    <w:p w:rsidR="008C3223" w:rsidP="008C3223">
      <w:pPr>
        <w:pStyle w:val="ParaNum"/>
        <w:rPr>
          <w:szCs w:val="22"/>
        </w:rPr>
      </w:pPr>
      <w:r w:rsidRPr="00765DA9">
        <w:rPr>
          <w:szCs w:val="22"/>
        </w:rPr>
        <w:t>None.</w:t>
      </w:r>
      <w:r w:rsidRPr="00765DA9">
        <w:rPr>
          <w:szCs w:val="22"/>
        </w:rPr>
        <w:br/>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8C3223" w:rsidRPr="00765DA9" w:rsidP="008C3223">
      <w:pPr>
        <w:widowControl/>
        <w:rPr>
          <w:szCs w:val="22"/>
        </w:rPr>
      </w:pPr>
    </w:p>
    <w:p w:rsidR="008C3223" w:rsidRPr="002C00E8" w:rsidP="008C3223">
      <w:pPr>
        <w:pStyle w:val="Heading1"/>
        <w:numPr>
          <w:ilvl w:val="0"/>
          <w:numId w:val="0"/>
        </w:numPr>
        <w:ind w:left="720" w:hanging="720"/>
      </w:pPr>
    </w:p>
    <w:p w:rsidR="002C00E8" w:rsidRPr="002C00E8" w:rsidP="008C3223">
      <w:pPr>
        <w:pStyle w:val="Heading1"/>
        <w:numPr>
          <w:ilvl w:val="0"/>
          <w:numId w:val="0"/>
        </w:numPr>
        <w:ind w:left="720" w:hanging="720"/>
      </w:pPr>
    </w:p>
    <w:sectPr w:rsidSect="00665335">
      <w:footerReference w:type="even" r:id="rId10"/>
      <w:footerReference w:type="default" r:id="rId11"/>
      <w:footnotePr>
        <w:numRestart w:val="eachSect"/>
      </w:foot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223" w:rsidP="007D5736">
    <w:pPr>
      <w:pStyle w:val="Footer"/>
      <w:framePr w:wrap="around" w:vAnchor="text" w:hAnchor="margin" w:xAlign="center" w:y="1"/>
    </w:pPr>
    <w:r>
      <w:fldChar w:fldCharType="begin"/>
    </w:r>
    <w:r>
      <w:instrText xml:space="preserve">PAGE  </w:instrText>
    </w:r>
    <w:r>
      <w:fldChar w:fldCharType="separate"/>
    </w:r>
    <w:r>
      <w:fldChar w:fldCharType="end"/>
    </w:r>
  </w:p>
  <w:p w:rsidR="008C3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223" w:rsidP="00FC08C4">
    <w:pPr>
      <w:pStyle w:val="Footer"/>
      <w:jc w:val="center"/>
    </w:pPr>
    <w:r>
      <w:fldChar w:fldCharType="begin"/>
    </w:r>
    <w:r>
      <w:instrText xml:space="preserve"> PAGE   \* MERGEFORMAT </w:instrText>
    </w:r>
    <w:r>
      <w:fldChar w:fldCharType="separate"/>
    </w:r>
    <w:r w:rsidR="00B245E3">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223" w:rsidP="0066533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29</w:t>
    </w:r>
    <w:r>
      <w:fldChar w:fldCharType="end"/>
    </w:r>
  </w:p>
  <w:p w:rsidR="00D25FB5">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3223">
      <w:r>
        <w:separator/>
      </w:r>
    </w:p>
  </w:footnote>
  <w:footnote w:type="continuationSeparator" w:id="1">
    <w:p w:rsidR="008C3223" w:rsidP="00C721AC">
      <w:pPr>
        <w:spacing w:before="120"/>
        <w:rPr>
          <w:sz w:val="20"/>
        </w:rPr>
      </w:pPr>
      <w:r>
        <w:rPr>
          <w:sz w:val="20"/>
        </w:rPr>
        <w:t xml:space="preserve">(Continued from previous page)  </w:t>
      </w:r>
      <w:r>
        <w:rPr>
          <w:sz w:val="20"/>
        </w:rPr>
        <w:separator/>
      </w:r>
    </w:p>
  </w:footnote>
  <w:footnote w:type="continuationNotice" w:id="2">
    <w:p w:rsidR="008C3223" w:rsidP="00C721AC">
      <w:pPr>
        <w:jc w:val="right"/>
        <w:rPr>
          <w:sz w:val="20"/>
        </w:rPr>
      </w:pPr>
      <w:r>
        <w:rPr>
          <w:sz w:val="20"/>
        </w:rPr>
        <w:t>(continued….)</w:t>
      </w:r>
    </w:p>
  </w:footnote>
  <w:footnote w:id="3">
    <w:p w:rsidR="008C3223" w:rsidP="008C3223">
      <w:pPr>
        <w:pStyle w:val="FootnoteText"/>
      </w:pPr>
      <w:r>
        <w:rPr>
          <w:rStyle w:val="FootnoteReference"/>
        </w:rPr>
        <w:footnoteRef/>
      </w:r>
      <w:r>
        <w:t xml:space="preserve"> </w:t>
      </w:r>
      <w:r w:rsidRPr="00D970F1">
        <w:rPr>
          <w:i/>
        </w:rPr>
        <w:t>See</w:t>
      </w:r>
      <w:r w:rsidRPr="003E48B4">
        <w:rPr>
          <w:i/>
        </w:rPr>
        <w:t xml:space="preserve">, </w:t>
      </w:r>
      <w:r>
        <w:rPr>
          <w:i/>
        </w:rPr>
        <w:t>e.g.</w:t>
      </w:r>
      <w:r>
        <w:t xml:space="preserve">, </w:t>
      </w:r>
      <w:r>
        <w:rPr>
          <w:i/>
        </w:rPr>
        <w:t>Connect America Fund et al.</w:t>
      </w:r>
      <w:r>
        <w:t xml:space="preserve">, WC Docket Nos. 10-90, 07-135, 05-337, 03-109, CC Docket Nos. 01-92, 96-54, GN Docket No. 09-51, Notice of Proposed Rulemaking and Further Notice of Proposed Rulemaking, 26 FCC Rcd 4554 at 4758-59, para. 637 (2011). </w:t>
      </w:r>
    </w:p>
  </w:footnote>
  <w:footnote w:id="4">
    <w:p w:rsidR="008C3223" w:rsidP="008C3223">
      <w:pPr>
        <w:pStyle w:val="FootnoteText"/>
      </w:pPr>
      <w:r>
        <w:rPr>
          <w:rStyle w:val="FootnoteReference"/>
        </w:rPr>
        <w:footnoteRef/>
      </w:r>
      <w:r>
        <w:t xml:space="preserve"> </w:t>
      </w:r>
      <w:r>
        <w:rPr>
          <w:i/>
        </w:rPr>
        <w:t>See Connect America Fund et al.</w:t>
      </w:r>
      <w:r>
        <w:t>, WC Docket No. 10-90 et al., Report and Order and Further Notice of Proposed Rulemaking, 26 FCC Rcd 17663 at 17904, para. 737 (2011) (</w:t>
      </w:r>
      <w:r>
        <w:rPr>
          <w:i/>
        </w:rPr>
        <w:t xml:space="preserve">USF/ICC Transformation Order </w:t>
      </w:r>
      <w:r>
        <w:t xml:space="preserve">or </w:t>
      </w:r>
      <w:r>
        <w:rPr>
          <w:i/>
        </w:rPr>
        <w:t>USF/ICC Transformation FNPRM</w:t>
      </w:r>
      <w:r>
        <w:t>)</w:t>
      </w:r>
      <w:r w:rsidRPr="00DB5509">
        <w:t>,</w:t>
      </w:r>
      <w:r w:rsidRPr="005E1027">
        <w:t xml:space="preserve"> </w:t>
      </w:r>
      <w:r>
        <w:rPr>
          <w:i/>
        </w:rPr>
        <w:t>aff’d</w:t>
      </w:r>
      <w:r w:rsidRPr="00C31CF9">
        <w:t>,</w:t>
      </w:r>
      <w:r>
        <w:rPr>
          <w:i/>
        </w:rPr>
        <w:t xml:space="preserve"> FCC 11-161</w:t>
      </w:r>
      <w:r>
        <w:t>, 753 F.3d 1015 (10</w:t>
      </w:r>
      <w:r>
        <w:rPr>
          <w:vertAlign w:val="superscript"/>
        </w:rPr>
        <w:t>th</w:t>
      </w:r>
      <w:r>
        <w:t xml:space="preserve"> Cir. 2014).  </w:t>
      </w:r>
      <w:r>
        <w:rPr>
          <w:i/>
        </w:rPr>
        <w:t>See generally Establishing Just and Reasonable Rates for Local Exchange Carriers</w:t>
      </w:r>
      <w:r>
        <w:t>, WC Docket No. 07-135, Notice of Proposed Rulemaking, 22 FCC Rcd 17989 (2007).</w:t>
      </w:r>
    </w:p>
  </w:footnote>
  <w:footnote w:id="5">
    <w:p w:rsidR="008C3223" w:rsidP="008C3223">
      <w:pPr>
        <w:pStyle w:val="FootnoteText"/>
      </w:pPr>
      <w:r>
        <w:rPr>
          <w:rStyle w:val="FootnoteReference"/>
        </w:rPr>
        <w:footnoteRef/>
      </w:r>
      <w:r>
        <w:t xml:space="preserve"> </w:t>
      </w:r>
      <w:r>
        <w:rPr>
          <w:i/>
        </w:rPr>
        <w:t>USF/ICC Transformation Order</w:t>
      </w:r>
      <w:r>
        <w:t>, 26 FCC Rcd at 17875-77, paras. 662-66.</w:t>
      </w:r>
    </w:p>
  </w:footnote>
  <w:footnote w:id="6">
    <w:p w:rsidR="008C3223" w:rsidP="008C3223">
      <w:pPr>
        <w:pStyle w:val="FootnoteText"/>
      </w:pPr>
      <w:r>
        <w:rPr>
          <w:rStyle w:val="FootnoteReference"/>
        </w:rPr>
        <w:footnoteRef/>
      </w:r>
      <w:r>
        <w:t xml:space="preserve"> </w:t>
      </w:r>
      <w:r w:rsidRPr="000F704A">
        <w:rPr>
          <w:i/>
        </w:rPr>
        <w:t>USF/ICC Transformation Order</w:t>
      </w:r>
      <w:r>
        <w:t xml:space="preserve">, 26 FCC Rcd at 17874, para. 656; </w:t>
      </w:r>
      <w:r>
        <w:rPr>
          <w:i/>
        </w:rPr>
        <w:t>see also</w:t>
      </w:r>
      <w:r>
        <w:t xml:space="preserve"> Letter from N</w:t>
      </w:r>
      <w:r w:rsidRPr="00A0191E">
        <w:t>T</w:t>
      </w:r>
      <w:r>
        <w:t>CA, AT&amp;T, Verizon, Windstream, N</w:t>
      </w:r>
      <w:r w:rsidRPr="00A0191E">
        <w:t>C</w:t>
      </w:r>
      <w:r>
        <w:t>T</w:t>
      </w:r>
      <w:r w:rsidRPr="00A0191E">
        <w:t>A, Frontier, WTA, USTelecom to Marlene H. Dortch, Secretary, FCC, CC Docket No. 01-92, WC Docket No. 16-363 at 1 (filed Nov. 16, 2017)</w:t>
      </w:r>
      <w:r>
        <w:t xml:space="preserve"> (NTCA et al. Nov. 16, 2017 </w:t>
      </w:r>
      <w:r>
        <w:rPr>
          <w:i/>
        </w:rPr>
        <w:t>Ex Parte</w:t>
      </w:r>
      <w:r>
        <w:t xml:space="preserve">).  </w:t>
      </w:r>
    </w:p>
  </w:footnote>
  <w:footnote w:id="7">
    <w:p w:rsidR="008C3223" w:rsidP="008C3223">
      <w:pPr>
        <w:pStyle w:val="FootnoteText"/>
      </w:pPr>
      <w:r>
        <w:rPr>
          <w:rStyle w:val="FootnoteReference"/>
        </w:rPr>
        <w:footnoteRef/>
      </w:r>
      <w:r>
        <w:t xml:space="preserve"> Verizon Comments, WC Docket No. 10-90, CC Docket No. 01-92, at 7 (filed Oct. 26, 2017) (Verizon </w:t>
      </w:r>
      <w:r w:rsidRPr="004D6C9C">
        <w:rPr>
          <w:i/>
        </w:rPr>
        <w:t>Refresh</w:t>
      </w:r>
      <w:r>
        <w:rPr>
          <w:i/>
        </w:rPr>
        <w:t>-the-</w:t>
      </w:r>
      <w:r w:rsidRPr="004D6C9C">
        <w:rPr>
          <w:i/>
        </w:rPr>
        <w:t>Record PN</w:t>
      </w:r>
      <w:r>
        <w:t xml:space="preserve"> Comments).  By interexchange carrier, we refer to </w:t>
      </w:r>
      <w:r w:rsidRPr="006A2E67">
        <w:t>telecommunications carrier</w:t>
      </w:r>
      <w:r>
        <w:t>s</w:t>
      </w:r>
      <w:r w:rsidRPr="006A2E67">
        <w:t xml:space="preserve"> that use the exchange access or information access services of other telecommunications carrier</w:t>
      </w:r>
      <w:r>
        <w:t>s</w:t>
      </w:r>
      <w:r w:rsidRPr="006A2E67">
        <w:t xml:space="preserve"> for the provision of telecommunications.</w:t>
      </w:r>
      <w:r>
        <w:t xml:space="preserve">  This is in contrast to our use of the term “intermediate access provider” in this Notice, which generally refers to </w:t>
      </w:r>
      <w:r w:rsidRPr="00172537">
        <w:t>any entity that carries or processes traffic at any point between the final interexchange carrier in a call path and the carrier providing end office access service</w:t>
      </w:r>
      <w:r>
        <w:t xml:space="preserve"> and, for the purposes of our proposal, currently bills for terminating switched access service.</w:t>
      </w:r>
    </w:p>
  </w:footnote>
  <w:footnote w:id="8">
    <w:p w:rsidR="008C3223" w:rsidP="008C3223">
      <w:pPr>
        <w:pStyle w:val="FootnoteText"/>
      </w:pPr>
      <w:r>
        <w:rPr>
          <w:rStyle w:val="FootnoteReference"/>
        </w:rPr>
        <w:footnoteRef/>
      </w:r>
      <w:r>
        <w:t xml:space="preserve"> When discussing LECs in this Notice, we generally do not distinguish between incumbent LECs and competitive LECs. </w:t>
      </w:r>
    </w:p>
  </w:footnote>
  <w:footnote w:id="9">
    <w:p w:rsidR="008C3223" w:rsidP="008C3223">
      <w:pPr>
        <w:pStyle w:val="FootnoteText"/>
      </w:pPr>
      <w:r w:rsidRPr="00172537">
        <w:rPr>
          <w:rStyle w:val="FootnoteReference"/>
        </w:rPr>
        <w:footnoteRef/>
      </w:r>
      <w:r w:rsidRPr="00172537">
        <w:t xml:space="preserve"> Although this Notice proposes reforms that continue the work the Commission began in the </w:t>
      </w:r>
      <w:r w:rsidRPr="00172537">
        <w:rPr>
          <w:i/>
        </w:rPr>
        <w:t>USF/ICC Transformation Order</w:t>
      </w:r>
      <w:r w:rsidRPr="00172537">
        <w:t>, we are establishing a new docket for this proceeding.  Parties responding to this Notice need only file in WC Docket No. 18-</w:t>
      </w:r>
      <w:r>
        <w:t>155</w:t>
      </w:r>
      <w:r w:rsidRPr="00172537">
        <w:t>.  We do, however, incorporate filings from WC Docket Nos. 10-90, 07-135 and CC Docket No. 01-92 into the record of this proceeding, and may rely on such filings in any subsequent order the Commission issues as a result of this Notice.  Because</w:t>
      </w:r>
      <w:r>
        <w:t xml:space="preserve"> this Notice discusses wireless carriers primarily in their role as a terminating telecommunications carrier, the terms interexchange carrier and IXC encompass wireless carriers in their role as payers of switched access charges.</w:t>
      </w:r>
    </w:p>
  </w:footnote>
  <w:footnote w:id="10">
    <w:p w:rsidR="008C3223" w:rsidRPr="0036257E" w:rsidP="008C3223">
      <w:pPr>
        <w:pStyle w:val="FootnoteText"/>
      </w:pPr>
      <w:r>
        <w:rPr>
          <w:rStyle w:val="FootnoteReference"/>
        </w:rPr>
        <w:footnoteRef/>
      </w:r>
      <w:r>
        <w:t xml:space="preserve"> 47 CFR § 61.3(bbb)(1)(i).  </w:t>
      </w:r>
      <w:r w:rsidRPr="00CE2189">
        <w:t>When determining whether there is a net</w:t>
      </w:r>
      <w:r>
        <w:t xml:space="preserve"> payment, “all payments, discounts, credits, services, features, functions, and other items of value, regardless of form, provided by the rate-of-return local exchange carrier or Competitive Local Exchange Carrier to the other party to the agreement shall be taken into account.”  47 CFR § 61.3(bbb)(1)(i).  The Commission’s access stimulation rules only apply to rate-of-return LECs and competitive LECs.  </w:t>
      </w:r>
      <w:r w:rsidRPr="00017CBE">
        <w:rPr>
          <w:i/>
        </w:rPr>
        <w:t>S</w:t>
      </w:r>
      <w:r>
        <w:rPr>
          <w:i/>
        </w:rPr>
        <w:t>ee</w:t>
      </w:r>
      <w:r>
        <w:t xml:space="preserve"> </w:t>
      </w:r>
      <w:r w:rsidRPr="000F704A">
        <w:rPr>
          <w:i/>
        </w:rPr>
        <w:t xml:space="preserve">USF/ICC Transformation </w:t>
      </w:r>
      <w:r>
        <w:rPr>
          <w:i/>
        </w:rPr>
        <w:t>Order</w:t>
      </w:r>
      <w:r>
        <w:t>, 26 FCC Rcd at 17882-89, paras. 679-98.</w:t>
      </w:r>
    </w:p>
  </w:footnote>
  <w:footnote w:id="11">
    <w:p w:rsidR="008C3223" w:rsidP="008C3223">
      <w:pPr>
        <w:pStyle w:val="FootnoteText"/>
      </w:pPr>
      <w:r>
        <w:rPr>
          <w:rStyle w:val="FootnoteReference"/>
        </w:rPr>
        <w:footnoteRef/>
      </w:r>
      <w:r>
        <w:t xml:space="preserve"> 47 CFR § 61.3(bbb)(1)(ii).</w:t>
      </w:r>
    </w:p>
  </w:footnote>
  <w:footnote w:id="12">
    <w:p w:rsidR="008C3223" w:rsidP="008C3223">
      <w:pPr>
        <w:pStyle w:val="FootnoteText"/>
      </w:pPr>
      <w:r>
        <w:rPr>
          <w:rStyle w:val="FootnoteReference"/>
        </w:rPr>
        <w:footnoteRef/>
      </w:r>
      <w:r>
        <w:t xml:space="preserve"> 47 CFR § 61.3(bbb)(2).</w:t>
      </w:r>
    </w:p>
  </w:footnote>
  <w:footnote w:id="13">
    <w:p w:rsidR="008C3223" w:rsidP="008C3223">
      <w:pPr>
        <w:pStyle w:val="FootnoteText"/>
      </w:pPr>
      <w:r>
        <w:rPr>
          <w:rStyle w:val="FootnoteReference"/>
        </w:rPr>
        <w:footnoteRef/>
      </w:r>
      <w:r>
        <w:t xml:space="preserve"> </w:t>
      </w:r>
      <w:r w:rsidRPr="00FF3CB2">
        <w:rPr>
          <w:i/>
        </w:rPr>
        <w:t>See</w:t>
      </w:r>
      <w:r>
        <w:t xml:space="preserve"> </w:t>
      </w:r>
      <w:r w:rsidRPr="00FF3CB2">
        <w:t>47</w:t>
      </w:r>
      <w:r>
        <w:t xml:space="preserve"> CFR §§ 61.38, 61.39, 61.26(g)(2).</w:t>
      </w:r>
    </w:p>
  </w:footnote>
  <w:footnote w:id="14">
    <w:p w:rsidR="008C3223" w:rsidRPr="00C8401F" w:rsidP="008C3223">
      <w:pPr>
        <w:pStyle w:val="FootnoteText"/>
      </w:pPr>
      <w:r>
        <w:rPr>
          <w:rStyle w:val="FootnoteReference"/>
        </w:rPr>
        <w:footnoteRef/>
      </w:r>
      <w:r>
        <w:t xml:space="preserve"> </w:t>
      </w:r>
      <w:r>
        <w:rPr>
          <w:i/>
        </w:rPr>
        <w:t>See generally Refresh-the-Record PN</w:t>
      </w:r>
      <w:r>
        <w:t>.</w:t>
      </w:r>
    </w:p>
  </w:footnote>
  <w:footnote w:id="15">
    <w:p w:rsidR="008C3223" w:rsidRPr="007178AE" w:rsidP="008C3223">
      <w:pPr>
        <w:pStyle w:val="FootnoteText"/>
      </w:pPr>
      <w:r>
        <w:rPr>
          <w:rStyle w:val="FootnoteReference"/>
        </w:rPr>
        <w:footnoteRef/>
      </w:r>
      <w:r>
        <w:t xml:space="preserve"> Verizon </w:t>
      </w:r>
      <w:r w:rsidRPr="003B79FC">
        <w:rPr>
          <w:i/>
        </w:rPr>
        <w:t>Refresh</w:t>
      </w:r>
      <w:r>
        <w:t>-</w:t>
      </w:r>
      <w:r w:rsidRPr="003B79FC">
        <w:rPr>
          <w:i/>
        </w:rPr>
        <w:t>the</w:t>
      </w:r>
      <w:r>
        <w:t>-</w:t>
      </w:r>
      <w:r w:rsidRPr="003B79FC">
        <w:rPr>
          <w:i/>
        </w:rPr>
        <w:t>Record PN</w:t>
      </w:r>
      <w:r>
        <w:t xml:space="preserve"> Comments at 7 (reporting that “terminating access stimulation schemes, such as adult chat lines, now rely solely on transport rates”).  </w:t>
      </w:r>
      <w:r>
        <w:rPr>
          <w:i/>
        </w:rPr>
        <w:t>See also</w:t>
      </w:r>
      <w:r>
        <w:t xml:space="preserve"> AT&amp;T Comments, WC Docket No. 10-90, CC Docket No. 01-92, at 24 n.42 (filed Oct. 26, 2017) (AT&amp;T </w:t>
      </w:r>
      <w:r w:rsidRPr="003B79FC">
        <w:rPr>
          <w:i/>
        </w:rPr>
        <w:t>Refresh-the-Record PN</w:t>
      </w:r>
      <w:r>
        <w:t xml:space="preserve"> Comments) (describing how “access stimulation schemes have increasingly migrated to originating access”); Sprint Reply at 2, WC Docket No. 10-90, CC Docket No. 01-92, at 2 (filed Nov. 20, 2017) (Sprint </w:t>
      </w:r>
      <w:r w:rsidRPr="003B79FC">
        <w:rPr>
          <w:i/>
        </w:rPr>
        <w:t>Refresh-the-Record PN</w:t>
      </w:r>
      <w:r>
        <w:t xml:space="preserve"> Reply) (stating “</w:t>
      </w:r>
      <w:r w:rsidRPr="00943D83">
        <w:t>access stimulation schemes (mileage pumping, tandem rehoming, and traffic pumping via toll-free numbers) remain rampant</w:t>
      </w:r>
      <w:r>
        <w:t>”).</w:t>
      </w:r>
      <w:r w:rsidRPr="006B3FD6">
        <w:rPr>
          <w:szCs w:val="22"/>
        </w:rPr>
        <w:t xml:space="preserve"> </w:t>
      </w:r>
      <w:r>
        <w:rPr>
          <w:szCs w:val="22"/>
        </w:rPr>
        <w:t xml:space="preserve"> We invite commenters to provide further information about these and any other existing and emerging arbitrage schemes, including corrections and clarifications to supplement the </w:t>
      </w:r>
      <w:r w:rsidRPr="00BD3623">
        <w:rPr>
          <w:szCs w:val="22"/>
        </w:rPr>
        <w:t>record</w:t>
      </w:r>
      <w:r>
        <w:rPr>
          <w:szCs w:val="22"/>
        </w:rPr>
        <w:t xml:space="preserve"> in response to this Notice.</w:t>
      </w:r>
    </w:p>
  </w:footnote>
  <w:footnote w:id="16">
    <w:p w:rsidR="008C3223" w:rsidP="008C3223">
      <w:pPr>
        <w:pStyle w:val="FootnoteText"/>
      </w:pPr>
      <w:r>
        <w:rPr>
          <w:rStyle w:val="FootnoteReference"/>
        </w:rPr>
        <w:footnoteRef/>
      </w:r>
      <w:r>
        <w:t xml:space="preserve"> Verizon </w:t>
      </w:r>
      <w:r w:rsidRPr="004D6C9C">
        <w:rPr>
          <w:i/>
        </w:rPr>
        <w:t>Refresh</w:t>
      </w:r>
      <w:r>
        <w:rPr>
          <w:i/>
        </w:rPr>
        <w:t>-the-</w:t>
      </w:r>
      <w:r w:rsidRPr="004D6C9C">
        <w:rPr>
          <w:i/>
        </w:rPr>
        <w:t>Record PN</w:t>
      </w:r>
      <w:r>
        <w:t xml:space="preserve"> Comments at 7.</w:t>
      </w:r>
    </w:p>
  </w:footnote>
  <w:footnote w:id="17">
    <w:p w:rsidR="008C3223" w:rsidP="008C3223">
      <w:pPr>
        <w:pStyle w:val="FootnoteText"/>
      </w:pPr>
      <w:r>
        <w:rPr>
          <w:rStyle w:val="FootnoteReference"/>
        </w:rPr>
        <w:footnoteRef/>
      </w:r>
      <w:r>
        <w:t xml:space="preserve"> </w:t>
      </w:r>
      <w:r w:rsidRPr="00BD3623">
        <w:rPr>
          <w:szCs w:val="22"/>
        </w:rPr>
        <w:t>Commenters describe arbitrage schemes arising from intermediate</w:t>
      </w:r>
      <w:r>
        <w:rPr>
          <w:szCs w:val="22"/>
        </w:rPr>
        <w:t xml:space="preserve"> access</w:t>
      </w:r>
      <w:r w:rsidRPr="00BD3623">
        <w:rPr>
          <w:szCs w:val="22"/>
        </w:rPr>
        <w:t xml:space="preserve"> </w:t>
      </w:r>
      <w:r>
        <w:rPr>
          <w:rStyle w:val="PageNumber"/>
          <w:szCs w:val="22"/>
        </w:rPr>
        <w:t>providers</w:t>
      </w:r>
      <w:r w:rsidRPr="00036C16">
        <w:rPr>
          <w:rStyle w:val="PageNumber"/>
          <w:szCs w:val="22"/>
        </w:rPr>
        <w:t xml:space="preserve"> </w:t>
      </w:r>
      <w:r w:rsidRPr="00BD3623">
        <w:rPr>
          <w:szCs w:val="22"/>
        </w:rPr>
        <w:t>assessing two types of switched access charges</w:t>
      </w:r>
      <w:r>
        <w:rPr>
          <w:szCs w:val="22"/>
        </w:rPr>
        <w:t>:</w:t>
      </w:r>
      <w:r w:rsidRPr="00BD3623">
        <w:rPr>
          <w:szCs w:val="22"/>
        </w:rPr>
        <w:t xml:space="preserve"> first</w:t>
      </w:r>
      <w:r>
        <w:rPr>
          <w:szCs w:val="22"/>
        </w:rPr>
        <w:t>,</w:t>
      </w:r>
      <w:r w:rsidRPr="00BD3623">
        <w:rPr>
          <w:szCs w:val="22"/>
        </w:rPr>
        <w:t xml:space="preserve"> a per-minute-of-use (MOU) tandem switching charge, typically representing the functions of the tandem switch (and sometimes the ports connecting traffic to transport circuits)</w:t>
      </w:r>
      <w:r>
        <w:rPr>
          <w:szCs w:val="22"/>
        </w:rPr>
        <w:t xml:space="preserve">; and, second, </w:t>
      </w:r>
      <w:r w:rsidRPr="00BD3623">
        <w:rPr>
          <w:szCs w:val="22"/>
        </w:rPr>
        <w:t xml:space="preserve">per-MOU or per-MOU-per-mile transport charges for hauling tandem-switched traffic between the tandem switch and connecting carriers, to the extent that the </w:t>
      </w:r>
      <w:r>
        <w:rPr>
          <w:szCs w:val="22"/>
        </w:rPr>
        <w:t>intermediate access</w:t>
      </w:r>
      <w:r w:rsidRPr="00BD3623">
        <w:rPr>
          <w:szCs w:val="22"/>
        </w:rPr>
        <w:t xml:space="preserve"> </w:t>
      </w:r>
      <w:r>
        <w:rPr>
          <w:szCs w:val="22"/>
        </w:rPr>
        <w:t>provider</w:t>
      </w:r>
      <w:r w:rsidRPr="00BD3623">
        <w:rPr>
          <w:szCs w:val="22"/>
        </w:rPr>
        <w:t xml:space="preserve"> performs such functions.</w:t>
      </w:r>
      <w:r>
        <w:rPr>
          <w:szCs w:val="22"/>
        </w:rPr>
        <w:t xml:space="preserve">  </w:t>
      </w:r>
      <w:r>
        <w:t xml:space="preserve">Verizon </w:t>
      </w:r>
      <w:r>
        <w:rPr>
          <w:i/>
        </w:rPr>
        <w:t>Refresh-the-</w:t>
      </w:r>
      <w:r w:rsidRPr="004D6C9C">
        <w:rPr>
          <w:i/>
        </w:rPr>
        <w:t>Record PN</w:t>
      </w:r>
      <w:r>
        <w:t xml:space="preserve"> Comments at 7.</w:t>
      </w:r>
      <w:r w:rsidRPr="00321EDB">
        <w:rPr>
          <w:szCs w:val="22"/>
        </w:rPr>
        <w:t xml:space="preserve"> </w:t>
      </w:r>
      <w:r>
        <w:rPr>
          <w:szCs w:val="22"/>
        </w:rPr>
        <w:t xml:space="preserve"> For its part, t</w:t>
      </w:r>
      <w:r>
        <w:t>he LEC</w:t>
      </w:r>
      <w:r w:rsidRPr="00BD3623">
        <w:t xml:space="preserve"> assess</w:t>
      </w:r>
      <w:r>
        <w:t>es</w:t>
      </w:r>
      <w:r w:rsidRPr="00BD3623">
        <w:t xml:space="preserve"> charges for any transport that it provides, in addition to any remaining terminating end office switching for which it is still allowed to charge until such rates are at bill-and-keep for that carrier at the end of the relevant transition period</w:t>
      </w:r>
      <w:r>
        <w:t xml:space="preserve">.  At present, only </w:t>
      </w:r>
      <w:r>
        <w:rPr>
          <w:szCs w:val="22"/>
        </w:rPr>
        <w:t xml:space="preserve">rate-of-return incumbent LECs and the competitive LECs that benchmark to them are permitted to assess terminating end office switching charges.  </w:t>
      </w:r>
      <w:r>
        <w:rPr>
          <w:i/>
          <w:szCs w:val="22"/>
        </w:rPr>
        <w:t>See also USF/ICC Transformation Order</w:t>
      </w:r>
      <w:r>
        <w:rPr>
          <w:szCs w:val="22"/>
        </w:rPr>
        <w:t>, 26 FCC Rcd at 17934-35, para. 801 (outlining ICC reform transition schedule).</w:t>
      </w:r>
    </w:p>
  </w:footnote>
  <w:footnote w:id="18">
    <w:p w:rsidR="008C3223" w:rsidRPr="00641839" w:rsidP="008C3223">
      <w:pPr>
        <w:pStyle w:val="FootnoteText"/>
      </w:pPr>
      <w:r>
        <w:rPr>
          <w:rStyle w:val="FootnoteReference"/>
        </w:rPr>
        <w:footnoteRef/>
      </w:r>
      <w:r>
        <w:t xml:space="preserve"> For example, entities that serve as intermediate providers to access-stimulating LECs may not have revenue sharing agreements with such LECs or the end users that such LECs serve.  </w:t>
      </w:r>
      <w:r>
        <w:rPr>
          <w:i/>
        </w:rPr>
        <w:t>See</w:t>
      </w:r>
      <w:r>
        <w:t xml:space="preserve">, </w:t>
      </w:r>
      <w:r>
        <w:rPr>
          <w:i/>
        </w:rPr>
        <w:t>e.g.</w:t>
      </w:r>
      <w:r>
        <w:t xml:space="preserve">, </w:t>
      </w:r>
      <w:r w:rsidRPr="00EC6C78">
        <w:rPr>
          <w:i/>
        </w:rPr>
        <w:t>AT</w:t>
      </w:r>
      <w:r>
        <w:rPr>
          <w:i/>
        </w:rPr>
        <w:t>&amp;T Corp. v. Iowa Network Services, Inc., d/b/a Aureon Network Services</w:t>
      </w:r>
      <w:r>
        <w:t>, Memorandum Opinion and Order, 32 FCC Rcd 9677, 9693-94, paras. 33-34 (2017</w:t>
      </w:r>
      <w:r w:rsidRPr="00C02CBF">
        <w:t xml:space="preserve">), </w:t>
      </w:r>
      <w:r w:rsidRPr="00C02CBF">
        <w:rPr>
          <w:i/>
        </w:rPr>
        <w:t>pet. for recon. pending</w:t>
      </w:r>
      <w:r w:rsidRPr="00641839">
        <w:t>.</w:t>
      </w:r>
      <w:r>
        <w:t xml:space="preserve">  Further, because the measures of originating and terminating traffic for intermediate </w:t>
      </w:r>
      <w:r>
        <w:rPr>
          <w:szCs w:val="22"/>
        </w:rPr>
        <w:t>access</w:t>
      </w:r>
      <w:r w:rsidRPr="00BD3623">
        <w:rPr>
          <w:szCs w:val="22"/>
        </w:rPr>
        <w:t xml:space="preserve"> </w:t>
      </w:r>
      <w:r>
        <w:t>providers are based on all traffic that such providers carry, which can include traffic carried for access-stimulating and non-access-stimulating LECs, the ratio of terminating to originating traffic is not likely to equal or exceed 3:1.</w:t>
      </w:r>
    </w:p>
  </w:footnote>
  <w:footnote w:id="19">
    <w:p w:rsidR="008C3223" w:rsidP="008C3223">
      <w:pPr>
        <w:pStyle w:val="FootnoteText"/>
      </w:pPr>
      <w:r>
        <w:rPr>
          <w:rStyle w:val="FootnoteReference"/>
        </w:rPr>
        <w:footnoteRef/>
      </w:r>
      <w:r>
        <w:t xml:space="preserve"> AT&amp;T Corp. v. Alpine Communications, LLC, et al., Formal Complaint of AT&amp;T Corp., File No. EB-12-MD-003 (filed Apr. 13, 2012); AT&amp;T Corp. v. Great Lakes Communication Corp., Formal Complaint of AT&amp;T Corp., File No. EB-16-MD-001, EB Docket No. 16-170 (filed Aug. 16, 2016); AT&amp;T Corp. v. Iowa Network Services, Inc. d/b/a Aureon Network Services, Formal Complaint of AT&amp;T Corp., Bureau ID Number EB-17-MD-001, Proceeding No. 17-56 (filed June 8, 2017).</w:t>
      </w:r>
    </w:p>
  </w:footnote>
  <w:footnote w:id="20">
    <w:p w:rsidR="008C3223" w:rsidP="008C3223">
      <w:pPr>
        <w:pStyle w:val="FootnoteText"/>
      </w:pPr>
      <w:r>
        <w:rPr>
          <w:rStyle w:val="FootnoteReference"/>
        </w:rPr>
        <w:footnoteRef/>
      </w:r>
      <w:r>
        <w:t xml:space="preserve"> </w:t>
      </w:r>
      <w:r w:rsidRPr="0098270A">
        <w:rPr>
          <w:i/>
        </w:rPr>
        <w:t>See</w:t>
      </w:r>
      <w:r w:rsidRPr="00C31CF9">
        <w:rPr>
          <w:i/>
        </w:rPr>
        <w:t xml:space="preserve">, </w:t>
      </w:r>
      <w:r>
        <w:rPr>
          <w:i/>
        </w:rPr>
        <w:t>e.g.</w:t>
      </w:r>
      <w:r>
        <w:t xml:space="preserve">, </w:t>
      </w:r>
      <w:r w:rsidRPr="006D5E0F">
        <w:rPr>
          <w:i/>
        </w:rPr>
        <w:t>Application of Indiana Switch Access Div.</w:t>
      </w:r>
      <w:r>
        <w:t>, Memorandum</w:t>
      </w:r>
      <w:r>
        <w:rPr>
          <w:spacing w:val="-6"/>
        </w:rPr>
        <w:t xml:space="preserve"> </w:t>
      </w:r>
      <w:r>
        <w:rPr>
          <w:spacing w:val="-1"/>
        </w:rPr>
        <w:t>Opinion and Order,</w:t>
      </w:r>
      <w:r>
        <w:rPr>
          <w:spacing w:val="-3"/>
        </w:rPr>
        <w:t xml:space="preserve"> </w:t>
      </w:r>
      <w:r>
        <w:t>1</w:t>
      </w:r>
      <w:r>
        <w:rPr>
          <w:spacing w:val="-4"/>
        </w:rPr>
        <w:t xml:space="preserve"> </w:t>
      </w:r>
      <w:r>
        <w:t>FCC</w:t>
      </w:r>
      <w:r>
        <w:rPr>
          <w:spacing w:val="-6"/>
        </w:rPr>
        <w:t xml:space="preserve"> </w:t>
      </w:r>
      <w:r>
        <w:rPr>
          <w:spacing w:val="-1"/>
        </w:rPr>
        <w:t xml:space="preserve">Rcd </w:t>
      </w:r>
      <w:r>
        <w:t xml:space="preserve">634, paras. 1-2 (1986); </w:t>
      </w:r>
      <w:r>
        <w:rPr>
          <w:i/>
          <w:spacing w:val="-1"/>
        </w:rPr>
        <w:t>Application</w:t>
      </w:r>
      <w:r>
        <w:rPr>
          <w:i/>
          <w:spacing w:val="-6"/>
        </w:rPr>
        <w:t xml:space="preserve"> </w:t>
      </w:r>
      <w:r>
        <w:rPr>
          <w:i/>
        </w:rPr>
        <w:t>of</w:t>
      </w:r>
      <w:r>
        <w:rPr>
          <w:i/>
          <w:spacing w:val="-8"/>
        </w:rPr>
        <w:t xml:space="preserve"> </w:t>
      </w:r>
      <w:r>
        <w:rPr>
          <w:i/>
        </w:rPr>
        <w:t>Iowa</w:t>
      </w:r>
      <w:r>
        <w:rPr>
          <w:i/>
          <w:spacing w:val="-3"/>
        </w:rPr>
        <w:t xml:space="preserve"> </w:t>
      </w:r>
      <w:r>
        <w:rPr>
          <w:i/>
          <w:spacing w:val="-1"/>
        </w:rPr>
        <w:t>Network</w:t>
      </w:r>
      <w:r>
        <w:rPr>
          <w:i/>
          <w:spacing w:val="-5"/>
        </w:rPr>
        <w:t xml:space="preserve"> </w:t>
      </w:r>
      <w:r>
        <w:rPr>
          <w:i/>
          <w:spacing w:val="-1"/>
        </w:rPr>
        <w:t>Access</w:t>
      </w:r>
      <w:r>
        <w:rPr>
          <w:i/>
          <w:spacing w:val="-3"/>
        </w:rPr>
        <w:t xml:space="preserve"> </w:t>
      </w:r>
      <w:r>
        <w:rPr>
          <w:i/>
          <w:spacing w:val="-1"/>
        </w:rPr>
        <w:t>Div.</w:t>
      </w:r>
      <w:r>
        <w:rPr>
          <w:spacing w:val="-1"/>
        </w:rPr>
        <w:t>,</w:t>
      </w:r>
      <w:r>
        <w:rPr>
          <w:spacing w:val="-4"/>
        </w:rPr>
        <w:t xml:space="preserve"> </w:t>
      </w:r>
      <w:r>
        <w:t>Memorandum</w:t>
      </w:r>
      <w:r>
        <w:rPr>
          <w:spacing w:val="-6"/>
        </w:rPr>
        <w:t xml:space="preserve"> </w:t>
      </w:r>
      <w:r>
        <w:rPr>
          <w:spacing w:val="-1"/>
        </w:rPr>
        <w:t>Opinion,</w:t>
      </w:r>
      <w:r>
        <w:rPr>
          <w:spacing w:val="-4"/>
        </w:rPr>
        <w:t xml:space="preserve"> </w:t>
      </w:r>
      <w:r>
        <w:t>Order</w:t>
      </w:r>
      <w:r>
        <w:rPr>
          <w:spacing w:val="-4"/>
        </w:rPr>
        <w:t xml:space="preserve"> </w:t>
      </w:r>
      <w:r>
        <w:rPr>
          <w:spacing w:val="-1"/>
        </w:rPr>
        <w:t>and</w:t>
      </w:r>
      <w:r>
        <w:rPr>
          <w:spacing w:val="-4"/>
        </w:rPr>
        <w:t xml:space="preserve"> </w:t>
      </w:r>
      <w:r>
        <w:rPr>
          <w:spacing w:val="-1"/>
        </w:rPr>
        <w:t>Certificate,</w:t>
      </w:r>
      <w:r>
        <w:rPr>
          <w:spacing w:val="-3"/>
        </w:rPr>
        <w:t xml:space="preserve"> </w:t>
      </w:r>
      <w:r>
        <w:t>3</w:t>
      </w:r>
      <w:r>
        <w:rPr>
          <w:spacing w:val="-4"/>
        </w:rPr>
        <w:t xml:space="preserve"> </w:t>
      </w:r>
      <w:r>
        <w:t>FCC</w:t>
      </w:r>
      <w:r>
        <w:rPr>
          <w:spacing w:val="-6"/>
        </w:rPr>
        <w:t xml:space="preserve"> </w:t>
      </w:r>
      <w:r>
        <w:rPr>
          <w:spacing w:val="-1"/>
        </w:rPr>
        <w:t xml:space="preserve">Rcd </w:t>
      </w:r>
      <w:r>
        <w:t>1468, paras. 1-5</w:t>
      </w:r>
      <w:r>
        <w:rPr>
          <w:spacing w:val="-6"/>
        </w:rPr>
        <w:t xml:space="preserve"> </w:t>
      </w:r>
      <w:r>
        <w:t>(CCB 1988)</w:t>
      </w:r>
      <w:r>
        <w:rPr>
          <w:spacing w:val="-7"/>
        </w:rPr>
        <w:t xml:space="preserve"> </w:t>
      </w:r>
      <w:r>
        <w:rPr>
          <w:spacing w:val="-1"/>
        </w:rPr>
        <w:t>(</w:t>
      </w:r>
      <w:r>
        <w:rPr>
          <w:i/>
          <w:spacing w:val="-1"/>
        </w:rPr>
        <w:t>Aureon</w:t>
      </w:r>
      <w:r>
        <w:rPr>
          <w:i/>
          <w:spacing w:val="-4"/>
        </w:rPr>
        <w:t xml:space="preserve"> </w:t>
      </w:r>
      <w:r>
        <w:rPr>
          <w:i/>
          <w:spacing w:val="-1"/>
        </w:rPr>
        <w:t>Section</w:t>
      </w:r>
      <w:r>
        <w:rPr>
          <w:i/>
          <w:spacing w:val="-3"/>
        </w:rPr>
        <w:t xml:space="preserve"> </w:t>
      </w:r>
      <w:r>
        <w:rPr>
          <w:i/>
          <w:spacing w:val="-1"/>
        </w:rPr>
        <w:t>214</w:t>
      </w:r>
      <w:r>
        <w:rPr>
          <w:i/>
          <w:spacing w:val="-6"/>
        </w:rPr>
        <w:t xml:space="preserve"> </w:t>
      </w:r>
      <w:r>
        <w:rPr>
          <w:i/>
          <w:spacing w:val="-1"/>
        </w:rPr>
        <w:t>Order</w:t>
      </w:r>
      <w:r>
        <w:rPr>
          <w:spacing w:val="-1"/>
        </w:rPr>
        <w:t>)</w:t>
      </w:r>
      <w:r>
        <w:t xml:space="preserve">; </w:t>
      </w:r>
      <w:r w:rsidRPr="0098270A">
        <w:rPr>
          <w:i/>
        </w:rPr>
        <w:t>Application of SDCEA, Inc.</w:t>
      </w:r>
      <w:r>
        <w:t>, Memorandum</w:t>
      </w:r>
      <w:r>
        <w:rPr>
          <w:spacing w:val="-6"/>
        </w:rPr>
        <w:t xml:space="preserve"> </w:t>
      </w:r>
      <w:r>
        <w:rPr>
          <w:spacing w:val="-1"/>
        </w:rPr>
        <w:t>Opinion,</w:t>
      </w:r>
      <w:r>
        <w:rPr>
          <w:spacing w:val="-4"/>
        </w:rPr>
        <w:t xml:space="preserve"> </w:t>
      </w:r>
      <w:r>
        <w:t>Order</w:t>
      </w:r>
      <w:r>
        <w:rPr>
          <w:spacing w:val="-4"/>
        </w:rPr>
        <w:t xml:space="preserve"> </w:t>
      </w:r>
      <w:r>
        <w:rPr>
          <w:spacing w:val="-1"/>
        </w:rPr>
        <w:t>and</w:t>
      </w:r>
      <w:r>
        <w:rPr>
          <w:spacing w:val="-4"/>
        </w:rPr>
        <w:t xml:space="preserve"> </w:t>
      </w:r>
      <w:r>
        <w:rPr>
          <w:spacing w:val="-1"/>
        </w:rPr>
        <w:t>Certificate</w:t>
      </w:r>
      <w:r>
        <w:t>, 5 FCC Rcd 6978 at para. 1 (CCB 1990) (</w:t>
      </w:r>
      <w:r>
        <w:rPr>
          <w:i/>
        </w:rPr>
        <w:t>SDN Section 214 Order</w:t>
      </w:r>
      <w:r>
        <w:t xml:space="preserve">).  </w:t>
      </w:r>
    </w:p>
  </w:footnote>
  <w:footnote w:id="21">
    <w:p w:rsidR="008C3223" w:rsidP="008C3223">
      <w:pPr>
        <w:pStyle w:val="FootnoteText"/>
      </w:pPr>
      <w:r>
        <w:rPr>
          <w:rStyle w:val="FootnoteReference"/>
        </w:rPr>
        <w:footnoteRef/>
      </w:r>
      <w:r>
        <w:t xml:space="preserve"> </w:t>
      </w:r>
      <w:r>
        <w:rPr>
          <w:i/>
        </w:rPr>
        <w:t>See</w:t>
      </w:r>
      <w:r>
        <w:t xml:space="preserve"> </w:t>
      </w:r>
      <w:r w:rsidRPr="009E2BA8">
        <w:rPr>
          <w:i/>
        </w:rPr>
        <w:t>Transpo</w:t>
      </w:r>
      <w:r>
        <w:rPr>
          <w:i/>
        </w:rPr>
        <w:t>r</w:t>
      </w:r>
      <w:r w:rsidRPr="009E2BA8">
        <w:rPr>
          <w:i/>
        </w:rPr>
        <w:t>t Rate Structure and Pricing; Petition for Waiver of the Transport Rules Filed by GTE Service Corp</w:t>
      </w:r>
      <w:r>
        <w:t xml:space="preserve">., </w:t>
      </w:r>
      <w:r w:rsidRPr="009C2DB2">
        <w:t>Report and Order and Further Notice of Proposed Rulemaking, 7 FCC Rcd 7006, 7048-49, para. 87 (1992) (</w:t>
      </w:r>
      <w:r w:rsidRPr="009C2DB2">
        <w:rPr>
          <w:i/>
        </w:rPr>
        <w:t>Transport Rate Structure and Pricing Order</w:t>
      </w:r>
      <w:r w:rsidRPr="009C2DB2">
        <w:t xml:space="preserve">). </w:t>
      </w:r>
      <w:r w:rsidRPr="009C2DB2">
        <w:rPr>
          <w:szCs w:val="22"/>
        </w:rPr>
        <w:t xml:space="preserve"> The three CEA providers are Aureon </w:t>
      </w:r>
      <w:r w:rsidRPr="009C2DB2">
        <w:rPr>
          <w:spacing w:val="-1"/>
        </w:rPr>
        <w:t>(</w:t>
      </w:r>
      <w:r w:rsidRPr="009C2DB2">
        <w:rPr>
          <w:i/>
          <w:spacing w:val="-1"/>
        </w:rPr>
        <w:t>Aureon</w:t>
      </w:r>
      <w:r w:rsidRPr="009C2DB2">
        <w:rPr>
          <w:i/>
          <w:spacing w:val="-4"/>
        </w:rPr>
        <w:t xml:space="preserve"> </w:t>
      </w:r>
      <w:r w:rsidRPr="009C2DB2">
        <w:rPr>
          <w:i/>
          <w:spacing w:val="-1"/>
        </w:rPr>
        <w:t>Section</w:t>
      </w:r>
      <w:r w:rsidRPr="009C2DB2">
        <w:rPr>
          <w:i/>
          <w:spacing w:val="-3"/>
        </w:rPr>
        <w:t xml:space="preserve"> </w:t>
      </w:r>
      <w:r w:rsidRPr="009C2DB2">
        <w:rPr>
          <w:i/>
          <w:spacing w:val="-1"/>
        </w:rPr>
        <w:t>214</w:t>
      </w:r>
      <w:r w:rsidRPr="009C2DB2">
        <w:rPr>
          <w:i/>
          <w:spacing w:val="-6"/>
        </w:rPr>
        <w:t xml:space="preserve"> </w:t>
      </w:r>
      <w:r w:rsidRPr="009C2DB2">
        <w:rPr>
          <w:i/>
          <w:spacing w:val="-1"/>
        </w:rPr>
        <w:t>Order</w:t>
      </w:r>
      <w:r w:rsidRPr="009C2DB2">
        <w:rPr>
          <w:spacing w:val="-1"/>
        </w:rPr>
        <w:t>),</w:t>
      </w:r>
      <w:r w:rsidRPr="009C2DB2">
        <w:rPr>
          <w:spacing w:val="-4"/>
        </w:rPr>
        <w:t xml:space="preserve"> SDN </w:t>
      </w:r>
      <w:r w:rsidRPr="009C2DB2">
        <w:t>(</w:t>
      </w:r>
      <w:r w:rsidRPr="009C2DB2">
        <w:rPr>
          <w:i/>
        </w:rPr>
        <w:t>SDN Section 214 Order</w:t>
      </w:r>
      <w:r w:rsidRPr="009C2DB2">
        <w:t>), and Minnesota Independent Equal Access Corp. (MIEAC) (</w:t>
      </w:r>
      <w:r>
        <w:rPr>
          <w:i/>
        </w:rPr>
        <w:t>Application of Minnesota Independent Equal Access Corp.</w:t>
      </w:r>
      <w:r>
        <w:t xml:space="preserve">, Memorandum Opinion, Order and Certificate, File No. W-P-C-6400 (rel. Aug. 22, 1990); </w:t>
      </w:r>
      <w:r w:rsidRPr="009C2DB2">
        <w:rPr>
          <w:i/>
        </w:rPr>
        <w:t>Minnesota Independent Equal Access Corp.</w:t>
      </w:r>
      <w:r w:rsidRPr="009C2DB2">
        <w:t>, Docket P-3007/NA-89-76, 1991 WL 501782 (Minn. PUC, Jan. 10, 1991)).</w:t>
      </w:r>
      <w:r>
        <w:t xml:space="preserve"> </w:t>
      </w:r>
    </w:p>
  </w:footnote>
  <w:footnote w:id="22">
    <w:p w:rsidR="008C3223" w:rsidP="008C3223">
      <w:pPr>
        <w:pStyle w:val="FootnoteText"/>
      </w:pPr>
      <w:r>
        <w:rPr>
          <w:rStyle w:val="FootnoteReference"/>
        </w:rPr>
        <w:footnoteRef/>
      </w:r>
      <w:r>
        <w:t xml:space="preserve"> Our proposal would apply to access-stimulating LECs operating multiple end offices, as well.</w:t>
      </w:r>
    </w:p>
  </w:footnote>
  <w:footnote w:id="23">
    <w:p w:rsidR="008C3223" w:rsidRPr="000966C3" w:rsidP="008C3223">
      <w:pPr>
        <w:pStyle w:val="FootnoteText"/>
      </w:pPr>
      <w:r>
        <w:rPr>
          <w:rStyle w:val="FootnoteReference"/>
        </w:rPr>
        <w:footnoteRef/>
      </w:r>
      <w:r>
        <w:t xml:space="preserve"> Proposed rule language is in Appendix A.  </w:t>
      </w:r>
      <w:r>
        <w:rPr>
          <w:i/>
        </w:rPr>
        <w:t xml:space="preserve">See infra </w:t>
      </w:r>
      <w:r>
        <w:t>App. A.</w:t>
      </w:r>
    </w:p>
  </w:footnote>
  <w:footnote w:id="24">
    <w:p w:rsidR="008C3223" w:rsidRPr="006F015D" w:rsidP="008C3223">
      <w:pPr>
        <w:pStyle w:val="FootnoteText"/>
      </w:pPr>
      <w:r>
        <w:rPr>
          <w:rStyle w:val="FootnoteReference"/>
        </w:rPr>
        <w:footnoteRef/>
      </w:r>
      <w:r>
        <w:t xml:space="preserve"> </w:t>
      </w:r>
      <w:r>
        <w:rPr>
          <w:i/>
        </w:rPr>
        <w:t>See infra</w:t>
      </w:r>
      <w:r>
        <w:t xml:space="preserve"> App. A, § 51.903(l).</w:t>
      </w:r>
    </w:p>
  </w:footnote>
  <w:footnote w:id="25">
    <w:p w:rsidR="008C3223" w:rsidP="008C3223">
      <w:pPr>
        <w:pStyle w:val="FootnoteText"/>
      </w:pPr>
      <w:r>
        <w:rPr>
          <w:rStyle w:val="FootnoteReference"/>
        </w:rPr>
        <w:footnoteRef/>
      </w:r>
      <w:r>
        <w:t xml:space="preserve"> </w:t>
      </w:r>
      <w:r>
        <w:rPr>
          <w:i/>
        </w:rPr>
        <w:t>See</w:t>
      </w:r>
      <w:r w:rsidRPr="00C01E63">
        <w:t>,</w:t>
      </w:r>
      <w:r>
        <w:rPr>
          <w:i/>
        </w:rPr>
        <w:t xml:space="preserve"> e.g.</w:t>
      </w:r>
      <w:r w:rsidRPr="00C01E63">
        <w:t>,</w:t>
      </w:r>
      <w:r>
        <w:rPr>
          <w:i/>
        </w:rPr>
        <w:t xml:space="preserve"> </w:t>
      </w:r>
      <w:r>
        <w:t xml:space="preserve">Verizon </w:t>
      </w:r>
      <w:r>
        <w:rPr>
          <w:i/>
        </w:rPr>
        <w:t xml:space="preserve">Refresh-the-Record PN </w:t>
      </w:r>
      <w:r>
        <w:t>Comments a 7.</w:t>
      </w:r>
    </w:p>
  </w:footnote>
  <w:footnote w:id="26">
    <w:p w:rsidR="008C3223" w:rsidP="008C3223">
      <w:pPr>
        <w:pStyle w:val="FootnoteText"/>
      </w:pPr>
      <w:r>
        <w:rPr>
          <w:rStyle w:val="FootnoteReference"/>
        </w:rPr>
        <w:footnoteRef/>
      </w:r>
      <w:r>
        <w:t xml:space="preserve"> </w:t>
      </w:r>
      <w:r>
        <w:rPr>
          <w:i/>
        </w:rPr>
        <w:t>See</w:t>
      </w:r>
      <w:r w:rsidRPr="00C01E63">
        <w:t>,</w:t>
      </w:r>
      <w:r>
        <w:rPr>
          <w:i/>
        </w:rPr>
        <w:t xml:space="preserve"> e.g.</w:t>
      </w:r>
      <w:r w:rsidRPr="00C01E63">
        <w:t>,</w:t>
      </w:r>
      <w:r>
        <w:rPr>
          <w:i/>
        </w:rPr>
        <w:t xml:space="preserve"> </w:t>
      </w:r>
      <w:r>
        <w:t xml:space="preserve">Verizon </w:t>
      </w:r>
      <w:r>
        <w:rPr>
          <w:i/>
        </w:rPr>
        <w:t xml:space="preserve">Refresh-the-Record PN </w:t>
      </w:r>
      <w:r>
        <w:t>Comments a 7; AT&amp;T Reply, WC Docket No. 16-363, at 11-13 (filed Dec. 19, 2016).</w:t>
      </w:r>
    </w:p>
  </w:footnote>
  <w:footnote w:id="27">
    <w:p w:rsidR="008C3223" w:rsidP="008C3223">
      <w:pPr>
        <w:pStyle w:val="FootnoteText"/>
      </w:pPr>
      <w:r>
        <w:rPr>
          <w:rStyle w:val="FootnoteReference"/>
        </w:rPr>
        <w:footnoteRef/>
      </w:r>
      <w:r>
        <w:t xml:space="preserve"> Such intermediate </w:t>
      </w:r>
      <w:r>
        <w:rPr>
          <w:szCs w:val="22"/>
        </w:rPr>
        <w:t>access</w:t>
      </w:r>
      <w:r w:rsidRPr="00BD3623">
        <w:rPr>
          <w:szCs w:val="22"/>
        </w:rPr>
        <w:t xml:space="preserve"> </w:t>
      </w:r>
      <w:r>
        <w:t xml:space="preserve">provider might be the current or a new intermediate </w:t>
      </w:r>
      <w:r>
        <w:rPr>
          <w:szCs w:val="22"/>
        </w:rPr>
        <w:t>access</w:t>
      </w:r>
      <w:r w:rsidRPr="00BD3623">
        <w:rPr>
          <w:szCs w:val="22"/>
        </w:rPr>
        <w:t xml:space="preserve"> </w:t>
      </w:r>
      <w:r>
        <w:t>provider.  Traffic volumes may not always justify direct connections between an IXC and an access-stimulating LEC, particularly if such LEC serves multiple end offices and not all such end offices process access stimulation traffic.</w:t>
      </w:r>
    </w:p>
  </w:footnote>
  <w:footnote w:id="28">
    <w:p w:rsidR="008C3223" w:rsidP="008C3223">
      <w:pPr>
        <w:pStyle w:val="FootnoteText"/>
      </w:pPr>
      <w:r>
        <w:rPr>
          <w:rStyle w:val="FootnoteReference"/>
        </w:rPr>
        <w:footnoteRef/>
      </w:r>
      <w:r>
        <w:t xml:space="preserve"> In this example, the intermediate </w:t>
      </w:r>
      <w:r>
        <w:rPr>
          <w:szCs w:val="22"/>
        </w:rPr>
        <w:t>access</w:t>
      </w:r>
      <w:r w:rsidRPr="00BD3623">
        <w:rPr>
          <w:szCs w:val="22"/>
        </w:rPr>
        <w:t xml:space="preserve"> </w:t>
      </w:r>
      <w:r>
        <w:t>provider would route traffic directly, bypassing the tandem switch through which traffic is currently routed.</w:t>
      </w:r>
    </w:p>
  </w:footnote>
  <w:footnote w:id="29">
    <w:p w:rsidR="008C3223" w:rsidP="008C3223">
      <w:pPr>
        <w:pStyle w:val="FootnoteText"/>
      </w:pPr>
      <w:r>
        <w:rPr>
          <w:rStyle w:val="FootnoteReference"/>
        </w:rPr>
        <w:footnoteRef/>
      </w:r>
      <w:r>
        <w:t xml:space="preserve"> We note, for example, that CEA providers are not obligated to provide direct-trunked transport (dedicated transport) under section 69.112 of our rules.  47 CFR § 69.112.</w:t>
      </w:r>
    </w:p>
  </w:footnote>
  <w:footnote w:id="30">
    <w:p w:rsidR="008C3223" w:rsidP="008C3223">
      <w:pPr>
        <w:pStyle w:val="FootnoteText"/>
      </w:pPr>
      <w:r>
        <w:rPr>
          <w:rStyle w:val="FootnoteReference"/>
        </w:rPr>
        <w:footnoteRef/>
      </w:r>
      <w:r>
        <w:t xml:space="preserve"> </w:t>
      </w:r>
      <w:r w:rsidRPr="00BD3623">
        <w:t xml:space="preserve">In the order authorizing CEA provider </w:t>
      </w:r>
      <w:r>
        <w:t>Aureon</w:t>
      </w:r>
      <w:r w:rsidRPr="00BD3623">
        <w:t xml:space="preserve">, the Commission established </w:t>
      </w:r>
      <w:r>
        <w:t>the mandatory use</w:t>
      </w:r>
      <w:r w:rsidRPr="00BD3623">
        <w:t xml:space="preserve"> policy</w:t>
      </w:r>
      <w:r>
        <w:t>,</w:t>
      </w:r>
      <w:r w:rsidRPr="00BD3623">
        <w:t xml:space="preserve"> permitting CEA providers to require IXCs to connect to LECs that subtend a CEA provider indirectly through such CEA provider</w:t>
      </w:r>
      <w:r>
        <w:t>s’ tandem switch</w:t>
      </w:r>
      <w:r w:rsidRPr="00BD3623">
        <w:t xml:space="preserve"> rather than indirectly through another </w:t>
      </w:r>
      <w:r>
        <w:t>intermediate provider</w:t>
      </w:r>
      <w:r w:rsidRPr="00BD3623">
        <w:t xml:space="preserve"> or directly to the subtending LEC</w:t>
      </w:r>
      <w:r>
        <w:t xml:space="preserve">.  </w:t>
      </w:r>
      <w:r>
        <w:rPr>
          <w:i/>
        </w:rPr>
        <w:t>Aureon Section 214 Order</w:t>
      </w:r>
      <w:r>
        <w:t>, 3 FCC Rcd at 1472-73, paras. 28-33.</w:t>
      </w:r>
    </w:p>
  </w:footnote>
  <w:footnote w:id="31">
    <w:p w:rsidR="008C3223" w:rsidP="008C3223">
      <w:pPr>
        <w:pStyle w:val="FootnoteText"/>
      </w:pPr>
      <w:r>
        <w:rPr>
          <w:rStyle w:val="FootnoteReference"/>
        </w:rPr>
        <w:footnoteRef/>
      </w:r>
      <w:r>
        <w:t xml:space="preserve"> </w:t>
      </w:r>
      <w:r>
        <w:rPr>
          <w:i/>
        </w:rPr>
        <w:t>Aureon Section 214 Order</w:t>
      </w:r>
      <w:r>
        <w:t>, 3 FCC Rcd at 1473, para. 33.</w:t>
      </w:r>
    </w:p>
  </w:footnote>
  <w:footnote w:id="32">
    <w:p w:rsidR="008C3223" w:rsidRPr="006E37B6" w:rsidP="008C3223">
      <w:pPr>
        <w:pStyle w:val="FootnoteText"/>
      </w:pPr>
      <w:r>
        <w:rPr>
          <w:rStyle w:val="FootnoteReference"/>
        </w:rPr>
        <w:footnoteRef/>
      </w:r>
      <w:r>
        <w:t xml:space="preserve"> </w:t>
      </w:r>
      <w:r>
        <w:rPr>
          <w:i/>
        </w:rPr>
        <w:t xml:space="preserve">See </w:t>
      </w:r>
      <w:r>
        <w:t xml:space="preserve">Letter from David Erickson, President, HD Tandem to Marlene Dortch, Secretary, FCC, WC Docket Nos. 10-90 and 07-135; CC Docket No. 01-92 at Attach. (filed Feb. 7, 2018); Letter from David Erikson, President, HD Tandem to Marlene Dortch, Secretary, FCC, WC Docket Nos. 10-90 and 07-135; CC Docket No. 01-92 (filed Apr. 25, 2018) (“HD Tandem discussed the company’s IP Homing Tandem (IPHT) proposal, which would not only address industry concerns regarding access stimulation issues but also benefit consumers by stimulating the IP Transition and ushering in HD voice and other technological innovations.”).  We seek comment on this proposal. </w:t>
      </w:r>
    </w:p>
  </w:footnote>
  <w:footnote w:id="33">
    <w:p w:rsidR="008C3223" w:rsidRPr="001B1FB1" w:rsidP="008C3223">
      <w:pPr>
        <w:pStyle w:val="FootnoteText"/>
      </w:pPr>
      <w:r>
        <w:rPr>
          <w:rStyle w:val="FootnoteReference"/>
        </w:rPr>
        <w:footnoteRef/>
      </w:r>
      <w:r>
        <w:t xml:space="preserve"> </w:t>
      </w:r>
      <w:r>
        <w:rPr>
          <w:i/>
        </w:rPr>
        <w:t>See</w:t>
      </w:r>
      <w:r w:rsidRPr="008300ED">
        <w:rPr>
          <w:i/>
        </w:rPr>
        <w:t>,</w:t>
      </w:r>
      <w:r>
        <w:t xml:space="preserve"> </w:t>
      </w:r>
      <w:r>
        <w:rPr>
          <w:i/>
        </w:rPr>
        <w:t>e.g.</w:t>
      </w:r>
      <w:r>
        <w:t xml:space="preserve">, HD Tandem </w:t>
      </w:r>
      <w:r w:rsidRPr="00713A8A">
        <w:t>Reply</w:t>
      </w:r>
      <w:r>
        <w:t>, WC Docket No. 10-90, CC Docket No. 01-92,</w:t>
      </w:r>
      <w:r w:rsidRPr="00713A8A">
        <w:t xml:space="preserve"> at 5 (filed Nov. 20, 2017</w:t>
      </w:r>
      <w:r>
        <w:t>).</w:t>
      </w:r>
    </w:p>
  </w:footnote>
  <w:footnote w:id="34">
    <w:p w:rsidR="008C3223" w:rsidRPr="00AA75BF" w:rsidP="008C3223">
      <w:pPr>
        <w:pStyle w:val="FootnoteText"/>
      </w:pPr>
      <w:r>
        <w:rPr>
          <w:rStyle w:val="FootnoteReference"/>
        </w:rPr>
        <w:footnoteRef/>
      </w:r>
      <w:r>
        <w:t xml:space="preserve"> </w:t>
      </w:r>
      <w:r>
        <w:rPr>
          <w:i/>
        </w:rPr>
        <w:t xml:space="preserve">See </w:t>
      </w:r>
      <w:r>
        <w:t>Letter from N</w:t>
      </w:r>
      <w:r w:rsidRPr="00A0191E">
        <w:t>T</w:t>
      </w:r>
      <w:r>
        <w:t>CA, AT&amp;T, Verizon, Windstream, N</w:t>
      </w:r>
      <w:r w:rsidRPr="00A0191E">
        <w:t>C</w:t>
      </w:r>
      <w:r>
        <w:t>T</w:t>
      </w:r>
      <w:r w:rsidRPr="00A0191E">
        <w:t xml:space="preserve">A, Frontier, </w:t>
      </w:r>
      <w:r>
        <w:t xml:space="preserve">CenturyLink, </w:t>
      </w:r>
      <w:r w:rsidRPr="00A0191E">
        <w:t>WTA, USTelecom to Marlene H. Dortch, Secr</w:t>
      </w:r>
      <w:r>
        <w:t>etary, FCC, CC Docket No. 01-92</w:t>
      </w:r>
      <w:r w:rsidRPr="00A0191E">
        <w:t xml:space="preserve"> (filed </w:t>
      </w:r>
      <w:r>
        <w:t>Apr. 11, 2018</w:t>
      </w:r>
      <w:r w:rsidRPr="00A0191E">
        <w:t>)</w:t>
      </w:r>
      <w:r>
        <w:t xml:space="preserve">; NTCA et al. Nov. 16, 2017 </w:t>
      </w:r>
      <w:r>
        <w:rPr>
          <w:i/>
        </w:rPr>
        <w:t>Ex Parte</w:t>
      </w:r>
      <w:r w:rsidRPr="00A0191E">
        <w:t xml:space="preserve"> at 1</w:t>
      </w:r>
      <w:r>
        <w:t xml:space="preserve">-2. </w:t>
      </w:r>
    </w:p>
  </w:footnote>
  <w:footnote w:id="35">
    <w:p w:rsidR="008C3223" w:rsidP="008C3223">
      <w:pPr>
        <w:pStyle w:val="FootnoteText"/>
      </w:pPr>
      <w:r>
        <w:rPr>
          <w:rStyle w:val="FootnoteReference"/>
        </w:rPr>
        <w:footnoteRef/>
      </w:r>
      <w:r>
        <w:t xml:space="preserve"> </w:t>
      </w:r>
      <w:r>
        <w:rPr>
          <w:i/>
        </w:rPr>
        <w:t xml:space="preserve">See </w:t>
      </w:r>
      <w:r>
        <w:t xml:space="preserve">Letter from Jeffrey S. Lanning, VP – Federal Regulatory Affairs, CenturyLink to Marlene H. Dortch, Secretary, FCC, CC Docket No. 01-92; WC Docket Nos. 07-135 and 10-90 (filed Apr. 30, 2018) (CenturyLink Apr. 30, 2018 </w:t>
      </w:r>
      <w:r>
        <w:rPr>
          <w:i/>
        </w:rPr>
        <w:t>Ex Parte</w:t>
      </w:r>
      <w:r>
        <w:t xml:space="preserve">); </w:t>
      </w:r>
      <w:r>
        <w:rPr>
          <w:i/>
        </w:rPr>
        <w:t xml:space="preserve">see also </w:t>
      </w:r>
      <w:r>
        <w:t>Letter from Timothy M. Boucher, Associate General Counsel, CenturyLink to Marlene H. Dortch, Secretary, FCC, CC Docket Nos. 96-98, 01-92; WC Docket Nos. 07-135, 10-90, 18-155 (filed May 21, 2018) (providing additional detail on CenturyLink’s proposal).</w:t>
      </w:r>
    </w:p>
  </w:footnote>
  <w:footnote w:id="36">
    <w:p w:rsidR="008C3223" w:rsidRPr="00036E7F" w:rsidP="008C3223">
      <w:pPr>
        <w:pStyle w:val="FootnoteText"/>
      </w:pPr>
      <w:r>
        <w:rPr>
          <w:rStyle w:val="FootnoteReference"/>
        </w:rPr>
        <w:footnoteRef/>
      </w:r>
      <w:r>
        <w:t xml:space="preserve"> </w:t>
      </w:r>
      <w:r>
        <w:rPr>
          <w:i/>
        </w:rPr>
        <w:t>Id</w:t>
      </w:r>
      <w:r>
        <w:t xml:space="preserve">.  </w:t>
      </w:r>
      <w:r>
        <w:rPr>
          <w:i/>
        </w:rPr>
        <w:t xml:space="preserve">But see </w:t>
      </w:r>
      <w:r>
        <w:t>Letter from Michael R. Romano, Senior Vice President – Industry Affairs &amp; Business Development, NTCA – The Rural Broadband Association, to Marlene H. Dortch, Secretary, FCC, WC Docket Nos. 18-155, 18-156, 17-206, 10-90 (filed May 22, 2018); Letter from Tamar E. Finn, Counsel to Bandwidth Inc. to Marlene H. Dortch, Secretary, FCC, WC Docket Nos. 18-155, 10-90, CC Docket No. 01-92 at 2 (filed May 31, 2018).</w:t>
      </w:r>
    </w:p>
  </w:footnote>
  <w:footnote w:id="37">
    <w:p w:rsidR="008C3223" w:rsidP="008C3223">
      <w:pPr>
        <w:pStyle w:val="FootnoteText"/>
      </w:pPr>
      <w:r>
        <w:rPr>
          <w:rStyle w:val="FootnoteReference"/>
        </w:rPr>
        <w:footnoteRef/>
      </w:r>
      <w:r>
        <w:t xml:space="preserve"> </w:t>
      </w:r>
      <w:r>
        <w:rPr>
          <w:i/>
        </w:rPr>
        <w:t>USF/ICC Transformation Order</w:t>
      </w:r>
      <w:r>
        <w:t>, 26 FCC Rcd at 17943, para. 820 (“Ultimately, we agree with concerns raised by commenters that the continuation of transport charges in perpetuity would be problematic.” (footnote omitted)).</w:t>
      </w:r>
    </w:p>
  </w:footnote>
  <w:footnote w:id="38">
    <w:p w:rsidR="008C3223" w:rsidP="008C3223">
      <w:pPr>
        <w:pStyle w:val="FootnoteText"/>
      </w:pPr>
      <w:r>
        <w:rPr>
          <w:rStyle w:val="FootnoteReference"/>
        </w:rPr>
        <w:footnoteRef/>
      </w:r>
      <w:r>
        <w:t xml:space="preserve"> </w:t>
      </w:r>
      <w:r>
        <w:rPr>
          <w:i/>
        </w:rPr>
        <w:t>USF/ICC Transformation Order</w:t>
      </w:r>
      <w:r>
        <w:t>, 26 FCC Rcd at 17909, para. 746.</w:t>
      </w:r>
    </w:p>
  </w:footnote>
  <w:footnote w:id="39">
    <w:p w:rsidR="008C3223" w:rsidP="008C3223">
      <w:pPr>
        <w:pStyle w:val="FootnoteText"/>
      </w:pPr>
      <w:r>
        <w:rPr>
          <w:rStyle w:val="FootnoteReference"/>
        </w:rPr>
        <w:footnoteRef/>
      </w:r>
      <w:r>
        <w:t xml:space="preserve"> </w:t>
      </w:r>
      <w:r w:rsidRPr="00984B1A">
        <w:rPr>
          <w:szCs w:val="22"/>
        </w:rPr>
        <w:t>If</w:t>
      </w:r>
      <w:r w:rsidRPr="00765DA9">
        <w:rPr>
          <w:szCs w:val="22"/>
        </w:rPr>
        <w:t xml:space="preserve"> we do not require access-stimulating LECs to </w:t>
      </w:r>
      <w:r>
        <w:rPr>
          <w:szCs w:val="22"/>
        </w:rPr>
        <w:t xml:space="preserve">transition </w:t>
      </w:r>
      <w:r w:rsidRPr="00765DA9">
        <w:rPr>
          <w:szCs w:val="22"/>
        </w:rPr>
        <w:t>all of their terminating switched access rates to bill-and-keep, should we instead prescribe rate reductions (to the extent not already applicable) to access-stimulating LECs for terminating tandem switching, common transport and tandem-switched transport rates</w:t>
      </w:r>
      <w:r>
        <w:rPr>
          <w:szCs w:val="22"/>
        </w:rPr>
        <w:t xml:space="preserve"> as has been suggested?  </w:t>
      </w:r>
      <w:r w:rsidRPr="00765DA9">
        <w:rPr>
          <w:szCs w:val="22"/>
        </w:rPr>
        <w:t>If so, how</w:t>
      </w:r>
      <w:r>
        <w:rPr>
          <w:szCs w:val="22"/>
        </w:rPr>
        <w:t xml:space="preserve"> should the rate reductions be calculated</w:t>
      </w:r>
      <w:r w:rsidRPr="00765DA9">
        <w:rPr>
          <w:szCs w:val="22"/>
        </w:rPr>
        <w:t xml:space="preserve">, </w:t>
      </w:r>
      <w:r>
        <w:rPr>
          <w:szCs w:val="22"/>
        </w:rPr>
        <w:t>and over what period of time?</w:t>
      </w:r>
      <w:r w:rsidRPr="001E38FB">
        <w:rPr>
          <w:szCs w:val="22"/>
        </w:rPr>
        <w:t xml:space="preserve"> </w:t>
      </w:r>
      <w:r>
        <w:rPr>
          <w:szCs w:val="22"/>
        </w:rPr>
        <w:t xml:space="preserve"> </w:t>
      </w:r>
      <w:r w:rsidRPr="00765DA9">
        <w:rPr>
          <w:szCs w:val="22"/>
        </w:rPr>
        <w:t>Or, should we take a lesser step of revising the way</w:t>
      </w:r>
      <w:r>
        <w:rPr>
          <w:szCs w:val="22"/>
        </w:rPr>
        <w:t xml:space="preserve"> access-stimulating competitive </w:t>
      </w:r>
      <w:r w:rsidRPr="00765DA9">
        <w:rPr>
          <w:szCs w:val="22"/>
        </w:rPr>
        <w:t>LECs set their</w:t>
      </w:r>
      <w:r>
        <w:rPr>
          <w:szCs w:val="22"/>
        </w:rPr>
        <w:t xml:space="preserve"> rates, such as for transport?  </w:t>
      </w:r>
      <w:r>
        <w:rPr>
          <w:i/>
          <w:szCs w:val="22"/>
        </w:rPr>
        <w:t xml:space="preserve">See </w:t>
      </w:r>
      <w:r>
        <w:t xml:space="preserve">Letter from Gerard J. Waldron, Counsel for Inteliquent, Inc. to Marlene H. Dortch, Secretary, FCC, WC Docket Nos. 16-363, 10-90, 07-135; CC Docket No. 01-92, Attach. at 9 (filed Oct. 12, 2017) (Inteliquent Oct. 12, 2017 </w:t>
      </w:r>
      <w:r>
        <w:rPr>
          <w:i/>
        </w:rPr>
        <w:t>Ex Parte</w:t>
      </w:r>
      <w:r>
        <w:t>)</w:t>
      </w:r>
      <w:r w:rsidRPr="00165204">
        <w:t xml:space="preserve"> </w:t>
      </w:r>
      <w:r>
        <w:fldChar w:fldCharType="begin"/>
      </w:r>
      <w:r>
        <w:instrText xml:space="preserve"> HYPERLINK "https://ecfsapi.fcc.gov/file/1013210582644/Inteliquent%20Ex%20Parte%20Letter.pdf" </w:instrText>
      </w:r>
      <w:r>
        <w:fldChar w:fldCharType="separate"/>
      </w:r>
      <w:r w:rsidRPr="00165204">
        <w:rPr>
          <w:rStyle w:val="Hyperlink"/>
        </w:rPr>
        <w:t>https://ecfsapi.fcc.gov/file/1013210582644/Inteliquent%20Ex%20Parte%20Letter.pdf</w:t>
      </w:r>
      <w:r>
        <w:fldChar w:fldCharType="end"/>
      </w:r>
      <w:r w:rsidRPr="00165204">
        <w:t>.</w:t>
      </w:r>
      <w:r w:rsidRPr="003A43FC">
        <w:rPr>
          <w:szCs w:val="22"/>
        </w:rPr>
        <w:t xml:space="preserve"> </w:t>
      </w:r>
      <w:r>
        <w:rPr>
          <w:szCs w:val="22"/>
        </w:rPr>
        <w:t xml:space="preserve"> </w:t>
      </w:r>
    </w:p>
  </w:footnote>
  <w:footnote w:id="40">
    <w:p w:rsidR="008C3223" w:rsidP="008C3223">
      <w:pPr>
        <w:pStyle w:val="FootnoteText"/>
      </w:pPr>
      <w:r>
        <w:rPr>
          <w:rStyle w:val="FootnoteReference"/>
        </w:rPr>
        <w:footnoteRef/>
      </w:r>
      <w:r>
        <w:t xml:space="preserve"> </w:t>
      </w:r>
      <w:r>
        <w:rPr>
          <w:i/>
        </w:rPr>
        <w:t xml:space="preserve">See </w:t>
      </w:r>
      <w:r>
        <w:t>47 CFR § 61.3(bbb).  We seek comment on the definition of access stimulation particularly in light of our proposals in this Notice that rely on such definition.</w:t>
      </w:r>
    </w:p>
  </w:footnote>
  <w:footnote w:id="41">
    <w:p w:rsidR="008C3223" w:rsidRPr="0000299A" w:rsidP="008C3223">
      <w:pPr>
        <w:pStyle w:val="FootnoteText"/>
      </w:pPr>
      <w:r>
        <w:rPr>
          <w:rStyle w:val="FootnoteReference"/>
        </w:rPr>
        <w:footnoteRef/>
      </w:r>
      <w:r>
        <w:t xml:space="preserve"> </w:t>
      </w:r>
      <w:r>
        <w:rPr>
          <w:i/>
        </w:rPr>
        <w:t xml:space="preserve">See </w:t>
      </w:r>
      <w:r>
        <w:t xml:space="preserve">47 CFR § 61.3(bbb)(1)(ii).  </w:t>
      </w:r>
    </w:p>
  </w:footnote>
  <w:footnote w:id="42">
    <w:p w:rsidR="008C3223" w:rsidP="008C3223">
      <w:pPr>
        <w:pStyle w:val="FootnoteText"/>
      </w:pPr>
      <w:r>
        <w:rPr>
          <w:rStyle w:val="FootnoteReference"/>
        </w:rPr>
        <w:footnoteRef/>
      </w:r>
      <w:r>
        <w:t xml:space="preserve"> </w:t>
      </w:r>
      <w:r>
        <w:rPr>
          <w:i/>
        </w:rPr>
        <w:t xml:space="preserve">See </w:t>
      </w:r>
      <w:r>
        <w:t>47 CFR § 61.3(bbb)(1)(i).</w:t>
      </w:r>
    </w:p>
  </w:footnote>
  <w:footnote w:id="43">
    <w:p w:rsidR="008C3223" w:rsidP="008C3223">
      <w:pPr>
        <w:pStyle w:val="FootnoteText"/>
      </w:pPr>
      <w:r>
        <w:rPr>
          <w:rStyle w:val="FootnoteReference"/>
        </w:rPr>
        <w:footnoteRef/>
      </w:r>
      <w:r>
        <w:t xml:space="preserve"> </w:t>
      </w:r>
      <w:r>
        <w:rPr>
          <w:i/>
        </w:rPr>
        <w:t>See id</w:t>
      </w:r>
      <w:r>
        <w:t>.</w:t>
      </w:r>
    </w:p>
  </w:footnote>
  <w:footnote w:id="44">
    <w:p w:rsidR="008C3223" w:rsidP="008C3223">
      <w:pPr>
        <w:pStyle w:val="FootnoteText"/>
      </w:pPr>
      <w:r>
        <w:rPr>
          <w:rStyle w:val="FootnoteReference"/>
        </w:rPr>
        <w:footnoteRef/>
      </w:r>
      <w:r>
        <w:t xml:space="preserve"> In the </w:t>
      </w:r>
      <w:r w:rsidRPr="00A9704D">
        <w:rPr>
          <w:i/>
        </w:rPr>
        <w:t>USF/ICC Transformation Order</w:t>
      </w:r>
      <w:r>
        <w:t xml:space="preserve">, the Commission declined to adopt a similar notice requirement for competitive LECs, reasoning that such competitive LECs’ complying tariff revisions would serve as adequate notice.  </w:t>
      </w:r>
      <w:r>
        <w:rPr>
          <w:i/>
        </w:rPr>
        <w:t>USF/ICC Transformation Order</w:t>
      </w:r>
      <w:r>
        <w:t>, 26 FCC Rcd at 17886, n.1163.  However, it might not be possible to determine whether a competitive LEC is engaged in access stimulation merely by examining its tariff or tariff filings because the competitive LEC may be charging the lowest price cap LEC rate in the state, perhaps as a result of not being eligible for the rural competitive LEC exemption.  Further, it might not be possible to determine from the tariff filings of incumbent LECs that do not participate in the NECA tariff whether such incumbent LECs are engaged in access stimulation.</w:t>
      </w:r>
    </w:p>
  </w:footnote>
  <w:footnote w:id="45">
    <w:p w:rsidR="008C3223" w:rsidP="008C3223">
      <w:pPr>
        <w:pStyle w:val="FootnoteText"/>
      </w:pPr>
      <w:r>
        <w:rPr>
          <w:rStyle w:val="FootnoteReference"/>
        </w:rPr>
        <w:footnoteRef/>
      </w:r>
      <w:r>
        <w:t xml:space="preserve"> </w:t>
      </w:r>
      <w:r w:rsidRPr="00765DA9">
        <w:rPr>
          <w:szCs w:val="22"/>
        </w:rPr>
        <w:t xml:space="preserve">In the </w:t>
      </w:r>
      <w:r w:rsidRPr="00765DA9">
        <w:rPr>
          <w:i/>
          <w:szCs w:val="22"/>
        </w:rPr>
        <w:t>USF/ICC Transformation Order</w:t>
      </w:r>
      <w:r w:rsidRPr="00765DA9">
        <w:rPr>
          <w:szCs w:val="22"/>
        </w:rPr>
        <w:t xml:space="preserve">, </w:t>
      </w:r>
      <w:r>
        <w:rPr>
          <w:szCs w:val="22"/>
        </w:rPr>
        <w:t xml:space="preserve">rather than finding </w:t>
      </w:r>
      <w:r w:rsidRPr="00765DA9">
        <w:rPr>
          <w:szCs w:val="22"/>
        </w:rPr>
        <w:t>access stimulation unlawful</w:t>
      </w:r>
      <w:r>
        <w:rPr>
          <w:szCs w:val="22"/>
        </w:rPr>
        <w:t>,</w:t>
      </w:r>
      <w:r w:rsidRPr="00663FB4">
        <w:rPr>
          <w:szCs w:val="22"/>
        </w:rPr>
        <w:t xml:space="preserve"> </w:t>
      </w:r>
      <w:r w:rsidRPr="00765DA9">
        <w:rPr>
          <w:szCs w:val="22"/>
        </w:rPr>
        <w:t>the Commission adopted rules to “curtail” this harmful activity</w:t>
      </w:r>
      <w:r>
        <w:rPr>
          <w:szCs w:val="22"/>
        </w:rPr>
        <w:t xml:space="preserve">. </w:t>
      </w:r>
      <w:r w:rsidRPr="00663FB4">
        <w:rPr>
          <w:i/>
          <w:iCs/>
        </w:rPr>
        <w:t xml:space="preserve"> </w:t>
      </w:r>
      <w:r>
        <w:rPr>
          <w:i/>
          <w:iCs/>
        </w:rPr>
        <w:t xml:space="preserve">See </w:t>
      </w:r>
      <w:r>
        <w:rPr>
          <w:i/>
        </w:rPr>
        <w:t>USF/ICC Transformation Order</w:t>
      </w:r>
      <w:r>
        <w:t>, 26 FCC Rcd at 17879, para. 672 (“A ban on all revenue sharing arrangements could be overly broad, and no party has suggested a way to overcome this shortcoming.  Nor do we find that parties have demonstrated that traffic directed to access stimulators should not be subject to tariff access charges in all cases.” (footnote omitted));</w:t>
      </w:r>
      <w:r w:rsidRPr="00663FB4">
        <w:rPr>
          <w:i/>
        </w:rPr>
        <w:t xml:space="preserve"> </w:t>
      </w:r>
      <w:r>
        <w:rPr>
          <w:i/>
        </w:rPr>
        <w:t>id.</w:t>
      </w:r>
      <w:r>
        <w:t xml:space="preserve"> at 17676, para. 33, 17873, para. 649.  </w:t>
      </w:r>
    </w:p>
  </w:footnote>
  <w:footnote w:id="46">
    <w:p w:rsidR="008C3223" w:rsidP="008C3223">
      <w:pPr>
        <w:pStyle w:val="FootnoteText"/>
      </w:pPr>
      <w:r>
        <w:rPr>
          <w:rStyle w:val="FootnoteReference"/>
        </w:rPr>
        <w:footnoteRef/>
      </w:r>
      <w:r>
        <w:t xml:space="preserve"> Letter from Philip J. Macres, Klein Law Group to Marlene H. Dortch, Secretary, FCC, WC Docket Nos. 07-135, 10-90 at 2-3 (filed Dec. 20, 2017); </w:t>
      </w:r>
      <w:r>
        <w:rPr>
          <w:i/>
        </w:rPr>
        <w:t>see also</w:t>
      </w:r>
      <w:r>
        <w:t xml:space="preserve"> Peerless, et al. Comments, WC Docket No. 10-90, CC Docket No. 01-92 at 4 (filed Oct. 26, 2017) (Peerless, et al. </w:t>
      </w:r>
      <w:r w:rsidRPr="00E816DA">
        <w:rPr>
          <w:i/>
        </w:rPr>
        <w:t>Refresh-the-Record PN</w:t>
      </w:r>
      <w:r>
        <w:t xml:space="preserve"> Comments).  These allegations have been disputed.  </w:t>
      </w:r>
      <w:r>
        <w:rPr>
          <w:i/>
        </w:rPr>
        <w:t xml:space="preserve">See </w:t>
      </w:r>
      <w:r>
        <w:t xml:space="preserve">Letter from Todd D. Daubert, Counsel to T-Mobile USA, Inc. to Marlene H. Dortch, Secretary, FCC, WC Docket Nos. 07-135, 10-90; CC Docket No. 01-92, at 2-3 (filed Jan. 5, 2018) (T-Mobile Jan. 5, 2018 </w:t>
      </w:r>
      <w:r>
        <w:rPr>
          <w:i/>
        </w:rPr>
        <w:t>Ex Parte</w:t>
      </w:r>
      <w:r>
        <w:t xml:space="preserve">).  </w:t>
      </w:r>
      <w:r>
        <w:rPr>
          <w:i/>
        </w:rPr>
        <w:t xml:space="preserve">See also </w:t>
      </w:r>
      <w:r>
        <w:t>Letter from John Barnicle, President and CEO, Peerless Network, Inc. &amp; Philip Macres, Principal, Klein Law Group to Marlene H. Dortch, Secretary, FCC, WC Docket Nos. 07-135, 10-90, CC Docket No. 01-92 (filed Mar. 15, 2018); Letter from Philip J. Macres, Klein Law Group to Marlene H. Dortch, Secretary, FCC, WC Docket Nos. 07-135, 10-90; CC Docket No. 01-92 (filed Apr. 12, 2018).</w:t>
      </w:r>
    </w:p>
  </w:footnote>
  <w:footnote w:id="47">
    <w:p w:rsidR="008C3223" w:rsidRPr="00232F47" w:rsidP="008C3223">
      <w:pPr>
        <w:pStyle w:val="FootnoteText"/>
      </w:pPr>
      <w:r>
        <w:rPr>
          <w:rStyle w:val="FootnoteReference"/>
        </w:rPr>
        <w:footnoteRef/>
      </w:r>
      <w:r>
        <w:t xml:space="preserve"> 47 CFR § 20.15(c).</w:t>
      </w:r>
    </w:p>
  </w:footnote>
  <w:footnote w:id="48">
    <w:p w:rsidR="008C3223" w:rsidP="008C3223">
      <w:pPr>
        <w:pStyle w:val="FootnoteText"/>
      </w:pPr>
      <w:r>
        <w:rPr>
          <w:rStyle w:val="FootnoteReference"/>
        </w:rPr>
        <w:footnoteRef/>
      </w:r>
      <w:r>
        <w:t xml:space="preserve"> Letter from Philip J. Macres, Klein Law Group to Marlene H. Dortch, Secretary, FCC, WC Docket Nos. 07-135, 10-90 at 2-3 (filed Dec. 20, 2017); </w:t>
      </w:r>
      <w:r>
        <w:rPr>
          <w:i/>
        </w:rPr>
        <w:t>see also</w:t>
      </w:r>
      <w:r>
        <w:t xml:space="preserve"> Peerless, et al. </w:t>
      </w:r>
      <w:r w:rsidRPr="00E816DA">
        <w:rPr>
          <w:i/>
        </w:rPr>
        <w:t>Refresh-the-Record PN</w:t>
      </w:r>
      <w:r>
        <w:t xml:space="preserve"> Comments at 4.  These allegations have been disputed.  </w:t>
      </w:r>
      <w:r>
        <w:rPr>
          <w:i/>
        </w:rPr>
        <w:t xml:space="preserve">See </w:t>
      </w:r>
      <w:r>
        <w:t xml:space="preserve">Letter from Todd D. Daubert, Counsel to T-Mobile USA, Inc. to Marlene H. Dortch, Secretary, FCC, WC Docket Nos. 07-135, 10-90; CC Docket No. 01-92, at 2-3 (filed Jan. 5, 2018) (T-Mobile Jan. 5, 2018 </w:t>
      </w:r>
      <w:r>
        <w:rPr>
          <w:i/>
        </w:rPr>
        <w:t>Ex Parte</w:t>
      </w:r>
      <w:r>
        <w:t xml:space="preserve">).  </w:t>
      </w:r>
      <w:r>
        <w:rPr>
          <w:i/>
        </w:rPr>
        <w:t xml:space="preserve">See also </w:t>
      </w:r>
      <w:r>
        <w:t xml:space="preserve">Letter from John Barnicle, President and CEO, Peerless Network, Inc. &amp; Philip Macres, Principal, Klein Law Group to Marlene H. Dortch, Secretary, FCC, WC Docket Nos. 07-135, 10-90, CC Docket No. 01-92 (filed Mar. 15, 2018); Letter from Philip J. Macres, Klein Law Group to Marlene H. Dortch, Secretary, FCC, WC Docket Nos. 07-135, 10-90; CC Docket No. 01-92 (filed Apr. 12, 2018).  </w:t>
      </w:r>
      <w:r w:rsidRPr="00583B6D">
        <w:t>We</w:t>
      </w:r>
      <w:r>
        <w:t xml:space="preserve"> strongly encourage all parties to provide further explanation in response to this Notice. </w:t>
      </w:r>
    </w:p>
  </w:footnote>
  <w:footnote w:id="49">
    <w:p w:rsidR="008C3223" w:rsidP="008C3223">
      <w:pPr>
        <w:pStyle w:val="FootnoteText"/>
      </w:pPr>
      <w:r>
        <w:rPr>
          <w:rStyle w:val="FootnoteReference"/>
        </w:rPr>
        <w:footnoteRef/>
      </w:r>
      <w:r>
        <w:t xml:space="preserve"> </w:t>
      </w:r>
      <w:r>
        <w:rPr>
          <w:i/>
          <w:iCs/>
          <w:snapToGrid w:val="0"/>
        </w:rPr>
        <w:t>See</w:t>
      </w:r>
      <w:r>
        <w:rPr>
          <w:snapToGrid w:val="0"/>
        </w:rPr>
        <w:t xml:space="preserve">, </w:t>
      </w:r>
      <w:r>
        <w:rPr>
          <w:i/>
          <w:iCs/>
          <w:snapToGrid w:val="0"/>
        </w:rPr>
        <w:t>e.g</w:t>
      </w:r>
      <w:r>
        <w:rPr>
          <w:snapToGrid w:val="0"/>
        </w:rPr>
        <w:t>., Letter from Matthew S. DelNero, Counsel for Inteliquent Inc., to Marlene H. Dortch, Secretary, FCC, WC Docket No. 18-155 at 2 (filed June 1, 2018) (alleging that there are legitimate reasons for CMRS and other providers to use intermediate providers, including to detect and deter fraudulent traffic; convert TDM traffic to IP format; and improve the quality of service).</w:t>
      </w:r>
    </w:p>
  </w:footnote>
  <w:footnote w:id="50">
    <w:p w:rsidR="008C3223" w:rsidP="008C3223">
      <w:pPr>
        <w:pStyle w:val="FootnoteText"/>
      </w:pPr>
      <w:r>
        <w:rPr>
          <w:rStyle w:val="FootnoteReference"/>
        </w:rPr>
        <w:footnoteRef/>
      </w:r>
      <w:r>
        <w:t xml:space="preserve"> Inteliquent Oct. 12, 2017 </w:t>
      </w:r>
      <w:r>
        <w:rPr>
          <w:i/>
        </w:rPr>
        <w:t>Ex Parte</w:t>
      </w:r>
      <w:r>
        <w:t xml:space="preserve"> Attach. at 7.</w:t>
      </w:r>
    </w:p>
  </w:footnote>
  <w:footnote w:id="51">
    <w:p w:rsidR="008C3223" w:rsidP="008C3223">
      <w:pPr>
        <w:pStyle w:val="FootnoteText"/>
      </w:pPr>
      <w:r>
        <w:rPr>
          <w:rStyle w:val="FootnoteReference"/>
        </w:rPr>
        <w:footnoteRef/>
      </w:r>
      <w:r>
        <w:t xml:space="preserve"> In addressing a complaint</w:t>
      </w:r>
      <w:r w:rsidRPr="00147F68">
        <w:t xml:space="preserve"> </w:t>
      </w:r>
      <w:r>
        <w:t xml:space="preserve">in which AT&amp;T alleged that the Defendants unnecessarily changed the POIs that AT&amp;T had established with a CEA provider to artificially inflate charges to AT&amp;T for per-MOU per-mile transport (by increasing the billable mileage by amounts varying between 79 and 135 additional miles) the Commission found that the Defendants violated section 201(b) of the Act by engaging in unreasonable “sham arrangements” designed to inflate mileage charges.  </w:t>
      </w:r>
      <w:r>
        <w:rPr>
          <w:i/>
        </w:rPr>
        <w:t>AT&amp;T Corp. v. Alpine Communications, LLC et al.</w:t>
      </w:r>
      <w:r>
        <w:t>, 27 FCC Rcd 11511 at 11526, para. 39 (2012) (</w:t>
      </w:r>
      <w:r w:rsidRPr="00713A8A">
        <w:rPr>
          <w:i/>
        </w:rPr>
        <w:t>Alpine</w:t>
      </w:r>
      <w:r>
        <w:t xml:space="preserve">).  The Commission found that the evidence demonstrated that the Defendants had significantly increased AT&amp;T’s operating costs without providing any enhanced service choices or benefits to customers.  </w:t>
      </w:r>
      <w:r>
        <w:rPr>
          <w:i/>
        </w:rPr>
        <w:t>Alpine</w:t>
      </w:r>
      <w:r>
        <w:t xml:space="preserve">, 27 FCC Rcd at 11528-30, paras. 44-48.  The Commission also held that the Defendants did not have the unilateral right under applicable tariffs to alter their POIs with the CEA provider and that they did not provide appropriate notice of the POI changes.  </w:t>
      </w:r>
      <w:r>
        <w:rPr>
          <w:i/>
        </w:rPr>
        <w:t>Alpine</w:t>
      </w:r>
      <w:r>
        <w:t xml:space="preserve">, 27 FCC Rcd at 11520-23, paras. 23-30, 11525-26, paras. 37-38.  The Commission found certain of the Defendants violated the terms of their tariff by charging for transport services provided outside of the LATA in which such LECs had end users.  </w:t>
      </w:r>
      <w:r>
        <w:rPr>
          <w:i/>
        </w:rPr>
        <w:t>Alpine</w:t>
      </w:r>
      <w:r>
        <w:t xml:space="preserve">, 27 FCC Rcd at 11523-24, para. 34.  </w:t>
      </w:r>
    </w:p>
  </w:footnote>
  <w:footnote w:id="52">
    <w:p w:rsidR="008C3223" w:rsidP="008C3223">
      <w:pPr>
        <w:pStyle w:val="FootnoteText"/>
      </w:pPr>
      <w:r>
        <w:rPr>
          <w:rStyle w:val="FootnoteReference"/>
        </w:rPr>
        <w:footnoteRef/>
      </w:r>
      <w:r>
        <w:t xml:space="preserve"> </w:t>
      </w:r>
      <w:r w:rsidRPr="00F60C24">
        <w:rPr>
          <w:i/>
        </w:rPr>
        <w:t>See</w:t>
      </w:r>
      <w:r w:rsidRPr="00DB5509">
        <w:rPr>
          <w:i/>
        </w:rPr>
        <w:t>,</w:t>
      </w:r>
      <w:r>
        <w:t xml:space="preserve"> </w:t>
      </w:r>
      <w:r>
        <w:rPr>
          <w:i/>
        </w:rPr>
        <w:t>e.g.</w:t>
      </w:r>
      <w:r>
        <w:t xml:space="preserve">, </w:t>
      </w:r>
      <w:r w:rsidRPr="00552FA9">
        <w:t>Inteliquent</w:t>
      </w:r>
      <w:r>
        <w:t xml:space="preserve"> Oct. 12, 2017 </w:t>
      </w:r>
      <w:r>
        <w:rPr>
          <w:i/>
        </w:rPr>
        <w:t>Ex Parte</w:t>
      </w:r>
      <w:r>
        <w:t xml:space="preserve">, Attach. at 7 (providing example of one call accumulating three termination charges due to the host/remote end office configuration).  </w:t>
      </w:r>
    </w:p>
  </w:footnote>
  <w:footnote w:id="53">
    <w:p w:rsidR="008C3223" w:rsidP="008C3223">
      <w:pPr>
        <w:pStyle w:val="FootnoteText"/>
      </w:pPr>
      <w:r>
        <w:rPr>
          <w:rStyle w:val="FootnoteReference"/>
        </w:rPr>
        <w:footnoteRef/>
      </w:r>
      <w:r>
        <w:t xml:space="preserve"> </w:t>
      </w:r>
      <w:r w:rsidRPr="00AE7485">
        <w:rPr>
          <w:i/>
        </w:rPr>
        <w:t>Id.</w:t>
      </w:r>
    </w:p>
  </w:footnote>
  <w:footnote w:id="54">
    <w:p w:rsidR="008C3223" w:rsidRPr="00334869" w:rsidP="008C3223">
      <w:pPr>
        <w:pStyle w:val="FootnoteText"/>
      </w:pPr>
      <w:r>
        <w:rPr>
          <w:rStyle w:val="FootnoteReference"/>
        </w:rPr>
        <w:footnoteRef/>
      </w:r>
      <w:r>
        <w:t xml:space="preserve"> </w:t>
      </w:r>
      <w:r>
        <w:rPr>
          <w:i/>
        </w:rPr>
        <w:t xml:space="preserve">See </w:t>
      </w:r>
      <w:r>
        <w:t xml:space="preserve">CenturyLink Apr. 30, 2018 </w:t>
      </w:r>
      <w:r>
        <w:rPr>
          <w:i/>
        </w:rPr>
        <w:t>Ex Parte</w:t>
      </w:r>
      <w:r>
        <w:t>.</w:t>
      </w:r>
    </w:p>
  </w:footnote>
  <w:footnote w:id="55">
    <w:p w:rsidR="008C3223" w:rsidP="008C3223">
      <w:pPr>
        <w:pStyle w:val="FootnoteText"/>
      </w:pPr>
      <w:r>
        <w:rPr>
          <w:rStyle w:val="FootnoteReference"/>
        </w:rPr>
        <w:footnoteRef/>
      </w:r>
      <w:r>
        <w:t xml:space="preserve"> </w:t>
      </w:r>
      <w:r w:rsidRPr="007713DE">
        <w:rPr>
          <w:i/>
        </w:rPr>
        <w:t xml:space="preserve">See </w:t>
      </w:r>
      <w:r w:rsidRPr="00026C54">
        <w:t>James Valley Cooperative Telephone Co. (JVCTC), Northe</w:t>
      </w:r>
      <w:r>
        <w:t>rn Valley Communications, LLC (NVC</w:t>
      </w:r>
      <w:r w:rsidRPr="00026C54">
        <w:t>), and Great Lakes Comm</w:t>
      </w:r>
      <w:r>
        <w:t xml:space="preserve">unication Corp. (GLCC) Reply, WC Docket No. 10-90, CC Docket No. 01-92 at 6 (filed Nov. 20, 2017) (JVCTC, NVC and GLCC </w:t>
      </w:r>
      <w:r>
        <w:rPr>
          <w:i/>
        </w:rPr>
        <w:t xml:space="preserve">Refresh-the-Record PN </w:t>
      </w:r>
      <w:r>
        <w:t>Reply) (stating “AT&amp;T’s and Verizon’s (and many other IXCs’) customers have come to rely upon these conferencing and related high-volume services”).</w:t>
      </w:r>
    </w:p>
  </w:footnote>
  <w:footnote w:id="56">
    <w:p w:rsidR="008C3223" w:rsidRPr="00376D11" w:rsidP="008C3223">
      <w:pPr>
        <w:pStyle w:val="FootnoteText"/>
      </w:pPr>
      <w:r>
        <w:rPr>
          <w:rStyle w:val="FootnoteReference"/>
        </w:rPr>
        <w:footnoteRef/>
      </w:r>
      <w:r>
        <w:t xml:space="preserve"> </w:t>
      </w:r>
      <w:r>
        <w:rPr>
          <w:i/>
        </w:rPr>
        <w:t>See, e.g.</w:t>
      </w:r>
      <w:r>
        <w:t xml:space="preserve">, AT&amp;T </w:t>
      </w:r>
      <w:r>
        <w:rPr>
          <w:i/>
        </w:rPr>
        <w:t xml:space="preserve">Refresh-the-Record PN </w:t>
      </w:r>
      <w:r>
        <w:t>Comments at 17-19 (discussing intermediate provider competition).</w:t>
      </w:r>
    </w:p>
  </w:footnote>
  <w:footnote w:id="57">
    <w:p w:rsidR="008C3223" w:rsidP="008C3223">
      <w:pPr>
        <w:pStyle w:val="FootnoteText"/>
      </w:pPr>
      <w:r>
        <w:rPr>
          <w:rStyle w:val="FootnoteReference"/>
        </w:rPr>
        <w:footnoteRef/>
      </w:r>
      <w:r>
        <w:t xml:space="preserve"> </w:t>
      </w:r>
      <w:r>
        <w:rPr>
          <w:i/>
        </w:rPr>
        <w:t>USF/ICC Transformation Order</w:t>
      </w:r>
      <w:r>
        <w:t xml:space="preserve">, 26 FCC Rcd at </w:t>
      </w:r>
      <w:r w:rsidRPr="00517C78">
        <w:t>17676</w:t>
      </w:r>
      <w:r>
        <w:t xml:space="preserve">, para. 33, </w:t>
      </w:r>
      <w:r w:rsidRPr="005C4F80">
        <w:t>17875</w:t>
      </w:r>
      <w:r>
        <w:t xml:space="preserve">-76, paras. </w:t>
      </w:r>
      <w:r w:rsidRPr="0057080B">
        <w:t>663</w:t>
      </w:r>
      <w:r>
        <w:t>-64</w:t>
      </w:r>
      <w:r w:rsidRPr="0057080B">
        <w:t xml:space="preserve"> (</w:t>
      </w:r>
      <w:r>
        <w:t xml:space="preserve">finding </w:t>
      </w:r>
      <w:r w:rsidRPr="0057080B">
        <w:t>“[a]ccess stimulation imposes undue costs on consumers</w:t>
      </w:r>
      <w:r>
        <w:t xml:space="preserve"> . . . .</w:t>
      </w:r>
      <w:r w:rsidRPr="0057080B">
        <w:t>”)</w:t>
      </w:r>
      <w:r>
        <w:t>.</w:t>
      </w:r>
    </w:p>
  </w:footnote>
  <w:footnote w:id="58">
    <w:p w:rsidR="008C3223" w:rsidRPr="00A102B2" w:rsidP="008C3223">
      <w:pPr>
        <w:pStyle w:val="FootnoteText"/>
      </w:pPr>
      <w:r>
        <w:rPr>
          <w:rStyle w:val="FootnoteReference"/>
        </w:rPr>
        <w:footnoteRef/>
      </w:r>
      <w:r>
        <w:t xml:space="preserve"> </w:t>
      </w:r>
      <w:r>
        <w:rPr>
          <w:i/>
        </w:rPr>
        <w:t>Id</w:t>
      </w:r>
      <w:r>
        <w:t>.</w:t>
      </w:r>
    </w:p>
  </w:footnote>
  <w:footnote w:id="59">
    <w:p w:rsidR="008C3223" w:rsidRPr="00A64F4D" w:rsidP="008C3223">
      <w:pPr>
        <w:pStyle w:val="FootnoteText"/>
      </w:pPr>
      <w:r>
        <w:rPr>
          <w:rStyle w:val="FootnoteReference"/>
        </w:rPr>
        <w:footnoteRef/>
      </w:r>
      <w:r>
        <w:t xml:space="preserve"> </w:t>
      </w:r>
      <w:r>
        <w:rPr>
          <w:i/>
        </w:rPr>
        <w:t xml:space="preserve">See </w:t>
      </w:r>
      <w:r>
        <w:t xml:space="preserve">NTCA and WTA Joint Reply, WC Docket No. 10-90, CC Docket No. 01-92 at 12 (filed </w:t>
      </w:r>
      <w:r w:rsidRPr="00A64F4D">
        <w:t>Nov</w:t>
      </w:r>
      <w:r>
        <w:t>.</w:t>
      </w:r>
      <w:r w:rsidRPr="00A64F4D">
        <w:t xml:space="preserve"> 20, 2017</w:t>
      </w:r>
      <w:r>
        <w:t>) (stating “unreasonable arbitrage is largely confined at most to a handful of CLECs and is not endemic to the industry as a whole”).</w:t>
      </w:r>
    </w:p>
  </w:footnote>
  <w:footnote w:id="60">
    <w:p w:rsidR="008C3223" w:rsidRPr="00CC4375" w:rsidP="008C3223">
      <w:pPr>
        <w:pStyle w:val="FootnoteText"/>
      </w:pPr>
      <w:r>
        <w:rPr>
          <w:rStyle w:val="FootnoteReference"/>
        </w:rPr>
        <w:footnoteRef/>
      </w:r>
      <w:r>
        <w:t xml:space="preserve"> </w:t>
      </w:r>
      <w:r>
        <w:rPr>
          <w:i/>
        </w:rPr>
        <w:t>See, e.g.</w:t>
      </w:r>
      <w:r>
        <w:t xml:space="preserve">, JVCTC, NVC and GLCC </w:t>
      </w:r>
      <w:r>
        <w:rPr>
          <w:i/>
        </w:rPr>
        <w:t xml:space="preserve">Refresh-the-Record PN </w:t>
      </w:r>
      <w:r>
        <w:t>Reply</w:t>
      </w:r>
      <w:r>
        <w:t xml:space="preserve"> </w:t>
      </w:r>
      <w:r>
        <w:t>at 2-8  (questioning the degree and effect of current arbitrage issues).</w:t>
      </w:r>
    </w:p>
  </w:footnote>
  <w:footnote w:id="61">
    <w:p w:rsidR="008C3223" w:rsidRPr="00B7634B" w:rsidP="008C3223">
      <w:pPr>
        <w:pStyle w:val="FootnoteText"/>
      </w:pPr>
      <w:r>
        <w:rPr>
          <w:rStyle w:val="FootnoteReference"/>
        </w:rPr>
        <w:footnoteRef/>
      </w:r>
      <w:r>
        <w:t xml:space="preserve"> </w:t>
      </w:r>
      <w:r>
        <w:rPr>
          <w:i/>
        </w:rPr>
        <w:t>See, e.g.</w:t>
      </w:r>
      <w:r>
        <w:t>,</w:t>
      </w:r>
      <w:r>
        <w:rPr>
          <w:i/>
        </w:rPr>
        <w:t xml:space="preserve"> </w:t>
      </w:r>
      <w:r>
        <w:t xml:space="preserve">Petition of AT&amp;T Services, Inc. For Forbearance Under 47 U.S.C. § 160(c) From Enforcement Of Certain Rules For Switched Access Services And Toll Free Database Dip Charges, WC Docket No. 16-363 at 9-10 (filed Sept. 30, 2016) (discussing “rampant” issues with </w:t>
      </w:r>
      <w:r w:rsidRPr="00B7634B">
        <w:t>access stimulation</w:t>
      </w:r>
      <w:r>
        <w:t>).</w:t>
      </w:r>
    </w:p>
  </w:footnote>
  <w:footnote w:id="62">
    <w:p w:rsidR="008C3223" w:rsidRPr="00456455" w:rsidP="008C3223">
      <w:pPr>
        <w:pStyle w:val="FootnoteText"/>
      </w:pPr>
      <w:r>
        <w:rPr>
          <w:rStyle w:val="FootnoteReference"/>
        </w:rPr>
        <w:footnoteRef/>
      </w:r>
      <w:r>
        <w:t xml:space="preserve"> </w:t>
      </w:r>
      <w:r>
        <w:rPr>
          <w:i/>
        </w:rPr>
        <w:t>See, e.g.</w:t>
      </w:r>
      <w:r>
        <w:t>, Nebraska Rural Independent Companies Reply</w:t>
      </w:r>
      <w:r w:rsidRPr="000437E3">
        <w:t>,</w:t>
      </w:r>
      <w:r>
        <w:t xml:space="preserve"> WC Docket No. 10-90, CC Docket No. 01-92, at App. A (filed Nov. 20, 2017) (“Examples of Quotations Taken from the USF/ICC Transformation Order Regarding the FCC Predictive Judgements Associated with Anticipated Benefits to be Derived from Bill and Keep for Terminating Traffic”); </w:t>
      </w:r>
      <w:r>
        <w:rPr>
          <w:i/>
        </w:rPr>
        <w:t>see also</w:t>
      </w:r>
      <w:r>
        <w:t xml:space="preserve"> </w:t>
      </w:r>
      <w:r w:rsidRPr="006D1AAC">
        <w:t xml:space="preserve">South Dakota Telecommunications Association </w:t>
      </w:r>
      <w:r>
        <w:t>Reply, WC Docket No. 10-90, CC Docket No. 01-92, at 5 (filed Nov. 20, 2017) (describing the amount of revenue that could be affected by regulatory changes to current payment obligations for originating switched access services (both interstate and intrastate)).</w:t>
      </w:r>
    </w:p>
  </w:footnote>
  <w:footnote w:id="63">
    <w:p w:rsidR="008C3223" w:rsidRPr="0037649D" w:rsidP="008C3223">
      <w:pPr>
        <w:pStyle w:val="FootnoteText"/>
      </w:pPr>
      <w:r>
        <w:rPr>
          <w:rStyle w:val="FootnoteReference"/>
        </w:rPr>
        <w:footnoteRef/>
      </w:r>
      <w:r>
        <w:t xml:space="preserve"> </w:t>
      </w:r>
      <w:r>
        <w:rPr>
          <w:i/>
        </w:rPr>
        <w:t>See USF/ICC Transformation Order</w:t>
      </w:r>
      <w:r>
        <w:t xml:space="preserve">, 26 FCC Rcd at </w:t>
      </w:r>
      <w:r w:rsidRPr="00537A9B">
        <w:t>17914</w:t>
      </w:r>
      <w:r>
        <w:t xml:space="preserve">-25, paras. 760-81.  </w:t>
      </w:r>
    </w:p>
  </w:footnote>
  <w:footnote w:id="64">
    <w:p w:rsidR="008C3223" w:rsidRPr="007E5EB2" w:rsidP="008C3223">
      <w:pPr>
        <w:pStyle w:val="FootnoteText"/>
      </w:pPr>
      <w:r>
        <w:rPr>
          <w:rStyle w:val="FootnoteReference"/>
        </w:rPr>
        <w:footnoteRef/>
      </w:r>
      <w:r>
        <w:t xml:space="preserve"> </w:t>
      </w:r>
      <w:r>
        <w:rPr>
          <w:i/>
        </w:rPr>
        <w:t>Id</w:t>
      </w:r>
      <w:r>
        <w:t>. at 17875, para. 660.</w:t>
      </w:r>
    </w:p>
  </w:footnote>
  <w:footnote w:id="65">
    <w:p w:rsidR="008C3223" w:rsidRPr="0041622A" w:rsidP="008C3223">
      <w:pPr>
        <w:pStyle w:val="FootnoteText"/>
      </w:pPr>
      <w:r>
        <w:rPr>
          <w:rStyle w:val="FootnoteReference"/>
        </w:rPr>
        <w:footnoteRef/>
      </w:r>
      <w:r>
        <w:t xml:space="preserve"> </w:t>
      </w:r>
      <w:r>
        <w:rPr>
          <w:i/>
        </w:rPr>
        <w:t>See id</w:t>
      </w:r>
      <w:r>
        <w:t>. at 17914, para. 760.</w:t>
      </w:r>
    </w:p>
  </w:footnote>
  <w:footnote w:id="66">
    <w:p w:rsidR="008C3223" w:rsidP="008C3223">
      <w:pPr>
        <w:pStyle w:val="FootnoteText"/>
      </w:pPr>
      <w:r>
        <w:rPr>
          <w:rStyle w:val="FootnoteReference"/>
        </w:rPr>
        <w:footnoteRef/>
      </w:r>
      <w:r>
        <w:t xml:space="preserve"> </w:t>
      </w:r>
      <w:r w:rsidRPr="008F2328">
        <w:rPr>
          <w:i/>
        </w:rPr>
        <w:t>See</w:t>
      </w:r>
      <w:r>
        <w:rPr>
          <w:i/>
        </w:rPr>
        <w:t xml:space="preserve"> infra</w:t>
      </w:r>
      <w:r>
        <w:t xml:space="preserve"> App. A.</w:t>
      </w:r>
    </w:p>
  </w:footnote>
  <w:footnote w:id="67">
    <w:p w:rsidR="008C3223" w:rsidP="008C3223">
      <w:pPr>
        <w:pStyle w:val="FootnoteText"/>
      </w:pPr>
      <w:r>
        <w:rPr>
          <w:rStyle w:val="FootnoteReference"/>
        </w:rPr>
        <w:footnoteRef/>
      </w:r>
      <w:r>
        <w:t xml:space="preserve"> </w:t>
      </w:r>
      <w:r w:rsidRPr="00552706">
        <w:t>Any proposed rule revision pertaining to terminating interstate switched access rates would apply equally to terminating intrastate switched access rates by operation of sections 51.907(c)(1), 51.909(c)(1), and 51.911(c) of our rules.  47 CFR §§ 51.907(c)(1)</w:t>
      </w:r>
      <w:r>
        <w:t>,</w:t>
      </w:r>
      <w:r w:rsidRPr="00552706">
        <w:t xml:space="preserve"> 51.909(c)(1), 51.911(c).  Sections 51.907(c)(1) and 51.909(c)(1) create parity between interstate and intrastate terminating switched access rates prohibiting incumbent LECs’ pertinent switched terminating intrastate access rates from exceeding such LECs’ interstate rates for functionally-equivalent service.  Thus, any rules that we adopt limiting the level or applicability of interstate switched access rates would apply to intrastate switched access rates.  47 CFR §§ 51.907(c)(1)</w:t>
      </w:r>
      <w:r>
        <w:t>,</w:t>
      </w:r>
      <w:r w:rsidRPr="00552706">
        <w:t xml:space="preserve"> 51.909(c)(1).  Such rules would extend to competitive LECs by operation of section 51.911(c), which prohibits such LECs from tariffing interstate or intrastate rates that exceed the rates of the incumbent LECs with which they compete.  47 CFR § 51.911(c).  The non-rate-related aspects of our proposed rules are not limited to interstate traffic.</w:t>
      </w:r>
    </w:p>
  </w:footnote>
  <w:footnote w:id="68">
    <w:p w:rsidR="008C3223" w:rsidRPr="005106FD" w:rsidP="008C3223">
      <w:pPr>
        <w:pStyle w:val="FootnoteText"/>
      </w:pPr>
      <w:r>
        <w:rPr>
          <w:rStyle w:val="FootnoteReference"/>
        </w:rPr>
        <w:footnoteRef/>
      </w:r>
      <w:r>
        <w:t xml:space="preserve"> 47 CF</w:t>
      </w:r>
      <w:r w:rsidRPr="002F2805">
        <w:t xml:space="preserve">R §§ 1.1200 </w:t>
      </w:r>
      <w:r w:rsidRPr="002F2805">
        <w:rPr>
          <w:i/>
          <w:iCs/>
        </w:rPr>
        <w:t>et seq.</w:t>
      </w:r>
    </w:p>
  </w:footnote>
  <w:footnote w:id="69">
    <w:p w:rsidR="008C3223" w:rsidP="008C3223">
      <w:pPr>
        <w:pStyle w:val="FootnoteText"/>
      </w:pPr>
      <w:r>
        <w:rPr>
          <w:rStyle w:val="FootnoteReference"/>
        </w:rPr>
        <w:footnoteRef/>
      </w:r>
      <w:r>
        <w:t xml:space="preserve"> </w:t>
      </w:r>
      <w:r>
        <w:rPr>
          <w:i/>
          <w:iCs/>
          <w:szCs w:val="22"/>
        </w:rPr>
        <w:t>S</w:t>
      </w:r>
      <w:r w:rsidRPr="00FE7186">
        <w:rPr>
          <w:i/>
          <w:iCs/>
          <w:szCs w:val="22"/>
        </w:rPr>
        <w:t>ee</w:t>
      </w:r>
      <w:r w:rsidRPr="00FE7186">
        <w:rPr>
          <w:szCs w:val="22"/>
        </w:rPr>
        <w:t xml:space="preserve"> 44 U.S.C. </w:t>
      </w:r>
      <w:r>
        <w:rPr>
          <w:szCs w:val="22"/>
        </w:rPr>
        <w:t xml:space="preserve">§ </w:t>
      </w:r>
      <w:r w:rsidRPr="00FE7186">
        <w:rPr>
          <w:szCs w:val="22"/>
        </w:rPr>
        <w:t>3506(c)(4)</w:t>
      </w:r>
      <w:r>
        <w:rPr>
          <w:szCs w:val="22"/>
        </w:rPr>
        <w:t>.</w:t>
      </w:r>
    </w:p>
  </w:footnote>
  <w:footnote w:id="70">
    <w:p w:rsidR="008C3223" w:rsidRPr="00FE7186" w:rsidP="008C3223">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71">
    <w:p w:rsidR="008C3223" w:rsidRPr="00FE0C84" w:rsidP="008C3223">
      <w:pPr>
        <w:pStyle w:val="FootnoteText"/>
      </w:pPr>
      <w:r>
        <w:rPr>
          <w:rStyle w:val="FootnoteReference"/>
        </w:rPr>
        <w:footnoteRef/>
      </w:r>
      <w:r>
        <w:t xml:space="preserve"> </w:t>
      </w:r>
      <w:r>
        <w:rPr>
          <w:i/>
        </w:rPr>
        <w:t>USF/ICC Transformation Order</w:t>
      </w:r>
      <w:r>
        <w:t xml:space="preserve"> at App. P.</w:t>
      </w:r>
    </w:p>
  </w:footnote>
  <w:footnote w:id="72">
    <w:p w:rsidR="008C3223" w:rsidRPr="00FE7186" w:rsidP="008C3223">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73">
    <w:p w:rsidR="008C3223" w:rsidP="008C3223">
      <w:pPr>
        <w:pStyle w:val="FootnoteText"/>
      </w:pPr>
      <w:r>
        <w:rPr>
          <w:rStyle w:val="FootnoteReference"/>
        </w:rPr>
        <w:footnoteRef/>
      </w:r>
      <w:r>
        <w:t xml:space="preserve"> </w:t>
      </w:r>
      <w:r>
        <w:rPr>
          <w:i/>
          <w:spacing w:val="-2"/>
        </w:rPr>
        <w:t xml:space="preserve">See </w:t>
      </w:r>
      <w:r>
        <w:rPr>
          <w:spacing w:val="-2"/>
        </w:rPr>
        <w:t xml:space="preserve">5 U.S.C. § 603.  The RFA, </w:t>
      </w:r>
      <w:r>
        <w:rPr>
          <w:i/>
          <w:spacing w:val="-2"/>
        </w:rPr>
        <w:t>see</w:t>
      </w:r>
      <w:r>
        <w:rPr>
          <w:spacing w:val="-2"/>
        </w:rPr>
        <w:t xml:space="preserve"> 5 U.S.C. § 601–612, has been amended by the Small Business Regulatory Enforcement Fairness Act of 1996 (SBREFA), Pub. L. No. 104-121, Title II, 110 Stat. 845 (1996).</w:t>
      </w:r>
    </w:p>
  </w:footnote>
  <w:footnote w:id="74">
    <w:p w:rsidR="008C3223" w:rsidP="008C3223">
      <w:pPr>
        <w:pStyle w:val="FootnoteText"/>
      </w:pPr>
      <w:r>
        <w:rPr>
          <w:rStyle w:val="FootnoteReference"/>
        </w:rPr>
        <w:footnoteRef/>
      </w:r>
      <w:r>
        <w:t xml:space="preserve"> </w:t>
      </w:r>
      <w:r>
        <w:rPr>
          <w:i/>
        </w:rPr>
        <w:t xml:space="preserve">See </w:t>
      </w:r>
      <w:r>
        <w:t>5 U.S.C. § 603(a).</w:t>
      </w:r>
    </w:p>
  </w:footnote>
  <w:footnote w:id="75">
    <w:p w:rsidR="008C3223" w:rsidP="008C3223">
      <w:pPr>
        <w:pStyle w:val="FootnoteText"/>
      </w:pPr>
      <w:r>
        <w:rPr>
          <w:rStyle w:val="FootnoteReference"/>
        </w:rPr>
        <w:footnoteRef/>
      </w:r>
      <w:r>
        <w:t xml:space="preserve"> </w:t>
      </w:r>
      <w:r>
        <w:rPr>
          <w:i/>
        </w:rPr>
        <w:t>Connect America Fund et al.</w:t>
      </w:r>
      <w:r>
        <w:t>, WC Docket No. 10-90 et al., Report and Order and Further Notice of Proposed Rulemaking, 26 FCC Rcd 17663 at App. P (2011) (</w:t>
      </w:r>
      <w:r>
        <w:rPr>
          <w:i/>
        </w:rPr>
        <w:t xml:space="preserve">USF/ICC Transformation Order </w:t>
      </w:r>
      <w:r>
        <w:t xml:space="preserve">or </w:t>
      </w:r>
      <w:r>
        <w:rPr>
          <w:i/>
        </w:rPr>
        <w:t>USF/ICC Transformation FNPRM</w:t>
      </w:r>
      <w:r>
        <w:t>)</w:t>
      </w:r>
      <w:r>
        <w:rPr>
          <w:i/>
        </w:rPr>
        <w:t>,</w:t>
      </w:r>
      <w:r>
        <w:t xml:space="preserve"> </w:t>
      </w:r>
      <w:r>
        <w:rPr>
          <w:i/>
        </w:rPr>
        <w:t>aff’d</w:t>
      </w:r>
      <w:r w:rsidRPr="00C31CF9">
        <w:t>,</w:t>
      </w:r>
      <w:r>
        <w:rPr>
          <w:i/>
        </w:rPr>
        <w:t xml:space="preserve"> FCC 11-161</w:t>
      </w:r>
      <w:r>
        <w:t>, 753 F.3d 1015 (10</w:t>
      </w:r>
      <w:r>
        <w:rPr>
          <w:vertAlign w:val="superscript"/>
        </w:rPr>
        <w:t>th</w:t>
      </w:r>
      <w:r>
        <w:t xml:space="preserve"> Cir. 2014).  </w:t>
      </w:r>
    </w:p>
  </w:footnote>
  <w:footnote w:id="76">
    <w:p w:rsidR="008C3223" w:rsidRPr="00F45AC0" w:rsidP="008C3223">
      <w:pPr>
        <w:pStyle w:val="FootnoteText"/>
      </w:pPr>
      <w:r>
        <w:rPr>
          <w:rStyle w:val="FootnoteReference"/>
        </w:rPr>
        <w:footnoteRef/>
      </w:r>
      <w:r>
        <w:t xml:space="preserve"> </w:t>
      </w:r>
      <w:r>
        <w:rPr>
          <w:i/>
        </w:rPr>
        <w:t>See supra</w:t>
      </w:r>
      <w:r>
        <w:t xml:space="preserve"> Section III.A.</w:t>
      </w:r>
    </w:p>
  </w:footnote>
  <w:footnote w:id="77">
    <w:p w:rsidR="008C3223" w:rsidP="008C3223">
      <w:pPr>
        <w:pStyle w:val="FootnoteText"/>
      </w:pPr>
      <w:r>
        <w:rPr>
          <w:rStyle w:val="FootnoteReference"/>
        </w:rPr>
        <w:footnoteRef/>
      </w:r>
      <w:r>
        <w:t xml:space="preserve"> </w:t>
      </w:r>
      <w:r>
        <w:rPr>
          <w:i/>
        </w:rPr>
        <w:t>See supra</w:t>
      </w:r>
      <w:r>
        <w:t xml:space="preserve"> Section III.B.</w:t>
      </w:r>
    </w:p>
  </w:footnote>
  <w:footnote w:id="78">
    <w:p w:rsidR="008C3223" w:rsidP="008C3223">
      <w:pPr>
        <w:pStyle w:val="FootnoteText"/>
      </w:pPr>
      <w:r>
        <w:rPr>
          <w:rStyle w:val="FootnoteReference"/>
        </w:rPr>
        <w:footnoteRef/>
      </w:r>
      <w:r>
        <w:t xml:space="preserve"> </w:t>
      </w:r>
      <w:r>
        <w:rPr>
          <w:i/>
        </w:rPr>
        <w:t>See supra</w:t>
      </w:r>
      <w:r>
        <w:t xml:space="preserve"> Section III.C.</w:t>
      </w:r>
    </w:p>
  </w:footnote>
  <w:footnote w:id="79">
    <w:p w:rsidR="008C3223" w:rsidP="008C3223">
      <w:pPr>
        <w:pStyle w:val="FootnoteText"/>
      </w:pPr>
      <w:r>
        <w:rPr>
          <w:rStyle w:val="FootnoteReference"/>
        </w:rPr>
        <w:footnoteRef/>
      </w:r>
      <w:r>
        <w:t xml:space="preserve"> </w:t>
      </w:r>
      <w:r>
        <w:rPr>
          <w:i/>
        </w:rPr>
        <w:t>See supra</w:t>
      </w:r>
      <w:r>
        <w:t xml:space="preserve"> Section III.D.</w:t>
      </w:r>
    </w:p>
  </w:footnote>
  <w:footnote w:id="80">
    <w:p w:rsidR="008C3223" w:rsidP="008C3223">
      <w:pPr>
        <w:pStyle w:val="FootnoteText"/>
      </w:pPr>
      <w:r>
        <w:rPr>
          <w:rStyle w:val="FootnoteReference"/>
        </w:rPr>
        <w:footnoteRef/>
      </w:r>
      <w:r>
        <w:t xml:space="preserve"> </w:t>
      </w:r>
      <w:r>
        <w:rPr>
          <w:i/>
        </w:rPr>
        <w:t>See supra</w:t>
      </w:r>
      <w:r>
        <w:t xml:space="preserve"> Section III.E.</w:t>
      </w:r>
    </w:p>
  </w:footnote>
  <w:footnote w:id="81">
    <w:p w:rsidR="008C3223" w:rsidP="008C3223">
      <w:pPr>
        <w:pStyle w:val="FootnoteText"/>
      </w:pPr>
      <w:r>
        <w:rPr>
          <w:rStyle w:val="FootnoteReference"/>
        </w:rPr>
        <w:footnoteRef/>
      </w:r>
      <w:r>
        <w:t xml:space="preserve"> </w:t>
      </w:r>
      <w:r>
        <w:rPr>
          <w:i/>
        </w:rPr>
        <w:t>See</w:t>
      </w:r>
      <w:r>
        <w:t xml:space="preserve"> 5 U.S.C. § 603(b)(3).</w:t>
      </w:r>
    </w:p>
  </w:footnote>
  <w:footnote w:id="82">
    <w:p w:rsidR="008C3223" w:rsidP="008C3223">
      <w:pPr>
        <w:pStyle w:val="FootnoteText"/>
      </w:pPr>
      <w:r>
        <w:rPr>
          <w:rStyle w:val="FootnoteReference"/>
        </w:rPr>
        <w:footnoteRef/>
      </w:r>
      <w:r>
        <w:t xml:space="preserve"> </w:t>
      </w:r>
      <w:r>
        <w:rPr>
          <w:i/>
        </w:rPr>
        <w:t>See</w:t>
      </w:r>
      <w:r>
        <w:t xml:space="preserve"> 5 U.S.C. § 601(6).</w:t>
      </w:r>
    </w:p>
  </w:footnote>
  <w:footnote w:id="83">
    <w:p w:rsidR="008C3223" w:rsidP="008C3223">
      <w:pPr>
        <w:pStyle w:val="FootnoteText"/>
        <w:rPr>
          <w:i/>
        </w:rPr>
      </w:pPr>
      <w:r>
        <w:rPr>
          <w:rStyle w:val="FootnoteReference"/>
        </w:rPr>
        <w:footnoteRef/>
      </w:r>
      <w:r>
        <w:t xml:space="preserve"> </w:t>
      </w:r>
      <w:r w:rsidRPr="00DC12CB">
        <w:rPr>
          <w:i/>
        </w:rPr>
        <w:t>See</w:t>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Pr="00106D33">
        <w:t>”</w:t>
      </w:r>
    </w:p>
  </w:footnote>
  <w:footnote w:id="84">
    <w:p w:rsidR="008C3223" w:rsidP="008C3223">
      <w:pPr>
        <w:spacing w:after="120"/>
        <w:rPr>
          <w:sz w:val="20"/>
        </w:rPr>
      </w:pPr>
      <w:r>
        <w:rPr>
          <w:rStyle w:val="FootnoteReference"/>
        </w:rPr>
        <w:footnoteRef/>
      </w:r>
      <w:r>
        <w:rPr>
          <w:sz w:val="20"/>
        </w:rPr>
        <w:t xml:space="preserve"> </w:t>
      </w:r>
      <w:r>
        <w:rPr>
          <w:i/>
          <w:sz w:val="20"/>
        </w:rPr>
        <w:t>See</w:t>
      </w:r>
      <w:r>
        <w:rPr>
          <w:sz w:val="20"/>
        </w:rPr>
        <w:t xml:space="preserve"> 15 U.S.C. § 632.</w:t>
      </w:r>
    </w:p>
  </w:footnote>
  <w:footnote w:id="85">
    <w:p w:rsidR="008C3223" w:rsidP="008C3223">
      <w:pPr>
        <w:pStyle w:val="FootnoteText"/>
      </w:pPr>
      <w:r>
        <w:rPr>
          <w:rStyle w:val="FootnoteReference"/>
        </w:rPr>
        <w:footnoteRef/>
      </w:r>
      <w:r>
        <w:t xml:space="preserve"> </w:t>
      </w:r>
      <w:r>
        <w:rPr>
          <w:i/>
        </w:rPr>
        <w:t>See</w:t>
      </w:r>
      <w:r>
        <w:t xml:space="preserve"> 5 U.S.C. § 601(3)-(6).</w:t>
      </w:r>
    </w:p>
  </w:footnote>
  <w:footnote w:id="86">
    <w:p w:rsidR="008C3223" w:rsidP="008C3223">
      <w:pPr>
        <w:pStyle w:val="FootnoteText"/>
      </w:pPr>
      <w:r>
        <w:rPr>
          <w:rStyle w:val="FootnoteReference"/>
        </w:rPr>
        <w:footnoteRef/>
      </w:r>
      <w:r>
        <w:t xml:space="preserve"> </w:t>
      </w:r>
      <w:r>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Pr>
          <w:rStyle w:val="Hyperlink"/>
        </w:rPr>
        <w:t>https://www.sba.gov/sites/default/files/advocacy/SB-FAQ-2016_WEB.pdf</w:t>
      </w:r>
      <w:r>
        <w:fldChar w:fldCharType="end"/>
      </w:r>
      <w:r>
        <w:t xml:space="preserve"> (June 2016).</w:t>
      </w:r>
    </w:p>
  </w:footnote>
  <w:footnote w:id="87">
    <w:p w:rsidR="008C3223" w:rsidP="008C3223">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r>
        <w:fldChar w:fldCharType="begin"/>
      </w:r>
      <w:r>
        <w:instrText xml:space="preserve"> HYPERLINK "https://www.sba.gov/sites/default/files/advocacy/SB-FAQ-2016_WEB.pdf" </w:instrText>
      </w:r>
      <w:r>
        <w:fldChar w:fldCharType="separate"/>
      </w:r>
      <w:r>
        <w:rPr>
          <w:rStyle w:val="Hyperlink"/>
        </w:rPr>
        <w:t>https://www.sba.gov/sites/default/files/advocacy/SB-FAQ-2016_WEB.pdf</w:t>
      </w:r>
      <w:r>
        <w:fldChar w:fldCharType="end"/>
      </w:r>
      <w:r>
        <w:t xml:space="preserve"> (June 2016).</w:t>
      </w:r>
    </w:p>
  </w:footnote>
  <w:footnote w:id="88">
    <w:p w:rsidR="008C3223" w:rsidP="008C3223">
      <w:pPr>
        <w:pStyle w:val="FootnoteText"/>
      </w:pPr>
      <w:r>
        <w:rPr>
          <w:rStyle w:val="FootnoteReference"/>
        </w:rPr>
        <w:footnoteRef/>
      </w:r>
      <w:r>
        <w:t xml:space="preserve"> </w:t>
      </w:r>
      <w:r>
        <w:rPr>
          <w:spacing w:val="-2"/>
        </w:rPr>
        <w:t>5 U.S.C.</w:t>
      </w:r>
      <w:r>
        <w:t xml:space="preserve"> § 601(4).</w:t>
      </w:r>
    </w:p>
  </w:footnote>
  <w:footnote w:id="89">
    <w:p w:rsidR="008C3223" w:rsidRPr="006B076E" w:rsidP="008C3223">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r>
        <w:fldChar w:fldCharType="begin"/>
      </w:r>
      <w:r>
        <w:instrText xml:space="preserve"> HYPERLINK "http://nccs.urban.org/sites/all/nccs-archive/html/tablewiz/tw.php" </w:instrText>
      </w:r>
      <w:r>
        <w:fldChar w:fldCharType="separate"/>
      </w:r>
      <w:r>
        <w:rPr>
          <w:rStyle w:val="Hyperlink"/>
        </w:rPr>
        <w:t>http://nccs.urban.org/sites/all/nccs-archive/html//tablewiz/tw.php</w:t>
      </w:r>
      <w:r>
        <w:fldChar w:fldCharType="end"/>
      </w:r>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90">
    <w:p w:rsidR="008C3223" w:rsidP="008C3223">
      <w:pPr>
        <w:pStyle w:val="FootnoteText"/>
      </w:pPr>
      <w:r>
        <w:rPr>
          <w:rStyle w:val="FootnoteReference"/>
          <w:spacing w:val="-2"/>
        </w:rPr>
        <w:footnoteRef/>
      </w:r>
      <w:r>
        <w:t xml:space="preserve"> 5 U.S.C. § 601(5).</w:t>
      </w:r>
    </w:p>
  </w:footnote>
  <w:footnote w:id="91">
    <w:p w:rsidR="008C3223" w:rsidRPr="005E7451" w:rsidP="008C3223">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B55A29">
        <w:rPr>
          <w:rStyle w:val="Hyperlink"/>
          <w:i/>
        </w:rPr>
        <w:t>https://factfinder.census.gov/faces/affhelp/jsf/pages/metadata.xhtml?lang=en&amp;type=program&amp;id=program.en.COG#</w:t>
      </w:r>
      <w:r>
        <w:fldChar w:fldCharType="end"/>
      </w:r>
      <w:r>
        <w:t>.</w:t>
      </w:r>
    </w:p>
  </w:footnote>
  <w:footnote w:id="92">
    <w:p w:rsidR="008C3223" w:rsidRPr="006B076E" w:rsidP="008C3223">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fldChar w:fldCharType="begin"/>
      </w:r>
      <w:r>
        <w:instrText xml:space="preserve"> HYPERLINK "https://factfinder.census.gov/bkmk/table/1.0/en/COG/2012/ORG02.US01" </w:instrText>
      </w:r>
      <w:r>
        <w:fldChar w:fldCharType="separate"/>
      </w:r>
      <w:r w:rsidRPr="00333EB9">
        <w:rPr>
          <w:rStyle w:val="Hyperlink"/>
          <w:bCs/>
        </w:rPr>
        <w:t>https://factfinder.census.gov/bkmk/table/1.0/en/COG/2012/ORG02.US01</w:t>
      </w:r>
      <w:r>
        <w:fldChar w:fldCharType="end"/>
      </w:r>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93">
    <w:p w:rsidR="008C3223" w:rsidRPr="00835723" w:rsidP="008C3223">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r>
        <w:fldChar w:fldCharType="begin"/>
      </w:r>
      <w:r>
        <w:instrText xml:space="preserve"> HYPERLINK "https://factfinder.census.gov/bkmk/table/1.0/en/COG/2012/ORG06.US01" </w:instrText>
      </w:r>
      <w:r>
        <w:fldChar w:fldCharType="separate"/>
      </w:r>
      <w:r w:rsidRPr="00F51D2A">
        <w:rPr>
          <w:rStyle w:val="Hyperlink"/>
        </w:rPr>
        <w:t>https://factfinder.census.gov/bkmk/table/1.0/en/COG/2012/ORG06.US01</w:t>
      </w:r>
      <w:r>
        <w:fldChar w:fldCharType="end"/>
      </w:r>
      <w:r>
        <w:t xml:space="preserve">.  There were </w:t>
      </w:r>
      <w:r w:rsidRPr="00835723">
        <w:t xml:space="preserve">2,114 county governments with populations less than 50,000. </w:t>
      </w:r>
    </w:p>
  </w:footnote>
  <w:footnote w:id="94">
    <w:p w:rsidR="008C3223" w:rsidRPr="00835723" w:rsidP="008C322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DC2279">
        <w:rPr>
          <w:rStyle w:val="Hyperlink"/>
        </w:rPr>
        <w:t>https://factfinder.census.gov/bkmk/table/1.0/en/COG/2012/ORG07.US01</w:t>
      </w:r>
      <w:r>
        <w:fldChar w:fldCharType="end"/>
      </w:r>
      <w:r>
        <w:rPr>
          <w:rStyle w:val="Hyperlink"/>
        </w:rPr>
        <w:t xml:space="preserve">. </w:t>
      </w:r>
      <w:r>
        <w:t>There were</w:t>
      </w:r>
      <w:r w:rsidRPr="00835723">
        <w:t xml:space="preserve"> 18,811 municipal and 16,207 town and township governments with populations less than 50,000. </w:t>
      </w:r>
    </w:p>
  </w:footnote>
  <w:footnote w:id="95">
    <w:p w:rsidR="008C3223" w:rsidRPr="00835723" w:rsidP="008C3223">
      <w:pPr>
        <w:spacing w:before="120" w:after="120"/>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Elementary and Secondary School Systems by Enrollment-Size Group and State: 2012 - United States-States</w:t>
      </w:r>
      <w:r w:rsidRPr="00835723">
        <w:rPr>
          <w:bCs/>
          <w:color w:val="4E4B47"/>
          <w:sz w:val="20"/>
        </w:rPr>
        <w:t>.</w:t>
      </w:r>
      <w:r w:rsidRPr="00835723">
        <w:rPr>
          <w:sz w:val="20"/>
        </w:rPr>
        <w:t xml:space="preserve"> </w:t>
      </w:r>
      <w:r>
        <w:fldChar w:fldCharType="begin"/>
      </w:r>
      <w:r>
        <w:instrText xml:space="preserve"> HYPERLINK "https://factfinder.census.gov/bkmk/table/1.0/en/COG/2012/ORG11.US01" </w:instrText>
      </w:r>
      <w:r>
        <w:fldChar w:fldCharType="separate"/>
      </w:r>
      <w:r w:rsidRPr="006B7181">
        <w:rPr>
          <w:rStyle w:val="Hyperlink"/>
          <w:bCs/>
          <w:sz w:val="20"/>
        </w:rPr>
        <w:t>https://factfinder.census.gov/bkmk/table/1.0/en/COG/2012/ORG11.US01</w:t>
      </w:r>
      <w:r>
        <w:fldChar w:fldCharType="end"/>
      </w:r>
      <w:r w:rsidRPr="006B7181">
        <w:rPr>
          <w:bCs/>
          <w:color w:val="4E4B47"/>
          <w:sz w:val="20"/>
        </w:rPr>
        <w:t xml:space="preserve">. </w:t>
      </w:r>
      <w:r w:rsidRPr="006B7181">
        <w:rPr>
          <w:sz w:val="20"/>
        </w:rPr>
        <w:t xml:space="preserve">There were </w:t>
      </w:r>
      <w:r w:rsidRPr="00835723">
        <w:rPr>
          <w:sz w:val="20"/>
        </w:rPr>
        <w:t>12,184 independent school districts with enrollment populations less than 50,000.</w:t>
      </w:r>
    </w:p>
  </w:footnote>
  <w:footnote w:id="96">
    <w:p w:rsidR="008C3223" w:rsidRPr="00835723" w:rsidP="008C3223">
      <w:pPr>
        <w:spacing w:before="120" w:after="120"/>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United States</w:t>
      </w:r>
      <w:r w:rsidRPr="00835723">
        <w:rPr>
          <w:bCs/>
          <w:color w:val="4E4B47"/>
          <w:sz w:val="20"/>
        </w:rPr>
        <w:t>-</w:t>
      </w:r>
      <w:r w:rsidRPr="00835723">
        <w:rPr>
          <w:sz w:val="20"/>
        </w:rPr>
        <w:t xml:space="preserve">States. </w:t>
      </w:r>
      <w:r>
        <w:fldChar w:fldCharType="begin"/>
      </w:r>
      <w:r>
        <w:instrText xml:space="preserve"> HYPERLINK "https://factfinder.census.gov/bkmk/table/1.0/en/COG/2012/ORG09.US01" </w:instrText>
      </w:r>
      <w:r>
        <w:fldChar w:fldCharType="separate"/>
      </w:r>
      <w:r w:rsidRPr="00835723">
        <w:rPr>
          <w:rStyle w:val="Hyperlink"/>
          <w:bCs/>
          <w:sz w:val="20"/>
        </w:rPr>
        <w:t>https://factfinder.census.gov/bkmk/table/1.0/en/COG/2012/ORG09.US01</w:t>
      </w:r>
      <w:r>
        <w:fldChar w:fldCharType="end"/>
      </w:r>
      <w:r w:rsidRPr="00DE6E25">
        <w:rPr>
          <w:rStyle w:val="Hyperlink"/>
          <w:bCs/>
          <w:sz w:val="20"/>
        </w:rPr>
        <w:t xml:space="preserve">.  </w:t>
      </w:r>
      <w:r w:rsidRPr="00835723">
        <w:rPr>
          <w:rStyle w:val="Hyperlink"/>
          <w:bCs/>
          <w:sz w:val="20"/>
        </w:rPr>
        <w:t>The U.S. Census Bureau data did not provide a population breakout for special district governments.</w:t>
      </w:r>
    </w:p>
  </w:footnote>
  <w:footnote w:id="97">
    <w:p w:rsidR="008C3223" w:rsidRPr="005B5966" w:rsidP="008C322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r>
        <w:fldChar w:fldCharType="begin"/>
      </w:r>
      <w:r>
        <w:instrText xml:space="preserve"> HYPERLINK "https://factfinder.census.gov/bkmk/table/1.0/en/COG/2012/ORG06.US01" </w:instrText>
      </w:r>
      <w:r>
        <w:fldChar w:fldCharType="separate"/>
      </w:r>
      <w:r w:rsidRPr="007F3B6C">
        <w:rPr>
          <w:rStyle w:val="Hyperlink"/>
        </w:rPr>
        <w:t>https://factfinder.census.gov/bkmk/table/1.0/en/COG/2012/ORG06.US01</w:t>
      </w:r>
      <w:r>
        <w:fldChar w:fldCharType="end"/>
      </w:r>
      <w:r w:rsidRPr="007F3B6C">
        <w:t xml:space="preserve">;   </w:t>
      </w:r>
      <w:r w:rsidRPr="00835723">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7F3B6C">
        <w:rPr>
          <w:rStyle w:val="Hyperlink"/>
        </w:rPr>
        <w:t>https://factfinder.census.gov/bkmk/table/1.0/en/COG/2012/ORG07.US01</w:t>
      </w:r>
      <w:r>
        <w:fldChar w:fldCharType="end"/>
      </w:r>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7F3B6C">
        <w:rPr>
          <w:rStyle w:val="Hyperlink"/>
          <w:bCs/>
        </w:rPr>
        <w:t>https://factfinder.census.gov/bkmk/table/1.0/en/COG/2012/ORG11.US01</w:t>
      </w:r>
      <w:r>
        <w:fldChar w:fldCharType="end"/>
      </w:r>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98">
    <w:p w:rsidR="008C3223" w:rsidP="008C3223">
      <w:pPr>
        <w:pStyle w:val="FootnoteText"/>
      </w:pPr>
      <w:r>
        <w:rPr>
          <w:rStyle w:val="FootnoteReference"/>
        </w:rPr>
        <w:footnoteRef/>
      </w:r>
      <w:r>
        <w:t xml:space="preserve"> </w:t>
      </w:r>
      <w:r w:rsidRPr="00BE1BA4">
        <w:rPr>
          <w:i/>
        </w:rPr>
        <w:t>Id.</w:t>
      </w:r>
    </w:p>
  </w:footnote>
  <w:footnote w:id="99">
    <w:p w:rsidR="008C3223" w:rsidP="008C3223">
      <w:pPr>
        <w:pStyle w:val="FootnoteText"/>
      </w:pPr>
      <w:r>
        <w:rPr>
          <w:rStyle w:val="FootnoteReference"/>
        </w:rPr>
        <w:footnoteRef/>
      </w:r>
      <w:r>
        <w:t xml:space="preserve"> U.S. Census Bureau, </w:t>
      </w:r>
      <w:r>
        <w:rPr>
          <w:i/>
        </w:rPr>
        <w:t>NAICS Search</w:t>
      </w:r>
      <w:r>
        <w:t xml:space="preserve">, </w:t>
      </w:r>
      <w:r>
        <w:fldChar w:fldCharType="begin"/>
      </w:r>
      <w:r>
        <w:instrText xml:space="preserve"> HYPERLINK "http://www.census.gov/cgi-bin/sssd/naics/naicsrch" </w:instrText>
      </w:r>
      <w:r>
        <w:fldChar w:fldCharType="separate"/>
      </w:r>
      <w:r>
        <w:rPr>
          <w:rStyle w:val="Hyperlink"/>
        </w:rPr>
        <w:t>http://www.census.gov/cgi-bin/sssd/naics/naicsrch</w:t>
      </w:r>
      <w:r>
        <w:fldChar w:fldCharType="end"/>
      </w:r>
      <w:r>
        <w:t xml:space="preserve"> (last visited June 21, 2017).</w:t>
      </w:r>
    </w:p>
  </w:footnote>
  <w:footnote w:id="100">
    <w:p w:rsidR="008C3223" w:rsidP="008C3223">
      <w:pPr>
        <w:pStyle w:val="FootnoteText"/>
      </w:pPr>
      <w:r>
        <w:rPr>
          <w:rStyle w:val="FootnoteReference"/>
        </w:rPr>
        <w:footnoteRef/>
      </w:r>
      <w:r>
        <w:t xml:space="preserve"> 13 CFR </w:t>
      </w:r>
      <w:r>
        <w:rPr>
          <w:rStyle w:val="Footnote"/>
        </w:rPr>
        <w:t>§</w:t>
      </w:r>
      <w:r>
        <w:t xml:space="preserve"> 121.201 (NAICS Code 517110).</w:t>
      </w:r>
    </w:p>
  </w:footnote>
  <w:footnote w:id="101">
    <w:p w:rsidR="008C3223" w:rsidP="008C3223">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102">
    <w:p w:rsidR="008C3223" w:rsidRPr="001B5DD6" w:rsidP="008C3223">
      <w:pPr>
        <w:pStyle w:val="FootnoteText"/>
        <w:contextualSpacing/>
        <w:rPr>
          <w:rStyle w:val="Hyperlink"/>
        </w:rPr>
      </w:pPr>
      <w:r w:rsidRPr="001B5DD6">
        <w:rPr>
          <w:rStyle w:val="FootnoteReference"/>
        </w:rPr>
        <w:footnoteRef/>
      </w:r>
      <w:r w:rsidRPr="001B5DD6">
        <w:t xml:space="preserve"> </w:t>
      </w:r>
      <w:r w:rsidRPr="001B5DD6">
        <w:fldChar w:fldCharType="begin"/>
      </w:r>
      <w:r>
        <w:instrText>HYPERLINK "http://factfinder.census.gov/faces/tableservices/jsf/pages/productview.xhtml?pid=ECN_2012_US_51SSSZ5&amp;prodType=table"</w:instrText>
      </w:r>
      <w:r w:rsidRPr="001B5DD6">
        <w:fldChar w:fldCharType="separate"/>
      </w:r>
      <w:r w:rsidRPr="001B5DD6">
        <w:rPr>
          <w:rStyle w:val="Hyperlink"/>
        </w:rPr>
        <w:t>http://factfinder.census.gov/faces/tableservices/jsf/pages/productview.xhtml?</w:t>
      </w:r>
    </w:p>
    <w:p w:rsidR="008C3223" w:rsidRPr="001B5DD6" w:rsidP="008C3223">
      <w:pPr>
        <w:pStyle w:val="FootnoteText"/>
      </w:pPr>
      <w:r w:rsidRPr="001B5DD6">
        <w:rPr>
          <w:rStyle w:val="Hyperlink"/>
        </w:rPr>
        <w:t>pid=ECN_2012_US_51SSSZ5&amp;prodType=table</w:t>
      </w:r>
      <w:r w:rsidRPr="001B5DD6">
        <w:fldChar w:fldCharType="end"/>
      </w:r>
      <w:r w:rsidRPr="001B5DD6">
        <w:t>.</w:t>
      </w:r>
    </w:p>
  </w:footnote>
  <w:footnote w:id="103">
    <w:p w:rsidR="008C3223" w:rsidP="008C3223">
      <w:pPr>
        <w:pStyle w:val="FootnoteText"/>
      </w:pPr>
      <w:r>
        <w:rPr>
          <w:rStyle w:val="FootnoteReference"/>
        </w:rPr>
        <w:footnoteRef/>
      </w:r>
      <w:r>
        <w:t xml:space="preserve"> 13 CFR </w:t>
      </w:r>
      <w:r>
        <w:rPr>
          <w:rStyle w:val="Footnote"/>
        </w:rPr>
        <w:t>§</w:t>
      </w:r>
      <w:r>
        <w:t xml:space="preserve"> 121.201 (NAICS Code 517311).</w:t>
      </w:r>
    </w:p>
  </w:footnote>
  <w:footnote w:id="104">
    <w:p w:rsidR="008C3223" w:rsidP="008C3223">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Pr>
          <w:rStyle w:val="Hyperlink"/>
        </w:rPr>
        <w:t>http://factfinder.census.gov/faces/tableservices/jsf/pages/productview.xhtml?pid=ECN_2012_US_51SSSZ2&amp;prodType=table</w:t>
      </w:r>
      <w:r>
        <w:fldChar w:fldCharType="end"/>
      </w:r>
      <w:r>
        <w:t>.</w:t>
      </w:r>
    </w:p>
  </w:footnote>
  <w:footnote w:id="105">
    <w:p w:rsidR="008C3223" w:rsidP="008C3223">
      <w:pPr>
        <w:pStyle w:val="FootnoteText"/>
      </w:pPr>
      <w:r>
        <w:rPr>
          <w:rStyle w:val="FootnoteReference"/>
        </w:rPr>
        <w:footnoteRef/>
      </w:r>
      <w:r>
        <w:t xml:space="preserve"> </w:t>
      </w:r>
      <w:r>
        <w:rPr>
          <w:i/>
        </w:rPr>
        <w:t xml:space="preserve">See </w:t>
      </w:r>
      <w:r>
        <w:t>FCC</w:t>
      </w:r>
      <w:r>
        <w:rPr>
          <w:i/>
        </w:rPr>
        <w:t>, Trends in Telephone Service</w:t>
      </w:r>
      <w:r>
        <w:t>, 5-5, tbl. 5.3 (Sept. 2010) (</w:t>
      </w:r>
      <w:r>
        <w:rPr>
          <w:i/>
        </w:rPr>
        <w:t>Trends in Telephone Service</w:t>
      </w:r>
      <w:r>
        <w:t xml:space="preserve">), </w:t>
      </w:r>
      <w:r>
        <w:fldChar w:fldCharType="begin"/>
      </w:r>
      <w:r>
        <w:instrText xml:space="preserve"> HYPERLINK "http://hraunfoss.fcc.gov/edocs_public/attachmatch/DOC-301823A1.pdf" </w:instrText>
      </w:r>
      <w:r>
        <w:fldChar w:fldCharType="separate"/>
      </w:r>
      <w:r>
        <w:rPr>
          <w:rStyle w:val="Hyperlink"/>
        </w:rPr>
        <w:t>http://hraunfoss.fcc.gov/edocs_public/attachmatch/DOC-301823A1.pdf</w:t>
      </w:r>
      <w:r>
        <w:fldChar w:fldCharType="end"/>
      </w:r>
      <w:r>
        <w:t>.</w:t>
      </w:r>
    </w:p>
  </w:footnote>
  <w:footnote w:id="106">
    <w:p w:rsidR="008C3223" w:rsidP="008C3223">
      <w:pPr>
        <w:pStyle w:val="FootnoteText"/>
      </w:pPr>
      <w:r>
        <w:rPr>
          <w:rStyle w:val="FootnoteReference"/>
        </w:rPr>
        <w:footnoteRef/>
      </w:r>
      <w:r>
        <w:t xml:space="preserve"> FCC</w:t>
      </w:r>
      <w:r>
        <w:rPr>
          <w:i/>
        </w:rPr>
        <w:t>, Trends in Telephone Service</w:t>
      </w:r>
      <w:r>
        <w:t>, 5-5, tbl. 5.3 (Sept. 2010) (</w:t>
      </w:r>
      <w:r>
        <w:rPr>
          <w:i/>
        </w:rPr>
        <w:t>Trends in Telephone Service</w:t>
      </w:r>
      <w:r>
        <w:t xml:space="preserve">), </w:t>
      </w:r>
      <w:r>
        <w:fldChar w:fldCharType="begin"/>
      </w:r>
      <w:r>
        <w:instrText xml:space="preserve"> HYPERLINK "http://hraunfoss.fcc.gov/edocs_public/attachmatch/DOC-301823A1.pdf" </w:instrText>
      </w:r>
      <w:r>
        <w:fldChar w:fldCharType="separate"/>
      </w:r>
      <w:r>
        <w:rPr>
          <w:rStyle w:val="Hyperlink"/>
        </w:rPr>
        <w:t>http://hraunfoss.fcc.gov/edocs_public/attachmatch/DOC-301823A1.pdf</w:t>
      </w:r>
      <w:r>
        <w:fldChar w:fldCharType="end"/>
      </w:r>
      <w:r>
        <w:t>.</w:t>
      </w:r>
    </w:p>
  </w:footnote>
  <w:footnote w:id="107">
    <w:p w:rsidR="008C3223" w:rsidP="008C3223">
      <w:pPr>
        <w:pStyle w:val="FootnoteText"/>
      </w:pPr>
      <w:r>
        <w:rPr>
          <w:rStyle w:val="FootnoteReference"/>
        </w:rPr>
        <w:footnoteRef/>
      </w:r>
      <w:r>
        <w:t xml:space="preserve"> 13 CFR </w:t>
      </w:r>
      <w:r>
        <w:rPr>
          <w:rStyle w:val="Footnote"/>
        </w:rPr>
        <w:t>§</w:t>
      </w:r>
      <w:r>
        <w:t xml:space="preserve"> 121.201 (NAICS Code 517311).</w:t>
      </w:r>
    </w:p>
  </w:footnote>
  <w:footnote w:id="108">
    <w:p w:rsidR="008C3223" w:rsidP="008C3223">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Pr>
          <w:rStyle w:val="Hyperlink"/>
        </w:rPr>
        <w:t>http://factfinder.census.gov/faces/tableservices/jsf/pages/productview.xhtml?pid=ECN_2012_US_51SSSZ2&amp;prodType=table</w:t>
      </w:r>
      <w:r>
        <w:fldChar w:fldCharType="end"/>
      </w:r>
      <w:r>
        <w:t>.</w:t>
      </w:r>
    </w:p>
  </w:footnote>
  <w:footnote w:id="109">
    <w:p w:rsidR="008C3223" w:rsidP="008C3223">
      <w:pPr>
        <w:pStyle w:val="FootnoteText"/>
      </w:pPr>
      <w:r>
        <w:rPr>
          <w:rStyle w:val="FootnoteReference"/>
        </w:rPr>
        <w:footnoteRef/>
      </w:r>
      <w:r>
        <w:t xml:space="preserve"> 5 U.S.C. § 601(3).</w:t>
      </w:r>
    </w:p>
  </w:footnote>
  <w:footnote w:id="110">
    <w:p w:rsidR="008C3223" w:rsidP="008C3223">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11">
    <w:p w:rsidR="008C3223" w:rsidP="008C3223">
      <w:pPr>
        <w:pStyle w:val="FootnoteText"/>
      </w:pPr>
      <w:r>
        <w:rPr>
          <w:rStyle w:val="FootnoteReference"/>
        </w:rPr>
        <w:footnoteRef/>
      </w:r>
      <w:r>
        <w:t xml:space="preserve"> 13 CFR </w:t>
      </w:r>
      <w:r>
        <w:rPr>
          <w:rStyle w:val="Footnote"/>
        </w:rPr>
        <w:t>§</w:t>
      </w:r>
      <w:r>
        <w:t xml:space="preserve"> 121.201 (NAICS Code 517311).</w:t>
      </w:r>
    </w:p>
  </w:footnote>
  <w:footnote w:id="112">
    <w:p w:rsidR="008C3223" w:rsidP="008C3223">
      <w:pPr>
        <w:pStyle w:val="FootnoteText"/>
      </w:pPr>
      <w:r>
        <w:rPr>
          <w:rStyle w:val="FootnoteReference"/>
        </w:rPr>
        <w:footnoteRef/>
      </w:r>
      <w:r>
        <w:t xml:space="preserve"> </w:t>
      </w:r>
      <w:r>
        <w:rPr>
          <w:i/>
        </w:rPr>
        <w:t xml:space="preserve">See </w:t>
      </w:r>
      <w:r>
        <w:t xml:space="preserve">U.S. Census Bureau, American Fact Finder (Jan. 08, 2016), </w:t>
      </w:r>
      <w:r>
        <w:fldChar w:fldCharType="begin"/>
      </w:r>
      <w:r>
        <w:instrText xml:space="preserve"> HYPERLINK "http://factfinder.census.gov/faces/tableservices/jsf/pages/productview.xhtml?pid=ECN_2012_US_51SSSZ2&amp;prodType=table" </w:instrText>
      </w:r>
      <w:r>
        <w:fldChar w:fldCharType="separate"/>
      </w:r>
      <w:r>
        <w:rPr>
          <w:rStyle w:val="Hyperlink"/>
        </w:rPr>
        <w:t>http://factfinder.census.gov/faces/tableservices/jsf/pages/productview.xhtml?pid=ECN_2012_US_51SSSZ2&amp;prodType=table</w:t>
      </w:r>
      <w:r>
        <w:fldChar w:fldCharType="end"/>
      </w:r>
      <w:r>
        <w:t>.</w:t>
      </w:r>
    </w:p>
  </w:footnote>
  <w:footnote w:id="113">
    <w:p w:rsidR="008C3223" w:rsidP="008C3223">
      <w:pPr>
        <w:pStyle w:val="FootnoteText"/>
      </w:pPr>
      <w:r>
        <w:rPr>
          <w:rStyle w:val="FootnoteReference"/>
        </w:rPr>
        <w:footnoteRef/>
      </w:r>
      <w:r>
        <w:t xml:space="preserve"> </w:t>
      </w:r>
      <w:r>
        <w:rPr>
          <w:i/>
        </w:rPr>
        <w:t xml:space="preserve">See </w:t>
      </w:r>
      <w:r w:rsidRPr="001B5DD6">
        <w:rPr>
          <w:i/>
        </w:rPr>
        <w:t>Trends in Telephone Service</w:t>
      </w:r>
      <w:r w:rsidRPr="00625A11">
        <w:t>,</w:t>
      </w:r>
      <w:r w:rsidRPr="004C421B">
        <w:t xml:space="preserve"> </w:t>
      </w:r>
      <w:r w:rsidRPr="001B5DD6">
        <w:t>at tbl. 5.3</w:t>
      </w:r>
      <w:r>
        <w:t>.</w:t>
      </w:r>
    </w:p>
  </w:footnote>
  <w:footnote w:id="114">
    <w:p w:rsidR="008C3223" w:rsidP="008C3223">
      <w:pPr>
        <w:pStyle w:val="FootnoteText"/>
      </w:pPr>
      <w:r>
        <w:rPr>
          <w:rStyle w:val="FootnoteReference"/>
        </w:rPr>
        <w:footnoteRef/>
      </w:r>
      <w:r>
        <w:t xml:space="preserve"> U.S. Census Bureau, </w:t>
      </w:r>
      <w:r>
        <w:rPr>
          <w:i/>
        </w:rPr>
        <w:t>2012 NAICS Definition</w:t>
      </w:r>
      <w:r>
        <w:t xml:space="preserve">, </w:t>
      </w:r>
      <w:r>
        <w:fldChar w:fldCharType="begin"/>
      </w:r>
      <w:r>
        <w:instrText xml:space="preserve"> HYPERLINK "https://www.census.gov/cgi-bin/sssd/naics/naicsrch?input=517911&amp;search=2012+NAICS+Search&amp;search=2012" </w:instrText>
      </w:r>
      <w:r>
        <w:fldChar w:fldCharType="separate"/>
      </w:r>
      <w:r>
        <w:rPr>
          <w:rStyle w:val="Hyperlink"/>
        </w:rPr>
        <w:t>https://www.census.gov/cgi-bin/sssd/naics/naicsrch?input=517911&amp;search=2012+NAICS+Search&amp;search=2012</w:t>
      </w:r>
      <w:r>
        <w:fldChar w:fldCharType="end"/>
      </w:r>
      <w:r>
        <w:t xml:space="preserve"> (last visited June 20, 2017).</w:t>
      </w:r>
    </w:p>
  </w:footnote>
  <w:footnote w:id="115">
    <w:p w:rsidR="008C3223" w:rsidP="008C3223">
      <w:pPr>
        <w:pStyle w:val="FootnoteText"/>
      </w:pPr>
      <w:r>
        <w:rPr>
          <w:rStyle w:val="FootnoteReference"/>
        </w:rPr>
        <w:footnoteRef/>
      </w:r>
      <w:r>
        <w:t xml:space="preserve"> 13 CFR § 121.201 (NAICS code 517911).</w:t>
      </w:r>
    </w:p>
  </w:footnote>
  <w:footnote w:id="116">
    <w:p w:rsidR="008C3223" w:rsidP="008C3223">
      <w:pPr>
        <w:pStyle w:val="FootnoteText"/>
      </w:pPr>
      <w:r>
        <w:rPr>
          <w:rStyle w:val="FootnoteReference"/>
        </w:rPr>
        <w:footnoteRef/>
      </w:r>
      <w:r>
        <w:t xml:space="preserve"> U.S. Census Bureau, </w:t>
      </w:r>
      <w:r>
        <w:rPr>
          <w:i/>
        </w:rPr>
        <w:t>2012 NAICS Definition</w:t>
      </w:r>
      <w:r>
        <w:t xml:space="preserve">, </w:t>
      </w:r>
      <w:r>
        <w:fldChar w:fldCharType="begin"/>
      </w:r>
      <w:r>
        <w:instrText xml:space="preserve"> HYPERLINK "https://www.census.gov/cgi-bin/sssd/naics/naicsrch?input=517911&amp;search=2012+NAICS+Search&amp;search=2012" </w:instrText>
      </w:r>
      <w:r>
        <w:fldChar w:fldCharType="separate"/>
      </w:r>
      <w:r>
        <w:rPr>
          <w:rStyle w:val="Hyperlink"/>
        </w:rPr>
        <w:t>https://www.census.gov/cgi-bin/sssd/naics/naicsrch?input=517911&amp;search=2012+NAICS+Search&amp;search=2012</w:t>
      </w:r>
      <w:r>
        <w:fldChar w:fldCharType="end"/>
      </w:r>
      <w:r>
        <w:t xml:space="preserve"> (last visited June 20, 2017) (NAICS 517911 Telecommunications Resellers).</w:t>
      </w:r>
    </w:p>
  </w:footnote>
  <w:footnote w:id="117">
    <w:p w:rsidR="008C3223" w:rsidP="008C3223">
      <w:pPr>
        <w:pStyle w:val="FootnoteText"/>
      </w:pPr>
      <w:r>
        <w:rPr>
          <w:rStyle w:val="FootnoteReference"/>
        </w:rPr>
        <w:footnoteRef/>
      </w:r>
      <w:r>
        <w:t xml:space="preserve"> </w:t>
      </w:r>
      <w:r>
        <w:rPr>
          <w:color w:val="000000"/>
        </w:rPr>
        <w:t>13 CFR § 121.201 (NAICS code 517911).</w:t>
      </w:r>
    </w:p>
  </w:footnote>
  <w:footnote w:id="118">
    <w:p w:rsidR="008C3223" w:rsidP="008C3223">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Pr>
          <w:rStyle w:val="Hyperlink"/>
        </w:rPr>
        <w:t>http://factfinder.census.gov/faces/tableservices/jsf/pages/productview.xhtml?pid=ECN_2012_US_51SSSZ2&amp;prodType=table</w:t>
      </w:r>
      <w:r>
        <w:fldChar w:fldCharType="end"/>
      </w:r>
      <w:r>
        <w:t>.</w:t>
      </w:r>
    </w:p>
  </w:footnote>
  <w:footnote w:id="119">
    <w:p w:rsidR="008C3223" w:rsidP="008C3223">
      <w:pPr>
        <w:pStyle w:val="FootnoteText"/>
      </w:pPr>
      <w:r>
        <w:rPr>
          <w:rStyle w:val="FootnoteReference"/>
        </w:rPr>
        <w:footnoteRef/>
      </w:r>
      <w:r>
        <w:t xml:space="preserve"> 13 CFR § 121.201 (NAICS code 517311).</w:t>
      </w:r>
    </w:p>
  </w:footnote>
  <w:footnote w:id="120">
    <w:p w:rsidR="008C3223" w:rsidP="008C3223">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Pr>
          <w:rStyle w:val="Hyperlink"/>
        </w:rPr>
        <w:t>http://factfinder.census.gov/faces/tableservices/jsf/pages/productview.xhtml?pid=ECN_2012_US_51SSSZ2&amp;prodType=table</w:t>
      </w:r>
      <w:r>
        <w:fldChar w:fldCharType="end"/>
      </w:r>
      <w:r>
        <w:t>.</w:t>
      </w:r>
    </w:p>
  </w:footnote>
  <w:footnote w:id="121">
    <w:p w:rsidR="008C3223" w:rsidP="008C3223">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r>
        <w:t>.</w:t>
      </w:r>
    </w:p>
  </w:footnote>
  <w:footnote w:id="122">
    <w:p w:rsidR="008C3223" w:rsidP="008C3223">
      <w:pPr>
        <w:pStyle w:val="FootnoteText"/>
      </w:pPr>
      <w:r>
        <w:rPr>
          <w:rStyle w:val="FootnoteReference"/>
          <w:color w:val="000000"/>
        </w:rPr>
        <w:footnoteRef/>
      </w:r>
      <w:r>
        <w:t xml:space="preserve"> 13 CFR § 121.201 (NAICS code 517311).</w:t>
      </w:r>
    </w:p>
  </w:footnote>
  <w:footnote w:id="123">
    <w:p w:rsidR="008C3223" w:rsidP="008C3223">
      <w:pPr>
        <w:pStyle w:val="FootnoteText"/>
      </w:pPr>
      <w:r>
        <w:rPr>
          <w:rStyle w:val="FootnoteReference"/>
          <w:color w:val="000000"/>
        </w:rPr>
        <w:footnoteRef/>
      </w:r>
      <w:r>
        <w:t xml:space="preserve">  </w:t>
      </w:r>
      <w:r>
        <w:rPr>
          <w:i/>
        </w:rPr>
        <w:t>See</w:t>
      </w:r>
      <w:r>
        <w:t xml:space="preserve"> FCC, </w:t>
      </w:r>
      <w:r>
        <w:rPr>
          <w:i/>
        </w:rPr>
        <w:t>FCC Form 499 Filer Database</w:t>
      </w:r>
      <w:r>
        <w:t xml:space="preserve">, </w:t>
      </w:r>
      <w:r>
        <w:fldChar w:fldCharType="begin"/>
      </w:r>
      <w:r>
        <w:instrText xml:space="preserve"> HYPERLINK "http://apps.fcc.gov/cgb/form499/499a.cfm" </w:instrText>
      </w:r>
      <w:r>
        <w:fldChar w:fldCharType="separate"/>
      </w:r>
      <w:r>
        <w:rPr>
          <w:rStyle w:val="Hyperlink"/>
        </w:rPr>
        <w:t>http://apps.fcc.gov/cgb/form499/499a.cfm</w:t>
      </w:r>
      <w:r>
        <w:fldChar w:fldCharType="end"/>
      </w:r>
      <w:r>
        <w:t xml:space="preserve"> (last visited June 20, 2017).</w:t>
      </w:r>
    </w:p>
  </w:footnote>
  <w:footnote w:id="124">
    <w:p w:rsidR="008C3223" w:rsidP="008C3223">
      <w:pPr>
        <w:pStyle w:val="FootnoteText"/>
      </w:pPr>
      <w:r>
        <w:rPr>
          <w:rStyle w:val="FootnoteReference"/>
        </w:rPr>
        <w:footnoteRef/>
      </w:r>
      <w:r>
        <w:t xml:space="preserve"> </w:t>
      </w:r>
      <w:r w:rsidRPr="001B5DD6">
        <w:t xml:space="preserve">NAICS Code 517210.  </w:t>
      </w:r>
      <w:r>
        <w:rPr>
          <w:i/>
        </w:rPr>
        <w:t>See</w:t>
      </w:r>
      <w:r>
        <w:t xml:space="preserve"> U.S. Census Bureau, </w:t>
      </w:r>
      <w:r>
        <w:rPr>
          <w:i/>
        </w:rPr>
        <w:t>American Fact Finder—About the Data</w:t>
      </w:r>
      <w:r>
        <w:t xml:space="preserve">, </w:t>
      </w:r>
      <w:r>
        <w:fldChar w:fldCharType="begin"/>
      </w:r>
      <w:r>
        <w:instrText xml:space="preserve"> HYPERLINK "https://factfinder.census.gov/faces/affhelp/jsf/pages/metadata.xhtml?lang=en&amp;type=ib&amp;id=ib.en./ECN.NAICS2012.517210" </w:instrText>
      </w:r>
      <w:r>
        <w:fldChar w:fldCharType="separate"/>
      </w:r>
      <w:r>
        <w:rPr>
          <w:rStyle w:val="Hyperlink"/>
        </w:rPr>
        <w:t>https://factfinder.census.gov/faces/affhelp/jsf/pages/metadata.xhtml?lang=en&amp;type=</w:t>
      </w:r>
      <w:r>
        <w:rPr>
          <w:color w:val="0000FF"/>
          <w:u w:val="single"/>
        </w:rPr>
        <w:br/>
      </w:r>
      <w:r>
        <w:rPr>
          <w:rStyle w:val="Hyperlink"/>
        </w:rPr>
        <w:t>ib&amp;id=ib.en./ECN.NAICS2012.517210</w:t>
      </w:r>
      <w:r>
        <w:fldChar w:fldCharType="end"/>
      </w:r>
      <w:r>
        <w:t>.</w:t>
      </w:r>
    </w:p>
  </w:footnote>
  <w:footnote w:id="125">
    <w:p w:rsidR="008C3223" w:rsidP="008C3223">
      <w:pPr>
        <w:pStyle w:val="FootnoteText"/>
      </w:pPr>
      <w:r>
        <w:rPr>
          <w:rStyle w:val="FootnoteReference"/>
        </w:rPr>
        <w:footnoteRef/>
      </w:r>
      <w:r>
        <w:rPr>
          <w:lang w:val="fr-FR"/>
        </w:rPr>
        <w:t xml:space="preserve"> 13 CFR § 121.201 (NAICS code 517210).</w:t>
      </w:r>
    </w:p>
  </w:footnote>
  <w:footnote w:id="126">
    <w:p w:rsidR="008C3223" w:rsidP="008C3223">
      <w:pPr>
        <w:pStyle w:val="FootnoteText"/>
      </w:pPr>
      <w:r>
        <w:rPr>
          <w:rStyle w:val="FootnoteReference"/>
        </w:rPr>
        <w:footnoteRef/>
      </w:r>
      <w:r>
        <w:t xml:space="preserve"> U.S. Census Bureau, </w:t>
      </w:r>
      <w:r>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Pr>
          <w:rStyle w:val="Hyperlink"/>
        </w:rPr>
        <w:t>https://factfinder.census.gov/faces/tableservices/jsf/pages/productview.xhtml?pid=ECN_2012_US_51SSSZ2&amp;prodType=table</w:t>
      </w:r>
      <w:r>
        <w:fldChar w:fldCharType="end"/>
      </w:r>
      <w:r>
        <w:t xml:space="preserve"> (NAICS 51720, “Subject Series - Estab &amp; Firm Size: Employment Size of Establishments for the U.S.: 2012”).</w:t>
      </w:r>
    </w:p>
  </w:footnote>
  <w:footnote w:id="127">
    <w:p w:rsidR="008C3223" w:rsidP="008C3223">
      <w:pPr>
        <w:pStyle w:val="FootnoteText"/>
      </w:pPr>
      <w:r>
        <w:rPr>
          <w:rStyle w:val="FootnoteReference"/>
        </w:rPr>
        <w:footnoteRef/>
      </w:r>
      <w:r>
        <w:t xml:space="preserve"> Available census data do not provide a more precise estimate of the number of firms that have employment of 1,500 or fewer employees; the largest category provided is for firms with “1000 employees or more.”</w:t>
      </w:r>
    </w:p>
  </w:footnote>
  <w:footnote w:id="128">
    <w:p w:rsidR="008C3223" w:rsidRPr="009B567A" w:rsidP="008C3223">
      <w:pPr>
        <w:pStyle w:val="FootnoteText"/>
      </w:pPr>
      <w:r>
        <w:rPr>
          <w:rStyle w:val="FootnoteReference"/>
        </w:rPr>
        <w:footnoteRef/>
      </w:r>
      <w:r>
        <w:t xml:space="preserve"> </w:t>
      </w:r>
      <w:r>
        <w:rPr>
          <w:bCs/>
          <w:i/>
          <w:iCs/>
        </w:rPr>
        <w:t>See</w:t>
      </w:r>
      <w:r>
        <w:t xml:space="preserve"> FCC, </w:t>
      </w:r>
      <w:r>
        <w:rPr>
          <w:i/>
        </w:rPr>
        <w:t>Universal Licensing System</w:t>
      </w:r>
      <w:r>
        <w:t xml:space="preserve">, </w:t>
      </w:r>
      <w:r>
        <w:fldChar w:fldCharType="begin"/>
      </w:r>
      <w:r>
        <w:instrText xml:space="preserve"> HYPERLINK "http://wireless.fcc.gov/uls" </w:instrText>
      </w:r>
      <w:r>
        <w:fldChar w:fldCharType="separate"/>
      </w:r>
      <w:r>
        <w:rPr>
          <w:rStyle w:val="Hyperlink"/>
        </w:rPr>
        <w:t>http://wireless.fcc.gov/uls</w:t>
      </w:r>
      <w:r>
        <w:fldChar w:fldCharType="end"/>
      </w:r>
      <w:r>
        <w:rPr>
          <w:bCs/>
        </w:rPr>
        <w:t xml:space="preserve"> (last visited June 20, 2017).</w:t>
      </w:r>
      <w:r>
        <w:t>  For the purposes of this IRFA, consistent with Commission practice for wireless services, the Commission estimates the number of licensees based on the number of unique FCC Registration Numbers.</w:t>
      </w:r>
    </w:p>
  </w:footnote>
  <w:footnote w:id="129">
    <w:p w:rsidR="008C3223" w:rsidP="008C3223">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30">
    <w:p w:rsidR="008C3223" w:rsidP="008C3223">
      <w:pPr>
        <w:pStyle w:val="FootnoteText"/>
      </w:pPr>
      <w:r>
        <w:rPr>
          <w:rStyle w:val="FootnoteReference"/>
        </w:rPr>
        <w:footnoteRef/>
      </w:r>
      <w:r>
        <w:t xml:space="preserve"> </w:t>
      </w:r>
      <w:r>
        <w:rPr>
          <w:rStyle w:val="Footnote"/>
          <w:i/>
        </w:rPr>
        <w:t>Amendment of the Commission’s Rules to Establish Part 27</w:t>
      </w:r>
      <w:r>
        <w:rPr>
          <w:rStyle w:val="Footnote"/>
        </w:rPr>
        <w:t>,</w:t>
      </w:r>
      <w:r>
        <w:rPr>
          <w:rStyle w:val="Footnote"/>
          <w:i/>
        </w:rPr>
        <w:t xml:space="preserve"> the Wireless Communications Service (WCS)</w:t>
      </w:r>
      <w:r>
        <w:rPr>
          <w:rStyle w:val="Footnote"/>
        </w:rPr>
        <w:t>, Report and Order, 12 FCC Rcd 10785, 10879, para. 194 (1997).</w:t>
      </w:r>
    </w:p>
  </w:footnote>
  <w:footnote w:id="131">
    <w:p w:rsidR="008C3223" w:rsidP="008C3223">
      <w:pPr>
        <w:pStyle w:val="FootnoteText"/>
      </w:pPr>
      <w:r>
        <w:rPr>
          <w:rStyle w:val="FootnoteReference"/>
        </w:rPr>
        <w:footnoteRef/>
      </w:r>
      <w:r>
        <w:t xml:space="preserve"> </w:t>
      </w:r>
      <w:r>
        <w:rPr>
          <w:rStyle w:val="Footnote"/>
          <w:i/>
        </w:rPr>
        <w:t>See</w:t>
      </w:r>
      <w:r>
        <w:rPr>
          <w:rStyle w:val="Footnote"/>
        </w:rPr>
        <w:t xml:space="preserve"> </w:t>
      </w:r>
      <w:r>
        <w:t>Letter</w:t>
      </w:r>
      <w:r>
        <w:rPr>
          <w:rStyle w:val="Footnote"/>
        </w:rPr>
        <w:t xml:space="preserve"> from Aida Alvarez, Administrator, SBA, to Amy Zoslov, Chief, Auctions and Industry Analysis Division, Wireless Telecommunications Bureau, FCC (filed Dec. 2, 1998).</w:t>
      </w:r>
    </w:p>
  </w:footnote>
  <w:footnote w:id="132">
    <w:p w:rsidR="008C3223" w:rsidP="008C3223">
      <w:pPr>
        <w:pStyle w:val="FootnoteText"/>
      </w:pPr>
      <w:r>
        <w:rPr>
          <w:rStyle w:val="Footnote"/>
          <w:vertAlign w:val="superscript"/>
        </w:rPr>
        <w:footnoteRef/>
      </w:r>
      <w:r>
        <w:rPr>
          <w:rStyle w:val="Footnote"/>
        </w:rPr>
        <w:t xml:space="preserve"> 13 </w:t>
      </w:r>
      <w:r>
        <w:t>CFR</w:t>
      </w:r>
      <w:r>
        <w:rPr>
          <w:rStyle w:val="Footnote"/>
        </w:rPr>
        <w:t xml:space="preserve"> § 121.201 (NAICS code 517210).</w:t>
      </w:r>
    </w:p>
  </w:footnote>
  <w:footnote w:id="133">
    <w:p w:rsidR="008C3223" w:rsidP="008C3223">
      <w:pPr>
        <w:pStyle w:val="FootnoteText"/>
      </w:pPr>
      <w:r>
        <w:rPr>
          <w:rStyle w:val="Footnote"/>
          <w:vertAlign w:val="superscript"/>
        </w:rPr>
        <w:footnoteRef/>
      </w:r>
      <w:r>
        <w:rPr>
          <w:rStyle w:val="Footnote"/>
          <w:vertAlign w:val="superscript"/>
        </w:rPr>
        <w:t xml:space="preserve">  </w:t>
      </w:r>
      <w:r w:rsidRPr="00DC12CB">
        <w:rPr>
          <w:rStyle w:val="Footnote"/>
          <w:i/>
        </w:rPr>
        <w:t>Id</w:t>
      </w:r>
      <w:r>
        <w:rPr>
          <w:rStyle w:val="Footnote"/>
        </w:rPr>
        <w:t>.</w:t>
      </w:r>
    </w:p>
  </w:footnote>
  <w:footnote w:id="134">
    <w:p w:rsidR="008C3223" w:rsidP="008C3223">
      <w:pPr>
        <w:pStyle w:val="FootnoteText"/>
      </w:pPr>
      <w:r>
        <w:rPr>
          <w:rStyle w:val="Footnote"/>
          <w:vertAlign w:val="superscript"/>
        </w:rPr>
        <w:footnoteRef/>
      </w:r>
      <w:r>
        <w:rPr>
          <w:rStyle w:val="Footnote"/>
        </w:rPr>
        <w:t xml:space="preserve"> </w:t>
      </w:r>
      <w:r w:rsidRPr="00CB2DF4">
        <w:rPr>
          <w:rFonts w:ascii="Times New Roman Italic" w:hAnsi="Times New Roman Italic"/>
          <w:i/>
        </w:rPr>
        <w:t>Trends in Telephone Service</w:t>
      </w:r>
      <w:r>
        <w:t>, at tbl.</w:t>
      </w:r>
      <w:r>
        <w:rPr>
          <w:color w:val="000000"/>
        </w:rPr>
        <w:t xml:space="preserve"> 5.3.</w:t>
      </w:r>
    </w:p>
  </w:footnote>
  <w:footnote w:id="135">
    <w:p w:rsidR="008C3223" w:rsidP="008C3223">
      <w:pPr>
        <w:pStyle w:val="FootnoteText"/>
      </w:pPr>
      <w:r>
        <w:rPr>
          <w:rStyle w:val="FootnoteReference"/>
        </w:rPr>
        <w:footnoteRef/>
      </w:r>
      <w:r>
        <w:t xml:space="preserve"> </w:t>
      </w:r>
      <w:r>
        <w:rPr>
          <w:i/>
        </w:rPr>
        <w:t>See</w:t>
      </w:r>
      <w:r>
        <w:t xml:space="preserve"> U.S. Census Bureau, 2012 NAIC Definition, </w:t>
      </w:r>
      <w:r>
        <w:fldChar w:fldCharType="begin"/>
      </w:r>
      <w:r>
        <w:instrText xml:space="preserve"> HYPERLINK "https://www.census.gov/cgi-bin/sssd/naics/naicsrch?input=515210&amp;search=2012+NAICS+Search&amp;search=2012" </w:instrText>
      </w:r>
      <w:r>
        <w:fldChar w:fldCharType="separate"/>
      </w:r>
      <w:r>
        <w:rPr>
          <w:rStyle w:val="Hyperlink"/>
        </w:rPr>
        <w:t>https://www.census.gov/cgi-bin/sssd/naics/naicsrch?input=515210&amp;search=2012+NAICS+Search&amp;search=2012</w:t>
      </w:r>
      <w:r>
        <w:fldChar w:fldCharType="end"/>
      </w:r>
      <w:r>
        <w:t xml:space="preserve"> (last visited June 20, 2017) (2012 NAICS code, “515210 Cable and Other Subscription Programming”).</w:t>
      </w:r>
    </w:p>
  </w:footnote>
  <w:footnote w:id="136">
    <w:p w:rsidR="008C3223" w:rsidP="008C3223">
      <w:pPr>
        <w:pStyle w:val="FootnoteText"/>
      </w:pPr>
      <w:r>
        <w:rPr>
          <w:rStyle w:val="FootnoteReference"/>
        </w:rPr>
        <w:footnoteRef/>
      </w:r>
      <w:r>
        <w:t xml:space="preserve"> 13 CFR § 121.201 (NAICSs Code 515210).</w:t>
      </w:r>
    </w:p>
  </w:footnote>
  <w:footnote w:id="137">
    <w:p w:rsidR="008C3223" w:rsidP="008C3223">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Pr>
          <w:rStyle w:val="Hyperlink"/>
        </w:rPr>
        <w:t>https://factfinder.census.gov/faces/tableservices/jsf/pages/productview.xhtml?pid=ECN_2012_US_51SSSZ2&amp;prodType=table</w:t>
      </w:r>
      <w:r>
        <w:fldChar w:fldCharType="end"/>
      </w:r>
      <w:r>
        <w:t xml:space="preserve"> (NAICS code 51510, “Estab &amp; Firm Size: Employment Size of Establishments for the U.S.”).</w:t>
      </w:r>
    </w:p>
  </w:footnote>
  <w:footnote w:id="138">
    <w:p w:rsidR="008C3223" w:rsidP="008C3223">
      <w:pPr>
        <w:pStyle w:val="FootnoteText"/>
      </w:pPr>
      <w:r>
        <w:rPr>
          <w:rStyle w:val="FootnoteReference"/>
        </w:rPr>
        <w:footnoteRef/>
      </w:r>
      <w:r>
        <w:t xml:space="preserve"> 47 CFR § 76.901(e).</w:t>
      </w:r>
    </w:p>
  </w:footnote>
  <w:footnote w:id="139">
    <w:p w:rsidR="008C3223" w:rsidP="008C3223">
      <w:pPr>
        <w:pStyle w:val="FootnoteText"/>
      </w:pPr>
      <w:r>
        <w:rPr>
          <w:rStyle w:val="FootnoteReference"/>
        </w:rPr>
        <w:footnoteRef/>
      </w:r>
      <w:r>
        <w:t xml:space="preserve"> This figure was derived from an August 15, 2015 report from the FCC Media Bureau, based on data contained in the Commission’s Cable Operations and Licensing System (COALS).  </w:t>
      </w:r>
      <w:r>
        <w:rPr>
          <w:i/>
        </w:rPr>
        <w:t>See</w:t>
      </w:r>
      <w:r>
        <w:t xml:space="preserve"> </w:t>
      </w:r>
      <w:r>
        <w:fldChar w:fldCharType="begin"/>
      </w:r>
      <w:r>
        <w:instrText xml:space="preserve"> HYPERLINK "http://www.fcc.gov/coals" </w:instrText>
      </w:r>
      <w:r>
        <w:fldChar w:fldCharType="separate"/>
      </w:r>
      <w:r>
        <w:rPr>
          <w:rStyle w:val="Hyperlink"/>
        </w:rPr>
        <w:t>http://www.fcc.gov/coals</w:t>
      </w:r>
      <w:r>
        <w:fldChar w:fldCharType="end"/>
      </w:r>
      <w:r>
        <w:t>.</w:t>
      </w:r>
    </w:p>
  </w:footnote>
  <w:footnote w:id="140">
    <w:p w:rsidR="008C3223" w:rsidP="008C3223">
      <w:pPr>
        <w:pStyle w:val="FootnoteText"/>
      </w:pPr>
      <w:r>
        <w:rPr>
          <w:rStyle w:val="FootnoteReference"/>
        </w:rPr>
        <w:footnoteRef/>
      </w:r>
      <w:r>
        <w:t xml:space="preserve"> Data obtained from SNL Kagan database on April 19, 2017.</w:t>
      </w:r>
    </w:p>
  </w:footnote>
  <w:footnote w:id="141">
    <w:p w:rsidR="008C3223" w:rsidP="008C3223">
      <w:pPr>
        <w:pStyle w:val="FootnoteText"/>
      </w:pPr>
      <w:r>
        <w:rPr>
          <w:rStyle w:val="FootnoteReference"/>
        </w:rPr>
        <w:footnoteRef/>
      </w:r>
      <w:r>
        <w:t xml:space="preserve"> 47 CFR § 76.901(c).</w:t>
      </w:r>
    </w:p>
  </w:footnote>
  <w:footnote w:id="142">
    <w:p w:rsidR="008C3223" w:rsidP="008C3223">
      <w:pPr>
        <w:pStyle w:val="FootnoteText"/>
      </w:pPr>
      <w:r>
        <w:rPr>
          <w:rStyle w:val="FootnoteReference"/>
        </w:rPr>
        <w:footnoteRef/>
      </w:r>
      <w:r>
        <w:t xml:space="preserve"> August 5, 2015 report from the FCC Media Bureau based on its research in COALS.  </w:t>
      </w:r>
      <w:r>
        <w:rPr>
          <w:i/>
        </w:rPr>
        <w:t>See</w:t>
      </w:r>
      <w:r>
        <w:t xml:space="preserve"> </w:t>
      </w:r>
      <w:r>
        <w:fldChar w:fldCharType="begin"/>
      </w:r>
      <w:r>
        <w:instrText xml:space="preserve"> HYPERLINK "http://www.fcc.gov/coals" </w:instrText>
      </w:r>
      <w:r>
        <w:fldChar w:fldCharType="separate"/>
      </w:r>
      <w:r>
        <w:rPr>
          <w:rStyle w:val="Hyperlink"/>
        </w:rPr>
        <w:t>http://www.fcc.gov/coals</w:t>
      </w:r>
      <w:r>
        <w:fldChar w:fldCharType="end"/>
      </w:r>
      <w:r>
        <w:t>.</w:t>
      </w:r>
    </w:p>
  </w:footnote>
  <w:footnote w:id="143">
    <w:p w:rsidR="008C3223" w:rsidP="008C3223">
      <w:pPr>
        <w:pStyle w:val="FootnoteText"/>
      </w:pPr>
      <w:r>
        <w:rPr>
          <w:rStyle w:val="FootnoteReference"/>
        </w:rPr>
        <w:footnoteRef/>
      </w:r>
      <w:r>
        <w:t xml:space="preserve"> </w:t>
      </w:r>
      <w:r w:rsidRPr="00DC12CB">
        <w:rPr>
          <w:i/>
        </w:rPr>
        <w:t>See</w:t>
      </w:r>
      <w:r>
        <w:t xml:space="preserve"> 47 CFR § 76.901(f) &amp; nn.1-3.</w:t>
      </w:r>
    </w:p>
  </w:footnote>
  <w:footnote w:id="144">
    <w:p w:rsidR="008C3223" w:rsidP="008C3223">
      <w:pPr>
        <w:pStyle w:val="FootnoteText"/>
      </w:pPr>
      <w:r>
        <w:rPr>
          <w:rStyle w:val="FootnoteReference"/>
        </w:rPr>
        <w:footnoteRef/>
      </w:r>
      <w:r>
        <w:t xml:space="preserve"> </w:t>
      </w:r>
      <w:r>
        <w:rPr>
          <w:i/>
        </w:rPr>
        <w:t>See</w:t>
      </w:r>
      <w:r>
        <w:t xml:space="preserve"> SNL Kagan at </w:t>
      </w:r>
      <w:r>
        <w:fldChar w:fldCharType="begin"/>
      </w:r>
      <w:r>
        <w:instrText xml:space="preserve"> HYPERLINK "http://www.snl.com/interactivex/MultichannelIndustryBenchmarks.aspx" </w:instrText>
      </w:r>
      <w:r>
        <w:fldChar w:fldCharType="separate"/>
      </w:r>
      <w:r>
        <w:rPr>
          <w:rStyle w:val="Hyperlink"/>
        </w:rPr>
        <w:t>http://www.snl.com/interactivex/MultichannelIndustryBenchmarks.aspx</w:t>
      </w:r>
      <w:r>
        <w:fldChar w:fldCharType="end"/>
      </w:r>
      <w:r>
        <w:rPr>
          <w:rStyle w:val="Hyperlink"/>
        </w:rPr>
        <w:t xml:space="preserve"> </w:t>
      </w:r>
      <w:r>
        <w:t>(subscription required).</w:t>
      </w:r>
    </w:p>
  </w:footnote>
  <w:footnote w:id="145">
    <w:p w:rsidR="008C3223" w:rsidP="008C3223">
      <w:pPr>
        <w:pStyle w:val="FootnoteText"/>
      </w:pPr>
      <w:r>
        <w:rPr>
          <w:rStyle w:val="FootnoteReference"/>
        </w:rPr>
        <w:footnoteRef/>
      </w:r>
      <w:r>
        <w:t xml:space="preserve"> 47 CFR § 76.901(f) &amp; nn.1-3.</w:t>
      </w:r>
    </w:p>
  </w:footnote>
  <w:footnote w:id="146">
    <w:p w:rsidR="008C3223" w:rsidP="008C3223">
      <w:pPr>
        <w:pStyle w:val="FootnoteText"/>
      </w:pPr>
      <w:r>
        <w:rPr>
          <w:rStyle w:val="FootnoteReference"/>
        </w:rPr>
        <w:footnoteRef/>
      </w:r>
      <w:r>
        <w:t xml:space="preserve"> </w:t>
      </w:r>
      <w:r>
        <w:rPr>
          <w:i/>
        </w:rPr>
        <w:t>See</w:t>
      </w:r>
      <w:r>
        <w:t xml:space="preserve"> SNL Kagan at </w:t>
      </w:r>
      <w:r>
        <w:fldChar w:fldCharType="begin"/>
      </w:r>
      <w:r>
        <w:instrText xml:space="preserve"> HYPERLINK "http://www.snl.com/interactivex/TopCable%20MSOs.aspx" </w:instrText>
      </w:r>
      <w:r>
        <w:fldChar w:fldCharType="separate"/>
      </w:r>
      <w:r>
        <w:rPr>
          <w:rStyle w:val="Hyperlink"/>
        </w:rPr>
        <w:t>http://www.snl.com/interactivex/TopCable MSOs.aspx</w:t>
      </w:r>
      <w:r>
        <w:fldChar w:fldCharType="end"/>
      </w:r>
      <w:r>
        <w:t xml:space="preserve"> (subscription required).</w:t>
      </w:r>
    </w:p>
  </w:footnote>
  <w:footnote w:id="147">
    <w:p w:rsidR="008C3223" w:rsidP="008C3223">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section 76.901(f) of the Commission’s rules.  </w:t>
      </w:r>
      <w:r>
        <w:rPr>
          <w:i/>
        </w:rPr>
        <w:t>See</w:t>
      </w:r>
      <w:r>
        <w:t xml:space="preserve"> 47 CFR § 76.901(f).</w:t>
      </w:r>
    </w:p>
  </w:footnote>
  <w:footnote w:id="148">
    <w:p w:rsidR="008C3223" w:rsidP="008C3223">
      <w:pPr>
        <w:pStyle w:val="FootnoteText"/>
      </w:pPr>
      <w:r>
        <w:rPr>
          <w:rStyle w:val="FootnoteReference"/>
        </w:rPr>
        <w:footnoteRef/>
      </w:r>
      <w:r>
        <w:t xml:space="preserve"> U.S. Census Bureau, </w:t>
      </w:r>
      <w:r>
        <w:rPr>
          <w:i/>
        </w:rPr>
        <w:t>NAICS Search</w:t>
      </w:r>
      <w:r>
        <w:t xml:space="preserve">, </w:t>
      </w:r>
      <w:r>
        <w:fldChar w:fldCharType="begin"/>
      </w:r>
      <w:r>
        <w:instrText xml:space="preserve"> HYPERLINK "http://www.census.gov/cgi-bin/sssd/naics/naicsrch" </w:instrText>
      </w:r>
      <w:r>
        <w:fldChar w:fldCharType="separate"/>
      </w:r>
      <w:r>
        <w:rPr>
          <w:rStyle w:val="Hyperlink"/>
        </w:rPr>
        <w:t>http://www.census.gov/cgi-bin/sssd/naics/naicsrch</w:t>
      </w:r>
      <w:r>
        <w:fldChar w:fldCharType="end"/>
      </w:r>
      <w:r>
        <w:t xml:space="preserve"> (last visited June 21, 2017) (enter 2012 NAICS code 517919).</w:t>
      </w:r>
    </w:p>
  </w:footnote>
  <w:footnote w:id="149">
    <w:p w:rsidR="008C3223" w:rsidP="008C3223">
      <w:pPr>
        <w:pStyle w:val="FootnoteText"/>
      </w:pPr>
      <w:r>
        <w:rPr>
          <w:rStyle w:val="FootnoteReference"/>
        </w:rPr>
        <w:footnoteRef/>
      </w:r>
      <w:r>
        <w:t xml:space="preserve"> 13 CFR § 121.201 (NAICS Code 517919).</w:t>
      </w:r>
    </w:p>
  </w:footnote>
  <w:footnote w:id="150">
    <w:p w:rsidR="008C3223" w:rsidP="008C3223">
      <w:pPr>
        <w:pStyle w:val="FootnoteText"/>
      </w:pPr>
      <w:r>
        <w:rPr>
          <w:rStyle w:val="FootnoteReference"/>
        </w:rPr>
        <w:footnoteRef/>
      </w:r>
      <w:r>
        <w:t xml:space="preserve"> U.S. Census Bureau, </w:t>
      </w:r>
      <w:r>
        <w:rPr>
          <w:i/>
        </w:rPr>
        <w:t>American Fact Finder</w:t>
      </w:r>
      <w:r>
        <w:t xml:space="preserve"> (Jan. 08, 2016), </w:t>
      </w:r>
      <w:r>
        <w:fldChar w:fldCharType="begin"/>
      </w:r>
      <w:r>
        <w:instrText xml:space="preserve"> HYPERLINK "http://factfinder.census.gov/faces/tableservices/jsf/pages/productview.xhtml?pid=ECN_2012_US_51SSSZ4&amp;prodType=table" </w:instrText>
      </w:r>
      <w:r>
        <w:fldChar w:fldCharType="separate"/>
      </w:r>
      <w:r>
        <w:rPr>
          <w:rStyle w:val="Hyperlink"/>
        </w:rPr>
        <w:t>http://factfinder.census.gov/faces/tableservices/jsf/pages/productview.xhtml?pid=ECN_2012_US_51SSSZ4&amp;prodType=table</w:t>
      </w:r>
      <w:r>
        <w:fldChar w:fldCharType="end"/>
      </w:r>
      <w:r>
        <w:t xml:space="preserve"> (2012 NAICS Code 517919, “Estab &amp; Firm Size: Receipts Size of Firms for the U.S.”).</w:t>
      </w:r>
    </w:p>
  </w:footnote>
  <w:footnote w:id="151">
    <w:p w:rsidR="008C3223" w:rsidP="008C3223">
      <w:pPr>
        <w:pStyle w:val="FootnoteText"/>
      </w:pPr>
      <w:r>
        <w:rPr>
          <w:rStyle w:val="FootnoteReference"/>
        </w:rPr>
        <w:footnoteRef/>
      </w:r>
      <w:r>
        <w:t xml:space="preserve"> </w:t>
      </w:r>
      <w:r>
        <w:rPr>
          <w:i/>
        </w:rPr>
        <w:t xml:space="preserve">See supra </w:t>
      </w:r>
      <w:r>
        <w:t>Sections III.A.</w:t>
      </w:r>
    </w:p>
  </w:footnote>
  <w:footnote w:id="152">
    <w:p w:rsidR="008C3223" w:rsidRPr="002908FB" w:rsidP="008C3223">
      <w:pPr>
        <w:pStyle w:val="FootnoteText"/>
        <w:rPr>
          <w:i/>
        </w:rPr>
      </w:pPr>
      <w:r>
        <w:rPr>
          <w:rStyle w:val="FootnoteReference"/>
        </w:rPr>
        <w:footnoteRef/>
      </w:r>
      <w:r>
        <w:t xml:space="preserve"> </w:t>
      </w:r>
      <w:r>
        <w:rPr>
          <w:i/>
        </w:rPr>
        <w:t>Id.</w:t>
      </w:r>
    </w:p>
  </w:footnote>
  <w:footnote w:id="153">
    <w:p w:rsidR="008C3223" w:rsidP="008C3223">
      <w:pPr>
        <w:pStyle w:val="FootnoteText"/>
      </w:pPr>
      <w:r>
        <w:rPr>
          <w:rStyle w:val="FootnoteReference"/>
        </w:rPr>
        <w:footnoteRef/>
      </w:r>
      <w:r>
        <w:t xml:space="preserve"> 5 U.S.C. § 603(c)(1)-(c)(4).</w:t>
      </w:r>
    </w:p>
  </w:footnote>
  <w:footnote w:id="154">
    <w:p w:rsidR="008C3223" w:rsidRPr="00F45AC0" w:rsidP="008C3223">
      <w:pPr>
        <w:pStyle w:val="FootnoteText"/>
      </w:pPr>
      <w:r>
        <w:rPr>
          <w:rStyle w:val="FootnoteReference"/>
        </w:rPr>
        <w:footnoteRef/>
      </w:r>
      <w:r>
        <w:t xml:space="preserve"> </w:t>
      </w:r>
      <w:r>
        <w:rPr>
          <w:i/>
        </w:rPr>
        <w:t>See supra</w:t>
      </w:r>
      <w:r>
        <w:t xml:space="preserve"> Section III.A.</w:t>
      </w:r>
    </w:p>
  </w:footnote>
  <w:footnote w:id="155">
    <w:p w:rsidR="008C3223" w:rsidP="008C3223">
      <w:pPr>
        <w:pStyle w:val="FootnoteText"/>
      </w:pPr>
      <w:r>
        <w:rPr>
          <w:rStyle w:val="FootnoteReference"/>
        </w:rPr>
        <w:footnoteRef/>
      </w:r>
      <w:r>
        <w:t xml:space="preserve"> </w:t>
      </w:r>
      <w:r>
        <w:rPr>
          <w:i/>
        </w:rPr>
        <w:t>See supra</w:t>
      </w:r>
      <w:r>
        <w:t xml:space="preserve"> Section III.B.</w:t>
      </w:r>
    </w:p>
  </w:footnote>
  <w:footnote w:id="156">
    <w:p w:rsidR="008C3223" w:rsidP="008C3223">
      <w:pPr>
        <w:pStyle w:val="FootnoteText"/>
      </w:pPr>
      <w:r>
        <w:rPr>
          <w:rStyle w:val="FootnoteReference"/>
        </w:rPr>
        <w:footnoteRef/>
      </w:r>
      <w:r>
        <w:t xml:space="preserve"> </w:t>
      </w:r>
      <w:r>
        <w:rPr>
          <w:i/>
        </w:rPr>
        <w:t>See supra</w:t>
      </w:r>
      <w:r>
        <w:t xml:space="preserve"> Section III.C.</w:t>
      </w:r>
    </w:p>
  </w:footnote>
  <w:footnote w:id="157">
    <w:p w:rsidR="008C3223" w:rsidP="008C3223">
      <w:pPr>
        <w:pStyle w:val="FootnoteText"/>
      </w:pPr>
      <w:r>
        <w:rPr>
          <w:rStyle w:val="FootnoteReference"/>
        </w:rPr>
        <w:footnoteRef/>
      </w:r>
      <w:r>
        <w:t xml:space="preserve"> </w:t>
      </w:r>
      <w:r>
        <w:rPr>
          <w:i/>
        </w:rPr>
        <w:t>See supra</w:t>
      </w:r>
      <w:r>
        <w:t xml:space="preserve"> Section III.D.</w:t>
      </w:r>
    </w:p>
  </w:footnote>
  <w:footnote w:id="158">
    <w:p w:rsidR="008C3223" w:rsidP="008C3223">
      <w:pPr>
        <w:pStyle w:val="FootnoteText"/>
      </w:pPr>
      <w:r>
        <w:rPr>
          <w:rStyle w:val="FootnoteReference"/>
        </w:rPr>
        <w:footnoteRef/>
      </w:r>
      <w:r>
        <w:t xml:space="preserve"> </w:t>
      </w:r>
      <w:r>
        <w:rPr>
          <w:i/>
        </w:rPr>
        <w:t>See supra</w:t>
      </w:r>
      <w:r>
        <w:t xml:space="preserve"> Section III.E.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223" w:rsidP="003A5CE1">
    <w:pPr>
      <w:pStyle w:val="Header"/>
      <w:rPr>
        <w:b w:val="0"/>
      </w:rPr>
    </w:pPr>
    <w:r>
      <w:rPr>
        <w:noProof/>
      </w:rPr>
      <w:pict>
        <v:rect id="_x0000_s2049"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FCC 18-</w:t>
    </w:r>
    <w:r>
      <w:rPr>
        <w:spacing w:val="-2"/>
      </w:rPr>
      <w:t>68</w:t>
    </w:r>
  </w:p>
  <w:p w:rsidR="008C3223">
    <w:pPr>
      <w:tabs>
        <w:tab w:val="left" w:pos="-720"/>
      </w:tabs>
      <w:suppressAutoHyphens/>
      <w:spacing w:line="19" w:lineRule="exact"/>
      <w:rPr>
        <w:spacing w:val="-2"/>
      </w:rPr>
    </w:pPr>
    <w:r>
      <w:rPr>
        <w:noProof/>
      </w:rPr>
      <w:pict>
        <v:rect 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8C322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223" w:rsidP="003A5CE1">
    <w:pPr>
      <w:pStyle w:val="Header"/>
      <w:rPr>
        <w:b w:val="0"/>
      </w:rPr>
    </w:pPr>
    <w:r>
      <w:rPr>
        <w:noProof/>
      </w:rPr>
      <w:pict>
        <v:rect id="_x0000_s2051"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18-68</w:t>
    </w:r>
  </w:p>
  <w:p w:rsidR="008C3223" w:rsidRPr="003A5CE1" w:rsidP="003A5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left="0" w:hanging="360"/>
      </w:pPr>
      <w:rPr>
        <w:rFonts w:ascii="Symbol" w:hAnsi="Symbol" w:hint="default"/>
      </w:rPr>
    </w:lvl>
  </w:abstractNum>
  <w:abstractNum w:abstractNumId="1">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2">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3C120BE"/>
    <w:multiLevelType w:val="hybridMultilevel"/>
    <w:tmpl w:val="B02C0E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65FD6D6C"/>
    <w:multiLevelType w:val="hybridMultilevel"/>
    <w:tmpl w:val="AC38951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79A80141"/>
    <w:multiLevelType w:val="hybridMultilevel"/>
    <w:tmpl w:val="9EB62F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7"/>
  </w:num>
  <w:num w:numId="4">
    <w:abstractNumId w:val="8"/>
  </w:num>
  <w:num w:numId="5">
    <w:abstractNumId w:val="5"/>
  </w:num>
  <w:num w:numId="6">
    <w:abstractNumId w:val="3"/>
  </w:num>
  <w:num w:numId="7">
    <w:abstractNumId w:val="0"/>
  </w:num>
  <w:num w:numId="8">
    <w:abstractNumId w:val="1"/>
  </w:num>
  <w:num w:numId="9">
    <w:abstractNumId w:val="9"/>
  </w:num>
  <w:num w:numId="10">
    <w:abstractNumId w:val="2"/>
  </w:num>
  <w:num w:numId="11">
    <w:abstractNumId w:val="6"/>
  </w:num>
  <w:num w:numId="12">
    <w:abstractNumId w:val="10"/>
    <w:lvlOverride w:ilvl="0">
      <w:startOverride w:val="1"/>
    </w:lvlOverride>
  </w:num>
  <w:num w:numId="13">
    <w:abstractNumId w:val="10"/>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223"/>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8C3223"/>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locked/>
    <w:rsid w:val="008C3223"/>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locked/>
    <w:rsid w:val="008C3223"/>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locked/>
    <w:rsid w:val="008C3223"/>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locked/>
    <w:rsid w:val="008C3223"/>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locked/>
    <w:rsid w:val="008C3223"/>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locked/>
    <w:rsid w:val="008C3223"/>
    <w:rPr>
      <w:b/>
      <w:snapToGrid w:val="0"/>
      <w:kern w:val="28"/>
      <w:sz w:val="22"/>
    </w:rPr>
  </w:style>
  <w:style w:type="character" w:customStyle="1" w:styleId="Heading7Char">
    <w:name w:val="Heading 7 Char"/>
    <w:link w:val="Heading7"/>
    <w:locked/>
    <w:rsid w:val="008C3223"/>
    <w:rPr>
      <w:b/>
      <w:snapToGrid w:val="0"/>
      <w:kern w:val="28"/>
      <w:sz w:val="22"/>
    </w:rPr>
  </w:style>
  <w:style w:type="character" w:customStyle="1" w:styleId="Heading8Char">
    <w:name w:val="Heading 8 Char"/>
    <w:link w:val="Heading8"/>
    <w:locked/>
    <w:rsid w:val="008C3223"/>
    <w:rPr>
      <w:b/>
      <w:snapToGrid w:val="0"/>
      <w:kern w:val="28"/>
      <w:sz w:val="22"/>
    </w:rPr>
  </w:style>
  <w:style w:type="character" w:customStyle="1" w:styleId="Heading9Char">
    <w:name w:val="Heading 9 Char"/>
    <w:aliases w:val="9 Char,Heading 9.table Char,Titre 9 Char,Topic Char,t Char,table Char"/>
    <w:link w:val="Heading9"/>
    <w:locked/>
    <w:rsid w:val="008C3223"/>
    <w:rPr>
      <w:b/>
      <w:snapToGrid w:val="0"/>
      <w:kern w:val="28"/>
      <w:sz w:val="22"/>
    </w:rPr>
  </w:style>
  <w:style w:type="character" w:customStyle="1" w:styleId="EndnoteTextChar">
    <w:name w:val="Endnote Text Char"/>
    <w:link w:val="EndnoteText"/>
    <w:semiHidden/>
    <w:locked/>
    <w:rsid w:val="008C3223"/>
    <w:rPr>
      <w:snapToGrid w:val="0"/>
      <w:kern w:val="28"/>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locked/>
    <w:rsid w:val="008C3223"/>
  </w:style>
  <w:style w:type="character" w:customStyle="1" w:styleId="HeaderChar">
    <w:name w:val="Header Char"/>
    <w:link w:val="Header"/>
    <w:locked/>
    <w:rsid w:val="008C3223"/>
    <w:rPr>
      <w:b/>
      <w:snapToGrid w:val="0"/>
      <w:kern w:val="28"/>
      <w:sz w:val="22"/>
    </w:rPr>
  </w:style>
  <w:style w:type="character" w:customStyle="1" w:styleId="FooterChar">
    <w:name w:val="Footer Char"/>
    <w:link w:val="Footer"/>
    <w:uiPriority w:val="99"/>
    <w:locked/>
    <w:rsid w:val="008C3223"/>
    <w:rPr>
      <w:snapToGrid w:val="0"/>
      <w:kern w:val="28"/>
      <w:sz w:val="22"/>
    </w:rPr>
  </w:style>
  <w:style w:type="paragraph" w:styleId="ListParagraph">
    <w:name w:val="List Paragraph"/>
    <w:basedOn w:val="Normal"/>
    <w:uiPriority w:val="34"/>
    <w:qFormat/>
    <w:rsid w:val="008C3223"/>
    <w:pPr>
      <w:widowControl/>
      <w:ind w:left="720"/>
      <w:contextualSpacing/>
    </w:pPr>
    <w:rPr>
      <w:rFonts w:ascii="Calibri" w:hAnsi="Calibri"/>
      <w:kern w:val="0"/>
      <w:szCs w:val="22"/>
    </w:rPr>
  </w:style>
  <w:style w:type="character" w:styleId="CommentReference">
    <w:name w:val="annotation reference"/>
    <w:rsid w:val="008C3223"/>
    <w:rPr>
      <w:rFonts w:cs="Times New Roman"/>
      <w:sz w:val="16"/>
      <w:szCs w:val="16"/>
    </w:rPr>
  </w:style>
  <w:style w:type="paragraph" w:styleId="CommentText">
    <w:name w:val="annotation text"/>
    <w:basedOn w:val="Normal"/>
    <w:link w:val="CommentTextChar"/>
    <w:rsid w:val="008C3223"/>
    <w:rPr>
      <w:sz w:val="20"/>
    </w:rPr>
  </w:style>
  <w:style w:type="character" w:customStyle="1" w:styleId="CommentTextChar">
    <w:name w:val="Comment Text Char"/>
    <w:link w:val="CommentText"/>
    <w:rsid w:val="008C3223"/>
    <w:rPr>
      <w:snapToGrid w:val="0"/>
      <w:kern w:val="28"/>
    </w:rPr>
  </w:style>
  <w:style w:type="paragraph" w:styleId="BalloonText">
    <w:name w:val="Balloon Text"/>
    <w:basedOn w:val="Normal"/>
    <w:link w:val="BalloonTextChar"/>
    <w:rsid w:val="008C3223"/>
    <w:rPr>
      <w:rFonts w:ascii="Tahoma" w:hAnsi="Tahoma" w:cs="Tahoma"/>
      <w:sz w:val="16"/>
      <w:szCs w:val="16"/>
    </w:rPr>
  </w:style>
  <w:style w:type="character" w:customStyle="1" w:styleId="BalloonTextChar">
    <w:name w:val="Balloon Text Char"/>
    <w:link w:val="BalloonText"/>
    <w:rsid w:val="008C3223"/>
    <w:rPr>
      <w:rFonts w:ascii="Tahoma" w:hAnsi="Tahoma" w:cs="Tahoma"/>
      <w:snapToGrid w:val="0"/>
      <w:kern w:val="28"/>
      <w:sz w:val="16"/>
      <w:szCs w:val="16"/>
    </w:rPr>
  </w:style>
  <w:style w:type="character" w:customStyle="1" w:styleId="ParaNumChar">
    <w:name w:val="ParaNum Char"/>
    <w:locked/>
    <w:rsid w:val="008C3223"/>
    <w:rPr>
      <w:snapToGrid w:val="0"/>
      <w:kern w:val="28"/>
      <w:sz w:val="22"/>
    </w:rPr>
  </w:style>
  <w:style w:type="paragraph" w:styleId="CommentSubject">
    <w:name w:val="annotation subject"/>
    <w:basedOn w:val="CommentText"/>
    <w:next w:val="CommentText"/>
    <w:link w:val="CommentSubjectChar"/>
    <w:rsid w:val="008C3223"/>
    <w:rPr>
      <w:b/>
      <w:bCs/>
    </w:rPr>
  </w:style>
  <w:style w:type="character" w:customStyle="1" w:styleId="CommentSubjectChar">
    <w:name w:val="Comment Subject Char"/>
    <w:link w:val="CommentSubject"/>
    <w:rsid w:val="008C3223"/>
    <w:rPr>
      <w:b/>
      <w:bCs/>
      <w:snapToGrid w:val="0"/>
      <w:kern w:val="28"/>
    </w:rPr>
  </w:style>
  <w:style w:type="paragraph" w:styleId="ListBullet">
    <w:name w:val="List Bullet"/>
    <w:basedOn w:val="Normal"/>
    <w:uiPriority w:val="99"/>
    <w:rsid w:val="008C3223"/>
    <w:pPr>
      <w:widowControl/>
      <w:tabs>
        <w:tab w:val="num" w:pos="360"/>
      </w:tabs>
      <w:spacing w:after="200" w:line="276" w:lineRule="auto"/>
      <w:ind w:left="360" w:hanging="360"/>
    </w:pPr>
    <w:rPr>
      <w:rFonts w:ascii="Calibri" w:hAnsi="Calibri"/>
      <w:kern w:val="0"/>
      <w:szCs w:val="22"/>
    </w:rPr>
  </w:style>
  <w:style w:type="character" w:customStyle="1" w:styleId="ParaNumChar2">
    <w:name w:val="ParaNum Char2"/>
    <w:locked/>
    <w:rsid w:val="008C3223"/>
    <w:rPr>
      <w:rFonts w:ascii="Times New Roman" w:eastAsia="Times New Roman" w:hAnsi="Times New Roman" w:cs="Times New Roman"/>
      <w:kern w:val="28"/>
      <w:sz w:val="20"/>
      <w:szCs w:val="20"/>
      <w:lang w:eastAsia="ja-JP"/>
    </w:rPr>
  </w:style>
  <w:style w:type="character" w:customStyle="1" w:styleId="FootnoteTextChar1">
    <w:name w:val="Footnote Text Char1"/>
    <w:aliases w:val="ALTS FOOTNOTE Char Char1,Footnote Text Char2 Char Char1,Footnote Text Char2 Char1 Char1 Char Char1,Footnote Text Char3 Char1 Char Char Char Char1,Footnote Text Char3 Char1 Char Char1,f Char1,fn Char Char1,fn Char1 Char1,fn Char3"/>
    <w:locked/>
    <w:rsid w:val="008C3223"/>
    <w:rPr>
      <w:lang w:val="en-US" w:eastAsia="en-US"/>
    </w:rPr>
  </w:style>
  <w:style w:type="character" w:styleId="Emphasis">
    <w:name w:val="Emphasis"/>
    <w:uiPriority w:val="20"/>
    <w:qFormat/>
    <w:rsid w:val="008C3223"/>
    <w:rPr>
      <w:rFonts w:cs="Times New Roman"/>
      <w:i/>
    </w:rPr>
  </w:style>
  <w:style w:type="character" w:customStyle="1" w:styleId="apple-converted-space">
    <w:name w:val="apple-converted-space"/>
    <w:rsid w:val="008C3223"/>
  </w:style>
  <w:style w:type="character" w:customStyle="1" w:styleId="emphi">
    <w:name w:val="emphi"/>
    <w:uiPriority w:val="99"/>
    <w:rsid w:val="008C3223"/>
  </w:style>
  <w:style w:type="paragraph" w:styleId="NormalWeb">
    <w:name w:val="Normal (Web)"/>
    <w:basedOn w:val="Normal"/>
    <w:uiPriority w:val="99"/>
    <w:rsid w:val="008C3223"/>
    <w:pPr>
      <w:widowControl/>
    </w:pPr>
    <w:rPr>
      <w:kern w:val="0"/>
      <w:sz w:val="24"/>
      <w:szCs w:val="24"/>
    </w:rPr>
  </w:style>
  <w:style w:type="paragraph" w:customStyle="1" w:styleId="fp-2">
    <w:name w:val="fp-2"/>
    <w:basedOn w:val="Normal"/>
    <w:rsid w:val="008C3223"/>
    <w:pPr>
      <w:widowControl/>
      <w:spacing w:before="200" w:after="100"/>
      <w:ind w:left="960" w:hanging="960"/>
    </w:pPr>
    <w:rPr>
      <w:kern w:val="0"/>
      <w:sz w:val="24"/>
      <w:szCs w:val="24"/>
    </w:rPr>
  </w:style>
  <w:style w:type="character" w:customStyle="1" w:styleId="Footnote">
    <w:name w:val="Footnote"/>
    <w:rsid w:val="008C3223"/>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8C3223"/>
    <w:rPr>
      <w:lang w:val="en-US" w:eastAsia="en-US" w:bidi="ar-SA"/>
    </w:rPr>
  </w:style>
  <w:style w:type="character" w:customStyle="1" w:styleId="StyleFootnoteReferenceStyle13Style12NECGFootnoteReferenc">
    <w:name w:val="Style Footnote ReferenceStyle 13Style 12(NECG) Footnote Referenc..."/>
    <w:rsid w:val="008C3223"/>
    <w:rPr>
      <w:rFonts w:ascii="Times New Roman" w:hAnsi="Times New Roman" w:cs="Times New Roman"/>
      <w:dstrike w:val="0"/>
      <w:color w:val="auto"/>
      <w:sz w:val="20"/>
      <w:vertAlign w:val="superscript"/>
    </w:rPr>
  </w:style>
  <w:style w:type="character" w:customStyle="1" w:styleId="text">
    <w:name w:val="text"/>
    <w:rsid w:val="008C3223"/>
  </w:style>
  <w:style w:type="character" w:customStyle="1" w:styleId="Heading2CharChar">
    <w:name w:val="Heading 2 Char Char"/>
    <w:aliases w:val="Heading 2 Char Char1 Char Char Char Char,Heading 2 Char Char3 Char Char,Heading 2 Char1 Char Char,Heading 2 Char1 Char Char Char Char,Heading 2 Char1 Char Char Char Char Char Char"/>
    <w:rsid w:val="008C3223"/>
    <w:rPr>
      <w:b/>
      <w:sz w:val="24"/>
      <w:lang w:val="en-US" w:eastAsia="en-US" w:bidi="ar-SA"/>
    </w:rPr>
  </w:style>
  <w:style w:type="character" w:styleId="FollowedHyperlink">
    <w:name w:val="FollowedHyperlink"/>
    <w:uiPriority w:val="99"/>
    <w:unhideWhenUsed/>
    <w:rsid w:val="008C3223"/>
    <w:rPr>
      <w:color w:val="800080"/>
      <w:u w:val="single"/>
    </w:rPr>
  </w:style>
  <w:style w:type="paragraph" w:styleId="PlainText">
    <w:name w:val="Plain Text"/>
    <w:basedOn w:val="Normal"/>
    <w:link w:val="PlainTextChar"/>
    <w:uiPriority w:val="99"/>
    <w:rsid w:val="008C3223"/>
    <w:pPr>
      <w:widowControl/>
    </w:pPr>
    <w:rPr>
      <w:rFonts w:ascii="Courier New" w:eastAsia="MS Mincho" w:hAnsi="Courier New" w:cs="Courier New"/>
      <w:snapToGrid/>
      <w:kern w:val="0"/>
      <w:sz w:val="20"/>
      <w:lang w:eastAsia="ja-JP"/>
    </w:rPr>
  </w:style>
  <w:style w:type="character" w:customStyle="1" w:styleId="PlainTextChar">
    <w:name w:val="Plain Text Char"/>
    <w:link w:val="PlainText"/>
    <w:uiPriority w:val="99"/>
    <w:rsid w:val="008C3223"/>
    <w:rPr>
      <w:rFonts w:ascii="Courier New" w:eastAsia="MS Mincho" w:hAnsi="Courier New" w:cs="Courier New"/>
      <w:lang w:eastAsia="ja-JP"/>
    </w:rPr>
  </w:style>
  <w:style w:type="paragraph" w:customStyle="1" w:styleId="Default">
    <w:name w:val="Default"/>
    <w:rsid w:val="008C3223"/>
    <w:pPr>
      <w:autoSpaceDE w:val="0"/>
      <w:autoSpaceDN w:val="0"/>
      <w:adjustRightInd w:val="0"/>
    </w:pPr>
    <w:rPr>
      <w:rFonts w:ascii="Garamond" w:eastAsia="Calibri" w:hAnsi="Garamond" w:cs="Garamond"/>
      <w:color w:val="000000"/>
      <w:sz w:val="24"/>
      <w:szCs w:val="24"/>
    </w:rPr>
  </w:style>
  <w:style w:type="paragraph" w:customStyle="1" w:styleId="Paranum0">
    <w:name w:val="Paranum"/>
    <w:basedOn w:val="Normal"/>
    <w:rsid w:val="008C3223"/>
    <w:pPr>
      <w:tabs>
        <w:tab w:val="num" w:pos="6030"/>
      </w:tabs>
      <w:spacing w:after="220"/>
      <w:ind w:left="4950" w:firstLine="720"/>
      <w:jc w:val="both"/>
    </w:pPr>
    <w:rPr>
      <w:snapToGrid/>
      <w:kern w:val="0"/>
    </w:rPr>
  </w:style>
  <w:style w:type="paragraph" w:customStyle="1" w:styleId="StyleParanumLeft">
    <w:name w:val="Style Paranum + Left"/>
    <w:basedOn w:val="Paranum0"/>
    <w:rsid w:val="008C3223"/>
    <w:pPr>
      <w:tabs>
        <w:tab w:val="num" w:pos="1440"/>
        <w:tab w:val="num" w:pos="2160"/>
      </w:tabs>
      <w:ind w:left="0"/>
      <w:jc w:val="left"/>
    </w:pPr>
  </w:style>
  <w:style w:type="paragraph" w:styleId="ListBullet2">
    <w:name w:val="List Bullet 2"/>
    <w:basedOn w:val="Normal"/>
    <w:rsid w:val="008C3223"/>
    <w:pPr>
      <w:numPr>
        <w:numId w:val="7"/>
      </w:numPr>
      <w:ind w:left="360"/>
    </w:pPr>
    <w:rPr>
      <w:sz w:val="24"/>
    </w:rPr>
  </w:style>
  <w:style w:type="paragraph" w:styleId="Title">
    <w:name w:val="Title"/>
    <w:basedOn w:val="Normal"/>
    <w:link w:val="TitleChar"/>
    <w:qFormat/>
    <w:rsid w:val="008C3223"/>
    <w:pPr>
      <w:numPr>
        <w:numId w:val="8"/>
      </w:numPr>
      <w:tabs>
        <w:tab w:val="clear" w:pos="1080"/>
      </w:tabs>
      <w:spacing w:before="240" w:after="60"/>
      <w:ind w:firstLine="0"/>
      <w:jc w:val="center"/>
      <w:outlineLvl w:val="0"/>
    </w:pPr>
    <w:rPr>
      <w:rFonts w:ascii="Arial" w:hAnsi="Arial"/>
      <w:b/>
      <w:sz w:val="32"/>
    </w:rPr>
  </w:style>
  <w:style w:type="character" w:customStyle="1" w:styleId="TitleChar">
    <w:name w:val="Title Char"/>
    <w:link w:val="Title"/>
    <w:rsid w:val="008C3223"/>
    <w:rPr>
      <w:rFonts w:ascii="Arial" w:hAnsi="Arial"/>
      <w:b/>
      <w:snapToGrid w:val="0"/>
      <w:kern w:val="28"/>
      <w:sz w:val="32"/>
    </w:rPr>
  </w:style>
  <w:style w:type="paragraph" w:customStyle="1" w:styleId="NumberedList">
    <w:name w:val="Numbered List"/>
    <w:basedOn w:val="Normal"/>
    <w:rsid w:val="008C3223"/>
    <w:pPr>
      <w:numPr>
        <w:numId w:val="9"/>
      </w:numPr>
      <w:spacing w:after="220"/>
    </w:pPr>
  </w:style>
  <w:style w:type="paragraph" w:styleId="NoSpacing">
    <w:name w:val="No Spacing"/>
    <w:uiPriority w:val="1"/>
    <w:qFormat/>
    <w:rsid w:val="008C3223"/>
    <w:rPr>
      <w:rFonts w:ascii="Calibri" w:eastAsia="Calibri" w:hAnsi="Calibri"/>
      <w:sz w:val="22"/>
      <w:szCs w:val="22"/>
    </w:rPr>
  </w:style>
  <w:style w:type="character" w:customStyle="1" w:styleId="FootnoteTextChar2">
    <w:name w:val="Footnote Text Char2"/>
    <w:aliases w:val="ALTS FOOTNOTE Char Char Char,Footnote Text Char Char Char,Footnote Text Char Char Char Char Char,Footnote Text Char1 Char,Footnote Text Char3 Char1 Char Char Char Char Char2,Footnote Text Char5 Char Char Char,Footnote Text Char6 Char"/>
    <w:rsid w:val="008C3223"/>
    <w:rPr>
      <w:snapToGrid w:val="0"/>
      <w:lang w:val="en-US" w:eastAsia="en-US" w:bidi="ar-SA"/>
    </w:rPr>
  </w:style>
  <w:style w:type="character" w:customStyle="1" w:styleId="Heading2CharChar2">
    <w:name w:val="Heading 2 Char Char2"/>
    <w:rsid w:val="008C3223"/>
    <w:rPr>
      <w:rFonts w:cs="Times New Roman"/>
      <w:b/>
      <w:snapToGrid w:val="0"/>
      <w:kern w:val="28"/>
      <w:sz w:val="24"/>
      <w:lang w:val="en-US" w:eastAsia="en-US" w:bidi="ar-SA"/>
    </w:rPr>
  </w:style>
  <w:style w:type="character" w:customStyle="1" w:styleId="cohovertext">
    <w:name w:val="co_hovertext"/>
    <w:rsid w:val="008C3223"/>
  </w:style>
  <w:style w:type="character" w:customStyle="1" w:styleId="cosearchterm">
    <w:name w:val="co_searchterm"/>
    <w:rsid w:val="008C3223"/>
  </w:style>
  <w:style w:type="character" w:styleId="Strong">
    <w:name w:val="Strong"/>
    <w:uiPriority w:val="22"/>
    <w:qFormat/>
    <w:rsid w:val="008C3223"/>
    <w:rPr>
      <w:b/>
      <w:bCs/>
    </w:rPr>
  </w:style>
  <w:style w:type="paragraph" w:styleId="Revision">
    <w:name w:val="Revision"/>
    <w:hidden/>
    <w:uiPriority w:val="99"/>
    <w:semiHidden/>
    <w:rsid w:val="008C322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