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FA64AC" w:rsidP="00FA64AC">
      <w:pPr>
        <w:spacing w:after="240"/>
        <w:jc w:val="center"/>
        <w:rPr>
          <w:b/>
        </w:rPr>
      </w:pPr>
      <w:bookmarkStart w:id="0" w:name="_Hlk514338032"/>
      <w:r>
        <w:rPr>
          <w:b/>
        </w:rPr>
        <w:t>STATEMENT OF</w:t>
      </w:r>
      <w:r>
        <w:rPr>
          <w:b/>
        </w:rPr>
        <w:br/>
        <w:t>CHAIRMAN AJIT PAI</w:t>
      </w:r>
    </w:p>
    <w:p w:rsidR="00FA64AC" w:rsidRPr="006F2CF4" w:rsidP="00FA64AC">
      <w:pPr>
        <w:autoSpaceDE w:val="0"/>
        <w:autoSpaceDN w:val="0"/>
        <w:adjustRightInd w:val="0"/>
        <w:ind w:left="720" w:hanging="720"/>
      </w:pPr>
      <w:r>
        <w:t>Re:</w:t>
      </w:r>
      <w:r>
        <w:rPr>
          <w:color w:val="FF0000"/>
        </w:rPr>
        <w:tab/>
      </w:r>
      <w:r>
        <w:rPr>
          <w:i/>
        </w:rPr>
        <w:t>Accelerating Wireline Broadband Deployment by Removing Barriers to Infrastructure Investment</w:t>
      </w:r>
      <w:r w:rsidRPr="00BE7851">
        <w:t>,</w:t>
      </w:r>
      <w:r>
        <w:t xml:space="preserve"> WC Docket No. 17-84</w:t>
      </w:r>
      <w:r w:rsidR="00E47754">
        <w:t>.</w:t>
      </w:r>
    </w:p>
    <w:p w:rsidR="00C11F96" w:rsidP="00C11F96">
      <w:pPr>
        <w:autoSpaceDE w:val="0"/>
        <w:autoSpaceDN w:val="0"/>
        <w:adjustRightInd w:val="0"/>
        <w:ind w:firstLine="720"/>
      </w:pPr>
      <w:r>
        <w:t xml:space="preserve">“Why is my Internet so slow?”  “I don’t like being stuck on DSL.”  “There’s a fiber line a few blocks away, but I’m still stuck on copper.”  “I want some high-speed competition.”  These are </w:t>
      </w:r>
      <w:r w:rsidR="00F60379">
        <w:t xml:space="preserve">the </w:t>
      </w:r>
      <w:r w:rsidR="000F1AE9">
        <w:t xml:space="preserve">core concerns </w:t>
      </w:r>
      <w:r w:rsidR="00F60379">
        <w:t>I’ve heard from consumers when I hit the road</w:t>
      </w:r>
      <w:r w:rsidR="000F1AE9">
        <w:t>.  I</w:t>
      </w:r>
      <w:r w:rsidR="00F60379">
        <w:t xml:space="preserve">’ve heard them in </w:t>
      </w:r>
      <w:r w:rsidR="000F1AE9">
        <w:t>big cities and small towns alike, from the De</w:t>
      </w:r>
      <w:r w:rsidR="006F2CF4">
        <w:t>ep South to the Mountain West.</w:t>
      </w:r>
    </w:p>
    <w:p w:rsidR="0084517B" w:rsidP="0084517B">
      <w:pPr>
        <w:autoSpaceDE w:val="0"/>
        <w:autoSpaceDN w:val="0"/>
        <w:adjustRightInd w:val="0"/>
        <w:ind w:firstLine="720"/>
      </w:pPr>
      <w:r>
        <w:t>One reason why these complaints persist is that regulations can make it difficult, if not impossible, to upgrade</w:t>
      </w:r>
      <w:r w:rsidR="001737FB">
        <w:t xml:space="preserve"> from the </w:t>
      </w:r>
      <w:r>
        <w:t xml:space="preserve">fading </w:t>
      </w:r>
      <w:r w:rsidR="001737FB">
        <w:t xml:space="preserve">networks of yesterday to the </w:t>
      </w:r>
      <w:r>
        <w:t xml:space="preserve">high-speed </w:t>
      </w:r>
      <w:r w:rsidR="001737FB">
        <w:t>networks of tomorrow</w:t>
      </w:r>
      <w:r w:rsidR="00473909">
        <w:t>.</w:t>
      </w:r>
      <w:r w:rsidR="00AA1BBB">
        <w:t xml:space="preserve">  </w:t>
      </w:r>
      <w:r w:rsidR="00F57B2D">
        <w:t xml:space="preserve">This FCC is </w:t>
      </w:r>
      <w:r>
        <w:t xml:space="preserve">changing that.  </w:t>
      </w:r>
      <w:r w:rsidR="00394414">
        <w:t xml:space="preserve"> </w:t>
      </w:r>
      <w:r>
        <w:t xml:space="preserve">Last November, we </w:t>
      </w:r>
      <w:r w:rsidR="00AA1BBB">
        <w:t xml:space="preserve">took steps </w:t>
      </w:r>
      <w:r w:rsidR="001B7C7F">
        <w:t>to accelerate th</w:t>
      </w:r>
      <w:r>
        <w:t>e</w:t>
      </w:r>
      <w:r w:rsidR="001B7C7F">
        <w:t xml:space="preserve"> transition</w:t>
      </w:r>
      <w:r>
        <w:t xml:space="preserve"> to next-generation networks.  Today</w:t>
      </w:r>
      <w:r w:rsidR="00AA1BBB">
        <w:t xml:space="preserve">, we </w:t>
      </w:r>
      <w:r>
        <w:t xml:space="preserve">do even </w:t>
      </w:r>
      <w:r w:rsidR="00AE0B77">
        <w:t>more</w:t>
      </w:r>
      <w:r>
        <w:t xml:space="preserve"> to modernize our rules</w:t>
      </w:r>
      <w:r w:rsidR="00AA1BBB">
        <w:t xml:space="preserve">.  </w:t>
      </w:r>
      <w:r>
        <w:t xml:space="preserve">These reforms </w:t>
      </w:r>
      <w:r w:rsidR="00F57B2D">
        <w:t xml:space="preserve">can </w:t>
      </w:r>
      <w:r w:rsidR="00AE0B77">
        <w:t xml:space="preserve">free up billions of dollars which carriers </w:t>
      </w:r>
      <w:r w:rsidR="00394414">
        <w:t>can</w:t>
      </w:r>
      <w:r w:rsidR="00AE0B77">
        <w:t xml:space="preserve"> </w:t>
      </w:r>
      <w:r w:rsidR="00F57B2D">
        <w:t xml:space="preserve">devote </w:t>
      </w:r>
      <w:r w:rsidR="00AE0B77">
        <w:t xml:space="preserve">to building new networks </w:t>
      </w:r>
      <w:r w:rsidR="00F57B2D">
        <w:t xml:space="preserve">instead of propping up </w:t>
      </w:r>
      <w:r w:rsidR="00AE0B77">
        <w:t xml:space="preserve">old ones.  This is especially important </w:t>
      </w:r>
      <w:r w:rsidR="00F57B2D">
        <w:t xml:space="preserve">in </w:t>
      </w:r>
      <w:r w:rsidR="00AE0B77">
        <w:t>rural America</w:t>
      </w:r>
      <w:r w:rsidR="001B7C7F">
        <w:t>,</w:t>
      </w:r>
      <w:r w:rsidR="00AE0B77">
        <w:t xml:space="preserve"> where the business case for building broadband is often </w:t>
      </w:r>
      <w:r w:rsidR="00F57B2D">
        <w:t>hard</w:t>
      </w:r>
      <w:r w:rsidR="00AE0B77">
        <w:t>.</w:t>
      </w:r>
      <w:r w:rsidRPr="0084517B">
        <w:t xml:space="preserve"> </w:t>
      </w:r>
    </w:p>
    <w:p w:rsidR="00C112FD" w:rsidP="0084517B">
      <w:pPr>
        <w:autoSpaceDE w:val="0"/>
        <w:autoSpaceDN w:val="0"/>
        <w:adjustRightInd w:val="0"/>
        <w:ind w:firstLine="720"/>
      </w:pPr>
      <w:r>
        <w:t>The end result</w:t>
      </w:r>
      <w:r>
        <w:t xml:space="preserve"> of all these efforts will be more rapid deployment, which means better, faster broadband and more competition for American consumers.</w:t>
      </w:r>
    </w:p>
    <w:p w:rsidR="00797FD8" w:rsidP="00C112FD">
      <w:pPr>
        <w:autoSpaceDE w:val="0"/>
        <w:autoSpaceDN w:val="0"/>
        <w:adjustRightInd w:val="0"/>
        <w:ind w:firstLine="720"/>
      </w:pPr>
      <w:r>
        <w:t xml:space="preserve">One example </w:t>
      </w:r>
      <w:r w:rsidR="0084517B">
        <w:t xml:space="preserve">of a reform we adopt today </w:t>
      </w:r>
      <w:r>
        <w:t xml:space="preserve">is our decision to </w:t>
      </w:r>
      <w:r w:rsidR="00C14D9F">
        <w:t>streamline the discontinuance process</w:t>
      </w:r>
      <w:r w:rsidR="006F2CF4">
        <w:t xml:space="preserve"> for low-speed data services</w:t>
      </w:r>
      <w:r w:rsidR="00C14D9F">
        <w:t xml:space="preserve"> </w:t>
      </w:r>
      <w:r w:rsidRPr="006F2CF4" w:rsidR="00C14D9F">
        <w:t>if</w:t>
      </w:r>
      <w:r w:rsidR="00C14D9F">
        <w:t xml:space="preserve"> </w:t>
      </w:r>
      <w:r>
        <w:t>a</w:t>
      </w:r>
      <w:r w:rsidR="00C14D9F">
        <w:t xml:space="preserve"> carrier is already providing </w:t>
      </w:r>
      <w:r w:rsidR="006F2CF4">
        <w:t xml:space="preserve">high-speed broadband—i.e., </w:t>
      </w:r>
      <w:r w:rsidR="00C14D9F">
        <w:t xml:space="preserve">at least 25/3 </w:t>
      </w:r>
      <w:r w:rsidR="00C14D9F">
        <w:t>Mbps</w:t>
      </w:r>
      <w:r w:rsidR="00C14D9F">
        <w:t xml:space="preserve">.  </w:t>
      </w:r>
      <w:r>
        <w:t xml:space="preserve">This links </w:t>
      </w:r>
      <w:r w:rsidR="001B7C7F">
        <w:t xml:space="preserve">regulatory </w:t>
      </w:r>
      <w:r>
        <w:t xml:space="preserve">relief to </w:t>
      </w:r>
      <w:r w:rsidR="001B7C7F">
        <w:t>the</w:t>
      </w:r>
      <w:r w:rsidR="007E07E6">
        <w:t xml:space="preserve"> provision of</w:t>
      </w:r>
      <w:r w:rsidR="00C14D9F">
        <w:t xml:space="preserve"> high-quality replacement services</w:t>
      </w:r>
      <w:r w:rsidR="007E07E6">
        <w:t>,</w:t>
      </w:r>
      <w:r w:rsidR="00C14D9F">
        <w:t xml:space="preserve"> </w:t>
      </w:r>
      <w:r>
        <w:t xml:space="preserve">which will both </w:t>
      </w:r>
      <w:r w:rsidR="001B7C7F">
        <w:t xml:space="preserve">encourage the </w:t>
      </w:r>
      <w:r w:rsidR="007E07E6">
        <w:t>building of</w:t>
      </w:r>
      <w:r w:rsidR="00C14D9F">
        <w:t xml:space="preserve"> modern </w:t>
      </w:r>
      <w:r w:rsidR="007E07E6">
        <w:t>networks</w:t>
      </w:r>
      <w:r w:rsidR="001B7C7F">
        <w:t xml:space="preserve"> and ensure that </w:t>
      </w:r>
      <w:r>
        <w:t>consumers are protected</w:t>
      </w:r>
      <w:r w:rsidR="00C14D9F">
        <w:t>.</w:t>
      </w:r>
      <w:r w:rsidR="007E07E6">
        <w:t xml:space="preserve">  </w:t>
      </w:r>
    </w:p>
    <w:p w:rsidR="00C14D9F" w:rsidP="00C112FD">
      <w:pPr>
        <w:autoSpaceDE w:val="0"/>
        <w:autoSpaceDN w:val="0"/>
        <w:adjustRightInd w:val="0"/>
        <w:ind w:firstLine="720"/>
      </w:pPr>
      <w:r>
        <w:t xml:space="preserve">Another example is our decision to </w:t>
      </w:r>
      <w:r w:rsidR="007E07E6">
        <w:t xml:space="preserve">extend streamlined notice procedures for </w:t>
      </w:r>
      <w:r w:rsidR="007E07E6">
        <w:rPr>
          <w:i/>
        </w:rPr>
        <w:t>force majeure</w:t>
      </w:r>
      <w:r w:rsidR="007E07E6">
        <w:t xml:space="preserve"> events to all network changes</w:t>
      </w:r>
      <w:r>
        <w:t>.  This will allow</w:t>
      </w:r>
      <w:r w:rsidR="007E07E6">
        <w:t xml:space="preserve"> </w:t>
      </w:r>
      <w:r w:rsidR="001B7C7F">
        <w:t xml:space="preserve">carriers </w:t>
      </w:r>
      <w:r w:rsidR="007E07E6">
        <w:t>to restore services as quickly as possible following events l</w:t>
      </w:r>
      <w:r w:rsidR="00787C15">
        <w:t>ike hurricanes.</w:t>
      </w:r>
      <w:r w:rsidR="00797FD8">
        <w:t xml:space="preserve">  </w:t>
      </w:r>
      <w:r>
        <w:t xml:space="preserve">As I’ve personally seen in Houston and Miami and Puerto Rico and the Virgin Islands, the top communications priority in the wake of disasters </w:t>
      </w:r>
      <w:r w:rsidR="00B76BD4">
        <w:t>needs to be</w:t>
      </w:r>
      <w:r>
        <w:t xml:space="preserve"> </w:t>
      </w:r>
      <w:r w:rsidR="00797FD8">
        <w:t xml:space="preserve">getting systems back up </w:t>
      </w:r>
      <w:r w:rsidR="001B7C7F">
        <w:t xml:space="preserve">and running, not </w:t>
      </w:r>
      <w:r w:rsidR="00C1131B">
        <w:t>running a regulatory gauntlet</w:t>
      </w:r>
      <w:r w:rsidR="006F2CF4">
        <w:t>.</w:t>
      </w:r>
    </w:p>
    <w:p w:rsidR="00C112FD" w:rsidP="00C14D9F">
      <w:pPr>
        <w:autoSpaceDE w:val="0"/>
        <w:autoSpaceDN w:val="0"/>
        <w:adjustRightInd w:val="0"/>
        <w:ind w:firstLine="720"/>
      </w:pPr>
      <w:r>
        <w:t>Yet another example is our decision to forbear from carriers having to jump through hoops to discontinue a service nobody is using.  R</w:t>
      </w:r>
      <w:r w:rsidR="00C14D9F">
        <w:t xml:space="preserve">egulations </w:t>
      </w:r>
      <w:r>
        <w:t xml:space="preserve">like this offer no </w:t>
      </w:r>
      <w:r>
        <w:t xml:space="preserve">benefits </w:t>
      </w:r>
      <w:r>
        <w:t xml:space="preserve">and </w:t>
      </w:r>
      <w:r>
        <w:t>impose costs</w:t>
      </w:r>
      <w:r w:rsidR="00EF3639">
        <w:t>.  This is</w:t>
      </w:r>
      <w:r>
        <w:t xml:space="preserve"> </w:t>
      </w:r>
      <w:r w:rsidR="00B71B5A">
        <w:t xml:space="preserve">just the kind of </w:t>
      </w:r>
      <w:r>
        <w:t xml:space="preserve">underbrush </w:t>
      </w:r>
      <w:r>
        <w:t xml:space="preserve">we need to </w:t>
      </w:r>
      <w:r>
        <w:t>clear.</w:t>
      </w:r>
    </w:p>
    <w:p w:rsidR="00F86FB4" w:rsidP="00C50B2E">
      <w:pPr>
        <w:ind w:firstLine="720"/>
        <w:rPr>
          <w:rFonts w:eastAsiaTheme="minorHAnsi"/>
          <w:sz w:val="24"/>
          <w:szCs w:val="24"/>
        </w:rPr>
      </w:pPr>
      <w:r>
        <w:t>And then there</w:t>
      </w:r>
      <w:r w:rsidR="00B76BD4">
        <w:t xml:space="preserve"> are</w:t>
      </w:r>
      <w:r>
        <w:t xml:space="preserve"> the regulations that are a solution in search of a problem.  The </w:t>
      </w:r>
      <w:r w:rsidR="00B76BD4">
        <w:t>prior FCC</w:t>
      </w:r>
      <w:r>
        <w:t xml:space="preserve"> adopted inflexible and burdensome outreach requirements.  But </w:t>
      </w:r>
      <w:r w:rsidR="00E47754">
        <w:t xml:space="preserve">companies </w:t>
      </w:r>
      <w:r>
        <w:t>have strong incentives to communicate with customers during a technology transition</w:t>
      </w:r>
      <w:r w:rsidR="00B76BD4">
        <w:t xml:space="preserve"> without such mandates</w:t>
      </w:r>
      <w:r>
        <w:t xml:space="preserve">.  After all, </w:t>
      </w:r>
      <w:r w:rsidR="00AB6007">
        <w:t>carriers</w:t>
      </w:r>
      <w:r w:rsidR="00E47754">
        <w:t xml:space="preserve"> </w:t>
      </w:r>
      <w:r>
        <w:t xml:space="preserve">don’t want to lose an existing customer </w:t>
      </w:r>
      <w:r w:rsidR="0084517B">
        <w:t xml:space="preserve">having just </w:t>
      </w:r>
      <w:r>
        <w:t>invest</w:t>
      </w:r>
      <w:r w:rsidR="0084517B">
        <w:t>ed</w:t>
      </w:r>
      <w:r>
        <w:t xml:space="preserve"> in </w:t>
      </w:r>
      <w:r w:rsidR="0084517B">
        <w:t xml:space="preserve">upgrading their </w:t>
      </w:r>
      <w:r>
        <w:t>network</w:t>
      </w:r>
      <w:r w:rsidR="0084517B">
        <w:t>s</w:t>
      </w:r>
      <w:r>
        <w:t xml:space="preserve">.  And the fact that the market is working </w:t>
      </w:r>
      <w:r w:rsidR="00E47754">
        <w:t xml:space="preserve">without these burdensome mandates </w:t>
      </w:r>
      <w:r>
        <w:t xml:space="preserve">is </w:t>
      </w:r>
      <w:r w:rsidR="00E47754">
        <w:t xml:space="preserve">proven, ironically, </w:t>
      </w:r>
      <w:r>
        <w:t xml:space="preserve">by </w:t>
      </w:r>
      <w:r w:rsidR="00E47754">
        <w:t xml:space="preserve">their </w:t>
      </w:r>
      <w:r>
        <w:t xml:space="preserve">supporters.  One party arguing </w:t>
      </w:r>
      <w:r w:rsidR="00E47754">
        <w:t xml:space="preserve">to </w:t>
      </w:r>
      <w:r>
        <w:t xml:space="preserve">keep these </w:t>
      </w:r>
      <w:r w:rsidR="00B76BD4">
        <w:t xml:space="preserve">mandates </w:t>
      </w:r>
      <w:r w:rsidR="00E47754">
        <w:t xml:space="preserve">said they </w:t>
      </w:r>
      <w:r w:rsidR="0084517B">
        <w:t xml:space="preserve">were responsible </w:t>
      </w:r>
      <w:r w:rsidR="00E47754">
        <w:t>for</w:t>
      </w:r>
      <w:r>
        <w:t xml:space="preserve"> a “relatively smooth and seamless technology transition.”</w:t>
      </w:r>
      <w:r>
        <w:rPr>
          <w:rStyle w:val="FootnoteReference"/>
          <w:sz w:val="22"/>
        </w:rPr>
        <w:footnoteReference w:id="2"/>
      </w:r>
      <w:r>
        <w:t xml:space="preserve">  </w:t>
      </w:r>
      <w:r w:rsidR="00E47754">
        <w:t xml:space="preserve">The only problem is that </w:t>
      </w:r>
      <w:r>
        <w:t xml:space="preserve">these requirements </w:t>
      </w:r>
      <w:r w:rsidR="00B70692">
        <w:t>aren’t</w:t>
      </w:r>
      <w:r w:rsidR="00B76BD4">
        <w:t xml:space="preserve"> </w:t>
      </w:r>
      <w:r w:rsidR="00E47754">
        <w:t xml:space="preserve">even </w:t>
      </w:r>
      <w:r w:rsidR="00B70692">
        <w:t xml:space="preserve">in </w:t>
      </w:r>
      <w:r w:rsidR="00B76BD4">
        <w:t>effect</w:t>
      </w:r>
      <w:r>
        <w:t>.  Carriers were working</w:t>
      </w:r>
      <w:r w:rsidR="00EF3639">
        <w:t xml:space="preserve"> to inform customer</w:t>
      </w:r>
      <w:r w:rsidR="00B76BD4">
        <w:t>s</w:t>
      </w:r>
      <w:r w:rsidR="00EF3639">
        <w:t xml:space="preserve"> </w:t>
      </w:r>
      <w:r>
        <w:rPr>
          <w:i/>
        </w:rPr>
        <w:t>without</w:t>
      </w:r>
      <w:r>
        <w:t xml:space="preserve"> the mandate</w:t>
      </w:r>
      <w:r>
        <w:rPr>
          <w:rFonts w:eastAsiaTheme="minorHAnsi"/>
          <w:sz w:val="24"/>
          <w:szCs w:val="24"/>
        </w:rPr>
        <w:t>.</w:t>
      </w:r>
    </w:p>
    <w:p w:rsidR="006F2CF4" w:rsidP="006F2CF4">
      <w:pPr>
        <w:autoSpaceDE w:val="0"/>
        <w:autoSpaceDN w:val="0"/>
        <w:adjustRightInd w:val="0"/>
        <w:ind w:firstLine="720"/>
      </w:pPr>
      <w:r>
        <w:t xml:space="preserve">And then there are the regulations that are like the party guest who still hangs around long after the music stops.  For instance, we get rid of a rule requiring carriers to put on public notice network </w:t>
      </w:r>
      <w:r>
        <w:t xml:space="preserve">changes that “will affect the manner in which customer premises equipment is attached to the interstate network.”  This came from a bygone era when carriers often had equipment affiliates and the Commission was concerned </w:t>
      </w:r>
      <w:r w:rsidR="007A0204">
        <w:t>that incumbents</w:t>
      </w:r>
      <w:r>
        <w:t xml:space="preserve"> would use their transmission facilities to favor their affiliates.  Since then the marketplace has dramatically changed, a</w:t>
      </w:r>
      <w:r w:rsidR="007A0204">
        <w:t>nd</w:t>
      </w:r>
      <w:r>
        <w:t xml:space="preserve"> so too should our rules. </w:t>
      </w:r>
      <w:r>
        <w:t xml:space="preserve"> </w:t>
      </w:r>
    </w:p>
    <w:p w:rsidR="00D641D3" w:rsidP="006F2CF4">
      <w:pPr>
        <w:autoSpaceDE w:val="0"/>
        <w:autoSpaceDN w:val="0"/>
        <w:adjustRightInd w:val="0"/>
        <w:ind w:firstLine="720"/>
      </w:pPr>
      <w:r w:rsidRPr="00D57243">
        <w:t xml:space="preserve">I would like to thank </w:t>
      </w:r>
      <w:r w:rsidRPr="00D57243">
        <w:t>all of</w:t>
      </w:r>
      <w:r w:rsidRPr="00D57243">
        <w:t xml:space="preserve"> the dedicated staff that contributed to making this result possible. From the </w:t>
      </w:r>
      <w:bookmarkEnd w:id="0"/>
      <w:r w:rsidRPr="00D57243" w:rsidR="007239CB">
        <w:t>Wireline Competition Bureau</w:t>
      </w:r>
      <w:r w:rsidR="00D57243">
        <w:t>:</w:t>
      </w:r>
      <w:r w:rsidRPr="00D57243" w:rsidR="00D57243">
        <w:t xml:space="preserve"> Michele Berlove, Megan Capasso, Lisa Hone, Dan Kahn, Celia Lewis, Pam Megna, Kris Monteith,</w:t>
      </w:r>
      <w:r w:rsidR="00D57243">
        <w:t xml:space="preserve"> and Terri Natoli; f</w:t>
      </w:r>
      <w:r w:rsidRPr="00D57243" w:rsidR="007239CB">
        <w:t xml:space="preserve">rom the </w:t>
      </w:r>
      <w:r w:rsidRPr="00D57243" w:rsidR="00D57243">
        <w:t>Wireless Telecommunications Bureau</w:t>
      </w:r>
      <w:r w:rsidR="00D57243">
        <w:t xml:space="preserve">: </w:t>
      </w:r>
      <w:r w:rsidR="00224C6B">
        <w:t xml:space="preserve">Garnet Hanley and </w:t>
      </w:r>
      <w:r w:rsidR="00D57243">
        <w:t>Catherine Matraves;</w:t>
      </w:r>
      <w:r w:rsidRPr="00D57243" w:rsidR="00D57243">
        <w:t xml:space="preserve"> </w:t>
      </w:r>
      <w:r w:rsidR="00D57243">
        <w:t>f</w:t>
      </w:r>
      <w:r w:rsidRPr="00D57243" w:rsidR="00D57243">
        <w:t>rom the Consum</w:t>
      </w:r>
      <w:r w:rsidR="00D57243">
        <w:t xml:space="preserve">er </w:t>
      </w:r>
      <w:r w:rsidR="008645A7">
        <w:t>and</w:t>
      </w:r>
      <w:r w:rsidR="00D57243">
        <w:t xml:space="preserve"> Governmental Affairs</w:t>
      </w:r>
      <w:r w:rsidR="00930313">
        <w:t xml:space="preserve"> Bureau</w:t>
      </w:r>
      <w:bookmarkStart w:id="1" w:name="_GoBack"/>
      <w:bookmarkEnd w:id="1"/>
      <w:r w:rsidR="00D57243">
        <w:t>:</w:t>
      </w:r>
      <w:r w:rsidRPr="00D57243" w:rsidR="00D57243">
        <w:t xml:space="preserve"> Susan Bahr, Rosaline Crawford, Eliot G</w:t>
      </w:r>
      <w:r w:rsidR="00D57243">
        <w:t>reenwald, and Suzanne Singleton;</w:t>
      </w:r>
      <w:r w:rsidRPr="00D57243" w:rsidR="00D57243">
        <w:t xml:space="preserve"> </w:t>
      </w:r>
      <w:r w:rsidR="00D57243">
        <w:t>and f</w:t>
      </w:r>
      <w:r w:rsidRPr="00D57243" w:rsidR="00D57243">
        <w:t>ro</w:t>
      </w:r>
      <w:r w:rsidR="00F77C68">
        <w:t>m the Office of General Counsel:</w:t>
      </w:r>
      <w:r w:rsidRPr="00D57243" w:rsidR="00D57243">
        <w:t xml:space="preserve"> Valerie Hill, Billy Layton, and Rick Mallen.</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93C8F" w:rsidP="008D2A6C">
      <w:pPr>
        <w:spacing w:after="0"/>
      </w:pPr>
      <w:r>
        <w:separator/>
      </w:r>
    </w:p>
  </w:footnote>
  <w:footnote w:type="continuationSeparator" w:id="1">
    <w:p w:rsidR="00893C8F" w:rsidP="008D2A6C">
      <w:pPr>
        <w:spacing w:after="0"/>
      </w:pPr>
      <w:r>
        <w:continuationSeparator/>
      </w:r>
    </w:p>
  </w:footnote>
  <w:footnote w:id="2">
    <w:p w:rsidR="00F86FB4" w:rsidP="00F86FB4">
      <w:pPr>
        <w:pStyle w:val="FootnoteText"/>
      </w:pPr>
      <w:r>
        <w:rPr>
          <w:rStyle w:val="FootnoteReference"/>
        </w:rPr>
        <w:footnoteRef/>
      </w:r>
      <w:r>
        <w:t xml:space="preserve"> </w:t>
      </w:r>
      <w:r>
        <w:rPr>
          <w:i/>
        </w:rPr>
        <w:t xml:space="preserve">See </w:t>
      </w:r>
      <w:r>
        <w:t>Pennsylvania PUC Wireline FNPRM Reply at 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4AC"/>
    <w:pPr>
      <w:spacing w:after="120" w:line="240"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07E6"/>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C1131B"/>
    <w:rPr>
      <w:sz w:val="16"/>
      <w:szCs w:val="16"/>
    </w:rPr>
  </w:style>
  <w:style w:type="paragraph" w:styleId="CommentText">
    <w:name w:val="annotation text"/>
    <w:basedOn w:val="Normal"/>
    <w:link w:val="CommentTextChar"/>
    <w:uiPriority w:val="99"/>
    <w:semiHidden/>
    <w:unhideWhenUsed/>
    <w:rsid w:val="00C1131B"/>
    <w:rPr>
      <w:sz w:val="20"/>
      <w:szCs w:val="20"/>
    </w:rPr>
  </w:style>
  <w:style w:type="character" w:customStyle="1" w:styleId="CommentTextChar">
    <w:name w:val="Comment Text Char"/>
    <w:basedOn w:val="DefaultParagraphFont"/>
    <w:link w:val="CommentText"/>
    <w:uiPriority w:val="99"/>
    <w:semiHidden/>
    <w:rsid w:val="00C1131B"/>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131B"/>
    <w:rPr>
      <w:b/>
      <w:bCs/>
    </w:rPr>
  </w:style>
  <w:style w:type="character" w:customStyle="1" w:styleId="CommentSubjectChar">
    <w:name w:val="Comment Subject Char"/>
    <w:basedOn w:val="CommentTextChar"/>
    <w:link w:val="CommentSubject"/>
    <w:uiPriority w:val="99"/>
    <w:semiHidden/>
    <w:rsid w:val="00C1131B"/>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C1131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31B"/>
    <w:rPr>
      <w:rFonts w:ascii="Segoe UI" w:eastAsia="Calibri" w:hAnsi="Segoe UI" w:cs="Segoe UI"/>
      <w:sz w:val="18"/>
      <w:szCs w:val="18"/>
    </w:rPr>
  </w:style>
  <w:style w:type="paragraph" w:styleId="FootnoteText">
    <w:name w:val="footnote text"/>
    <w:aliases w:val="ALTS FOOTNOTE,ALTS FOOTNOTE Char1,Footnote Text Char Char,Footnote Text Char2,Footnote Text Char2 Char Char,Footnote Text Char2 Char1 Char1 Char Char,Footnote Text Char3 Char1 Char Char,Footnote Text Char3 Char1 Char Char Char Char,f,fn"/>
    <w:link w:val="FootnoteTextChar"/>
    <w:rsid w:val="008D2A6C"/>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Footnote Text Char2 Char,Footnote Text Char2 Char Char Char,Footnote Text Char2 Char1 Char1 Char Char Char,Footnote Text Char3 Char1 Char Char Char,Footnote Text Char3 Char1 Char Char Char Char Char,f Char"/>
    <w:basedOn w:val="DefaultParagraphFont"/>
    <w:link w:val="FootnoteText"/>
    <w:rsid w:val="008D2A6C"/>
    <w:rPr>
      <w:rFonts w:ascii="Times New Roman" w:eastAsia="Times New Roman" w:hAnsi="Times New Roman" w:cs="Times New Roman"/>
      <w:sz w:val="20"/>
      <w:szCs w:val="20"/>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8D2A6C"/>
    <w:rPr>
      <w:rFonts w:ascii="Times New Roman" w:hAnsi="Times New Roman"/>
      <w:dstrike w:val="0"/>
      <w:color w:val="auto"/>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