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043BC" w:rsidRPr="00EF724B" w:rsidP="00C2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EF724B">
        <w:rPr>
          <w:rFonts w:ascii="Times New Roman" w:hAnsi="Times New Roman" w:cs="Times New Roman"/>
          <w:b/>
          <w:bCs/>
          <w:caps/>
        </w:rPr>
        <w:t>Statement of</w:t>
      </w:r>
    </w:p>
    <w:p w:rsidR="00F043BC" w:rsidRPr="00EF724B" w:rsidP="00C2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EF724B">
        <w:rPr>
          <w:rFonts w:ascii="Times New Roman" w:hAnsi="Times New Roman" w:cs="Times New Roman"/>
          <w:b/>
          <w:bCs/>
          <w:caps/>
        </w:rPr>
        <w:t>Chairman AJIT PAI</w:t>
      </w:r>
    </w:p>
    <w:p w:rsidR="00F043BC" w:rsidRPr="00EF724B" w:rsidP="00C2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EF724B" w:rsidRPr="00EF724B" w:rsidP="00C24AA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F724B">
        <w:rPr>
          <w:rFonts w:ascii="Times New Roman" w:hAnsi="Times New Roman" w:cs="Times New Roman"/>
        </w:rPr>
        <w:t xml:space="preserve">Re: </w:t>
      </w:r>
      <w:r w:rsidRPr="00EF724B">
        <w:rPr>
          <w:rFonts w:ascii="Times New Roman" w:hAnsi="Times New Roman" w:cs="Times New Roman"/>
        </w:rPr>
        <w:tab/>
      </w:r>
      <w:r w:rsidRPr="00EF724B">
        <w:rPr>
          <w:rFonts w:ascii="Times New Roman" w:hAnsi="Times New Roman" w:cs="Times New Roman"/>
          <w:i/>
        </w:rPr>
        <w:t>Protecting Consumers from Unauthorized Carrier Changes and Related Unauthorized Charges</w:t>
      </w:r>
      <w:r w:rsidRPr="00EF724B">
        <w:rPr>
          <w:rFonts w:ascii="Times New Roman" w:hAnsi="Times New Roman" w:cs="Times New Roman"/>
        </w:rPr>
        <w:t>, CG Docket. No. 17-169.</w:t>
      </w:r>
    </w:p>
    <w:p w:rsidR="00C24AA3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EF724B" w:rsidRPr="00EF724B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</w:t>
      </w:r>
      <w:r w:rsidRPr="00EF724B">
        <w:rPr>
          <w:rFonts w:ascii="Times New Roman" w:hAnsi="Times New Roman" w:cs="Times New Roman"/>
        </w:rPr>
        <w:t xml:space="preserve"> worse than getting a marketing call just as you are about to sit down for dinner with your family</w:t>
      </w:r>
      <w:r>
        <w:rPr>
          <w:rFonts w:ascii="Times New Roman" w:hAnsi="Times New Roman" w:cs="Times New Roman"/>
        </w:rPr>
        <w:t>?</w:t>
      </w:r>
      <w:r w:rsidRPr="00EF7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Answering that call and having snippets of the conversation taken out of context to justify switching your telephone carrier </w:t>
      </w:r>
      <w:r w:rsidR="00020D6C">
        <w:rPr>
          <w:rFonts w:ascii="Times New Roman" w:hAnsi="Times New Roman" w:cs="Times New Roman"/>
        </w:rPr>
        <w:t xml:space="preserve">without your consent </w:t>
      </w:r>
      <w:r>
        <w:rPr>
          <w:rFonts w:ascii="Times New Roman" w:hAnsi="Times New Roman" w:cs="Times New Roman"/>
        </w:rPr>
        <w:t xml:space="preserve">or adding unwanted charges to your phone bill.  </w:t>
      </w:r>
    </w:p>
    <w:p w:rsidR="00C24AA3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EF724B" w:rsidRPr="00EF724B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F724B">
        <w:rPr>
          <w:rFonts w:ascii="Times New Roman" w:hAnsi="Times New Roman" w:cs="Times New Roman"/>
        </w:rPr>
        <w:t xml:space="preserve">If </w:t>
      </w:r>
      <w:r w:rsidR="00841947">
        <w:rPr>
          <w:rFonts w:ascii="Times New Roman" w:hAnsi="Times New Roman" w:cs="Times New Roman"/>
        </w:rPr>
        <w:t>that’s</w:t>
      </w:r>
      <w:r w:rsidRPr="00EF724B">
        <w:rPr>
          <w:rFonts w:ascii="Times New Roman" w:hAnsi="Times New Roman" w:cs="Times New Roman"/>
        </w:rPr>
        <w:t xml:space="preserve"> ever happened to you, then you were the victim of slamming or cramming—two egregious ways in which unscrupulous </w:t>
      </w:r>
      <w:r w:rsidR="00841947">
        <w:rPr>
          <w:rFonts w:ascii="Times New Roman" w:hAnsi="Times New Roman" w:cs="Times New Roman"/>
        </w:rPr>
        <w:t xml:space="preserve">companies </w:t>
      </w:r>
      <w:r w:rsidRPr="00EF724B">
        <w:rPr>
          <w:rFonts w:ascii="Times New Roman" w:hAnsi="Times New Roman" w:cs="Times New Roman"/>
        </w:rPr>
        <w:t xml:space="preserve">exploit unsuspecting consumers.  </w:t>
      </w:r>
      <w:r w:rsidR="00F30F90">
        <w:rPr>
          <w:rFonts w:ascii="Times New Roman" w:hAnsi="Times New Roman" w:cs="Times New Roman"/>
        </w:rPr>
        <w:t>“</w:t>
      </w:r>
      <w:r w:rsidRPr="00EF724B">
        <w:rPr>
          <w:rFonts w:ascii="Times New Roman" w:hAnsi="Times New Roman" w:cs="Times New Roman"/>
        </w:rPr>
        <w:t xml:space="preserve">Slamming” involves changing a consumer’s phone provider without </w:t>
      </w:r>
      <w:r w:rsidR="00841947">
        <w:rPr>
          <w:rFonts w:ascii="Times New Roman" w:hAnsi="Times New Roman" w:cs="Times New Roman"/>
        </w:rPr>
        <w:t>his or her</w:t>
      </w:r>
      <w:r w:rsidRPr="00EF724B">
        <w:rPr>
          <w:rFonts w:ascii="Times New Roman" w:hAnsi="Times New Roman" w:cs="Times New Roman"/>
        </w:rPr>
        <w:t xml:space="preserve"> permission</w:t>
      </w:r>
      <w:r w:rsidR="00020D6C">
        <w:rPr>
          <w:rFonts w:ascii="Times New Roman" w:hAnsi="Times New Roman" w:cs="Times New Roman"/>
        </w:rPr>
        <w:t xml:space="preserve">. </w:t>
      </w:r>
      <w:r w:rsidRPr="00EF724B">
        <w:rPr>
          <w:rFonts w:ascii="Times New Roman" w:hAnsi="Times New Roman" w:cs="Times New Roman"/>
        </w:rPr>
        <w:t xml:space="preserve"> “</w:t>
      </w:r>
      <w:r w:rsidR="00020D6C">
        <w:rPr>
          <w:rFonts w:ascii="Times New Roman" w:hAnsi="Times New Roman" w:cs="Times New Roman"/>
        </w:rPr>
        <w:t>C</w:t>
      </w:r>
      <w:r w:rsidRPr="00EF724B">
        <w:rPr>
          <w:rFonts w:ascii="Times New Roman" w:hAnsi="Times New Roman" w:cs="Times New Roman"/>
        </w:rPr>
        <w:t>ramming” occurs when unauthorized line item charges are placed on a consumer’s phone bill.</w:t>
      </w:r>
    </w:p>
    <w:p w:rsidR="00C24AA3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FE47DF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past, t</w:t>
      </w:r>
      <w:r w:rsidRPr="00EF724B" w:rsidR="00EF724B">
        <w:rPr>
          <w:rFonts w:ascii="Times New Roman" w:hAnsi="Times New Roman" w:cs="Times New Roman"/>
        </w:rPr>
        <w:t xml:space="preserve">he </w:t>
      </w:r>
      <w:r w:rsidR="00020D6C">
        <w:rPr>
          <w:rFonts w:ascii="Times New Roman" w:hAnsi="Times New Roman" w:cs="Times New Roman"/>
        </w:rPr>
        <w:t xml:space="preserve">FCC </w:t>
      </w:r>
      <w:r w:rsidRPr="00EF724B" w:rsidR="00EF724B">
        <w:rPr>
          <w:rFonts w:ascii="Times New Roman" w:hAnsi="Times New Roman" w:cs="Times New Roman"/>
        </w:rPr>
        <w:t xml:space="preserve">has </w:t>
      </w:r>
      <w:r w:rsidR="00020D6C">
        <w:rPr>
          <w:rFonts w:ascii="Times New Roman" w:hAnsi="Times New Roman" w:cs="Times New Roman"/>
        </w:rPr>
        <w:t xml:space="preserve">attacked </w:t>
      </w:r>
      <w:r w:rsidRPr="00EF724B" w:rsidR="00EF724B">
        <w:rPr>
          <w:rFonts w:ascii="Times New Roman" w:hAnsi="Times New Roman" w:cs="Times New Roman"/>
        </w:rPr>
        <w:t xml:space="preserve">cramming and slamming by interpreting </w:t>
      </w:r>
      <w:r w:rsidR="00841947">
        <w:rPr>
          <w:rFonts w:ascii="Times New Roman" w:hAnsi="Times New Roman" w:cs="Times New Roman"/>
        </w:rPr>
        <w:t>s</w:t>
      </w:r>
      <w:r w:rsidRPr="00EF724B" w:rsidR="00EF724B">
        <w:rPr>
          <w:rFonts w:ascii="Times New Roman" w:hAnsi="Times New Roman" w:cs="Times New Roman"/>
        </w:rPr>
        <w:t>ection 201(b)</w:t>
      </w:r>
      <w:r w:rsidR="00841947">
        <w:rPr>
          <w:rFonts w:ascii="Times New Roman" w:hAnsi="Times New Roman" w:cs="Times New Roman"/>
        </w:rPr>
        <w:t xml:space="preserve"> of the Communications Act</w:t>
      </w:r>
      <w:r w:rsidRPr="00EF724B" w:rsidR="00EF724B">
        <w:rPr>
          <w:rFonts w:ascii="Times New Roman" w:hAnsi="Times New Roman" w:cs="Times New Roman"/>
        </w:rPr>
        <w:t xml:space="preserve">, which prohibits unjust and unreasonable practices, to </w:t>
      </w:r>
      <w:r w:rsidR="00841947">
        <w:rPr>
          <w:rFonts w:ascii="Times New Roman" w:hAnsi="Times New Roman" w:cs="Times New Roman"/>
        </w:rPr>
        <w:t xml:space="preserve">forbid </w:t>
      </w:r>
      <w:r w:rsidR="00C47301">
        <w:rPr>
          <w:rFonts w:ascii="Times New Roman" w:hAnsi="Times New Roman" w:cs="Times New Roman"/>
        </w:rPr>
        <w:t xml:space="preserve">misrepresentation </w:t>
      </w:r>
      <w:r w:rsidR="00F06496">
        <w:rPr>
          <w:rFonts w:ascii="Times New Roman" w:hAnsi="Times New Roman" w:cs="Times New Roman"/>
        </w:rPr>
        <w:t>o</w:t>
      </w:r>
      <w:r w:rsidR="00C47301">
        <w:rPr>
          <w:rFonts w:ascii="Times New Roman" w:hAnsi="Times New Roman" w:cs="Times New Roman"/>
        </w:rPr>
        <w:t>n sales calls</w:t>
      </w:r>
      <w:r>
        <w:rPr>
          <w:rFonts w:ascii="Times New Roman" w:hAnsi="Times New Roman" w:cs="Times New Roman"/>
        </w:rPr>
        <w:t xml:space="preserve"> and billing </w:t>
      </w:r>
      <w:r w:rsidRPr="00EF724B" w:rsidR="00EF724B">
        <w:rPr>
          <w:rFonts w:ascii="Times New Roman" w:hAnsi="Times New Roman" w:cs="Times New Roman"/>
        </w:rPr>
        <w:t xml:space="preserve">practices.  </w:t>
      </w:r>
      <w:r w:rsidR="005B05C3">
        <w:rPr>
          <w:rFonts w:ascii="Times New Roman" w:hAnsi="Times New Roman" w:cs="Times New Roman"/>
        </w:rPr>
        <w:t>T</w:t>
      </w:r>
      <w:r w:rsidRPr="00EF724B" w:rsidR="00EF724B">
        <w:rPr>
          <w:rFonts w:ascii="Times New Roman" w:hAnsi="Times New Roman" w:cs="Times New Roman"/>
        </w:rPr>
        <w:t>oday</w:t>
      </w:r>
      <w:r w:rsidR="00841947">
        <w:rPr>
          <w:rFonts w:ascii="Times New Roman" w:hAnsi="Times New Roman" w:cs="Times New Roman"/>
        </w:rPr>
        <w:t>,</w:t>
      </w:r>
      <w:r w:rsidRPr="00EF724B" w:rsidR="00EF724B">
        <w:rPr>
          <w:rFonts w:ascii="Times New Roman" w:hAnsi="Times New Roman" w:cs="Times New Roman"/>
        </w:rPr>
        <w:t xml:space="preserve"> we </w:t>
      </w:r>
      <w:r w:rsidR="00020D6C">
        <w:rPr>
          <w:rFonts w:ascii="Times New Roman" w:hAnsi="Times New Roman" w:cs="Times New Roman"/>
        </w:rPr>
        <w:t xml:space="preserve">take even stronger measures </w:t>
      </w:r>
      <w:r w:rsidR="00841947">
        <w:rPr>
          <w:rFonts w:ascii="Times New Roman" w:hAnsi="Times New Roman" w:cs="Times New Roman"/>
        </w:rPr>
        <w:t xml:space="preserve">to combat </w:t>
      </w:r>
      <w:r w:rsidR="00020D6C">
        <w:rPr>
          <w:rFonts w:ascii="Times New Roman" w:hAnsi="Times New Roman" w:cs="Times New Roman"/>
        </w:rPr>
        <w:t>these practices</w:t>
      </w:r>
      <w:r>
        <w:rPr>
          <w:rFonts w:ascii="Times New Roman" w:hAnsi="Times New Roman" w:cs="Times New Roman"/>
        </w:rPr>
        <w:t xml:space="preserve">.  </w:t>
      </w:r>
    </w:p>
    <w:p w:rsidR="00C24AA3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841947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</w:t>
      </w:r>
      <w:r w:rsidR="005B090F">
        <w:rPr>
          <w:rFonts w:ascii="Times New Roman" w:hAnsi="Times New Roman" w:cs="Times New Roman"/>
        </w:rPr>
        <w:t xml:space="preserve">we adopt a specific rule to prohibit cramming.  This is the first time in the agency’s history we’ve done so.  </w:t>
      </w:r>
      <w:r w:rsidRPr="00EF724B" w:rsidR="005B090F">
        <w:rPr>
          <w:rFonts w:ascii="Times New Roman" w:hAnsi="Times New Roman" w:cs="Times New Roman"/>
        </w:rPr>
        <w:t>Combined with our existing truth-in-billing rules</w:t>
      </w:r>
      <w:r w:rsidR="005B090F">
        <w:rPr>
          <w:rFonts w:ascii="Times New Roman" w:hAnsi="Times New Roman" w:cs="Times New Roman"/>
        </w:rPr>
        <w:t>, which help deter and detect cramming</w:t>
      </w:r>
      <w:r w:rsidRPr="00EF724B" w:rsidR="005B090F">
        <w:rPr>
          <w:rFonts w:ascii="Times New Roman" w:hAnsi="Times New Roman" w:cs="Times New Roman"/>
        </w:rPr>
        <w:t xml:space="preserve">, this </w:t>
      </w:r>
      <w:r w:rsidR="005B090F">
        <w:rPr>
          <w:rFonts w:ascii="Times New Roman" w:hAnsi="Times New Roman" w:cs="Times New Roman"/>
        </w:rPr>
        <w:t xml:space="preserve">new </w:t>
      </w:r>
      <w:r w:rsidRPr="00EF724B" w:rsidR="005B090F">
        <w:rPr>
          <w:rFonts w:ascii="Times New Roman" w:hAnsi="Times New Roman" w:cs="Times New Roman"/>
        </w:rPr>
        <w:t>bright</w:t>
      </w:r>
      <w:r w:rsidR="005B090F">
        <w:rPr>
          <w:rFonts w:ascii="Times New Roman" w:hAnsi="Times New Roman" w:cs="Times New Roman"/>
        </w:rPr>
        <w:t>-</w:t>
      </w:r>
      <w:r w:rsidRPr="00EF724B" w:rsidR="005B090F">
        <w:rPr>
          <w:rFonts w:ascii="Times New Roman" w:hAnsi="Times New Roman" w:cs="Times New Roman"/>
        </w:rPr>
        <w:t xml:space="preserve">line rule will </w:t>
      </w:r>
      <w:r w:rsidR="005B090F">
        <w:rPr>
          <w:rFonts w:ascii="Times New Roman" w:hAnsi="Times New Roman" w:cs="Times New Roman"/>
        </w:rPr>
        <w:t xml:space="preserve">make clear to every </w:t>
      </w:r>
      <w:r w:rsidRPr="00EF724B" w:rsidR="005B090F">
        <w:rPr>
          <w:rFonts w:ascii="Times New Roman" w:hAnsi="Times New Roman" w:cs="Times New Roman"/>
        </w:rPr>
        <w:t>wireline and wireless carrier</w:t>
      </w:r>
      <w:r w:rsidR="005B090F">
        <w:rPr>
          <w:rFonts w:ascii="Times New Roman" w:hAnsi="Times New Roman" w:cs="Times New Roman"/>
        </w:rPr>
        <w:t xml:space="preserve"> what the law is</w:t>
      </w:r>
      <w:r w:rsidRPr="00EF724B" w:rsidR="005B090F">
        <w:rPr>
          <w:rFonts w:ascii="Times New Roman" w:hAnsi="Times New Roman" w:cs="Times New Roman"/>
        </w:rPr>
        <w:t xml:space="preserve">, </w:t>
      </w:r>
      <w:r w:rsidR="003877AB">
        <w:rPr>
          <w:rFonts w:ascii="Times New Roman" w:hAnsi="Times New Roman" w:cs="Times New Roman"/>
        </w:rPr>
        <w:t xml:space="preserve">and will </w:t>
      </w:r>
      <w:r w:rsidRPr="00EF724B" w:rsidR="005B090F">
        <w:rPr>
          <w:rFonts w:ascii="Times New Roman" w:hAnsi="Times New Roman" w:cs="Times New Roman"/>
        </w:rPr>
        <w:t xml:space="preserve">enhance the </w:t>
      </w:r>
      <w:r w:rsidR="005B090F">
        <w:rPr>
          <w:rFonts w:ascii="Times New Roman" w:hAnsi="Times New Roman" w:cs="Times New Roman"/>
        </w:rPr>
        <w:t>FCC</w:t>
      </w:r>
      <w:r w:rsidRPr="00EF724B" w:rsidR="005B090F">
        <w:rPr>
          <w:rFonts w:ascii="Times New Roman" w:hAnsi="Times New Roman" w:cs="Times New Roman"/>
        </w:rPr>
        <w:t>’s enforcement efforts against cramming.</w:t>
      </w:r>
    </w:p>
    <w:p w:rsidR="00C24AA3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EF724B" w:rsidRPr="00EF724B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E47DF">
        <w:rPr>
          <w:rFonts w:ascii="Times New Roman" w:hAnsi="Times New Roman" w:cs="Times New Roman"/>
        </w:rPr>
        <w:t xml:space="preserve">econd, </w:t>
      </w:r>
      <w:r w:rsidR="005B090F">
        <w:rPr>
          <w:rFonts w:ascii="Times New Roman" w:hAnsi="Times New Roman" w:cs="Times New Roman"/>
        </w:rPr>
        <w:t xml:space="preserve">we </w:t>
      </w:r>
      <w:r w:rsidRPr="00EF724B" w:rsidR="005B090F">
        <w:rPr>
          <w:rFonts w:ascii="Times New Roman" w:hAnsi="Times New Roman" w:cs="Times New Roman"/>
        </w:rPr>
        <w:t xml:space="preserve">adopt a </w:t>
      </w:r>
      <w:r w:rsidR="005B090F">
        <w:rPr>
          <w:rFonts w:ascii="Times New Roman" w:hAnsi="Times New Roman" w:cs="Times New Roman"/>
        </w:rPr>
        <w:t>rule that a subscriber’s authorization to switch carriers will be deemed invalid if a material misrepresentation is made during a sales call.  The reason is simple:  Carriers shouldn’t be able to deceive consumers into switching providers.</w:t>
      </w:r>
    </w:p>
    <w:p w:rsidR="00C24AA3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160BA4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</w:t>
      </w:r>
      <w:r w:rsidR="00746B71">
        <w:rPr>
          <w:rFonts w:ascii="Times New Roman" w:hAnsi="Times New Roman" w:cs="Times New Roman"/>
        </w:rPr>
        <w:t xml:space="preserve">streamline and </w:t>
      </w:r>
      <w:r>
        <w:rPr>
          <w:rFonts w:ascii="Times New Roman" w:hAnsi="Times New Roman" w:cs="Times New Roman"/>
        </w:rPr>
        <w:t xml:space="preserve">strengthen the </w:t>
      </w:r>
      <w:r w:rsidRPr="00EF724B" w:rsidR="00EF724B">
        <w:rPr>
          <w:rFonts w:ascii="Times New Roman" w:hAnsi="Times New Roman" w:cs="Times New Roman"/>
        </w:rPr>
        <w:t>third-party verification</w:t>
      </w:r>
      <w:r>
        <w:rPr>
          <w:rFonts w:ascii="Times New Roman" w:hAnsi="Times New Roman" w:cs="Times New Roman"/>
        </w:rPr>
        <w:t xml:space="preserve"> process</w:t>
      </w:r>
      <w:r w:rsidRPr="00EF724B" w:rsidR="00EF724B">
        <w:rPr>
          <w:rFonts w:ascii="Times New Roman" w:hAnsi="Times New Roman" w:cs="Times New Roman"/>
        </w:rPr>
        <w:t>, or TPV</w:t>
      </w:r>
      <w:r w:rsidR="00A3658A">
        <w:rPr>
          <w:rFonts w:ascii="Times New Roman" w:hAnsi="Times New Roman" w:cs="Times New Roman"/>
        </w:rPr>
        <w:t xml:space="preserve">, which involves </w:t>
      </w:r>
      <w:r w:rsidRPr="00A3658A" w:rsidR="00A3658A">
        <w:rPr>
          <w:rFonts w:ascii="Times New Roman" w:hAnsi="Times New Roman" w:cs="Times New Roman"/>
        </w:rPr>
        <w:t xml:space="preserve">a recorded conversation between an independent third-party verifier and </w:t>
      </w:r>
      <w:r w:rsidR="00787E30">
        <w:rPr>
          <w:rFonts w:ascii="Times New Roman" w:hAnsi="Times New Roman" w:cs="Times New Roman"/>
        </w:rPr>
        <w:t>a</w:t>
      </w:r>
      <w:r w:rsidRPr="00A3658A" w:rsidR="00787E30">
        <w:rPr>
          <w:rFonts w:ascii="Times New Roman" w:hAnsi="Times New Roman" w:cs="Times New Roman"/>
        </w:rPr>
        <w:t xml:space="preserve"> </w:t>
      </w:r>
      <w:r w:rsidRPr="00A3658A" w:rsidR="00A3658A">
        <w:rPr>
          <w:rFonts w:ascii="Times New Roman" w:hAnsi="Times New Roman" w:cs="Times New Roman"/>
        </w:rPr>
        <w:t>consumer</w:t>
      </w:r>
      <w:r w:rsidR="00C34383">
        <w:rPr>
          <w:rFonts w:ascii="Times New Roman" w:hAnsi="Times New Roman" w:cs="Times New Roman"/>
        </w:rPr>
        <w:t xml:space="preserve"> </w:t>
      </w:r>
      <w:r w:rsidR="00A3658A">
        <w:rPr>
          <w:rFonts w:ascii="Times New Roman" w:hAnsi="Times New Roman" w:cs="Times New Roman"/>
        </w:rPr>
        <w:t xml:space="preserve">about </w:t>
      </w:r>
      <w:r w:rsidR="00C34383">
        <w:rPr>
          <w:rFonts w:ascii="Times New Roman" w:hAnsi="Times New Roman" w:cs="Times New Roman"/>
        </w:rPr>
        <w:t>switching carriers</w:t>
      </w:r>
      <w:r>
        <w:rPr>
          <w:rFonts w:ascii="Times New Roman" w:hAnsi="Times New Roman" w:cs="Times New Roman"/>
        </w:rPr>
        <w:t>.  For example, n</w:t>
      </w:r>
      <w:r w:rsidR="00CB0FAC">
        <w:rPr>
          <w:rFonts w:ascii="Times New Roman" w:hAnsi="Times New Roman" w:cs="Times New Roman"/>
        </w:rPr>
        <w:t xml:space="preserve">o longer will </w:t>
      </w:r>
      <w:r w:rsidRPr="00EF724B" w:rsidR="00EF724B">
        <w:rPr>
          <w:rFonts w:ascii="Times New Roman" w:hAnsi="Times New Roman" w:cs="Times New Roman"/>
        </w:rPr>
        <w:t xml:space="preserve">carriers </w:t>
      </w:r>
      <w:r w:rsidR="00746B71">
        <w:rPr>
          <w:rFonts w:ascii="Times New Roman" w:hAnsi="Times New Roman" w:cs="Times New Roman"/>
        </w:rPr>
        <w:t xml:space="preserve">selling more than one service </w:t>
      </w:r>
      <w:r w:rsidR="00CB0FAC">
        <w:rPr>
          <w:rFonts w:ascii="Times New Roman" w:hAnsi="Times New Roman" w:cs="Times New Roman"/>
        </w:rPr>
        <w:t xml:space="preserve">be required to </w:t>
      </w:r>
      <w:r w:rsidRPr="00EF724B" w:rsidR="00EF724B">
        <w:rPr>
          <w:rFonts w:ascii="Times New Roman" w:hAnsi="Times New Roman" w:cs="Times New Roman"/>
        </w:rPr>
        <w:t xml:space="preserve">ask consumers if they want </w:t>
      </w:r>
      <w:r w:rsidR="00CC7472">
        <w:rPr>
          <w:rFonts w:ascii="Times New Roman" w:hAnsi="Times New Roman" w:cs="Times New Roman"/>
        </w:rPr>
        <w:t xml:space="preserve">to </w:t>
      </w:r>
      <w:r w:rsidRPr="00EF724B" w:rsidR="00EF724B">
        <w:rPr>
          <w:rFonts w:ascii="Times New Roman" w:hAnsi="Times New Roman" w:cs="Times New Roman"/>
        </w:rPr>
        <w:t xml:space="preserve">switch individual services based on </w:t>
      </w:r>
      <w:r w:rsidR="00A13396">
        <w:rPr>
          <w:rFonts w:ascii="Times New Roman" w:hAnsi="Times New Roman" w:cs="Times New Roman"/>
        </w:rPr>
        <w:t>arcane</w:t>
      </w:r>
      <w:r w:rsidRPr="00EF724B" w:rsidR="00EF724B">
        <w:rPr>
          <w:rFonts w:ascii="Times New Roman" w:hAnsi="Times New Roman" w:cs="Times New Roman"/>
        </w:rPr>
        <w:t xml:space="preserve"> regulatory classifications</w:t>
      </w:r>
      <w:r w:rsidR="00CC1A7B">
        <w:rPr>
          <w:rFonts w:ascii="Times New Roman" w:hAnsi="Times New Roman" w:cs="Times New Roman"/>
        </w:rPr>
        <w:t>—like interLATA or intraLATA</w:t>
      </w:r>
      <w:r w:rsidR="003877AB">
        <w:rPr>
          <w:rFonts w:ascii="Times New Roman" w:hAnsi="Times New Roman" w:cs="Times New Roman"/>
        </w:rPr>
        <w:t xml:space="preserve"> calls</w:t>
      </w:r>
      <w:r w:rsidR="00CC1A7B">
        <w:rPr>
          <w:rFonts w:ascii="Times New Roman" w:hAnsi="Times New Roman" w:cs="Times New Roman"/>
        </w:rPr>
        <w:t>—</w:t>
      </w:r>
      <w:r w:rsidRPr="00EF724B" w:rsidR="00EF724B">
        <w:rPr>
          <w:rFonts w:ascii="Times New Roman" w:hAnsi="Times New Roman" w:cs="Times New Roman"/>
        </w:rPr>
        <w:t xml:space="preserve">that are </w:t>
      </w:r>
      <w:r w:rsidR="00CC7472">
        <w:rPr>
          <w:rFonts w:ascii="Times New Roman" w:hAnsi="Times New Roman" w:cs="Times New Roman"/>
        </w:rPr>
        <w:t xml:space="preserve">confusing to consumers </w:t>
      </w:r>
      <w:r w:rsidR="00A3658A">
        <w:rPr>
          <w:rFonts w:ascii="Times New Roman" w:hAnsi="Times New Roman" w:cs="Times New Roman"/>
        </w:rPr>
        <w:t xml:space="preserve">and more outdated </w:t>
      </w:r>
      <w:r w:rsidRPr="00EF724B" w:rsidR="00EF724B">
        <w:rPr>
          <w:rFonts w:ascii="Times New Roman" w:hAnsi="Times New Roman" w:cs="Times New Roman"/>
        </w:rPr>
        <w:t>in today’s market.</w:t>
      </w:r>
      <w:r w:rsidR="00CC7472">
        <w:rPr>
          <w:rFonts w:ascii="Times New Roman" w:hAnsi="Times New Roman" w:cs="Times New Roman"/>
        </w:rPr>
        <w:t xml:space="preserve"> </w:t>
      </w:r>
      <w:r w:rsidRPr="00EF724B" w:rsidR="00EF724B">
        <w:rPr>
          <w:rFonts w:ascii="Times New Roman" w:hAnsi="Times New Roman" w:cs="Times New Roman"/>
        </w:rPr>
        <w:t xml:space="preserve"> We also take an important step to </w:t>
      </w:r>
      <w:r w:rsidRPr="00EF724B" w:rsidR="00CC7472">
        <w:rPr>
          <w:rFonts w:ascii="Times New Roman" w:hAnsi="Times New Roman" w:cs="Times New Roman"/>
        </w:rPr>
        <w:t xml:space="preserve">crack down </w:t>
      </w:r>
      <w:r w:rsidR="00C34383">
        <w:rPr>
          <w:rFonts w:ascii="Times New Roman" w:hAnsi="Times New Roman" w:cs="Times New Roman"/>
        </w:rPr>
        <w:t xml:space="preserve">on those carriers that abuse the TPV process, such as </w:t>
      </w:r>
      <w:r w:rsidRPr="00183965" w:rsidR="00183965">
        <w:rPr>
          <w:rFonts w:ascii="Times New Roman" w:hAnsi="Times New Roman" w:cs="Times New Roman"/>
        </w:rPr>
        <w:t>when a caller cuts and edits audio from a conversation with a consumer to create a fraudulent TPV purporting to be the consumer’s approval to switch carriers</w:t>
      </w:r>
      <w:r w:rsidR="0004407D">
        <w:rPr>
          <w:rFonts w:ascii="Times New Roman" w:hAnsi="Times New Roman" w:cs="Times New Roman"/>
        </w:rPr>
        <w:t>.  From now on,</w:t>
      </w:r>
      <w:r w:rsidR="00CC7472">
        <w:rPr>
          <w:rFonts w:ascii="Times New Roman" w:hAnsi="Times New Roman" w:cs="Times New Roman"/>
        </w:rPr>
        <w:t xml:space="preserve"> </w:t>
      </w:r>
      <w:r w:rsidRPr="00EF724B" w:rsidR="0004407D">
        <w:rPr>
          <w:rFonts w:ascii="Times New Roman" w:hAnsi="Times New Roman" w:cs="Times New Roman"/>
        </w:rPr>
        <w:t>upon a finding that the carrier has abused the TPV process</w:t>
      </w:r>
      <w:r w:rsidR="0004407D">
        <w:rPr>
          <w:rFonts w:ascii="Times New Roman" w:hAnsi="Times New Roman" w:cs="Times New Roman"/>
        </w:rPr>
        <w:t xml:space="preserve">, that carrier will be </w:t>
      </w:r>
      <w:r w:rsidR="00CC7472">
        <w:rPr>
          <w:rFonts w:ascii="Times New Roman" w:hAnsi="Times New Roman" w:cs="Times New Roman"/>
        </w:rPr>
        <w:t>suspend</w:t>
      </w:r>
      <w:r w:rsidR="0004407D">
        <w:rPr>
          <w:rFonts w:ascii="Times New Roman" w:hAnsi="Times New Roman" w:cs="Times New Roman"/>
        </w:rPr>
        <w:t>ed</w:t>
      </w:r>
      <w:r w:rsidR="00CC7472">
        <w:rPr>
          <w:rFonts w:ascii="Times New Roman" w:hAnsi="Times New Roman" w:cs="Times New Roman"/>
        </w:rPr>
        <w:t xml:space="preserve"> </w:t>
      </w:r>
      <w:r w:rsidRPr="00EF724B" w:rsidR="00CC7472">
        <w:rPr>
          <w:rFonts w:ascii="Times New Roman" w:hAnsi="Times New Roman" w:cs="Times New Roman"/>
        </w:rPr>
        <w:t xml:space="preserve">from using TPV as a means of verifying consumer switches </w:t>
      </w:r>
      <w:r w:rsidRPr="0004407D" w:rsidR="00CC7472">
        <w:rPr>
          <w:rFonts w:ascii="Times New Roman" w:hAnsi="Times New Roman" w:cs="Times New Roman"/>
        </w:rPr>
        <w:t xml:space="preserve">for </w:t>
      </w:r>
      <w:r w:rsidRPr="0004407D" w:rsidR="0004407D">
        <w:rPr>
          <w:rFonts w:ascii="Times New Roman" w:hAnsi="Times New Roman" w:cs="Times New Roman"/>
        </w:rPr>
        <w:t>five</w:t>
      </w:r>
      <w:r w:rsidRPr="0004407D">
        <w:rPr>
          <w:rFonts w:ascii="Times New Roman" w:hAnsi="Times New Roman" w:cs="Times New Roman"/>
        </w:rPr>
        <w:t xml:space="preserve"> years</w:t>
      </w:r>
      <w:r w:rsidRPr="00EF724B" w:rsidR="00CC7472">
        <w:rPr>
          <w:rFonts w:ascii="Times New Roman" w:hAnsi="Times New Roman" w:cs="Times New Roman"/>
        </w:rPr>
        <w:t>.</w:t>
      </w:r>
      <w:r w:rsidR="00CC7472">
        <w:rPr>
          <w:rFonts w:ascii="Times New Roman" w:hAnsi="Times New Roman" w:cs="Times New Roman"/>
        </w:rPr>
        <w:t xml:space="preserve">  Together</w:t>
      </w:r>
      <w:r w:rsidR="005B4A6B">
        <w:rPr>
          <w:rFonts w:ascii="Times New Roman" w:hAnsi="Times New Roman" w:cs="Times New Roman"/>
        </w:rPr>
        <w:t>,</w:t>
      </w:r>
      <w:r w:rsidR="00CC7472">
        <w:rPr>
          <w:rFonts w:ascii="Times New Roman" w:hAnsi="Times New Roman" w:cs="Times New Roman"/>
        </w:rPr>
        <w:t xml:space="preserve"> these changes will help ensure that the TPV process remains an effective </w:t>
      </w:r>
      <w:r w:rsidRPr="00EF724B" w:rsidR="00CC7472">
        <w:rPr>
          <w:rFonts w:ascii="Times New Roman" w:hAnsi="Times New Roman" w:cs="Times New Roman"/>
        </w:rPr>
        <w:t>tool for good actors</w:t>
      </w:r>
      <w:r w:rsidR="00C34383">
        <w:rPr>
          <w:rFonts w:ascii="Times New Roman" w:hAnsi="Times New Roman" w:cs="Times New Roman"/>
        </w:rPr>
        <w:t xml:space="preserve"> but isn</w:t>
      </w:r>
      <w:r w:rsidR="00A3658A">
        <w:rPr>
          <w:rFonts w:ascii="Times New Roman" w:hAnsi="Times New Roman" w:cs="Times New Roman"/>
        </w:rPr>
        <w:t>’</w:t>
      </w:r>
      <w:r w:rsidR="00C34383">
        <w:rPr>
          <w:rFonts w:ascii="Times New Roman" w:hAnsi="Times New Roman" w:cs="Times New Roman"/>
        </w:rPr>
        <w:t>t misused by bad ones</w:t>
      </w:r>
      <w:r w:rsidR="00CC7472">
        <w:rPr>
          <w:rFonts w:ascii="Times New Roman" w:hAnsi="Times New Roman" w:cs="Times New Roman"/>
        </w:rPr>
        <w:t xml:space="preserve">. </w:t>
      </w:r>
    </w:p>
    <w:p w:rsidR="00C24AA3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AB3AC2" w:rsidRPr="00EA3616" w:rsidP="00C24AA3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F724B">
        <w:rPr>
          <w:rFonts w:ascii="Times New Roman" w:hAnsi="Times New Roman" w:cs="Times New Roman"/>
        </w:rPr>
        <w:t xml:space="preserve">As with many of our consumer protection initiatives, this was a collaborative, team effort.  Thank you to </w:t>
      </w:r>
      <w:r w:rsidRPr="00BC7A8B" w:rsidR="00BC7A8B">
        <w:rPr>
          <w:rFonts w:ascii="Times New Roman" w:hAnsi="Times New Roman" w:cs="Times New Roman"/>
        </w:rPr>
        <w:t>Rebecca Hirselj</w:t>
      </w:r>
      <w:r w:rsidR="00BC7A8B">
        <w:rPr>
          <w:rFonts w:ascii="Times New Roman" w:hAnsi="Times New Roman" w:cs="Times New Roman"/>
        </w:rPr>
        <w:t>,</w:t>
      </w:r>
      <w:r w:rsidRPr="00BC7A8B" w:rsidR="00BC7A8B">
        <w:rPr>
          <w:rFonts w:ascii="Times New Roman" w:hAnsi="Times New Roman" w:cs="Times New Roman"/>
        </w:rPr>
        <w:t xml:space="preserve"> </w:t>
      </w:r>
      <w:r w:rsidRPr="00EF724B">
        <w:rPr>
          <w:rFonts w:ascii="Times New Roman" w:hAnsi="Times New Roman" w:cs="Times New Roman"/>
        </w:rPr>
        <w:t xml:space="preserve">Richard Smith, Kurt Schroeder, Nancy Stevenson, Mark Stone, Patrick Webre, and Kimberly Wild in the Consumer and Governmental Affairs Bureau; </w:t>
      </w:r>
      <w:r w:rsidRPr="00AB3AC2">
        <w:rPr>
          <w:rFonts w:ascii="Times New Roman" w:eastAsia="Times New Roman" w:hAnsi="Times New Roman" w:cs="Times New Roman"/>
        </w:rPr>
        <w:t xml:space="preserve">Malena Barzilai, Ashley Boizelle, </w:t>
      </w:r>
      <w:r w:rsidRPr="00EF724B">
        <w:rPr>
          <w:rFonts w:ascii="Times New Roman" w:hAnsi="Times New Roman" w:cs="Times New Roman"/>
        </w:rPr>
        <w:t>Rick Mallen, Linda Oliver</w:t>
      </w:r>
      <w:r>
        <w:rPr>
          <w:rFonts w:ascii="Times New Roman" w:hAnsi="Times New Roman" w:cs="Times New Roman"/>
        </w:rPr>
        <w:t>, and Bill Richardson</w:t>
      </w:r>
      <w:r w:rsidRPr="00EF724B">
        <w:rPr>
          <w:rFonts w:ascii="Times New Roman" w:hAnsi="Times New Roman" w:cs="Times New Roman"/>
        </w:rPr>
        <w:t xml:space="preserve"> in the Office of General Counsel; Erica McMahon, Phil Rosario, </w:t>
      </w:r>
      <w:r>
        <w:rPr>
          <w:rFonts w:ascii="Times New Roman" w:hAnsi="Times New Roman" w:cs="Times New Roman"/>
        </w:rPr>
        <w:t xml:space="preserve">David Strickland, </w:t>
      </w:r>
      <w:r w:rsidRPr="00EF724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Kristi Thompson</w:t>
      </w:r>
      <w:r w:rsidRPr="00EF724B">
        <w:rPr>
          <w:rFonts w:ascii="Times New Roman" w:hAnsi="Times New Roman" w:cs="Times New Roman"/>
        </w:rPr>
        <w:t xml:space="preserve"> in the Enforcement Bureau; Belford Lawson in the Office of Communications Business Opportunities; </w:t>
      </w:r>
      <w:r w:rsidRPr="00AB3AC2">
        <w:rPr>
          <w:rFonts w:ascii="Times New Roman" w:eastAsia="Times New Roman" w:hAnsi="Times New Roman" w:cs="Times New Roman"/>
          <w:bCs/>
        </w:rPr>
        <w:t>Eric Burger, Jerry Ellig, and Chuck Needy in the Office of Strategic Planning and Policy Analysis</w:t>
      </w:r>
      <w:r>
        <w:rPr>
          <w:rFonts w:ascii="Times New Roman" w:eastAsia="Times New Roman" w:hAnsi="Times New Roman" w:cs="Times New Roman"/>
          <w:bCs/>
        </w:rPr>
        <w:t xml:space="preserve">; </w:t>
      </w:r>
      <w:r w:rsidRPr="00EF724B">
        <w:rPr>
          <w:rFonts w:ascii="Times New Roman" w:hAnsi="Times New Roman" w:cs="Times New Roman"/>
        </w:rPr>
        <w:t xml:space="preserve">and, last but not least, </w:t>
      </w:r>
      <w:r w:rsidRPr="00AB3AC2">
        <w:rPr>
          <w:rFonts w:ascii="Times New Roman" w:eastAsia="Times New Roman" w:hAnsi="Times New Roman" w:cs="Times New Roman"/>
          <w:bCs/>
        </w:rPr>
        <w:t xml:space="preserve">Madeleine Findley </w:t>
      </w:r>
      <w:r>
        <w:rPr>
          <w:rFonts w:ascii="Times New Roman" w:hAnsi="Times New Roman" w:cs="Times New Roman"/>
        </w:rPr>
        <w:t xml:space="preserve">and </w:t>
      </w:r>
      <w:r w:rsidRPr="00EF724B">
        <w:rPr>
          <w:rFonts w:ascii="Times New Roman" w:hAnsi="Times New Roman" w:cs="Times New Roman"/>
        </w:rPr>
        <w:t>Dan Kahn</w:t>
      </w:r>
      <w:r>
        <w:rPr>
          <w:rFonts w:ascii="Times New Roman" w:hAnsi="Times New Roman" w:cs="Times New Roman"/>
        </w:rPr>
        <w:t xml:space="preserve"> </w:t>
      </w:r>
      <w:r w:rsidRPr="00EF724B">
        <w:rPr>
          <w:rFonts w:ascii="Times New Roman" w:hAnsi="Times New Roman" w:cs="Times New Roman"/>
        </w:rPr>
        <w:t>in the Wireline Competition Bureau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Sect="00F0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C141864"/>
    <w:multiLevelType w:val="hybridMultilevel"/>
    <w:tmpl w:val="E0AEE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67A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A17"/>
    <w:rPr>
      <w:vertAlign w:val="superscript"/>
    </w:rPr>
  </w:style>
  <w:style w:type="paragraph" w:styleId="Header">
    <w:name w:val="header"/>
    <w:basedOn w:val="Normal"/>
    <w:link w:val="HeaderChar"/>
    <w:unhideWhenUsed/>
    <w:rsid w:val="00F0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BC"/>
  </w:style>
  <w:style w:type="paragraph" w:styleId="Footer">
    <w:name w:val="footer"/>
    <w:basedOn w:val="Normal"/>
    <w:link w:val="FooterChar"/>
    <w:uiPriority w:val="99"/>
    <w:unhideWhenUsed/>
    <w:rsid w:val="00F0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BC"/>
  </w:style>
  <w:style w:type="paragraph" w:styleId="BalloonText">
    <w:name w:val="Balloon Text"/>
    <w:basedOn w:val="Normal"/>
    <w:link w:val="BalloonTextChar"/>
    <w:uiPriority w:val="99"/>
    <w:semiHidden/>
    <w:unhideWhenUsed/>
    <w:rsid w:val="00F3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