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57CA7" w:rsidP="002D3953">
      <w:pPr>
        <w:spacing w:after="240"/>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 xml:space="preserve">STATEMENT OF </w:t>
      </w:r>
      <w:r w:rsidR="002D3953">
        <w:rPr>
          <w:rFonts w:ascii="Times New Roman" w:hAnsi="Times New Roman" w:cs="Times New Roman"/>
          <w:b/>
          <w:sz w:val="22"/>
          <w:szCs w:val="22"/>
        </w:rPr>
        <w:br/>
      </w:r>
      <w:r>
        <w:rPr>
          <w:rFonts w:ascii="Times New Roman" w:hAnsi="Times New Roman" w:cs="Times New Roman"/>
          <w:b/>
          <w:sz w:val="22"/>
          <w:szCs w:val="22"/>
        </w:rPr>
        <w:t>COMMISSIONER BRENDAN CARR</w:t>
      </w:r>
    </w:p>
    <w:p w:rsidR="00C57CA7" w:rsidP="002D3953">
      <w:pPr>
        <w:spacing w:after="120"/>
        <w:ind w:left="720" w:hanging="720"/>
        <w:rPr>
          <w:rFonts w:ascii="Times New Roman" w:hAnsi="Times New Roman" w:cs="Times New Roman"/>
          <w:sz w:val="22"/>
          <w:szCs w:val="22"/>
        </w:rPr>
      </w:pPr>
      <w:r>
        <w:rPr>
          <w:rFonts w:ascii="Times New Roman" w:hAnsi="Times New Roman" w:cs="Times New Roman"/>
          <w:sz w:val="22"/>
          <w:szCs w:val="22"/>
        </w:rPr>
        <w:t>Re:</w:t>
      </w:r>
      <w:r>
        <w:rPr>
          <w:rFonts w:ascii="Times New Roman" w:hAnsi="Times New Roman" w:cs="Times New Roman"/>
          <w:sz w:val="22"/>
          <w:szCs w:val="22"/>
        </w:rPr>
        <w:tab/>
      </w:r>
      <w:r>
        <w:rPr>
          <w:rFonts w:ascii="Times New Roman" w:hAnsi="Times New Roman" w:cs="Times New Roman"/>
          <w:i/>
          <w:sz w:val="22"/>
          <w:szCs w:val="22"/>
        </w:rPr>
        <w:t>Establishment of the Office of Economics and Analytics</w:t>
      </w:r>
      <w:r>
        <w:rPr>
          <w:rFonts w:ascii="Times New Roman" w:hAnsi="Times New Roman" w:cs="Times New Roman"/>
          <w:sz w:val="22"/>
          <w:szCs w:val="22"/>
        </w:rPr>
        <w:t>, MD Docket No. 18-3.</w:t>
      </w:r>
    </w:p>
    <w:p w:rsidR="00C57CA7" w:rsidP="002D3953">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Today’s </w:t>
      </w:r>
      <w:r>
        <w:rPr>
          <w:rFonts w:ascii="Times New Roman" w:hAnsi="Times New Roman" w:cs="Times New Roman"/>
          <w:i/>
          <w:sz w:val="22"/>
          <w:szCs w:val="22"/>
        </w:rPr>
        <w:t>Order</w:t>
      </w:r>
      <w:r>
        <w:rPr>
          <w:rFonts w:ascii="Times New Roman" w:hAnsi="Times New Roman" w:cs="Times New Roman"/>
          <w:sz w:val="22"/>
          <w:szCs w:val="22"/>
        </w:rPr>
        <w:t xml:space="preserve"> might be the most important two and</w:t>
      </w:r>
      <w:r w:rsidR="00BC6122">
        <w:rPr>
          <w:rFonts w:ascii="Times New Roman" w:hAnsi="Times New Roman" w:cs="Times New Roman"/>
          <w:sz w:val="22"/>
          <w:szCs w:val="22"/>
        </w:rPr>
        <w:t xml:space="preserve"> a</w:t>
      </w:r>
      <w:r>
        <w:rPr>
          <w:rFonts w:ascii="Times New Roman" w:hAnsi="Times New Roman" w:cs="Times New Roman"/>
          <w:sz w:val="22"/>
          <w:szCs w:val="22"/>
        </w:rPr>
        <w:t xml:space="preserve"> half page decision the FCC has issued.  Last year, FCC leadership announced a renewed commitment to the role that economic analysis should play in our decision-making.  We are now codifying that commitment by establishing an Office of Economics and Analytics (“OEA”) here at the Commission.</w:t>
      </w:r>
    </w:p>
    <w:p w:rsidR="00C57CA7" w:rsidP="002D3953">
      <w:pPr>
        <w:spacing w:after="120"/>
        <w:ind w:firstLine="720"/>
        <w:rPr>
          <w:rFonts w:ascii="Times New Roman" w:hAnsi="Times New Roman" w:cs="Times New Roman"/>
          <w:sz w:val="22"/>
          <w:szCs w:val="22"/>
        </w:rPr>
      </w:pPr>
      <w:r>
        <w:rPr>
          <w:rFonts w:ascii="Times New Roman" w:hAnsi="Times New Roman" w:cs="Times New Roman"/>
          <w:sz w:val="22"/>
          <w:szCs w:val="22"/>
        </w:rPr>
        <w:t>This decision follows the recommendations outlined by a staff working group, which first convened nine months ago.  That group conducted at least 80 interviews with a broad range of stakeholders—both within and outside the FCC—and held meetings with every FCC bureau and office that has an economist.  Their research found that FCC economists are not uniformly incorporated into our decision-making, do not have regular opportunities to offer their opinions on policy matters, and have limited opportunities to collaborate with their peers.  These structural failings only make it more difficult for us to reach decisions that further the public interest.</w:t>
      </w:r>
    </w:p>
    <w:p w:rsidR="00C57CA7" w:rsidP="002D3953">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Establishing OEA will help correct these shortcomings.  It will ensure that the agency’s first-rate economists have a seat at the table and a voice that will be heard.  In fact, my vision is that OEA will play a role similar to the agency’s Office of General Counsel (“OGC”).  While the agency’s operating bureaus may be driving towards particular policy outcomes, OGC functions as the legal conscience of the agency.  As a separate office, it enjoys independence from the Commission’s policy shops, the chance to develop a specialized body of expertise, and a clearly defined role in our decision-making process.  There is no doubt that OGC’s feedback ultimately improves and strengthens every agency decision.  OEA will soon be empowered to play a similar role, serving as the FCC’s economic gut check. </w:t>
      </w:r>
    </w:p>
    <w:p w:rsidR="00C57CA7" w:rsidP="002D3953">
      <w:pPr>
        <w:spacing w:after="120"/>
        <w:ind w:firstLine="720"/>
        <w:rPr>
          <w:rFonts w:ascii="Times New Roman" w:hAnsi="Times New Roman" w:cs="Times New Roman"/>
          <w:sz w:val="22"/>
          <w:szCs w:val="22"/>
        </w:rPr>
      </w:pPr>
      <w:r>
        <w:rPr>
          <w:rFonts w:ascii="Times New Roman" w:hAnsi="Times New Roman" w:cs="Times New Roman"/>
          <w:sz w:val="22"/>
          <w:szCs w:val="22"/>
        </w:rPr>
        <w:t>In addition to enhancing the role that economics will play, I also support the decision to move the Auctions Divisions from the Wireless Telecommunications Bureau (“WTB”) into OEA.  While it used to make sense to house the auctions team in WTB, given the important role that spectrum auctions play at the agency, we are now increasing our reliance on auctions outside the traditional context of spectrum, including in the upcoming CAF II proceeding.  So it only make sense to incorporate this group of talented professionals into the new office.</w:t>
      </w:r>
    </w:p>
    <w:p w:rsidR="00C57CA7" w:rsidP="002D3953">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The decision to bring even greater economic rigor to agency decision-making is one that draws on a long, bipartisan tradition.   From President Clinton to President Trump, Administrations have consistently called for enhancing the role that economic analysis plays in regulatory proceedings.  Indeed, former FCC Chairman Genachowski called on the FCC to increase its reliance on economics seven years ago.  So I am pleased that we are moving forward with this idea today. </w:t>
      </w:r>
    </w:p>
    <w:p w:rsidR="00D641D3" w:rsidRPr="00C57CA7" w:rsidP="002D3953">
      <w:pPr>
        <w:spacing w:after="120"/>
        <w:ind w:firstLine="720"/>
        <w:rPr>
          <w:rFonts w:ascii="Times New Roman" w:hAnsi="Times New Roman" w:cs="Times New Roman"/>
          <w:sz w:val="22"/>
          <w:szCs w:val="22"/>
        </w:rPr>
      </w:pPr>
      <w:r>
        <w:rPr>
          <w:rFonts w:ascii="Times New Roman" w:hAnsi="Times New Roman" w:cs="Times New Roman"/>
          <w:sz w:val="22"/>
          <w:szCs w:val="22"/>
        </w:rPr>
        <w:t>I want to thank Wayne Leighton, who served as the Team Leader of the agency’s working group, as well as Mindy Ginsburg, Sasha Javid, Jay Schwarz, Royce Sherlock, Walt Strack, and Rodger Woock for their service and contribution to that body.  This item has my full support.</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D0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DA"/>
    <w:rsid w:val="00233776"/>
    <w:rsid w:val="002D3953"/>
    <w:rsid w:val="00B47BDA"/>
    <w:rsid w:val="00BC6122"/>
    <w:rsid w:val="00C57CA7"/>
    <w:rsid w:val="00D27D08"/>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CA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D08"/>
    <w:pPr>
      <w:tabs>
        <w:tab w:val="center" w:pos="4680"/>
        <w:tab w:val="right" w:pos="9360"/>
      </w:tabs>
    </w:pPr>
  </w:style>
  <w:style w:type="character" w:customStyle="1" w:styleId="HeaderChar">
    <w:name w:val="Header Char"/>
    <w:basedOn w:val="DefaultParagraphFont"/>
    <w:link w:val="Header"/>
    <w:uiPriority w:val="99"/>
    <w:rsid w:val="00D27D08"/>
    <w:rPr>
      <w:sz w:val="24"/>
      <w:szCs w:val="24"/>
    </w:rPr>
  </w:style>
  <w:style w:type="paragraph" w:styleId="Footer">
    <w:name w:val="footer"/>
    <w:basedOn w:val="Normal"/>
    <w:link w:val="FooterChar"/>
    <w:uiPriority w:val="99"/>
    <w:unhideWhenUsed/>
    <w:rsid w:val="00D27D08"/>
    <w:pPr>
      <w:tabs>
        <w:tab w:val="center" w:pos="4680"/>
        <w:tab w:val="right" w:pos="9360"/>
      </w:tabs>
    </w:pPr>
  </w:style>
  <w:style w:type="character" w:customStyle="1" w:styleId="FooterChar">
    <w:name w:val="Footer Char"/>
    <w:basedOn w:val="DefaultParagraphFont"/>
    <w:link w:val="Footer"/>
    <w:uiPriority w:val="99"/>
    <w:rsid w:val="00D27D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2018-01-31T15:06:24Z</dcterms:created>
  <dcterms:modified xsi:type="dcterms:W3CDTF">2018-01-31T15:06:24Z</dcterms:modified>
</cp:coreProperties>
</file>