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13824" w:type="dxa"/>
        <w:tblLayout w:type="fixed"/>
        <w:tblLook w:val="0000"/>
      </w:tblPr>
      <w:tblGrid>
        <w:gridCol w:w="4698"/>
        <w:gridCol w:w="630"/>
        <w:gridCol w:w="4248"/>
        <w:gridCol w:w="4248"/>
      </w:tblGrid>
      <w:tr w:rsidTr="00967379">
        <w:tblPrEx>
          <w:tblW w:w="13824" w:type="dxa"/>
          <w:tblLayout w:type="fixed"/>
          <w:tblLook w:val="0000"/>
        </w:tblPrEx>
        <w:tc>
          <w:tcPr>
            <w:tcW w:w="4698" w:type="dxa"/>
          </w:tcPr>
          <w:p w:rsidR="00967379" w:rsidP="00967379">
            <w:pPr>
              <w:tabs>
                <w:tab w:val="center" w:pos="4680"/>
              </w:tabs>
              <w:suppressAutoHyphens/>
              <w:rPr>
                <w:spacing w:val="-2"/>
              </w:rPr>
            </w:pPr>
            <w:r>
              <w:rPr>
                <w:spacing w:val="-2"/>
              </w:rPr>
              <w:t>In the Matter of</w:t>
            </w:r>
          </w:p>
          <w:p w:rsidR="00967379" w:rsidP="00967379">
            <w:pPr>
              <w:tabs>
                <w:tab w:val="center" w:pos="4680"/>
              </w:tabs>
              <w:suppressAutoHyphens/>
              <w:rPr>
                <w:spacing w:val="-2"/>
              </w:rPr>
            </w:pPr>
          </w:p>
          <w:p w:rsidR="00967379" w:rsidRPr="00D15848" w:rsidP="00967379">
            <w:pPr>
              <w:tabs>
                <w:tab w:val="center" w:pos="4680"/>
              </w:tabs>
              <w:suppressAutoHyphens/>
            </w:pPr>
            <w:r w:rsidRPr="00D15848">
              <w:t>Entercom Communications and CBS Radio</w:t>
            </w:r>
          </w:p>
          <w:p w:rsidR="00967379" w:rsidRPr="00D15848" w:rsidP="00967379">
            <w:pPr>
              <w:tabs>
                <w:tab w:val="center" w:pos="4680"/>
              </w:tabs>
              <w:suppressAutoHyphens/>
            </w:pPr>
            <w:r w:rsidRPr="00D15848">
              <w:t>Seek Approval to Transfer Control of and</w:t>
            </w:r>
          </w:p>
          <w:p w:rsidR="00967379" w:rsidRPr="00D15848" w:rsidP="00967379">
            <w:pPr>
              <w:tabs>
                <w:tab w:val="center" w:pos="4680"/>
              </w:tabs>
              <w:suppressAutoHyphens/>
            </w:pPr>
            <w:r w:rsidRPr="00D15848">
              <w:t>Assign FCC Authorizations and Licenses</w:t>
            </w:r>
          </w:p>
          <w:p w:rsidR="00967379" w:rsidRPr="00D15848" w:rsidP="00967379">
            <w:pPr>
              <w:tabs>
                <w:tab w:val="center" w:pos="4680"/>
              </w:tabs>
              <w:suppressAutoHyphens/>
            </w:pPr>
          </w:p>
          <w:p w:rsidR="00967379" w:rsidRPr="00D15848" w:rsidP="00967379">
            <w:pPr>
              <w:tabs>
                <w:tab w:val="center" w:pos="4680"/>
              </w:tabs>
              <w:suppressAutoHyphens/>
            </w:pPr>
            <w:r w:rsidRPr="00D15848">
              <w:t>Subsidiaries of CBS Corporation</w:t>
            </w:r>
          </w:p>
          <w:p w:rsidR="00967379" w:rsidRPr="00D15848" w:rsidP="00967379">
            <w:pPr>
              <w:tabs>
                <w:tab w:val="center" w:pos="4680"/>
              </w:tabs>
              <w:suppressAutoHyphens/>
            </w:pPr>
            <w:r w:rsidRPr="00D15848">
              <w:t>(Transferors)</w:t>
            </w:r>
            <w:r w:rsidRPr="00D15848">
              <w:tab/>
            </w:r>
          </w:p>
          <w:p w:rsidR="00967379" w:rsidRPr="00D15848" w:rsidP="00967379">
            <w:pPr>
              <w:tabs>
                <w:tab w:val="center" w:pos="4680"/>
              </w:tabs>
              <w:suppressAutoHyphens/>
            </w:pPr>
            <w:r w:rsidRPr="00D15848">
              <w:t>and</w:t>
            </w:r>
            <w:r w:rsidRPr="00D15848">
              <w:tab/>
            </w:r>
          </w:p>
          <w:p w:rsidR="00967379" w:rsidRPr="00D15848" w:rsidP="00967379">
            <w:pPr>
              <w:tabs>
                <w:tab w:val="center" w:pos="4680"/>
              </w:tabs>
              <w:suppressAutoHyphens/>
            </w:pPr>
            <w:r w:rsidRPr="00D15848">
              <w:t>Shareholders of Entercom Communications</w:t>
            </w:r>
          </w:p>
          <w:p w:rsidR="00967379" w:rsidRPr="00D15848" w:rsidP="00967379">
            <w:pPr>
              <w:tabs>
                <w:tab w:val="center" w:pos="4680"/>
              </w:tabs>
              <w:suppressAutoHyphens/>
              <w:rPr>
                <w:b/>
              </w:rPr>
            </w:pPr>
            <w:r w:rsidRPr="00D15848">
              <w:t>Corporation (Transferees)</w:t>
            </w:r>
            <w:r w:rsidRPr="00D15848">
              <w:rPr>
                <w:b/>
              </w:rPr>
              <w:tab/>
            </w:r>
          </w:p>
          <w:p w:rsidR="00967379" w:rsidRPr="00D15848" w:rsidP="00967379">
            <w:pPr>
              <w:tabs>
                <w:tab w:val="center" w:pos="4680"/>
              </w:tabs>
              <w:suppressAutoHyphens/>
              <w:rPr>
                <w:b/>
              </w:rPr>
            </w:pPr>
          </w:p>
          <w:p w:rsidR="00967379" w:rsidRPr="00D15848" w:rsidP="00967379">
            <w:pPr>
              <w:tabs>
                <w:tab w:val="center" w:pos="4680"/>
              </w:tabs>
              <w:suppressAutoHyphens/>
              <w:rPr>
                <w:b/>
              </w:rPr>
            </w:pPr>
            <w:r w:rsidRPr="00D15848">
              <w:t>For Consent to Transfers of Control</w:t>
            </w:r>
            <w:r w:rsidRPr="00D15848">
              <w:rPr>
                <w:b/>
              </w:rPr>
              <w:tab/>
            </w:r>
          </w:p>
          <w:p w:rsidR="00967379" w:rsidRPr="00D15848" w:rsidP="00967379">
            <w:pPr>
              <w:tabs>
                <w:tab w:val="center" w:pos="4680"/>
              </w:tabs>
              <w:suppressAutoHyphens/>
              <w:rPr>
                <w:b/>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rPr>
                <w:spacing w:val="-2"/>
              </w:rPr>
            </w:pPr>
          </w:p>
          <w:p w:rsidR="00967379" w:rsidRPr="00D15848" w:rsidP="00967379">
            <w:pPr>
              <w:tabs>
                <w:tab w:val="center" w:pos="4680"/>
              </w:tabs>
              <w:suppressAutoHyphens/>
            </w:pPr>
            <w:r w:rsidRPr="00D15848">
              <w:t>Joseph M. Field (Transferor)</w:t>
            </w:r>
          </w:p>
          <w:p w:rsidR="00967379" w:rsidRPr="00D15848" w:rsidP="00967379">
            <w:pPr>
              <w:tabs>
                <w:tab w:val="center" w:pos="4680"/>
              </w:tabs>
              <w:suppressAutoHyphens/>
            </w:pPr>
            <w:r w:rsidRPr="00D15848">
              <w:t>and</w:t>
            </w:r>
          </w:p>
          <w:p w:rsidR="00967379" w:rsidRPr="00D15848" w:rsidP="00967379">
            <w:pPr>
              <w:tabs>
                <w:tab w:val="center" w:pos="4680"/>
              </w:tabs>
              <w:suppressAutoHyphens/>
            </w:pPr>
            <w:r w:rsidRPr="00D15848">
              <w:t>Shareholders of Entercom Communications</w:t>
            </w:r>
          </w:p>
          <w:p w:rsidR="00967379" w:rsidRPr="00D15848" w:rsidP="00967379">
            <w:pPr>
              <w:tabs>
                <w:tab w:val="center" w:pos="4680"/>
              </w:tabs>
              <w:suppressAutoHyphens/>
              <w:rPr>
                <w:b/>
              </w:rPr>
            </w:pPr>
            <w:r w:rsidRPr="00D15848">
              <w:t>Corporation (Transferees)</w:t>
            </w:r>
            <w:r w:rsidRPr="00D15848">
              <w:rPr>
                <w:b/>
              </w:rPr>
              <w:tab/>
            </w:r>
          </w:p>
          <w:p w:rsidR="00967379" w:rsidRPr="00D15848" w:rsidP="00967379">
            <w:pPr>
              <w:tabs>
                <w:tab w:val="center" w:pos="4680"/>
              </w:tabs>
              <w:suppressAutoHyphens/>
              <w:rPr>
                <w:b/>
              </w:rPr>
            </w:pPr>
          </w:p>
          <w:p w:rsidR="00967379" w:rsidRPr="00D15848" w:rsidP="00967379">
            <w:pPr>
              <w:tabs>
                <w:tab w:val="center" w:pos="4680"/>
              </w:tabs>
              <w:suppressAutoHyphens/>
              <w:rPr>
                <w:b/>
              </w:rPr>
            </w:pPr>
            <w:r w:rsidRPr="00D15848">
              <w:t>For Consent to Transfers of Control</w:t>
            </w:r>
          </w:p>
          <w:p w:rsidR="00967379" w:rsidRPr="00D15848" w:rsidP="00967379">
            <w:pPr>
              <w:tabs>
                <w:tab w:val="center" w:pos="4680"/>
              </w:tabs>
              <w:suppressAutoHyphens/>
            </w:pPr>
          </w:p>
          <w:p w:rsidR="00967379" w:rsidRPr="00D15848" w:rsidP="00967379">
            <w:pPr>
              <w:tabs>
                <w:tab w:val="center" w:pos="4680"/>
              </w:tabs>
              <w:suppressAutoHyphens/>
            </w:pPr>
          </w:p>
          <w:p w:rsidR="00967379" w:rsidRPr="00D15848" w:rsidP="00967379">
            <w:pPr>
              <w:tabs>
                <w:tab w:val="center" w:pos="4680"/>
              </w:tabs>
              <w:suppressAutoHyphens/>
            </w:pPr>
          </w:p>
          <w:p w:rsidR="00967379" w:rsidRPr="00D15848" w:rsidP="00967379">
            <w:pPr>
              <w:tabs>
                <w:tab w:val="center" w:pos="4680"/>
              </w:tabs>
              <w:suppressAutoHyphens/>
            </w:pPr>
          </w:p>
          <w:p w:rsidR="00967379" w:rsidRPr="00D15848" w:rsidP="00967379">
            <w:pPr>
              <w:tabs>
                <w:tab w:val="center" w:pos="4680"/>
              </w:tabs>
              <w:suppressAutoHyphens/>
            </w:pPr>
          </w:p>
          <w:p w:rsidR="00967379" w:rsidRPr="00D15848" w:rsidP="00967379">
            <w:pPr>
              <w:tabs>
                <w:tab w:val="center" w:pos="4680"/>
              </w:tabs>
              <w:suppressAutoHyphens/>
            </w:pPr>
            <w:r w:rsidRPr="00D15848">
              <w:t>Subsidiaries of CBS Corporation</w:t>
            </w:r>
          </w:p>
          <w:p w:rsidR="00967379" w:rsidRPr="00D15848" w:rsidP="00967379">
            <w:pPr>
              <w:tabs>
                <w:tab w:val="center" w:pos="4680"/>
              </w:tabs>
              <w:suppressAutoHyphens/>
            </w:pPr>
            <w:r w:rsidRPr="00D15848">
              <w:t>(Assignors)</w:t>
            </w:r>
          </w:p>
          <w:p w:rsidR="00967379" w:rsidRPr="00D15848" w:rsidP="00967379">
            <w:pPr>
              <w:tabs>
                <w:tab w:val="center" w:pos="4680"/>
              </w:tabs>
              <w:suppressAutoHyphens/>
            </w:pPr>
            <w:r w:rsidRPr="00D15848">
              <w:t>and</w:t>
            </w:r>
          </w:p>
          <w:p w:rsidR="00967379" w:rsidRPr="00D15848" w:rsidP="00967379">
            <w:pPr>
              <w:tabs>
                <w:tab w:val="center" w:pos="4680"/>
              </w:tabs>
              <w:suppressAutoHyphens/>
            </w:pPr>
            <w:r w:rsidRPr="00D15848">
              <w:t>The Entercom Divestiture Trust</w:t>
            </w:r>
          </w:p>
          <w:p w:rsidR="00967379" w:rsidRPr="00D15848" w:rsidP="00967379">
            <w:pPr>
              <w:tabs>
                <w:tab w:val="center" w:pos="4680"/>
              </w:tabs>
              <w:suppressAutoHyphens/>
            </w:pPr>
            <w:r w:rsidRPr="00D15848">
              <w:t>(Assignee)</w:t>
            </w:r>
          </w:p>
          <w:p w:rsidR="00967379" w:rsidRPr="00D15848" w:rsidP="00967379">
            <w:pPr>
              <w:tabs>
                <w:tab w:val="center" w:pos="4680"/>
              </w:tabs>
              <w:suppressAutoHyphens/>
            </w:pPr>
          </w:p>
          <w:p w:rsidR="00967379" w:rsidRPr="00D15848" w:rsidP="00967379">
            <w:pPr>
              <w:tabs>
                <w:tab w:val="center" w:pos="4680"/>
              </w:tabs>
              <w:suppressAutoHyphens/>
            </w:pPr>
            <w:r w:rsidRPr="00D15848">
              <w:t>For Consent to Assignment of Licenses</w:t>
            </w:r>
          </w:p>
          <w:p w:rsidR="00967379" w:rsidRPr="00D15848" w:rsidP="00967379">
            <w:pPr>
              <w:tabs>
                <w:tab w:val="center" w:pos="4680"/>
              </w:tabs>
              <w:suppressAutoHyphens/>
            </w:pPr>
          </w:p>
          <w:p w:rsidR="00967379" w:rsidRPr="00D15848" w:rsidP="00967379">
            <w:pPr>
              <w:tabs>
                <w:tab w:val="center" w:pos="4680"/>
              </w:tabs>
              <w:suppressAutoHyphens/>
            </w:pPr>
            <w:r w:rsidRPr="00D15848">
              <w:t>Subsidiaries of Entercom Communications</w:t>
            </w:r>
          </w:p>
          <w:p w:rsidR="00967379" w:rsidRPr="00D15848" w:rsidP="00967379">
            <w:pPr>
              <w:tabs>
                <w:tab w:val="center" w:pos="4680"/>
              </w:tabs>
              <w:suppressAutoHyphens/>
            </w:pPr>
            <w:r w:rsidRPr="00D15848">
              <w:t>Corporation</w:t>
            </w:r>
          </w:p>
          <w:p w:rsidR="00967379" w:rsidRPr="00D15848" w:rsidP="00967379">
            <w:pPr>
              <w:tabs>
                <w:tab w:val="center" w:pos="4680"/>
              </w:tabs>
              <w:suppressAutoHyphens/>
            </w:pPr>
            <w:r w:rsidRPr="00D15848">
              <w:t>(Assignors)</w:t>
            </w:r>
          </w:p>
          <w:p w:rsidR="00967379" w:rsidRPr="00D15848" w:rsidP="00967379">
            <w:pPr>
              <w:tabs>
                <w:tab w:val="center" w:pos="4680"/>
              </w:tabs>
              <w:suppressAutoHyphens/>
            </w:pPr>
            <w:r w:rsidRPr="00D15848">
              <w:t>and</w:t>
            </w:r>
          </w:p>
          <w:p w:rsidR="00967379" w:rsidRPr="00D15848" w:rsidP="00967379">
            <w:pPr>
              <w:tabs>
                <w:tab w:val="center" w:pos="4680"/>
              </w:tabs>
              <w:suppressAutoHyphens/>
            </w:pPr>
            <w:r w:rsidRPr="00D15848">
              <w:t>The Entercom Divestiture Trust</w:t>
            </w:r>
          </w:p>
          <w:p w:rsidR="00967379" w:rsidRPr="00D15848" w:rsidP="00967379">
            <w:pPr>
              <w:tabs>
                <w:tab w:val="center" w:pos="4680"/>
              </w:tabs>
              <w:suppressAutoHyphens/>
            </w:pPr>
            <w:r w:rsidRPr="00D15848">
              <w:t xml:space="preserve">(Assignee) </w:t>
            </w:r>
            <w:r w:rsidRPr="00D15848">
              <w:tab/>
            </w:r>
          </w:p>
          <w:p w:rsidR="00967379" w:rsidRPr="00D15848" w:rsidP="00967379">
            <w:pPr>
              <w:tabs>
                <w:tab w:val="center" w:pos="4680"/>
              </w:tabs>
              <w:suppressAutoHyphens/>
            </w:pPr>
          </w:p>
          <w:p w:rsidR="00967379" w:rsidRPr="007115F7" w:rsidP="00967379">
            <w:pPr>
              <w:tabs>
                <w:tab w:val="center" w:pos="4680"/>
              </w:tabs>
              <w:suppressAutoHyphens/>
              <w:rPr>
                <w:spacing w:val="-2"/>
              </w:rPr>
            </w:pPr>
            <w:r w:rsidRPr="00D15848">
              <w:t>For Consent to Assignment of Licenses</w:t>
            </w:r>
          </w:p>
        </w:tc>
        <w:tc>
          <w:tcPr>
            <w:tcW w:w="630" w:type="dxa"/>
          </w:tcPr>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P="00967379">
            <w:pPr>
              <w:tabs>
                <w:tab w:val="center" w:pos="4680"/>
              </w:tabs>
              <w:suppressAutoHyphens/>
              <w:rPr>
                <w:b/>
                <w:spacing w:val="-2"/>
              </w:rPr>
            </w:pPr>
            <w:r>
              <w:rPr>
                <w:b/>
                <w:spacing w:val="-2"/>
              </w:rPr>
              <w:t>)</w:t>
            </w:r>
          </w:p>
          <w:p w:rsidR="00967379" w:rsidRPr="00967379" w:rsidP="00967379">
            <w:pPr>
              <w:tabs>
                <w:tab w:val="center" w:pos="4680"/>
              </w:tabs>
              <w:suppressAutoHyphens/>
              <w:rPr>
                <w:b/>
                <w:spacing w:val="-2"/>
              </w:rPr>
            </w:pPr>
            <w:r>
              <w:rPr>
                <w:b/>
                <w:spacing w:val="-2"/>
              </w:rPr>
              <w:t>)</w:t>
            </w:r>
          </w:p>
        </w:tc>
        <w:tc>
          <w:tcPr>
            <w:tcW w:w="4248" w:type="dxa"/>
          </w:tcPr>
          <w:p w:rsidR="00967379" w:rsidP="00967379">
            <w:pPr>
              <w:tabs>
                <w:tab w:val="center" w:pos="4680"/>
              </w:tabs>
              <w:suppressAutoHyphens/>
              <w:rPr>
                <w:spacing w:val="-2"/>
              </w:rPr>
            </w:pPr>
          </w:p>
          <w:p w:rsidR="00967379" w:rsidP="00967379">
            <w:pPr>
              <w:pStyle w:val="TOAHeading"/>
              <w:tabs>
                <w:tab w:val="center" w:pos="4680"/>
                <w:tab w:val="clear" w:pos="9360"/>
              </w:tabs>
              <w:rPr>
                <w:spacing w:val="-2"/>
              </w:rPr>
            </w:pPr>
          </w:p>
          <w:p w:rsidR="00967379" w:rsidRPr="00D15848" w:rsidP="00967379">
            <w:pPr>
              <w:tabs>
                <w:tab w:val="center" w:pos="4680"/>
              </w:tabs>
              <w:suppressAutoHyphens/>
            </w:pPr>
            <w:r w:rsidRPr="00D15848">
              <w:t>MB Docket No. 17-85</w:t>
            </w:r>
          </w:p>
          <w:p w:rsidR="00967379" w:rsidRPr="00D15848" w:rsidP="00967379">
            <w:pPr>
              <w:tabs>
                <w:tab w:val="center" w:pos="4680"/>
              </w:tabs>
              <w:suppressAutoHyphens/>
            </w:pPr>
          </w:p>
          <w:p w:rsidR="00967379" w:rsidRPr="00D15848" w:rsidP="00967379">
            <w:pPr>
              <w:tabs>
                <w:tab w:val="center" w:pos="4680"/>
              </w:tabs>
              <w:suppressAutoHyphens/>
            </w:pPr>
          </w:p>
          <w:p w:rsidR="00967379" w:rsidRPr="00D15848" w:rsidP="00967379">
            <w:pPr>
              <w:tabs>
                <w:tab w:val="center" w:pos="4680"/>
              </w:tabs>
              <w:suppressAutoHyphens/>
            </w:pPr>
          </w:p>
          <w:p w:rsidR="00967379" w:rsidRPr="00D15848" w:rsidP="00967379">
            <w:pPr>
              <w:tabs>
                <w:tab w:val="center" w:pos="4680"/>
              </w:tabs>
              <w:suppressAutoHyphens/>
            </w:pPr>
            <w:r w:rsidRPr="00D15848">
              <w:t>BTCH-20170320AAV</w:t>
            </w:r>
          </w:p>
          <w:p w:rsidR="00967379" w:rsidRPr="00D15848" w:rsidP="00967379">
            <w:pPr>
              <w:tabs>
                <w:tab w:val="center" w:pos="4680"/>
              </w:tabs>
              <w:suppressAutoHyphens/>
              <w:rPr>
                <w:i/>
              </w:rPr>
            </w:pPr>
            <w:r w:rsidRPr="00D15848">
              <w:t xml:space="preserve">BTC-20170320AAZ, </w:t>
            </w:r>
            <w:r w:rsidRPr="00D15848">
              <w:rPr>
                <w:i/>
              </w:rPr>
              <w:t>et al.,</w:t>
            </w:r>
          </w:p>
          <w:p w:rsidR="00967379" w:rsidRPr="00D15848" w:rsidP="00967379">
            <w:pPr>
              <w:tabs>
                <w:tab w:val="center" w:pos="4680"/>
              </w:tabs>
              <w:suppressAutoHyphens/>
            </w:pPr>
            <w:r w:rsidRPr="00D15848">
              <w:t>BTCH-20170320ACR</w:t>
            </w:r>
          </w:p>
          <w:p w:rsidR="00967379" w:rsidRPr="00D15848" w:rsidP="00967379">
            <w:pPr>
              <w:tabs>
                <w:tab w:val="center" w:pos="4680"/>
              </w:tabs>
              <w:suppressAutoHyphens/>
            </w:pPr>
            <w:r w:rsidRPr="00D15848">
              <w:t>BTCH-20170320AEV</w:t>
            </w:r>
          </w:p>
          <w:p w:rsidR="00967379" w:rsidRPr="00D15848" w:rsidP="00967379">
            <w:pPr>
              <w:tabs>
                <w:tab w:val="center" w:pos="4680"/>
              </w:tabs>
              <w:suppressAutoHyphens/>
            </w:pPr>
            <w:r w:rsidRPr="00D15848">
              <w:t>BTCH-20170320AFU</w:t>
            </w:r>
          </w:p>
          <w:p w:rsidR="00967379" w:rsidRPr="00D15848" w:rsidP="00967379">
            <w:pPr>
              <w:tabs>
                <w:tab w:val="center" w:pos="4680"/>
              </w:tabs>
              <w:suppressAutoHyphens/>
            </w:pPr>
            <w:r w:rsidRPr="00D15848">
              <w:t>BTC-20170320AGG</w:t>
            </w:r>
          </w:p>
          <w:p w:rsidR="00967379" w:rsidRPr="00D15848" w:rsidP="00967379">
            <w:pPr>
              <w:tabs>
                <w:tab w:val="center" w:pos="4680"/>
              </w:tabs>
              <w:suppressAutoHyphens/>
            </w:pPr>
            <w:r w:rsidRPr="00D15848">
              <w:t xml:space="preserve">BTCH-20170320AGZ  </w:t>
            </w:r>
          </w:p>
          <w:p w:rsidR="00967379" w:rsidRPr="00D15848" w:rsidP="00967379">
            <w:pPr>
              <w:tabs>
                <w:tab w:val="center" w:pos="4680"/>
              </w:tabs>
              <w:suppressAutoHyphens/>
              <w:rPr>
                <w:i/>
              </w:rPr>
            </w:pPr>
            <w:r w:rsidRPr="00D15848">
              <w:t xml:space="preserve">BTCH-20170320AHB, </w:t>
            </w:r>
            <w:r w:rsidRPr="00D15848">
              <w:rPr>
                <w:i/>
              </w:rPr>
              <w:t>et al.,</w:t>
            </w:r>
          </w:p>
          <w:p w:rsidR="00967379" w:rsidRPr="00D15848" w:rsidP="00967379">
            <w:pPr>
              <w:tabs>
                <w:tab w:val="center" w:pos="4680"/>
              </w:tabs>
              <w:suppressAutoHyphens/>
            </w:pPr>
            <w:r w:rsidRPr="00D15848">
              <w:t>BTCH-20170320ACM</w:t>
            </w:r>
          </w:p>
          <w:p w:rsidR="00967379" w:rsidRPr="00D15848" w:rsidP="00967379">
            <w:pPr>
              <w:tabs>
                <w:tab w:val="center" w:pos="4680"/>
              </w:tabs>
              <w:suppressAutoHyphens/>
              <w:rPr>
                <w:i/>
              </w:rPr>
            </w:pPr>
            <w:r w:rsidRPr="00D15848">
              <w:t xml:space="preserve">BTCH-20170320ACT, </w:t>
            </w:r>
            <w:r w:rsidRPr="00D15848">
              <w:rPr>
                <w:i/>
              </w:rPr>
              <w:t>et al.,</w:t>
            </w:r>
          </w:p>
          <w:p w:rsidR="00967379" w:rsidRPr="00D15848" w:rsidP="00967379">
            <w:pPr>
              <w:tabs>
                <w:tab w:val="center" w:pos="4680"/>
              </w:tabs>
              <w:suppressAutoHyphens/>
              <w:rPr>
                <w:i/>
              </w:rPr>
            </w:pPr>
            <w:r w:rsidRPr="00D15848">
              <w:t>BTCH-20170320AFS</w:t>
            </w:r>
          </w:p>
          <w:p w:rsidR="00967379" w:rsidRPr="00D15848" w:rsidP="00967379">
            <w:pPr>
              <w:tabs>
                <w:tab w:val="center" w:pos="4680"/>
              </w:tabs>
              <w:suppressAutoHyphens/>
              <w:rPr>
                <w:i/>
              </w:rPr>
            </w:pPr>
            <w:r w:rsidRPr="00D15848">
              <w:t xml:space="preserve">BTCH-20170320AFV, </w:t>
            </w:r>
            <w:r w:rsidRPr="00D15848">
              <w:rPr>
                <w:i/>
              </w:rPr>
              <w:t>et al.,</w:t>
            </w:r>
          </w:p>
          <w:p w:rsidR="00967379" w:rsidRPr="00D15848" w:rsidP="00967379">
            <w:pPr>
              <w:tabs>
                <w:tab w:val="center" w:pos="4680"/>
              </w:tabs>
              <w:suppressAutoHyphens/>
              <w:rPr>
                <w:i/>
              </w:rPr>
            </w:pPr>
            <w:r w:rsidRPr="00D15848">
              <w:t xml:space="preserve">BTC-20170320AGE, </w:t>
            </w:r>
            <w:r w:rsidRPr="00D15848">
              <w:rPr>
                <w:i/>
              </w:rPr>
              <w:t>et al.,</w:t>
            </w:r>
          </w:p>
          <w:p w:rsidR="00967379" w:rsidRPr="00D15848" w:rsidP="00967379">
            <w:pPr>
              <w:tabs>
                <w:tab w:val="center" w:pos="4680"/>
              </w:tabs>
              <w:suppressAutoHyphens/>
              <w:rPr>
                <w:i/>
              </w:rPr>
            </w:pPr>
            <w:r w:rsidRPr="00D15848">
              <w:t>BTCH-20170320AGP</w:t>
            </w:r>
          </w:p>
          <w:p w:rsidR="00967379" w:rsidRPr="00D15848" w:rsidP="00967379">
            <w:pPr>
              <w:tabs>
                <w:tab w:val="center" w:pos="4680"/>
              </w:tabs>
              <w:suppressAutoHyphens/>
              <w:rPr>
                <w:i/>
              </w:rPr>
            </w:pPr>
            <w:r w:rsidRPr="00D15848">
              <w:t>BTCH-20170320ACS</w:t>
            </w:r>
          </w:p>
          <w:p w:rsidR="00967379" w:rsidRPr="00D15848" w:rsidP="00967379">
            <w:pPr>
              <w:tabs>
                <w:tab w:val="center" w:pos="4680"/>
              </w:tabs>
              <w:suppressAutoHyphens/>
              <w:rPr>
                <w:i/>
              </w:rPr>
            </w:pPr>
            <w:r w:rsidRPr="00D15848">
              <w:t xml:space="preserve">BTC-20170320ACV, </w:t>
            </w:r>
            <w:r w:rsidRPr="00D15848">
              <w:rPr>
                <w:i/>
              </w:rPr>
              <w:t>et al.,</w:t>
            </w:r>
          </w:p>
          <w:p w:rsidR="00967379" w:rsidRPr="00D15848" w:rsidP="00967379">
            <w:pPr>
              <w:tabs>
                <w:tab w:val="center" w:pos="4680"/>
              </w:tabs>
              <w:suppressAutoHyphens/>
              <w:rPr>
                <w:i/>
              </w:rPr>
            </w:pPr>
            <w:r w:rsidRPr="00D15848">
              <w:t xml:space="preserve">BTC-20170320AFI, </w:t>
            </w:r>
            <w:r w:rsidRPr="00D15848">
              <w:rPr>
                <w:i/>
              </w:rPr>
              <w:t>et al.,</w:t>
            </w:r>
          </w:p>
          <w:p w:rsidR="00967379" w:rsidRPr="00D15848" w:rsidP="00967379">
            <w:pPr>
              <w:widowControl/>
              <w:rPr>
                <w:snapToGrid/>
                <w:kern w:val="0"/>
              </w:rPr>
            </w:pPr>
            <w:r w:rsidRPr="00D15848">
              <w:rPr>
                <w:snapToGrid/>
                <w:kern w:val="0"/>
              </w:rPr>
              <w:t>BTCH-20170320AFT</w:t>
            </w:r>
          </w:p>
          <w:p w:rsidR="00967379" w:rsidRPr="00D15848" w:rsidP="00967379">
            <w:pPr>
              <w:tabs>
                <w:tab w:val="center" w:pos="4680"/>
              </w:tabs>
              <w:suppressAutoHyphens/>
              <w:rPr>
                <w:i/>
              </w:rPr>
            </w:pPr>
            <w:r w:rsidRPr="00D15848">
              <w:t>BTC-20170320AGD</w:t>
            </w:r>
          </w:p>
          <w:p w:rsidR="00967379" w:rsidRPr="00D15848" w:rsidP="00967379">
            <w:pPr>
              <w:tabs>
                <w:tab w:val="center" w:pos="4680"/>
              </w:tabs>
              <w:suppressAutoHyphens/>
              <w:rPr>
                <w:i/>
              </w:rPr>
            </w:pPr>
            <w:r w:rsidRPr="00D15848">
              <w:t>BTC-20170320AGO</w:t>
            </w:r>
          </w:p>
          <w:p w:rsidR="00967379" w:rsidRPr="00D15848" w:rsidP="00967379">
            <w:pPr>
              <w:tabs>
                <w:tab w:val="center" w:pos="4680"/>
              </w:tabs>
              <w:suppressAutoHyphens/>
            </w:pPr>
            <w:r w:rsidRPr="00D15848">
              <w:t>BTCH-20170320AHA</w:t>
            </w:r>
          </w:p>
          <w:p w:rsidR="00967379" w:rsidRPr="00D15848" w:rsidP="00967379">
            <w:pPr>
              <w:tabs>
                <w:tab w:val="center" w:pos="4680"/>
              </w:tabs>
              <w:suppressAutoHyphens/>
            </w:pPr>
            <w:r w:rsidRPr="00D15848">
              <w:t>BTCH-20170320AHD</w:t>
            </w:r>
          </w:p>
          <w:p w:rsidR="00967379" w:rsidRPr="00D15848" w:rsidP="00967379">
            <w:pPr>
              <w:tabs>
                <w:tab w:val="center" w:pos="4680"/>
              </w:tabs>
              <w:suppressAutoHyphens/>
            </w:pPr>
          </w:p>
          <w:p w:rsidR="00967379" w:rsidRPr="00D15848" w:rsidP="00967379">
            <w:pPr>
              <w:tabs>
                <w:tab w:val="center" w:pos="4680"/>
              </w:tabs>
              <w:suppressAutoHyphens/>
            </w:pPr>
          </w:p>
          <w:p w:rsidR="00967379" w:rsidRPr="00D15848" w:rsidP="00967379">
            <w:pPr>
              <w:tabs>
                <w:tab w:val="center" w:pos="4680"/>
              </w:tabs>
              <w:suppressAutoHyphens/>
              <w:rPr>
                <w:i/>
              </w:rPr>
            </w:pPr>
            <w:r w:rsidRPr="00D15848">
              <w:t>BTCH-20170320AHE</w:t>
            </w:r>
            <w:r w:rsidRPr="00D15848">
              <w:rPr>
                <w:i/>
              </w:rPr>
              <w:t>, et al.,</w:t>
            </w:r>
          </w:p>
          <w:p w:rsidR="00967379" w:rsidRPr="00D15848" w:rsidP="00967379">
            <w:pPr>
              <w:tabs>
                <w:tab w:val="center" w:pos="4680"/>
              </w:tabs>
              <w:suppressAutoHyphens/>
              <w:rPr>
                <w:spacing w:val="-2"/>
              </w:rPr>
            </w:pPr>
            <w:r w:rsidRPr="00D15848">
              <w:t>BTCH-20170320AAW</w:t>
            </w:r>
          </w:p>
          <w:p w:rsidR="00967379" w:rsidRPr="00D15848" w:rsidP="00967379">
            <w:pPr>
              <w:rPr>
                <w:i/>
              </w:rPr>
            </w:pPr>
            <w:r w:rsidRPr="00D15848">
              <w:t xml:space="preserve">BTC-20170320AGQ, </w:t>
            </w:r>
            <w:r w:rsidRPr="00D15848">
              <w:rPr>
                <w:i/>
              </w:rPr>
              <w:t>et al.,</w:t>
            </w:r>
          </w:p>
          <w:p w:rsidR="00967379" w:rsidRPr="00D15848" w:rsidP="00967379">
            <w:pPr>
              <w:rPr>
                <w:i/>
              </w:rPr>
            </w:pPr>
            <w:r w:rsidRPr="00D15848">
              <w:t xml:space="preserve">BTCH-20170320AAX, </w:t>
            </w:r>
            <w:r w:rsidRPr="00D15848">
              <w:rPr>
                <w:i/>
              </w:rPr>
              <w:t>et al.,</w:t>
            </w:r>
          </w:p>
          <w:p w:rsidR="00967379" w:rsidRPr="0070484E" w:rsidP="00967379">
            <w:pPr>
              <w:rPr>
                <w:i/>
              </w:rPr>
            </w:pPr>
            <w:r w:rsidRPr="0070484E">
              <w:t xml:space="preserve">BTC-20170320AAR, </w:t>
            </w:r>
            <w:r w:rsidRPr="0070484E">
              <w:rPr>
                <w:i/>
              </w:rPr>
              <w:t>et al.,</w:t>
            </w:r>
          </w:p>
          <w:p w:rsidR="00967379" w:rsidRPr="0070484E" w:rsidP="00967379">
            <w:pPr>
              <w:rPr>
                <w:i/>
              </w:rPr>
            </w:pPr>
            <w:r w:rsidRPr="0070484E">
              <w:t xml:space="preserve">BTC-20170320AGH, </w:t>
            </w:r>
            <w:r w:rsidRPr="0070484E">
              <w:rPr>
                <w:i/>
              </w:rPr>
              <w:t>et al.,</w:t>
            </w:r>
          </w:p>
          <w:p w:rsidR="00967379" w:rsidRPr="00D15848" w:rsidP="00967379">
            <w:pPr>
              <w:rPr>
                <w:i/>
              </w:rPr>
            </w:pPr>
            <w:r w:rsidRPr="00D15848">
              <w:t>BTC-20170320AFX</w:t>
            </w:r>
            <w:r w:rsidRPr="00D15848">
              <w:rPr>
                <w:i/>
              </w:rPr>
              <w:t>, et al.,</w:t>
            </w:r>
          </w:p>
          <w:p w:rsidR="00967379" w:rsidRPr="00D15848" w:rsidP="00967379">
            <w:pPr>
              <w:rPr>
                <w:i/>
              </w:rPr>
            </w:pPr>
            <w:r w:rsidRPr="00D15848">
              <w:t xml:space="preserve">BTCH-20170320ACN, </w:t>
            </w:r>
            <w:r w:rsidRPr="00D15848">
              <w:rPr>
                <w:i/>
              </w:rPr>
              <w:t>et al.,</w:t>
            </w:r>
          </w:p>
          <w:p w:rsidR="00967379" w:rsidRPr="00D15848" w:rsidP="00967379">
            <w:pPr>
              <w:rPr>
                <w:i/>
              </w:rPr>
            </w:pPr>
            <w:r w:rsidRPr="00D15848">
              <w:t xml:space="preserve">BTC-20170320AEW, </w:t>
            </w:r>
            <w:r w:rsidRPr="00D15848">
              <w:rPr>
                <w:i/>
              </w:rPr>
              <w:t>et al.,</w:t>
            </w:r>
          </w:p>
          <w:p w:rsidR="00967379" w:rsidRPr="00D15848" w:rsidP="00967379">
            <w:pPr>
              <w:rPr>
                <w:i/>
              </w:rPr>
            </w:pPr>
          </w:p>
          <w:p w:rsidR="00967379" w:rsidRPr="0070484E" w:rsidP="00967379"/>
          <w:p w:rsidR="00967379" w:rsidRPr="00D15848" w:rsidP="00967379">
            <w:pPr>
              <w:rPr>
                <w:i/>
              </w:rPr>
            </w:pPr>
            <w:r w:rsidRPr="00D15848">
              <w:t xml:space="preserve">BALH-20170320AMP, </w:t>
            </w:r>
            <w:r w:rsidRPr="00D15848">
              <w:rPr>
                <w:i/>
              </w:rPr>
              <w:t>et al.,</w:t>
            </w:r>
          </w:p>
          <w:p w:rsidR="00967379" w:rsidRPr="00D15848" w:rsidP="00967379">
            <w:pPr>
              <w:rPr>
                <w:i/>
              </w:rPr>
            </w:pPr>
            <w:r w:rsidRPr="00D15848">
              <w:t>BALH-20170320AMR,</w:t>
            </w:r>
          </w:p>
          <w:p w:rsidR="00967379" w:rsidRPr="00D15848" w:rsidP="00967379">
            <w:r w:rsidRPr="00D15848">
              <w:t xml:space="preserve">BALH-20170320AMT, </w:t>
            </w:r>
            <w:r w:rsidRPr="00D15848">
              <w:tab/>
            </w:r>
          </w:p>
          <w:p w:rsidR="00967379" w:rsidRPr="00D15848" w:rsidP="00967379">
            <w:pPr>
              <w:rPr>
                <w:i/>
              </w:rPr>
            </w:pPr>
            <w:r w:rsidRPr="00D15848">
              <w:t xml:space="preserve">BALH-20170320ANE, </w:t>
            </w:r>
            <w:r w:rsidRPr="00D15848">
              <w:rPr>
                <w:i/>
              </w:rPr>
              <w:t>et al.</w:t>
            </w:r>
          </w:p>
          <w:p w:rsidR="00967379" w:rsidRPr="00D15848" w:rsidP="00967379">
            <w:pPr>
              <w:rPr>
                <w:i/>
              </w:rPr>
            </w:pPr>
          </w:p>
          <w:p w:rsidR="00967379" w:rsidRPr="00D15848" w:rsidP="00967379">
            <w:pPr>
              <w:rPr>
                <w:i/>
              </w:rPr>
            </w:pPr>
          </w:p>
          <w:p w:rsidR="00967379" w:rsidRPr="00D15848" w:rsidP="00967379">
            <w:pPr>
              <w:rPr>
                <w:i/>
              </w:rPr>
            </w:pPr>
          </w:p>
          <w:p w:rsidR="00967379" w:rsidRPr="00D15848" w:rsidP="00967379">
            <w:pPr>
              <w:rPr>
                <w:i/>
              </w:rPr>
            </w:pPr>
          </w:p>
          <w:p w:rsidR="00967379" w:rsidRPr="00D15848" w:rsidP="00967379">
            <w:pPr>
              <w:rPr>
                <w:i/>
              </w:rPr>
            </w:pPr>
            <w:r w:rsidRPr="00D15848">
              <w:t xml:space="preserve">BALH-20170320ALF, </w:t>
            </w:r>
            <w:r w:rsidRPr="00D15848">
              <w:rPr>
                <w:i/>
              </w:rPr>
              <w:t>et al.,</w:t>
            </w:r>
          </w:p>
          <w:p w:rsidR="00967379" w:rsidRPr="00D15848" w:rsidP="00967379">
            <w:r w:rsidRPr="00D15848">
              <w:t>BALH-20170320ALH,</w:t>
            </w:r>
          </w:p>
          <w:p w:rsidR="00967379" w:rsidP="00967379">
            <w:pPr>
              <w:tabs>
                <w:tab w:val="center" w:pos="4680"/>
              </w:tabs>
              <w:suppressAutoHyphens/>
              <w:rPr>
                <w:spacing w:val="-2"/>
              </w:rPr>
            </w:pPr>
            <w:r w:rsidRPr="00D15848">
              <w:t xml:space="preserve">BALH-20170320ALJ, </w:t>
            </w:r>
            <w:r w:rsidRPr="00D15848">
              <w:rPr>
                <w:i/>
              </w:rPr>
              <w:t>et al</w:t>
            </w:r>
          </w:p>
        </w:tc>
        <w:tc>
          <w:tcPr>
            <w:tcW w:w="4248" w:type="dxa"/>
          </w:tcPr>
          <w:p w:rsidR="00967379" w:rsidP="00967379">
            <w:pPr>
              <w:tabs>
                <w:tab w:val="center" w:pos="4680"/>
              </w:tabs>
              <w:suppressAutoHyphens/>
              <w:rPr>
                <w:spacing w:val="-2"/>
              </w:rPr>
            </w:pPr>
          </w:p>
          <w:p w:rsidR="00967379" w:rsidP="00967379">
            <w:pPr>
              <w:pStyle w:val="TOAHeading"/>
              <w:tabs>
                <w:tab w:val="center" w:pos="4680"/>
                <w:tab w:val="clear" w:pos="9360"/>
              </w:tabs>
              <w:rPr>
                <w:spacing w:val="-2"/>
              </w:rPr>
            </w:pPr>
          </w:p>
          <w:p w:rsidR="00967379" w:rsidP="00967379">
            <w:pPr>
              <w:tabs>
                <w:tab w:val="center" w:pos="4680"/>
              </w:tabs>
              <w:suppressAutoHyphens/>
              <w:rPr>
                <w:spacing w:val="-2"/>
              </w:rPr>
            </w:pP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0496C">
        <w:rPr>
          <w:b/>
          <w:spacing w:val="-2"/>
        </w:rPr>
        <w:t>June 26,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0496C">
        <w:rPr>
          <w:b/>
          <w:spacing w:val="-2"/>
        </w:rPr>
        <w:t>June 26, 2018</w:t>
      </w:r>
    </w:p>
    <w:p w:rsidR="00822CE0"/>
    <w:p w:rsidR="004C2EE3">
      <w:pPr>
        <w:rPr>
          <w:spacing w:val="-2"/>
        </w:rPr>
      </w:pPr>
      <w:r>
        <w:t xml:space="preserve">By </w:t>
      </w:r>
      <w:r w:rsidR="004E4A22">
        <w:t>the</w:t>
      </w:r>
      <w:r w:rsidR="002A2D2E">
        <w:t xml:space="preserve"> </w:t>
      </w:r>
      <w:r w:rsidR="002625E2">
        <w:rPr>
          <w:spacing w:val="-2"/>
        </w:rPr>
        <w:t>Commission</w:t>
      </w:r>
      <w:r>
        <w:rPr>
          <w:spacing w:val="-2"/>
        </w:rPr>
        <w:t>:</w:t>
      </w:r>
    </w:p>
    <w:p w:rsidR="002C00E8" w:rsidP="002625E2">
      <w:pPr>
        <w:pStyle w:val="Heading1"/>
        <w:numPr>
          <w:ilvl w:val="0"/>
          <w:numId w:val="0"/>
        </w:numPr>
        <w:rPr>
          <w:rFonts w:ascii="Times New Roman" w:hAnsi="Times New Roman"/>
          <w:b w:val="0"/>
          <w:caps w:val="0"/>
          <w:spacing w:val="-2"/>
        </w:rPr>
      </w:pPr>
    </w:p>
    <w:p w:rsidR="002625E2" w:rsidRPr="002625E2" w:rsidP="002625E2">
      <w:pPr>
        <w:pStyle w:val="ParaNum"/>
      </w:pPr>
      <w:r w:rsidRPr="002625E2">
        <w:t xml:space="preserve">We have before us Edward R. Stoltz, II’s (Stolz) and Deborah J. </w:t>
      </w:r>
      <w:r w:rsidRPr="002625E2">
        <w:t>Naiman’s</w:t>
      </w:r>
      <w:r w:rsidRPr="002625E2">
        <w:t xml:space="preserve"> (</w:t>
      </w:r>
      <w:r w:rsidRPr="002625E2">
        <w:t>Naiman</w:t>
      </w:r>
      <w:r w:rsidRPr="002625E2">
        <w:t>) (collectively, Petitioners) December 11, 2017 joint Application for Review (AFR)</w:t>
      </w:r>
      <w:r>
        <w:rPr>
          <w:sz w:val="20"/>
          <w:vertAlign w:val="superscript"/>
        </w:rPr>
        <w:footnoteReference w:id="3"/>
      </w:r>
      <w:r w:rsidRPr="002625E2">
        <w:t xml:space="preserve"> of the Media Bureau's (Bureau) denial of Petitioners’ separate Petitions to Deny the captioned transfer of control and assignment applications, as amended (Merger Applications and Divestiture Applications), filed by Entercom Communications Corp. (Entercom), CBS Corporation (CBS), and CBS’s wholly-owned subsidiary CBS Radio, Inc. (CBSR).</w:t>
      </w:r>
      <w:r>
        <w:rPr>
          <w:sz w:val="20"/>
          <w:vertAlign w:val="superscript"/>
        </w:rPr>
        <w:footnoteReference w:id="4"/>
      </w:r>
      <w:r w:rsidRPr="002625E2">
        <w:t xml:space="preserve">  For the reasons set forth below, we dismiss in part and otherwise deny the AFR.</w:t>
      </w:r>
    </w:p>
    <w:p w:rsidR="002625E2" w:rsidRPr="002625E2" w:rsidP="002625E2">
      <w:pPr>
        <w:pStyle w:val="ParaNum"/>
      </w:pPr>
      <w:r w:rsidRPr="002625E2">
        <w:t xml:space="preserve">On March 20, 2017, Entercom, CBS, and CBSR filed the Merger and Divestiture Applications, pursuant to which they sought to transfer control of the CBSR radio stations to Entercom.  Stolz and </w:t>
      </w:r>
      <w:r w:rsidRPr="002625E2">
        <w:t>Naiman</w:t>
      </w:r>
      <w:r w:rsidRPr="002625E2">
        <w:t xml:space="preserve"> each filed a timely Petition to Deny those Applications,</w:t>
      </w:r>
      <w:r>
        <w:rPr>
          <w:sz w:val="20"/>
          <w:vertAlign w:val="superscript"/>
        </w:rPr>
        <w:footnoteReference w:id="5"/>
      </w:r>
      <w:r w:rsidRPr="002625E2">
        <w:t xml:space="preserve"> and Stolz subsequently filed three Supplements to his Petition.  In the </w:t>
      </w:r>
      <w:r w:rsidRPr="002625E2">
        <w:rPr>
          <w:i/>
        </w:rPr>
        <w:t xml:space="preserve">Order, </w:t>
      </w:r>
      <w:r w:rsidRPr="002625E2">
        <w:t>the Bureau rejected the arguments raised in the Petitions and Supplements, denied the Petitions, and granted the Merger and Divestiture Applications subject to certain conditions pertinent to ensuring that the transaction complied with the Commission’s local radio ownership rules.</w:t>
      </w:r>
      <w:r>
        <w:rPr>
          <w:sz w:val="20"/>
          <w:vertAlign w:val="superscript"/>
        </w:rPr>
        <w:footnoteReference w:id="6"/>
      </w:r>
    </w:p>
    <w:p w:rsidR="002625E2" w:rsidRPr="002625E2" w:rsidP="002625E2">
      <w:pPr>
        <w:pStyle w:val="ParaNum"/>
        <w:widowControl/>
      </w:pPr>
      <w:r w:rsidRPr="002625E2">
        <w:t>On review, Petitioners contend that the Bureau erred by not designating the Merger and Divestiture Applications for evidentiary hearing because CBS had allegedly engaged in “intentional news distortion” at its television stations.</w:t>
      </w:r>
      <w:r>
        <w:rPr>
          <w:sz w:val="20"/>
          <w:vertAlign w:val="superscript"/>
        </w:rPr>
        <w:footnoteReference w:id="7"/>
      </w:r>
      <w:r w:rsidRPr="002625E2">
        <w:t xml:space="preserve">  Although CBS’s television stations were not part of the transaction, Petitioners contend that their news distortion claim calls into question CBS’s basic character qualifications to hold any Commission license.</w:t>
      </w:r>
      <w:r>
        <w:rPr>
          <w:sz w:val="20"/>
          <w:vertAlign w:val="superscript"/>
        </w:rPr>
        <w:footnoteReference w:id="8"/>
      </w:r>
    </w:p>
    <w:p w:rsidR="002625E2" w:rsidRPr="002625E2" w:rsidP="002625E2">
      <w:pPr>
        <w:pStyle w:val="ParaNum"/>
        <w:widowControl/>
      </w:pPr>
      <w:r w:rsidRPr="002625E2">
        <w:t xml:space="preserve">In its Opposition, Entercom maintains that the AFR fails to demonstrate any legal or factual error warranting reversal of the </w:t>
      </w:r>
      <w:r w:rsidRPr="002625E2">
        <w:rPr>
          <w:i/>
        </w:rPr>
        <w:t>Order</w:t>
      </w:r>
      <w:r w:rsidRPr="002625E2">
        <w:t>.  Entercom argues that Petitioners simply reiterate arguments made to the Bureau without demonstrating error in the Bureau’s resolution of the issues.</w:t>
      </w:r>
      <w:r>
        <w:rPr>
          <w:sz w:val="20"/>
          <w:vertAlign w:val="superscript"/>
        </w:rPr>
        <w:footnoteReference w:id="9"/>
      </w:r>
      <w:r w:rsidRPr="002625E2">
        <w:t xml:space="preserve">  In their Reply, Petitioners claim that they did indeed adequately explain the Bureau’s error in failing to find that CBS lacked basic character qualifications to be a licensee.</w:t>
      </w:r>
      <w:r>
        <w:rPr>
          <w:sz w:val="20"/>
          <w:vertAlign w:val="superscript"/>
        </w:rPr>
        <w:footnoteReference w:id="10"/>
      </w:r>
      <w:bookmarkStart w:id="1" w:name="_Hlk504648643"/>
    </w:p>
    <w:p w:rsidR="002625E2" w:rsidRPr="002625E2" w:rsidP="002625E2">
      <w:pPr>
        <w:pStyle w:val="ParaNum"/>
        <w:rPr>
          <w:snapToGrid/>
          <w:color w:val="000000"/>
          <w:kern w:val="0"/>
          <w:szCs w:val="22"/>
        </w:rPr>
      </w:pPr>
      <w:r w:rsidRPr="002625E2">
        <w:t xml:space="preserve">We conclude that the Bureau actions granting the Merger and Divestiture Applications were proper.  Stolz notably does not allege that the purported improper actions occurred at a CBSR radio station subject to the transaction.  Rather, he asserts that his unadjudicated, unsubstantiated, and conclusory news distortion claim against CBS’s </w:t>
      </w:r>
      <w:r w:rsidRPr="002625E2">
        <w:rPr>
          <w:i/>
        </w:rPr>
        <w:t>television</w:t>
      </w:r>
      <w:r w:rsidRPr="002625E2">
        <w:t xml:space="preserve"> stations presents sufficient circumstances to investigate CBSR’s qualifications to be a Commission licensee.  We disagree.  Under established Commission policy, there is “no presumption that misconduct at one station is necessarily predictive of the operation of the other stations.”</w:t>
      </w:r>
      <w:r>
        <w:rPr>
          <w:sz w:val="20"/>
          <w:vertAlign w:val="superscript"/>
        </w:rPr>
        <w:footnoteReference w:id="11"/>
      </w:r>
      <w:r w:rsidRPr="002625E2">
        <w:t xml:space="preserve">  And nothing in Stoltz’s claims of news distortion at CBS television stations identifies any facts that raise questions about CBS’s qualifications to hold the radio station licenses that are the subject of the proposed transfer of control to Entercom</w:t>
      </w:r>
      <w:r w:rsidRPr="002625E2">
        <w:rPr>
          <w:szCs w:val="22"/>
        </w:rPr>
        <w:t>.</w:t>
      </w:r>
      <w:r>
        <w:rPr>
          <w:szCs w:val="22"/>
          <w:vertAlign w:val="superscript"/>
        </w:rPr>
        <w:footnoteReference w:id="12"/>
      </w:r>
      <w:r w:rsidRPr="002625E2">
        <w:rPr>
          <w:szCs w:val="22"/>
        </w:rPr>
        <w:t xml:space="preserve">  </w:t>
      </w:r>
    </w:p>
    <w:p w:rsidR="002625E2" w:rsidRPr="002625E2" w:rsidP="002625E2">
      <w:pPr>
        <w:pStyle w:val="ParaNum"/>
      </w:pPr>
      <w:r w:rsidRPr="002625E2">
        <w:t>Petitioners also reference, but do not specifically reargue, claims they made below regarding other Entercom applications that have been separately resolved by the Commission.  These claims relate to the license renewal applications of former Sacramento station KDND(FM)</w:t>
      </w:r>
      <w:r>
        <w:rPr>
          <w:sz w:val="20"/>
          <w:vertAlign w:val="superscript"/>
        </w:rPr>
        <w:footnoteReference w:id="13"/>
      </w:r>
      <w:r w:rsidRPr="002625E2">
        <w:t xml:space="preserve"> and </w:t>
      </w:r>
      <w:r w:rsidRPr="002625E2">
        <w:t>Entercom’s</w:t>
      </w:r>
      <w:r w:rsidRPr="002625E2">
        <w:t xml:space="preserve"> five other Sacramento stations.</w:t>
      </w:r>
      <w:r>
        <w:rPr>
          <w:sz w:val="20"/>
          <w:vertAlign w:val="superscript"/>
        </w:rPr>
        <w:footnoteReference w:id="14"/>
      </w:r>
      <w:r w:rsidRPr="002625E2">
        <w:t xml:space="preserve">  </w:t>
      </w:r>
      <w:bookmarkStart w:id="10" w:name="_Hlk513038330"/>
      <w:bookmarkStart w:id="11" w:name="_Hlk513038387"/>
      <w:r w:rsidRPr="002625E2">
        <w:t xml:space="preserve">Petitioners acknowledge that these claims have been resolved adversely against them in those other proceedings and that Stolz has sought reconsideration as to </w:t>
      </w:r>
      <w:r w:rsidRPr="002625E2">
        <w:t>each issue</w:t>
      </w:r>
      <w:bookmarkEnd w:id="10"/>
      <w:r w:rsidRPr="002625E2">
        <w:t>.</w:t>
      </w:r>
      <w:bookmarkEnd w:id="11"/>
      <w:r>
        <w:rPr>
          <w:sz w:val="20"/>
          <w:vertAlign w:val="superscript"/>
        </w:rPr>
        <w:footnoteReference w:id="15"/>
      </w:r>
      <w:r w:rsidRPr="002625E2">
        <w:t xml:space="preserve">  However, Petitioners do not identify the Bureau’s claimed errors with any specificity or support their request for relief with any analysis of the facts or law.</w:t>
      </w:r>
      <w:r>
        <w:rPr>
          <w:sz w:val="20"/>
          <w:vertAlign w:val="superscript"/>
        </w:rPr>
        <w:footnoteReference w:id="16"/>
      </w:r>
      <w:r w:rsidRPr="002625E2">
        <w:t xml:space="preserve">  Instead, they merely list these issues in an appendix.  Section 1.115 of the Commission’s rules requires that an application for review “specify with particularity” the grounds on which Commission review is warranted.</w:t>
      </w:r>
      <w:r>
        <w:rPr>
          <w:sz w:val="20"/>
          <w:vertAlign w:val="superscript"/>
        </w:rPr>
        <w:footnoteReference w:id="17"/>
      </w:r>
      <w:r w:rsidRPr="002625E2">
        <w:t xml:space="preserve">  Petitioners failed to meet this burden; we therefore dismiss these claims.</w:t>
      </w:r>
      <w:r>
        <w:rPr>
          <w:sz w:val="20"/>
          <w:vertAlign w:val="superscript"/>
        </w:rPr>
        <w:footnoteReference w:id="18"/>
      </w:r>
      <w:r w:rsidRPr="002625E2">
        <w:t xml:space="preserve"> </w:t>
      </w:r>
    </w:p>
    <w:p w:rsidR="002625E2" w:rsidRPr="002625E2" w:rsidP="002625E2">
      <w:pPr>
        <w:pStyle w:val="ParaNum"/>
        <w:rPr>
          <w:snapToGrid/>
          <w:color w:val="212121"/>
          <w:kern w:val="0"/>
          <w:szCs w:val="22"/>
        </w:rPr>
      </w:pPr>
      <w:r w:rsidRPr="002625E2">
        <w:rPr>
          <w:snapToGrid/>
          <w:color w:val="000000"/>
          <w:kern w:val="0"/>
          <w:szCs w:val="22"/>
        </w:rPr>
        <w:t xml:space="preserve">For the reasons set forth above, </w:t>
      </w:r>
      <w:r w:rsidRPr="002625E2">
        <w:rPr>
          <w:szCs w:val="22"/>
        </w:rPr>
        <w:t>we find the Bureau correctly concluded that there are no substantial and material questions of fact regarding the license transfer and assignment applications, and we uphold its decision.</w:t>
      </w:r>
      <w:bookmarkEnd w:id="1"/>
    </w:p>
    <w:p w:rsidR="002625E2" w:rsidP="002625E2">
      <w:pPr>
        <w:pStyle w:val="ParaNum"/>
        <w:rPr>
          <w:snapToGrid/>
          <w:color w:val="212121"/>
          <w:kern w:val="0"/>
          <w:szCs w:val="22"/>
        </w:rPr>
      </w:pPr>
      <w:r w:rsidRPr="002625E2">
        <w:rPr>
          <w:bCs/>
          <w:snapToGrid/>
          <w:color w:val="252525"/>
          <w:kern w:val="0"/>
          <w:szCs w:val="22"/>
        </w:rPr>
        <w:t>Accordingly,</w:t>
      </w:r>
      <w:r w:rsidRPr="002625E2">
        <w:rPr>
          <w:snapToGrid/>
          <w:color w:val="212121"/>
          <w:kern w:val="0"/>
          <w:szCs w:val="22"/>
        </w:rPr>
        <w:t xml:space="preserve"> IT IS ORDERED that, pursuant to Section 5(c)(5) of the Communications Act of 1934, as amended,</w:t>
      </w:r>
      <w:r>
        <w:rPr>
          <w:snapToGrid/>
          <w:kern w:val="0"/>
          <w:sz w:val="20"/>
          <w:szCs w:val="22"/>
          <w:vertAlign w:val="superscript"/>
        </w:rPr>
        <w:footnoteReference w:id="19"/>
      </w:r>
      <w:r w:rsidRPr="002625E2">
        <w:rPr>
          <w:snapToGrid/>
          <w:color w:val="212121"/>
          <w:kern w:val="0"/>
          <w:szCs w:val="22"/>
        </w:rPr>
        <w:t xml:space="preserve"> and Sections 1.115(b) and (g) of the Rules,</w:t>
      </w:r>
      <w:r>
        <w:rPr>
          <w:snapToGrid/>
          <w:kern w:val="0"/>
          <w:sz w:val="20"/>
          <w:szCs w:val="22"/>
          <w:vertAlign w:val="superscript"/>
        </w:rPr>
        <w:footnoteReference w:id="20"/>
      </w:r>
      <w:r w:rsidRPr="002625E2">
        <w:rPr>
          <w:snapToGrid/>
          <w:color w:val="212121"/>
          <w:kern w:val="0"/>
          <w:szCs w:val="22"/>
        </w:rPr>
        <w:t xml:space="preserve"> the December 11, 2017, </w:t>
      </w:r>
      <w:r w:rsidRPr="002625E2">
        <w:rPr>
          <w:bCs/>
          <w:snapToGrid/>
          <w:color w:val="252525"/>
          <w:kern w:val="0"/>
          <w:szCs w:val="22"/>
        </w:rPr>
        <w:t>Application</w:t>
      </w:r>
      <w:r w:rsidRPr="002625E2">
        <w:rPr>
          <w:snapToGrid/>
          <w:color w:val="212121"/>
          <w:kern w:val="0"/>
          <w:szCs w:val="22"/>
        </w:rPr>
        <w:t xml:space="preserve"> </w:t>
      </w:r>
      <w:r w:rsidRPr="002625E2">
        <w:rPr>
          <w:bCs/>
          <w:snapToGrid/>
          <w:color w:val="252525"/>
          <w:kern w:val="0"/>
          <w:szCs w:val="22"/>
        </w:rPr>
        <w:t>for</w:t>
      </w:r>
      <w:r w:rsidRPr="002625E2">
        <w:rPr>
          <w:snapToGrid/>
          <w:color w:val="212121"/>
          <w:kern w:val="0"/>
          <w:szCs w:val="22"/>
        </w:rPr>
        <w:t xml:space="preserve"> </w:t>
      </w:r>
      <w:r w:rsidRPr="002625E2">
        <w:rPr>
          <w:bCs/>
          <w:snapToGrid/>
          <w:color w:val="252525"/>
          <w:kern w:val="0"/>
          <w:szCs w:val="22"/>
        </w:rPr>
        <w:t>Review</w:t>
      </w:r>
      <w:r w:rsidRPr="002625E2">
        <w:rPr>
          <w:snapToGrid/>
          <w:color w:val="212121"/>
          <w:kern w:val="0"/>
          <w:szCs w:val="22"/>
        </w:rPr>
        <w:t xml:space="preserve"> filed by Edward R. Stolz II and Deborah J. </w:t>
      </w:r>
      <w:r w:rsidRPr="002625E2">
        <w:rPr>
          <w:snapToGrid/>
          <w:color w:val="212121"/>
          <w:kern w:val="0"/>
          <w:szCs w:val="22"/>
        </w:rPr>
        <w:t>Naiman</w:t>
      </w:r>
      <w:r w:rsidRPr="002625E2">
        <w:rPr>
          <w:snapToGrid/>
          <w:color w:val="212121"/>
          <w:kern w:val="0"/>
          <w:szCs w:val="22"/>
        </w:rPr>
        <w:t xml:space="preserve"> IS DISMISSED to the extent described in paragraph 6 herein and otherwise IS </w:t>
      </w:r>
      <w:r w:rsidRPr="002625E2">
        <w:rPr>
          <w:color w:val="212121"/>
          <w:kern w:val="0"/>
        </w:rPr>
        <w:t>DENIED</w:t>
      </w:r>
      <w:r w:rsidRPr="002625E2">
        <w:rPr>
          <w:snapToGrid/>
          <w:color w:val="212121"/>
          <w:kern w:val="0"/>
          <w:szCs w:val="22"/>
        </w:rPr>
        <w:t>.</w:t>
      </w:r>
    </w:p>
    <w:p w:rsidR="002625E2" w:rsidP="00580928">
      <w:r>
        <w:tab/>
      </w:r>
      <w:r>
        <w:tab/>
      </w:r>
      <w:r>
        <w:tab/>
      </w:r>
      <w:r>
        <w:tab/>
      </w:r>
      <w:r>
        <w:tab/>
      </w:r>
      <w:r>
        <w:tab/>
        <w:t>FEDERAL COMMUNICATIONS COMMISSION</w:t>
      </w:r>
    </w:p>
    <w:p w:rsidR="002625E2" w:rsidP="00580928"/>
    <w:p w:rsidR="002625E2" w:rsidP="00580928"/>
    <w:p w:rsidR="002625E2" w:rsidP="00580928"/>
    <w:p w:rsidR="002625E2" w:rsidP="00580928"/>
    <w:p w:rsidR="002625E2" w:rsidP="00580928">
      <w:r>
        <w:tab/>
      </w:r>
      <w:r>
        <w:tab/>
      </w:r>
      <w:r>
        <w:tab/>
      </w:r>
      <w:r>
        <w:tab/>
      </w:r>
      <w:r>
        <w:tab/>
      </w:r>
      <w:r>
        <w:tab/>
        <w:t>Marlene H. Dortch</w:t>
      </w:r>
    </w:p>
    <w:p w:rsidR="002625E2" w:rsidRPr="00D45DBE" w:rsidP="00D45DBE">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625E2">
    <w:pPr>
      <w:pStyle w:val="Footer"/>
      <w:jc w:val="center"/>
    </w:pPr>
    <w:r>
      <w:fldChar w:fldCharType="begin"/>
    </w:r>
    <w:r>
      <w:instrText xml:space="preserve"> PAGE   \* MERGEFORMAT </w:instrText>
    </w:r>
    <w:r>
      <w:fldChar w:fldCharType="separate"/>
    </w:r>
    <w:r w:rsidR="00623EA5">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0928">
      <w:r>
        <w:separator/>
      </w:r>
    </w:p>
  </w:footnote>
  <w:footnote w:type="continuationSeparator" w:id="1">
    <w:p w:rsidR="00580928" w:rsidP="00C721AC">
      <w:pPr>
        <w:spacing w:before="120"/>
        <w:rPr>
          <w:sz w:val="20"/>
        </w:rPr>
      </w:pPr>
      <w:r>
        <w:rPr>
          <w:sz w:val="20"/>
        </w:rPr>
        <w:t xml:space="preserve">(Continued from previous page)  </w:t>
      </w:r>
      <w:r>
        <w:rPr>
          <w:sz w:val="20"/>
        </w:rPr>
        <w:separator/>
      </w:r>
    </w:p>
  </w:footnote>
  <w:footnote w:type="continuationNotice" w:id="2">
    <w:p w:rsidR="00580928" w:rsidP="00C721AC">
      <w:pPr>
        <w:jc w:val="right"/>
        <w:rPr>
          <w:sz w:val="20"/>
        </w:rPr>
      </w:pPr>
      <w:r>
        <w:rPr>
          <w:sz w:val="20"/>
        </w:rPr>
        <w:t>(continued….)</w:t>
      </w:r>
    </w:p>
  </w:footnote>
  <w:footnote w:id="3">
    <w:p w:rsidR="002625E2" w:rsidRPr="00871CC6" w:rsidP="002625E2">
      <w:pPr>
        <w:pStyle w:val="FootnoteText"/>
      </w:pPr>
      <w:r w:rsidRPr="00871CC6">
        <w:rPr>
          <w:rStyle w:val="FootnoteReference"/>
        </w:rPr>
        <w:footnoteRef/>
      </w:r>
      <w:r w:rsidRPr="00871CC6">
        <w:t xml:space="preserve"> On December 28, 2017, Entercom filed an Opposition to the AFR (Opposition), to which Stolz and </w:t>
      </w:r>
      <w:r w:rsidRPr="00871CC6">
        <w:t>Naiman</w:t>
      </w:r>
      <w:r w:rsidRPr="00871CC6">
        <w:t xml:space="preserve"> filed a Reply on January 2, 2018.  </w:t>
      </w:r>
    </w:p>
  </w:footnote>
  <w:footnote w:id="4">
    <w:p w:rsidR="002625E2" w:rsidRPr="00871CC6" w:rsidP="002625E2">
      <w:pPr>
        <w:pStyle w:val="FootnoteText"/>
        <w:rPr>
          <w:i/>
        </w:rPr>
      </w:pPr>
      <w:r w:rsidRPr="00871CC6">
        <w:rPr>
          <w:rStyle w:val="FootnoteReference"/>
        </w:rPr>
        <w:footnoteRef/>
      </w:r>
      <w:r w:rsidRPr="00871CC6">
        <w:t xml:space="preserve"> </w:t>
      </w:r>
      <w:r w:rsidRPr="00871CC6">
        <w:rPr>
          <w:i/>
        </w:rPr>
        <w:t xml:space="preserve">See Entercom Communications and CBS Radio Seek Approval to Transfer Control and Assign FCC Authorizations and Licenses to Subsidiaries of CBS Corporation (Transferors) and Shareholders of Entercom Communications Corporation (Transferee), </w:t>
      </w:r>
      <w:r w:rsidRPr="00871CC6">
        <w:t>Memorandum Opinion and Order, 32 FCC Rcd 9380 (2017) (</w:t>
      </w:r>
      <w:r w:rsidRPr="00871CC6">
        <w:rPr>
          <w:i/>
        </w:rPr>
        <w:t>Order</w:t>
      </w:r>
      <w:r w:rsidRPr="00871CC6">
        <w:t xml:space="preserve">).  The </w:t>
      </w:r>
      <w:r w:rsidRPr="00871CC6">
        <w:rPr>
          <w:i/>
        </w:rPr>
        <w:t xml:space="preserve">Order </w:t>
      </w:r>
      <w:r w:rsidRPr="00871CC6">
        <w:t xml:space="preserve">contains a complete description of the transaction, which will not be reiterated here.  </w:t>
      </w:r>
      <w:r w:rsidRPr="00871CC6">
        <w:rPr>
          <w:i/>
        </w:rPr>
        <w:t>Se</w:t>
      </w:r>
      <w:r w:rsidRPr="00871CC6">
        <w:rPr>
          <w:i/>
          <w:iCs/>
        </w:rPr>
        <w:t>e Order,</w:t>
      </w:r>
      <w:r w:rsidRPr="00871CC6">
        <w:rPr>
          <w:iCs/>
        </w:rPr>
        <w:t xml:space="preserve"> 32 FCC Rcd</w:t>
      </w:r>
      <w:r w:rsidRPr="00871CC6">
        <w:rPr>
          <w:i/>
          <w:iCs/>
        </w:rPr>
        <w:t xml:space="preserve"> </w:t>
      </w:r>
      <w:r w:rsidRPr="00871CC6">
        <w:rPr>
          <w:iCs/>
        </w:rPr>
        <w:t>at 9382-82, paras. 2-3.</w:t>
      </w:r>
      <w:r w:rsidRPr="00871CC6">
        <w:t xml:space="preserve"> </w:t>
      </w:r>
    </w:p>
  </w:footnote>
  <w:footnote w:id="5">
    <w:p w:rsidR="002625E2" w:rsidRPr="00871CC6" w:rsidP="003653EC">
      <w:pPr>
        <w:pStyle w:val="FootnoteText"/>
      </w:pPr>
      <w:r w:rsidRPr="00871CC6">
        <w:rPr>
          <w:rStyle w:val="FootnoteReference"/>
        </w:rPr>
        <w:footnoteRef/>
      </w:r>
      <w:r w:rsidRPr="00871CC6">
        <w:t xml:space="preserve"> Stolz challenged the Merger and Divestiture Applications in the Sacramento and San Francisco markets; </w:t>
      </w:r>
      <w:r w:rsidRPr="00871CC6">
        <w:t>Naiman</w:t>
      </w:r>
      <w:r w:rsidRPr="00871CC6">
        <w:t xml:space="preserve"> challenged only those in the Sacramento market.</w:t>
      </w:r>
    </w:p>
  </w:footnote>
  <w:footnote w:id="6">
    <w:p w:rsidR="002625E2" w:rsidRPr="00871CC6" w:rsidP="002625E2">
      <w:pPr>
        <w:pStyle w:val="FootnoteText"/>
      </w:pPr>
      <w:r w:rsidRPr="00871CC6">
        <w:rPr>
          <w:rStyle w:val="FootnoteReference"/>
        </w:rPr>
        <w:footnoteRef/>
      </w:r>
      <w:r w:rsidRPr="00871CC6">
        <w:t xml:space="preserve"> 47 CFR §73.3555.  </w:t>
      </w:r>
      <w:r w:rsidRPr="00871CC6">
        <w:rPr>
          <w:i/>
        </w:rPr>
        <w:t>See Order</w:t>
      </w:r>
      <w:r w:rsidRPr="00871CC6">
        <w:t>, 32 FCC Rcd at 9385-86, paras. 15-17 and 9388, para. 26.</w:t>
      </w:r>
    </w:p>
  </w:footnote>
  <w:footnote w:id="7">
    <w:p w:rsidR="002625E2" w:rsidRPr="00871CC6" w:rsidP="002625E2">
      <w:pPr>
        <w:pStyle w:val="FootnoteText"/>
      </w:pPr>
      <w:r w:rsidRPr="00871CC6">
        <w:rPr>
          <w:rStyle w:val="FootnoteReference"/>
        </w:rPr>
        <w:footnoteRef/>
      </w:r>
      <w:r w:rsidRPr="00871CC6">
        <w:t xml:space="preserve"> The Commission </w:t>
      </w:r>
      <w:r>
        <w:t>has used</w:t>
      </w:r>
      <w:r w:rsidRPr="00871CC6">
        <w:t xml:space="preserve"> the term “news distortion” to refer to programming that “</w:t>
      </w:r>
      <w:r w:rsidRPr="00871CC6">
        <w:rPr>
          <w:color w:val="000000"/>
        </w:rPr>
        <w:t xml:space="preserve">deliberately distort[s] or slant[s] the news.”  </w:t>
      </w:r>
      <w:r w:rsidRPr="00871CC6">
        <w:rPr>
          <w:i/>
          <w:color w:val="000000"/>
          <w:shd w:val="clear" w:color="auto" w:fill="FFFFFF"/>
        </w:rPr>
        <w:t xml:space="preserve">Complaints Covering CBS Program “Hunger in America” </w:t>
      </w:r>
      <w:r w:rsidRPr="00871CC6">
        <w:rPr>
          <w:color w:val="000000"/>
          <w:shd w:val="clear" w:color="auto" w:fill="FFFFFF"/>
        </w:rPr>
        <w:t>20 FCC 2d 143, 150 (1969).</w:t>
      </w:r>
    </w:p>
  </w:footnote>
  <w:footnote w:id="8">
    <w:p w:rsidR="002625E2" w:rsidRPr="00871CC6" w:rsidP="002625E2">
      <w:pPr>
        <w:pStyle w:val="FootnoteText"/>
      </w:pPr>
      <w:r w:rsidRPr="00871CC6">
        <w:rPr>
          <w:rStyle w:val="FootnoteReference"/>
        </w:rPr>
        <w:footnoteRef/>
      </w:r>
      <w:r w:rsidRPr="00871CC6">
        <w:t xml:space="preserve"> AFR at 4, 7-9 (citing, as an example of their claim, a CBS television Evening News broadcast).  </w:t>
      </w:r>
    </w:p>
  </w:footnote>
  <w:footnote w:id="9">
    <w:p w:rsidR="002625E2" w:rsidRPr="00871CC6" w:rsidP="002625E2">
      <w:pPr>
        <w:pStyle w:val="FootnoteText"/>
      </w:pPr>
      <w:r w:rsidRPr="00871CC6">
        <w:rPr>
          <w:rStyle w:val="FootnoteReference"/>
        </w:rPr>
        <w:footnoteRef/>
      </w:r>
      <w:r w:rsidRPr="00871CC6">
        <w:t xml:space="preserve"> Entercom Opposition at 1-2. </w:t>
      </w:r>
    </w:p>
  </w:footnote>
  <w:footnote w:id="10">
    <w:p w:rsidR="002625E2" w:rsidRPr="00871CC6" w:rsidP="002625E2">
      <w:pPr>
        <w:pStyle w:val="FootnoteText"/>
      </w:pPr>
      <w:r w:rsidRPr="00871CC6">
        <w:rPr>
          <w:rStyle w:val="FootnoteReference"/>
        </w:rPr>
        <w:footnoteRef/>
      </w:r>
      <w:r w:rsidRPr="00871CC6">
        <w:t xml:space="preserve"> Reply at 2-3. </w:t>
      </w:r>
    </w:p>
  </w:footnote>
  <w:footnote w:id="11">
    <w:p w:rsidR="002625E2" w:rsidRPr="00871CC6" w:rsidP="002625E2">
      <w:pPr>
        <w:pStyle w:val="FootnoteText"/>
      </w:pPr>
      <w:r w:rsidRPr="00871CC6">
        <w:rPr>
          <w:rStyle w:val="FootnoteReference"/>
        </w:rPr>
        <w:footnoteRef/>
      </w:r>
      <w:r w:rsidRPr="00871CC6">
        <w:t xml:space="preserve"> </w:t>
      </w:r>
      <w:r w:rsidRPr="00871CC6">
        <w:rPr>
          <w:i/>
        </w:rPr>
        <w:t>Policy Regarding Character Qualifications in Broadcast Licensing</w:t>
      </w:r>
      <w:r w:rsidRPr="00871CC6">
        <w:t>, Order and Policy Statement, 102 FCC 2d 1179, 1223 (1986) (subsequent history omitted) (</w:t>
      </w:r>
      <w:r w:rsidRPr="00871CC6">
        <w:rPr>
          <w:i/>
        </w:rPr>
        <w:t>Character Policy Statement</w:t>
      </w:r>
      <w:r w:rsidRPr="00871CC6">
        <w:t>).  When considering whether allegations of misconduct at one station should restrict the transferability of commonly owned stations, the Commission considers whether the “</w:t>
      </w:r>
      <w:r w:rsidRPr="00871CC6">
        <w:rPr>
          <w:color w:val="000000"/>
        </w:rPr>
        <w:t xml:space="preserve">behavior [is] so fundamental to a licensee’s operation that it is relevant to its qualifications to hold any station license.”  </w:t>
      </w:r>
      <w:r w:rsidRPr="00871CC6">
        <w:rPr>
          <w:i/>
          <w:color w:val="000000"/>
        </w:rPr>
        <w:t>Id</w:t>
      </w:r>
      <w:bookmarkStart w:id="2" w:name="_Hlk508893676"/>
      <w:r w:rsidRPr="00871CC6">
        <w:rPr>
          <w:color w:val="000000"/>
        </w:rPr>
        <w:t>.  Conduct that “</w:t>
      </w:r>
      <w:r w:rsidRPr="00871CC6">
        <w:t>shocks the conscience and evoke[s] almost universal disapprobation” pertains in a different context (whether certain non-FCC misconduct is cognizable for character qualification)</w:t>
      </w:r>
      <w:bookmarkEnd w:id="2"/>
      <w:r w:rsidRPr="00871CC6">
        <w:t xml:space="preserve">, </w:t>
      </w:r>
      <w:bookmarkStart w:id="3" w:name="_Hlk511162765"/>
      <w:bookmarkStart w:id="4" w:name="_Hlk508893814"/>
      <w:bookmarkStart w:id="5" w:name="_Hlk508891189"/>
      <w:r w:rsidRPr="00871CC6">
        <w:rPr>
          <w:i/>
        </w:rPr>
        <w:t>Character Policy Statement</w:t>
      </w:r>
      <w:r w:rsidRPr="00871CC6">
        <w:t>, 102 FCC 2d at 1205 &amp; n.60</w:t>
      </w:r>
      <w:bookmarkEnd w:id="3"/>
      <w:r w:rsidRPr="00871CC6">
        <w:t>, distinct from the analysis of whether conduct at one station is relevant to a licensee’s qualifications to hold other station licenses,</w:t>
      </w:r>
      <w:bookmarkEnd w:id="4"/>
      <w:r w:rsidRPr="00871CC6">
        <w:t xml:space="preserve"> </w:t>
      </w:r>
      <w:bookmarkStart w:id="6" w:name="_Hlk508893901"/>
      <w:r w:rsidRPr="00871CC6">
        <w:rPr>
          <w:i/>
        </w:rPr>
        <w:t>see Order</w:t>
      </w:r>
      <w:r w:rsidRPr="00871CC6">
        <w:t>, 32 FCC Rcd at 9386, para. 17 &amp; n.49 (applying the ‘behavior fundamental to a licensee’s operation’ standard in the latter context).</w:t>
      </w:r>
      <w:bookmarkEnd w:id="5"/>
      <w:bookmarkEnd w:id="6"/>
    </w:p>
  </w:footnote>
  <w:footnote w:id="12">
    <w:p w:rsidR="002625E2" w:rsidRPr="00871CC6" w:rsidP="003653EC">
      <w:pPr>
        <w:pStyle w:val="FootnoteText"/>
      </w:pPr>
      <w:bookmarkStart w:id="7" w:name="_Hlk512614512"/>
      <w:r w:rsidRPr="00F74F56">
        <w:rPr>
          <w:rStyle w:val="FootnoteReference"/>
        </w:rPr>
        <w:footnoteRef/>
      </w:r>
      <w:r w:rsidRPr="00F74F56">
        <w:t xml:space="preserve"> </w:t>
      </w:r>
      <w:bookmarkEnd w:id="7"/>
      <w:r w:rsidRPr="00871CC6">
        <w:t xml:space="preserve">The cases Petitioners cite in support of their position that consideration should be given to conduct outside the stations at issue does not involve news distortion and provides no support for Petitioners’ claims here.  Specifically, in </w:t>
      </w:r>
      <w:r w:rsidRPr="00871CC6">
        <w:rPr>
          <w:i/>
        </w:rPr>
        <w:t xml:space="preserve">Contemporary Media, Inc., </w:t>
      </w:r>
      <w:r w:rsidRPr="00871CC6">
        <w:t xml:space="preserve">the licensee’s principal was a felon convicted of multiple counts of child molestation; in the instant matter there is no criminal charge, let alone a conviction.  </w:t>
      </w:r>
      <w:r w:rsidRPr="00871CC6">
        <w:rPr>
          <w:i/>
        </w:rPr>
        <w:t xml:space="preserve">See Contemporary Media, Inc., </w:t>
      </w:r>
      <w:r w:rsidRPr="00871CC6">
        <w:t xml:space="preserve">Decision, 13 FCC Rcd 14437 (1998), </w:t>
      </w:r>
      <w:r w:rsidRPr="00871CC6">
        <w:rPr>
          <w:i/>
        </w:rPr>
        <w:t>recon. denied</w:t>
      </w:r>
      <w:r w:rsidRPr="00871CC6">
        <w:t xml:space="preserve">, Order, 14 FCC Rcd 8790 (1999), 214 F.3d 187 (D.C. Cir. 2000), </w:t>
      </w:r>
      <w:r w:rsidRPr="00871CC6">
        <w:rPr>
          <w:i/>
        </w:rPr>
        <w:t>cert. denied</w:t>
      </w:r>
      <w:r w:rsidRPr="00871CC6">
        <w:t xml:space="preserve">, 532 U.S. 920, 121 </w:t>
      </w:r>
      <w:r w:rsidRPr="00871CC6">
        <w:t>S.Ct</w:t>
      </w:r>
      <w:r w:rsidRPr="00871CC6">
        <w:t xml:space="preserve">. 1355 (2001).  Unadjudicated non-FCC misconduct, such as the criminal wrongdoing alleged by Stolz, AFR 8-9, is not relevant to a licensee’s character qualifications unless it “shock[s] the conscience.”  </w:t>
      </w:r>
      <w:bookmarkStart w:id="8" w:name="_Hlk508890955"/>
      <w:r w:rsidRPr="00871CC6">
        <w:rPr>
          <w:i/>
        </w:rPr>
        <w:t>Character Policy Statement</w:t>
      </w:r>
      <w:r w:rsidRPr="00871CC6">
        <w:t xml:space="preserve">, 102 FCC 2d at 1205 &amp; n.60.  </w:t>
      </w:r>
      <w:bookmarkEnd w:id="8"/>
      <w:r w:rsidRPr="00871CC6">
        <w:t>Stolz has not provided any evidence to support his allegations</w:t>
      </w:r>
      <w:r>
        <w:t xml:space="preserve"> that CBS violated 18 USC §§ 241, 245(b), 351, and 1505</w:t>
      </w:r>
      <w:r w:rsidRPr="00871CC6">
        <w:t xml:space="preserve">, nor has he asserted that there is any </w:t>
      </w:r>
      <w:r w:rsidRPr="00871CC6">
        <w:rPr>
          <w:color w:val="212121"/>
        </w:rPr>
        <w:t>administrative or judicial proceeding</w:t>
      </w:r>
      <w:r w:rsidRPr="00871CC6">
        <w:t xml:space="preserve"> pending regarding the alleged wrongdoing.  We therefore have no basis to conclude that these unadjudicated </w:t>
      </w:r>
      <w:r w:rsidR="00AC15B2">
        <w:t>allegations</w:t>
      </w:r>
      <w:r>
        <w:t xml:space="preserve"> </w:t>
      </w:r>
      <w:r w:rsidRPr="00871CC6">
        <w:t xml:space="preserve">warrant designation of the CBS television stations for a hearing.  Finally, we find that the language from </w:t>
      </w:r>
      <w:r w:rsidRPr="00871CC6">
        <w:rPr>
          <w:i/>
        </w:rPr>
        <w:t xml:space="preserve">Red Lion, </w:t>
      </w:r>
      <w:r w:rsidRPr="00871CC6">
        <w:t>quoted in the AFR</w:t>
      </w:r>
      <w:r>
        <w:t>,</w:t>
      </w:r>
      <w:r w:rsidRPr="00871CC6">
        <w:t xml:space="preserve"> has no relevance to this proceeding.  </w:t>
      </w:r>
      <w:r w:rsidRPr="00871CC6">
        <w:rPr>
          <w:i/>
        </w:rPr>
        <w:t xml:space="preserve">Red Lion Broadcasting Co., Inc. v. </w:t>
      </w:r>
      <w:r w:rsidRPr="00871CC6">
        <w:t xml:space="preserve">FCC, 395 U.S. 379, 389-90 (1969).  </w:t>
      </w:r>
    </w:p>
  </w:footnote>
  <w:footnote w:id="13">
    <w:p w:rsidR="002625E2" w:rsidRPr="00871CC6" w:rsidP="002625E2">
      <w:pPr>
        <w:pStyle w:val="FootnoteText"/>
      </w:pPr>
      <w:r w:rsidRPr="00871CC6">
        <w:rPr>
          <w:rStyle w:val="FootnoteReference"/>
        </w:rPr>
        <w:footnoteRef/>
      </w:r>
      <w:r w:rsidRPr="00871CC6">
        <w:t xml:space="preserve"> </w:t>
      </w:r>
      <w:bookmarkStart w:id="9" w:name="_Hlk511400580"/>
      <w:r w:rsidRPr="00871CC6">
        <w:t>For clarity and simplicity, former station KDND, identified in the Commission’s broadcasting database as DKDND, will be referred to as KDND.</w:t>
      </w:r>
      <w:bookmarkEnd w:id="9"/>
    </w:p>
  </w:footnote>
  <w:footnote w:id="14">
    <w:p w:rsidR="002625E2" w:rsidRPr="00871CC6" w:rsidP="002625E2">
      <w:pPr>
        <w:pStyle w:val="FootnoteText"/>
      </w:pPr>
      <w:r w:rsidRPr="00871CC6">
        <w:rPr>
          <w:rStyle w:val="FootnoteReference"/>
        </w:rPr>
        <w:footnoteRef/>
      </w:r>
      <w:r w:rsidRPr="00871CC6">
        <w:t xml:space="preserve"> </w:t>
      </w:r>
      <w:r w:rsidRPr="00871CC6" w:rsidR="00A60F69">
        <w:rPr>
          <w:i/>
        </w:rPr>
        <w:t>Dennis J. Kelly, Esq., etc</w:t>
      </w:r>
      <w:r w:rsidRPr="00871CC6" w:rsidR="00A60F69">
        <w:t xml:space="preserve">., Letter, 32 FCC Rcd 6880 (MB 2017), </w:t>
      </w:r>
      <w:r w:rsidRPr="00871CC6" w:rsidR="00A60F69">
        <w:rPr>
          <w:i/>
        </w:rPr>
        <w:t xml:space="preserve">pet. for recon. dismissed, </w:t>
      </w:r>
      <w:r w:rsidRPr="00871CC6" w:rsidR="00A60F69">
        <w:t xml:space="preserve">Letter, 1800B3-ATS (Nov. 21, 2017), </w:t>
      </w:r>
      <w:r w:rsidRPr="00871CC6" w:rsidR="00A60F69">
        <w:rPr>
          <w:i/>
        </w:rPr>
        <w:t>app. for review pending;</w:t>
      </w:r>
      <w:r w:rsidRPr="00871CC6" w:rsidR="00A60F69">
        <w:t xml:space="preserve"> </w:t>
      </w:r>
      <w:r w:rsidRPr="00871CC6" w:rsidR="00A60F69">
        <w:rPr>
          <w:i/>
        </w:rPr>
        <w:t>Entercom License, LLC</w:t>
      </w:r>
      <w:r w:rsidRPr="00871CC6" w:rsidR="00A60F69">
        <w:t xml:space="preserve">, Memorandum Opinion and Order, 32 FCC Rcd 7149 (2017), </w:t>
      </w:r>
      <w:r w:rsidR="007E0B2C">
        <w:rPr>
          <w:i/>
        </w:rPr>
        <w:t>recon. dismissed in part and denied in part</w:t>
      </w:r>
      <w:r w:rsidR="00A60F69">
        <w:t xml:space="preserve">, Order, DA 18-472 (OGC May 8, 2018), </w:t>
      </w:r>
      <w:r w:rsidR="00A60F69">
        <w:rPr>
          <w:i/>
        </w:rPr>
        <w:t>app. for review pending</w:t>
      </w:r>
      <w:r w:rsidRPr="00871CC6" w:rsidR="00A60F69">
        <w:rPr>
          <w:i/>
        </w:rPr>
        <w:t xml:space="preserve"> </w:t>
      </w:r>
      <w:r w:rsidRPr="00871CC6" w:rsidR="00A60F69">
        <w:t>(</w:t>
      </w:r>
      <w:r w:rsidRPr="00871CC6" w:rsidR="00A60F69">
        <w:rPr>
          <w:i/>
        </w:rPr>
        <w:t>KDND License Renewal MO&amp;O</w:t>
      </w:r>
      <w:r w:rsidRPr="00871CC6" w:rsidR="00A60F69">
        <w:t>).</w:t>
      </w:r>
    </w:p>
  </w:footnote>
  <w:footnote w:id="15">
    <w:p w:rsidR="002625E2" w:rsidRPr="00502AA0" w:rsidP="002625E2">
      <w:pPr>
        <w:pStyle w:val="FootnoteText"/>
      </w:pPr>
      <w:r w:rsidRPr="00871CC6">
        <w:rPr>
          <w:rStyle w:val="FootnoteReference"/>
        </w:rPr>
        <w:footnoteRef/>
      </w:r>
      <w:r w:rsidRPr="00871CC6">
        <w:t xml:space="preserve"> AFR at 12.</w:t>
      </w:r>
      <w:r>
        <w:t xml:space="preserve">  </w:t>
      </w:r>
      <w:bookmarkStart w:id="12" w:name="_Hlk513038635"/>
      <w:r w:rsidRPr="00502AA0">
        <w:t xml:space="preserve">The Commission has rejected each of these </w:t>
      </w:r>
      <w:r w:rsidRPr="00F45CC6">
        <w:t>claims</w:t>
      </w:r>
      <w:r>
        <w:t xml:space="preserve"> </w:t>
      </w:r>
      <w:r w:rsidRPr="0011100E">
        <w:t>in those proceedings.</w:t>
      </w:r>
      <w:r>
        <w:t xml:space="preserve">  </w:t>
      </w:r>
      <w:r w:rsidRPr="00871CC6">
        <w:rPr>
          <w:i/>
        </w:rPr>
        <w:t>Entercom License, LLC</w:t>
      </w:r>
      <w:r w:rsidRPr="00871CC6">
        <w:t xml:space="preserve">, </w:t>
      </w:r>
      <w:r w:rsidR="00A8094E">
        <w:rPr>
          <w:i/>
        </w:rPr>
        <w:t xml:space="preserve">supra </w:t>
      </w:r>
      <w:r w:rsidR="00A8094E">
        <w:t>n.12</w:t>
      </w:r>
      <w:r>
        <w:t>;</w:t>
      </w:r>
      <w:r w:rsidRPr="00502AA0">
        <w:t xml:space="preserve"> </w:t>
      </w:r>
      <w:r>
        <w:rPr>
          <w:i/>
        </w:rPr>
        <w:t>Entercom Sacramento License, LLC, Applications for Renewal of Licenses</w:t>
      </w:r>
      <w:r>
        <w:t xml:space="preserve">, Memorandum Opinion and Order, </w:t>
      </w:r>
      <w:r w:rsidRPr="00C0496C" w:rsidR="00F05070">
        <w:t>FCC 18-</w:t>
      </w:r>
      <w:r w:rsidRPr="00C0496C" w:rsidR="00C0496C">
        <w:t>83</w:t>
      </w:r>
      <w:r w:rsidRPr="00C0496C" w:rsidR="00F05070">
        <w:t xml:space="preserve"> (</w:t>
      </w:r>
      <w:r w:rsidRPr="00C0496C" w:rsidR="00C0496C">
        <w:t>June 26, 2018</w:t>
      </w:r>
      <w:r w:rsidRPr="00C0496C">
        <w:t>)</w:t>
      </w:r>
      <w:r w:rsidRPr="00F05070" w:rsidR="00F05070">
        <w:t xml:space="preserve">, </w:t>
      </w:r>
      <w:r w:rsidRPr="00F05070" w:rsidR="00F05070">
        <w:rPr>
          <w:i/>
        </w:rPr>
        <w:t>review denied</w:t>
      </w:r>
      <w:r>
        <w:t>.  Stolz provides no reasoned basis for the Commission to reconsider here its conclusions in those proceedings.</w:t>
      </w:r>
      <w:bookmarkEnd w:id="12"/>
    </w:p>
  </w:footnote>
  <w:footnote w:id="16">
    <w:p w:rsidR="002625E2" w:rsidRPr="00871CC6" w:rsidP="002625E2">
      <w:pPr>
        <w:pStyle w:val="FootnoteText"/>
        <w:rPr>
          <w:i/>
        </w:rPr>
      </w:pPr>
      <w:r w:rsidRPr="00871CC6">
        <w:rPr>
          <w:rStyle w:val="FootnoteReference"/>
        </w:rPr>
        <w:footnoteRef/>
      </w:r>
      <w:r w:rsidRPr="00871CC6">
        <w:t xml:space="preserve"> Petitioners state that “[t]he issues are being repeated [in the AFR] to keep them alive in the event that Petitioners herein seek judicial review of the FCC final order in this matter.”  </w:t>
      </w:r>
      <w:r w:rsidRPr="00871CC6">
        <w:rPr>
          <w:i/>
        </w:rPr>
        <w:t>Id.</w:t>
      </w:r>
    </w:p>
  </w:footnote>
  <w:footnote w:id="17">
    <w:p w:rsidR="002625E2" w:rsidRPr="00871CC6" w:rsidP="003653EC">
      <w:pPr>
        <w:pStyle w:val="FootnoteText"/>
      </w:pPr>
      <w:r w:rsidRPr="00871CC6">
        <w:rPr>
          <w:rStyle w:val="FootnoteReference"/>
        </w:rPr>
        <w:footnoteRef/>
      </w:r>
      <w:r w:rsidRPr="00871CC6">
        <w:t xml:space="preserve">  47 CFR § 1.115(b)(2); </w:t>
      </w:r>
      <w:r w:rsidRPr="00871CC6">
        <w:rPr>
          <w:i/>
        </w:rPr>
        <w:t xml:space="preserve">see </w:t>
      </w:r>
      <w:r w:rsidRPr="00871CC6">
        <w:rPr>
          <w:i/>
          <w:color w:val="000000"/>
        </w:rPr>
        <w:t>Application of Red Hot Radio, Inc.</w:t>
      </w:r>
      <w:r w:rsidRPr="00871CC6">
        <w:rPr>
          <w:color w:val="000000"/>
        </w:rPr>
        <w:t>, 19 FCC Rcd 6737, 6745 (2004)</w:t>
      </w:r>
      <w:r w:rsidRPr="00871CC6">
        <w:t xml:space="preserve"> (“</w:t>
      </w:r>
      <w:r w:rsidRPr="00871CC6">
        <w:rPr>
          <w:color w:val="000000"/>
          <w:shd w:val="clear" w:color="auto" w:fill="FFFFFF"/>
        </w:rPr>
        <w:t>Our rules do not allow for a ‘kitchen sink’ approach to an application for review, rather the burden is on the Applicant to set forth fully its argument and all underlying relevant facts in the application for review</w:t>
      </w:r>
      <w:r w:rsidRPr="00871CC6">
        <w:rPr>
          <w:color w:val="000000"/>
        </w:rPr>
        <w:t>.”) (citing 47 CFR § 1.115(b)(2)(</w:t>
      </w:r>
      <w:r w:rsidRPr="00871CC6">
        <w:rPr>
          <w:color w:val="000000"/>
        </w:rPr>
        <w:t>i</w:t>
      </w:r>
      <w:r w:rsidRPr="00871CC6">
        <w:rPr>
          <w:color w:val="000000"/>
        </w:rPr>
        <w:t>)).</w:t>
      </w:r>
    </w:p>
  </w:footnote>
  <w:footnote w:id="18">
    <w:p w:rsidR="002625E2" w:rsidP="002625E2">
      <w:pPr>
        <w:pStyle w:val="FootnoteText"/>
      </w:pPr>
      <w:r>
        <w:rPr>
          <w:rStyle w:val="FootnoteReference"/>
        </w:rPr>
        <w:footnoteRef/>
      </w:r>
      <w:r>
        <w:t xml:space="preserve"> </w:t>
      </w:r>
      <w:bookmarkStart w:id="13" w:name="_Hlk513039638"/>
      <w:r w:rsidRPr="0011100E">
        <w:t xml:space="preserve">To the extent Stolz’s reply to </w:t>
      </w:r>
      <w:r w:rsidRPr="0011100E">
        <w:t>Entercom’s</w:t>
      </w:r>
      <w:r w:rsidRPr="0011100E">
        <w:t xml:space="preserve"> opposition discusses </w:t>
      </w:r>
      <w:r>
        <w:t xml:space="preserve">an </w:t>
      </w:r>
      <w:r w:rsidRPr="0011100E">
        <w:t>issue listed in the appendix to the AFR, that discussion is outside the scope of the opposition and is therefore procedurally defective.  47 CFR § 1.115(d) (“replies to oppositions shall be limited to matters raised in the opposition.”).</w:t>
      </w:r>
      <w:r>
        <w:t xml:space="preserve"> </w:t>
      </w:r>
      <w:bookmarkEnd w:id="13"/>
    </w:p>
  </w:footnote>
  <w:footnote w:id="19">
    <w:p w:rsidR="002625E2" w:rsidRPr="00871CC6" w:rsidP="002625E2">
      <w:pPr>
        <w:pStyle w:val="FootnoteText"/>
      </w:pPr>
      <w:r w:rsidRPr="00871CC6">
        <w:rPr>
          <w:rStyle w:val="FootnoteReference"/>
        </w:rPr>
        <w:footnoteRef/>
      </w:r>
      <w:r w:rsidRPr="00871CC6">
        <w:t xml:space="preserve"> </w:t>
      </w:r>
      <w:r>
        <w:fldChar w:fldCharType="begin"/>
      </w:r>
      <w:r>
        <w:instrText xml:space="preserve"> HYPERLINK "https://1.next.westlaw.com/Link/Document/FullText?findType=L&amp;pubNum=1000546&amp;cite=47USCAS155&amp;originatingDoc=I0dc0826fdac211e79822eed485bc7ca1&amp;refType=RB&amp;originationContext=document&amp;transitionType=DocumentItem&amp;contextData=(sc.Search)" \l "co_pp_a83c0000180e0" </w:instrText>
      </w:r>
      <w:r>
        <w:fldChar w:fldCharType="separate"/>
      </w:r>
      <w:r w:rsidRPr="00871CC6">
        <w:t>47 U.S.C. § 155(c)(5)</w:t>
      </w:r>
      <w:r>
        <w:fldChar w:fldCharType="end"/>
      </w:r>
      <w:r w:rsidRPr="00871CC6">
        <w:t>.</w:t>
      </w:r>
    </w:p>
  </w:footnote>
  <w:footnote w:id="20">
    <w:p w:rsidR="002625E2" w:rsidRPr="00871CC6" w:rsidP="002625E2">
      <w:pPr>
        <w:pStyle w:val="FootnoteText"/>
      </w:pPr>
      <w:r w:rsidRPr="00871CC6">
        <w:rPr>
          <w:rStyle w:val="FootnoteReference"/>
        </w:rPr>
        <w:footnoteRef/>
      </w:r>
      <w:r w:rsidRPr="00871CC6">
        <w:t xml:space="preserve"> </w:t>
      </w:r>
      <w:r>
        <w:fldChar w:fldCharType="begin"/>
      </w:r>
      <w:r>
        <w:instrText xml:space="preserve"> HYPERLINK "https://1.next.westlaw.com/Link/Document/FullText?findType=L&amp;pubNum=1000547&amp;cite=47CFRS1.115&amp;originatingDoc=I0dc0826fdac211e79822eed485bc7ca1&amp;refType=RB&amp;originationContext=document&amp;transitionType=DocumentItem&amp;contextData=(sc.Search)" \l "co_pp_16f4000091d86" </w:instrText>
      </w:r>
      <w:r>
        <w:fldChar w:fldCharType="separate"/>
      </w:r>
      <w:r w:rsidRPr="00871CC6">
        <w:t>47 CFR § 1.115(b) and (g)</w:t>
      </w:r>
      <w:r>
        <w:fldChar w:fldCharType="end"/>
      </w:r>
      <w:r w:rsidRPr="00871C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0496C">
      <w:t>FCC 18-84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0496C">
      <w:rPr>
        <w:spacing w:val="-2"/>
      </w:rPr>
      <w:t>FCC 18-84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EA5"/>
    <w:pPr>
      <w:widowControl w:val="0"/>
    </w:pPr>
    <w:rPr>
      <w:snapToGrid w:val="0"/>
      <w:kern w:val="28"/>
      <w:sz w:val="22"/>
    </w:rPr>
  </w:style>
  <w:style w:type="paragraph" w:styleId="Heading1">
    <w:name w:val="heading 1"/>
    <w:basedOn w:val="Normal"/>
    <w:next w:val="ParaNum"/>
    <w:qFormat/>
    <w:rsid w:val="00623E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3EA5"/>
    <w:pPr>
      <w:keepNext/>
      <w:numPr>
        <w:ilvl w:val="1"/>
        <w:numId w:val="3"/>
      </w:numPr>
      <w:spacing w:after="120"/>
      <w:outlineLvl w:val="1"/>
    </w:pPr>
    <w:rPr>
      <w:b/>
    </w:rPr>
  </w:style>
  <w:style w:type="paragraph" w:styleId="Heading3">
    <w:name w:val="heading 3"/>
    <w:basedOn w:val="Normal"/>
    <w:next w:val="ParaNum"/>
    <w:qFormat/>
    <w:rsid w:val="00623EA5"/>
    <w:pPr>
      <w:keepNext/>
      <w:numPr>
        <w:ilvl w:val="2"/>
        <w:numId w:val="3"/>
      </w:numPr>
      <w:tabs>
        <w:tab w:val="left" w:pos="2160"/>
      </w:tabs>
      <w:spacing w:after="120"/>
      <w:outlineLvl w:val="2"/>
    </w:pPr>
    <w:rPr>
      <w:b/>
    </w:rPr>
  </w:style>
  <w:style w:type="paragraph" w:styleId="Heading4">
    <w:name w:val="heading 4"/>
    <w:basedOn w:val="Normal"/>
    <w:next w:val="ParaNum"/>
    <w:qFormat/>
    <w:rsid w:val="00623EA5"/>
    <w:pPr>
      <w:keepNext/>
      <w:numPr>
        <w:ilvl w:val="3"/>
        <w:numId w:val="3"/>
      </w:numPr>
      <w:tabs>
        <w:tab w:val="left" w:pos="2880"/>
      </w:tabs>
      <w:spacing w:after="120"/>
      <w:outlineLvl w:val="3"/>
    </w:pPr>
    <w:rPr>
      <w:b/>
    </w:rPr>
  </w:style>
  <w:style w:type="paragraph" w:styleId="Heading5">
    <w:name w:val="heading 5"/>
    <w:basedOn w:val="Normal"/>
    <w:next w:val="ParaNum"/>
    <w:qFormat/>
    <w:rsid w:val="00623E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23EA5"/>
    <w:pPr>
      <w:numPr>
        <w:ilvl w:val="5"/>
        <w:numId w:val="3"/>
      </w:numPr>
      <w:tabs>
        <w:tab w:val="left" w:pos="4320"/>
      </w:tabs>
      <w:spacing w:after="120"/>
      <w:outlineLvl w:val="5"/>
    </w:pPr>
    <w:rPr>
      <w:b/>
    </w:rPr>
  </w:style>
  <w:style w:type="paragraph" w:styleId="Heading7">
    <w:name w:val="heading 7"/>
    <w:basedOn w:val="Normal"/>
    <w:next w:val="ParaNum"/>
    <w:qFormat/>
    <w:rsid w:val="00623E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23E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23E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3E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EA5"/>
  </w:style>
  <w:style w:type="paragraph" w:customStyle="1" w:styleId="ParaNum">
    <w:name w:val="ParaNum"/>
    <w:basedOn w:val="Normal"/>
    <w:rsid w:val="00623EA5"/>
    <w:pPr>
      <w:numPr>
        <w:numId w:val="2"/>
      </w:numPr>
      <w:tabs>
        <w:tab w:val="clear" w:pos="1080"/>
        <w:tab w:val="num" w:pos="1440"/>
      </w:tabs>
      <w:spacing w:after="120"/>
    </w:pPr>
  </w:style>
  <w:style w:type="paragraph" w:styleId="EndnoteText">
    <w:name w:val="endnote text"/>
    <w:basedOn w:val="Normal"/>
    <w:semiHidden/>
    <w:rsid w:val="00623EA5"/>
    <w:rPr>
      <w:sz w:val="20"/>
    </w:rPr>
  </w:style>
  <w:style w:type="character" w:styleId="EndnoteReference">
    <w:name w:val="endnote reference"/>
    <w:semiHidden/>
    <w:rsid w:val="00623EA5"/>
    <w:rPr>
      <w:vertAlign w:val="superscript"/>
    </w:rPr>
  </w:style>
  <w:style w:type="paragraph" w:styleId="FootnoteText">
    <w:name w:val="footnote text"/>
    <w:aliases w:val="Footnote Text Char Char,Footnote Text Char Char Char Char,Footnote Text Char1,Footnote Text Char1 Char Char1,Footnote Text Char1 Char Char1 Char Char Char,Footnote Text Char2 Char Char Char Char,fn,rrfootnote Char Char Char Char Char Char"/>
    <w:link w:val="FootnoteTextChar"/>
    <w:rsid w:val="00623EA5"/>
    <w:pPr>
      <w:spacing w:after="120"/>
    </w:pPr>
  </w:style>
  <w:style w:type="character" w:styleId="FootnoteReference">
    <w:name w:val="footnote reference"/>
    <w:aliases w:val="(NECG) Footnote Reference,Appel note de bas de p,FR,Footnote Reference/,Style 12,Style 124,Style 13,Style 17,Style 3,Style 4,Style 6,Style 7,fr,o"/>
    <w:rsid w:val="00623EA5"/>
    <w:rPr>
      <w:rFonts w:ascii="Times New Roman" w:hAnsi="Times New Roman"/>
      <w:dstrike w:val="0"/>
      <w:color w:val="auto"/>
      <w:sz w:val="20"/>
      <w:vertAlign w:val="superscript"/>
    </w:rPr>
  </w:style>
  <w:style w:type="paragraph" w:styleId="TOC1">
    <w:name w:val="toc 1"/>
    <w:basedOn w:val="Normal"/>
    <w:next w:val="Normal"/>
    <w:semiHidden/>
    <w:rsid w:val="00623E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3EA5"/>
    <w:pPr>
      <w:tabs>
        <w:tab w:val="left" w:pos="720"/>
        <w:tab w:val="right" w:leader="dot" w:pos="9360"/>
      </w:tabs>
      <w:suppressAutoHyphens/>
      <w:ind w:left="720" w:right="720" w:hanging="360"/>
    </w:pPr>
    <w:rPr>
      <w:noProof/>
    </w:rPr>
  </w:style>
  <w:style w:type="paragraph" w:styleId="TOC3">
    <w:name w:val="toc 3"/>
    <w:basedOn w:val="Normal"/>
    <w:next w:val="Normal"/>
    <w:semiHidden/>
    <w:rsid w:val="00623E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3E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3E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3E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3E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3E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3E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3EA5"/>
    <w:pPr>
      <w:tabs>
        <w:tab w:val="right" w:pos="9360"/>
      </w:tabs>
      <w:suppressAutoHyphens/>
    </w:pPr>
  </w:style>
  <w:style w:type="character" w:customStyle="1" w:styleId="EquationCaption">
    <w:name w:val="_Equation Caption"/>
    <w:rsid w:val="00623EA5"/>
  </w:style>
  <w:style w:type="paragraph" w:styleId="Header">
    <w:name w:val="header"/>
    <w:basedOn w:val="Normal"/>
    <w:autoRedefine/>
    <w:rsid w:val="00623EA5"/>
    <w:pPr>
      <w:tabs>
        <w:tab w:val="center" w:pos="4680"/>
        <w:tab w:val="right" w:pos="9360"/>
      </w:tabs>
    </w:pPr>
    <w:rPr>
      <w:b/>
    </w:rPr>
  </w:style>
  <w:style w:type="paragraph" w:styleId="Footer">
    <w:name w:val="footer"/>
    <w:basedOn w:val="Normal"/>
    <w:link w:val="FooterChar"/>
    <w:rsid w:val="00623EA5"/>
    <w:pPr>
      <w:tabs>
        <w:tab w:val="center" w:pos="4320"/>
        <w:tab w:val="right" w:pos="8640"/>
      </w:tabs>
    </w:pPr>
  </w:style>
  <w:style w:type="character" w:styleId="PageNumber">
    <w:name w:val="page number"/>
    <w:basedOn w:val="DefaultParagraphFont"/>
    <w:rsid w:val="00623EA5"/>
  </w:style>
  <w:style w:type="paragraph" w:styleId="BlockText">
    <w:name w:val="Block Text"/>
    <w:basedOn w:val="Normal"/>
    <w:rsid w:val="00623EA5"/>
    <w:pPr>
      <w:spacing w:after="240"/>
      <w:ind w:left="1440" w:right="1440"/>
    </w:pPr>
  </w:style>
  <w:style w:type="paragraph" w:customStyle="1" w:styleId="Paratitle">
    <w:name w:val="Para title"/>
    <w:basedOn w:val="Normal"/>
    <w:rsid w:val="00623EA5"/>
    <w:pPr>
      <w:tabs>
        <w:tab w:val="center" w:pos="9270"/>
      </w:tabs>
      <w:spacing w:after="240"/>
    </w:pPr>
    <w:rPr>
      <w:spacing w:val="-2"/>
    </w:rPr>
  </w:style>
  <w:style w:type="paragraph" w:customStyle="1" w:styleId="Bullet">
    <w:name w:val="Bullet"/>
    <w:basedOn w:val="Normal"/>
    <w:rsid w:val="00623EA5"/>
    <w:pPr>
      <w:tabs>
        <w:tab w:val="left" w:pos="2160"/>
      </w:tabs>
      <w:spacing w:after="220"/>
      <w:ind w:left="2160" w:hanging="720"/>
    </w:pPr>
  </w:style>
  <w:style w:type="paragraph" w:customStyle="1" w:styleId="TableFormat">
    <w:name w:val="TableFormat"/>
    <w:basedOn w:val="Bullet"/>
    <w:rsid w:val="00623EA5"/>
    <w:pPr>
      <w:tabs>
        <w:tab w:val="clear" w:pos="2160"/>
        <w:tab w:val="left" w:pos="5040"/>
      </w:tabs>
      <w:ind w:left="5040" w:hanging="3600"/>
    </w:pPr>
  </w:style>
  <w:style w:type="paragraph" w:customStyle="1" w:styleId="TOCTitle">
    <w:name w:val="TOC Title"/>
    <w:basedOn w:val="Normal"/>
    <w:rsid w:val="00623E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3EA5"/>
    <w:pPr>
      <w:jc w:val="center"/>
    </w:pPr>
    <w:rPr>
      <w:rFonts w:ascii="Times New Roman Bold" w:hAnsi="Times New Roman Bold"/>
      <w:b/>
      <w:bCs/>
      <w:caps/>
      <w:szCs w:val="22"/>
    </w:rPr>
  </w:style>
  <w:style w:type="character" w:styleId="Hyperlink">
    <w:name w:val="Hyperlink"/>
    <w:rsid w:val="00623EA5"/>
    <w:rPr>
      <w:color w:val="0000FF"/>
      <w:u w:val="single"/>
    </w:r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 Char,fn Char"/>
    <w:link w:val="FootnoteText"/>
    <w:rsid w:val="002625E2"/>
  </w:style>
  <w:style w:type="character" w:customStyle="1" w:styleId="FooterChar">
    <w:name w:val="Footer Char"/>
    <w:link w:val="Footer"/>
    <w:rsid w:val="002625E2"/>
    <w:rPr>
      <w:snapToGrid w:val="0"/>
      <w:kern w:val="28"/>
      <w:sz w:val="22"/>
    </w:rPr>
  </w:style>
  <w:style w:type="paragraph" w:styleId="Revision">
    <w:name w:val="Revision"/>
    <w:hidden/>
    <w:uiPriority w:val="99"/>
    <w:semiHidden/>
    <w:rsid w:val="00FE1B6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