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25CCC" w:rsidP="00725CCC" w14:paraId="3A58275A"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725CCC" w:rsidP="00725CCC" w14:paraId="62EA7877" w14:textId="77777777">
      <w:pPr>
        <w:pStyle w:val="StyleBoldCentered"/>
      </w:pPr>
      <w:r>
        <w:t>F</w:t>
      </w:r>
      <w:r>
        <w:rPr>
          <w:caps w:val="0"/>
        </w:rPr>
        <w:t>ederal Communications Commission</w:t>
      </w:r>
    </w:p>
    <w:p w:rsidR="00725CCC" w:rsidP="00725CCC" w14:paraId="581C6617" w14:textId="77777777">
      <w:pPr>
        <w:pStyle w:val="StyleBoldCentered"/>
      </w:pPr>
      <w:r>
        <w:rPr>
          <w:caps w:val="0"/>
        </w:rPr>
        <w:t>Washington, D.C. 20554</w:t>
      </w:r>
    </w:p>
    <w:p w:rsidR="002C0D75" w:rsidRPr="00CE5507" w:rsidP="002C0D75" w14:paraId="39B0ECDE"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72C2F0EA" w14:textId="77777777" w:rsidTr="00487351">
        <w:tblPrEx>
          <w:tblW w:w="0" w:type="auto"/>
          <w:tblInd w:w="0" w:type="dxa"/>
          <w:tblLayout w:type="fixed"/>
          <w:tblCellMar>
            <w:top w:w="0" w:type="dxa"/>
            <w:left w:w="108" w:type="dxa"/>
            <w:bottom w:w="0" w:type="dxa"/>
            <w:right w:w="108" w:type="dxa"/>
          </w:tblCellMar>
          <w:tblLook w:val="0000"/>
        </w:tblPrEx>
        <w:tc>
          <w:tcPr>
            <w:tcW w:w="4698" w:type="dxa"/>
          </w:tcPr>
          <w:p w:rsidR="002C0D75" w:rsidRPr="000B65B1" w:rsidP="00CC2F7D" w14:paraId="537BD790" w14:textId="77777777">
            <w:pPr>
              <w:widowControl w:val="0"/>
              <w:tabs>
                <w:tab w:val="center" w:pos="4680"/>
              </w:tabs>
              <w:suppressAutoHyphens/>
              <w:rPr>
                <w:rStyle w:val="DefaultParagraphFont"/>
                <w:snapToGrid w:val="0"/>
                <w:spacing w:val="-2"/>
                <w:kern w:val="28"/>
                <w:sz w:val="22"/>
                <w:lang w:val="en-US" w:eastAsia="en-US" w:bidi="ar-SA"/>
              </w:rPr>
            </w:pPr>
            <w:r w:rsidRPr="00CE5507">
              <w:rPr>
                <w:snapToGrid w:val="0"/>
                <w:spacing w:val="-2"/>
                <w:kern w:val="28"/>
                <w:sz w:val="22"/>
                <w:lang w:val="en-US" w:eastAsia="en-US" w:bidi="ar-SA"/>
              </w:rPr>
              <w:t>In the Matter of</w:t>
            </w:r>
          </w:p>
          <w:p w:rsidR="002C0D75" w:rsidRPr="000B65B1" w:rsidP="00CC2F7D" w14:paraId="5109A420" w14:textId="77777777">
            <w:pPr>
              <w:widowControl w:val="0"/>
              <w:tabs>
                <w:tab w:val="center" w:pos="4680"/>
              </w:tabs>
              <w:suppressAutoHyphens/>
              <w:rPr>
                <w:rStyle w:val="DefaultParagraphFont"/>
                <w:snapToGrid w:val="0"/>
                <w:spacing w:val="-2"/>
                <w:kern w:val="28"/>
                <w:sz w:val="22"/>
                <w:lang w:val="en-US" w:eastAsia="en-US" w:bidi="ar-SA"/>
              </w:rPr>
            </w:pPr>
          </w:p>
          <w:p w:rsidR="002C0D75" w:rsidRPr="00C355BD" w:rsidP="00CC2F7D" w14:paraId="79EA4047" w14:textId="77777777">
            <w:pPr>
              <w:widowControl w:val="0"/>
              <w:tabs>
                <w:tab w:val="center" w:pos="4680"/>
              </w:tabs>
              <w:suppressAutoHyphens/>
              <w:rPr>
                <w:rStyle w:val="DefaultParagraphFont"/>
                <w:snapToGrid w:val="0"/>
                <w:spacing w:val="-2"/>
                <w:kern w:val="28"/>
                <w:sz w:val="22"/>
                <w:lang w:val="en-US" w:eastAsia="en-US" w:bidi="ar-SA"/>
              </w:rPr>
            </w:pPr>
            <w:r w:rsidRPr="00C355BD">
              <w:rPr>
                <w:snapToGrid w:val="0"/>
                <w:spacing w:val="-2"/>
                <w:kern w:val="28"/>
                <w:sz w:val="22"/>
                <w:lang w:val="en-US" w:eastAsia="en-US" w:bidi="ar-SA"/>
              </w:rPr>
              <w:t>Amendment of Section 73.3613 of the Commission’s Rules Regarding Filing of Contracts</w:t>
            </w:r>
          </w:p>
          <w:p w:rsidR="002C0D75" w:rsidRPr="00CD1238" w:rsidP="00CC2F7D" w14:paraId="2AB0F023" w14:textId="77777777">
            <w:pPr>
              <w:widowControl w:val="0"/>
              <w:tabs>
                <w:tab w:val="center" w:pos="4680"/>
              </w:tabs>
              <w:suppressAutoHyphens/>
              <w:rPr>
                <w:rStyle w:val="DefaultParagraphFont"/>
                <w:snapToGrid w:val="0"/>
                <w:spacing w:val="-2"/>
                <w:kern w:val="28"/>
                <w:sz w:val="22"/>
                <w:lang w:val="en-US" w:eastAsia="en-US" w:bidi="ar-SA"/>
              </w:rPr>
            </w:pPr>
          </w:p>
          <w:p w:rsidR="002C0D75" w:rsidRPr="00C41899" w:rsidP="00CC2F7D" w14:paraId="51DDB53F" w14:textId="17462A19">
            <w:pPr>
              <w:widowControl w:val="0"/>
              <w:tabs>
                <w:tab w:val="center" w:pos="4680"/>
              </w:tabs>
              <w:suppressAutoHyphens/>
              <w:rPr>
                <w:rStyle w:val="DefaultParagraphFont"/>
                <w:snapToGrid w:val="0"/>
                <w:spacing w:val="-2"/>
                <w:kern w:val="28"/>
                <w:sz w:val="22"/>
                <w:lang w:val="en-US" w:eastAsia="en-US" w:bidi="ar-SA"/>
              </w:rPr>
            </w:pPr>
            <w:r w:rsidRPr="009C57DC">
              <w:rPr>
                <w:snapToGrid w:val="0"/>
                <w:spacing w:val="-2"/>
                <w:kern w:val="28"/>
                <w:sz w:val="22"/>
                <w:lang w:val="en-US" w:eastAsia="en-US" w:bidi="ar-SA"/>
              </w:rPr>
              <w:t>Modernization of Media Regulation Initiative</w:t>
            </w:r>
          </w:p>
        </w:tc>
        <w:tc>
          <w:tcPr>
            <w:tcW w:w="630" w:type="dxa"/>
          </w:tcPr>
          <w:p w:rsidR="002C0D75" w:rsidRPr="00C41899" w:rsidP="00CC2F7D" w14:paraId="417F1252" w14:textId="77777777">
            <w:pPr>
              <w:widowControl w:val="0"/>
              <w:tabs>
                <w:tab w:val="center" w:pos="4680"/>
              </w:tabs>
              <w:suppressAutoHyphens/>
              <w:rPr>
                <w:rStyle w:val="DefaultParagraphFont"/>
                <w:b/>
                <w:snapToGrid w:val="0"/>
                <w:spacing w:val="-2"/>
                <w:kern w:val="28"/>
                <w:sz w:val="22"/>
                <w:lang w:val="en-US" w:eastAsia="en-US" w:bidi="ar-SA"/>
              </w:rPr>
            </w:pPr>
            <w:r w:rsidRPr="00C41899">
              <w:rPr>
                <w:b/>
                <w:snapToGrid w:val="0"/>
                <w:spacing w:val="-2"/>
                <w:kern w:val="28"/>
                <w:sz w:val="22"/>
                <w:lang w:val="en-US" w:eastAsia="en-US" w:bidi="ar-SA"/>
              </w:rPr>
              <w:t>)</w:t>
            </w:r>
          </w:p>
          <w:p w:rsidR="002C0D75" w:rsidRPr="00C41899" w:rsidP="00CC2F7D" w14:paraId="42EEA4DD" w14:textId="77777777">
            <w:pPr>
              <w:widowControl w:val="0"/>
              <w:tabs>
                <w:tab w:val="center" w:pos="4680"/>
              </w:tabs>
              <w:suppressAutoHyphens/>
              <w:rPr>
                <w:rStyle w:val="DefaultParagraphFont"/>
                <w:b/>
                <w:snapToGrid w:val="0"/>
                <w:spacing w:val="-2"/>
                <w:kern w:val="28"/>
                <w:sz w:val="22"/>
                <w:lang w:val="en-US" w:eastAsia="en-US" w:bidi="ar-SA"/>
              </w:rPr>
            </w:pPr>
            <w:r w:rsidRPr="00C41899">
              <w:rPr>
                <w:b/>
                <w:snapToGrid w:val="0"/>
                <w:spacing w:val="-2"/>
                <w:kern w:val="28"/>
                <w:sz w:val="22"/>
                <w:lang w:val="en-US" w:eastAsia="en-US" w:bidi="ar-SA"/>
              </w:rPr>
              <w:t>)</w:t>
            </w:r>
          </w:p>
          <w:p w:rsidR="002C0D75" w:rsidRPr="00C41899" w:rsidP="00CC2F7D" w14:paraId="58377A4A" w14:textId="77777777">
            <w:pPr>
              <w:widowControl w:val="0"/>
              <w:tabs>
                <w:tab w:val="center" w:pos="4680"/>
              </w:tabs>
              <w:suppressAutoHyphens/>
              <w:rPr>
                <w:rStyle w:val="DefaultParagraphFont"/>
                <w:b/>
                <w:snapToGrid w:val="0"/>
                <w:spacing w:val="-2"/>
                <w:kern w:val="28"/>
                <w:sz w:val="22"/>
                <w:lang w:val="en-US" w:eastAsia="en-US" w:bidi="ar-SA"/>
              </w:rPr>
            </w:pPr>
            <w:r w:rsidRPr="00C41899">
              <w:rPr>
                <w:b/>
                <w:snapToGrid w:val="0"/>
                <w:spacing w:val="-2"/>
                <w:kern w:val="28"/>
                <w:sz w:val="22"/>
                <w:lang w:val="en-US" w:eastAsia="en-US" w:bidi="ar-SA"/>
              </w:rPr>
              <w:t>)</w:t>
            </w:r>
          </w:p>
          <w:p w:rsidR="002C0D75" w:rsidRPr="00C41899" w:rsidP="00CC2F7D" w14:paraId="635B5813" w14:textId="77777777">
            <w:pPr>
              <w:widowControl w:val="0"/>
              <w:tabs>
                <w:tab w:val="center" w:pos="4680"/>
              </w:tabs>
              <w:suppressAutoHyphens/>
              <w:rPr>
                <w:rStyle w:val="DefaultParagraphFont"/>
                <w:b/>
                <w:snapToGrid w:val="0"/>
                <w:spacing w:val="-2"/>
                <w:kern w:val="28"/>
                <w:sz w:val="22"/>
                <w:lang w:val="en-US" w:eastAsia="en-US" w:bidi="ar-SA"/>
              </w:rPr>
            </w:pPr>
            <w:r w:rsidRPr="00C41899">
              <w:rPr>
                <w:b/>
                <w:snapToGrid w:val="0"/>
                <w:spacing w:val="-2"/>
                <w:kern w:val="28"/>
                <w:sz w:val="22"/>
                <w:lang w:val="en-US" w:eastAsia="en-US" w:bidi="ar-SA"/>
              </w:rPr>
              <w:t>)</w:t>
            </w:r>
          </w:p>
          <w:p w:rsidR="002C0D75" w:rsidRPr="00C41899" w:rsidP="00CC2F7D" w14:paraId="424EC005" w14:textId="77777777">
            <w:pPr>
              <w:widowControl w:val="0"/>
              <w:tabs>
                <w:tab w:val="center" w:pos="4680"/>
              </w:tabs>
              <w:suppressAutoHyphens/>
              <w:rPr>
                <w:rStyle w:val="DefaultParagraphFont"/>
                <w:b/>
                <w:snapToGrid w:val="0"/>
                <w:spacing w:val="-2"/>
                <w:kern w:val="28"/>
                <w:sz w:val="22"/>
                <w:lang w:val="en-US" w:eastAsia="en-US" w:bidi="ar-SA"/>
              </w:rPr>
            </w:pPr>
            <w:r w:rsidRPr="00C41899">
              <w:rPr>
                <w:b/>
                <w:snapToGrid w:val="0"/>
                <w:spacing w:val="-2"/>
                <w:kern w:val="28"/>
                <w:sz w:val="22"/>
                <w:lang w:val="en-US" w:eastAsia="en-US" w:bidi="ar-SA"/>
              </w:rPr>
              <w:t>)</w:t>
            </w:r>
          </w:p>
          <w:p w:rsidR="002C0D75" w:rsidRPr="00C41899" w:rsidP="00CC2F7D" w14:paraId="69865B00" w14:textId="10C2ABD1">
            <w:pPr>
              <w:widowControl w:val="0"/>
              <w:tabs>
                <w:tab w:val="center" w:pos="4680"/>
              </w:tabs>
              <w:suppressAutoHyphens/>
              <w:rPr>
                <w:rStyle w:val="DefaultParagraphFont"/>
                <w:b/>
                <w:snapToGrid w:val="0"/>
                <w:spacing w:val="-2"/>
                <w:kern w:val="28"/>
                <w:sz w:val="22"/>
                <w:lang w:val="en-US" w:eastAsia="en-US" w:bidi="ar-SA"/>
              </w:rPr>
            </w:pPr>
            <w:r w:rsidRPr="00C41899">
              <w:rPr>
                <w:b/>
                <w:snapToGrid w:val="0"/>
                <w:spacing w:val="-2"/>
                <w:kern w:val="28"/>
                <w:sz w:val="22"/>
                <w:lang w:val="en-US" w:eastAsia="en-US" w:bidi="ar-SA"/>
              </w:rPr>
              <w:t>)</w:t>
            </w:r>
          </w:p>
        </w:tc>
        <w:tc>
          <w:tcPr>
            <w:tcW w:w="4248" w:type="dxa"/>
          </w:tcPr>
          <w:p w:rsidR="002C0D75" w:rsidRPr="00C41899" w:rsidP="00CC2F7D" w14:paraId="625DFAE5" w14:textId="77777777">
            <w:pPr>
              <w:widowControl w:val="0"/>
              <w:tabs>
                <w:tab w:val="center" w:pos="4680"/>
              </w:tabs>
              <w:suppressAutoHyphens/>
              <w:rPr>
                <w:rStyle w:val="DefaultParagraphFont"/>
                <w:snapToGrid w:val="0"/>
                <w:spacing w:val="-2"/>
                <w:kern w:val="28"/>
                <w:sz w:val="22"/>
                <w:lang w:val="en-US" w:eastAsia="en-US" w:bidi="ar-SA"/>
              </w:rPr>
            </w:pPr>
          </w:p>
          <w:p w:rsidR="002C0D75" w:rsidRPr="00C41899" w:rsidP="00CC2F7D" w14:paraId="4A6F129C"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2C0D75" w:rsidRPr="005026C2" w:rsidP="00CC2F7D" w14:paraId="2229C856" w14:textId="7A628C8A">
            <w:pPr>
              <w:widowControl w:val="0"/>
              <w:tabs>
                <w:tab w:val="center" w:pos="4680"/>
              </w:tabs>
              <w:suppressAutoHyphens/>
              <w:rPr>
                <w:rStyle w:val="DefaultParagraphFont"/>
                <w:rFonts w:eastAsia="Calibri"/>
                <w:snapToGrid w:val="0"/>
                <w:spacing w:val="-2"/>
                <w:kern w:val="0"/>
                <w:sz w:val="22"/>
                <w:lang w:val="en-US" w:eastAsia="en-US" w:bidi="ar-SA"/>
              </w:rPr>
            </w:pPr>
            <w:r w:rsidRPr="00C41899">
              <w:rPr>
                <w:snapToGrid w:val="0"/>
                <w:spacing w:val="-2"/>
                <w:kern w:val="28"/>
                <w:sz w:val="22"/>
                <w:lang w:val="en-US" w:eastAsia="en-US" w:bidi="ar-SA"/>
              </w:rPr>
              <w:t xml:space="preserve">MB Docket No. </w:t>
            </w:r>
            <w:r w:rsidR="00C92DD8">
              <w:rPr>
                <w:snapToGrid w:val="0"/>
                <w:spacing w:val="-2"/>
                <w:kern w:val="28"/>
                <w:sz w:val="22"/>
                <w:lang w:val="en-US" w:eastAsia="en-US" w:bidi="ar-SA"/>
              </w:rPr>
              <w:t>18-4</w:t>
            </w:r>
          </w:p>
          <w:p w:rsidR="002C0D75" w:rsidRPr="00D22DA6" w:rsidP="00CC2F7D" w14:paraId="37F740AB" w14:textId="77777777">
            <w:pPr>
              <w:widowControl w:val="0"/>
              <w:tabs>
                <w:tab w:val="center" w:pos="4680"/>
              </w:tabs>
              <w:suppressAutoHyphens/>
              <w:rPr>
                <w:rStyle w:val="DefaultParagraphFont"/>
                <w:snapToGrid w:val="0"/>
                <w:spacing w:val="-2"/>
                <w:kern w:val="28"/>
                <w:sz w:val="22"/>
                <w:lang w:val="en-US" w:eastAsia="en-US" w:bidi="ar-SA"/>
              </w:rPr>
            </w:pPr>
          </w:p>
          <w:p w:rsidR="002C0D75" w:rsidRPr="00CE5507" w:rsidP="00CC2F7D" w14:paraId="2378A728" w14:textId="77777777">
            <w:pPr>
              <w:widowControl w:val="0"/>
              <w:tabs>
                <w:tab w:val="center" w:pos="4680"/>
              </w:tabs>
              <w:suppressAutoHyphens/>
              <w:rPr>
                <w:rStyle w:val="DefaultParagraphFont"/>
                <w:snapToGrid w:val="0"/>
                <w:spacing w:val="-2"/>
                <w:kern w:val="28"/>
                <w:sz w:val="22"/>
                <w:lang w:val="en-US" w:eastAsia="en-US" w:bidi="ar-SA"/>
              </w:rPr>
            </w:pPr>
          </w:p>
          <w:p w:rsidR="002C0D75" w:rsidRPr="00C41899" w:rsidP="00CC2F7D" w14:paraId="3E695A77" w14:textId="15468521">
            <w:pPr>
              <w:widowControl w:val="0"/>
              <w:tabs>
                <w:tab w:val="center" w:pos="4680"/>
              </w:tabs>
              <w:suppressAutoHyphens/>
              <w:rPr>
                <w:rStyle w:val="DefaultParagraphFont"/>
                <w:snapToGrid w:val="0"/>
                <w:spacing w:val="-2"/>
                <w:kern w:val="28"/>
                <w:sz w:val="22"/>
                <w:lang w:val="en-US" w:eastAsia="en-US" w:bidi="ar-SA"/>
              </w:rPr>
            </w:pPr>
            <w:bookmarkStart w:id="1" w:name="_Hlk494203439"/>
            <w:r w:rsidRPr="000B65B1">
              <w:rPr>
                <w:snapToGrid w:val="0"/>
                <w:spacing w:val="-2"/>
                <w:kern w:val="28"/>
                <w:sz w:val="22"/>
                <w:lang w:val="en-US" w:eastAsia="en-US" w:bidi="ar-SA"/>
              </w:rPr>
              <w:t>MB Docket No. 17-105</w:t>
            </w:r>
            <w:bookmarkEnd w:id="1"/>
          </w:p>
          <w:p w:rsidR="002C0D75" w:rsidRPr="00C41899" w:rsidP="00CC2F7D" w14:paraId="6AC06A82" w14:textId="77777777">
            <w:pPr>
              <w:widowControl w:val="0"/>
              <w:tabs>
                <w:tab w:val="center" w:pos="4680"/>
              </w:tabs>
              <w:suppressAutoHyphens/>
              <w:rPr>
                <w:rStyle w:val="DefaultParagraphFont"/>
                <w:snapToGrid w:val="0"/>
                <w:spacing w:val="-2"/>
                <w:kern w:val="28"/>
                <w:sz w:val="22"/>
                <w:lang w:val="en-US" w:eastAsia="en-US" w:bidi="ar-SA"/>
              </w:rPr>
            </w:pPr>
          </w:p>
        </w:tc>
      </w:tr>
    </w:tbl>
    <w:p w:rsidR="002C0D75" w:rsidRPr="00C41899" w:rsidP="002C0D75" w14:paraId="3BA12C3B" w14:textId="77777777">
      <w:pPr>
        <w:pStyle w:val="StyleBoldCentered"/>
        <w:rPr>
          <w:rFonts w:ascii="Times New Roman" w:hAnsi="Times New Roman"/>
        </w:rPr>
      </w:pPr>
      <w:r w:rsidRPr="00C41899">
        <w:rPr>
          <w:rFonts w:ascii="Times New Roman" w:hAnsi="Times New Roman"/>
        </w:rPr>
        <w:t>notice of proposed rulemaking</w:t>
      </w:r>
    </w:p>
    <w:p w:rsidR="002C0D75" w:rsidRPr="00D22DA6" w:rsidP="002C0D75" w14:paraId="312AAA94" w14:textId="77777777">
      <w:pPr>
        <w:tabs>
          <w:tab w:val="left" w:pos="-720"/>
        </w:tabs>
        <w:suppressAutoHyphens/>
        <w:rPr>
          <w:spacing w:val="-2"/>
        </w:rPr>
      </w:pPr>
    </w:p>
    <w:p w:rsidR="002C0D75" w:rsidRPr="00CE5507" w:rsidP="002C0D75" w14:paraId="4CDEACC2" w14:textId="69B52061">
      <w:pPr>
        <w:tabs>
          <w:tab w:val="left" w:pos="720"/>
          <w:tab w:val="right" w:pos="9360"/>
        </w:tabs>
        <w:suppressAutoHyphens/>
        <w:rPr>
          <w:spacing w:val="-2"/>
        </w:rPr>
      </w:pPr>
      <w:r>
        <w:rPr>
          <w:b/>
          <w:spacing w:val="-2"/>
        </w:rPr>
        <w:t>Adopted:  January 30, 2018</w:t>
      </w:r>
      <w:r>
        <w:rPr>
          <w:b/>
          <w:spacing w:val="-2"/>
        </w:rPr>
        <w:tab/>
        <w:t>Released:  January 30, 2018</w:t>
      </w:r>
    </w:p>
    <w:p w:rsidR="002C0D75" w:rsidRPr="000B65B1" w:rsidP="002C0D75" w14:paraId="159662C6" w14:textId="77777777"/>
    <w:p w:rsidR="002C0D75" w:rsidRPr="00C355BD" w:rsidP="002C0D75" w14:paraId="455806AB" w14:textId="77777777">
      <w:pPr>
        <w:rPr>
          <w:b/>
        </w:rPr>
      </w:pPr>
      <w:r w:rsidRPr="00C355BD">
        <w:rPr>
          <w:b/>
        </w:rPr>
        <w:t>Comment Date:  (30 days after date of publication in the Federal Register)</w:t>
      </w:r>
    </w:p>
    <w:p w:rsidR="002C0D75" w:rsidRPr="00CD1238" w:rsidP="002C0D75" w14:paraId="5D04A590" w14:textId="77777777">
      <w:pPr>
        <w:rPr>
          <w:spacing w:val="-2"/>
        </w:rPr>
      </w:pPr>
      <w:r w:rsidRPr="00CD1238">
        <w:rPr>
          <w:b/>
        </w:rPr>
        <w:t>Reply Comment Date:  (45 days after date of publication in the Federal Register)</w:t>
      </w:r>
    </w:p>
    <w:p w:rsidR="002C0D75" w:rsidRPr="009C57DC" w:rsidP="002C0D75" w14:paraId="16505E2E" w14:textId="77777777"/>
    <w:p w:rsidR="00D77796" w:rsidP="002C0D75" w14:paraId="369C64F9" w14:textId="39E1291C">
      <w:pPr>
        <w:rPr>
          <w:spacing w:val="-2"/>
        </w:rPr>
      </w:pPr>
      <w:r w:rsidRPr="00C41899">
        <w:t xml:space="preserve">By the </w:t>
      </w:r>
      <w:r w:rsidRPr="00C41899">
        <w:rPr>
          <w:spacing w:val="-2"/>
        </w:rPr>
        <w:t>Commission:</w:t>
      </w:r>
      <w:r w:rsidR="00B37EAE">
        <w:rPr>
          <w:spacing w:val="-2"/>
        </w:rPr>
        <w:t xml:space="preserve"> </w:t>
      </w:r>
      <w:r w:rsidR="00DB25CC">
        <w:rPr>
          <w:spacing w:val="-2"/>
        </w:rPr>
        <w:t xml:space="preserve"> </w:t>
      </w:r>
      <w:r w:rsidRPr="00B37EAE" w:rsidR="00B37EAE">
        <w:rPr>
          <w:spacing w:val="-2"/>
        </w:rPr>
        <w:t>Chairman Pai, and Commissioners Clyburn, O’R</w:t>
      </w:r>
      <w:r>
        <w:rPr>
          <w:spacing w:val="-2"/>
        </w:rPr>
        <w:t>ielly and Carr issuing separate</w:t>
      </w:r>
    </w:p>
    <w:p w:rsidR="002C0D75" w:rsidRPr="005026C2" w:rsidP="00D77796" w14:paraId="2439CE86" w14:textId="4098711C">
      <w:pPr>
        <w:tabs>
          <w:tab w:val="left" w:pos="1890"/>
          <w:tab w:val="left" w:pos="1980"/>
        </w:tabs>
        <w:rPr>
          <w:rFonts w:eastAsia="Calibri"/>
          <w:spacing w:val="-2"/>
          <w:kern w:val="0"/>
        </w:rPr>
      </w:pPr>
      <w:r>
        <w:rPr>
          <w:spacing w:val="-2"/>
        </w:rPr>
        <w:tab/>
      </w:r>
      <w:r w:rsidRPr="00B37EAE" w:rsidR="00B37EAE">
        <w:rPr>
          <w:spacing w:val="-2"/>
        </w:rPr>
        <w:t>statements.</w:t>
      </w:r>
    </w:p>
    <w:p w:rsidR="002C0D75" w:rsidRPr="00D22DA6" w:rsidP="002C0D75" w14:paraId="58B4ACEA" w14:textId="77777777"/>
    <w:p w:rsidR="002C0D75" w:rsidRPr="00C41899" w:rsidP="002C0D75" w14:paraId="265A7CBA" w14:textId="77777777">
      <w:pPr>
        <w:pStyle w:val="Heading1"/>
        <w:rPr>
          <w:rFonts w:ascii="Times New Roman" w:hAnsi="Times New Roman"/>
        </w:rPr>
      </w:pPr>
      <w:r w:rsidRPr="00C41899">
        <w:rPr>
          <w:rFonts w:ascii="Times New Roman" w:hAnsi="Times New Roman"/>
        </w:rPr>
        <w:t>introduction</w:t>
      </w:r>
    </w:p>
    <w:p w:rsidR="002C0D75" w:rsidRPr="00C355BD" w:rsidP="002C0D75" w14:paraId="786FBEBD" w14:textId="77777777">
      <w:pPr>
        <w:pStyle w:val="ParaNum"/>
      </w:pPr>
      <w:r w:rsidRPr="00D22DA6">
        <w:t>In this Notice of Proposed Rulemaking (NPRM), we seek comment on whether and how to modernize Section 73.3613 of the Commission’s rules, which requires each licensee or permittee of a commercial and noncommercial AM, FM, television, or international broadcast station to file certain contracts and other documents with the Commission within 30 days after execution.</w:t>
      </w:r>
      <w:r>
        <w:rPr>
          <w:rStyle w:val="FootnoteReference"/>
          <w:sz w:val="22"/>
        </w:rPr>
        <w:footnoteReference w:id="3"/>
      </w:r>
      <w:r w:rsidRPr="00D22DA6">
        <w:t xml:space="preserve">  Specifically, we propose to eliminate the paper filing requirement for Section 73.3613 documents.  As discussed below, for licensees and permittees of commercial and noncommercial AM, FM, and television stations, we propose to rely instead on our existing public file rules, which already requ</w:t>
      </w:r>
      <w:r w:rsidRPr="00CE5507">
        <w:t>ire that these stations make copies of these documents available to the public.  While international broadcast stations are not subject to similar public file requirements, we believe that our information needs regarding Section 73.3613 documents can be me</w:t>
      </w:r>
      <w:r w:rsidRPr="000B65B1">
        <w:t xml:space="preserve">t by obtaining documents from international stations upon request, as discussed below.  </w:t>
      </w:r>
      <w:r w:rsidRPr="00C355BD">
        <w:t>We also seek comment on other proposed modifications to broadcasters’ current obligations under Section 73.3613, including, among other things, eliminating certain redundant filing obligations and providing enhanced confidentiality protections.  With this proceeding, we continue our efforts to modernize our regulations and reduce unnecessary requirements that can impede competition and innovation in the media marketplace.</w:t>
      </w:r>
      <w:r>
        <w:rPr>
          <w:vertAlign w:val="superscript"/>
        </w:rPr>
        <w:footnoteReference w:id="4"/>
      </w:r>
    </w:p>
    <w:p w:rsidR="002C0D75" w:rsidRPr="00C41899" w:rsidP="002C0D75" w14:paraId="71F54A53" w14:textId="77777777">
      <w:pPr>
        <w:pStyle w:val="Heading1"/>
        <w:rPr>
          <w:rFonts w:ascii="Times New Roman" w:hAnsi="Times New Roman"/>
        </w:rPr>
      </w:pPr>
      <w:r w:rsidRPr="00C41899">
        <w:rPr>
          <w:rFonts w:ascii="Times New Roman" w:hAnsi="Times New Roman"/>
        </w:rPr>
        <w:t>BACKGROUND</w:t>
      </w:r>
    </w:p>
    <w:p w:rsidR="002C0D75" w:rsidRPr="00D22DA6" w:rsidP="002C0D75" w14:paraId="6A31411E" w14:textId="77777777">
      <w:pPr>
        <w:pStyle w:val="ParaNum"/>
      </w:pPr>
      <w:r w:rsidRPr="00D22DA6">
        <w:rPr>
          <w:i/>
        </w:rPr>
        <w:t>Filing of Documents Pursuant to Section 73.3613</w:t>
      </w:r>
      <w:r w:rsidRPr="00D22DA6">
        <w:t xml:space="preserve">.  </w:t>
      </w:r>
      <w:r>
        <w:t>Since the late 1930s, t</w:t>
      </w:r>
      <w:r w:rsidRPr="00D22DA6">
        <w:t xml:space="preserve">he Commission has required broadcast station licensees and permittees to file with the Commission copies of certain </w:t>
      </w:r>
      <w:r w:rsidRPr="00D22DA6">
        <w:t>contracts and other documents relating to ownership and operation of stations.</w:t>
      </w:r>
      <w:r>
        <w:rPr>
          <w:rStyle w:val="FootnoteReference"/>
          <w:sz w:val="22"/>
        </w:rPr>
        <w:footnoteReference w:id="5"/>
      </w:r>
      <w:r w:rsidRPr="00D22DA6">
        <w:t xml:space="preserve">  Historically, this filing requirement was intended to keep the Commission and the public informed with respect to the ownership and control of broadcast stations and to enable the Commission to be advised of compliance with its rules relating to those matters.</w:t>
      </w:r>
      <w:r>
        <w:rPr>
          <w:rStyle w:val="FootnoteReference"/>
          <w:sz w:val="22"/>
        </w:rPr>
        <w:footnoteReference w:id="6"/>
      </w:r>
      <w:r w:rsidRPr="00D22DA6">
        <w:t xml:space="preserve">  At the time, requiring that broadcast licensees and permittees submit paper copies to the Commission was the most efficient mechanism available for the Commission to obtain copies of the documents and helped ensure that ce</w:t>
      </w:r>
      <w:r w:rsidRPr="00CE5507">
        <w:t>rtain documents were also available for public inspection.</w:t>
      </w:r>
      <w:r>
        <w:rPr>
          <w:rStyle w:val="FootnoteReference"/>
          <w:sz w:val="22"/>
        </w:rPr>
        <w:footnoteReference w:id="7"/>
      </w:r>
      <w:r w:rsidRPr="00D22DA6">
        <w:t xml:space="preserve">  </w:t>
      </w:r>
    </w:p>
    <w:p w:rsidR="002C0D75" w:rsidRPr="00D22DA6" w:rsidP="002C0D75" w14:paraId="7E9C1C8C" w14:textId="77777777">
      <w:pPr>
        <w:pStyle w:val="ParaNum"/>
      </w:pPr>
      <w:bookmarkStart w:id="2" w:name="_Ref499562999"/>
      <w:r w:rsidRPr="00CE5507">
        <w:t>Beginning in 1965, broadcast licensees and permittees were also required to make copies of these documents available via a local public inspection file.</w:t>
      </w:r>
      <w:r>
        <w:rPr>
          <w:rStyle w:val="FootnoteReference"/>
          <w:sz w:val="22"/>
        </w:rPr>
        <w:footnoteReference w:id="8"/>
      </w:r>
      <w:r w:rsidRPr="00D22DA6">
        <w:t xml:space="preserve">  This additional obligation provided ano</w:t>
      </w:r>
      <w:r w:rsidRPr="00CE5507">
        <w:t>ther source for public inspection of documents relating to ownership and control of a broadcast station for those able to travel to a station’s main studio during regular business hours.  In 1998, the Commission amended its public file rules to give broadc</w:t>
      </w:r>
      <w:r w:rsidRPr="000B65B1">
        <w:t>ast licensees and permittees the option of maintaining an up-to-date list of such documents in the public file and providing copies of the actual documents to requesting parties within seven days</w:t>
      </w:r>
      <w:r w:rsidRPr="00D22DA6">
        <w:t>, in lieu of maintaining the documents themselves in the file.</w:t>
      </w:r>
      <w:bookmarkStart w:id="3" w:name="_Ref499912957"/>
      <w:r>
        <w:rPr>
          <w:rStyle w:val="FootnoteReference"/>
          <w:sz w:val="22"/>
        </w:rPr>
        <w:footnoteReference w:id="9"/>
      </w:r>
      <w:bookmarkEnd w:id="3"/>
      <w:r w:rsidRPr="00D22DA6">
        <w:t xml:space="preserve">  In 2012, the Commission amended its public file rules in general to require that public file materials be posted to an online database hosted by the Commission rather than maintained in a paper file at the station.</w:t>
      </w:r>
      <w:bookmarkStart w:id="4" w:name="_Ref499578461"/>
      <w:r>
        <w:rPr>
          <w:rStyle w:val="FootnoteReference"/>
          <w:sz w:val="22"/>
        </w:rPr>
        <w:footnoteReference w:id="10"/>
      </w:r>
      <w:bookmarkEnd w:id="4"/>
      <w:r w:rsidRPr="00D22DA6">
        <w:t xml:space="preserve">  The transition to online public inspection files enables greater public access to the contents of the files, including documents filed pursuant to Section 73.3613—which are either placed directly in the public file or provided on demand based on an up-to-date list—particularly</w:t>
      </w:r>
      <w:r w:rsidRPr="000B65B1">
        <w:t xml:space="preserve"> for those who are unable to travel to a station or the Commission during regular business hours.</w:t>
      </w:r>
      <w:bookmarkEnd w:id="2"/>
      <w:r>
        <w:rPr>
          <w:rStyle w:val="FootnoteReference"/>
          <w:sz w:val="22"/>
        </w:rPr>
        <w:footnoteReference w:id="11"/>
      </w:r>
      <w:r w:rsidRPr="00D22DA6">
        <w:t xml:space="preserve">         </w:t>
      </w:r>
    </w:p>
    <w:p w:rsidR="002C0D75" w:rsidRPr="00B638B1" w:rsidP="00930EE4" w14:paraId="46002257" w14:textId="77777777">
      <w:pPr>
        <w:pStyle w:val="ParaNum"/>
        <w:widowControl/>
      </w:pPr>
      <w:r w:rsidRPr="000B65B1">
        <w:t>The Commission has periodically re-evaluated the paper filing requirement in Section 73.3613 and revised the rule as necessary to eliminate unnecessary paperwork and reduce administrative burdens on licensees and the Commission.  For example, prior to the late 1970s, the Commission revised Section 73.3613 on multiple occasions to eliminate the obligation to routinely submit paper copies of several doc</w:t>
      </w:r>
      <w:r w:rsidRPr="002D317A">
        <w:t>uments and instead require that certain documents be kept at the station and made available upon request.</w:t>
      </w:r>
      <w:r>
        <w:rPr>
          <w:rStyle w:val="FootnoteReference"/>
          <w:sz w:val="22"/>
        </w:rPr>
        <w:footnoteReference w:id="12"/>
      </w:r>
      <w:r w:rsidRPr="00D22DA6">
        <w:t xml:space="preserve">  Beginning in the late 1970s, the Commission took several steps to eliminate unnecessary paperwork burdens resulting from the requirement that </w:t>
      </w:r>
      <w:r w:rsidRPr="000B65B1">
        <w:t>stations submit paper copies of certain network affiliation contracts that the Commission no longer needed to collect routinely.  For example, the Commission eliminated the requirement that radio stations file network affiliation and transcription contract</w:t>
      </w:r>
      <w:r w:rsidRPr="002D317A">
        <w:t>s with the Commission, and it limited the mandatory filing of television network affiliation contracts to just those agreements with national networks.</w:t>
      </w:r>
      <w:r>
        <w:rPr>
          <w:rStyle w:val="FootnoteReference"/>
          <w:sz w:val="22"/>
        </w:rPr>
        <w:footnoteReference w:id="13"/>
      </w:r>
      <w:r w:rsidRPr="00D22DA6">
        <w:t xml:space="preserve">  </w:t>
      </w:r>
    </w:p>
    <w:p w:rsidR="002C0D75" w:rsidRPr="00B638B1" w:rsidP="002C0D75" w14:paraId="0E324AA3" w14:textId="77777777">
      <w:pPr>
        <w:pStyle w:val="ParaNum"/>
      </w:pPr>
      <w:r w:rsidRPr="000B65B1">
        <w:rPr>
          <w:i/>
        </w:rPr>
        <w:t xml:space="preserve">Modernization of Media Regulation Initiative.  </w:t>
      </w:r>
      <w:r w:rsidRPr="000B65B1">
        <w:t xml:space="preserve">In May 2017, the Commission issued a Public Notice launching a review of its media regulations to eliminate or modify those that are outdated, unnecessary, or </w:t>
      </w:r>
      <w:r w:rsidRPr="002D317A">
        <w:t>unduly burdensome.</w:t>
      </w:r>
      <w:r>
        <w:rPr>
          <w:vertAlign w:val="superscript"/>
        </w:rPr>
        <w:footnoteReference w:id="14"/>
      </w:r>
      <w:r w:rsidRPr="002D317A">
        <w:t xml:space="preserve">  In response to that Public Notice, several commenters in the Media Modernization proceeding urged the Commission to eliminate </w:t>
      </w:r>
      <w:r w:rsidRPr="00D22DA6">
        <w:t>the existing paper filing requirements in Section 73.3613.</w:t>
      </w:r>
      <w:r w:rsidRPr="00B638B1">
        <w:t xml:space="preserve">  These commenters generally assert that the Commission’s and the public’s information needs can be sufficiently met through the exi</w:t>
      </w:r>
      <w:r w:rsidRPr="000B65B1">
        <w:t>sting public file requirements.</w:t>
      </w:r>
      <w:r>
        <w:rPr>
          <w:rStyle w:val="FootnoteReference"/>
          <w:sz w:val="22"/>
        </w:rPr>
        <w:footnoteReference w:id="15"/>
      </w:r>
      <w:r w:rsidRPr="00D22DA6">
        <w:t xml:space="preserve">  No commenters oppos</w:t>
      </w:r>
      <w:r w:rsidRPr="00B638B1">
        <w:t>ed these recommendations.</w:t>
      </w:r>
    </w:p>
    <w:p w:rsidR="002C0D75" w:rsidRPr="00C41899" w:rsidP="002C0D75" w14:paraId="3A65F953" w14:textId="77777777">
      <w:pPr>
        <w:pStyle w:val="Heading1"/>
        <w:rPr>
          <w:rFonts w:ascii="Times New Roman" w:hAnsi="Times New Roman"/>
        </w:rPr>
      </w:pPr>
      <w:r w:rsidRPr="00C41899">
        <w:rPr>
          <w:rFonts w:ascii="Times New Roman" w:hAnsi="Times New Roman"/>
        </w:rPr>
        <w:t>discussion</w:t>
      </w:r>
    </w:p>
    <w:p w:rsidR="002C0D75" w:rsidRPr="00B638B1" w:rsidP="002C0D75" w14:paraId="751AC223" w14:textId="77777777">
      <w:pPr>
        <w:pStyle w:val="Heading2"/>
      </w:pPr>
      <w:bookmarkStart w:id="5" w:name="_Ref500239246"/>
      <w:r w:rsidRPr="00D22DA6">
        <w:t>Elimination or Modification of Filing Requirement</w:t>
      </w:r>
      <w:bookmarkEnd w:id="5"/>
    </w:p>
    <w:p w:rsidR="002C0D75" w:rsidRPr="00B638B1" w:rsidP="002C0D75" w14:paraId="1E96A284" w14:textId="77777777">
      <w:pPr>
        <w:pStyle w:val="ParaNum"/>
      </w:pPr>
      <w:r w:rsidRPr="00B638B1">
        <w:rPr>
          <w:i/>
        </w:rPr>
        <w:t>AM, FM, and Television Stations</w:t>
      </w:r>
      <w:r w:rsidRPr="00B638B1">
        <w:t>.  We tentatively conclude that the Section 73.3613 paper filing requirement for lice</w:t>
      </w:r>
      <w:r w:rsidRPr="000B65B1">
        <w:t>nsees and permittees of commercial and noncommercial AM, FM, and television stations should be eliminated.</w:t>
      </w:r>
      <w:r>
        <w:rPr>
          <w:rStyle w:val="FootnoteReference"/>
          <w:sz w:val="22"/>
        </w:rPr>
        <w:footnoteReference w:id="16"/>
      </w:r>
      <w:r w:rsidRPr="00D22DA6">
        <w:t xml:space="preserve">  While paper filings may have previously been the most efficient m</w:t>
      </w:r>
      <w:r w:rsidRPr="00B638B1">
        <w:t>echanism for ensuring that the Commission and the public had ready access to these materials, we believe that is no longer the case.  The vast majority of Commission forms are now filed electronically, and the Commission has taken many recent steps to eliminate or streamline paper submissions and other document retention obligations.  For example, the transition to online public files, which is largely complete and will be finalized in March 2018, has significantly reduced burdens on stations and provided b</w:t>
      </w:r>
      <w:r w:rsidRPr="00C355BD">
        <w:t>oth the Commission and the public with easy access to station information and documents retained in the public inspection file.</w:t>
      </w:r>
      <w:r>
        <w:rPr>
          <w:rStyle w:val="FootnoteReference"/>
          <w:sz w:val="22"/>
        </w:rPr>
        <w:footnoteReference w:id="17"/>
      </w:r>
      <w:r w:rsidRPr="00B638B1">
        <w:t xml:space="preserve">  </w:t>
      </w:r>
    </w:p>
    <w:p w:rsidR="002C0D75" w:rsidRPr="00B638B1" w:rsidP="002C0D75" w14:paraId="13E567B7" w14:textId="264E7F57">
      <w:pPr>
        <w:pStyle w:val="ParaNum"/>
      </w:pPr>
      <w:bookmarkStart w:id="6" w:name="_Ref500928693"/>
      <w:r w:rsidRPr="00B638B1">
        <w:t xml:space="preserve">Indeed, the Section 73.3613 documents of commercial and noncommercial AM, FM, and television stations </w:t>
      </w:r>
      <w:r>
        <w:t xml:space="preserve">are already available </w:t>
      </w:r>
      <w:r w:rsidRPr="00B638B1">
        <w:t>via their public inspection files, and such access w</w:t>
      </w:r>
      <w:r w:rsidRPr="000B65B1">
        <w:t>ill continue even without the Section 73.3613 paper filing requirement.  Licensees and permittees of these stations currently file ownership reports electronically on FCC Forms 323 and 323-E, and on these ownership reports licensees and permittees are required to list all documents required to be filed pursu</w:t>
      </w:r>
      <w:r w:rsidRPr="00C355BD">
        <w:t>ant to Section 73.3613 for all of the stations covered by the report.</w:t>
      </w:r>
      <w:bookmarkStart w:id="7" w:name="_Ref500241253"/>
      <w:r>
        <w:rPr>
          <w:rStyle w:val="FootnoteReference"/>
          <w:sz w:val="22"/>
        </w:rPr>
        <w:footnoteReference w:id="18"/>
      </w:r>
      <w:bookmarkEnd w:id="7"/>
      <w:r w:rsidRPr="00B638B1">
        <w:t xml:space="preserve">  Our public file rules, contained in Sections 73.3526 and 73.3527 of our rules,</w:t>
      </w:r>
      <w:r>
        <w:rPr>
          <w:rStyle w:val="FootnoteReference"/>
          <w:sz w:val="22"/>
        </w:rPr>
        <w:footnoteReference w:id="19"/>
      </w:r>
      <w:r w:rsidRPr="00B638B1">
        <w:t xml:space="preserve"> require that the licensees and permittees of these stations make the documents listed in their ownership reports—i.e., their Section 73.3613 documents—available for public inspection via their public files.</w:t>
      </w:r>
      <w:r>
        <w:rPr>
          <w:rStyle w:val="FootnoteReference"/>
          <w:sz w:val="22"/>
        </w:rPr>
        <w:footnoteReference w:id="20"/>
      </w:r>
      <w:r w:rsidRPr="00B638B1">
        <w:t xml:space="preserve">  Specifically, the public file rules require these licensees and permittees, at their discretion, to either (i) retain in their public inspection files copies of the documents listed in their ownership reports or (ii) maintain an up-to-date list of such documents in their public inspection files and provide copies to a requesting party within seven days.</w:t>
      </w:r>
      <w:r>
        <w:rPr>
          <w:rStyle w:val="FootnoteReference"/>
          <w:sz w:val="22"/>
        </w:rPr>
        <w:footnoteReference w:id="21"/>
      </w:r>
      <w:r w:rsidRPr="00B638B1">
        <w:t xml:space="preserve">  In light of this existing requirement and after evaluating our own document needs, we believe that eliminating the paper filing requirement</w:t>
      </w:r>
      <w:r w:rsidRPr="00C41899">
        <w:t xml:space="preserve"> </w:t>
      </w:r>
      <w:r>
        <w:t>as discussed herein</w:t>
      </w:r>
      <w:r w:rsidRPr="00B638B1">
        <w:t xml:space="preserve"> will not meaningfully impact the ability of the Commission and other interested parties to review Section 73.3613 documents, and will reduce burdens on licensees.</w:t>
      </w:r>
      <w:bookmarkEnd w:id="6"/>
      <w:r>
        <w:rPr>
          <w:rStyle w:val="FootnoteReference"/>
        </w:rPr>
        <w:footnoteReference w:id="22"/>
      </w:r>
      <w:r w:rsidRPr="00B638B1">
        <w:t xml:space="preserve">  </w:t>
      </w:r>
    </w:p>
    <w:p w:rsidR="002C0D75" w:rsidRPr="00B638B1" w:rsidP="002C0D75" w14:paraId="62C88F13" w14:textId="1920F0E6">
      <w:pPr>
        <w:pStyle w:val="ParaNum"/>
      </w:pPr>
      <w:r w:rsidRPr="00B638B1">
        <w:t xml:space="preserve">Accordingly, consistent with comments to the </w:t>
      </w:r>
      <w:r w:rsidRPr="00B638B1">
        <w:rPr>
          <w:i/>
        </w:rPr>
        <w:t>Modernization Initiative Public Notice</w:t>
      </w:r>
      <w:r w:rsidRPr="00B638B1">
        <w:t>,</w:t>
      </w:r>
      <w:r w:rsidRPr="00C41899">
        <w:rPr>
          <w:rStyle w:val="FootnoteReference"/>
          <w:sz w:val="22"/>
        </w:rPr>
        <w:t xml:space="preserve"> </w:t>
      </w:r>
      <w:r>
        <w:rPr>
          <w:rStyle w:val="FootnoteReference"/>
          <w:sz w:val="22"/>
        </w:rPr>
        <w:footnoteReference w:id="23"/>
      </w:r>
      <w:r w:rsidRPr="00B638B1">
        <w:t xml:space="preserve"> we tentatively conclude that relying on the existing public file rules</w:t>
      </w:r>
      <w:r>
        <w:t>—subject to the proposed modifications discussed herein—</w:t>
      </w:r>
      <w:r w:rsidRPr="00B638B1">
        <w:t>will provide the Commission and the public with sufficient access to Section 73.3613 documents for commercial and noncommercial AM, FM, and television stations.</w:t>
      </w:r>
      <w:r w:rsidRPr="00487351">
        <w:t xml:space="preserve"> </w:t>
      </w:r>
      <w:r w:rsidRPr="00B638B1">
        <w:t xml:space="preserve"> We seek comment on this tentative conclusion.  Our existing public file rules provide these stations with flexibility to select the disclosure method that is less burdensome with respect to Section 73.3613 documents.  We therefore propose to eliminate the Section 73.3613 requirement that licensees and permittees of commercial and noncommercial AM, FM, and television stations file paper copies of such doc</w:t>
      </w:r>
      <w:r w:rsidRPr="00487811">
        <w:t>uments with the Commission</w:t>
      </w:r>
      <w:r>
        <w:t>.</w:t>
      </w:r>
      <w:r w:rsidRPr="00487811">
        <w:t xml:space="preserve"> </w:t>
      </w:r>
      <w:r>
        <w:t xml:space="preserve"> I</w:t>
      </w:r>
      <w:r w:rsidRPr="00487811">
        <w:t>nstead</w:t>
      </w:r>
      <w:r>
        <w:t>,</w:t>
      </w:r>
      <w:r w:rsidRPr="00487811">
        <w:t xml:space="preserve"> </w:t>
      </w:r>
      <w:r>
        <w:t xml:space="preserve">we propose that stations make </w:t>
      </w:r>
      <w:r w:rsidRPr="00487811">
        <w:t>such document</w:t>
      </w:r>
      <w:r>
        <w:t>s available to the Commission and the public</w:t>
      </w:r>
      <w:r w:rsidRPr="00487811">
        <w:t xml:space="preserve"> </w:t>
      </w:r>
      <w:r>
        <w:t>via</w:t>
      </w:r>
      <w:r w:rsidRPr="00487811">
        <w:t xml:space="preserve"> the </w:t>
      </w:r>
      <w:r>
        <w:t xml:space="preserve">options set forth in the </w:t>
      </w:r>
      <w:r w:rsidRPr="00487811">
        <w:t>exi</w:t>
      </w:r>
      <w:r w:rsidRPr="000B65B1">
        <w:t>sting public file requirement.</w:t>
      </w:r>
      <w:bookmarkStart w:id="8" w:name="_Ref501630408"/>
      <w:r>
        <w:rPr>
          <w:rStyle w:val="FootnoteReference"/>
        </w:rPr>
        <w:footnoteReference w:id="24"/>
      </w:r>
      <w:bookmarkEnd w:id="8"/>
      <w:r w:rsidRPr="002D317A">
        <w:t xml:space="preserve">  </w:t>
      </w:r>
      <w:r>
        <w:t>We seek comment on this proposal.</w:t>
      </w:r>
      <w:r w:rsidRPr="00CE5507">
        <w:t xml:space="preserve">  </w:t>
      </w:r>
    </w:p>
    <w:p w:rsidR="002C0D75" w:rsidP="002C0D75" w14:paraId="4325C390" w14:textId="39A9AD8E">
      <w:pPr>
        <w:pStyle w:val="ParaNum"/>
      </w:pPr>
      <w:r w:rsidRPr="00D60EA3">
        <w:t>As discussed above, our existing public file rules currently give stations the option of either (i) retaining copies of the documents listed in their ownership reports in the public file or (ii) maintaining an up-to-date list of such documents in the public file and providing copies to a requesting party within seven days.</w:t>
      </w:r>
      <w:r>
        <w:rPr>
          <w:rStyle w:val="FootnoteReference"/>
        </w:rPr>
        <w:footnoteReference w:id="25"/>
      </w:r>
      <w:r w:rsidRPr="00D60EA3">
        <w:t xml:space="preserve">  In order to preserve the current level of access to t</w:t>
      </w:r>
      <w:r>
        <w:t>hese documents, we propose to</w:t>
      </w:r>
      <w:r w:rsidRPr="00D60EA3">
        <w:t xml:space="preserve"> clarify that a station must </w:t>
      </w:r>
      <w:r w:rsidR="000715F7">
        <w:t>ensure that its</w:t>
      </w:r>
      <w:r w:rsidRPr="00D60EA3">
        <w:t xml:space="preserve"> inventory of Section 73.3613 documents in its public file</w:t>
      </w:r>
      <w:r w:rsidR="000715F7">
        <w:t xml:space="preserve"> is up to date</w:t>
      </w:r>
      <w:r w:rsidRPr="00D60EA3">
        <w:t>, regardless of whether the station chooses to retain copies or a list of documents in the public file</w:t>
      </w:r>
      <w:r>
        <w:t>, and provide copies of its Section 73.3613 documents to the Commission and the public within seven days upon request</w:t>
      </w:r>
      <w:r w:rsidRPr="00D60EA3">
        <w:t>.  We seek comment on this proposal</w:t>
      </w:r>
      <w:r>
        <w:t>.</w:t>
      </w:r>
    </w:p>
    <w:p w:rsidR="002C0D75" w:rsidRPr="00B638B1" w:rsidP="002C0D75" w14:paraId="1ACC483A" w14:textId="17B2815E">
      <w:pPr>
        <w:pStyle w:val="ParaNum"/>
      </w:pPr>
      <w:r w:rsidRPr="00B638B1">
        <w:t>For additional clarity, we also seek comment on whether to revise the relevant public file rules</w:t>
      </w:r>
      <w:r>
        <w:rPr>
          <w:rStyle w:val="FootnoteReference"/>
          <w:sz w:val="22"/>
        </w:rPr>
        <w:footnoteReference w:id="26"/>
      </w:r>
      <w:r w:rsidRPr="00B638B1">
        <w:t xml:space="preserve"> to refer specifically to Section 73.3613, instead of referencing the documents listed in ownership reports (which are the same as the Section 73.3613 documents).  In the alternative, we seek comment on whether to eliminate Section 73.3613 of the rules entirely—subject to the discussion of international broadcast stations below—and instead list these same documents in Sections 73.3526 and 73.3527</w:t>
      </w:r>
      <w:r>
        <w:t xml:space="preserve"> of our rules</w:t>
      </w:r>
      <w:r w:rsidRPr="00C41899">
        <w:t>.  Which approach would most effectively keep licensees informed of their obligations?</w:t>
      </w:r>
      <w:r>
        <w:t xml:space="preserve">  If we eliminate Section 73.3613, how should we address the documents currently specified in Section 73.3613(e), which need not be filed with the Commission but must be kept at the station and made available for inspection upon request by the Commission under the current rule?  Similarly, how should we address Section 73.3613(a)(1), which currently includes a definition of “network” that is cross-referenced in the Telecommunications Act of 1996 and in the Commission’s Dual Network Rule</w:t>
      </w:r>
      <w:r w:rsidRPr="001B1FE5" w:rsidR="00C4602C">
        <w:t>?</w:t>
      </w:r>
      <w:r w:rsidR="00C4602C">
        <w:t xml:space="preserve">  </w:t>
      </w:r>
      <w:r>
        <w:t xml:space="preserve">We seek comment on these issues. </w:t>
      </w:r>
      <w:r w:rsidRPr="00B638B1">
        <w:t xml:space="preserve">    </w:t>
      </w:r>
    </w:p>
    <w:p w:rsidR="002C0D75" w:rsidRPr="00B638B1" w:rsidP="002C0D75" w14:paraId="29FB958A" w14:textId="35F96454">
      <w:pPr>
        <w:pStyle w:val="ParaNum"/>
      </w:pPr>
      <w:bookmarkStart w:id="9" w:name="_Ref501628476"/>
      <w:r w:rsidRPr="00B638B1">
        <w:t>Under Section 73.3613, documents are required to be filed within 30 days after execution.</w:t>
      </w:r>
      <w:r>
        <w:rPr>
          <w:rStyle w:val="FootnoteReference"/>
          <w:sz w:val="22"/>
        </w:rPr>
        <w:footnoteReference w:id="27"/>
      </w:r>
      <w:r w:rsidRPr="00B638B1">
        <w:t xml:space="preserve">  By contrast, the public file rules do not explicitly state how quickly licensees and permittees must </w:t>
      </w:r>
      <w:r>
        <w:t xml:space="preserve">add the documents listed in their most recent ownership report or </w:t>
      </w:r>
      <w:r w:rsidRPr="00B638B1">
        <w:t xml:space="preserve">update the list of </w:t>
      </w:r>
      <w:r>
        <w:t>such documents</w:t>
      </w:r>
      <w:r w:rsidRPr="00B638B1">
        <w:t>,</w:t>
      </w:r>
      <w:r>
        <w:rPr>
          <w:rStyle w:val="FootnoteReference"/>
          <w:sz w:val="22"/>
        </w:rPr>
        <w:footnoteReference w:id="28"/>
      </w:r>
      <w:r w:rsidRPr="00B638B1">
        <w:t xml:space="preserve"> though licensees and permittees are expected to update their files in a timely fashion and to maintain orderly files.</w:t>
      </w:r>
      <w:r>
        <w:rPr>
          <w:rStyle w:val="FootnoteReference"/>
          <w:sz w:val="22"/>
        </w:rPr>
        <w:footnoteReference w:id="29"/>
      </w:r>
      <w:r w:rsidRPr="00B638B1">
        <w:t xml:space="preserve">  Is the existing practice for public file updates sufficient or should we adopt a specific timeframe for updating the Section 73.3613 documents in the station’s public file?  If so, how long (e.g., continue to </w:t>
      </w:r>
      <w:r>
        <w:t>require updates within</w:t>
      </w:r>
      <w:r w:rsidRPr="00B638B1">
        <w:t xml:space="preserve"> 30 days</w:t>
      </w:r>
      <w:r>
        <w:t xml:space="preserve"> after execution, consistent with the current practice under Section 73.3613</w:t>
      </w:r>
      <w:r w:rsidRPr="00B638B1">
        <w:t xml:space="preserve">)?  In addition to the specific issues discussed in Section B of this </w:t>
      </w:r>
      <w:r w:rsidRPr="00156260">
        <w:rPr>
          <w:i/>
        </w:rPr>
        <w:t>NPRM</w:t>
      </w:r>
      <w:r w:rsidRPr="00B638B1">
        <w:t>,</w:t>
      </w:r>
      <w:r>
        <w:rPr>
          <w:rStyle w:val="FootnoteReference"/>
        </w:rPr>
        <w:footnoteReference w:id="30"/>
      </w:r>
      <w:r w:rsidRPr="00B638B1">
        <w:t xml:space="preserve"> we invite comment on any other modifications or conforming changes to Section 73.3613, or any other Commission rul</w:t>
      </w:r>
      <w:r w:rsidRPr="00487811">
        <w:t xml:space="preserve">e, that are necessary or appropriate to implement the proposals discussed in this </w:t>
      </w:r>
      <w:r w:rsidRPr="000B65B1">
        <w:rPr>
          <w:i/>
        </w:rPr>
        <w:t>NPRM</w:t>
      </w:r>
      <w:r w:rsidRPr="00230776">
        <w:t xml:space="preserve"> and on any alternative proposals for making these documents available in a less costly and more effective manner.</w:t>
      </w:r>
      <w:r>
        <w:rPr>
          <w:rStyle w:val="FootnoteReference"/>
          <w:sz w:val="22"/>
        </w:rPr>
        <w:footnoteReference w:id="31"/>
      </w:r>
      <w:bookmarkEnd w:id="9"/>
      <w:r w:rsidRPr="00B638B1">
        <w:t xml:space="preserve">      </w:t>
      </w:r>
    </w:p>
    <w:p w:rsidR="002C0D75" w:rsidRPr="00B638B1" w:rsidP="002C0D75" w14:paraId="33A49903" w14:textId="77777777">
      <w:pPr>
        <w:pStyle w:val="ParaNum"/>
      </w:pPr>
      <w:bookmarkStart w:id="10" w:name="_Ref500416516"/>
      <w:r w:rsidRPr="00B638B1">
        <w:rPr>
          <w:i/>
        </w:rPr>
        <w:t>International Broadcast Stations</w:t>
      </w:r>
      <w:r w:rsidRPr="00B638B1">
        <w:t>.  Unlike AM, FM</w:t>
      </w:r>
      <w:r w:rsidRPr="00487811">
        <w:t>, and television stations, international broadcast stations do not serve local communities in the United States.  These stations, which are authorized on a seasonal basis, employ frequencies allocated to the broadcasting service between 5900 and 26100 kHz,</w:t>
      </w:r>
      <w:r w:rsidRPr="000B65B1">
        <w:t xml:space="preserve"> the transmissions of which are intended to be received in foreign countries.</w:t>
      </w:r>
      <w:r>
        <w:rPr>
          <w:rStyle w:val="FootnoteReference"/>
          <w:sz w:val="22"/>
        </w:rPr>
        <w:footnoteReference w:id="32"/>
      </w:r>
      <w:r w:rsidRPr="00B638B1">
        <w:t xml:space="preserve">  International broadcast stations</w:t>
      </w:r>
      <w:r>
        <w:t>, which</w:t>
      </w:r>
      <w:r w:rsidRPr="00B638B1">
        <w:t xml:space="preserve"> are </w:t>
      </w:r>
      <w:r>
        <w:t xml:space="preserve">often </w:t>
      </w:r>
      <w:r w:rsidRPr="00B638B1">
        <w:t>operated by churches and other religious organizations</w:t>
      </w:r>
      <w:r>
        <w:t>, typically do not have network affiliations</w:t>
      </w:r>
      <w:r w:rsidRPr="00B638B1">
        <w:t xml:space="preserve"> and </w:t>
      </w:r>
      <w:r>
        <w:t>do not enter into time brokerage arrangements or joint sales agreements</w:t>
      </w:r>
      <w:r w:rsidRPr="00A028F8">
        <w:t xml:space="preserve">.  </w:t>
      </w:r>
      <w:r>
        <w:t>As</w:t>
      </w:r>
      <w:r w:rsidRPr="00B638B1">
        <w:t xml:space="preserve"> of </w:t>
      </w:r>
      <w:r>
        <w:t>December 13, 2017</w:t>
      </w:r>
      <w:r w:rsidRPr="00A028F8">
        <w:t xml:space="preserve">, there </w:t>
      </w:r>
      <w:r>
        <w:t>were</w:t>
      </w:r>
      <w:r w:rsidRPr="00A028F8">
        <w:t xml:space="preserve"> </w:t>
      </w:r>
      <w:r>
        <w:t>16</w:t>
      </w:r>
      <w:r w:rsidRPr="00A028F8">
        <w:t xml:space="preserve"> </w:t>
      </w:r>
      <w:r w:rsidRPr="00B638B1">
        <w:t>international broadcast stations</w:t>
      </w:r>
      <w:r>
        <w:t xml:space="preserve"> operating</w:t>
      </w:r>
      <w:r w:rsidRPr="00B638B1">
        <w:t>.</w:t>
      </w:r>
      <w:r>
        <w:rPr>
          <w:rStyle w:val="FootnoteReference"/>
          <w:sz w:val="22"/>
        </w:rPr>
        <w:footnoteReference w:id="33"/>
      </w:r>
      <w:r w:rsidRPr="00B638B1">
        <w:t xml:space="preserve">  These stations are subject to the Section 73.3613 filing requirements but do not have public file obligations like those applicable to AM, FM, and television stations.  Similarly, these stations are not </w:t>
      </w:r>
      <w:r>
        <w:t xml:space="preserve">currently </w:t>
      </w:r>
      <w:r w:rsidRPr="00B638B1">
        <w:t>subject to the routine ownership reporting obligations applicable to other broadcast services.</w:t>
      </w:r>
      <w:r>
        <w:rPr>
          <w:rStyle w:val="FootnoteReference"/>
          <w:sz w:val="22"/>
        </w:rPr>
        <w:footnoteReference w:id="34"/>
      </w:r>
      <w:r w:rsidRPr="00E404A1">
        <w:rPr>
          <w:rStyle w:val="FootnoteReference"/>
          <w:sz w:val="22"/>
        </w:rPr>
        <w:t xml:space="preserve"> </w:t>
      </w:r>
      <w:r w:rsidRPr="00B638B1">
        <w:t xml:space="preserve">  </w:t>
      </w:r>
    </w:p>
    <w:p w:rsidR="002C0D75" w:rsidRPr="00487811" w:rsidP="002C0D75" w14:paraId="4C8EE5AD" w14:textId="77777777">
      <w:pPr>
        <w:pStyle w:val="ParaNum"/>
      </w:pPr>
      <w:r w:rsidRPr="00B638B1">
        <w:t xml:space="preserve">Based upon our review, we tentatively conclude that the </w:t>
      </w:r>
      <w:r>
        <w:t>current</w:t>
      </w:r>
      <w:r w:rsidRPr="00B638B1">
        <w:t xml:space="preserve"> justifications for </w:t>
      </w:r>
      <w:r>
        <w:t>requiring disclosure of</w:t>
      </w:r>
      <w:r w:rsidRPr="00C41899">
        <w:t xml:space="preserve"> </w:t>
      </w:r>
      <w:r w:rsidRPr="00B638B1">
        <w:t xml:space="preserve">Section 73.3613 </w:t>
      </w:r>
      <w:r>
        <w:t>documents</w:t>
      </w:r>
      <w:r w:rsidRPr="00C41899">
        <w:t xml:space="preserve"> </w:t>
      </w:r>
      <w:r>
        <w:t xml:space="preserve">by commercial and noncommercial AM, FM, and television stations </w:t>
      </w:r>
      <w:r w:rsidRPr="00B638B1">
        <w:t>do not apply to international broadcast stations.</w:t>
      </w:r>
      <w:r w:rsidRPr="00C41899">
        <w:t xml:space="preserve">  As mentioned above, for example, </w:t>
      </w:r>
      <w:r>
        <w:t>licensees and permittees of commercial and noncommercial AM, FM, and television stations are required to list Section 73.3613 documents in the broadcast ownership reports they file with the Commission and make copies of such documents available via a public inspection file, but international broadcast stations are not subject to such obligations</w:t>
      </w:r>
      <w:r w:rsidRPr="00C41899">
        <w:t>.</w:t>
      </w:r>
      <w:r>
        <w:rPr>
          <w:rStyle w:val="FootnoteReference"/>
        </w:rPr>
        <w:footnoteReference w:id="35"/>
      </w:r>
      <w:r w:rsidRPr="00C41899">
        <w:t xml:space="preserve">  </w:t>
      </w:r>
      <w:r>
        <w:t>While the disclosure of Section 73.3613 documents by commercial and noncommercial AM, FM, and television stations supplements the ownership information that they must routinely report to the Commission, the same is not true for international broadcast stations.</w:t>
      </w:r>
      <w:r w:rsidRPr="00B638B1">
        <w:t xml:space="preserve">  Furthermore, these stations are not subject to the ownership rules applicable to commercial AM, FM, and television stations,</w:t>
      </w:r>
      <w:r>
        <w:rPr>
          <w:rStyle w:val="FootnoteReference"/>
          <w:sz w:val="22"/>
        </w:rPr>
        <w:footnoteReference w:id="36"/>
      </w:r>
      <w:r w:rsidRPr="00B638B1">
        <w:t xml:space="preserve"> nor are they subject to the relevant operational provisions applicable to noncommercial stations.</w:t>
      </w:r>
      <w:r>
        <w:rPr>
          <w:rStyle w:val="FootnoteReference"/>
          <w:sz w:val="22"/>
        </w:rPr>
        <w:footnoteReference w:id="37"/>
      </w:r>
      <w:r w:rsidRPr="00B638B1">
        <w:t xml:space="preserve">  </w:t>
      </w:r>
      <w:r>
        <w:t>Moreover,</w:t>
      </w:r>
      <w:r w:rsidRPr="00A24D48">
        <w:t xml:space="preserve"> </w:t>
      </w:r>
      <w:r>
        <w:t xml:space="preserve">it does not appear that the Section 73.3613 documents that international broadcast stations are required to file with the Commission have been reviewed by Commission staff in the recent past.  </w:t>
      </w:r>
      <w:r w:rsidRPr="00B638B1">
        <w:t xml:space="preserve">Accordingly, </w:t>
      </w:r>
      <w:bookmarkStart w:id="11" w:name="_Ref500416518"/>
      <w:bookmarkEnd w:id="10"/>
      <w:r w:rsidRPr="00B638B1">
        <w:t xml:space="preserve">we tentatively conclude that there is no need to continue requiring the licensees and permittees of international broadcast stations to routinely file Section 73.3613 documents with the Commission.  </w:t>
      </w:r>
    </w:p>
    <w:p w:rsidR="002C0D75" w:rsidRPr="002D317A" w:rsidP="002C0D75" w14:paraId="210DF2AB" w14:textId="77777777">
      <w:pPr>
        <w:pStyle w:val="ParaNum"/>
      </w:pPr>
      <w:r w:rsidRPr="00487811">
        <w:t xml:space="preserve">Instead, we believe that the Commission’s information needs can be met by retaining our ability to obtain these documents from licensees and permittees of international broadcast stations upon request, as needed.  For example, if there are concerns about the ownership or control of an international broadcast station, the Commission could request copies of the relevant Section 73.3613 documents as part of an investigation. </w:t>
      </w:r>
      <w:r w:rsidRPr="00B638B1">
        <w:t xml:space="preserve"> We seek comment on how to implement this requirement.  Should the Commission’s rules continue to delineate the documents subject to disclosure (either in Section 73.3613 or in a new rule section relevant only to international broadcast stations) or is the Commission’s general authority to request relevant informati</w:t>
      </w:r>
      <w:r w:rsidRPr="00487811">
        <w:t>on during an investigation or to otherwise fulfil</w:t>
      </w:r>
      <w:r>
        <w:t>l</w:t>
      </w:r>
      <w:r w:rsidRPr="00487811">
        <w:t xml:space="preserve"> its statutory obligations sufficient?    </w:t>
      </w:r>
    </w:p>
    <w:p w:rsidR="002C0D75" w:rsidRPr="00B638B1" w:rsidP="002C0D75" w14:paraId="2F235547" w14:textId="77777777">
      <w:pPr>
        <w:pStyle w:val="ParaNum"/>
      </w:pPr>
      <w:r w:rsidRPr="002D317A">
        <w:t>We seek comment on these proposals.  Is there a continuing need for these licensees and permittees to routinely file paper copies of Section 73.3613 documents with the Commission?  What is the value, if any, of retaining the Section 73.3613 paper filing requirement for international broadcast stations for the Commission and the pu</w:t>
      </w:r>
      <w:r w:rsidRPr="00C355BD">
        <w:t>blic?  Would eliminating the requirement and retaining our ability to obtain Section 73.3613 documents upon request adequately ensure that the Commission will have access to information concerning ownership and control of international broadcast stations and compliance with our rules?  Are there any reasons that would support a requirement that international broadcast stations make these documents available to members of the public?</w:t>
      </w:r>
      <w:r>
        <w:rPr>
          <w:rStyle w:val="FootnoteReference"/>
          <w:sz w:val="22"/>
        </w:rPr>
        <w:footnoteReference w:id="38"/>
      </w:r>
      <w:r w:rsidRPr="00B638B1">
        <w:t xml:space="preserve">  If so, what is the least costly and most effective manner of doing so? </w:t>
      </w:r>
      <w:bookmarkEnd w:id="11"/>
    </w:p>
    <w:p w:rsidR="002C0D75" w:rsidRPr="00487811" w:rsidP="002C0D75" w14:paraId="798B3F62" w14:textId="77777777">
      <w:pPr>
        <w:pStyle w:val="Heading2"/>
      </w:pPr>
      <w:bookmarkStart w:id="12" w:name="_Ref500167755"/>
      <w:r w:rsidRPr="00487811">
        <w:t>Other Modifications to Section 73.3613</w:t>
      </w:r>
      <w:bookmarkEnd w:id="12"/>
    </w:p>
    <w:p w:rsidR="002C0D75" w:rsidRPr="00B638B1" w:rsidP="002C0D75" w14:paraId="6E0B9473" w14:textId="77777777">
      <w:pPr>
        <w:pStyle w:val="ParaNum"/>
      </w:pPr>
      <w:r w:rsidRPr="000B65B1">
        <w:rPr>
          <w:i/>
        </w:rPr>
        <w:t>Time Brokerage Agreements and Joint Sales Agreements</w:t>
      </w:r>
      <w:r w:rsidRPr="002D317A">
        <w:t>.  Pursuant to Section 73.3613(d), attributable time brokerage agreements (TBAs) and attributable joint sales agreements (JSAs) must be filed with the Commission by t</w:t>
      </w:r>
      <w:r w:rsidRPr="00C355BD">
        <w:t>he brokering station.</w:t>
      </w:r>
      <w:r>
        <w:rPr>
          <w:rStyle w:val="FootnoteReference"/>
          <w:sz w:val="22"/>
        </w:rPr>
        <w:footnoteReference w:id="39"/>
      </w:r>
      <w:r w:rsidRPr="00B638B1">
        <w:t xml:space="preserve">  In addition, our existing public file rule for commercial stations requires that all TBAs and JSAs involving commercial stations, regardless of their attribution status, also be placed in the public inspection file for all participa</w:t>
      </w:r>
      <w:r w:rsidRPr="00487811">
        <w:t>ting stations; that is, under the current rules commercial broadcast stations ca</w:t>
      </w:r>
      <w:r w:rsidRPr="000B65B1">
        <w:t>nnot elect merely to list these agreements in their public files.</w:t>
      </w:r>
      <w:r>
        <w:rPr>
          <w:rStyle w:val="FootnoteReference"/>
          <w:sz w:val="22"/>
        </w:rPr>
        <w:footnoteReference w:id="40"/>
      </w:r>
      <w:r w:rsidRPr="00B638B1">
        <w:t xml:space="preserve">  Because Section 73.3613(d) duplicates an existing public file requirement for a limited subset of TBAs and JSAs, we tentatively conclude that we may eliminate this requirement as it applies to commercial stations.  We believe that elimination is appropriate, regardless of the disclosure requirement that may ultimately be selected.</w:t>
      </w:r>
      <w:r>
        <w:rPr>
          <w:rStyle w:val="FootnoteReference"/>
        </w:rPr>
        <w:footnoteReference w:id="41"/>
      </w:r>
      <w:r w:rsidRPr="00B638B1">
        <w:t xml:space="preserve">  We seek comment on this issue.</w:t>
      </w:r>
      <w:r>
        <w:t xml:space="preserve">  </w:t>
      </w:r>
    </w:p>
    <w:p w:rsidR="002C0D75" w:rsidRPr="00487811" w:rsidP="002C0D75" w14:paraId="4D4AF7BD" w14:textId="77777777">
      <w:pPr>
        <w:pStyle w:val="ParaNum"/>
      </w:pPr>
      <w:r w:rsidRPr="00B638B1">
        <w:t>Unlike commercial stations, noncommercial stations are not currently required to maintain copies of all TBAs or JSAs in their public inspection files; rather, under our public file rules, these stations have the option of only maintaining a list of all Section 73.3613 documents, including certain TBAs and JSAs,</w:t>
      </w:r>
      <w:r w:rsidRPr="00487811">
        <w:t xml:space="preserve"> </w:t>
      </w:r>
      <w:r w:rsidRPr="00487811">
        <w:t>and must provide a copy of these documents to requesting parties.</w:t>
      </w:r>
      <w:r>
        <w:rPr>
          <w:rStyle w:val="FootnoteReference"/>
          <w:sz w:val="22"/>
        </w:rPr>
        <w:footnoteReference w:id="42"/>
      </w:r>
      <w:r w:rsidRPr="00B638B1">
        <w:t xml:space="preserve">  Accordingly, no change to Section 73.3613(d) is necessary with respect to noncommercial stations, which are already required to list these agreements in their public files and make them available</w:t>
      </w:r>
      <w:r w:rsidRPr="00487811">
        <w:t xml:space="preserve"> upon request.  We seek comment on this issue.</w:t>
      </w:r>
    </w:p>
    <w:p w:rsidR="002C0D75" w:rsidRPr="00B638B1" w:rsidP="002C0D75" w14:paraId="500EE028" w14:textId="77777777">
      <w:pPr>
        <w:pStyle w:val="ParaNum"/>
      </w:pPr>
      <w:r w:rsidRPr="00487811">
        <w:rPr>
          <w:i/>
        </w:rPr>
        <w:t>Redaction of Confidential or Proprietary Information</w:t>
      </w:r>
      <w:r w:rsidRPr="00487811">
        <w:t>.  Section 73.3613 explicitly allows the redaction of confidential or proprietary information for attributable TBAs and JSAs, provided that unredacted versions of the agreements shall be provided to the Commission upon request.</w:t>
      </w:r>
      <w:r>
        <w:rPr>
          <w:rStyle w:val="FootnoteReference"/>
          <w:sz w:val="22"/>
        </w:rPr>
        <w:footnoteReference w:id="43"/>
      </w:r>
      <w:r w:rsidRPr="00B638B1">
        <w:t xml:space="preserve">  The rule does not currently provide for redaction of other agreements filed pursuant to the provision.  However, the Commission’s general rules provide a procedure for seeking such re</w:t>
      </w:r>
      <w:r w:rsidRPr="00487811">
        <w:t>dactions,</w:t>
      </w:r>
      <w:r>
        <w:rPr>
          <w:rStyle w:val="FootnoteReference"/>
          <w:sz w:val="22"/>
        </w:rPr>
        <w:footnoteReference w:id="44"/>
      </w:r>
      <w:r w:rsidRPr="00B638B1">
        <w:t xml:space="preserve"> and other agreements filed pursuant to this section that contain confidential or proprietary information are routinely submitted to the Commission in both redacted and unredacted forms along with a request for confidential treatment.  We have no evidence that this practice—both the specific </w:t>
      </w:r>
      <w:r w:rsidRPr="00C41899">
        <w:t>provision</w:t>
      </w:r>
      <w:r>
        <w:t>s</w:t>
      </w:r>
      <w:r w:rsidRPr="00B638B1">
        <w:t xml:space="preserve"> allowing the redaction of TBAs and JSAs and the routine submission of redacted and unredacted versions of other 73.3613 documents pursuant to Section 0.459 of the Commission’s rules—has impaired the ability of the Commission or other interested parties</w:t>
      </w:r>
      <w:r w:rsidRPr="00487811">
        <w:t xml:space="preserve"> to evaluate these agreements.  Accordingly, we tentatively conclude that Section 73.3613’s specific provision allowing the redaction of TBAs and JSAs, including the requirement that unredacted copies shall be made available to the Commission upon request, should apply to all Section 73.3613 documents to the extent that they contain confidential or proprietary information.  Under our proposal herein, redaction would only be necessary when a document is </w:t>
      </w:r>
      <w:r>
        <w:t xml:space="preserve">posted to the online public file or </w:t>
      </w:r>
      <w:r w:rsidRPr="00B638B1">
        <w:t>provided to the Commission or the public upon request.  We seek comment on this tentative conclusion.</w:t>
      </w:r>
    </w:p>
    <w:p w:rsidR="002C0D75" w:rsidRPr="00C41899" w:rsidP="002C0D75" w14:paraId="65BA37D8" w14:textId="77777777">
      <w:pPr>
        <w:pStyle w:val="Heading1"/>
        <w:rPr>
          <w:rFonts w:ascii="Times New Roman" w:hAnsi="Times New Roman"/>
        </w:rPr>
      </w:pPr>
      <w:r w:rsidRPr="00C41899">
        <w:rPr>
          <w:rFonts w:ascii="Times New Roman" w:hAnsi="Times New Roman"/>
        </w:rPr>
        <w:t>procedural matters</w:t>
      </w:r>
    </w:p>
    <w:p w:rsidR="002C0D75" w:rsidRPr="00B638B1" w:rsidP="002C0D75" w14:paraId="33FD4717" w14:textId="1A190C8C">
      <w:pPr>
        <w:pStyle w:val="Heading2"/>
      </w:pPr>
      <w:bookmarkStart w:id="13" w:name="_Toc395525825"/>
      <w:bookmarkStart w:id="14" w:name="_Toc395533575"/>
      <w:bookmarkStart w:id="15" w:name="_Toc395688823"/>
      <w:bookmarkStart w:id="16" w:name="_Toc396124446"/>
      <w:bookmarkStart w:id="17" w:name="_Toc396136524"/>
      <w:bookmarkStart w:id="18" w:name="_Toc396213556"/>
      <w:bookmarkStart w:id="19" w:name="_Toc396298474"/>
      <w:bookmarkStart w:id="20" w:name="_Toc402525577"/>
      <w:bookmarkStart w:id="21" w:name="_Toc404083772"/>
      <w:bookmarkStart w:id="22" w:name="_Toc404594694"/>
      <w:bookmarkStart w:id="23" w:name="_Toc407963506"/>
      <w:bookmarkStart w:id="24" w:name="_Toc408297251"/>
      <w:bookmarkStart w:id="25" w:name="_Toc411603975"/>
      <w:bookmarkStart w:id="26" w:name="_Toc422129861"/>
      <w:bookmarkStart w:id="27" w:name="_Toc423003939"/>
      <w:bookmarkStart w:id="28" w:name="_Toc423607560"/>
      <w:bookmarkStart w:id="29" w:name="_Toc424130889"/>
      <w:bookmarkStart w:id="30" w:name="_Toc424222402"/>
      <w:bookmarkStart w:id="31" w:name="_Toc424288651"/>
      <w:bookmarkStart w:id="32" w:name="_Toc425244781"/>
      <w:bookmarkStart w:id="33" w:name="_Toc426724717"/>
      <w:bookmarkStart w:id="34" w:name="_Toc427062654"/>
      <w:bookmarkStart w:id="35" w:name="_Toc428962242"/>
      <w:r w:rsidRPr="00B638B1">
        <w:t xml:space="preserve">Initial Regulatory Flexibility Act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Analysis</w:t>
      </w:r>
    </w:p>
    <w:p w:rsidR="002C0D75" w:rsidRPr="00B638B1" w:rsidP="002C0D75" w14:paraId="169D0D3B" w14:textId="71B00325">
      <w:pPr>
        <w:pStyle w:val="ParaNum"/>
      </w:pPr>
      <w:bookmarkStart w:id="36" w:name="_Toc290902732"/>
      <w:bookmarkStart w:id="37" w:name="_Toc290985334"/>
      <w:bookmarkStart w:id="38" w:name="_Toc396136525"/>
      <w:bookmarkStart w:id="39" w:name="_Toc396213557"/>
      <w:bookmarkStart w:id="40" w:name="_Toc396298475"/>
      <w:bookmarkStart w:id="41" w:name="_Toc402525578"/>
      <w:bookmarkStart w:id="42" w:name="_Toc404083773"/>
      <w:bookmarkStart w:id="43" w:name="_Toc404594695"/>
      <w:bookmarkStart w:id="44" w:name="_Toc407963507"/>
      <w:bookmarkStart w:id="45" w:name="_Toc408297252"/>
      <w:bookmarkStart w:id="46" w:name="_Toc411603976"/>
      <w:bookmarkStart w:id="47" w:name="_Toc422129862"/>
      <w:bookmarkStart w:id="48" w:name="_Toc423003940"/>
      <w:bookmarkStart w:id="49" w:name="_Toc423607561"/>
      <w:bookmarkStart w:id="50" w:name="_Toc424130890"/>
      <w:bookmarkStart w:id="51" w:name="_Toc424222403"/>
      <w:bookmarkStart w:id="52" w:name="_Toc424288652"/>
      <w:bookmarkStart w:id="53" w:name="_Toc425244782"/>
      <w:bookmarkStart w:id="54" w:name="_Toc426724718"/>
      <w:bookmarkStart w:id="55" w:name="_Toc427062655"/>
      <w:bookmarkStart w:id="56" w:name="_Toc428962243"/>
      <w:r w:rsidRPr="00E3346B">
        <w:t>As required by the Regulatory Flexibility Act of 1980, as amended (RFA),</w:t>
      </w:r>
      <w:r>
        <w:rPr>
          <w:vertAlign w:val="superscript"/>
        </w:rPr>
        <w:footnoteReference w:id="45"/>
      </w:r>
      <w:r w:rsidRPr="00E3346B">
        <w:t xml:space="preserve"> the Commission has prepared an Initial Regulatory Flexibility Act Analysis (IRFA) relating to this NPRM.  The IRFA is set forth in </w:t>
      </w:r>
      <w:r w:rsidR="006B61E6">
        <w:t xml:space="preserve">the </w:t>
      </w:r>
      <w:r w:rsidRPr="00E3346B">
        <w:t>Appendix.</w:t>
      </w:r>
    </w:p>
    <w:p w:rsidR="002C0D75" w:rsidRPr="00B638B1" w:rsidP="002C0D75" w14:paraId="02AE63BE" w14:textId="7ECE7A24">
      <w:pPr>
        <w:pStyle w:val="Heading2"/>
      </w:pPr>
      <w:r w:rsidRPr="00B638B1">
        <w:t>Initial Paperwork Reduction Act Analysis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2C0D75" w:rsidRPr="00487811" w:rsidP="00930EE4" w14:paraId="77351795" w14:textId="77777777">
      <w:pPr>
        <w:pStyle w:val="ParaNum"/>
        <w:widowControl/>
      </w:pPr>
      <w:r w:rsidRPr="00487811">
        <w:t xml:space="preserve">This document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487811">
        <w:rPr>
          <w:i/>
        </w:rPr>
        <w:t>see</w:t>
      </w:r>
      <w:r w:rsidRPr="00487811">
        <w:t xml:space="preserve"> 44 U.S.C. 3506(c)(4), we seek specific comment on how we might further reduce the information collection burden for small business concerns with fewer than 25 employees.</w:t>
      </w:r>
    </w:p>
    <w:p w:rsidR="002C0D75" w:rsidRPr="006264A9" w:rsidP="002C0D75" w14:paraId="4AD6ABBD" w14:textId="77777777">
      <w:pPr>
        <w:pStyle w:val="Heading2"/>
      </w:pPr>
      <w:bookmarkStart w:id="57" w:name="_Toc395525827"/>
      <w:bookmarkStart w:id="58" w:name="_Toc395533577"/>
      <w:bookmarkStart w:id="59" w:name="_Toc395688825"/>
      <w:bookmarkStart w:id="60" w:name="_Toc396124448"/>
      <w:bookmarkStart w:id="61" w:name="_Toc396136526"/>
      <w:bookmarkStart w:id="62" w:name="_Toc396213558"/>
      <w:bookmarkStart w:id="63" w:name="_Toc396298476"/>
      <w:bookmarkStart w:id="64" w:name="_Toc402525579"/>
      <w:bookmarkStart w:id="65" w:name="_Toc404083774"/>
      <w:bookmarkStart w:id="66" w:name="_Toc404594696"/>
      <w:bookmarkStart w:id="67" w:name="_Toc407963508"/>
      <w:bookmarkStart w:id="68" w:name="_Toc408297253"/>
      <w:bookmarkStart w:id="69" w:name="_Toc411603977"/>
      <w:bookmarkStart w:id="70" w:name="_Toc422129863"/>
      <w:bookmarkStart w:id="71" w:name="_Toc423003941"/>
      <w:bookmarkStart w:id="72" w:name="_Toc423607562"/>
      <w:bookmarkStart w:id="73" w:name="_Toc424130891"/>
      <w:bookmarkStart w:id="74" w:name="_Toc424222404"/>
      <w:bookmarkStart w:id="75" w:name="_Toc424288653"/>
      <w:bookmarkStart w:id="76" w:name="_Toc425244783"/>
      <w:bookmarkStart w:id="77" w:name="_Toc426724719"/>
      <w:bookmarkStart w:id="78" w:name="_Toc427062656"/>
      <w:bookmarkStart w:id="79" w:name="_Toc428962244"/>
      <w:r w:rsidRPr="006264A9">
        <w:t>Ex Parte Rules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2C0D75" w:rsidRPr="00C41899" w:rsidP="002C0D75" w14:paraId="28873EC3" w14:textId="77777777">
      <w:pPr>
        <w:pStyle w:val="ParaNum"/>
      </w:pPr>
      <w:bookmarkStart w:id="80" w:name="_Toc395525828"/>
      <w:bookmarkStart w:id="81" w:name="_Toc395533578"/>
      <w:bookmarkStart w:id="82" w:name="_Toc395688826"/>
      <w:bookmarkStart w:id="83" w:name="_Toc396124449"/>
      <w:r w:rsidRPr="00034F19">
        <w:rPr>
          <w:u w:val="single"/>
        </w:rPr>
        <w:t>Permit-But-Disclose</w:t>
      </w:r>
      <w:r w:rsidRPr="00034F19">
        <w:t xml:space="preserve">.  This proceeding shall be treated as a “permit-but-disclose” proceeding in accordance with the Commission’s </w:t>
      </w:r>
      <w:r w:rsidRPr="00034F19">
        <w:rPr>
          <w:i/>
        </w:rPr>
        <w:t xml:space="preserve">ex parte </w:t>
      </w:r>
      <w:r w:rsidRPr="009A1462">
        <w:t>rules.</w:t>
      </w:r>
      <w:r>
        <w:rPr>
          <w:vertAlign w:val="superscript"/>
        </w:rPr>
        <w:footnoteReference w:id="46"/>
      </w:r>
      <w:r w:rsidRPr="009A1462">
        <w:t xml:space="preserve">  Persons making </w:t>
      </w:r>
      <w:r w:rsidRPr="009A1462">
        <w:rPr>
          <w:i/>
        </w:rPr>
        <w:t xml:space="preserve">ex parte </w:t>
      </w:r>
      <w:r w:rsidRPr="009A1462">
        <w:t>prese</w:t>
      </w:r>
      <w:r w:rsidRPr="00A5319E">
        <w:t xml:space="preserve">ntations must file a copy of any written presentation or a memorandum summarizing any oral presentation within two business days after the presentation (unless a different deadline applicable to the Sunshine period applies).  Persons making oral </w:t>
      </w:r>
      <w:r w:rsidRPr="00CD1238">
        <w:rPr>
          <w:i/>
        </w:rPr>
        <w:t xml:space="preserve">ex parte </w:t>
      </w:r>
      <w:r w:rsidRPr="00CD1238">
        <w:t xml:space="preserve">presentations are reminded that memoranda summarizing the presentation must (1) list all persons attending or otherwise participating in the meeting at which the </w:t>
      </w:r>
      <w:r w:rsidRPr="009C57DC">
        <w:rPr>
          <w:i/>
        </w:rPr>
        <w:t xml:space="preserve">ex parte </w:t>
      </w:r>
      <w:r w:rsidRPr="009C57DC">
        <w:t>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w:t>
      </w:r>
      <w:r w:rsidRPr="00C41899">
        <w:t xml:space="preserve">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41899">
        <w:rPr>
          <w:i/>
        </w:rPr>
        <w:t xml:space="preserve">ex parte </w:t>
      </w:r>
      <w:r w:rsidRPr="00C41899">
        <w:t xml:space="preserve">meetings are deemed to be written </w:t>
      </w:r>
      <w:r w:rsidRPr="00C41899">
        <w:rPr>
          <w:i/>
        </w:rPr>
        <w:t>ex parte</w:t>
      </w:r>
      <w:r w:rsidRPr="00C41899">
        <w:t xml:space="preserve"> presentations and must be filed consistent with rule 1.1206(b).  In proceedings governed by rule 1.49(f) or for which the Commission has made available a method of electronic filing, written </w:t>
      </w:r>
      <w:r w:rsidRPr="00C41899">
        <w:rPr>
          <w:i/>
        </w:rPr>
        <w:t xml:space="preserve">ex parte </w:t>
      </w:r>
      <w:r w:rsidRPr="00C41899">
        <w:t xml:space="preserve">presentations and memoranda summarizing oral </w:t>
      </w:r>
      <w:r w:rsidRPr="00C41899">
        <w:rPr>
          <w:i/>
        </w:rPr>
        <w:t xml:space="preserve">ex parte </w:t>
      </w:r>
      <w:r w:rsidRPr="00C41899">
        <w:t>presentations, and all attachments thereto, must be filed through the electronic comment filing system available for that proceeding, and must be filed in their native format (</w:t>
      </w:r>
      <w:r w:rsidRPr="00C41899">
        <w:rPr>
          <w:i/>
        </w:rPr>
        <w:t>e.g.</w:t>
      </w:r>
      <w:r w:rsidRPr="00C41899">
        <w:t xml:space="preserve">, .doc, .xml, .ppt, searchable .pdf).  Participants in this proceeding should familiarize themselves with the Commission’s </w:t>
      </w:r>
      <w:r w:rsidRPr="00C41899">
        <w:rPr>
          <w:i/>
        </w:rPr>
        <w:t xml:space="preserve">ex parte </w:t>
      </w:r>
      <w:r w:rsidRPr="00C41899">
        <w:t>rules.</w:t>
      </w:r>
    </w:p>
    <w:p w:rsidR="002C0D75" w:rsidRPr="00C41899" w:rsidP="002C0D75" w14:paraId="677F9528" w14:textId="77777777">
      <w:pPr>
        <w:pStyle w:val="Heading2"/>
      </w:pPr>
      <w:bookmarkStart w:id="84" w:name="_Toc396136527"/>
      <w:bookmarkStart w:id="85" w:name="_Toc396213559"/>
      <w:bookmarkStart w:id="86" w:name="_Toc396298477"/>
      <w:bookmarkStart w:id="87" w:name="_Toc402525580"/>
      <w:bookmarkStart w:id="88" w:name="_Toc404083775"/>
      <w:bookmarkStart w:id="89" w:name="_Toc404594697"/>
      <w:bookmarkStart w:id="90" w:name="_Toc407963509"/>
      <w:bookmarkStart w:id="91" w:name="_Toc408297254"/>
      <w:bookmarkStart w:id="92" w:name="_Toc411603978"/>
      <w:bookmarkStart w:id="93" w:name="_Toc422129864"/>
      <w:bookmarkStart w:id="94" w:name="_Toc423003942"/>
      <w:bookmarkStart w:id="95" w:name="_Toc423607563"/>
      <w:bookmarkStart w:id="96" w:name="_Toc424130892"/>
      <w:bookmarkStart w:id="97" w:name="_Toc424222405"/>
      <w:bookmarkStart w:id="98" w:name="_Toc424288654"/>
      <w:bookmarkStart w:id="99" w:name="_Toc425244784"/>
      <w:bookmarkStart w:id="100" w:name="_Toc426724720"/>
      <w:bookmarkStart w:id="101" w:name="_Toc427062657"/>
      <w:bookmarkStart w:id="102" w:name="_Toc428962245"/>
      <w:r w:rsidRPr="00C41899">
        <w:t xml:space="preserve">Filing </w:t>
      </w:r>
      <w:bookmarkEnd w:id="80"/>
      <w:bookmarkEnd w:id="81"/>
      <w:bookmarkEnd w:id="82"/>
      <w:bookmarkEnd w:id="83"/>
      <w:r w:rsidRPr="00C41899">
        <w:t>Requirements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2C0D75" w:rsidRPr="00C41899" w:rsidP="002C0D75" w14:paraId="248A02F7" w14:textId="77777777">
      <w:pPr>
        <w:pStyle w:val="ParaNum"/>
      </w:pPr>
      <w:bookmarkStart w:id="103" w:name="_Toc395525829"/>
      <w:bookmarkStart w:id="104" w:name="_Toc395533579"/>
      <w:bookmarkStart w:id="105" w:name="_Toc395688827"/>
      <w:bookmarkStart w:id="106" w:name="_Toc396124450"/>
      <w:r w:rsidRPr="00C41899">
        <w:rPr>
          <w:u w:val="single"/>
        </w:rPr>
        <w:t>Comments and Replies</w:t>
      </w:r>
      <w:r w:rsidRPr="00C41899">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C41899">
        <w:rPr>
          <w:i/>
        </w:rPr>
        <w:t>Electronic Filing of Documents in Rulemaking Proceedings</w:t>
      </w:r>
      <w:r w:rsidRPr="00C41899">
        <w:t>, 63 FR 24121 (1998).</w:t>
      </w:r>
    </w:p>
    <w:p w:rsidR="002C0D75" w:rsidRPr="002C0D75" w:rsidP="002C0D75" w14:paraId="5DA072A1" w14:textId="77777777">
      <w:pPr>
        <w:numPr>
          <w:ilvl w:val="0"/>
          <w:numId w:val="7"/>
        </w:numPr>
        <w:spacing w:after="120"/>
        <w:rPr>
          <w:rFonts w:ascii="Calibri" w:eastAsia="Calibri" w:hAnsi="Calibri"/>
          <w:kern w:val="0"/>
        </w:rPr>
      </w:pPr>
      <w:r w:rsidRPr="00C41899">
        <w:t xml:space="preserve">Electronic Filers:  Comments may be filed electronically using the Internet by accessing the ECFS:  </w:t>
      </w:r>
      <w:r>
        <w:fldChar w:fldCharType="begin"/>
      </w:r>
      <w:r>
        <w:instrText xml:space="preserve"> HYPERLINK "http://fjallfoss.fcc.gov/ecfs2/" </w:instrText>
      </w:r>
      <w:r>
        <w:fldChar w:fldCharType="separate"/>
      </w:r>
      <w:r w:rsidRPr="00B638B1">
        <w:rPr>
          <w:color w:val="0000FF"/>
          <w:u w:val="single"/>
        </w:rPr>
        <w:t>http://fjallfoss.fcc.gov/ecfs2/</w:t>
      </w:r>
      <w:r>
        <w:fldChar w:fldCharType="end"/>
      </w:r>
      <w:r w:rsidRPr="00B638B1">
        <w:t>.</w:t>
      </w:r>
    </w:p>
    <w:p w:rsidR="002C0D75" w:rsidRPr="00487811" w:rsidP="002C0D75" w14:paraId="6F5A6D77" w14:textId="77777777">
      <w:pPr>
        <w:numPr>
          <w:ilvl w:val="0"/>
          <w:numId w:val="7"/>
        </w:numPr>
        <w:spacing w:after="120"/>
      </w:pPr>
      <w:r w:rsidRPr="00B638B1">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C0D75" w:rsidRPr="00487811" w:rsidP="002C0D75" w14:paraId="7B266C68" w14:textId="77777777">
      <w:pPr>
        <w:spacing w:after="120"/>
        <w:ind w:left="1080"/>
      </w:pPr>
      <w:r w:rsidRPr="00487811">
        <w:t>Filings can be sent by hand or messenger delivery, by commercial overnight courier, or by first-class or overnight U.S. Postal Service mail.  All filings must be addressed to the Commission’s Secretary, Office of the Secretary, Federal Communications Commission.</w:t>
      </w:r>
    </w:p>
    <w:p w:rsidR="002C0D75" w:rsidRPr="00034F19" w:rsidP="002C0D75" w14:paraId="0C19CD7E" w14:textId="77777777">
      <w:pPr>
        <w:numPr>
          <w:ilvl w:val="0"/>
          <w:numId w:val="7"/>
        </w:numPr>
        <w:spacing w:after="120"/>
      </w:pPr>
      <w:r w:rsidRPr="00487811">
        <w:t>All hand-delivered or messenger-delivered paper filings for the Commission’s Secretary must be delivered to FCC Headquarters at 445 12</w:t>
      </w:r>
      <w:r w:rsidRPr="00487811">
        <w:rPr>
          <w:vertAlign w:val="superscript"/>
        </w:rPr>
        <w:t>th</w:t>
      </w:r>
      <w:r w:rsidRPr="00487811">
        <w:t xml:space="preserve"> St., SW, Room TW-A325, Washington, DC 20554.  The filing hours are 8:00 a.m. to 7:00 p.m.  All hand deliveries must be hel</w:t>
      </w:r>
      <w:r w:rsidRPr="00034F19">
        <w:t xml:space="preserve">d together with rubber bands or fasteners.  Any envelopes and boxes must be disposed of </w:t>
      </w:r>
      <w:r w:rsidRPr="00034F19">
        <w:rPr>
          <w:u w:val="single"/>
        </w:rPr>
        <w:t>before</w:t>
      </w:r>
      <w:r w:rsidRPr="00034F19">
        <w:t xml:space="preserve"> entering the building.  </w:t>
      </w:r>
    </w:p>
    <w:p w:rsidR="002C0D75" w:rsidRPr="009A1462" w:rsidP="002C0D75" w14:paraId="54ED0A0D" w14:textId="77777777">
      <w:pPr>
        <w:numPr>
          <w:ilvl w:val="0"/>
          <w:numId w:val="7"/>
        </w:numPr>
        <w:spacing w:after="120"/>
      </w:pPr>
      <w:r w:rsidRPr="009A1462">
        <w:t>Commercial overnight mail (other than U.S. Postal Service Express Mail and Priority Mail) must be sent to 9050 Junction Drive, Annapolis Junction, MD 20701.</w:t>
      </w:r>
    </w:p>
    <w:p w:rsidR="002C0D75" w:rsidRPr="009A1462" w:rsidP="002C0D75" w14:paraId="24A7862B" w14:textId="77777777">
      <w:pPr>
        <w:numPr>
          <w:ilvl w:val="0"/>
          <w:numId w:val="7"/>
        </w:numPr>
        <w:spacing w:after="120"/>
      </w:pPr>
      <w:r w:rsidRPr="009A1462">
        <w:t>U.S. Postal Service first-class, Express, and Priority mail must be addressed to 445 12th Street, SW, Washington, DC 20554.</w:t>
      </w:r>
    </w:p>
    <w:p w:rsidR="002C0D75" w:rsidRPr="00C41899" w:rsidP="002C0D75" w14:paraId="49D2D33F" w14:textId="77777777">
      <w:pPr>
        <w:pStyle w:val="ParaNum"/>
      </w:pPr>
      <w:r w:rsidRPr="00A5319E">
        <w:rPr>
          <w:u w:val="single"/>
        </w:rPr>
        <w:t>Availability of Documents</w:t>
      </w:r>
      <w:r w:rsidRPr="00CD1238">
        <w:t xml:space="preserve">.  Comments, reply comments, and </w:t>
      </w:r>
      <w:r w:rsidRPr="00CD1238">
        <w:rPr>
          <w:i/>
        </w:rPr>
        <w:t>ex parte</w:t>
      </w:r>
      <w:r w:rsidRPr="00CD1238">
        <w:t xml:space="preserve"> submissions will be available for public ins</w:t>
      </w:r>
      <w:r w:rsidRPr="009C57DC">
        <w:t>pection during regular business hours in the FCC Reference Center, Federal Communications Commission, 445 12</w:t>
      </w:r>
      <w:r w:rsidRPr="009C57DC">
        <w:rPr>
          <w:vertAlign w:val="superscript"/>
        </w:rPr>
        <w:t>th</w:t>
      </w:r>
      <w:r w:rsidRPr="009C57DC">
        <w:t xml:space="preserve"> Street, S.W., CY-A257, Washington, D.C. 20554.  These documents will also be available via ECFS.  Documents will be available electronically in A</w:t>
      </w:r>
      <w:r w:rsidRPr="00C41899">
        <w:t>SCII, Microsoft Word, and/or Adobe Acrobat.</w:t>
      </w:r>
    </w:p>
    <w:p w:rsidR="002C0D75" w:rsidRPr="00487811" w:rsidP="002C0D75" w14:paraId="37FEF77F" w14:textId="77777777">
      <w:pPr>
        <w:pStyle w:val="ParaNum"/>
      </w:pPr>
      <w:r w:rsidRPr="00C41899">
        <w:rPr>
          <w:u w:val="single"/>
        </w:rPr>
        <w:t>People with Disabilities</w:t>
      </w:r>
      <w:r w:rsidRPr="00C41899">
        <w:t>.</w:t>
      </w:r>
      <w:r w:rsidRPr="00C41899">
        <w:rPr>
          <w:i/>
        </w:rPr>
        <w:t xml:space="preserve">  </w:t>
      </w:r>
      <w:r w:rsidRPr="00C41899">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B638B1">
        <w:rPr>
          <w:color w:val="0000FF"/>
          <w:u w:val="single"/>
        </w:rPr>
        <w:t>fcc504@fcc.gov</w:t>
      </w:r>
      <w:r>
        <w:fldChar w:fldCharType="end"/>
      </w:r>
      <w:r w:rsidRPr="00B638B1">
        <w:t xml:space="preserve"> or call the FCC’s Consumer and Governmental Affairs Bureau at (202) 418-053</w:t>
      </w:r>
      <w:r w:rsidRPr="00487811">
        <w:t xml:space="preserve">0 (voice), (202) 418-0432 (TTY).  </w:t>
      </w:r>
    </w:p>
    <w:p w:rsidR="002C0D75" w:rsidRPr="00487811" w:rsidP="002C0D75" w14:paraId="4B699449" w14:textId="77777777">
      <w:pPr>
        <w:pStyle w:val="Heading2"/>
      </w:pPr>
      <w:bookmarkStart w:id="107" w:name="_Toc390092102"/>
      <w:bookmarkStart w:id="108" w:name="_Toc390439618"/>
      <w:bookmarkStart w:id="109" w:name="_Toc390691266"/>
      <w:bookmarkStart w:id="110" w:name="_Toc391051494"/>
      <w:bookmarkStart w:id="111" w:name="_Toc391052909"/>
      <w:bookmarkStart w:id="112" w:name="_Toc392781421"/>
      <w:bookmarkStart w:id="113" w:name="_Toc396136528"/>
      <w:bookmarkStart w:id="114" w:name="_Toc396213560"/>
      <w:bookmarkStart w:id="115" w:name="_Toc396298478"/>
      <w:bookmarkStart w:id="116" w:name="_Toc402525581"/>
      <w:bookmarkStart w:id="117" w:name="_Toc404083776"/>
      <w:bookmarkStart w:id="118" w:name="_Toc404594698"/>
      <w:bookmarkStart w:id="119" w:name="_Toc407963510"/>
      <w:bookmarkStart w:id="120" w:name="_Toc408297255"/>
      <w:bookmarkStart w:id="121" w:name="_Toc411603979"/>
      <w:bookmarkStart w:id="122" w:name="_Toc422129865"/>
      <w:bookmarkStart w:id="123" w:name="_Toc423003943"/>
      <w:bookmarkStart w:id="124" w:name="_Toc423607564"/>
      <w:bookmarkStart w:id="125" w:name="_Toc424130893"/>
      <w:bookmarkStart w:id="126" w:name="_Toc424222406"/>
      <w:bookmarkStart w:id="127" w:name="_Toc424288655"/>
      <w:bookmarkStart w:id="128" w:name="_Toc425244785"/>
      <w:bookmarkStart w:id="129" w:name="_Toc426724721"/>
      <w:bookmarkStart w:id="130" w:name="_Toc427062658"/>
      <w:bookmarkStart w:id="131" w:name="_Toc428962246"/>
      <w:r w:rsidRPr="00487811">
        <w:t>Additional Information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2C0D75" w:rsidRPr="00487811" w:rsidP="002C0D75" w14:paraId="2C6A837F" w14:textId="77777777">
      <w:pPr>
        <w:pStyle w:val="ParaNum"/>
      </w:pPr>
      <w:r w:rsidRPr="00487811">
        <w:t>For additional information on this proceeding, contact Christopher Clark of the Industry Analysis Division, Media Bureau, at</w:t>
      </w:r>
      <w:r w:rsidRPr="00487811">
        <w:rPr>
          <w:color w:val="0000FF"/>
        </w:rPr>
        <w:t xml:space="preserve"> </w:t>
      </w:r>
      <w:r w:rsidRPr="00487811">
        <w:t>(202) 418-2609.</w:t>
      </w:r>
    </w:p>
    <w:p w:rsidR="002C0D75" w:rsidRPr="00C41899" w:rsidP="002C0D75" w14:paraId="0D4363D9" w14:textId="77777777">
      <w:pPr>
        <w:pStyle w:val="Heading1"/>
        <w:rPr>
          <w:rFonts w:ascii="Times New Roman" w:hAnsi="Times New Roman"/>
        </w:rPr>
      </w:pPr>
      <w:bookmarkStart w:id="132" w:name="_Toc422129866"/>
      <w:bookmarkStart w:id="133" w:name="_Toc423003944"/>
      <w:bookmarkStart w:id="134" w:name="_Toc423607565"/>
      <w:bookmarkStart w:id="135" w:name="_Toc424130894"/>
      <w:bookmarkStart w:id="136" w:name="_Toc424222407"/>
      <w:bookmarkStart w:id="137" w:name="_Toc424288656"/>
      <w:bookmarkStart w:id="138" w:name="_Toc425244786"/>
      <w:bookmarkStart w:id="139" w:name="_Toc426724722"/>
      <w:bookmarkStart w:id="140" w:name="_Toc427062659"/>
      <w:bookmarkStart w:id="141" w:name="_Toc428962247"/>
      <w:bookmarkEnd w:id="103"/>
      <w:bookmarkEnd w:id="104"/>
      <w:bookmarkEnd w:id="105"/>
      <w:bookmarkEnd w:id="106"/>
      <w:r w:rsidRPr="00C41899">
        <w:rPr>
          <w:rFonts w:ascii="Times New Roman" w:hAnsi="Times New Roman"/>
        </w:rPr>
        <w:t>ordering clauses</w:t>
      </w:r>
      <w:bookmarkEnd w:id="132"/>
      <w:bookmarkEnd w:id="133"/>
      <w:bookmarkEnd w:id="134"/>
      <w:bookmarkEnd w:id="135"/>
      <w:bookmarkEnd w:id="136"/>
      <w:bookmarkEnd w:id="137"/>
      <w:bookmarkEnd w:id="138"/>
      <w:bookmarkEnd w:id="139"/>
      <w:bookmarkEnd w:id="140"/>
      <w:bookmarkEnd w:id="141"/>
    </w:p>
    <w:p w:rsidR="002C0D75" w:rsidRPr="00487811" w:rsidP="002C0D75" w14:paraId="6D5A44F6" w14:textId="77777777">
      <w:pPr>
        <w:pStyle w:val="ParaNum"/>
      </w:pPr>
      <w:r w:rsidRPr="00B638B1">
        <w:t xml:space="preserve">Accordingly, </w:t>
      </w:r>
      <w:r w:rsidRPr="00B638B1">
        <w:rPr>
          <w:b/>
        </w:rPr>
        <w:t>IT IS ORDERED</w:t>
      </w:r>
      <w:r w:rsidRPr="00B638B1">
        <w:t xml:space="preserve"> that, pursuant to the authority found in sections 1, 4(i), 4(j), 303(r), 309, 310, and 336 of the Communications Act of 1934, as amended, 47 U.S.C. §§ 151, 154(i), 154(j), 303(r), 309, 310, and 336, this Notice of Proposed Rulemaking </w:t>
      </w:r>
      <w:r w:rsidRPr="00487811">
        <w:rPr>
          <w:b/>
        </w:rPr>
        <w:t xml:space="preserve">IS ADOPTED.  </w:t>
      </w:r>
    </w:p>
    <w:p w:rsidR="001B1FE5" w:rsidP="001B1FE5" w14:paraId="771E7336" w14:textId="77777777">
      <w:pPr>
        <w:pStyle w:val="ParaNum"/>
      </w:pPr>
      <w:r w:rsidRPr="00487811">
        <w:rPr>
          <w:b/>
        </w:rPr>
        <w:t>IT IS FURTHER ORDERED</w:t>
      </w:r>
      <w:r w:rsidRPr="00487811">
        <w:t xml:space="preserve"> that the Commission’s Consumer and Governmental Affairs Bureau, Reference Information Center, </w:t>
      </w:r>
      <w:r w:rsidRPr="00487811">
        <w:rPr>
          <w:b/>
        </w:rPr>
        <w:t>SHALL SEND</w:t>
      </w:r>
      <w:r w:rsidRPr="00487811">
        <w:t xml:space="preserve"> a copy of this Notice of Proposed Rulemaking, including the Initial Regulatory Flexibility Act </w:t>
      </w:r>
      <w:r>
        <w:t>Analysis</w:t>
      </w:r>
      <w:r w:rsidRPr="00487811">
        <w:t>, to the Chief Counsel for Advocacy of the Small Business Administration.</w:t>
      </w:r>
    </w:p>
    <w:p w:rsidR="001B1FE5" w:rsidP="0017296B" w14:paraId="439FB5C4" w14:textId="77777777">
      <w:r>
        <w:tab/>
      </w:r>
      <w:r>
        <w:tab/>
      </w:r>
      <w:r>
        <w:tab/>
      </w:r>
      <w:r>
        <w:tab/>
      </w:r>
      <w:r>
        <w:tab/>
      </w:r>
      <w:r>
        <w:tab/>
        <w:t>FEDERAL COMMUNICATIONS COMMISSION</w:t>
      </w:r>
    </w:p>
    <w:p w:rsidR="001B1FE5" w:rsidP="0017296B" w14:paraId="610CE9B5" w14:textId="77777777"/>
    <w:p w:rsidR="001B1FE5" w:rsidP="0017296B" w14:paraId="476EA5DC" w14:textId="77777777"/>
    <w:p w:rsidR="001B1FE5" w:rsidP="0017296B" w14:paraId="7ADDD258" w14:textId="77777777"/>
    <w:p w:rsidR="001B1FE5" w:rsidP="0017296B" w14:paraId="2ADB699D" w14:textId="77777777"/>
    <w:p w:rsidR="001B1FE5" w:rsidP="0017296B" w14:paraId="3E6F7863" w14:textId="77777777">
      <w:r>
        <w:tab/>
      </w:r>
      <w:r>
        <w:tab/>
      </w:r>
      <w:r>
        <w:tab/>
      </w:r>
      <w:r>
        <w:tab/>
      </w:r>
      <w:r>
        <w:tab/>
      </w:r>
      <w:r>
        <w:tab/>
        <w:t>Marlene H. Dortch</w:t>
      </w:r>
    </w:p>
    <w:p w:rsidR="001B1FE5" w:rsidP="0017296B" w14:paraId="556A4B53" w14:textId="77777777">
      <w:r>
        <w:tab/>
      </w:r>
      <w:r>
        <w:tab/>
      </w:r>
      <w:r>
        <w:tab/>
      </w:r>
      <w:r>
        <w:tab/>
      </w:r>
      <w:r>
        <w:tab/>
      </w:r>
      <w:r>
        <w:tab/>
        <w:t>Secretary</w:t>
      </w:r>
    </w:p>
    <w:p w:rsidR="002C0D75" w:rsidP="001B1FE5" w14:paraId="0014D8A5" w14:textId="69D8956D">
      <w:pPr>
        <w:pStyle w:val="ParaNum"/>
        <w:numPr>
          <w:ilvl w:val="0"/>
          <w:numId w:val="0"/>
        </w:numPr>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930EE4" w:rsidRPr="00883000" w:rsidP="00144F05" w14:paraId="258EEC9D" w14:textId="213B84BB">
      <w:pPr>
        <w:tabs>
          <w:tab w:val="center" w:pos="4680"/>
          <w:tab w:val="left" w:pos="8180"/>
          <w:tab w:val="right" w:pos="9360"/>
        </w:tabs>
        <w:rPr>
          <w:b/>
          <w:snapToGrid/>
          <w:kern w:val="0"/>
          <w:szCs w:val="22"/>
        </w:rPr>
      </w:pPr>
      <w:r>
        <w:rPr>
          <w:b/>
        </w:rPr>
        <w:tab/>
      </w:r>
      <w:r w:rsidRPr="00883000">
        <w:rPr>
          <w:b/>
          <w:snapToGrid/>
          <w:kern w:val="0"/>
          <w:szCs w:val="22"/>
        </w:rPr>
        <w:t>APPENDIX</w:t>
      </w:r>
    </w:p>
    <w:p w:rsidR="00930EE4" w:rsidRPr="00883000" w:rsidP="00E3346B" w14:paraId="7718014C" w14:textId="77777777">
      <w:pPr>
        <w:widowControl/>
        <w:jc w:val="center"/>
        <w:rPr>
          <w:b/>
          <w:snapToGrid/>
          <w:kern w:val="0"/>
          <w:szCs w:val="22"/>
        </w:rPr>
      </w:pPr>
    </w:p>
    <w:p w:rsidR="00930EE4" w:rsidRPr="00883000" w:rsidP="00E3346B" w14:paraId="6EF6BEA3" w14:textId="77777777">
      <w:pPr>
        <w:widowControl/>
        <w:jc w:val="center"/>
        <w:rPr>
          <w:b/>
          <w:snapToGrid/>
          <w:kern w:val="0"/>
          <w:szCs w:val="22"/>
        </w:rPr>
      </w:pPr>
      <w:r w:rsidRPr="00883000">
        <w:rPr>
          <w:b/>
          <w:snapToGrid/>
          <w:kern w:val="0"/>
          <w:szCs w:val="22"/>
        </w:rPr>
        <w:t>Initial Regulatory Flexibility Act Analysis</w:t>
      </w:r>
    </w:p>
    <w:p w:rsidR="00930EE4" w:rsidRPr="00883000" w:rsidP="00E3346B" w14:paraId="0AFC6123" w14:textId="77777777">
      <w:pPr>
        <w:widowControl/>
        <w:rPr>
          <w:snapToGrid/>
          <w:kern w:val="0"/>
          <w:szCs w:val="22"/>
          <w:highlight w:val="yellow"/>
        </w:rPr>
      </w:pPr>
    </w:p>
    <w:p w:rsidR="00930EE4" w:rsidRPr="00457611" w:rsidP="00E3346B" w14:paraId="0F27412D" w14:textId="77777777">
      <w:pPr>
        <w:pStyle w:val="ParaNum"/>
        <w:numPr>
          <w:ilvl w:val="0"/>
          <w:numId w:val="8"/>
        </w:numPr>
        <w:tabs>
          <w:tab w:val="clear" w:pos="1080"/>
          <w:tab w:val="num" w:pos="1440"/>
        </w:tabs>
        <w:rPr>
          <w:snapToGrid/>
        </w:rPr>
      </w:pPr>
      <w:r w:rsidRPr="00457611">
        <w:rPr>
          <w:snapToGrid/>
        </w:rPr>
        <w:t>As required by the Regulatory Flexibility Act of 1980, as amended (RFA)</w:t>
      </w:r>
      <w:r>
        <w:rPr>
          <w:snapToGrid/>
          <w:vertAlign w:val="superscript"/>
        </w:rPr>
        <w:footnoteReference w:id="47"/>
      </w:r>
      <w:r w:rsidRPr="00457611">
        <w:rPr>
          <w:snapToGrid/>
        </w:rPr>
        <w:t xml:space="preserve"> the Commission has prepared this Initial Regulatory Flexibility Act Analysis (IRFA) </w:t>
      </w:r>
      <w:r>
        <w:rPr>
          <w:snapToGrid/>
        </w:rPr>
        <w:t xml:space="preserve">of </w:t>
      </w:r>
      <w:r w:rsidRPr="00457611">
        <w:rPr>
          <w:snapToGrid/>
        </w:rPr>
        <w:t xml:space="preserve">the possible significant economic impact </w:t>
      </w:r>
      <w:r w:rsidRPr="00457611">
        <w:rPr>
          <w:snapToGrid/>
          <w:kern w:val="0"/>
          <w:szCs w:val="22"/>
        </w:rPr>
        <w:t>on</w:t>
      </w:r>
      <w:r w:rsidRPr="00457611">
        <w:rPr>
          <w:snapToGrid/>
        </w:rPr>
        <w:t xml:space="preserve"> </w:t>
      </w:r>
      <w:r>
        <w:t xml:space="preserve">a substantial number of </w:t>
      </w:r>
      <w:r w:rsidRPr="00457611">
        <w:rPr>
          <w:snapToGrid/>
        </w:rPr>
        <w:t xml:space="preserve">small entities by the </w:t>
      </w:r>
      <w:r>
        <w:rPr>
          <w:snapToGrid/>
        </w:rPr>
        <w:t xml:space="preserve">policies and </w:t>
      </w:r>
      <w:r w:rsidRPr="00457611">
        <w:rPr>
          <w:snapToGrid/>
        </w:rPr>
        <w:t xml:space="preserve">rules proposed in this </w:t>
      </w:r>
      <w:r w:rsidRPr="00144F05">
        <w:rPr>
          <w:i/>
          <w:snapToGrid/>
        </w:rPr>
        <w:t>Notice of Proposed Rulemaking</w:t>
      </w:r>
      <w:r w:rsidRPr="00457611">
        <w:rPr>
          <w:snapToGrid/>
        </w:rPr>
        <w:t xml:space="preserve"> (</w:t>
      </w:r>
      <w:r w:rsidRPr="00144F05">
        <w:rPr>
          <w:i/>
          <w:snapToGrid/>
        </w:rPr>
        <w:t>NPRM</w:t>
      </w:r>
      <w:r w:rsidRPr="00457611">
        <w:rPr>
          <w:snapToGrid/>
        </w:rPr>
        <w:t xml:space="preserve">).  Written public comments are requested on this IRFA.  Comments must be identified as responses to the IRFA and must be filed by the deadlines for comments provided on the first page of the </w:t>
      </w:r>
      <w:r w:rsidRPr="00144F05">
        <w:rPr>
          <w:i/>
          <w:snapToGrid/>
        </w:rPr>
        <w:t>NPRM</w:t>
      </w:r>
      <w:r w:rsidRPr="00457611">
        <w:rPr>
          <w:snapToGrid/>
        </w:rPr>
        <w:t xml:space="preserve">.  The Commission will send a copy of the </w:t>
      </w:r>
      <w:r w:rsidRPr="00144F05">
        <w:rPr>
          <w:i/>
          <w:snapToGrid/>
        </w:rPr>
        <w:t>NPRM</w:t>
      </w:r>
      <w:r w:rsidRPr="00457611">
        <w:rPr>
          <w:i/>
          <w:snapToGrid/>
        </w:rPr>
        <w:t>,</w:t>
      </w:r>
      <w:r w:rsidRPr="00457611">
        <w:rPr>
          <w:snapToGrid/>
        </w:rPr>
        <w:t xml:space="preserve"> including this IRFA, to the Chief Counsel for Advocacy of the Small Business Administration (SBA).</w:t>
      </w:r>
      <w:r>
        <w:rPr>
          <w:snapToGrid/>
          <w:vertAlign w:val="superscript"/>
        </w:rPr>
        <w:footnoteReference w:id="48"/>
      </w:r>
      <w:r w:rsidRPr="00457611">
        <w:rPr>
          <w:snapToGrid/>
        </w:rPr>
        <w:t xml:space="preserve">  In addition, the </w:t>
      </w:r>
      <w:r w:rsidRPr="00144F05">
        <w:rPr>
          <w:i/>
          <w:snapToGrid/>
        </w:rPr>
        <w:t>NPRM</w:t>
      </w:r>
      <w:r w:rsidRPr="00457611">
        <w:rPr>
          <w:snapToGrid/>
        </w:rPr>
        <w:t xml:space="preserve"> and IRFA (or summaries thereof) will be published in the Federal Register.</w:t>
      </w:r>
      <w:r>
        <w:rPr>
          <w:snapToGrid/>
          <w:vertAlign w:val="superscript"/>
        </w:rPr>
        <w:footnoteReference w:id="49"/>
      </w:r>
    </w:p>
    <w:p w:rsidR="00930EE4" w:rsidRPr="00883000" w:rsidP="00AD008C" w14:paraId="6FFC1D6F" w14:textId="77777777">
      <w:pPr>
        <w:pStyle w:val="Heading2"/>
      </w:pPr>
      <w:bookmarkStart w:id="142" w:name="_Toc394663457"/>
      <w:bookmarkStart w:id="143" w:name="_Toc401909714"/>
      <w:bookmarkStart w:id="144" w:name="_Toc402428423"/>
      <w:bookmarkStart w:id="145" w:name="_Toc403718720"/>
      <w:r w:rsidRPr="00883000">
        <w:t>Need for, and Objectives of, the Proposed Rules</w:t>
      </w:r>
      <w:bookmarkEnd w:id="142"/>
      <w:bookmarkEnd w:id="143"/>
      <w:bookmarkEnd w:id="144"/>
      <w:bookmarkEnd w:id="145"/>
    </w:p>
    <w:p w:rsidR="00930EE4" w:rsidP="00E3346B" w14:paraId="36020D1B" w14:textId="77777777">
      <w:pPr>
        <w:pStyle w:val="ParaNum"/>
        <w:numPr>
          <w:ilvl w:val="0"/>
          <w:numId w:val="8"/>
        </w:numPr>
        <w:tabs>
          <w:tab w:val="clear" w:pos="1080"/>
          <w:tab w:val="num" w:pos="1440"/>
        </w:tabs>
        <w:rPr>
          <w:snapToGrid/>
          <w:kern w:val="0"/>
          <w:szCs w:val="22"/>
        </w:rPr>
      </w:pPr>
      <w:r w:rsidRPr="00487811">
        <w:t xml:space="preserve">In this </w:t>
      </w:r>
      <w:r w:rsidRPr="00144F05">
        <w:rPr>
          <w:i/>
        </w:rPr>
        <w:t>NPRM</w:t>
      </w:r>
      <w:r w:rsidRPr="00487811">
        <w:t xml:space="preserve">, the Commission seeks comment on how to modernize Section 73.3613 of the Commission’s rules, which </w:t>
      </w:r>
      <w:r w:rsidRPr="00D22DA6">
        <w:t>requires each licensee or permittee of a commercial and noncommercial AM, FM, television, or international broadcast station to file certain contracts and other documents with the Commission within 30 days after execution.</w:t>
      </w:r>
      <w:r>
        <w:rPr>
          <w:rStyle w:val="FootnoteReference"/>
          <w:sz w:val="22"/>
        </w:rPr>
        <w:footnoteReference w:id="50"/>
      </w:r>
      <w:r w:rsidRPr="00D22DA6">
        <w:t xml:space="preserve">  </w:t>
      </w:r>
      <w:r w:rsidRPr="00F75F30">
        <w:rPr>
          <w:snapToGrid/>
          <w:kern w:val="0"/>
          <w:szCs w:val="22"/>
        </w:rPr>
        <w:t xml:space="preserve">The potential rule changes discussed in the </w:t>
      </w:r>
      <w:r w:rsidRPr="00144F05">
        <w:rPr>
          <w:i/>
          <w:snapToGrid/>
          <w:kern w:val="0"/>
          <w:szCs w:val="22"/>
        </w:rPr>
        <w:t>NPRM</w:t>
      </w:r>
      <w:r w:rsidRPr="00F75F30">
        <w:rPr>
          <w:snapToGrid/>
          <w:kern w:val="0"/>
          <w:szCs w:val="22"/>
        </w:rPr>
        <w:t xml:space="preserve"> stem from a Public Notice issued by the Commission in May 2017 launching an initiative to modernize the Commission’s media regulations.</w:t>
      </w:r>
      <w:r>
        <w:rPr>
          <w:snapToGrid/>
          <w:vertAlign w:val="superscript"/>
        </w:rPr>
        <w:footnoteReference w:id="51"/>
      </w:r>
      <w:r w:rsidRPr="00F75F30">
        <w:rPr>
          <w:snapToGrid/>
          <w:kern w:val="0"/>
          <w:szCs w:val="22"/>
        </w:rPr>
        <w:t xml:space="preserve">  Several commenters in the proceeding have argued that the Commission should amend Section 73.3613</w:t>
      </w:r>
      <w:r>
        <w:rPr>
          <w:snapToGrid/>
          <w:kern w:val="0"/>
          <w:szCs w:val="22"/>
        </w:rPr>
        <w:t xml:space="preserve"> </w:t>
      </w:r>
      <w:r w:rsidRPr="00F75F30">
        <w:rPr>
          <w:snapToGrid/>
          <w:kern w:val="0"/>
          <w:szCs w:val="22"/>
        </w:rPr>
        <w:t xml:space="preserve">to eliminate the paper filing </w:t>
      </w:r>
      <w:r w:rsidRPr="00B03DB9">
        <w:rPr>
          <w:snapToGrid/>
        </w:rPr>
        <w:t>requirement</w:t>
      </w:r>
      <w:r w:rsidRPr="00F75F30">
        <w:rPr>
          <w:snapToGrid/>
          <w:kern w:val="0"/>
          <w:szCs w:val="22"/>
        </w:rPr>
        <w:t xml:space="preserve"> and other duplicate or unnecessary filing requirements.</w:t>
      </w:r>
      <w:r>
        <w:rPr>
          <w:rStyle w:val="FootnoteReference"/>
          <w:snapToGrid/>
          <w:kern w:val="0"/>
          <w:szCs w:val="22"/>
        </w:rPr>
        <w:footnoteReference w:id="52"/>
      </w:r>
      <w:r w:rsidRPr="00F75F30">
        <w:rPr>
          <w:snapToGrid/>
          <w:kern w:val="0"/>
          <w:szCs w:val="22"/>
        </w:rPr>
        <w:t xml:space="preserve">  </w:t>
      </w:r>
    </w:p>
    <w:p w:rsidR="00930EE4" w:rsidRPr="00F75F30" w:rsidP="00E3346B" w14:paraId="07BDA04D" w14:textId="77777777">
      <w:pPr>
        <w:pStyle w:val="ParaNum"/>
        <w:numPr>
          <w:ilvl w:val="0"/>
          <w:numId w:val="8"/>
        </w:numPr>
        <w:tabs>
          <w:tab w:val="clear" w:pos="1080"/>
          <w:tab w:val="num" w:pos="1440"/>
        </w:tabs>
        <w:rPr>
          <w:snapToGrid/>
          <w:kern w:val="0"/>
          <w:szCs w:val="22"/>
        </w:rPr>
      </w:pPr>
      <w:r w:rsidRPr="00F75F30">
        <w:rPr>
          <w:snapToGrid/>
          <w:kern w:val="0"/>
          <w:szCs w:val="22"/>
        </w:rPr>
        <w:t xml:space="preserve">The </w:t>
      </w:r>
      <w:r w:rsidRPr="00144F05">
        <w:rPr>
          <w:i/>
          <w:snapToGrid/>
          <w:kern w:val="0"/>
          <w:szCs w:val="22"/>
        </w:rPr>
        <w:t>NPRM</w:t>
      </w:r>
      <w:r w:rsidRPr="00F75F30">
        <w:rPr>
          <w:snapToGrid/>
          <w:kern w:val="0"/>
          <w:szCs w:val="22"/>
        </w:rPr>
        <w:t xml:space="preserve"> proposes to </w:t>
      </w:r>
      <w:r>
        <w:rPr>
          <w:snapToGrid/>
          <w:kern w:val="0"/>
          <w:szCs w:val="22"/>
        </w:rPr>
        <w:t xml:space="preserve">eliminate the </w:t>
      </w:r>
      <w:r w:rsidRPr="00F75F30">
        <w:rPr>
          <w:snapToGrid/>
          <w:kern w:val="0"/>
          <w:szCs w:val="22"/>
        </w:rPr>
        <w:t>Section 73.3613 paper filing requirement for licensees and permittees of commercial and noncommercial AM, FM, television</w:t>
      </w:r>
      <w:r>
        <w:rPr>
          <w:snapToGrid/>
          <w:kern w:val="0"/>
          <w:szCs w:val="22"/>
        </w:rPr>
        <w:t>, and international broadcast</w:t>
      </w:r>
      <w:r w:rsidRPr="00F75F30">
        <w:rPr>
          <w:snapToGrid/>
          <w:kern w:val="0"/>
          <w:szCs w:val="22"/>
        </w:rPr>
        <w:t xml:space="preserve"> stations</w:t>
      </w:r>
      <w:r>
        <w:rPr>
          <w:snapToGrid/>
          <w:kern w:val="0"/>
          <w:szCs w:val="22"/>
        </w:rPr>
        <w:t>.</w:t>
      </w:r>
      <w:r w:rsidRPr="00F75F30">
        <w:rPr>
          <w:snapToGrid/>
          <w:kern w:val="0"/>
          <w:szCs w:val="22"/>
        </w:rPr>
        <w:t xml:space="preserve"> </w:t>
      </w:r>
      <w:r>
        <w:rPr>
          <w:snapToGrid/>
          <w:kern w:val="0"/>
          <w:szCs w:val="22"/>
        </w:rPr>
        <w:t xml:space="preserve"> In addition, the </w:t>
      </w:r>
      <w:r w:rsidRPr="00144F05">
        <w:rPr>
          <w:i/>
          <w:snapToGrid/>
          <w:kern w:val="0"/>
          <w:szCs w:val="22"/>
        </w:rPr>
        <w:t>NPRM</w:t>
      </w:r>
      <w:r>
        <w:rPr>
          <w:snapToGrid/>
          <w:kern w:val="0"/>
          <w:szCs w:val="22"/>
        </w:rPr>
        <w:t xml:space="preserve"> also </w:t>
      </w:r>
      <w:r w:rsidRPr="006264A9">
        <w:t>seeks comment on other proposed modifications to broadcasters’ current obligations under Section 73.3613, including, among ot</w:t>
      </w:r>
      <w:r w:rsidRPr="00034F19">
        <w:t>her things, eliminating certain redundant filing obligations and providing enhanced confid</w:t>
      </w:r>
      <w:r>
        <w:t>entiality protections</w:t>
      </w:r>
      <w:r w:rsidRPr="00F75F30">
        <w:rPr>
          <w:snapToGrid/>
          <w:kern w:val="0"/>
          <w:szCs w:val="22"/>
        </w:rPr>
        <w:t xml:space="preserve">.  The rule revisions on which the NPRM seeks comment are intended to reduce unnecessary regulation and regulatory burdens that can impede competition and innovation in the media marketplace. </w:t>
      </w:r>
    </w:p>
    <w:p w:rsidR="00930EE4" w:rsidRPr="00883000" w:rsidP="00AD008C" w14:paraId="10BB5522" w14:textId="77777777">
      <w:pPr>
        <w:pStyle w:val="Heading2"/>
      </w:pPr>
      <w:bookmarkStart w:id="146" w:name="_Toc394663458"/>
      <w:bookmarkStart w:id="147" w:name="_Toc401909715"/>
      <w:bookmarkStart w:id="148" w:name="_Toc402428424"/>
      <w:bookmarkStart w:id="149" w:name="_Toc403718721"/>
      <w:r w:rsidRPr="00883000">
        <w:t>Legal Basis</w:t>
      </w:r>
      <w:bookmarkEnd w:id="146"/>
      <w:bookmarkEnd w:id="147"/>
      <w:bookmarkEnd w:id="148"/>
      <w:bookmarkEnd w:id="149"/>
    </w:p>
    <w:p w:rsidR="00930EE4" w:rsidRPr="00883000" w:rsidP="00E3346B" w14:paraId="7DBDC4CD" w14:textId="77777777">
      <w:pPr>
        <w:pStyle w:val="ParaNum"/>
        <w:numPr>
          <w:ilvl w:val="0"/>
          <w:numId w:val="8"/>
        </w:numPr>
        <w:tabs>
          <w:tab w:val="clear" w:pos="1080"/>
          <w:tab w:val="num" w:pos="1440"/>
        </w:tabs>
        <w:rPr>
          <w:snapToGrid/>
          <w:kern w:val="0"/>
          <w:szCs w:val="22"/>
        </w:rPr>
      </w:pPr>
      <w:r w:rsidRPr="00883000">
        <w:rPr>
          <w:snapToGrid/>
          <w:kern w:val="0"/>
          <w:szCs w:val="22"/>
        </w:rPr>
        <w:t xml:space="preserve">The </w:t>
      </w:r>
      <w:r w:rsidRPr="00B03DB9">
        <w:rPr>
          <w:snapToGrid/>
        </w:rPr>
        <w:t>proposed</w:t>
      </w:r>
      <w:r w:rsidRPr="00883000">
        <w:rPr>
          <w:snapToGrid/>
          <w:kern w:val="0"/>
          <w:szCs w:val="22"/>
        </w:rPr>
        <w:t xml:space="preserve"> action is authorized pursuant to </w:t>
      </w:r>
      <w:r>
        <w:t>S</w:t>
      </w:r>
      <w:r w:rsidRPr="00B638B1">
        <w:t>ections 1, 4(i), 4(j), 303(r), 309, 310, and 336 of the Communications Act of 1934, as amended, 47 U.S.C. §§ 151, 154(i), 154(j), 303(r), 309, 310, and 336</w:t>
      </w:r>
      <w:r w:rsidRPr="00883000">
        <w:rPr>
          <w:snapToGrid/>
          <w:kern w:val="0"/>
          <w:szCs w:val="22"/>
        </w:rPr>
        <w:t>.</w:t>
      </w:r>
    </w:p>
    <w:p w:rsidR="00930EE4" w:rsidRPr="00883000" w:rsidP="00AD008C" w14:paraId="7433E94D" w14:textId="77777777">
      <w:pPr>
        <w:pStyle w:val="Heading2"/>
      </w:pPr>
      <w:bookmarkStart w:id="150" w:name="_Toc394663459"/>
      <w:bookmarkStart w:id="151" w:name="_Toc401909716"/>
      <w:bookmarkStart w:id="152" w:name="_Toc402428425"/>
      <w:bookmarkStart w:id="153" w:name="_Toc403718722"/>
      <w:r w:rsidRPr="00883000">
        <w:t>Description and Estimates of the Number of Small Entities to Which the Proposed Rules Will Apply</w:t>
      </w:r>
      <w:bookmarkEnd w:id="150"/>
      <w:bookmarkEnd w:id="151"/>
      <w:bookmarkEnd w:id="152"/>
      <w:bookmarkEnd w:id="153"/>
      <w:r w:rsidRPr="00883000">
        <w:t xml:space="preserve"> </w:t>
      </w:r>
    </w:p>
    <w:p w:rsidR="00930EE4" w:rsidP="00E3346B" w14:paraId="068A207E" w14:textId="553C6467">
      <w:pPr>
        <w:pStyle w:val="ParaNum"/>
        <w:numPr>
          <w:ilvl w:val="0"/>
          <w:numId w:val="8"/>
        </w:numPr>
        <w:tabs>
          <w:tab w:val="clear" w:pos="1080"/>
          <w:tab w:val="num" w:pos="1440"/>
        </w:tabs>
        <w:rPr>
          <w:snapToGrid/>
          <w:kern w:val="0"/>
          <w:szCs w:val="22"/>
        </w:rPr>
      </w:pPr>
      <w:r w:rsidRPr="00883000">
        <w:rPr>
          <w:snapToGrid/>
          <w:kern w:val="0"/>
          <w:szCs w:val="22"/>
        </w:rPr>
        <w:t>The RFA directs agencies to provide a description of and, where feasible, an estimate of the number of small entities that may be affected by the proposed rules, if adopted.</w:t>
      </w:r>
      <w:r>
        <w:rPr>
          <w:snapToGrid/>
          <w:kern w:val="0"/>
          <w:szCs w:val="22"/>
          <w:vertAlign w:val="superscript"/>
        </w:rPr>
        <w:footnoteReference w:id="53"/>
      </w:r>
      <w:r w:rsidRPr="00883000">
        <w:rPr>
          <w:snapToGrid/>
          <w:kern w:val="0"/>
          <w:szCs w:val="22"/>
        </w:rPr>
        <w:t xml:space="preserve">  The RFA generally defines the term “small </w:t>
      </w:r>
      <w:r w:rsidRPr="00B03DB9">
        <w:rPr>
          <w:snapToGrid/>
        </w:rPr>
        <w:t>entity</w:t>
      </w:r>
      <w:r w:rsidRPr="00883000">
        <w:rPr>
          <w:snapToGrid/>
          <w:kern w:val="0"/>
          <w:szCs w:val="22"/>
        </w:rPr>
        <w:t>” as having the same meaning as the terms “small business,” “small organization,” and “small governmental jurisdiction.”</w:t>
      </w:r>
      <w:r>
        <w:rPr>
          <w:snapToGrid/>
          <w:kern w:val="0"/>
          <w:szCs w:val="22"/>
          <w:vertAlign w:val="superscript"/>
        </w:rPr>
        <w:footnoteReference w:id="54"/>
      </w:r>
      <w:r w:rsidRPr="00883000">
        <w:rPr>
          <w:snapToGrid/>
          <w:kern w:val="0"/>
          <w:szCs w:val="22"/>
        </w:rPr>
        <w:t xml:space="preserve">  In addition, the term “small business” has the same meaning as the term “small business concern” under the Small Business Act.</w:t>
      </w:r>
      <w:r>
        <w:rPr>
          <w:snapToGrid/>
          <w:kern w:val="0"/>
          <w:szCs w:val="22"/>
          <w:vertAlign w:val="superscript"/>
        </w:rPr>
        <w:footnoteReference w:id="55"/>
      </w:r>
      <w:r w:rsidRPr="00883000">
        <w:rPr>
          <w:snapToGrid/>
          <w:kern w:val="0"/>
          <w:szCs w:val="22"/>
        </w:rPr>
        <w:t xml:space="preserve">  A small business concern is one which:  (1) is independently owned and operated; (2) is not dominant in its field of operation; and (3) satisfies any additional criteria established by the SBA.</w:t>
      </w:r>
      <w:r>
        <w:rPr>
          <w:snapToGrid/>
          <w:kern w:val="0"/>
          <w:szCs w:val="22"/>
          <w:vertAlign w:val="superscript"/>
        </w:rPr>
        <w:footnoteReference w:id="56"/>
      </w:r>
      <w:r w:rsidRPr="00883000">
        <w:rPr>
          <w:snapToGrid/>
          <w:kern w:val="0"/>
          <w:szCs w:val="22"/>
        </w:rPr>
        <w:t xml:space="preserve">  </w:t>
      </w:r>
    </w:p>
    <w:p w:rsidR="00930EE4" w:rsidRPr="00883000" w:rsidP="00E3346B" w14:paraId="7C0D3C70" w14:textId="77777777">
      <w:pPr>
        <w:pStyle w:val="ParaNum"/>
        <w:numPr>
          <w:ilvl w:val="0"/>
          <w:numId w:val="8"/>
        </w:numPr>
        <w:tabs>
          <w:tab w:val="clear" w:pos="1080"/>
          <w:tab w:val="num" w:pos="1440"/>
        </w:tabs>
        <w:rPr>
          <w:snapToGrid/>
          <w:kern w:val="0"/>
          <w:szCs w:val="22"/>
        </w:rPr>
      </w:pPr>
      <w:r w:rsidRPr="00883000">
        <w:rPr>
          <w:snapToGrid/>
          <w:kern w:val="0"/>
          <w:szCs w:val="22"/>
        </w:rPr>
        <w:t xml:space="preserve">The rules proposed herein will directly affect small </w:t>
      </w:r>
      <w:r>
        <w:rPr>
          <w:snapToGrid/>
          <w:kern w:val="0"/>
          <w:szCs w:val="22"/>
        </w:rPr>
        <w:t>radio, television, and international</w:t>
      </w:r>
      <w:r w:rsidRPr="00883000">
        <w:rPr>
          <w:snapToGrid/>
          <w:kern w:val="0"/>
          <w:szCs w:val="22"/>
        </w:rPr>
        <w:t xml:space="preserve"> broadcast stations.  Below, we provide a description of these small entities, as well as an estimate of the number of such small entities, where feasible. </w:t>
      </w:r>
    </w:p>
    <w:p w:rsidR="00930EE4" w:rsidRPr="00883000" w:rsidP="00E3346B" w14:paraId="22D49D82" w14:textId="3C628E56">
      <w:pPr>
        <w:pStyle w:val="ParaNum"/>
        <w:numPr>
          <w:ilvl w:val="0"/>
          <w:numId w:val="8"/>
        </w:numPr>
        <w:tabs>
          <w:tab w:val="clear" w:pos="1080"/>
          <w:tab w:val="num" w:pos="1440"/>
        </w:tabs>
        <w:rPr>
          <w:szCs w:val="22"/>
        </w:rPr>
      </w:pPr>
      <w:r w:rsidRPr="00883000">
        <w:rPr>
          <w:i/>
          <w:snapToGrid/>
          <w:kern w:val="0"/>
          <w:szCs w:val="22"/>
        </w:rPr>
        <w:t>Radio Stations</w:t>
      </w:r>
      <w:r w:rsidRPr="00883000">
        <w:rPr>
          <w:snapToGrid/>
          <w:kern w:val="0"/>
          <w:szCs w:val="22"/>
        </w:rPr>
        <w:t xml:space="preserve">.  This </w:t>
      </w:r>
      <w:r>
        <w:rPr>
          <w:snapToGrid/>
          <w:kern w:val="0"/>
          <w:szCs w:val="22"/>
        </w:rPr>
        <w:t>E</w:t>
      </w:r>
      <w:r w:rsidRPr="00883000">
        <w:rPr>
          <w:snapToGrid/>
          <w:kern w:val="0"/>
          <w:szCs w:val="22"/>
        </w:rPr>
        <w:t xml:space="preserve">conomic Census category “comprises establishments primarily engaged in broadcasting aural programs by radio to the public.  </w:t>
      </w:r>
      <w:r w:rsidRPr="006023CB">
        <w:t>Programming may originate in their own studio, from an affiliated network, or from external sources.”</w:t>
      </w:r>
      <w:r>
        <w:rPr>
          <w:sz w:val="20"/>
          <w:vertAlign w:val="superscript"/>
        </w:rPr>
        <w:footnoteReference w:id="57"/>
      </w:r>
      <w:r w:rsidRPr="006023CB" w:rsidR="001B1FE5">
        <w:t xml:space="preserve"> </w:t>
      </w:r>
      <w:r w:rsidR="001B1FE5">
        <w:rPr>
          <w:snapToGrid/>
          <w:kern w:val="0"/>
          <w:szCs w:val="22"/>
        </w:rPr>
        <w:t xml:space="preserve"> </w:t>
      </w:r>
      <w:r w:rsidRPr="00883000">
        <w:rPr>
          <w:snapToGrid/>
          <w:kern w:val="0"/>
          <w:szCs w:val="22"/>
        </w:rPr>
        <w:t xml:space="preserve">The SBA has </w:t>
      </w:r>
      <w:r>
        <w:rPr>
          <w:snapToGrid/>
          <w:kern w:val="0"/>
          <w:szCs w:val="22"/>
        </w:rPr>
        <w:t xml:space="preserve">established a </w:t>
      </w:r>
      <w:r w:rsidRPr="00883000">
        <w:rPr>
          <w:snapToGrid/>
          <w:kern w:val="0"/>
          <w:szCs w:val="22"/>
        </w:rPr>
        <w:t>small business size standard for this category</w:t>
      </w:r>
      <w:r>
        <w:rPr>
          <w:snapToGrid/>
          <w:kern w:val="0"/>
          <w:szCs w:val="22"/>
        </w:rPr>
        <w:t xml:space="preserve"> as firms </w:t>
      </w:r>
      <w:r w:rsidRPr="00883000">
        <w:rPr>
          <w:snapToGrid/>
          <w:kern w:val="0"/>
          <w:szCs w:val="22"/>
        </w:rPr>
        <w:t>having $38.5 million or less in annual receipts.</w:t>
      </w:r>
      <w:r>
        <w:rPr>
          <w:snapToGrid/>
          <w:kern w:val="0"/>
          <w:szCs w:val="22"/>
          <w:vertAlign w:val="superscript"/>
        </w:rPr>
        <w:footnoteReference w:id="58"/>
      </w:r>
      <w:r w:rsidRPr="00883000">
        <w:rPr>
          <w:snapToGrid/>
          <w:kern w:val="0"/>
          <w:szCs w:val="22"/>
        </w:rPr>
        <w:t xml:space="preserve">  </w:t>
      </w:r>
      <w:r>
        <w:rPr>
          <w:snapToGrid/>
          <w:kern w:val="0"/>
          <w:szCs w:val="22"/>
        </w:rPr>
        <w:t xml:space="preserve">Economic </w:t>
      </w:r>
      <w:r w:rsidRPr="00883000">
        <w:rPr>
          <w:snapToGrid/>
          <w:kern w:val="0"/>
          <w:szCs w:val="22"/>
        </w:rPr>
        <w:t>Census data for 2012 show</w:t>
      </w:r>
      <w:r>
        <w:rPr>
          <w:snapToGrid/>
          <w:kern w:val="0"/>
          <w:szCs w:val="22"/>
        </w:rPr>
        <w:t>s</w:t>
      </w:r>
      <w:r w:rsidRPr="00883000">
        <w:rPr>
          <w:snapToGrid/>
          <w:kern w:val="0"/>
          <w:szCs w:val="22"/>
        </w:rPr>
        <w:t xml:space="preserve"> that 2,849 </w:t>
      </w:r>
      <w:r>
        <w:rPr>
          <w:snapToGrid/>
          <w:kern w:val="0"/>
          <w:szCs w:val="22"/>
        </w:rPr>
        <w:t xml:space="preserve">radio station </w:t>
      </w:r>
      <w:r w:rsidRPr="00883000">
        <w:rPr>
          <w:snapToGrid/>
          <w:kern w:val="0"/>
          <w:szCs w:val="22"/>
        </w:rPr>
        <w:t xml:space="preserve">firms operated </w:t>
      </w:r>
      <w:r>
        <w:rPr>
          <w:snapToGrid/>
          <w:kern w:val="0"/>
          <w:szCs w:val="22"/>
        </w:rPr>
        <w:t>during</w:t>
      </w:r>
      <w:r w:rsidRPr="00883000">
        <w:rPr>
          <w:snapToGrid/>
          <w:kern w:val="0"/>
          <w:szCs w:val="22"/>
        </w:rPr>
        <w:t xml:space="preserve"> that year.</w:t>
      </w:r>
      <w:r>
        <w:rPr>
          <w:snapToGrid/>
          <w:kern w:val="0"/>
          <w:szCs w:val="22"/>
          <w:vertAlign w:val="superscript"/>
        </w:rPr>
        <w:footnoteReference w:id="59"/>
      </w:r>
      <w:r w:rsidRPr="00883000">
        <w:rPr>
          <w:snapToGrid/>
          <w:kern w:val="0"/>
          <w:szCs w:val="22"/>
        </w:rPr>
        <w:t xml:space="preserve">  Of th</w:t>
      </w:r>
      <w:r>
        <w:rPr>
          <w:snapToGrid/>
          <w:kern w:val="0"/>
          <w:szCs w:val="22"/>
        </w:rPr>
        <w:t>at</w:t>
      </w:r>
      <w:r w:rsidRPr="00883000">
        <w:rPr>
          <w:snapToGrid/>
          <w:kern w:val="0"/>
          <w:szCs w:val="22"/>
        </w:rPr>
        <w:t xml:space="preserve"> number, 2,806 firms </w:t>
      </w:r>
      <w:r>
        <w:rPr>
          <w:snapToGrid/>
          <w:kern w:val="0"/>
          <w:szCs w:val="22"/>
        </w:rPr>
        <w:t xml:space="preserve">operated with </w:t>
      </w:r>
      <w:r w:rsidRPr="00883000">
        <w:rPr>
          <w:snapToGrid/>
          <w:kern w:val="0"/>
          <w:szCs w:val="22"/>
        </w:rPr>
        <w:t>annual receipts of less than $25 million</w:t>
      </w:r>
      <w:r>
        <w:rPr>
          <w:snapToGrid/>
          <w:kern w:val="0"/>
          <w:szCs w:val="22"/>
        </w:rPr>
        <w:t xml:space="preserve"> per year</w:t>
      </w:r>
      <w:r w:rsidRPr="00883000">
        <w:rPr>
          <w:snapToGrid/>
          <w:kern w:val="0"/>
          <w:szCs w:val="22"/>
        </w:rPr>
        <w:t>,</w:t>
      </w:r>
      <w:r>
        <w:rPr>
          <w:snapToGrid/>
          <w:kern w:val="0"/>
          <w:szCs w:val="22"/>
        </w:rPr>
        <w:t xml:space="preserve"> </w:t>
      </w:r>
      <w:r>
        <w:t>17 with annual receipts between $</w:t>
      </w:r>
      <w:r w:rsidR="00112FF6">
        <w:t>24,999,999</w:t>
      </w:r>
      <w:r>
        <w:t xml:space="preserve"> and $</w:t>
      </w:r>
      <w:r w:rsidR="00112FF6">
        <w:t>50</w:t>
      </w:r>
      <w:r>
        <w:t xml:space="preserve"> million</w:t>
      </w:r>
      <w:r w:rsidR="00112FF6">
        <w:t>,</w:t>
      </w:r>
      <w:r>
        <w:t xml:space="preserve"> and 26 with annual receipts of $50 million or more</w:t>
      </w:r>
      <w:r w:rsidRPr="006023CB">
        <w:t>.</w:t>
      </w:r>
      <w:r>
        <w:rPr>
          <w:sz w:val="20"/>
          <w:vertAlign w:val="superscript"/>
        </w:rPr>
        <w:footnoteReference w:id="60"/>
      </w:r>
      <w:r w:rsidRPr="006023CB" w:rsidR="001B1FE5">
        <w:t xml:space="preserve"> </w:t>
      </w:r>
      <w:r w:rsidRPr="00883000" w:rsidR="001B1FE5">
        <w:rPr>
          <w:snapToGrid/>
          <w:kern w:val="0"/>
          <w:szCs w:val="22"/>
        </w:rPr>
        <w:t xml:space="preserve"> </w:t>
      </w:r>
      <w:r>
        <w:rPr>
          <w:snapToGrid/>
          <w:kern w:val="0"/>
          <w:szCs w:val="22"/>
        </w:rPr>
        <w:t xml:space="preserve">Therefore, based on the SBA’s size standard </w:t>
      </w:r>
      <w:r w:rsidRPr="00883000">
        <w:rPr>
          <w:snapToGrid/>
          <w:kern w:val="0"/>
          <w:szCs w:val="22"/>
        </w:rPr>
        <w:t xml:space="preserve">the majority of </w:t>
      </w:r>
      <w:r>
        <w:rPr>
          <w:snapToGrid/>
          <w:kern w:val="0"/>
          <w:szCs w:val="22"/>
        </w:rPr>
        <w:t xml:space="preserve">such entities are </w:t>
      </w:r>
      <w:r w:rsidRPr="00883000">
        <w:rPr>
          <w:snapToGrid/>
          <w:kern w:val="0"/>
          <w:szCs w:val="22"/>
        </w:rPr>
        <w:t>small</w:t>
      </w:r>
      <w:r>
        <w:rPr>
          <w:snapToGrid/>
          <w:kern w:val="0"/>
          <w:szCs w:val="22"/>
        </w:rPr>
        <w:t xml:space="preserve"> entities</w:t>
      </w:r>
      <w:r w:rsidRPr="00883000">
        <w:rPr>
          <w:snapToGrid/>
          <w:kern w:val="0"/>
          <w:szCs w:val="22"/>
        </w:rPr>
        <w:t xml:space="preserve">. </w:t>
      </w:r>
    </w:p>
    <w:p w:rsidR="00930EE4" w:rsidRPr="00144F05" w:rsidP="00E3346B" w14:paraId="51AB51C7" w14:textId="3F3858DE">
      <w:pPr>
        <w:pStyle w:val="ParaNum"/>
        <w:numPr>
          <w:ilvl w:val="0"/>
          <w:numId w:val="8"/>
        </w:numPr>
        <w:tabs>
          <w:tab w:val="clear" w:pos="1080"/>
          <w:tab w:val="num" w:pos="1440"/>
        </w:tabs>
        <w:rPr>
          <w:szCs w:val="22"/>
        </w:rPr>
      </w:pPr>
      <w:r>
        <w:t>A</w:t>
      </w:r>
      <w:r w:rsidRPr="00AA4FA8">
        <w:t xml:space="preserve">ccording to Commission staff review of the BIA/Kelsey, LLC’s Media Access Pro Radio Database on </w:t>
      </w:r>
      <w:r w:rsidR="00965E77">
        <w:rPr>
          <w:snapToGrid/>
          <w:kern w:val="0"/>
          <w:szCs w:val="22"/>
        </w:rPr>
        <w:t>January 8, 2018</w:t>
      </w:r>
      <w:r w:rsidRPr="00883000">
        <w:rPr>
          <w:snapToGrid/>
          <w:kern w:val="0"/>
          <w:szCs w:val="22"/>
        </w:rPr>
        <w:t xml:space="preserve">, </w:t>
      </w:r>
      <w:r>
        <w:rPr>
          <w:snapToGrid/>
          <w:kern w:val="0"/>
          <w:szCs w:val="22"/>
        </w:rPr>
        <w:t>about 11,37</w:t>
      </w:r>
      <w:r w:rsidR="00965E77">
        <w:rPr>
          <w:snapToGrid/>
          <w:kern w:val="0"/>
          <w:szCs w:val="22"/>
        </w:rPr>
        <w:t>2</w:t>
      </w:r>
      <w:r w:rsidRPr="00883000">
        <w:rPr>
          <w:snapToGrid/>
          <w:kern w:val="0"/>
          <w:szCs w:val="22"/>
        </w:rPr>
        <w:t xml:space="preserve"> </w:t>
      </w:r>
      <w:r>
        <w:rPr>
          <w:snapToGrid/>
          <w:kern w:val="0"/>
          <w:szCs w:val="22"/>
        </w:rPr>
        <w:t>(or about 99.9 percent) of 11,38</w:t>
      </w:r>
      <w:r w:rsidR="00112FF6">
        <w:rPr>
          <w:snapToGrid/>
          <w:kern w:val="0"/>
          <w:szCs w:val="22"/>
        </w:rPr>
        <w:t>3</w:t>
      </w:r>
      <w:r>
        <w:rPr>
          <w:snapToGrid/>
          <w:kern w:val="0"/>
          <w:szCs w:val="22"/>
        </w:rPr>
        <w:t xml:space="preserve"> commercial radio </w:t>
      </w:r>
      <w:r w:rsidRPr="00883000">
        <w:rPr>
          <w:snapToGrid/>
          <w:kern w:val="0"/>
          <w:szCs w:val="22"/>
        </w:rPr>
        <w:t>stations had revenues of $38.5 million or less</w:t>
      </w:r>
      <w:r>
        <w:rPr>
          <w:snapToGrid/>
          <w:kern w:val="0"/>
          <w:szCs w:val="22"/>
        </w:rPr>
        <w:t xml:space="preserve"> </w:t>
      </w:r>
      <w:r>
        <w:t>and thus qualify as small entities under the SBA definition.</w:t>
      </w:r>
      <w:r>
        <w:rPr>
          <w:rStyle w:val="FootnoteReference"/>
        </w:rPr>
        <w:footnoteReference w:id="61"/>
      </w:r>
      <w:r>
        <w:t xml:space="preserve">  </w:t>
      </w:r>
      <w:r>
        <w:rPr>
          <w:snapToGrid/>
          <w:kern w:val="0"/>
          <w:szCs w:val="22"/>
        </w:rPr>
        <w:t>T</w:t>
      </w:r>
      <w:r w:rsidRPr="00883000">
        <w:rPr>
          <w:snapToGrid/>
          <w:kern w:val="0"/>
          <w:szCs w:val="22"/>
        </w:rPr>
        <w:t>he Commission has estimated the number of licensed commercial AM radio stations to be 4,</w:t>
      </w:r>
      <w:r>
        <w:rPr>
          <w:snapToGrid/>
          <w:kern w:val="0"/>
          <w:szCs w:val="22"/>
        </w:rPr>
        <w:t>639</w:t>
      </w:r>
      <w:r w:rsidRPr="00883000">
        <w:rPr>
          <w:snapToGrid/>
          <w:kern w:val="0"/>
          <w:szCs w:val="22"/>
        </w:rPr>
        <w:t xml:space="preserve"> stations and the number of commercial FM radio stations to be 6,7</w:t>
      </w:r>
      <w:r>
        <w:rPr>
          <w:snapToGrid/>
          <w:kern w:val="0"/>
          <w:szCs w:val="22"/>
        </w:rPr>
        <w:t>4</w:t>
      </w:r>
      <w:r w:rsidR="00112FF6">
        <w:rPr>
          <w:snapToGrid/>
          <w:kern w:val="0"/>
          <w:szCs w:val="22"/>
        </w:rPr>
        <w:t>4</w:t>
      </w:r>
      <w:r w:rsidRPr="00883000">
        <w:rPr>
          <w:snapToGrid/>
          <w:kern w:val="0"/>
          <w:szCs w:val="22"/>
        </w:rPr>
        <w:t xml:space="preserve">, for a total </w:t>
      </w:r>
      <w:r w:rsidRPr="00B03DB9">
        <w:rPr>
          <w:snapToGrid/>
        </w:rPr>
        <w:t>number</w:t>
      </w:r>
      <w:r w:rsidRPr="00883000">
        <w:rPr>
          <w:snapToGrid/>
          <w:kern w:val="0"/>
          <w:szCs w:val="22"/>
        </w:rPr>
        <w:t xml:space="preserve"> of 11,</w:t>
      </w:r>
      <w:r>
        <w:rPr>
          <w:snapToGrid/>
          <w:kern w:val="0"/>
          <w:szCs w:val="22"/>
        </w:rPr>
        <w:t>38</w:t>
      </w:r>
      <w:r w:rsidR="00112FF6">
        <w:rPr>
          <w:snapToGrid/>
          <w:kern w:val="0"/>
          <w:szCs w:val="22"/>
        </w:rPr>
        <w:t>3</w:t>
      </w:r>
      <w:r w:rsidRPr="00883000">
        <w:rPr>
          <w:snapToGrid/>
          <w:kern w:val="0"/>
          <w:szCs w:val="22"/>
        </w:rPr>
        <w:t>.</w:t>
      </w:r>
      <w:r>
        <w:rPr>
          <w:snapToGrid/>
          <w:kern w:val="0"/>
          <w:szCs w:val="22"/>
          <w:vertAlign w:val="superscript"/>
        </w:rPr>
        <w:footnoteReference w:id="62"/>
      </w:r>
      <w:r w:rsidRPr="00883000">
        <w:rPr>
          <w:snapToGrid/>
          <w:kern w:val="0"/>
          <w:szCs w:val="22"/>
        </w:rPr>
        <w:t xml:space="preserve">  </w:t>
      </w:r>
      <w:r>
        <w:rPr>
          <w:snapToGrid/>
          <w:kern w:val="0"/>
          <w:szCs w:val="22"/>
        </w:rPr>
        <w:t>We note</w:t>
      </w:r>
      <w:r w:rsidRPr="00883000">
        <w:rPr>
          <w:snapToGrid/>
          <w:kern w:val="0"/>
          <w:szCs w:val="22"/>
        </w:rPr>
        <w:t xml:space="preserve"> the Commissi</w:t>
      </w:r>
      <w:r>
        <w:rPr>
          <w:snapToGrid/>
          <w:kern w:val="0"/>
          <w:szCs w:val="22"/>
        </w:rPr>
        <w:t xml:space="preserve">on has also estimated the number of </w:t>
      </w:r>
      <w:r w:rsidRPr="00AA4FA8">
        <w:t xml:space="preserve">licensed noncommercial </w:t>
      </w:r>
      <w:r>
        <w:t>(</w:t>
      </w:r>
      <w:r>
        <w:rPr>
          <w:snapToGrid/>
          <w:kern w:val="0"/>
          <w:szCs w:val="22"/>
        </w:rPr>
        <w:t>NCE)</w:t>
      </w:r>
      <w:r w:rsidRPr="00883000">
        <w:rPr>
          <w:snapToGrid/>
          <w:kern w:val="0"/>
          <w:szCs w:val="22"/>
        </w:rPr>
        <w:t xml:space="preserve"> FM radio stations to be 4,1</w:t>
      </w:r>
      <w:r w:rsidR="00112FF6">
        <w:rPr>
          <w:snapToGrid/>
          <w:kern w:val="0"/>
          <w:szCs w:val="22"/>
        </w:rPr>
        <w:t>20</w:t>
      </w:r>
      <w:r w:rsidRPr="00883000">
        <w:rPr>
          <w:snapToGrid/>
          <w:kern w:val="0"/>
          <w:szCs w:val="22"/>
        </w:rPr>
        <w:t>.</w:t>
      </w:r>
      <w:r>
        <w:rPr>
          <w:snapToGrid/>
          <w:kern w:val="0"/>
          <w:szCs w:val="22"/>
          <w:vertAlign w:val="superscript"/>
        </w:rPr>
        <w:footnoteReference w:id="63"/>
      </w:r>
      <w:r w:rsidRPr="00883000">
        <w:rPr>
          <w:snapToGrid/>
          <w:kern w:val="0"/>
          <w:szCs w:val="22"/>
        </w:rPr>
        <w:t xml:space="preserve">  </w:t>
      </w:r>
      <w:r>
        <w:rPr>
          <w:snapToGrid/>
          <w:kern w:val="0"/>
          <w:szCs w:val="22"/>
        </w:rPr>
        <w:t>Nevertheless, t</w:t>
      </w:r>
      <w:r>
        <w:t>he Commission does not compile and otherwise does not have access to information on the revenue of NCE stations that would permit it to determine how many such stations would qualify as small entities.</w:t>
      </w:r>
      <w:r>
        <w:rPr>
          <w:snapToGrid/>
          <w:kern w:val="0"/>
          <w:szCs w:val="22"/>
        </w:rPr>
        <w:t xml:space="preserve"> </w:t>
      </w:r>
    </w:p>
    <w:p w:rsidR="00930EE4" w:rsidRPr="00303ABC" w:rsidP="00E3346B" w14:paraId="346D190F" w14:textId="407946BE">
      <w:pPr>
        <w:pStyle w:val="ParaNum"/>
        <w:numPr>
          <w:ilvl w:val="0"/>
          <w:numId w:val="8"/>
        </w:numPr>
        <w:tabs>
          <w:tab w:val="clear" w:pos="1080"/>
          <w:tab w:val="num" w:pos="1440"/>
        </w:tabs>
        <w:rPr>
          <w:szCs w:val="22"/>
        </w:rPr>
      </w:pPr>
      <w:r>
        <w:t>We also note, that in assessing whether a business entity qualifies as small under the above definition, business control affiliations must be included.</w:t>
      </w:r>
      <w:r>
        <w:rPr>
          <w:rStyle w:val="FootnoteReference"/>
        </w:rPr>
        <w:footnoteReference w:id="64"/>
      </w:r>
      <w:r>
        <w:t xml:space="preserve">  The Commission’s estimate therefore likely overstates the number of small entities that might be affected by its action, because the revenue figure on which it is based does not include or aggregate revenues from affiliated companies.  </w:t>
      </w:r>
      <w:r w:rsidRPr="001B5E20">
        <w:t>In addition, to be determined a “small business,” an entity may not be dominant in its field of operation.</w:t>
      </w:r>
      <w:r>
        <w:rPr>
          <w:vertAlign w:val="superscript"/>
        </w:rPr>
        <w:footnoteReference w:id="65"/>
      </w:r>
      <w:r w:rsidRPr="001B5E20">
        <w:t xml:space="preserve"> We </w:t>
      </w:r>
      <w:r>
        <w:t xml:space="preserve">further note </w:t>
      </w:r>
      <w:r w:rsidRPr="001B5E20">
        <w:t xml:space="preserve">that it is difficult at times to assess these criteria in the context of media entities, and the estimate of small businesses to </w:t>
      </w:r>
      <w:r w:rsidRPr="001B1FE5">
        <w:t>which these rules may apply does not exclude any radio station from the definition of a small business on these basis</w:t>
      </w:r>
      <w:r w:rsidRPr="001B1FE5" w:rsidR="004A08EA">
        <w:t xml:space="preserve">; </w:t>
      </w:r>
      <w:r w:rsidRPr="001B1FE5">
        <w:t>thus</w:t>
      </w:r>
      <w:r w:rsidRPr="001B1FE5" w:rsidR="004A08EA">
        <w:t>,</w:t>
      </w:r>
      <w:r w:rsidRPr="001B1FE5">
        <w:t xml:space="preserve"> our estimate of small businesses may therefore be over-inclusive.  Also, as noted above, an additional element of the definition of “small business” is that the entity must be independently owned and operated.  The Commission notes that it is difficult at times to assess these criteria in the context of media entities</w:t>
      </w:r>
      <w:r w:rsidRPr="001B1FE5" w:rsidR="004A08EA">
        <w:t>,</w:t>
      </w:r>
      <w:r w:rsidRPr="001B1FE5">
        <w:t xml:space="preserve"> and</w:t>
      </w:r>
      <w:r>
        <w:t xml:space="preserve"> the estimates of small businesses to which they apply may be over-inclusive to this extent.</w:t>
      </w:r>
    </w:p>
    <w:p w:rsidR="00930EE4" w:rsidRPr="00883000" w:rsidP="00821EFF" w14:paraId="58671F27" w14:textId="3D0DD5CC">
      <w:pPr>
        <w:pStyle w:val="ParaNum"/>
        <w:numPr>
          <w:ilvl w:val="0"/>
          <w:numId w:val="8"/>
        </w:numPr>
        <w:tabs>
          <w:tab w:val="clear" w:pos="1080"/>
          <w:tab w:val="num" w:pos="1440"/>
        </w:tabs>
        <w:rPr>
          <w:snapToGrid/>
          <w:kern w:val="0"/>
          <w:szCs w:val="22"/>
        </w:rPr>
      </w:pPr>
      <w:r w:rsidRPr="00883000">
        <w:rPr>
          <w:i/>
          <w:snapToGrid/>
          <w:kern w:val="0"/>
          <w:szCs w:val="22"/>
        </w:rPr>
        <w:t>Television Broadcasting</w:t>
      </w:r>
      <w:r w:rsidRPr="00883000">
        <w:rPr>
          <w:snapToGrid/>
          <w:kern w:val="0"/>
          <w:szCs w:val="22"/>
        </w:rPr>
        <w:t>.  This Economic Census category “comprises establishments primarily engaged in broadcasting images together with sound.”</w:t>
      </w:r>
      <w:r>
        <w:rPr>
          <w:snapToGrid/>
          <w:kern w:val="0"/>
          <w:szCs w:val="22"/>
          <w:vertAlign w:val="superscript"/>
        </w:rPr>
        <w:footnoteReference w:id="66"/>
      </w:r>
      <w:r w:rsidRPr="00883000">
        <w:rPr>
          <w:snapToGrid/>
          <w:kern w:val="0"/>
          <w:szCs w:val="22"/>
        </w:rPr>
        <w:t xml:space="preserve">  These establishments operate television broadcast studios and facilities for the programming and transmission of programs to the public.</w:t>
      </w:r>
      <w:r>
        <w:rPr>
          <w:snapToGrid/>
          <w:kern w:val="0"/>
          <w:szCs w:val="22"/>
          <w:vertAlign w:val="superscript"/>
        </w:rPr>
        <w:footnoteReference w:id="67"/>
      </w:r>
      <w:r w:rsidRPr="00883000">
        <w:rPr>
          <w:snapToGrid/>
          <w:kern w:val="0"/>
          <w:szCs w:val="22"/>
        </w:rPr>
        <w:t xml:space="preserve">  These establishments also produce or transmit visual programming to affiliated broadcast television stations, </w:t>
      </w:r>
      <w:r w:rsidRPr="00B03DB9">
        <w:rPr>
          <w:snapToGrid/>
        </w:rPr>
        <w:t>which</w:t>
      </w:r>
      <w:r w:rsidRPr="00883000">
        <w:rPr>
          <w:snapToGrid/>
          <w:kern w:val="0"/>
          <w:szCs w:val="22"/>
        </w:rPr>
        <w:t xml:space="preserve"> in turn broadcast the programs to the public on a predetermined schedule.  Programming may originate in their own studio, from an affiliated network, or from external sources.  The SBA has created the following small business size standard for such businesses: </w:t>
      </w:r>
      <w:r w:rsidR="004A08EA">
        <w:rPr>
          <w:snapToGrid/>
          <w:kern w:val="0"/>
          <w:szCs w:val="22"/>
        </w:rPr>
        <w:t> </w:t>
      </w:r>
      <w:r w:rsidRPr="00883000">
        <w:rPr>
          <w:snapToGrid/>
          <w:kern w:val="0"/>
          <w:szCs w:val="22"/>
        </w:rPr>
        <w:t>those having $38.5 million or less in annual receipts.</w:t>
      </w:r>
      <w:r>
        <w:rPr>
          <w:snapToGrid/>
          <w:kern w:val="0"/>
          <w:szCs w:val="22"/>
          <w:vertAlign w:val="superscript"/>
        </w:rPr>
        <w:footnoteReference w:id="68"/>
      </w:r>
      <w:r w:rsidRPr="00883000">
        <w:rPr>
          <w:snapToGrid/>
          <w:kern w:val="0"/>
          <w:szCs w:val="22"/>
        </w:rPr>
        <w:t xml:space="preserve">  The 2012 Economic Census reports that 751 firms in this category operated in that year.  Of this number, 656 had annual receipts of $25 million or less, 25 had annual receipts between $</w:t>
      </w:r>
      <w:r w:rsidR="006B3907">
        <w:rPr>
          <w:snapToGrid/>
          <w:kern w:val="0"/>
          <w:szCs w:val="22"/>
        </w:rPr>
        <w:t>24,999,999</w:t>
      </w:r>
      <w:r w:rsidRPr="00883000">
        <w:rPr>
          <w:snapToGrid/>
          <w:kern w:val="0"/>
          <w:szCs w:val="22"/>
        </w:rPr>
        <w:t xml:space="preserve"> and $</w:t>
      </w:r>
      <w:r w:rsidR="006B3907">
        <w:rPr>
          <w:snapToGrid/>
          <w:kern w:val="0"/>
          <w:szCs w:val="22"/>
        </w:rPr>
        <w:t>50 million</w:t>
      </w:r>
      <w:r w:rsidRPr="00883000">
        <w:rPr>
          <w:snapToGrid/>
          <w:kern w:val="0"/>
          <w:szCs w:val="22"/>
        </w:rPr>
        <w:t>, and 70 had annual receipts of $50 million or more.</w:t>
      </w:r>
      <w:r>
        <w:rPr>
          <w:snapToGrid/>
          <w:kern w:val="0"/>
          <w:szCs w:val="22"/>
          <w:vertAlign w:val="superscript"/>
        </w:rPr>
        <w:footnoteReference w:id="69"/>
      </w:r>
      <w:r w:rsidRPr="00883000">
        <w:rPr>
          <w:snapToGrid/>
          <w:kern w:val="0"/>
          <w:szCs w:val="22"/>
        </w:rPr>
        <w:t xml:space="preserve">  Based on this data we therefore estimate that the majority of commercial television broadcasters are small entities under the applicable SBA size standard.</w:t>
      </w:r>
    </w:p>
    <w:p w:rsidR="00930EE4" w:rsidRPr="00883000" w:rsidP="00930EE4" w14:paraId="0722F8AF" w14:textId="0976B6CC">
      <w:pPr>
        <w:pStyle w:val="ParaNum"/>
        <w:widowControl/>
        <w:numPr>
          <w:ilvl w:val="0"/>
          <w:numId w:val="8"/>
        </w:numPr>
        <w:tabs>
          <w:tab w:val="clear" w:pos="1080"/>
          <w:tab w:val="num" w:pos="1440"/>
        </w:tabs>
        <w:rPr>
          <w:snapToGrid/>
          <w:kern w:val="0"/>
          <w:szCs w:val="22"/>
        </w:rPr>
      </w:pPr>
      <w:r w:rsidRPr="00883000">
        <w:rPr>
          <w:snapToGrid/>
          <w:kern w:val="0"/>
          <w:szCs w:val="22"/>
        </w:rPr>
        <w:t>The Commission has estimated the number of licensed commercial television stations to be 1,3</w:t>
      </w:r>
      <w:r>
        <w:rPr>
          <w:snapToGrid/>
          <w:kern w:val="0"/>
          <w:szCs w:val="22"/>
        </w:rPr>
        <w:t>7</w:t>
      </w:r>
      <w:r w:rsidR="006B3907">
        <w:rPr>
          <w:snapToGrid/>
          <w:kern w:val="0"/>
          <w:szCs w:val="22"/>
        </w:rPr>
        <w:t>7</w:t>
      </w:r>
      <w:r w:rsidRPr="00883000">
        <w:rPr>
          <w:snapToGrid/>
          <w:kern w:val="0"/>
          <w:szCs w:val="22"/>
        </w:rPr>
        <w:t>.</w:t>
      </w:r>
      <w:bookmarkStart w:id="154" w:name="_Ref499047464"/>
      <w:r>
        <w:rPr>
          <w:snapToGrid/>
          <w:kern w:val="0"/>
          <w:szCs w:val="22"/>
          <w:vertAlign w:val="superscript"/>
        </w:rPr>
        <w:footnoteReference w:id="70"/>
      </w:r>
      <w:bookmarkEnd w:id="154"/>
      <w:r w:rsidRPr="00883000">
        <w:rPr>
          <w:snapToGrid/>
          <w:kern w:val="0"/>
          <w:szCs w:val="22"/>
        </w:rPr>
        <w:t xml:space="preserve">  Of this total, 1,2</w:t>
      </w:r>
      <w:r>
        <w:rPr>
          <w:snapToGrid/>
          <w:kern w:val="0"/>
          <w:szCs w:val="22"/>
        </w:rPr>
        <w:t>5</w:t>
      </w:r>
      <w:r w:rsidR="00DA5931">
        <w:rPr>
          <w:snapToGrid/>
          <w:kern w:val="0"/>
          <w:szCs w:val="22"/>
        </w:rPr>
        <w:t>7</w:t>
      </w:r>
      <w:r w:rsidRPr="00883000">
        <w:rPr>
          <w:snapToGrid/>
          <w:kern w:val="0"/>
          <w:szCs w:val="22"/>
        </w:rPr>
        <w:t xml:space="preserve"> stations had revenues of $38.5 million or less, according to Commission staff review of the BIA Kelsey Inc. Media Access Pro Television Database (BIA) on </w:t>
      </w:r>
      <w:r w:rsidR="00965E77">
        <w:rPr>
          <w:snapToGrid/>
          <w:kern w:val="0"/>
          <w:szCs w:val="22"/>
        </w:rPr>
        <w:t>January 8, 2018</w:t>
      </w:r>
      <w:r w:rsidRPr="00883000">
        <w:rPr>
          <w:snapToGrid/>
          <w:kern w:val="0"/>
          <w:szCs w:val="22"/>
        </w:rPr>
        <w:t>, and therefore these licensees qualify as small entities under the SBA definition.  In addition, the Commission has estimated the number of licensed noncommercial educational (NCE) television stations to be 39</w:t>
      </w:r>
      <w:r w:rsidR="006B3907">
        <w:rPr>
          <w:snapToGrid/>
          <w:kern w:val="0"/>
          <w:szCs w:val="22"/>
        </w:rPr>
        <w:t>0</w:t>
      </w:r>
      <w:r w:rsidRPr="00883000">
        <w:rPr>
          <w:snapToGrid/>
          <w:kern w:val="0"/>
          <w:szCs w:val="22"/>
        </w:rPr>
        <w:t>.</w:t>
      </w:r>
      <w:r>
        <w:rPr>
          <w:snapToGrid/>
          <w:kern w:val="0"/>
          <w:szCs w:val="22"/>
          <w:vertAlign w:val="superscript"/>
        </w:rPr>
        <w:footnoteReference w:id="71"/>
      </w:r>
      <w:r w:rsidRPr="00883000">
        <w:rPr>
          <w:snapToGrid/>
          <w:kern w:val="0"/>
          <w:szCs w:val="22"/>
        </w:rPr>
        <w:t xml:space="preserve">  </w:t>
      </w:r>
      <w:r>
        <w:t xml:space="preserve">Notwithstanding, </w:t>
      </w:r>
      <w:r>
        <w:rPr>
          <w:snapToGrid/>
          <w:kern w:val="0"/>
          <w:szCs w:val="22"/>
        </w:rPr>
        <w:t>t</w:t>
      </w:r>
      <w:r w:rsidRPr="00883000">
        <w:rPr>
          <w:snapToGrid/>
          <w:kern w:val="0"/>
          <w:szCs w:val="22"/>
        </w:rPr>
        <w:t>he Commission does not compile and otherwise does not have access to information on the revenue of NCE stations that would permit it to determine how many such stations would qualify as small entities.</w:t>
      </w:r>
    </w:p>
    <w:p w:rsidR="00930EE4" w:rsidRPr="00883000" w:rsidP="00821EFF" w14:paraId="63AAF90F" w14:textId="77777777">
      <w:pPr>
        <w:pStyle w:val="ParaNum"/>
        <w:widowControl/>
        <w:numPr>
          <w:ilvl w:val="0"/>
          <w:numId w:val="8"/>
        </w:numPr>
        <w:tabs>
          <w:tab w:val="clear" w:pos="1080"/>
          <w:tab w:val="num" w:pos="1440"/>
        </w:tabs>
        <w:rPr>
          <w:szCs w:val="22"/>
        </w:rPr>
      </w:pPr>
      <w:r w:rsidRPr="00883000">
        <w:rPr>
          <w:szCs w:val="22"/>
        </w:rPr>
        <w:t xml:space="preserve">We note, </w:t>
      </w:r>
      <w:r w:rsidRPr="00B03DB9">
        <w:rPr>
          <w:snapToGrid/>
        </w:rPr>
        <w:t>however</w:t>
      </w:r>
      <w:r w:rsidRPr="00883000">
        <w:rPr>
          <w:szCs w:val="22"/>
        </w:rPr>
        <w:t xml:space="preserve">, that in </w:t>
      </w:r>
      <w:r w:rsidRPr="009D5C38">
        <w:rPr>
          <w:snapToGrid/>
          <w:kern w:val="0"/>
          <w:szCs w:val="22"/>
        </w:rPr>
        <w:t>assessing</w:t>
      </w:r>
      <w:r w:rsidRPr="00883000">
        <w:rPr>
          <w:szCs w:val="22"/>
        </w:rPr>
        <w:t xml:space="preserve"> whether a business concern qualifies as “small” under the above definition, business (control) affiliations</w:t>
      </w:r>
      <w:r>
        <w:rPr>
          <w:szCs w:val="22"/>
          <w:vertAlign w:val="superscript"/>
        </w:rPr>
        <w:footnoteReference w:id="72"/>
      </w:r>
      <w:r w:rsidRPr="00883000">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r>
        <w:rPr>
          <w:szCs w:val="22"/>
        </w:rPr>
        <w:t xml:space="preserve">  </w:t>
      </w:r>
      <w:r w:rsidRPr="005015BC">
        <w:rPr>
          <w:szCs w:val="22"/>
        </w:rPr>
        <w:t>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930EE4" w:rsidP="00E3346B" w14:paraId="3121AA16" w14:textId="2A4F5341">
      <w:pPr>
        <w:pStyle w:val="ParaNum"/>
        <w:numPr>
          <w:ilvl w:val="0"/>
          <w:numId w:val="8"/>
        </w:numPr>
        <w:tabs>
          <w:tab w:val="clear" w:pos="1080"/>
          <w:tab w:val="num" w:pos="1440"/>
        </w:tabs>
        <w:rPr>
          <w:szCs w:val="22"/>
        </w:rPr>
      </w:pPr>
      <w:r>
        <w:rPr>
          <w:i/>
          <w:szCs w:val="22"/>
        </w:rPr>
        <w:t>International Broadcast Stations</w:t>
      </w:r>
      <w:r>
        <w:rPr>
          <w:szCs w:val="22"/>
        </w:rPr>
        <w:t xml:space="preserve">.  </w:t>
      </w:r>
      <w:r w:rsidRPr="00F70638">
        <w:t>Neither the Commission nor the SBA has developed a definition of small entities specifically applicable</w:t>
      </w:r>
      <w:r>
        <w:t xml:space="preserve"> to International Broadcast Stations</w:t>
      </w:r>
      <w:r w:rsidRPr="00F70638">
        <w:t xml:space="preserve">. The closest applicable SBA </w:t>
      </w:r>
      <w:r>
        <w:t>size standards and U.S. Census Bureau category is Radio Stations.</w:t>
      </w:r>
      <w:r>
        <w:rPr>
          <w:rStyle w:val="FootnoteReference"/>
        </w:rPr>
        <w:footnoteReference w:id="73"/>
      </w:r>
      <w:r>
        <w:t xml:space="preserve">  Establishments in this industry are primarily engaged in broadcasting aural programs by radio to the public with programming that may originate in their own studio, from an affiliated network, or from external sources.</w:t>
      </w:r>
      <w:r>
        <w:rPr>
          <w:rStyle w:val="FootnoteReference"/>
        </w:rPr>
        <w:footnoteReference w:id="74"/>
      </w:r>
      <w:r>
        <w:t xml:space="preserve">  The </w:t>
      </w:r>
      <w:r w:rsidRPr="00883000">
        <w:rPr>
          <w:snapToGrid/>
          <w:kern w:val="0"/>
          <w:szCs w:val="22"/>
        </w:rPr>
        <w:t>SBA small business size standard for this category</w:t>
      </w:r>
      <w:r>
        <w:rPr>
          <w:snapToGrid/>
          <w:kern w:val="0"/>
          <w:szCs w:val="22"/>
        </w:rPr>
        <w:t xml:space="preserve"> is firms </w:t>
      </w:r>
      <w:r w:rsidRPr="00883000">
        <w:rPr>
          <w:snapToGrid/>
          <w:kern w:val="0"/>
          <w:szCs w:val="22"/>
        </w:rPr>
        <w:t>having $38.5 million or less in annual receipts.</w:t>
      </w:r>
      <w:r>
        <w:rPr>
          <w:snapToGrid/>
          <w:kern w:val="0"/>
          <w:szCs w:val="22"/>
          <w:vertAlign w:val="superscript"/>
        </w:rPr>
        <w:footnoteReference w:id="75"/>
      </w:r>
      <w:r w:rsidRPr="00883000">
        <w:rPr>
          <w:snapToGrid/>
          <w:kern w:val="0"/>
          <w:szCs w:val="22"/>
        </w:rPr>
        <w:t xml:space="preserve">  </w:t>
      </w:r>
      <w:r>
        <w:rPr>
          <w:snapToGrid/>
          <w:kern w:val="0"/>
          <w:szCs w:val="22"/>
        </w:rPr>
        <w:t xml:space="preserve">U.S. </w:t>
      </w:r>
      <w:r w:rsidRPr="00883000">
        <w:rPr>
          <w:snapToGrid/>
          <w:kern w:val="0"/>
          <w:szCs w:val="22"/>
        </w:rPr>
        <w:t xml:space="preserve">Census </w:t>
      </w:r>
      <w:r>
        <w:rPr>
          <w:snapToGrid/>
          <w:kern w:val="0"/>
          <w:szCs w:val="22"/>
        </w:rPr>
        <w:t xml:space="preserve">Bureau </w:t>
      </w:r>
      <w:r w:rsidRPr="00883000">
        <w:rPr>
          <w:snapToGrid/>
          <w:kern w:val="0"/>
          <w:szCs w:val="22"/>
        </w:rPr>
        <w:t>data for 2012 show</w:t>
      </w:r>
      <w:r>
        <w:rPr>
          <w:snapToGrid/>
          <w:kern w:val="0"/>
          <w:szCs w:val="22"/>
        </w:rPr>
        <w:t>s</w:t>
      </w:r>
      <w:r w:rsidRPr="00883000">
        <w:rPr>
          <w:snapToGrid/>
          <w:kern w:val="0"/>
          <w:szCs w:val="22"/>
        </w:rPr>
        <w:t xml:space="preserve"> that 2,849 </w:t>
      </w:r>
      <w:r>
        <w:rPr>
          <w:snapToGrid/>
          <w:kern w:val="0"/>
          <w:szCs w:val="22"/>
        </w:rPr>
        <w:t xml:space="preserve">radio station </w:t>
      </w:r>
      <w:r w:rsidRPr="00883000">
        <w:rPr>
          <w:snapToGrid/>
          <w:kern w:val="0"/>
          <w:szCs w:val="22"/>
        </w:rPr>
        <w:t xml:space="preserve">firms operated </w:t>
      </w:r>
      <w:r>
        <w:rPr>
          <w:snapToGrid/>
          <w:kern w:val="0"/>
          <w:szCs w:val="22"/>
        </w:rPr>
        <w:t>during</w:t>
      </w:r>
      <w:r w:rsidRPr="00883000">
        <w:rPr>
          <w:snapToGrid/>
          <w:kern w:val="0"/>
          <w:szCs w:val="22"/>
        </w:rPr>
        <w:t xml:space="preserve"> that year.</w:t>
      </w:r>
      <w:r>
        <w:rPr>
          <w:snapToGrid/>
          <w:kern w:val="0"/>
          <w:szCs w:val="22"/>
          <w:vertAlign w:val="superscript"/>
        </w:rPr>
        <w:footnoteReference w:id="76"/>
      </w:r>
      <w:r w:rsidRPr="00883000">
        <w:rPr>
          <w:snapToGrid/>
          <w:kern w:val="0"/>
          <w:szCs w:val="22"/>
        </w:rPr>
        <w:t xml:space="preserve">  Of th</w:t>
      </w:r>
      <w:r>
        <w:rPr>
          <w:snapToGrid/>
          <w:kern w:val="0"/>
          <w:szCs w:val="22"/>
        </w:rPr>
        <w:t>at</w:t>
      </w:r>
      <w:r w:rsidRPr="00883000">
        <w:rPr>
          <w:snapToGrid/>
          <w:kern w:val="0"/>
          <w:szCs w:val="22"/>
        </w:rPr>
        <w:t xml:space="preserve"> number, 2,806 firms </w:t>
      </w:r>
      <w:r>
        <w:rPr>
          <w:snapToGrid/>
          <w:kern w:val="0"/>
          <w:szCs w:val="22"/>
        </w:rPr>
        <w:t xml:space="preserve">operated with </w:t>
      </w:r>
      <w:r w:rsidRPr="00883000">
        <w:rPr>
          <w:snapToGrid/>
          <w:kern w:val="0"/>
          <w:szCs w:val="22"/>
        </w:rPr>
        <w:t>annual receipts of less than $25 million</w:t>
      </w:r>
      <w:r>
        <w:rPr>
          <w:snapToGrid/>
          <w:kern w:val="0"/>
          <w:szCs w:val="22"/>
        </w:rPr>
        <w:t xml:space="preserve"> per year</w:t>
      </w:r>
      <w:r w:rsidRPr="00883000">
        <w:rPr>
          <w:snapToGrid/>
          <w:kern w:val="0"/>
          <w:szCs w:val="22"/>
        </w:rPr>
        <w:t>,</w:t>
      </w:r>
      <w:r>
        <w:rPr>
          <w:snapToGrid/>
          <w:kern w:val="0"/>
          <w:szCs w:val="22"/>
        </w:rPr>
        <w:t xml:space="preserve"> </w:t>
      </w:r>
      <w:r>
        <w:t>17 with annual receipts between $</w:t>
      </w:r>
      <w:r w:rsidR="00965E77">
        <w:t>24,999,999</w:t>
      </w:r>
      <w:r>
        <w:t xml:space="preserve"> and $</w:t>
      </w:r>
      <w:r w:rsidR="00965E77">
        <w:t>50</w:t>
      </w:r>
      <w:r>
        <w:t xml:space="preserve"> million</w:t>
      </w:r>
      <w:r w:rsidR="00965E77">
        <w:t>,</w:t>
      </w:r>
      <w:r>
        <w:t xml:space="preserve"> and 26 with annual receipts of $50 million or more</w:t>
      </w:r>
      <w:r w:rsidRPr="006023CB">
        <w:t>.</w:t>
      </w:r>
      <w:r>
        <w:rPr>
          <w:sz w:val="20"/>
          <w:vertAlign w:val="superscript"/>
        </w:rPr>
        <w:footnoteReference w:id="77"/>
      </w:r>
      <w:r w:rsidRPr="006023CB">
        <w:t xml:space="preserve"> </w:t>
      </w:r>
      <w:r w:rsidRPr="00883000">
        <w:rPr>
          <w:snapToGrid/>
          <w:kern w:val="0"/>
          <w:szCs w:val="22"/>
        </w:rPr>
        <w:t xml:space="preserve">  </w:t>
      </w:r>
      <w:r>
        <w:rPr>
          <w:snapToGrid/>
          <w:kern w:val="0"/>
          <w:szCs w:val="22"/>
        </w:rPr>
        <w:t xml:space="preserve">Therefore, based on the SBA’s size standard </w:t>
      </w:r>
      <w:r w:rsidRPr="00883000">
        <w:rPr>
          <w:snapToGrid/>
          <w:kern w:val="0"/>
          <w:szCs w:val="22"/>
        </w:rPr>
        <w:t xml:space="preserve">the majority of </w:t>
      </w:r>
      <w:r>
        <w:rPr>
          <w:snapToGrid/>
          <w:kern w:val="0"/>
          <w:szCs w:val="22"/>
        </w:rPr>
        <w:t xml:space="preserve">entities in this industry are </w:t>
      </w:r>
      <w:r w:rsidRPr="00883000">
        <w:rPr>
          <w:snapToGrid/>
          <w:kern w:val="0"/>
          <w:szCs w:val="22"/>
        </w:rPr>
        <w:t>small</w:t>
      </w:r>
      <w:r>
        <w:rPr>
          <w:snapToGrid/>
          <w:kern w:val="0"/>
          <w:szCs w:val="22"/>
        </w:rPr>
        <w:t xml:space="preserve"> entities.</w:t>
      </w:r>
      <w:r>
        <w:rPr>
          <w:szCs w:val="22"/>
        </w:rPr>
        <w:t xml:space="preserve"> </w:t>
      </w:r>
    </w:p>
    <w:p w:rsidR="00930EE4" w:rsidRPr="00883000" w:rsidP="00E3346B" w14:paraId="7386EE92" w14:textId="01A98EF2">
      <w:pPr>
        <w:pStyle w:val="ParaNum"/>
        <w:numPr>
          <w:ilvl w:val="0"/>
          <w:numId w:val="8"/>
        </w:numPr>
        <w:tabs>
          <w:tab w:val="clear" w:pos="1080"/>
          <w:tab w:val="num" w:pos="1440"/>
        </w:tabs>
        <w:rPr>
          <w:szCs w:val="22"/>
        </w:rPr>
      </w:pPr>
      <w:r>
        <w:rPr>
          <w:szCs w:val="22"/>
        </w:rPr>
        <w:t xml:space="preserve">According to the </w:t>
      </w:r>
      <w:r w:rsidRPr="00303ABC">
        <w:rPr>
          <w:szCs w:val="22"/>
        </w:rPr>
        <w:t>Commission</w:t>
      </w:r>
      <w:r>
        <w:rPr>
          <w:szCs w:val="22"/>
        </w:rPr>
        <w:t>’s</w:t>
      </w:r>
      <w:r w:rsidRPr="00303ABC">
        <w:rPr>
          <w:szCs w:val="22"/>
        </w:rPr>
        <w:t xml:space="preserve"> records </w:t>
      </w:r>
      <w:r w:rsidRPr="00A028F8">
        <w:t xml:space="preserve">there </w:t>
      </w:r>
      <w:r>
        <w:t>were</w:t>
      </w:r>
      <w:r w:rsidRPr="00A028F8">
        <w:t xml:space="preserve"> </w:t>
      </w:r>
      <w:r>
        <w:t>16</w:t>
      </w:r>
      <w:r w:rsidRPr="00A028F8">
        <w:t xml:space="preserve"> </w:t>
      </w:r>
      <w:r w:rsidRPr="00B638B1">
        <w:t>international broadcast stations</w:t>
      </w:r>
      <w:r>
        <w:t xml:space="preserve"> operating as</w:t>
      </w:r>
      <w:r w:rsidRPr="00B638B1">
        <w:t xml:space="preserve"> of </w:t>
      </w:r>
      <w:r>
        <w:t>December 13, 2017</w:t>
      </w:r>
      <w:r w:rsidRPr="00B638B1">
        <w:t>.</w:t>
      </w:r>
      <w:r>
        <w:rPr>
          <w:rStyle w:val="FootnoteReference"/>
          <w:sz w:val="22"/>
        </w:rPr>
        <w:footnoteReference w:id="78"/>
      </w:r>
      <w:r w:rsidRPr="00B638B1">
        <w:t xml:space="preserve">  </w:t>
      </w:r>
      <w:r>
        <w:rPr>
          <w:szCs w:val="22"/>
        </w:rPr>
        <w:t xml:space="preserve">The Commission however does </w:t>
      </w:r>
      <w:r w:rsidRPr="00303ABC">
        <w:rPr>
          <w:szCs w:val="22"/>
        </w:rPr>
        <w:t>not request nor col</w:t>
      </w:r>
      <w:r>
        <w:rPr>
          <w:szCs w:val="22"/>
        </w:rPr>
        <w:t xml:space="preserve">lect annual revenue </w:t>
      </w:r>
      <w:r w:rsidRPr="001B1FE5">
        <w:rPr>
          <w:szCs w:val="22"/>
        </w:rPr>
        <w:t>information</w:t>
      </w:r>
      <w:r w:rsidRPr="001B1FE5" w:rsidR="004A08EA">
        <w:rPr>
          <w:szCs w:val="22"/>
        </w:rPr>
        <w:t>;</w:t>
      </w:r>
      <w:r w:rsidRPr="001B1FE5">
        <w:rPr>
          <w:szCs w:val="22"/>
        </w:rPr>
        <w:t xml:space="preserve"> therefore</w:t>
      </w:r>
      <w:r w:rsidRPr="001B1FE5" w:rsidR="004A08EA">
        <w:rPr>
          <w:szCs w:val="22"/>
        </w:rPr>
        <w:t>,</w:t>
      </w:r>
      <w:r w:rsidRPr="001B1FE5">
        <w:rPr>
          <w:szCs w:val="22"/>
        </w:rPr>
        <w:t xml:space="preserve"> the Commission</w:t>
      </w:r>
      <w:r>
        <w:rPr>
          <w:szCs w:val="22"/>
        </w:rPr>
        <w:t xml:space="preserve"> is</w:t>
      </w:r>
      <w:r w:rsidRPr="00303ABC">
        <w:rPr>
          <w:szCs w:val="22"/>
        </w:rPr>
        <w:t xml:space="preserve"> unable to estimate the number of international broadcast stations that would constitute a small business under the SBA definition. </w:t>
      </w:r>
      <w:r>
        <w:rPr>
          <w:szCs w:val="22"/>
        </w:rPr>
        <w:t xml:space="preserve"> </w:t>
      </w:r>
    </w:p>
    <w:p w:rsidR="00930EE4" w:rsidRPr="00883000" w:rsidP="00AD008C" w14:paraId="1A7B5C6A" w14:textId="77777777">
      <w:pPr>
        <w:pStyle w:val="Heading2"/>
      </w:pPr>
      <w:bookmarkStart w:id="155" w:name="_Toc394663460"/>
      <w:bookmarkStart w:id="156" w:name="_Toc401909717"/>
      <w:bookmarkStart w:id="157" w:name="_Toc402428426"/>
      <w:bookmarkStart w:id="158" w:name="_Toc403718723"/>
      <w:r w:rsidRPr="00883000">
        <w:t>Description of Projected Reporting, Recordkeeping, and Other Compliance Requirements</w:t>
      </w:r>
      <w:bookmarkEnd w:id="155"/>
      <w:bookmarkEnd w:id="156"/>
      <w:bookmarkEnd w:id="157"/>
      <w:bookmarkEnd w:id="158"/>
    </w:p>
    <w:p w:rsidR="00930EE4" w:rsidP="00AD008C" w14:paraId="09950E47" w14:textId="77777777">
      <w:pPr>
        <w:pStyle w:val="ParaNum"/>
        <w:numPr>
          <w:ilvl w:val="0"/>
          <w:numId w:val="8"/>
        </w:numPr>
        <w:tabs>
          <w:tab w:val="clear" w:pos="1080"/>
          <w:tab w:val="num" w:pos="1440"/>
        </w:tabs>
        <w:rPr>
          <w:snapToGrid/>
          <w:kern w:val="0"/>
          <w:szCs w:val="22"/>
        </w:rPr>
      </w:pPr>
      <w:r w:rsidRPr="00883000">
        <w:rPr>
          <w:snapToGrid/>
          <w:kern w:val="0"/>
          <w:szCs w:val="22"/>
        </w:rPr>
        <w:t xml:space="preserve">In this section, we identify the reporting, recordkeeping, and other compliance requirements proposed in the </w:t>
      </w:r>
      <w:r w:rsidRPr="00144F05">
        <w:rPr>
          <w:snapToGrid/>
          <w:kern w:val="0"/>
          <w:szCs w:val="22"/>
        </w:rPr>
        <w:t>NPRM</w:t>
      </w:r>
      <w:r w:rsidRPr="00883000">
        <w:rPr>
          <w:snapToGrid/>
          <w:kern w:val="0"/>
          <w:szCs w:val="22"/>
        </w:rPr>
        <w:t xml:space="preserve"> and </w:t>
      </w:r>
      <w:r w:rsidRPr="00B03DB9">
        <w:rPr>
          <w:snapToGrid/>
        </w:rPr>
        <w:t>consider</w:t>
      </w:r>
      <w:r w:rsidRPr="00883000">
        <w:rPr>
          <w:snapToGrid/>
          <w:kern w:val="0"/>
          <w:szCs w:val="22"/>
        </w:rPr>
        <w:t xml:space="preserve"> whether small entities are affected disproportionately by any such requirements.  </w:t>
      </w:r>
    </w:p>
    <w:p w:rsidR="00930EE4" w:rsidRPr="00AD008C" w:rsidP="00AD008C" w14:paraId="36515D03" w14:textId="1F734882">
      <w:pPr>
        <w:pStyle w:val="ParaNum"/>
        <w:numPr>
          <w:ilvl w:val="0"/>
          <w:numId w:val="8"/>
        </w:numPr>
        <w:tabs>
          <w:tab w:val="clear" w:pos="1080"/>
          <w:tab w:val="num" w:pos="1440"/>
        </w:tabs>
        <w:rPr>
          <w:snapToGrid/>
          <w:kern w:val="0"/>
          <w:szCs w:val="22"/>
        </w:rPr>
      </w:pPr>
      <w:r w:rsidRPr="00AD008C">
        <w:rPr>
          <w:i/>
          <w:snapToGrid/>
          <w:kern w:val="0"/>
          <w:szCs w:val="22"/>
        </w:rPr>
        <w:t xml:space="preserve">Reporting Requirements.  </w:t>
      </w:r>
      <w:r w:rsidRPr="00AD008C">
        <w:rPr>
          <w:snapToGrid/>
          <w:kern w:val="0"/>
          <w:szCs w:val="22"/>
        </w:rPr>
        <w:t xml:space="preserve">The </w:t>
      </w:r>
      <w:r w:rsidRPr="00944D10">
        <w:rPr>
          <w:i/>
          <w:snapToGrid/>
          <w:kern w:val="0"/>
          <w:szCs w:val="22"/>
        </w:rPr>
        <w:t>NPRM</w:t>
      </w:r>
      <w:r w:rsidRPr="00AD008C">
        <w:rPr>
          <w:snapToGrid/>
          <w:kern w:val="0"/>
          <w:szCs w:val="22"/>
        </w:rPr>
        <w:t xml:space="preserve"> </w:t>
      </w:r>
      <w:r w:rsidR="000B45EE">
        <w:rPr>
          <w:snapToGrid/>
          <w:kern w:val="0"/>
          <w:szCs w:val="22"/>
        </w:rPr>
        <w:t xml:space="preserve">seeks comment on how </w:t>
      </w:r>
      <w:r w:rsidRPr="00B638B1" w:rsidR="000B45EE">
        <w:t>quickly licensees and permittees must</w:t>
      </w:r>
      <w:r w:rsidR="00D541B2">
        <w:t xml:space="preserve"> update the Section 73.3613 documents in their public file</w:t>
      </w:r>
      <w:r w:rsidR="000B45EE">
        <w:t xml:space="preserve"> or </w:t>
      </w:r>
      <w:r w:rsidRPr="00B638B1" w:rsidR="000B45EE">
        <w:t xml:space="preserve">update the list of </w:t>
      </w:r>
      <w:r w:rsidR="000B45EE">
        <w:t>such documents.  Presently,</w:t>
      </w:r>
      <w:r w:rsidRPr="00B638B1" w:rsidR="000B45EE">
        <w:t xml:space="preserve"> licensees and permittees are expected to update their files in a timely fashion and to maintain orderly files.  </w:t>
      </w:r>
      <w:r w:rsidR="000B45EE">
        <w:t xml:space="preserve">The </w:t>
      </w:r>
      <w:r w:rsidR="000B45EE">
        <w:rPr>
          <w:i/>
        </w:rPr>
        <w:t xml:space="preserve">NPRM </w:t>
      </w:r>
      <w:r w:rsidR="000B45EE">
        <w:t>seeks comment on whether to retain</w:t>
      </w:r>
      <w:r w:rsidRPr="00B638B1" w:rsidR="000B45EE">
        <w:t xml:space="preserve"> the existing practice for public file updates or </w:t>
      </w:r>
      <w:r w:rsidR="000B45EE">
        <w:t xml:space="preserve">to </w:t>
      </w:r>
      <w:r w:rsidRPr="00B638B1" w:rsidR="000B45EE">
        <w:t xml:space="preserve">adopt a specific timeframe for updating the Section 73.3613 documents in the station’s public file (e.g., continue to </w:t>
      </w:r>
      <w:r w:rsidR="000B45EE">
        <w:t>require updates within</w:t>
      </w:r>
      <w:r w:rsidRPr="00B638B1" w:rsidR="000B45EE">
        <w:t xml:space="preserve"> 30 days</w:t>
      </w:r>
      <w:r w:rsidR="000B45EE">
        <w:t xml:space="preserve"> after execution, consistent with the current practice under Section 73.3613).</w:t>
      </w:r>
    </w:p>
    <w:p w:rsidR="00930EE4" w:rsidRPr="00883000" w:rsidP="00E3346B" w14:paraId="6A69FDCD" w14:textId="1C182DB0">
      <w:pPr>
        <w:pStyle w:val="ParaNum"/>
        <w:numPr>
          <w:ilvl w:val="0"/>
          <w:numId w:val="8"/>
        </w:numPr>
        <w:tabs>
          <w:tab w:val="clear" w:pos="1080"/>
          <w:tab w:val="num" w:pos="1440"/>
        </w:tabs>
        <w:rPr>
          <w:snapToGrid/>
          <w:kern w:val="0"/>
          <w:szCs w:val="22"/>
        </w:rPr>
      </w:pPr>
      <w:r w:rsidRPr="00883000">
        <w:rPr>
          <w:i/>
          <w:snapToGrid/>
          <w:kern w:val="0"/>
          <w:szCs w:val="22"/>
        </w:rPr>
        <w:t xml:space="preserve">Recordkeeping Requirements.  </w:t>
      </w:r>
      <w:r w:rsidRPr="00883000">
        <w:rPr>
          <w:snapToGrid/>
          <w:kern w:val="0"/>
          <w:szCs w:val="22"/>
        </w:rPr>
        <w:t xml:space="preserve">The </w:t>
      </w:r>
      <w:r w:rsidRPr="00D60EA3" w:rsidR="00944D10">
        <w:t xml:space="preserve">existing public file rules currently give stations the option of either (i) retaining copies of the documents listed in their ownership reports in the public file or (ii) maintaining an up-to-date list of such documents in the public file and providing copies to a requesting party within seven days.  </w:t>
      </w:r>
      <w:r w:rsidR="00AB7BF0">
        <w:t>T</w:t>
      </w:r>
      <w:r w:rsidRPr="00D60EA3" w:rsidR="00944D10">
        <w:t>o preserve the current level of access to t</w:t>
      </w:r>
      <w:r w:rsidR="00944D10">
        <w:t xml:space="preserve">hese documents, </w:t>
      </w:r>
      <w:r w:rsidR="00AB7BF0">
        <w:t xml:space="preserve">the </w:t>
      </w:r>
      <w:r w:rsidR="00AB7BF0">
        <w:rPr>
          <w:i/>
        </w:rPr>
        <w:t>NPRM</w:t>
      </w:r>
      <w:r w:rsidR="00944D10">
        <w:t xml:space="preserve"> propose</w:t>
      </w:r>
      <w:r w:rsidR="00AB7BF0">
        <w:t>s</w:t>
      </w:r>
      <w:r w:rsidR="00944D10">
        <w:t xml:space="preserve"> to</w:t>
      </w:r>
      <w:r w:rsidRPr="00D60EA3" w:rsidR="00944D10">
        <w:t xml:space="preserve"> clarify that a station must maintain an up-to-date inventory of its Section 73.3613 documents in its public file, regardless of whether the station chooses to retain copies or a list of documents in the public file</w:t>
      </w:r>
      <w:r w:rsidR="00944D10">
        <w:t>, and provide copies of its Section 73.3613 documents to the Commission and the public within seven days upon request</w:t>
      </w:r>
      <w:r w:rsidRPr="00D60EA3" w:rsidR="00944D10">
        <w:t xml:space="preserve">.  </w:t>
      </w:r>
      <w:r w:rsidRPr="00883000">
        <w:rPr>
          <w:snapToGrid/>
          <w:kern w:val="0"/>
          <w:szCs w:val="22"/>
        </w:rPr>
        <w:t xml:space="preserve"> </w:t>
      </w:r>
    </w:p>
    <w:p w:rsidR="00930EE4" w:rsidRPr="00883000" w:rsidP="00E3346B" w14:paraId="7F3A86C6" w14:textId="7225BD15">
      <w:pPr>
        <w:pStyle w:val="ParaNum"/>
        <w:numPr>
          <w:ilvl w:val="0"/>
          <w:numId w:val="8"/>
        </w:numPr>
        <w:tabs>
          <w:tab w:val="clear" w:pos="1080"/>
          <w:tab w:val="num" w:pos="1440"/>
        </w:tabs>
        <w:rPr>
          <w:snapToGrid/>
          <w:kern w:val="0"/>
          <w:szCs w:val="22"/>
        </w:rPr>
      </w:pPr>
      <w:r w:rsidRPr="00883000">
        <w:rPr>
          <w:i/>
          <w:snapToGrid/>
          <w:kern w:val="0"/>
          <w:szCs w:val="22"/>
        </w:rPr>
        <w:t>Other Compliance Requirements</w:t>
      </w:r>
      <w:r w:rsidRPr="00883000">
        <w:rPr>
          <w:snapToGrid/>
          <w:kern w:val="0"/>
          <w:szCs w:val="22"/>
        </w:rPr>
        <w:t xml:space="preserve">.  </w:t>
      </w:r>
      <w:r w:rsidRPr="00487811" w:rsidR="005B7B26">
        <w:t>Section 73.3613 explicitly allows the redaction of confidential or proprietary information for attributable TBAs and JSAs, provided that unredacted versions of the agreements shall be provided to the Commission upon request.</w:t>
      </w:r>
      <w:r w:rsidRPr="00B638B1" w:rsidR="005B7B26">
        <w:t xml:space="preserve">  The rule does not currently provide for redaction of other agreements filed pursuant to the provision.  </w:t>
      </w:r>
      <w:r w:rsidR="005B7B26">
        <w:t xml:space="preserve">The </w:t>
      </w:r>
      <w:r w:rsidR="005B7B26">
        <w:rPr>
          <w:i/>
        </w:rPr>
        <w:t xml:space="preserve">NPRM </w:t>
      </w:r>
      <w:r w:rsidRPr="00487811" w:rsidR="005B7B26">
        <w:t>tentatively conclude</w:t>
      </w:r>
      <w:r w:rsidR="005B7B26">
        <w:t>s</w:t>
      </w:r>
      <w:r w:rsidRPr="00487811" w:rsidR="005B7B26">
        <w:t xml:space="preserve"> that Section 73.3613’s specific provision allowing the redaction of TBAs and JSAs, including the requirement that unredacted copies shall be made available to the Commission upon request, should apply to all Section 73.3613 documents to the extent that they contain confidential or proprietary information.  Under </w:t>
      </w:r>
      <w:r w:rsidR="005B7B26">
        <w:t>this</w:t>
      </w:r>
      <w:r w:rsidRPr="00487811" w:rsidR="005B7B26">
        <w:t xml:space="preserve"> proposal, redaction would only be necessary when a document is </w:t>
      </w:r>
      <w:r w:rsidR="005B7B26">
        <w:t xml:space="preserve">posted to the online public file or </w:t>
      </w:r>
      <w:r w:rsidRPr="00B638B1" w:rsidR="005B7B26">
        <w:t xml:space="preserve">provided to the Commission or the public upon request.  </w:t>
      </w:r>
      <w:r w:rsidRPr="00883000">
        <w:rPr>
          <w:snapToGrid/>
          <w:kern w:val="0"/>
          <w:szCs w:val="22"/>
        </w:rPr>
        <w:t xml:space="preserve">    </w:t>
      </w:r>
    </w:p>
    <w:p w:rsidR="00930EE4" w:rsidRPr="00883000" w:rsidP="00E3346B" w14:paraId="035149F4" w14:textId="30B393B3">
      <w:pPr>
        <w:pStyle w:val="ParaNum"/>
        <w:numPr>
          <w:ilvl w:val="0"/>
          <w:numId w:val="8"/>
        </w:numPr>
        <w:tabs>
          <w:tab w:val="clear" w:pos="1080"/>
          <w:tab w:val="num" w:pos="1440"/>
        </w:tabs>
        <w:rPr>
          <w:snapToGrid/>
          <w:kern w:val="0"/>
          <w:szCs w:val="22"/>
        </w:rPr>
      </w:pPr>
      <w:r w:rsidRPr="00883000">
        <w:rPr>
          <w:snapToGrid/>
          <w:kern w:val="0"/>
          <w:szCs w:val="22"/>
        </w:rPr>
        <w:t>The proposed revisions to Section 73.</w:t>
      </w:r>
      <w:r>
        <w:rPr>
          <w:snapToGrid/>
          <w:kern w:val="0"/>
          <w:szCs w:val="22"/>
        </w:rPr>
        <w:t>3613 will</w:t>
      </w:r>
      <w:r w:rsidRPr="00883000">
        <w:rPr>
          <w:snapToGrid/>
          <w:kern w:val="0"/>
          <w:szCs w:val="22"/>
        </w:rPr>
        <w:t xml:space="preserve"> </w:t>
      </w:r>
      <w:r>
        <w:rPr>
          <w:snapToGrid/>
          <w:kern w:val="0"/>
          <w:szCs w:val="22"/>
        </w:rPr>
        <w:t xml:space="preserve">relieve </w:t>
      </w:r>
      <w:r w:rsidRPr="00883000">
        <w:rPr>
          <w:snapToGrid/>
          <w:kern w:val="0"/>
          <w:szCs w:val="22"/>
        </w:rPr>
        <w:t xml:space="preserve">affected </w:t>
      </w:r>
      <w:r w:rsidRPr="00B03DB9">
        <w:rPr>
          <w:snapToGrid/>
        </w:rPr>
        <w:t>broadcast</w:t>
      </w:r>
      <w:r w:rsidRPr="00883000">
        <w:rPr>
          <w:snapToGrid/>
          <w:kern w:val="0"/>
          <w:szCs w:val="22"/>
        </w:rPr>
        <w:t xml:space="preserve"> stations, including smaller stations, of the obligation to file certain information with the Commission.</w:t>
      </w:r>
      <w:r>
        <w:rPr>
          <w:snapToGrid/>
          <w:kern w:val="0"/>
          <w:szCs w:val="22"/>
        </w:rPr>
        <w:t xml:space="preserve"> </w:t>
      </w:r>
      <w:r w:rsidR="00A141B2">
        <w:rPr>
          <w:snapToGrid/>
          <w:kern w:val="0"/>
          <w:szCs w:val="22"/>
        </w:rPr>
        <w:t xml:space="preserve"> </w:t>
      </w:r>
      <w:r>
        <w:rPr>
          <w:snapToGrid/>
          <w:kern w:val="0"/>
          <w:szCs w:val="22"/>
        </w:rPr>
        <w:t xml:space="preserve">And although there were </w:t>
      </w:r>
      <w:r w:rsidRPr="00883000">
        <w:rPr>
          <w:snapToGrid/>
          <w:kern w:val="0"/>
          <w:szCs w:val="22"/>
        </w:rPr>
        <w:t>no</w:t>
      </w:r>
      <w:r>
        <w:rPr>
          <w:snapToGrid/>
          <w:kern w:val="0"/>
          <w:szCs w:val="22"/>
        </w:rPr>
        <w:t xml:space="preserve">t any comments filed </w:t>
      </w:r>
      <w:r w:rsidRPr="00883000">
        <w:rPr>
          <w:snapToGrid/>
          <w:kern w:val="0"/>
          <w:szCs w:val="22"/>
        </w:rPr>
        <w:t>provid</w:t>
      </w:r>
      <w:r>
        <w:rPr>
          <w:snapToGrid/>
          <w:kern w:val="0"/>
          <w:szCs w:val="22"/>
        </w:rPr>
        <w:t>ing</w:t>
      </w:r>
      <w:r w:rsidRPr="00883000">
        <w:rPr>
          <w:snapToGrid/>
          <w:kern w:val="0"/>
          <w:szCs w:val="22"/>
        </w:rPr>
        <w:t xml:space="preserve"> </w:t>
      </w:r>
      <w:r>
        <w:rPr>
          <w:snapToGrid/>
          <w:kern w:val="0"/>
          <w:szCs w:val="22"/>
        </w:rPr>
        <w:t xml:space="preserve">specific </w:t>
      </w:r>
      <w:r w:rsidRPr="00883000">
        <w:rPr>
          <w:snapToGrid/>
          <w:kern w:val="0"/>
          <w:szCs w:val="22"/>
        </w:rPr>
        <w:t>information quantifying the costs and administrative burdens of complying with the existing Section 73.</w:t>
      </w:r>
      <w:r>
        <w:rPr>
          <w:snapToGrid/>
          <w:kern w:val="0"/>
          <w:szCs w:val="22"/>
        </w:rPr>
        <w:t>3613</w:t>
      </w:r>
      <w:r w:rsidRPr="00883000">
        <w:rPr>
          <w:snapToGrid/>
          <w:kern w:val="0"/>
          <w:szCs w:val="22"/>
        </w:rPr>
        <w:t xml:space="preserve"> </w:t>
      </w:r>
      <w:r>
        <w:rPr>
          <w:snapToGrid/>
          <w:kern w:val="0"/>
          <w:szCs w:val="22"/>
        </w:rPr>
        <w:t>filing</w:t>
      </w:r>
      <w:r w:rsidRPr="00883000">
        <w:rPr>
          <w:snapToGrid/>
          <w:kern w:val="0"/>
          <w:szCs w:val="22"/>
        </w:rPr>
        <w:t xml:space="preserve"> requirements</w:t>
      </w:r>
      <w:r>
        <w:rPr>
          <w:snapToGrid/>
          <w:kern w:val="0"/>
          <w:szCs w:val="22"/>
        </w:rPr>
        <w:t xml:space="preserve">, and </w:t>
      </w:r>
      <w:r w:rsidRPr="00883000">
        <w:rPr>
          <w:snapToGrid/>
          <w:kern w:val="0"/>
          <w:szCs w:val="22"/>
        </w:rPr>
        <w:t>we cannot precisely estimate the impact on small entities of eliminating those requirements</w:t>
      </w:r>
      <w:r>
        <w:rPr>
          <w:snapToGrid/>
          <w:kern w:val="0"/>
          <w:szCs w:val="22"/>
        </w:rPr>
        <w:t>,</w:t>
      </w:r>
      <w:r w:rsidRPr="00883000">
        <w:rPr>
          <w:snapToGrid/>
          <w:kern w:val="0"/>
          <w:szCs w:val="22"/>
        </w:rPr>
        <w:t xml:space="preserve"> </w:t>
      </w:r>
      <w:r>
        <w:rPr>
          <w:snapToGrid/>
          <w:kern w:val="0"/>
          <w:szCs w:val="22"/>
        </w:rPr>
        <w:t>n</w:t>
      </w:r>
      <w:r w:rsidRPr="00883000">
        <w:rPr>
          <w:snapToGrid/>
          <w:kern w:val="0"/>
          <w:szCs w:val="22"/>
        </w:rPr>
        <w:t xml:space="preserve">o party in the Media Modernization proceeding, including smaller entities, has opposed the proposals discussed in the </w:t>
      </w:r>
      <w:r w:rsidRPr="00144F05">
        <w:rPr>
          <w:i/>
          <w:snapToGrid/>
          <w:kern w:val="0"/>
          <w:szCs w:val="22"/>
        </w:rPr>
        <w:t>NPRM</w:t>
      </w:r>
      <w:r w:rsidRPr="00883000">
        <w:rPr>
          <w:snapToGrid/>
          <w:kern w:val="0"/>
          <w:szCs w:val="22"/>
        </w:rPr>
        <w:t>.  We th</w:t>
      </w:r>
      <w:r>
        <w:rPr>
          <w:snapToGrid/>
          <w:kern w:val="0"/>
          <w:szCs w:val="22"/>
        </w:rPr>
        <w:t>erefore</w:t>
      </w:r>
      <w:r w:rsidRPr="00883000">
        <w:rPr>
          <w:snapToGrid/>
          <w:kern w:val="0"/>
          <w:szCs w:val="22"/>
        </w:rPr>
        <w:t xml:space="preserve"> find it reasonable to conclude that the benefits of adopting the proposals discussed therein would outweigh any costs. </w:t>
      </w:r>
    </w:p>
    <w:p w:rsidR="00930EE4" w:rsidRPr="00883000" w:rsidP="00AD008C" w14:paraId="608EB808" w14:textId="77777777">
      <w:pPr>
        <w:pStyle w:val="Heading2"/>
      </w:pPr>
      <w:bookmarkStart w:id="159" w:name="_Toc394663461"/>
      <w:bookmarkStart w:id="160" w:name="_Toc401909718"/>
      <w:bookmarkStart w:id="161" w:name="_Toc402428427"/>
      <w:bookmarkStart w:id="162" w:name="_Toc403718724"/>
      <w:r w:rsidRPr="00883000">
        <w:t>Steps Taken to Minimize Significant Economic Impact on Small Entities, and Significant Alternatives Considered</w:t>
      </w:r>
      <w:bookmarkEnd w:id="159"/>
      <w:bookmarkEnd w:id="160"/>
      <w:bookmarkEnd w:id="161"/>
      <w:bookmarkEnd w:id="162"/>
    </w:p>
    <w:p w:rsidR="00930EE4" w:rsidRPr="00883000" w:rsidP="00B15FF0" w14:paraId="5E36F30F" w14:textId="77777777">
      <w:pPr>
        <w:pStyle w:val="ParaNum"/>
        <w:widowControl/>
        <w:numPr>
          <w:ilvl w:val="0"/>
          <w:numId w:val="8"/>
        </w:numPr>
        <w:tabs>
          <w:tab w:val="clear" w:pos="1080"/>
          <w:tab w:val="num" w:pos="1440"/>
        </w:tabs>
        <w:rPr>
          <w:snapToGrid/>
          <w:kern w:val="0"/>
          <w:szCs w:val="22"/>
        </w:rPr>
      </w:pPr>
      <w:r w:rsidRPr="00883000">
        <w:rPr>
          <w:snapToGrid/>
          <w:kern w:val="0"/>
          <w:szCs w:val="22"/>
        </w:rPr>
        <w:t xml:space="preserve">The RFA requires an agency to describe any significant, specifically small business, alternatives that it has considered in reaching </w:t>
      </w:r>
      <w:r w:rsidRPr="00524238">
        <w:rPr>
          <w:snapToGrid/>
        </w:rPr>
        <w:t>its</w:t>
      </w:r>
      <w:r w:rsidRPr="00883000">
        <w:rPr>
          <w:snapToGrid/>
          <w:kern w:val="0"/>
          <w:szCs w:val="22"/>
        </w:rPr>
        <w:t xml:space="preserve">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snapToGrid/>
          <w:kern w:val="0"/>
          <w:szCs w:val="22"/>
          <w:vertAlign w:val="superscript"/>
        </w:rPr>
        <w:footnoteReference w:id="79"/>
      </w:r>
    </w:p>
    <w:p w:rsidR="00930EE4" w:rsidRPr="00144F05" w:rsidP="00E3346B" w14:paraId="7D17635B" w14:textId="37A9DC71">
      <w:pPr>
        <w:pStyle w:val="ParaNum"/>
        <w:numPr>
          <w:ilvl w:val="0"/>
          <w:numId w:val="8"/>
        </w:numPr>
        <w:tabs>
          <w:tab w:val="clear" w:pos="1080"/>
          <w:tab w:val="num" w:pos="1440"/>
        </w:tabs>
        <w:rPr>
          <w:snapToGrid/>
          <w:kern w:val="0"/>
          <w:szCs w:val="22"/>
        </w:rPr>
      </w:pPr>
      <w:r w:rsidRPr="00F75F30">
        <w:rPr>
          <w:snapToGrid/>
          <w:kern w:val="0"/>
          <w:szCs w:val="22"/>
        </w:rPr>
        <w:t xml:space="preserve">The </w:t>
      </w:r>
      <w:r w:rsidRPr="00144F05">
        <w:rPr>
          <w:i/>
          <w:snapToGrid/>
          <w:kern w:val="0"/>
          <w:szCs w:val="22"/>
        </w:rPr>
        <w:t>NPRM</w:t>
      </w:r>
      <w:r w:rsidRPr="00F75F30">
        <w:rPr>
          <w:snapToGrid/>
          <w:kern w:val="0"/>
          <w:szCs w:val="22"/>
        </w:rPr>
        <w:t xml:space="preserve"> proposes to </w:t>
      </w:r>
      <w:r>
        <w:rPr>
          <w:snapToGrid/>
          <w:kern w:val="0"/>
          <w:szCs w:val="22"/>
        </w:rPr>
        <w:t xml:space="preserve">amend </w:t>
      </w:r>
      <w:r w:rsidRPr="00F75F30">
        <w:rPr>
          <w:snapToGrid/>
          <w:kern w:val="0"/>
          <w:szCs w:val="22"/>
        </w:rPr>
        <w:t xml:space="preserve">Section 73.3613 </w:t>
      </w:r>
      <w:r>
        <w:rPr>
          <w:snapToGrid/>
          <w:kern w:val="0"/>
          <w:szCs w:val="22"/>
        </w:rPr>
        <w:t xml:space="preserve">to eliminate the </w:t>
      </w:r>
      <w:r w:rsidRPr="00F75F30">
        <w:rPr>
          <w:snapToGrid/>
          <w:kern w:val="0"/>
          <w:szCs w:val="22"/>
        </w:rPr>
        <w:t xml:space="preserve">paper filing requirement for </w:t>
      </w:r>
      <w:r>
        <w:rPr>
          <w:snapToGrid/>
          <w:kern w:val="0"/>
          <w:szCs w:val="22"/>
        </w:rPr>
        <w:t>Section 73.3613 documents, and seeks comment on other proposed modifications to broadcasters’ current obligations under Section 73.3613</w:t>
      </w:r>
      <w:r w:rsidRPr="006264A9">
        <w:t>, including, among ot</w:t>
      </w:r>
      <w:r w:rsidRPr="00034F19">
        <w:t>her things, eliminating certain redundant filing obligations and providing enhanced confid</w:t>
      </w:r>
      <w:r>
        <w:t>entiality protections</w:t>
      </w:r>
      <w:r>
        <w:rPr>
          <w:snapToGrid/>
          <w:kern w:val="0"/>
          <w:szCs w:val="22"/>
        </w:rPr>
        <w:t>.</w:t>
      </w:r>
      <w:r w:rsidRPr="00E1510F" w:rsidR="00E1510F">
        <w:t xml:space="preserve"> </w:t>
      </w:r>
      <w:r w:rsidR="00E1510F">
        <w:t xml:space="preserve"> </w:t>
      </w:r>
      <w:r w:rsidRPr="00487811" w:rsidR="00E1510F">
        <w:t xml:space="preserve">Under </w:t>
      </w:r>
      <w:r w:rsidR="00E1510F">
        <w:t>the</w:t>
      </w:r>
      <w:r w:rsidRPr="00487811" w:rsidR="00E1510F">
        <w:t xml:space="preserve"> proposal</w:t>
      </w:r>
      <w:r w:rsidR="00E1510F">
        <w:t xml:space="preserve"> in the </w:t>
      </w:r>
      <w:r w:rsidRPr="00E1510F" w:rsidR="00E1510F">
        <w:rPr>
          <w:i/>
        </w:rPr>
        <w:t>NPRM</w:t>
      </w:r>
      <w:r w:rsidRPr="00487811" w:rsidR="00E1510F">
        <w:t xml:space="preserve">, redaction </w:t>
      </w:r>
      <w:r w:rsidR="00E1510F">
        <w:t xml:space="preserve">of </w:t>
      </w:r>
      <w:r w:rsidRPr="00487811" w:rsidR="00E1510F">
        <w:t>confidenti</w:t>
      </w:r>
      <w:r w:rsidR="00E1510F">
        <w:t xml:space="preserve">al or proprietary information </w:t>
      </w:r>
      <w:r w:rsidRPr="00487811" w:rsidR="00E1510F">
        <w:t xml:space="preserve">would only be necessary when a document is </w:t>
      </w:r>
      <w:r w:rsidR="00E1510F">
        <w:t xml:space="preserve">posted to the online public file or </w:t>
      </w:r>
      <w:r w:rsidRPr="00B638B1" w:rsidR="00E1510F">
        <w:t>provided to the Commissi</w:t>
      </w:r>
      <w:r w:rsidR="00E1510F">
        <w:t>on or the public upon request.</w:t>
      </w:r>
      <w:r w:rsidRPr="00883000">
        <w:rPr>
          <w:snapToGrid/>
          <w:kern w:val="0"/>
          <w:szCs w:val="22"/>
        </w:rPr>
        <w:t xml:space="preserve">  </w:t>
      </w:r>
      <w:r>
        <w:t>T</w:t>
      </w:r>
      <w:r w:rsidRPr="00487811">
        <w:t xml:space="preserve">he rule changes proposed in </w:t>
      </w:r>
      <w:r>
        <w:t>the</w:t>
      </w:r>
      <w:r w:rsidRPr="00487811">
        <w:t xml:space="preserve"> </w:t>
      </w:r>
      <w:r w:rsidRPr="00144F05">
        <w:rPr>
          <w:i/>
        </w:rPr>
        <w:t>NPRM</w:t>
      </w:r>
      <w:r w:rsidRPr="00487811">
        <w:t xml:space="preserve">, if adopted, would </w:t>
      </w:r>
      <w:r>
        <w:t>relieve broadcast licensees and permittees, including small entities, of the time and expense associated with filing paper copies of Section 73.3613 documents with the Commission</w:t>
      </w:r>
      <w:r w:rsidRPr="00487811">
        <w:t xml:space="preserve">.  </w:t>
      </w:r>
    </w:p>
    <w:p w:rsidR="00930EE4" w:rsidRPr="00144F05" w:rsidP="00E3346B" w14:paraId="054BA342" w14:textId="77777777">
      <w:pPr>
        <w:pStyle w:val="ParaNum"/>
        <w:numPr>
          <w:ilvl w:val="0"/>
          <w:numId w:val="8"/>
        </w:numPr>
        <w:tabs>
          <w:tab w:val="clear" w:pos="1080"/>
          <w:tab w:val="num" w:pos="1440"/>
        </w:tabs>
        <w:rPr>
          <w:snapToGrid/>
          <w:kern w:val="0"/>
          <w:szCs w:val="22"/>
        </w:rPr>
      </w:pPr>
      <w:r w:rsidRPr="00487811">
        <w:t xml:space="preserve">For licensees and permittees of commercial and noncommercial AM, FM, and television stations, the </w:t>
      </w:r>
      <w:r w:rsidRPr="00144F05">
        <w:rPr>
          <w:i/>
        </w:rPr>
        <w:t>NPRM</w:t>
      </w:r>
      <w:r w:rsidRPr="00487811">
        <w:t xml:space="preserve"> proposes to rely instead on the Commission’s existing public</w:t>
      </w:r>
      <w:r w:rsidRPr="00230776">
        <w:t xml:space="preserve"> file rules, which already require that these licensees and permittees make copies of Section 73.3613 documents available to the public.  The existing public file rules provide these licensees and permittees with flexibility to select the disclosure method that is less burdensome with respect to Section 73.3613 documents, while still ensuring timely access to the documents by the public and the Commission.  For international broadcast stations, the </w:t>
      </w:r>
      <w:r w:rsidRPr="00144F05">
        <w:rPr>
          <w:i/>
        </w:rPr>
        <w:t>NPRM</w:t>
      </w:r>
      <w:r w:rsidRPr="00230776">
        <w:t xml:space="preserve"> proposes that the Commission retain its ability to obt</w:t>
      </w:r>
      <w:r w:rsidRPr="006264A9">
        <w:t xml:space="preserve">ain Section 73.3613 documents from licensees and permittees of these stations upon request, as needed.  </w:t>
      </w:r>
    </w:p>
    <w:p w:rsidR="00930EE4" w:rsidRPr="00883000" w:rsidP="00E3346B" w14:paraId="41C2BE91" w14:textId="77777777">
      <w:pPr>
        <w:pStyle w:val="ParaNum"/>
        <w:numPr>
          <w:ilvl w:val="0"/>
          <w:numId w:val="8"/>
        </w:numPr>
        <w:tabs>
          <w:tab w:val="clear" w:pos="1080"/>
          <w:tab w:val="num" w:pos="1440"/>
        </w:tabs>
        <w:rPr>
          <w:snapToGrid/>
          <w:kern w:val="0"/>
          <w:szCs w:val="22"/>
        </w:rPr>
      </w:pPr>
      <w:r>
        <w:rPr>
          <w:snapToGrid/>
          <w:kern w:val="0"/>
          <w:szCs w:val="22"/>
        </w:rPr>
        <w:t>W</w:t>
      </w:r>
      <w:r w:rsidRPr="00883000">
        <w:rPr>
          <w:snapToGrid/>
          <w:kern w:val="0"/>
          <w:szCs w:val="22"/>
        </w:rPr>
        <w:t>e anticipate that affected small entities w</w:t>
      </w:r>
      <w:r>
        <w:rPr>
          <w:snapToGrid/>
          <w:kern w:val="0"/>
          <w:szCs w:val="22"/>
        </w:rPr>
        <w:t>ill</w:t>
      </w:r>
      <w:r w:rsidRPr="00883000">
        <w:rPr>
          <w:snapToGrid/>
          <w:kern w:val="0"/>
          <w:szCs w:val="22"/>
        </w:rPr>
        <w:t xml:space="preserve"> only benefit from </w:t>
      </w:r>
      <w:r>
        <w:rPr>
          <w:snapToGrid/>
          <w:kern w:val="0"/>
          <w:szCs w:val="22"/>
        </w:rPr>
        <w:t xml:space="preserve">the </w:t>
      </w:r>
      <w:r w:rsidRPr="00883000">
        <w:rPr>
          <w:snapToGrid/>
          <w:kern w:val="0"/>
          <w:szCs w:val="22"/>
        </w:rPr>
        <w:t>revisions</w:t>
      </w:r>
      <w:r>
        <w:rPr>
          <w:snapToGrid/>
          <w:kern w:val="0"/>
          <w:szCs w:val="22"/>
        </w:rPr>
        <w:t xml:space="preserve"> proposed in the </w:t>
      </w:r>
      <w:r>
        <w:rPr>
          <w:i/>
          <w:snapToGrid/>
          <w:kern w:val="0"/>
          <w:szCs w:val="22"/>
        </w:rPr>
        <w:t>NPRM</w:t>
      </w:r>
      <w:r w:rsidRPr="0033453B">
        <w:rPr>
          <w:snapToGrid/>
          <w:kern w:val="0"/>
          <w:szCs w:val="22"/>
        </w:rPr>
        <w:t>.</w:t>
      </w:r>
      <w:r>
        <w:rPr>
          <w:i/>
          <w:snapToGrid/>
          <w:kern w:val="0"/>
          <w:szCs w:val="22"/>
        </w:rPr>
        <w:t xml:space="preserve"> </w:t>
      </w:r>
      <w:r>
        <w:rPr>
          <w:snapToGrid/>
          <w:kern w:val="0"/>
          <w:szCs w:val="22"/>
        </w:rPr>
        <w:t xml:space="preserve"> However, in an effort to better understand the impact and identify alternative actions that can be taken to minimize any significant economic impact on small entities, the Commission has invited comment on modifications or conforming changes </w:t>
      </w:r>
      <w:r w:rsidRPr="00B638B1">
        <w:t>to Section 73.3613, or any other Commission rul</w:t>
      </w:r>
      <w:r w:rsidRPr="00487811">
        <w:t>e, that are necessary or appropriate to implement</w:t>
      </w:r>
      <w:r>
        <w:t xml:space="preserve"> the proposals discussed in the</w:t>
      </w:r>
      <w:r w:rsidRPr="00487811">
        <w:t xml:space="preserve"> </w:t>
      </w:r>
      <w:r w:rsidRPr="000B65B1">
        <w:rPr>
          <w:i/>
        </w:rPr>
        <w:t>NPRM</w:t>
      </w:r>
      <w:r w:rsidRPr="00230776">
        <w:t xml:space="preserve"> and on any alternative proposals for making these documents available in a less costly and more effective manner</w:t>
      </w:r>
      <w:r>
        <w:t>.</w:t>
      </w:r>
      <w:r>
        <w:rPr>
          <w:snapToGrid/>
          <w:kern w:val="0"/>
          <w:szCs w:val="22"/>
        </w:rPr>
        <w:t xml:space="preserve">  The Commission will review and analyze any information received in promulgating any final rules in this proceeding.</w:t>
      </w:r>
      <w:r w:rsidRPr="00883000">
        <w:rPr>
          <w:snapToGrid/>
          <w:kern w:val="0"/>
          <w:szCs w:val="22"/>
        </w:rPr>
        <w:t xml:space="preserve"> </w:t>
      </w:r>
    </w:p>
    <w:p w:rsidR="00930EE4" w:rsidRPr="00883000" w:rsidP="00AD008C" w14:paraId="6715A53A" w14:textId="77777777">
      <w:pPr>
        <w:pStyle w:val="Heading2"/>
      </w:pPr>
      <w:bookmarkStart w:id="163" w:name="_Toc394663462"/>
      <w:bookmarkStart w:id="164" w:name="_Toc401909719"/>
      <w:bookmarkStart w:id="165" w:name="_Toc402428428"/>
      <w:bookmarkStart w:id="166" w:name="_Toc403718725"/>
      <w:r w:rsidRPr="00883000">
        <w:t>Federal Rules that May Duplicate, Overlap, or Conflict with the Proposed Rule</w:t>
      </w:r>
      <w:bookmarkEnd w:id="163"/>
      <w:bookmarkEnd w:id="164"/>
      <w:bookmarkEnd w:id="165"/>
      <w:bookmarkEnd w:id="166"/>
    </w:p>
    <w:p w:rsidR="001B1FE5" w:rsidRPr="00373AE6" w:rsidP="00373AE6" w14:paraId="19AE1A58" w14:textId="48EB29A0">
      <w:pPr>
        <w:pStyle w:val="ParaNum"/>
        <w:numPr>
          <w:ilvl w:val="0"/>
          <w:numId w:val="8"/>
        </w:numPr>
        <w:tabs>
          <w:tab w:val="clear" w:pos="1080"/>
          <w:tab w:val="num" w:pos="1440"/>
        </w:tabs>
        <w:rPr>
          <w:snapToGrid/>
          <w:kern w:val="0"/>
          <w:szCs w:val="22"/>
        </w:rPr>
        <w:sectPr w:rsidSect="00930EE4">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docGrid w:linePitch="299"/>
        </w:sectPr>
      </w:pPr>
      <w:r w:rsidRPr="00524238">
        <w:rPr>
          <w:snapToGrid/>
        </w:rPr>
        <w:t>None</w:t>
      </w:r>
      <w:r w:rsidRPr="00883000">
        <w:rPr>
          <w:snapToGrid/>
          <w:kern w:val="0"/>
          <w:sz w:val="24"/>
          <w:szCs w:val="24"/>
        </w:rPr>
        <w:t xml:space="preserve">.  </w:t>
      </w:r>
    </w:p>
    <w:p w:rsidR="004F2436" w:rsidRPr="005577AD" w:rsidP="004F2436" w14:paraId="176D4241" w14:textId="77777777">
      <w:pPr>
        <w:jc w:val="center"/>
        <w:rPr>
          <w:b/>
          <w:bCs/>
          <w:caps/>
          <w:szCs w:val="22"/>
        </w:rPr>
      </w:pPr>
      <w:r w:rsidRPr="005577AD">
        <w:rPr>
          <w:b/>
          <w:bCs/>
          <w:caps/>
          <w:szCs w:val="22"/>
        </w:rPr>
        <w:t>Statement of</w:t>
      </w:r>
    </w:p>
    <w:p w:rsidR="004F2436" w:rsidRPr="005577AD" w:rsidP="004F2436" w14:paraId="559375CE" w14:textId="77777777">
      <w:pPr>
        <w:jc w:val="center"/>
        <w:rPr>
          <w:b/>
          <w:bCs/>
          <w:caps/>
          <w:szCs w:val="22"/>
        </w:rPr>
      </w:pPr>
      <w:r>
        <w:rPr>
          <w:b/>
          <w:bCs/>
          <w:caps/>
          <w:szCs w:val="22"/>
        </w:rPr>
        <w:t>chairman ajit pai</w:t>
      </w:r>
    </w:p>
    <w:p w:rsidR="004F2436" w:rsidRPr="005577AD" w:rsidP="004F2436" w14:paraId="151B3089" w14:textId="77777777">
      <w:pPr>
        <w:jc w:val="center"/>
        <w:rPr>
          <w:b/>
          <w:bCs/>
          <w:caps/>
          <w:szCs w:val="22"/>
        </w:rPr>
      </w:pPr>
    </w:p>
    <w:p w:rsidR="004F2436" w:rsidRPr="005577AD" w:rsidP="004F2436" w14:paraId="4F21C34C" w14:textId="77777777">
      <w:pPr>
        <w:ind w:left="720" w:hanging="720"/>
        <w:rPr>
          <w:i/>
          <w:iCs/>
          <w:szCs w:val="22"/>
        </w:rPr>
      </w:pPr>
      <w:r w:rsidRPr="005577AD">
        <w:rPr>
          <w:iCs/>
          <w:szCs w:val="22"/>
        </w:rPr>
        <w:t>Re:</w:t>
      </w:r>
      <w:r w:rsidRPr="005577AD">
        <w:rPr>
          <w:szCs w:val="22"/>
        </w:rPr>
        <w:t xml:space="preserve">    </w:t>
      </w:r>
      <w:r w:rsidRPr="005577AD">
        <w:rPr>
          <w:szCs w:val="22"/>
        </w:rPr>
        <w:tab/>
      </w:r>
      <w:r w:rsidRPr="00B65215">
        <w:rPr>
          <w:i/>
        </w:rPr>
        <w:t>Amendment of Section 73.3613 of the Commission’s Rules Regarding Filing of Contracts</w:t>
      </w:r>
      <w:r>
        <w:t>,</w:t>
      </w:r>
      <w:r w:rsidRPr="00B65215">
        <w:t xml:space="preserve"> MB Docket No. 18-4;</w:t>
      </w:r>
      <w:r w:rsidRPr="00B65215">
        <w:rPr>
          <w:i/>
        </w:rPr>
        <w:t xml:space="preserve"> Modernization of Media Regulation Initiative</w:t>
      </w:r>
      <w:r w:rsidRPr="00B65215">
        <w:t>, MB Docket No. 17-105.</w:t>
      </w:r>
    </w:p>
    <w:p w:rsidR="004F2436" w:rsidRPr="005577AD" w:rsidP="004F2436" w14:paraId="5D4E180B" w14:textId="77777777">
      <w:pPr>
        <w:ind w:firstLine="720"/>
        <w:rPr>
          <w:szCs w:val="22"/>
        </w:rPr>
      </w:pPr>
    </w:p>
    <w:p w:rsidR="004F2436" w:rsidP="004F2436" w14:paraId="17FD4B3F" w14:textId="77777777">
      <w:pPr>
        <w:ind w:firstLine="720"/>
        <w:rPr>
          <w:rFonts w:eastAsia="Calibri"/>
          <w:snapToGrid/>
        </w:rPr>
      </w:pPr>
      <w:r w:rsidRPr="00477261">
        <w:rPr>
          <w:rFonts w:eastAsia="Calibri"/>
          <w:snapToGrid/>
        </w:rPr>
        <w:t xml:space="preserve">Back in 1939, </w:t>
      </w:r>
      <w:r w:rsidRPr="00477261">
        <w:rPr>
          <w:rFonts w:eastAsia="Calibri"/>
          <w:i/>
          <w:snapToGrid/>
        </w:rPr>
        <w:t>The Wizard of Oz</w:t>
      </w:r>
      <w:r w:rsidRPr="00477261">
        <w:rPr>
          <w:rFonts w:eastAsia="Calibri"/>
          <w:snapToGrid/>
        </w:rPr>
        <w:t xml:space="preserve"> first hit the silver screen.  That same year, the FCC began requiring broadcast station licensees and permittees to file with us hard copies of certain contracts and other documents relating to station ownership and operation.</w:t>
      </w:r>
    </w:p>
    <w:p w:rsidR="004F2436" w:rsidRPr="00477261" w:rsidP="004F2436" w14:paraId="41FFE2FB" w14:textId="77777777">
      <w:pPr>
        <w:rPr>
          <w:rFonts w:eastAsia="Calibri"/>
          <w:snapToGrid/>
        </w:rPr>
      </w:pPr>
    </w:p>
    <w:p w:rsidR="004F2436" w:rsidP="004F2436" w14:paraId="6B3C5CEB" w14:textId="77777777">
      <w:pPr>
        <w:ind w:firstLine="720"/>
        <w:rPr>
          <w:rFonts w:eastAsia="Calibri"/>
          <w:snapToGrid/>
        </w:rPr>
      </w:pPr>
      <w:r w:rsidRPr="00477261">
        <w:rPr>
          <w:rFonts w:eastAsia="Calibri"/>
          <w:snapToGrid/>
        </w:rPr>
        <w:t xml:space="preserve">Many still consider </w:t>
      </w:r>
      <w:r w:rsidRPr="00477261">
        <w:rPr>
          <w:rFonts w:eastAsia="Calibri"/>
          <w:i/>
          <w:snapToGrid/>
        </w:rPr>
        <w:t>The Wizard of Oz</w:t>
      </w:r>
      <w:r w:rsidRPr="00477261">
        <w:rPr>
          <w:rFonts w:eastAsia="Calibri"/>
          <w:snapToGrid/>
        </w:rPr>
        <w:t xml:space="preserve"> to be a timeless classic and one of the greatest films of all time.  But our broadcast contract filing rules haven’t aged so gracefully.</w:t>
      </w:r>
    </w:p>
    <w:p w:rsidR="004F2436" w:rsidRPr="00477261" w:rsidP="004F2436" w14:paraId="10B37EE5" w14:textId="77777777">
      <w:pPr>
        <w:rPr>
          <w:rFonts w:eastAsia="Calibri"/>
          <w:snapToGrid/>
        </w:rPr>
      </w:pPr>
    </w:p>
    <w:p w:rsidR="004F2436" w:rsidP="004F2436" w14:paraId="05C58395" w14:textId="77777777">
      <w:pPr>
        <w:ind w:firstLine="720"/>
        <w:rPr>
          <w:rFonts w:eastAsia="Calibri"/>
          <w:snapToGrid/>
        </w:rPr>
      </w:pPr>
      <w:r w:rsidRPr="00477261">
        <w:rPr>
          <w:rFonts w:eastAsia="Calibri"/>
          <w:snapToGrid/>
        </w:rPr>
        <w:t>Paper filings may once have been the most efficient mechanism for ensuring these documents were accessible to the FCC and the public.  But in the digital age, this requirement no longer makes sense.  As a result of updates in 2012 to our public file rules, broadcasters are required to make these same documents available via their online public inspection files.  Online access would continue even if we ultimately eliminate the paper filing requirement.</w:t>
      </w:r>
    </w:p>
    <w:p w:rsidR="004F2436" w:rsidRPr="00477261" w:rsidP="004F2436" w14:paraId="5117C426" w14:textId="77777777">
      <w:pPr>
        <w:rPr>
          <w:rFonts w:eastAsia="Calibri"/>
          <w:snapToGrid/>
        </w:rPr>
      </w:pPr>
    </w:p>
    <w:p w:rsidR="004F2436" w:rsidP="004F2436" w14:paraId="79B66413" w14:textId="77777777">
      <w:pPr>
        <w:ind w:firstLine="720"/>
        <w:rPr>
          <w:rFonts w:eastAsia="Calibri"/>
          <w:snapToGrid/>
        </w:rPr>
        <w:sectPr w:rsidSect="00930EE4">
          <w:footerReference w:type="default" r:id="rId17"/>
          <w:footnotePr>
            <w:numRestart w:val="eachSect"/>
          </w:footnotePr>
          <w:endnotePr>
            <w:numFmt w:val="decimal"/>
          </w:endnotePr>
          <w:pgSz w:w="12240" w:h="15840"/>
          <w:pgMar w:top="1440" w:right="1440" w:bottom="720" w:left="1440" w:header="720" w:footer="720" w:gutter="0"/>
          <w:cols w:space="720"/>
          <w:noEndnote/>
          <w:docGrid w:linePitch="299"/>
        </w:sectPr>
      </w:pPr>
      <w:r w:rsidRPr="00477261">
        <w:rPr>
          <w:rFonts w:eastAsia="Calibri"/>
          <w:snapToGrid/>
        </w:rPr>
        <w:t xml:space="preserve">I’d like to thank the dedicated staff who worked on this </w:t>
      </w:r>
      <w:r w:rsidRPr="00477261">
        <w:rPr>
          <w:rFonts w:eastAsia="Calibri"/>
          <w:i/>
          <w:snapToGrid/>
        </w:rPr>
        <w:t>Notice</w:t>
      </w:r>
      <w:r w:rsidRPr="00477261">
        <w:rPr>
          <w:rFonts w:eastAsia="Calibri"/>
          <w:snapToGrid/>
        </w:rPr>
        <w:t>: Ben Arden, Michelle Carey, Christopher Clark, Martha Heller, Brendan Holland, and Mary Beth Murphy of the Media Bureau, and Susan Aaron and Dave Konczal from the Office of General Counsel</w:t>
      </w:r>
      <w:r w:rsidRPr="00477261">
        <w:rPr>
          <w:rFonts w:eastAsia="Calibri"/>
          <w:i/>
          <w:snapToGrid/>
        </w:rPr>
        <w:t>.</w:t>
      </w:r>
      <w:r w:rsidRPr="00477261">
        <w:rPr>
          <w:rFonts w:eastAsia="Calibri"/>
          <w:snapToGrid/>
        </w:rPr>
        <w:t xml:space="preserve">  And thanks in advance for your future efforts as we continue to follow the yellow brick road to our destination: a modernized set of media regulations.</w:t>
      </w:r>
    </w:p>
    <w:p w:rsidR="005048BB" w:rsidRPr="005577AD" w:rsidP="005048BB" w14:paraId="4A3B523E" w14:textId="77777777">
      <w:pPr>
        <w:jc w:val="center"/>
        <w:rPr>
          <w:b/>
          <w:bCs/>
          <w:caps/>
          <w:szCs w:val="22"/>
        </w:rPr>
      </w:pPr>
      <w:r w:rsidRPr="005577AD">
        <w:rPr>
          <w:b/>
          <w:bCs/>
          <w:caps/>
          <w:szCs w:val="22"/>
        </w:rPr>
        <w:t>Statement of</w:t>
      </w:r>
    </w:p>
    <w:p w:rsidR="005048BB" w:rsidRPr="00D567C6" w:rsidP="005048BB" w14:paraId="60CEFC73" w14:textId="77777777">
      <w:pPr>
        <w:widowControl/>
        <w:jc w:val="center"/>
        <w:rPr>
          <w:rFonts w:eastAsia="Calibri"/>
          <w:b/>
          <w:snapToGrid/>
          <w:kern w:val="0"/>
          <w:szCs w:val="22"/>
        </w:rPr>
      </w:pPr>
      <w:r w:rsidRPr="00D567C6">
        <w:rPr>
          <w:rFonts w:eastAsia="Calibri"/>
          <w:b/>
          <w:snapToGrid/>
          <w:kern w:val="0"/>
          <w:szCs w:val="22"/>
        </w:rPr>
        <w:t>COMMISSIONER MIGNON L. CLYBURN</w:t>
      </w:r>
    </w:p>
    <w:p w:rsidR="005048BB" w:rsidRPr="005577AD" w:rsidP="005048BB" w14:paraId="7FB79F24" w14:textId="77777777">
      <w:pPr>
        <w:jc w:val="center"/>
        <w:rPr>
          <w:b/>
          <w:bCs/>
          <w:caps/>
          <w:szCs w:val="22"/>
        </w:rPr>
      </w:pPr>
    </w:p>
    <w:p w:rsidR="005048BB" w:rsidRPr="005577AD" w:rsidP="005048BB" w14:paraId="42612057" w14:textId="77777777">
      <w:pPr>
        <w:ind w:left="720" w:hanging="720"/>
        <w:rPr>
          <w:i/>
          <w:iCs/>
          <w:szCs w:val="22"/>
        </w:rPr>
      </w:pPr>
      <w:r w:rsidRPr="005577AD">
        <w:rPr>
          <w:iCs/>
          <w:szCs w:val="22"/>
        </w:rPr>
        <w:t>Re:</w:t>
      </w:r>
      <w:r w:rsidRPr="005577AD">
        <w:rPr>
          <w:szCs w:val="22"/>
        </w:rPr>
        <w:t xml:space="preserve">    </w:t>
      </w:r>
      <w:r w:rsidRPr="005577AD">
        <w:rPr>
          <w:szCs w:val="22"/>
        </w:rPr>
        <w:tab/>
      </w:r>
      <w:r w:rsidRPr="00B65215">
        <w:rPr>
          <w:i/>
        </w:rPr>
        <w:t>Amendment of Section 73.3613 of the Commission’s Rules Regarding Filing of Contracts</w:t>
      </w:r>
      <w:r>
        <w:t>,</w:t>
      </w:r>
      <w:r w:rsidRPr="00B65215">
        <w:t xml:space="preserve"> MB Docket No. 18-4;</w:t>
      </w:r>
      <w:r w:rsidRPr="00B65215">
        <w:rPr>
          <w:i/>
        </w:rPr>
        <w:t xml:space="preserve"> Modernization of Media Regulation Initiative</w:t>
      </w:r>
      <w:r w:rsidRPr="00B65215">
        <w:t>, MB Docket No. 17-105.</w:t>
      </w:r>
    </w:p>
    <w:p w:rsidR="005048BB" w:rsidRPr="005577AD" w:rsidP="005048BB" w14:paraId="2322719D" w14:textId="77777777">
      <w:pPr>
        <w:ind w:firstLine="720"/>
        <w:rPr>
          <w:szCs w:val="22"/>
        </w:rPr>
      </w:pPr>
    </w:p>
    <w:p w:rsidR="005048BB" w:rsidRPr="00D567C6" w:rsidP="005048BB" w14:paraId="7B6D5CDD" w14:textId="0FB94642">
      <w:pPr>
        <w:widowControl/>
        <w:ind w:firstLine="720"/>
        <w:rPr>
          <w:rFonts w:eastAsia="Calibri"/>
          <w:snapToGrid/>
          <w:color w:val="000000"/>
          <w:kern w:val="0"/>
          <w:szCs w:val="22"/>
        </w:rPr>
      </w:pPr>
      <w:r w:rsidRPr="00D567C6">
        <w:rPr>
          <w:rFonts w:eastAsia="Calibri"/>
          <w:snapToGrid/>
          <w:color w:val="000000"/>
          <w:kern w:val="0"/>
          <w:szCs w:val="22"/>
        </w:rPr>
        <w:t>Some items need little explanation.</w:t>
      </w:r>
      <w:r>
        <w:rPr>
          <w:rFonts w:eastAsia="Calibri"/>
          <w:snapToGrid/>
          <w:color w:val="000000"/>
          <w:kern w:val="0"/>
          <w:szCs w:val="22"/>
        </w:rPr>
        <w:t xml:space="preserve"> </w:t>
      </w:r>
      <w:r w:rsidRPr="00D567C6">
        <w:rPr>
          <w:rFonts w:eastAsia="Calibri"/>
          <w:snapToGrid/>
          <w:color w:val="000000"/>
          <w:kern w:val="0"/>
          <w:szCs w:val="22"/>
        </w:rPr>
        <w:t xml:space="preserve"> Today’s NPRM is one of them. </w:t>
      </w:r>
      <w:r>
        <w:rPr>
          <w:rFonts w:eastAsia="Calibri"/>
          <w:snapToGrid/>
          <w:color w:val="000000"/>
          <w:kern w:val="0"/>
          <w:szCs w:val="22"/>
        </w:rPr>
        <w:t xml:space="preserve"> </w:t>
      </w:r>
      <w:r w:rsidRPr="00D567C6">
        <w:rPr>
          <w:rFonts w:eastAsia="Calibri"/>
          <w:snapToGrid/>
          <w:color w:val="000000"/>
          <w:kern w:val="0"/>
          <w:szCs w:val="22"/>
        </w:rPr>
        <w:t>By proposing to move away from paper copies for certain contracts and other documents involving broadcast stations, we reduce a purported burden on stations and do so without jeopardizing the public’s right to review this information.</w:t>
      </w:r>
    </w:p>
    <w:p w:rsidR="005048BB" w:rsidRPr="00D567C6" w:rsidP="005048BB" w14:paraId="2D907968" w14:textId="77777777">
      <w:pPr>
        <w:widowControl/>
        <w:ind w:firstLine="720"/>
        <w:rPr>
          <w:rFonts w:eastAsia="Calibri"/>
          <w:snapToGrid/>
          <w:color w:val="000000"/>
          <w:kern w:val="0"/>
          <w:szCs w:val="22"/>
        </w:rPr>
      </w:pPr>
    </w:p>
    <w:p w:rsidR="005048BB" w:rsidRPr="00D567C6" w:rsidP="005048BB" w14:paraId="1A8E4CA5" w14:textId="6B93580E">
      <w:pPr>
        <w:widowControl/>
        <w:ind w:firstLine="720"/>
        <w:rPr>
          <w:rFonts w:eastAsia="Calibri"/>
          <w:snapToGrid/>
          <w:color w:val="000000"/>
          <w:kern w:val="0"/>
          <w:szCs w:val="22"/>
        </w:rPr>
      </w:pPr>
      <w:r w:rsidRPr="00D567C6">
        <w:rPr>
          <w:rFonts w:eastAsia="Calibri"/>
          <w:snapToGrid/>
          <w:color w:val="000000"/>
          <w:kern w:val="0"/>
          <w:szCs w:val="22"/>
        </w:rPr>
        <w:t xml:space="preserve">As my fellow Commissioners have heard me say in the past, I believe our agency must not forget those who do not have regular access to the internet. </w:t>
      </w:r>
      <w:r>
        <w:rPr>
          <w:rFonts w:eastAsia="Calibri"/>
          <w:snapToGrid/>
          <w:color w:val="000000"/>
          <w:kern w:val="0"/>
          <w:szCs w:val="22"/>
        </w:rPr>
        <w:t xml:space="preserve"> </w:t>
      </w:r>
      <w:r w:rsidRPr="00D567C6">
        <w:rPr>
          <w:rFonts w:eastAsia="Calibri"/>
          <w:snapToGrid/>
          <w:color w:val="000000"/>
          <w:kern w:val="0"/>
          <w:szCs w:val="22"/>
        </w:rPr>
        <w:t xml:space="preserve">This is particularly critical when it comes to the filing of consumer complaints, EEO recruitment, and other agency functions that involve direct consumer engagement. </w:t>
      </w:r>
    </w:p>
    <w:p w:rsidR="005048BB" w:rsidRPr="00D567C6" w:rsidP="005048BB" w14:paraId="601F22D1" w14:textId="77777777">
      <w:pPr>
        <w:widowControl/>
        <w:ind w:firstLine="720"/>
        <w:rPr>
          <w:rFonts w:eastAsia="Calibri"/>
          <w:snapToGrid/>
          <w:color w:val="000000"/>
          <w:kern w:val="0"/>
          <w:szCs w:val="22"/>
        </w:rPr>
      </w:pPr>
    </w:p>
    <w:p w:rsidR="005048BB" w:rsidRPr="00D567C6" w:rsidP="005048BB" w14:paraId="258793B4" w14:textId="51C91AF5">
      <w:pPr>
        <w:widowControl/>
        <w:ind w:firstLine="720"/>
        <w:rPr>
          <w:rFonts w:eastAsia="Calibri"/>
          <w:snapToGrid/>
          <w:color w:val="000000"/>
          <w:kern w:val="0"/>
          <w:szCs w:val="22"/>
        </w:rPr>
      </w:pPr>
      <w:r w:rsidRPr="00D567C6">
        <w:rPr>
          <w:rFonts w:eastAsia="Calibri"/>
          <w:snapToGrid/>
          <w:color w:val="000000"/>
          <w:kern w:val="0"/>
          <w:szCs w:val="22"/>
        </w:rPr>
        <w:t xml:space="preserve">In the case of the documents required under Section 73.3613, I believe the existing public file rules can adequately inform the public. </w:t>
      </w:r>
      <w:r>
        <w:rPr>
          <w:rFonts w:eastAsia="Calibri"/>
          <w:snapToGrid/>
          <w:color w:val="000000"/>
          <w:kern w:val="0"/>
          <w:szCs w:val="22"/>
        </w:rPr>
        <w:t xml:space="preserve"> </w:t>
      </w:r>
      <w:r w:rsidRPr="00D567C6">
        <w:rPr>
          <w:rFonts w:eastAsia="Calibri"/>
          <w:snapToGrid/>
          <w:color w:val="000000"/>
          <w:kern w:val="0"/>
          <w:szCs w:val="22"/>
        </w:rPr>
        <w:t>I look forward to reviewing the public comments that follow to ultimately ensure there are no negative consequences to the public’s right to transparency.</w:t>
      </w:r>
    </w:p>
    <w:p w:rsidR="005048BB" w:rsidRPr="00D567C6" w:rsidP="005048BB" w14:paraId="5D3A29D2" w14:textId="77777777">
      <w:pPr>
        <w:widowControl/>
        <w:ind w:firstLine="720"/>
        <w:rPr>
          <w:rFonts w:eastAsia="Calibri"/>
          <w:snapToGrid/>
          <w:color w:val="000000"/>
          <w:kern w:val="0"/>
          <w:szCs w:val="22"/>
        </w:rPr>
      </w:pPr>
    </w:p>
    <w:p w:rsidR="005048BB" w:rsidRPr="00F123EC" w:rsidP="00F123EC" w14:paraId="1626DA59" w14:textId="1827340D">
      <w:pPr>
        <w:widowControl/>
        <w:ind w:firstLine="720"/>
        <w:rPr>
          <w:rFonts w:eastAsia="Calibri"/>
          <w:snapToGrid/>
          <w:color w:val="000000"/>
          <w:kern w:val="0"/>
          <w:szCs w:val="22"/>
        </w:rPr>
        <w:sectPr w:rsidSect="00930EE4">
          <w:footerReference w:type="default" r:id="rId18"/>
          <w:footnotePr>
            <w:numRestart w:val="eachSect"/>
          </w:footnotePr>
          <w:endnotePr>
            <w:numFmt w:val="decimal"/>
          </w:endnotePr>
          <w:pgSz w:w="12240" w:h="15840"/>
          <w:pgMar w:top="1440" w:right="1440" w:bottom="720" w:left="1440" w:header="720" w:footer="720" w:gutter="0"/>
          <w:cols w:space="720"/>
          <w:noEndnote/>
          <w:docGrid w:linePitch="299"/>
        </w:sectPr>
      </w:pPr>
      <w:r w:rsidRPr="00D567C6">
        <w:rPr>
          <w:rFonts w:eastAsia="Calibri"/>
          <w:snapToGrid/>
          <w:color w:val="000000"/>
          <w:kern w:val="0"/>
          <w:szCs w:val="22"/>
        </w:rPr>
        <w:t>My thanks to Michelle Carey, Chris Clark and the Media Bureau staff for your work on this item.</w:t>
      </w:r>
    </w:p>
    <w:p w:rsidR="00B06F11" w:rsidRPr="005577AD" w:rsidP="00B06F11" w14:paraId="73BE437A" w14:textId="48523E25">
      <w:pPr>
        <w:jc w:val="center"/>
        <w:rPr>
          <w:b/>
          <w:bCs/>
          <w:caps/>
          <w:szCs w:val="22"/>
        </w:rPr>
      </w:pPr>
      <w:r w:rsidRPr="005577AD">
        <w:rPr>
          <w:b/>
          <w:bCs/>
          <w:caps/>
          <w:szCs w:val="22"/>
        </w:rPr>
        <w:t>Statement of</w:t>
      </w:r>
    </w:p>
    <w:p w:rsidR="00B06F11" w:rsidRPr="00693D86" w:rsidP="00B06F11" w14:paraId="652F8B37" w14:textId="77777777">
      <w:pPr>
        <w:jc w:val="center"/>
        <w:rPr>
          <w:b/>
          <w:szCs w:val="22"/>
        </w:rPr>
      </w:pPr>
      <w:r w:rsidRPr="00693D86">
        <w:rPr>
          <w:b/>
          <w:szCs w:val="22"/>
        </w:rPr>
        <w:t>COMMISSIONER MICHAEL O’RIELLY</w:t>
      </w:r>
    </w:p>
    <w:p w:rsidR="00B06F11" w:rsidRPr="00693D86" w:rsidP="00B06F11" w14:paraId="6BFCAC65" w14:textId="77777777">
      <w:pPr>
        <w:jc w:val="center"/>
        <w:rPr>
          <w:b/>
          <w:bCs/>
          <w:caps/>
          <w:szCs w:val="22"/>
        </w:rPr>
      </w:pPr>
    </w:p>
    <w:p w:rsidR="00B06F11" w:rsidRPr="00693D86" w:rsidP="00B06F11" w14:paraId="576EA2B7" w14:textId="77777777">
      <w:pPr>
        <w:ind w:left="720" w:hanging="720"/>
        <w:rPr>
          <w:i/>
          <w:iCs/>
          <w:szCs w:val="22"/>
        </w:rPr>
      </w:pPr>
      <w:r w:rsidRPr="00693D86">
        <w:rPr>
          <w:iCs/>
          <w:szCs w:val="22"/>
        </w:rPr>
        <w:t>Re:</w:t>
      </w:r>
      <w:r w:rsidRPr="00693D86">
        <w:rPr>
          <w:szCs w:val="22"/>
        </w:rPr>
        <w:t xml:space="preserve">    </w:t>
      </w:r>
      <w:r w:rsidRPr="00693D86">
        <w:rPr>
          <w:szCs w:val="22"/>
        </w:rPr>
        <w:tab/>
      </w:r>
      <w:r w:rsidRPr="00693D86">
        <w:rPr>
          <w:i/>
          <w:szCs w:val="22"/>
        </w:rPr>
        <w:t>Amendment of Section 73.3613 of the Commission’s Rules Regarding the Filing of Contracts</w:t>
      </w:r>
      <w:r w:rsidRPr="00693D86">
        <w:rPr>
          <w:szCs w:val="22"/>
        </w:rPr>
        <w:t xml:space="preserve">, MB Docket No. 18-4; </w:t>
      </w:r>
      <w:r w:rsidRPr="00693D86">
        <w:rPr>
          <w:i/>
          <w:szCs w:val="22"/>
        </w:rPr>
        <w:t>Modernization of Media Regulation Initiative</w:t>
      </w:r>
      <w:r w:rsidRPr="00693D86">
        <w:rPr>
          <w:szCs w:val="22"/>
        </w:rPr>
        <w:t>, MB Docket No. 17-105</w:t>
      </w:r>
    </w:p>
    <w:p w:rsidR="00B06F11" w:rsidRPr="00693D86" w:rsidP="00B06F11" w14:paraId="4A65226B" w14:textId="77777777">
      <w:pPr>
        <w:ind w:firstLine="720"/>
        <w:rPr>
          <w:szCs w:val="22"/>
        </w:rPr>
      </w:pPr>
    </w:p>
    <w:p w:rsidR="00B06F11" w:rsidRPr="001F43B4" w:rsidP="00B06F11" w14:paraId="24E637D7" w14:textId="77777777">
      <w:pPr>
        <w:ind w:firstLine="720"/>
        <w:rPr>
          <w:szCs w:val="22"/>
        </w:rPr>
      </w:pPr>
      <w:r w:rsidRPr="001F43B4">
        <w:rPr>
          <w:szCs w:val="22"/>
        </w:rPr>
        <w:t xml:space="preserve">Today, the Commission launches a rulemaking to consider eliminating the requirement that broadcasters file at the Commission certain contracts and other documents (“Section 73.3613 documents”) that they already make available in their public files.  This is common sense and fits nicely with efforts I have pushed over the last few years to remove unnecessary requirements imposed on American broadcasters.  Perhaps these rules at one time served a purpose, but as of </w:t>
      </w:r>
      <w:bookmarkStart w:id="167" w:name="_Hlk504487257"/>
      <w:r w:rsidRPr="001F43B4">
        <w:rPr>
          <w:szCs w:val="22"/>
        </w:rPr>
        <w:t xml:space="preserve">last year only about 500 people – or an average of less than 1.4 people per day – visited the Commission’s Reference Information Center </w:t>
      </w:r>
      <w:bookmarkEnd w:id="167"/>
      <w:r w:rsidRPr="001F43B4">
        <w:rPr>
          <w:szCs w:val="22"/>
        </w:rPr>
        <w:t xml:space="preserve">where all Section 73.3613 documents are made available, and that figure includes both FCC staff </w:t>
      </w:r>
      <w:r w:rsidRPr="001F43B4">
        <w:rPr>
          <w:i/>
          <w:szCs w:val="22"/>
        </w:rPr>
        <w:t>and</w:t>
      </w:r>
      <w:r w:rsidRPr="001F43B4">
        <w:rPr>
          <w:szCs w:val="22"/>
        </w:rPr>
        <w:t xml:space="preserve"> people viewing other available files.  The fact is, as broadcaster’s public files have gone online, this is nothing more than an outdated burden resulting in duplicative information.  </w:t>
      </w:r>
    </w:p>
    <w:p w:rsidR="00B06F11" w:rsidRPr="001F43B4" w:rsidP="00B06F11" w14:paraId="2EF90C32" w14:textId="77777777">
      <w:pPr>
        <w:rPr>
          <w:szCs w:val="22"/>
        </w:rPr>
      </w:pPr>
    </w:p>
    <w:p w:rsidR="001B1FE5" w:rsidRPr="001B1FE5" w:rsidP="00F123EC" w14:paraId="0D6702F6" w14:textId="6C7CAC8E">
      <w:pPr>
        <w:ind w:firstLine="720"/>
        <w:sectPr w:rsidSect="00930EE4">
          <w:footerReference w:type="default" r:id="rId19"/>
          <w:footnotePr>
            <w:numRestart w:val="eachSect"/>
          </w:footnotePr>
          <w:endnotePr>
            <w:numFmt w:val="decimal"/>
          </w:endnotePr>
          <w:pgSz w:w="12240" w:h="15840"/>
          <w:pgMar w:top="1440" w:right="1440" w:bottom="720" w:left="1440" w:header="720" w:footer="720" w:gutter="0"/>
          <w:cols w:space="720"/>
          <w:noEndnote/>
          <w:docGrid w:linePitch="299"/>
        </w:sectPr>
      </w:pPr>
      <w:r w:rsidRPr="001F43B4">
        <w:rPr>
          <w:szCs w:val="22"/>
        </w:rPr>
        <w:t xml:space="preserve">I look forward to quickly concluding this and the other media modernization items the Commission teed up last year.  </w:t>
      </w:r>
    </w:p>
    <w:p w:rsidR="00B06F11" w:rsidRPr="005577AD" w:rsidP="00B06F11" w14:paraId="2F20D617" w14:textId="77777777">
      <w:pPr>
        <w:jc w:val="center"/>
        <w:rPr>
          <w:b/>
          <w:bCs/>
          <w:caps/>
          <w:szCs w:val="22"/>
        </w:rPr>
      </w:pPr>
      <w:r w:rsidRPr="005577AD">
        <w:rPr>
          <w:b/>
          <w:bCs/>
          <w:caps/>
          <w:szCs w:val="22"/>
        </w:rPr>
        <w:t>Statement of</w:t>
      </w:r>
    </w:p>
    <w:p w:rsidR="00B06F11" w:rsidRPr="00CF23D3" w:rsidP="00B06F11" w14:paraId="19C20567" w14:textId="77777777">
      <w:pPr>
        <w:widowControl/>
        <w:jc w:val="center"/>
        <w:rPr>
          <w:rFonts w:eastAsia="Calibri"/>
          <w:b/>
          <w:snapToGrid/>
          <w:kern w:val="0"/>
          <w:szCs w:val="22"/>
        </w:rPr>
      </w:pPr>
      <w:r w:rsidRPr="00CF23D3">
        <w:rPr>
          <w:rFonts w:eastAsia="Calibri"/>
          <w:b/>
          <w:snapToGrid/>
          <w:kern w:val="0"/>
          <w:szCs w:val="22"/>
        </w:rPr>
        <w:t>COMMISSIONER BRENDAN CARR</w:t>
      </w:r>
    </w:p>
    <w:p w:rsidR="00B06F11" w:rsidRPr="005577AD" w:rsidP="00B06F11" w14:paraId="4355FA1D" w14:textId="77777777">
      <w:pPr>
        <w:jc w:val="center"/>
        <w:rPr>
          <w:b/>
          <w:bCs/>
          <w:caps/>
          <w:szCs w:val="22"/>
        </w:rPr>
      </w:pPr>
    </w:p>
    <w:p w:rsidR="00B06F11" w:rsidRPr="005577AD" w:rsidP="00B06F11" w14:paraId="5468FF21" w14:textId="77777777">
      <w:pPr>
        <w:ind w:left="720" w:hanging="720"/>
        <w:rPr>
          <w:i/>
          <w:iCs/>
          <w:szCs w:val="22"/>
        </w:rPr>
      </w:pPr>
      <w:r w:rsidRPr="005577AD">
        <w:rPr>
          <w:iCs/>
          <w:szCs w:val="22"/>
        </w:rPr>
        <w:t>Re:</w:t>
      </w:r>
      <w:r w:rsidRPr="005577AD">
        <w:rPr>
          <w:szCs w:val="22"/>
        </w:rPr>
        <w:t xml:space="preserve">    </w:t>
      </w:r>
      <w:r w:rsidRPr="005577AD">
        <w:rPr>
          <w:szCs w:val="22"/>
        </w:rPr>
        <w:tab/>
      </w:r>
      <w:r>
        <w:rPr>
          <w:i/>
          <w:szCs w:val="22"/>
        </w:rPr>
        <w:t>Amendment of Section 73.3613 of the Commission’s Rules Regarding the Filing of Contracts</w:t>
      </w:r>
      <w:r>
        <w:rPr>
          <w:szCs w:val="22"/>
        </w:rPr>
        <w:t xml:space="preserve">, MB Docket No. 18-4; </w:t>
      </w:r>
      <w:r>
        <w:rPr>
          <w:i/>
          <w:szCs w:val="22"/>
        </w:rPr>
        <w:t>Modernization of Media Regulation Initiative</w:t>
      </w:r>
      <w:r>
        <w:rPr>
          <w:szCs w:val="22"/>
        </w:rPr>
        <w:t>, MB Docket No. 17-105</w:t>
      </w:r>
    </w:p>
    <w:p w:rsidR="00B06F11" w:rsidRPr="005577AD" w:rsidP="00B06F11" w14:paraId="5B107199" w14:textId="77777777">
      <w:pPr>
        <w:ind w:firstLine="720"/>
        <w:rPr>
          <w:szCs w:val="22"/>
        </w:rPr>
      </w:pPr>
    </w:p>
    <w:p w:rsidR="00B06F11" w:rsidRPr="00CF23D3" w:rsidP="00B06F11" w14:paraId="20E2E7E8" w14:textId="77777777">
      <w:pPr>
        <w:widowControl/>
        <w:ind w:firstLine="720"/>
        <w:rPr>
          <w:rFonts w:eastAsia="Calibri"/>
          <w:snapToGrid/>
          <w:kern w:val="0"/>
          <w:szCs w:val="22"/>
        </w:rPr>
      </w:pPr>
      <w:r w:rsidRPr="00CF23D3">
        <w:rPr>
          <w:rFonts w:eastAsia="Calibri"/>
          <w:snapToGrid/>
          <w:kern w:val="0"/>
          <w:szCs w:val="22"/>
        </w:rPr>
        <w:t xml:space="preserve">Today, we continue the Commission’s efforts to modernize our media regulations and eliminate long-outdated paperwork requirements.  </w:t>
      </w:r>
    </w:p>
    <w:p w:rsidR="00B06F11" w:rsidRPr="00CF23D3" w:rsidP="00B06F11" w14:paraId="3BE76348" w14:textId="77777777">
      <w:pPr>
        <w:widowControl/>
        <w:ind w:firstLine="720"/>
        <w:rPr>
          <w:rFonts w:eastAsia="Calibri"/>
          <w:snapToGrid/>
          <w:kern w:val="0"/>
          <w:szCs w:val="22"/>
        </w:rPr>
      </w:pPr>
    </w:p>
    <w:p w:rsidR="00B06F11" w:rsidRPr="00CF23D3" w:rsidP="00B06F11" w14:paraId="36D89D3E" w14:textId="77777777">
      <w:pPr>
        <w:widowControl/>
        <w:ind w:firstLine="720"/>
        <w:rPr>
          <w:rFonts w:eastAsia="Calibri"/>
          <w:snapToGrid/>
          <w:kern w:val="0"/>
          <w:szCs w:val="22"/>
        </w:rPr>
      </w:pPr>
      <w:r w:rsidRPr="00CF23D3">
        <w:rPr>
          <w:rFonts w:eastAsia="Calibri"/>
          <w:snapToGrid/>
          <w:kern w:val="0"/>
          <w:szCs w:val="22"/>
        </w:rPr>
        <w:t>Since the 1930s, the FCC has required broadcasters to mail in paper copies of certain contracts.  But in the intervening 70 years, there has been this invention called the Internet.  So there’s no reason to continue putting broadcasters through the expense of shipping reams of paper to the FCC.  Indeed, the transition to online public files only further erodes the need for broadcasters to send in all this pulp.</w:t>
      </w:r>
    </w:p>
    <w:p w:rsidR="00B06F11" w:rsidRPr="00CF23D3" w:rsidP="00B06F11" w14:paraId="2F15366E" w14:textId="77777777">
      <w:pPr>
        <w:widowControl/>
        <w:ind w:firstLine="720"/>
        <w:rPr>
          <w:rFonts w:eastAsia="Calibri"/>
          <w:snapToGrid/>
          <w:kern w:val="0"/>
          <w:szCs w:val="22"/>
        </w:rPr>
      </w:pPr>
    </w:p>
    <w:p w:rsidR="00B06F11" w:rsidRPr="00CF23D3" w:rsidP="00B06F11" w14:paraId="5BD5EACF" w14:textId="77777777">
      <w:pPr>
        <w:widowControl/>
        <w:ind w:firstLine="720"/>
        <w:rPr>
          <w:rFonts w:eastAsia="Calibri"/>
          <w:snapToGrid/>
          <w:kern w:val="0"/>
          <w:szCs w:val="22"/>
        </w:rPr>
      </w:pPr>
      <w:r w:rsidRPr="00CF23D3">
        <w:rPr>
          <w:rFonts w:eastAsia="Calibri"/>
          <w:snapToGrid/>
          <w:kern w:val="0"/>
          <w:szCs w:val="22"/>
        </w:rPr>
        <w:t xml:space="preserve">With all of this in mind, I offered an idea last week.  I suggested that the agency adopt what I call the “Dunder Mifflin Rule”—if the only beneficiary of a regulation is the paper supply industry, the regulation is void.  I think we might have our first test case here, so I want to thank my colleagues for moving so quickly to put this rule to use.  I look forward to the Commission’s continued efforts to eliminate unnecessary filing requirements.    </w:t>
      </w:r>
    </w:p>
    <w:p w:rsidR="00B06F11" w:rsidRPr="00CF23D3" w:rsidP="00B06F11" w14:paraId="389DE0AA" w14:textId="77777777">
      <w:pPr>
        <w:widowControl/>
        <w:ind w:firstLine="720"/>
        <w:rPr>
          <w:rFonts w:eastAsia="Calibri"/>
          <w:snapToGrid/>
          <w:kern w:val="0"/>
          <w:szCs w:val="22"/>
        </w:rPr>
      </w:pPr>
    </w:p>
    <w:p w:rsidR="001B1FE5" w:rsidRPr="001B1FE5" w:rsidP="00B37EAE" w14:paraId="7EA4AA49" w14:textId="059A1388">
      <w:pPr>
        <w:widowControl/>
        <w:ind w:firstLine="720"/>
      </w:pPr>
      <w:r w:rsidRPr="00CF23D3">
        <w:rPr>
          <w:rFonts w:eastAsia="Calibri"/>
          <w:snapToGrid/>
          <w:kern w:val="0"/>
          <w:szCs w:val="22"/>
        </w:rPr>
        <w:t>Thank you to the Media Bureau for your work on this item.</w:t>
      </w:r>
    </w:p>
    <w:sectPr w:rsidSect="00930EE4">
      <w:footerReference w:type="default" r:id="rId20"/>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D75" w:rsidP="0055614C" w14:paraId="3848CCF6" w14:textId="77777777">
    <w:pPr>
      <w:pStyle w:val="Footer"/>
      <w:framePr w:wrap="around" w:vAnchor="text" w:hAnchor="margin" w:xAlign="center" w:y="1"/>
    </w:pPr>
    <w:r>
      <w:fldChar w:fldCharType="begin"/>
    </w:r>
    <w:r>
      <w:instrText xml:space="preserve">PAGE  </w:instrText>
    </w:r>
    <w:r>
      <w:fldChar w:fldCharType="separate"/>
    </w:r>
    <w:r>
      <w:fldChar w:fldCharType="end"/>
    </w:r>
  </w:p>
  <w:p w:rsidR="002C0D75" w14:paraId="5BEBBED3"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A77" w:rsidP="0055614C" w14:paraId="6F9EEF45" w14:textId="77777777">
    <w:pPr>
      <w:pStyle w:val="Footer"/>
      <w:framePr w:wrap="around" w:vAnchor="text" w:hAnchor="margin" w:xAlign="center" w:y="1"/>
    </w:pPr>
    <w:r>
      <w:fldChar w:fldCharType="begin"/>
    </w:r>
    <w:r>
      <w:instrText xml:space="preserve">PAGE  </w:instrText>
    </w:r>
    <w:r>
      <w:fldChar w:fldCharType="separate"/>
    </w:r>
    <w:r w:rsidR="00702D9C">
      <w:rPr>
        <w:noProof/>
      </w:rPr>
      <w:t>20</w:t>
    </w:r>
    <w:r>
      <w:fldChar w:fldCharType="end"/>
    </w:r>
  </w:p>
  <w:p w:rsidR="00A76A77" w14:paraId="3F4E283F" w14:textId="77777777">
    <w:pPr>
      <w:suppressAutoHyphens/>
      <w:spacing w:line="227"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4021544"/>
      <w:docPartObj>
        <w:docPartGallery w:val="Page Numbers (Bottom of Page)"/>
        <w:docPartUnique/>
      </w:docPartObj>
    </w:sdtPr>
    <w:sdtEndPr>
      <w:rPr>
        <w:noProof/>
      </w:rPr>
    </w:sdtEndPr>
    <w:sdtContent>
      <w:p w:rsidR="002C0D75" w:rsidP="001B1FE5" w14:paraId="6E638C8E" w14:textId="7AD92FFA">
        <w:pPr>
          <w:pStyle w:val="Footer"/>
          <w:jc w:val="center"/>
        </w:pPr>
        <w:r>
          <w:fldChar w:fldCharType="begin"/>
        </w:r>
        <w:r>
          <w:instrText xml:space="preserve"> PAGE   \* MERGEFORMAT </w:instrText>
        </w:r>
        <w:r>
          <w:fldChar w:fldCharType="separate"/>
        </w:r>
        <w:r w:rsidR="00A50A3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D75" w14:paraId="07F1D7EA"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08C" w:rsidP="0055614C" w14:paraId="3973B84E" w14:textId="77777777">
    <w:pPr>
      <w:pStyle w:val="Footer"/>
      <w:framePr w:wrap="around" w:vAnchor="text" w:hAnchor="margin" w:xAlign="center" w:y="1"/>
    </w:pPr>
    <w:r>
      <w:fldChar w:fldCharType="begin"/>
    </w:r>
    <w:r>
      <w:instrText xml:space="preserve">PAGE  </w:instrText>
    </w:r>
    <w:r>
      <w:fldChar w:fldCharType="separate"/>
    </w:r>
    <w:r>
      <w:fldChar w:fldCharType="end"/>
    </w:r>
  </w:p>
  <w:p w:rsidR="00AD008C" w14:paraId="2772677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08C" w:rsidP="0055614C" w14:paraId="77393971" w14:textId="7D566FEE">
    <w:pPr>
      <w:pStyle w:val="Footer"/>
      <w:framePr w:wrap="around" w:vAnchor="text" w:hAnchor="margin" w:xAlign="center" w:y="1"/>
    </w:pPr>
    <w:r>
      <w:fldChar w:fldCharType="begin"/>
    </w:r>
    <w:r>
      <w:instrText xml:space="preserve">PAGE  </w:instrText>
    </w:r>
    <w:r>
      <w:fldChar w:fldCharType="separate"/>
    </w:r>
    <w:r w:rsidR="00702D9C">
      <w:rPr>
        <w:noProof/>
      </w:rPr>
      <w:t>16</w:t>
    </w:r>
    <w:r>
      <w:fldChar w:fldCharType="end"/>
    </w:r>
  </w:p>
  <w:p w:rsidR="00AD008C" w14:paraId="695D8CE0"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08C" w14:paraId="02C363D8"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5475" w:rsidP="0055614C" w14:paraId="6199995A" w14:textId="77777777">
    <w:pPr>
      <w:pStyle w:val="Footer"/>
      <w:framePr w:wrap="around" w:vAnchor="text" w:hAnchor="margin" w:xAlign="center" w:y="1"/>
    </w:pPr>
    <w:r>
      <w:fldChar w:fldCharType="begin"/>
    </w:r>
    <w:r>
      <w:instrText xml:space="preserve">PAGE  </w:instrText>
    </w:r>
    <w:r>
      <w:fldChar w:fldCharType="separate"/>
    </w:r>
    <w:r w:rsidR="00702D9C">
      <w:rPr>
        <w:noProof/>
      </w:rPr>
      <w:t>17</w:t>
    </w:r>
    <w:r>
      <w:fldChar w:fldCharType="end"/>
    </w:r>
  </w:p>
  <w:p w:rsidR="00315475" w14:paraId="5C9CFFC3" w14:textId="77777777">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A77" w:rsidP="0055614C" w14:paraId="3F11DB00" w14:textId="77777777">
    <w:pPr>
      <w:pStyle w:val="Footer"/>
      <w:framePr w:wrap="around" w:vAnchor="text" w:hAnchor="margin" w:xAlign="center" w:y="1"/>
    </w:pPr>
    <w:r>
      <w:fldChar w:fldCharType="begin"/>
    </w:r>
    <w:r>
      <w:instrText xml:space="preserve">PAGE  </w:instrText>
    </w:r>
    <w:r>
      <w:fldChar w:fldCharType="separate"/>
    </w:r>
    <w:r w:rsidR="00702D9C">
      <w:rPr>
        <w:noProof/>
      </w:rPr>
      <w:t>18</w:t>
    </w:r>
    <w:r>
      <w:fldChar w:fldCharType="end"/>
    </w:r>
  </w:p>
  <w:p w:rsidR="00A76A77" w14:paraId="2B0B56EF"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A77" w:rsidP="0055614C" w14:paraId="5A1015C6" w14:textId="77777777">
    <w:pPr>
      <w:pStyle w:val="Footer"/>
      <w:framePr w:wrap="around" w:vAnchor="text" w:hAnchor="margin" w:xAlign="center" w:y="1"/>
    </w:pPr>
    <w:r>
      <w:fldChar w:fldCharType="begin"/>
    </w:r>
    <w:r>
      <w:instrText xml:space="preserve">PAGE  </w:instrText>
    </w:r>
    <w:r>
      <w:fldChar w:fldCharType="separate"/>
    </w:r>
    <w:r w:rsidR="00702D9C">
      <w:rPr>
        <w:noProof/>
      </w:rPr>
      <w:t>19</w:t>
    </w:r>
    <w:r>
      <w:fldChar w:fldCharType="end"/>
    </w:r>
  </w:p>
  <w:p w:rsidR="00A76A77" w14:paraId="36204531"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7D51" w14:paraId="634BAFAD" w14:textId="77777777">
      <w:r>
        <w:separator/>
      </w:r>
    </w:p>
  </w:footnote>
  <w:footnote w:type="continuationSeparator" w:id="1">
    <w:p w:rsidR="006B7D51" w:rsidP="00C721AC" w14:paraId="22B0760F" w14:textId="77777777">
      <w:pPr>
        <w:spacing w:before="120"/>
        <w:rPr>
          <w:sz w:val="20"/>
        </w:rPr>
      </w:pPr>
      <w:r>
        <w:rPr>
          <w:sz w:val="20"/>
        </w:rPr>
        <w:t xml:space="preserve">(Continued from previous page)  </w:t>
      </w:r>
      <w:r>
        <w:rPr>
          <w:sz w:val="20"/>
        </w:rPr>
        <w:separator/>
      </w:r>
    </w:p>
  </w:footnote>
  <w:footnote w:type="continuationNotice" w:id="2">
    <w:p w:rsidR="006B7D51" w:rsidP="00C721AC" w14:paraId="369395FE" w14:textId="77777777">
      <w:pPr>
        <w:jc w:val="right"/>
        <w:rPr>
          <w:sz w:val="20"/>
        </w:rPr>
      </w:pPr>
      <w:r>
        <w:rPr>
          <w:sz w:val="20"/>
        </w:rPr>
        <w:t>(continued….)</w:t>
      </w:r>
    </w:p>
  </w:footnote>
  <w:footnote w:id="3">
    <w:p w:rsidR="002C0D75" w:rsidRPr="00ED61E4" w:rsidP="002C0D75" w14:paraId="212C8C31" w14:textId="77777777">
      <w:pPr>
        <w:pStyle w:val="FootnoteText"/>
      </w:pPr>
      <w:r>
        <w:rPr>
          <w:rStyle w:val="FootnoteReference"/>
        </w:rPr>
        <w:footnoteRef/>
      </w:r>
      <w:r>
        <w:t xml:space="preserve"> 47 CFR § 73.3613.</w:t>
      </w:r>
    </w:p>
  </w:footnote>
  <w:footnote w:id="4">
    <w:p w:rsidR="002C0D75" w:rsidP="002C0D75" w14:paraId="450AF729" w14:textId="1E009721">
      <w:pPr>
        <w:pStyle w:val="FootnoteText"/>
      </w:pPr>
      <w:r>
        <w:rPr>
          <w:rStyle w:val="FootnoteReference"/>
        </w:rPr>
        <w:footnoteRef/>
      </w:r>
      <w:r>
        <w:t xml:space="preserve"> </w:t>
      </w:r>
      <w:r w:rsidRPr="00F02E3E">
        <w:t xml:space="preserve">In response to a Public Notice launching the Commission’s Modernization of Media Regulation Initiative, </w:t>
      </w:r>
      <w:r>
        <w:rPr>
          <w:i/>
        </w:rPr>
        <w:t xml:space="preserve">see </w:t>
      </w:r>
      <w:r w:rsidRPr="00A7050C">
        <w:rPr>
          <w:i/>
        </w:rPr>
        <w:t>Commission Launches Modernization of Media Regulation Initiative</w:t>
      </w:r>
      <w:r w:rsidRPr="00A7050C">
        <w:t xml:space="preserve">, Public Notice, </w:t>
      </w:r>
      <w:r>
        <w:t>32 FCC Rcd 4406</w:t>
      </w:r>
      <w:r w:rsidRPr="00A7050C">
        <w:t xml:space="preserve"> (2017)</w:t>
      </w:r>
      <w:r>
        <w:t xml:space="preserve"> </w:t>
      </w:r>
      <w:r w:rsidRPr="00A7050C">
        <w:t>(</w:t>
      </w:r>
      <w:r w:rsidRPr="00A7050C">
        <w:rPr>
          <w:i/>
        </w:rPr>
        <w:t>Modernization Initiative Public Notice</w:t>
      </w:r>
      <w:r w:rsidRPr="00A7050C">
        <w:t>)</w:t>
      </w:r>
      <w:r>
        <w:t>,</w:t>
      </w:r>
      <w:r w:rsidRPr="00A7050C">
        <w:t xml:space="preserve"> </w:t>
      </w:r>
      <w:r w:rsidRPr="00F02E3E">
        <w:t xml:space="preserve">several </w:t>
      </w:r>
      <w:r>
        <w:t>commenters</w:t>
      </w:r>
      <w:r w:rsidRPr="00F02E3E">
        <w:t xml:space="preserve"> have asked the Commission to amend Section</w:t>
      </w:r>
      <w:r>
        <w:t xml:space="preserve"> 73.3613</w:t>
      </w:r>
      <w:r w:rsidRPr="00F02E3E">
        <w:t xml:space="preserve"> </w:t>
      </w:r>
      <w:r>
        <w:t>of our rules because the provision</w:t>
      </w:r>
      <w:r w:rsidRPr="00F02E3E">
        <w:t xml:space="preserve"> impose</w:t>
      </w:r>
      <w:r>
        <w:t>s</w:t>
      </w:r>
      <w:r w:rsidRPr="00F02E3E">
        <w:t xml:space="preserve"> unnecessary burdens on a substantial number of broadcasters.</w:t>
      </w:r>
      <w:r>
        <w:t xml:space="preserve">  </w:t>
      </w:r>
      <w:r>
        <w:rPr>
          <w:i/>
        </w:rPr>
        <w:t>See, e.g.</w:t>
      </w:r>
      <w:r>
        <w:t xml:space="preserve">, National Association of Broadcasters Comments at 17-18 (NAB Comments); America’s Public Television Stations et al. Comments at 13-14; The Named State Broadcasters Associations Reply at 11 (NSBA Reply).  </w:t>
      </w:r>
    </w:p>
  </w:footnote>
  <w:footnote w:id="5">
    <w:p w:rsidR="002C0D75" w:rsidP="002C0D75" w14:paraId="50B8C50C" w14:textId="77777777">
      <w:pPr>
        <w:pStyle w:val="FootnoteText"/>
      </w:pPr>
      <w:r>
        <w:rPr>
          <w:rStyle w:val="FootnoteReference"/>
        </w:rPr>
        <w:footnoteRef/>
      </w:r>
      <w:r>
        <w:t xml:space="preserve"> </w:t>
      </w:r>
      <w:r>
        <w:rPr>
          <w:i/>
        </w:rPr>
        <w:t>See, e.g.</w:t>
      </w:r>
      <w:r>
        <w:t>, Rules Governing the Filing of Information, Contracts, Periodic Reports, etc., 4 Fed. Reg. 3516 (Aug. 3, 1939).</w:t>
      </w:r>
    </w:p>
  </w:footnote>
  <w:footnote w:id="6">
    <w:p w:rsidR="002C0D75" w:rsidRPr="003D5B29" w:rsidP="002C0D75" w14:paraId="5B6C3F70" w14:textId="77777777">
      <w:pPr>
        <w:pStyle w:val="FootnoteText"/>
      </w:pPr>
      <w:r>
        <w:rPr>
          <w:rStyle w:val="FootnoteReference"/>
        </w:rPr>
        <w:footnoteRef/>
      </w:r>
      <w:r>
        <w:t xml:space="preserve"> </w:t>
      </w:r>
      <w:r>
        <w:rPr>
          <w:i/>
        </w:rPr>
        <w:t>See, e.g.</w:t>
      </w:r>
      <w:r>
        <w:t>,</w:t>
      </w:r>
      <w:r>
        <w:rPr>
          <w:i/>
        </w:rPr>
        <w:t xml:space="preserve"> </w:t>
      </w:r>
      <w:r>
        <w:t xml:space="preserve">Filing of Contracts, Broadcast Licensees and Permittees, 18 Fed. Reg. 3495, 3495-96 (June 18, 1953).  </w:t>
      </w:r>
      <w:r>
        <w:rPr>
          <w:szCs w:val="22"/>
        </w:rPr>
        <w:t xml:space="preserve">In the past, the Commission has also used the information contained in some of these agreements to formulate certain broadcasting policies and rules or to enhance its understanding of the broadcast industry.  </w:t>
      </w:r>
      <w:r>
        <w:rPr>
          <w:i/>
          <w:szCs w:val="22"/>
        </w:rPr>
        <w:t>See, e.g.</w:t>
      </w:r>
      <w:r>
        <w:rPr>
          <w:szCs w:val="22"/>
        </w:rPr>
        <w:t xml:space="preserve">, </w:t>
      </w:r>
      <w:r>
        <w:rPr>
          <w:i/>
          <w:szCs w:val="22"/>
        </w:rPr>
        <w:t>Amendment of Part 73 of the Commission’s Rules Concerning the Filing of Television Network Affiliation Contracts</w:t>
      </w:r>
      <w:r>
        <w:rPr>
          <w:szCs w:val="22"/>
        </w:rPr>
        <w:t xml:space="preserve">, Notice of Proposed Rulemaking, 10 FCC Rcd 5677, 5677, para. 2 (1995) (citing </w:t>
      </w:r>
      <w:r>
        <w:rPr>
          <w:i/>
          <w:szCs w:val="22"/>
        </w:rPr>
        <w:t>Report on Chain Broadcasting</w:t>
      </w:r>
      <w:r>
        <w:rPr>
          <w:szCs w:val="22"/>
        </w:rPr>
        <w:t xml:space="preserve">, Commission Order No. 37; Docket 5060 (May 1941), </w:t>
      </w:r>
      <w:r>
        <w:rPr>
          <w:i/>
          <w:szCs w:val="22"/>
        </w:rPr>
        <w:t>modified</w:t>
      </w:r>
      <w:r>
        <w:rPr>
          <w:szCs w:val="22"/>
        </w:rPr>
        <w:t xml:space="preserve">, </w:t>
      </w:r>
      <w:r>
        <w:rPr>
          <w:i/>
          <w:szCs w:val="22"/>
        </w:rPr>
        <w:t>Supplemental Report on Chain Broadcasting</w:t>
      </w:r>
      <w:r>
        <w:t xml:space="preserve"> (Oct. 1942)).</w:t>
      </w:r>
    </w:p>
  </w:footnote>
  <w:footnote w:id="7">
    <w:p w:rsidR="002C0D75" w:rsidRPr="007D7267" w:rsidP="002C0D75" w14:paraId="62CAA2F9" w14:textId="77777777">
      <w:pPr>
        <w:pStyle w:val="FootnoteText"/>
      </w:pPr>
      <w:r>
        <w:rPr>
          <w:rStyle w:val="FootnoteReference"/>
        </w:rPr>
        <w:footnoteRef/>
      </w:r>
      <w:r>
        <w:t xml:space="preserve"> </w:t>
      </w:r>
      <w:r>
        <w:rPr>
          <w:i/>
        </w:rPr>
        <w:t>See, e.g.</w:t>
      </w:r>
      <w:r>
        <w:t>, Financial, Ownership and Other Reports of Broadcast Licensees, 10 Fed. Reg. 9718, 9719 (Aug. 7, 1945).</w:t>
      </w:r>
    </w:p>
  </w:footnote>
  <w:footnote w:id="8">
    <w:p w:rsidR="002C0D75" w:rsidRPr="00930EE4" w:rsidP="002C0D75" w14:paraId="12DB0AE5" w14:textId="5D52380F">
      <w:pPr>
        <w:pStyle w:val="FootnoteText"/>
        <w:rPr>
          <w:color w:val="010101"/>
        </w:rPr>
      </w:pPr>
      <w:r w:rsidRPr="00930EE4">
        <w:rPr>
          <w:rStyle w:val="FootnoteReference"/>
        </w:rPr>
        <w:footnoteRef/>
      </w:r>
      <w:r w:rsidRPr="00930EE4">
        <w:t xml:space="preserve"> </w:t>
      </w:r>
      <w:r w:rsidRPr="00930EE4">
        <w:rPr>
          <w:i/>
          <w:iCs/>
          <w:color w:val="010101"/>
        </w:rPr>
        <w:t>Report and Order in Docket No. 14864</w:t>
      </w:r>
      <w:r w:rsidRPr="00930EE4">
        <w:rPr>
          <w:color w:val="010101"/>
        </w:rPr>
        <w:t xml:space="preserve">, 4 R.R.2d </w:t>
      </w:r>
      <w:r w:rsidRPr="00930EE4">
        <w:t>1664</w:t>
      </w:r>
      <w:r w:rsidRPr="00930EE4">
        <w:rPr>
          <w:color w:val="010101"/>
        </w:rPr>
        <w:t xml:space="preserve"> (1965), </w:t>
      </w:r>
      <w:r w:rsidRPr="00930EE4">
        <w:rPr>
          <w:i/>
          <w:iCs/>
          <w:color w:val="010101"/>
        </w:rPr>
        <w:t>recon</w:t>
      </w:r>
      <w:r w:rsidRPr="00930EE4">
        <w:rPr>
          <w:color w:val="010101"/>
        </w:rPr>
        <w:t xml:space="preserve">. </w:t>
      </w:r>
      <w:r w:rsidRPr="00930EE4">
        <w:rPr>
          <w:i/>
          <w:iCs/>
          <w:color w:val="010101"/>
        </w:rPr>
        <w:t>granted in part and denied in part</w:t>
      </w:r>
      <w:r w:rsidRPr="00930EE4">
        <w:rPr>
          <w:iCs/>
          <w:color w:val="010101"/>
        </w:rPr>
        <w:t>,</w:t>
      </w:r>
      <w:r w:rsidRPr="00930EE4">
        <w:rPr>
          <w:i/>
          <w:iCs/>
          <w:color w:val="010101"/>
        </w:rPr>
        <w:t xml:space="preserve"> </w:t>
      </w:r>
      <w:r w:rsidRPr="00930EE4">
        <w:rPr>
          <w:color w:val="010101"/>
        </w:rPr>
        <w:t>6 R.R.2d 1527 (1965).</w:t>
      </w:r>
    </w:p>
  </w:footnote>
  <w:footnote w:id="9">
    <w:p w:rsidR="002C0D75" w:rsidRPr="0012272E" w:rsidP="002C0D75" w14:paraId="783D9DE6" w14:textId="363D9122">
      <w:pPr>
        <w:pStyle w:val="FootnoteText"/>
      </w:pPr>
      <w:r w:rsidRPr="00930EE4">
        <w:rPr>
          <w:rStyle w:val="FootnoteReference"/>
        </w:rPr>
        <w:footnoteRef/>
      </w:r>
      <w:r w:rsidRPr="00930EE4">
        <w:t xml:space="preserve"> </w:t>
      </w:r>
      <w:r w:rsidRPr="00930EE4">
        <w:rPr>
          <w:i/>
        </w:rPr>
        <w:t>Review of the Commission’s Rules</w:t>
      </w:r>
      <w:r>
        <w:rPr>
          <w:i/>
        </w:rPr>
        <w:t xml:space="preserve"> Regarding the Main Studio and Local Public Inspection Files of Broadcast Television and Radio Stations</w:t>
      </w:r>
      <w:r>
        <w:t xml:space="preserve">, Report and Order, 13 FCC Rcd 15691, 15713-14, para. 50 (1998); </w:t>
      </w:r>
      <w:r>
        <w:rPr>
          <w:i/>
        </w:rPr>
        <w:t xml:space="preserve">see also </w:t>
      </w:r>
      <w:r>
        <w:t xml:space="preserve">47 CFR § 73.3526(e)(5) (requiring that licensees and permittees of commercial AM, FM, TV, and Class A TV stations retain in the public file either a copy of the Section 73.3613 documents listed in the most recent ownership report or an up-to-date list of such documents and provide a copy of any documents to requesting parties); </w:t>
      </w:r>
      <w:r>
        <w:rPr>
          <w:i/>
        </w:rPr>
        <w:t>id.</w:t>
      </w:r>
      <w:r>
        <w:t xml:space="preserve"> § 73.3527(e)(4) (requiring that licensees and permittees of noncommercial AM, FM, and TV stations do the same).</w:t>
      </w:r>
    </w:p>
  </w:footnote>
  <w:footnote w:id="10">
    <w:p w:rsidR="002C0D75" w:rsidRPr="0018394B" w:rsidP="002C0D75" w14:paraId="6EDF6EEC" w14:textId="77777777">
      <w:pPr>
        <w:pStyle w:val="FootnoteText"/>
      </w:pPr>
      <w:r>
        <w:rPr>
          <w:rStyle w:val="FootnoteReference"/>
        </w:rPr>
        <w:footnoteRef/>
      </w:r>
      <w:r>
        <w:t xml:space="preserve"> 47 CFR §§ 73.3526(b), 73.3527(b); </w:t>
      </w:r>
      <w:r>
        <w:rPr>
          <w:i/>
        </w:rPr>
        <w:t>Expansion of Online Public File Obligations to Cable and Satellite TV Operators and Broadcast and Satellite Radio Licensees</w:t>
      </w:r>
      <w:r>
        <w:t xml:space="preserve">, Report and Order, 31 FCC Rcd 526 (2016); </w:t>
      </w:r>
      <w:r>
        <w:rPr>
          <w:i/>
        </w:rPr>
        <w:t>Standardized and Enhanced Disclosure Requirements for Television Broadcast Licensee Public Interest Obligations et al.</w:t>
      </w:r>
      <w:r>
        <w:t>, Second Report and Order, 27 FCC Rcd 4535 (2012) (</w:t>
      </w:r>
      <w:r w:rsidRPr="00E81312">
        <w:rPr>
          <w:i/>
        </w:rPr>
        <w:t>Enhanced Disclosure Second Report and Order</w:t>
      </w:r>
      <w:r>
        <w:t xml:space="preserve">).  Television stations completed their transition to the online public file in 2014.  </w:t>
      </w:r>
      <w:r>
        <w:rPr>
          <w:i/>
        </w:rPr>
        <w:t>Elimination of Main Studio Rule</w:t>
      </w:r>
      <w:r>
        <w:t xml:space="preserve">, Report and Order, FCC 17-137, at 14-15, para. 24 (Oct. 24, 2017).  The last group of remaining radio stations to transition must begin using the online file by March 2018.  </w:t>
      </w:r>
      <w:r>
        <w:rPr>
          <w:i/>
        </w:rPr>
        <w:t xml:space="preserve">Id. </w:t>
      </w:r>
      <w:r>
        <w:t>at 1, para. 3.</w:t>
      </w:r>
    </w:p>
  </w:footnote>
  <w:footnote w:id="11">
    <w:p w:rsidR="002C0D75" w:rsidRPr="00284969" w:rsidP="002C0D75" w14:paraId="0CAF4302" w14:textId="77777777">
      <w:pPr>
        <w:pStyle w:val="FootnoteText"/>
      </w:pPr>
      <w:r>
        <w:rPr>
          <w:rStyle w:val="FootnoteReference"/>
        </w:rPr>
        <w:footnoteRef/>
      </w:r>
      <w:r>
        <w:t xml:space="preserve"> Under the 2012 amendment to the rules, licensees and permittees that choose to retain a list of Section 73.3613 documents in the public file must continue to provide a copy of any such documents to requesting parties within seven days.  47 CFR §§ 73.3526(e)(5), 73.3527(e)(4).</w:t>
      </w:r>
    </w:p>
  </w:footnote>
  <w:footnote w:id="12">
    <w:p w:rsidR="002C0D75" w:rsidRPr="008E44EA" w:rsidP="002C0D75" w14:paraId="3AAA4D2A" w14:textId="77777777">
      <w:pPr>
        <w:pStyle w:val="FootnoteText"/>
      </w:pPr>
      <w:r>
        <w:rPr>
          <w:rStyle w:val="FootnoteReference"/>
        </w:rPr>
        <w:footnoteRef/>
      </w:r>
      <w:r>
        <w:t xml:space="preserve"> </w:t>
      </w:r>
      <w:r>
        <w:rPr>
          <w:i/>
        </w:rPr>
        <w:t>See, e.g.</w:t>
      </w:r>
      <w:r>
        <w:t xml:space="preserve">, Filing of Contracts, Broadcast Licensees and Permittees, 18 Fed. Reg. 4952 (Aug. 20, 1953) (adopting revisions to limit documents required to be filed with Commission); </w:t>
      </w:r>
      <w:r>
        <w:rPr>
          <w:i/>
        </w:rPr>
        <w:t>Amendment of Sections 73.35, 73.240, and 73.636 of the Commission’s Rules Relating to Multiple Ownership of Standard, FM, and Television Broadcast Stations</w:t>
      </w:r>
      <w:r>
        <w:t xml:space="preserve">, Report and Order, 13 F.C.C.2d 357, 375, para. 59 (1968) (amending filing of contracts rule to generally require routine filing only of abstract of trust instrument, rather than complete trust instrument); </w:t>
      </w:r>
      <w:r>
        <w:rPr>
          <w:i/>
        </w:rPr>
        <w:t>Re-Regulation of Radio and Television Broadcasting</w:t>
      </w:r>
      <w:r>
        <w:t>, Order, 25 R.R.2d 1719 (1972) (revising filing of contracts rule to exclude from filing requirements contracts as to time brokers, Subsidiary Communications Authorization operations, and time sales over four hours daily to the same sponsor, requiring instead that such contracts be kept at station and made available upon request).</w:t>
      </w:r>
    </w:p>
  </w:footnote>
  <w:footnote w:id="13">
    <w:p w:rsidR="002C0D75" w:rsidRPr="001420BC" w:rsidP="002C0D75" w14:paraId="325F08E5" w14:textId="77777777">
      <w:pPr>
        <w:pStyle w:val="FootnoteText"/>
      </w:pPr>
      <w:r>
        <w:rPr>
          <w:rStyle w:val="FootnoteReference"/>
        </w:rPr>
        <w:footnoteRef/>
      </w:r>
      <w:r>
        <w:t xml:space="preserve"> </w:t>
      </w:r>
      <w:r>
        <w:rPr>
          <w:i/>
        </w:rPr>
        <w:t>Network Broadcasting by AM and FM Stations</w:t>
      </w:r>
      <w:r>
        <w:t xml:space="preserve">, Report, Statement of Policy, and Order, 40 R.R.2d 80 (1977) (amending filing of contracts rule to require filing of radio network affiliation agreements only if agreement is between commercial station and network furnishing programming at least five days a week during eight or more months per year); </w:t>
      </w:r>
      <w:r>
        <w:rPr>
          <w:i/>
        </w:rPr>
        <w:t>Filing of Network Affiliation Agreements</w:t>
      </w:r>
      <w:r>
        <w:t xml:space="preserve">, Report and Order, 58 R.R.2d 815 (1985) (eliminating affiliation contract filing requirement for all radio licensees and retaining requirement only for television licensees affiliated with national networks).  </w:t>
      </w:r>
      <w:r w:rsidRPr="0080517D">
        <w:t>The Commission subsequently proposed to eliminate the routine filing requirement for national television network affiliates as well and instead require that television licensees make their national network affiliation agreements available to the Commission upon request</w:t>
      </w:r>
      <w:r>
        <w:t xml:space="preserve">.  </w:t>
      </w:r>
      <w:r>
        <w:rPr>
          <w:i/>
        </w:rPr>
        <w:t>Amendment of Part 73 of the Commission’s Rules Concerning the Filing of Television Network Affiliation Contracts</w:t>
      </w:r>
      <w:r>
        <w:t xml:space="preserve">, Notice of Proposed Rulemaking, 10 FCC Rcd 5677 (1995).  This proposal remained pending until the Commission terminated the proceeding in 2011.  </w:t>
      </w:r>
      <w:r>
        <w:rPr>
          <w:i/>
        </w:rPr>
        <w:t xml:space="preserve">See Termination of Certain Proceedings as </w:t>
      </w:r>
      <w:r w:rsidRPr="00263329">
        <w:rPr>
          <w:i/>
        </w:rPr>
        <w:t>Dormant</w:t>
      </w:r>
      <w:r>
        <w:t xml:space="preserve">, Order, </w:t>
      </w:r>
      <w:r w:rsidRPr="00263329">
        <w:t>26</w:t>
      </w:r>
      <w:r>
        <w:t xml:space="preserve"> FCC Rcd 15312 (CGB 2011).</w:t>
      </w:r>
    </w:p>
  </w:footnote>
  <w:footnote w:id="14">
    <w:p w:rsidR="002C0D75" w:rsidRPr="005D1086" w:rsidP="002C0D75" w14:paraId="02E4FB5B" w14:textId="77777777">
      <w:pPr>
        <w:pStyle w:val="FootnoteText"/>
      </w:pPr>
      <w:r>
        <w:rPr>
          <w:rStyle w:val="FootnoteReference"/>
        </w:rPr>
        <w:footnoteRef/>
      </w:r>
      <w:r>
        <w:t xml:space="preserve"> </w:t>
      </w:r>
      <w:r w:rsidRPr="005D1086">
        <w:rPr>
          <w:i/>
        </w:rPr>
        <w:t>Modernization Initiative Public Notice</w:t>
      </w:r>
      <w:r w:rsidRPr="00837B89">
        <w:t>,</w:t>
      </w:r>
      <w:r>
        <w:t xml:space="preserve"> 32 FCC Rcd at 4406.</w:t>
      </w:r>
    </w:p>
  </w:footnote>
  <w:footnote w:id="15">
    <w:p w:rsidR="002C0D75" w:rsidP="002C0D75" w14:paraId="258B9472" w14:textId="3791685F">
      <w:pPr>
        <w:pStyle w:val="FootnoteText"/>
      </w:pPr>
      <w:r>
        <w:rPr>
          <w:rStyle w:val="FootnoteReference"/>
        </w:rPr>
        <w:footnoteRef/>
      </w:r>
      <w:r>
        <w:t xml:space="preserve"> </w:t>
      </w:r>
      <w:r>
        <w:rPr>
          <w:i/>
        </w:rPr>
        <w:t>See, e.g.</w:t>
      </w:r>
      <w:r>
        <w:t xml:space="preserve">, NAB Comments at 17-18; NSBA Reply at 11; </w:t>
      </w:r>
      <w:r w:rsidRPr="00DE53ED">
        <w:rPr>
          <w:i/>
        </w:rPr>
        <w:t>see also</w:t>
      </w:r>
      <w:r>
        <w:t xml:space="preserve"> 47 CFR §§ 73.3526(e)(13), 73.3527(e)(4).  </w:t>
      </w:r>
    </w:p>
  </w:footnote>
  <w:footnote w:id="16">
    <w:p w:rsidR="002C0D75" w:rsidP="002C0D75" w14:paraId="76CAB0B4" w14:textId="6EA4627D">
      <w:pPr>
        <w:pStyle w:val="FootnoteText"/>
      </w:pPr>
      <w:r>
        <w:rPr>
          <w:rStyle w:val="FootnoteReference"/>
        </w:rPr>
        <w:footnoteRef/>
      </w:r>
      <w:r>
        <w:t xml:space="preserve"> 47 CFR § 73.3613 (requiring that each licensee or permittee of a commercial or noncommercial AM, FM, TV, or international broadcast station file with the FCC copies of specified contracts and other documents within 30 days of execution).  As discussed below, we also seek comment on whether to eliminate the paper filing requirement for international broadcast stations as well, or whether there is a continuing need for a paper filing requirement for these stations since they are not subject to our existing public file rules.  </w:t>
      </w:r>
      <w:r>
        <w:rPr>
          <w:i/>
        </w:rPr>
        <w:t xml:space="preserve">See infra </w:t>
      </w:r>
      <w:r>
        <w:t xml:space="preserve">Section </w:t>
      </w:r>
      <w:r>
        <w:fldChar w:fldCharType="begin"/>
      </w:r>
      <w:r>
        <w:instrText xml:space="preserve"> REF _Ref500239246 \r \h </w:instrText>
      </w:r>
      <w:r>
        <w:fldChar w:fldCharType="separate"/>
      </w:r>
      <w:r w:rsidR="00096D35">
        <w:t>III.A</w:t>
      </w:r>
      <w:r>
        <w:fldChar w:fldCharType="end"/>
      </w:r>
      <w:r>
        <w:t>.</w:t>
      </w:r>
    </w:p>
  </w:footnote>
  <w:footnote w:id="17">
    <w:p w:rsidR="002C0D75" w:rsidRPr="00976E30" w:rsidP="002C0D75" w14:paraId="58E9F1AF" w14:textId="04625F2A">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_Ref499578461 \h </w:instrText>
      </w:r>
      <w:r>
        <w:fldChar w:fldCharType="separate"/>
      </w:r>
      <w:r w:rsidR="00096D35">
        <w:t>8</w:t>
      </w:r>
      <w:r>
        <w:fldChar w:fldCharType="end"/>
      </w:r>
      <w:r>
        <w:t xml:space="preserve"> and accompanying text.</w:t>
      </w:r>
    </w:p>
  </w:footnote>
  <w:footnote w:id="18">
    <w:p w:rsidR="002C0D75" w:rsidRPr="00FC0405" w:rsidP="002C0D75" w14:paraId="21E9B000" w14:textId="77777777">
      <w:pPr>
        <w:pStyle w:val="FootnoteText"/>
      </w:pPr>
      <w:r>
        <w:rPr>
          <w:rStyle w:val="FootnoteReference"/>
        </w:rPr>
        <w:footnoteRef/>
      </w:r>
      <w:r>
        <w:t xml:space="preserve"> FCC Form 323, Ownership Report for Commercial Broadcast Stations (Nov. 2017), </w:t>
      </w:r>
      <w:r>
        <w:fldChar w:fldCharType="begin"/>
      </w:r>
      <w:r>
        <w:instrText xml:space="preserve"> HYPERLINK "https://transition.fcc.gov/Forms/Form323/323.pdf" </w:instrText>
      </w:r>
      <w:r>
        <w:fldChar w:fldCharType="separate"/>
      </w:r>
      <w:r w:rsidRPr="007C586C">
        <w:rPr>
          <w:rStyle w:val="Hyperlink"/>
        </w:rPr>
        <w:t>https://transition.fcc.gov/Forms/Form323/323.pdf</w:t>
      </w:r>
      <w:r>
        <w:fldChar w:fldCharType="end"/>
      </w:r>
      <w:r>
        <w:t xml:space="preserve">; FCC Form 323-E, Ownership Report for Noncommercial Broadcast Stations (Nov. 2017), </w:t>
      </w:r>
      <w:r>
        <w:fldChar w:fldCharType="begin"/>
      </w:r>
      <w:r>
        <w:instrText xml:space="preserve"> HYPERLINK "https://transition.fcc.gov/Forms/Form323-E/323e.pdf" </w:instrText>
      </w:r>
      <w:r>
        <w:fldChar w:fldCharType="separate"/>
      </w:r>
      <w:r w:rsidRPr="007C586C">
        <w:rPr>
          <w:rStyle w:val="Hyperlink"/>
        </w:rPr>
        <w:t>https://transition.fcc.gov/Forms/Form323-E/323e.pdf</w:t>
      </w:r>
      <w:r>
        <w:fldChar w:fldCharType="end"/>
      </w:r>
      <w:r>
        <w:t xml:space="preserve">.  As stated in the instructions for Form 323 and Form 323-E, all Form 323 and Form 323-E filings must be submitted electronically.  </w:t>
      </w:r>
      <w:r>
        <w:rPr>
          <w:i/>
        </w:rPr>
        <w:t xml:space="preserve">See also </w:t>
      </w:r>
      <w:r>
        <w:t>47 CFR § 73.3615 (requiring electronic submission of Forms 323 and 323-E).</w:t>
      </w:r>
    </w:p>
  </w:footnote>
  <w:footnote w:id="19">
    <w:p w:rsidR="002C0D75" w:rsidP="002C0D75" w14:paraId="1D11B948" w14:textId="77777777">
      <w:pPr>
        <w:pStyle w:val="FootnoteText"/>
      </w:pPr>
      <w:r>
        <w:rPr>
          <w:rStyle w:val="FootnoteReference"/>
        </w:rPr>
        <w:footnoteRef/>
      </w:r>
      <w:r>
        <w:t xml:space="preserve"> Section 73.3526 of our rules contains local public inspection file requirements for commercial broadcast stations, while Section 73.3527 contains similar requirements for noncommercial educational broadcast stations.  47 CFR §§ 73.3526, 73.3527.</w:t>
      </w:r>
    </w:p>
  </w:footnote>
  <w:footnote w:id="20">
    <w:p w:rsidR="002C0D75" w:rsidRPr="00DE53ED" w:rsidP="002C0D75" w14:paraId="4BFDCB5C" w14:textId="65C87AED">
      <w:pPr>
        <w:pStyle w:val="FootnoteText"/>
      </w:pPr>
      <w:r>
        <w:rPr>
          <w:rStyle w:val="FootnoteReference"/>
        </w:rPr>
        <w:footnoteRef/>
      </w:r>
      <w:r>
        <w:t xml:space="preserve"> </w:t>
      </w:r>
      <w:r>
        <w:rPr>
          <w:i/>
        </w:rPr>
        <w:t>Id.</w:t>
      </w:r>
      <w:r>
        <w:t xml:space="preserve"> §§ 73.3526(e)(5), 73.3527(e)(4); </w:t>
      </w:r>
      <w:r>
        <w:rPr>
          <w:i/>
        </w:rPr>
        <w:t xml:space="preserve">see also supra </w:t>
      </w:r>
      <w:r>
        <w:t xml:space="preserve">para. </w:t>
      </w:r>
      <w:r>
        <w:fldChar w:fldCharType="begin"/>
      </w:r>
      <w:r>
        <w:instrText xml:space="preserve"> REF _Ref499562999 \r \h </w:instrText>
      </w:r>
      <w:r>
        <w:fldChar w:fldCharType="separate"/>
      </w:r>
      <w:r w:rsidR="00096D35">
        <w:t>3</w:t>
      </w:r>
      <w:r>
        <w:fldChar w:fldCharType="end"/>
      </w:r>
      <w:r>
        <w:t xml:space="preserve"> &amp; note </w:t>
      </w:r>
      <w:r>
        <w:fldChar w:fldCharType="begin"/>
      </w:r>
      <w:r>
        <w:instrText xml:space="preserve"> NOTEREF _Ref499912957 \h </w:instrText>
      </w:r>
      <w:r>
        <w:fldChar w:fldCharType="separate"/>
      </w:r>
      <w:r w:rsidR="00096D35">
        <w:t>7</w:t>
      </w:r>
      <w:r>
        <w:fldChar w:fldCharType="end"/>
      </w:r>
      <w:r>
        <w:t xml:space="preserve"> (discussing public file requirements contained in Sections 73.3526(e)(5) and 73.3527(e)(4)).</w:t>
      </w:r>
    </w:p>
  </w:footnote>
  <w:footnote w:id="21">
    <w:p w:rsidR="002C0D75" w:rsidP="002C0D75" w14:paraId="626F57D8" w14:textId="77777777">
      <w:pPr>
        <w:pStyle w:val="FootnoteText"/>
      </w:pPr>
      <w:r>
        <w:rPr>
          <w:rStyle w:val="FootnoteReference"/>
        </w:rPr>
        <w:footnoteRef/>
      </w:r>
      <w:r>
        <w:t xml:space="preserve"> 47 CFR §§ 73.3526(e)(5), 73.3527(e)(4).  Our public file rules also require licensees and permittees to retain copies of time brokerage agreements and joint sales agreements involving a commercial AM, FM, or television station in the station’s public file.  </w:t>
      </w:r>
      <w:r>
        <w:rPr>
          <w:i/>
        </w:rPr>
        <w:t>Id.</w:t>
      </w:r>
      <w:r>
        <w:t xml:space="preserve"> § 73.3526(e)(14), (e)(16).</w:t>
      </w:r>
    </w:p>
  </w:footnote>
  <w:footnote w:id="22">
    <w:p w:rsidR="002C0D75" w:rsidRPr="00200B69" w:rsidP="002C0D75" w14:paraId="6489E7FC" w14:textId="1CA874C0">
      <w:pPr>
        <w:pStyle w:val="FootnoteText"/>
      </w:pPr>
      <w:r>
        <w:rPr>
          <w:rStyle w:val="FootnoteReference"/>
        </w:rPr>
        <w:footnoteRef/>
      </w:r>
      <w:r>
        <w:t xml:space="preserve"> As discussed below, we propose to revise our existing public file rules to clarify that a licensee or permittee that chooses to place a copy of each document in its public file must keep such copies up-to-date in the file.  </w:t>
      </w:r>
      <w:r>
        <w:rPr>
          <w:i/>
        </w:rPr>
        <w:t xml:space="preserve">See infra </w:t>
      </w:r>
      <w:r>
        <w:t xml:space="preserve">note </w:t>
      </w:r>
      <w:r>
        <w:fldChar w:fldCharType="begin"/>
      </w:r>
      <w:r>
        <w:instrText xml:space="preserve"> NOTEREF _Ref501630408 \h </w:instrText>
      </w:r>
      <w:r>
        <w:fldChar w:fldCharType="separate"/>
      </w:r>
      <w:r w:rsidR="00096D35">
        <w:t>22</w:t>
      </w:r>
      <w:r>
        <w:fldChar w:fldCharType="end"/>
      </w:r>
      <w:r>
        <w:t>.</w:t>
      </w:r>
    </w:p>
  </w:footnote>
  <w:footnote w:id="23">
    <w:p w:rsidR="002C0D75" w:rsidRPr="00C957CA" w:rsidP="002C0D75" w14:paraId="1995ABAE" w14:textId="77777777">
      <w:pPr>
        <w:pStyle w:val="FootnoteText"/>
      </w:pPr>
      <w:r>
        <w:rPr>
          <w:rStyle w:val="FootnoteReference"/>
        </w:rPr>
        <w:footnoteRef/>
      </w:r>
      <w:r>
        <w:t xml:space="preserve"> </w:t>
      </w:r>
      <w:r>
        <w:rPr>
          <w:i/>
        </w:rPr>
        <w:t>See</w:t>
      </w:r>
      <w:r>
        <w:t xml:space="preserve"> NAB Comments at 17-18; Nexstar Broadcasting, Inc. Comments at 6-7; Edward A. Schober Comments at 4; ABC Television Affiliates Association et al. Reply at 10; NSBA Reply at 11.  </w:t>
      </w:r>
    </w:p>
  </w:footnote>
  <w:footnote w:id="24">
    <w:p w:rsidR="002C0D75" w:rsidP="002C0D75" w14:paraId="66578C1B" w14:textId="6C381188">
      <w:pPr>
        <w:pStyle w:val="FootnoteText"/>
      </w:pPr>
      <w:r>
        <w:rPr>
          <w:rStyle w:val="FootnoteReference"/>
        </w:rPr>
        <w:footnoteRef/>
      </w:r>
      <w:r>
        <w:t xml:space="preserve"> The types of documents that must be filed with the Commission under the current rule include network affiliation agreements between a television station and a national network; documents that relate to ownership or control of the licensee or permittee; contracts that relate to management of a station by someone other than a regular employee, officer, or director of the station, or by any person where the contract also provides for both a percentage of profits and sharing in losses; attributable time brokerage agreements; and attributable joint sales agreements.  </w:t>
      </w:r>
      <w:r w:rsidRPr="00566AA1">
        <w:t>47 CFR</w:t>
      </w:r>
      <w:r w:rsidRPr="00487351">
        <w:t xml:space="preserve"> </w:t>
      </w:r>
      <w:r>
        <w:t xml:space="preserve">§ 73.3613(a)–(d).  In addition, the current rule also requires that the following documents be kept at the station and made available for inspection upon request by the Commission:  subchannel leasing agreements for Subsidiary Communications Authorization operation; franchise/leasing agreements for operation of telecommunications services on the television vertical blanking interval and in the visual signal; time sales contracts with the same sponsor for four or more hours per day, except where the length of the events broadcast is not under control of the station; and contracts with chief operators.  </w:t>
      </w:r>
      <w:r>
        <w:rPr>
          <w:i/>
        </w:rPr>
        <w:t xml:space="preserve">Id. </w:t>
      </w:r>
      <w:r>
        <w:t>§ 73.3613(e)</w:t>
      </w:r>
      <w:r w:rsidRPr="00D60EA3">
        <w:t>.</w:t>
      </w:r>
    </w:p>
  </w:footnote>
  <w:footnote w:id="25">
    <w:p w:rsidR="002C0D75" w:rsidP="002C0D75" w14:paraId="47A6CD09" w14:textId="3E0579DB">
      <w:pPr>
        <w:pStyle w:val="FootnoteText"/>
      </w:pPr>
      <w:r>
        <w:rPr>
          <w:rStyle w:val="FootnoteReference"/>
        </w:rPr>
        <w:footnoteRef/>
      </w:r>
      <w:r>
        <w:t xml:space="preserve"> </w:t>
      </w:r>
      <w:r w:rsidRPr="00566AA1">
        <w:rPr>
          <w:i/>
        </w:rPr>
        <w:t>Id</w:t>
      </w:r>
      <w:r>
        <w:t>. §§ 73.3526(e)(5), 73.3527(e)(4).</w:t>
      </w:r>
    </w:p>
  </w:footnote>
  <w:footnote w:id="26">
    <w:p w:rsidR="002C0D75" w:rsidP="002C0D75" w14:paraId="6514BB51" w14:textId="42B3DD63">
      <w:pPr>
        <w:pStyle w:val="FootnoteText"/>
      </w:pPr>
      <w:r>
        <w:rPr>
          <w:rStyle w:val="FootnoteReference"/>
        </w:rPr>
        <w:footnoteRef/>
      </w:r>
      <w:r>
        <w:t xml:space="preserve"> </w:t>
      </w:r>
      <w:r w:rsidRPr="00566AA1">
        <w:rPr>
          <w:i/>
        </w:rPr>
        <w:t>Id</w:t>
      </w:r>
      <w:r>
        <w:t>.</w:t>
      </w:r>
    </w:p>
  </w:footnote>
  <w:footnote w:id="27">
    <w:p w:rsidR="002C0D75" w:rsidP="002C0D75" w14:paraId="67630597" w14:textId="0940F06A">
      <w:pPr>
        <w:pStyle w:val="FootnoteText"/>
      </w:pPr>
      <w:r>
        <w:rPr>
          <w:rStyle w:val="FootnoteReference"/>
        </w:rPr>
        <w:footnoteRef/>
      </w:r>
      <w:r>
        <w:t xml:space="preserve"> </w:t>
      </w:r>
      <w:r w:rsidRPr="00566AA1">
        <w:rPr>
          <w:i/>
        </w:rPr>
        <w:t>Id</w:t>
      </w:r>
      <w:r>
        <w:t xml:space="preserve">. § 73.3613.    </w:t>
      </w:r>
    </w:p>
  </w:footnote>
  <w:footnote w:id="28">
    <w:p w:rsidR="002C0D75" w:rsidP="002C0D75" w14:paraId="5CDA52A9" w14:textId="1B53D6FF">
      <w:pPr>
        <w:pStyle w:val="FootnoteText"/>
      </w:pPr>
      <w:r>
        <w:rPr>
          <w:rStyle w:val="FootnoteReference"/>
        </w:rPr>
        <w:footnoteRef/>
      </w:r>
      <w:r>
        <w:t xml:space="preserve"> </w:t>
      </w:r>
      <w:r w:rsidRPr="00566AA1">
        <w:rPr>
          <w:i/>
        </w:rPr>
        <w:t>Id</w:t>
      </w:r>
      <w:r>
        <w:t>. §§ 73.3526, 73.3527.</w:t>
      </w:r>
    </w:p>
  </w:footnote>
  <w:footnote w:id="29">
    <w:p w:rsidR="002C0D75" w:rsidRPr="001628C3" w:rsidP="002C0D75" w14:paraId="3EA2114F" w14:textId="77777777">
      <w:pPr>
        <w:pStyle w:val="FootnoteText"/>
      </w:pPr>
      <w:r>
        <w:rPr>
          <w:rStyle w:val="FootnoteReference"/>
        </w:rPr>
        <w:footnoteRef/>
      </w:r>
      <w:r>
        <w:t xml:space="preserve"> </w:t>
      </w:r>
      <w:r>
        <w:rPr>
          <w:i/>
        </w:rPr>
        <w:t>See, e.g.</w:t>
      </w:r>
      <w:r>
        <w:t xml:space="preserve">, </w:t>
      </w:r>
      <w:r w:rsidRPr="00E81312">
        <w:rPr>
          <w:i/>
        </w:rPr>
        <w:t>Enhanced Disclosure Second Report and Order</w:t>
      </w:r>
      <w:r>
        <w:t>, 27 FCC at 4852, para. 102.</w:t>
      </w:r>
    </w:p>
  </w:footnote>
  <w:footnote w:id="30">
    <w:p w:rsidR="00C4602C" w14:paraId="3B8ABA17" w14:textId="76498607">
      <w:pPr>
        <w:pStyle w:val="FootnoteText"/>
      </w:pPr>
      <w:r w:rsidRPr="001B1FE5">
        <w:rPr>
          <w:rStyle w:val="FootnoteReference"/>
        </w:rPr>
        <w:footnoteRef/>
      </w:r>
      <w:r w:rsidRPr="001B1FE5">
        <w:t xml:space="preserve"> </w:t>
      </w:r>
      <w:r w:rsidRPr="001B1FE5">
        <w:rPr>
          <w:i/>
        </w:rPr>
        <w:t xml:space="preserve">See infra </w:t>
      </w:r>
      <w:r w:rsidRPr="001B1FE5">
        <w:t>Section III.B.</w:t>
      </w:r>
    </w:p>
  </w:footnote>
  <w:footnote w:id="31">
    <w:p w:rsidR="002C0D75" w:rsidP="002C0D75" w14:paraId="6A7EDD76" w14:textId="77777777">
      <w:pPr>
        <w:pStyle w:val="FootnoteText"/>
      </w:pPr>
      <w:r>
        <w:rPr>
          <w:rStyle w:val="FootnoteReference"/>
        </w:rPr>
        <w:footnoteRef/>
      </w:r>
      <w:r>
        <w:t xml:space="preserve"> </w:t>
      </w:r>
      <w:r w:rsidRPr="001C554E">
        <w:rPr>
          <w:i/>
        </w:rPr>
        <w:t>See, e.g.,</w:t>
      </w:r>
      <w:r>
        <w:t xml:space="preserve"> 47 CFR §§ 73.1226(c), 73.1210(b)(1), 74.780.</w:t>
      </w:r>
    </w:p>
  </w:footnote>
  <w:footnote w:id="32">
    <w:p w:rsidR="002C0D75" w:rsidRPr="00C14408" w:rsidP="002C0D75" w14:paraId="2002E8F0" w14:textId="7A6BA8DC">
      <w:pPr>
        <w:pStyle w:val="FootnoteText"/>
      </w:pPr>
      <w:r>
        <w:rPr>
          <w:rStyle w:val="FootnoteReference"/>
        </w:rPr>
        <w:footnoteRef/>
      </w:r>
      <w:r>
        <w:t xml:space="preserve"> </w:t>
      </w:r>
      <w:r w:rsidRPr="00566AA1">
        <w:rPr>
          <w:i/>
        </w:rPr>
        <w:t>Id</w:t>
      </w:r>
      <w:r>
        <w:t xml:space="preserve">. §§ 73.701(a), 73.702.  Currently, two seasons exist:  a summer season and a winter season.  </w:t>
      </w:r>
      <w:r>
        <w:rPr>
          <w:i/>
        </w:rPr>
        <w:t>See id.</w:t>
      </w:r>
      <w:r>
        <w:t xml:space="preserve"> § 73.701.</w:t>
      </w:r>
    </w:p>
  </w:footnote>
  <w:footnote w:id="33">
    <w:p w:rsidR="002C0D75" w:rsidP="002C0D75" w14:paraId="2AAEF656" w14:textId="77777777">
      <w:pPr>
        <w:pStyle w:val="FootnoteText"/>
      </w:pPr>
      <w:r>
        <w:rPr>
          <w:rStyle w:val="FootnoteReference"/>
        </w:rPr>
        <w:footnoteRef/>
      </w:r>
      <w:r>
        <w:t xml:space="preserve"> FCC High Frequency Stations, </w:t>
      </w:r>
      <w:r>
        <w:fldChar w:fldCharType="begin"/>
      </w:r>
      <w:r>
        <w:instrText xml:space="preserve"> HYPERLINK "https://www.fcc.gov/general/fcc-high-frequency-stations" </w:instrText>
      </w:r>
      <w:r>
        <w:fldChar w:fldCharType="separate"/>
      </w:r>
      <w:r w:rsidRPr="00846B3F">
        <w:rPr>
          <w:rStyle w:val="Hyperlink"/>
        </w:rPr>
        <w:t>https://www.fcc.gov/general/fcc-high-frequency-stations</w:t>
      </w:r>
      <w:r>
        <w:fldChar w:fldCharType="end"/>
      </w:r>
      <w:r>
        <w:t xml:space="preserve"> (last visited Dec. 13, 2017).</w:t>
      </w:r>
    </w:p>
  </w:footnote>
  <w:footnote w:id="34">
    <w:p w:rsidR="002C0D75" w:rsidP="002C0D75" w14:paraId="152D0F18" w14:textId="77777777">
      <w:pPr>
        <w:pStyle w:val="FootnoteText"/>
      </w:pPr>
      <w:r>
        <w:rPr>
          <w:rStyle w:val="FootnoteReference"/>
        </w:rPr>
        <w:footnoteRef/>
      </w:r>
      <w:r>
        <w:t xml:space="preserve"> </w:t>
      </w:r>
      <w:r>
        <w:rPr>
          <w:i/>
        </w:rPr>
        <w:t xml:space="preserve">See </w:t>
      </w:r>
      <w:r>
        <w:t xml:space="preserve">47 CFR § 73.3615; FCC Form 323, Ownership Report for Commercial Broadcast Stations (Nov. 2017), </w:t>
      </w:r>
      <w:r>
        <w:fldChar w:fldCharType="begin"/>
      </w:r>
      <w:r>
        <w:instrText xml:space="preserve"> HYPERLINK "https://transition.fcc.gov/Forms/Form323/323.pdf" </w:instrText>
      </w:r>
      <w:r>
        <w:fldChar w:fldCharType="separate"/>
      </w:r>
      <w:r w:rsidRPr="007C586C">
        <w:rPr>
          <w:rStyle w:val="Hyperlink"/>
        </w:rPr>
        <w:t>https://transition.fcc.gov/Forms/Form323/323.pdf</w:t>
      </w:r>
      <w:r>
        <w:fldChar w:fldCharType="end"/>
      </w:r>
      <w:r>
        <w:t xml:space="preserve">; FCC Form 323-E, Ownership Report for Noncommercial Broadcast Stations (Nov. 2017), </w:t>
      </w:r>
      <w:r>
        <w:fldChar w:fldCharType="begin"/>
      </w:r>
      <w:r>
        <w:instrText xml:space="preserve"> HYPERLINK "https://transition.fcc.gov/Forms/Form323-E/323e.pdf" </w:instrText>
      </w:r>
      <w:r>
        <w:fldChar w:fldCharType="separate"/>
      </w:r>
      <w:r w:rsidRPr="007C586C">
        <w:rPr>
          <w:rStyle w:val="Hyperlink"/>
        </w:rPr>
        <w:t>https://transition.fcc.gov/Forms/Form323-E/323e.pdf</w:t>
      </w:r>
      <w:r>
        <w:fldChar w:fldCharType="end"/>
      </w:r>
      <w:r>
        <w:t>.</w:t>
      </w:r>
    </w:p>
  </w:footnote>
  <w:footnote w:id="35">
    <w:p w:rsidR="002C0D75" w:rsidRPr="00644F03" w:rsidP="002C0D75" w14:paraId="7CA8DAFD" w14:textId="0F39F0EB">
      <w:pPr>
        <w:pStyle w:val="FootnoteText"/>
      </w:pPr>
      <w:r>
        <w:rPr>
          <w:rStyle w:val="FootnoteReference"/>
        </w:rPr>
        <w:footnoteRef/>
      </w:r>
      <w:r>
        <w:t xml:space="preserve"> Previously, international broadcast stations were subject to the ownership reporting requirements that applied to AM, FM, and television stations, but this is no longer the case.  </w:t>
      </w:r>
      <w:r>
        <w:rPr>
          <w:i/>
        </w:rPr>
        <w:t xml:space="preserve">Compare </w:t>
      </w:r>
      <w:r>
        <w:t xml:space="preserve">47 CFR § 1.343(a) (1953) (“The licensee or permittee of each broadcast station (Standard, FM, television and international) shall file [an Ownership Report (FCC Form 323)] on or before April 1 . . . .”), </w:t>
      </w:r>
      <w:r>
        <w:rPr>
          <w:i/>
        </w:rPr>
        <w:t>with id.</w:t>
      </w:r>
      <w:r>
        <w:t xml:space="preserve"> § 73.3615(a) (“[Form 323] must be filed electronically every two years by each licensee of a commercial AM, FM, or TV broadcast station . . . .”).</w:t>
      </w:r>
    </w:p>
  </w:footnote>
  <w:footnote w:id="36">
    <w:p w:rsidR="002C0D75" w:rsidP="002C0D75" w14:paraId="74E622DA" w14:textId="3CDC178D">
      <w:pPr>
        <w:pStyle w:val="FootnoteText"/>
      </w:pPr>
      <w:r>
        <w:rPr>
          <w:rStyle w:val="FootnoteReference"/>
        </w:rPr>
        <w:footnoteRef/>
      </w:r>
      <w:r>
        <w:t xml:space="preserve"> </w:t>
      </w:r>
      <w:r>
        <w:rPr>
          <w:i/>
        </w:rPr>
        <w:t xml:space="preserve">See </w:t>
      </w:r>
      <w:r w:rsidRPr="00566AA1">
        <w:rPr>
          <w:i/>
        </w:rPr>
        <w:t>id</w:t>
      </w:r>
      <w:r>
        <w:t>. § 73.3555.</w:t>
      </w:r>
    </w:p>
  </w:footnote>
  <w:footnote w:id="37">
    <w:p w:rsidR="002C0D75" w:rsidRPr="00411676" w:rsidP="002C0D75" w14:paraId="3BD40AA5" w14:textId="62804E31">
      <w:pPr>
        <w:pStyle w:val="FootnoteText"/>
      </w:pPr>
      <w:r>
        <w:rPr>
          <w:rStyle w:val="FootnoteReference"/>
        </w:rPr>
        <w:footnoteRef/>
      </w:r>
      <w:r>
        <w:t xml:space="preserve"> </w:t>
      </w:r>
      <w:r>
        <w:rPr>
          <w:i/>
        </w:rPr>
        <w:t xml:space="preserve">See </w:t>
      </w:r>
      <w:r w:rsidRPr="00566AA1">
        <w:rPr>
          <w:i/>
        </w:rPr>
        <w:t>id</w:t>
      </w:r>
      <w:r>
        <w:t xml:space="preserve">. §§ 73.503, 73.621.  For purposes of enforcing the statutory bar against </w:t>
      </w:r>
      <w:r>
        <w:rPr>
          <w:i/>
        </w:rPr>
        <w:t xml:space="preserve">de facto </w:t>
      </w:r>
      <w:r>
        <w:t>transfers of control of an international broadcast station without prior Commission authorization, we believe that it is sufficient to retain our ability to obtain Section 73.3613 documents from licensees and permittees of international broadcast stations upon request, as discussed below.</w:t>
      </w:r>
    </w:p>
  </w:footnote>
  <w:footnote w:id="38">
    <w:p w:rsidR="002C0D75" w:rsidP="002C0D75" w14:paraId="50A922BF" w14:textId="77777777">
      <w:pPr>
        <w:pStyle w:val="FootnoteText"/>
      </w:pPr>
      <w:r>
        <w:rPr>
          <w:rStyle w:val="FootnoteReference"/>
        </w:rPr>
        <w:footnoteRef/>
      </w:r>
      <w:r>
        <w:t xml:space="preserve"> We note that these stations transmit programming that is intended to be received in foreign countries and are not required to have public inspection files, and thus do not currently make Section 73.3613 documents available to the U.S. public in that manner.  And, considering the very small number of stations operating nationally, Section 73.3613 documents of international broadcast stations may be of little relevance to the U.S. public.  We seek comment on these issues.  </w:t>
      </w:r>
    </w:p>
  </w:footnote>
  <w:footnote w:id="39">
    <w:p w:rsidR="002C0D75" w:rsidRPr="00BB316A" w:rsidP="002C0D75" w14:paraId="03A6EC2E" w14:textId="77777777">
      <w:pPr>
        <w:pStyle w:val="FootnoteText"/>
      </w:pPr>
      <w:r>
        <w:rPr>
          <w:rStyle w:val="FootnoteReference"/>
        </w:rPr>
        <w:footnoteRef/>
      </w:r>
      <w:r>
        <w:t xml:space="preserve"> 47 CFR § 73.3613(d).  A TBA, also referred to as local marketing agreement (LMA), involves</w:t>
      </w:r>
      <w:r w:rsidRPr="00BB316A">
        <w:t xml:space="preserve"> “the sale by a licensee of discrete blocks of time to a ‘broker’ that supplies the programming to fill that time and sells the commercial spot announcements in it.”</w:t>
      </w:r>
      <w:r>
        <w:t xml:space="preserve">  </w:t>
      </w:r>
      <w:r w:rsidRPr="00497B13">
        <w:rPr>
          <w:i/>
        </w:rPr>
        <w:t>Id</w:t>
      </w:r>
      <w:r>
        <w:t xml:space="preserve">. § 73.3555, Note 2(j).  </w:t>
      </w:r>
      <w:r w:rsidRPr="00BB316A">
        <w:t>A JSA is an agreement that authorizes a broker to sell some or all of the advertising t</w:t>
      </w:r>
      <w:r>
        <w:t>ime on the brokered station.</w:t>
      </w:r>
      <w:r w:rsidRPr="00BB316A">
        <w:t xml:space="preserve"> </w:t>
      </w:r>
      <w:r>
        <w:t xml:space="preserve"> </w:t>
      </w:r>
      <w:r>
        <w:rPr>
          <w:i/>
        </w:rPr>
        <w:t>Id</w:t>
      </w:r>
      <w:r>
        <w:t>. § 73.3555, Note 2(k).</w:t>
      </w:r>
    </w:p>
  </w:footnote>
  <w:footnote w:id="40">
    <w:p w:rsidR="002C0D75" w:rsidP="002C0D75" w14:paraId="35BF5EAD" w14:textId="6F44A310">
      <w:pPr>
        <w:pStyle w:val="FootnoteText"/>
      </w:pPr>
      <w:r>
        <w:rPr>
          <w:rStyle w:val="FootnoteReference"/>
        </w:rPr>
        <w:footnoteRef/>
      </w:r>
      <w:r>
        <w:t xml:space="preserve"> </w:t>
      </w:r>
      <w:r w:rsidRPr="00566AA1">
        <w:rPr>
          <w:i/>
        </w:rPr>
        <w:t>Id</w:t>
      </w:r>
      <w:r>
        <w:t xml:space="preserve">. § 73.3526(e)(14), (e)(16). </w:t>
      </w:r>
    </w:p>
  </w:footnote>
  <w:footnote w:id="41">
    <w:p w:rsidR="002C0D75" w:rsidRPr="00EF4184" w:rsidP="002C0D75" w14:paraId="099FF502" w14:textId="0B796671">
      <w:pPr>
        <w:pStyle w:val="FootnoteText"/>
      </w:pPr>
      <w:r>
        <w:rPr>
          <w:rStyle w:val="FootnoteReference"/>
        </w:rPr>
        <w:footnoteRef/>
      </w:r>
      <w:r>
        <w:t xml:space="preserve"> Under the current rule, attributable TBAs and attributable JSAs—like all other Section 73.3613 documents—must be filed with the Commission within 30 days of execution.  However, our existing public file rules </w:t>
      </w:r>
      <w:r w:rsidRPr="00C41899">
        <w:t xml:space="preserve">do not explicitly state how quickly licensees and permittees must </w:t>
      </w:r>
      <w:r>
        <w:t xml:space="preserve">add these documents to their public file.  As noted above, however, we are seeking comment on whether to adopt a specific timeframe for updating Section 73.3613 documents.  </w:t>
      </w:r>
      <w:r>
        <w:rPr>
          <w:i/>
        </w:rPr>
        <w:t xml:space="preserve">See supra </w:t>
      </w:r>
      <w:r>
        <w:t xml:space="preserve">para. </w:t>
      </w:r>
      <w:r>
        <w:fldChar w:fldCharType="begin"/>
      </w:r>
      <w:r>
        <w:instrText xml:space="preserve"> REF _Ref501628476 \r \h </w:instrText>
      </w:r>
      <w:r>
        <w:fldChar w:fldCharType="separate"/>
      </w:r>
      <w:r w:rsidR="00096D35">
        <w:t>11</w:t>
      </w:r>
      <w:r>
        <w:fldChar w:fldCharType="end"/>
      </w:r>
      <w:r>
        <w:t>.</w:t>
      </w:r>
    </w:p>
  </w:footnote>
  <w:footnote w:id="42">
    <w:p w:rsidR="002C0D75" w:rsidP="002C0D75" w14:paraId="5886FF41" w14:textId="373080EB">
      <w:pPr>
        <w:pStyle w:val="FootnoteText"/>
      </w:pPr>
      <w:r>
        <w:rPr>
          <w:rStyle w:val="FootnoteReference"/>
        </w:rPr>
        <w:footnoteRef/>
      </w:r>
      <w:r>
        <w:t xml:space="preserve"> </w:t>
      </w:r>
      <w:r>
        <w:rPr>
          <w:i/>
        </w:rPr>
        <w:t xml:space="preserve">See </w:t>
      </w:r>
      <w:r>
        <w:t xml:space="preserve">47 CFR § 73.3527(e)(4).  When the Commission adopted the public file rules requiring that all TBAs and/or JSAs involving commercial stations be placed in the public inspection file, it did not discuss a similar requirement for noncommercial stations.  </w:t>
      </w:r>
      <w:r>
        <w:rPr>
          <w:i/>
        </w:rPr>
        <w:t>See Revision of Radio Rules and Policies</w:t>
      </w:r>
      <w:r>
        <w:t xml:space="preserve">, Report and Order, 7 FCC Rcd 2755 (1992), </w:t>
      </w:r>
      <w:r>
        <w:rPr>
          <w:i/>
        </w:rPr>
        <w:t>recon.</w:t>
      </w:r>
      <w:r>
        <w:t xml:space="preserve"> Memorandum Opinion and Order and Further Notice of Proposed Rulemaking, 7 FCC Rcd 6387 (1994); </w:t>
      </w:r>
      <w:r>
        <w:rPr>
          <w:i/>
        </w:rPr>
        <w:t>Review of the Commission’s Regulations Governing Attribution of Broadcast and Cable/MDS Interests et al.</w:t>
      </w:r>
      <w:r>
        <w:t>, Report and Order, 14 FCC Rcd 12559 (1999).  Given the nature of and rules applicable to the noncommercial service, it is likely that TBAs and JSAs involving noncommercial stations are not as prevalent as those involving commercial stations.</w:t>
      </w:r>
    </w:p>
  </w:footnote>
  <w:footnote w:id="43">
    <w:p w:rsidR="002C0D75" w:rsidP="002C0D75" w14:paraId="4DFB3CED" w14:textId="3FC2AC04">
      <w:pPr>
        <w:pStyle w:val="FootnoteText"/>
      </w:pPr>
      <w:r>
        <w:rPr>
          <w:rStyle w:val="FootnoteReference"/>
        </w:rPr>
        <w:footnoteRef/>
      </w:r>
      <w:r>
        <w:t xml:space="preserve"> </w:t>
      </w:r>
      <w:r w:rsidRPr="00566AA1">
        <w:t>47 CFR</w:t>
      </w:r>
      <w:r>
        <w:t xml:space="preserve"> § 73.3613(d)(1)-(d)(2).  A similar rule applies to TBAs and JSAs required to be placed in the public inspection file.  </w:t>
      </w:r>
      <w:r w:rsidRPr="00276A60">
        <w:rPr>
          <w:i/>
        </w:rPr>
        <w:t>See</w:t>
      </w:r>
      <w:r>
        <w:t xml:space="preserve"> 47 </w:t>
      </w:r>
      <w:r w:rsidRPr="00566AA1">
        <w:rPr>
          <w:i/>
        </w:rPr>
        <w:t>id</w:t>
      </w:r>
      <w:r>
        <w:t>. §§ 73.3526(e)(14), (e)(16).</w:t>
      </w:r>
    </w:p>
  </w:footnote>
  <w:footnote w:id="44">
    <w:p w:rsidR="002C0D75" w:rsidRPr="00506BAA" w:rsidP="002C0D75" w14:paraId="3A5D218C" w14:textId="06D423B8">
      <w:pPr>
        <w:pStyle w:val="FootnoteText"/>
      </w:pPr>
      <w:r>
        <w:rPr>
          <w:rStyle w:val="FootnoteReference"/>
        </w:rPr>
        <w:footnoteRef/>
      </w:r>
      <w:r>
        <w:t xml:space="preserve"> </w:t>
      </w:r>
      <w:r>
        <w:rPr>
          <w:i/>
        </w:rPr>
        <w:t xml:space="preserve">See </w:t>
      </w:r>
      <w:r w:rsidRPr="00566AA1">
        <w:rPr>
          <w:i/>
        </w:rPr>
        <w:t>id</w:t>
      </w:r>
      <w:r>
        <w:t>. § 0.459(a)(1).</w:t>
      </w:r>
    </w:p>
  </w:footnote>
  <w:footnote w:id="45">
    <w:p w:rsidR="002C0D75" w:rsidP="002C0D75" w14:paraId="2C32568F" w14:textId="77777777">
      <w:pPr>
        <w:pStyle w:val="FootnoteText"/>
      </w:pPr>
      <w:r>
        <w:rPr>
          <w:rStyle w:val="FootnoteReference"/>
          <w:color w:val="000000"/>
        </w:rPr>
        <w:footnoteRef/>
      </w:r>
      <w:r>
        <w:rPr>
          <w:color w:val="000000"/>
        </w:rPr>
        <w:t xml:space="preserve"> 5 U.S.C. § 603.  The RFA, </w:t>
      </w:r>
      <w:r>
        <w:rPr>
          <w:i/>
          <w:color w:val="000000"/>
        </w:rPr>
        <w:t>id.</w:t>
      </w:r>
      <w:r>
        <w:rPr>
          <w:color w:val="000000"/>
        </w:rPr>
        <w:t xml:space="preserve">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46">
    <w:p w:rsidR="002C0D75" w:rsidP="002C0D75" w14:paraId="0BB43D76" w14:textId="77777777">
      <w:pPr>
        <w:pStyle w:val="FootnoteText"/>
      </w:pPr>
      <w:r>
        <w:rPr>
          <w:rStyle w:val="FootnoteReference"/>
        </w:rPr>
        <w:footnoteRef/>
      </w:r>
      <w:r>
        <w:rPr>
          <w:lang w:val="da-DK"/>
        </w:rPr>
        <w:t xml:space="preserve"> 47 CFR §§ 1.1200 </w:t>
      </w:r>
      <w:r>
        <w:rPr>
          <w:i/>
          <w:iCs/>
          <w:lang w:val="da-DK"/>
        </w:rPr>
        <w:t>et seq.</w:t>
      </w:r>
    </w:p>
  </w:footnote>
  <w:footnote w:id="47">
    <w:p w:rsidR="00930EE4" w:rsidP="00E3346B" w14:paraId="24AC50D5" w14:textId="77777777">
      <w:pPr>
        <w:pStyle w:val="FootnoteText"/>
        <w:rPr>
          <w:highlight w:val="yellow"/>
        </w:rPr>
      </w:pPr>
      <w:r>
        <w:rPr>
          <w:rStyle w:val="FootnoteReference"/>
        </w:rPr>
        <w:footnoteRef/>
      </w:r>
      <w:r>
        <w:t xml:space="preserve"> </w:t>
      </w:r>
      <w:r>
        <w:rPr>
          <w:spacing w:val="-2"/>
        </w:rPr>
        <w:t>5 U.S.C. § 603.  The RFA, 5 U.S.C. § 601 – 612, has been amended by the Small Business Regulatory Enforcement Fairness Act of 1996 (SBREFA), Pub. L. No. 104-121, Title II, 110 Stat. 857 (1996).</w:t>
      </w:r>
    </w:p>
  </w:footnote>
  <w:footnote w:id="48">
    <w:p w:rsidR="00930EE4" w:rsidP="00E3346B" w14:paraId="01A5B53A" w14:textId="77777777">
      <w:pPr>
        <w:pStyle w:val="FootnoteText"/>
      </w:pPr>
      <w:r>
        <w:rPr>
          <w:rStyle w:val="FootnoteReference"/>
        </w:rPr>
        <w:footnoteRef/>
      </w:r>
      <w:r>
        <w:t xml:space="preserve"> 5 U.S.C. § 603(a).</w:t>
      </w:r>
    </w:p>
  </w:footnote>
  <w:footnote w:id="49">
    <w:p w:rsidR="00930EE4" w:rsidP="00E3346B" w14:paraId="4D262E3D" w14:textId="77777777">
      <w:pPr>
        <w:pStyle w:val="FootnoteText"/>
        <w:rPr>
          <w:highlight w:val="yellow"/>
        </w:rPr>
      </w:pPr>
      <w:r>
        <w:rPr>
          <w:rStyle w:val="FootnoteReference"/>
        </w:rPr>
        <w:footnoteRef/>
      </w:r>
      <w:r>
        <w:t xml:space="preserve"> </w:t>
      </w:r>
      <w:r>
        <w:rPr>
          <w:i/>
        </w:rPr>
        <w:t>Id</w:t>
      </w:r>
      <w:r>
        <w:t>.</w:t>
      </w:r>
    </w:p>
  </w:footnote>
  <w:footnote w:id="50">
    <w:p w:rsidR="00930EE4" w:rsidRPr="00ED61E4" w:rsidP="00D24D44" w14:paraId="4CC8AE88" w14:textId="77777777">
      <w:pPr>
        <w:pStyle w:val="FootnoteText"/>
      </w:pPr>
      <w:r>
        <w:rPr>
          <w:rStyle w:val="FootnoteReference"/>
        </w:rPr>
        <w:footnoteRef/>
      </w:r>
      <w:r>
        <w:t xml:space="preserve"> 47 CFR § 73.3613.  The types of documents that must be filed with the Commission under the current rule include network affiliation agreements between a television station and a national network; documents that relate to ownership or control of the licensee or permittee; contracts that relate to management of a station by someone other than a regular employee, officer, or director of the station, or by any person where the contract also provides for both a percentage of profits and sharing in losses; attributable time brokerage agreements; and attributable joint sales agreements.  </w:t>
      </w:r>
      <w:r>
        <w:rPr>
          <w:i/>
        </w:rPr>
        <w:t xml:space="preserve">Id. </w:t>
      </w:r>
      <w:r>
        <w:t xml:space="preserve">§ 73.3613(a)–(d).  In addition, the current rule also requires that the following documents be kept at the station and made available for inspection upon request by the Commission:  subchannel leasing agreements for Subsidiary Communications Authorization operation; franchise/leasing agreements for operation of telecommunications services on the television vertical blanking interval and in the visual signal; time sales contracts with the same sponsor for four or more hours per day, except where the length of the events broadcast is not under control of the station; and contracts with chief operators.  </w:t>
      </w:r>
      <w:r>
        <w:rPr>
          <w:i/>
        </w:rPr>
        <w:t xml:space="preserve">Id. </w:t>
      </w:r>
      <w:r>
        <w:t>§ 73.3613(e)</w:t>
      </w:r>
      <w:r w:rsidRPr="00D60EA3">
        <w:t>.</w:t>
      </w:r>
    </w:p>
  </w:footnote>
  <w:footnote w:id="51">
    <w:p w:rsidR="00930EE4" w:rsidRPr="00233559" w:rsidP="00E3346B" w14:paraId="49DC6A94" w14:textId="51C2A9A7">
      <w:pPr>
        <w:pStyle w:val="FootnoteText"/>
      </w:pPr>
      <w:r>
        <w:rPr>
          <w:rStyle w:val="FootnoteReference"/>
        </w:rPr>
        <w:footnoteRef/>
      </w:r>
      <w:r>
        <w:t xml:space="preserve"> </w:t>
      </w:r>
      <w:r>
        <w:rPr>
          <w:i/>
        </w:rPr>
        <w:t>Commission Launches Modernization of Media Regulation Initiative</w:t>
      </w:r>
      <w:r>
        <w:t xml:space="preserve">, MB Docket No. 17-105, Public Notice, </w:t>
      </w:r>
      <w:r w:rsidR="008F5577">
        <w:t xml:space="preserve">32 </w:t>
      </w:r>
      <w:r>
        <w:t xml:space="preserve">FCC </w:t>
      </w:r>
      <w:r w:rsidR="008F5577">
        <w:t xml:space="preserve">Rcd </w:t>
      </w:r>
      <w:r w:rsidR="00A141B2">
        <w:t xml:space="preserve">4406 </w:t>
      </w:r>
      <w:r>
        <w:t>(MB 2017) (initiating a review of rules applicable to media entities to eliminate or modify regulations that are outdated, unnecessary, or unduly burdensome).</w:t>
      </w:r>
    </w:p>
  </w:footnote>
  <w:footnote w:id="52">
    <w:p w:rsidR="00930EE4" w:rsidP="00E3346B" w14:paraId="27F17B12" w14:textId="77777777">
      <w:pPr>
        <w:pStyle w:val="FootnoteText"/>
      </w:pPr>
      <w:r>
        <w:rPr>
          <w:rStyle w:val="FootnoteReference"/>
        </w:rPr>
        <w:footnoteRef/>
      </w:r>
      <w:r>
        <w:t xml:space="preserve"> America’s Public Television Stations et al. Comments at 13-14; CBS Corporation et al. Comments at 3-5; Edward A. Schober Comments at 4; National Association of Broadcasters Comments at 17-18; Nexstar Broadcasting, Inc. Comments at 6-7; ABC Television Affiliates Association et al. Reply at 10; The Named State Broadcasters Associations Reply at 11; Nexstar Broadcasting, Inc. Reply at 1-2.</w:t>
      </w:r>
    </w:p>
  </w:footnote>
  <w:footnote w:id="53">
    <w:p w:rsidR="00930EE4" w:rsidP="00E3346B" w14:paraId="760B2A11" w14:textId="77777777">
      <w:pPr>
        <w:pStyle w:val="FootnoteText"/>
        <w:rPr>
          <w:highlight w:val="yellow"/>
        </w:rPr>
      </w:pPr>
      <w:r>
        <w:rPr>
          <w:rStyle w:val="FootnoteReference"/>
        </w:rPr>
        <w:footnoteRef/>
      </w:r>
      <w:r>
        <w:t xml:space="preserve"> 5 U.S.C. § 603(b)(3).</w:t>
      </w:r>
    </w:p>
  </w:footnote>
  <w:footnote w:id="54">
    <w:p w:rsidR="00930EE4" w:rsidP="00E3346B" w14:paraId="2559C7C9" w14:textId="77777777">
      <w:pPr>
        <w:pStyle w:val="FootnoteText"/>
      </w:pPr>
      <w:r>
        <w:rPr>
          <w:rStyle w:val="FootnoteReference"/>
        </w:rPr>
        <w:footnoteRef/>
      </w:r>
      <w:r>
        <w:t xml:space="preserve"> </w:t>
      </w:r>
      <w:r>
        <w:rPr>
          <w:i/>
        </w:rPr>
        <w:t>Id</w:t>
      </w:r>
      <w:r w:rsidRPr="00FF2826">
        <w:rPr>
          <w:i/>
        </w:rPr>
        <w:t>.</w:t>
      </w:r>
      <w:r>
        <w:t xml:space="preserve"> § 601(6).</w:t>
      </w:r>
    </w:p>
  </w:footnote>
  <w:footnote w:id="55">
    <w:p w:rsidR="00930EE4" w:rsidP="00E3346B" w14:paraId="00523C5F" w14:textId="77777777">
      <w:pPr>
        <w:pStyle w:val="FootnoteText"/>
        <w:rPr>
          <w:highlight w:val="yellow"/>
        </w:rPr>
      </w:pPr>
      <w:r>
        <w:rPr>
          <w:rStyle w:val="FootnoteReference"/>
        </w:rPr>
        <w:footnoteRef/>
      </w:r>
      <w:r>
        <w:t xml:space="preserve"> </w:t>
      </w:r>
      <w:r>
        <w:rPr>
          <w:i/>
        </w:rPr>
        <w:t>Id</w:t>
      </w:r>
      <w:r w:rsidRPr="00FF2826">
        <w:rPr>
          <w:i/>
        </w:rPr>
        <w:t>.</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56">
    <w:p w:rsidR="00930EE4" w:rsidP="00E3346B" w14:paraId="6DE2AD86" w14:textId="77777777">
      <w:pPr>
        <w:pStyle w:val="FootnoteText"/>
        <w:rPr>
          <w:highlight w:val="yellow"/>
        </w:rPr>
      </w:pPr>
      <w:r>
        <w:rPr>
          <w:rStyle w:val="FootnoteReference"/>
        </w:rPr>
        <w:footnoteRef/>
      </w:r>
      <w:r>
        <w:t xml:space="preserve"> </w:t>
      </w:r>
      <w:r>
        <w:rPr>
          <w:i/>
        </w:rPr>
        <w:t>Id</w:t>
      </w:r>
      <w:r w:rsidRPr="00FF2826">
        <w:rPr>
          <w:i/>
        </w:rPr>
        <w:t>.</w:t>
      </w:r>
      <w:r>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57">
    <w:p w:rsidR="00930EE4" w:rsidP="00980DA5" w14:paraId="2C27E38B" w14:textId="77777777">
      <w:pPr>
        <w:pStyle w:val="FootnoteText"/>
      </w:pPr>
      <w:r>
        <w:rPr>
          <w:rStyle w:val="FootnoteReference"/>
        </w:rPr>
        <w:footnoteRef/>
      </w:r>
      <w:r>
        <w:t xml:space="preserve"> U.S. Census Bureau, 2017 NAICS Definitions, “515112 Radio Stations,” </w:t>
      </w:r>
      <w:r>
        <w:fldChar w:fldCharType="begin"/>
      </w:r>
      <w:r>
        <w:instrText xml:space="preserve"> HYPERLINK "https://factfinder.census.gov/faces/affhelp/jsf/pages/metadata.xhtml?lang=en&amp;type=ib&amp;id=ib.en./ECN.NAICS2012.515112" </w:instrText>
      </w:r>
      <w:r>
        <w:fldChar w:fldCharType="separate"/>
      </w:r>
      <w:r>
        <w:fldChar w:fldCharType="begin"/>
      </w:r>
      <w:r>
        <w:instrText xml:space="preserve"> HYPERLINK "https://www.census.gov/cgi-bin/sssd/naics/naicsrch?input=515112&amp;search=2017+NAICS+Search&amp;search=2017" </w:instrText>
      </w:r>
      <w:r>
        <w:fldChar w:fldCharType="separate"/>
      </w:r>
      <w:r w:rsidRPr="00B02C9E">
        <w:rPr>
          <w:rStyle w:val="Hyperlink"/>
          <w:szCs w:val="22"/>
        </w:rPr>
        <w:t>https://www.census.gov/cgi-bin/sssd/naics/naicsrch?input=515112&amp;search=2017+NAICS+Search&amp;search=2017</w:t>
      </w:r>
      <w:r>
        <w:fldChar w:fldCharType="end"/>
      </w:r>
      <w:r>
        <w:fldChar w:fldCharType="end"/>
      </w:r>
      <w:r>
        <w:t xml:space="preserve">. </w:t>
      </w:r>
      <w:r>
        <w:rPr>
          <w:szCs w:val="22"/>
        </w:rPr>
        <w:t xml:space="preserve"> </w:t>
      </w:r>
    </w:p>
  </w:footnote>
  <w:footnote w:id="58">
    <w:p w:rsidR="00930EE4" w:rsidRPr="00AD538C" w:rsidP="00E3346B" w14:paraId="11512916" w14:textId="77777777">
      <w:pPr>
        <w:pStyle w:val="FootnoteText"/>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59">
    <w:p w:rsidR="00930EE4" w:rsidRPr="00550DD9" w:rsidP="00E3346B" w14:paraId="71A1DF72" w14:textId="79F8DD7D">
      <w:pPr>
        <w:pStyle w:val="FootnoteText"/>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2012</w:t>
      </w:r>
      <w:r>
        <w:t xml:space="preserve"> (515112), </w:t>
      </w:r>
      <w:r>
        <w:fldChar w:fldCharType="begin"/>
      </w:r>
      <w:r>
        <w:instrText xml:space="preserve"> HYPERLINK "https://factfinder.census.gov/bkmk/table/1.0/en/ECN/2012_US/51SSSZ4//naics~515112" </w:instrText>
      </w:r>
      <w:r>
        <w:fldChar w:fldCharType="separate"/>
      </w:r>
      <w:r w:rsidRPr="001922A8">
        <w:rPr>
          <w:rStyle w:val="Hyperlink"/>
        </w:rPr>
        <w:t>https://factfinder.census.gov/bkmk/table/</w:t>
      </w:r>
      <w:r w:rsidRPr="001922A8">
        <w:rPr>
          <w:rStyle w:val="Hyperlink"/>
        </w:rPr>
        <w:br/>
        <w:t>1.0/en/ECN/2012_US/51SSSZ4//naics~515112</w:t>
      </w:r>
      <w:r>
        <w:fldChar w:fldCharType="end"/>
      </w:r>
      <w:r>
        <w:t xml:space="preserve">. </w:t>
      </w:r>
    </w:p>
  </w:footnote>
  <w:footnote w:id="60">
    <w:p w:rsidR="00930EE4" w:rsidRPr="000D4091" w:rsidP="00980DA5" w14:paraId="6A0609EE" w14:textId="77777777">
      <w:pPr>
        <w:pStyle w:val="FootnoteText"/>
      </w:pPr>
      <w:r>
        <w:rPr>
          <w:rStyle w:val="FootnoteReference"/>
        </w:rPr>
        <w:footnoteRef/>
      </w:r>
      <w:r>
        <w:t xml:space="preserve"> </w:t>
      </w:r>
      <w:r>
        <w:rPr>
          <w:i/>
        </w:rPr>
        <w:t>Id.</w:t>
      </w:r>
    </w:p>
  </w:footnote>
  <w:footnote w:id="61">
    <w:p w:rsidR="00930EE4" w:rsidP="0026708E" w14:paraId="04B7D07F" w14:textId="2CB46BEC">
      <w:pPr>
        <w:pStyle w:val="FootnoteText"/>
      </w:pPr>
      <w:r>
        <w:rPr>
          <w:rStyle w:val="FootnoteReference"/>
        </w:rPr>
        <w:footnoteRef/>
      </w:r>
      <w:r>
        <w:t xml:space="preserve"> </w:t>
      </w:r>
      <w:r w:rsidRPr="00112FF6" w:rsidR="00112FF6">
        <w:t>Press Release, FCC, Broadcast Station Totals As of December 31, 201</w:t>
      </w:r>
      <w:r w:rsidR="00965E77">
        <w:t>7</w:t>
      </w:r>
      <w:r w:rsidRPr="00112FF6" w:rsidR="00112FF6">
        <w:t xml:space="preserve"> (Jan. 5, 2018) (Dec. 31, 201</w:t>
      </w:r>
      <w:r w:rsidR="00965E77">
        <w:t>7</w:t>
      </w:r>
      <w:r w:rsidRPr="00112FF6" w:rsidR="00112FF6">
        <w:t xml:space="preserve"> Broadcast Station Totals), </w:t>
      </w:r>
      <w:r>
        <w:fldChar w:fldCharType="begin"/>
      </w:r>
      <w:r>
        <w:instrText xml:space="preserve"> HYPERLINK "http://transition.fcc.gov/Daily_Releases/Daily_Business/2018/db0105/DOC-348570A1.pdf" </w:instrText>
      </w:r>
      <w:r>
        <w:fldChar w:fldCharType="separate"/>
      </w:r>
      <w:r w:rsidRPr="005C75A2" w:rsidR="00112FF6">
        <w:rPr>
          <w:rStyle w:val="Hyperlink"/>
        </w:rPr>
        <w:t>http://transition.fcc.gov/Daily_Releases/Daily_Business/2018/db0105/DOC-348570A1.pdf</w:t>
      </w:r>
      <w:r>
        <w:fldChar w:fldCharType="end"/>
      </w:r>
      <w:r w:rsidRPr="00112FF6" w:rsidR="00112FF6">
        <w:t>.</w:t>
      </w:r>
      <w:r w:rsidR="00112FF6">
        <w:t xml:space="preserve"> </w:t>
      </w:r>
      <w:r>
        <w:t xml:space="preserve"> </w:t>
      </w:r>
    </w:p>
  </w:footnote>
  <w:footnote w:id="62">
    <w:p w:rsidR="00930EE4" w:rsidP="0026708E" w14:paraId="1AC6543B" w14:textId="77777777">
      <w:pPr>
        <w:pStyle w:val="FootnoteText"/>
      </w:pPr>
      <w:r>
        <w:rPr>
          <w:rStyle w:val="FootnoteReference"/>
        </w:rPr>
        <w:footnoteRef/>
      </w:r>
      <w:r>
        <w:t xml:space="preserve"> </w:t>
      </w:r>
      <w:r>
        <w:rPr>
          <w:i/>
        </w:rPr>
        <w:t>Id</w:t>
      </w:r>
      <w:r>
        <w:t>.</w:t>
      </w:r>
    </w:p>
  </w:footnote>
  <w:footnote w:id="63">
    <w:p w:rsidR="00930EE4" w:rsidP="00E3346B" w14:paraId="459A28D6" w14:textId="77777777">
      <w:pPr>
        <w:pStyle w:val="FootnoteText"/>
      </w:pPr>
      <w:r>
        <w:rPr>
          <w:rStyle w:val="FootnoteReference"/>
        </w:rPr>
        <w:footnoteRef/>
      </w:r>
      <w:r>
        <w:t xml:space="preserve"> </w:t>
      </w:r>
      <w:r>
        <w:rPr>
          <w:i/>
        </w:rPr>
        <w:t>Id.</w:t>
      </w:r>
    </w:p>
  </w:footnote>
  <w:footnote w:id="64">
    <w:p w:rsidR="00930EE4" w:rsidP="00630AF1" w14:paraId="461D6592" w14:textId="77777777">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65">
    <w:p w:rsidR="00930EE4" w:rsidP="00630AF1" w14:paraId="70CE64FB" w14:textId="77777777">
      <w:pPr>
        <w:pStyle w:val="FootnoteText"/>
      </w:pPr>
      <w:r>
        <w:rPr>
          <w:rStyle w:val="FootnoteReference"/>
        </w:rPr>
        <w:footnoteRef/>
      </w:r>
      <w:r>
        <w:t xml:space="preserve"> 13 C.F.R. </w:t>
      </w:r>
      <w:r>
        <w:rPr>
          <w:szCs w:val="22"/>
        </w:rPr>
        <w:t>§ 121.102(b).</w:t>
      </w:r>
    </w:p>
  </w:footnote>
  <w:footnote w:id="66">
    <w:p w:rsidR="00930EE4" w:rsidP="00821EFF" w14:paraId="3904F44F" w14:textId="77777777">
      <w:pPr>
        <w:pStyle w:val="FootnoteText"/>
      </w:pPr>
      <w:r>
        <w:rPr>
          <w:rStyle w:val="FootnoteReference"/>
        </w:rPr>
        <w:footnoteRef/>
      </w:r>
      <w:r>
        <w:t xml:space="preserve"> U.S. Census Bureau, 2017 NAICS Definitions, “515120 Television Broadcasting,”</w:t>
      </w:r>
      <w:r w:rsidRPr="004C3E39">
        <w:t xml:space="preserve"> </w:t>
      </w:r>
      <w:r>
        <w:fldChar w:fldCharType="begin"/>
      </w:r>
      <w:r>
        <w:instrText xml:space="preserve"> HYPERLINK "https://www.census.gov/cgi-bin/sssd/naics/naicsrch?input=515120&amp;search=2017+NAICS+Search&amp;search=2017" </w:instrText>
      </w:r>
      <w:r>
        <w:fldChar w:fldCharType="separate"/>
      </w:r>
      <w:r w:rsidRPr="00D90297">
        <w:rPr>
          <w:rStyle w:val="Hyperlink"/>
        </w:rPr>
        <w:t>https://www.census.gov/cgi-bin/sssd/naics/naicsrch?input=515120&amp;search=2017+NAICS+Search&amp;search=2017</w:t>
      </w:r>
      <w:r>
        <w:fldChar w:fldCharType="end"/>
      </w:r>
      <w:r>
        <w:t>.</w:t>
      </w:r>
    </w:p>
  </w:footnote>
  <w:footnote w:id="67">
    <w:p w:rsidR="00930EE4" w:rsidP="00821EFF" w14:paraId="0E1D4FBF" w14:textId="77777777">
      <w:pPr>
        <w:pStyle w:val="FootnoteText"/>
      </w:pPr>
      <w:r>
        <w:rPr>
          <w:rStyle w:val="FootnoteReference"/>
        </w:rPr>
        <w:footnoteRef/>
      </w:r>
      <w:r>
        <w:t xml:space="preserve"> </w:t>
      </w:r>
      <w:r>
        <w:rPr>
          <w:i/>
        </w:rPr>
        <w:t>Id</w:t>
      </w:r>
      <w:r w:rsidRPr="00C70B53">
        <w:rPr>
          <w:rStyle w:val="Hyperlink"/>
          <w:color w:val="auto"/>
          <w:u w:val="none"/>
        </w:rPr>
        <w:t>.</w:t>
      </w:r>
    </w:p>
  </w:footnote>
  <w:footnote w:id="68">
    <w:p w:rsidR="00930EE4" w:rsidP="00821EFF" w14:paraId="15890C16" w14:textId="77777777">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69">
    <w:p w:rsidR="00930EE4" w:rsidP="00821EFF" w14:paraId="45A15639" w14:textId="6C6EE472">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 </w:t>
      </w:r>
      <w:r>
        <w:fldChar w:fldCharType="begin"/>
      </w:r>
      <w:r>
        <w:instrText xml:space="preserve"> HYPERLINK "https://factfinder.census.gov/bkmk/table/1.0/en/ECN/2012_US/51SSSZ4//naics~515120" </w:instrText>
      </w:r>
      <w:r>
        <w:fldChar w:fldCharType="separate"/>
      </w:r>
      <w:r w:rsidRPr="001922A8" w:rsidR="0033453B">
        <w:rPr>
          <w:rStyle w:val="Hyperlink"/>
        </w:rPr>
        <w:t>https://factfinder.census.gov/</w:t>
      </w:r>
      <w:r w:rsidRPr="001922A8" w:rsidR="0033453B">
        <w:rPr>
          <w:rStyle w:val="Hyperlink"/>
        </w:rPr>
        <w:br/>
        <w:t>bkmk/table/1.0/en/ECN/2012_US/51SSSZ4//naics~515120</w:t>
      </w:r>
      <w:r>
        <w:fldChar w:fldCharType="end"/>
      </w:r>
      <w:r>
        <w:t>.</w:t>
      </w:r>
    </w:p>
  </w:footnote>
  <w:footnote w:id="70">
    <w:p w:rsidR="00930EE4" w:rsidP="00821EFF" w14:paraId="5975A551" w14:textId="209D0485">
      <w:pPr>
        <w:pStyle w:val="FootnoteText"/>
      </w:pPr>
      <w:r>
        <w:rPr>
          <w:rStyle w:val="FootnoteReference"/>
        </w:rPr>
        <w:footnoteRef/>
      </w:r>
      <w:r>
        <w:t xml:space="preserve"> </w:t>
      </w:r>
      <w:r w:rsidR="00965E77">
        <w:t>December 31, 2017</w:t>
      </w:r>
      <w:r>
        <w:t xml:space="preserve"> Broadcast Station Totals. </w:t>
      </w:r>
    </w:p>
  </w:footnote>
  <w:footnote w:id="71">
    <w:p w:rsidR="00930EE4" w:rsidP="00821EFF" w14:paraId="115401C0" w14:textId="77777777">
      <w:pPr>
        <w:pStyle w:val="FootnoteText"/>
      </w:pPr>
      <w:r>
        <w:rPr>
          <w:rStyle w:val="FootnoteReference"/>
        </w:rPr>
        <w:footnoteRef/>
      </w:r>
      <w:r>
        <w:t xml:space="preserve"> </w:t>
      </w:r>
      <w:r w:rsidRPr="00C70B53">
        <w:rPr>
          <w:i/>
        </w:rPr>
        <w:t>Id</w:t>
      </w:r>
      <w:r>
        <w:t>.</w:t>
      </w:r>
    </w:p>
  </w:footnote>
  <w:footnote w:id="72">
    <w:p w:rsidR="00930EE4" w:rsidP="00821EFF" w14:paraId="5ED3D6C0" w14:textId="77777777">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73">
    <w:p w:rsidR="00930EE4" w:rsidP="007008E0" w14:paraId="7FE25FD5" w14:textId="77777777">
      <w:pPr>
        <w:pStyle w:val="FootnoteText"/>
      </w:pPr>
      <w:r>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Pr>
          <w:bCs/>
        </w:rPr>
        <w:t>.</w:t>
      </w:r>
    </w:p>
  </w:footnote>
  <w:footnote w:id="74">
    <w:p w:rsidR="00930EE4" w:rsidP="007008E0" w14:paraId="2A8377A6" w14:textId="77777777">
      <w:pPr>
        <w:pStyle w:val="FootnoteText"/>
      </w:pPr>
      <w:r>
        <w:rPr>
          <w:rStyle w:val="FootnoteReference"/>
        </w:rPr>
        <w:footnoteRef/>
      </w:r>
      <w:r>
        <w:t xml:space="preserve"> U.S. Census Bureau, 2017 NAICS Definitions, “515112 Radio Stations,” </w:t>
      </w:r>
      <w:r>
        <w:fldChar w:fldCharType="begin"/>
      </w:r>
      <w:r>
        <w:instrText xml:space="preserve"> HYPERLINK "https://factfinder.census.gov/faces/affhelp/jsf/pages/metadata.xhtml?lang=en&amp;type=ib&amp;id=ib.en./ECN.NAICS2012.515112" </w:instrText>
      </w:r>
      <w:r>
        <w:fldChar w:fldCharType="separate"/>
      </w:r>
      <w:r>
        <w:fldChar w:fldCharType="begin"/>
      </w:r>
      <w:r>
        <w:instrText xml:space="preserve"> HYPERLINK "https://www.census.gov/cgi-bin/sssd/naics/naicsrch?input=515112&amp;search=2017+NAICS+Search&amp;search=2017" </w:instrText>
      </w:r>
      <w:r>
        <w:fldChar w:fldCharType="separate"/>
      </w:r>
      <w:r w:rsidRPr="00B02C9E">
        <w:rPr>
          <w:rStyle w:val="Hyperlink"/>
          <w:szCs w:val="22"/>
        </w:rPr>
        <w:t>https://www.census.gov/cgi-bin/sssd/naics/naicsrch?input=515112&amp;search=2017+NAICS+Search&amp;search=2017</w:t>
      </w:r>
      <w:r>
        <w:fldChar w:fldCharType="end"/>
      </w:r>
      <w:r>
        <w:fldChar w:fldCharType="end"/>
      </w:r>
    </w:p>
  </w:footnote>
  <w:footnote w:id="75">
    <w:p w:rsidR="00930EE4" w:rsidRPr="00AD538C" w:rsidP="007008E0" w14:paraId="1091EC28" w14:textId="77777777">
      <w:pPr>
        <w:pStyle w:val="FootnoteText"/>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76">
    <w:p w:rsidR="00930EE4" w:rsidRPr="00550DD9" w:rsidP="007008E0" w14:paraId="491D6DA2" w14:textId="19A0D0CA">
      <w:pPr>
        <w:pStyle w:val="FootnoteText"/>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2012</w:t>
      </w:r>
      <w:r>
        <w:t xml:space="preserve"> (515112),</w:t>
      </w:r>
      <w:r w:rsidRPr="00CB34B5">
        <w:t xml:space="preserve"> </w:t>
      </w:r>
      <w:r>
        <w:fldChar w:fldCharType="begin"/>
      </w:r>
      <w:r>
        <w:instrText xml:space="preserve"> HYPERLINK "https://factfinder.census.gov/bkmk/table/1.0/en/ECN/2012_US/51SSSZ4//naics~515112" </w:instrText>
      </w:r>
      <w:r>
        <w:fldChar w:fldCharType="separate"/>
      </w:r>
      <w:r w:rsidRPr="001922A8" w:rsidR="0033453B">
        <w:rPr>
          <w:rStyle w:val="Hyperlink"/>
        </w:rPr>
        <w:t>https://factfinder.census.gov/bkmk/table/1.0/</w:t>
      </w:r>
      <w:r w:rsidRPr="001922A8" w:rsidR="0033453B">
        <w:rPr>
          <w:rStyle w:val="Hyperlink"/>
        </w:rPr>
        <w:br/>
        <w:t>en/ECN/2012_US/51SSSZ4//naics~515112</w:t>
      </w:r>
      <w:r>
        <w:fldChar w:fldCharType="end"/>
      </w:r>
      <w:r>
        <w:t xml:space="preserve">. </w:t>
      </w:r>
    </w:p>
  </w:footnote>
  <w:footnote w:id="77">
    <w:p w:rsidR="00930EE4" w:rsidRPr="000D4091" w:rsidP="007008E0" w14:paraId="0903B50C" w14:textId="77777777">
      <w:pPr>
        <w:pStyle w:val="FootnoteText"/>
      </w:pPr>
      <w:r>
        <w:rPr>
          <w:rStyle w:val="FootnoteReference"/>
        </w:rPr>
        <w:footnoteRef/>
      </w:r>
      <w:r>
        <w:t xml:space="preserve"> </w:t>
      </w:r>
      <w:r>
        <w:rPr>
          <w:i/>
        </w:rPr>
        <w:t>Id.</w:t>
      </w:r>
    </w:p>
  </w:footnote>
  <w:footnote w:id="78">
    <w:p w:rsidR="00930EE4" w:rsidP="003A23CC" w14:paraId="6E4554FD" w14:textId="77777777">
      <w:pPr>
        <w:pStyle w:val="FootnoteText"/>
      </w:pPr>
      <w:r>
        <w:rPr>
          <w:rStyle w:val="FootnoteReference"/>
        </w:rPr>
        <w:footnoteRef/>
      </w:r>
      <w:r>
        <w:t xml:space="preserve"> FCC High Frequency Stations, </w:t>
      </w:r>
      <w:r>
        <w:fldChar w:fldCharType="begin"/>
      </w:r>
      <w:r>
        <w:instrText xml:space="preserve"> HYPERLINK "https://www.fcc.gov/general/fcc-high-frequency-stations" </w:instrText>
      </w:r>
      <w:r>
        <w:fldChar w:fldCharType="separate"/>
      </w:r>
      <w:r w:rsidRPr="00846B3F">
        <w:rPr>
          <w:rStyle w:val="Hyperlink"/>
        </w:rPr>
        <w:t>https://www.fcc.gov/general/fcc-high-frequency-stations</w:t>
      </w:r>
      <w:r>
        <w:fldChar w:fldCharType="end"/>
      </w:r>
      <w:r>
        <w:t xml:space="preserve"> (last visited Dec. 13, 2017).</w:t>
      </w:r>
    </w:p>
  </w:footnote>
  <w:footnote w:id="79">
    <w:p w:rsidR="00930EE4" w:rsidP="00E3346B" w14:paraId="74DA609F" w14:textId="77777777">
      <w:pPr>
        <w:pStyle w:val="FootnoteText"/>
        <w:rPr>
          <w:highlight w:val="yellow"/>
        </w:rPr>
      </w:pPr>
      <w:r>
        <w:rPr>
          <w:rStyle w:val="FootnoteReference"/>
        </w:rPr>
        <w:footnoteRef/>
      </w:r>
      <w:r>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A31" w14:paraId="710C40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D75" w:rsidRPr="00116AF7" w:rsidP="00882E2E" w14:paraId="34A69010" w14:textId="4BB6520B">
    <w:pPr>
      <w:pStyle w:val="Header"/>
    </w:pPr>
    <w:r>
      <w:tab/>
      <w:t>Federal Communications Commission</w:t>
    </w:r>
    <w:r>
      <w:tab/>
    </w:r>
    <w:r w:rsidR="00C4602C">
      <w:t>FCC 18-8</w:t>
    </w:r>
  </w:p>
  <w:p w:rsidR="002C0D75" w14:paraId="74F17C2B"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D75" w:rsidRPr="00116AF7" w:rsidP="00882E2E" w14:paraId="2A6EBC69" w14:textId="1C9786AF">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sidR="00C4602C">
      <w:t>FCC 18-8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08C" w:rsidP="00810B6F" w14:paraId="78B9B78F" w14:textId="11CBD2C5">
    <w:pPr>
      <w:pStyle w:val="Header"/>
      <w:rPr>
        <w:b w:val="0"/>
      </w:rPr>
    </w:pPr>
    <w:r>
      <w:tab/>
      <w:t>Federal Communications Commission</w:t>
    </w:r>
    <w:r>
      <w:tab/>
    </w:r>
    <w:r w:rsidR="00C4602C">
      <w:t>FCC 18-8</w:t>
    </w:r>
  </w:p>
  <w:p w:rsidR="00AD008C" w14:paraId="07C3D646" w14:textId="6B883A80">
    <w:pPr>
      <w:tabs>
        <w:tab w:val="left" w:pos="-720"/>
      </w:tabs>
      <w:suppressAutoHyphens/>
      <w:spacing w:line="19" w:lineRule="exact"/>
      <w:rPr>
        <w:spacing w:val="-2"/>
      </w:rPr>
    </w:pPr>
    <w:r>
      <w:rPr>
        <w:noProof/>
      </w:rPr>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08C" w:rsidP="00810B6F" w14:paraId="1E4F52E5" w14:textId="7DA34F7B">
    <w:pPr>
      <w:pStyle w:val="Header"/>
      <w:rPr>
        <w:b w:val="0"/>
      </w:rPr>
    </w:pPr>
    <w:r>
      <w:rPr>
        <w:noProof/>
      </w:rPr>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rsidR="00D541B2">
      <w:tab/>
      <w:t>Federal Communications Commission</w:t>
    </w:r>
    <w:r w:rsidR="00D541B2">
      <w:tab/>
    </w:r>
    <w:r w:rsidR="00D541B2">
      <w:rPr>
        <w:spacing w:val="-2"/>
      </w:rPr>
      <w:fldChar w:fldCharType="begin"/>
    </w:r>
    <w:r w:rsidR="00D541B2">
      <w:rPr>
        <w:spacing w:val="-2"/>
      </w:rPr>
      <w:instrText xml:space="preserve"> MACROBUTTON  Overtype "FCC  XX-XXX" </w:instrText>
    </w:r>
    <w:r w:rsidR="00D541B2">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75"/>
    <w:rsid w:val="000254CE"/>
    <w:rsid w:val="00034F19"/>
    <w:rsid w:val="00036039"/>
    <w:rsid w:val="00037F90"/>
    <w:rsid w:val="00055B6C"/>
    <w:rsid w:val="000715F7"/>
    <w:rsid w:val="000875BF"/>
    <w:rsid w:val="00096D35"/>
    <w:rsid w:val="00096D8C"/>
    <w:rsid w:val="000A109F"/>
    <w:rsid w:val="000B4372"/>
    <w:rsid w:val="000B45EE"/>
    <w:rsid w:val="000B65B1"/>
    <w:rsid w:val="000C0B65"/>
    <w:rsid w:val="000D4091"/>
    <w:rsid w:val="000E05FE"/>
    <w:rsid w:val="000E3D42"/>
    <w:rsid w:val="00112FF6"/>
    <w:rsid w:val="00116AF7"/>
    <w:rsid w:val="0012272E"/>
    <w:rsid w:val="00122BD5"/>
    <w:rsid w:val="00133F79"/>
    <w:rsid w:val="001420BC"/>
    <w:rsid w:val="00144F05"/>
    <w:rsid w:val="00156260"/>
    <w:rsid w:val="001628C3"/>
    <w:rsid w:val="0017296B"/>
    <w:rsid w:val="0018394B"/>
    <w:rsid w:val="001922A8"/>
    <w:rsid w:val="00194A66"/>
    <w:rsid w:val="001A25AD"/>
    <w:rsid w:val="001B1FE5"/>
    <w:rsid w:val="001B5E20"/>
    <w:rsid w:val="001C554E"/>
    <w:rsid w:val="001D6BCF"/>
    <w:rsid w:val="001E01CA"/>
    <w:rsid w:val="001F43B4"/>
    <w:rsid w:val="00200B69"/>
    <w:rsid w:val="0021096B"/>
    <w:rsid w:val="00230776"/>
    <w:rsid w:val="00233559"/>
    <w:rsid w:val="00263329"/>
    <w:rsid w:val="0026708E"/>
    <w:rsid w:val="00275CF5"/>
    <w:rsid w:val="00276A60"/>
    <w:rsid w:val="0028301F"/>
    <w:rsid w:val="00284969"/>
    <w:rsid w:val="00285017"/>
    <w:rsid w:val="002A2D2E"/>
    <w:rsid w:val="002C00E8"/>
    <w:rsid w:val="002C0D75"/>
    <w:rsid w:val="002D317A"/>
    <w:rsid w:val="002F267F"/>
    <w:rsid w:val="00303ABC"/>
    <w:rsid w:val="00315475"/>
    <w:rsid w:val="0033453B"/>
    <w:rsid w:val="00343749"/>
    <w:rsid w:val="003660ED"/>
    <w:rsid w:val="00373AE6"/>
    <w:rsid w:val="003A23CC"/>
    <w:rsid w:val="003B0550"/>
    <w:rsid w:val="003B694F"/>
    <w:rsid w:val="003D10AA"/>
    <w:rsid w:val="003D5B29"/>
    <w:rsid w:val="003F171C"/>
    <w:rsid w:val="00400CEA"/>
    <w:rsid w:val="00411676"/>
    <w:rsid w:val="00412FC5"/>
    <w:rsid w:val="00422276"/>
    <w:rsid w:val="004242F1"/>
    <w:rsid w:val="00445A00"/>
    <w:rsid w:val="00451B0F"/>
    <w:rsid w:val="00457611"/>
    <w:rsid w:val="00477261"/>
    <w:rsid w:val="00487351"/>
    <w:rsid w:val="00487811"/>
    <w:rsid w:val="00497B13"/>
    <w:rsid w:val="004A08EA"/>
    <w:rsid w:val="004C2EE3"/>
    <w:rsid w:val="004C3E39"/>
    <w:rsid w:val="004E3327"/>
    <w:rsid w:val="004E4A22"/>
    <w:rsid w:val="004F2436"/>
    <w:rsid w:val="005015BC"/>
    <w:rsid w:val="005026C2"/>
    <w:rsid w:val="005048BB"/>
    <w:rsid w:val="00506BAA"/>
    <w:rsid w:val="00511968"/>
    <w:rsid w:val="00524238"/>
    <w:rsid w:val="00550DD9"/>
    <w:rsid w:val="0055614C"/>
    <w:rsid w:val="005577AD"/>
    <w:rsid w:val="00566AA1"/>
    <w:rsid w:val="00583251"/>
    <w:rsid w:val="005B7B26"/>
    <w:rsid w:val="005C2A49"/>
    <w:rsid w:val="005C75A2"/>
    <w:rsid w:val="005D1086"/>
    <w:rsid w:val="005E14C2"/>
    <w:rsid w:val="005E2956"/>
    <w:rsid w:val="006023CB"/>
    <w:rsid w:val="00607BA5"/>
    <w:rsid w:val="0061180A"/>
    <w:rsid w:val="006264A9"/>
    <w:rsid w:val="00626EB6"/>
    <w:rsid w:val="00630AF1"/>
    <w:rsid w:val="00636268"/>
    <w:rsid w:val="00644F03"/>
    <w:rsid w:val="00655D03"/>
    <w:rsid w:val="0065751D"/>
    <w:rsid w:val="00683388"/>
    <w:rsid w:val="00683F84"/>
    <w:rsid w:val="0069082E"/>
    <w:rsid w:val="00693D86"/>
    <w:rsid w:val="006A6A81"/>
    <w:rsid w:val="006B3907"/>
    <w:rsid w:val="006B553A"/>
    <w:rsid w:val="006B61E6"/>
    <w:rsid w:val="006B7D51"/>
    <w:rsid w:val="006D72AA"/>
    <w:rsid w:val="006F7393"/>
    <w:rsid w:val="007008E0"/>
    <w:rsid w:val="0070224F"/>
    <w:rsid w:val="00702D9C"/>
    <w:rsid w:val="007115F7"/>
    <w:rsid w:val="00725CCC"/>
    <w:rsid w:val="00774273"/>
    <w:rsid w:val="00785689"/>
    <w:rsid w:val="0079754B"/>
    <w:rsid w:val="007A1E6D"/>
    <w:rsid w:val="007B0EB2"/>
    <w:rsid w:val="007C586C"/>
    <w:rsid w:val="007D7267"/>
    <w:rsid w:val="0080517D"/>
    <w:rsid w:val="00810B6F"/>
    <w:rsid w:val="00821EFF"/>
    <w:rsid w:val="00822CE0"/>
    <w:rsid w:val="00837B89"/>
    <w:rsid w:val="00841AB1"/>
    <w:rsid w:val="00846B3F"/>
    <w:rsid w:val="00882E2E"/>
    <w:rsid w:val="00883000"/>
    <w:rsid w:val="008B724E"/>
    <w:rsid w:val="008C68F1"/>
    <w:rsid w:val="008E44EA"/>
    <w:rsid w:val="008F5577"/>
    <w:rsid w:val="00921803"/>
    <w:rsid w:val="00926503"/>
    <w:rsid w:val="00930EE4"/>
    <w:rsid w:val="00944D10"/>
    <w:rsid w:val="009504BF"/>
    <w:rsid w:val="00965E77"/>
    <w:rsid w:val="009726D8"/>
    <w:rsid w:val="00976E30"/>
    <w:rsid w:val="00980DA5"/>
    <w:rsid w:val="009A1462"/>
    <w:rsid w:val="009C57DC"/>
    <w:rsid w:val="009D5C38"/>
    <w:rsid w:val="009F5159"/>
    <w:rsid w:val="009F76DB"/>
    <w:rsid w:val="00A028F8"/>
    <w:rsid w:val="00A141B2"/>
    <w:rsid w:val="00A24D48"/>
    <w:rsid w:val="00A32C3B"/>
    <w:rsid w:val="00A45F4F"/>
    <w:rsid w:val="00A50A31"/>
    <w:rsid w:val="00A5319E"/>
    <w:rsid w:val="00A600A9"/>
    <w:rsid w:val="00A7050C"/>
    <w:rsid w:val="00A76A77"/>
    <w:rsid w:val="00AA4FA8"/>
    <w:rsid w:val="00AA55B7"/>
    <w:rsid w:val="00AA5B9E"/>
    <w:rsid w:val="00AB2407"/>
    <w:rsid w:val="00AB53DF"/>
    <w:rsid w:val="00AB7BF0"/>
    <w:rsid w:val="00AD008C"/>
    <w:rsid w:val="00AD538C"/>
    <w:rsid w:val="00AF4ABF"/>
    <w:rsid w:val="00B02C9E"/>
    <w:rsid w:val="00B03DB9"/>
    <w:rsid w:val="00B06F11"/>
    <w:rsid w:val="00B07E5C"/>
    <w:rsid w:val="00B15FF0"/>
    <w:rsid w:val="00B37EAE"/>
    <w:rsid w:val="00B6188C"/>
    <w:rsid w:val="00B638B1"/>
    <w:rsid w:val="00B65215"/>
    <w:rsid w:val="00B65B8A"/>
    <w:rsid w:val="00B811F7"/>
    <w:rsid w:val="00BA5DC6"/>
    <w:rsid w:val="00BA6196"/>
    <w:rsid w:val="00BB316A"/>
    <w:rsid w:val="00BB7F73"/>
    <w:rsid w:val="00BC6D8C"/>
    <w:rsid w:val="00C14408"/>
    <w:rsid w:val="00C34006"/>
    <w:rsid w:val="00C355BD"/>
    <w:rsid w:val="00C41899"/>
    <w:rsid w:val="00C426B1"/>
    <w:rsid w:val="00C4602C"/>
    <w:rsid w:val="00C66160"/>
    <w:rsid w:val="00C70B53"/>
    <w:rsid w:val="00C721AC"/>
    <w:rsid w:val="00C90D6A"/>
    <w:rsid w:val="00C92DD8"/>
    <w:rsid w:val="00C957CA"/>
    <w:rsid w:val="00CA247E"/>
    <w:rsid w:val="00CB1A9D"/>
    <w:rsid w:val="00CB34B5"/>
    <w:rsid w:val="00CC2F7D"/>
    <w:rsid w:val="00CC72B6"/>
    <w:rsid w:val="00CD1238"/>
    <w:rsid w:val="00CE5507"/>
    <w:rsid w:val="00CF23D3"/>
    <w:rsid w:val="00D0218D"/>
    <w:rsid w:val="00D22DA6"/>
    <w:rsid w:val="00D24AE7"/>
    <w:rsid w:val="00D24D44"/>
    <w:rsid w:val="00D25FB5"/>
    <w:rsid w:val="00D44223"/>
    <w:rsid w:val="00D541B2"/>
    <w:rsid w:val="00D567C6"/>
    <w:rsid w:val="00D60EA3"/>
    <w:rsid w:val="00D77796"/>
    <w:rsid w:val="00D86684"/>
    <w:rsid w:val="00D90297"/>
    <w:rsid w:val="00DA2529"/>
    <w:rsid w:val="00DA5931"/>
    <w:rsid w:val="00DB130A"/>
    <w:rsid w:val="00DB25CC"/>
    <w:rsid w:val="00DB2EBB"/>
    <w:rsid w:val="00DC10A1"/>
    <w:rsid w:val="00DC655F"/>
    <w:rsid w:val="00DD0B59"/>
    <w:rsid w:val="00DD7EBD"/>
    <w:rsid w:val="00DE53ED"/>
    <w:rsid w:val="00DF62B6"/>
    <w:rsid w:val="00E07225"/>
    <w:rsid w:val="00E1510F"/>
    <w:rsid w:val="00E3346B"/>
    <w:rsid w:val="00E404A1"/>
    <w:rsid w:val="00E5409F"/>
    <w:rsid w:val="00E81312"/>
    <w:rsid w:val="00E8558D"/>
    <w:rsid w:val="00ED2015"/>
    <w:rsid w:val="00ED61E4"/>
    <w:rsid w:val="00ED7146"/>
    <w:rsid w:val="00EE6488"/>
    <w:rsid w:val="00EF4184"/>
    <w:rsid w:val="00F021FA"/>
    <w:rsid w:val="00F02E3E"/>
    <w:rsid w:val="00F123EC"/>
    <w:rsid w:val="00F62E97"/>
    <w:rsid w:val="00F64209"/>
    <w:rsid w:val="00F70638"/>
    <w:rsid w:val="00F75F30"/>
    <w:rsid w:val="00F93BF5"/>
    <w:rsid w:val="00FA3C0B"/>
    <w:rsid w:val="00FC0405"/>
    <w:rsid w:val="00FF28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796"/>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link w:val="Heading1Char"/>
    <w:qFormat/>
    <w:rsid w:val="00D7779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link w:val="Heading2Char"/>
    <w:autoRedefine/>
    <w:qFormat/>
    <w:rsid w:val="00D77796"/>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D77796"/>
    <w:pPr>
      <w:keepNext/>
      <w:numPr>
        <w:ilvl w:val="2"/>
        <w:numId w:val="3"/>
      </w:numPr>
      <w:tabs>
        <w:tab w:val="left" w:pos="2160"/>
      </w:tabs>
      <w:spacing w:after="120"/>
      <w:outlineLvl w:val="2"/>
    </w:pPr>
    <w:rPr>
      <w:b/>
    </w:rPr>
  </w:style>
  <w:style w:type="paragraph" w:styleId="Heading4">
    <w:name w:val="heading 4"/>
    <w:basedOn w:val="Normal"/>
    <w:next w:val="ParaNum"/>
    <w:qFormat/>
    <w:rsid w:val="00D77796"/>
    <w:pPr>
      <w:keepNext/>
      <w:numPr>
        <w:ilvl w:val="3"/>
        <w:numId w:val="3"/>
      </w:numPr>
      <w:tabs>
        <w:tab w:val="left" w:pos="2880"/>
      </w:tabs>
      <w:spacing w:after="120"/>
      <w:outlineLvl w:val="3"/>
    </w:pPr>
    <w:rPr>
      <w:b/>
    </w:rPr>
  </w:style>
  <w:style w:type="paragraph" w:styleId="Heading5">
    <w:name w:val="heading 5"/>
    <w:basedOn w:val="Normal"/>
    <w:next w:val="ParaNum"/>
    <w:qFormat/>
    <w:rsid w:val="00D7779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77796"/>
    <w:pPr>
      <w:numPr>
        <w:ilvl w:val="5"/>
        <w:numId w:val="3"/>
      </w:numPr>
      <w:tabs>
        <w:tab w:val="left" w:pos="4320"/>
      </w:tabs>
      <w:spacing w:after="120"/>
      <w:outlineLvl w:val="5"/>
    </w:pPr>
    <w:rPr>
      <w:b/>
    </w:rPr>
  </w:style>
  <w:style w:type="paragraph" w:styleId="Heading7">
    <w:name w:val="heading 7"/>
    <w:basedOn w:val="Normal"/>
    <w:next w:val="ParaNum"/>
    <w:qFormat/>
    <w:rsid w:val="00D7779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77796"/>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D7779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D77796"/>
    <w:pPr>
      <w:numPr>
        <w:numId w:val="2"/>
      </w:numPr>
      <w:tabs>
        <w:tab w:val="clear" w:pos="1080"/>
        <w:tab w:val="num" w:pos="1440"/>
      </w:tabs>
      <w:spacing w:after="120"/>
    </w:pPr>
  </w:style>
  <w:style w:type="paragraph" w:styleId="EndnoteText">
    <w:name w:val="endnote text"/>
    <w:basedOn w:val="Normal"/>
    <w:semiHidden/>
    <w:rsid w:val="00D77796"/>
    <w:rPr>
      <w:sz w:val="20"/>
    </w:rPr>
  </w:style>
  <w:style w:type="character" w:styleId="EndnoteReference">
    <w:name w:val="endnote reference"/>
    <w:semiHidden/>
    <w:rsid w:val="00D77796"/>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rsid w:val="00D77796"/>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D77796"/>
    <w:rPr>
      <w:rFonts w:ascii="Times New Roman" w:hAnsi="Times New Roman"/>
      <w:dstrike w:val="0"/>
      <w:color w:val="auto"/>
      <w:sz w:val="20"/>
      <w:vertAlign w:val="superscript"/>
    </w:rPr>
  </w:style>
  <w:style w:type="paragraph" w:styleId="TOC1">
    <w:name w:val="toc 1"/>
    <w:basedOn w:val="Normal"/>
    <w:next w:val="Normal"/>
    <w:semiHidden/>
    <w:rsid w:val="00D7779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77796"/>
    <w:pPr>
      <w:tabs>
        <w:tab w:val="left" w:pos="720"/>
        <w:tab w:val="right" w:leader="dot" w:pos="9360"/>
      </w:tabs>
      <w:suppressAutoHyphens/>
      <w:ind w:left="720" w:right="720" w:hanging="360"/>
    </w:pPr>
    <w:rPr>
      <w:noProof/>
    </w:rPr>
  </w:style>
  <w:style w:type="paragraph" w:styleId="TOC3">
    <w:name w:val="toc 3"/>
    <w:basedOn w:val="Normal"/>
    <w:next w:val="Normal"/>
    <w:semiHidden/>
    <w:rsid w:val="00D777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777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777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777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777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777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7779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77796"/>
    <w:pPr>
      <w:tabs>
        <w:tab w:val="right" w:pos="9360"/>
      </w:tabs>
      <w:suppressAutoHyphens/>
    </w:pPr>
  </w:style>
  <w:style w:type="character" w:customStyle="1" w:styleId="EquationCaption">
    <w:name w:val="_Equation Caption"/>
    <w:rsid w:val="00D77796"/>
  </w:style>
  <w:style w:type="paragraph" w:styleId="Header">
    <w:name w:val="header"/>
    <w:basedOn w:val="Normal"/>
    <w:link w:val="HeaderChar"/>
    <w:autoRedefine/>
    <w:rsid w:val="00D77796"/>
    <w:pPr>
      <w:tabs>
        <w:tab w:val="center" w:pos="4680"/>
        <w:tab w:val="right" w:pos="9360"/>
      </w:tabs>
    </w:pPr>
    <w:rPr>
      <w:b/>
    </w:rPr>
  </w:style>
  <w:style w:type="paragraph" w:styleId="Footer">
    <w:name w:val="footer"/>
    <w:basedOn w:val="Normal"/>
    <w:link w:val="FooterChar"/>
    <w:rsid w:val="00D77796"/>
    <w:pPr>
      <w:tabs>
        <w:tab w:val="center" w:pos="4320"/>
        <w:tab w:val="right" w:pos="8640"/>
      </w:tabs>
    </w:pPr>
  </w:style>
  <w:style w:type="character" w:styleId="PageNumber">
    <w:name w:val="page number"/>
    <w:basedOn w:val="DefaultParagraphFont"/>
    <w:rsid w:val="00D77796"/>
  </w:style>
  <w:style w:type="paragraph" w:styleId="BlockText">
    <w:name w:val="Block Text"/>
    <w:basedOn w:val="Normal"/>
    <w:rsid w:val="00D77796"/>
    <w:pPr>
      <w:spacing w:after="240"/>
      <w:ind w:left="1440" w:right="1440"/>
    </w:pPr>
  </w:style>
  <w:style w:type="paragraph" w:customStyle="1" w:styleId="Paratitle">
    <w:name w:val="Para title"/>
    <w:basedOn w:val="Normal"/>
    <w:rsid w:val="00D77796"/>
    <w:pPr>
      <w:tabs>
        <w:tab w:val="center" w:pos="9270"/>
      </w:tabs>
      <w:spacing w:after="240"/>
    </w:pPr>
    <w:rPr>
      <w:spacing w:val="-2"/>
    </w:rPr>
  </w:style>
  <w:style w:type="paragraph" w:customStyle="1" w:styleId="Bullet">
    <w:name w:val="Bullet"/>
    <w:basedOn w:val="Normal"/>
    <w:rsid w:val="00D77796"/>
    <w:pPr>
      <w:tabs>
        <w:tab w:val="left" w:pos="2160"/>
      </w:tabs>
      <w:spacing w:after="220"/>
      <w:ind w:left="2160" w:hanging="720"/>
    </w:pPr>
  </w:style>
  <w:style w:type="paragraph" w:customStyle="1" w:styleId="TableFormat">
    <w:name w:val="TableFormat"/>
    <w:basedOn w:val="Bullet"/>
    <w:rsid w:val="00D77796"/>
    <w:pPr>
      <w:tabs>
        <w:tab w:val="clear" w:pos="2160"/>
        <w:tab w:val="left" w:pos="5040"/>
      </w:tabs>
      <w:ind w:left="5040" w:hanging="3600"/>
    </w:pPr>
  </w:style>
  <w:style w:type="paragraph" w:customStyle="1" w:styleId="TOCTitle">
    <w:name w:val="TOC Title"/>
    <w:basedOn w:val="Normal"/>
    <w:rsid w:val="00D777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77796"/>
    <w:pPr>
      <w:jc w:val="center"/>
    </w:pPr>
    <w:rPr>
      <w:rFonts w:ascii="Times New Roman Bold" w:hAnsi="Times New Roman Bold"/>
      <w:b/>
      <w:bCs/>
      <w:caps/>
      <w:szCs w:val="22"/>
    </w:rPr>
  </w:style>
  <w:style w:type="character" w:styleId="Hyperlink">
    <w:name w:val="Hyperlink"/>
    <w:rsid w:val="00D77796"/>
    <w:rPr>
      <w:color w:val="0000FF"/>
      <w:u w:val="single"/>
    </w:rPr>
  </w:style>
  <w:style w:type="character" w:customStyle="1" w:styleId="Heading1Char">
    <w:name w:val="Heading 1 Char"/>
    <w:aliases w:val="H1 Char,Heading 1 Char Char Char Char Char Char Char,Heading 1 Char Char1 Char Char,Heading 1 Char Char2 Char,Heading 1 Char1 Char Char,Heading 1 Char1 Char Char Char2 Char Char,Heading 1 Char2 Char,Heading 1 Char2 Char Char1 Char Char"/>
    <w:link w:val="Heading1"/>
    <w:rsid w:val="002C0D75"/>
    <w:rPr>
      <w:rFonts w:ascii="Times New Roman Bold" w:hAnsi="Times New Roman Bold"/>
      <w:b/>
      <w:caps/>
      <w:snapToGrid w:val="0"/>
      <w:kern w:val="28"/>
      <w:sz w:val="22"/>
    </w:rPr>
  </w:style>
  <w:style w:type="character" w:customStyle="1" w:styleId="Heading2Char">
    <w:name w:val="Heading 2 Char"/>
    <w:aliases w:val="Heading 2 Ch Char,Heading 2 Char Char Char Char,Heading 2 Char Char Char Char Char Char,Heading 2 Char1 Char Char,Heading 2 Char1 Char Char Char Char,Heading 2 Char2 Char Char Char Char Char Char,Heading 2 Char4 Char"/>
    <w:link w:val="Heading2"/>
    <w:rsid w:val="002C0D75"/>
    <w:rPr>
      <w:b/>
      <w:snapToGrid w:val="0"/>
      <w:kern w:val="28"/>
      <w:sz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sid w:val="002C0D75"/>
  </w:style>
  <w:style w:type="character" w:customStyle="1" w:styleId="HeaderChar">
    <w:name w:val="Header Char"/>
    <w:link w:val="Header"/>
    <w:rsid w:val="002C0D75"/>
    <w:rPr>
      <w:b/>
      <w:snapToGrid w:val="0"/>
      <w:kern w:val="28"/>
      <w:sz w:val="22"/>
    </w:rPr>
  </w:style>
  <w:style w:type="character" w:customStyle="1" w:styleId="FooterChar">
    <w:name w:val="Footer Char"/>
    <w:link w:val="Footer"/>
    <w:rsid w:val="002C0D75"/>
    <w:rPr>
      <w:snapToGrid w:val="0"/>
      <w:kern w:val="28"/>
      <w:sz w:val="22"/>
    </w:rPr>
  </w:style>
  <w:style w:type="character" w:styleId="CommentReference">
    <w:name w:val="annotation reference"/>
    <w:rsid w:val="002C0D75"/>
    <w:rPr>
      <w:sz w:val="16"/>
      <w:szCs w:val="16"/>
    </w:rPr>
  </w:style>
  <w:style w:type="paragraph" w:styleId="CommentText">
    <w:name w:val="annotation text"/>
    <w:basedOn w:val="Normal"/>
    <w:link w:val="CommentTextChar"/>
    <w:rsid w:val="002C0D75"/>
    <w:rPr>
      <w:sz w:val="20"/>
    </w:rPr>
  </w:style>
  <w:style w:type="character" w:customStyle="1" w:styleId="CommentTextChar">
    <w:name w:val="Comment Text Char"/>
    <w:link w:val="CommentText"/>
    <w:rsid w:val="002C0D75"/>
    <w:rPr>
      <w:snapToGrid w:val="0"/>
      <w:kern w:val="28"/>
    </w:rPr>
  </w:style>
  <w:style w:type="paragraph" w:styleId="BalloonText">
    <w:name w:val="Balloon Text"/>
    <w:basedOn w:val="Normal"/>
    <w:link w:val="BalloonTextChar"/>
    <w:rsid w:val="002C0D75"/>
    <w:rPr>
      <w:rFonts w:ascii="Segoe UI" w:hAnsi="Segoe UI" w:cs="Segoe UI"/>
      <w:sz w:val="18"/>
      <w:szCs w:val="18"/>
    </w:rPr>
  </w:style>
  <w:style w:type="character" w:customStyle="1" w:styleId="BalloonTextChar">
    <w:name w:val="Balloon Text Char"/>
    <w:link w:val="BalloonText"/>
    <w:rsid w:val="002C0D75"/>
    <w:rPr>
      <w:rFonts w:ascii="Segoe UI" w:hAnsi="Segoe UI" w:cs="Segoe UI"/>
      <w:snapToGrid w:val="0"/>
      <w:kern w:val="28"/>
      <w:sz w:val="18"/>
      <w:szCs w:val="18"/>
    </w:rPr>
  </w:style>
  <w:style w:type="character" w:customStyle="1" w:styleId="UnresolvedMention1">
    <w:name w:val="Unresolved Mention1"/>
    <w:uiPriority w:val="99"/>
    <w:semiHidden/>
    <w:unhideWhenUsed/>
    <w:rsid w:val="00930EE4"/>
    <w:rPr>
      <w:color w:val="808080"/>
      <w:shd w:val="clear" w:color="auto" w:fill="E6E6E6"/>
    </w:rPr>
  </w:style>
  <w:style w:type="character" w:customStyle="1" w:styleId="UnresolvedMention">
    <w:name w:val="Unresolved Mention"/>
    <w:uiPriority w:val="99"/>
    <w:semiHidden/>
    <w:unhideWhenUsed/>
    <w:rsid w:val="00112FF6"/>
    <w:rPr>
      <w:color w:val="808080"/>
      <w:shd w:val="clear" w:color="auto" w:fill="E6E6E6"/>
    </w:rPr>
  </w:style>
  <w:style w:type="paragraph" w:styleId="Revision">
    <w:name w:val="Revision"/>
    <w:hidden/>
    <w:uiPriority w:val="99"/>
    <w:semiHidden/>
    <w:rsid w:val="006B7D51"/>
    <w:rPr>
      <w:snapToGrid w:val="0"/>
      <w:kern w:val="28"/>
      <w:sz w:val="22"/>
    </w:rPr>
  </w:style>
  <w:style w:type="paragraph" w:styleId="CommentSubject">
    <w:name w:val="annotation subject"/>
    <w:basedOn w:val="CommentText"/>
    <w:next w:val="CommentText"/>
    <w:link w:val="CommentSubjectChar"/>
    <w:rsid w:val="00C92DD8"/>
    <w:rPr>
      <w:b/>
      <w:bCs/>
    </w:rPr>
  </w:style>
  <w:style w:type="character" w:customStyle="1" w:styleId="CommentSubjectChar">
    <w:name w:val="Comment Subject Char"/>
    <w:basedOn w:val="CommentTextChar"/>
    <w:link w:val="CommentSubject"/>
    <w:rsid w:val="00C92DD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footer" Target="footer10.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4306A-DB0D-4692-9ADB-980616C7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7269</Words>
  <Characters>41439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48611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2018-01-30T20:54:47Z</dcterms:created>
  <dcterms:modified xsi:type="dcterms:W3CDTF">2018-01-30T20:54:47Z</dcterms:modified>
</cp:coreProperties>
</file>