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72D3" w:rsidRPr="005577AD" w:rsidP="00DE72D3">
      <w:pPr>
        <w:jc w:val="center"/>
        <w:rPr>
          <w:b/>
          <w:bCs/>
          <w:caps/>
          <w:szCs w:val="22"/>
        </w:rPr>
      </w:pPr>
      <w:bookmarkStart w:id="0" w:name="_GoBack"/>
      <w:bookmarkEnd w:id="0"/>
      <w:r w:rsidRPr="005577AD">
        <w:rPr>
          <w:b/>
          <w:bCs/>
          <w:caps/>
          <w:szCs w:val="22"/>
        </w:rPr>
        <w:t>Statement of</w:t>
      </w:r>
    </w:p>
    <w:p w:rsidR="00D567C6" w:rsidRPr="00D567C6" w:rsidP="00D567C6">
      <w:pPr>
        <w:widowControl/>
        <w:jc w:val="center"/>
        <w:rPr>
          <w:rFonts w:eastAsia="Calibri"/>
          <w:b/>
          <w:snapToGrid/>
          <w:kern w:val="0"/>
          <w:szCs w:val="22"/>
        </w:rPr>
      </w:pPr>
      <w:r w:rsidRPr="00D567C6">
        <w:rPr>
          <w:rFonts w:eastAsia="Calibri"/>
          <w:b/>
          <w:snapToGrid/>
          <w:kern w:val="0"/>
          <w:szCs w:val="22"/>
        </w:rPr>
        <w:t>COMMISSIONER MIGNON L. CLYBURN</w:t>
      </w:r>
    </w:p>
    <w:p w:rsidR="00DE72D3" w:rsidRPr="005577AD" w:rsidP="00DE72D3">
      <w:pPr>
        <w:jc w:val="center"/>
        <w:rPr>
          <w:b/>
          <w:bCs/>
          <w:caps/>
          <w:szCs w:val="22"/>
        </w:rPr>
      </w:pPr>
    </w:p>
    <w:p w:rsidR="00D567C6" w:rsidRPr="005577AD" w:rsidP="00D567C6">
      <w:pPr>
        <w:ind w:left="720" w:hanging="720"/>
        <w:rPr>
          <w:i/>
          <w:iCs/>
          <w:szCs w:val="22"/>
        </w:rPr>
      </w:pPr>
      <w:r w:rsidRPr="005577AD">
        <w:rPr>
          <w:iCs/>
          <w:szCs w:val="22"/>
        </w:rPr>
        <w:t>Re:</w:t>
      </w:r>
      <w:r w:rsidRPr="005577AD">
        <w:rPr>
          <w:szCs w:val="22"/>
        </w:rPr>
        <w:t xml:space="preserve">    </w:t>
      </w:r>
      <w:r w:rsidRPr="005577AD">
        <w:rPr>
          <w:szCs w:val="22"/>
        </w:rPr>
        <w:tab/>
      </w:r>
      <w:r w:rsidRPr="00B65215">
        <w:rPr>
          <w:i/>
        </w:rPr>
        <w:t>Amendment of Section 73.3613 of the Commission’s Rules Regarding Filing of Contracts</w:t>
      </w:r>
      <w:r>
        <w:t>,</w:t>
      </w:r>
      <w:r w:rsidRPr="00B65215">
        <w:t xml:space="preserve"> MB Docket No. 18-4;</w:t>
      </w:r>
      <w:r w:rsidRPr="00B65215">
        <w:rPr>
          <w:i/>
        </w:rPr>
        <w:t xml:space="preserve"> Modernization of Media Regulation Initiative</w:t>
      </w:r>
      <w:r w:rsidRPr="00B65215">
        <w:t>, MB Docket No. 17-105.</w:t>
      </w:r>
    </w:p>
    <w:p w:rsidR="00DE72D3" w:rsidRPr="005577AD" w:rsidP="00DE72D3">
      <w:pPr>
        <w:ind w:firstLine="720"/>
        <w:rPr>
          <w:szCs w:val="22"/>
        </w:rPr>
      </w:pPr>
    </w:p>
    <w:p w:rsidR="00D567C6" w:rsidRPr="00D567C6" w:rsidP="00D567C6">
      <w:pPr>
        <w:widowControl/>
        <w:ind w:firstLine="720"/>
        <w:rPr>
          <w:rFonts w:eastAsia="Calibri"/>
          <w:snapToGrid/>
          <w:color w:val="000000"/>
          <w:kern w:val="0"/>
          <w:szCs w:val="22"/>
        </w:rPr>
      </w:pPr>
      <w:r w:rsidRPr="00D567C6">
        <w:rPr>
          <w:rFonts w:eastAsia="Calibri"/>
          <w:snapToGrid/>
          <w:color w:val="000000"/>
          <w:kern w:val="0"/>
          <w:szCs w:val="22"/>
        </w:rPr>
        <w:t>Some items need little explanation. Today’s NPRM is one of them. By proposing to move away from paper copies for certain contracts and other documents involving broadcast stations, we reduce a purported burden on stations and do so without jeopardizing the public’s right to review this information.</w:t>
      </w:r>
    </w:p>
    <w:p w:rsidR="00D567C6" w:rsidRPr="00D567C6" w:rsidP="00D567C6">
      <w:pPr>
        <w:widowControl/>
        <w:ind w:firstLine="720"/>
        <w:rPr>
          <w:rFonts w:eastAsia="Calibri"/>
          <w:snapToGrid/>
          <w:color w:val="000000"/>
          <w:kern w:val="0"/>
          <w:szCs w:val="22"/>
        </w:rPr>
      </w:pPr>
    </w:p>
    <w:p w:rsidR="00D567C6" w:rsidRPr="00D567C6" w:rsidP="00D567C6">
      <w:pPr>
        <w:widowControl/>
        <w:ind w:firstLine="720"/>
        <w:rPr>
          <w:rFonts w:eastAsia="Calibri"/>
          <w:snapToGrid/>
          <w:color w:val="000000"/>
          <w:kern w:val="0"/>
          <w:szCs w:val="22"/>
        </w:rPr>
      </w:pPr>
      <w:r w:rsidRPr="00D567C6">
        <w:rPr>
          <w:rFonts w:eastAsia="Calibri"/>
          <w:snapToGrid/>
          <w:color w:val="000000"/>
          <w:kern w:val="0"/>
          <w:szCs w:val="22"/>
        </w:rPr>
        <w:t xml:space="preserve">As my fellow Commissioners have heard me say in the past, I believe our agency must not forget those who do not have regular access to the internet. This is particularly critical when it comes to the filing of consumer complaints, EEO recruitment, and other agency functions that involve direct consumer engagement. </w:t>
      </w:r>
    </w:p>
    <w:p w:rsidR="00D567C6" w:rsidRPr="00D567C6" w:rsidP="00D567C6">
      <w:pPr>
        <w:widowControl/>
        <w:ind w:firstLine="720"/>
        <w:rPr>
          <w:rFonts w:eastAsia="Calibri"/>
          <w:snapToGrid/>
          <w:color w:val="000000"/>
          <w:kern w:val="0"/>
          <w:szCs w:val="22"/>
        </w:rPr>
      </w:pPr>
    </w:p>
    <w:p w:rsidR="00D567C6" w:rsidRPr="00D567C6" w:rsidP="00D567C6">
      <w:pPr>
        <w:widowControl/>
        <w:ind w:firstLine="720"/>
        <w:rPr>
          <w:rFonts w:eastAsia="Calibri"/>
          <w:snapToGrid/>
          <w:color w:val="000000"/>
          <w:kern w:val="0"/>
          <w:szCs w:val="22"/>
        </w:rPr>
      </w:pPr>
      <w:r w:rsidRPr="00D567C6">
        <w:rPr>
          <w:rFonts w:eastAsia="Calibri"/>
          <w:snapToGrid/>
          <w:color w:val="000000"/>
          <w:kern w:val="0"/>
          <w:szCs w:val="22"/>
        </w:rPr>
        <w:t>In the case of the documents required under Section 73.3613, I believe the existing public file rules can adequately inform the public. I look forward to reviewing the public comments that follow to ultimately ensure there are no negative consequences to the public’s right to transparency.</w:t>
      </w:r>
    </w:p>
    <w:p w:rsidR="00D567C6" w:rsidRPr="00D567C6" w:rsidP="00D567C6">
      <w:pPr>
        <w:widowControl/>
        <w:ind w:firstLine="720"/>
        <w:rPr>
          <w:rFonts w:eastAsia="Calibri"/>
          <w:snapToGrid/>
          <w:color w:val="000000"/>
          <w:kern w:val="0"/>
          <w:szCs w:val="22"/>
        </w:rPr>
      </w:pPr>
    </w:p>
    <w:p w:rsidR="00122BD5" w:rsidRPr="003518D6" w:rsidP="003518D6">
      <w:pPr>
        <w:widowControl/>
        <w:ind w:firstLine="720"/>
        <w:rPr>
          <w:rFonts w:eastAsia="Calibri"/>
          <w:snapToGrid/>
          <w:color w:val="000000"/>
          <w:kern w:val="0"/>
          <w:szCs w:val="22"/>
        </w:rPr>
      </w:pPr>
      <w:r w:rsidRPr="00D567C6">
        <w:rPr>
          <w:rFonts w:eastAsia="Calibri"/>
          <w:snapToGrid/>
          <w:color w:val="000000"/>
          <w:kern w:val="0"/>
          <w:szCs w:val="22"/>
        </w:rPr>
        <w:t>My thanks to Michelle Carey, Chris Clark and the Media Bureau staff for your work on this item.</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1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567C6">
      <w:rPr>
        <w:spacing w:val="-2"/>
      </w:rPr>
      <w:t>FCC 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A"/>
    <w:rsid w:val="00036039"/>
    <w:rsid w:val="00037F90"/>
    <w:rsid w:val="000875BF"/>
    <w:rsid w:val="00096D8C"/>
    <w:rsid w:val="000C0B65"/>
    <w:rsid w:val="000E05FE"/>
    <w:rsid w:val="000E3D42"/>
    <w:rsid w:val="00122BD5"/>
    <w:rsid w:val="00133F79"/>
    <w:rsid w:val="00194A66"/>
    <w:rsid w:val="00195834"/>
    <w:rsid w:val="001B75BE"/>
    <w:rsid w:val="001C776A"/>
    <w:rsid w:val="001D6BCF"/>
    <w:rsid w:val="001E01CA"/>
    <w:rsid w:val="0021457B"/>
    <w:rsid w:val="00242BD4"/>
    <w:rsid w:val="00251B58"/>
    <w:rsid w:val="00275CF5"/>
    <w:rsid w:val="0028301F"/>
    <w:rsid w:val="00284130"/>
    <w:rsid w:val="00285017"/>
    <w:rsid w:val="002A2D2E"/>
    <w:rsid w:val="00343749"/>
    <w:rsid w:val="003518D6"/>
    <w:rsid w:val="003660ED"/>
    <w:rsid w:val="003B0550"/>
    <w:rsid w:val="003B694F"/>
    <w:rsid w:val="003C33AE"/>
    <w:rsid w:val="003F171C"/>
    <w:rsid w:val="00412FC5"/>
    <w:rsid w:val="00422276"/>
    <w:rsid w:val="004242F1"/>
    <w:rsid w:val="00445A00"/>
    <w:rsid w:val="00451B0F"/>
    <w:rsid w:val="004C2EE3"/>
    <w:rsid w:val="004E4A22"/>
    <w:rsid w:val="00511968"/>
    <w:rsid w:val="00535B03"/>
    <w:rsid w:val="0055614C"/>
    <w:rsid w:val="005577AD"/>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00D7D"/>
    <w:rsid w:val="00A11D4F"/>
    <w:rsid w:val="00A32C3B"/>
    <w:rsid w:val="00A45F4F"/>
    <w:rsid w:val="00A600A9"/>
    <w:rsid w:val="00AA55B7"/>
    <w:rsid w:val="00AA5B9E"/>
    <w:rsid w:val="00AB2407"/>
    <w:rsid w:val="00AB53DF"/>
    <w:rsid w:val="00B07E5C"/>
    <w:rsid w:val="00B65215"/>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567C6"/>
    <w:rsid w:val="00D949D2"/>
    <w:rsid w:val="00DA2529"/>
    <w:rsid w:val="00DB130A"/>
    <w:rsid w:val="00DB2EBB"/>
    <w:rsid w:val="00DC10A1"/>
    <w:rsid w:val="00DC655F"/>
    <w:rsid w:val="00DD0B59"/>
    <w:rsid w:val="00DD7EBD"/>
    <w:rsid w:val="00DE72D3"/>
    <w:rsid w:val="00DF5546"/>
    <w:rsid w:val="00DF62B6"/>
    <w:rsid w:val="00E07225"/>
    <w:rsid w:val="00E5409F"/>
    <w:rsid w:val="00EA1815"/>
    <w:rsid w:val="00EE6488"/>
    <w:rsid w:val="00F021FA"/>
    <w:rsid w:val="00F62E97"/>
    <w:rsid w:val="00F64209"/>
    <w:rsid w:val="00F93BF5"/>
    <w:rsid w:val="00FE27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3AE"/>
    <w:pPr>
      <w:widowControl w:val="0"/>
    </w:pPr>
    <w:rPr>
      <w:snapToGrid w:val="0"/>
      <w:kern w:val="28"/>
      <w:sz w:val="22"/>
    </w:rPr>
  </w:style>
  <w:style w:type="paragraph" w:styleId="Heading1">
    <w:name w:val="heading 1"/>
    <w:basedOn w:val="Normal"/>
    <w:next w:val="ParaNum"/>
    <w:qFormat/>
    <w:rsid w:val="003C33A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C33AE"/>
    <w:pPr>
      <w:keepNext/>
      <w:numPr>
        <w:ilvl w:val="1"/>
        <w:numId w:val="3"/>
      </w:numPr>
      <w:spacing w:after="120"/>
      <w:outlineLvl w:val="1"/>
    </w:pPr>
    <w:rPr>
      <w:b/>
    </w:rPr>
  </w:style>
  <w:style w:type="paragraph" w:styleId="Heading3">
    <w:name w:val="heading 3"/>
    <w:basedOn w:val="Normal"/>
    <w:next w:val="ParaNum"/>
    <w:qFormat/>
    <w:rsid w:val="003C33AE"/>
    <w:pPr>
      <w:keepNext/>
      <w:numPr>
        <w:ilvl w:val="2"/>
        <w:numId w:val="3"/>
      </w:numPr>
      <w:tabs>
        <w:tab w:val="left" w:pos="2160"/>
      </w:tabs>
      <w:spacing w:after="120"/>
      <w:outlineLvl w:val="2"/>
    </w:pPr>
    <w:rPr>
      <w:b/>
    </w:rPr>
  </w:style>
  <w:style w:type="paragraph" w:styleId="Heading4">
    <w:name w:val="heading 4"/>
    <w:basedOn w:val="Normal"/>
    <w:next w:val="ParaNum"/>
    <w:qFormat/>
    <w:rsid w:val="003C33AE"/>
    <w:pPr>
      <w:keepNext/>
      <w:numPr>
        <w:ilvl w:val="3"/>
        <w:numId w:val="3"/>
      </w:numPr>
      <w:tabs>
        <w:tab w:val="left" w:pos="2880"/>
      </w:tabs>
      <w:spacing w:after="120"/>
      <w:outlineLvl w:val="3"/>
    </w:pPr>
    <w:rPr>
      <w:b/>
    </w:rPr>
  </w:style>
  <w:style w:type="paragraph" w:styleId="Heading5">
    <w:name w:val="heading 5"/>
    <w:basedOn w:val="Normal"/>
    <w:next w:val="ParaNum"/>
    <w:qFormat/>
    <w:rsid w:val="003C33A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C33AE"/>
    <w:pPr>
      <w:numPr>
        <w:ilvl w:val="5"/>
        <w:numId w:val="3"/>
      </w:numPr>
      <w:tabs>
        <w:tab w:val="left" w:pos="4320"/>
      </w:tabs>
      <w:spacing w:after="120"/>
      <w:outlineLvl w:val="5"/>
    </w:pPr>
    <w:rPr>
      <w:b/>
    </w:rPr>
  </w:style>
  <w:style w:type="paragraph" w:styleId="Heading7">
    <w:name w:val="heading 7"/>
    <w:basedOn w:val="Normal"/>
    <w:next w:val="ParaNum"/>
    <w:qFormat/>
    <w:rsid w:val="003C33A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C33A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C33A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3C33AE"/>
    <w:pPr>
      <w:numPr>
        <w:numId w:val="2"/>
      </w:numPr>
      <w:tabs>
        <w:tab w:val="clear" w:pos="1080"/>
        <w:tab w:val="num" w:pos="1440"/>
      </w:tabs>
      <w:spacing w:after="120"/>
    </w:pPr>
  </w:style>
  <w:style w:type="paragraph" w:styleId="EndnoteText">
    <w:name w:val="endnote text"/>
    <w:basedOn w:val="Normal"/>
    <w:semiHidden/>
    <w:rsid w:val="003C33AE"/>
    <w:rPr>
      <w:sz w:val="20"/>
    </w:rPr>
  </w:style>
  <w:style w:type="character" w:styleId="EndnoteReference">
    <w:name w:val="endnote reference"/>
    <w:semiHidden/>
    <w:rsid w:val="003C33AE"/>
    <w:rPr>
      <w:vertAlign w:val="superscript"/>
    </w:rPr>
  </w:style>
  <w:style w:type="paragraph" w:styleId="FootnoteText">
    <w:name w:val="footnote text"/>
    <w:rsid w:val="003C33AE"/>
    <w:pPr>
      <w:spacing w:after="120"/>
    </w:pPr>
  </w:style>
  <w:style w:type="character" w:styleId="FootnoteReference">
    <w:name w:val="footnote reference"/>
    <w:rsid w:val="003C33AE"/>
    <w:rPr>
      <w:rFonts w:ascii="Times New Roman" w:hAnsi="Times New Roman"/>
      <w:dstrike w:val="0"/>
      <w:color w:val="auto"/>
      <w:sz w:val="20"/>
      <w:vertAlign w:val="superscript"/>
    </w:rPr>
  </w:style>
  <w:style w:type="paragraph" w:styleId="TOC1">
    <w:name w:val="toc 1"/>
    <w:basedOn w:val="Normal"/>
    <w:next w:val="Normal"/>
    <w:semiHidden/>
    <w:rsid w:val="003C33A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C33AE"/>
    <w:pPr>
      <w:tabs>
        <w:tab w:val="left" w:pos="720"/>
        <w:tab w:val="right" w:leader="dot" w:pos="9360"/>
      </w:tabs>
      <w:suppressAutoHyphens/>
      <w:ind w:left="720" w:right="720" w:hanging="360"/>
    </w:pPr>
    <w:rPr>
      <w:noProof/>
    </w:rPr>
  </w:style>
  <w:style w:type="paragraph" w:styleId="TOC3">
    <w:name w:val="toc 3"/>
    <w:basedOn w:val="Normal"/>
    <w:next w:val="Normal"/>
    <w:semiHidden/>
    <w:rsid w:val="003C33A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C33A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C33A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C33A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C33A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C33A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C33A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C33AE"/>
    <w:pPr>
      <w:tabs>
        <w:tab w:val="right" w:pos="9360"/>
      </w:tabs>
      <w:suppressAutoHyphens/>
    </w:pPr>
  </w:style>
  <w:style w:type="character" w:customStyle="1" w:styleId="EquationCaption">
    <w:name w:val="_Equation Caption"/>
    <w:rsid w:val="003C33AE"/>
  </w:style>
  <w:style w:type="paragraph" w:styleId="Header">
    <w:name w:val="header"/>
    <w:basedOn w:val="Normal"/>
    <w:autoRedefine/>
    <w:rsid w:val="003C33AE"/>
    <w:pPr>
      <w:tabs>
        <w:tab w:val="center" w:pos="4680"/>
        <w:tab w:val="right" w:pos="9360"/>
      </w:tabs>
    </w:pPr>
    <w:rPr>
      <w:b/>
    </w:rPr>
  </w:style>
  <w:style w:type="paragraph" w:styleId="Footer">
    <w:name w:val="footer"/>
    <w:basedOn w:val="Normal"/>
    <w:rsid w:val="003C33AE"/>
    <w:pPr>
      <w:tabs>
        <w:tab w:val="center" w:pos="4320"/>
        <w:tab w:val="right" w:pos="8640"/>
      </w:tabs>
    </w:pPr>
  </w:style>
  <w:style w:type="character" w:styleId="PageNumber">
    <w:name w:val="page number"/>
    <w:basedOn w:val="DefaultParagraphFont"/>
    <w:rsid w:val="003C33AE"/>
  </w:style>
  <w:style w:type="paragraph" w:styleId="BlockText">
    <w:name w:val="Block Text"/>
    <w:basedOn w:val="Normal"/>
    <w:rsid w:val="003C33AE"/>
    <w:pPr>
      <w:spacing w:after="240"/>
      <w:ind w:left="1440" w:right="1440"/>
    </w:pPr>
  </w:style>
  <w:style w:type="paragraph" w:customStyle="1" w:styleId="Paratitle">
    <w:name w:val="Para title"/>
    <w:basedOn w:val="Normal"/>
    <w:rsid w:val="003C33AE"/>
    <w:pPr>
      <w:tabs>
        <w:tab w:val="center" w:pos="9270"/>
      </w:tabs>
      <w:spacing w:after="240"/>
    </w:pPr>
    <w:rPr>
      <w:spacing w:val="-2"/>
    </w:rPr>
  </w:style>
  <w:style w:type="paragraph" w:customStyle="1" w:styleId="Bullet">
    <w:name w:val="Bullet"/>
    <w:basedOn w:val="Normal"/>
    <w:rsid w:val="003C33AE"/>
    <w:pPr>
      <w:tabs>
        <w:tab w:val="left" w:pos="2160"/>
      </w:tabs>
      <w:spacing w:after="220"/>
      <w:ind w:left="2160" w:hanging="720"/>
    </w:pPr>
  </w:style>
  <w:style w:type="paragraph" w:customStyle="1" w:styleId="TableFormat">
    <w:name w:val="TableFormat"/>
    <w:basedOn w:val="Bullet"/>
    <w:rsid w:val="003C33AE"/>
    <w:pPr>
      <w:tabs>
        <w:tab w:val="clear" w:pos="2160"/>
        <w:tab w:val="left" w:pos="5040"/>
      </w:tabs>
      <w:ind w:left="5040" w:hanging="3600"/>
    </w:pPr>
  </w:style>
  <w:style w:type="paragraph" w:customStyle="1" w:styleId="TOCTitle">
    <w:name w:val="TOC Title"/>
    <w:basedOn w:val="Normal"/>
    <w:rsid w:val="003C33A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C33AE"/>
    <w:pPr>
      <w:jc w:val="center"/>
    </w:pPr>
    <w:rPr>
      <w:rFonts w:ascii="Times New Roman Bold" w:hAnsi="Times New Roman Bold"/>
      <w:b/>
      <w:bCs/>
      <w:caps/>
      <w:szCs w:val="22"/>
    </w:rPr>
  </w:style>
  <w:style w:type="character" w:styleId="Hyperlink">
    <w:name w:val="Hyperlink"/>
    <w:rsid w:val="003C3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BE31D-7006-4C17-B49D-B4A7A020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2018-01-31T17:54:17Z</dcterms:created>
  <dcterms:modified xsi:type="dcterms:W3CDTF">2018-01-31T17:54:17Z</dcterms:modified>
</cp:coreProperties>
</file>