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pPr>
        <w:widowControl w:val="0"/>
        <w:spacing w:after="240"/>
        <w:jc w:val="center"/>
        <w:rPr>
          <w:rFonts w:eastAsia="Times New Roman" w:cs="Times New Roman"/>
          <w:b/>
          <w:snapToGrid w:val="0"/>
          <w:kern w:val="28"/>
          <w:szCs w:val="20"/>
        </w:rPr>
      </w:pPr>
      <w:r>
        <w:rPr>
          <w:rFonts w:eastAsia="Times New Roman" w:cs="Times New Roman"/>
          <w:b/>
          <w:snapToGrid w:val="0"/>
          <w:kern w:val="28"/>
          <w:szCs w:val="20"/>
        </w:rPr>
        <w:t>STATEMENT OF</w:t>
      </w:r>
      <w:r>
        <w:rPr>
          <w:rFonts w:eastAsia="Times New Roman" w:cs="Times New Roman"/>
          <w:b/>
          <w:snapToGrid w:val="0"/>
          <w:kern w:val="28"/>
          <w:szCs w:val="20"/>
        </w:rPr>
        <w:br/>
        <w:t>CHAIRMAN AJIT PAI</w:t>
      </w:r>
    </w:p>
    <w:p>
      <w:pPr>
        <w:widowControl w:val="0"/>
        <w:spacing w:after="0"/>
        <w:ind w:left="720" w:hanging="720"/>
        <w:rPr>
          <w:rFonts w:eastAsia="Times New Roman" w:cs="Times New Roman"/>
          <w:snapToGrid w:val="0"/>
          <w:kern w:val="28"/>
          <w:szCs w:val="20"/>
        </w:rPr>
      </w:pPr>
      <w:r>
        <w:rPr>
          <w:rFonts w:eastAsia="Times New Roman" w:cs="Times New Roman"/>
          <w:snapToGrid w:val="0"/>
          <w:kern w:val="28"/>
          <w:szCs w:val="20"/>
        </w:rPr>
        <w:t>Re:</w:t>
      </w:r>
      <w:r>
        <w:rPr>
          <w:rFonts w:eastAsia="Times New Roman" w:cs="Times New Roman"/>
          <w:snapToGrid w:val="0"/>
          <w:kern w:val="28"/>
          <w:szCs w:val="20"/>
        </w:rPr>
        <w:tab/>
      </w:r>
      <w:r>
        <w:rPr>
          <w:rFonts w:eastAsia="Times New Roman" w:cs="Times New Roman"/>
          <w:i/>
          <w:snapToGrid w:val="0"/>
          <w:kern w:val="28"/>
          <w:szCs w:val="20"/>
        </w:rPr>
        <w:t>Amendment of Parts 1 and 22 of the Commission’s Rules with Regard to the Cellular Service, Including Changes in Licensing of Unserved Area</w:t>
      </w:r>
      <w:r>
        <w:rPr>
          <w:rFonts w:eastAsia="Times New Roman" w:cs="Times New Roman"/>
          <w:snapToGrid w:val="0"/>
          <w:kern w:val="28"/>
          <w:szCs w:val="20"/>
        </w:rPr>
        <w:t xml:space="preserve">, WT Docket No. 12-40, RM No. 11510; </w:t>
      </w:r>
      <w:r>
        <w:rPr>
          <w:rFonts w:eastAsia="Times New Roman" w:cs="Times New Roman"/>
          <w:i/>
          <w:snapToGrid w:val="0"/>
          <w:kern w:val="28"/>
          <w:szCs w:val="20"/>
        </w:rPr>
        <w:t xml:space="preserve">Amendment of the Commission’s Rules with Regard to Relocation of Part 24 to Part </w:t>
      </w:r>
      <w:r>
        <w:rPr>
          <w:rFonts w:eastAsia="Times New Roman" w:cs="Times New Roman"/>
          <w:snapToGrid w:val="0"/>
          <w:kern w:val="28"/>
          <w:szCs w:val="20"/>
        </w:rPr>
        <w:t>27</w:t>
      </w:r>
      <w:r>
        <w:rPr>
          <w:rFonts w:eastAsia="Times New Roman" w:cs="Times New Roman"/>
          <w:i/>
          <w:snapToGrid w:val="0"/>
          <w:kern w:val="28"/>
          <w:szCs w:val="20"/>
        </w:rPr>
        <w:t>;</w:t>
      </w:r>
      <w:r>
        <w:rPr>
          <w:rFonts w:eastAsia="Times New Roman" w:cs="Times New Roman"/>
          <w:snapToGrid w:val="0"/>
          <w:kern w:val="28"/>
          <w:szCs w:val="20"/>
        </w:rPr>
        <w:t xml:space="preserve"> </w:t>
      </w:r>
      <w:r>
        <w:rPr>
          <w:rFonts w:eastAsia="Times New Roman" w:cs="Times New Roman"/>
          <w:i/>
          <w:snapToGrid w:val="0"/>
          <w:kern w:val="28"/>
          <w:szCs w:val="20"/>
        </w:rPr>
        <w:t>Interim Restrictions and Procedures for Cellular Service Applications;</w:t>
      </w:r>
      <w:r>
        <w:rPr>
          <w:rFonts w:eastAsia="Times New Roman" w:cs="Times New Roman"/>
          <w:snapToGrid w:val="0"/>
          <w:kern w:val="28"/>
          <w:szCs w:val="20"/>
        </w:rPr>
        <w:t xml:space="preserve"> </w:t>
      </w:r>
      <w:r>
        <w:rPr>
          <w:rFonts w:eastAsia="Times New Roman" w:cs="Times New Roman"/>
          <w:i/>
          <w:snapToGrid w:val="0"/>
          <w:kern w:val="28"/>
          <w:szCs w:val="20"/>
        </w:rPr>
        <w:t>Amendment of Parts 0, 1, and 22 of the Commission’s Rules with Regard to Frequency Coordination for the Cellular Service;</w:t>
      </w:r>
      <w:r>
        <w:rPr>
          <w:rFonts w:eastAsia="Times New Roman" w:cs="Times New Roman"/>
          <w:snapToGrid w:val="0"/>
          <w:kern w:val="28"/>
          <w:szCs w:val="20"/>
        </w:rPr>
        <w:t xml:space="preserve"> </w:t>
      </w:r>
      <w:r>
        <w:rPr>
          <w:rFonts w:eastAsia="Times New Roman" w:cs="Times New Roman"/>
          <w:i/>
          <w:snapToGrid w:val="0"/>
          <w:kern w:val="28"/>
          <w:szCs w:val="20"/>
        </w:rPr>
        <w:t>Amendment of Part 22 of the Commission’s Rules Regarding Certain Administrative and Filing Requirements;</w:t>
      </w:r>
      <w:r>
        <w:rPr>
          <w:rFonts w:eastAsia="Times New Roman" w:cs="Times New Roman"/>
          <w:snapToGrid w:val="0"/>
          <w:kern w:val="28"/>
          <w:szCs w:val="20"/>
        </w:rPr>
        <w:t xml:space="preserve"> </w:t>
      </w:r>
      <w:r>
        <w:rPr>
          <w:rFonts w:eastAsia="Times New Roman" w:cs="Times New Roman"/>
          <w:i/>
          <w:snapToGrid w:val="0"/>
          <w:kern w:val="28"/>
          <w:szCs w:val="20"/>
        </w:rPr>
        <w:t>Amendment of the Commission’s Rules Governing Radiated Power Limits for the Cellular Service</w:t>
      </w:r>
      <w:r>
        <w:rPr>
          <w:rFonts w:eastAsia="Times New Roman" w:cs="Times New Roman"/>
          <w:snapToGrid w:val="0"/>
          <w:kern w:val="28"/>
          <w:szCs w:val="20"/>
        </w:rPr>
        <w:t xml:space="preserve">, RM No. 11660; </w:t>
      </w:r>
      <w:r>
        <w:rPr>
          <w:rFonts w:eastAsia="Times New Roman" w:cs="Times New Roman"/>
          <w:i/>
          <w:snapToGrid w:val="0"/>
          <w:kern w:val="28"/>
          <w:szCs w:val="20"/>
        </w:rPr>
        <w:t>Amendments of Parts 1, 22, 24, 27, 74, 80, 90, 95, and 101 to Establish Uniform License Renewal, Discontinuance of Operation, and Geographic Partitioning and Spectrum Disaggregation Rules and Policies for Certain Wireless Radio Services</w:t>
      </w:r>
      <w:r>
        <w:rPr>
          <w:rFonts w:eastAsia="Times New Roman" w:cs="Times New Roman"/>
          <w:snapToGrid w:val="0"/>
          <w:kern w:val="28"/>
          <w:szCs w:val="20"/>
        </w:rPr>
        <w:t xml:space="preserve">, WT Docket No. 10-112; </w:t>
      </w:r>
      <w:r>
        <w:rPr>
          <w:rFonts w:eastAsia="Times New Roman" w:cs="Times New Roman"/>
          <w:i/>
          <w:snapToGrid w:val="0"/>
          <w:kern w:val="28"/>
          <w:szCs w:val="20"/>
        </w:rPr>
        <w:t>2016 Biennial Review of Telecommunications Regulations</w:t>
      </w:r>
      <w:r>
        <w:rPr>
          <w:rFonts w:eastAsia="Times New Roman" w:cs="Times New Roman"/>
          <w:snapToGrid w:val="0"/>
          <w:kern w:val="28"/>
          <w:szCs w:val="20"/>
        </w:rPr>
        <w:t>, WT Docket No. 16-138.</w:t>
      </w:r>
      <w:r>
        <w:rPr>
          <w:rFonts w:eastAsia="Times New Roman" w:cs="Times New Roman"/>
          <w:i/>
          <w:snapToGrid w:val="0"/>
          <w:kern w:val="28"/>
          <w:szCs w:val="20"/>
        </w:rPr>
        <w:t xml:space="preserve">      </w:t>
      </w:r>
      <w:r>
        <w:rPr>
          <w:rFonts w:eastAsia="Times New Roman" w:cs="Times New Roman"/>
          <w:snapToGrid w:val="0"/>
          <w:kern w:val="28"/>
          <w:szCs w:val="20"/>
        </w:rPr>
        <w:br/>
      </w:r>
    </w:p>
    <w:p>
      <w:pPr>
        <w:widowControl w:val="0"/>
        <w:ind w:firstLine="720"/>
        <w:rPr>
          <w:rFonts w:eastAsia="Times New Roman" w:cs="Times New Roman"/>
          <w:snapToGrid w:val="0"/>
          <w:kern w:val="28"/>
          <w:szCs w:val="20"/>
        </w:rPr>
      </w:pPr>
      <w:r>
        <w:rPr>
          <w:rFonts w:eastAsia="Times New Roman" w:cs="Times New Roman"/>
          <w:snapToGrid w:val="0"/>
          <w:kern w:val="28"/>
          <w:szCs w:val="20"/>
        </w:rPr>
        <w:t xml:space="preserve">Throughout </w:t>
      </w:r>
      <w:bookmarkStart w:id="0" w:name="_GoBack"/>
      <w:bookmarkEnd w:id="0"/>
      <w:r>
        <w:rPr>
          <w:rFonts w:eastAsia="Times New Roman" w:cs="Times New Roman"/>
          <w:snapToGrid w:val="0"/>
          <w:kern w:val="28"/>
          <w:szCs w:val="20"/>
        </w:rPr>
        <w:t xml:space="preserve">my tenure, I’ve emphasized the need to eliminate unnecessary and outdated regulations.  And in this </w:t>
      </w:r>
      <w:r>
        <w:rPr>
          <w:rFonts w:eastAsia="Times New Roman" w:cs="Times New Roman"/>
          <w:i/>
          <w:snapToGrid w:val="0"/>
          <w:kern w:val="28"/>
          <w:szCs w:val="20"/>
        </w:rPr>
        <w:t>Order</w:t>
      </w:r>
      <w:r>
        <w:rPr>
          <w:rFonts w:eastAsia="Times New Roman" w:cs="Times New Roman"/>
          <w:snapToGrid w:val="0"/>
          <w:kern w:val="28"/>
          <w:szCs w:val="20"/>
        </w:rPr>
        <w:t xml:space="preserve"> alone, we’re eliminating six such rules.  Three of them impose antiquated administrative and recordkeeping burdens on a subset of wireless licensees, including those in the 800 MHz cellular band.  For instance, licensees have to maintain hard copies of such authorizations and make them available for inspection by the Commission.  Given that license authorizations are now available electronically through the Commission’s Universal Licensing System (ULS), this is pointless.  The other three rules that we’re removing from the Code of Federal Regulations apply to the same subset of wireless licensees but are duplicative of rules contained elsewhere.  They serve no purpose but to clutter our rulebook. </w:t>
      </w:r>
    </w:p>
    <w:p>
      <w:pPr>
        <w:widowControl w:val="0"/>
        <w:ind w:firstLine="720"/>
        <w:rPr>
          <w:rFonts w:cs="Calibri"/>
        </w:rPr>
      </w:pPr>
      <w:r>
        <w:rPr>
          <w:rFonts w:eastAsia="Times New Roman" w:cs="Times New Roman"/>
          <w:snapToGrid w:val="0"/>
          <w:kern w:val="28"/>
          <w:szCs w:val="20"/>
        </w:rPr>
        <w:t xml:space="preserve">Many thanks to the staff who worked on this item.  From the Wireless Telecommunications Bureau: </w:t>
      </w:r>
      <w:r>
        <w:rPr>
          <w:rFonts w:cs="Calibri"/>
        </w:rPr>
        <w:t>Linda Chang, Thomas Derenge, Chas Eberle, Jessica Greffenius, Roger Noel, Thomas Reed, Moslem Sawez, Nina Shafran, Don Stockdale, Cecelia Sulhoff, and Suzanne Tetreault; from the Office of General Counsel: Deborah Broderson, David Horowitz, and Bill Richardson; from the Office of Communications Business Opportunities: Sanford Williams and Chana Wilkerson; from the Wireline Competition Bureau: Suzanne Yellen; and from the Media Bureau: Lewis Pulley.</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